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adjustRightInd w:val="0"/>
        <w:snapToGrid w:val="0"/>
        <w:spacing w:line="360" w:lineRule="auto"/>
        <w:jc w:val="center"/>
        <w:rPr>
          <w:rFonts w:hAnsi="宋体"/>
          <w:sz w:val="44"/>
          <w:szCs w:val="44"/>
        </w:rPr>
      </w:pPr>
      <w:bookmarkStart w:id="0" w:name="第二部分第六章"/>
    </w:p>
    <w:p>
      <w:pPr>
        <w:pStyle w:val="23"/>
        <w:adjustRightInd w:val="0"/>
        <w:snapToGrid w:val="0"/>
        <w:spacing w:line="360" w:lineRule="auto"/>
        <w:jc w:val="center"/>
        <w:rPr>
          <w:rFonts w:hAnsi="宋体"/>
          <w:sz w:val="44"/>
          <w:szCs w:val="44"/>
        </w:rPr>
      </w:pPr>
    </w:p>
    <w:p>
      <w:pPr>
        <w:adjustRightInd w:val="0"/>
        <w:snapToGrid w:val="0"/>
        <w:spacing w:line="360" w:lineRule="auto"/>
        <w:jc w:val="center"/>
        <w:rPr>
          <w:rFonts w:ascii="宋体" w:hAnsi="宋体"/>
          <w:b/>
          <w:sz w:val="44"/>
          <w:szCs w:val="44"/>
          <w:lang w:val="zh-CN"/>
        </w:rPr>
      </w:pPr>
      <w:r>
        <w:rPr>
          <w:rFonts w:hint="eastAsia" w:ascii="宋体" w:hAnsi="宋体"/>
          <w:b/>
          <w:sz w:val="44"/>
          <w:szCs w:val="44"/>
          <w:lang w:eastAsia="zh-CN"/>
        </w:rPr>
        <w:t>交管12123语音平台坐席服务续租项目</w:t>
      </w:r>
    </w:p>
    <w:p>
      <w:pPr>
        <w:pStyle w:val="23"/>
        <w:adjustRightInd w:val="0"/>
        <w:snapToGrid w:val="0"/>
        <w:spacing w:line="360" w:lineRule="auto"/>
        <w:jc w:val="center"/>
        <w:rPr>
          <w:rFonts w:hAnsi="宋体"/>
          <w:sz w:val="62"/>
          <w:szCs w:val="84"/>
        </w:rPr>
      </w:pPr>
    </w:p>
    <w:p>
      <w:pPr>
        <w:pStyle w:val="23"/>
        <w:adjustRightInd w:val="0"/>
        <w:snapToGrid w:val="0"/>
        <w:spacing w:line="360" w:lineRule="auto"/>
        <w:jc w:val="center"/>
        <w:rPr>
          <w:rFonts w:hAnsi="宋体"/>
          <w:sz w:val="62"/>
          <w:szCs w:val="84"/>
        </w:rPr>
      </w:pPr>
    </w:p>
    <w:p>
      <w:pPr>
        <w:pStyle w:val="23"/>
        <w:adjustRightInd w:val="0"/>
        <w:snapToGrid w:val="0"/>
        <w:spacing w:line="360" w:lineRule="auto"/>
        <w:jc w:val="center"/>
        <w:rPr>
          <w:rFonts w:hAnsi="宋体"/>
          <w:sz w:val="62"/>
          <w:szCs w:val="84"/>
        </w:rPr>
      </w:pPr>
      <w:r>
        <w:rPr>
          <w:rFonts w:hint="eastAsia" w:hAnsi="宋体"/>
          <w:sz w:val="62"/>
          <w:szCs w:val="84"/>
        </w:rPr>
        <w:t>单一来源采购文件</w:t>
      </w:r>
    </w:p>
    <w:p>
      <w:pPr>
        <w:pStyle w:val="23"/>
        <w:adjustRightInd w:val="0"/>
        <w:snapToGrid w:val="0"/>
        <w:spacing w:before="156" w:beforeLines="50" w:line="360" w:lineRule="auto"/>
        <w:jc w:val="center"/>
        <w:rPr>
          <w:rFonts w:hAnsi="宋体"/>
          <w:sz w:val="32"/>
          <w:szCs w:val="32"/>
        </w:rPr>
      </w:pPr>
    </w:p>
    <w:p>
      <w:pPr>
        <w:pStyle w:val="23"/>
        <w:adjustRightInd w:val="0"/>
        <w:snapToGrid w:val="0"/>
        <w:spacing w:before="156" w:beforeLines="50" w:line="360" w:lineRule="auto"/>
        <w:jc w:val="center"/>
        <w:rPr>
          <w:rFonts w:hAnsi="宋体"/>
          <w:sz w:val="32"/>
          <w:szCs w:val="32"/>
        </w:rPr>
      </w:pPr>
    </w:p>
    <w:p>
      <w:pPr>
        <w:pStyle w:val="23"/>
        <w:adjustRightInd w:val="0"/>
        <w:snapToGrid w:val="0"/>
        <w:spacing w:line="360" w:lineRule="auto"/>
        <w:ind w:firstLine="3" w:firstLineChars="1"/>
        <w:jc w:val="center"/>
        <w:rPr>
          <w:rFonts w:hAnsi="宋体"/>
          <w:sz w:val="32"/>
          <w:szCs w:val="32"/>
        </w:rPr>
      </w:pPr>
    </w:p>
    <w:p>
      <w:pPr>
        <w:pStyle w:val="23"/>
        <w:adjustRightInd w:val="0"/>
        <w:snapToGrid w:val="0"/>
        <w:spacing w:line="360" w:lineRule="auto"/>
        <w:ind w:firstLine="3" w:firstLineChars="1"/>
        <w:jc w:val="center"/>
        <w:rPr>
          <w:rFonts w:hAnsi="宋体"/>
          <w:sz w:val="32"/>
          <w:szCs w:val="32"/>
        </w:rPr>
      </w:pPr>
    </w:p>
    <w:p>
      <w:pPr>
        <w:pStyle w:val="23"/>
        <w:keepNext w:val="0"/>
        <w:keepLines w:val="0"/>
        <w:pageBreakBefore w:val="0"/>
        <w:widowControl w:val="0"/>
        <w:kinsoku/>
        <w:wordWrap/>
        <w:overflowPunct/>
        <w:topLinePunct w:val="0"/>
        <w:autoSpaceDE/>
        <w:autoSpaceDN/>
        <w:bidi w:val="0"/>
        <w:adjustRightInd w:val="0"/>
        <w:snapToGrid w:val="0"/>
        <w:spacing w:line="360" w:lineRule="auto"/>
        <w:ind w:left="1680" w:leftChars="800"/>
        <w:jc w:val="left"/>
        <w:textAlignment w:val="auto"/>
        <w:rPr>
          <w:rFonts w:hint="eastAsia" w:hAnsi="宋体" w:eastAsia="宋体"/>
          <w:b/>
          <w:sz w:val="30"/>
          <w:szCs w:val="30"/>
          <w:lang w:eastAsia="zh-CN"/>
        </w:rPr>
      </w:pPr>
      <w:r>
        <w:rPr>
          <w:rFonts w:hint="eastAsia" w:hAnsi="宋体"/>
          <w:b/>
          <w:sz w:val="30"/>
          <w:szCs w:val="30"/>
        </w:rPr>
        <w:t>采 购 人：</w:t>
      </w:r>
      <w:r>
        <w:rPr>
          <w:rFonts w:hint="eastAsia" w:hAnsi="宋体"/>
          <w:b/>
          <w:sz w:val="30"/>
          <w:szCs w:val="30"/>
          <w:lang w:eastAsia="zh-CN"/>
        </w:rPr>
        <w:t>新疆维吾尔自治区公安厅</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680" w:leftChars="800"/>
        <w:jc w:val="left"/>
        <w:textAlignment w:val="auto"/>
        <w:rPr>
          <w:rFonts w:hint="eastAsia" w:hAnsi="宋体" w:eastAsia="宋体"/>
          <w:b/>
          <w:sz w:val="30"/>
          <w:szCs w:val="30"/>
          <w:lang w:eastAsia="zh-CN"/>
        </w:rPr>
      </w:pPr>
      <w:r>
        <w:rPr>
          <w:rFonts w:hint="eastAsia" w:hAnsi="宋体"/>
          <w:b/>
          <w:sz w:val="30"/>
          <w:szCs w:val="30"/>
          <w:lang w:eastAsia="zh-CN"/>
        </w:rPr>
        <w:t>采购代理机构:新疆西北招标有限公司</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680" w:leftChars="800"/>
        <w:jc w:val="left"/>
        <w:textAlignment w:val="auto"/>
        <w:rPr>
          <w:rFonts w:hint="eastAsia" w:hAnsi="宋体" w:eastAsia="宋体"/>
          <w:b/>
          <w:sz w:val="30"/>
          <w:szCs w:val="30"/>
          <w:lang w:eastAsia="zh-CN"/>
        </w:rPr>
      </w:pPr>
      <w:r>
        <w:rPr>
          <w:rFonts w:hint="eastAsia" w:hAnsi="宋体"/>
          <w:b/>
          <w:sz w:val="30"/>
          <w:szCs w:val="30"/>
        </w:rPr>
        <w:t>采购内容：</w:t>
      </w:r>
      <w:r>
        <w:rPr>
          <w:rFonts w:hint="eastAsia" w:hAnsi="宋体"/>
          <w:b/>
          <w:sz w:val="30"/>
          <w:szCs w:val="30"/>
          <w:lang w:eastAsia="zh-CN"/>
        </w:rPr>
        <w:t>交管12123语音平台坐席服务续租</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680" w:leftChars="800"/>
        <w:jc w:val="left"/>
        <w:textAlignment w:val="auto"/>
        <w:rPr>
          <w:rFonts w:hint="eastAsia" w:hAnsi="宋体" w:eastAsia="宋体"/>
          <w:b/>
          <w:sz w:val="30"/>
          <w:szCs w:val="30"/>
          <w:lang w:eastAsia="zh-CN"/>
        </w:rPr>
      </w:pPr>
      <w:r>
        <w:rPr>
          <w:rFonts w:hint="eastAsia" w:hAnsi="宋体"/>
          <w:b/>
          <w:sz w:val="30"/>
          <w:szCs w:val="30"/>
          <w:lang w:eastAsia="zh-CN"/>
        </w:rPr>
        <w:t>项目编号：2022-XBZC-01129</w:t>
      </w:r>
    </w:p>
    <w:p>
      <w:pPr>
        <w:pStyle w:val="23"/>
        <w:adjustRightInd w:val="0"/>
        <w:snapToGrid w:val="0"/>
        <w:spacing w:line="360" w:lineRule="auto"/>
        <w:jc w:val="center"/>
        <w:rPr>
          <w:rFonts w:hAnsi="宋体"/>
          <w:b/>
          <w:sz w:val="30"/>
          <w:szCs w:val="30"/>
        </w:rPr>
      </w:pPr>
    </w:p>
    <w:p>
      <w:pPr>
        <w:pStyle w:val="23"/>
        <w:adjustRightInd w:val="0"/>
        <w:snapToGrid w:val="0"/>
        <w:spacing w:line="360" w:lineRule="auto"/>
        <w:jc w:val="center"/>
        <w:rPr>
          <w:rFonts w:ascii="方正小标宋_GBK" w:hAnsi="宋体" w:eastAsia="方正小标宋_GBK"/>
          <w:spacing w:val="160"/>
          <w:sz w:val="36"/>
          <w:szCs w:val="36"/>
        </w:rPr>
      </w:pPr>
      <w:r>
        <w:rPr>
          <w:rFonts w:hAnsi="宋体"/>
          <w:b/>
          <w:sz w:val="30"/>
          <w:szCs w:val="30"/>
        </w:rPr>
        <w:br w:type="page"/>
      </w:r>
      <w:r>
        <w:rPr>
          <w:rFonts w:hint="eastAsia" w:ascii="方正小标宋_GBK" w:hAnsi="宋体" w:eastAsia="方正小标宋_GBK"/>
          <w:spacing w:val="160"/>
          <w:sz w:val="36"/>
          <w:szCs w:val="36"/>
        </w:rPr>
        <w:t>目录</w:t>
      </w:r>
    </w:p>
    <w:p>
      <w:pPr>
        <w:pStyle w:val="23"/>
        <w:adjustRightInd w:val="0"/>
        <w:snapToGrid w:val="0"/>
        <w:spacing w:line="360" w:lineRule="auto"/>
        <w:rPr>
          <w:rFonts w:hAnsi="宋体"/>
          <w:b/>
          <w:sz w:val="24"/>
          <w:szCs w:val="24"/>
        </w:rPr>
      </w:pPr>
    </w:p>
    <w:p>
      <w:pPr>
        <w:pStyle w:val="30"/>
        <w:tabs>
          <w:tab w:val="right" w:leader="dot" w:pos="9746"/>
          <w:tab w:val="clear" w:pos="8630"/>
        </w:tabs>
      </w:pPr>
      <w:r>
        <w:rPr>
          <w:rFonts w:ascii="宋体" w:hAnsi="宋体" w:cs="Courier New"/>
          <w:sz w:val="24"/>
        </w:rPr>
        <w:fldChar w:fldCharType="begin"/>
      </w:r>
      <w:r>
        <w:rPr>
          <w:rFonts w:ascii="宋体" w:hAnsi="宋体" w:cs="Courier New"/>
          <w:sz w:val="24"/>
        </w:rPr>
        <w:instrText xml:space="preserve"> </w:instrText>
      </w:r>
      <w:r>
        <w:rPr>
          <w:rFonts w:hint="eastAsia" w:ascii="宋体" w:hAnsi="宋体" w:cs="Courier New"/>
          <w:sz w:val="24"/>
        </w:rPr>
        <w:instrText xml:space="preserve">TOC \o "1-3" \h \z \u</w:instrText>
      </w:r>
      <w:r>
        <w:rPr>
          <w:rFonts w:ascii="宋体" w:hAnsi="宋体" w:cs="Courier New"/>
          <w:sz w:val="24"/>
        </w:rPr>
        <w:instrText xml:space="preserve"> </w:instrText>
      </w:r>
      <w:r>
        <w:rPr>
          <w:rFonts w:ascii="宋体" w:hAnsi="宋体" w:cs="Courier New"/>
          <w:sz w:val="24"/>
        </w:rPr>
        <w:fldChar w:fldCharType="separate"/>
      </w:r>
      <w:r>
        <w:rPr>
          <w:rFonts w:ascii="宋体" w:hAnsi="宋体" w:cs="Courier New"/>
        </w:rPr>
        <w:fldChar w:fldCharType="begin"/>
      </w:r>
      <w:r>
        <w:rPr>
          <w:rFonts w:ascii="宋体" w:hAnsi="宋体" w:cs="Courier New"/>
        </w:rPr>
        <w:instrText xml:space="preserve"> HYPERLINK \l _Toc31890 </w:instrText>
      </w:r>
      <w:r>
        <w:rPr>
          <w:rFonts w:ascii="宋体" w:hAnsi="宋体" w:cs="Courier New"/>
        </w:rPr>
        <w:fldChar w:fldCharType="separate"/>
      </w:r>
      <w:r>
        <w:rPr>
          <w:rFonts w:hint="eastAsia"/>
        </w:rPr>
        <w:t>第一章 协商通知</w:t>
      </w:r>
      <w:r>
        <w:tab/>
      </w:r>
      <w:r>
        <w:fldChar w:fldCharType="begin"/>
      </w:r>
      <w:r>
        <w:instrText xml:space="preserve"> PAGEREF _Toc31890 </w:instrText>
      </w:r>
      <w:r>
        <w:fldChar w:fldCharType="separate"/>
      </w:r>
      <w:r>
        <w:t>1</w:t>
      </w:r>
      <w:r>
        <w:fldChar w:fldCharType="end"/>
      </w:r>
      <w:r>
        <w:rPr>
          <w:rFonts w:ascii="宋体" w:hAnsi="宋体" w:cs="Courier New"/>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_Toc4655 </w:instrText>
      </w:r>
      <w:r>
        <w:rPr>
          <w:rFonts w:ascii="宋体" w:hAnsi="宋体"/>
        </w:rPr>
        <w:fldChar w:fldCharType="separate"/>
      </w:r>
      <w:r>
        <w:rPr>
          <w:rFonts w:hint="eastAsia" w:ascii="宋体" w:hAnsi="宋体" w:cs="宋体"/>
          <w:szCs w:val="24"/>
        </w:rPr>
        <w:t>一、项目基本情况</w:t>
      </w:r>
      <w:r>
        <w:tab/>
      </w:r>
      <w:r>
        <w:fldChar w:fldCharType="begin"/>
      </w:r>
      <w:r>
        <w:instrText xml:space="preserve"> PAGEREF _Toc4655 </w:instrText>
      </w:r>
      <w:r>
        <w:fldChar w:fldCharType="separate"/>
      </w:r>
      <w:r>
        <w:t>1</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_Toc29401 </w:instrText>
      </w:r>
      <w:r>
        <w:rPr>
          <w:rFonts w:ascii="宋体" w:hAnsi="宋体"/>
        </w:rPr>
        <w:fldChar w:fldCharType="separate"/>
      </w:r>
      <w:r>
        <w:rPr>
          <w:rFonts w:hint="eastAsia" w:ascii="宋体" w:hAnsi="宋体" w:cs="宋体"/>
          <w:szCs w:val="24"/>
        </w:rPr>
        <w:t>二、申请人的资格要求</w:t>
      </w:r>
      <w:r>
        <w:tab/>
      </w:r>
      <w:r>
        <w:fldChar w:fldCharType="begin"/>
      </w:r>
      <w:r>
        <w:instrText xml:space="preserve"> PAGEREF _Toc29401 </w:instrText>
      </w:r>
      <w:r>
        <w:fldChar w:fldCharType="separate"/>
      </w:r>
      <w:r>
        <w:t>1</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_Toc3659 </w:instrText>
      </w:r>
      <w:r>
        <w:rPr>
          <w:rFonts w:ascii="宋体" w:hAnsi="宋体"/>
        </w:rPr>
        <w:fldChar w:fldCharType="separate"/>
      </w:r>
      <w:r>
        <w:rPr>
          <w:rFonts w:hint="eastAsia" w:ascii="宋体" w:hAnsi="宋体" w:cs="宋体"/>
          <w:szCs w:val="24"/>
        </w:rPr>
        <w:t>三、获取采购文件</w:t>
      </w:r>
      <w:r>
        <w:tab/>
      </w:r>
      <w:r>
        <w:fldChar w:fldCharType="begin"/>
      </w:r>
      <w:r>
        <w:instrText xml:space="preserve"> PAGEREF _Toc3659 </w:instrText>
      </w:r>
      <w:r>
        <w:fldChar w:fldCharType="separate"/>
      </w:r>
      <w:r>
        <w:t>1</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_Toc24018 </w:instrText>
      </w:r>
      <w:r>
        <w:rPr>
          <w:rFonts w:ascii="宋体" w:hAnsi="宋体"/>
        </w:rPr>
        <w:fldChar w:fldCharType="separate"/>
      </w:r>
      <w:r>
        <w:rPr>
          <w:rFonts w:hint="eastAsia" w:ascii="宋体" w:hAnsi="宋体" w:cs="宋体"/>
          <w:szCs w:val="24"/>
        </w:rPr>
        <w:t>四、响应文件提交</w:t>
      </w:r>
      <w:r>
        <w:tab/>
      </w:r>
      <w:r>
        <w:fldChar w:fldCharType="begin"/>
      </w:r>
      <w:r>
        <w:instrText xml:space="preserve"> PAGEREF _Toc24018 </w:instrText>
      </w:r>
      <w:r>
        <w:fldChar w:fldCharType="separate"/>
      </w:r>
      <w:r>
        <w:t>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_Toc15125 </w:instrText>
      </w:r>
      <w:r>
        <w:rPr>
          <w:rFonts w:ascii="宋体" w:hAnsi="宋体"/>
        </w:rPr>
        <w:fldChar w:fldCharType="separate"/>
      </w:r>
      <w:r>
        <w:rPr>
          <w:rFonts w:hint="eastAsia" w:ascii="宋体" w:hAnsi="宋体" w:cs="宋体"/>
          <w:szCs w:val="24"/>
        </w:rPr>
        <w:t>五、开启</w:t>
      </w:r>
      <w:r>
        <w:tab/>
      </w:r>
      <w:r>
        <w:fldChar w:fldCharType="begin"/>
      </w:r>
      <w:r>
        <w:instrText xml:space="preserve"> PAGEREF _Toc15125 </w:instrText>
      </w:r>
      <w:r>
        <w:fldChar w:fldCharType="separate"/>
      </w:r>
      <w:r>
        <w:t>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_Toc27511 </w:instrText>
      </w:r>
      <w:r>
        <w:rPr>
          <w:rFonts w:ascii="宋体" w:hAnsi="宋体"/>
        </w:rPr>
        <w:fldChar w:fldCharType="separate"/>
      </w:r>
      <w:r>
        <w:rPr>
          <w:rFonts w:hint="eastAsia" w:ascii="宋体" w:hAnsi="宋体" w:cs="宋体"/>
          <w:szCs w:val="24"/>
        </w:rPr>
        <w:t>六、其他补充事宜</w:t>
      </w:r>
      <w:r>
        <w:tab/>
      </w:r>
      <w:r>
        <w:fldChar w:fldCharType="begin"/>
      </w:r>
      <w:r>
        <w:instrText xml:space="preserve"> PAGEREF _Toc27511 </w:instrText>
      </w:r>
      <w:r>
        <w:fldChar w:fldCharType="separate"/>
      </w:r>
      <w:r>
        <w:t>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_Toc16065 </w:instrText>
      </w:r>
      <w:r>
        <w:rPr>
          <w:rFonts w:ascii="宋体" w:hAnsi="宋体"/>
        </w:rPr>
        <w:fldChar w:fldCharType="separate"/>
      </w:r>
      <w:r>
        <w:rPr>
          <w:rFonts w:hint="eastAsia" w:ascii="宋体" w:hAnsi="宋体" w:cs="宋体"/>
          <w:szCs w:val="24"/>
        </w:rPr>
        <w:t>七、凡对本次采购提出询问，请按</w:t>
      </w:r>
      <w:r>
        <w:rPr>
          <w:rFonts w:ascii="宋体" w:hAnsi="宋体" w:cs="宋体"/>
          <w:szCs w:val="24"/>
        </w:rPr>
        <w:t>以下方式</w:t>
      </w:r>
      <w:r>
        <w:rPr>
          <w:rFonts w:hint="eastAsia" w:ascii="宋体" w:hAnsi="宋体" w:cs="宋体"/>
          <w:szCs w:val="24"/>
        </w:rPr>
        <w:t>联系</w:t>
      </w:r>
      <w:r>
        <w:tab/>
      </w:r>
      <w:r>
        <w:fldChar w:fldCharType="begin"/>
      </w:r>
      <w:r>
        <w:instrText xml:space="preserve"> PAGEREF _Toc16065 </w:instrText>
      </w:r>
      <w:r>
        <w:fldChar w:fldCharType="separate"/>
      </w:r>
      <w:r>
        <w:t>2</w:t>
      </w:r>
      <w:r>
        <w:fldChar w:fldCharType="end"/>
      </w:r>
      <w:r>
        <w:rPr>
          <w:rFonts w:ascii="宋体" w:hAnsi="宋体"/>
        </w:rPr>
        <w:fldChar w:fldCharType="end"/>
      </w:r>
    </w:p>
    <w:p>
      <w:pPr>
        <w:pStyle w:val="30"/>
        <w:tabs>
          <w:tab w:val="right" w:leader="dot" w:pos="9746"/>
          <w:tab w:val="clear" w:pos="8630"/>
        </w:tabs>
      </w:pPr>
      <w:r>
        <w:rPr>
          <w:rFonts w:ascii="宋体" w:hAnsi="宋体"/>
        </w:rPr>
        <w:fldChar w:fldCharType="begin"/>
      </w:r>
      <w:r>
        <w:rPr>
          <w:rFonts w:ascii="宋体" w:hAnsi="宋体"/>
        </w:rPr>
        <w:instrText xml:space="preserve"> HYPERLINK \l _Toc8387 </w:instrText>
      </w:r>
      <w:r>
        <w:rPr>
          <w:rFonts w:ascii="宋体" w:hAnsi="宋体"/>
        </w:rPr>
        <w:fldChar w:fldCharType="separate"/>
      </w:r>
      <w:r>
        <w:rPr>
          <w:rFonts w:hint="eastAsia"/>
        </w:rPr>
        <w:t>第二章 协商须知</w:t>
      </w:r>
      <w:r>
        <w:tab/>
      </w:r>
      <w:r>
        <w:fldChar w:fldCharType="begin"/>
      </w:r>
      <w:r>
        <w:instrText xml:space="preserve"> PAGEREF _Toc8387 </w:instrText>
      </w:r>
      <w:r>
        <w:fldChar w:fldCharType="separate"/>
      </w:r>
      <w:r>
        <w:t>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_Toc2961 </w:instrText>
      </w:r>
      <w:r>
        <w:rPr>
          <w:rFonts w:ascii="宋体" w:hAnsi="宋体"/>
        </w:rPr>
        <w:fldChar w:fldCharType="separate"/>
      </w:r>
      <w:r>
        <w:rPr>
          <w:rFonts w:hint="eastAsia"/>
        </w:rPr>
        <w:t>协商须知前附表</w:t>
      </w:r>
      <w:r>
        <w:tab/>
      </w:r>
      <w:r>
        <w:fldChar w:fldCharType="begin"/>
      </w:r>
      <w:r>
        <w:instrText xml:space="preserve"> PAGEREF _Toc2961 </w:instrText>
      </w:r>
      <w:r>
        <w:fldChar w:fldCharType="separate"/>
      </w:r>
      <w:r>
        <w:t>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_Toc27481 </w:instrText>
      </w:r>
      <w:r>
        <w:rPr>
          <w:rFonts w:ascii="宋体" w:hAnsi="宋体"/>
        </w:rPr>
        <w:fldChar w:fldCharType="separate"/>
      </w:r>
      <w:r>
        <w:rPr>
          <w:rFonts w:hint="eastAsia"/>
        </w:rPr>
        <w:t>协商须知正文</w:t>
      </w:r>
      <w:r>
        <w:tab/>
      </w:r>
      <w:r>
        <w:fldChar w:fldCharType="begin"/>
      </w:r>
      <w:r>
        <w:instrText xml:space="preserve"> PAGEREF _Toc27481 </w:instrText>
      </w:r>
      <w:r>
        <w:fldChar w:fldCharType="separate"/>
      </w:r>
      <w:r>
        <w:t>5</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_Toc13147 </w:instrText>
      </w:r>
      <w:r>
        <w:rPr>
          <w:rFonts w:ascii="宋体" w:hAnsi="宋体"/>
        </w:rPr>
        <w:fldChar w:fldCharType="separate"/>
      </w:r>
      <w:r>
        <w:rPr>
          <w:rFonts w:hint="eastAsia"/>
        </w:rPr>
        <w:t>一、说明</w:t>
      </w:r>
      <w:r>
        <w:tab/>
      </w:r>
      <w:r>
        <w:fldChar w:fldCharType="begin"/>
      </w:r>
      <w:r>
        <w:instrText xml:space="preserve"> PAGEREF _Toc13147 </w:instrText>
      </w:r>
      <w:r>
        <w:fldChar w:fldCharType="separate"/>
      </w:r>
      <w:r>
        <w:t>5</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_Toc3440 </w:instrText>
      </w:r>
      <w:r>
        <w:rPr>
          <w:rFonts w:ascii="宋体" w:hAnsi="宋体"/>
        </w:rPr>
        <w:fldChar w:fldCharType="separate"/>
      </w:r>
      <w:r>
        <w:rPr>
          <w:rFonts w:hint="eastAsia"/>
        </w:rPr>
        <w:t>二、单一来源采购文件</w:t>
      </w:r>
      <w:r>
        <w:tab/>
      </w:r>
      <w:r>
        <w:fldChar w:fldCharType="begin"/>
      </w:r>
      <w:r>
        <w:instrText xml:space="preserve"> PAGEREF _Toc3440 </w:instrText>
      </w:r>
      <w:r>
        <w:fldChar w:fldCharType="separate"/>
      </w:r>
      <w:r>
        <w:t>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_Toc28753 </w:instrText>
      </w:r>
      <w:r>
        <w:rPr>
          <w:rFonts w:ascii="宋体" w:hAnsi="宋体"/>
        </w:rPr>
        <w:fldChar w:fldCharType="separate"/>
      </w:r>
      <w:r>
        <w:rPr>
          <w:rFonts w:hint="eastAsia"/>
        </w:rPr>
        <w:t>三、响应文件的编写</w:t>
      </w:r>
      <w:r>
        <w:tab/>
      </w:r>
      <w:r>
        <w:fldChar w:fldCharType="begin"/>
      </w:r>
      <w:r>
        <w:instrText xml:space="preserve"> PAGEREF _Toc28753 </w:instrText>
      </w:r>
      <w:r>
        <w:fldChar w:fldCharType="separate"/>
      </w:r>
      <w:r>
        <w:t>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_Toc7682 </w:instrText>
      </w:r>
      <w:r>
        <w:rPr>
          <w:rFonts w:ascii="宋体" w:hAnsi="宋体"/>
        </w:rPr>
        <w:fldChar w:fldCharType="separate"/>
      </w:r>
      <w:r>
        <w:rPr>
          <w:rFonts w:hint="eastAsia"/>
        </w:rPr>
        <w:t>四、响应文件的递交</w:t>
      </w:r>
      <w:r>
        <w:tab/>
      </w:r>
      <w:r>
        <w:fldChar w:fldCharType="begin"/>
      </w:r>
      <w:r>
        <w:instrText xml:space="preserve"> PAGEREF _Toc7682 </w:instrText>
      </w:r>
      <w:r>
        <w:fldChar w:fldCharType="separate"/>
      </w:r>
      <w:r>
        <w:t>7</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_Toc21732 </w:instrText>
      </w:r>
      <w:r>
        <w:rPr>
          <w:rFonts w:ascii="宋体" w:hAnsi="宋体"/>
        </w:rPr>
        <w:fldChar w:fldCharType="separate"/>
      </w:r>
      <w:r>
        <w:rPr>
          <w:rFonts w:hint="eastAsia"/>
        </w:rPr>
        <w:t>五、协商采购</w:t>
      </w:r>
      <w:r>
        <w:tab/>
      </w:r>
      <w:r>
        <w:fldChar w:fldCharType="begin"/>
      </w:r>
      <w:r>
        <w:instrText xml:space="preserve"> PAGEREF _Toc21732 </w:instrText>
      </w:r>
      <w:r>
        <w:fldChar w:fldCharType="separate"/>
      </w:r>
      <w:r>
        <w:t>8</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_Toc26512 </w:instrText>
      </w:r>
      <w:r>
        <w:rPr>
          <w:rFonts w:ascii="宋体" w:hAnsi="宋体"/>
        </w:rPr>
        <w:fldChar w:fldCharType="separate"/>
      </w:r>
      <w:r>
        <w:rPr>
          <w:rFonts w:hint="eastAsia"/>
        </w:rPr>
        <w:t>六、成交结果信息公布与授予合同</w:t>
      </w:r>
      <w:r>
        <w:tab/>
      </w:r>
      <w:r>
        <w:fldChar w:fldCharType="begin"/>
      </w:r>
      <w:r>
        <w:instrText xml:space="preserve"> PAGEREF _Toc26512 </w:instrText>
      </w:r>
      <w:r>
        <w:fldChar w:fldCharType="separate"/>
      </w:r>
      <w:r>
        <w:t>10</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_Toc25601 </w:instrText>
      </w:r>
      <w:r>
        <w:rPr>
          <w:rFonts w:ascii="宋体" w:hAnsi="宋体"/>
        </w:rPr>
        <w:fldChar w:fldCharType="separate"/>
      </w:r>
      <w:r>
        <w:rPr>
          <w:rFonts w:hint="eastAsia"/>
        </w:rPr>
        <w:t>七、其他规定</w:t>
      </w:r>
      <w:r>
        <w:tab/>
      </w:r>
      <w:r>
        <w:fldChar w:fldCharType="begin"/>
      </w:r>
      <w:r>
        <w:instrText xml:space="preserve"> PAGEREF _Toc25601 </w:instrText>
      </w:r>
      <w:r>
        <w:fldChar w:fldCharType="separate"/>
      </w:r>
      <w:r>
        <w:t>11</w:t>
      </w:r>
      <w:r>
        <w:fldChar w:fldCharType="end"/>
      </w:r>
      <w:r>
        <w:rPr>
          <w:rFonts w:ascii="宋体" w:hAnsi="宋体"/>
        </w:rPr>
        <w:fldChar w:fldCharType="end"/>
      </w:r>
    </w:p>
    <w:p>
      <w:pPr>
        <w:pStyle w:val="30"/>
        <w:tabs>
          <w:tab w:val="right" w:leader="dot" w:pos="9746"/>
          <w:tab w:val="clear" w:pos="8630"/>
        </w:tabs>
      </w:pPr>
      <w:r>
        <w:rPr>
          <w:rFonts w:ascii="宋体" w:hAnsi="宋体"/>
        </w:rPr>
        <w:fldChar w:fldCharType="begin"/>
      </w:r>
      <w:r>
        <w:rPr>
          <w:rFonts w:ascii="宋体" w:hAnsi="宋体"/>
        </w:rPr>
        <w:instrText xml:space="preserve"> HYPERLINK \l _Toc513 </w:instrText>
      </w:r>
      <w:r>
        <w:rPr>
          <w:rFonts w:ascii="宋体" w:hAnsi="宋体"/>
        </w:rPr>
        <w:fldChar w:fldCharType="separate"/>
      </w:r>
      <w:r>
        <w:rPr>
          <w:rFonts w:hint="eastAsia" w:ascii="宋体" w:hAnsi="宋体"/>
        </w:rPr>
        <w:t>第三章  政府采购合同格式</w:t>
      </w:r>
      <w:r>
        <w:tab/>
      </w:r>
      <w:r>
        <w:fldChar w:fldCharType="begin"/>
      </w:r>
      <w:r>
        <w:instrText xml:space="preserve"> PAGEREF _Toc513 </w:instrText>
      </w:r>
      <w:r>
        <w:fldChar w:fldCharType="separate"/>
      </w:r>
      <w:r>
        <w:t>12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_Toc7160 </w:instrText>
      </w:r>
      <w:r>
        <w:rPr>
          <w:rFonts w:ascii="宋体" w:hAnsi="宋体"/>
        </w:rPr>
        <w:fldChar w:fldCharType="separate"/>
      </w:r>
      <w:r>
        <w:rPr>
          <w:rFonts w:hint="eastAsia" w:ascii="宋体" w:hAnsi="宋体"/>
        </w:rPr>
        <w:t>一</w:t>
      </w:r>
      <w:r>
        <w:rPr>
          <w:rFonts w:ascii="宋体" w:hAnsi="宋体"/>
        </w:rPr>
        <w:t>、定义</w:t>
      </w:r>
      <w:r>
        <w:tab/>
      </w:r>
      <w:r>
        <w:fldChar w:fldCharType="begin"/>
      </w:r>
      <w:r>
        <w:instrText xml:space="preserve"> PAGEREF _Toc7160 </w:instrText>
      </w:r>
      <w:r>
        <w:fldChar w:fldCharType="separate"/>
      </w:r>
      <w:r>
        <w:t>12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_Toc10331 </w:instrText>
      </w:r>
      <w:r>
        <w:rPr>
          <w:rFonts w:ascii="宋体" w:hAnsi="宋体"/>
        </w:rPr>
        <w:fldChar w:fldCharType="separate"/>
      </w:r>
      <w:r>
        <w:rPr>
          <w:rFonts w:hint="eastAsia" w:ascii="宋体" w:hAnsi="宋体"/>
        </w:rPr>
        <w:t>二、合同文件构成及优先顺序</w:t>
      </w:r>
      <w:r>
        <w:tab/>
      </w:r>
      <w:r>
        <w:fldChar w:fldCharType="begin"/>
      </w:r>
      <w:r>
        <w:instrText xml:space="preserve"> PAGEREF _Toc10331 </w:instrText>
      </w:r>
      <w:r>
        <w:fldChar w:fldCharType="separate"/>
      </w:r>
      <w:r>
        <w:t>13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_Toc4554 </w:instrText>
      </w:r>
      <w:r>
        <w:rPr>
          <w:rFonts w:ascii="宋体" w:hAnsi="宋体"/>
        </w:rPr>
        <w:fldChar w:fldCharType="separate"/>
      </w:r>
      <w:r>
        <w:rPr>
          <w:rFonts w:hint="eastAsia" w:ascii="宋体" w:hAnsi="宋体"/>
        </w:rPr>
        <w:t>三</w:t>
      </w:r>
      <w:r>
        <w:rPr>
          <w:rFonts w:ascii="宋体" w:hAnsi="宋体"/>
        </w:rPr>
        <w:t>、服务内容</w:t>
      </w:r>
      <w:r>
        <w:rPr>
          <w:rFonts w:hint="eastAsia" w:ascii="宋体" w:hAnsi="宋体"/>
        </w:rPr>
        <w:t>与</w:t>
      </w:r>
      <w:r>
        <w:rPr>
          <w:rFonts w:ascii="宋体" w:hAnsi="宋体"/>
        </w:rPr>
        <w:t>范围</w:t>
      </w:r>
      <w:r>
        <w:tab/>
      </w:r>
      <w:r>
        <w:fldChar w:fldCharType="begin"/>
      </w:r>
      <w:r>
        <w:instrText xml:space="preserve"> PAGEREF _Toc4554 </w:instrText>
      </w:r>
      <w:r>
        <w:fldChar w:fldCharType="separate"/>
      </w:r>
      <w:r>
        <w:t>13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_Toc4459 </w:instrText>
      </w:r>
      <w:r>
        <w:rPr>
          <w:rFonts w:ascii="宋体" w:hAnsi="宋体"/>
        </w:rPr>
        <w:fldChar w:fldCharType="separate"/>
      </w:r>
      <w:r>
        <w:rPr>
          <w:rFonts w:hint="eastAsia" w:ascii="宋体" w:hAnsi="宋体"/>
        </w:rPr>
        <w:t>四</w:t>
      </w:r>
      <w:r>
        <w:rPr>
          <w:rFonts w:ascii="宋体" w:hAnsi="宋体"/>
        </w:rPr>
        <w:t>、</w:t>
      </w:r>
      <w:r>
        <w:rPr>
          <w:rFonts w:hint="eastAsia" w:ascii="宋体" w:hAnsi="宋体"/>
        </w:rPr>
        <w:t>服务</w:t>
      </w:r>
      <w:r>
        <w:rPr>
          <w:rFonts w:ascii="宋体" w:hAnsi="宋体"/>
        </w:rPr>
        <w:t>期限</w:t>
      </w:r>
      <w:r>
        <w:tab/>
      </w:r>
      <w:r>
        <w:fldChar w:fldCharType="begin"/>
      </w:r>
      <w:r>
        <w:instrText xml:space="preserve"> PAGEREF _Toc4459 </w:instrText>
      </w:r>
      <w:r>
        <w:fldChar w:fldCharType="separate"/>
      </w:r>
      <w:r>
        <w:t>13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_Toc26543 </w:instrText>
      </w:r>
      <w:r>
        <w:rPr>
          <w:rFonts w:ascii="宋体" w:hAnsi="宋体"/>
        </w:rPr>
        <w:fldChar w:fldCharType="separate"/>
      </w:r>
      <w:r>
        <w:rPr>
          <w:rFonts w:hint="eastAsia" w:ascii="宋体" w:hAnsi="宋体"/>
        </w:rPr>
        <w:t>五、</w:t>
      </w:r>
      <w:r>
        <w:rPr>
          <w:rFonts w:ascii="宋体" w:hAnsi="宋体"/>
        </w:rPr>
        <w:t>服务费用</w:t>
      </w:r>
      <w:r>
        <w:rPr>
          <w:rFonts w:hint="eastAsia" w:ascii="宋体" w:hAnsi="宋体"/>
        </w:rPr>
        <w:t>及</w:t>
      </w:r>
      <w:r>
        <w:rPr>
          <w:rFonts w:ascii="宋体" w:hAnsi="宋体"/>
        </w:rPr>
        <w:t>支付</w:t>
      </w:r>
      <w:r>
        <w:tab/>
      </w:r>
      <w:r>
        <w:fldChar w:fldCharType="begin"/>
      </w:r>
      <w:r>
        <w:instrText xml:space="preserve"> PAGEREF _Toc26543 </w:instrText>
      </w:r>
      <w:r>
        <w:fldChar w:fldCharType="separate"/>
      </w:r>
      <w:r>
        <w:t>13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_Toc2716 </w:instrText>
      </w:r>
      <w:r>
        <w:rPr>
          <w:rFonts w:ascii="宋体" w:hAnsi="宋体"/>
        </w:rPr>
        <w:fldChar w:fldCharType="separate"/>
      </w:r>
      <w:r>
        <w:rPr>
          <w:rFonts w:hint="eastAsia" w:ascii="宋体" w:hAnsi="宋体"/>
        </w:rPr>
        <w:t>六</w:t>
      </w:r>
      <w:r>
        <w:rPr>
          <w:rFonts w:ascii="宋体" w:hAnsi="宋体"/>
        </w:rPr>
        <w:t>、</w:t>
      </w:r>
      <w:r>
        <w:rPr>
          <w:rFonts w:hint="eastAsia" w:ascii="宋体" w:hAnsi="宋体"/>
        </w:rPr>
        <w:t>双方</w:t>
      </w:r>
      <w:r>
        <w:rPr>
          <w:rFonts w:ascii="宋体" w:hAnsi="宋体"/>
        </w:rPr>
        <w:t>权利和义务</w:t>
      </w:r>
      <w:r>
        <w:tab/>
      </w:r>
      <w:r>
        <w:fldChar w:fldCharType="begin"/>
      </w:r>
      <w:r>
        <w:instrText xml:space="preserve"> PAGEREF _Toc2716 </w:instrText>
      </w:r>
      <w:r>
        <w:fldChar w:fldCharType="separate"/>
      </w:r>
      <w:r>
        <w:t>14</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_Toc280 </w:instrText>
      </w:r>
      <w:r>
        <w:rPr>
          <w:rFonts w:ascii="宋体" w:hAnsi="宋体"/>
        </w:rPr>
        <w:fldChar w:fldCharType="separate"/>
      </w:r>
      <w:r>
        <w:rPr>
          <w:rFonts w:hint="eastAsia" w:ascii="宋体" w:hAnsi="宋体"/>
        </w:rPr>
        <w:t>（一）甲方</w:t>
      </w:r>
      <w:r>
        <w:rPr>
          <w:rFonts w:ascii="宋体" w:hAnsi="宋体"/>
        </w:rPr>
        <w:t>权利和义务</w:t>
      </w:r>
      <w:r>
        <w:tab/>
      </w:r>
      <w:r>
        <w:fldChar w:fldCharType="begin"/>
      </w:r>
      <w:r>
        <w:instrText xml:space="preserve"> PAGEREF _Toc280 </w:instrText>
      </w:r>
      <w:r>
        <w:fldChar w:fldCharType="separate"/>
      </w:r>
      <w:r>
        <w:t>14</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_Toc20104 </w:instrText>
      </w:r>
      <w:r>
        <w:rPr>
          <w:rFonts w:ascii="宋体" w:hAnsi="宋体"/>
        </w:rPr>
        <w:fldChar w:fldCharType="separate"/>
      </w:r>
      <w:r>
        <w:rPr>
          <w:rFonts w:hint="eastAsia" w:ascii="宋体" w:hAnsi="宋体"/>
        </w:rPr>
        <w:t>（二）乙方</w:t>
      </w:r>
      <w:r>
        <w:rPr>
          <w:rFonts w:ascii="宋体" w:hAnsi="宋体"/>
        </w:rPr>
        <w:t>权利和义务</w:t>
      </w:r>
      <w:r>
        <w:tab/>
      </w:r>
      <w:r>
        <w:fldChar w:fldCharType="begin"/>
      </w:r>
      <w:r>
        <w:instrText xml:space="preserve"> PAGEREF _Toc20104 </w:instrText>
      </w:r>
      <w:r>
        <w:fldChar w:fldCharType="separate"/>
      </w:r>
      <w:r>
        <w:t>15</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_Toc10108 </w:instrText>
      </w:r>
      <w:r>
        <w:rPr>
          <w:rFonts w:ascii="宋体" w:hAnsi="宋体"/>
        </w:rPr>
        <w:fldChar w:fldCharType="separate"/>
      </w:r>
      <w:r>
        <w:rPr>
          <w:rFonts w:hint="eastAsia" w:ascii="宋体" w:hAnsi="宋体"/>
        </w:rPr>
        <w:t>七</w:t>
      </w:r>
      <w:r>
        <w:rPr>
          <w:rFonts w:ascii="宋体" w:hAnsi="宋体"/>
        </w:rPr>
        <w:t>、数据</w:t>
      </w:r>
      <w:r>
        <w:rPr>
          <w:rFonts w:hint="eastAsia" w:ascii="宋体" w:hAnsi="宋体"/>
        </w:rPr>
        <w:t>安全</w:t>
      </w:r>
      <w:r>
        <w:tab/>
      </w:r>
      <w:r>
        <w:fldChar w:fldCharType="begin"/>
      </w:r>
      <w:r>
        <w:instrText xml:space="preserve"> PAGEREF _Toc10108 </w:instrText>
      </w:r>
      <w:r>
        <w:fldChar w:fldCharType="separate"/>
      </w:r>
      <w:r>
        <w:t>16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_Toc7432 </w:instrText>
      </w:r>
      <w:r>
        <w:rPr>
          <w:rFonts w:ascii="宋体" w:hAnsi="宋体"/>
        </w:rPr>
        <w:fldChar w:fldCharType="separate"/>
      </w:r>
      <w:r>
        <w:rPr>
          <w:rFonts w:hint="eastAsia" w:ascii="宋体" w:hAnsi="宋体"/>
        </w:rPr>
        <w:t>八</w:t>
      </w:r>
      <w:r>
        <w:rPr>
          <w:rFonts w:ascii="宋体" w:hAnsi="宋体"/>
        </w:rPr>
        <w:t>、知识产权</w:t>
      </w:r>
      <w:r>
        <w:rPr>
          <w:rFonts w:hint="eastAsia" w:ascii="宋体" w:hAnsi="宋体"/>
        </w:rPr>
        <w:t>与</w:t>
      </w:r>
      <w:r>
        <w:rPr>
          <w:rFonts w:ascii="宋体" w:hAnsi="宋体"/>
        </w:rPr>
        <w:t>保密</w:t>
      </w:r>
      <w:r>
        <w:tab/>
      </w:r>
      <w:r>
        <w:fldChar w:fldCharType="begin"/>
      </w:r>
      <w:r>
        <w:instrText xml:space="preserve"> PAGEREF _Toc7432 </w:instrText>
      </w:r>
      <w:r>
        <w:fldChar w:fldCharType="separate"/>
      </w:r>
      <w:r>
        <w:t>17</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_Toc11937 </w:instrText>
      </w:r>
      <w:r>
        <w:rPr>
          <w:rFonts w:ascii="宋体" w:hAnsi="宋体"/>
        </w:rPr>
        <w:fldChar w:fldCharType="separate"/>
      </w:r>
      <w:r>
        <w:rPr>
          <w:rFonts w:hint="eastAsia" w:ascii="宋体" w:hAnsi="宋体"/>
        </w:rPr>
        <w:t>九、安全保障条款</w:t>
      </w:r>
      <w:r>
        <w:tab/>
      </w:r>
      <w:r>
        <w:fldChar w:fldCharType="begin"/>
      </w:r>
      <w:r>
        <w:instrText xml:space="preserve"> PAGEREF _Toc11937 </w:instrText>
      </w:r>
      <w:r>
        <w:fldChar w:fldCharType="separate"/>
      </w:r>
      <w:r>
        <w:t>17</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_Toc2253 </w:instrText>
      </w:r>
      <w:r>
        <w:rPr>
          <w:rFonts w:ascii="宋体" w:hAnsi="宋体"/>
        </w:rPr>
        <w:fldChar w:fldCharType="separate"/>
      </w:r>
      <w:r>
        <w:rPr>
          <w:rFonts w:hint="eastAsia" w:ascii="宋体" w:hAnsi="宋体"/>
        </w:rPr>
        <w:t>十、诚信条款</w:t>
      </w:r>
      <w:r>
        <w:tab/>
      </w:r>
      <w:r>
        <w:fldChar w:fldCharType="begin"/>
      </w:r>
      <w:r>
        <w:instrText xml:space="preserve"> PAGEREF _Toc2253 </w:instrText>
      </w:r>
      <w:r>
        <w:fldChar w:fldCharType="separate"/>
      </w:r>
      <w:r>
        <w:t>18</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_Toc23636 </w:instrText>
      </w:r>
      <w:r>
        <w:rPr>
          <w:rFonts w:ascii="宋体" w:hAnsi="宋体"/>
        </w:rPr>
        <w:fldChar w:fldCharType="separate"/>
      </w:r>
      <w:r>
        <w:rPr>
          <w:rFonts w:hint="eastAsia" w:ascii="宋体" w:hAnsi="宋体"/>
        </w:rPr>
        <w:t>十一</w:t>
      </w:r>
      <w:r>
        <w:rPr>
          <w:rFonts w:ascii="宋体" w:hAnsi="宋体"/>
        </w:rPr>
        <w:t>、违约</w:t>
      </w:r>
      <w:r>
        <w:rPr>
          <w:rFonts w:hint="eastAsia" w:ascii="宋体" w:hAnsi="宋体"/>
        </w:rPr>
        <w:t>责任</w:t>
      </w:r>
      <w:r>
        <w:tab/>
      </w:r>
      <w:r>
        <w:fldChar w:fldCharType="begin"/>
      </w:r>
      <w:r>
        <w:instrText xml:space="preserve"> PAGEREF _Toc23636 </w:instrText>
      </w:r>
      <w:r>
        <w:fldChar w:fldCharType="separate"/>
      </w:r>
      <w:r>
        <w:t>18</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_Toc20174 </w:instrText>
      </w:r>
      <w:r>
        <w:rPr>
          <w:rFonts w:ascii="宋体" w:hAnsi="宋体"/>
        </w:rPr>
        <w:fldChar w:fldCharType="separate"/>
      </w:r>
      <w:r>
        <w:rPr>
          <w:rFonts w:hint="eastAsia" w:ascii="宋体" w:hAnsi="宋体"/>
        </w:rPr>
        <w:t>十二</w:t>
      </w:r>
      <w:r>
        <w:rPr>
          <w:rFonts w:ascii="宋体" w:hAnsi="宋体"/>
        </w:rPr>
        <w:t>、不可抗力</w:t>
      </w:r>
      <w:r>
        <w:rPr>
          <w:rFonts w:hint="eastAsia" w:ascii="宋体" w:hAnsi="宋体"/>
        </w:rPr>
        <w:t>及</w:t>
      </w:r>
      <w:r>
        <w:rPr>
          <w:rFonts w:ascii="宋体" w:hAnsi="宋体"/>
        </w:rPr>
        <w:t>免责</w:t>
      </w:r>
      <w:r>
        <w:tab/>
      </w:r>
      <w:r>
        <w:fldChar w:fldCharType="begin"/>
      </w:r>
      <w:r>
        <w:instrText xml:space="preserve"> PAGEREF _Toc20174 </w:instrText>
      </w:r>
      <w:r>
        <w:fldChar w:fldCharType="separate"/>
      </w:r>
      <w:r>
        <w:t>19</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_Toc13987 </w:instrText>
      </w:r>
      <w:r>
        <w:rPr>
          <w:rFonts w:ascii="宋体" w:hAnsi="宋体"/>
        </w:rPr>
        <w:fldChar w:fldCharType="separate"/>
      </w:r>
      <w:r>
        <w:rPr>
          <w:rFonts w:hint="eastAsia" w:ascii="宋体" w:hAnsi="宋体"/>
        </w:rPr>
        <w:t>十三</w:t>
      </w:r>
      <w:r>
        <w:rPr>
          <w:rFonts w:ascii="宋体" w:hAnsi="宋体"/>
        </w:rPr>
        <w:t>、</w:t>
      </w:r>
      <w:r>
        <w:rPr>
          <w:rFonts w:hint="eastAsia" w:ascii="宋体" w:hAnsi="宋体"/>
        </w:rPr>
        <w:t>法律适用与争议解决</w:t>
      </w:r>
      <w:r>
        <w:tab/>
      </w:r>
      <w:r>
        <w:fldChar w:fldCharType="begin"/>
      </w:r>
      <w:r>
        <w:instrText xml:space="preserve"> PAGEREF _Toc13987 </w:instrText>
      </w:r>
      <w:r>
        <w:fldChar w:fldCharType="separate"/>
      </w:r>
      <w:r>
        <w:t>19</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_Toc28170 </w:instrText>
      </w:r>
      <w:r>
        <w:rPr>
          <w:rFonts w:ascii="宋体" w:hAnsi="宋体"/>
        </w:rPr>
        <w:fldChar w:fldCharType="separate"/>
      </w:r>
      <w:r>
        <w:rPr>
          <w:rFonts w:hint="eastAsia" w:ascii="宋体" w:hAnsi="宋体"/>
        </w:rPr>
        <w:t>十四、合同</w:t>
      </w:r>
      <w:r>
        <w:rPr>
          <w:rFonts w:ascii="宋体" w:hAnsi="宋体"/>
        </w:rPr>
        <w:t>生效</w:t>
      </w:r>
      <w:r>
        <w:rPr>
          <w:rFonts w:hint="eastAsia" w:ascii="宋体" w:hAnsi="宋体"/>
        </w:rPr>
        <w:t>、</w:t>
      </w:r>
      <w:r>
        <w:rPr>
          <w:rFonts w:ascii="宋体" w:hAnsi="宋体"/>
        </w:rPr>
        <w:t>变更</w:t>
      </w:r>
      <w:r>
        <w:rPr>
          <w:rFonts w:hint="eastAsia" w:ascii="宋体" w:hAnsi="宋体"/>
        </w:rPr>
        <w:t>及</w:t>
      </w:r>
      <w:r>
        <w:rPr>
          <w:rFonts w:ascii="宋体" w:hAnsi="宋体"/>
        </w:rPr>
        <w:t>终止</w:t>
      </w:r>
      <w:r>
        <w:tab/>
      </w:r>
      <w:r>
        <w:fldChar w:fldCharType="begin"/>
      </w:r>
      <w:r>
        <w:instrText xml:space="preserve"> PAGEREF _Toc28170 </w:instrText>
      </w:r>
      <w:r>
        <w:fldChar w:fldCharType="separate"/>
      </w:r>
      <w:r>
        <w:t>20</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_Toc13586 </w:instrText>
      </w:r>
      <w:r>
        <w:rPr>
          <w:rFonts w:ascii="宋体" w:hAnsi="宋体"/>
        </w:rPr>
        <w:fldChar w:fldCharType="separate"/>
      </w:r>
      <w:r>
        <w:rPr>
          <w:rFonts w:hint="eastAsia" w:ascii="宋体" w:hAnsi="宋体"/>
        </w:rPr>
        <w:t>十五</w:t>
      </w:r>
      <w:r>
        <w:rPr>
          <w:rFonts w:ascii="宋体" w:hAnsi="宋体"/>
        </w:rPr>
        <w:t>、</w:t>
      </w:r>
      <w:r>
        <w:rPr>
          <w:rFonts w:hint="eastAsia" w:ascii="宋体" w:hAnsi="宋体"/>
        </w:rPr>
        <w:t>其他事项</w:t>
      </w:r>
      <w:r>
        <w:tab/>
      </w:r>
      <w:r>
        <w:fldChar w:fldCharType="begin"/>
      </w:r>
      <w:r>
        <w:instrText xml:space="preserve"> PAGEREF _Toc13586 </w:instrText>
      </w:r>
      <w:r>
        <w:fldChar w:fldCharType="separate"/>
      </w:r>
      <w:r>
        <w:t>20</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_Toc10863 </w:instrText>
      </w:r>
      <w:r>
        <w:rPr>
          <w:rFonts w:ascii="宋体" w:hAnsi="宋体"/>
        </w:rPr>
        <w:fldChar w:fldCharType="separate"/>
      </w:r>
      <w:r>
        <w:rPr>
          <w:rFonts w:hint="eastAsia" w:ascii="宋体" w:hAnsi="宋体"/>
        </w:rPr>
        <w:t>一</w:t>
      </w:r>
      <w:r>
        <w:rPr>
          <w:rFonts w:ascii="宋体" w:hAnsi="宋体"/>
        </w:rPr>
        <w:t>、</w:t>
      </w:r>
      <w:r>
        <w:rPr>
          <w:rFonts w:hint="eastAsia" w:ascii="宋体" w:hAnsi="宋体"/>
        </w:rPr>
        <w:t>服务可用性</w:t>
      </w:r>
      <w:r>
        <w:tab/>
      </w:r>
      <w:r>
        <w:fldChar w:fldCharType="begin"/>
      </w:r>
      <w:r>
        <w:instrText xml:space="preserve"> PAGEREF _Toc10863 </w:instrText>
      </w:r>
      <w:r>
        <w:fldChar w:fldCharType="separate"/>
      </w:r>
      <w:r>
        <w:t>22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_Toc29804 </w:instrText>
      </w:r>
      <w:r>
        <w:rPr>
          <w:rFonts w:ascii="宋体" w:hAnsi="宋体"/>
        </w:rPr>
        <w:fldChar w:fldCharType="separate"/>
      </w:r>
      <w:r>
        <w:rPr>
          <w:rFonts w:hint="eastAsia" w:ascii="宋体" w:hAnsi="宋体"/>
        </w:rPr>
        <w:t>二</w:t>
      </w:r>
      <w:r>
        <w:rPr>
          <w:rFonts w:ascii="宋体" w:hAnsi="宋体"/>
        </w:rPr>
        <w:t>、</w:t>
      </w:r>
      <w:r>
        <w:rPr>
          <w:rFonts w:hint="eastAsia" w:ascii="宋体" w:hAnsi="宋体"/>
        </w:rPr>
        <w:t>数据持久性</w:t>
      </w:r>
      <w:r>
        <w:tab/>
      </w:r>
      <w:r>
        <w:fldChar w:fldCharType="begin"/>
      </w:r>
      <w:r>
        <w:instrText xml:space="preserve"> PAGEREF _Toc29804 </w:instrText>
      </w:r>
      <w:r>
        <w:fldChar w:fldCharType="separate"/>
      </w:r>
      <w:r>
        <w:t>22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_Toc15333 </w:instrText>
      </w:r>
      <w:r>
        <w:rPr>
          <w:rFonts w:ascii="宋体" w:hAnsi="宋体"/>
        </w:rPr>
        <w:fldChar w:fldCharType="separate"/>
      </w:r>
      <w:r>
        <w:rPr>
          <w:rFonts w:hint="eastAsia" w:ascii="宋体" w:hAnsi="宋体" w:cs="Calibri"/>
          <w:szCs w:val="24"/>
        </w:rPr>
        <w:t>三</w:t>
      </w:r>
      <w:r>
        <w:rPr>
          <w:rFonts w:ascii="宋体" w:hAnsi="宋体" w:cs="Calibri"/>
          <w:szCs w:val="24"/>
        </w:rPr>
        <w:t>、</w:t>
      </w:r>
      <w:r>
        <w:rPr>
          <w:rFonts w:hint="eastAsia" w:ascii="宋体" w:hAnsi="宋体" w:cs="Calibri"/>
          <w:szCs w:val="24"/>
        </w:rPr>
        <w:t>页面请求响应时间</w:t>
      </w:r>
      <w:r>
        <w:tab/>
      </w:r>
      <w:r>
        <w:fldChar w:fldCharType="begin"/>
      </w:r>
      <w:r>
        <w:instrText xml:space="preserve"> PAGEREF _Toc15333 </w:instrText>
      </w:r>
      <w:r>
        <w:fldChar w:fldCharType="separate"/>
      </w:r>
      <w:r>
        <w:t>22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_Toc18970 </w:instrText>
      </w:r>
      <w:r>
        <w:rPr>
          <w:rFonts w:ascii="宋体" w:hAnsi="宋体"/>
        </w:rPr>
        <w:fldChar w:fldCharType="separate"/>
      </w:r>
      <w:r>
        <w:rPr>
          <w:rFonts w:hint="eastAsia" w:ascii="宋体" w:hAnsi="宋体"/>
        </w:rPr>
        <w:t>四</w:t>
      </w:r>
      <w:r>
        <w:rPr>
          <w:rFonts w:ascii="宋体" w:hAnsi="宋体"/>
        </w:rPr>
        <w:t>、</w:t>
      </w:r>
      <w:r>
        <w:rPr>
          <w:rFonts w:hint="eastAsia" w:ascii="宋体" w:hAnsi="宋体"/>
        </w:rPr>
        <w:t>客户服务承诺</w:t>
      </w:r>
      <w:r>
        <w:tab/>
      </w:r>
      <w:r>
        <w:fldChar w:fldCharType="begin"/>
      </w:r>
      <w:r>
        <w:instrText xml:space="preserve"> PAGEREF _Toc18970 </w:instrText>
      </w:r>
      <w:r>
        <w:fldChar w:fldCharType="separate"/>
      </w:r>
      <w:r>
        <w:t>22</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_Toc13008 </w:instrText>
      </w:r>
      <w:r>
        <w:rPr>
          <w:rFonts w:ascii="宋体" w:hAnsi="宋体"/>
        </w:rPr>
        <w:fldChar w:fldCharType="separate"/>
      </w:r>
      <w:r>
        <w:rPr>
          <w:rFonts w:hint="eastAsia" w:ascii="宋体" w:hAnsi="宋体"/>
        </w:rPr>
        <w:t>五</w:t>
      </w:r>
      <w:r>
        <w:rPr>
          <w:rFonts w:ascii="宋体" w:hAnsi="宋体"/>
        </w:rPr>
        <w:t>、其他</w:t>
      </w:r>
      <w:r>
        <w:tab/>
      </w:r>
      <w:r>
        <w:fldChar w:fldCharType="begin"/>
      </w:r>
      <w:r>
        <w:instrText xml:space="preserve"> PAGEREF _Toc13008 </w:instrText>
      </w:r>
      <w:r>
        <w:fldChar w:fldCharType="separate"/>
      </w:r>
      <w:r>
        <w:t>23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_Toc15136 </w:instrText>
      </w:r>
      <w:r>
        <w:rPr>
          <w:rFonts w:ascii="宋体" w:hAnsi="宋体"/>
        </w:rPr>
        <w:fldChar w:fldCharType="separate"/>
      </w:r>
      <w:r>
        <w:rPr>
          <w:rFonts w:hint="eastAsia" w:ascii="宋体" w:hAnsi="宋体"/>
        </w:rPr>
        <w:t>一、</w:t>
      </w:r>
      <w:r>
        <w:rPr>
          <w:rFonts w:ascii="宋体" w:hAnsi="宋体"/>
        </w:rPr>
        <w:t>定</w:t>
      </w:r>
      <w:r>
        <w:rPr>
          <w:rFonts w:hint="eastAsia" w:ascii="宋体" w:hAnsi="宋体"/>
        </w:rPr>
        <w:t>义</w:t>
      </w:r>
      <w:r>
        <w:tab/>
      </w:r>
      <w:r>
        <w:fldChar w:fldCharType="begin"/>
      </w:r>
      <w:r>
        <w:instrText xml:space="preserve"> PAGEREF _Toc15136 </w:instrText>
      </w:r>
      <w:r>
        <w:fldChar w:fldCharType="separate"/>
      </w:r>
      <w:r>
        <w:t>24</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_Toc9607 </w:instrText>
      </w:r>
      <w:r>
        <w:rPr>
          <w:rFonts w:ascii="宋体" w:hAnsi="宋体"/>
        </w:rPr>
        <w:fldChar w:fldCharType="separate"/>
      </w:r>
      <w:r>
        <w:rPr>
          <w:rFonts w:hint="eastAsia" w:ascii="宋体" w:hAnsi="宋体"/>
        </w:rPr>
        <w:t>二、保密</w:t>
      </w:r>
      <w:r>
        <w:rPr>
          <w:rFonts w:ascii="宋体" w:hAnsi="宋体"/>
        </w:rPr>
        <w:t>信息用途</w:t>
      </w:r>
      <w:r>
        <w:tab/>
      </w:r>
      <w:r>
        <w:fldChar w:fldCharType="begin"/>
      </w:r>
      <w:r>
        <w:instrText xml:space="preserve"> PAGEREF _Toc9607 </w:instrText>
      </w:r>
      <w:r>
        <w:fldChar w:fldCharType="separate"/>
      </w:r>
      <w:r>
        <w:t>25</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_Toc15420 </w:instrText>
      </w:r>
      <w:r>
        <w:rPr>
          <w:rFonts w:ascii="宋体" w:hAnsi="宋体"/>
        </w:rPr>
        <w:fldChar w:fldCharType="separate"/>
      </w:r>
      <w:r>
        <w:rPr>
          <w:rFonts w:hint="eastAsia" w:ascii="宋体" w:hAnsi="宋体"/>
        </w:rPr>
        <w:t>三</w:t>
      </w:r>
      <w:r>
        <w:rPr>
          <w:rFonts w:ascii="宋体" w:hAnsi="宋体"/>
        </w:rPr>
        <w:t>、接收方义务</w:t>
      </w:r>
      <w:r>
        <w:tab/>
      </w:r>
      <w:r>
        <w:fldChar w:fldCharType="begin"/>
      </w:r>
      <w:r>
        <w:instrText xml:space="preserve"> PAGEREF _Toc15420 </w:instrText>
      </w:r>
      <w:r>
        <w:fldChar w:fldCharType="separate"/>
      </w:r>
      <w:r>
        <w:t>25</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_Toc5774 </w:instrText>
      </w:r>
      <w:r>
        <w:rPr>
          <w:rFonts w:ascii="宋体" w:hAnsi="宋体"/>
        </w:rPr>
        <w:fldChar w:fldCharType="separate"/>
      </w:r>
      <w:r>
        <w:rPr>
          <w:rFonts w:hint="eastAsia" w:ascii="宋体" w:hAnsi="宋体"/>
        </w:rPr>
        <w:t>四、保密义务的例外</w:t>
      </w:r>
      <w:r>
        <w:tab/>
      </w:r>
      <w:r>
        <w:fldChar w:fldCharType="begin"/>
      </w:r>
      <w:r>
        <w:instrText xml:space="preserve"> PAGEREF _Toc5774 </w:instrText>
      </w:r>
      <w:r>
        <w:fldChar w:fldCharType="separate"/>
      </w:r>
      <w:r>
        <w:t>26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_Toc2999 </w:instrText>
      </w:r>
      <w:r>
        <w:rPr>
          <w:rFonts w:ascii="宋体" w:hAnsi="宋体"/>
        </w:rPr>
        <w:fldChar w:fldCharType="separate"/>
      </w:r>
      <w:r>
        <w:rPr>
          <w:rFonts w:hint="eastAsia" w:ascii="宋体" w:hAnsi="宋体"/>
        </w:rPr>
        <w:t>五、财产权及信息资料的返还</w:t>
      </w:r>
      <w:r>
        <w:tab/>
      </w:r>
      <w:r>
        <w:fldChar w:fldCharType="begin"/>
      </w:r>
      <w:r>
        <w:instrText xml:space="preserve"> PAGEREF _Toc2999 </w:instrText>
      </w:r>
      <w:r>
        <w:fldChar w:fldCharType="separate"/>
      </w:r>
      <w:r>
        <w:t>26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_Toc16789 </w:instrText>
      </w:r>
      <w:r>
        <w:rPr>
          <w:rFonts w:ascii="宋体" w:hAnsi="宋体"/>
        </w:rPr>
        <w:fldChar w:fldCharType="separate"/>
      </w:r>
      <w:r>
        <w:rPr>
          <w:rFonts w:hint="eastAsia" w:ascii="宋体" w:hAnsi="宋体"/>
        </w:rPr>
        <w:t>六、违约</w:t>
      </w:r>
      <w:r>
        <w:rPr>
          <w:rFonts w:ascii="宋体" w:hAnsi="宋体"/>
        </w:rPr>
        <w:t>救济</w:t>
      </w:r>
      <w:r>
        <w:tab/>
      </w:r>
      <w:r>
        <w:fldChar w:fldCharType="begin"/>
      </w:r>
      <w:r>
        <w:instrText xml:space="preserve"> PAGEREF _Toc16789 </w:instrText>
      </w:r>
      <w:r>
        <w:fldChar w:fldCharType="separate"/>
      </w:r>
      <w:r>
        <w:t>26</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_Toc15068 </w:instrText>
      </w:r>
      <w:r>
        <w:rPr>
          <w:rFonts w:ascii="宋体" w:hAnsi="宋体"/>
        </w:rPr>
        <w:fldChar w:fldCharType="separate"/>
      </w:r>
      <w:r>
        <w:rPr>
          <w:rFonts w:hint="eastAsia" w:ascii="宋体" w:hAnsi="宋体"/>
        </w:rPr>
        <w:t>七</w:t>
      </w:r>
      <w:r>
        <w:rPr>
          <w:rFonts w:ascii="宋体" w:hAnsi="宋体"/>
        </w:rPr>
        <w:t>、</w:t>
      </w:r>
      <w:r>
        <w:rPr>
          <w:rFonts w:hint="eastAsia" w:ascii="宋体" w:hAnsi="宋体"/>
        </w:rPr>
        <w:t>附则</w:t>
      </w:r>
      <w:r>
        <w:tab/>
      </w:r>
      <w:r>
        <w:fldChar w:fldCharType="begin"/>
      </w:r>
      <w:r>
        <w:instrText xml:space="preserve"> PAGEREF _Toc15068 </w:instrText>
      </w:r>
      <w:r>
        <w:fldChar w:fldCharType="separate"/>
      </w:r>
      <w:r>
        <w:t>27</w:t>
      </w:r>
      <w:r>
        <w:fldChar w:fldCharType="end"/>
      </w:r>
      <w:r>
        <w:rPr>
          <w:rFonts w:ascii="宋体" w:hAnsi="宋体"/>
        </w:rPr>
        <w:fldChar w:fldCharType="end"/>
      </w:r>
    </w:p>
    <w:p>
      <w:pPr>
        <w:pStyle w:val="30"/>
        <w:tabs>
          <w:tab w:val="right" w:leader="dot" w:pos="9746"/>
          <w:tab w:val="clear" w:pos="8630"/>
        </w:tabs>
      </w:pPr>
      <w:r>
        <w:rPr>
          <w:rFonts w:ascii="宋体" w:hAnsi="宋体"/>
        </w:rPr>
        <w:fldChar w:fldCharType="begin"/>
      </w:r>
      <w:r>
        <w:rPr>
          <w:rFonts w:ascii="宋体" w:hAnsi="宋体"/>
        </w:rPr>
        <w:instrText xml:space="preserve"> HYPERLINK \l _Toc11665 </w:instrText>
      </w:r>
      <w:r>
        <w:rPr>
          <w:rFonts w:ascii="宋体" w:hAnsi="宋体"/>
        </w:rPr>
        <w:fldChar w:fldCharType="separate"/>
      </w:r>
      <w:r>
        <w:rPr>
          <w:rFonts w:hint="eastAsia" w:hAnsi="宋体"/>
        </w:rPr>
        <w:t xml:space="preserve">第四章 </w:t>
      </w:r>
      <w:r>
        <w:rPr>
          <w:rFonts w:hint="eastAsia"/>
        </w:rPr>
        <w:t>采购需求</w:t>
      </w:r>
      <w:r>
        <w:tab/>
      </w:r>
      <w:r>
        <w:fldChar w:fldCharType="begin"/>
      </w:r>
      <w:r>
        <w:instrText xml:space="preserve"> PAGEREF _Toc11665 </w:instrText>
      </w:r>
      <w:r>
        <w:fldChar w:fldCharType="separate"/>
      </w:r>
      <w:r>
        <w:t>28</w:t>
      </w:r>
      <w:r>
        <w:fldChar w:fldCharType="end"/>
      </w:r>
      <w:r>
        <w:rPr>
          <w:rFonts w:ascii="宋体" w:hAnsi="宋体"/>
        </w:rPr>
        <w:fldChar w:fldCharType="end"/>
      </w:r>
    </w:p>
    <w:p>
      <w:pPr>
        <w:pStyle w:val="30"/>
        <w:tabs>
          <w:tab w:val="right" w:leader="dot" w:pos="9746"/>
          <w:tab w:val="clear" w:pos="8630"/>
        </w:tabs>
      </w:pPr>
      <w:r>
        <w:rPr>
          <w:rFonts w:ascii="宋体" w:hAnsi="宋体"/>
        </w:rPr>
        <w:fldChar w:fldCharType="begin"/>
      </w:r>
      <w:r>
        <w:rPr>
          <w:rFonts w:ascii="宋体" w:hAnsi="宋体"/>
        </w:rPr>
        <w:instrText xml:space="preserve"> HYPERLINK \l _Toc27717 </w:instrText>
      </w:r>
      <w:r>
        <w:rPr>
          <w:rFonts w:ascii="宋体" w:hAnsi="宋体"/>
        </w:rPr>
        <w:fldChar w:fldCharType="separate"/>
      </w:r>
      <w:r>
        <w:rPr>
          <w:rFonts w:hint="eastAsia"/>
        </w:rPr>
        <w:t>第五章 响应文件格式</w:t>
      </w:r>
      <w:r>
        <w:tab/>
      </w:r>
      <w:r>
        <w:fldChar w:fldCharType="begin"/>
      </w:r>
      <w:r>
        <w:instrText xml:space="preserve"> PAGEREF _Toc27717 </w:instrText>
      </w:r>
      <w:r>
        <w:fldChar w:fldCharType="separate"/>
      </w:r>
      <w:r>
        <w:t>38</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_Toc5218 </w:instrText>
      </w:r>
      <w:r>
        <w:rPr>
          <w:rFonts w:ascii="宋体" w:hAnsi="宋体"/>
        </w:rPr>
        <w:fldChar w:fldCharType="separate"/>
      </w:r>
      <w:r>
        <w:rPr>
          <w:rFonts w:hint="eastAsia" w:ascii="黑体" w:hAnsi="宋体" w:eastAsia="黑体"/>
          <w:szCs w:val="28"/>
        </w:rPr>
        <w:t>一、响应函</w:t>
      </w:r>
      <w:r>
        <w:tab/>
      </w:r>
      <w:r>
        <w:fldChar w:fldCharType="begin"/>
      </w:r>
      <w:r>
        <w:instrText xml:space="preserve"> PAGEREF _Toc5218 </w:instrText>
      </w:r>
      <w:r>
        <w:fldChar w:fldCharType="separate"/>
      </w:r>
      <w:r>
        <w:t>40</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_Toc13648 </w:instrText>
      </w:r>
      <w:r>
        <w:rPr>
          <w:rFonts w:ascii="宋体" w:hAnsi="宋体"/>
        </w:rPr>
        <w:fldChar w:fldCharType="separate"/>
      </w:r>
      <w:r>
        <w:rPr>
          <w:rFonts w:hint="eastAsia" w:ascii="黑体" w:hAnsi="宋体" w:eastAsia="黑体"/>
          <w:szCs w:val="28"/>
        </w:rPr>
        <w:t>二、保证金</w:t>
      </w:r>
      <w:r>
        <w:tab/>
      </w:r>
      <w:r>
        <w:fldChar w:fldCharType="begin"/>
      </w:r>
      <w:r>
        <w:instrText xml:space="preserve"> PAGEREF _Toc13648 </w:instrText>
      </w:r>
      <w:r>
        <w:fldChar w:fldCharType="separate"/>
      </w:r>
      <w:r>
        <w:t>43</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_Toc29924 </w:instrText>
      </w:r>
      <w:r>
        <w:rPr>
          <w:rFonts w:ascii="宋体" w:hAnsi="宋体"/>
        </w:rPr>
        <w:fldChar w:fldCharType="separate"/>
      </w:r>
      <w:r>
        <w:rPr>
          <w:rFonts w:hint="eastAsia" w:ascii="黑体" w:hAnsi="宋体" w:eastAsia="黑体"/>
          <w:szCs w:val="28"/>
        </w:rPr>
        <w:t>三、供应商的资格审查材料</w:t>
      </w:r>
      <w:r>
        <w:tab/>
      </w:r>
      <w:r>
        <w:fldChar w:fldCharType="begin"/>
      </w:r>
      <w:r>
        <w:instrText xml:space="preserve"> PAGEREF _Toc29924 </w:instrText>
      </w:r>
      <w:r>
        <w:fldChar w:fldCharType="separate"/>
      </w:r>
      <w:r>
        <w:t>44</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_Toc17534 </w:instrText>
      </w:r>
      <w:r>
        <w:rPr>
          <w:rFonts w:ascii="宋体" w:hAnsi="宋体"/>
        </w:rPr>
        <w:fldChar w:fldCharType="separate"/>
      </w:r>
      <w:r>
        <w:rPr>
          <w:rFonts w:hint="eastAsia" w:ascii="黑体" w:hAnsi="宋体" w:eastAsia="黑体"/>
          <w:szCs w:val="28"/>
        </w:rPr>
        <w:t>四、技术方案</w:t>
      </w:r>
      <w:r>
        <w:tab/>
      </w:r>
      <w:r>
        <w:fldChar w:fldCharType="begin"/>
      </w:r>
      <w:r>
        <w:instrText xml:space="preserve"> PAGEREF _Toc17534 </w:instrText>
      </w:r>
      <w:r>
        <w:fldChar w:fldCharType="separate"/>
      </w:r>
      <w:r>
        <w:t>49</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_Toc2659 </w:instrText>
      </w:r>
      <w:r>
        <w:rPr>
          <w:rFonts w:ascii="宋体" w:hAnsi="宋体"/>
        </w:rPr>
        <w:fldChar w:fldCharType="separate"/>
      </w:r>
      <w:r>
        <w:rPr>
          <w:rFonts w:hint="eastAsia" w:ascii="黑体" w:hAnsi="宋体" w:eastAsia="黑体"/>
          <w:szCs w:val="28"/>
        </w:rPr>
        <w:t>五、服务方案</w:t>
      </w:r>
      <w:r>
        <w:tab/>
      </w:r>
      <w:r>
        <w:fldChar w:fldCharType="begin"/>
      </w:r>
      <w:r>
        <w:instrText xml:space="preserve"> PAGEREF _Toc2659 </w:instrText>
      </w:r>
      <w:r>
        <w:fldChar w:fldCharType="separate"/>
      </w:r>
      <w:r>
        <w:t>50</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_Toc15242 </w:instrText>
      </w:r>
      <w:r>
        <w:rPr>
          <w:rFonts w:ascii="宋体" w:hAnsi="宋体"/>
        </w:rPr>
        <w:fldChar w:fldCharType="separate"/>
      </w:r>
      <w:r>
        <w:rPr>
          <w:rFonts w:hint="eastAsia" w:ascii="黑体" w:hAnsi="宋体" w:eastAsia="黑体"/>
          <w:szCs w:val="28"/>
        </w:rPr>
        <w:t>六、报价一览表及报价明细表</w:t>
      </w:r>
      <w:r>
        <w:tab/>
      </w:r>
      <w:r>
        <w:fldChar w:fldCharType="begin"/>
      </w:r>
      <w:r>
        <w:instrText xml:space="preserve"> PAGEREF _Toc15242 </w:instrText>
      </w:r>
      <w:r>
        <w:fldChar w:fldCharType="separate"/>
      </w:r>
      <w:r>
        <w:t>51</w:t>
      </w:r>
      <w:r>
        <w:fldChar w:fldCharType="end"/>
      </w:r>
      <w:r>
        <w:rPr>
          <w:rFonts w:ascii="宋体" w:hAnsi="宋体"/>
        </w:rPr>
        <w:fldChar w:fldCharType="end"/>
      </w:r>
    </w:p>
    <w:p>
      <w:pPr>
        <w:pStyle w:val="37"/>
        <w:tabs>
          <w:tab w:val="right" w:leader="dot" w:pos="9746"/>
        </w:tabs>
      </w:pPr>
      <w:r>
        <w:rPr>
          <w:rFonts w:ascii="宋体" w:hAnsi="宋体"/>
        </w:rPr>
        <w:fldChar w:fldCharType="begin"/>
      </w:r>
      <w:r>
        <w:rPr>
          <w:rFonts w:ascii="宋体" w:hAnsi="宋体"/>
        </w:rPr>
        <w:instrText xml:space="preserve"> HYPERLINK \l _Toc31939 </w:instrText>
      </w:r>
      <w:r>
        <w:rPr>
          <w:rFonts w:ascii="宋体" w:hAnsi="宋体"/>
        </w:rPr>
        <w:fldChar w:fldCharType="separate"/>
      </w:r>
      <w:r>
        <w:rPr>
          <w:rFonts w:hint="eastAsia" w:ascii="黑体" w:hAnsi="宋体" w:eastAsia="黑体"/>
          <w:szCs w:val="28"/>
        </w:rPr>
        <w:t>七、供应商认为需要提供的其它资料</w:t>
      </w:r>
      <w:r>
        <w:tab/>
      </w:r>
      <w:r>
        <w:fldChar w:fldCharType="begin"/>
      </w:r>
      <w:r>
        <w:instrText xml:space="preserve"> PAGEREF _Toc31939 </w:instrText>
      </w:r>
      <w:r>
        <w:fldChar w:fldCharType="separate"/>
      </w:r>
      <w:r>
        <w:t>53</w:t>
      </w:r>
      <w:r>
        <w:fldChar w:fldCharType="end"/>
      </w:r>
      <w:r>
        <w:rPr>
          <w:rFonts w:ascii="宋体" w:hAnsi="宋体"/>
        </w:rPr>
        <w:fldChar w:fldCharType="end"/>
      </w:r>
    </w:p>
    <w:p>
      <w:pPr>
        <w:spacing w:line="360" w:lineRule="auto"/>
        <w:jc w:val="center"/>
        <w:rPr>
          <w:rFonts w:ascii="宋体" w:hAnsi="宋体"/>
          <w:b/>
          <w:sz w:val="32"/>
          <w:szCs w:val="32"/>
        </w:rPr>
      </w:pPr>
      <w:r>
        <w:rPr>
          <w:rFonts w:ascii="宋体" w:hAnsi="宋体"/>
        </w:rPr>
        <w:fldChar w:fldCharType="end"/>
      </w:r>
    </w:p>
    <w:p>
      <w:pPr>
        <w:pStyle w:val="3"/>
        <w:spacing w:line="360" w:lineRule="auto"/>
        <w:rPr>
          <w:rFonts w:hint="eastAsia"/>
        </w:rPr>
        <w:sectPr>
          <w:headerReference r:id="rId4" w:type="first"/>
          <w:headerReference r:id="rId3" w:type="default"/>
          <w:footerReference r:id="rId5" w:type="default"/>
          <w:footerReference r:id="rId6" w:type="even"/>
          <w:pgSz w:w="11906" w:h="16838"/>
          <w:pgMar w:top="873" w:right="1080" w:bottom="873" w:left="1080" w:header="283" w:footer="567" w:gutter="0"/>
          <w:pgNumType w:start="1"/>
          <w:cols w:space="0" w:num="1"/>
          <w:titlePg/>
          <w:rtlGutter w:val="0"/>
          <w:docGrid w:type="lines" w:linePitch="312" w:charSpace="0"/>
        </w:sectPr>
      </w:pPr>
      <w:bookmarkStart w:id="1" w:name="_Toc31890"/>
    </w:p>
    <w:p>
      <w:pPr>
        <w:pStyle w:val="3"/>
        <w:spacing w:line="360" w:lineRule="auto"/>
      </w:pPr>
      <w:r>
        <w:rPr>
          <w:rFonts w:hint="eastAsia"/>
        </w:rPr>
        <w:t>第一章 协商通知</w:t>
      </w:r>
      <w:bookmarkEnd w:id="1"/>
    </w:p>
    <w:p>
      <w:pPr>
        <w:adjustRightInd w:val="0"/>
        <w:snapToGrid w:val="0"/>
        <w:spacing w:line="360" w:lineRule="auto"/>
        <w:rPr>
          <w:rFonts w:ascii="宋体" w:hAnsi="宋体"/>
          <w:iCs/>
          <w:sz w:val="24"/>
          <w:u w:val="single"/>
        </w:rPr>
      </w:pPr>
      <w:r>
        <w:rPr>
          <w:rFonts w:hint="eastAsia" w:ascii="宋体" w:hAnsi="宋体"/>
          <w:iCs/>
          <w:sz w:val="24"/>
          <w:u w:val="single"/>
          <w:lang w:eastAsia="zh-CN"/>
        </w:rPr>
        <w:t>中移在线服务有限公司新疆分公司</w:t>
      </w:r>
      <w:r>
        <w:rPr>
          <w:rFonts w:hint="eastAsia" w:ascii="宋体" w:hAnsi="宋体"/>
          <w:iCs/>
          <w:sz w:val="24"/>
          <w:u w:val="single"/>
        </w:rPr>
        <w:t>：</w:t>
      </w:r>
    </w:p>
    <w:p>
      <w:pPr>
        <w:adjustRightInd w:val="0"/>
        <w:snapToGrid w:val="0"/>
        <w:spacing w:line="360" w:lineRule="auto"/>
        <w:ind w:firstLine="480" w:firstLineChars="200"/>
        <w:rPr>
          <w:rFonts w:ascii="宋体" w:hAnsi="宋体"/>
          <w:sz w:val="24"/>
        </w:rPr>
      </w:pPr>
      <w:r>
        <w:rPr>
          <w:rFonts w:hint="eastAsia" w:ascii="宋体" w:hAnsi="宋体"/>
          <w:iCs/>
          <w:sz w:val="24"/>
        </w:rPr>
        <w:t>我单位受托对</w:t>
      </w:r>
      <w:r>
        <w:rPr>
          <w:rFonts w:hint="eastAsia" w:ascii="宋体" w:hAnsi="宋体"/>
          <w:iCs/>
          <w:sz w:val="24"/>
          <w:u w:val="single"/>
          <w:lang w:eastAsia="zh-CN"/>
        </w:rPr>
        <w:t>交管12123语音平台坐席服务续租项目</w:t>
      </w:r>
      <w:r>
        <w:rPr>
          <w:rFonts w:hint="eastAsia" w:ascii="宋体" w:hAnsi="宋体"/>
          <w:sz w:val="24"/>
        </w:rPr>
        <w:t>进行单一来源采购，现邀请</w:t>
      </w:r>
      <w:r>
        <w:rPr>
          <w:rFonts w:hint="eastAsia" w:ascii="宋体" w:hAnsi="宋体" w:cs="宋体"/>
          <w:kern w:val="0"/>
          <w:sz w:val="24"/>
        </w:rPr>
        <w:t>你单位</w:t>
      </w:r>
      <w:r>
        <w:rPr>
          <w:rFonts w:hint="eastAsia" w:ascii="宋体" w:hAnsi="宋体"/>
          <w:sz w:val="24"/>
        </w:rPr>
        <w:t>参加协商。</w:t>
      </w:r>
    </w:p>
    <w:p>
      <w:pPr>
        <w:pStyle w:val="4"/>
        <w:rPr>
          <w:rFonts w:ascii="宋体" w:hAnsi="宋体" w:cs="宋体"/>
          <w:b w:val="0"/>
          <w:szCs w:val="24"/>
        </w:rPr>
      </w:pPr>
      <w:bookmarkStart w:id="2" w:name="_Toc35393790"/>
      <w:bookmarkStart w:id="3" w:name="_Toc82617948"/>
      <w:bookmarkStart w:id="4" w:name="_Toc28359079"/>
      <w:bookmarkStart w:id="5" w:name="_Toc4655"/>
      <w:bookmarkStart w:id="6" w:name="_Toc28359002"/>
      <w:bookmarkStart w:id="7" w:name="_Toc35393621"/>
      <w:bookmarkStart w:id="8" w:name="_Hlk24379207"/>
      <w:r>
        <w:rPr>
          <w:rFonts w:hint="eastAsia" w:ascii="宋体" w:hAnsi="宋体" w:cs="宋体"/>
          <w:b w:val="0"/>
          <w:szCs w:val="24"/>
        </w:rPr>
        <w:t>一、项目基本情况</w:t>
      </w:r>
      <w:bookmarkEnd w:id="2"/>
      <w:bookmarkEnd w:id="3"/>
      <w:bookmarkEnd w:id="4"/>
      <w:bookmarkEnd w:id="5"/>
      <w:bookmarkEnd w:id="6"/>
      <w:bookmarkEnd w:id="7"/>
    </w:p>
    <w:p>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项目编号：2022-XBZC-01129</w:t>
      </w:r>
    </w:p>
    <w:p>
      <w:pPr>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交管12123语音平台坐席服务续租项目</w:t>
      </w:r>
    </w:p>
    <w:p>
      <w:pPr>
        <w:spacing w:line="360" w:lineRule="auto"/>
        <w:ind w:firstLine="480" w:firstLineChars="200"/>
        <w:rPr>
          <w:rFonts w:ascii="宋体" w:hAnsi="宋体"/>
          <w:sz w:val="24"/>
        </w:rPr>
      </w:pPr>
      <w:r>
        <w:rPr>
          <w:rFonts w:hint="eastAsia" w:ascii="宋体" w:hAnsi="宋体"/>
          <w:sz w:val="24"/>
        </w:rPr>
        <w:t>采购方式：单一来源采购</w:t>
      </w:r>
    </w:p>
    <w:bookmarkEnd w:id="8"/>
    <w:p>
      <w:pPr>
        <w:spacing w:line="360" w:lineRule="auto"/>
        <w:ind w:firstLine="480" w:firstLineChars="200"/>
        <w:rPr>
          <w:rFonts w:ascii="宋体" w:hAnsi="宋体"/>
          <w:sz w:val="24"/>
        </w:rPr>
      </w:pPr>
      <w:r>
        <w:rPr>
          <w:rFonts w:hint="eastAsia" w:ascii="宋体" w:hAnsi="宋体"/>
          <w:sz w:val="24"/>
        </w:rPr>
        <w:t>预算金额：</w:t>
      </w:r>
      <w:r>
        <w:rPr>
          <w:rFonts w:hint="eastAsia" w:ascii="宋体" w:hAnsi="宋体"/>
          <w:sz w:val="24"/>
          <w:lang w:eastAsia="zh-CN"/>
        </w:rPr>
        <w:t>390</w:t>
      </w:r>
      <w:r>
        <w:rPr>
          <w:rFonts w:hint="eastAsia" w:ascii="宋体" w:hAnsi="宋体"/>
          <w:sz w:val="24"/>
        </w:rPr>
        <w:t>万元</w:t>
      </w:r>
    </w:p>
    <w:p>
      <w:pPr>
        <w:spacing w:line="360" w:lineRule="auto"/>
        <w:ind w:firstLine="480" w:firstLineChars="200"/>
        <w:rPr>
          <w:rFonts w:ascii="宋体" w:hAnsi="宋体"/>
          <w:sz w:val="24"/>
        </w:rPr>
      </w:pPr>
      <w:r>
        <w:rPr>
          <w:rFonts w:hint="eastAsia" w:ascii="宋体" w:hAnsi="宋体"/>
          <w:sz w:val="24"/>
        </w:rPr>
        <w:t>最高限价：同预算金额</w:t>
      </w:r>
    </w:p>
    <w:p>
      <w:pPr>
        <w:tabs>
          <w:tab w:val="left" w:pos="3544"/>
        </w:tabs>
        <w:spacing w:line="360" w:lineRule="auto"/>
        <w:ind w:firstLine="480" w:firstLineChars="200"/>
        <w:rPr>
          <w:rFonts w:ascii="宋体" w:hAnsi="宋体"/>
          <w:sz w:val="24"/>
        </w:rPr>
      </w:pPr>
      <w:r>
        <w:rPr>
          <w:rFonts w:hint="eastAsia" w:ascii="宋体" w:hAnsi="宋体"/>
          <w:sz w:val="24"/>
        </w:rPr>
        <w:t>采购需求：</w:t>
      </w:r>
      <w:r>
        <w:rPr>
          <w:rFonts w:hint="eastAsia" w:ascii="宋体" w:hAnsi="宋体"/>
          <w:sz w:val="24"/>
          <w:lang w:eastAsia="zh-CN"/>
        </w:rPr>
        <w:t>交管12123语音平台坐席服务续租，</w:t>
      </w:r>
      <w:r>
        <w:rPr>
          <w:rFonts w:hint="eastAsia" w:ascii="宋体" w:hAnsi="宋体"/>
          <w:sz w:val="24"/>
          <w:lang w:val="en-US" w:eastAsia="zh-CN"/>
        </w:rPr>
        <w:t>具体要求详见文件</w:t>
      </w:r>
      <w:r>
        <w:rPr>
          <w:rFonts w:hint="eastAsia" w:ascii="宋体" w:hAnsi="宋体"/>
          <w:sz w:val="24"/>
        </w:rPr>
        <w:t>。</w:t>
      </w:r>
    </w:p>
    <w:p>
      <w:pPr>
        <w:spacing w:line="360" w:lineRule="auto"/>
        <w:ind w:firstLine="480" w:firstLineChars="200"/>
        <w:rPr>
          <w:rFonts w:ascii="宋体" w:hAnsi="宋体"/>
          <w:sz w:val="24"/>
          <w:u w:val="single"/>
        </w:rPr>
      </w:pPr>
      <w:bookmarkStart w:id="9" w:name="_Toc28359013"/>
      <w:bookmarkStart w:id="10" w:name="_Toc35393799"/>
      <w:bookmarkStart w:id="11" w:name="_Toc35393630"/>
      <w:bookmarkStart w:id="12" w:name="_Toc82617949"/>
      <w:bookmarkStart w:id="13" w:name="_Toc28359090"/>
      <w:r>
        <w:rPr>
          <w:rFonts w:hint="eastAsia" w:ascii="宋体" w:hAnsi="宋体"/>
          <w:sz w:val="24"/>
          <w:highlight w:val="cyan"/>
        </w:rPr>
        <w:t>合同履行期限：</w:t>
      </w:r>
      <w:r>
        <w:rPr>
          <w:rFonts w:hint="eastAsia" w:ascii="宋体" w:hAnsi="宋体"/>
          <w:sz w:val="24"/>
          <w:highlight w:val="cyan"/>
          <w:lang w:val="en-US" w:eastAsia="zh-CN"/>
        </w:rPr>
        <w:t xml:space="preserve">一年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本项目不接受联合体。</w:t>
      </w:r>
    </w:p>
    <w:p>
      <w:pPr>
        <w:pStyle w:val="4"/>
        <w:rPr>
          <w:rFonts w:ascii="宋体" w:hAnsi="宋体" w:cs="宋体"/>
          <w:b w:val="0"/>
          <w:szCs w:val="24"/>
        </w:rPr>
      </w:pPr>
      <w:bookmarkStart w:id="14" w:name="_Toc29401"/>
      <w:r>
        <w:rPr>
          <w:rFonts w:hint="eastAsia" w:ascii="宋体" w:hAnsi="宋体" w:cs="宋体"/>
          <w:b w:val="0"/>
          <w:szCs w:val="24"/>
        </w:rPr>
        <w:t>二、申请人的资格要求</w:t>
      </w:r>
      <w:bookmarkEnd w:id="9"/>
      <w:bookmarkEnd w:id="10"/>
      <w:bookmarkEnd w:id="11"/>
      <w:bookmarkEnd w:id="12"/>
      <w:bookmarkEnd w:id="13"/>
      <w:bookmarkEnd w:id="14"/>
    </w:p>
    <w:p>
      <w:pPr>
        <w:spacing w:line="360" w:lineRule="auto"/>
        <w:ind w:firstLine="480" w:firstLineChars="200"/>
        <w:rPr>
          <w:rFonts w:ascii="宋体" w:hAnsi="宋体"/>
          <w:sz w:val="24"/>
        </w:rPr>
      </w:pPr>
      <w:bookmarkStart w:id="15" w:name="_Toc28359091"/>
      <w:bookmarkStart w:id="16" w:name="_Toc28359014"/>
      <w:r>
        <w:rPr>
          <w:rFonts w:hint="eastAsia" w:ascii="宋体" w:hAnsi="宋体"/>
          <w:sz w:val="24"/>
        </w:rPr>
        <w:t>1.满足《中华人民共和国政府采购法》第二十二条规定：</w:t>
      </w:r>
      <w:r>
        <w:rPr>
          <w:rFonts w:hint="eastAsia" w:ascii="宋体" w:hAnsi="宋体"/>
          <w:sz w:val="24"/>
          <w:u w:val="single"/>
        </w:rPr>
        <w:t>（1）有效的营业执照；（2）提供上年度财务审计报告或半年内任意一个月财务报表；（3）提供开标前半年内任意一个月的依法缴纳税收证明；（4）提供开标前半年内任意一个月的社保缴纳证明；（5）提供无重大违法记录声明书；</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.落实政府采购政策需满足的资格要求：</w:t>
      </w:r>
      <w:r>
        <w:rPr>
          <w:rFonts w:hint="eastAsia" w:ascii="宋体" w:hAnsi="宋体"/>
          <w:sz w:val="24"/>
          <w:u w:val="single"/>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3.本项目的特定资格要求：</w:t>
      </w:r>
      <w:r>
        <w:rPr>
          <w:rFonts w:hint="eastAsia" w:ascii="宋体" w:hAnsi="宋体"/>
          <w:sz w:val="24"/>
          <w:u w:val="single"/>
        </w:rPr>
        <w:t>/；</w:t>
      </w:r>
    </w:p>
    <w:p>
      <w:pPr>
        <w:spacing w:line="360" w:lineRule="auto"/>
        <w:ind w:firstLine="480" w:firstLineChars="200"/>
        <w:rPr>
          <w:rFonts w:ascii="宋体" w:hAnsi="宋体"/>
          <w:sz w:val="24"/>
          <w:u w:val="single"/>
        </w:rPr>
      </w:pPr>
      <w:r>
        <w:rPr>
          <w:rFonts w:hint="eastAsia" w:ascii="宋体" w:hAnsi="宋体"/>
          <w:sz w:val="24"/>
        </w:rPr>
        <w:t>4.本项目的其他资格要求：</w:t>
      </w:r>
      <w:r>
        <w:rPr>
          <w:rFonts w:hint="eastAsia" w:ascii="宋体" w:hAnsi="宋体"/>
          <w:sz w:val="24"/>
          <w:u w:val="single"/>
        </w:rPr>
        <w:t>供应商未列入失信被执行人、</w:t>
      </w:r>
      <w:r>
        <w:rPr>
          <w:rFonts w:hint="eastAsia" w:ascii="宋体" w:hAnsi="宋体"/>
          <w:sz w:val="24"/>
          <w:u w:val="single"/>
          <w:lang w:eastAsia="zh-CN"/>
        </w:rPr>
        <w:t>重大税收违法失信主体</w:t>
      </w:r>
      <w:r>
        <w:rPr>
          <w:rFonts w:hint="eastAsia" w:ascii="宋体" w:hAnsi="宋体"/>
          <w:sz w:val="24"/>
          <w:u w:val="single"/>
        </w:rPr>
        <w:t>、政府采购严重违法失信行为记录名单（财库[2016]125号）；</w:t>
      </w:r>
    </w:p>
    <w:p>
      <w:pPr>
        <w:spacing w:line="360" w:lineRule="auto"/>
        <w:ind w:firstLine="480" w:firstLineChars="200"/>
        <w:rPr>
          <w:rFonts w:ascii="宋体" w:hAnsi="宋体"/>
          <w:sz w:val="24"/>
        </w:rPr>
      </w:pPr>
      <w:r>
        <w:rPr>
          <w:rFonts w:hint="eastAsia" w:ascii="宋体" w:hAnsi="宋体"/>
          <w:sz w:val="24"/>
        </w:rPr>
        <w:t>5.需要落实的政府采购政策：</w:t>
      </w:r>
      <w:r>
        <w:rPr>
          <w:rFonts w:hint="eastAsia" w:ascii="宋体" w:hAnsi="宋体"/>
          <w:sz w:val="24"/>
          <w:u w:val="single"/>
        </w:rPr>
        <w:t>《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pPr>
        <w:pStyle w:val="4"/>
        <w:rPr>
          <w:rFonts w:ascii="宋体" w:hAnsi="宋体" w:cs="宋体"/>
          <w:b w:val="0"/>
          <w:szCs w:val="24"/>
        </w:rPr>
      </w:pPr>
      <w:bookmarkStart w:id="17" w:name="_Toc82617950"/>
      <w:bookmarkStart w:id="18" w:name="_Toc35393800"/>
      <w:bookmarkStart w:id="19" w:name="_Toc3659"/>
      <w:bookmarkStart w:id="20" w:name="_Toc35393631"/>
      <w:r>
        <w:rPr>
          <w:rFonts w:hint="eastAsia" w:ascii="宋体" w:hAnsi="宋体" w:cs="宋体"/>
          <w:b w:val="0"/>
          <w:szCs w:val="24"/>
        </w:rPr>
        <w:t>三、获取采购文件</w:t>
      </w:r>
      <w:bookmarkEnd w:id="15"/>
      <w:bookmarkEnd w:id="16"/>
      <w:bookmarkEnd w:id="17"/>
      <w:bookmarkEnd w:id="18"/>
      <w:bookmarkEnd w:id="19"/>
      <w:bookmarkEnd w:id="20"/>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highlight w:val="cyan"/>
          <w:u w:val="single"/>
        </w:rPr>
        <w:t>2022年</w:t>
      </w:r>
      <w:r>
        <w:rPr>
          <w:rFonts w:hint="eastAsia" w:ascii="宋体" w:hAnsi="宋体" w:cs="宋体"/>
          <w:sz w:val="24"/>
          <w:highlight w:val="cyan"/>
          <w:u w:val="single"/>
          <w:lang w:val="en-US" w:eastAsia="zh-CN"/>
        </w:rPr>
        <w:t xml:space="preserve">  </w:t>
      </w:r>
      <w:r>
        <w:rPr>
          <w:rFonts w:hint="eastAsia" w:ascii="宋体" w:hAnsi="宋体" w:cs="宋体"/>
          <w:sz w:val="24"/>
          <w:highlight w:val="cyan"/>
          <w:u w:val="single"/>
        </w:rPr>
        <w:t>月</w:t>
      </w:r>
      <w:r>
        <w:rPr>
          <w:rFonts w:hint="eastAsia" w:ascii="宋体" w:hAnsi="宋体" w:cs="宋体"/>
          <w:sz w:val="24"/>
          <w:highlight w:val="cyan"/>
          <w:u w:val="single"/>
          <w:lang w:val="en-US" w:eastAsia="zh-CN"/>
        </w:rPr>
        <w:t xml:space="preserve">  </w:t>
      </w:r>
      <w:r>
        <w:rPr>
          <w:rFonts w:hint="eastAsia" w:ascii="宋体" w:hAnsi="宋体" w:cs="宋体"/>
          <w:sz w:val="24"/>
          <w:highlight w:val="cyan"/>
          <w:u w:val="single"/>
        </w:rPr>
        <w:t>日</w:t>
      </w:r>
      <w:r>
        <w:rPr>
          <w:rFonts w:hint="eastAsia" w:ascii="宋体" w:hAnsi="宋体" w:cs="宋体"/>
          <w:sz w:val="24"/>
          <w:highlight w:val="cyan"/>
        </w:rPr>
        <w:t>至</w:t>
      </w:r>
      <w:r>
        <w:rPr>
          <w:rFonts w:hint="eastAsia" w:ascii="宋体" w:hAnsi="宋体" w:cs="宋体"/>
          <w:sz w:val="24"/>
          <w:highlight w:val="cyan"/>
          <w:u w:val="single"/>
        </w:rPr>
        <w:t>2022年</w:t>
      </w:r>
      <w:r>
        <w:rPr>
          <w:rFonts w:hint="eastAsia" w:ascii="宋体" w:hAnsi="宋体" w:cs="宋体"/>
          <w:sz w:val="24"/>
          <w:highlight w:val="cyan"/>
          <w:u w:val="single"/>
          <w:lang w:val="en-US" w:eastAsia="zh-CN"/>
        </w:rPr>
        <w:t xml:space="preserve">  </w:t>
      </w:r>
      <w:r>
        <w:rPr>
          <w:rFonts w:hint="eastAsia" w:ascii="宋体" w:hAnsi="宋体" w:cs="宋体"/>
          <w:sz w:val="24"/>
          <w:highlight w:val="cyan"/>
          <w:u w:val="single"/>
        </w:rPr>
        <w:t>月</w:t>
      </w:r>
      <w:r>
        <w:rPr>
          <w:rFonts w:hint="eastAsia" w:ascii="宋体" w:hAnsi="宋体" w:cs="宋体"/>
          <w:sz w:val="24"/>
          <w:highlight w:val="cyan"/>
          <w:u w:val="single"/>
          <w:lang w:val="en-US" w:eastAsia="zh-CN"/>
        </w:rPr>
        <w:t xml:space="preserve">  </w:t>
      </w:r>
      <w:r>
        <w:rPr>
          <w:rFonts w:hint="eastAsia" w:ascii="宋体" w:hAnsi="宋体" w:cs="宋体"/>
          <w:sz w:val="24"/>
          <w:highlight w:val="cyan"/>
          <w:u w:val="single"/>
        </w:rPr>
        <w:t>日</w:t>
      </w:r>
      <w:r>
        <w:rPr>
          <w:rFonts w:hint="eastAsia" w:ascii="宋体" w:hAnsi="宋体" w:cs="宋体"/>
          <w:sz w:val="24"/>
        </w:rPr>
        <w:t>；</w:t>
      </w:r>
    </w:p>
    <w:p>
      <w:pPr>
        <w:spacing w:line="360" w:lineRule="auto"/>
        <w:ind w:firstLine="540"/>
        <w:rPr>
          <w:rFonts w:ascii="宋体" w:hAnsi="宋体" w:cs="宋体"/>
          <w:sz w:val="24"/>
        </w:rPr>
      </w:pPr>
      <w:r>
        <w:rPr>
          <w:rFonts w:hint="eastAsia" w:ascii="宋体" w:hAnsi="宋体" w:cs="宋体"/>
          <w:sz w:val="24"/>
        </w:rPr>
        <w:t>方式：购买采购文件时须提供：法定代表人授权委托书、被授权人身份证、营业执照（加盖单位公章复印件一套）；</w:t>
      </w:r>
    </w:p>
    <w:p>
      <w:pPr>
        <w:pStyle w:val="4"/>
        <w:rPr>
          <w:rFonts w:ascii="宋体" w:hAnsi="宋体" w:cs="宋体"/>
          <w:b w:val="0"/>
          <w:szCs w:val="24"/>
        </w:rPr>
      </w:pPr>
      <w:bookmarkStart w:id="21" w:name="_Toc28359015"/>
      <w:bookmarkStart w:id="22" w:name="_Toc28359092"/>
      <w:bookmarkStart w:id="23" w:name="_Toc35393801"/>
      <w:bookmarkStart w:id="24" w:name="_Toc82617951"/>
      <w:bookmarkStart w:id="25" w:name="_Toc24018"/>
      <w:bookmarkStart w:id="26" w:name="_Toc35393632"/>
      <w:r>
        <w:rPr>
          <w:rFonts w:hint="eastAsia" w:ascii="宋体" w:hAnsi="宋体" w:cs="宋体"/>
          <w:b w:val="0"/>
          <w:szCs w:val="24"/>
        </w:rPr>
        <w:t>四、响应文件提交</w:t>
      </w:r>
      <w:bookmarkEnd w:id="21"/>
      <w:bookmarkEnd w:id="22"/>
      <w:bookmarkEnd w:id="23"/>
      <w:bookmarkEnd w:id="24"/>
      <w:bookmarkEnd w:id="25"/>
      <w:bookmarkEnd w:id="26"/>
    </w:p>
    <w:p>
      <w:pPr>
        <w:spacing w:line="360" w:lineRule="auto"/>
        <w:ind w:firstLine="480" w:firstLineChars="200"/>
        <w:rPr>
          <w:rFonts w:ascii="宋体" w:hAnsi="宋体"/>
          <w:bCs/>
          <w:sz w:val="24"/>
          <w:u w:val="single"/>
        </w:rPr>
      </w:pPr>
      <w:r>
        <w:rPr>
          <w:rFonts w:hint="eastAsia" w:ascii="宋体" w:hAnsi="宋体"/>
          <w:sz w:val="24"/>
        </w:rPr>
        <w:t>截止时间：</w:t>
      </w:r>
      <w:r>
        <w:rPr>
          <w:rFonts w:hint="eastAsia" w:ascii="宋体" w:hAnsi="宋体"/>
          <w:sz w:val="24"/>
          <w:highlight w:val="cyan"/>
          <w:u w:val="single"/>
        </w:rPr>
        <w:t>2022</w:t>
      </w:r>
      <w:r>
        <w:rPr>
          <w:rFonts w:hint="eastAsia" w:ascii="宋体" w:hAnsi="宋体"/>
          <w:bCs/>
          <w:sz w:val="24"/>
          <w:highlight w:val="cyan"/>
          <w:u w:val="single"/>
        </w:rPr>
        <w:t>年</w:t>
      </w:r>
      <w:r>
        <w:rPr>
          <w:rFonts w:hint="eastAsia" w:ascii="宋体" w:hAnsi="宋体"/>
          <w:bCs/>
          <w:sz w:val="24"/>
          <w:highlight w:val="cyan"/>
          <w:u w:val="single"/>
          <w:lang w:val="en-US" w:eastAsia="zh-CN"/>
        </w:rPr>
        <w:t xml:space="preserve">  </w:t>
      </w:r>
      <w:r>
        <w:rPr>
          <w:rFonts w:hint="eastAsia" w:ascii="宋体" w:hAnsi="宋体"/>
          <w:bCs/>
          <w:sz w:val="24"/>
          <w:highlight w:val="cyan"/>
          <w:u w:val="single"/>
        </w:rPr>
        <w:t>月</w:t>
      </w:r>
      <w:r>
        <w:rPr>
          <w:rFonts w:hint="eastAsia" w:ascii="宋体" w:hAnsi="宋体"/>
          <w:bCs/>
          <w:sz w:val="24"/>
          <w:highlight w:val="cyan"/>
          <w:u w:val="single"/>
          <w:lang w:val="en-US" w:eastAsia="zh-CN"/>
        </w:rPr>
        <w:t xml:space="preserve">  </w:t>
      </w:r>
      <w:r>
        <w:rPr>
          <w:rFonts w:hint="eastAsia" w:ascii="宋体" w:hAnsi="宋体"/>
          <w:bCs/>
          <w:sz w:val="24"/>
          <w:highlight w:val="cyan"/>
          <w:u w:val="single"/>
        </w:rPr>
        <w:t>日</w:t>
      </w:r>
      <w:r>
        <w:rPr>
          <w:rFonts w:hint="eastAsia" w:ascii="宋体" w:hAnsi="宋体"/>
          <w:bCs/>
          <w:sz w:val="24"/>
          <w:highlight w:val="cyan"/>
          <w:u w:val="single"/>
          <w:lang w:val="en-US" w:eastAsia="zh-CN"/>
        </w:rPr>
        <w:t>16</w:t>
      </w:r>
      <w:r>
        <w:rPr>
          <w:rFonts w:hint="eastAsia" w:ascii="宋体" w:hAnsi="宋体"/>
          <w:bCs/>
          <w:sz w:val="24"/>
          <w:highlight w:val="cyan"/>
          <w:u w:val="single"/>
        </w:rPr>
        <w:t>点</w:t>
      </w:r>
      <w:r>
        <w:rPr>
          <w:rFonts w:hint="eastAsia" w:ascii="宋体" w:hAnsi="宋体"/>
          <w:bCs/>
          <w:sz w:val="24"/>
          <w:highlight w:val="cyan"/>
          <w:u w:val="single"/>
          <w:lang w:val="en-US" w:eastAsia="zh-CN"/>
        </w:rPr>
        <w:t>00</w:t>
      </w:r>
      <w:r>
        <w:rPr>
          <w:rFonts w:hint="eastAsia" w:ascii="宋体" w:hAnsi="宋体"/>
          <w:bCs/>
          <w:sz w:val="24"/>
          <w:highlight w:val="cyan"/>
          <w:u w:val="single"/>
        </w:rPr>
        <w:t>分</w:t>
      </w:r>
      <w:r>
        <w:rPr>
          <w:rFonts w:hint="eastAsia" w:ascii="宋体" w:hAnsi="宋体"/>
          <w:bCs/>
          <w:sz w:val="24"/>
        </w:rPr>
        <w:t>（北京时间）</w:t>
      </w:r>
    </w:p>
    <w:p>
      <w:pPr>
        <w:spacing w:line="360" w:lineRule="auto"/>
        <w:ind w:firstLine="480" w:firstLineChars="200"/>
        <w:rPr>
          <w:rFonts w:ascii="宋体" w:hAnsi="宋体"/>
          <w:bCs/>
          <w:sz w:val="24"/>
          <w:u w:val="single"/>
        </w:rPr>
      </w:pPr>
      <w:r>
        <w:rPr>
          <w:rFonts w:hint="eastAsia" w:ascii="宋体" w:hAnsi="宋体"/>
          <w:sz w:val="24"/>
        </w:rPr>
        <w:t>地点：</w:t>
      </w:r>
      <w:r>
        <w:rPr>
          <w:rFonts w:hint="eastAsia" w:ascii="宋体" w:hAnsi="宋体"/>
          <w:sz w:val="24"/>
          <w:lang w:val="en-US" w:eastAsia="zh-CN"/>
        </w:rPr>
        <w:t>新疆西北招标有限公司会议室（乌鲁木齐市伊宁路318号江西大厦9楼）</w:t>
      </w:r>
    </w:p>
    <w:p>
      <w:pPr>
        <w:pStyle w:val="4"/>
        <w:rPr>
          <w:rFonts w:ascii="宋体" w:hAnsi="宋体" w:cs="宋体"/>
          <w:b w:val="0"/>
          <w:szCs w:val="24"/>
        </w:rPr>
      </w:pPr>
      <w:bookmarkStart w:id="27" w:name="_Toc15125"/>
      <w:bookmarkStart w:id="28" w:name="_Toc28359093"/>
      <w:bookmarkStart w:id="29" w:name="_Toc82617952"/>
      <w:bookmarkStart w:id="30" w:name="_Toc35393802"/>
      <w:bookmarkStart w:id="31" w:name="_Toc35393633"/>
      <w:bookmarkStart w:id="32" w:name="_Toc28359016"/>
      <w:r>
        <w:rPr>
          <w:rFonts w:hint="eastAsia" w:ascii="宋体" w:hAnsi="宋体" w:cs="宋体"/>
          <w:b w:val="0"/>
          <w:szCs w:val="24"/>
        </w:rPr>
        <w:t>五、开启</w:t>
      </w:r>
      <w:bookmarkEnd w:id="27"/>
      <w:bookmarkEnd w:id="28"/>
      <w:bookmarkEnd w:id="29"/>
      <w:bookmarkEnd w:id="30"/>
      <w:bookmarkEnd w:id="31"/>
      <w:bookmarkEnd w:id="32"/>
    </w:p>
    <w:p>
      <w:pPr>
        <w:spacing w:line="360" w:lineRule="auto"/>
        <w:ind w:firstLine="480" w:firstLineChars="200"/>
        <w:rPr>
          <w:rFonts w:ascii="宋体" w:hAnsi="宋体"/>
          <w:bCs/>
          <w:sz w:val="24"/>
          <w:u w:val="single"/>
        </w:rPr>
      </w:pPr>
      <w:r>
        <w:rPr>
          <w:rFonts w:hint="eastAsia" w:ascii="宋体" w:hAnsi="宋体"/>
          <w:sz w:val="24"/>
        </w:rPr>
        <w:t>时间：</w:t>
      </w:r>
      <w:r>
        <w:rPr>
          <w:rFonts w:hint="eastAsia" w:ascii="宋体" w:hAnsi="宋体"/>
          <w:sz w:val="24"/>
          <w:highlight w:val="cyan"/>
          <w:u w:val="single"/>
        </w:rPr>
        <w:t>2022</w:t>
      </w:r>
      <w:r>
        <w:rPr>
          <w:rFonts w:hint="eastAsia" w:ascii="宋体" w:hAnsi="宋体"/>
          <w:bCs/>
          <w:sz w:val="24"/>
          <w:highlight w:val="cyan"/>
          <w:u w:val="single"/>
        </w:rPr>
        <w:t>年</w:t>
      </w:r>
      <w:r>
        <w:rPr>
          <w:rFonts w:hint="eastAsia" w:ascii="宋体" w:hAnsi="宋体"/>
          <w:bCs/>
          <w:sz w:val="24"/>
          <w:highlight w:val="cyan"/>
          <w:u w:val="single"/>
          <w:lang w:val="en-US" w:eastAsia="zh-CN"/>
        </w:rPr>
        <w:t xml:space="preserve">  </w:t>
      </w:r>
      <w:r>
        <w:rPr>
          <w:rFonts w:hint="eastAsia" w:ascii="宋体" w:hAnsi="宋体"/>
          <w:bCs/>
          <w:sz w:val="24"/>
          <w:highlight w:val="cyan"/>
          <w:u w:val="single"/>
        </w:rPr>
        <w:t>月</w:t>
      </w:r>
      <w:r>
        <w:rPr>
          <w:rFonts w:hint="eastAsia" w:ascii="宋体" w:hAnsi="宋体"/>
          <w:bCs/>
          <w:sz w:val="24"/>
          <w:highlight w:val="cyan"/>
          <w:u w:val="single"/>
          <w:lang w:val="en-US" w:eastAsia="zh-CN"/>
        </w:rPr>
        <w:t xml:space="preserve">  </w:t>
      </w:r>
      <w:r>
        <w:rPr>
          <w:rFonts w:hint="eastAsia" w:ascii="宋体" w:hAnsi="宋体"/>
          <w:bCs/>
          <w:sz w:val="24"/>
          <w:highlight w:val="cyan"/>
          <w:u w:val="single"/>
        </w:rPr>
        <w:t>日</w:t>
      </w:r>
      <w:r>
        <w:rPr>
          <w:rFonts w:hint="eastAsia" w:ascii="宋体" w:hAnsi="宋体"/>
          <w:bCs/>
          <w:sz w:val="24"/>
          <w:highlight w:val="cyan"/>
          <w:u w:val="single"/>
          <w:lang w:val="en-US" w:eastAsia="zh-CN"/>
        </w:rPr>
        <w:t>16</w:t>
      </w:r>
      <w:r>
        <w:rPr>
          <w:rFonts w:hint="eastAsia" w:ascii="宋体" w:hAnsi="宋体"/>
          <w:bCs/>
          <w:sz w:val="24"/>
          <w:highlight w:val="cyan"/>
          <w:u w:val="single"/>
        </w:rPr>
        <w:t>点</w:t>
      </w:r>
      <w:r>
        <w:rPr>
          <w:rFonts w:hint="eastAsia" w:ascii="宋体" w:hAnsi="宋体"/>
          <w:bCs/>
          <w:sz w:val="24"/>
          <w:highlight w:val="cyan"/>
          <w:u w:val="single"/>
          <w:lang w:val="en-US" w:eastAsia="zh-CN"/>
        </w:rPr>
        <w:t>00</w:t>
      </w:r>
      <w:r>
        <w:rPr>
          <w:rFonts w:hint="eastAsia" w:ascii="宋体" w:hAnsi="宋体"/>
          <w:bCs/>
          <w:sz w:val="24"/>
          <w:highlight w:val="cyan"/>
          <w:u w:val="single"/>
        </w:rPr>
        <w:t>分</w:t>
      </w:r>
      <w:r>
        <w:rPr>
          <w:rFonts w:hint="eastAsia" w:ascii="宋体" w:hAnsi="宋体"/>
          <w:bCs/>
          <w:sz w:val="24"/>
        </w:rPr>
        <w:t>（北京时间）</w:t>
      </w:r>
    </w:p>
    <w:p>
      <w:pPr>
        <w:spacing w:line="360" w:lineRule="auto"/>
        <w:ind w:firstLine="480" w:firstLineChars="200"/>
        <w:rPr>
          <w:rFonts w:hint="eastAsia" w:ascii="宋体" w:hAnsi="宋体" w:eastAsia="宋体"/>
          <w:bCs/>
          <w:sz w:val="24"/>
          <w:u w:val="single"/>
          <w:lang w:val="en-US" w:eastAsia="zh-CN"/>
        </w:rPr>
      </w:pPr>
      <w:r>
        <w:rPr>
          <w:rFonts w:hint="eastAsia" w:ascii="宋体" w:hAnsi="宋体"/>
          <w:sz w:val="24"/>
        </w:rPr>
        <w:t>地点：</w:t>
      </w:r>
      <w:r>
        <w:rPr>
          <w:rFonts w:hint="eastAsia" w:ascii="宋体" w:hAnsi="宋体"/>
          <w:sz w:val="24"/>
          <w:lang w:val="en-US" w:eastAsia="zh-CN"/>
        </w:rPr>
        <w:t>新疆西北招标有限公司会议室（乌鲁木齐市伊宁路318号江西大厦9楼）</w:t>
      </w:r>
    </w:p>
    <w:p>
      <w:pPr>
        <w:pStyle w:val="4"/>
        <w:rPr>
          <w:rFonts w:ascii="宋体" w:hAnsi="宋体" w:cs="宋体"/>
          <w:b w:val="0"/>
          <w:szCs w:val="24"/>
        </w:rPr>
      </w:pPr>
      <w:bookmarkStart w:id="33" w:name="_Toc35393635"/>
      <w:bookmarkStart w:id="34" w:name="_Toc82617954"/>
      <w:bookmarkStart w:id="35" w:name="_Toc27511"/>
      <w:bookmarkStart w:id="36" w:name="_Toc35393804"/>
      <w:r>
        <w:rPr>
          <w:rFonts w:hint="eastAsia" w:ascii="宋体" w:hAnsi="宋体" w:cs="宋体"/>
          <w:b w:val="0"/>
          <w:szCs w:val="24"/>
        </w:rPr>
        <w:t>六、其他补充事宜</w:t>
      </w:r>
      <w:bookmarkEnd w:id="33"/>
      <w:bookmarkEnd w:id="34"/>
      <w:bookmarkEnd w:id="35"/>
      <w:bookmarkEnd w:id="36"/>
    </w:p>
    <w:p>
      <w:pPr>
        <w:pStyle w:val="41"/>
        <w:spacing w:before="75" w:beforeAutospacing="0" w:after="75" w:afterAutospacing="0" w:line="360" w:lineRule="auto"/>
        <w:ind w:left="210" w:leftChars="100" w:firstLine="240" w:firstLineChars="100"/>
        <w:rPr>
          <w:rFonts w:ascii="仿宋" w:hAnsi="仿宋" w:cs="Times New Roman"/>
          <w:kern w:val="2"/>
          <w:sz w:val="27"/>
          <w:szCs w:val="27"/>
          <w:highlight w:val="cyan"/>
        </w:rPr>
      </w:pPr>
      <w:r>
        <w:rPr>
          <w:rFonts w:hint="eastAsia"/>
          <w:highlight w:val="cyan"/>
        </w:rPr>
        <w:t>上述预算金额均为一年预算金额</w:t>
      </w:r>
    </w:p>
    <w:p>
      <w:pPr>
        <w:pStyle w:val="4"/>
        <w:rPr>
          <w:rFonts w:ascii="宋体" w:hAnsi="宋体" w:cs="宋体"/>
          <w:b w:val="0"/>
          <w:szCs w:val="24"/>
        </w:rPr>
      </w:pPr>
      <w:bookmarkStart w:id="37" w:name="_Toc28359095"/>
      <w:bookmarkStart w:id="38" w:name="_Toc28359018"/>
      <w:bookmarkStart w:id="39" w:name="_Toc35393805"/>
      <w:bookmarkStart w:id="40" w:name="_Toc82617955"/>
      <w:bookmarkStart w:id="41" w:name="_Toc16065"/>
      <w:bookmarkStart w:id="42" w:name="_Toc35393636"/>
      <w:r>
        <w:rPr>
          <w:rFonts w:hint="eastAsia" w:ascii="宋体" w:hAnsi="宋体" w:cs="宋体"/>
          <w:b w:val="0"/>
          <w:szCs w:val="24"/>
        </w:rPr>
        <w:t>七、凡对本次采购提出询问，请按</w:t>
      </w:r>
      <w:r>
        <w:rPr>
          <w:rFonts w:ascii="宋体" w:hAnsi="宋体" w:cs="宋体"/>
          <w:b w:val="0"/>
          <w:szCs w:val="24"/>
        </w:rPr>
        <w:t>以下方式</w:t>
      </w:r>
      <w:r>
        <w:rPr>
          <w:rFonts w:hint="eastAsia" w:ascii="宋体" w:hAnsi="宋体" w:cs="宋体"/>
          <w:b w:val="0"/>
          <w:szCs w:val="24"/>
        </w:rPr>
        <w:t>联系</w:t>
      </w:r>
      <w:bookmarkEnd w:id="37"/>
      <w:bookmarkEnd w:id="38"/>
      <w:bookmarkEnd w:id="39"/>
      <w:bookmarkEnd w:id="40"/>
      <w:bookmarkEnd w:id="41"/>
      <w:bookmarkEnd w:id="42"/>
    </w:p>
    <w:p>
      <w:pPr>
        <w:adjustRightInd w:val="0"/>
        <w:snapToGrid w:val="0"/>
        <w:spacing w:line="360" w:lineRule="auto"/>
        <w:ind w:firstLine="480" w:firstLineChars="200"/>
        <w:rPr>
          <w:rFonts w:ascii="宋体" w:hAnsi="宋体" w:cs="宋体"/>
          <w:sz w:val="24"/>
        </w:rPr>
      </w:pPr>
      <w:bookmarkStart w:id="43" w:name="_Toc35393637"/>
      <w:bookmarkStart w:id="44" w:name="_Toc35393806"/>
      <w:bookmarkStart w:id="45" w:name="_Toc28359096"/>
      <w:bookmarkStart w:id="46" w:name="_Toc82617956"/>
      <w:bookmarkStart w:id="47" w:name="_Toc28359019"/>
      <w:r>
        <w:rPr>
          <w:rFonts w:hint="eastAsia" w:ascii="宋体" w:hAnsi="宋体" w:cs="宋体"/>
          <w:sz w:val="24"/>
        </w:rPr>
        <w:t>1.采购人信息</w:t>
      </w:r>
      <w:bookmarkEnd w:id="43"/>
      <w:bookmarkEnd w:id="44"/>
      <w:bookmarkEnd w:id="45"/>
      <w:bookmarkEnd w:id="46"/>
      <w:bookmarkEnd w:id="47"/>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新疆维吾尔自治区公安厅</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乌鲁木齐市黄河路58号</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0991-5586575</w:t>
      </w:r>
    </w:p>
    <w:p>
      <w:pPr>
        <w:adjustRightInd w:val="0"/>
        <w:snapToGrid w:val="0"/>
        <w:spacing w:line="360" w:lineRule="auto"/>
        <w:ind w:firstLine="480" w:firstLineChars="200"/>
        <w:rPr>
          <w:rFonts w:ascii="宋体" w:hAnsi="宋体" w:cs="宋体"/>
          <w:sz w:val="24"/>
        </w:rPr>
      </w:pPr>
      <w:bookmarkStart w:id="48" w:name="_Toc28359097"/>
      <w:bookmarkStart w:id="49" w:name="_Toc35393638"/>
      <w:bookmarkStart w:id="50" w:name="_Toc82617957"/>
      <w:bookmarkStart w:id="51" w:name="_Toc35393807"/>
      <w:bookmarkStart w:id="52" w:name="_Toc28359020"/>
      <w:r>
        <w:rPr>
          <w:rFonts w:hint="eastAsia" w:ascii="宋体" w:hAnsi="宋体" w:cs="宋体"/>
          <w:sz w:val="24"/>
        </w:rPr>
        <w:t>2.采购代理机构信息</w:t>
      </w:r>
      <w:bookmarkEnd w:id="48"/>
      <w:bookmarkEnd w:id="49"/>
      <w:bookmarkEnd w:id="50"/>
      <w:bookmarkEnd w:id="51"/>
      <w:bookmarkEnd w:id="52"/>
    </w:p>
    <w:p>
      <w:pPr>
        <w:adjustRightInd w:val="0"/>
        <w:snapToGrid w:val="0"/>
        <w:spacing w:line="360" w:lineRule="auto"/>
        <w:ind w:firstLine="480" w:firstLineChars="200"/>
        <w:rPr>
          <w:rFonts w:hint="eastAsia" w:ascii="宋体" w:hAnsi="宋体" w:eastAsia="宋体" w:cs="宋体"/>
          <w:sz w:val="24"/>
          <w:lang w:val="en-US" w:eastAsia="zh-CN"/>
        </w:rPr>
      </w:pPr>
      <w:bookmarkStart w:id="53" w:name="_Toc28359098"/>
      <w:bookmarkStart w:id="54" w:name="_Toc35393808"/>
      <w:bookmarkStart w:id="55" w:name="_Toc82617958"/>
      <w:bookmarkStart w:id="56" w:name="_Toc35393639"/>
      <w:bookmarkStart w:id="57" w:name="_Toc28359021"/>
      <w:r>
        <w:rPr>
          <w:rFonts w:hint="eastAsia" w:ascii="宋体" w:hAnsi="宋体" w:cs="宋体"/>
          <w:sz w:val="24"/>
        </w:rPr>
        <w:t>名    称：</w:t>
      </w:r>
      <w:r>
        <w:rPr>
          <w:rFonts w:hint="eastAsia" w:ascii="宋体" w:hAnsi="宋体" w:cs="宋体"/>
          <w:sz w:val="24"/>
          <w:lang w:val="en-US" w:eastAsia="zh-CN"/>
        </w:rPr>
        <w:t>新疆西北招标有限公司</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乌鲁木齐市伊宁路318号江西大厦9楼</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0991-5823555</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3.项目联系</w:t>
      </w:r>
      <w:r>
        <w:rPr>
          <w:rFonts w:ascii="宋体" w:hAnsi="宋体" w:cs="宋体"/>
          <w:sz w:val="24"/>
        </w:rPr>
        <w:t>方式</w:t>
      </w:r>
      <w:bookmarkEnd w:id="53"/>
      <w:bookmarkEnd w:id="54"/>
      <w:bookmarkEnd w:id="55"/>
      <w:bookmarkEnd w:id="56"/>
      <w:bookmarkEnd w:id="57"/>
    </w:p>
    <w:p>
      <w:pPr>
        <w:adjustRightInd w:val="0"/>
        <w:snapToGrid w:val="0"/>
        <w:spacing w:line="360" w:lineRule="auto"/>
        <w:ind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刘建新 李华</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 xml:space="preserve">电 </w:t>
      </w:r>
      <w:r>
        <w:rPr>
          <w:rFonts w:ascii="宋体" w:hAnsi="宋体" w:cs="宋体"/>
          <w:sz w:val="24"/>
        </w:rPr>
        <w:t xml:space="preserve">     </w:t>
      </w:r>
      <w:r>
        <w:rPr>
          <w:rFonts w:hint="eastAsia" w:ascii="宋体" w:hAnsi="宋体" w:cs="宋体"/>
          <w:sz w:val="24"/>
        </w:rPr>
        <w:t>话：</w:t>
      </w:r>
      <w:r>
        <w:rPr>
          <w:rFonts w:hint="eastAsia" w:ascii="宋体" w:hAnsi="宋体" w:cs="宋体"/>
          <w:sz w:val="24"/>
          <w:lang w:val="en-US" w:eastAsia="zh-CN"/>
        </w:rPr>
        <w:t>0991-5823555</w:t>
      </w:r>
    </w:p>
    <w:p>
      <w:pPr>
        <w:adjustRightInd w:val="0"/>
        <w:snapToGrid w:val="0"/>
        <w:spacing w:line="360" w:lineRule="auto"/>
        <w:ind w:firstLine="480" w:firstLineChars="200"/>
        <w:rPr>
          <w:rFonts w:ascii="宋体" w:hAnsi="宋体" w:cs="宋体"/>
          <w:sz w:val="24"/>
        </w:rPr>
      </w:pPr>
    </w:p>
    <w:p>
      <w:pPr>
        <w:pStyle w:val="3"/>
      </w:pPr>
      <w:r>
        <w:br w:type="page"/>
      </w:r>
      <w:bookmarkStart w:id="58" w:name="_Toc8387"/>
      <w:r>
        <w:rPr>
          <w:rFonts w:hint="eastAsia"/>
        </w:rPr>
        <w:t>第二章 协商须知</w:t>
      </w:r>
      <w:bookmarkEnd w:id="58"/>
    </w:p>
    <w:p>
      <w:pPr>
        <w:pStyle w:val="262"/>
        <w:rPr>
          <w:color w:val="auto"/>
        </w:rPr>
      </w:pPr>
      <w:bookmarkStart w:id="59" w:name="_Toc2961"/>
      <w:r>
        <w:rPr>
          <w:rFonts w:hint="eastAsia"/>
          <w:color w:val="auto"/>
        </w:rPr>
        <w:t>协商须知前附表</w:t>
      </w:r>
      <w:bookmarkEnd w:id="59"/>
    </w:p>
    <w:tbl>
      <w:tblPr>
        <w:tblStyle w:val="45"/>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875"/>
        <w:gridCol w:w="5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7" w:type="dxa"/>
            <w:vAlign w:val="center"/>
          </w:tcPr>
          <w:p>
            <w:pPr>
              <w:adjustRightInd w:val="0"/>
              <w:snapToGrid w:val="0"/>
              <w:spacing w:line="240" w:lineRule="auto"/>
              <w:jc w:val="center"/>
              <w:rPr>
                <w:rFonts w:ascii="宋体" w:hAnsi="宋体"/>
                <w:b/>
                <w:szCs w:val="21"/>
              </w:rPr>
            </w:pPr>
            <w:r>
              <w:rPr>
                <w:rFonts w:hint="eastAsia" w:ascii="宋体" w:hAnsi="宋体"/>
                <w:b/>
                <w:szCs w:val="21"/>
              </w:rPr>
              <w:t>条款号</w:t>
            </w:r>
          </w:p>
        </w:tc>
        <w:tc>
          <w:tcPr>
            <w:tcW w:w="1875" w:type="dxa"/>
            <w:vAlign w:val="center"/>
          </w:tcPr>
          <w:p>
            <w:pPr>
              <w:adjustRightInd w:val="0"/>
              <w:snapToGrid w:val="0"/>
              <w:spacing w:line="240" w:lineRule="auto"/>
              <w:jc w:val="center"/>
              <w:rPr>
                <w:rFonts w:ascii="宋体" w:hAnsi="宋体"/>
                <w:b/>
                <w:szCs w:val="21"/>
              </w:rPr>
            </w:pPr>
            <w:r>
              <w:rPr>
                <w:rFonts w:hint="eastAsia" w:ascii="宋体" w:hAnsi="宋体"/>
                <w:b/>
                <w:szCs w:val="21"/>
              </w:rPr>
              <w:t>条款名称</w:t>
            </w:r>
          </w:p>
        </w:tc>
        <w:tc>
          <w:tcPr>
            <w:tcW w:w="5578" w:type="dxa"/>
            <w:vAlign w:val="center"/>
          </w:tcPr>
          <w:p>
            <w:pPr>
              <w:adjustRightInd w:val="0"/>
              <w:snapToGrid w:val="0"/>
              <w:spacing w:line="240" w:lineRule="auto"/>
              <w:jc w:val="center"/>
              <w:rPr>
                <w:rFonts w:ascii="宋体" w:hAnsi="宋体"/>
                <w:b/>
                <w:szCs w:val="21"/>
              </w:rPr>
            </w:pPr>
            <w:r>
              <w:rPr>
                <w:rFonts w:hint="eastAsia" w:ascii="宋体" w:hAnsi="宋体"/>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620" w:type="dxa"/>
            <w:gridSpan w:val="3"/>
            <w:vAlign w:val="center"/>
          </w:tcPr>
          <w:p>
            <w:pPr>
              <w:adjustRightInd w:val="0"/>
              <w:snapToGrid w:val="0"/>
              <w:spacing w:line="240" w:lineRule="auto"/>
              <w:rPr>
                <w:rFonts w:ascii="宋体" w:hAnsi="宋体"/>
                <w:szCs w:val="21"/>
              </w:rPr>
            </w:pPr>
            <w:r>
              <w:rPr>
                <w:rFonts w:hint="eastAsia" w:ascii="宋体" w:hAnsi="宋体"/>
                <w:b/>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第二章第1.1项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采购项目</w:t>
            </w:r>
          </w:p>
        </w:tc>
        <w:tc>
          <w:tcPr>
            <w:tcW w:w="5578" w:type="dxa"/>
            <w:vAlign w:val="center"/>
          </w:tcPr>
          <w:p>
            <w:pPr>
              <w:adjustRightInd w:val="0"/>
              <w:snapToGrid w:val="0"/>
              <w:spacing w:line="240" w:lineRule="auto"/>
              <w:rPr>
                <w:rFonts w:hint="eastAsia" w:ascii="宋体" w:hAnsi="宋体" w:eastAsia="宋体"/>
                <w:szCs w:val="21"/>
                <w:lang w:eastAsia="zh-CN"/>
              </w:rPr>
            </w:pPr>
            <w:r>
              <w:rPr>
                <w:rFonts w:hint="eastAsia" w:ascii="宋体" w:hAnsi="宋体"/>
                <w:szCs w:val="21"/>
                <w:lang w:eastAsia="zh-CN"/>
              </w:rPr>
              <w:t>交管12123语音平台坐席服务续租项目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第二章第2.1项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采购人</w:t>
            </w:r>
          </w:p>
        </w:tc>
        <w:tc>
          <w:tcPr>
            <w:tcW w:w="5578" w:type="dxa"/>
            <w:vAlign w:val="center"/>
          </w:tcPr>
          <w:p>
            <w:pPr>
              <w:adjustRightInd w:val="0"/>
              <w:snapToGrid w:val="0"/>
              <w:spacing w:line="240" w:lineRule="auto"/>
              <w:jc w:val="left"/>
              <w:rPr>
                <w:rFonts w:hint="eastAsia" w:ascii="宋体" w:hAnsi="宋体" w:eastAsia="宋体"/>
                <w:szCs w:val="21"/>
                <w:lang w:eastAsia="zh-CN"/>
              </w:rPr>
            </w:pPr>
            <w:r>
              <w:rPr>
                <w:rFonts w:hint="eastAsia" w:ascii="宋体" w:hAnsi="宋体"/>
                <w:szCs w:val="21"/>
                <w:lang w:eastAsia="zh-CN"/>
              </w:rPr>
              <w:t>采购人：新疆维吾尔自治区公安厅</w:t>
            </w:r>
          </w:p>
          <w:p>
            <w:pPr>
              <w:adjustRightInd w:val="0"/>
              <w:snapToGrid w:val="0"/>
              <w:spacing w:line="240" w:lineRule="auto"/>
              <w:jc w:val="left"/>
              <w:rPr>
                <w:rFonts w:hint="eastAsia" w:ascii="宋体" w:hAnsi="宋体" w:eastAsia="宋体"/>
                <w:szCs w:val="21"/>
                <w:lang w:eastAsia="zh-CN"/>
              </w:rPr>
            </w:pPr>
            <w:r>
              <w:rPr>
                <w:rFonts w:hint="eastAsia" w:ascii="宋体" w:hAnsi="宋体"/>
                <w:szCs w:val="21"/>
              </w:rPr>
              <w:t>地  址：</w:t>
            </w:r>
            <w:r>
              <w:rPr>
                <w:rFonts w:hint="eastAsia" w:ascii="宋体" w:hAnsi="宋体"/>
                <w:szCs w:val="21"/>
                <w:lang w:eastAsia="zh-CN"/>
              </w:rPr>
              <w:t>乌鲁木齐市黄河路58号</w:t>
            </w:r>
          </w:p>
          <w:p>
            <w:pPr>
              <w:adjustRightInd w:val="0"/>
              <w:snapToGrid w:val="0"/>
              <w:spacing w:line="240" w:lineRule="auto"/>
              <w:jc w:val="left"/>
              <w:rPr>
                <w:rFonts w:hint="eastAsia" w:ascii="宋体" w:hAnsi="宋体" w:eastAsia="宋体"/>
                <w:bCs/>
                <w:szCs w:val="21"/>
                <w:lang w:eastAsia="zh-CN"/>
              </w:rPr>
            </w:pPr>
            <w:r>
              <w:rPr>
                <w:rFonts w:hint="eastAsia" w:ascii="宋体" w:hAnsi="宋体"/>
                <w:szCs w:val="21"/>
              </w:rPr>
              <w:t>联系电话：</w:t>
            </w:r>
            <w:r>
              <w:rPr>
                <w:rFonts w:hint="eastAsia" w:ascii="宋体" w:hAnsi="宋体"/>
                <w:szCs w:val="21"/>
                <w:lang w:eastAsia="zh-CN"/>
              </w:rPr>
              <w:t>0991-5586575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第二章第2.2项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采购代理机构</w:t>
            </w:r>
          </w:p>
        </w:tc>
        <w:tc>
          <w:tcPr>
            <w:tcW w:w="5578" w:type="dxa"/>
            <w:vAlign w:val="center"/>
          </w:tcPr>
          <w:p>
            <w:pPr>
              <w:shd w:val="clear" w:color="auto" w:fill="FFFFFF"/>
              <w:adjustRightInd w:val="0"/>
              <w:snapToGrid w:val="0"/>
              <w:spacing w:line="240" w:lineRule="auto"/>
              <w:rPr>
                <w:rFonts w:ascii="宋体" w:hAnsi="宋体"/>
                <w:bCs/>
                <w:szCs w:val="21"/>
              </w:rPr>
            </w:pPr>
            <w:r>
              <w:rPr>
                <w:rFonts w:hint="eastAsia" w:ascii="宋体" w:hAnsi="宋体"/>
                <w:bCs/>
                <w:szCs w:val="21"/>
              </w:rPr>
              <w:t>名称：</w:t>
            </w:r>
            <w:r>
              <w:rPr>
                <w:rFonts w:hint="eastAsia" w:ascii="宋体" w:hAnsi="宋体"/>
                <w:szCs w:val="21"/>
                <w:lang w:val="en-US" w:eastAsia="zh-CN"/>
              </w:rPr>
              <w:t>新疆西北招标有限公司</w:t>
            </w:r>
          </w:p>
          <w:p>
            <w:pPr>
              <w:shd w:val="clear" w:color="auto" w:fill="FFFFFF"/>
              <w:adjustRightInd w:val="0"/>
              <w:snapToGrid w:val="0"/>
              <w:spacing w:line="240" w:lineRule="auto"/>
              <w:rPr>
                <w:rFonts w:hint="eastAsia" w:ascii="宋体" w:hAnsi="宋体" w:eastAsia="宋体"/>
                <w:bCs/>
                <w:szCs w:val="21"/>
                <w:lang w:val="en-US" w:eastAsia="zh-CN"/>
              </w:rPr>
            </w:pPr>
            <w:r>
              <w:rPr>
                <w:rFonts w:hint="eastAsia" w:ascii="宋体" w:hAnsi="宋体"/>
                <w:bCs/>
                <w:szCs w:val="21"/>
              </w:rPr>
              <w:t>地址：</w:t>
            </w:r>
            <w:r>
              <w:rPr>
                <w:rFonts w:hint="eastAsia" w:ascii="宋体" w:hAnsi="宋体"/>
                <w:szCs w:val="21"/>
                <w:lang w:val="en-US" w:eastAsia="zh-CN"/>
              </w:rPr>
              <w:t>乌鲁木齐市伊宁路318号江西大厦9楼</w:t>
            </w:r>
          </w:p>
          <w:p>
            <w:pPr>
              <w:shd w:val="clear" w:color="auto" w:fill="FFFFFF"/>
              <w:adjustRightInd w:val="0"/>
              <w:snapToGrid w:val="0"/>
              <w:spacing w:line="240" w:lineRule="auto"/>
              <w:rPr>
                <w:rFonts w:hint="eastAsia" w:ascii="宋体" w:hAnsi="宋体" w:eastAsia="宋体"/>
                <w:szCs w:val="21"/>
                <w:lang w:val="en-US" w:eastAsia="zh-CN"/>
              </w:rPr>
            </w:pPr>
            <w:r>
              <w:rPr>
                <w:rFonts w:hint="eastAsia" w:ascii="宋体" w:hAnsi="宋体"/>
                <w:bCs/>
                <w:szCs w:val="21"/>
              </w:rPr>
              <w:t>联系人：</w:t>
            </w:r>
            <w:r>
              <w:rPr>
                <w:rFonts w:hint="eastAsia" w:ascii="宋体" w:hAnsi="宋体"/>
                <w:szCs w:val="21"/>
                <w:lang w:val="en-US" w:eastAsia="zh-CN"/>
              </w:rPr>
              <w:t>刘建新 李华</w:t>
            </w:r>
          </w:p>
          <w:p>
            <w:pPr>
              <w:shd w:val="clear" w:color="auto" w:fill="FFFFFF"/>
              <w:adjustRightInd w:val="0"/>
              <w:snapToGrid w:val="0"/>
              <w:spacing w:line="240" w:lineRule="auto"/>
              <w:rPr>
                <w:rFonts w:hint="eastAsia" w:ascii="宋体" w:hAnsi="宋体" w:eastAsia="宋体"/>
                <w:bCs/>
                <w:szCs w:val="21"/>
                <w:lang w:val="en-US" w:eastAsia="zh-CN"/>
              </w:rPr>
            </w:pPr>
            <w:r>
              <w:rPr>
                <w:rFonts w:hint="eastAsia" w:ascii="宋体" w:hAnsi="宋体"/>
                <w:bCs/>
                <w:szCs w:val="21"/>
              </w:rPr>
              <w:t>联系电话：</w:t>
            </w:r>
            <w:r>
              <w:rPr>
                <w:rFonts w:hint="eastAsia" w:ascii="宋体" w:hAnsi="宋体"/>
                <w:szCs w:val="21"/>
                <w:lang w:val="en-US" w:eastAsia="zh-CN"/>
              </w:rPr>
              <w:t>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第二章第3.1项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供应商资格条件</w:t>
            </w:r>
          </w:p>
        </w:tc>
        <w:tc>
          <w:tcPr>
            <w:tcW w:w="5578" w:type="dxa"/>
            <w:vAlign w:val="center"/>
          </w:tcPr>
          <w:p>
            <w:pPr>
              <w:shd w:val="clear" w:color="auto" w:fill="FFFFFF"/>
              <w:adjustRightInd w:val="0"/>
              <w:snapToGrid w:val="0"/>
              <w:spacing w:line="240" w:lineRule="auto"/>
              <w:rPr>
                <w:rFonts w:ascii="宋体" w:hAnsi="宋体"/>
                <w:bCs/>
                <w:szCs w:val="21"/>
              </w:rPr>
            </w:pPr>
            <w:r>
              <w:rPr>
                <w:rFonts w:hint="eastAsia" w:ascii="宋体" w:hAnsi="宋体"/>
                <w:bCs/>
                <w:szCs w:val="21"/>
              </w:rPr>
              <w:t>1.满足《中华人民共和国政府采购法》第二十二条规定：（1）有效的营业执照；（2）提供上年度财务审计报告或半年内任意一个月财务报表；（3）提供开标前半年内任意一个月的依法缴纳税收证明；（4）提供开标前半年内任意一个月的社保缴纳证明；（5）提供无重大违法记录声明书；</w:t>
            </w:r>
          </w:p>
          <w:p>
            <w:pPr>
              <w:shd w:val="clear" w:color="auto" w:fill="FFFFFF"/>
              <w:adjustRightInd w:val="0"/>
              <w:snapToGrid w:val="0"/>
              <w:spacing w:line="240" w:lineRule="auto"/>
              <w:rPr>
                <w:rFonts w:ascii="宋体" w:hAnsi="宋体"/>
                <w:bCs/>
                <w:szCs w:val="21"/>
              </w:rPr>
            </w:pPr>
            <w:r>
              <w:rPr>
                <w:rFonts w:hint="eastAsia" w:ascii="宋体" w:hAnsi="宋体"/>
                <w:bCs/>
                <w:szCs w:val="21"/>
              </w:rPr>
              <w:t>2.落实政府采购政策需满足的资格要求：/</w:t>
            </w:r>
          </w:p>
          <w:p>
            <w:pPr>
              <w:shd w:val="clear" w:color="auto" w:fill="FFFFFF"/>
              <w:adjustRightInd w:val="0"/>
              <w:snapToGrid w:val="0"/>
              <w:spacing w:line="240" w:lineRule="auto"/>
              <w:rPr>
                <w:rFonts w:ascii="宋体" w:hAnsi="宋体"/>
                <w:bCs/>
                <w:szCs w:val="21"/>
              </w:rPr>
            </w:pPr>
            <w:r>
              <w:rPr>
                <w:rFonts w:hint="eastAsia" w:ascii="宋体" w:hAnsi="宋体"/>
                <w:bCs/>
                <w:szCs w:val="21"/>
              </w:rPr>
              <w:t>3.本项目的特定资格要求：/；</w:t>
            </w:r>
          </w:p>
          <w:p>
            <w:pPr>
              <w:shd w:val="clear" w:color="auto" w:fill="FFFFFF"/>
              <w:adjustRightInd w:val="0"/>
              <w:snapToGrid w:val="0"/>
              <w:spacing w:line="240" w:lineRule="auto"/>
              <w:rPr>
                <w:rFonts w:ascii="宋体" w:hAnsi="宋体"/>
                <w:bCs/>
                <w:szCs w:val="21"/>
              </w:rPr>
            </w:pPr>
            <w:r>
              <w:rPr>
                <w:rFonts w:hint="eastAsia" w:ascii="宋体" w:hAnsi="宋体"/>
                <w:bCs/>
                <w:szCs w:val="21"/>
              </w:rPr>
              <w:t>4.本项目的其他资格要求：供应商未列入失信被执行人、</w:t>
            </w:r>
            <w:r>
              <w:rPr>
                <w:rFonts w:hint="eastAsia" w:ascii="宋体" w:hAnsi="宋体"/>
                <w:bCs/>
                <w:szCs w:val="21"/>
                <w:lang w:eastAsia="zh-CN"/>
              </w:rPr>
              <w:t>重大税收违法失信主体</w:t>
            </w:r>
            <w:r>
              <w:rPr>
                <w:rFonts w:hint="eastAsia" w:ascii="宋体" w:hAnsi="宋体"/>
                <w:bCs/>
                <w:szCs w:val="21"/>
              </w:rPr>
              <w:t>、政府采购严重违法失信行为记录名单（财库[2016]125号）。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第二章第3.2款（2）</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信用查询时间</w:t>
            </w:r>
          </w:p>
        </w:tc>
        <w:tc>
          <w:tcPr>
            <w:tcW w:w="5578" w:type="dxa"/>
            <w:vAlign w:val="center"/>
          </w:tcPr>
          <w:p>
            <w:pPr>
              <w:adjustRightInd w:val="0"/>
              <w:snapToGrid w:val="0"/>
              <w:spacing w:line="240" w:lineRule="auto"/>
              <w:jc w:val="left"/>
              <w:rPr>
                <w:rFonts w:ascii="宋体" w:hAnsi="宋体"/>
                <w:szCs w:val="21"/>
              </w:rPr>
            </w:pPr>
            <w:r>
              <w:rPr>
                <w:rFonts w:hint="eastAsia" w:ascii="宋体" w:hAnsi="宋体"/>
                <w:szCs w:val="21"/>
                <w:highlight w:val="cyan"/>
              </w:rPr>
              <w:t>2022年</w:t>
            </w:r>
            <w:r>
              <w:rPr>
                <w:rFonts w:hint="eastAsia" w:ascii="宋体" w:hAnsi="宋体"/>
                <w:szCs w:val="21"/>
                <w:highlight w:val="cyan"/>
                <w:lang w:val="en-US" w:eastAsia="zh-CN"/>
              </w:rPr>
              <w:t xml:space="preserve">  </w:t>
            </w:r>
            <w:r>
              <w:rPr>
                <w:rFonts w:hint="eastAsia" w:ascii="宋体" w:hAnsi="宋体"/>
                <w:szCs w:val="21"/>
                <w:highlight w:val="cyan"/>
              </w:rPr>
              <w:t>月</w:t>
            </w:r>
            <w:r>
              <w:rPr>
                <w:rFonts w:hint="eastAsia" w:ascii="宋体" w:hAnsi="宋体"/>
                <w:szCs w:val="21"/>
                <w:highlight w:val="cyan"/>
                <w:lang w:val="en-US" w:eastAsia="zh-CN"/>
              </w:rPr>
              <w:t xml:space="preserve"> </w:t>
            </w:r>
            <w:r>
              <w:rPr>
                <w:rFonts w:hint="eastAsia" w:ascii="宋体" w:hAnsi="宋体"/>
                <w:szCs w:val="21"/>
                <w:highlight w:val="cyan"/>
              </w:rPr>
              <w:t>日</w:t>
            </w:r>
            <w:r>
              <w:rPr>
                <w:rFonts w:hint="eastAsia" w:ascii="宋体" w:hAnsi="宋体"/>
                <w:szCs w:val="21"/>
                <w:highlight w:val="cyan"/>
                <w:lang w:val="en-US" w:eastAsia="zh-CN"/>
              </w:rPr>
              <w:t xml:space="preserve"> </w:t>
            </w:r>
            <w:r>
              <w:rPr>
                <w:rFonts w:hint="eastAsia" w:ascii="宋体" w:hAnsi="宋体"/>
                <w:szCs w:val="21"/>
                <w:highlight w:val="cyan"/>
              </w:rPr>
              <w:t>时</w:t>
            </w:r>
            <w:r>
              <w:rPr>
                <w:rFonts w:hint="eastAsia" w:ascii="宋体" w:hAnsi="宋体"/>
                <w:szCs w:val="21"/>
                <w:highlight w:val="cyan"/>
                <w:lang w:val="en-US" w:eastAsia="zh-CN"/>
              </w:rPr>
              <w:t>00</w:t>
            </w:r>
            <w:r>
              <w:rPr>
                <w:rFonts w:hint="eastAsia" w:ascii="宋体" w:hAnsi="宋体"/>
                <w:szCs w:val="21"/>
                <w:highlight w:val="cyan"/>
              </w:rPr>
              <w:t>分-</w:t>
            </w:r>
            <w:r>
              <w:rPr>
                <w:rFonts w:hint="eastAsia" w:ascii="宋体" w:hAnsi="宋体"/>
                <w:szCs w:val="21"/>
                <w:highlight w:val="cyan"/>
                <w:lang w:val="en-US" w:eastAsia="zh-CN"/>
              </w:rPr>
              <w:t xml:space="preserve"> </w:t>
            </w:r>
            <w:r>
              <w:rPr>
                <w:rFonts w:hint="eastAsia" w:ascii="宋体" w:hAnsi="宋体"/>
                <w:szCs w:val="21"/>
                <w:highlight w:val="cyan"/>
              </w:rPr>
              <w:t>时</w:t>
            </w:r>
            <w:r>
              <w:rPr>
                <w:rFonts w:hint="eastAsia" w:ascii="宋体" w:hAnsi="宋体"/>
                <w:szCs w:val="21"/>
                <w:highlight w:val="cyan"/>
                <w:lang w:val="en-US" w:eastAsia="zh-CN"/>
              </w:rPr>
              <w:t>00</w:t>
            </w:r>
            <w:r>
              <w:rPr>
                <w:rFonts w:hint="eastAsia" w:ascii="宋体" w:hAnsi="宋体"/>
                <w:szCs w:val="21"/>
                <w:highlight w:val="cya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第二章第5.1款</w:t>
            </w:r>
          </w:p>
        </w:tc>
        <w:tc>
          <w:tcPr>
            <w:tcW w:w="1875" w:type="dxa"/>
            <w:vAlign w:val="center"/>
          </w:tcPr>
          <w:p>
            <w:pPr>
              <w:adjustRightInd w:val="0"/>
              <w:snapToGrid w:val="0"/>
              <w:spacing w:line="240" w:lineRule="auto"/>
              <w:jc w:val="center"/>
              <w:rPr>
                <w:rFonts w:ascii="宋体" w:hAnsi="宋体"/>
                <w:bCs/>
                <w:szCs w:val="21"/>
              </w:rPr>
            </w:pPr>
            <w:r>
              <w:rPr>
                <w:rFonts w:hint="eastAsia" w:ascii="宋体" w:hAnsi="宋体"/>
                <w:szCs w:val="21"/>
              </w:rPr>
              <w:t>采购进口产品</w:t>
            </w:r>
          </w:p>
        </w:tc>
        <w:tc>
          <w:tcPr>
            <w:tcW w:w="5578" w:type="dxa"/>
            <w:vAlign w:val="center"/>
          </w:tcPr>
          <w:p>
            <w:pPr>
              <w:adjustRightInd w:val="0"/>
              <w:snapToGrid w:val="0"/>
              <w:spacing w:line="240" w:lineRule="auto"/>
              <w:jc w:val="left"/>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620" w:type="dxa"/>
            <w:gridSpan w:val="3"/>
            <w:vAlign w:val="center"/>
          </w:tcPr>
          <w:p>
            <w:pPr>
              <w:adjustRightInd w:val="0"/>
              <w:snapToGrid w:val="0"/>
              <w:spacing w:line="240" w:lineRule="auto"/>
              <w:rPr>
                <w:rFonts w:ascii="宋体" w:hAnsi="宋体"/>
                <w:szCs w:val="21"/>
              </w:rPr>
            </w:pPr>
            <w:r>
              <w:rPr>
                <w:rFonts w:hint="eastAsia" w:ascii="宋体" w:hAnsi="宋体"/>
                <w:b/>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第二章10.4项</w:t>
            </w:r>
          </w:p>
        </w:tc>
        <w:tc>
          <w:tcPr>
            <w:tcW w:w="1875" w:type="dxa"/>
            <w:vAlign w:val="center"/>
          </w:tcPr>
          <w:p>
            <w:pPr>
              <w:adjustRightInd w:val="0"/>
              <w:snapToGrid w:val="0"/>
              <w:spacing w:line="240" w:lineRule="auto"/>
              <w:ind w:left="-533" w:leftChars="-254" w:firstLine="533" w:firstLineChars="254"/>
              <w:jc w:val="center"/>
              <w:rPr>
                <w:rFonts w:ascii="宋体" w:hAnsi="宋体"/>
                <w:szCs w:val="21"/>
              </w:rPr>
            </w:pPr>
            <w:r>
              <w:rPr>
                <w:rFonts w:hint="eastAsia" w:ascii="宋体" w:hAnsi="宋体"/>
                <w:szCs w:val="21"/>
              </w:rPr>
              <w:t>采购项目预算</w:t>
            </w:r>
          </w:p>
        </w:tc>
        <w:tc>
          <w:tcPr>
            <w:tcW w:w="5578" w:type="dxa"/>
            <w:vAlign w:val="center"/>
          </w:tcPr>
          <w:p>
            <w:pPr>
              <w:adjustRightInd w:val="0"/>
              <w:snapToGrid w:val="0"/>
              <w:spacing w:line="240" w:lineRule="auto"/>
              <w:jc w:val="left"/>
              <w:rPr>
                <w:rFonts w:ascii="宋体" w:hAnsi="宋体"/>
                <w:bCs/>
                <w:szCs w:val="21"/>
              </w:rPr>
            </w:pPr>
            <w:r>
              <w:rPr>
                <w:rFonts w:hint="eastAsia" w:ascii="宋体" w:hAnsi="宋体"/>
                <w:bCs/>
                <w:szCs w:val="21"/>
                <w:lang w:eastAsia="zh-CN"/>
              </w:rPr>
              <w:t>390</w:t>
            </w:r>
            <w:r>
              <w:rPr>
                <w:rFonts w:hint="eastAsia" w:ascii="宋体" w:hAnsi="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167" w:type="dxa"/>
            <w:vMerge w:val="restart"/>
            <w:vAlign w:val="center"/>
          </w:tcPr>
          <w:p>
            <w:pPr>
              <w:adjustRightInd w:val="0"/>
              <w:snapToGrid w:val="0"/>
              <w:spacing w:line="240" w:lineRule="auto"/>
              <w:jc w:val="center"/>
              <w:rPr>
                <w:rFonts w:ascii="宋体" w:hAnsi="宋体"/>
                <w:szCs w:val="21"/>
              </w:rPr>
            </w:pPr>
            <w:r>
              <w:rPr>
                <w:rFonts w:hint="eastAsia" w:ascii="宋体" w:hAnsi="宋体"/>
                <w:szCs w:val="21"/>
              </w:rPr>
              <w:t>第二章第12.1项</w:t>
            </w:r>
          </w:p>
        </w:tc>
        <w:tc>
          <w:tcPr>
            <w:tcW w:w="1875" w:type="dxa"/>
            <w:vAlign w:val="center"/>
          </w:tcPr>
          <w:p>
            <w:pPr>
              <w:adjustRightInd w:val="0"/>
              <w:snapToGrid w:val="0"/>
              <w:spacing w:line="240" w:lineRule="auto"/>
              <w:ind w:left="-533" w:leftChars="-254" w:firstLine="533" w:firstLineChars="254"/>
              <w:jc w:val="center"/>
              <w:rPr>
                <w:rFonts w:ascii="宋体" w:hAnsi="宋体"/>
                <w:szCs w:val="21"/>
              </w:rPr>
            </w:pPr>
            <w:r>
              <w:rPr>
                <w:rFonts w:hint="eastAsia" w:ascii="宋体" w:hAnsi="宋体"/>
                <w:szCs w:val="21"/>
              </w:rPr>
              <w:t>保证金</w:t>
            </w:r>
          </w:p>
        </w:tc>
        <w:tc>
          <w:tcPr>
            <w:tcW w:w="5578" w:type="dxa"/>
            <w:vAlign w:val="center"/>
          </w:tcPr>
          <w:p>
            <w:pPr>
              <w:adjustRightInd w:val="0"/>
              <w:snapToGrid w:val="0"/>
              <w:spacing w:line="240" w:lineRule="auto"/>
              <w:rPr>
                <w:rFonts w:hint="eastAsia"/>
                <w:lang w:val="en-US" w:eastAsia="zh-CN"/>
              </w:rPr>
            </w:pPr>
            <w:r>
              <w:rPr>
                <w:rFonts w:hint="eastAsia"/>
                <w:lang w:val="en-US" w:eastAsia="zh-CN"/>
              </w:rPr>
              <w:t>预算价1%</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投标保证金缴纳形式：电汇或网银</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投标保证金金额：30000.00元（叁万元整）</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开户名称：新疆西北招标有限公司</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开户银行：中国银行乌鲁木齐市奇台路支行</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账    号：107638779707</w:t>
            </w:r>
          </w:p>
          <w:p>
            <w:pPr>
              <w:numPr>
                <w:ilvl w:val="0"/>
                <w:numId w:val="0"/>
              </w:numPr>
              <w:adjustRightInd w:val="0"/>
              <w:snapToGrid w:val="0"/>
              <w:spacing w:line="240" w:lineRule="auto"/>
              <w:ind w:leftChars="0"/>
              <w:rPr>
                <w:rFonts w:hint="eastAsia" w:ascii="宋体" w:hAnsi="宋体"/>
                <w:szCs w:val="21"/>
                <w:lang w:val="en-US" w:eastAsia="zh-CN"/>
              </w:rPr>
            </w:pPr>
            <w:r>
              <w:rPr>
                <w:rFonts w:hint="eastAsia" w:ascii="宋体" w:hAnsi="宋体"/>
                <w:szCs w:val="21"/>
                <w:lang w:val="en-US" w:eastAsia="zh-CN"/>
              </w:rPr>
              <w:t>投标保证金必须在开标时间前转入以上指定账户，并注明项目名称主要内容和包号。</w:t>
            </w:r>
          </w:p>
          <w:p>
            <w:pPr>
              <w:pStyle w:val="34"/>
              <w:rPr>
                <w:rFonts w:hint="default"/>
                <w:lang w:val="en-US" w:eastAsia="zh-CN"/>
              </w:rPr>
            </w:pPr>
            <w:r>
              <w:rPr>
                <w:rFonts w:hint="eastAsia" w:ascii="宋体" w:hAnsi="宋体"/>
                <w:szCs w:val="21"/>
                <w:lang w:val="en-US" w:eastAsia="zh-CN"/>
              </w:rPr>
              <w:t>投标保证金有效期应当与投标有效期一致。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167" w:type="dxa"/>
            <w:vMerge w:val="continue"/>
            <w:vAlign w:val="center"/>
          </w:tcPr>
          <w:p>
            <w:pPr>
              <w:adjustRightInd w:val="0"/>
              <w:snapToGrid w:val="0"/>
              <w:spacing w:line="240" w:lineRule="auto"/>
              <w:jc w:val="center"/>
              <w:rPr>
                <w:rFonts w:ascii="宋体" w:hAnsi="宋体"/>
                <w:szCs w:val="21"/>
              </w:rPr>
            </w:pPr>
          </w:p>
        </w:tc>
        <w:tc>
          <w:tcPr>
            <w:tcW w:w="1875" w:type="dxa"/>
            <w:vAlign w:val="center"/>
          </w:tcPr>
          <w:p>
            <w:pPr>
              <w:adjustRightInd w:val="0"/>
              <w:snapToGrid w:val="0"/>
              <w:spacing w:line="240" w:lineRule="auto"/>
              <w:jc w:val="center"/>
              <w:rPr>
                <w:rFonts w:ascii="宋体" w:hAnsi="宋体"/>
                <w:bCs/>
                <w:szCs w:val="21"/>
              </w:rPr>
            </w:pPr>
            <w:r>
              <w:rPr>
                <w:rFonts w:hint="eastAsia" w:ascii="宋体" w:hAnsi="宋体"/>
                <w:bCs/>
                <w:szCs w:val="21"/>
              </w:rPr>
              <w:t>响应文件有效期</w:t>
            </w:r>
          </w:p>
        </w:tc>
        <w:tc>
          <w:tcPr>
            <w:tcW w:w="5578" w:type="dxa"/>
            <w:vAlign w:val="center"/>
          </w:tcPr>
          <w:p>
            <w:pPr>
              <w:adjustRightInd w:val="0"/>
              <w:snapToGrid w:val="0"/>
              <w:spacing w:line="240" w:lineRule="auto"/>
              <w:rPr>
                <w:rFonts w:ascii="宋体" w:hAnsi="宋体"/>
                <w:bCs/>
                <w:szCs w:val="21"/>
              </w:rPr>
            </w:pPr>
            <w:r>
              <w:rPr>
                <w:rFonts w:hint="eastAsia" w:ascii="宋体" w:hAnsi="宋体"/>
                <w:szCs w:val="21"/>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7" w:type="dxa"/>
            <w:vMerge w:val="continue"/>
            <w:vAlign w:val="center"/>
          </w:tcPr>
          <w:p>
            <w:pPr>
              <w:adjustRightInd w:val="0"/>
              <w:snapToGrid w:val="0"/>
              <w:spacing w:line="240" w:lineRule="auto"/>
              <w:jc w:val="center"/>
              <w:rPr>
                <w:rFonts w:ascii="宋体" w:hAnsi="宋体"/>
                <w:szCs w:val="21"/>
              </w:rPr>
            </w:pP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递交响应文件截止时间</w:t>
            </w:r>
          </w:p>
        </w:tc>
        <w:tc>
          <w:tcPr>
            <w:tcW w:w="5578" w:type="dxa"/>
            <w:vAlign w:val="center"/>
          </w:tcPr>
          <w:p>
            <w:pPr>
              <w:adjustRightInd w:val="0"/>
              <w:snapToGrid w:val="0"/>
              <w:spacing w:line="240" w:lineRule="auto"/>
              <w:rPr>
                <w:rFonts w:ascii="宋体" w:hAnsi="宋体"/>
                <w:szCs w:val="21"/>
              </w:rPr>
            </w:pPr>
            <w:r>
              <w:rPr>
                <w:rFonts w:hint="eastAsia" w:ascii="宋体" w:hAnsi="宋体"/>
                <w:szCs w:val="21"/>
                <w:highlight w:val="cyan"/>
              </w:rPr>
              <w:t>2022年</w:t>
            </w:r>
            <w:r>
              <w:rPr>
                <w:rFonts w:hint="eastAsia" w:ascii="宋体" w:hAnsi="宋体"/>
                <w:szCs w:val="21"/>
                <w:highlight w:val="cyan"/>
                <w:lang w:val="en-US" w:eastAsia="zh-CN"/>
              </w:rPr>
              <w:t xml:space="preserve">  </w:t>
            </w:r>
            <w:r>
              <w:rPr>
                <w:rFonts w:hint="eastAsia" w:ascii="宋体" w:hAnsi="宋体"/>
                <w:szCs w:val="21"/>
                <w:highlight w:val="cyan"/>
              </w:rPr>
              <w:t>月</w:t>
            </w:r>
            <w:r>
              <w:rPr>
                <w:rFonts w:hint="eastAsia" w:ascii="宋体" w:hAnsi="宋体"/>
                <w:szCs w:val="21"/>
                <w:highlight w:val="cyan"/>
                <w:lang w:val="en-US" w:eastAsia="zh-CN"/>
              </w:rPr>
              <w:t xml:space="preserve">  </w:t>
            </w:r>
            <w:r>
              <w:rPr>
                <w:rFonts w:hint="eastAsia" w:ascii="宋体" w:hAnsi="宋体"/>
                <w:szCs w:val="21"/>
                <w:highlight w:val="cyan"/>
              </w:rPr>
              <w:t>日</w:t>
            </w:r>
            <w:r>
              <w:rPr>
                <w:rFonts w:hint="eastAsia" w:ascii="宋体" w:hAnsi="宋体"/>
                <w:szCs w:val="21"/>
                <w:highlight w:val="cyan"/>
                <w:lang w:val="en-US" w:eastAsia="zh-CN"/>
              </w:rPr>
              <w:t xml:space="preserve">  </w:t>
            </w:r>
            <w:r>
              <w:rPr>
                <w:rFonts w:hint="eastAsia" w:ascii="宋体" w:hAnsi="宋体"/>
                <w:szCs w:val="21"/>
                <w:highlight w:val="cyan"/>
              </w:rPr>
              <w:t>时</w:t>
            </w:r>
            <w:r>
              <w:rPr>
                <w:rFonts w:hint="eastAsia" w:ascii="宋体" w:hAnsi="宋体"/>
                <w:szCs w:val="21"/>
                <w:highlight w:val="cyan"/>
                <w:lang w:val="en-US" w:eastAsia="zh-CN"/>
              </w:rPr>
              <w:t>00</w:t>
            </w:r>
            <w:r>
              <w:rPr>
                <w:rFonts w:hint="eastAsia" w:ascii="宋体" w:hAnsi="宋体"/>
                <w:szCs w:val="21"/>
                <w:highlight w:val="cyan"/>
              </w:rPr>
              <w:t>分</w:t>
            </w:r>
            <w:r>
              <w:rPr>
                <w:rFonts w:hint="eastAsia" w:ascii="宋体" w:hAnsi="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第二章第14.1项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bCs/>
                <w:szCs w:val="21"/>
              </w:rPr>
              <w:t>响应</w:t>
            </w:r>
            <w:r>
              <w:rPr>
                <w:rFonts w:hint="eastAsia" w:ascii="宋体" w:hAnsi="宋体"/>
                <w:szCs w:val="21"/>
              </w:rPr>
              <w:t>文件份数</w:t>
            </w:r>
          </w:p>
        </w:tc>
        <w:tc>
          <w:tcPr>
            <w:tcW w:w="5578" w:type="dxa"/>
            <w:vAlign w:val="center"/>
          </w:tcPr>
          <w:p>
            <w:pPr>
              <w:adjustRightInd w:val="0"/>
              <w:snapToGrid w:val="0"/>
              <w:spacing w:line="240" w:lineRule="auto"/>
              <w:jc w:val="left"/>
              <w:rPr>
                <w:rFonts w:ascii="宋体" w:hAnsi="宋体"/>
                <w:bCs/>
                <w:szCs w:val="21"/>
              </w:rPr>
            </w:pPr>
            <w:r>
              <w:rPr>
                <w:rFonts w:hint="eastAsia" w:ascii="宋体" w:hAnsi="宋体"/>
                <w:bCs/>
                <w:szCs w:val="21"/>
              </w:rPr>
              <w:t>纸质版文件：</w:t>
            </w:r>
          </w:p>
          <w:p>
            <w:pPr>
              <w:adjustRightInd w:val="0"/>
              <w:snapToGrid w:val="0"/>
              <w:spacing w:line="240" w:lineRule="auto"/>
              <w:jc w:val="left"/>
              <w:rPr>
                <w:rFonts w:ascii="宋体" w:hAnsi="宋体"/>
                <w:bCs/>
                <w:szCs w:val="21"/>
              </w:rPr>
            </w:pPr>
            <w:r>
              <w:rPr>
                <w:rFonts w:hint="eastAsia" w:ascii="宋体" w:hAnsi="宋体"/>
                <w:bCs/>
                <w:szCs w:val="21"/>
              </w:rPr>
              <w:t>1.纸质版文件：正本一份，副本三份；</w:t>
            </w:r>
          </w:p>
          <w:p>
            <w:pPr>
              <w:adjustRightInd w:val="0"/>
              <w:snapToGrid w:val="0"/>
              <w:spacing w:line="240" w:lineRule="auto"/>
              <w:jc w:val="left"/>
              <w:rPr>
                <w:rFonts w:ascii="宋体" w:hAnsi="宋体"/>
                <w:bCs/>
                <w:szCs w:val="21"/>
              </w:rPr>
            </w:pPr>
            <w:r>
              <w:rPr>
                <w:rFonts w:hint="eastAsia" w:ascii="宋体" w:hAnsi="宋体"/>
                <w:bCs/>
                <w:szCs w:val="21"/>
              </w:rPr>
              <w:t>2、电子版文件：一份（以U盘形式递交，文件格式为PDF及Word格式）；</w:t>
            </w:r>
          </w:p>
          <w:p>
            <w:pPr>
              <w:adjustRightInd w:val="0"/>
              <w:snapToGrid w:val="0"/>
              <w:spacing w:line="240" w:lineRule="auto"/>
              <w:jc w:val="left"/>
              <w:rPr>
                <w:rFonts w:ascii="宋体" w:hAnsi="宋体"/>
                <w:bCs/>
                <w:szCs w:val="21"/>
              </w:rPr>
            </w:pPr>
            <w:r>
              <w:rPr>
                <w:rFonts w:hint="eastAsia" w:ascii="宋体" w:hAnsi="宋体"/>
                <w:bCs/>
                <w:szCs w:val="21"/>
              </w:rPr>
              <w:t>电子版文件要求包含响应文件正本全部内容，电子版表面标记单位名称。电子版文件内容与响应文件正本内容不一致时以响应文件正本为准。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620" w:type="dxa"/>
            <w:gridSpan w:val="3"/>
            <w:vAlign w:val="center"/>
          </w:tcPr>
          <w:p>
            <w:pPr>
              <w:adjustRightInd w:val="0"/>
              <w:snapToGrid w:val="0"/>
              <w:spacing w:line="240" w:lineRule="auto"/>
              <w:rPr>
                <w:rFonts w:ascii="宋体" w:hAnsi="宋体"/>
                <w:b/>
                <w:bCs/>
                <w:szCs w:val="21"/>
              </w:rPr>
            </w:pPr>
            <w:r>
              <w:rPr>
                <w:rFonts w:hint="eastAsia" w:ascii="宋体" w:hAnsi="宋体"/>
                <w:b/>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67" w:type="dxa"/>
            <w:vAlign w:val="center"/>
          </w:tcPr>
          <w:p>
            <w:pPr>
              <w:shd w:val="clear" w:color="auto" w:fill="FFFFFF"/>
              <w:adjustRightInd w:val="0"/>
              <w:snapToGrid w:val="0"/>
              <w:spacing w:line="240" w:lineRule="auto"/>
              <w:jc w:val="center"/>
              <w:rPr>
                <w:rFonts w:ascii="宋体" w:hAnsi="宋体"/>
                <w:szCs w:val="21"/>
              </w:rPr>
            </w:pPr>
            <w:r>
              <w:rPr>
                <w:rFonts w:hint="eastAsia" w:ascii="宋体" w:hAnsi="宋体"/>
                <w:szCs w:val="21"/>
              </w:rPr>
              <w:t>第二章第15.2款</w:t>
            </w:r>
          </w:p>
        </w:tc>
        <w:tc>
          <w:tcPr>
            <w:tcW w:w="1875" w:type="dxa"/>
            <w:vAlign w:val="center"/>
          </w:tcPr>
          <w:p>
            <w:pPr>
              <w:shd w:val="clear" w:color="auto" w:fill="FFFFFF"/>
              <w:adjustRightInd w:val="0"/>
              <w:snapToGrid w:val="0"/>
              <w:spacing w:line="240" w:lineRule="auto"/>
              <w:rPr>
                <w:rFonts w:ascii="宋体" w:hAnsi="宋体"/>
                <w:szCs w:val="21"/>
              </w:rPr>
            </w:pPr>
            <w:r>
              <w:rPr>
                <w:rFonts w:hint="eastAsia" w:ascii="宋体" w:hAnsi="宋体"/>
                <w:szCs w:val="21"/>
              </w:rPr>
              <w:t>封套上应载明的信息</w:t>
            </w:r>
          </w:p>
        </w:tc>
        <w:tc>
          <w:tcPr>
            <w:tcW w:w="5578" w:type="dxa"/>
            <w:vAlign w:val="center"/>
          </w:tcPr>
          <w:p>
            <w:pPr>
              <w:adjustRightInd w:val="0"/>
              <w:snapToGrid w:val="0"/>
              <w:spacing w:line="240" w:lineRule="auto"/>
              <w:jc w:val="left"/>
              <w:rPr>
                <w:rFonts w:ascii="宋体" w:hAnsi="宋体"/>
                <w:szCs w:val="21"/>
              </w:rPr>
            </w:pPr>
            <w:r>
              <w:rPr>
                <w:rFonts w:hint="eastAsia" w:ascii="宋体" w:hAnsi="宋体"/>
                <w:szCs w:val="21"/>
              </w:rPr>
              <w:t xml:space="preserve">项目编号：                                         </w:t>
            </w:r>
          </w:p>
          <w:p>
            <w:pPr>
              <w:adjustRightInd w:val="0"/>
              <w:snapToGrid w:val="0"/>
              <w:spacing w:line="240" w:lineRule="auto"/>
              <w:jc w:val="left"/>
              <w:rPr>
                <w:rFonts w:ascii="宋体" w:hAnsi="宋体"/>
                <w:szCs w:val="21"/>
              </w:rPr>
            </w:pPr>
            <w:r>
              <w:rPr>
                <w:rFonts w:hint="eastAsia" w:ascii="宋体" w:hAnsi="宋体"/>
                <w:szCs w:val="21"/>
              </w:rPr>
              <w:t xml:space="preserve">项目名称：              </w:t>
            </w:r>
          </w:p>
          <w:p>
            <w:pPr>
              <w:adjustRightInd w:val="0"/>
              <w:snapToGrid w:val="0"/>
              <w:spacing w:line="240" w:lineRule="auto"/>
              <w:jc w:val="left"/>
              <w:rPr>
                <w:rFonts w:ascii="宋体" w:hAnsi="宋体"/>
                <w:szCs w:val="21"/>
              </w:rPr>
            </w:pPr>
            <w:r>
              <w:rPr>
                <w:rFonts w:hint="eastAsia" w:ascii="宋体" w:hAnsi="宋体"/>
                <w:szCs w:val="21"/>
              </w:rPr>
              <w:t>包装内容：响应</w:t>
            </w:r>
            <w:r>
              <w:rPr>
                <w:rFonts w:hint="eastAsia" w:ascii="宋体" w:hAnsi="宋体"/>
                <w:bCs/>
                <w:szCs w:val="21"/>
              </w:rPr>
              <w:t>文件</w:t>
            </w:r>
            <w:r>
              <w:rPr>
                <w:rFonts w:hint="eastAsia" w:ascii="宋体" w:hAnsi="宋体"/>
                <w:szCs w:val="21"/>
              </w:rPr>
              <w:t>/电子版</w:t>
            </w:r>
          </w:p>
          <w:p>
            <w:pPr>
              <w:adjustRightInd w:val="0"/>
              <w:snapToGrid w:val="0"/>
              <w:spacing w:line="240" w:lineRule="auto"/>
              <w:jc w:val="left"/>
              <w:rPr>
                <w:rFonts w:ascii="宋体" w:hAnsi="宋体"/>
                <w:szCs w:val="21"/>
              </w:rPr>
            </w:pPr>
            <w:r>
              <w:rPr>
                <w:rFonts w:hint="eastAsia" w:ascii="宋体" w:hAnsi="宋体"/>
                <w:szCs w:val="21"/>
              </w:rPr>
              <w:t xml:space="preserve">供应商名称：                 </w:t>
            </w:r>
          </w:p>
          <w:p>
            <w:pPr>
              <w:adjustRightInd w:val="0"/>
              <w:snapToGrid w:val="0"/>
              <w:spacing w:line="240" w:lineRule="auto"/>
              <w:jc w:val="left"/>
              <w:rPr>
                <w:rFonts w:ascii="宋体" w:hAnsi="宋体"/>
                <w:szCs w:val="21"/>
              </w:rPr>
            </w:pPr>
            <w:r>
              <w:rPr>
                <w:rFonts w:hint="eastAsia" w:ascii="宋体" w:hAnsi="宋体"/>
                <w:szCs w:val="21"/>
              </w:rPr>
              <w:t xml:space="preserve">供应商地址：                 </w:t>
            </w:r>
          </w:p>
          <w:p>
            <w:pPr>
              <w:adjustRightInd w:val="0"/>
              <w:snapToGrid w:val="0"/>
              <w:spacing w:line="240" w:lineRule="auto"/>
              <w:jc w:val="left"/>
              <w:rPr>
                <w:rFonts w:ascii="宋体" w:hAnsi="宋体"/>
                <w:szCs w:val="21"/>
              </w:rPr>
            </w:pPr>
            <w:r>
              <w:rPr>
                <w:rFonts w:hint="eastAsia" w:ascii="宋体" w:hAnsi="宋体"/>
                <w:szCs w:val="21"/>
              </w:rPr>
              <w:t xml:space="preserve">联 系 人：                   </w:t>
            </w:r>
          </w:p>
          <w:p>
            <w:pPr>
              <w:adjustRightInd w:val="0"/>
              <w:snapToGrid w:val="0"/>
              <w:spacing w:line="240" w:lineRule="auto"/>
              <w:jc w:val="left"/>
              <w:rPr>
                <w:rFonts w:ascii="宋体" w:hAnsi="宋体"/>
                <w:szCs w:val="21"/>
              </w:rPr>
            </w:pPr>
            <w:r>
              <w:rPr>
                <w:rFonts w:hint="eastAsia" w:ascii="宋体" w:hAnsi="宋体"/>
                <w:szCs w:val="21"/>
              </w:rPr>
              <w:t xml:space="preserve">联系电话：                   </w:t>
            </w:r>
          </w:p>
          <w:p>
            <w:pPr>
              <w:shd w:val="clear" w:color="auto" w:fill="FFFFFF"/>
              <w:adjustRightInd w:val="0"/>
              <w:snapToGrid w:val="0"/>
              <w:spacing w:line="240" w:lineRule="auto"/>
              <w:jc w:val="left"/>
              <w:rPr>
                <w:rFonts w:ascii="宋体" w:hAnsi="宋体"/>
                <w:szCs w:val="21"/>
              </w:rPr>
            </w:pPr>
            <w:r>
              <w:rPr>
                <w:rFonts w:hint="eastAsia" w:ascii="宋体" w:hAnsi="宋体"/>
                <w:szCs w:val="21"/>
              </w:rPr>
              <w:t>在规定的响应时间    年   月   日  ：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第二章第17.1项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响应文件的递交地点</w:t>
            </w:r>
          </w:p>
        </w:tc>
        <w:tc>
          <w:tcPr>
            <w:tcW w:w="5578" w:type="dxa"/>
            <w:vAlign w:val="center"/>
          </w:tcPr>
          <w:p>
            <w:pPr>
              <w:adjustRightInd w:val="0"/>
              <w:snapToGrid w:val="0"/>
              <w:spacing w:line="240" w:lineRule="auto"/>
              <w:rPr>
                <w:rFonts w:hint="eastAsia" w:ascii="宋体" w:hAnsi="宋体" w:eastAsia="宋体"/>
                <w:bCs/>
                <w:szCs w:val="21"/>
                <w:lang w:val="en-US" w:eastAsia="zh-CN"/>
              </w:rPr>
            </w:pPr>
            <w:r>
              <w:rPr>
                <w:rFonts w:hint="eastAsia" w:ascii="宋体" w:hAnsi="宋体"/>
                <w:bCs/>
                <w:szCs w:val="21"/>
                <w:lang w:val="en-US" w:eastAsia="zh-CN"/>
              </w:rPr>
              <w:t>新疆西北招标有限公司会议室（乌鲁木齐市伊宁路318号江西大厦9楼）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620" w:type="dxa"/>
            <w:gridSpan w:val="3"/>
            <w:vAlign w:val="center"/>
          </w:tcPr>
          <w:p>
            <w:pPr>
              <w:adjustRightInd w:val="0"/>
              <w:snapToGrid w:val="0"/>
              <w:spacing w:line="240" w:lineRule="auto"/>
              <w:rPr>
                <w:rFonts w:ascii="宋体" w:hAnsi="宋体"/>
                <w:szCs w:val="21"/>
              </w:rPr>
            </w:pPr>
            <w:r>
              <w:rPr>
                <w:rFonts w:hint="eastAsia" w:ascii="宋体" w:hAnsi="宋体"/>
                <w:b/>
                <w:szCs w:val="21"/>
              </w:rPr>
              <w:t>六、成交结果信息公布与供应商质疑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第二章第25.1项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财政部门指定的媒体</w:t>
            </w:r>
          </w:p>
        </w:tc>
        <w:tc>
          <w:tcPr>
            <w:tcW w:w="5578" w:type="dxa"/>
            <w:vAlign w:val="center"/>
          </w:tcPr>
          <w:p>
            <w:pPr>
              <w:adjustRightInd w:val="0"/>
              <w:snapToGrid w:val="0"/>
              <w:spacing w:line="240" w:lineRule="auto"/>
              <w:jc w:val="left"/>
              <w:rPr>
                <w:rFonts w:ascii="宋体" w:hAnsi="宋体"/>
                <w:szCs w:val="21"/>
              </w:rPr>
            </w:pPr>
            <w:r>
              <w:rPr>
                <w:rFonts w:hint="eastAsia" w:ascii="仿宋" w:hAnsi="仿宋"/>
              </w:rPr>
              <w:t>新疆政府采购网（</w:t>
            </w:r>
            <w:r>
              <w:rPr>
                <w:rFonts w:ascii="仿宋" w:hAnsi="仿宋"/>
              </w:rPr>
              <w:t>http://www.ccgp-xinjiang.gov.cn/</w:t>
            </w:r>
            <w:r>
              <w:rPr>
                <w:rFonts w:hint="eastAsia" w:ascii="仿宋" w:hAnsi="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第二章第27.3项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履约担保</w:t>
            </w:r>
          </w:p>
        </w:tc>
        <w:tc>
          <w:tcPr>
            <w:tcW w:w="5578" w:type="dxa"/>
            <w:vAlign w:val="center"/>
          </w:tcPr>
          <w:p>
            <w:pPr>
              <w:adjustRightInd w:val="0"/>
              <w:snapToGrid w:val="0"/>
              <w:spacing w:line="240" w:lineRule="auto"/>
              <w:rPr>
                <w:rFonts w:hint="eastAsia" w:ascii="宋体" w:hAnsi="宋体" w:eastAsia="宋体"/>
                <w:szCs w:val="21"/>
                <w:lang w:eastAsia="zh-CN"/>
              </w:rPr>
            </w:pPr>
            <w:r>
              <w:rPr>
                <w:rFonts w:hint="eastAsia" w:ascii="宋体" w:hAnsi="宋体"/>
                <w:szCs w:val="21"/>
              </w:rPr>
              <w:t>履约保证金金额：</w:t>
            </w:r>
            <w:r>
              <w:rPr>
                <w:rFonts w:hint="eastAsia" w:ascii="宋体" w:hAnsi="宋体"/>
                <w:szCs w:val="21"/>
                <w:highlight w:val="cyan"/>
                <w:lang w:val="en-US" w:eastAsia="zh-CN"/>
              </w:rPr>
              <w:t>/</w:t>
            </w:r>
          </w:p>
          <w:p>
            <w:pPr>
              <w:adjustRightInd w:val="0"/>
              <w:snapToGrid w:val="0"/>
              <w:spacing w:line="240" w:lineRule="auto"/>
              <w:rPr>
                <w:rFonts w:ascii="宋体" w:hAnsi="宋体"/>
                <w:szCs w:val="21"/>
              </w:rPr>
            </w:pPr>
            <w:r>
              <w:rPr>
                <w:rFonts w:hint="eastAsia" w:ascii="宋体" w:hAnsi="宋体"/>
                <w:szCs w:val="21"/>
              </w:rPr>
              <w:t>履约保证金递交：成交供应商收到成交通知书后（签订合同前）向采购人缴纳；</w:t>
            </w:r>
          </w:p>
          <w:p>
            <w:pPr>
              <w:adjustRightInd w:val="0"/>
              <w:snapToGrid w:val="0"/>
              <w:spacing w:line="240" w:lineRule="auto"/>
              <w:rPr>
                <w:rFonts w:ascii="宋体" w:hAnsi="宋体"/>
                <w:szCs w:val="21"/>
              </w:rPr>
            </w:pPr>
            <w:r>
              <w:rPr>
                <w:rFonts w:hint="eastAsia" w:ascii="宋体" w:hAnsi="宋体"/>
                <w:szCs w:val="21"/>
              </w:rPr>
              <w:t>履约保证金形式：支票、汇票、本票等非现金形式；</w:t>
            </w:r>
          </w:p>
          <w:p>
            <w:pPr>
              <w:adjustRightInd w:val="0"/>
              <w:snapToGrid w:val="0"/>
              <w:spacing w:line="240" w:lineRule="auto"/>
              <w:rPr>
                <w:rFonts w:ascii="宋体" w:hAnsi="宋体"/>
                <w:szCs w:val="21"/>
              </w:rPr>
            </w:pPr>
            <w:r>
              <w:rPr>
                <w:rFonts w:hint="eastAsia" w:ascii="宋体" w:hAnsi="宋体"/>
                <w:szCs w:val="21"/>
              </w:rPr>
              <w:t>成交供应商未按本文件规定缴纳履约保证金的，其保证金将不予退还。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7" w:type="dxa"/>
            <w:vAlign w:val="center"/>
          </w:tcPr>
          <w:p>
            <w:pPr>
              <w:adjustRightInd w:val="0"/>
              <w:snapToGrid w:val="0"/>
              <w:spacing w:line="240" w:lineRule="auto"/>
              <w:jc w:val="center"/>
              <w:rPr>
                <w:rFonts w:ascii="宋体" w:hAnsi="宋体"/>
                <w:szCs w:val="21"/>
              </w:rPr>
            </w:pPr>
            <w:r>
              <w:rPr>
                <w:rFonts w:hint="eastAsia" w:ascii="宋体" w:hAnsi="宋体"/>
                <w:szCs w:val="21"/>
              </w:rPr>
              <w:t>第二章第29.1项</w:t>
            </w: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采购代理服务费</w:t>
            </w:r>
          </w:p>
        </w:tc>
        <w:tc>
          <w:tcPr>
            <w:tcW w:w="5578" w:type="dxa"/>
            <w:vAlign w:val="center"/>
          </w:tcPr>
          <w:p>
            <w:pPr>
              <w:adjustRightInd w:val="0"/>
              <w:snapToGrid w:val="0"/>
              <w:spacing w:line="240" w:lineRule="auto"/>
              <w:rPr>
                <w:rFonts w:hint="eastAsia" w:ascii="宋体" w:hAnsi="宋体" w:eastAsia="宋体"/>
                <w:szCs w:val="21"/>
                <w:lang w:val="en-US" w:eastAsia="zh-CN"/>
              </w:rPr>
            </w:pPr>
            <w:r>
              <w:rPr>
                <w:rFonts w:hint="eastAsia" w:ascii="宋体" w:hAnsi="宋体" w:cs="宋体"/>
                <w:szCs w:val="21"/>
              </w:rPr>
              <w:t>招标代理费：按照国家发展计划委员会“计价格【2002】1980号”文件和国家发展改革委“发改价格【2011】534号”文件规定的服务类收费标准</w:t>
            </w:r>
            <w:r>
              <w:rPr>
                <w:rFonts w:hint="eastAsia" w:ascii="宋体" w:hAnsi="宋体" w:cs="宋体"/>
                <w:szCs w:val="21"/>
                <w:lang w:val="en-US" w:eastAsia="zh-CN"/>
              </w:rPr>
              <w:t>下浮40%</w:t>
            </w:r>
            <w:r>
              <w:rPr>
                <w:rFonts w:hint="eastAsia" w:cs="宋体"/>
                <w:szCs w:val="21"/>
              </w:rPr>
              <w:t>收取，</w:t>
            </w:r>
            <w:r>
              <w:rPr>
                <w:rFonts w:hint="eastAsia" w:ascii="宋体" w:hAnsi="宋体" w:cs="宋体"/>
                <w:szCs w:val="21"/>
              </w:rPr>
              <w:t>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620" w:type="dxa"/>
            <w:gridSpan w:val="3"/>
            <w:vAlign w:val="center"/>
          </w:tcPr>
          <w:p>
            <w:pPr>
              <w:adjustRightInd w:val="0"/>
              <w:snapToGrid w:val="0"/>
              <w:spacing w:line="240" w:lineRule="auto"/>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167" w:type="dxa"/>
            <w:vAlign w:val="center"/>
          </w:tcPr>
          <w:p>
            <w:pPr>
              <w:adjustRightInd w:val="0"/>
              <w:snapToGrid w:val="0"/>
              <w:spacing w:line="240" w:lineRule="auto"/>
              <w:jc w:val="center"/>
              <w:rPr>
                <w:rFonts w:ascii="宋体" w:hAnsi="宋体"/>
                <w:szCs w:val="21"/>
              </w:rPr>
            </w:pPr>
          </w:p>
        </w:tc>
        <w:tc>
          <w:tcPr>
            <w:tcW w:w="1875" w:type="dxa"/>
            <w:vAlign w:val="center"/>
          </w:tcPr>
          <w:p>
            <w:pPr>
              <w:adjustRightInd w:val="0"/>
              <w:snapToGrid w:val="0"/>
              <w:spacing w:line="240" w:lineRule="auto"/>
              <w:jc w:val="center"/>
              <w:rPr>
                <w:rFonts w:ascii="宋体" w:hAnsi="宋体"/>
                <w:szCs w:val="21"/>
              </w:rPr>
            </w:pPr>
            <w:r>
              <w:rPr>
                <w:rFonts w:hint="eastAsia" w:ascii="宋体" w:hAnsi="宋体"/>
                <w:szCs w:val="21"/>
              </w:rPr>
              <w:t>其他规定</w:t>
            </w:r>
          </w:p>
        </w:tc>
        <w:tc>
          <w:tcPr>
            <w:tcW w:w="5578" w:type="dxa"/>
            <w:vAlign w:val="center"/>
          </w:tcPr>
          <w:p>
            <w:pPr>
              <w:numPr>
                <w:ilvl w:val="0"/>
                <w:numId w:val="2"/>
              </w:numPr>
              <w:adjustRightInd w:val="0"/>
              <w:snapToGrid w:val="0"/>
              <w:spacing w:line="240" w:lineRule="auto"/>
              <w:rPr>
                <w:rFonts w:ascii="宋体" w:hAnsi="宋体"/>
                <w:szCs w:val="21"/>
              </w:rPr>
            </w:pPr>
            <w:r>
              <w:rPr>
                <w:rFonts w:hint="eastAsia" w:ascii="宋体" w:hAnsi="宋体"/>
                <w:szCs w:val="21"/>
              </w:rPr>
              <w:t>中小企业在融资、保证金、履约保证等方面有需求的，可查询当地政府采购管理部门相关政策，通过专业化的担保途径解决。</w:t>
            </w:r>
          </w:p>
          <w:p>
            <w:pPr>
              <w:numPr>
                <w:ilvl w:val="0"/>
                <w:numId w:val="2"/>
              </w:numPr>
              <w:adjustRightInd w:val="0"/>
              <w:snapToGrid w:val="0"/>
              <w:spacing w:line="240" w:lineRule="auto"/>
              <w:rPr>
                <w:rFonts w:ascii="宋体" w:hAnsi="宋体"/>
                <w:szCs w:val="21"/>
              </w:rPr>
            </w:pPr>
            <w:r>
              <w:rPr>
                <w:rFonts w:hint="eastAsia" w:ascii="宋体" w:hAnsi="宋体"/>
                <w:szCs w:val="21"/>
              </w:rPr>
              <w:t>本项目中供应商所投货物属于政府采购节能产品的，供应商应提供《节能产品政府采购品目清单》内标记★符号节能产品，依据品目清单和认证证书实施政府强制采购。</w:t>
            </w:r>
          </w:p>
        </w:tc>
      </w:tr>
    </w:tbl>
    <w:p>
      <w:pPr>
        <w:adjustRightInd w:val="0"/>
        <w:snapToGrid w:val="0"/>
        <w:spacing w:line="360" w:lineRule="auto"/>
        <w:rPr>
          <w:rFonts w:ascii="黑体" w:eastAsia="黑体"/>
          <w:b/>
          <w:sz w:val="24"/>
        </w:rPr>
      </w:pPr>
    </w:p>
    <w:p>
      <w:pPr>
        <w:adjustRightInd w:val="0"/>
        <w:snapToGrid w:val="0"/>
        <w:spacing w:line="360" w:lineRule="auto"/>
        <w:rPr>
          <w:rFonts w:ascii="黑体" w:eastAsia="黑体"/>
          <w:b/>
          <w:sz w:val="24"/>
        </w:rPr>
        <w:sectPr>
          <w:footerReference r:id="rId8" w:type="first"/>
          <w:footerReference r:id="rId7" w:type="default"/>
          <w:pgSz w:w="11906" w:h="16838"/>
          <w:pgMar w:top="873" w:right="1080" w:bottom="873" w:left="1080" w:header="283" w:footer="567" w:gutter="0"/>
          <w:pgNumType w:fmt="decimal" w:start="1"/>
          <w:cols w:space="0" w:num="1"/>
          <w:titlePg/>
          <w:rtlGutter w:val="0"/>
          <w:docGrid w:type="lines" w:linePitch="312" w:charSpace="0"/>
        </w:sectPr>
      </w:pPr>
      <w:r>
        <w:rPr>
          <w:rFonts w:hint="eastAsia" w:ascii="宋体" w:hAnsi="宋体"/>
          <w:szCs w:val="21"/>
        </w:rPr>
        <w:t xml:space="preserve"> </w:t>
      </w:r>
    </w:p>
    <w:p>
      <w:pPr>
        <w:pStyle w:val="262"/>
        <w:rPr>
          <w:color w:val="auto"/>
        </w:rPr>
      </w:pPr>
      <w:bookmarkStart w:id="60" w:name="_Toc27481"/>
      <w:r>
        <w:rPr>
          <w:rFonts w:hint="eastAsia"/>
          <w:color w:val="auto"/>
        </w:rPr>
        <w:t>协商须知正文</w:t>
      </w:r>
      <w:bookmarkEnd w:id="60"/>
    </w:p>
    <w:p>
      <w:pPr>
        <w:pStyle w:val="262"/>
        <w:rPr>
          <w:color w:val="auto"/>
        </w:rPr>
      </w:pPr>
      <w:bookmarkStart w:id="61" w:name="_Toc13147"/>
      <w:r>
        <w:rPr>
          <w:rFonts w:hint="eastAsia"/>
          <w:color w:val="auto"/>
        </w:rPr>
        <w:t>一、说明</w:t>
      </w:r>
      <w:bookmarkEnd w:id="61"/>
    </w:p>
    <w:p>
      <w:pPr>
        <w:adjustRightInd w:val="0"/>
        <w:snapToGrid w:val="0"/>
        <w:spacing w:line="360" w:lineRule="auto"/>
        <w:rPr>
          <w:rFonts w:ascii="宋体" w:hAnsi="宋体"/>
          <w:b/>
          <w:bCs/>
          <w:szCs w:val="21"/>
        </w:rPr>
      </w:pPr>
      <w:r>
        <w:rPr>
          <w:rFonts w:hint="eastAsia" w:ascii="宋体" w:hAnsi="宋体"/>
          <w:b/>
          <w:bCs/>
          <w:szCs w:val="21"/>
        </w:rPr>
        <w:t>1.适用范围</w:t>
      </w:r>
    </w:p>
    <w:p>
      <w:pPr>
        <w:adjustRightInd w:val="0"/>
        <w:snapToGrid w:val="0"/>
        <w:spacing w:line="360" w:lineRule="auto"/>
        <w:ind w:firstLine="420" w:firstLineChars="200"/>
        <w:rPr>
          <w:rFonts w:ascii="宋体" w:hAnsi="宋体"/>
          <w:szCs w:val="21"/>
        </w:rPr>
      </w:pPr>
      <w:r>
        <w:rPr>
          <w:rFonts w:hint="eastAsia" w:ascii="宋体" w:hAnsi="宋体"/>
          <w:szCs w:val="21"/>
        </w:rPr>
        <w:t>1.1本单一来源采购文件仅适用于单一来源采购文件第二章“协商须知前附表”</w:t>
      </w:r>
      <w:r>
        <w:rPr>
          <w:rFonts w:hint="eastAsia" w:ascii="宋体" w:hAnsi="宋体"/>
          <w:b/>
          <w:szCs w:val="21"/>
        </w:rPr>
        <w:t>(</w:t>
      </w:r>
      <w:r>
        <w:rPr>
          <w:rFonts w:hint="eastAsia" w:ascii="宋体" w:hAnsi="宋体"/>
          <w:szCs w:val="21"/>
        </w:rPr>
        <w:t>简称</w:t>
      </w:r>
      <w:r>
        <w:rPr>
          <w:rFonts w:hint="eastAsia" w:ascii="宋体" w:hAnsi="宋体"/>
          <w:b/>
          <w:szCs w:val="21"/>
        </w:rPr>
        <w:t>协商须知前附表)</w:t>
      </w:r>
      <w:r>
        <w:rPr>
          <w:rFonts w:hint="eastAsia" w:ascii="宋体" w:hAnsi="宋体"/>
          <w:szCs w:val="21"/>
        </w:rPr>
        <w:t>中所叙述的采购项目。</w:t>
      </w:r>
    </w:p>
    <w:p>
      <w:pPr>
        <w:adjustRightInd w:val="0"/>
        <w:snapToGrid w:val="0"/>
        <w:spacing w:line="360" w:lineRule="auto"/>
        <w:rPr>
          <w:rFonts w:ascii="宋体" w:hAnsi="宋体"/>
          <w:b/>
          <w:bCs/>
          <w:szCs w:val="21"/>
        </w:rPr>
      </w:pPr>
      <w:r>
        <w:rPr>
          <w:rFonts w:hint="eastAsia" w:ascii="宋体" w:hAnsi="宋体"/>
          <w:b/>
          <w:bCs/>
          <w:szCs w:val="21"/>
        </w:rPr>
        <w:t>2.定义</w:t>
      </w:r>
    </w:p>
    <w:p>
      <w:pPr>
        <w:adjustRightInd w:val="0"/>
        <w:snapToGrid w:val="0"/>
        <w:spacing w:line="360" w:lineRule="auto"/>
        <w:ind w:firstLine="420" w:firstLineChars="200"/>
        <w:rPr>
          <w:rFonts w:ascii="宋体" w:hAnsi="宋体"/>
          <w:b/>
          <w:szCs w:val="21"/>
        </w:rPr>
      </w:pPr>
      <w:r>
        <w:rPr>
          <w:rFonts w:hint="eastAsia" w:ascii="宋体" w:hAnsi="宋体"/>
          <w:szCs w:val="21"/>
        </w:rPr>
        <w:t>2.1 “采购人”系指依法进行政府采购的国家机关、事业单位、团体组织。本次采购的采购人名称、地址、电话、联系人见</w:t>
      </w:r>
      <w:r>
        <w:rPr>
          <w:rFonts w:hint="eastAsia" w:ascii="宋体" w:hAnsi="宋体"/>
          <w:b/>
          <w:szCs w:val="21"/>
        </w:rPr>
        <w:t>协商须知前附表</w:t>
      </w:r>
      <w:r>
        <w:rPr>
          <w:rFonts w:hint="eastAsia" w:ascii="宋体" w:hAnsi="宋体"/>
          <w:szCs w:val="21"/>
        </w:rPr>
        <w:t>。</w:t>
      </w:r>
    </w:p>
    <w:p>
      <w:pPr>
        <w:adjustRightInd w:val="0"/>
        <w:snapToGrid w:val="0"/>
        <w:spacing w:line="360" w:lineRule="auto"/>
        <w:ind w:firstLine="420" w:firstLineChars="200"/>
        <w:rPr>
          <w:rFonts w:ascii="宋体" w:hAnsi="宋体"/>
          <w:b/>
          <w:szCs w:val="21"/>
        </w:rPr>
      </w:pPr>
      <w:r>
        <w:rPr>
          <w:rFonts w:hint="eastAsia" w:ascii="宋体" w:hAnsi="宋体"/>
          <w:szCs w:val="21"/>
        </w:rPr>
        <w:t>2.2 “采购代理机构”系指接受采购人委托，代理采购项目的依法经财政部门认定资格的采购代理机构。本次采购的采购代理机构名称、地址、电话、联系人见</w:t>
      </w:r>
      <w:r>
        <w:rPr>
          <w:rFonts w:hint="eastAsia" w:ascii="宋体" w:hAnsi="宋体"/>
          <w:b/>
          <w:szCs w:val="21"/>
        </w:rPr>
        <w:t>协商须知前附表。</w:t>
      </w:r>
    </w:p>
    <w:p>
      <w:pPr>
        <w:adjustRightInd w:val="0"/>
        <w:snapToGrid w:val="0"/>
        <w:spacing w:line="360" w:lineRule="auto"/>
        <w:ind w:firstLine="420" w:firstLineChars="200"/>
        <w:rPr>
          <w:rFonts w:ascii="宋体" w:hAnsi="宋体" w:cs="宋体"/>
          <w:bCs/>
          <w:kern w:val="36"/>
          <w:szCs w:val="21"/>
        </w:rPr>
      </w:pPr>
      <w:r>
        <w:rPr>
          <w:rFonts w:hint="eastAsia" w:ascii="宋体" w:hAnsi="宋体"/>
          <w:szCs w:val="21"/>
        </w:rPr>
        <w:t>2.3 “供应商”是指响应单一来源采购文件要求、参加单一来源协商采购的法人、其他组织或者自然人。</w:t>
      </w:r>
    </w:p>
    <w:p>
      <w:pPr>
        <w:adjustRightInd w:val="0"/>
        <w:snapToGrid w:val="0"/>
        <w:spacing w:line="360" w:lineRule="auto"/>
        <w:ind w:firstLine="420" w:firstLineChars="200"/>
        <w:rPr>
          <w:rFonts w:ascii="宋体" w:hAnsi="宋体"/>
          <w:szCs w:val="21"/>
        </w:rPr>
      </w:pPr>
      <w:r>
        <w:rPr>
          <w:rFonts w:hint="eastAsia" w:ascii="宋体" w:hAnsi="宋体"/>
          <w:szCs w:val="21"/>
          <w:highlight w:val="none"/>
        </w:rPr>
        <w:t>2.4 “</w:t>
      </w:r>
      <w:r>
        <w:rPr>
          <w:rFonts w:hint="eastAsia" w:ascii="宋体" w:hAnsi="宋体"/>
          <w:szCs w:val="21"/>
          <w:highlight w:val="none"/>
          <w:lang w:val="en-US" w:eastAsia="zh-CN"/>
        </w:rPr>
        <w:t>服务</w:t>
      </w:r>
      <w:r>
        <w:rPr>
          <w:rFonts w:hint="eastAsia" w:ascii="宋体" w:hAnsi="宋体"/>
          <w:szCs w:val="21"/>
          <w:highlight w:val="none"/>
        </w:rPr>
        <w:t>”指除货物和工程以外的其他采购对象。“合格的服务”是指投标人按竞争性磋商文件的规定，依据中华人民共和国的相关法律、法规、规章以及相关国家标准、行业标准或地方（或企业）标准（如有）的规定或规范要求，向采购人提供的满足竞争性磋商文件规定的需求或特定目标的服务。。</w:t>
      </w:r>
    </w:p>
    <w:p>
      <w:pPr>
        <w:adjustRightInd w:val="0"/>
        <w:snapToGrid w:val="0"/>
        <w:spacing w:line="360" w:lineRule="auto"/>
        <w:rPr>
          <w:rFonts w:ascii="宋体" w:hAnsi="宋体"/>
          <w:b/>
          <w:bCs/>
          <w:szCs w:val="21"/>
        </w:rPr>
      </w:pPr>
      <w:r>
        <w:rPr>
          <w:rFonts w:hint="eastAsia" w:ascii="宋体" w:hAnsi="宋体"/>
          <w:b/>
          <w:bCs/>
          <w:szCs w:val="21"/>
        </w:rPr>
        <w:t>3.供应商的资格要求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3.1供应商</w:t>
      </w:r>
      <w:r>
        <w:rPr>
          <w:rFonts w:hint="eastAsia" w:hAnsi="宋体"/>
          <w:szCs w:val="21"/>
        </w:rPr>
        <w:t>应</w:t>
      </w:r>
      <w:r>
        <w:rPr>
          <w:rFonts w:hint="eastAsia" w:ascii="宋体" w:hAnsi="宋体"/>
          <w:szCs w:val="21"/>
        </w:rPr>
        <w:t>符合</w:t>
      </w:r>
      <w:r>
        <w:rPr>
          <w:rFonts w:hint="eastAsia" w:ascii="宋体" w:hAnsi="宋体"/>
          <w:b/>
          <w:szCs w:val="21"/>
        </w:rPr>
        <w:t>协商须知前附表</w:t>
      </w:r>
      <w:r>
        <w:rPr>
          <w:rFonts w:hint="eastAsia" w:ascii="宋体" w:hAnsi="宋体"/>
          <w:szCs w:val="21"/>
        </w:rPr>
        <w:t>中规定的下列资格条件要求；</w:t>
      </w:r>
    </w:p>
    <w:p>
      <w:pPr>
        <w:adjustRightInd w:val="0"/>
        <w:snapToGrid w:val="0"/>
        <w:spacing w:line="360" w:lineRule="auto"/>
        <w:ind w:firstLine="420" w:firstLineChars="200"/>
        <w:rPr>
          <w:rFonts w:ascii="宋体" w:hAnsi="宋体"/>
          <w:szCs w:val="21"/>
        </w:rPr>
      </w:pPr>
      <w:r>
        <w:rPr>
          <w:rFonts w:hint="eastAsia" w:ascii="宋体" w:hAnsi="宋体"/>
          <w:szCs w:val="21"/>
        </w:rPr>
        <w:t>（l）</w:t>
      </w:r>
      <w:r>
        <w:rPr>
          <w:rFonts w:hint="eastAsia" w:ascii="宋体" w:hAnsi="宋体" w:cs="宋体"/>
          <w:kern w:val="0"/>
          <w:szCs w:val="21"/>
          <w:lang w:val="zh-CN"/>
        </w:rPr>
        <w:t>《政府采购法》第二十二条第一款规定的</w:t>
      </w:r>
      <w:r>
        <w:rPr>
          <w:rFonts w:hint="eastAsia" w:ascii="宋体" w:hAnsi="宋体"/>
          <w:szCs w:val="21"/>
        </w:rPr>
        <w:t>供应商基本资格条件</w:t>
      </w:r>
      <w:r>
        <w:rPr>
          <w:rFonts w:hint="eastAsia" w:ascii="宋体" w:hAnsi="宋体" w:cs="宋体"/>
          <w:kern w:val="0"/>
          <w:szCs w:val="21"/>
          <w:lang w:val="zh-CN"/>
        </w:rPr>
        <w:t>；</w:t>
      </w:r>
    </w:p>
    <w:p>
      <w:pPr>
        <w:adjustRightInd w:val="0"/>
        <w:snapToGrid w:val="0"/>
        <w:spacing w:line="360" w:lineRule="auto"/>
        <w:ind w:firstLine="420" w:firstLineChars="200"/>
        <w:rPr>
          <w:rFonts w:ascii="宋体" w:hAnsi="宋体"/>
          <w:szCs w:val="21"/>
        </w:rPr>
      </w:pPr>
      <w:r>
        <w:rPr>
          <w:rFonts w:hint="eastAsia" w:ascii="宋体" w:hAnsi="宋体"/>
          <w:szCs w:val="21"/>
        </w:rPr>
        <w:t>（2）单一来源采购文件</w:t>
      </w:r>
      <w:r>
        <w:rPr>
          <w:rFonts w:hint="eastAsia" w:ascii="宋体" w:hAnsi="宋体" w:cs="宋体"/>
          <w:kern w:val="0"/>
          <w:szCs w:val="21"/>
          <w:lang w:val="zh-CN"/>
        </w:rPr>
        <w:t>规定的</w:t>
      </w:r>
      <w:r>
        <w:rPr>
          <w:rFonts w:hint="eastAsia" w:ascii="宋体" w:hAnsi="宋体"/>
          <w:szCs w:val="21"/>
        </w:rPr>
        <w:t>供应商特定资格条件。</w:t>
      </w:r>
    </w:p>
    <w:p>
      <w:pPr>
        <w:adjustRightInd w:val="0"/>
        <w:snapToGrid w:val="0"/>
        <w:spacing w:line="360" w:lineRule="auto"/>
        <w:ind w:firstLine="420" w:firstLineChars="200"/>
        <w:rPr>
          <w:rFonts w:ascii="宋体" w:hAnsi="宋体"/>
          <w:szCs w:val="21"/>
        </w:rPr>
      </w:pPr>
      <w:r>
        <w:rPr>
          <w:rFonts w:hint="eastAsia" w:ascii="宋体" w:hAnsi="宋体"/>
          <w:szCs w:val="21"/>
        </w:rPr>
        <w:t>3.2供应商不得存在下列情形之一：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rPr>
        <w:t>（l）与采购人和采购代理机构存在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（2）供应商被列入失信被执行人、</w:t>
      </w:r>
      <w:r>
        <w:rPr>
          <w:rFonts w:hint="eastAsia" w:ascii="宋体" w:hAnsi="宋体"/>
          <w:szCs w:val="21"/>
          <w:lang w:eastAsia="zh-CN"/>
        </w:rPr>
        <w:t>重大税收违法失信主体</w:t>
      </w:r>
      <w:r>
        <w:rPr>
          <w:rFonts w:hint="eastAsia" w:ascii="宋体" w:hAnsi="宋体"/>
          <w:szCs w:val="21"/>
        </w:rPr>
        <w:t>、政府采购严重违法失信行为记录名单（处罚决定规定的时间和地域范围内）。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w:t>
      </w:r>
      <w:r>
        <w:rPr>
          <w:rFonts w:hint="eastAsia" w:ascii="宋体" w:hAnsi="宋体"/>
          <w:szCs w:val="21"/>
          <w:lang w:eastAsia="zh-CN"/>
        </w:rPr>
        <w:t>重大税收违法失信主体</w:t>
      </w:r>
      <w:r>
        <w:rPr>
          <w:rFonts w:hint="eastAsia" w:ascii="宋体" w:hAnsi="宋体"/>
          <w:szCs w:val="21"/>
        </w:rPr>
        <w:t>，以及存在《中华人民共和国政府采购法实施条例》第十九条规定的行政处罚记录，供应商将被认定为</w:t>
      </w:r>
      <w:r>
        <w:rPr>
          <w:rFonts w:hint="eastAsia" w:ascii="宋体" w:hAnsi="宋体"/>
          <w:b/>
          <w:szCs w:val="21"/>
        </w:rPr>
        <w:t>无效</w:t>
      </w:r>
      <w:r>
        <w:rPr>
          <w:rFonts w:hint="eastAsia" w:ascii="宋体" w:hAnsi="宋体"/>
          <w:szCs w:val="21"/>
        </w:rPr>
        <w:t>。以联合体形式参加的，联合体任何成员存在以上不良信用记录的，联合体供应商将被认定为</w:t>
      </w:r>
      <w:r>
        <w:rPr>
          <w:rFonts w:hint="eastAsia" w:ascii="宋体" w:hAnsi="宋体"/>
          <w:b/>
          <w:szCs w:val="21"/>
        </w:rPr>
        <w:t>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采购人</w:t>
      </w:r>
      <w:r>
        <w:rPr>
          <w:rFonts w:ascii="宋体" w:hAnsi="宋体"/>
          <w:szCs w:val="21"/>
        </w:rPr>
        <w:t>或采购代理机构</w:t>
      </w:r>
      <w:r>
        <w:rPr>
          <w:rFonts w:hint="eastAsia" w:ascii="宋体" w:hAnsi="宋体"/>
          <w:szCs w:val="21"/>
        </w:rPr>
        <w:t>经办人将查询网页打印、签字并存档备查。供应商不良信用记录以采购人</w:t>
      </w:r>
      <w:r>
        <w:rPr>
          <w:rFonts w:ascii="宋体" w:hAnsi="宋体"/>
          <w:szCs w:val="21"/>
        </w:rPr>
        <w:t>或采购代理机构</w:t>
      </w:r>
      <w:r>
        <w:rPr>
          <w:rFonts w:hint="eastAsia" w:ascii="宋体" w:hAnsi="宋体"/>
          <w:szCs w:val="21"/>
        </w:rPr>
        <w:t>查询结果为准。供应商自行提供的与网站信息不一致的其他证明材料亦不作为资格审查依据。在本</w:t>
      </w:r>
      <w:r>
        <w:rPr>
          <w:rFonts w:ascii="宋体" w:hAnsi="宋体"/>
          <w:szCs w:val="21"/>
        </w:rPr>
        <w:t>文件规定</w:t>
      </w:r>
      <w:r>
        <w:rPr>
          <w:rFonts w:hint="eastAsia" w:ascii="宋体" w:hAnsi="宋体"/>
          <w:szCs w:val="21"/>
        </w:rPr>
        <w:t>的查询时间之外，网站信息发生的任何变更均不作为资格审查依据。</w:t>
      </w:r>
    </w:p>
    <w:p>
      <w:pPr>
        <w:pStyle w:val="23"/>
        <w:adjustRightInd w:val="0"/>
        <w:snapToGrid w:val="0"/>
        <w:spacing w:line="360" w:lineRule="auto"/>
        <w:rPr>
          <w:rFonts w:hAnsi="宋体"/>
          <w:b/>
          <w:bCs/>
        </w:rPr>
      </w:pPr>
      <w:r>
        <w:rPr>
          <w:rFonts w:hint="eastAsia" w:hAnsi="宋体"/>
          <w:b/>
        </w:rPr>
        <w:t>4．</w:t>
      </w:r>
      <w:r>
        <w:rPr>
          <w:rFonts w:hint="eastAsia" w:hAnsi="宋体"/>
          <w:b/>
          <w:bCs/>
        </w:rPr>
        <w:t>授权委托</w:t>
      </w:r>
    </w:p>
    <w:p>
      <w:pPr>
        <w:pStyle w:val="23"/>
        <w:adjustRightInd w:val="0"/>
        <w:snapToGrid w:val="0"/>
        <w:spacing w:line="360" w:lineRule="auto"/>
        <w:ind w:firstLine="420" w:firstLineChars="200"/>
        <w:rPr>
          <w:rFonts w:hAnsi="宋体"/>
        </w:rPr>
      </w:pPr>
      <w:r>
        <w:rPr>
          <w:rFonts w:hint="eastAsia" w:hAnsi="宋体"/>
        </w:rPr>
        <w:t>4.1供应商代表为供应商法定代表人的，应持有法定代表人身份证明。供应商代表不是供应商法定代表人的，应持有法定代表人授权书，并附法定代表人身份证明。</w:t>
      </w:r>
    </w:p>
    <w:p>
      <w:pPr>
        <w:adjustRightInd w:val="0"/>
        <w:snapToGrid w:val="0"/>
        <w:spacing w:line="360" w:lineRule="auto"/>
        <w:jc w:val="left"/>
        <w:rPr>
          <w:rFonts w:ascii="宋体" w:hAnsi="宋体"/>
          <w:b/>
          <w:szCs w:val="21"/>
        </w:rPr>
      </w:pPr>
      <w:r>
        <w:rPr>
          <w:rFonts w:hint="eastAsia" w:ascii="宋体" w:hAnsi="宋体"/>
          <w:b/>
          <w:szCs w:val="21"/>
        </w:rPr>
        <w:t>5</w:t>
      </w:r>
      <w:r>
        <w:rPr>
          <w:rFonts w:hint="eastAsia" w:hAnsi="宋体"/>
          <w:b/>
          <w:szCs w:val="21"/>
        </w:rPr>
        <w:t>．</w:t>
      </w:r>
      <w:r>
        <w:rPr>
          <w:rFonts w:hint="eastAsia" w:ascii="宋体" w:hAnsi="宋体"/>
          <w:b/>
          <w:szCs w:val="21"/>
        </w:rPr>
        <w:t>采购进口产品</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5.1除</w:t>
      </w:r>
      <w:r>
        <w:rPr>
          <w:rFonts w:hint="eastAsia" w:ascii="宋体" w:hAnsi="宋体"/>
          <w:b/>
          <w:szCs w:val="21"/>
        </w:rPr>
        <w:t>协商须知前附表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采购活动</w:t>
      </w:r>
      <w:r>
        <w:rPr>
          <w:rFonts w:hint="eastAsia" w:ascii="宋体" w:hAnsi="宋体" w:cs="宋体"/>
          <w:kern w:val="0"/>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cs="宋体"/>
          <w:kern w:val="0"/>
          <w:szCs w:val="21"/>
        </w:rPr>
        <w:t>5.2</w:t>
      </w:r>
      <w:r>
        <w:rPr>
          <w:rFonts w:hint="eastAsia" w:ascii="宋体" w:hAnsi="宋体"/>
          <w:szCs w:val="21"/>
        </w:rPr>
        <w:t>本章第5.1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采购文件要求</w:t>
      </w:r>
      <w:r>
        <w:rPr>
          <w:rFonts w:ascii="宋体" w:hAnsi="宋体" w:cs="宋体"/>
          <w:kern w:val="0"/>
          <w:szCs w:val="21"/>
        </w:rPr>
        <w:t>的国内产品参与</w:t>
      </w:r>
      <w:r>
        <w:rPr>
          <w:rFonts w:hint="eastAsia" w:ascii="宋体" w:hAnsi="宋体" w:cs="宋体"/>
          <w:kern w:val="0"/>
          <w:szCs w:val="21"/>
        </w:rPr>
        <w:t>竞标</w:t>
      </w:r>
      <w:r>
        <w:rPr>
          <w:rFonts w:ascii="宋体" w:hAnsi="宋体" w:cs="宋体"/>
          <w:kern w:val="0"/>
          <w:szCs w:val="21"/>
        </w:rPr>
        <w:t>。</w:t>
      </w:r>
    </w:p>
    <w:p>
      <w:pPr>
        <w:pStyle w:val="262"/>
        <w:rPr>
          <w:color w:val="auto"/>
        </w:rPr>
      </w:pPr>
      <w:bookmarkStart w:id="62" w:name="_Toc3440"/>
      <w:r>
        <w:rPr>
          <w:rFonts w:hint="eastAsia"/>
          <w:color w:val="auto"/>
        </w:rPr>
        <w:t>二、单一来源采购文件</w:t>
      </w:r>
      <w:bookmarkEnd w:id="62"/>
    </w:p>
    <w:p>
      <w:pPr>
        <w:adjustRightInd w:val="0"/>
        <w:snapToGrid w:val="0"/>
        <w:spacing w:line="360" w:lineRule="auto"/>
        <w:rPr>
          <w:rFonts w:ascii="宋体" w:hAnsi="宋体"/>
          <w:b/>
          <w:bCs/>
          <w:szCs w:val="21"/>
        </w:rPr>
      </w:pPr>
      <w:r>
        <w:rPr>
          <w:rFonts w:hint="eastAsia" w:ascii="宋体" w:hAnsi="宋体"/>
          <w:b/>
          <w:bCs/>
          <w:szCs w:val="21"/>
        </w:rPr>
        <w:t>6．单一来源采购文件的组成</w:t>
      </w:r>
    </w:p>
    <w:p>
      <w:pPr>
        <w:pStyle w:val="23"/>
        <w:adjustRightInd w:val="0"/>
        <w:snapToGrid w:val="0"/>
        <w:spacing w:line="360" w:lineRule="auto"/>
        <w:ind w:firstLine="420" w:firstLineChars="200"/>
        <w:rPr>
          <w:rFonts w:hAnsi="宋体"/>
        </w:rPr>
      </w:pPr>
      <w:r>
        <w:rPr>
          <w:rFonts w:hint="eastAsia" w:hAnsi="宋体"/>
        </w:rPr>
        <w:t>6.1 单一来源采购文件由下列文件及在采购过程中发出的</w:t>
      </w:r>
      <w:r>
        <w:rPr>
          <w:rFonts w:hint="eastAsia" w:hAnsi="宋体"/>
          <w:kern w:val="0"/>
          <w:lang w:val="zh-CN"/>
        </w:rPr>
        <w:t>澄清或者</w:t>
      </w:r>
      <w:r>
        <w:rPr>
          <w:rFonts w:hint="eastAsia" w:hAnsi="宋体"/>
        </w:rPr>
        <w:t>修</w:t>
      </w:r>
      <w:r>
        <w:rPr>
          <w:rFonts w:hint="eastAsia" w:hAnsi="宋体"/>
          <w:bCs/>
        </w:rPr>
        <w:t>改</w:t>
      </w:r>
      <w:r>
        <w:rPr>
          <w:rFonts w:hint="eastAsia" w:hAnsi="宋体"/>
        </w:rPr>
        <w:t>文件组成：</w:t>
      </w:r>
    </w:p>
    <w:p>
      <w:pPr>
        <w:pStyle w:val="23"/>
        <w:adjustRightInd w:val="0"/>
        <w:snapToGrid w:val="0"/>
        <w:spacing w:line="360" w:lineRule="auto"/>
        <w:ind w:firstLine="420" w:firstLineChars="200"/>
        <w:rPr>
          <w:rFonts w:hAnsi="宋体"/>
        </w:rPr>
      </w:pPr>
      <w:r>
        <w:rPr>
          <w:rFonts w:hint="eastAsia" w:hAnsi="宋体"/>
        </w:rPr>
        <w:t>第一章 协商通知</w:t>
      </w:r>
    </w:p>
    <w:p>
      <w:pPr>
        <w:pStyle w:val="23"/>
        <w:adjustRightInd w:val="0"/>
        <w:snapToGrid w:val="0"/>
        <w:spacing w:line="360" w:lineRule="auto"/>
        <w:ind w:firstLine="420" w:firstLineChars="200"/>
        <w:rPr>
          <w:rFonts w:hAnsi="宋体"/>
        </w:rPr>
      </w:pPr>
      <w:r>
        <w:rPr>
          <w:rFonts w:hint="eastAsia" w:hAnsi="宋体"/>
        </w:rPr>
        <w:t>第二章 协商须知</w:t>
      </w:r>
    </w:p>
    <w:p>
      <w:pPr>
        <w:pStyle w:val="23"/>
        <w:adjustRightInd w:val="0"/>
        <w:snapToGrid w:val="0"/>
        <w:spacing w:line="360" w:lineRule="auto"/>
        <w:ind w:firstLine="420" w:firstLineChars="200"/>
        <w:rPr>
          <w:rFonts w:hAnsi="宋体"/>
        </w:rPr>
      </w:pPr>
      <w:r>
        <w:rPr>
          <w:rFonts w:hint="eastAsia" w:hAnsi="宋体"/>
        </w:rPr>
        <w:t>第三章 政府采购合同</w:t>
      </w:r>
    </w:p>
    <w:p>
      <w:pPr>
        <w:pStyle w:val="23"/>
        <w:adjustRightInd w:val="0"/>
        <w:snapToGrid w:val="0"/>
        <w:spacing w:line="360" w:lineRule="auto"/>
        <w:ind w:firstLine="420" w:firstLineChars="200"/>
        <w:rPr>
          <w:rFonts w:hAnsi="宋体"/>
        </w:rPr>
      </w:pPr>
      <w:r>
        <w:rPr>
          <w:rFonts w:hint="eastAsia" w:hAnsi="宋体"/>
        </w:rPr>
        <w:t>第四章 采购需求</w:t>
      </w:r>
    </w:p>
    <w:p>
      <w:pPr>
        <w:pStyle w:val="23"/>
        <w:adjustRightInd w:val="0"/>
        <w:snapToGrid w:val="0"/>
        <w:spacing w:line="360" w:lineRule="auto"/>
        <w:ind w:firstLine="420" w:firstLineChars="200"/>
        <w:rPr>
          <w:rFonts w:hAnsi="宋体"/>
        </w:rPr>
      </w:pPr>
      <w:r>
        <w:rPr>
          <w:rFonts w:hint="eastAsia" w:hAnsi="宋体"/>
        </w:rPr>
        <w:t>第五章 响应文件格式</w:t>
      </w:r>
    </w:p>
    <w:p>
      <w:pPr>
        <w:adjustRightInd w:val="0"/>
        <w:snapToGrid w:val="0"/>
        <w:spacing w:line="360" w:lineRule="auto"/>
        <w:rPr>
          <w:rFonts w:ascii="宋体" w:hAnsi="宋体"/>
          <w:b/>
          <w:bCs/>
          <w:szCs w:val="21"/>
        </w:rPr>
      </w:pPr>
      <w:r>
        <w:rPr>
          <w:rFonts w:hint="eastAsia" w:ascii="宋体" w:hAnsi="宋体"/>
          <w:b/>
          <w:bCs/>
          <w:szCs w:val="21"/>
        </w:rPr>
        <w:t>7. 单一来源采购文件的澄清</w:t>
      </w:r>
      <w:r>
        <w:rPr>
          <w:rFonts w:hint="eastAsia" w:ascii="宋体" w:hAnsi="宋体"/>
          <w:b/>
          <w:kern w:val="0"/>
          <w:szCs w:val="21"/>
          <w:lang w:val="zh-CN"/>
        </w:rPr>
        <w:t>或者</w:t>
      </w:r>
      <w:r>
        <w:rPr>
          <w:rFonts w:hint="eastAsia" w:ascii="宋体" w:hAnsi="宋体"/>
          <w:b/>
          <w:bCs/>
          <w:szCs w:val="21"/>
        </w:rPr>
        <w:t>修改</w:t>
      </w:r>
    </w:p>
    <w:p>
      <w:pPr>
        <w:autoSpaceDE w:val="0"/>
        <w:autoSpaceDN w:val="0"/>
        <w:adjustRightInd w:val="0"/>
        <w:snapToGrid w:val="0"/>
        <w:spacing w:line="360" w:lineRule="auto"/>
        <w:ind w:firstLine="420" w:firstLineChars="200"/>
        <w:jc w:val="left"/>
        <w:rPr>
          <w:rFonts w:ascii="宋体" w:hAnsi="宋体"/>
          <w:kern w:val="0"/>
          <w:szCs w:val="21"/>
          <w:lang w:val="zh-CN"/>
        </w:rPr>
      </w:pPr>
      <w:r>
        <w:rPr>
          <w:rFonts w:hint="eastAsia" w:ascii="宋体" w:hAnsi="宋体"/>
          <w:szCs w:val="21"/>
        </w:rPr>
        <w:t>7.1 采购代理机构</w:t>
      </w:r>
      <w:r>
        <w:rPr>
          <w:rFonts w:hint="eastAsia" w:ascii="宋体" w:hAnsi="宋体"/>
          <w:kern w:val="0"/>
          <w:szCs w:val="21"/>
          <w:lang w:val="zh-CN"/>
        </w:rPr>
        <w:t>对已发出的单一来源采购文件进行必要澄清或者修改的，将以书面形式通知供应商。</w:t>
      </w:r>
      <w:r>
        <w:rPr>
          <w:rFonts w:hint="eastAsia" w:hAnsi="宋体"/>
          <w:kern w:val="0"/>
          <w:szCs w:val="21"/>
          <w:lang w:val="zh-CN"/>
        </w:rPr>
        <w:t>澄清或者修改</w:t>
      </w:r>
      <w:r>
        <w:rPr>
          <w:rFonts w:hint="eastAsia" w:hAnsi="宋体"/>
          <w:szCs w:val="21"/>
        </w:rPr>
        <w:t>文件作为单一来源采购文件的组成部分。</w:t>
      </w:r>
    </w:p>
    <w:p>
      <w:pPr>
        <w:pStyle w:val="262"/>
        <w:rPr>
          <w:color w:val="auto"/>
        </w:rPr>
      </w:pPr>
      <w:bookmarkStart w:id="63" w:name="_Toc28753"/>
      <w:r>
        <w:rPr>
          <w:rFonts w:hint="eastAsia"/>
          <w:color w:val="auto"/>
        </w:rPr>
        <w:t>三、响应文件的编写</w:t>
      </w:r>
      <w:bookmarkEnd w:id="63"/>
    </w:p>
    <w:p>
      <w:pPr>
        <w:adjustRightInd w:val="0"/>
        <w:snapToGrid w:val="0"/>
        <w:spacing w:line="360" w:lineRule="auto"/>
        <w:rPr>
          <w:rFonts w:ascii="宋体" w:hAnsi="宋体"/>
          <w:b/>
          <w:bCs/>
          <w:szCs w:val="21"/>
        </w:rPr>
      </w:pPr>
      <w:r>
        <w:rPr>
          <w:rFonts w:hint="eastAsia" w:ascii="宋体" w:hAnsi="宋体"/>
          <w:b/>
          <w:bCs/>
          <w:szCs w:val="21"/>
        </w:rPr>
        <w:t>8.一般要求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8.1 供应商应仔细阅读单一来源采购文件的所有内容，按单一来源采购文件的要求编制响应文件，并保证所提供的全部资料的真实性，以使其响应文件对单一来源采购文件做出实质性的响应。</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8.2 </w:t>
      </w:r>
      <w:r>
        <w:rPr>
          <w:rFonts w:hint="eastAsia" w:ascii="宋体" w:hAnsi="宋体"/>
          <w:szCs w:val="21"/>
        </w:rPr>
        <w:t>供应商提交的响应文件及供应商与采购代理机构、</w:t>
      </w:r>
      <w:r>
        <w:rPr>
          <w:rFonts w:ascii="ˎ̥" w:hAnsi="ˎ̥"/>
          <w:szCs w:val="21"/>
        </w:rPr>
        <w:t>单一来源采购人员</w:t>
      </w:r>
      <w:r>
        <w:rPr>
          <w:rFonts w:hint="eastAsia" w:ascii="宋体" w:hAnsi="宋体"/>
          <w:szCs w:val="21"/>
        </w:rPr>
        <w:t>就有关协商的所有来往函电均使用中文。供应商可以提交其它语言的资料，但有关响应内容附中文注释，在有差异时以中文为准。</w:t>
      </w:r>
    </w:p>
    <w:p>
      <w:pPr>
        <w:pStyle w:val="23"/>
        <w:adjustRightInd w:val="0"/>
        <w:snapToGrid w:val="0"/>
        <w:spacing w:line="360" w:lineRule="auto"/>
        <w:ind w:firstLine="420" w:firstLineChars="200"/>
        <w:rPr>
          <w:rFonts w:hAnsi="宋体"/>
        </w:rPr>
      </w:pPr>
      <w:r>
        <w:rPr>
          <w:rFonts w:hint="eastAsia" w:hAnsi="宋体"/>
          <w:bCs/>
        </w:rPr>
        <w:t xml:space="preserve">8.3 </w:t>
      </w:r>
      <w:r>
        <w:rPr>
          <w:rFonts w:hint="eastAsia" w:hAnsi="宋体"/>
        </w:rPr>
        <w:t>计量单位应使用我国法定计量单位。</w:t>
      </w:r>
    </w:p>
    <w:p>
      <w:pPr>
        <w:adjustRightInd w:val="0"/>
        <w:snapToGrid w:val="0"/>
        <w:spacing w:line="360" w:lineRule="auto"/>
        <w:rPr>
          <w:rFonts w:ascii="宋体" w:hAnsi="宋体"/>
          <w:b/>
          <w:bCs/>
          <w:szCs w:val="21"/>
        </w:rPr>
      </w:pPr>
      <w:r>
        <w:rPr>
          <w:rFonts w:hint="eastAsia" w:ascii="宋体" w:hAnsi="宋体"/>
          <w:b/>
          <w:bCs/>
          <w:szCs w:val="21"/>
        </w:rPr>
        <w:t>9.</w:t>
      </w:r>
      <w:r>
        <w:rPr>
          <w:rFonts w:hint="eastAsia" w:ascii="宋体" w:hAnsi="宋体"/>
          <w:b/>
          <w:szCs w:val="21"/>
        </w:rPr>
        <w:t>响应文件</w:t>
      </w:r>
      <w:r>
        <w:rPr>
          <w:rFonts w:hint="eastAsia" w:ascii="宋体" w:hAnsi="宋体"/>
          <w:b/>
          <w:bCs/>
          <w:szCs w:val="21"/>
        </w:rPr>
        <w:t>的组成</w:t>
      </w:r>
    </w:p>
    <w:p>
      <w:pPr>
        <w:pStyle w:val="23"/>
        <w:adjustRightInd w:val="0"/>
        <w:snapToGrid w:val="0"/>
        <w:spacing w:line="360" w:lineRule="auto"/>
        <w:ind w:firstLine="420" w:firstLineChars="200"/>
        <w:rPr>
          <w:rFonts w:hAnsi="宋体"/>
        </w:rPr>
      </w:pPr>
      <w:r>
        <w:rPr>
          <w:rFonts w:hint="eastAsia" w:hAnsi="宋体"/>
        </w:rPr>
        <w:t>9.1 响应文件由“报价一览表及资格证明文件”、“商务及技术文件”组成。供应商应完整地按照采购文件提供的响应文件格式及要求编写响应文件。响应文件中资格审查和符合性审查涉及的事项不满足采购文件要求的，其响应文件将被认定为</w:t>
      </w:r>
      <w:r>
        <w:rPr>
          <w:rFonts w:hint="eastAsia" w:hAnsi="宋体"/>
          <w:b/>
          <w:bCs/>
        </w:rPr>
        <w:t>无效</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9.2根据《中华人民共和国政府采购法》第四十二条的规定，供应商无论成交与否，其响应文件不予退还。</w:t>
      </w:r>
    </w:p>
    <w:p>
      <w:pPr>
        <w:adjustRightInd w:val="0"/>
        <w:snapToGrid w:val="0"/>
        <w:spacing w:line="360" w:lineRule="auto"/>
        <w:rPr>
          <w:rFonts w:ascii="宋体" w:hAnsi="宋体"/>
          <w:b/>
          <w:bCs/>
          <w:szCs w:val="21"/>
        </w:rPr>
      </w:pPr>
      <w:r>
        <w:rPr>
          <w:rFonts w:hint="eastAsia" w:ascii="宋体" w:hAnsi="宋体"/>
          <w:b/>
          <w:bCs/>
          <w:szCs w:val="21"/>
        </w:rPr>
        <w:t>10.报价</w:t>
      </w:r>
    </w:p>
    <w:p>
      <w:pPr>
        <w:adjustRightInd w:val="0"/>
        <w:snapToGrid w:val="0"/>
        <w:spacing w:line="360" w:lineRule="auto"/>
        <w:ind w:firstLine="420" w:firstLineChars="200"/>
        <w:rPr>
          <w:rFonts w:ascii="宋体" w:hAnsi="宋体"/>
          <w:szCs w:val="21"/>
        </w:rPr>
      </w:pPr>
      <w:r>
        <w:rPr>
          <w:rFonts w:hint="eastAsia" w:ascii="宋体" w:hAnsi="宋体"/>
          <w:szCs w:val="21"/>
        </w:rPr>
        <w:t>10.1供应商应当根据单一来源采购文件要求和范围报价。</w:t>
      </w:r>
      <w:r>
        <w:rPr>
          <w:rFonts w:hint="eastAsia" w:ascii="宋体" w:hAnsi="宋体"/>
          <w:bCs/>
          <w:szCs w:val="21"/>
        </w:rPr>
        <w:t>报价货币为人民币，</w:t>
      </w:r>
      <w:r>
        <w:rPr>
          <w:rFonts w:ascii="宋体" w:hAnsi="宋体"/>
          <w:bCs/>
          <w:szCs w:val="21"/>
        </w:rPr>
        <w:t>以元为单位，保留小数点后两位</w:t>
      </w:r>
      <w:r>
        <w:rPr>
          <w:rFonts w:hint="eastAsia" w:ascii="宋体" w:hAnsi="宋体"/>
          <w:szCs w:val="21"/>
        </w:rPr>
        <w:t>。</w:t>
      </w:r>
    </w:p>
    <w:p>
      <w:pPr>
        <w:pStyle w:val="80"/>
        <w:adjustRightInd w:val="0"/>
        <w:snapToGrid w:val="0"/>
        <w:spacing w:line="360" w:lineRule="auto"/>
        <w:ind w:firstLine="420" w:firstLineChars="200"/>
        <w:rPr>
          <w:rFonts w:ascii="宋体" w:hAnsi="宋体"/>
        </w:rPr>
      </w:pPr>
      <w:r>
        <w:rPr>
          <w:rFonts w:hint="eastAsia" w:ascii="宋体" w:hAnsi="宋体"/>
        </w:rPr>
        <w:t>10.2供应商应按第四章“采购需求”要求及第五章“响应文件格式”格式填写。</w:t>
      </w:r>
    </w:p>
    <w:p>
      <w:pPr>
        <w:pStyle w:val="23"/>
        <w:adjustRightInd w:val="0"/>
        <w:snapToGrid w:val="0"/>
        <w:spacing w:line="360" w:lineRule="auto"/>
        <w:ind w:firstLine="420" w:firstLineChars="200"/>
        <w:rPr>
          <w:rFonts w:hAnsi="宋体"/>
        </w:rPr>
      </w:pPr>
      <w:r>
        <w:rPr>
          <w:rFonts w:hint="eastAsia" w:hAnsi="宋体"/>
        </w:rPr>
        <w:t>10.3响应文件中标明的价格在合同执行过程中是固定不变的，不得以任何理由予以变更。以可变动价格提交的报价将被认为是非实质响应而被拒绝。</w:t>
      </w:r>
    </w:p>
    <w:p>
      <w:pPr>
        <w:pStyle w:val="23"/>
        <w:adjustRightInd w:val="0"/>
        <w:snapToGrid w:val="0"/>
        <w:spacing w:line="360" w:lineRule="auto"/>
        <w:ind w:firstLine="420" w:firstLineChars="200"/>
        <w:rPr>
          <w:rFonts w:hAnsi="宋体" w:cs="宋体"/>
          <w:kern w:val="0"/>
          <w:lang w:val="zh-CN"/>
        </w:rPr>
      </w:pPr>
      <w:r>
        <w:rPr>
          <w:rFonts w:hint="eastAsia" w:hAnsi="宋体"/>
        </w:rPr>
        <w:t>10.4</w:t>
      </w:r>
      <w:r>
        <w:rPr>
          <w:rFonts w:hint="eastAsia" w:hAnsi="宋体" w:cs="宋体"/>
          <w:kern w:val="0"/>
          <w:lang w:val="zh-CN"/>
        </w:rPr>
        <w:t>供应商</w:t>
      </w:r>
      <w:r>
        <w:rPr>
          <w:rFonts w:hint="eastAsia" w:hAnsi="宋体"/>
        </w:rPr>
        <w:t>的报价不得超过采购项目预算，采购项目预算见</w:t>
      </w:r>
      <w:r>
        <w:rPr>
          <w:rFonts w:hint="eastAsia" w:hAnsi="宋体"/>
          <w:b/>
        </w:rPr>
        <w:t>协商须知前附表</w:t>
      </w:r>
      <w:r>
        <w:rPr>
          <w:rFonts w:hint="eastAsia" w:hAnsi="宋体"/>
        </w:rPr>
        <w:t>。</w:t>
      </w:r>
    </w:p>
    <w:p>
      <w:pPr>
        <w:adjustRightInd w:val="0"/>
        <w:snapToGrid w:val="0"/>
        <w:spacing w:line="360" w:lineRule="auto"/>
        <w:rPr>
          <w:rFonts w:ascii="宋体" w:hAnsi="宋体"/>
          <w:b/>
          <w:bCs/>
          <w:szCs w:val="21"/>
        </w:rPr>
      </w:pPr>
      <w:r>
        <w:rPr>
          <w:rFonts w:hint="eastAsia" w:ascii="宋体" w:hAnsi="宋体"/>
          <w:b/>
          <w:bCs/>
          <w:szCs w:val="21"/>
        </w:rPr>
        <w:t>11.供应商符合单一来源采购文件规定的证明文件</w:t>
      </w:r>
    </w:p>
    <w:p>
      <w:pPr>
        <w:pStyle w:val="23"/>
        <w:adjustRightInd w:val="0"/>
        <w:snapToGrid w:val="0"/>
        <w:spacing w:line="360" w:lineRule="auto"/>
        <w:ind w:firstLine="420" w:firstLineChars="200"/>
        <w:rPr>
          <w:rFonts w:hAnsi="宋体" w:cs="宋体"/>
          <w:kern w:val="0"/>
          <w:lang w:val="zh-CN"/>
        </w:rPr>
      </w:pPr>
      <w:r>
        <w:rPr>
          <w:rFonts w:hint="eastAsia" w:hAnsi="宋体" w:cs="宋体"/>
          <w:kern w:val="0"/>
          <w:lang w:val="zh-CN"/>
        </w:rPr>
        <w:t xml:space="preserve">11.1 </w:t>
      </w:r>
      <w:r>
        <w:rPr>
          <w:rFonts w:hint="eastAsia" w:hAnsi="宋体"/>
          <w:bCs/>
        </w:rPr>
        <w:t>供应商</w:t>
      </w:r>
      <w:r>
        <w:rPr>
          <w:rFonts w:hint="eastAsia" w:hAnsi="宋体" w:cs="宋体"/>
          <w:kern w:val="0"/>
          <w:lang w:val="zh-CN"/>
        </w:rPr>
        <w:t>应在</w:t>
      </w:r>
      <w:r>
        <w:rPr>
          <w:rFonts w:hint="eastAsia" w:hAnsi="宋体"/>
        </w:rPr>
        <w:t>响应文件中提供</w:t>
      </w:r>
      <w:r>
        <w:rPr>
          <w:rFonts w:hint="eastAsia" w:hAnsi="宋体" w:cs="宋体"/>
          <w:kern w:val="0"/>
          <w:lang w:val="zh-CN"/>
        </w:rPr>
        <w:t>本章第3.1项</w:t>
      </w:r>
      <w:r>
        <w:rPr>
          <w:rFonts w:hint="eastAsia" w:hAnsi="宋体"/>
        </w:rPr>
        <w:t>规定的供应商资格条件要求</w:t>
      </w:r>
      <w:r>
        <w:rPr>
          <w:rFonts w:hint="eastAsia" w:hAnsi="宋体" w:cs="宋体"/>
          <w:kern w:val="0"/>
          <w:lang w:val="zh-CN"/>
        </w:rPr>
        <w:t>的证明材料。</w:t>
      </w:r>
    </w:p>
    <w:p>
      <w:pPr>
        <w:adjustRightInd w:val="0"/>
        <w:snapToGrid w:val="0"/>
        <w:spacing w:line="360" w:lineRule="auto"/>
        <w:rPr>
          <w:rFonts w:ascii="宋体" w:hAnsi="宋体"/>
          <w:b/>
          <w:bCs/>
          <w:szCs w:val="21"/>
        </w:rPr>
      </w:pPr>
      <w:r>
        <w:rPr>
          <w:rFonts w:hint="eastAsia" w:ascii="宋体" w:hAnsi="宋体"/>
          <w:b/>
          <w:bCs/>
          <w:szCs w:val="21"/>
        </w:rPr>
        <w:t>12.保证金</w:t>
      </w:r>
    </w:p>
    <w:p>
      <w:pPr>
        <w:pStyle w:val="23"/>
        <w:adjustRightInd w:val="0"/>
        <w:snapToGrid w:val="0"/>
        <w:spacing w:line="360" w:lineRule="auto"/>
        <w:ind w:firstLine="420" w:firstLineChars="200"/>
        <w:rPr>
          <w:rFonts w:hAnsi="宋体"/>
          <w:bCs/>
        </w:rPr>
      </w:pPr>
      <w:r>
        <w:rPr>
          <w:rFonts w:hint="eastAsia" w:hAnsi="宋体"/>
        </w:rPr>
        <w:t>12.1</w:t>
      </w:r>
      <w:r>
        <w:rPr>
          <w:rFonts w:hint="eastAsia" w:hAnsi="宋体"/>
          <w:b/>
        </w:rPr>
        <w:t>协商须知前附表</w:t>
      </w:r>
      <w:r>
        <w:rPr>
          <w:rFonts w:hint="eastAsia" w:hAnsi="宋体"/>
        </w:rPr>
        <w:t>规定交纳</w:t>
      </w:r>
      <w:r>
        <w:rPr>
          <w:rFonts w:hint="eastAsia" w:hAnsi="宋体"/>
          <w:bCs/>
        </w:rPr>
        <w:t>保证金的</w:t>
      </w:r>
      <w:r>
        <w:rPr>
          <w:rFonts w:hint="eastAsia" w:hAnsi="宋体"/>
        </w:rPr>
        <w:t>，应按</w:t>
      </w:r>
      <w:r>
        <w:rPr>
          <w:rFonts w:hint="eastAsia" w:hAnsi="宋体"/>
          <w:b/>
        </w:rPr>
        <w:t>协商须知前附表</w:t>
      </w:r>
      <w:r>
        <w:rPr>
          <w:rFonts w:hint="eastAsia" w:hAnsi="宋体"/>
        </w:rPr>
        <w:t>规定的</w:t>
      </w:r>
      <w:r>
        <w:rPr>
          <w:rFonts w:hint="eastAsia" w:hAnsi="宋体"/>
          <w:bCs/>
        </w:rPr>
        <w:t>保证金形式交纳，不得以现金方式交纳</w:t>
      </w:r>
      <w:r>
        <w:rPr>
          <w:rFonts w:hint="eastAsia" w:hAnsi="宋体"/>
        </w:rPr>
        <w:t>，在</w:t>
      </w:r>
      <w:r>
        <w:rPr>
          <w:rFonts w:hint="eastAsia" w:hAnsi="宋体"/>
          <w:b/>
        </w:rPr>
        <w:t>协商须知前附表</w:t>
      </w:r>
      <w:r>
        <w:rPr>
          <w:rFonts w:hint="eastAsia" w:hAnsi="宋体"/>
        </w:rPr>
        <w:t>规定的</w:t>
      </w:r>
      <w:r>
        <w:rPr>
          <w:rFonts w:hint="eastAsia" w:hAnsi="宋体" w:cs="宋体"/>
          <w:kern w:val="0"/>
        </w:rPr>
        <w:t>提交响应文件截止时间</w:t>
      </w:r>
      <w:r>
        <w:rPr>
          <w:rFonts w:hint="eastAsia" w:hAnsi="宋体"/>
        </w:rPr>
        <w:t>前，</w:t>
      </w:r>
      <w:r>
        <w:rPr>
          <w:rFonts w:hint="eastAsia" w:hAnsi="宋体"/>
          <w:bCs/>
        </w:rPr>
        <w:t>向采购代理机构交纳</w:t>
      </w:r>
      <w:r>
        <w:rPr>
          <w:rFonts w:hint="eastAsia" w:hAnsi="宋体"/>
          <w:b/>
        </w:rPr>
        <w:t>协商须知前附表</w:t>
      </w:r>
      <w:r>
        <w:rPr>
          <w:rFonts w:hint="eastAsia" w:hAnsi="宋体"/>
        </w:rPr>
        <w:t>规定金额</w:t>
      </w:r>
      <w:r>
        <w:rPr>
          <w:rFonts w:hint="eastAsia" w:hAnsi="宋体"/>
          <w:bCs/>
        </w:rPr>
        <w:t>的保证金</w:t>
      </w:r>
      <w:r>
        <w:rPr>
          <w:rFonts w:hint="eastAsia" w:hAnsi="宋体"/>
        </w:rPr>
        <w:t>。</w:t>
      </w:r>
      <w:r>
        <w:rPr>
          <w:rFonts w:hint="eastAsia" w:hAnsi="宋体"/>
          <w:bCs/>
        </w:rPr>
        <w:t>保证金有效期应当与</w:t>
      </w:r>
      <w:r>
        <w:rPr>
          <w:rFonts w:hint="eastAsia" w:hAnsi="宋体"/>
        </w:rPr>
        <w:t>本章第13.1</w:t>
      </w:r>
      <w:r>
        <w:rPr>
          <w:rFonts w:hint="eastAsia" w:hAnsi="宋体" w:cs="宋体"/>
          <w:kern w:val="0"/>
          <w:lang w:val="zh-CN"/>
        </w:rPr>
        <w:t>款</w:t>
      </w:r>
      <w:r>
        <w:rPr>
          <w:rFonts w:hint="eastAsia" w:hAnsi="宋体"/>
        </w:rPr>
        <w:t>规定的</w:t>
      </w:r>
      <w:r>
        <w:rPr>
          <w:rFonts w:hint="eastAsia" w:hAnsi="宋体"/>
          <w:bCs/>
        </w:rPr>
        <w:t>响应文件有效期一致。</w:t>
      </w:r>
    </w:p>
    <w:p>
      <w:pPr>
        <w:pStyle w:val="23"/>
        <w:adjustRightInd w:val="0"/>
        <w:snapToGrid w:val="0"/>
        <w:spacing w:line="360" w:lineRule="auto"/>
        <w:ind w:firstLine="420" w:firstLineChars="200"/>
        <w:rPr>
          <w:rFonts w:hAnsi="宋体"/>
        </w:rPr>
      </w:pPr>
      <w:r>
        <w:rPr>
          <w:rFonts w:hint="eastAsia" w:hAnsi="宋体"/>
        </w:rPr>
        <w:t>12.2 采购代理机构在采购合同签定后五个工作日内退还成交供应商的保证金，但因供应商自身原因导致无法及时退还的除外。</w:t>
      </w:r>
    </w:p>
    <w:p>
      <w:pPr>
        <w:adjustRightInd w:val="0"/>
        <w:snapToGrid w:val="0"/>
        <w:spacing w:line="360" w:lineRule="auto"/>
        <w:rPr>
          <w:rFonts w:ascii="宋体" w:hAnsi="宋体"/>
          <w:b/>
          <w:bCs/>
          <w:szCs w:val="21"/>
        </w:rPr>
      </w:pPr>
      <w:r>
        <w:rPr>
          <w:rFonts w:hint="eastAsia" w:ascii="宋体" w:hAnsi="宋体"/>
          <w:b/>
          <w:bCs/>
          <w:szCs w:val="21"/>
        </w:rPr>
        <w:t>13.</w:t>
      </w:r>
      <w:r>
        <w:rPr>
          <w:rFonts w:hint="eastAsia" w:ascii="宋体" w:hAnsi="宋体"/>
          <w:szCs w:val="21"/>
        </w:rPr>
        <w:t xml:space="preserve"> </w:t>
      </w:r>
      <w:r>
        <w:rPr>
          <w:rFonts w:hint="eastAsia" w:ascii="宋体" w:hAnsi="宋体"/>
          <w:b/>
          <w:szCs w:val="21"/>
        </w:rPr>
        <w:t>响应文件有效期</w:t>
      </w:r>
    </w:p>
    <w:p>
      <w:pPr>
        <w:pStyle w:val="23"/>
        <w:adjustRightInd w:val="0"/>
        <w:snapToGrid w:val="0"/>
        <w:spacing w:line="360" w:lineRule="auto"/>
        <w:ind w:firstLine="420" w:firstLineChars="200"/>
        <w:rPr>
          <w:rFonts w:hAnsi="宋体"/>
        </w:rPr>
      </w:pPr>
      <w:r>
        <w:rPr>
          <w:rFonts w:hint="eastAsia" w:hAnsi="宋体"/>
        </w:rPr>
        <w:t>13.1响应文件有效期见</w:t>
      </w:r>
      <w:r>
        <w:rPr>
          <w:rFonts w:hint="eastAsia" w:hAnsi="宋体"/>
          <w:b/>
        </w:rPr>
        <w:t>协商须知前附表</w:t>
      </w:r>
      <w:r>
        <w:rPr>
          <w:rFonts w:hint="eastAsia" w:hAnsi="宋体"/>
        </w:rPr>
        <w:t>，在此期间响应文件对供应商具有法律约束力，</w:t>
      </w:r>
      <w:r>
        <w:rPr>
          <w:rFonts w:hint="eastAsia" w:hAnsi="宋体" w:cs="Arial"/>
        </w:rPr>
        <w:t>从递交</w:t>
      </w:r>
      <w:r>
        <w:rPr>
          <w:rFonts w:hint="eastAsia" w:hAnsi="宋体"/>
        </w:rPr>
        <w:t>响应文件</w:t>
      </w:r>
      <w:r>
        <w:rPr>
          <w:rFonts w:hint="eastAsia" w:hAnsi="宋体" w:cs="Arial"/>
        </w:rPr>
        <w:t>文件截止之日起算。</w:t>
      </w:r>
      <w:r>
        <w:rPr>
          <w:rFonts w:hint="eastAsia" w:hAnsi="宋体"/>
        </w:rPr>
        <w:t>响应文件有效期不足的将被视为无效响应。</w:t>
      </w:r>
    </w:p>
    <w:p>
      <w:pPr>
        <w:adjustRightInd w:val="0"/>
        <w:snapToGrid w:val="0"/>
        <w:spacing w:line="360" w:lineRule="auto"/>
        <w:rPr>
          <w:rFonts w:ascii="宋体" w:hAnsi="宋体"/>
          <w:b/>
          <w:bCs/>
          <w:szCs w:val="21"/>
        </w:rPr>
      </w:pPr>
      <w:r>
        <w:rPr>
          <w:rFonts w:hint="eastAsia" w:ascii="宋体" w:hAnsi="宋体"/>
          <w:b/>
          <w:bCs/>
          <w:szCs w:val="21"/>
        </w:rPr>
        <w:t>14.响应文件的签署及规定</w:t>
      </w:r>
    </w:p>
    <w:p>
      <w:pPr>
        <w:pStyle w:val="23"/>
        <w:adjustRightInd w:val="0"/>
        <w:snapToGrid w:val="0"/>
        <w:spacing w:line="360" w:lineRule="auto"/>
        <w:ind w:firstLine="420" w:firstLineChars="200"/>
        <w:rPr>
          <w:rFonts w:hAnsi="宋体"/>
          <w:bCs/>
        </w:rPr>
      </w:pPr>
      <w:r>
        <w:rPr>
          <w:rFonts w:hint="eastAsia" w:hAnsi="宋体"/>
        </w:rPr>
        <w:t>14.1响应文件份数按</w:t>
      </w:r>
      <w:r>
        <w:rPr>
          <w:rFonts w:hint="eastAsia" w:hAnsi="宋体"/>
          <w:b/>
          <w:color w:val="000000"/>
        </w:rPr>
        <w:t>协商</w:t>
      </w:r>
      <w:r>
        <w:rPr>
          <w:rFonts w:hint="eastAsia" w:hAnsi="宋体"/>
          <w:b/>
        </w:rPr>
        <w:t>须知前附表</w:t>
      </w:r>
      <w:r>
        <w:rPr>
          <w:rFonts w:hint="eastAsia" w:hAnsi="宋体"/>
        </w:rPr>
        <w:t>中规定。</w:t>
      </w:r>
    </w:p>
    <w:p>
      <w:pPr>
        <w:pStyle w:val="23"/>
        <w:adjustRightInd w:val="0"/>
        <w:snapToGrid w:val="0"/>
        <w:spacing w:line="360" w:lineRule="auto"/>
        <w:ind w:firstLine="420" w:firstLineChars="200"/>
        <w:rPr>
          <w:rFonts w:hAnsi="宋体"/>
          <w:color w:val="000000"/>
        </w:rPr>
      </w:pPr>
      <w:r>
        <w:rPr>
          <w:rFonts w:hint="eastAsia" w:hAnsi="宋体"/>
        </w:rPr>
        <w:t>14.2正本和副本的封面上应清楚地标记“正本”或“副本”的字样。当正本、副本、电子版有差异时，以正本为准。所有文件装订方法不得以活页方式装订(如打孔、鸭嘴夹等)。</w:t>
      </w:r>
    </w:p>
    <w:p>
      <w:pPr>
        <w:pStyle w:val="23"/>
        <w:adjustRightInd w:val="0"/>
        <w:snapToGrid w:val="0"/>
        <w:spacing w:line="360" w:lineRule="auto"/>
        <w:ind w:firstLine="420" w:firstLineChars="200"/>
        <w:rPr>
          <w:rFonts w:hAnsi="宋体"/>
        </w:rPr>
      </w:pPr>
      <w:r>
        <w:rPr>
          <w:rFonts w:hint="eastAsia" w:hAnsi="宋体"/>
        </w:rPr>
        <w:t>14.3</w:t>
      </w:r>
      <w:r>
        <w:rPr>
          <w:rFonts w:hint="eastAsia" w:hAnsi="宋体"/>
          <w:color w:val="FF0000"/>
        </w:rPr>
        <w:t xml:space="preserve"> </w:t>
      </w:r>
      <w:r>
        <w:rPr>
          <w:rFonts w:hint="eastAsia" w:hAnsi="宋体"/>
        </w:rPr>
        <w:t>响应文件正本和副本应按单一来源采购文件要求签章处盖单位章和由法定代表人或其委托代理人签字；任何加行、涂改、增删，须有法定代表人或其委托代理人在旁边签字。副本可以采用正本的复印件。</w:t>
      </w:r>
    </w:p>
    <w:p>
      <w:pPr>
        <w:pStyle w:val="23"/>
        <w:adjustRightInd w:val="0"/>
        <w:snapToGrid w:val="0"/>
        <w:spacing w:line="360" w:lineRule="auto"/>
        <w:ind w:firstLine="420" w:firstLineChars="200"/>
        <w:rPr>
          <w:rFonts w:hAnsi="宋体"/>
        </w:rPr>
      </w:pPr>
      <w:r>
        <w:rPr>
          <w:rFonts w:hint="eastAsia" w:hAnsi="宋体"/>
          <w:color w:val="000000"/>
        </w:rPr>
        <w:t xml:space="preserve">14.4 </w:t>
      </w:r>
      <w:r>
        <w:rPr>
          <w:rFonts w:hint="eastAsia" w:hAnsi="宋体"/>
        </w:rPr>
        <w:t>在协商过程中，应</w:t>
      </w:r>
      <w:r>
        <w:rPr>
          <w:rFonts w:ascii="ˎ̥" w:hAnsi="ˎ̥"/>
        </w:rPr>
        <w:t>单一来源采购人员</w:t>
      </w:r>
      <w:r>
        <w:rPr>
          <w:rFonts w:hint="eastAsia" w:hAnsi="宋体"/>
        </w:rPr>
        <w:t>要求而递交的补充或修改响应文件，可打印或用不退色墨水书写，但需经法定代表人或其委托代理人签字。</w:t>
      </w:r>
    </w:p>
    <w:p>
      <w:pPr>
        <w:pStyle w:val="262"/>
        <w:rPr>
          <w:color w:val="auto"/>
        </w:rPr>
      </w:pPr>
      <w:bookmarkStart w:id="64" w:name="_Toc7682"/>
      <w:r>
        <w:rPr>
          <w:rFonts w:hint="eastAsia"/>
          <w:color w:val="auto"/>
        </w:rPr>
        <w:t>四、响应文件的递交</w:t>
      </w:r>
      <w:bookmarkEnd w:id="64"/>
    </w:p>
    <w:p>
      <w:pPr>
        <w:adjustRightInd w:val="0"/>
        <w:snapToGrid w:val="0"/>
        <w:spacing w:line="360" w:lineRule="auto"/>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的密封和标记</w:t>
      </w:r>
    </w:p>
    <w:p>
      <w:pPr>
        <w:pStyle w:val="23"/>
        <w:adjustRightInd w:val="0"/>
        <w:snapToGrid w:val="0"/>
        <w:spacing w:line="360" w:lineRule="auto"/>
        <w:ind w:firstLine="420" w:firstLineChars="200"/>
        <w:rPr>
          <w:rFonts w:hAnsi="宋体"/>
        </w:rPr>
      </w:pPr>
      <w:r>
        <w:rPr>
          <w:rFonts w:hint="eastAsia" w:hAnsi="宋体"/>
        </w:rPr>
        <w:t>15.1</w:t>
      </w:r>
      <w:r>
        <w:rPr>
          <w:rFonts w:hint="eastAsia" w:hAnsi="宋体"/>
          <w:color w:val="000000"/>
        </w:rPr>
        <w:t>响应文件“正本”“副本”可密封在一个封袋中，“电子版”应单独密封包装</w:t>
      </w:r>
      <w:r>
        <w:rPr>
          <w:rFonts w:hint="eastAsia" w:hAnsi="宋体"/>
        </w:rPr>
        <w:t>，加贴封条，并在封套的封口处盖供应商单位章或由法定代表人或其授权的代理人签字。</w:t>
      </w:r>
    </w:p>
    <w:p>
      <w:pPr>
        <w:shd w:val="clear" w:color="auto" w:fill="FFFFFF"/>
        <w:adjustRightInd w:val="0"/>
        <w:snapToGrid w:val="0"/>
        <w:spacing w:line="360" w:lineRule="auto"/>
        <w:ind w:firstLine="420" w:firstLineChars="200"/>
        <w:jc w:val="left"/>
        <w:rPr>
          <w:rFonts w:ascii="宋体" w:hAnsi="宋体"/>
          <w:szCs w:val="21"/>
        </w:rPr>
      </w:pPr>
      <w:r>
        <w:rPr>
          <w:rFonts w:hint="eastAsia" w:ascii="宋体" w:hAnsi="宋体"/>
          <w:szCs w:val="21"/>
        </w:rPr>
        <w:t>15.2响应文件封套上应写明的内容见</w:t>
      </w:r>
      <w:r>
        <w:rPr>
          <w:rFonts w:hint="eastAsia" w:ascii="宋体" w:hAnsi="宋体"/>
          <w:b/>
          <w:szCs w:val="21"/>
        </w:rPr>
        <w:t>协商须知前附表。</w:t>
      </w:r>
    </w:p>
    <w:p>
      <w:pPr>
        <w:shd w:val="clear" w:color="auto" w:fill="FFFFFF"/>
        <w:adjustRightInd w:val="0"/>
        <w:snapToGrid w:val="0"/>
        <w:spacing w:line="360" w:lineRule="auto"/>
        <w:ind w:firstLine="420" w:firstLineChars="200"/>
        <w:jc w:val="left"/>
        <w:rPr>
          <w:rFonts w:ascii="宋体" w:hAnsi="宋体"/>
          <w:szCs w:val="21"/>
        </w:rPr>
      </w:pPr>
      <w:r>
        <w:rPr>
          <w:rFonts w:hint="eastAsia" w:ascii="宋体" w:hAnsi="宋体"/>
          <w:szCs w:val="21"/>
        </w:rPr>
        <w:t>15.3</w:t>
      </w:r>
      <w:r>
        <w:rPr>
          <w:rFonts w:hint="eastAsia"/>
          <w:szCs w:val="21"/>
        </w:rPr>
        <w:t>响应文件如果未按上述规定密封和加写标记，采购人或代理机构将拒绝接收。</w:t>
      </w:r>
    </w:p>
    <w:p>
      <w:pPr>
        <w:adjustRightInd w:val="0"/>
        <w:snapToGrid w:val="0"/>
        <w:spacing w:line="360" w:lineRule="auto"/>
        <w:rPr>
          <w:rFonts w:ascii="宋体" w:hAnsi="宋体"/>
          <w:b/>
          <w:bCs/>
          <w:szCs w:val="21"/>
        </w:rPr>
      </w:pPr>
      <w:r>
        <w:rPr>
          <w:rFonts w:hint="eastAsia" w:ascii="宋体" w:hAnsi="宋体"/>
          <w:b/>
          <w:bCs/>
          <w:szCs w:val="21"/>
        </w:rPr>
        <w:t>16.响应文件的</w:t>
      </w:r>
      <w:r>
        <w:rPr>
          <w:rFonts w:hint="eastAsia" w:ascii="宋体" w:hAnsi="宋体" w:cs="宋体"/>
          <w:b/>
          <w:kern w:val="0"/>
          <w:szCs w:val="21"/>
          <w:lang w:val="zh-CN"/>
        </w:rPr>
        <w:t>补充、修改或者撤回</w:t>
      </w:r>
    </w:p>
    <w:p>
      <w:pPr>
        <w:adjustRightInd w:val="0"/>
        <w:snapToGrid w:val="0"/>
        <w:spacing w:line="360" w:lineRule="auto"/>
        <w:ind w:firstLine="420" w:firstLineChars="200"/>
        <w:rPr>
          <w:rFonts w:ascii="宋体" w:hAnsi="宋体" w:cs="Courier New"/>
          <w:szCs w:val="21"/>
        </w:rPr>
      </w:pPr>
      <w:r>
        <w:rPr>
          <w:rFonts w:hint="eastAsia" w:ascii="宋体" w:hAnsi="宋体" w:cs="Courier New"/>
          <w:szCs w:val="21"/>
        </w:rPr>
        <w:t>16.1 供应商在本章第12.1项规定的递交响应文件截止时间之前，可以书面通知对其响应文件进行</w:t>
      </w:r>
      <w:r>
        <w:rPr>
          <w:rFonts w:hint="eastAsia" w:ascii="宋体" w:hAnsi="宋体" w:cs="宋体"/>
          <w:kern w:val="0"/>
          <w:szCs w:val="21"/>
          <w:lang w:val="zh-CN"/>
        </w:rPr>
        <w:t>补充、修改或者撤回</w:t>
      </w:r>
      <w:r>
        <w:rPr>
          <w:rFonts w:hint="eastAsia" w:ascii="宋体" w:hAnsi="宋体" w:cs="Courier New"/>
          <w:szCs w:val="21"/>
        </w:rPr>
        <w:t>，该通知应由供应商法定代表人或其委托代理人签字。</w:t>
      </w:r>
      <w:r>
        <w:rPr>
          <w:rFonts w:hint="eastAsia" w:ascii="宋体" w:hAnsi="宋体" w:cs="宋体"/>
          <w:kern w:val="0"/>
          <w:szCs w:val="21"/>
          <w:lang w:val="zh-CN"/>
        </w:rPr>
        <w:t>补充、修改的内容与响应文件不一致时，以补充、修改的内容为准。</w:t>
      </w:r>
    </w:p>
    <w:p>
      <w:pPr>
        <w:pStyle w:val="23"/>
        <w:adjustRightInd w:val="0"/>
        <w:snapToGrid w:val="0"/>
        <w:spacing w:line="360" w:lineRule="auto"/>
        <w:ind w:firstLine="420" w:firstLineChars="200"/>
        <w:rPr>
          <w:rFonts w:hAnsi="宋体"/>
        </w:rPr>
      </w:pPr>
      <w:r>
        <w:rPr>
          <w:rFonts w:hint="eastAsia" w:ascii="Times New Roman" w:hAnsi="宋体" w:cs="Times New Roman"/>
          <w:szCs w:val="24"/>
        </w:rPr>
        <w:t>16.2 在本章第12.1项规定的递交响应文件截止时间后，供应商不得对响应文件</w:t>
      </w:r>
      <w:r>
        <w:rPr>
          <w:rFonts w:hint="eastAsia" w:ascii="Times New Roman" w:hAnsi="宋体" w:cs="宋体"/>
          <w:kern w:val="0"/>
          <w:szCs w:val="24"/>
          <w:lang w:val="zh-CN"/>
        </w:rPr>
        <w:t>补充、修改或者撤回</w:t>
      </w:r>
      <w:r>
        <w:rPr>
          <w:rFonts w:hint="eastAsia" w:ascii="Times New Roman" w:hAnsi="宋体" w:cs="Times New Roman"/>
          <w:szCs w:val="24"/>
        </w:rPr>
        <w:t>。</w:t>
      </w:r>
    </w:p>
    <w:p>
      <w:pPr>
        <w:adjustRightInd w:val="0"/>
        <w:snapToGrid w:val="0"/>
        <w:spacing w:line="360" w:lineRule="auto"/>
        <w:rPr>
          <w:rFonts w:ascii="宋体" w:hAnsi="宋体"/>
          <w:b/>
          <w:bCs/>
          <w:szCs w:val="21"/>
        </w:rPr>
      </w:pPr>
      <w:r>
        <w:rPr>
          <w:rFonts w:hint="eastAsia" w:ascii="宋体" w:hAnsi="宋体"/>
          <w:b/>
          <w:bCs/>
          <w:szCs w:val="21"/>
        </w:rPr>
        <w:t>17.响应文件的递交与接收</w:t>
      </w:r>
    </w:p>
    <w:p>
      <w:pPr>
        <w:adjustRightInd w:val="0"/>
        <w:snapToGrid w:val="0"/>
        <w:spacing w:line="360" w:lineRule="auto"/>
        <w:ind w:firstLine="420" w:firstLineChars="200"/>
        <w:rPr>
          <w:rFonts w:ascii="宋体" w:hAnsi="宋体"/>
          <w:szCs w:val="21"/>
        </w:rPr>
      </w:pPr>
      <w:r>
        <w:rPr>
          <w:rFonts w:hint="eastAsia" w:ascii="宋体" w:hAnsi="宋体"/>
          <w:szCs w:val="21"/>
        </w:rPr>
        <w:t>17.1 供应商应在本章第12.1项规定的递交响应文件截止时间之前，将响应文件送</w:t>
      </w:r>
      <w:r>
        <w:rPr>
          <w:rFonts w:hint="eastAsia" w:ascii="宋体" w:hAnsi="宋体" w:cs="Arial"/>
          <w:szCs w:val="21"/>
        </w:rPr>
        <w:t>达</w:t>
      </w:r>
      <w:r>
        <w:rPr>
          <w:rFonts w:hint="eastAsia" w:ascii="宋体" w:hAnsi="宋体"/>
          <w:b/>
          <w:color w:val="000000"/>
          <w:szCs w:val="21"/>
        </w:rPr>
        <w:t>协商</w:t>
      </w:r>
      <w:r>
        <w:rPr>
          <w:rFonts w:hint="eastAsia" w:ascii="宋体" w:hAnsi="宋体"/>
          <w:b/>
          <w:szCs w:val="21"/>
        </w:rPr>
        <w:t>须知前附表</w:t>
      </w:r>
      <w:r>
        <w:rPr>
          <w:rFonts w:hint="eastAsia" w:ascii="宋体" w:hAnsi="宋体"/>
          <w:szCs w:val="21"/>
        </w:rPr>
        <w:t>中规定的协商地址。</w:t>
      </w:r>
    </w:p>
    <w:p>
      <w:pPr>
        <w:pStyle w:val="262"/>
        <w:rPr>
          <w:color w:val="auto"/>
        </w:rPr>
      </w:pPr>
      <w:bookmarkStart w:id="65" w:name="_Toc21732"/>
      <w:r>
        <w:rPr>
          <w:rFonts w:hint="eastAsia"/>
          <w:color w:val="auto"/>
        </w:rPr>
        <w:t>五、协商采购</w:t>
      </w:r>
      <w:bookmarkEnd w:id="65"/>
    </w:p>
    <w:p>
      <w:pPr>
        <w:adjustRightInd w:val="0"/>
        <w:snapToGrid w:val="0"/>
        <w:spacing w:line="360" w:lineRule="auto"/>
        <w:ind w:left="628" w:leftChars="1" w:hanging="626" w:hangingChars="297"/>
        <w:rPr>
          <w:rFonts w:ascii="宋体" w:hAnsi="宋体"/>
          <w:b/>
          <w:bCs/>
          <w:szCs w:val="21"/>
        </w:rPr>
      </w:pPr>
      <w:r>
        <w:rPr>
          <w:rFonts w:hint="eastAsia" w:ascii="宋体" w:hAnsi="宋体"/>
          <w:b/>
          <w:bCs/>
          <w:szCs w:val="21"/>
        </w:rPr>
        <w:t>18.协商程序</w:t>
      </w:r>
    </w:p>
    <w:p>
      <w:pPr>
        <w:adjustRightInd w:val="0"/>
        <w:snapToGrid w:val="0"/>
        <w:spacing w:line="360" w:lineRule="auto"/>
        <w:ind w:left="2" w:firstLine="420" w:firstLineChars="200"/>
        <w:rPr>
          <w:rFonts w:ascii="宋体" w:hAnsi="宋体"/>
          <w:szCs w:val="21"/>
        </w:rPr>
      </w:pPr>
      <w:r>
        <w:rPr>
          <w:rFonts w:hint="eastAsia" w:ascii="宋体" w:hAnsi="宋体"/>
          <w:szCs w:val="21"/>
        </w:rPr>
        <w:t>18.1</w:t>
      </w:r>
      <w:r>
        <w:rPr>
          <w:rFonts w:hint="eastAsia" w:ascii="宋体" w:hAnsi="宋体"/>
          <w:bCs/>
          <w:szCs w:val="21"/>
        </w:rPr>
        <w:t>协商程序：</w:t>
      </w:r>
      <w:r>
        <w:rPr>
          <w:rFonts w:hint="eastAsia" w:ascii="宋体" w:hAnsi="宋体"/>
          <w:szCs w:val="21"/>
        </w:rPr>
        <w:t>对</w:t>
      </w:r>
      <w:r>
        <w:rPr>
          <w:rFonts w:hint="eastAsia" w:ascii="宋体" w:hAnsi="宋体"/>
          <w:bCs/>
          <w:szCs w:val="21"/>
        </w:rPr>
        <w:t>响应文件的资格性、符合性审查；响应文件的澄清；协商；确定成交供应商。</w:t>
      </w:r>
    </w:p>
    <w:p>
      <w:pPr>
        <w:tabs>
          <w:tab w:val="left" w:pos="0"/>
        </w:tabs>
        <w:adjustRightInd w:val="0"/>
        <w:snapToGrid w:val="0"/>
        <w:spacing w:line="360" w:lineRule="auto"/>
        <w:rPr>
          <w:rFonts w:ascii="宋体" w:hAnsi="宋体"/>
          <w:b/>
          <w:bCs/>
          <w:szCs w:val="21"/>
        </w:rPr>
      </w:pPr>
      <w:r>
        <w:rPr>
          <w:rFonts w:hint="eastAsia" w:ascii="宋体" w:hAnsi="宋体"/>
          <w:b/>
          <w:szCs w:val="21"/>
        </w:rPr>
        <w:t>19.</w:t>
      </w:r>
      <w:r>
        <w:rPr>
          <w:rFonts w:hint="eastAsia" w:ascii="宋体" w:hAnsi="宋体"/>
          <w:b/>
          <w:bCs/>
          <w:szCs w:val="21"/>
        </w:rPr>
        <w:t>响应文件的资格性、符合性审查</w:t>
      </w:r>
    </w:p>
    <w:p>
      <w:pPr>
        <w:adjustRightInd w:val="0"/>
        <w:snapToGrid w:val="0"/>
        <w:spacing w:line="360" w:lineRule="auto"/>
        <w:ind w:firstLine="420" w:firstLineChars="200"/>
        <w:rPr>
          <w:rFonts w:ascii="宋体" w:hAnsi="宋体"/>
          <w:bCs/>
          <w:szCs w:val="21"/>
        </w:rPr>
      </w:pPr>
      <w:r>
        <w:rPr>
          <w:rFonts w:hint="eastAsia" w:ascii="宋体" w:hAnsi="宋体"/>
          <w:bCs/>
          <w:szCs w:val="21"/>
        </w:rPr>
        <w:t>19.1单一来源采购人员对响应文件进行资格性和符合性审查。响应文件有下列情况之一的将导致无效响应，供应商应</w:t>
      </w:r>
      <w:r>
        <w:rPr>
          <w:rFonts w:hint="eastAsia" w:hAnsi="宋体"/>
          <w:szCs w:val="21"/>
        </w:rPr>
        <w:t>进行补充或修改，使之符合单一来源采购文件要求</w:t>
      </w:r>
      <w:r>
        <w:rPr>
          <w:rFonts w:hint="eastAsia" w:ascii="宋体" w:hAnsi="宋体"/>
          <w:bCs/>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9.1.1</w:t>
      </w:r>
      <w:r>
        <w:rPr>
          <w:rFonts w:hint="eastAsia" w:ascii="宋体" w:hAnsi="宋体"/>
          <w:szCs w:val="21"/>
        </w:rPr>
        <w:t>资格性检查。依据法律法规和协商文件的规定，对响应文件中的资格证明进行审查，以确定供应商是否具备参与协商资格。</w:t>
      </w:r>
    </w:p>
    <w:tbl>
      <w:tblPr>
        <w:tblStyle w:val="45"/>
        <w:tblW w:w="9800" w:type="dxa"/>
        <w:jc w:val="center"/>
        <w:tblLayout w:type="fixed"/>
        <w:tblCellMar>
          <w:top w:w="0" w:type="dxa"/>
          <w:left w:w="108" w:type="dxa"/>
          <w:bottom w:w="0" w:type="dxa"/>
          <w:right w:w="108" w:type="dxa"/>
        </w:tblCellMar>
      </w:tblPr>
      <w:tblGrid>
        <w:gridCol w:w="556"/>
        <w:gridCol w:w="1932"/>
        <w:gridCol w:w="5897"/>
        <w:gridCol w:w="394"/>
        <w:gridCol w:w="466"/>
        <w:gridCol w:w="555"/>
      </w:tblGrid>
      <w:tr>
        <w:tblPrEx>
          <w:tblCellMar>
            <w:top w:w="0" w:type="dxa"/>
            <w:left w:w="108" w:type="dxa"/>
            <w:bottom w:w="0" w:type="dxa"/>
            <w:right w:w="108" w:type="dxa"/>
          </w:tblCellMar>
        </w:tblPrEx>
        <w:trPr>
          <w:trHeight w:val="140" w:hRule="atLeast"/>
          <w:jc w:val="center"/>
        </w:trPr>
        <w:tc>
          <w:tcPr>
            <w:tcW w:w="24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lang w:val="zh-CN" w:eastAsia="zh-CN"/>
              </w:rPr>
            </w:pPr>
            <w:r>
              <w:rPr>
                <w:rFonts w:ascii="宋体" w:hAnsi="宋体" w:cs="宋体"/>
                <w:spacing w:val="-2"/>
                <w:kern w:val="0"/>
                <w:szCs w:val="21"/>
                <w:lang w:val="zh-CN" w:eastAsia="zh-CN"/>
              </w:rPr>
              <w:t>审查内容</w:t>
            </w:r>
          </w:p>
        </w:tc>
        <w:tc>
          <w:tcPr>
            <w:tcW w:w="58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lang w:val="zh-CN" w:eastAsia="zh-CN"/>
              </w:rPr>
            </w:pPr>
            <w:r>
              <w:rPr>
                <w:rFonts w:ascii="宋体" w:hAnsi="宋体" w:cs="宋体"/>
                <w:spacing w:val="-2"/>
                <w:kern w:val="0"/>
                <w:szCs w:val="21"/>
                <w:lang w:val="zh-CN" w:eastAsia="zh-CN"/>
              </w:rPr>
              <w:t>审查标准</w:t>
            </w:r>
          </w:p>
        </w:tc>
        <w:tc>
          <w:tcPr>
            <w:tcW w:w="141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lang w:val="zh-CN" w:eastAsia="zh-CN"/>
              </w:rPr>
            </w:pPr>
            <w:r>
              <w:rPr>
                <w:rFonts w:hint="eastAsia" w:ascii="宋体" w:hAnsi="宋体" w:cs="宋体"/>
                <w:kern w:val="0"/>
                <w:szCs w:val="21"/>
                <w:lang w:val="zh-CN"/>
              </w:rPr>
              <w:t>供应商</w:t>
            </w:r>
            <w:r>
              <w:rPr>
                <w:rFonts w:ascii="宋体" w:hAnsi="宋体" w:cs="宋体"/>
                <w:kern w:val="0"/>
                <w:szCs w:val="21"/>
                <w:lang w:val="zh-CN" w:eastAsia="zh-CN"/>
              </w:rPr>
              <w:t>名称</w:t>
            </w:r>
          </w:p>
        </w:tc>
      </w:tr>
      <w:tr>
        <w:tblPrEx>
          <w:tblCellMar>
            <w:top w:w="0" w:type="dxa"/>
            <w:left w:w="108" w:type="dxa"/>
            <w:bottom w:w="0" w:type="dxa"/>
            <w:right w:w="108" w:type="dxa"/>
          </w:tblCellMar>
        </w:tblPrEx>
        <w:trPr>
          <w:trHeight w:val="140" w:hRule="atLeast"/>
          <w:jc w:val="center"/>
        </w:trPr>
        <w:tc>
          <w:tcPr>
            <w:tcW w:w="24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pacing w:val="-2"/>
                <w:kern w:val="0"/>
                <w:szCs w:val="21"/>
                <w:lang w:val="zh-CN" w:eastAsia="zh-CN"/>
              </w:rPr>
            </w:pPr>
          </w:p>
        </w:tc>
        <w:tc>
          <w:tcPr>
            <w:tcW w:w="5897"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pacing w:val="-2"/>
                <w:kern w:val="0"/>
                <w:szCs w:val="21"/>
                <w:lang w:val="zh-CN" w:eastAsia="zh-CN"/>
              </w:rPr>
            </w:pP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lang w:val="zh-CN"/>
              </w:rPr>
            </w:pPr>
            <w:r>
              <w:rPr>
                <w:rFonts w:hint="eastAsia" w:ascii="宋体" w:hAnsi="宋体"/>
                <w:szCs w:val="21"/>
                <w:lang w:val="zh-CN"/>
              </w:rPr>
              <w:t>1</w:t>
            </w: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lang w:val="zh-CN"/>
              </w:rPr>
            </w:pPr>
            <w:r>
              <w:rPr>
                <w:rFonts w:hint="eastAsia" w:ascii="宋体" w:hAnsi="宋体"/>
                <w:szCs w:val="21"/>
                <w:lang w:val="zh-CN"/>
              </w:rPr>
              <w:t>2</w:t>
            </w: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lang w:val="zh-CN"/>
              </w:rPr>
            </w:pPr>
            <w:r>
              <w:rPr>
                <w:rFonts w:hint="eastAsia" w:ascii="宋体" w:hAnsi="宋体"/>
                <w:szCs w:val="21"/>
                <w:lang w:val="zh-CN"/>
              </w:rPr>
              <w:t>3</w:t>
            </w: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1</w:t>
            </w:r>
          </w:p>
        </w:tc>
        <w:tc>
          <w:tcPr>
            <w:tcW w:w="193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Courier New"/>
                <w:szCs w:val="21"/>
                <w:lang w:val="zh-CN" w:eastAsia="zh-CN"/>
              </w:rPr>
            </w:pPr>
            <w:r>
              <w:rPr>
                <w:rFonts w:hint="eastAsia" w:ascii="宋体" w:hAnsi="宋体" w:cs="宋体"/>
                <w:spacing w:val="-2"/>
                <w:kern w:val="0"/>
                <w:szCs w:val="21"/>
                <w:lang w:val="zh-CN"/>
              </w:rPr>
              <w:t>供应商</w:t>
            </w:r>
            <w:r>
              <w:rPr>
                <w:rFonts w:ascii="宋体" w:hAnsi="宋体" w:cs="宋体"/>
                <w:spacing w:val="-2"/>
                <w:kern w:val="0"/>
                <w:szCs w:val="21"/>
                <w:lang w:val="zh-CN" w:eastAsia="zh-CN"/>
              </w:rPr>
              <w:t>代表身份证明</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rFonts w:ascii="宋体" w:hAnsi="宋体" w:cs="宋体"/>
                <w:szCs w:val="21"/>
              </w:rPr>
            </w:pPr>
            <w:r>
              <w:rPr>
                <w:rFonts w:ascii="宋体" w:hAnsi="宋体" w:cs="宋体"/>
                <w:szCs w:val="21"/>
              </w:rPr>
              <w:t>《法定代表人资格证明书》或《法定代表人授权委托书》</w:t>
            </w:r>
            <w:r>
              <w:rPr>
                <w:rFonts w:hint="eastAsia" w:ascii="宋体" w:hAnsi="宋体" w:cs="宋体"/>
                <w:szCs w:val="21"/>
              </w:rPr>
              <w:t>，并按采购文件要求签字、盖章。</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szCs w:val="21"/>
                <w:lang w:val="zh-CN"/>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2</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zCs w:val="21"/>
              </w:rPr>
              <w:t>保证金</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rFonts w:ascii="宋体" w:hAnsi="宋体" w:cs="宋体"/>
                <w:szCs w:val="21"/>
              </w:rPr>
            </w:pPr>
            <w:r>
              <w:rPr>
                <w:rFonts w:ascii="宋体" w:hAnsi="宋体" w:cs="宋体"/>
                <w:szCs w:val="21"/>
              </w:rPr>
              <w:t>是否按照</w:t>
            </w:r>
            <w:r>
              <w:rPr>
                <w:rFonts w:hint="eastAsia" w:ascii="宋体" w:hAnsi="宋体" w:cs="宋体"/>
                <w:szCs w:val="21"/>
              </w:rPr>
              <w:t>采购文件</w:t>
            </w:r>
            <w:r>
              <w:rPr>
                <w:rFonts w:ascii="宋体" w:hAnsi="宋体" w:cs="宋体"/>
                <w:szCs w:val="21"/>
              </w:rPr>
              <w:t>要求金额递交了保证金，并提供了保证金缴纳凭证。</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szCs w:val="21"/>
                <w:lang w:val="zh-CN"/>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3</w:t>
            </w:r>
          </w:p>
        </w:tc>
        <w:tc>
          <w:tcPr>
            <w:tcW w:w="193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Courier New"/>
                <w:szCs w:val="21"/>
                <w:lang w:val="zh-CN" w:eastAsia="zh-CN"/>
              </w:rPr>
            </w:pPr>
            <w:r>
              <w:rPr>
                <w:rFonts w:ascii="宋体" w:hAnsi="宋体" w:cs="宋体"/>
                <w:spacing w:val="-2"/>
                <w:kern w:val="0"/>
                <w:szCs w:val="21"/>
                <w:lang w:val="zh-CN" w:eastAsia="zh-CN"/>
              </w:rPr>
              <w:t>具有独立承担民事责任的能力</w:t>
            </w:r>
          </w:p>
        </w:tc>
        <w:tc>
          <w:tcPr>
            <w:tcW w:w="5897"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Courier New"/>
                <w:szCs w:val="21"/>
                <w:lang w:val="zh-CN" w:eastAsia="zh-CN"/>
              </w:rPr>
            </w:pPr>
            <w:r>
              <w:rPr>
                <w:rFonts w:ascii="宋体" w:hAnsi="宋体" w:cs="宋体"/>
                <w:spacing w:val="-2"/>
                <w:kern w:val="0"/>
                <w:szCs w:val="21"/>
                <w:lang w:val="zh-CN" w:eastAsia="zh-CN"/>
              </w:rPr>
              <w:t>法人或者其他组织的营业执照等证明文件；自然人需提供身份证明；</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szCs w:val="21"/>
                <w:lang w:val="zh-CN"/>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r>
      <w:tr>
        <w:tblPrEx>
          <w:tblCellMar>
            <w:top w:w="0" w:type="dxa"/>
            <w:left w:w="108" w:type="dxa"/>
            <w:bottom w:w="0" w:type="dxa"/>
            <w:right w:w="108" w:type="dxa"/>
          </w:tblCellMar>
        </w:tblPrEx>
        <w:trPr>
          <w:trHeight w:val="411"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4</w:t>
            </w:r>
          </w:p>
        </w:tc>
        <w:tc>
          <w:tcPr>
            <w:tcW w:w="193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Courier New"/>
                <w:szCs w:val="21"/>
                <w:lang w:val="zh-CN" w:eastAsia="zh-CN"/>
              </w:rPr>
            </w:pPr>
            <w:r>
              <w:rPr>
                <w:rFonts w:ascii="宋体" w:hAnsi="宋体" w:cs="宋体"/>
                <w:spacing w:val="-2"/>
                <w:kern w:val="0"/>
                <w:szCs w:val="21"/>
                <w:lang w:val="zh-CN" w:eastAsia="zh-CN"/>
              </w:rPr>
              <w:t>健全的财务会计制度</w:t>
            </w:r>
          </w:p>
        </w:tc>
        <w:tc>
          <w:tcPr>
            <w:tcW w:w="5897"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rPr>
              <w:t>提供上年度财务审计报告或半年内任意一个月财务报表（财务报表应至少包括资产负债表、损益表、现金流量表或财务状况变动表，当月新成立公司不需提供）；</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szCs w:val="21"/>
                <w:lang w:val="zh-CN" w:eastAsia="zh-CN"/>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5</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缴纳税收</w:t>
            </w:r>
          </w:p>
        </w:tc>
        <w:tc>
          <w:tcPr>
            <w:tcW w:w="5897"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rPr>
              <w:t>提供的近半年内任意一月依法缴纳税收证明，当月新成立公司不需提供；无需纳税或免税的也需提供相应证明材料；</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ascii="宋体" w:hAnsi="宋体"/>
                <w:szCs w:val="21"/>
                <w:lang w:val="zh-CN" w:eastAsia="zh-CN"/>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ind w:firstLine="420" w:firstLineChars="200"/>
              <w:rPr>
                <w:rFonts w:ascii="宋体" w:hAnsi="宋体"/>
                <w:szCs w:val="21"/>
                <w:lang w:val="zh-CN" w:eastAsia="zh-CN"/>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6</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缴纳社会保障资金</w:t>
            </w:r>
          </w:p>
        </w:tc>
        <w:tc>
          <w:tcPr>
            <w:tcW w:w="5897"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rPr>
              <w:t>提供社保缴纳证明（近半年内任意一月社保缴纳证明，当月新成立公司不需提供）；</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7</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履行合同所必需的设备和能力</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提供具有履行合同所必需的设备和专业技术能力相关证明材料或声明；</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ascii="宋体" w:hAnsi="宋体" w:cs="宋体"/>
                <w:szCs w:val="21"/>
              </w:rPr>
              <w:t>8</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提供无重大违法记录声明书</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 xml:space="preserve">提供无重大违法记录声明书 </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140"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9</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pacing w:val="-2"/>
                <w:szCs w:val="21"/>
              </w:rPr>
              <w:t>其他特定资格证明</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hint="eastAsia"/>
                <w:szCs w:val="21"/>
              </w:rPr>
              <w:t>／</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w:t>
            </w: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w:t>
            </w: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w:t>
            </w:r>
          </w:p>
        </w:tc>
      </w:tr>
      <w:tr>
        <w:tblPrEx>
          <w:tblCellMar>
            <w:top w:w="0" w:type="dxa"/>
            <w:left w:w="108" w:type="dxa"/>
            <w:bottom w:w="0" w:type="dxa"/>
            <w:right w:w="108" w:type="dxa"/>
          </w:tblCellMar>
        </w:tblPrEx>
        <w:trPr>
          <w:trHeight w:val="682"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1</w:t>
            </w:r>
            <w:r>
              <w:rPr>
                <w:rFonts w:ascii="宋体" w:hAnsi="宋体"/>
                <w:szCs w:val="21"/>
              </w:rPr>
              <w:t>0</w:t>
            </w:r>
          </w:p>
        </w:tc>
        <w:tc>
          <w:tcPr>
            <w:tcW w:w="1932"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Courier New"/>
                <w:szCs w:val="21"/>
                <w:lang w:val="zh-CN" w:eastAsia="zh-CN"/>
              </w:rPr>
            </w:pPr>
            <w:r>
              <w:rPr>
                <w:rFonts w:ascii="宋体" w:hAnsi="宋体" w:cs="宋体"/>
                <w:spacing w:val="-2"/>
                <w:kern w:val="0"/>
                <w:szCs w:val="21"/>
                <w:lang w:val="zh-CN" w:eastAsia="zh-CN"/>
              </w:rPr>
              <w:t>信用查询结果</w:t>
            </w:r>
          </w:p>
        </w:tc>
        <w:tc>
          <w:tcPr>
            <w:tcW w:w="5897"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Courier New"/>
                <w:szCs w:val="21"/>
                <w:lang w:val="zh-CN" w:eastAsia="zh-CN"/>
              </w:rPr>
            </w:pPr>
            <w:r>
              <w:rPr>
                <w:rFonts w:ascii="宋体" w:hAnsi="宋体" w:cs="宋体"/>
                <w:spacing w:val="-2"/>
                <w:kern w:val="0"/>
                <w:szCs w:val="21"/>
                <w:lang w:val="zh-CN" w:eastAsia="zh-CN"/>
              </w:rPr>
              <w:t>1</w:t>
            </w:r>
            <w:r>
              <w:rPr>
                <w:rFonts w:hint="eastAsia" w:ascii="宋体" w:hAnsi="宋体" w:cs="宋体"/>
                <w:spacing w:val="-2"/>
                <w:kern w:val="0"/>
                <w:szCs w:val="21"/>
                <w:lang w:val="zh-CN"/>
              </w:rPr>
              <w:t>、</w:t>
            </w:r>
            <w:r>
              <w:rPr>
                <w:rFonts w:ascii="宋体" w:hAnsi="宋体" w:cs="宋体"/>
                <w:spacing w:val="-2"/>
                <w:kern w:val="0"/>
                <w:szCs w:val="21"/>
                <w:lang w:val="zh-CN" w:eastAsia="zh-CN"/>
              </w:rPr>
              <w:t>“信用中国”（www.creditchina.gov.cn）未被列入</w:t>
            </w:r>
            <w:r>
              <w:rPr>
                <w:rFonts w:hint="eastAsia" w:ascii="宋体" w:hAnsi="宋体" w:cs="宋体"/>
                <w:spacing w:val="-2"/>
                <w:kern w:val="0"/>
                <w:szCs w:val="21"/>
                <w:lang w:val="zh-CN" w:eastAsia="zh-CN"/>
              </w:rPr>
              <w:t>重大税收违法失信主体</w:t>
            </w:r>
            <w:r>
              <w:rPr>
                <w:rFonts w:ascii="宋体" w:hAnsi="宋体" w:cs="宋体"/>
                <w:spacing w:val="-2"/>
                <w:kern w:val="0"/>
                <w:szCs w:val="21"/>
                <w:lang w:val="zh-CN" w:eastAsia="zh-CN"/>
              </w:rPr>
              <w:t>；2、“中国执行信息公开网”（http://zxgk.court.gov.cn/）未被列入失信被执行人；3、“中国政府采购网”（www.ccgp.gov.cn）网站上未被列入政府采购严重违法失信行为记录名单；</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27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1932"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zCs w:val="21"/>
              </w:rPr>
              <w:t>不参与围标串标承诺书</w:t>
            </w:r>
          </w:p>
        </w:tc>
        <w:tc>
          <w:tcPr>
            <w:tcW w:w="5897" w:type="dxa"/>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rPr>
                <w:szCs w:val="21"/>
              </w:rPr>
            </w:pPr>
            <w:r>
              <w:rPr>
                <w:rFonts w:ascii="宋体" w:hAnsi="宋体" w:cs="宋体"/>
                <w:szCs w:val="21"/>
              </w:rPr>
              <w:t>提供不参与围标串标承诺书</w:t>
            </w:r>
            <w:r>
              <w:rPr>
                <w:rFonts w:hint="eastAsia" w:ascii="宋体" w:hAnsi="宋体" w:cs="宋体"/>
                <w:szCs w:val="21"/>
              </w:rPr>
              <w:t>。</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140" w:hRule="atLeast"/>
          <w:jc w:val="center"/>
        </w:trPr>
        <w:tc>
          <w:tcPr>
            <w:tcW w:w="8385"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jc w:val="center"/>
              <w:rPr>
                <w:rFonts w:ascii="宋体" w:hAnsi="宋体" w:cs="宋体"/>
                <w:szCs w:val="21"/>
              </w:rPr>
            </w:pPr>
            <w:r>
              <w:rPr>
                <w:rFonts w:ascii="宋体" w:hAnsi="宋体" w:cs="宋体"/>
                <w:szCs w:val="21"/>
              </w:rPr>
              <w:t>格审查结果</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r>
        <w:tblPrEx>
          <w:tblCellMar>
            <w:top w:w="0" w:type="dxa"/>
            <w:left w:w="108" w:type="dxa"/>
            <w:bottom w:w="0" w:type="dxa"/>
            <w:right w:w="108" w:type="dxa"/>
          </w:tblCellMar>
        </w:tblPrEx>
        <w:trPr>
          <w:trHeight w:val="145" w:hRule="atLeast"/>
          <w:jc w:val="center"/>
        </w:trPr>
        <w:tc>
          <w:tcPr>
            <w:tcW w:w="8385"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line="240" w:lineRule="auto"/>
              <w:jc w:val="center"/>
              <w:rPr>
                <w:rFonts w:ascii="宋体" w:hAnsi="宋体" w:cs="宋体"/>
                <w:szCs w:val="21"/>
              </w:rPr>
            </w:pPr>
            <w:r>
              <w:rPr>
                <w:rFonts w:ascii="宋体" w:hAnsi="宋体" w:cs="宋体"/>
                <w:szCs w:val="21"/>
              </w:rPr>
              <w:t>不通过理由说明</w:t>
            </w:r>
          </w:p>
        </w:tc>
        <w:tc>
          <w:tcPr>
            <w:tcW w:w="3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1"/>
              </w:rPr>
            </w:pPr>
          </w:p>
        </w:tc>
        <w:tc>
          <w:tcPr>
            <w:tcW w:w="466"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c>
          <w:tcPr>
            <w:tcW w:w="55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szCs w:val="21"/>
              </w:rPr>
            </w:pPr>
          </w:p>
        </w:tc>
      </w:tr>
    </w:tbl>
    <w:p>
      <w:pPr>
        <w:adjustRightInd w:val="0"/>
        <w:snapToGrid w:val="0"/>
        <w:spacing w:line="360" w:lineRule="auto"/>
        <w:ind w:firstLine="420" w:firstLineChars="200"/>
        <w:jc w:val="left"/>
        <w:rPr>
          <w:rFonts w:ascii="宋体" w:hAnsi="宋体"/>
          <w:szCs w:val="21"/>
        </w:rPr>
      </w:pPr>
    </w:p>
    <w:p>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9.1.2</w:t>
      </w:r>
      <w:r>
        <w:rPr>
          <w:rFonts w:hint="eastAsia" w:ascii="宋体" w:hAnsi="宋体"/>
          <w:szCs w:val="21"/>
        </w:rPr>
        <w:t>符合性检查。依据单一来源采购文件的规定，从响应文件的有效性、完整性和对单一来源采购文件的响应程度进行审查，以确定是否对采购文件的实质性要求作出响应 (包括首次提交的响应文件、重新提交的响应文件)。</w:t>
      </w:r>
    </w:p>
    <w:tbl>
      <w:tblPr>
        <w:tblStyle w:val="45"/>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3"/>
        <w:gridCol w:w="7831"/>
        <w:gridCol w:w="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blHeader/>
          <w:jc w:val="center"/>
        </w:trPr>
        <w:tc>
          <w:tcPr>
            <w:tcW w:w="1103" w:type="dxa"/>
            <w:tcBorders>
              <w:top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hint="eastAsia" w:ascii="宋体" w:hAnsi="宋体"/>
                <w:b/>
                <w:szCs w:val="21"/>
              </w:rPr>
              <w:t>项目</w:t>
            </w:r>
          </w:p>
        </w:tc>
        <w:tc>
          <w:tcPr>
            <w:tcW w:w="865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103" w:type="dxa"/>
            <w:vMerge w:val="restart"/>
            <w:tcBorders>
              <w:top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符合性检查</w:t>
            </w: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１、响应文件按照单一来源采购文件规定的内容、格式填写，字迹清晰可辨</w:t>
            </w:r>
          </w:p>
        </w:tc>
        <w:tc>
          <w:tcPr>
            <w:tcW w:w="826"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协商</w:t>
            </w:r>
          </w:p>
          <w:p>
            <w:pPr>
              <w:spacing w:line="240" w:lineRule="auto"/>
              <w:jc w:val="center"/>
              <w:rPr>
                <w:rFonts w:ascii="宋体" w:hAnsi="宋体"/>
                <w:szCs w:val="21"/>
              </w:rPr>
            </w:pPr>
            <w:r>
              <w:rPr>
                <w:rFonts w:ascii="宋体" w:hAnsi="宋体"/>
                <w:szCs w:val="21"/>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２、响应文件上法定代表人或其授权代理人的签字、供应商的单位章齐全符合单一来源采购文件规定</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３、响应文件承诺响应有效期满足单一来源采购文件要求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４、报价具有唯一性，未超过采购项目预算</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５、响应文件未附有采购人不能接受的条件或不符合单一来源采购文件的其他要求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６、符合国家、行业技术标准的要求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tcBorders>
              <w:top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hint="eastAsia" w:ascii="宋体" w:hAnsi="宋体"/>
                <w:b/>
                <w:szCs w:val="21"/>
              </w:rPr>
              <w:t>结论</w:t>
            </w: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是否通过审查，进入下一阶段</w:t>
            </w:r>
          </w:p>
        </w:tc>
        <w:tc>
          <w:tcPr>
            <w:tcW w:w="826" w:type="dxa"/>
            <w:vMerge w:val="continue"/>
            <w:tcBorders>
              <w:left w:val="single" w:color="auto" w:sz="4" w:space="0"/>
              <w:bottom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9" w:hRule="atLeast"/>
          <w:jc w:val="center"/>
        </w:trPr>
        <w:tc>
          <w:tcPr>
            <w:tcW w:w="9760" w:type="dxa"/>
            <w:gridSpan w:val="3"/>
            <w:tcBorders>
              <w:top w:val="single" w:color="auto" w:sz="4" w:space="0"/>
              <w:right w:val="single" w:color="auto" w:sz="4" w:space="0"/>
            </w:tcBorders>
            <w:vAlign w:val="center"/>
          </w:tcPr>
          <w:p>
            <w:pPr>
              <w:tabs>
                <w:tab w:val="left" w:pos="0"/>
              </w:tabs>
              <w:adjustRightInd w:val="0"/>
              <w:snapToGrid w:val="0"/>
              <w:spacing w:line="240" w:lineRule="auto"/>
              <w:ind w:firstLine="422" w:firstLineChars="200"/>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240" w:lineRule="auto"/>
              <w:ind w:firstLine="422" w:firstLineChars="200"/>
              <w:rPr>
                <w:rFonts w:ascii="宋体" w:hAnsi="宋体"/>
                <w:b/>
                <w:szCs w:val="21"/>
              </w:rPr>
            </w:pPr>
            <w:r>
              <w:rPr>
                <w:rFonts w:hint="eastAsia" w:ascii="宋体" w:hAnsi="宋体"/>
                <w:b/>
                <w:szCs w:val="21"/>
              </w:rPr>
              <w:t>2）出现一个“×”的结论为“不通过”。表中全部为“√”，同意进入下一阶段评审。</w:t>
            </w:r>
          </w:p>
          <w:p>
            <w:pPr>
              <w:spacing w:line="240" w:lineRule="auto"/>
              <w:ind w:firstLine="422" w:firstLineChars="200"/>
              <w:rPr>
                <w:rFonts w:ascii="宋体" w:hAnsi="宋体"/>
                <w:szCs w:val="21"/>
              </w:rPr>
            </w:pPr>
            <w:r>
              <w:rPr>
                <w:rFonts w:hint="eastAsia" w:ascii="宋体" w:hAnsi="宋体"/>
                <w:b/>
                <w:szCs w:val="21"/>
              </w:rPr>
              <w:t>3）若专家意见不一致时，则按少数服从多数的原则，由专家投票决定该供应商是否通过审查，进入下一阶段评审。</w:t>
            </w:r>
          </w:p>
        </w:tc>
      </w:tr>
    </w:tbl>
    <w:p>
      <w:pPr>
        <w:adjustRightInd w:val="0"/>
        <w:snapToGrid w:val="0"/>
        <w:spacing w:line="360" w:lineRule="auto"/>
        <w:ind w:firstLine="420" w:firstLineChars="200"/>
        <w:jc w:val="left"/>
        <w:rPr>
          <w:rFonts w:ascii="宋体" w:hAnsi="宋体"/>
          <w:szCs w:val="21"/>
        </w:rPr>
      </w:pPr>
    </w:p>
    <w:p>
      <w:pPr>
        <w:adjustRightInd w:val="0"/>
        <w:snapToGrid w:val="0"/>
        <w:spacing w:line="360" w:lineRule="auto"/>
        <w:rPr>
          <w:rFonts w:ascii="宋体" w:hAnsi="宋体"/>
          <w:b/>
          <w:bCs/>
          <w:szCs w:val="21"/>
        </w:rPr>
      </w:pPr>
      <w:r>
        <w:rPr>
          <w:rFonts w:hint="eastAsia" w:ascii="宋体" w:hAnsi="宋体"/>
          <w:b/>
          <w:bCs/>
          <w:szCs w:val="21"/>
        </w:rPr>
        <w:t>20.响应文件的澄清</w:t>
      </w:r>
    </w:p>
    <w:p>
      <w:pPr>
        <w:autoSpaceDE w:val="0"/>
        <w:autoSpaceDN w:val="0"/>
        <w:adjustRightInd w:val="0"/>
        <w:snapToGrid w:val="0"/>
        <w:spacing w:line="360" w:lineRule="auto"/>
        <w:ind w:firstLine="420" w:firstLineChars="200"/>
        <w:rPr>
          <w:rFonts w:ascii="宋体" w:hAnsi="宋体" w:cs="宋体"/>
          <w:kern w:val="0"/>
          <w:szCs w:val="21"/>
          <w:lang w:val="zh-CN"/>
        </w:rPr>
      </w:pPr>
      <w:r>
        <w:rPr>
          <w:rFonts w:hint="eastAsia" w:ascii="宋体" w:hAnsi="宋体"/>
          <w:bCs/>
          <w:szCs w:val="21"/>
        </w:rPr>
        <w:t>20.1单一来源采购人员</w:t>
      </w:r>
      <w:r>
        <w:rPr>
          <w:rFonts w:hint="eastAsia" w:ascii="宋体" w:hAnsi="宋体" w:cs="宋体"/>
          <w:kern w:val="0"/>
          <w:szCs w:val="21"/>
          <w:lang w:val="zh-CN"/>
        </w:rPr>
        <w:t>在对供应商提交的响应文件的有效性、完整性和对单一来源采购文件的响应程度进行审查时，可以以书面形式要求供应商对响应文件中含义不明、同类问题表述不一致或者有明显文字和计算错误的内容等作出必要的澄清、说明或者纠正。供应商的澄清、说明或者补正应当采用书面形式，</w:t>
      </w:r>
      <w:r>
        <w:rPr>
          <w:rFonts w:hint="eastAsia" w:ascii="宋体" w:hAnsi="宋体" w:cs="宋体"/>
          <w:kern w:val="0"/>
          <w:szCs w:val="21"/>
        </w:rPr>
        <w:t>由其法定代表人或其委托代理人签字或者加盖供应商单位章，在规定时间内线上提交</w:t>
      </w:r>
      <w:r>
        <w:rPr>
          <w:rFonts w:hint="eastAsia" w:ascii="宋体" w:hAnsi="宋体"/>
          <w:bCs/>
          <w:szCs w:val="21"/>
        </w:rPr>
        <w:t>。</w:t>
      </w:r>
    </w:p>
    <w:p>
      <w:pPr>
        <w:autoSpaceDE w:val="0"/>
        <w:autoSpaceDN w:val="0"/>
        <w:adjustRightInd w:val="0"/>
        <w:snapToGri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20.2错误修正的原则：报价的大写金额和小写金额不一致的，以大写金额为准；总价金额与单价金额不一致的，以单价金额计算结果为准；单价金额小数点有明显错位的，应以总价为准，并修改单价。</w:t>
      </w:r>
    </w:p>
    <w:p>
      <w:pPr>
        <w:tabs>
          <w:tab w:val="left" w:pos="0"/>
        </w:tabs>
        <w:adjustRightInd w:val="0"/>
        <w:snapToGrid w:val="0"/>
        <w:spacing w:line="360" w:lineRule="auto"/>
        <w:rPr>
          <w:rFonts w:ascii="宋体" w:hAnsi="宋体"/>
          <w:bCs/>
          <w:szCs w:val="21"/>
        </w:rPr>
      </w:pPr>
      <w:r>
        <w:rPr>
          <w:rFonts w:hint="eastAsia" w:ascii="宋体" w:hAnsi="宋体"/>
          <w:b/>
          <w:bCs/>
          <w:szCs w:val="21"/>
        </w:rPr>
        <w:t>21.协商</w:t>
      </w:r>
    </w:p>
    <w:p>
      <w:pPr>
        <w:tabs>
          <w:tab w:val="left" w:pos="0"/>
        </w:tabs>
        <w:adjustRightInd w:val="0"/>
        <w:snapToGrid w:val="0"/>
        <w:spacing w:line="360" w:lineRule="auto"/>
        <w:ind w:firstLine="420" w:firstLineChars="200"/>
        <w:rPr>
          <w:rFonts w:ascii="宋体" w:hAnsi="宋体"/>
          <w:szCs w:val="21"/>
        </w:rPr>
      </w:pPr>
      <w:r>
        <w:rPr>
          <w:rFonts w:hint="eastAsia" w:ascii="宋体" w:hAnsi="宋体"/>
          <w:bCs/>
          <w:szCs w:val="21"/>
        </w:rPr>
        <w:t>21.1在协商过程中，</w:t>
      </w:r>
      <w:r>
        <w:rPr>
          <w:rFonts w:hint="eastAsia" w:ascii="宋体" w:hAnsi="宋体"/>
          <w:szCs w:val="21"/>
        </w:rPr>
        <w:t>单一来源采购文件若有实质性变动，</w:t>
      </w:r>
      <w:r>
        <w:rPr>
          <w:rFonts w:hint="eastAsia" w:ascii="宋体" w:hAnsi="宋体"/>
          <w:bCs/>
          <w:szCs w:val="21"/>
        </w:rPr>
        <w:t>单一来源采购人员</w:t>
      </w:r>
      <w:r>
        <w:rPr>
          <w:rFonts w:hint="eastAsia" w:ascii="宋体" w:hAnsi="宋体"/>
          <w:szCs w:val="21"/>
        </w:rPr>
        <w:t>将以书面形式通知参加协商的供应商。</w:t>
      </w:r>
    </w:p>
    <w:p>
      <w:pPr>
        <w:tabs>
          <w:tab w:val="left" w:pos="0"/>
        </w:tabs>
        <w:adjustRightInd w:val="0"/>
        <w:snapToGrid w:val="0"/>
        <w:spacing w:line="360" w:lineRule="auto"/>
        <w:ind w:firstLine="420" w:firstLineChars="200"/>
        <w:rPr>
          <w:rFonts w:ascii="宋体" w:hAnsi="宋体" w:cs="宋体"/>
          <w:kern w:val="0"/>
          <w:szCs w:val="21"/>
        </w:rPr>
      </w:pPr>
      <w:r>
        <w:rPr>
          <w:rFonts w:hint="eastAsia" w:ascii="宋体" w:hAnsi="宋体"/>
          <w:bCs/>
          <w:szCs w:val="21"/>
        </w:rPr>
        <w:t>21.2协商采购需求，单一来源采购人员</w:t>
      </w:r>
      <w:r>
        <w:rPr>
          <w:rFonts w:hint="eastAsia" w:ascii="宋体" w:hAnsi="宋体" w:cs="宋体"/>
          <w:kern w:val="0"/>
          <w:szCs w:val="21"/>
        </w:rPr>
        <w:t>可以组织多轮协商。</w:t>
      </w:r>
      <w:r>
        <w:rPr>
          <w:rFonts w:hint="eastAsia" w:ascii="宋体" w:hAnsi="宋体"/>
          <w:bCs/>
          <w:szCs w:val="21"/>
        </w:rPr>
        <w:t>在每一轮协商中，单一来源采购人员</w:t>
      </w:r>
      <w:r>
        <w:rPr>
          <w:rFonts w:hint="eastAsia" w:ascii="宋体" w:hAnsi="宋体" w:cs="宋体"/>
          <w:kern w:val="0"/>
          <w:szCs w:val="21"/>
        </w:rPr>
        <w:t>可以</w:t>
      </w:r>
      <w:r>
        <w:rPr>
          <w:rFonts w:hint="eastAsia" w:ascii="宋体" w:hAnsi="宋体" w:cs="Arial"/>
          <w:kern w:val="0"/>
          <w:szCs w:val="21"/>
        </w:rPr>
        <w:t>根据协商</w:t>
      </w:r>
      <w:r>
        <w:rPr>
          <w:rFonts w:hint="eastAsia" w:ascii="宋体" w:hAnsi="宋体" w:cs="宋体"/>
          <w:kern w:val="0"/>
          <w:szCs w:val="21"/>
        </w:rPr>
        <w:t>情况，要求</w:t>
      </w:r>
      <w:r>
        <w:rPr>
          <w:rFonts w:hint="eastAsia" w:ascii="宋体" w:hAnsi="宋体"/>
          <w:bCs/>
          <w:szCs w:val="21"/>
        </w:rPr>
        <w:t>供应商在规定的</w:t>
      </w:r>
      <w:r>
        <w:rPr>
          <w:rFonts w:hint="eastAsia" w:ascii="宋体" w:hAnsi="宋体" w:cs="宋体"/>
          <w:kern w:val="0"/>
          <w:szCs w:val="21"/>
        </w:rPr>
        <w:t>截止时间前提交</w:t>
      </w:r>
      <w:r>
        <w:rPr>
          <w:rFonts w:hint="eastAsia" w:ascii="宋体" w:hAnsi="宋体"/>
          <w:bCs/>
          <w:szCs w:val="21"/>
        </w:rPr>
        <w:t>补充资料。</w:t>
      </w:r>
      <w:r>
        <w:rPr>
          <w:rFonts w:hint="eastAsia" w:ascii="宋体" w:hAnsi="宋体" w:cs="宋体"/>
          <w:kern w:val="0"/>
          <w:szCs w:val="21"/>
        </w:rPr>
        <w:t xml:space="preserve"> </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21.3商定价格，供应商可以多轮报价。对于能准确掌握同类项目同业同期平均价格（市场平均价）的，单一来源采购人员可要求供应商报出不超过市场平均价的合理价格；不能准确掌握市场价格的，双方可按供应商</w:t>
      </w:r>
      <w:r>
        <w:rPr>
          <w:rFonts w:hint="eastAsia" w:ascii="宋体" w:hAnsi="宋体"/>
          <w:szCs w:val="21"/>
        </w:rPr>
        <w:t>价格清单及说明</w:t>
      </w:r>
      <w:r>
        <w:rPr>
          <w:rFonts w:hint="eastAsia" w:ascii="宋体" w:hAnsi="宋体"/>
          <w:bCs/>
          <w:szCs w:val="21"/>
        </w:rPr>
        <w:t>协商价格，并以供应商近期其他中标或成交项目合同作为价格协商参考依据。</w:t>
      </w:r>
    </w:p>
    <w:p>
      <w:pPr>
        <w:tabs>
          <w:tab w:val="left" w:pos="0"/>
        </w:tabs>
        <w:adjustRightInd w:val="0"/>
        <w:snapToGrid w:val="0"/>
        <w:spacing w:line="360" w:lineRule="auto"/>
        <w:ind w:firstLine="420" w:firstLineChars="200"/>
        <w:rPr>
          <w:rFonts w:ascii="宋体" w:hAnsi="宋体"/>
          <w:szCs w:val="21"/>
        </w:rPr>
      </w:pPr>
      <w:r>
        <w:rPr>
          <w:rFonts w:hint="eastAsia" w:ascii="宋体" w:hAnsi="宋体"/>
          <w:bCs/>
          <w:szCs w:val="21"/>
        </w:rPr>
        <w:t>21.4</w:t>
      </w:r>
      <w:r>
        <w:rPr>
          <w:rFonts w:hint="eastAsia" w:ascii="宋体" w:hAnsi="宋体"/>
          <w:szCs w:val="21"/>
        </w:rPr>
        <w:t>供应商的最终报价高于同业同期平均价格（市场平均价）的，</w:t>
      </w:r>
      <w:r>
        <w:rPr>
          <w:rFonts w:hint="eastAsia" w:ascii="宋体" w:hAnsi="宋体"/>
          <w:bCs/>
          <w:szCs w:val="21"/>
        </w:rPr>
        <w:t>单一来源采购人员</w:t>
      </w:r>
      <w:r>
        <w:rPr>
          <w:rFonts w:hint="eastAsia" w:ascii="宋体" w:hAnsi="宋体"/>
          <w:szCs w:val="21"/>
        </w:rPr>
        <w:t>可视情况接受或不接受。供应商响应文件实质性响应单一来源采购文件要求的，且未超过采购预算，则应确认成交，但</w:t>
      </w:r>
      <w:r>
        <w:rPr>
          <w:rFonts w:hint="eastAsia" w:ascii="宋体" w:hAnsi="宋体"/>
          <w:bCs/>
          <w:szCs w:val="21"/>
        </w:rPr>
        <w:t>单一来源采购人员</w:t>
      </w:r>
      <w:r>
        <w:rPr>
          <w:rFonts w:hint="eastAsia" w:ascii="宋体" w:hAnsi="宋体"/>
          <w:szCs w:val="21"/>
        </w:rPr>
        <w:t>应出具相关书面材料说明接受该报价的理由，并报财政部门备案；</w:t>
      </w:r>
      <w:r>
        <w:rPr>
          <w:rFonts w:hint="eastAsia" w:ascii="宋体" w:hAnsi="宋体"/>
          <w:bCs/>
          <w:szCs w:val="21"/>
        </w:rPr>
        <w:t>单一来源采购人员</w:t>
      </w:r>
      <w:r>
        <w:rPr>
          <w:rFonts w:hint="eastAsia" w:ascii="宋体" w:hAnsi="宋体"/>
          <w:szCs w:val="21"/>
        </w:rPr>
        <w:t>不接受的，</w:t>
      </w:r>
      <w:r>
        <w:rPr>
          <w:rFonts w:hint="eastAsia" w:ascii="宋体" w:hAnsi="宋体"/>
          <w:bCs/>
          <w:szCs w:val="21"/>
        </w:rPr>
        <w:t>单一来源采购人员</w:t>
      </w:r>
      <w:r>
        <w:rPr>
          <w:rFonts w:hint="eastAsia" w:ascii="宋体" w:hAnsi="宋体"/>
          <w:szCs w:val="21"/>
        </w:rPr>
        <w:t>应出具相关书面材料说明的理由，采购终止。</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21.5采购终止后，重新开展采购活动。</w:t>
      </w:r>
    </w:p>
    <w:p>
      <w:pPr>
        <w:tabs>
          <w:tab w:val="left" w:pos="0"/>
        </w:tabs>
        <w:adjustRightInd w:val="0"/>
        <w:snapToGrid w:val="0"/>
        <w:spacing w:line="360" w:lineRule="auto"/>
        <w:rPr>
          <w:rFonts w:ascii="宋体" w:hAnsi="宋体"/>
          <w:b/>
          <w:bCs/>
          <w:szCs w:val="21"/>
        </w:rPr>
      </w:pPr>
      <w:r>
        <w:rPr>
          <w:rFonts w:hint="eastAsia" w:ascii="宋体" w:hAnsi="宋体"/>
          <w:b/>
          <w:bCs/>
          <w:szCs w:val="21"/>
        </w:rPr>
        <w:t>22.推荐成交供应商</w:t>
      </w:r>
    </w:p>
    <w:p>
      <w:pPr>
        <w:tabs>
          <w:tab w:val="left" w:pos="0"/>
        </w:tabs>
        <w:adjustRightInd w:val="0"/>
        <w:snapToGrid w:val="0"/>
        <w:spacing w:line="360" w:lineRule="auto"/>
        <w:ind w:firstLine="420" w:firstLineChars="200"/>
        <w:rPr>
          <w:rFonts w:ascii="宋体" w:hAnsi="宋体"/>
          <w:szCs w:val="21"/>
        </w:rPr>
      </w:pPr>
      <w:r>
        <w:rPr>
          <w:rFonts w:hint="eastAsia" w:ascii="宋体" w:hAnsi="宋体"/>
          <w:bCs/>
          <w:szCs w:val="21"/>
        </w:rPr>
        <w:t>22.1单一来源采购人员</w:t>
      </w:r>
      <w:r>
        <w:rPr>
          <w:rFonts w:hint="eastAsia" w:ascii="宋体" w:hAnsi="宋体" w:cs="宋体"/>
          <w:kern w:val="0"/>
          <w:szCs w:val="21"/>
          <w:lang w:val="zh-CN"/>
        </w:rPr>
        <w:t>与供应商进行价格协商，在保证采购项目质量的基础上，商定合理的成交价格。</w:t>
      </w:r>
    </w:p>
    <w:p>
      <w:pPr>
        <w:pStyle w:val="23"/>
        <w:adjustRightInd w:val="0"/>
        <w:snapToGrid w:val="0"/>
        <w:spacing w:line="360" w:lineRule="auto"/>
        <w:ind w:left="632" w:hanging="632" w:hangingChars="300"/>
        <w:rPr>
          <w:rFonts w:hAnsi="宋体"/>
          <w:b/>
        </w:rPr>
      </w:pPr>
      <w:r>
        <w:rPr>
          <w:rFonts w:hint="eastAsia" w:hAnsi="宋体"/>
          <w:b/>
        </w:rPr>
        <w:t>23.协商终止</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23.1 协商时，出现下列情况之一，本次协商终止：</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（1）因情况变化，不再符合规定的单一来源采购方式适用情形的；</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（2）出现影响采购公正的违法、违规行为的；</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rPr>
        <w:t>报价超过采购项目预算的。</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23.2</w:t>
      </w:r>
      <w:r>
        <w:rPr>
          <w:rFonts w:hint="eastAsia" w:ascii="宋体" w:hAnsi="宋体"/>
          <w:szCs w:val="21"/>
        </w:rPr>
        <w:t>单一来源采购人员</w:t>
      </w:r>
      <w:r>
        <w:rPr>
          <w:rFonts w:hint="eastAsia" w:ascii="宋体" w:hAnsi="宋体"/>
          <w:bCs/>
          <w:szCs w:val="21"/>
        </w:rPr>
        <w:t>应将协商终止理由通知供应商。</w:t>
      </w:r>
    </w:p>
    <w:p>
      <w:pPr>
        <w:adjustRightInd w:val="0"/>
        <w:snapToGrid w:val="0"/>
        <w:spacing w:line="360" w:lineRule="auto"/>
        <w:rPr>
          <w:rFonts w:ascii="宋体" w:hAnsi="宋体"/>
          <w:b/>
          <w:bCs/>
          <w:szCs w:val="21"/>
        </w:rPr>
      </w:pPr>
      <w:r>
        <w:rPr>
          <w:rFonts w:hint="eastAsia" w:ascii="宋体" w:hAnsi="宋体"/>
          <w:b/>
          <w:bCs/>
          <w:szCs w:val="21"/>
        </w:rPr>
        <w:t>24.保密要求</w:t>
      </w:r>
    </w:p>
    <w:p>
      <w:pPr>
        <w:adjustRightInd w:val="0"/>
        <w:snapToGrid w:val="0"/>
        <w:spacing w:line="360" w:lineRule="auto"/>
        <w:ind w:firstLine="420" w:firstLineChars="200"/>
        <w:rPr>
          <w:rFonts w:ascii="宋体" w:hAnsi="宋体"/>
          <w:szCs w:val="21"/>
        </w:rPr>
      </w:pPr>
      <w:r>
        <w:rPr>
          <w:rFonts w:hint="eastAsia" w:ascii="宋体" w:hAnsi="宋体"/>
          <w:szCs w:val="21"/>
        </w:rPr>
        <w:t>24.1单一来源采购人员成员以及与协商工作有关的人员对协商情况以及协商过程中获悉的国家秘密、商业秘密应当保密。</w:t>
      </w:r>
    </w:p>
    <w:p>
      <w:pPr>
        <w:pStyle w:val="262"/>
        <w:rPr>
          <w:color w:val="auto"/>
        </w:rPr>
      </w:pPr>
      <w:bookmarkStart w:id="66" w:name="_Toc26512"/>
      <w:r>
        <w:rPr>
          <w:rFonts w:hint="eastAsia"/>
          <w:color w:val="auto"/>
        </w:rPr>
        <w:t>六、成交结果信息公布与授予合同</w:t>
      </w:r>
      <w:bookmarkEnd w:id="66"/>
    </w:p>
    <w:p>
      <w:pPr>
        <w:adjustRightInd w:val="0"/>
        <w:snapToGrid w:val="0"/>
        <w:spacing w:line="360" w:lineRule="auto"/>
        <w:rPr>
          <w:rFonts w:ascii="宋体" w:hAnsi="宋体"/>
          <w:b/>
          <w:bCs/>
          <w:szCs w:val="21"/>
        </w:rPr>
      </w:pPr>
      <w:r>
        <w:rPr>
          <w:rFonts w:hint="eastAsia" w:ascii="宋体" w:hAnsi="宋体"/>
          <w:b/>
          <w:bCs/>
          <w:szCs w:val="21"/>
        </w:rPr>
        <w:t>25.成交信息的公布</w:t>
      </w:r>
    </w:p>
    <w:p>
      <w:pPr>
        <w:pStyle w:val="23"/>
        <w:adjustRightInd w:val="0"/>
        <w:snapToGrid w:val="0"/>
        <w:spacing w:line="360" w:lineRule="auto"/>
        <w:ind w:firstLine="420" w:firstLineChars="200"/>
        <w:rPr>
          <w:rFonts w:hAnsi="宋体"/>
        </w:rPr>
      </w:pPr>
      <w:r>
        <w:rPr>
          <w:rFonts w:hint="eastAsia" w:hAnsi="宋体"/>
        </w:rPr>
        <w:t>25.1 协商结束后，成交结果信息将在财政部门指定的媒体上公布。指定的媒体名称见</w:t>
      </w:r>
      <w:r>
        <w:rPr>
          <w:rFonts w:hint="eastAsia" w:hAnsi="宋体"/>
          <w:b/>
        </w:rPr>
        <w:t>协商须知前附表</w:t>
      </w:r>
      <w:r>
        <w:rPr>
          <w:rFonts w:hint="eastAsia" w:hAnsi="宋体"/>
        </w:rPr>
        <w:t>。</w:t>
      </w:r>
    </w:p>
    <w:p>
      <w:pPr>
        <w:adjustRightInd w:val="0"/>
        <w:snapToGrid w:val="0"/>
        <w:spacing w:line="360" w:lineRule="auto"/>
        <w:rPr>
          <w:rFonts w:ascii="宋体" w:hAnsi="宋体"/>
          <w:b/>
          <w:bCs/>
          <w:szCs w:val="21"/>
        </w:rPr>
      </w:pPr>
      <w:r>
        <w:rPr>
          <w:rFonts w:hint="eastAsia" w:ascii="宋体" w:hAnsi="宋体"/>
          <w:b/>
          <w:bCs/>
          <w:szCs w:val="21"/>
        </w:rPr>
        <w:t>26.询问</w:t>
      </w:r>
    </w:p>
    <w:p>
      <w:pPr>
        <w:adjustRightInd w:val="0"/>
        <w:snapToGrid w:val="0"/>
        <w:spacing w:line="360" w:lineRule="auto"/>
        <w:ind w:firstLine="420" w:firstLineChars="200"/>
        <w:jc w:val="left"/>
        <w:rPr>
          <w:rFonts w:ascii="宋体" w:hAnsi="宋体"/>
          <w:szCs w:val="21"/>
        </w:rPr>
      </w:pPr>
      <w:r>
        <w:rPr>
          <w:rFonts w:hint="eastAsia" w:ascii="宋体" w:hAnsi="宋体"/>
          <w:szCs w:val="21"/>
        </w:rPr>
        <w:t>26.1供应商对政府采购活动事项有疑问的，可以向采购人或采购代理机构提出询问。采购人或采购代理机构将及时作出答复。</w:t>
      </w:r>
    </w:p>
    <w:p>
      <w:pPr>
        <w:adjustRightInd w:val="0"/>
        <w:snapToGrid w:val="0"/>
        <w:spacing w:line="360" w:lineRule="auto"/>
        <w:rPr>
          <w:rFonts w:ascii="宋体" w:hAnsi="宋体"/>
          <w:b/>
          <w:bCs/>
          <w:szCs w:val="21"/>
        </w:rPr>
      </w:pPr>
      <w:r>
        <w:rPr>
          <w:rFonts w:hint="eastAsia" w:ascii="宋体" w:hAnsi="宋体"/>
          <w:b/>
          <w:bCs/>
          <w:szCs w:val="21"/>
        </w:rPr>
        <w:t>27.成交通知</w:t>
      </w:r>
    </w:p>
    <w:p>
      <w:pPr>
        <w:pStyle w:val="23"/>
        <w:adjustRightInd w:val="0"/>
        <w:snapToGrid w:val="0"/>
        <w:spacing w:line="360" w:lineRule="auto"/>
        <w:ind w:firstLine="420" w:firstLineChars="200"/>
        <w:rPr>
          <w:rFonts w:hAnsi="宋体"/>
        </w:rPr>
      </w:pPr>
      <w:r>
        <w:rPr>
          <w:rFonts w:hint="eastAsia" w:hAnsi="宋体"/>
        </w:rPr>
        <w:t>27.1成交供应商确定后，采购代理机构将以书面形式向成交供应商发出成交通知书。成交通知书对采购人和成交供应商具有同等法律效力。</w:t>
      </w:r>
    </w:p>
    <w:p>
      <w:pPr>
        <w:pStyle w:val="23"/>
        <w:adjustRightInd w:val="0"/>
        <w:snapToGrid w:val="0"/>
        <w:spacing w:line="360" w:lineRule="auto"/>
        <w:ind w:firstLine="420" w:firstLineChars="200"/>
        <w:rPr>
          <w:rFonts w:hAnsi="宋体"/>
        </w:rPr>
      </w:pPr>
      <w:r>
        <w:rPr>
          <w:rFonts w:hint="eastAsia" w:hAnsi="宋体"/>
        </w:rPr>
        <w:t>27.2 成交通知书是合同文件的组成部分。</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27.3</w:t>
      </w:r>
      <w:r>
        <w:rPr>
          <w:rFonts w:hint="eastAsia" w:ascii="宋体" w:hAnsi="宋体"/>
          <w:szCs w:val="21"/>
        </w:rPr>
        <w:t>成交供应商在收到采购代理机构的成交通知书后十日内，应按照</w:t>
      </w:r>
      <w:r>
        <w:rPr>
          <w:rFonts w:hint="eastAsia" w:ascii="宋体" w:hAnsi="宋体"/>
          <w:b/>
          <w:szCs w:val="21"/>
        </w:rPr>
        <w:t>协商须知前附表</w:t>
      </w:r>
      <w:r>
        <w:rPr>
          <w:rFonts w:hint="eastAsia" w:ascii="宋体" w:hAnsi="宋体"/>
          <w:szCs w:val="21"/>
        </w:rPr>
        <w:t>的规定，向采购人提交履约担保。联合体成交的，履约担保由联合体各方或联合体中牵头人的名义提交。</w:t>
      </w:r>
    </w:p>
    <w:p>
      <w:pPr>
        <w:pStyle w:val="23"/>
        <w:adjustRightInd w:val="0"/>
        <w:snapToGrid w:val="0"/>
        <w:spacing w:line="360" w:lineRule="auto"/>
        <w:ind w:firstLine="420" w:firstLineChars="200"/>
        <w:rPr>
          <w:rFonts w:hAnsi="宋体"/>
        </w:rPr>
      </w:pPr>
      <w:r>
        <w:rPr>
          <w:rFonts w:hint="eastAsia" w:hAnsi="宋体"/>
        </w:rPr>
        <w:t>27.4 成交供应商</w:t>
      </w:r>
      <w:r>
        <w:rPr>
          <w:rFonts w:hint="eastAsia" w:hAnsi="宋体"/>
          <w:spacing w:val="4"/>
        </w:rPr>
        <w:t>没有按照本章第27.3项规定</w:t>
      </w:r>
      <w:r>
        <w:rPr>
          <w:rFonts w:hint="eastAsia" w:hAnsi="宋体"/>
        </w:rPr>
        <w:t>提交履约担保的</w:t>
      </w:r>
      <w:r>
        <w:rPr>
          <w:rFonts w:hint="eastAsia" w:hAnsi="宋体"/>
          <w:spacing w:val="4"/>
        </w:rPr>
        <w:t>，视为放弃</w:t>
      </w:r>
      <w:r>
        <w:rPr>
          <w:rFonts w:hint="eastAsia" w:hAnsi="宋体"/>
        </w:rPr>
        <w:t>成交</w:t>
      </w:r>
      <w:r>
        <w:rPr>
          <w:rFonts w:hint="eastAsia" w:hAnsi="宋体"/>
          <w:spacing w:val="4"/>
        </w:rPr>
        <w:t>，</w:t>
      </w:r>
      <w:r>
        <w:rPr>
          <w:rFonts w:hint="eastAsia" w:hAnsi="宋体"/>
          <w:spacing w:val="2"/>
        </w:rPr>
        <w:t>其保证金不予退还。</w:t>
      </w:r>
    </w:p>
    <w:p>
      <w:pPr>
        <w:adjustRightInd w:val="0"/>
        <w:snapToGrid w:val="0"/>
        <w:spacing w:line="360" w:lineRule="auto"/>
        <w:rPr>
          <w:rFonts w:ascii="宋体" w:hAnsi="宋体"/>
          <w:b/>
          <w:bCs/>
          <w:szCs w:val="21"/>
        </w:rPr>
      </w:pPr>
      <w:r>
        <w:rPr>
          <w:rFonts w:hint="eastAsia" w:ascii="宋体" w:hAnsi="宋体"/>
          <w:b/>
          <w:bCs/>
          <w:szCs w:val="21"/>
        </w:rPr>
        <w:t>28.签订合同</w:t>
      </w:r>
    </w:p>
    <w:p>
      <w:pPr>
        <w:pStyle w:val="23"/>
        <w:adjustRightInd w:val="0"/>
        <w:snapToGrid w:val="0"/>
        <w:spacing w:line="360" w:lineRule="auto"/>
        <w:ind w:firstLine="420" w:firstLineChars="200"/>
        <w:rPr>
          <w:rFonts w:hAnsi="宋体"/>
        </w:rPr>
      </w:pPr>
      <w:r>
        <w:rPr>
          <w:rFonts w:hint="eastAsia" w:hAnsi="宋体"/>
        </w:rPr>
        <w:t>28.1 单一来源采购文件、成交供应商的响应文件及其补充的响应文件等均为签订政府采购合同的依据。</w:t>
      </w:r>
    </w:p>
    <w:p>
      <w:pPr>
        <w:pStyle w:val="23"/>
        <w:adjustRightInd w:val="0"/>
        <w:snapToGrid w:val="0"/>
        <w:spacing w:line="360" w:lineRule="auto"/>
        <w:ind w:firstLine="420" w:firstLineChars="200"/>
        <w:rPr>
          <w:rFonts w:hAnsi="宋体"/>
        </w:rPr>
      </w:pPr>
      <w:r>
        <w:rPr>
          <w:rFonts w:hint="eastAsia" w:hAnsi="宋体"/>
        </w:rPr>
        <w:t>28.2 成交供应商应当在成交通知书发出之日起三十日内与采购人签订政府采购合同。</w:t>
      </w:r>
    </w:p>
    <w:p>
      <w:pPr>
        <w:pStyle w:val="23"/>
        <w:adjustRightInd w:val="0"/>
        <w:snapToGrid w:val="0"/>
        <w:spacing w:line="360" w:lineRule="auto"/>
        <w:ind w:firstLine="420" w:firstLineChars="200"/>
        <w:rPr>
          <w:rFonts w:hAnsi="宋体"/>
        </w:rPr>
      </w:pPr>
      <w:r>
        <w:rPr>
          <w:rFonts w:hint="eastAsia" w:hAnsi="宋体"/>
        </w:rPr>
        <w:t>28.3 成交供应商应当按照合同约定履行义务。成交供应商不得向他人分包成交项目。</w:t>
      </w:r>
    </w:p>
    <w:p>
      <w:pPr>
        <w:pStyle w:val="262"/>
        <w:rPr>
          <w:color w:val="auto"/>
        </w:rPr>
      </w:pPr>
      <w:bookmarkStart w:id="67" w:name="_Toc25601"/>
      <w:r>
        <w:rPr>
          <w:rFonts w:hint="eastAsia"/>
          <w:color w:val="auto"/>
        </w:rPr>
        <w:t>七、其他规定</w:t>
      </w:r>
      <w:bookmarkEnd w:id="67"/>
    </w:p>
    <w:p>
      <w:pPr>
        <w:adjustRightInd w:val="0"/>
        <w:snapToGrid w:val="0"/>
        <w:spacing w:line="360" w:lineRule="auto"/>
        <w:jc w:val="left"/>
        <w:rPr>
          <w:rFonts w:ascii="宋体" w:hAnsi="宋体"/>
          <w:b/>
          <w:szCs w:val="21"/>
        </w:rPr>
      </w:pPr>
      <w:r>
        <w:rPr>
          <w:rFonts w:hint="eastAsia" w:ascii="宋体" w:hAnsi="宋体"/>
          <w:b/>
          <w:szCs w:val="21"/>
        </w:rPr>
        <w:t>29.采购代理服务费</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29.1采购代理机构应按</w:t>
      </w:r>
      <w:r>
        <w:rPr>
          <w:rFonts w:hint="eastAsia" w:ascii="宋体" w:hAnsi="宋体"/>
          <w:b/>
          <w:szCs w:val="21"/>
        </w:rPr>
        <w:t>协商须知前附表</w:t>
      </w:r>
      <w:r>
        <w:rPr>
          <w:rFonts w:hint="eastAsia" w:ascii="宋体" w:hAnsi="宋体"/>
          <w:szCs w:val="21"/>
        </w:rPr>
        <w:t>规定收取采购代理服务费。</w:t>
      </w:r>
    </w:p>
    <w:p>
      <w:pPr>
        <w:tabs>
          <w:tab w:val="left" w:pos="420"/>
          <w:tab w:val="left" w:pos="7560"/>
          <w:tab w:val="left" w:pos="7740"/>
          <w:tab w:val="left" w:pos="7920"/>
        </w:tabs>
        <w:adjustRightInd w:val="0"/>
        <w:snapToGrid w:val="0"/>
        <w:spacing w:line="360" w:lineRule="auto"/>
        <w:rPr>
          <w:rFonts w:ascii="宋体" w:hAnsi="宋体"/>
          <w:b/>
          <w:szCs w:val="21"/>
        </w:rPr>
      </w:pPr>
      <w:r>
        <w:rPr>
          <w:rFonts w:hint="eastAsia" w:ascii="宋体" w:hAnsi="宋体"/>
          <w:b/>
          <w:szCs w:val="21"/>
        </w:rPr>
        <w:t>30.其他规定</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30.1</w:t>
      </w:r>
      <w:r>
        <w:rPr>
          <w:rFonts w:hint="eastAsia" w:ascii="宋体" w:hAnsi="宋体" w:cs="宋体"/>
          <w:kern w:val="0"/>
          <w:szCs w:val="21"/>
          <w:lang w:val="zh-CN"/>
        </w:rPr>
        <w:t>单一来源采购</w:t>
      </w:r>
      <w:r>
        <w:rPr>
          <w:rFonts w:hint="eastAsia" w:ascii="宋体" w:hAnsi="宋体"/>
          <w:szCs w:val="21"/>
        </w:rPr>
        <w:t>文件</w:t>
      </w:r>
      <w:r>
        <w:rPr>
          <w:rFonts w:hint="eastAsia" w:hAnsi="宋体"/>
          <w:szCs w:val="21"/>
        </w:rPr>
        <w:t>的其他规定</w:t>
      </w:r>
      <w:r>
        <w:rPr>
          <w:rFonts w:hint="eastAsia" w:ascii="宋体" w:hAnsi="宋体"/>
          <w:szCs w:val="21"/>
        </w:rPr>
        <w:t>见</w:t>
      </w:r>
      <w:r>
        <w:rPr>
          <w:rFonts w:hint="eastAsia" w:ascii="宋体" w:hAnsi="宋体"/>
          <w:b/>
          <w:szCs w:val="21"/>
        </w:rPr>
        <w:t>协商须知前附表</w:t>
      </w:r>
      <w:r>
        <w:rPr>
          <w:rFonts w:hint="eastAsia" w:ascii="宋体" w:hAnsi="宋体"/>
          <w:szCs w:val="21"/>
        </w:rPr>
        <w:t>。</w:t>
      </w:r>
    </w:p>
    <w:p>
      <w:pPr>
        <w:pStyle w:val="3"/>
        <w:rPr>
          <w:rFonts w:ascii="宋体" w:hAnsi="宋体"/>
        </w:rPr>
      </w:pPr>
      <w:r>
        <w:br w:type="page"/>
      </w:r>
      <w:bookmarkStart w:id="68" w:name="_Toc513"/>
      <w:r>
        <w:rPr>
          <w:rFonts w:hint="eastAsia" w:ascii="宋体" w:hAnsi="宋体"/>
        </w:rPr>
        <w:t>第三章  政府采购合同格式</w:t>
      </w:r>
      <w:bookmarkEnd w:id="68"/>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b/>
          <w:color w:val="000000"/>
          <w:sz w:val="24"/>
          <w:szCs w:val="24"/>
          <w:lang w:val="en-US" w:eastAsia="zh-CN"/>
        </w:rPr>
      </w:pPr>
      <w:r>
        <w:rPr>
          <w:rFonts w:hint="eastAsia" w:ascii="宋体" w:hAnsi="宋体"/>
          <w:b/>
          <w:color w:val="000000"/>
          <w:sz w:val="24"/>
          <w:szCs w:val="24"/>
          <w:lang w:val="en-US" w:eastAsia="zh-CN"/>
        </w:rPr>
        <w:t>具体以后期签署合同为准</w:t>
      </w:r>
    </w:p>
    <w:p>
      <w:pPr>
        <w:snapToGrid w:val="0"/>
        <w:spacing w:line="360" w:lineRule="auto"/>
        <w:jc w:val="center"/>
        <w:rPr>
          <w:rFonts w:hint="eastAsia" w:ascii="宋体" w:hAnsi="宋体"/>
          <w:b/>
          <w:color w:val="000000"/>
          <w:sz w:val="44"/>
          <w:szCs w:val="44"/>
          <w:lang w:eastAsia="zh-CN"/>
        </w:rPr>
      </w:pPr>
      <w:r>
        <w:rPr>
          <w:rFonts w:hint="eastAsia" w:ascii="宋体" w:hAnsi="宋体"/>
          <w:b/>
          <w:color w:val="000000"/>
          <w:sz w:val="44"/>
          <w:szCs w:val="44"/>
          <w:lang w:eastAsia="zh-CN"/>
        </w:rPr>
        <w:t>交管12123语音平台坐席服务续租项目</w:t>
      </w:r>
    </w:p>
    <w:p>
      <w:pPr>
        <w:snapToGrid w:val="0"/>
        <w:spacing w:line="360" w:lineRule="auto"/>
        <w:jc w:val="center"/>
        <w:rPr>
          <w:rFonts w:ascii="宋体" w:hAnsi="宋体"/>
          <w:bCs/>
          <w:szCs w:val="21"/>
        </w:rPr>
      </w:pPr>
      <w:r>
        <w:rPr>
          <w:rFonts w:ascii="宋体" w:hAnsi="宋体"/>
          <w:b/>
          <w:color w:val="000000"/>
          <w:sz w:val="44"/>
          <w:szCs w:val="44"/>
        </w:rPr>
        <w:t>服务</w:t>
      </w:r>
      <w:r>
        <w:rPr>
          <w:rFonts w:hint="eastAsia" w:ascii="宋体" w:hAnsi="宋体"/>
          <w:b/>
          <w:color w:val="000000"/>
          <w:sz w:val="44"/>
          <w:szCs w:val="44"/>
        </w:rPr>
        <w:t>合同</w:t>
      </w:r>
    </w:p>
    <w:p>
      <w:pPr>
        <w:pStyle w:val="23"/>
        <w:spacing w:line="400" w:lineRule="atLeast"/>
        <w:rPr>
          <w:rFonts w:ascii="Arial" w:hAnsi="Arial" w:cs="Arial"/>
          <w:sz w:val="24"/>
        </w:rPr>
      </w:pPr>
      <w:r>
        <w:rPr>
          <w:rFonts w:ascii="Arial" w:hAnsi="Arial" w:cs="Arial"/>
          <w:sz w:val="24"/>
        </w:rPr>
        <w:t>1</w:t>
      </w:r>
      <w:r>
        <w:rPr>
          <w:rFonts w:hint="eastAsia" w:ascii="Arial" w:hAnsi="Arial" w:cs="Arial"/>
          <w:sz w:val="24"/>
        </w:rPr>
        <w:t>．定义</w:t>
      </w:r>
    </w:p>
    <w:p>
      <w:pPr>
        <w:pStyle w:val="23"/>
        <w:spacing w:line="400" w:lineRule="atLeast"/>
        <w:rPr>
          <w:rFonts w:ascii="Arial" w:hAnsi="Arial" w:cs="Arial"/>
          <w:sz w:val="24"/>
        </w:rPr>
      </w:pPr>
      <w:r>
        <w:rPr>
          <w:rFonts w:ascii="Arial" w:hAnsi="Arial" w:cs="Arial"/>
          <w:sz w:val="24"/>
        </w:rPr>
        <w:t xml:space="preserve"> 1.1“</w:t>
      </w:r>
      <w:r>
        <w:rPr>
          <w:rFonts w:hint="eastAsia" w:ascii="Arial" w:hAnsi="Arial" w:cs="Arial"/>
          <w:sz w:val="24"/>
        </w:rPr>
        <w:t>合同</w:t>
      </w:r>
      <w:r>
        <w:rPr>
          <w:rFonts w:ascii="Arial" w:hAnsi="Arial" w:cs="Arial"/>
          <w:sz w:val="24"/>
        </w:rPr>
        <w:t>”</w:t>
      </w:r>
      <w:r>
        <w:rPr>
          <w:rFonts w:hint="eastAsia" w:ascii="Arial" w:hAnsi="Arial" w:cs="Arial"/>
          <w:sz w:val="24"/>
        </w:rPr>
        <w:t>系指买方和卖方</w:t>
      </w:r>
      <w:r>
        <w:rPr>
          <w:rFonts w:ascii="Arial" w:hAnsi="Arial" w:cs="Arial"/>
          <w:sz w:val="24"/>
        </w:rPr>
        <w:t>(</w:t>
      </w:r>
      <w:r>
        <w:rPr>
          <w:rFonts w:hint="eastAsia" w:ascii="Arial" w:hAnsi="Arial" w:cs="Arial"/>
          <w:sz w:val="24"/>
        </w:rPr>
        <w:t>以下简称合同双方</w:t>
      </w:r>
      <w:r>
        <w:rPr>
          <w:rFonts w:ascii="Arial" w:hAnsi="Arial" w:cs="Arial"/>
          <w:sz w:val="24"/>
        </w:rPr>
        <w:t>)</w:t>
      </w:r>
      <w:r>
        <w:rPr>
          <w:rFonts w:hint="eastAsia" w:ascii="Arial" w:hAnsi="Arial" w:cs="Arial"/>
          <w:sz w:val="24"/>
        </w:rPr>
        <w:t>已达成的协议，即由双方签订的合同格式中的文件，包括所有的附件、附录和组成合同部分的所有其他文件。</w:t>
      </w:r>
    </w:p>
    <w:p>
      <w:pPr>
        <w:pStyle w:val="23"/>
        <w:spacing w:line="400" w:lineRule="atLeast"/>
        <w:rPr>
          <w:rFonts w:ascii="Arial" w:hAnsi="Arial" w:cs="Arial"/>
          <w:sz w:val="24"/>
        </w:rPr>
      </w:pPr>
      <w:r>
        <w:rPr>
          <w:rFonts w:ascii="Arial" w:hAnsi="Arial" w:cs="Arial"/>
          <w:sz w:val="24"/>
        </w:rPr>
        <w:t xml:space="preserve"> 1.2“</w:t>
      </w:r>
      <w:r>
        <w:rPr>
          <w:rFonts w:hint="eastAsia" w:ascii="Arial" w:hAnsi="Arial" w:cs="Arial"/>
          <w:sz w:val="24"/>
        </w:rPr>
        <w:t>合同价格</w:t>
      </w:r>
      <w:r>
        <w:rPr>
          <w:rFonts w:ascii="Arial" w:hAnsi="Arial" w:cs="Arial"/>
          <w:sz w:val="24"/>
        </w:rPr>
        <w:t>”</w:t>
      </w:r>
      <w:r>
        <w:rPr>
          <w:rFonts w:hint="eastAsia" w:ascii="Arial" w:hAnsi="Arial" w:cs="Arial"/>
          <w:sz w:val="24"/>
        </w:rPr>
        <w:t>系指根据合同规定，在卖方全面正确地履行合同义务时应支付给卖方的款项。</w:t>
      </w:r>
    </w:p>
    <w:p>
      <w:pPr>
        <w:pStyle w:val="23"/>
        <w:spacing w:line="400" w:lineRule="atLeast"/>
        <w:rPr>
          <w:rFonts w:ascii="Arial" w:hAnsi="Arial" w:cs="Arial"/>
          <w:sz w:val="24"/>
        </w:rPr>
      </w:pPr>
      <w:r>
        <w:rPr>
          <w:rFonts w:ascii="Arial" w:hAnsi="Arial" w:cs="Arial"/>
          <w:sz w:val="24"/>
        </w:rPr>
        <w:t xml:space="preserve"> 1.3“</w:t>
      </w:r>
      <w:r>
        <w:rPr>
          <w:rFonts w:hint="eastAsia" w:ascii="Arial" w:hAnsi="Arial" w:cs="Arial"/>
          <w:sz w:val="24"/>
        </w:rPr>
        <w:t>货物</w:t>
      </w:r>
      <w:r>
        <w:rPr>
          <w:rFonts w:ascii="Arial" w:hAnsi="Arial" w:cs="Arial"/>
          <w:sz w:val="24"/>
        </w:rPr>
        <w:t>”</w:t>
      </w:r>
      <w:r>
        <w:rPr>
          <w:rFonts w:hint="eastAsia" w:ascii="Arial" w:hAnsi="Arial" w:cs="Arial"/>
          <w:sz w:val="24"/>
        </w:rPr>
        <w:t>系指卖方按合同要求，须向买方提供的一切设备、机械、仪器仪表、备品备件、软件、工具、手册及其它技术资料和其它材料。</w:t>
      </w:r>
    </w:p>
    <w:p>
      <w:pPr>
        <w:pStyle w:val="23"/>
        <w:spacing w:line="400" w:lineRule="atLeast"/>
        <w:rPr>
          <w:rFonts w:ascii="Arial" w:hAnsi="Arial" w:cs="Arial"/>
          <w:sz w:val="24"/>
        </w:rPr>
      </w:pPr>
      <w:r>
        <w:rPr>
          <w:rFonts w:ascii="Arial" w:hAnsi="Arial" w:cs="Arial"/>
          <w:sz w:val="24"/>
        </w:rPr>
        <w:t xml:space="preserve"> 1.4“</w:t>
      </w:r>
      <w:r>
        <w:rPr>
          <w:rFonts w:hint="eastAsia" w:ascii="Arial" w:hAnsi="Arial" w:cs="Arial"/>
          <w:sz w:val="24"/>
        </w:rPr>
        <w:t>服务</w:t>
      </w:r>
      <w:r>
        <w:rPr>
          <w:rFonts w:ascii="Arial" w:hAnsi="Arial" w:cs="Arial"/>
          <w:sz w:val="24"/>
        </w:rPr>
        <w:t>”</w:t>
      </w:r>
      <w:r>
        <w:rPr>
          <w:rFonts w:hint="eastAsia" w:ascii="Arial" w:hAnsi="Arial" w:cs="Arial"/>
          <w:sz w:val="24"/>
        </w:rPr>
        <w:t>系指合同规定卖方须承担的安装、调试、技术协助、校准以及其他类似的义务。</w:t>
      </w:r>
    </w:p>
    <w:p>
      <w:pPr>
        <w:pStyle w:val="23"/>
        <w:spacing w:line="400" w:lineRule="atLeast"/>
        <w:rPr>
          <w:rFonts w:ascii="Arial" w:hAnsi="Arial" w:cs="Arial"/>
          <w:sz w:val="24"/>
        </w:rPr>
      </w:pPr>
      <w:r>
        <w:rPr>
          <w:rFonts w:ascii="Arial" w:hAnsi="Arial" w:cs="Arial"/>
          <w:sz w:val="24"/>
        </w:rPr>
        <w:t xml:space="preserve"> 1.5“</w:t>
      </w:r>
      <w:r>
        <w:rPr>
          <w:rFonts w:hint="eastAsia" w:ascii="Arial" w:hAnsi="Arial" w:cs="Arial"/>
          <w:sz w:val="24"/>
        </w:rPr>
        <w:t>买方</w:t>
      </w:r>
      <w:r>
        <w:rPr>
          <w:rFonts w:ascii="Arial" w:hAnsi="Arial" w:cs="Arial"/>
          <w:sz w:val="24"/>
        </w:rPr>
        <w:t>”</w:t>
      </w:r>
      <w:r>
        <w:rPr>
          <w:rFonts w:hint="eastAsia" w:ascii="Arial" w:hAnsi="Arial" w:cs="Arial"/>
          <w:sz w:val="24"/>
        </w:rPr>
        <w:t>系指通过招标采购，接受合同货物及服务的企业或单位。</w:t>
      </w:r>
    </w:p>
    <w:p>
      <w:pPr>
        <w:pStyle w:val="23"/>
        <w:spacing w:line="400" w:lineRule="atLeast"/>
        <w:rPr>
          <w:rFonts w:ascii="Arial" w:hAnsi="Arial" w:cs="Arial"/>
          <w:sz w:val="24"/>
        </w:rPr>
      </w:pPr>
      <w:r>
        <w:rPr>
          <w:rFonts w:ascii="Arial" w:hAnsi="Arial" w:cs="Arial"/>
          <w:sz w:val="24"/>
        </w:rPr>
        <w:t xml:space="preserve"> 1.6“</w:t>
      </w:r>
      <w:r>
        <w:rPr>
          <w:rFonts w:hint="eastAsia" w:ascii="Arial" w:hAnsi="Arial" w:cs="Arial"/>
          <w:sz w:val="24"/>
        </w:rPr>
        <w:t>卖方</w:t>
      </w:r>
      <w:r>
        <w:rPr>
          <w:rFonts w:ascii="Arial" w:hAnsi="Arial" w:cs="Arial"/>
          <w:sz w:val="24"/>
        </w:rPr>
        <w:t>”</w:t>
      </w:r>
      <w:r>
        <w:rPr>
          <w:rFonts w:hint="eastAsia" w:ascii="Arial" w:hAnsi="Arial" w:cs="Arial"/>
          <w:sz w:val="24"/>
        </w:rPr>
        <w:t>系指中标后提供合同货物和服务的经济实体。</w:t>
      </w:r>
    </w:p>
    <w:p>
      <w:pPr>
        <w:pStyle w:val="23"/>
        <w:spacing w:line="400" w:lineRule="atLeast"/>
        <w:rPr>
          <w:rFonts w:ascii="Arial" w:hAnsi="Arial" w:cs="Arial"/>
          <w:sz w:val="24"/>
        </w:rPr>
      </w:pPr>
      <w:r>
        <w:rPr>
          <w:rFonts w:ascii="Arial" w:hAnsi="Arial" w:cs="Arial"/>
          <w:sz w:val="24"/>
        </w:rPr>
        <w:t xml:space="preserve"> 1.7“</w:t>
      </w:r>
      <w:r>
        <w:rPr>
          <w:rFonts w:hint="eastAsia" w:ascii="Arial" w:hAnsi="Arial" w:cs="Arial"/>
          <w:sz w:val="24"/>
        </w:rPr>
        <w:t>现场</w:t>
      </w:r>
      <w:r>
        <w:rPr>
          <w:rFonts w:ascii="Arial" w:hAnsi="Arial" w:cs="Arial"/>
          <w:sz w:val="24"/>
        </w:rPr>
        <w:t>”</w:t>
      </w:r>
      <w:r>
        <w:rPr>
          <w:rFonts w:hint="eastAsia" w:ascii="Arial" w:hAnsi="Arial" w:cs="Arial"/>
          <w:sz w:val="24"/>
        </w:rPr>
        <w:t>系指将要进行货物安装和运转的地点。</w:t>
      </w:r>
    </w:p>
    <w:p>
      <w:pPr>
        <w:pStyle w:val="23"/>
        <w:spacing w:line="400" w:lineRule="atLeast"/>
        <w:rPr>
          <w:rFonts w:ascii="Arial" w:hAnsi="Arial" w:cs="Arial"/>
          <w:sz w:val="24"/>
        </w:rPr>
      </w:pPr>
      <w:r>
        <w:rPr>
          <w:rFonts w:ascii="Arial" w:hAnsi="Arial" w:cs="Arial"/>
          <w:sz w:val="24"/>
        </w:rPr>
        <w:t xml:space="preserve"> 1.8“</w:t>
      </w:r>
      <w:r>
        <w:rPr>
          <w:rFonts w:hint="eastAsia" w:ascii="Arial" w:hAnsi="Arial" w:cs="Arial"/>
          <w:sz w:val="24"/>
        </w:rPr>
        <w:t>验收</w:t>
      </w:r>
      <w:r>
        <w:rPr>
          <w:rFonts w:ascii="Arial" w:hAnsi="Arial" w:cs="Arial"/>
          <w:sz w:val="24"/>
        </w:rPr>
        <w:t>”</w:t>
      </w:r>
      <w:r>
        <w:rPr>
          <w:rFonts w:hint="eastAsia" w:ascii="Arial" w:hAnsi="Arial" w:cs="Arial"/>
          <w:sz w:val="24"/>
        </w:rPr>
        <w:t>系指买方依据技术规格规定接受合同货物所依据的程序和条件。</w:t>
      </w:r>
    </w:p>
    <w:p>
      <w:pPr>
        <w:pStyle w:val="23"/>
        <w:spacing w:line="400" w:lineRule="atLeast"/>
        <w:rPr>
          <w:rFonts w:ascii="Arial" w:hAnsi="Arial" w:cs="Arial"/>
          <w:sz w:val="24"/>
        </w:rPr>
      </w:pPr>
      <w:r>
        <w:rPr>
          <w:rFonts w:ascii="Arial" w:hAnsi="Arial" w:cs="Arial"/>
          <w:sz w:val="24"/>
        </w:rPr>
        <w:t>2</w:t>
      </w:r>
      <w:r>
        <w:rPr>
          <w:rFonts w:hint="eastAsia" w:ascii="Arial" w:hAnsi="Arial" w:cs="Arial"/>
          <w:sz w:val="24"/>
        </w:rPr>
        <w:t>．适用范围</w:t>
      </w:r>
    </w:p>
    <w:p>
      <w:pPr>
        <w:pStyle w:val="23"/>
        <w:spacing w:line="400" w:lineRule="atLeast"/>
        <w:rPr>
          <w:rFonts w:ascii="Arial" w:hAnsi="Arial" w:cs="Arial"/>
          <w:sz w:val="24"/>
        </w:rPr>
      </w:pPr>
      <w:r>
        <w:rPr>
          <w:rFonts w:ascii="Arial" w:hAnsi="Arial" w:cs="Arial"/>
          <w:sz w:val="24"/>
        </w:rPr>
        <w:t xml:space="preserve"> 2.1</w:t>
      </w:r>
      <w:r>
        <w:rPr>
          <w:rFonts w:hint="eastAsia" w:ascii="Arial" w:hAnsi="Arial" w:cs="Arial"/>
          <w:sz w:val="24"/>
        </w:rPr>
        <w:t>本合同条款适用于本次招标活动。</w:t>
      </w:r>
    </w:p>
    <w:p>
      <w:pPr>
        <w:pStyle w:val="23"/>
        <w:spacing w:line="400" w:lineRule="atLeast"/>
        <w:rPr>
          <w:rFonts w:ascii="Arial" w:hAnsi="Arial" w:cs="Arial"/>
          <w:sz w:val="24"/>
        </w:rPr>
      </w:pPr>
      <w:r>
        <w:rPr>
          <w:rFonts w:ascii="Arial" w:hAnsi="Arial" w:cs="Arial"/>
          <w:sz w:val="24"/>
        </w:rPr>
        <w:t>3</w:t>
      </w:r>
      <w:r>
        <w:rPr>
          <w:rFonts w:hint="eastAsia" w:ascii="Arial" w:hAnsi="Arial" w:cs="Arial"/>
          <w:sz w:val="24"/>
        </w:rPr>
        <w:t>．原产地</w:t>
      </w:r>
    </w:p>
    <w:p>
      <w:pPr>
        <w:pStyle w:val="23"/>
        <w:spacing w:line="400" w:lineRule="atLeast"/>
        <w:rPr>
          <w:rFonts w:ascii="Arial" w:hAnsi="Arial" w:cs="Arial"/>
          <w:sz w:val="24"/>
        </w:rPr>
      </w:pPr>
      <w:r>
        <w:rPr>
          <w:rFonts w:ascii="Arial" w:hAnsi="Arial" w:cs="Arial"/>
          <w:sz w:val="24"/>
        </w:rPr>
        <w:t xml:space="preserve"> 3.1</w:t>
      </w:r>
      <w:r>
        <w:rPr>
          <w:rFonts w:hint="eastAsia" w:ascii="Arial" w:hAnsi="Arial" w:cs="Arial"/>
          <w:sz w:val="24"/>
        </w:rPr>
        <w:t>原产地系指货物的生产地，或提供辅助服务的来源地。</w:t>
      </w:r>
    </w:p>
    <w:p>
      <w:pPr>
        <w:pStyle w:val="23"/>
        <w:spacing w:line="400" w:lineRule="atLeast"/>
        <w:rPr>
          <w:rFonts w:ascii="Arial" w:hAnsi="Arial" w:cs="Arial"/>
          <w:sz w:val="24"/>
        </w:rPr>
      </w:pPr>
      <w:r>
        <w:rPr>
          <w:rFonts w:ascii="Arial" w:hAnsi="Arial" w:cs="Arial"/>
          <w:sz w:val="24"/>
        </w:rPr>
        <w:t>4</w:t>
      </w:r>
      <w:r>
        <w:rPr>
          <w:rFonts w:hint="eastAsia" w:ascii="Arial" w:hAnsi="Arial" w:cs="Arial"/>
          <w:sz w:val="24"/>
        </w:rPr>
        <w:t>．技术规格和标准</w:t>
      </w:r>
    </w:p>
    <w:p>
      <w:pPr>
        <w:pStyle w:val="23"/>
        <w:spacing w:line="400" w:lineRule="atLeast"/>
        <w:rPr>
          <w:rFonts w:ascii="Arial" w:hAnsi="Arial" w:cs="Arial"/>
          <w:sz w:val="24"/>
        </w:rPr>
      </w:pPr>
      <w:r>
        <w:rPr>
          <w:rFonts w:ascii="Arial" w:hAnsi="Arial" w:cs="Arial"/>
          <w:sz w:val="24"/>
        </w:rPr>
        <w:t xml:space="preserve"> 4.1</w:t>
      </w:r>
      <w:r>
        <w:rPr>
          <w:rFonts w:hint="eastAsia" w:ascii="Arial" w:hAnsi="Arial" w:cs="Arial"/>
          <w:sz w:val="24"/>
        </w:rPr>
        <w:t>本合同项下所供货物的技术规格应与本采购文件技术规格规定的标准相一致。若技术规格中无相应规定，货物则应符合相应的国家标准或有关权威部门最新颁布的相应的正式标准。</w:t>
      </w:r>
    </w:p>
    <w:p>
      <w:pPr>
        <w:pStyle w:val="23"/>
        <w:spacing w:line="400" w:lineRule="atLeast"/>
        <w:rPr>
          <w:rFonts w:ascii="Arial" w:hAnsi="Arial" w:cs="Arial"/>
          <w:sz w:val="24"/>
        </w:rPr>
      </w:pPr>
      <w:r>
        <w:rPr>
          <w:rFonts w:ascii="Arial" w:hAnsi="Arial" w:cs="Arial"/>
          <w:sz w:val="24"/>
        </w:rPr>
        <w:t>5</w:t>
      </w:r>
      <w:r>
        <w:rPr>
          <w:rFonts w:hint="eastAsia" w:ascii="Arial" w:hAnsi="Arial" w:cs="Arial"/>
          <w:sz w:val="24"/>
        </w:rPr>
        <w:t>．专利权</w:t>
      </w:r>
    </w:p>
    <w:p>
      <w:pPr>
        <w:pStyle w:val="23"/>
        <w:spacing w:line="400" w:lineRule="atLeast"/>
        <w:rPr>
          <w:rFonts w:ascii="Arial" w:hAnsi="Arial" w:cs="Arial"/>
          <w:sz w:val="24"/>
        </w:rPr>
      </w:pPr>
      <w:r>
        <w:rPr>
          <w:rFonts w:ascii="Arial" w:hAnsi="Arial" w:cs="Arial"/>
          <w:sz w:val="24"/>
        </w:rPr>
        <w:t xml:space="preserve"> 5.1</w:t>
      </w:r>
      <w:r>
        <w:rPr>
          <w:rFonts w:hint="eastAsia" w:ascii="Arial" w:hAnsi="Arial" w:cs="Arial"/>
          <w:sz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3"/>
        <w:spacing w:line="400" w:lineRule="atLeast"/>
        <w:rPr>
          <w:rFonts w:ascii="Arial" w:hAnsi="Arial" w:cs="Arial"/>
          <w:sz w:val="24"/>
        </w:rPr>
      </w:pPr>
      <w:r>
        <w:rPr>
          <w:rFonts w:ascii="Arial" w:hAnsi="Arial" w:cs="Arial"/>
          <w:sz w:val="24"/>
        </w:rPr>
        <w:t>6</w:t>
      </w:r>
      <w:r>
        <w:rPr>
          <w:rFonts w:hint="eastAsia" w:ascii="Arial" w:hAnsi="Arial" w:cs="Arial"/>
          <w:sz w:val="24"/>
        </w:rPr>
        <w:t>．包装</w:t>
      </w:r>
    </w:p>
    <w:p>
      <w:pPr>
        <w:pStyle w:val="23"/>
        <w:spacing w:line="400" w:lineRule="atLeast"/>
        <w:rPr>
          <w:rFonts w:ascii="Arial" w:hAnsi="Arial" w:cs="Arial"/>
          <w:sz w:val="24"/>
        </w:rPr>
      </w:pPr>
      <w:r>
        <w:rPr>
          <w:rFonts w:ascii="Arial" w:hAnsi="Arial" w:cs="Arial"/>
          <w:sz w:val="24"/>
        </w:rPr>
        <w:t xml:space="preserve"> 6.1</w:t>
      </w:r>
      <w:r>
        <w:rPr>
          <w:rFonts w:hint="eastAsia" w:ascii="Arial" w:hAnsi="Arial" w:cs="Arial"/>
          <w:sz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3"/>
        <w:spacing w:line="400" w:lineRule="atLeast"/>
        <w:rPr>
          <w:rFonts w:ascii="Arial" w:hAnsi="Arial" w:cs="Arial"/>
          <w:sz w:val="24"/>
        </w:rPr>
      </w:pPr>
      <w:r>
        <w:rPr>
          <w:rFonts w:ascii="Arial" w:hAnsi="Arial" w:cs="Arial"/>
          <w:sz w:val="24"/>
        </w:rPr>
        <w:t xml:space="preserve"> 6.2</w:t>
      </w:r>
      <w:r>
        <w:rPr>
          <w:rFonts w:hint="eastAsia" w:ascii="Arial" w:hAnsi="Arial" w:cs="Arial"/>
          <w:sz w:val="24"/>
        </w:rPr>
        <w:t>每件包装应附有详细装箱单和质量证书各两套，一套在包装箱里，一套在包装箱外。</w:t>
      </w:r>
    </w:p>
    <w:p>
      <w:pPr>
        <w:pStyle w:val="23"/>
        <w:spacing w:line="400" w:lineRule="atLeast"/>
        <w:rPr>
          <w:rFonts w:ascii="Arial" w:hAnsi="Arial" w:cs="Arial"/>
          <w:sz w:val="24"/>
        </w:rPr>
      </w:pPr>
      <w:r>
        <w:rPr>
          <w:rFonts w:ascii="Arial" w:hAnsi="Arial" w:cs="Arial"/>
          <w:sz w:val="24"/>
        </w:rPr>
        <w:t>7</w:t>
      </w:r>
      <w:r>
        <w:rPr>
          <w:rFonts w:hint="eastAsia" w:ascii="Arial" w:hAnsi="Arial" w:cs="Arial"/>
          <w:sz w:val="24"/>
        </w:rPr>
        <w:t>．运输标记</w:t>
      </w:r>
    </w:p>
    <w:p>
      <w:pPr>
        <w:pStyle w:val="23"/>
        <w:spacing w:line="400" w:lineRule="atLeast"/>
        <w:rPr>
          <w:rFonts w:ascii="Arial" w:hAnsi="Arial" w:cs="Arial"/>
          <w:sz w:val="24"/>
        </w:rPr>
      </w:pPr>
      <w:r>
        <w:rPr>
          <w:rFonts w:ascii="Arial" w:hAnsi="Arial" w:cs="Arial"/>
          <w:sz w:val="24"/>
        </w:rPr>
        <w:t xml:space="preserve"> 7.1</w:t>
      </w:r>
      <w:r>
        <w:rPr>
          <w:rFonts w:hint="eastAsia" w:ascii="Arial" w:hAnsi="Arial" w:cs="Arial"/>
          <w:sz w:val="24"/>
        </w:rPr>
        <w:t>卖方应在每一包装箱邻接的四个侧面用不易褪色的油漆以醒目的中文印刷字体标明以下各项：</w:t>
      </w:r>
    </w:p>
    <w:p>
      <w:pPr>
        <w:pStyle w:val="23"/>
        <w:spacing w:line="400" w:lineRule="atLeast"/>
        <w:rPr>
          <w:rFonts w:ascii="Arial" w:hAnsi="Arial" w:cs="Arial"/>
          <w:sz w:val="24"/>
        </w:rPr>
      </w:pPr>
      <w:r>
        <w:rPr>
          <w:rFonts w:ascii="Arial" w:hAnsi="Arial" w:cs="Arial"/>
          <w:sz w:val="24"/>
        </w:rPr>
        <w:t xml:space="preserve">  (1)</w:t>
      </w:r>
      <w:r>
        <w:rPr>
          <w:rFonts w:hint="eastAsia" w:ascii="Arial" w:hAnsi="Arial" w:cs="Arial"/>
          <w:sz w:val="24"/>
        </w:rPr>
        <w:t>收货人</w:t>
      </w:r>
    </w:p>
    <w:p>
      <w:pPr>
        <w:pStyle w:val="23"/>
        <w:spacing w:line="400" w:lineRule="atLeast"/>
        <w:rPr>
          <w:rFonts w:ascii="Arial" w:hAnsi="Arial" w:cs="Arial"/>
          <w:sz w:val="24"/>
        </w:rPr>
      </w:pPr>
      <w:r>
        <w:rPr>
          <w:rFonts w:ascii="Arial" w:hAnsi="Arial" w:cs="Arial"/>
          <w:sz w:val="24"/>
        </w:rPr>
        <w:t xml:space="preserve">  (2)</w:t>
      </w:r>
      <w:r>
        <w:rPr>
          <w:rFonts w:hint="eastAsia" w:ascii="Arial" w:hAnsi="Arial" w:cs="Arial"/>
          <w:sz w:val="24"/>
        </w:rPr>
        <w:t>合同号</w:t>
      </w:r>
    </w:p>
    <w:p>
      <w:pPr>
        <w:pStyle w:val="23"/>
        <w:spacing w:line="400" w:lineRule="atLeast"/>
        <w:rPr>
          <w:rFonts w:ascii="Arial" w:hAnsi="Arial" w:cs="Arial"/>
          <w:sz w:val="24"/>
        </w:rPr>
      </w:pPr>
      <w:r>
        <w:rPr>
          <w:rFonts w:ascii="Arial" w:hAnsi="Arial" w:cs="Arial"/>
          <w:sz w:val="24"/>
        </w:rPr>
        <w:t xml:space="preserve">  (3)</w:t>
      </w:r>
      <w:r>
        <w:rPr>
          <w:rFonts w:hint="eastAsia" w:ascii="Arial" w:hAnsi="Arial" w:cs="Arial"/>
          <w:sz w:val="24"/>
        </w:rPr>
        <w:t>收货人代号</w:t>
      </w:r>
    </w:p>
    <w:p>
      <w:pPr>
        <w:pStyle w:val="23"/>
        <w:spacing w:line="400" w:lineRule="atLeast"/>
        <w:ind w:firstLine="240" w:firstLineChars="100"/>
        <w:rPr>
          <w:rFonts w:ascii="Arial" w:hAnsi="Arial" w:cs="Arial"/>
          <w:sz w:val="24"/>
        </w:rPr>
      </w:pPr>
      <w:r>
        <w:rPr>
          <w:rFonts w:ascii="Arial" w:hAnsi="Arial" w:cs="Arial"/>
          <w:sz w:val="24"/>
        </w:rPr>
        <w:t>(4)</w:t>
      </w:r>
      <w:r>
        <w:rPr>
          <w:rFonts w:hint="eastAsia" w:ascii="Arial" w:hAnsi="Arial" w:cs="Arial"/>
          <w:sz w:val="24"/>
        </w:rPr>
        <w:t>发货单位</w:t>
      </w:r>
    </w:p>
    <w:p>
      <w:pPr>
        <w:pStyle w:val="23"/>
        <w:spacing w:line="400" w:lineRule="atLeast"/>
        <w:ind w:firstLine="240" w:firstLineChars="100"/>
        <w:rPr>
          <w:rFonts w:ascii="Arial" w:hAnsi="Arial" w:cs="Arial"/>
          <w:sz w:val="24"/>
        </w:rPr>
      </w:pPr>
      <w:r>
        <w:rPr>
          <w:rFonts w:ascii="Arial" w:hAnsi="Arial" w:cs="Arial"/>
          <w:sz w:val="24"/>
        </w:rPr>
        <w:t>(5)</w:t>
      </w:r>
      <w:r>
        <w:rPr>
          <w:rFonts w:hint="eastAsia" w:ascii="Arial" w:hAnsi="Arial" w:cs="Arial"/>
          <w:sz w:val="24"/>
        </w:rPr>
        <w:t>目的地</w:t>
      </w:r>
    </w:p>
    <w:p>
      <w:pPr>
        <w:pStyle w:val="23"/>
        <w:spacing w:line="400" w:lineRule="atLeast"/>
        <w:rPr>
          <w:rFonts w:ascii="Arial" w:hAnsi="Arial" w:cs="Arial"/>
          <w:sz w:val="24"/>
        </w:rPr>
      </w:pPr>
      <w:r>
        <w:rPr>
          <w:rFonts w:ascii="Arial" w:hAnsi="Arial" w:cs="Arial"/>
          <w:sz w:val="24"/>
        </w:rPr>
        <w:t xml:space="preserve">  (6)</w:t>
      </w:r>
      <w:r>
        <w:rPr>
          <w:rFonts w:hint="eastAsia" w:ascii="Arial" w:hAnsi="Arial" w:cs="Arial"/>
          <w:sz w:val="24"/>
        </w:rPr>
        <w:t>货物的名称、品目号、箱号</w:t>
      </w:r>
    </w:p>
    <w:p>
      <w:pPr>
        <w:pStyle w:val="23"/>
        <w:spacing w:line="400" w:lineRule="atLeast"/>
        <w:rPr>
          <w:rFonts w:ascii="Arial" w:hAnsi="Arial" w:cs="Arial"/>
          <w:sz w:val="24"/>
        </w:rPr>
      </w:pPr>
      <w:r>
        <w:rPr>
          <w:rFonts w:ascii="Arial" w:hAnsi="Arial" w:cs="Arial"/>
          <w:sz w:val="24"/>
        </w:rPr>
        <w:t xml:space="preserve">  (7)</w:t>
      </w:r>
      <w:r>
        <w:rPr>
          <w:rFonts w:hint="eastAsia" w:ascii="Arial" w:hAnsi="Arial" w:cs="Arial"/>
          <w:sz w:val="24"/>
        </w:rPr>
        <w:t>出厂或装箱日期</w:t>
      </w:r>
    </w:p>
    <w:p>
      <w:pPr>
        <w:pStyle w:val="23"/>
        <w:spacing w:line="400" w:lineRule="atLeast"/>
        <w:rPr>
          <w:rFonts w:ascii="Arial" w:hAnsi="Arial" w:cs="Arial"/>
          <w:sz w:val="24"/>
        </w:rPr>
      </w:pPr>
      <w:r>
        <w:rPr>
          <w:rFonts w:ascii="Arial" w:hAnsi="Arial" w:cs="Arial"/>
          <w:sz w:val="24"/>
        </w:rPr>
        <w:t xml:space="preserve">  (8)</w:t>
      </w:r>
      <w:r>
        <w:rPr>
          <w:rFonts w:hint="eastAsia" w:ascii="Arial" w:hAnsi="Arial" w:cs="Arial"/>
          <w:sz w:val="24"/>
        </w:rPr>
        <w:t>毛重／净重</w:t>
      </w:r>
      <w:r>
        <w:rPr>
          <w:rFonts w:ascii="Arial" w:hAnsi="Arial" w:cs="Arial"/>
          <w:sz w:val="24"/>
        </w:rPr>
        <w:t>(</w:t>
      </w:r>
      <w:r>
        <w:rPr>
          <w:rFonts w:hint="eastAsia" w:ascii="Arial" w:hAnsi="Arial" w:cs="Arial"/>
          <w:sz w:val="24"/>
        </w:rPr>
        <w:t>公斤</w:t>
      </w:r>
      <w:r>
        <w:rPr>
          <w:rFonts w:ascii="Arial" w:hAnsi="Arial" w:cs="Arial"/>
          <w:sz w:val="24"/>
        </w:rPr>
        <w:t>)</w:t>
      </w:r>
    </w:p>
    <w:p>
      <w:pPr>
        <w:pStyle w:val="23"/>
        <w:spacing w:line="400" w:lineRule="atLeast"/>
        <w:rPr>
          <w:rFonts w:ascii="Arial" w:hAnsi="Arial" w:cs="Arial"/>
          <w:sz w:val="24"/>
        </w:rPr>
      </w:pPr>
      <w:r>
        <w:rPr>
          <w:rFonts w:ascii="Arial" w:hAnsi="Arial" w:cs="Arial"/>
          <w:sz w:val="24"/>
        </w:rPr>
        <w:t xml:space="preserve">  (9)</w:t>
      </w:r>
      <w:r>
        <w:rPr>
          <w:rFonts w:hint="eastAsia" w:ascii="Arial" w:hAnsi="Arial" w:cs="Arial"/>
          <w:sz w:val="24"/>
        </w:rPr>
        <w:t>尺寸</w:t>
      </w:r>
      <w:r>
        <w:rPr>
          <w:rFonts w:ascii="Arial" w:hAnsi="Arial" w:cs="Arial"/>
          <w:sz w:val="24"/>
        </w:rPr>
        <w:t>(</w:t>
      </w:r>
      <w:r>
        <w:rPr>
          <w:rFonts w:hint="eastAsia" w:ascii="Arial" w:hAnsi="Arial" w:cs="Arial"/>
          <w:sz w:val="24"/>
        </w:rPr>
        <w:t>长</w:t>
      </w:r>
      <w:r>
        <w:rPr>
          <w:rFonts w:ascii="Arial" w:hAnsi="Arial" w:cs="Arial"/>
          <w:sz w:val="24"/>
        </w:rPr>
        <w:t>x</w:t>
      </w:r>
      <w:r>
        <w:rPr>
          <w:rFonts w:hint="eastAsia" w:ascii="Arial" w:hAnsi="Arial" w:cs="Arial"/>
          <w:sz w:val="24"/>
        </w:rPr>
        <w:t>宽</w:t>
      </w:r>
      <w:r>
        <w:rPr>
          <w:rFonts w:ascii="Arial" w:hAnsi="Arial" w:cs="Arial"/>
          <w:sz w:val="24"/>
        </w:rPr>
        <w:t>x</w:t>
      </w:r>
      <w:r>
        <w:rPr>
          <w:rFonts w:hint="eastAsia" w:ascii="Arial" w:hAnsi="Arial" w:cs="Arial"/>
          <w:sz w:val="24"/>
        </w:rPr>
        <w:t>高，以厘米计</w:t>
      </w:r>
      <w:r>
        <w:rPr>
          <w:rFonts w:ascii="Arial" w:hAnsi="Arial" w:cs="Arial"/>
          <w:sz w:val="24"/>
        </w:rPr>
        <w:t>)</w:t>
      </w:r>
    </w:p>
    <w:p>
      <w:pPr>
        <w:pStyle w:val="23"/>
        <w:spacing w:line="400" w:lineRule="atLeast"/>
        <w:rPr>
          <w:rFonts w:ascii="Arial" w:hAnsi="Arial" w:cs="Arial"/>
          <w:sz w:val="24"/>
        </w:rPr>
      </w:pPr>
      <w:r>
        <w:rPr>
          <w:rFonts w:ascii="Arial" w:hAnsi="Arial" w:cs="Arial"/>
          <w:sz w:val="24"/>
        </w:rPr>
        <w:t xml:space="preserve"> 7.2</w:t>
      </w:r>
      <w:r>
        <w:rPr>
          <w:rFonts w:hint="eastAsia" w:ascii="Arial" w:hAnsi="Arial" w:cs="Arial"/>
          <w:sz w:val="24"/>
        </w:rPr>
        <w:t>凡重达两吨以上的包装，卖方应在每件包装箱的两侧用标志标明</w:t>
      </w:r>
      <w:r>
        <w:rPr>
          <w:rFonts w:ascii="Arial" w:hAnsi="Arial" w:cs="Arial"/>
          <w:sz w:val="24"/>
        </w:rPr>
        <w:t>“</w:t>
      </w:r>
      <w:r>
        <w:rPr>
          <w:rFonts w:hint="eastAsia" w:ascii="Arial" w:hAnsi="Arial" w:cs="Arial"/>
          <w:sz w:val="24"/>
        </w:rPr>
        <w:t>重心</w:t>
      </w:r>
      <w:r>
        <w:rPr>
          <w:rFonts w:ascii="Arial" w:hAnsi="Arial" w:cs="Arial"/>
          <w:sz w:val="24"/>
        </w:rPr>
        <w:t>”</w:t>
      </w:r>
      <w:r>
        <w:rPr>
          <w:rFonts w:hint="eastAsia" w:ascii="Arial" w:hAnsi="Arial" w:cs="Arial"/>
          <w:sz w:val="24"/>
        </w:rPr>
        <w:t>和</w:t>
      </w:r>
      <w:r>
        <w:rPr>
          <w:rFonts w:ascii="Arial" w:hAnsi="Arial" w:cs="Arial"/>
          <w:sz w:val="24"/>
        </w:rPr>
        <w:t>“</w:t>
      </w:r>
      <w:r>
        <w:rPr>
          <w:rFonts w:hint="eastAsia" w:ascii="Arial" w:hAnsi="Arial" w:cs="Arial"/>
          <w:sz w:val="24"/>
        </w:rPr>
        <w:t>吊装点</w:t>
      </w:r>
      <w:r>
        <w:rPr>
          <w:rFonts w:ascii="Arial" w:hAnsi="Arial" w:cs="Arial"/>
          <w:sz w:val="24"/>
        </w:rPr>
        <w:t>”</w:t>
      </w:r>
      <w:r>
        <w:rPr>
          <w:rFonts w:hint="eastAsia" w:ascii="Arial" w:hAnsi="Arial" w:cs="Arial"/>
          <w:sz w:val="24"/>
        </w:rPr>
        <w:t>，并根据货物的特点和运输的不同要求，以清晰字样在包装上注明</w:t>
      </w:r>
      <w:r>
        <w:rPr>
          <w:rFonts w:ascii="Arial" w:hAnsi="Arial" w:cs="Arial"/>
          <w:sz w:val="24"/>
        </w:rPr>
        <w:t>“</w:t>
      </w:r>
      <w:r>
        <w:rPr>
          <w:rFonts w:hint="eastAsia" w:ascii="Arial" w:hAnsi="Arial" w:cs="Arial"/>
          <w:sz w:val="24"/>
        </w:rPr>
        <w:t>小心轻放</w:t>
      </w:r>
      <w:r>
        <w:rPr>
          <w:rFonts w:ascii="Arial" w:hAnsi="Arial" w:cs="Arial"/>
          <w:sz w:val="24"/>
        </w:rPr>
        <w:t>”</w:t>
      </w:r>
      <w:r>
        <w:rPr>
          <w:rFonts w:hint="eastAsia" w:ascii="Arial" w:hAnsi="Arial" w:cs="Arial"/>
          <w:sz w:val="24"/>
        </w:rPr>
        <w:t>、</w:t>
      </w:r>
      <w:r>
        <w:rPr>
          <w:rFonts w:ascii="Arial" w:hAnsi="Arial" w:cs="Arial"/>
          <w:sz w:val="24"/>
        </w:rPr>
        <w:t>“</w:t>
      </w:r>
      <w:r>
        <w:rPr>
          <w:rFonts w:hint="eastAsia" w:ascii="Arial" w:hAnsi="Arial" w:cs="Arial"/>
          <w:sz w:val="24"/>
        </w:rPr>
        <w:t>勿倒置</w:t>
      </w:r>
      <w:r>
        <w:rPr>
          <w:rFonts w:ascii="Arial" w:hAnsi="Arial" w:cs="Arial"/>
          <w:sz w:val="24"/>
        </w:rPr>
        <w:t>”</w:t>
      </w:r>
      <w:r>
        <w:rPr>
          <w:rFonts w:hint="eastAsia" w:ascii="Arial" w:hAnsi="Arial" w:cs="Arial"/>
          <w:sz w:val="24"/>
        </w:rPr>
        <w:t>、</w:t>
      </w:r>
      <w:r>
        <w:rPr>
          <w:rFonts w:ascii="Arial" w:hAnsi="Arial" w:cs="Arial"/>
          <w:sz w:val="24"/>
        </w:rPr>
        <w:t>“</w:t>
      </w:r>
      <w:r>
        <w:rPr>
          <w:rFonts w:hint="eastAsia" w:ascii="Arial" w:hAnsi="Arial" w:cs="Arial"/>
          <w:sz w:val="24"/>
        </w:rPr>
        <w:t>防潮</w:t>
      </w:r>
      <w:r>
        <w:rPr>
          <w:rFonts w:ascii="Arial" w:hAnsi="Arial" w:cs="Arial"/>
          <w:sz w:val="24"/>
        </w:rPr>
        <w:t>”</w:t>
      </w:r>
      <w:r>
        <w:rPr>
          <w:rFonts w:hint="eastAsia" w:ascii="Arial" w:hAnsi="Arial" w:cs="Arial"/>
          <w:sz w:val="24"/>
        </w:rPr>
        <w:t>等适当的标志，以便装卸和搬运。</w:t>
      </w:r>
    </w:p>
    <w:p>
      <w:pPr>
        <w:pStyle w:val="23"/>
        <w:spacing w:line="400" w:lineRule="atLeast"/>
        <w:rPr>
          <w:rFonts w:ascii="Arial" w:hAnsi="Arial" w:cs="Arial"/>
          <w:sz w:val="24"/>
        </w:rPr>
      </w:pPr>
      <w:r>
        <w:rPr>
          <w:rFonts w:ascii="Arial" w:hAnsi="Arial" w:cs="Arial"/>
          <w:sz w:val="24"/>
        </w:rPr>
        <w:t>8.</w:t>
      </w:r>
      <w:r>
        <w:rPr>
          <w:rFonts w:hint="eastAsia" w:ascii="Arial" w:hAnsi="Arial" w:cs="Arial"/>
          <w:sz w:val="24"/>
        </w:rPr>
        <w:t>卖方的交货价合同</w:t>
      </w:r>
    </w:p>
    <w:p>
      <w:pPr>
        <w:pStyle w:val="23"/>
        <w:spacing w:line="400" w:lineRule="atLeast"/>
        <w:rPr>
          <w:rFonts w:ascii="Arial" w:hAnsi="Arial" w:cs="Arial"/>
          <w:sz w:val="24"/>
        </w:rPr>
      </w:pPr>
      <w:r>
        <w:rPr>
          <w:rFonts w:ascii="Arial" w:hAnsi="Arial" w:cs="Arial"/>
          <w:sz w:val="24"/>
        </w:rPr>
        <w:t xml:space="preserve"> 8.1</w:t>
      </w:r>
      <w:r>
        <w:rPr>
          <w:rFonts w:hint="eastAsia" w:ascii="Arial" w:hAnsi="Arial" w:cs="Arial"/>
          <w:sz w:val="24"/>
        </w:rPr>
        <w:t>卖方应在合同规定的工期前</w:t>
      </w:r>
      <w:r>
        <w:rPr>
          <w:rFonts w:ascii="Arial" w:hAnsi="Arial" w:cs="Arial"/>
          <w:sz w:val="24"/>
        </w:rPr>
        <w:t>6</w:t>
      </w:r>
      <w:r>
        <w:rPr>
          <w:rFonts w:hint="eastAsia" w:ascii="Arial" w:hAnsi="Arial" w:cs="Arial"/>
          <w:sz w:val="24"/>
        </w:rPr>
        <w:t>天以电报、传真或电传通知买方合同号、货物名称、数量、包装件数、总毛重、总体积</w:t>
      </w:r>
      <w:r>
        <w:rPr>
          <w:rFonts w:ascii="Arial" w:hAnsi="Arial" w:cs="Arial"/>
          <w:sz w:val="24"/>
        </w:rPr>
        <w:t>(</w:t>
      </w:r>
      <w:r>
        <w:rPr>
          <w:rFonts w:hint="eastAsia" w:ascii="Arial" w:hAnsi="Arial" w:cs="Arial"/>
          <w:sz w:val="24"/>
        </w:rPr>
        <w:t>立方米</w:t>
      </w:r>
      <w:r>
        <w:rPr>
          <w:rFonts w:ascii="Arial" w:hAnsi="Arial" w:cs="Arial"/>
          <w:sz w:val="24"/>
        </w:rPr>
        <w:t>)</w:t>
      </w:r>
      <w:r>
        <w:rPr>
          <w:rFonts w:hint="eastAsia" w:ascii="Arial" w:hAnsi="Arial" w:cs="Arial"/>
          <w:sz w:val="24"/>
        </w:rPr>
        <w:t>和备妥待运日期。同时，卖方应以挂号信寄给买方详细交货清单一式五份，包括合同号、货物名称、规格、数量、总毛重、总体积</w:t>
      </w:r>
      <w:r>
        <w:rPr>
          <w:rFonts w:ascii="Arial" w:hAnsi="Arial" w:cs="Arial"/>
          <w:sz w:val="24"/>
        </w:rPr>
        <w:t>(</w:t>
      </w:r>
      <w:r>
        <w:rPr>
          <w:rFonts w:hint="eastAsia" w:ascii="Arial" w:hAnsi="Arial" w:cs="Arial"/>
          <w:sz w:val="24"/>
        </w:rPr>
        <w:t>立方米</w:t>
      </w:r>
      <w:r>
        <w:rPr>
          <w:rFonts w:ascii="Arial" w:hAnsi="Arial" w:cs="Arial"/>
          <w:sz w:val="24"/>
        </w:rPr>
        <w:t>)</w:t>
      </w:r>
      <w:r>
        <w:rPr>
          <w:rFonts w:hint="eastAsia" w:ascii="Arial" w:hAnsi="Arial" w:cs="Arial"/>
          <w:sz w:val="24"/>
        </w:rPr>
        <w:t>和每一包装箱的尺寸</w:t>
      </w:r>
      <w:r>
        <w:rPr>
          <w:rFonts w:ascii="Arial" w:hAnsi="Arial" w:cs="Arial"/>
          <w:sz w:val="24"/>
        </w:rPr>
        <w:t>(</w:t>
      </w:r>
      <w:r>
        <w:rPr>
          <w:rFonts w:hint="eastAsia" w:ascii="Arial" w:hAnsi="Arial" w:cs="Arial"/>
          <w:sz w:val="24"/>
        </w:rPr>
        <w:t>长</w:t>
      </w:r>
      <w:r>
        <w:rPr>
          <w:rFonts w:ascii="Arial" w:hAnsi="Arial" w:cs="Arial"/>
          <w:sz w:val="24"/>
        </w:rPr>
        <w:t>x</w:t>
      </w:r>
      <w:r>
        <w:rPr>
          <w:rFonts w:hint="eastAsia" w:ascii="Arial" w:hAnsi="Arial" w:cs="Arial"/>
          <w:sz w:val="24"/>
        </w:rPr>
        <w:t>宽</w:t>
      </w:r>
      <w:r>
        <w:rPr>
          <w:rFonts w:ascii="Arial" w:hAnsi="Arial" w:cs="Arial"/>
          <w:sz w:val="24"/>
        </w:rPr>
        <w:t>x</w:t>
      </w:r>
      <w:r>
        <w:rPr>
          <w:rFonts w:hint="eastAsia" w:ascii="Arial" w:hAnsi="Arial" w:cs="Arial"/>
          <w:sz w:val="24"/>
        </w:rPr>
        <w:t>高</w:t>
      </w:r>
      <w:r>
        <w:rPr>
          <w:rFonts w:ascii="Arial" w:hAnsi="Arial" w:cs="Arial"/>
          <w:sz w:val="24"/>
        </w:rPr>
        <w:t>)</w:t>
      </w:r>
      <w:r>
        <w:rPr>
          <w:rFonts w:hint="eastAsia" w:ascii="Arial" w:hAnsi="Arial" w:cs="Arial"/>
          <w:sz w:val="24"/>
        </w:rPr>
        <w:t>、单价和总价、备妥待运日期，以及货物在运输和仓储中的特殊要求和注意事项。</w:t>
      </w:r>
    </w:p>
    <w:p>
      <w:pPr>
        <w:pStyle w:val="23"/>
        <w:spacing w:line="400" w:lineRule="atLeast"/>
        <w:rPr>
          <w:rFonts w:ascii="Arial" w:hAnsi="Arial" w:cs="Arial"/>
          <w:sz w:val="24"/>
        </w:rPr>
      </w:pPr>
      <w:r>
        <w:rPr>
          <w:rFonts w:ascii="Arial" w:hAnsi="Arial" w:cs="Arial"/>
          <w:sz w:val="24"/>
        </w:rPr>
        <w:t xml:space="preserve"> 8.2</w:t>
      </w:r>
      <w:r>
        <w:rPr>
          <w:rFonts w:hint="eastAsia" w:ascii="Arial" w:hAnsi="Arial" w:cs="Arial"/>
          <w:sz w:val="24"/>
        </w:rPr>
        <w:t>在目的地交货价合同条件下，由于卖方延误了以电报、传真或电传通知买方，由此而有可能造成的一切损失由卖方承担。</w:t>
      </w:r>
    </w:p>
    <w:p>
      <w:pPr>
        <w:pStyle w:val="23"/>
        <w:spacing w:line="400" w:lineRule="atLeast"/>
        <w:rPr>
          <w:rFonts w:ascii="Arial" w:hAnsi="Arial" w:cs="Arial"/>
          <w:sz w:val="24"/>
        </w:rPr>
      </w:pPr>
      <w:r>
        <w:rPr>
          <w:rFonts w:ascii="Arial" w:hAnsi="Arial" w:cs="Arial"/>
          <w:sz w:val="24"/>
        </w:rPr>
        <w:t xml:space="preserve"> 8.3</w:t>
      </w:r>
      <w:r>
        <w:rPr>
          <w:rFonts w:hint="eastAsia" w:ascii="Arial" w:hAnsi="Arial" w:cs="Arial"/>
          <w:sz w:val="24"/>
        </w:rPr>
        <w:t>卖方负责安排自发运地至买方现场的运输和安装、调试及技术监督部门第一次强制性检验费用，均包含在合同总价中。</w:t>
      </w:r>
    </w:p>
    <w:p>
      <w:pPr>
        <w:pStyle w:val="23"/>
        <w:spacing w:line="400" w:lineRule="atLeast"/>
        <w:rPr>
          <w:rFonts w:ascii="Arial" w:hAnsi="Arial" w:cs="Arial"/>
          <w:sz w:val="24"/>
        </w:rPr>
      </w:pPr>
      <w:r>
        <w:rPr>
          <w:rFonts w:ascii="Arial" w:hAnsi="Arial" w:cs="Arial"/>
          <w:sz w:val="24"/>
        </w:rPr>
        <w:t xml:space="preserve"> 8.4</w:t>
      </w:r>
      <w:r>
        <w:rPr>
          <w:rFonts w:hint="eastAsia" w:ascii="Arial" w:hAnsi="Arial" w:cs="Arial"/>
          <w:sz w:val="24"/>
        </w:rPr>
        <w:t>交货日期以货物到达买方现场为准。</w:t>
      </w:r>
    </w:p>
    <w:p>
      <w:pPr>
        <w:pStyle w:val="23"/>
        <w:spacing w:line="400" w:lineRule="atLeast"/>
        <w:rPr>
          <w:rFonts w:ascii="Arial" w:hAnsi="Arial" w:cs="Arial"/>
          <w:sz w:val="24"/>
        </w:rPr>
      </w:pPr>
      <w:r>
        <w:rPr>
          <w:rFonts w:ascii="Arial" w:hAnsi="Arial" w:cs="Arial"/>
          <w:sz w:val="24"/>
        </w:rPr>
        <w:t xml:space="preserve"> 8.5</w:t>
      </w:r>
      <w:r>
        <w:rPr>
          <w:rFonts w:hint="eastAsia" w:ascii="Arial" w:hAnsi="Arial" w:cs="Arial"/>
          <w:sz w:val="24"/>
        </w:rPr>
        <w:t>卖方装运的货物必须符合合同规定的货物名称、型号规格、数量或重量，否则，一切后果均由卖方承担。</w:t>
      </w:r>
    </w:p>
    <w:p>
      <w:pPr>
        <w:pStyle w:val="23"/>
        <w:spacing w:line="400" w:lineRule="atLeast"/>
        <w:rPr>
          <w:rFonts w:ascii="Arial" w:hAnsi="Arial" w:cs="Arial"/>
          <w:sz w:val="24"/>
        </w:rPr>
      </w:pPr>
      <w:r>
        <w:rPr>
          <w:rFonts w:ascii="Arial" w:hAnsi="Arial" w:cs="Arial"/>
          <w:sz w:val="24"/>
        </w:rPr>
        <w:t>9</w:t>
      </w:r>
      <w:r>
        <w:rPr>
          <w:rFonts w:hint="eastAsia" w:ascii="Arial" w:hAnsi="Arial" w:cs="Arial"/>
          <w:sz w:val="24"/>
        </w:rPr>
        <w:t>．装运通知</w:t>
      </w:r>
    </w:p>
    <w:p>
      <w:pPr>
        <w:pStyle w:val="23"/>
        <w:spacing w:line="400" w:lineRule="atLeast"/>
        <w:rPr>
          <w:rFonts w:ascii="Arial" w:hAnsi="Arial" w:cs="Arial"/>
          <w:sz w:val="24"/>
        </w:rPr>
      </w:pPr>
      <w:r>
        <w:rPr>
          <w:rFonts w:ascii="Arial" w:hAnsi="Arial" w:cs="Arial"/>
          <w:sz w:val="24"/>
        </w:rPr>
        <w:t xml:space="preserve"> 9.1</w:t>
      </w:r>
      <w:r>
        <w:rPr>
          <w:rFonts w:hint="eastAsia" w:ascii="Arial" w:hAnsi="Arial" w:cs="Arial"/>
          <w:sz w:val="24"/>
        </w:rPr>
        <w:t>卖方应在货物装运完成</w:t>
      </w:r>
      <w:r>
        <w:rPr>
          <w:rFonts w:ascii="Arial" w:hAnsi="Arial" w:cs="Arial"/>
          <w:sz w:val="24"/>
        </w:rPr>
        <w:t>24</w:t>
      </w:r>
      <w:r>
        <w:rPr>
          <w:rFonts w:hint="eastAsia" w:ascii="Arial" w:hAnsi="Arial" w:cs="Arial"/>
          <w:sz w:val="24"/>
        </w:rPr>
        <w:t>小时内以电报、传真或电传通知买方合同号、</w:t>
      </w:r>
      <w:r>
        <w:rPr>
          <w:rFonts w:ascii="Arial" w:hAnsi="Arial" w:cs="Arial"/>
          <w:sz w:val="24"/>
        </w:rPr>
        <w:t xml:space="preserve">  </w:t>
      </w:r>
      <w:r>
        <w:rPr>
          <w:rFonts w:hint="eastAsia" w:ascii="Arial" w:hAnsi="Arial" w:cs="Arial"/>
          <w:sz w:val="24"/>
        </w:rPr>
        <w:t>货物名称、数量、毛重、体积</w:t>
      </w:r>
      <w:r>
        <w:rPr>
          <w:rFonts w:ascii="Arial" w:hAnsi="Arial" w:cs="Arial"/>
          <w:sz w:val="24"/>
        </w:rPr>
        <w:t>(</w:t>
      </w:r>
      <w:r>
        <w:rPr>
          <w:rFonts w:hint="eastAsia" w:ascii="Arial" w:hAnsi="Arial" w:cs="Arial"/>
          <w:sz w:val="24"/>
        </w:rPr>
        <w:t>立方米</w:t>
      </w:r>
      <w:r>
        <w:rPr>
          <w:rFonts w:ascii="Arial" w:hAnsi="Arial" w:cs="Arial"/>
          <w:sz w:val="24"/>
        </w:rPr>
        <w:t>)</w:t>
      </w:r>
      <w:r>
        <w:rPr>
          <w:rFonts w:hint="eastAsia" w:ascii="Arial" w:hAnsi="Arial" w:cs="Arial"/>
          <w:sz w:val="24"/>
        </w:rPr>
        <w:t>、发票金额、载运车次名称和启运日期。如果包装件重量超过</w:t>
      </w:r>
      <w:r>
        <w:rPr>
          <w:rFonts w:ascii="Arial" w:hAnsi="Arial" w:cs="Arial"/>
          <w:sz w:val="24"/>
        </w:rPr>
        <w:t>20</w:t>
      </w:r>
      <w:r>
        <w:rPr>
          <w:rFonts w:hint="eastAsia" w:ascii="Arial" w:hAnsi="Arial" w:cs="Arial"/>
          <w:sz w:val="24"/>
        </w:rPr>
        <w:t>吨或尺寸达到或超过</w:t>
      </w:r>
      <w:r>
        <w:rPr>
          <w:rFonts w:ascii="Arial" w:hAnsi="Arial" w:cs="Arial"/>
          <w:sz w:val="24"/>
        </w:rPr>
        <w:t>12</w:t>
      </w:r>
      <w:r>
        <w:rPr>
          <w:rFonts w:hint="eastAsia" w:ascii="Arial" w:hAnsi="Arial" w:cs="Arial"/>
          <w:sz w:val="24"/>
        </w:rPr>
        <w:t>米长、</w:t>
      </w:r>
      <w:r>
        <w:rPr>
          <w:rFonts w:ascii="Arial" w:hAnsi="Arial" w:cs="Arial"/>
          <w:sz w:val="24"/>
        </w:rPr>
        <w:t>2.7</w:t>
      </w:r>
      <w:r>
        <w:rPr>
          <w:rFonts w:hint="eastAsia" w:ascii="Arial" w:hAnsi="Arial" w:cs="Arial"/>
          <w:sz w:val="24"/>
        </w:rPr>
        <w:t>米宽和</w:t>
      </w:r>
      <w:r>
        <w:rPr>
          <w:rFonts w:ascii="Arial" w:hAnsi="Arial" w:cs="Arial"/>
          <w:sz w:val="24"/>
        </w:rPr>
        <w:t>3</w:t>
      </w:r>
      <w:r>
        <w:rPr>
          <w:rFonts w:hint="eastAsia" w:ascii="Arial" w:hAnsi="Arial" w:cs="Arial"/>
          <w:sz w:val="24"/>
        </w:rPr>
        <w:t>米高，卖方应将其重量或尺寸通知买方。若货物中有易燃品或危险品，卖方也须将详细情况通知买方。</w:t>
      </w:r>
    </w:p>
    <w:p>
      <w:pPr>
        <w:pStyle w:val="23"/>
        <w:spacing w:line="400" w:lineRule="atLeast"/>
        <w:rPr>
          <w:rFonts w:ascii="Arial" w:hAnsi="Arial" w:cs="Arial"/>
          <w:sz w:val="24"/>
        </w:rPr>
      </w:pPr>
      <w:r>
        <w:rPr>
          <w:rFonts w:ascii="Arial" w:hAnsi="Arial" w:cs="Arial"/>
          <w:sz w:val="24"/>
        </w:rPr>
        <w:t>10</w:t>
      </w:r>
      <w:r>
        <w:rPr>
          <w:rFonts w:hint="eastAsia" w:ascii="Arial" w:hAnsi="Arial" w:cs="Arial"/>
          <w:sz w:val="24"/>
        </w:rPr>
        <w:t>．保险</w:t>
      </w:r>
    </w:p>
    <w:p>
      <w:pPr>
        <w:spacing w:line="400" w:lineRule="atLeast"/>
        <w:ind w:firstLine="101"/>
        <w:rPr>
          <w:rFonts w:ascii="Arial" w:hAnsi="Arial" w:cs="Arial"/>
          <w:sz w:val="24"/>
        </w:rPr>
      </w:pPr>
      <w:r>
        <w:rPr>
          <w:rFonts w:ascii="Arial" w:hAnsi="Arial" w:cs="Arial"/>
          <w:sz w:val="24"/>
        </w:rPr>
        <w:t>10.1</w:t>
      </w:r>
      <w:r>
        <w:rPr>
          <w:rFonts w:hint="eastAsia" w:ascii="Arial" w:hAnsi="Arial" w:cs="Arial"/>
          <w:sz w:val="24"/>
        </w:rPr>
        <w:t>在国内交货价合同条件下，由卖方在货物装运前或接到装运通知后办理保险。或由买卖双方具体商定。</w:t>
      </w:r>
    </w:p>
    <w:p>
      <w:pPr>
        <w:pStyle w:val="23"/>
        <w:spacing w:line="400" w:lineRule="atLeast"/>
        <w:rPr>
          <w:rFonts w:ascii="Arial" w:hAnsi="Arial" w:cs="Arial"/>
          <w:sz w:val="24"/>
        </w:rPr>
      </w:pPr>
      <w:r>
        <w:rPr>
          <w:rFonts w:ascii="Arial" w:hAnsi="Arial" w:cs="Arial"/>
          <w:sz w:val="24"/>
        </w:rPr>
        <w:t>11.</w:t>
      </w:r>
      <w:r>
        <w:rPr>
          <w:rFonts w:hint="eastAsia" w:ascii="Arial" w:hAnsi="Arial" w:cs="Arial"/>
          <w:sz w:val="24"/>
        </w:rPr>
        <w:t>支付</w:t>
      </w:r>
    </w:p>
    <w:p>
      <w:pPr>
        <w:pStyle w:val="23"/>
        <w:spacing w:line="400" w:lineRule="atLeast"/>
        <w:rPr>
          <w:rFonts w:ascii="Arial" w:hAnsi="Arial" w:cs="Arial"/>
          <w:sz w:val="24"/>
        </w:rPr>
      </w:pPr>
      <w:r>
        <w:rPr>
          <w:rFonts w:ascii="Arial" w:hAnsi="Arial" w:cs="Arial"/>
          <w:sz w:val="24"/>
        </w:rPr>
        <w:t xml:space="preserve"> 11.1</w:t>
      </w:r>
      <w:r>
        <w:rPr>
          <w:rFonts w:hint="eastAsia" w:ascii="Arial" w:hAnsi="Arial" w:cs="Arial"/>
          <w:sz w:val="24"/>
        </w:rPr>
        <w:t>除另有规定外，可采用下列付款之方式一种付款：</w:t>
      </w:r>
    </w:p>
    <w:p>
      <w:pPr>
        <w:pStyle w:val="23"/>
        <w:spacing w:line="400" w:lineRule="atLeast"/>
        <w:rPr>
          <w:rFonts w:ascii="Arial" w:hAnsi="Arial" w:cs="Arial"/>
          <w:sz w:val="24"/>
        </w:rPr>
      </w:pPr>
      <w:r>
        <w:rPr>
          <w:rFonts w:ascii="Arial" w:hAnsi="Arial" w:cs="Arial"/>
          <w:sz w:val="24"/>
        </w:rPr>
        <w:t xml:space="preserve">     (1)</w:t>
      </w:r>
      <w:r>
        <w:rPr>
          <w:rFonts w:hint="eastAsia" w:ascii="Arial" w:hAnsi="Arial" w:cs="Arial"/>
          <w:sz w:val="24"/>
        </w:rPr>
        <w:t>转帐支票；</w:t>
      </w:r>
    </w:p>
    <w:p>
      <w:pPr>
        <w:pStyle w:val="23"/>
        <w:spacing w:line="400" w:lineRule="atLeast"/>
        <w:rPr>
          <w:rFonts w:ascii="Arial" w:hAnsi="Arial" w:cs="Arial"/>
          <w:sz w:val="24"/>
        </w:rPr>
      </w:pPr>
      <w:r>
        <w:rPr>
          <w:rFonts w:ascii="Arial" w:hAnsi="Arial" w:cs="Arial"/>
          <w:sz w:val="24"/>
        </w:rPr>
        <w:t xml:space="preserve">     (2)</w:t>
      </w:r>
      <w:r>
        <w:rPr>
          <w:rFonts w:hint="eastAsia" w:ascii="Arial" w:hAnsi="Arial" w:cs="Arial"/>
          <w:sz w:val="24"/>
        </w:rPr>
        <w:t>电汇付款。</w:t>
      </w:r>
    </w:p>
    <w:p>
      <w:pPr>
        <w:pStyle w:val="23"/>
        <w:spacing w:line="400" w:lineRule="atLeast"/>
        <w:ind w:firstLine="240" w:firstLineChars="100"/>
        <w:rPr>
          <w:rFonts w:hint="eastAsia" w:ascii="Arial" w:hAnsi="Arial" w:cs="Arial"/>
          <w:sz w:val="24"/>
          <w:lang w:eastAsia="zh-CN"/>
        </w:rPr>
      </w:pPr>
      <w:r>
        <w:rPr>
          <w:rFonts w:ascii="Arial" w:hAnsi="Arial" w:cs="Arial"/>
          <w:sz w:val="24"/>
        </w:rPr>
        <w:t xml:space="preserve">11.2 </w:t>
      </w:r>
      <w:r>
        <w:rPr>
          <w:rFonts w:hint="eastAsia" w:ascii="Arial" w:hAnsi="Arial" w:cs="Arial"/>
          <w:sz w:val="24"/>
        </w:rPr>
        <w:t>付款方式</w:t>
      </w:r>
      <w:r>
        <w:rPr>
          <w:rFonts w:hint="eastAsia" w:ascii="Arial" w:hAnsi="Arial" w:cs="Arial"/>
          <w:sz w:val="24"/>
          <w:lang w:eastAsia="zh-CN"/>
        </w:rPr>
        <w:t>：</w:t>
      </w:r>
    </w:p>
    <w:p>
      <w:pPr>
        <w:pStyle w:val="23"/>
        <w:spacing w:line="400" w:lineRule="atLeast"/>
        <w:ind w:firstLine="240" w:firstLineChars="100"/>
        <w:rPr>
          <w:rFonts w:ascii="Arial" w:hAnsi="Arial" w:cs="Arial"/>
          <w:sz w:val="24"/>
        </w:rPr>
      </w:pPr>
      <w:r>
        <w:rPr>
          <w:rFonts w:hint="eastAsia" w:ascii="Arial" w:hAnsi="Arial" w:cs="Arial"/>
          <w:sz w:val="24"/>
        </w:rPr>
        <w:t>合同签订后支付合同总金额的30% 即</w:t>
      </w:r>
      <w:r>
        <w:rPr>
          <w:rFonts w:hint="eastAsia" w:ascii="Arial" w:hAnsi="Arial" w:cs="Arial"/>
          <w:sz w:val="24"/>
          <w:u w:val="single"/>
          <w:lang w:val="en-US" w:eastAsia="zh-CN"/>
        </w:rPr>
        <w:t xml:space="preserve">    </w:t>
      </w:r>
      <w:r>
        <w:rPr>
          <w:rFonts w:hint="eastAsia" w:ascii="Arial" w:hAnsi="Arial" w:cs="Arial"/>
          <w:sz w:val="24"/>
        </w:rPr>
        <w:t>万元。按照合同要求提供坐席服务，正常接话无问题，服务期满前1个月甲方组织进行验收。验收合格，待服务期满后支付合同总金额的70%即</w:t>
      </w:r>
      <w:r>
        <w:rPr>
          <w:rFonts w:hint="eastAsia" w:ascii="Arial" w:hAnsi="Arial" w:cs="Arial"/>
          <w:sz w:val="24"/>
          <w:u w:val="single"/>
          <w:lang w:val="en-US" w:eastAsia="zh-CN"/>
        </w:rPr>
        <w:t xml:space="preserve">    </w:t>
      </w:r>
      <w:r>
        <w:rPr>
          <w:rFonts w:hint="eastAsia" w:ascii="Arial" w:hAnsi="Arial" w:cs="Arial"/>
          <w:sz w:val="24"/>
        </w:rPr>
        <w:t>万元。</w:t>
      </w:r>
    </w:p>
    <w:p>
      <w:pPr>
        <w:pStyle w:val="23"/>
        <w:spacing w:line="400" w:lineRule="atLeast"/>
        <w:ind w:firstLine="240" w:firstLineChars="100"/>
        <w:rPr>
          <w:rFonts w:ascii="Arial" w:hAnsi="Arial" w:cs="Arial"/>
          <w:sz w:val="24"/>
        </w:rPr>
      </w:pPr>
      <w:r>
        <w:rPr>
          <w:rFonts w:ascii="Arial" w:hAnsi="Arial" w:cs="Arial"/>
          <w:sz w:val="24"/>
        </w:rPr>
        <w:t>12</w:t>
      </w:r>
      <w:r>
        <w:rPr>
          <w:rFonts w:hint="eastAsia" w:ascii="Arial" w:hAnsi="Arial" w:cs="Arial"/>
          <w:sz w:val="24"/>
        </w:rPr>
        <w:t>．技术资料</w:t>
      </w:r>
    </w:p>
    <w:p>
      <w:pPr>
        <w:pStyle w:val="23"/>
        <w:spacing w:line="400" w:lineRule="atLeast"/>
        <w:ind w:firstLine="240" w:firstLineChars="100"/>
        <w:rPr>
          <w:rFonts w:ascii="Arial" w:hAnsi="Arial" w:cs="Arial"/>
          <w:sz w:val="24"/>
        </w:rPr>
      </w:pPr>
      <w:r>
        <w:rPr>
          <w:rFonts w:ascii="Arial" w:hAnsi="Arial" w:cs="Arial"/>
          <w:sz w:val="24"/>
        </w:rPr>
        <w:t xml:space="preserve"> 12.1</w:t>
      </w:r>
      <w:r>
        <w:rPr>
          <w:rFonts w:hint="eastAsia" w:ascii="Arial" w:hAnsi="Arial" w:cs="Arial"/>
          <w:sz w:val="24"/>
        </w:rPr>
        <w:t>除采购文件的技术规范书中另有规定的外，卖方应准备与合同设备或仪器相符中文技术资料，并于合同生效后</w:t>
      </w:r>
      <w:r>
        <w:rPr>
          <w:rFonts w:ascii="Arial" w:hAnsi="Arial" w:cs="Arial"/>
          <w:sz w:val="24"/>
        </w:rPr>
        <w:t>15</w:t>
      </w:r>
      <w:r>
        <w:rPr>
          <w:rFonts w:hint="eastAsia" w:ascii="Arial" w:hAnsi="Arial" w:cs="Arial"/>
          <w:sz w:val="24"/>
        </w:rPr>
        <w:t>天内寄送到买方，例如：样本、图纸、操作手册、使用说明、维修指南或服务手册等。如本条款所述资料寄送不完整或丢失，卖方应在收到买方通知后立即免费另寄。</w:t>
      </w:r>
    </w:p>
    <w:p>
      <w:pPr>
        <w:pStyle w:val="23"/>
        <w:spacing w:line="400" w:lineRule="atLeast"/>
        <w:rPr>
          <w:rFonts w:ascii="Arial" w:hAnsi="Arial" w:cs="Arial"/>
          <w:sz w:val="24"/>
        </w:rPr>
      </w:pPr>
      <w:r>
        <w:rPr>
          <w:rFonts w:ascii="Arial" w:hAnsi="Arial" w:cs="Arial"/>
          <w:sz w:val="24"/>
        </w:rPr>
        <w:t xml:space="preserve"> 12.2</w:t>
      </w:r>
      <w:r>
        <w:rPr>
          <w:rFonts w:hint="eastAsia" w:ascii="Arial" w:hAnsi="Arial" w:cs="Arial"/>
          <w:sz w:val="24"/>
        </w:rPr>
        <w:t>上述一套完整的资料应包装好随每批货物一起发运。</w:t>
      </w:r>
    </w:p>
    <w:p>
      <w:pPr>
        <w:pStyle w:val="23"/>
        <w:spacing w:line="400" w:lineRule="atLeast"/>
        <w:rPr>
          <w:rFonts w:ascii="Arial" w:hAnsi="Arial" w:cs="Arial"/>
          <w:sz w:val="24"/>
        </w:rPr>
      </w:pPr>
      <w:r>
        <w:rPr>
          <w:rFonts w:ascii="Arial" w:hAnsi="Arial" w:cs="Arial"/>
          <w:sz w:val="24"/>
        </w:rPr>
        <w:t>13</w:t>
      </w:r>
      <w:r>
        <w:rPr>
          <w:rFonts w:hint="eastAsia" w:ascii="Arial" w:hAnsi="Arial" w:cs="Arial"/>
          <w:sz w:val="24"/>
        </w:rPr>
        <w:t>．价格</w:t>
      </w:r>
    </w:p>
    <w:p>
      <w:pPr>
        <w:pStyle w:val="23"/>
        <w:spacing w:line="400" w:lineRule="atLeast"/>
        <w:rPr>
          <w:rFonts w:ascii="Arial" w:hAnsi="Arial" w:cs="Arial"/>
          <w:sz w:val="24"/>
        </w:rPr>
      </w:pPr>
      <w:r>
        <w:rPr>
          <w:rFonts w:ascii="Arial" w:hAnsi="Arial" w:cs="Arial"/>
          <w:sz w:val="24"/>
        </w:rPr>
        <w:t xml:space="preserve"> 13.1</w:t>
      </w:r>
      <w:r>
        <w:rPr>
          <w:rFonts w:hint="eastAsia" w:ascii="Arial" w:hAnsi="Arial" w:cs="Arial"/>
          <w:sz w:val="24"/>
        </w:rPr>
        <w:t>除非合同中另有规定，卖方为其所供货物和服务而要求买方支付的金额应与其投标报价一致。</w:t>
      </w:r>
    </w:p>
    <w:p>
      <w:pPr>
        <w:pStyle w:val="23"/>
        <w:spacing w:line="400" w:lineRule="atLeast"/>
        <w:rPr>
          <w:rFonts w:ascii="Arial" w:hAnsi="Arial" w:cs="Arial"/>
          <w:sz w:val="24"/>
        </w:rPr>
      </w:pPr>
      <w:r>
        <w:rPr>
          <w:rFonts w:ascii="Arial" w:hAnsi="Arial" w:cs="Arial"/>
          <w:sz w:val="24"/>
        </w:rPr>
        <w:t>14</w:t>
      </w:r>
      <w:r>
        <w:rPr>
          <w:rFonts w:hint="eastAsia" w:ascii="Arial" w:hAnsi="Arial" w:cs="Arial"/>
          <w:sz w:val="24"/>
        </w:rPr>
        <w:t>．质量保证</w:t>
      </w:r>
    </w:p>
    <w:p>
      <w:pPr>
        <w:pStyle w:val="23"/>
        <w:spacing w:line="400" w:lineRule="atLeast"/>
        <w:rPr>
          <w:rFonts w:ascii="Arial" w:hAnsi="Arial" w:cs="Arial"/>
          <w:sz w:val="24"/>
        </w:rPr>
      </w:pPr>
      <w:r>
        <w:rPr>
          <w:rFonts w:ascii="Arial" w:hAnsi="Arial" w:cs="Arial"/>
          <w:sz w:val="24"/>
        </w:rPr>
        <w:t xml:space="preserve"> 14.1</w:t>
      </w:r>
      <w:r>
        <w:rPr>
          <w:rFonts w:hint="eastAsia" w:ascii="Arial" w:hAnsi="Arial" w:cs="Arial"/>
          <w:sz w:val="24"/>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ascii="Arial" w:hAnsi="Arial" w:cs="Arial"/>
          <w:sz w:val="24"/>
        </w:rPr>
        <w:t>10</w:t>
      </w:r>
      <w:r>
        <w:rPr>
          <w:rFonts w:hint="eastAsia" w:ascii="Arial" w:hAnsi="Arial" w:cs="Arial"/>
          <w:sz w:val="24"/>
        </w:rPr>
        <w:t>天内，免费负责修理或更换有缺陷的零部件或整机。对造成的损失买方保留索赔的权利。</w:t>
      </w:r>
    </w:p>
    <w:p>
      <w:pPr>
        <w:pStyle w:val="23"/>
        <w:spacing w:line="400" w:lineRule="atLeast"/>
        <w:rPr>
          <w:rFonts w:ascii="Arial" w:hAnsi="Arial" w:cs="Arial"/>
          <w:sz w:val="24"/>
        </w:rPr>
      </w:pPr>
      <w:r>
        <w:rPr>
          <w:rFonts w:ascii="Arial" w:hAnsi="Arial" w:cs="Arial"/>
          <w:sz w:val="24"/>
        </w:rPr>
        <w:t xml:space="preserve"> 14.2</w:t>
      </w:r>
      <w:r>
        <w:rPr>
          <w:rFonts w:hint="eastAsia" w:ascii="Arial" w:hAnsi="Arial" w:cs="Arial"/>
          <w:sz w:val="24"/>
        </w:rPr>
        <w:t>除非合同中另有规定，合同项下货物的质量保证期为货物正式验收后</w:t>
      </w:r>
      <w:r>
        <w:rPr>
          <w:rFonts w:ascii="Arial" w:hAnsi="Arial" w:cs="Arial"/>
          <w:sz w:val="24"/>
        </w:rPr>
        <w:t>12</w:t>
      </w:r>
      <w:r>
        <w:rPr>
          <w:rFonts w:hint="eastAsia" w:ascii="Arial" w:hAnsi="Arial" w:cs="Arial"/>
          <w:sz w:val="24"/>
        </w:rPr>
        <w:t>个月。</w:t>
      </w:r>
    </w:p>
    <w:p>
      <w:pPr>
        <w:pStyle w:val="23"/>
        <w:spacing w:line="400" w:lineRule="atLeast"/>
        <w:rPr>
          <w:rFonts w:ascii="Arial" w:hAnsi="Arial" w:cs="Arial"/>
          <w:sz w:val="24"/>
        </w:rPr>
      </w:pPr>
      <w:r>
        <w:rPr>
          <w:rFonts w:ascii="Arial" w:hAnsi="Arial" w:cs="Arial"/>
          <w:sz w:val="24"/>
        </w:rPr>
        <w:t>15</w:t>
      </w:r>
      <w:r>
        <w:rPr>
          <w:rFonts w:hint="eastAsia" w:ascii="Arial" w:hAnsi="Arial" w:cs="Arial"/>
          <w:sz w:val="24"/>
        </w:rPr>
        <w:t>．检验</w:t>
      </w:r>
    </w:p>
    <w:p>
      <w:pPr>
        <w:pStyle w:val="23"/>
        <w:spacing w:line="400" w:lineRule="atLeast"/>
        <w:rPr>
          <w:rFonts w:ascii="Arial" w:hAnsi="Arial" w:cs="Arial"/>
          <w:sz w:val="24"/>
        </w:rPr>
      </w:pPr>
      <w:r>
        <w:rPr>
          <w:rFonts w:ascii="Arial" w:hAnsi="Arial" w:cs="Arial"/>
          <w:sz w:val="24"/>
        </w:rPr>
        <w:t xml:space="preserve"> 15.1</w:t>
      </w:r>
      <w:r>
        <w:rPr>
          <w:rFonts w:hint="eastAsia" w:ascii="Arial" w:hAnsi="Arial" w:cs="Arial"/>
          <w:sz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3"/>
        <w:spacing w:line="400" w:lineRule="atLeast"/>
        <w:rPr>
          <w:rFonts w:ascii="Arial" w:hAnsi="Arial" w:cs="Arial"/>
          <w:sz w:val="24"/>
        </w:rPr>
      </w:pPr>
      <w:r>
        <w:rPr>
          <w:rFonts w:ascii="Arial" w:hAnsi="Arial" w:cs="Arial"/>
          <w:sz w:val="24"/>
        </w:rPr>
        <w:t xml:space="preserve"> 15.2</w:t>
      </w:r>
      <w:r>
        <w:rPr>
          <w:rFonts w:hint="eastAsia" w:ascii="Arial" w:hAnsi="Arial" w:cs="Arial"/>
          <w:sz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3"/>
        <w:spacing w:line="400" w:lineRule="atLeast"/>
        <w:rPr>
          <w:rFonts w:ascii="Arial" w:hAnsi="Arial" w:cs="Arial"/>
          <w:sz w:val="24"/>
        </w:rPr>
      </w:pPr>
      <w:r>
        <w:rPr>
          <w:rFonts w:ascii="Arial" w:hAnsi="Arial" w:cs="Arial"/>
          <w:sz w:val="24"/>
        </w:rPr>
        <w:t>16</w:t>
      </w:r>
      <w:r>
        <w:rPr>
          <w:rFonts w:hint="eastAsia" w:ascii="Arial" w:hAnsi="Arial" w:cs="Arial"/>
          <w:sz w:val="24"/>
        </w:rPr>
        <w:t>．索赔</w:t>
      </w:r>
    </w:p>
    <w:p>
      <w:pPr>
        <w:pStyle w:val="23"/>
        <w:spacing w:line="400" w:lineRule="atLeast"/>
        <w:rPr>
          <w:rFonts w:ascii="Arial" w:hAnsi="Arial" w:cs="Arial"/>
          <w:sz w:val="24"/>
        </w:rPr>
      </w:pPr>
      <w:r>
        <w:rPr>
          <w:rFonts w:ascii="Arial" w:hAnsi="Arial" w:cs="Arial"/>
          <w:sz w:val="24"/>
        </w:rPr>
        <w:t xml:space="preserve"> 16.1</w:t>
      </w:r>
      <w:r>
        <w:rPr>
          <w:rFonts w:hint="eastAsia" w:ascii="Arial" w:hAnsi="Arial" w:cs="Arial"/>
          <w:sz w:val="24"/>
        </w:rPr>
        <w:t>卖方对货物与合同要求不符负有责任，并且买方已于规定的检验、安装、调试和验收测试期限内和质量保证期内提出索赔，卖方应按买方同意的下述一种或多种方法解决索赔事宜。</w:t>
      </w:r>
    </w:p>
    <w:p>
      <w:pPr>
        <w:pStyle w:val="23"/>
        <w:spacing w:line="400" w:lineRule="atLeast"/>
        <w:rPr>
          <w:rFonts w:ascii="Arial" w:hAnsi="Arial" w:cs="Arial"/>
          <w:sz w:val="24"/>
        </w:rPr>
      </w:pPr>
      <w:r>
        <w:rPr>
          <w:rFonts w:ascii="Arial" w:hAnsi="Arial" w:cs="Arial"/>
          <w:sz w:val="24"/>
        </w:rPr>
        <w:t xml:space="preserve">    (1)</w:t>
      </w:r>
      <w:r>
        <w:rPr>
          <w:rFonts w:hint="eastAsia" w:ascii="Arial" w:hAnsi="Arial" w:cs="Arial"/>
          <w:sz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3"/>
        <w:spacing w:line="400" w:lineRule="atLeast"/>
        <w:rPr>
          <w:rFonts w:ascii="Arial" w:hAnsi="Arial" w:cs="Arial"/>
          <w:sz w:val="24"/>
        </w:rPr>
      </w:pPr>
      <w:r>
        <w:rPr>
          <w:rFonts w:ascii="Arial" w:hAnsi="Arial" w:cs="Arial"/>
          <w:sz w:val="24"/>
        </w:rPr>
        <w:t xml:space="preserve">   (2)</w:t>
      </w:r>
      <w:r>
        <w:rPr>
          <w:rFonts w:hint="eastAsia" w:ascii="Arial" w:hAnsi="Arial" w:cs="Arial"/>
          <w:sz w:val="24"/>
        </w:rPr>
        <w:t>根据货物的疵劣和受损程度以及买方遭受损失的金额，经双方同意降低货物价格。</w:t>
      </w:r>
    </w:p>
    <w:p>
      <w:pPr>
        <w:pStyle w:val="23"/>
        <w:spacing w:line="400" w:lineRule="atLeast"/>
        <w:rPr>
          <w:rFonts w:ascii="Arial" w:hAnsi="Arial" w:cs="Arial"/>
          <w:sz w:val="24"/>
        </w:rPr>
      </w:pPr>
      <w:r>
        <w:rPr>
          <w:rFonts w:ascii="Arial" w:hAnsi="Arial" w:cs="Arial"/>
          <w:sz w:val="24"/>
        </w:rPr>
        <w:t xml:space="preserve">   (3)</w:t>
      </w:r>
      <w:r>
        <w:rPr>
          <w:rFonts w:hint="eastAsia" w:ascii="Arial" w:hAnsi="Arial" w:cs="Arial"/>
          <w:sz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23"/>
        <w:spacing w:line="400" w:lineRule="atLeast"/>
        <w:rPr>
          <w:rFonts w:ascii="Arial" w:hAnsi="Arial" w:cs="Arial"/>
          <w:sz w:val="24"/>
        </w:rPr>
      </w:pPr>
      <w:r>
        <w:rPr>
          <w:rFonts w:ascii="Arial" w:hAnsi="Arial" w:cs="Arial"/>
          <w:sz w:val="24"/>
        </w:rPr>
        <w:t xml:space="preserve"> 16.2</w:t>
      </w:r>
      <w:r>
        <w:rPr>
          <w:rFonts w:hint="eastAsia" w:ascii="Arial" w:hAnsi="Arial" w:cs="Arial"/>
          <w:sz w:val="24"/>
        </w:rPr>
        <w:t>如果买方提出索赔通知后</w:t>
      </w:r>
      <w:r>
        <w:rPr>
          <w:rFonts w:ascii="Arial" w:hAnsi="Arial" w:cs="Arial"/>
          <w:sz w:val="24"/>
        </w:rPr>
        <w:t>10</w:t>
      </w:r>
      <w:r>
        <w:rPr>
          <w:rFonts w:hint="eastAsia" w:ascii="Arial" w:hAnsi="Arial" w:cs="Arial"/>
          <w:sz w:val="24"/>
        </w:rPr>
        <w:t>天内卖方未能予以答复，该索赔应视为已被卖方接受。若卖方未能在买方提出索赔通知的</w:t>
      </w:r>
      <w:r>
        <w:rPr>
          <w:rFonts w:ascii="Arial" w:hAnsi="Arial" w:cs="Arial"/>
          <w:sz w:val="24"/>
        </w:rPr>
        <w:t>10</w:t>
      </w:r>
      <w:r>
        <w:rPr>
          <w:rFonts w:hint="eastAsia" w:ascii="Arial" w:hAnsi="Arial" w:cs="Arial"/>
          <w:sz w:val="24"/>
        </w:rPr>
        <w:t>天内或买方同意的更长一些的时间内，按买方同意的上述任何一种方式处理索赔事宜，买方将从未付款或卖方提供的履约保证金中扣回索赔金额，同时保留进一步要求赔偿的权利。</w:t>
      </w:r>
    </w:p>
    <w:p>
      <w:pPr>
        <w:pStyle w:val="23"/>
        <w:spacing w:line="400" w:lineRule="atLeast"/>
        <w:rPr>
          <w:rFonts w:ascii="Arial" w:hAnsi="Arial" w:cs="Arial"/>
          <w:sz w:val="24"/>
        </w:rPr>
      </w:pPr>
      <w:r>
        <w:rPr>
          <w:rFonts w:ascii="Arial" w:hAnsi="Arial" w:cs="Arial"/>
          <w:sz w:val="24"/>
        </w:rPr>
        <w:t>17</w:t>
      </w:r>
      <w:r>
        <w:rPr>
          <w:rFonts w:hint="eastAsia" w:ascii="Arial" w:hAnsi="Arial" w:cs="Arial"/>
          <w:sz w:val="24"/>
        </w:rPr>
        <w:t>．延期交货与核定损失额</w:t>
      </w:r>
    </w:p>
    <w:p>
      <w:pPr>
        <w:pStyle w:val="23"/>
        <w:spacing w:line="400" w:lineRule="atLeast"/>
        <w:rPr>
          <w:rFonts w:ascii="Arial" w:hAnsi="Arial" w:cs="Arial"/>
          <w:sz w:val="24"/>
        </w:rPr>
      </w:pPr>
      <w:r>
        <w:rPr>
          <w:rFonts w:ascii="Arial" w:hAnsi="Arial" w:cs="Arial"/>
          <w:sz w:val="24"/>
        </w:rPr>
        <w:t xml:space="preserve"> 17.1</w:t>
      </w:r>
      <w:r>
        <w:rPr>
          <w:rFonts w:hint="eastAsia" w:ascii="Arial" w:hAnsi="Arial" w:cs="Arial"/>
          <w:sz w:val="24"/>
        </w:rPr>
        <w:t>如果卖方未能按合同规定的时间按期交货</w:t>
      </w:r>
      <w:r>
        <w:rPr>
          <w:rFonts w:ascii="Arial" w:hAnsi="Arial" w:cs="Arial"/>
          <w:sz w:val="24"/>
        </w:rPr>
        <w:t>(</w:t>
      </w:r>
      <w:r>
        <w:rPr>
          <w:rFonts w:hint="eastAsia" w:ascii="Arial" w:hAnsi="Arial" w:cs="Arial"/>
          <w:sz w:val="24"/>
        </w:rPr>
        <w:t>本合同第</w:t>
      </w:r>
      <w:r>
        <w:rPr>
          <w:rFonts w:ascii="Arial" w:hAnsi="Arial" w:cs="Arial"/>
          <w:sz w:val="24"/>
        </w:rPr>
        <w:t>18</w:t>
      </w:r>
      <w:r>
        <w:rPr>
          <w:rFonts w:hint="eastAsia" w:ascii="Arial" w:hAnsi="Arial" w:cs="Arial"/>
          <w:sz w:val="24"/>
        </w:rPr>
        <w:t>款规定的不可抗力除外</w:t>
      </w:r>
      <w:r>
        <w:rPr>
          <w:rFonts w:ascii="Arial" w:hAnsi="Arial" w:cs="Arial"/>
          <w:sz w:val="24"/>
        </w:rPr>
        <w:t>)</w:t>
      </w:r>
      <w:r>
        <w:rPr>
          <w:rFonts w:hint="eastAsia" w:ascii="Arial" w:hAnsi="Arial" w:cs="Arial"/>
          <w:sz w:val="24"/>
        </w:rPr>
        <w:t>，在卖方同意支付核定损失额的条件下，买方将同意延长工期。核定损失额的支付将从未付款或从履约保证金中扣除。核定损失额比率为每迟交</w:t>
      </w:r>
      <w:r>
        <w:rPr>
          <w:rFonts w:ascii="Arial" w:hAnsi="Arial" w:cs="Arial"/>
          <w:sz w:val="24"/>
        </w:rPr>
        <w:t>7</w:t>
      </w:r>
      <w:r>
        <w:rPr>
          <w:rFonts w:hint="eastAsia" w:ascii="Arial" w:hAnsi="Arial" w:cs="Arial"/>
          <w:sz w:val="24"/>
        </w:rPr>
        <w:t>天，按迟交货物金额的</w:t>
      </w:r>
      <w:r>
        <w:rPr>
          <w:rFonts w:ascii="Arial" w:hAnsi="Arial" w:cs="Arial"/>
          <w:sz w:val="24"/>
        </w:rPr>
        <w:t>0.5%</w:t>
      </w:r>
      <w:r>
        <w:rPr>
          <w:rFonts w:hint="eastAsia" w:ascii="Arial" w:hAnsi="Arial" w:cs="Arial"/>
          <w:sz w:val="24"/>
        </w:rPr>
        <w:t>，不满</w:t>
      </w:r>
      <w:r>
        <w:rPr>
          <w:rFonts w:ascii="Arial" w:hAnsi="Arial" w:cs="Arial"/>
          <w:sz w:val="24"/>
        </w:rPr>
        <w:t>7</w:t>
      </w:r>
      <w:r>
        <w:rPr>
          <w:rFonts w:hint="eastAsia" w:ascii="Arial" w:hAnsi="Arial" w:cs="Arial"/>
          <w:sz w:val="24"/>
        </w:rPr>
        <w:t>天按</w:t>
      </w:r>
      <w:r>
        <w:rPr>
          <w:rFonts w:ascii="Arial" w:hAnsi="Arial" w:cs="Arial"/>
          <w:sz w:val="24"/>
        </w:rPr>
        <w:t>7</w:t>
      </w:r>
      <w:r>
        <w:rPr>
          <w:rFonts w:hint="eastAsia" w:ascii="Arial" w:hAnsi="Arial" w:cs="Arial"/>
          <w:sz w:val="24"/>
        </w:rPr>
        <w:t>天计算，但是，核定损失额的支付不得超过迟交货物部分合同金额的</w:t>
      </w:r>
      <w:r>
        <w:rPr>
          <w:rFonts w:ascii="Arial" w:hAnsi="Arial" w:cs="Arial"/>
          <w:sz w:val="24"/>
        </w:rPr>
        <w:t>5%</w:t>
      </w:r>
      <w:r>
        <w:rPr>
          <w:rFonts w:hint="eastAsia" w:ascii="Arial" w:hAnsi="Arial" w:cs="Arial"/>
          <w:sz w:val="24"/>
        </w:rPr>
        <w:t>。如果卖方在达到核定损失额的最高限额后仍不能交货，买方有权因卖方违约终止合同，而卖方仍有义务支付上述迟交核定损失金额。</w:t>
      </w:r>
    </w:p>
    <w:p>
      <w:pPr>
        <w:pStyle w:val="23"/>
        <w:spacing w:line="400" w:lineRule="atLeast"/>
        <w:rPr>
          <w:rFonts w:ascii="Arial" w:hAnsi="Arial" w:cs="Arial"/>
          <w:sz w:val="24"/>
        </w:rPr>
      </w:pPr>
      <w:r>
        <w:rPr>
          <w:rFonts w:ascii="Arial" w:hAnsi="Arial" w:cs="Arial"/>
          <w:sz w:val="24"/>
        </w:rPr>
        <w:t>18</w:t>
      </w:r>
      <w:r>
        <w:rPr>
          <w:rFonts w:hint="eastAsia" w:ascii="Arial" w:hAnsi="Arial" w:cs="Arial"/>
          <w:sz w:val="24"/>
        </w:rPr>
        <w:t>．不可抗力</w:t>
      </w:r>
    </w:p>
    <w:p>
      <w:pPr>
        <w:pStyle w:val="23"/>
        <w:spacing w:line="400" w:lineRule="atLeast"/>
        <w:rPr>
          <w:rFonts w:ascii="Arial" w:hAnsi="Arial" w:cs="Arial"/>
          <w:sz w:val="24"/>
        </w:rPr>
      </w:pPr>
      <w:r>
        <w:rPr>
          <w:rFonts w:ascii="Arial" w:hAnsi="Arial" w:cs="Arial"/>
          <w:sz w:val="24"/>
        </w:rPr>
        <w:t xml:space="preserve"> 18.1</w:t>
      </w:r>
      <w:r>
        <w:rPr>
          <w:rFonts w:hint="eastAsia" w:ascii="Arial" w:hAnsi="Arial" w:cs="Arial"/>
          <w:sz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3"/>
        <w:spacing w:line="400" w:lineRule="atLeast"/>
        <w:rPr>
          <w:rFonts w:ascii="Arial" w:hAnsi="Arial" w:cs="Arial"/>
          <w:sz w:val="24"/>
        </w:rPr>
      </w:pPr>
      <w:r>
        <w:rPr>
          <w:rFonts w:ascii="Arial" w:hAnsi="Arial" w:cs="Arial"/>
          <w:sz w:val="24"/>
        </w:rPr>
        <w:t xml:space="preserve"> 18.2</w:t>
      </w:r>
      <w:r>
        <w:rPr>
          <w:rFonts w:hint="eastAsia" w:ascii="Arial" w:hAnsi="Arial" w:cs="Arial"/>
          <w:sz w:val="24"/>
        </w:rPr>
        <w:t>受阻一方应在不可抗力事故发生后尽快用电报、传真或电传通知对方，并于事故发生后</w:t>
      </w:r>
      <w:r>
        <w:rPr>
          <w:rFonts w:ascii="Arial" w:hAnsi="Arial" w:cs="Arial"/>
          <w:sz w:val="24"/>
        </w:rPr>
        <w:t>10</w:t>
      </w:r>
      <w:r>
        <w:rPr>
          <w:rFonts w:hint="eastAsia" w:ascii="Arial" w:hAnsi="Arial" w:cs="Arial"/>
          <w:sz w:val="24"/>
        </w:rPr>
        <w:t>天内将有关部门出具的证明文件用特快专递或挂号信寄给对方审阅确认。一旦不可抗力事故的影响持续</w:t>
      </w:r>
      <w:r>
        <w:rPr>
          <w:rFonts w:ascii="Arial" w:hAnsi="Arial" w:cs="Arial"/>
          <w:sz w:val="24"/>
        </w:rPr>
        <w:t>20</w:t>
      </w:r>
      <w:r>
        <w:rPr>
          <w:rFonts w:hint="eastAsia" w:ascii="Arial" w:hAnsi="Arial" w:cs="Arial"/>
          <w:sz w:val="24"/>
        </w:rPr>
        <w:t>天以上，双方应通过友好协商在合理的时间内达成进一步履行合同的协议。</w:t>
      </w:r>
    </w:p>
    <w:p>
      <w:pPr>
        <w:pStyle w:val="23"/>
        <w:spacing w:line="400" w:lineRule="atLeast"/>
        <w:rPr>
          <w:rFonts w:ascii="Arial" w:hAnsi="Arial" w:cs="Arial"/>
          <w:sz w:val="24"/>
        </w:rPr>
      </w:pPr>
      <w:r>
        <w:rPr>
          <w:rFonts w:ascii="Arial" w:hAnsi="Arial" w:cs="Arial"/>
          <w:sz w:val="24"/>
        </w:rPr>
        <w:t>19</w:t>
      </w:r>
      <w:r>
        <w:rPr>
          <w:rFonts w:hint="eastAsia" w:ascii="Arial" w:hAnsi="Arial" w:cs="Arial"/>
          <w:sz w:val="24"/>
        </w:rPr>
        <w:t>．履约保证金（如需要）</w:t>
      </w:r>
    </w:p>
    <w:p>
      <w:pPr>
        <w:pStyle w:val="23"/>
        <w:spacing w:line="400" w:lineRule="atLeast"/>
        <w:rPr>
          <w:rFonts w:ascii="Arial" w:hAnsi="Arial" w:cs="Arial"/>
          <w:sz w:val="24"/>
        </w:rPr>
      </w:pPr>
      <w:r>
        <w:rPr>
          <w:rFonts w:ascii="Arial" w:hAnsi="Arial" w:cs="Arial"/>
          <w:sz w:val="24"/>
        </w:rPr>
        <w:t xml:space="preserve"> 19.1</w:t>
      </w:r>
      <w:r>
        <w:rPr>
          <w:rFonts w:hint="eastAsia" w:ascii="Arial" w:hAnsi="Arial" w:cs="Arial"/>
          <w:sz w:val="24"/>
        </w:rPr>
        <w:t>卖方应在合同签订后</w:t>
      </w:r>
      <w:r>
        <w:rPr>
          <w:rFonts w:ascii="Arial" w:hAnsi="Arial" w:cs="Arial"/>
          <w:sz w:val="24"/>
        </w:rPr>
        <w:t>3</w:t>
      </w:r>
      <w:r>
        <w:rPr>
          <w:rFonts w:hint="eastAsia" w:ascii="Arial" w:hAnsi="Arial" w:cs="Arial"/>
          <w:sz w:val="24"/>
        </w:rPr>
        <w:t>天内，向买方提交合同总价</w:t>
      </w:r>
      <w:r>
        <w:rPr>
          <w:rFonts w:ascii="Arial" w:hAnsi="Arial" w:cs="Arial"/>
          <w:sz w:val="24"/>
        </w:rPr>
        <w:t>10%</w:t>
      </w:r>
      <w:r>
        <w:rPr>
          <w:rFonts w:hint="eastAsia" w:ascii="Arial" w:hAnsi="Arial" w:cs="Arial"/>
          <w:sz w:val="24"/>
        </w:rPr>
        <w:t>的履约保证金，履约保证金的有效期至货物保证期满。履约保证金应由银行开具。</w:t>
      </w:r>
    </w:p>
    <w:p>
      <w:pPr>
        <w:pStyle w:val="23"/>
        <w:spacing w:line="400" w:lineRule="atLeast"/>
        <w:rPr>
          <w:rFonts w:ascii="Arial" w:hAnsi="Arial" w:cs="Arial"/>
          <w:sz w:val="24"/>
        </w:rPr>
      </w:pPr>
      <w:r>
        <w:rPr>
          <w:rFonts w:ascii="Arial" w:hAnsi="Arial" w:cs="Arial"/>
          <w:sz w:val="24"/>
        </w:rPr>
        <w:t xml:space="preserve"> 19.2</w:t>
      </w:r>
      <w:r>
        <w:rPr>
          <w:rFonts w:hint="eastAsia" w:ascii="Arial" w:hAnsi="Arial" w:cs="Arial"/>
          <w:sz w:val="24"/>
        </w:rPr>
        <w:t>卖方提供的履约保证金按规定格式以银行保函的形式提供，与此有关的费用由卖方负担。</w:t>
      </w:r>
    </w:p>
    <w:p>
      <w:pPr>
        <w:pStyle w:val="23"/>
        <w:spacing w:line="400" w:lineRule="atLeast"/>
        <w:rPr>
          <w:rFonts w:ascii="Arial" w:hAnsi="Arial" w:cs="Arial"/>
          <w:sz w:val="24"/>
        </w:rPr>
      </w:pPr>
      <w:r>
        <w:rPr>
          <w:rFonts w:ascii="Arial" w:hAnsi="Arial" w:cs="Arial"/>
          <w:sz w:val="24"/>
        </w:rPr>
        <w:t xml:space="preserve"> 19.3</w:t>
      </w:r>
      <w:r>
        <w:rPr>
          <w:rFonts w:hint="eastAsia" w:ascii="Arial" w:hAnsi="Arial" w:cs="Arial"/>
          <w:sz w:val="24"/>
        </w:rPr>
        <w:t>如果卖方未能按合同规定履行其义务，买方有权从履约保证金取得补偿。</w:t>
      </w:r>
    </w:p>
    <w:p>
      <w:pPr>
        <w:pStyle w:val="23"/>
        <w:spacing w:line="400" w:lineRule="atLeast"/>
        <w:rPr>
          <w:rFonts w:ascii="Arial" w:hAnsi="Arial" w:cs="Arial"/>
          <w:sz w:val="24"/>
        </w:rPr>
      </w:pPr>
      <w:r>
        <w:rPr>
          <w:rFonts w:ascii="Arial" w:hAnsi="Arial" w:cs="Arial"/>
          <w:sz w:val="24"/>
        </w:rPr>
        <w:t>20</w:t>
      </w:r>
      <w:r>
        <w:rPr>
          <w:rFonts w:hint="eastAsia" w:ascii="Arial" w:hAnsi="Arial" w:cs="Arial"/>
          <w:sz w:val="24"/>
        </w:rPr>
        <w:t>．仲裁</w:t>
      </w:r>
    </w:p>
    <w:p>
      <w:pPr>
        <w:pStyle w:val="23"/>
        <w:spacing w:line="400" w:lineRule="atLeast"/>
        <w:rPr>
          <w:rFonts w:ascii="Arial" w:hAnsi="Arial" w:cs="Arial"/>
          <w:sz w:val="24"/>
        </w:rPr>
      </w:pPr>
      <w:r>
        <w:rPr>
          <w:rFonts w:ascii="Arial" w:hAnsi="Arial" w:cs="Arial"/>
          <w:sz w:val="24"/>
        </w:rPr>
        <w:t xml:space="preserve"> 20.1</w:t>
      </w:r>
      <w:r>
        <w:rPr>
          <w:rFonts w:hint="eastAsia" w:ascii="Arial" w:hAnsi="Arial" w:cs="Arial"/>
          <w:sz w:val="24"/>
        </w:rPr>
        <w:t>在执行本合同中发生的或与本合同有关的争端，双方应通过友好协商解决，经协商在</w:t>
      </w:r>
      <w:r>
        <w:rPr>
          <w:rFonts w:ascii="Arial" w:hAnsi="Arial" w:cs="Arial"/>
          <w:sz w:val="24"/>
        </w:rPr>
        <w:t>30</w:t>
      </w:r>
      <w:r>
        <w:rPr>
          <w:rFonts w:hint="eastAsia" w:ascii="Arial" w:hAnsi="Arial" w:cs="Arial"/>
          <w:sz w:val="24"/>
        </w:rPr>
        <w:t>天内不能达成协议时，应提交仲裁。</w:t>
      </w:r>
    </w:p>
    <w:p>
      <w:pPr>
        <w:pStyle w:val="23"/>
        <w:spacing w:line="400" w:lineRule="atLeast"/>
        <w:rPr>
          <w:rFonts w:ascii="Arial" w:hAnsi="Arial" w:cs="Arial"/>
          <w:sz w:val="24"/>
        </w:rPr>
      </w:pPr>
      <w:r>
        <w:rPr>
          <w:rFonts w:ascii="Arial" w:hAnsi="Arial" w:cs="Arial"/>
          <w:sz w:val="24"/>
        </w:rPr>
        <w:t xml:space="preserve"> 20.2</w:t>
      </w:r>
      <w:r>
        <w:rPr>
          <w:rFonts w:hint="eastAsia" w:ascii="Arial" w:hAnsi="Arial" w:cs="Arial"/>
          <w:sz w:val="24"/>
        </w:rPr>
        <w:t>仲裁应由买方当地仲裁机构（乌鲁木齐市仲裁委员会）根据其仲裁程序和暂行规则进行。</w:t>
      </w:r>
    </w:p>
    <w:p>
      <w:pPr>
        <w:pStyle w:val="23"/>
        <w:spacing w:line="400" w:lineRule="atLeast"/>
        <w:rPr>
          <w:rFonts w:ascii="Arial" w:hAnsi="Arial" w:cs="Arial"/>
          <w:sz w:val="24"/>
        </w:rPr>
      </w:pPr>
      <w:r>
        <w:rPr>
          <w:rFonts w:ascii="Arial" w:hAnsi="Arial" w:cs="Arial"/>
          <w:sz w:val="24"/>
        </w:rPr>
        <w:t xml:space="preserve"> 20.3</w:t>
      </w:r>
      <w:r>
        <w:rPr>
          <w:rFonts w:hint="eastAsia" w:ascii="Arial" w:hAnsi="Arial" w:cs="Arial"/>
          <w:sz w:val="24"/>
        </w:rPr>
        <w:t>仲裁裁决应为最终决定，并对双方具有约束力。</w:t>
      </w:r>
    </w:p>
    <w:p>
      <w:pPr>
        <w:pStyle w:val="23"/>
        <w:spacing w:line="400" w:lineRule="atLeast"/>
        <w:rPr>
          <w:rFonts w:ascii="Arial" w:hAnsi="Arial" w:cs="Arial"/>
          <w:sz w:val="24"/>
        </w:rPr>
      </w:pPr>
      <w:r>
        <w:rPr>
          <w:rFonts w:ascii="Arial" w:hAnsi="Arial" w:cs="Arial"/>
          <w:sz w:val="24"/>
        </w:rPr>
        <w:t xml:space="preserve"> 20.4</w:t>
      </w:r>
      <w:r>
        <w:rPr>
          <w:rFonts w:hint="eastAsia" w:ascii="Arial" w:hAnsi="Arial" w:cs="Arial"/>
          <w:sz w:val="24"/>
        </w:rPr>
        <w:t>除另有裁决外，仲裁费应由败诉方负担。</w:t>
      </w:r>
    </w:p>
    <w:p>
      <w:pPr>
        <w:pStyle w:val="23"/>
        <w:spacing w:line="400" w:lineRule="atLeast"/>
        <w:rPr>
          <w:rFonts w:ascii="Arial" w:hAnsi="Arial" w:cs="Arial"/>
          <w:sz w:val="24"/>
        </w:rPr>
      </w:pPr>
      <w:r>
        <w:rPr>
          <w:rFonts w:ascii="Arial" w:hAnsi="Arial" w:cs="Arial"/>
          <w:sz w:val="24"/>
        </w:rPr>
        <w:t xml:space="preserve"> 20.5</w:t>
      </w:r>
      <w:r>
        <w:rPr>
          <w:rFonts w:hint="eastAsia" w:ascii="Arial" w:hAnsi="Arial" w:cs="Arial"/>
          <w:sz w:val="24"/>
        </w:rPr>
        <w:t>在仲裁期间，除正在进行仲裁部分外，合同其它部分继续执行。</w:t>
      </w:r>
    </w:p>
    <w:p>
      <w:pPr>
        <w:pStyle w:val="23"/>
        <w:spacing w:line="400" w:lineRule="atLeast"/>
        <w:rPr>
          <w:rFonts w:ascii="Arial" w:hAnsi="Arial" w:cs="Arial"/>
          <w:sz w:val="24"/>
        </w:rPr>
      </w:pPr>
      <w:r>
        <w:rPr>
          <w:rFonts w:ascii="Arial" w:hAnsi="Arial" w:cs="Arial"/>
          <w:sz w:val="24"/>
        </w:rPr>
        <w:t>21</w:t>
      </w:r>
      <w:r>
        <w:rPr>
          <w:rFonts w:hint="eastAsia" w:ascii="Arial" w:hAnsi="Arial" w:cs="Arial"/>
          <w:sz w:val="24"/>
        </w:rPr>
        <w:t>．违约终止合同</w:t>
      </w:r>
    </w:p>
    <w:p>
      <w:pPr>
        <w:pStyle w:val="23"/>
        <w:spacing w:line="400" w:lineRule="atLeast"/>
        <w:ind w:firstLine="240"/>
        <w:rPr>
          <w:rFonts w:ascii="Arial" w:hAnsi="Arial" w:cs="Arial"/>
          <w:sz w:val="24"/>
        </w:rPr>
      </w:pPr>
      <w:r>
        <w:rPr>
          <w:rFonts w:ascii="Arial" w:hAnsi="Arial" w:cs="Arial"/>
          <w:sz w:val="24"/>
        </w:rPr>
        <w:t>21.1</w:t>
      </w:r>
      <w:r>
        <w:rPr>
          <w:rFonts w:hint="eastAsia" w:ascii="Arial" w:hAnsi="Arial" w:cs="Arial"/>
          <w:sz w:val="24"/>
        </w:rPr>
        <w:t>在补救违约而采取的任何其他措施未能实现的情况下，即在卖方收到买方发出的违约通知后</w:t>
      </w:r>
      <w:r>
        <w:rPr>
          <w:rFonts w:ascii="Arial" w:hAnsi="Arial" w:cs="Arial"/>
          <w:sz w:val="24"/>
        </w:rPr>
        <w:t>10</w:t>
      </w:r>
      <w:r>
        <w:rPr>
          <w:rFonts w:hint="eastAsia" w:ascii="Arial" w:hAnsi="Arial" w:cs="Arial"/>
          <w:sz w:val="24"/>
        </w:rPr>
        <w:t>天内</w:t>
      </w:r>
      <w:r>
        <w:rPr>
          <w:rFonts w:ascii="Arial" w:hAnsi="Arial" w:cs="Arial"/>
          <w:sz w:val="24"/>
        </w:rPr>
        <w:t>(</w:t>
      </w:r>
      <w:r>
        <w:rPr>
          <w:rFonts w:hint="eastAsia" w:ascii="Arial" w:hAnsi="Arial" w:cs="Arial"/>
          <w:sz w:val="24"/>
        </w:rPr>
        <w:t>或经买方书面确认的更长时间内</w:t>
      </w:r>
      <w:r>
        <w:rPr>
          <w:rFonts w:ascii="Arial" w:hAnsi="Arial" w:cs="Arial"/>
          <w:sz w:val="24"/>
        </w:rPr>
        <w:t>)</w:t>
      </w:r>
      <w:r>
        <w:rPr>
          <w:rFonts w:hint="eastAsia" w:ascii="Arial" w:hAnsi="Arial" w:cs="Arial"/>
          <w:sz w:val="24"/>
        </w:rPr>
        <w:t>仍未纠正其下述任何一种违约行为，买方可向卖方发出书面违约通知，终止全部或部分合同：</w:t>
      </w:r>
    </w:p>
    <w:p>
      <w:pPr>
        <w:pStyle w:val="23"/>
        <w:spacing w:line="400" w:lineRule="atLeast"/>
        <w:ind w:firstLine="240"/>
        <w:rPr>
          <w:rFonts w:ascii="Arial" w:hAnsi="Arial" w:cs="Arial"/>
          <w:sz w:val="24"/>
        </w:rPr>
      </w:pPr>
      <w:r>
        <w:rPr>
          <w:rFonts w:ascii="Arial" w:hAnsi="Arial" w:cs="Arial"/>
          <w:sz w:val="24"/>
        </w:rPr>
        <w:t xml:space="preserve">    (1)</w:t>
      </w:r>
      <w:r>
        <w:rPr>
          <w:rFonts w:hint="eastAsia" w:ascii="Arial" w:hAnsi="Arial" w:cs="Arial"/>
          <w:sz w:val="24"/>
        </w:rPr>
        <w:t>如果卖方未能在合同规定的期限内或买方准许的任何延期内交付部分或全部货物。</w:t>
      </w:r>
    </w:p>
    <w:p>
      <w:pPr>
        <w:pStyle w:val="23"/>
        <w:spacing w:line="400" w:lineRule="atLeast"/>
        <w:rPr>
          <w:rFonts w:ascii="Arial" w:hAnsi="Arial" w:cs="Arial"/>
          <w:sz w:val="24"/>
        </w:rPr>
      </w:pPr>
      <w:r>
        <w:rPr>
          <w:rFonts w:ascii="Arial" w:hAnsi="Arial" w:cs="Arial"/>
          <w:sz w:val="24"/>
        </w:rPr>
        <w:t xml:space="preserve">    (2)</w:t>
      </w:r>
      <w:r>
        <w:rPr>
          <w:rFonts w:hint="eastAsia" w:ascii="Arial" w:hAnsi="Arial" w:cs="Arial"/>
          <w:sz w:val="24"/>
        </w:rPr>
        <w:t>卖方未能履行合同项下的任何其它义务。</w:t>
      </w:r>
    </w:p>
    <w:p>
      <w:pPr>
        <w:pStyle w:val="23"/>
        <w:spacing w:line="400" w:lineRule="atLeast"/>
        <w:rPr>
          <w:rFonts w:ascii="Arial" w:hAnsi="Arial" w:cs="Arial"/>
          <w:sz w:val="24"/>
        </w:rPr>
      </w:pPr>
      <w:r>
        <w:rPr>
          <w:rFonts w:ascii="Arial" w:hAnsi="Arial" w:cs="Arial"/>
          <w:sz w:val="24"/>
        </w:rPr>
        <w:t xml:space="preserve"> 21.2</w:t>
      </w:r>
      <w:r>
        <w:rPr>
          <w:rFonts w:hint="eastAsia" w:ascii="Arial" w:hAnsi="Arial" w:cs="Arial"/>
          <w:sz w:val="24"/>
        </w:rPr>
        <w:t>一旦买方根据第</w:t>
      </w:r>
      <w:r>
        <w:rPr>
          <w:rFonts w:ascii="Arial" w:hAnsi="Arial" w:cs="Arial"/>
          <w:sz w:val="24"/>
        </w:rPr>
        <w:t>21.1</w:t>
      </w:r>
      <w:r>
        <w:rPr>
          <w:rFonts w:hint="eastAsia" w:ascii="Arial" w:hAnsi="Arial" w:cs="Arial"/>
          <w:sz w:val="24"/>
        </w:rPr>
        <w:t>款终止部分或全部合同，买方可以按其认为适当的条件和方式采购类似未交付部分的货物。卖方应承担买方购买类似货物的额外费用。但是，卖方应继续履行合同中未终止的部分。</w:t>
      </w:r>
    </w:p>
    <w:p>
      <w:pPr>
        <w:pStyle w:val="23"/>
        <w:spacing w:line="400" w:lineRule="atLeast"/>
        <w:rPr>
          <w:rFonts w:ascii="Arial" w:hAnsi="Arial" w:cs="Arial"/>
          <w:sz w:val="24"/>
        </w:rPr>
      </w:pPr>
      <w:r>
        <w:rPr>
          <w:rFonts w:ascii="Arial" w:hAnsi="Arial" w:cs="Arial"/>
          <w:sz w:val="24"/>
        </w:rPr>
        <w:t>22</w:t>
      </w:r>
      <w:r>
        <w:rPr>
          <w:rFonts w:hint="eastAsia" w:ascii="Arial" w:hAnsi="Arial" w:cs="Arial"/>
          <w:sz w:val="24"/>
        </w:rPr>
        <w:t>．变更指示</w:t>
      </w:r>
    </w:p>
    <w:p>
      <w:pPr>
        <w:pStyle w:val="23"/>
        <w:spacing w:line="400" w:lineRule="atLeast"/>
        <w:rPr>
          <w:rFonts w:ascii="Arial" w:hAnsi="Arial" w:cs="Arial"/>
          <w:sz w:val="24"/>
        </w:rPr>
      </w:pPr>
      <w:r>
        <w:rPr>
          <w:rFonts w:ascii="Arial" w:hAnsi="Arial" w:cs="Arial"/>
          <w:sz w:val="24"/>
        </w:rPr>
        <w:t xml:space="preserve"> 22.1</w:t>
      </w:r>
      <w:r>
        <w:rPr>
          <w:rFonts w:hint="eastAsia" w:ascii="Arial" w:hAnsi="Arial" w:cs="Arial"/>
          <w:sz w:val="24"/>
        </w:rPr>
        <w:t>买方可以随时向卖方发出书面指示，在合同总体范围内对如下一点或几点提出变更：</w:t>
      </w:r>
    </w:p>
    <w:p>
      <w:pPr>
        <w:pStyle w:val="23"/>
        <w:spacing w:line="400" w:lineRule="atLeast"/>
        <w:rPr>
          <w:rFonts w:ascii="Arial" w:hAnsi="Arial" w:cs="Arial"/>
          <w:sz w:val="24"/>
        </w:rPr>
      </w:pPr>
      <w:r>
        <w:rPr>
          <w:rFonts w:ascii="Arial" w:hAnsi="Arial" w:cs="Arial"/>
          <w:sz w:val="24"/>
        </w:rPr>
        <w:t xml:space="preserve">    (1)</w:t>
      </w:r>
      <w:r>
        <w:rPr>
          <w:rFonts w:hint="eastAsia" w:ascii="Arial" w:hAnsi="Arial" w:cs="Arial"/>
          <w:sz w:val="24"/>
        </w:rPr>
        <w:t>合同项下需为买方特殊制造的货物的图纸、设计或规格；</w:t>
      </w:r>
    </w:p>
    <w:p>
      <w:pPr>
        <w:pStyle w:val="23"/>
        <w:spacing w:line="400" w:lineRule="atLeast"/>
        <w:rPr>
          <w:rFonts w:ascii="Arial" w:hAnsi="Arial" w:cs="Arial"/>
          <w:sz w:val="24"/>
        </w:rPr>
      </w:pPr>
      <w:r>
        <w:rPr>
          <w:rFonts w:ascii="Arial" w:hAnsi="Arial" w:cs="Arial"/>
          <w:sz w:val="24"/>
        </w:rPr>
        <w:t xml:space="preserve">    (2)</w:t>
      </w:r>
      <w:r>
        <w:rPr>
          <w:rFonts w:hint="eastAsia" w:ascii="Arial" w:hAnsi="Arial" w:cs="Arial"/>
          <w:sz w:val="24"/>
        </w:rPr>
        <w:t>装运方式和包装方式；</w:t>
      </w:r>
    </w:p>
    <w:p>
      <w:pPr>
        <w:pStyle w:val="23"/>
        <w:spacing w:line="400" w:lineRule="atLeast"/>
        <w:rPr>
          <w:rFonts w:ascii="Arial" w:hAnsi="Arial" w:cs="Arial"/>
          <w:sz w:val="24"/>
        </w:rPr>
      </w:pPr>
      <w:r>
        <w:rPr>
          <w:rFonts w:ascii="Arial" w:hAnsi="Arial" w:cs="Arial"/>
          <w:sz w:val="24"/>
        </w:rPr>
        <w:t xml:space="preserve">    (3)</w:t>
      </w:r>
      <w:r>
        <w:rPr>
          <w:rFonts w:hint="eastAsia" w:ascii="Arial" w:hAnsi="Arial" w:cs="Arial"/>
          <w:sz w:val="24"/>
        </w:rPr>
        <w:t>交货地点；</w:t>
      </w:r>
    </w:p>
    <w:p>
      <w:pPr>
        <w:pStyle w:val="23"/>
        <w:spacing w:line="400" w:lineRule="atLeast"/>
        <w:rPr>
          <w:rFonts w:ascii="Arial" w:hAnsi="Arial" w:cs="Arial"/>
          <w:sz w:val="24"/>
        </w:rPr>
      </w:pPr>
      <w:r>
        <w:rPr>
          <w:rFonts w:ascii="Arial" w:hAnsi="Arial" w:cs="Arial"/>
          <w:sz w:val="24"/>
        </w:rPr>
        <w:t xml:space="preserve">    (4)</w:t>
      </w:r>
      <w:r>
        <w:rPr>
          <w:rFonts w:hint="eastAsia" w:ascii="Arial" w:hAnsi="Arial" w:cs="Arial"/>
          <w:sz w:val="24"/>
        </w:rPr>
        <w:t>卖方须提供的服务。</w:t>
      </w:r>
    </w:p>
    <w:p>
      <w:pPr>
        <w:pStyle w:val="23"/>
        <w:spacing w:line="400" w:lineRule="atLeast"/>
        <w:rPr>
          <w:rFonts w:ascii="Arial" w:hAnsi="Arial" w:cs="Arial"/>
          <w:sz w:val="24"/>
        </w:rPr>
      </w:pPr>
      <w:r>
        <w:rPr>
          <w:rFonts w:ascii="Arial" w:hAnsi="Arial" w:cs="Arial"/>
          <w:sz w:val="24"/>
        </w:rPr>
        <w:t xml:space="preserve"> 22.2</w:t>
      </w:r>
      <w:r>
        <w:rPr>
          <w:rFonts w:hint="eastAsia" w:ascii="Arial" w:hAnsi="Arial" w:cs="Arial"/>
          <w:sz w:val="24"/>
        </w:rPr>
        <w:t>若上述变更导致了卖方履行合同项下任何部分义务的费用或所需时间的增减，应对合同价格或交货进度进行合理的调整，同时相应地修改合同。卖方必须在接到买方的变更指示后</w:t>
      </w:r>
      <w:r>
        <w:rPr>
          <w:rFonts w:ascii="Arial" w:hAnsi="Arial" w:cs="Arial"/>
          <w:sz w:val="24"/>
        </w:rPr>
        <w:t>10</w:t>
      </w:r>
      <w:r>
        <w:rPr>
          <w:rFonts w:hint="eastAsia" w:ascii="Arial" w:hAnsi="Arial" w:cs="Arial"/>
          <w:sz w:val="24"/>
        </w:rPr>
        <w:t>天内根据本款提出调整的实施意见。</w:t>
      </w:r>
    </w:p>
    <w:p>
      <w:pPr>
        <w:pStyle w:val="23"/>
        <w:spacing w:line="400" w:lineRule="atLeast"/>
        <w:rPr>
          <w:rFonts w:ascii="Arial" w:hAnsi="Arial" w:cs="Arial"/>
          <w:sz w:val="24"/>
        </w:rPr>
      </w:pPr>
      <w:r>
        <w:rPr>
          <w:rFonts w:ascii="Arial" w:hAnsi="Arial" w:cs="Arial"/>
          <w:sz w:val="24"/>
        </w:rPr>
        <w:t>23</w:t>
      </w:r>
      <w:r>
        <w:rPr>
          <w:rFonts w:hint="eastAsia" w:ascii="Arial" w:hAnsi="Arial" w:cs="Arial"/>
          <w:sz w:val="24"/>
        </w:rPr>
        <w:t>．合同修改</w:t>
      </w:r>
    </w:p>
    <w:p>
      <w:pPr>
        <w:pStyle w:val="23"/>
        <w:spacing w:line="400" w:lineRule="atLeast"/>
        <w:rPr>
          <w:rFonts w:ascii="Arial" w:hAnsi="Arial" w:cs="Arial"/>
          <w:sz w:val="24"/>
        </w:rPr>
      </w:pPr>
      <w:r>
        <w:rPr>
          <w:rFonts w:ascii="Arial" w:hAnsi="Arial" w:cs="Arial"/>
          <w:sz w:val="24"/>
        </w:rPr>
        <w:t xml:space="preserve"> 23.1</w:t>
      </w:r>
      <w:r>
        <w:rPr>
          <w:rFonts w:hint="eastAsia" w:ascii="Arial" w:hAnsi="Arial" w:cs="Arial"/>
          <w:sz w:val="24"/>
        </w:rPr>
        <w:t>欲对合同条款作出任何改动或偏离，均须由买卖双方签署书面的合同修改书。</w:t>
      </w:r>
    </w:p>
    <w:p>
      <w:pPr>
        <w:pStyle w:val="23"/>
        <w:spacing w:line="400" w:lineRule="atLeast"/>
        <w:rPr>
          <w:rFonts w:ascii="Arial" w:hAnsi="Arial" w:cs="Arial"/>
          <w:sz w:val="24"/>
        </w:rPr>
      </w:pPr>
      <w:r>
        <w:rPr>
          <w:rFonts w:ascii="Arial" w:hAnsi="Arial" w:cs="Arial"/>
          <w:sz w:val="24"/>
        </w:rPr>
        <w:t>24</w:t>
      </w:r>
      <w:r>
        <w:rPr>
          <w:rFonts w:hint="eastAsia" w:ascii="Arial" w:hAnsi="Arial" w:cs="Arial"/>
          <w:sz w:val="24"/>
        </w:rPr>
        <w:t>．转让与分包</w:t>
      </w:r>
    </w:p>
    <w:p>
      <w:pPr>
        <w:pStyle w:val="23"/>
        <w:spacing w:line="400" w:lineRule="atLeast"/>
        <w:rPr>
          <w:rFonts w:ascii="Arial" w:hAnsi="Arial" w:cs="Arial"/>
          <w:sz w:val="24"/>
        </w:rPr>
      </w:pPr>
      <w:r>
        <w:rPr>
          <w:rFonts w:ascii="Arial" w:hAnsi="Arial" w:cs="Arial"/>
          <w:sz w:val="24"/>
        </w:rPr>
        <w:t xml:space="preserve"> 24.1</w:t>
      </w:r>
      <w:r>
        <w:rPr>
          <w:rFonts w:hint="eastAsia" w:ascii="Arial" w:hAnsi="Arial" w:cs="Arial"/>
          <w:sz w:val="24"/>
        </w:rPr>
        <w:t>除买方事先同意外，卖方不得部分转让或全部转让其应履行的合同项下的义务。</w:t>
      </w:r>
    </w:p>
    <w:p>
      <w:pPr>
        <w:pStyle w:val="23"/>
        <w:spacing w:line="400" w:lineRule="atLeast"/>
        <w:rPr>
          <w:rFonts w:ascii="Arial" w:hAnsi="Arial" w:cs="Arial"/>
          <w:sz w:val="24"/>
        </w:rPr>
      </w:pPr>
      <w:r>
        <w:rPr>
          <w:rFonts w:ascii="Arial" w:hAnsi="Arial" w:cs="Arial"/>
          <w:sz w:val="24"/>
        </w:rPr>
        <w:t xml:space="preserve"> 24.2</w:t>
      </w:r>
      <w:r>
        <w:rPr>
          <w:rFonts w:hint="eastAsia" w:ascii="Arial" w:hAnsi="Arial" w:cs="Arial"/>
          <w:sz w:val="24"/>
        </w:rPr>
        <w:t>卖方应书面通知买方本合同项下所授予的所有分包合同。但该通知不解除卖方承担的本合同项下的任何责任或义务。</w:t>
      </w:r>
    </w:p>
    <w:p>
      <w:pPr>
        <w:pStyle w:val="23"/>
        <w:spacing w:line="400" w:lineRule="atLeast"/>
        <w:rPr>
          <w:rFonts w:ascii="Arial" w:hAnsi="Arial" w:cs="Arial"/>
          <w:sz w:val="24"/>
        </w:rPr>
      </w:pPr>
      <w:r>
        <w:rPr>
          <w:rFonts w:ascii="Arial" w:hAnsi="Arial" w:cs="Arial"/>
          <w:sz w:val="24"/>
        </w:rPr>
        <w:t>25</w:t>
      </w:r>
      <w:r>
        <w:rPr>
          <w:rFonts w:hint="eastAsia" w:ascii="Arial" w:hAnsi="Arial" w:cs="Arial"/>
          <w:sz w:val="24"/>
        </w:rPr>
        <w:t>．适用法律</w:t>
      </w:r>
    </w:p>
    <w:p>
      <w:pPr>
        <w:pStyle w:val="23"/>
        <w:spacing w:line="400" w:lineRule="atLeast"/>
        <w:rPr>
          <w:rFonts w:ascii="Arial" w:hAnsi="Arial" w:cs="Arial"/>
          <w:sz w:val="24"/>
        </w:rPr>
      </w:pPr>
      <w:r>
        <w:rPr>
          <w:rFonts w:ascii="Arial" w:hAnsi="Arial" w:cs="Arial"/>
          <w:sz w:val="24"/>
        </w:rPr>
        <w:t xml:space="preserve"> 25.1</w:t>
      </w:r>
      <w:r>
        <w:rPr>
          <w:rFonts w:hint="eastAsia" w:ascii="Arial" w:hAnsi="Arial" w:cs="Arial"/>
          <w:sz w:val="24"/>
        </w:rPr>
        <w:t>本合同应按中华人民共和国的相关法律解释。</w:t>
      </w:r>
    </w:p>
    <w:p>
      <w:pPr>
        <w:pStyle w:val="23"/>
        <w:spacing w:line="400" w:lineRule="atLeast"/>
        <w:rPr>
          <w:rFonts w:ascii="Arial" w:hAnsi="Arial" w:cs="Arial"/>
          <w:sz w:val="24"/>
        </w:rPr>
      </w:pPr>
      <w:r>
        <w:rPr>
          <w:rFonts w:ascii="Arial" w:hAnsi="Arial" w:cs="Arial"/>
          <w:sz w:val="24"/>
        </w:rPr>
        <w:t>26</w:t>
      </w:r>
      <w:r>
        <w:rPr>
          <w:rFonts w:hint="eastAsia" w:ascii="Arial" w:hAnsi="Arial" w:cs="Arial"/>
          <w:sz w:val="24"/>
        </w:rPr>
        <w:t>．通知</w:t>
      </w:r>
    </w:p>
    <w:p>
      <w:pPr>
        <w:pStyle w:val="23"/>
        <w:spacing w:line="400" w:lineRule="atLeast"/>
        <w:rPr>
          <w:rFonts w:ascii="Arial" w:hAnsi="Arial" w:cs="Arial"/>
          <w:sz w:val="24"/>
        </w:rPr>
      </w:pPr>
      <w:r>
        <w:rPr>
          <w:rFonts w:ascii="Arial" w:hAnsi="Arial" w:cs="Arial"/>
          <w:sz w:val="24"/>
        </w:rPr>
        <w:t xml:space="preserve"> 26.1</w:t>
      </w:r>
      <w:r>
        <w:rPr>
          <w:rFonts w:hint="eastAsia" w:ascii="Arial" w:hAnsi="Arial" w:cs="Arial"/>
          <w:sz w:val="24"/>
        </w:rPr>
        <w:t>本合同任何一方给另一方的通知都应以书面或电传、电报、传真的形式发送，而另一方应以书面形式确并发送到对方明确的地址。</w:t>
      </w:r>
    </w:p>
    <w:p>
      <w:pPr>
        <w:pStyle w:val="23"/>
        <w:spacing w:line="400" w:lineRule="atLeast"/>
        <w:rPr>
          <w:rFonts w:ascii="Arial" w:hAnsi="Arial" w:cs="Arial"/>
          <w:sz w:val="24"/>
        </w:rPr>
      </w:pPr>
      <w:r>
        <w:rPr>
          <w:rFonts w:ascii="Arial" w:hAnsi="Arial" w:cs="Arial"/>
          <w:sz w:val="24"/>
        </w:rPr>
        <w:t>27</w:t>
      </w:r>
      <w:r>
        <w:rPr>
          <w:rFonts w:hint="eastAsia" w:ascii="Arial" w:hAnsi="Arial" w:cs="Arial"/>
          <w:sz w:val="24"/>
        </w:rPr>
        <w:t>．合同文件及资料的使用</w:t>
      </w:r>
    </w:p>
    <w:p>
      <w:pPr>
        <w:pStyle w:val="23"/>
        <w:spacing w:line="400" w:lineRule="atLeast"/>
        <w:rPr>
          <w:rFonts w:ascii="Arial" w:hAnsi="Arial" w:cs="Arial"/>
          <w:sz w:val="24"/>
        </w:rPr>
      </w:pPr>
      <w:r>
        <w:rPr>
          <w:rFonts w:ascii="Arial" w:hAnsi="Arial" w:cs="Arial"/>
          <w:sz w:val="24"/>
        </w:rPr>
        <w:t xml:space="preserve"> 27.1</w:t>
      </w:r>
      <w:r>
        <w:rPr>
          <w:rFonts w:hint="eastAsia" w:ascii="Arial" w:hAnsi="Arial" w:cs="Arial"/>
          <w:sz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3"/>
        <w:spacing w:line="400" w:lineRule="atLeast"/>
        <w:rPr>
          <w:rFonts w:ascii="Arial" w:hAnsi="Arial" w:cs="Arial"/>
          <w:sz w:val="24"/>
        </w:rPr>
      </w:pPr>
      <w:r>
        <w:rPr>
          <w:rFonts w:ascii="Arial" w:hAnsi="Arial" w:cs="Arial"/>
          <w:sz w:val="24"/>
        </w:rPr>
        <w:t xml:space="preserve"> 27.2</w:t>
      </w:r>
      <w:r>
        <w:rPr>
          <w:rFonts w:hint="eastAsia" w:ascii="Arial" w:hAnsi="Arial" w:cs="Arial"/>
          <w:sz w:val="24"/>
        </w:rPr>
        <w:t>除非执行合同需要，在事先末得到买方同意的情况下，卖方不得使用第</w:t>
      </w:r>
      <w:r>
        <w:rPr>
          <w:rFonts w:ascii="Arial" w:hAnsi="Arial" w:cs="Arial"/>
          <w:sz w:val="24"/>
        </w:rPr>
        <w:t>27.1</w:t>
      </w:r>
      <w:r>
        <w:rPr>
          <w:rFonts w:hint="eastAsia" w:ascii="Arial" w:hAnsi="Arial" w:cs="Arial"/>
          <w:sz w:val="24"/>
        </w:rPr>
        <w:t>款中所列的任何文件和资料。</w:t>
      </w:r>
    </w:p>
    <w:p>
      <w:pPr>
        <w:pStyle w:val="23"/>
        <w:spacing w:line="400" w:lineRule="atLeast"/>
        <w:rPr>
          <w:rFonts w:ascii="Arial" w:hAnsi="Arial" w:cs="Arial"/>
          <w:sz w:val="24"/>
        </w:rPr>
      </w:pPr>
      <w:r>
        <w:rPr>
          <w:rFonts w:ascii="Arial" w:hAnsi="Arial" w:cs="Arial"/>
          <w:sz w:val="24"/>
        </w:rPr>
        <w:t xml:space="preserve"> 27.3</w:t>
      </w:r>
      <w:r>
        <w:rPr>
          <w:rFonts w:hint="eastAsia" w:ascii="Arial" w:hAnsi="Arial" w:cs="Arial"/>
          <w:sz w:val="24"/>
        </w:rPr>
        <w:t>除合同本身以外，</w:t>
      </w:r>
      <w:r>
        <w:rPr>
          <w:rFonts w:ascii="Arial" w:hAnsi="Arial" w:cs="Arial"/>
          <w:sz w:val="24"/>
        </w:rPr>
        <w:t>27.1</w:t>
      </w:r>
      <w:r>
        <w:rPr>
          <w:rFonts w:hint="eastAsia" w:ascii="Arial" w:hAnsi="Arial" w:cs="Arial"/>
          <w:sz w:val="24"/>
        </w:rPr>
        <w:t>款列明的所有资料始终为买方的财产，若买方要求，卖方应于其合同义务履行完毕以后将这些资料</w:t>
      </w:r>
      <w:r>
        <w:rPr>
          <w:rFonts w:ascii="Arial" w:hAnsi="Arial" w:cs="Arial"/>
          <w:sz w:val="24"/>
        </w:rPr>
        <w:t>(</w:t>
      </w:r>
      <w:r>
        <w:rPr>
          <w:rFonts w:hint="eastAsia" w:ascii="Arial" w:hAnsi="Arial" w:cs="Arial"/>
          <w:sz w:val="24"/>
        </w:rPr>
        <w:t>包括所有副本</w:t>
      </w:r>
      <w:r>
        <w:rPr>
          <w:rFonts w:ascii="Arial" w:hAnsi="Arial" w:cs="Arial"/>
          <w:sz w:val="24"/>
        </w:rPr>
        <w:t>)</w:t>
      </w:r>
      <w:r>
        <w:rPr>
          <w:rFonts w:hint="eastAsia" w:ascii="Arial" w:hAnsi="Arial" w:cs="Arial"/>
          <w:sz w:val="24"/>
        </w:rPr>
        <w:t>退还买方。</w:t>
      </w:r>
    </w:p>
    <w:p>
      <w:pPr>
        <w:pStyle w:val="23"/>
        <w:spacing w:line="400" w:lineRule="atLeast"/>
        <w:rPr>
          <w:rFonts w:ascii="Arial" w:hAnsi="Arial" w:cs="Arial"/>
          <w:sz w:val="24"/>
        </w:rPr>
      </w:pPr>
      <w:r>
        <w:rPr>
          <w:rFonts w:ascii="Arial" w:hAnsi="Arial" w:cs="Arial"/>
          <w:sz w:val="24"/>
        </w:rPr>
        <w:t>28</w:t>
      </w:r>
      <w:r>
        <w:rPr>
          <w:rFonts w:hint="eastAsia" w:ascii="Arial" w:hAnsi="Arial" w:cs="Arial"/>
          <w:sz w:val="24"/>
        </w:rPr>
        <w:t>．合同生效及其他</w:t>
      </w:r>
    </w:p>
    <w:p>
      <w:pPr>
        <w:pStyle w:val="23"/>
        <w:spacing w:line="400" w:lineRule="atLeast"/>
        <w:rPr>
          <w:rFonts w:ascii="Arial" w:hAnsi="Arial" w:cs="Arial"/>
          <w:sz w:val="24"/>
        </w:rPr>
      </w:pPr>
      <w:r>
        <w:rPr>
          <w:rFonts w:ascii="Arial" w:hAnsi="Arial" w:cs="Arial"/>
          <w:sz w:val="24"/>
        </w:rPr>
        <w:t xml:space="preserve"> 28.1</w:t>
      </w:r>
      <w:r>
        <w:rPr>
          <w:rFonts w:hint="eastAsia" w:ascii="Arial" w:hAnsi="Arial" w:cs="Arial"/>
          <w:sz w:val="24"/>
        </w:rPr>
        <w:t>本合同应在买方和卖方签字（及买方收到卖方的履约保证金后），即开始生效。</w:t>
      </w:r>
    </w:p>
    <w:p>
      <w:pPr>
        <w:pStyle w:val="23"/>
        <w:spacing w:line="400" w:lineRule="atLeast"/>
        <w:rPr>
          <w:rFonts w:ascii="Arial" w:hAnsi="Arial" w:cs="Arial"/>
          <w:sz w:val="24"/>
        </w:rPr>
      </w:pPr>
      <w:r>
        <w:rPr>
          <w:rFonts w:ascii="Arial" w:hAnsi="Arial" w:cs="Arial"/>
          <w:sz w:val="24"/>
        </w:rPr>
        <w:t xml:space="preserve"> 28.2</w:t>
      </w:r>
      <w:r>
        <w:rPr>
          <w:rFonts w:hint="eastAsia" w:ascii="Arial" w:hAnsi="Arial" w:cs="Arial"/>
          <w:sz w:val="24"/>
        </w:rPr>
        <w:t>卖方须按技术规格中的规定，向买方提供与合同项下货物有关的现场安装调试、技术服务等其他相关服务。</w:t>
      </w:r>
    </w:p>
    <w:p>
      <w:pPr>
        <w:pStyle w:val="23"/>
        <w:spacing w:line="400" w:lineRule="atLeast"/>
        <w:rPr>
          <w:rFonts w:ascii="Arial" w:hAnsi="Arial" w:cs="Arial"/>
          <w:sz w:val="24"/>
        </w:rPr>
      </w:pPr>
      <w:r>
        <w:rPr>
          <w:rFonts w:ascii="Arial" w:hAnsi="Arial" w:cs="Arial"/>
          <w:sz w:val="24"/>
        </w:rPr>
        <w:t xml:space="preserve"> 28.3 </w:t>
      </w:r>
      <w:r>
        <w:rPr>
          <w:rFonts w:hint="eastAsia" w:ascii="Arial" w:hAnsi="Arial" w:cs="Arial"/>
          <w:sz w:val="24"/>
        </w:rPr>
        <w:t>商务合同应包括买方最后确认的价格条款和付款方式。</w:t>
      </w:r>
    </w:p>
    <w:p>
      <w:pPr>
        <w:pStyle w:val="23"/>
        <w:spacing w:line="400" w:lineRule="atLeast"/>
        <w:rPr>
          <w:rFonts w:ascii="Arial" w:hAnsi="Arial" w:cs="Arial"/>
          <w:sz w:val="24"/>
        </w:rPr>
      </w:pPr>
      <w:r>
        <w:rPr>
          <w:rFonts w:ascii="Arial" w:hAnsi="Arial" w:cs="Arial"/>
          <w:sz w:val="24"/>
        </w:rPr>
        <w:t xml:space="preserve"> 28.4</w:t>
      </w:r>
      <w:r>
        <w:rPr>
          <w:rFonts w:hint="eastAsia" w:ascii="Arial" w:hAnsi="Arial" w:cs="Arial"/>
          <w:sz w:val="24"/>
        </w:rPr>
        <w:t>本合同正本一式两份，用中文书写，买卖双方各执一份，副本一式肆份，用中文书写，买卖双方各执贰份；</w:t>
      </w:r>
    </w:p>
    <w:p>
      <w:pPr>
        <w:pStyle w:val="23"/>
        <w:spacing w:line="400" w:lineRule="atLeast"/>
        <w:rPr>
          <w:rFonts w:ascii="Arial" w:hAnsi="Arial" w:cs="Arial"/>
          <w:sz w:val="24"/>
        </w:rPr>
      </w:pPr>
      <w:r>
        <w:rPr>
          <w:rFonts w:ascii="Arial" w:hAnsi="Arial" w:cs="Arial"/>
          <w:sz w:val="24"/>
        </w:rPr>
        <w:t xml:space="preserve"> 28.5</w:t>
      </w:r>
      <w:r>
        <w:rPr>
          <w:rFonts w:hint="eastAsia" w:ascii="Arial" w:hAnsi="Arial" w:cs="Arial"/>
          <w:sz w:val="24"/>
        </w:rPr>
        <w:t>下述文件将作为合同附件为本合同不可分割的部分并与本合具有同等效力；</w:t>
      </w:r>
    </w:p>
    <w:p>
      <w:pPr>
        <w:pStyle w:val="23"/>
        <w:numPr>
          <w:ilvl w:val="0"/>
          <w:numId w:val="3"/>
        </w:numPr>
        <w:spacing w:line="400" w:lineRule="atLeast"/>
        <w:rPr>
          <w:rFonts w:ascii="Arial" w:hAnsi="Arial" w:cs="Arial"/>
          <w:sz w:val="24"/>
        </w:rPr>
      </w:pPr>
      <w:r>
        <w:rPr>
          <w:rFonts w:hint="eastAsia" w:ascii="Arial" w:hAnsi="Arial" w:cs="Arial"/>
          <w:sz w:val="24"/>
        </w:rPr>
        <w:t>采购文件；</w:t>
      </w:r>
    </w:p>
    <w:p>
      <w:pPr>
        <w:pStyle w:val="23"/>
        <w:numPr>
          <w:ilvl w:val="0"/>
          <w:numId w:val="3"/>
        </w:numPr>
        <w:spacing w:line="400" w:lineRule="atLeast"/>
        <w:rPr>
          <w:rFonts w:ascii="Arial" w:hAnsi="Arial" w:cs="Arial"/>
          <w:sz w:val="24"/>
        </w:rPr>
      </w:pPr>
      <w:r>
        <w:rPr>
          <w:rFonts w:hint="eastAsia" w:ascii="Arial" w:hAnsi="Arial" w:cs="Arial"/>
          <w:sz w:val="24"/>
        </w:rPr>
        <w:t>中标通知书；</w:t>
      </w:r>
    </w:p>
    <w:p>
      <w:pPr>
        <w:pStyle w:val="23"/>
        <w:numPr>
          <w:ilvl w:val="0"/>
          <w:numId w:val="3"/>
        </w:numPr>
        <w:spacing w:line="400" w:lineRule="atLeast"/>
        <w:rPr>
          <w:rFonts w:ascii="Arial" w:hAnsi="Arial" w:cs="Arial"/>
          <w:sz w:val="24"/>
        </w:rPr>
      </w:pPr>
      <w:r>
        <w:rPr>
          <w:rFonts w:hint="eastAsia" w:ascii="Arial" w:hAnsi="Arial" w:cs="Arial"/>
          <w:sz w:val="24"/>
        </w:rPr>
        <w:t>中标方的投标文件及询标中的书面答疑；</w:t>
      </w:r>
    </w:p>
    <w:p>
      <w:pPr>
        <w:pStyle w:val="23"/>
        <w:numPr>
          <w:ilvl w:val="0"/>
          <w:numId w:val="3"/>
        </w:numPr>
        <w:spacing w:line="400" w:lineRule="atLeast"/>
        <w:rPr>
          <w:rFonts w:ascii="Arial" w:hAnsi="Arial" w:cs="Arial"/>
          <w:sz w:val="24"/>
        </w:rPr>
      </w:pPr>
      <w:r>
        <w:rPr>
          <w:rFonts w:hint="eastAsia" w:ascii="Arial" w:hAnsi="Arial" w:cs="Arial"/>
          <w:sz w:val="24"/>
        </w:rPr>
        <w:t>履约保证金保函（如需要）；</w:t>
      </w:r>
    </w:p>
    <w:p>
      <w:pPr>
        <w:spacing w:line="400" w:lineRule="atLeast"/>
        <w:rPr>
          <w:rFonts w:ascii="Arial" w:hAnsi="Arial" w:cs="Arial"/>
          <w:sz w:val="24"/>
        </w:rPr>
      </w:pPr>
      <w:r>
        <w:rPr>
          <w:rFonts w:ascii="Arial" w:hAnsi="Arial" w:cs="Arial"/>
          <w:sz w:val="24"/>
        </w:rPr>
        <w:t xml:space="preserve">  5</w:t>
      </w:r>
      <w:r>
        <w:rPr>
          <w:rFonts w:hint="eastAsia" w:ascii="Arial" w:hAnsi="Arial" w:cs="Arial"/>
          <w:sz w:val="24"/>
        </w:rPr>
        <w:t>）</w:t>
      </w:r>
      <w:r>
        <w:rPr>
          <w:rFonts w:ascii="Arial" w:hAnsi="Arial" w:cs="Arial"/>
          <w:sz w:val="24"/>
        </w:rPr>
        <w:t xml:space="preserve">  </w:t>
      </w:r>
      <w:r>
        <w:rPr>
          <w:rFonts w:hint="eastAsia" w:ascii="Arial" w:hAnsi="Arial" w:cs="Arial"/>
          <w:sz w:val="24"/>
        </w:rPr>
        <w:t>合同条款及合同特殊条款；</w:t>
      </w:r>
    </w:p>
    <w:p>
      <w:pPr>
        <w:spacing w:line="400" w:lineRule="atLeast"/>
        <w:rPr>
          <w:rFonts w:ascii="Arial" w:hAnsi="Arial" w:cs="Arial"/>
          <w:sz w:val="24"/>
        </w:rPr>
      </w:pPr>
    </w:p>
    <w:p>
      <w:pPr>
        <w:spacing w:line="400" w:lineRule="atLeast"/>
        <w:rPr>
          <w:rFonts w:ascii="Arial" w:hAnsi="Arial" w:cs="Arial"/>
          <w:sz w:val="24"/>
        </w:rPr>
      </w:pPr>
    </w:p>
    <w:p>
      <w:pPr>
        <w:spacing w:line="400" w:lineRule="atLeast"/>
        <w:ind w:firstLine="480" w:firstLineChars="200"/>
        <w:rPr>
          <w:rFonts w:ascii="Arial" w:hAnsi="Arial" w:cs="Arial"/>
          <w:sz w:val="24"/>
        </w:rPr>
      </w:pPr>
      <w:r>
        <w:rPr>
          <w:rFonts w:hint="eastAsia" w:ascii="Arial" w:hAnsi="Arial" w:cs="Arial"/>
          <w:sz w:val="24"/>
        </w:rPr>
        <w:t>买方：</w:t>
      </w:r>
      <w:r>
        <w:rPr>
          <w:rFonts w:ascii="Arial" w:hAnsi="Arial" w:cs="Arial"/>
          <w:sz w:val="24"/>
        </w:rPr>
        <w:t xml:space="preserve">                                     </w:t>
      </w:r>
      <w:r>
        <w:rPr>
          <w:rFonts w:hint="eastAsia" w:ascii="Arial" w:hAnsi="Arial" w:cs="Arial"/>
          <w:sz w:val="24"/>
        </w:rPr>
        <w:t>卖方：</w:t>
      </w:r>
    </w:p>
    <w:p>
      <w:pPr>
        <w:spacing w:line="400" w:lineRule="atLeast"/>
        <w:ind w:firstLine="480" w:firstLineChars="200"/>
        <w:rPr>
          <w:rFonts w:ascii="Arial" w:hAnsi="Arial" w:cs="Arial"/>
          <w:sz w:val="24"/>
        </w:rPr>
      </w:pPr>
      <w:r>
        <w:rPr>
          <w:rFonts w:hint="eastAsia" w:ascii="Arial" w:hAnsi="Arial" w:cs="Arial"/>
          <w:sz w:val="24"/>
        </w:rPr>
        <w:t>代表：</w:t>
      </w:r>
      <w:r>
        <w:rPr>
          <w:rFonts w:ascii="Arial" w:hAnsi="Arial" w:cs="Arial"/>
          <w:sz w:val="24"/>
        </w:rPr>
        <w:t xml:space="preserve">                                     </w:t>
      </w:r>
      <w:r>
        <w:rPr>
          <w:rFonts w:hint="eastAsia" w:ascii="Arial" w:hAnsi="Arial" w:cs="Arial"/>
          <w:sz w:val="24"/>
        </w:rPr>
        <w:t>代表：</w:t>
      </w:r>
    </w:p>
    <w:p>
      <w:pPr>
        <w:pBdr>
          <w:bottom w:val="single" w:color="auto" w:sz="6" w:space="1"/>
        </w:pBdr>
        <w:spacing w:line="400" w:lineRule="atLeast"/>
        <w:jc w:val="center"/>
        <w:rPr>
          <w:rFonts w:ascii="Arial" w:hAnsi="Arial" w:cs="Arial"/>
          <w:sz w:val="32"/>
        </w:rPr>
      </w:pPr>
      <w:r>
        <w:rPr>
          <w:rFonts w:ascii="Arial" w:hAnsi="Arial" w:cs="Arial"/>
          <w:sz w:val="32"/>
        </w:rPr>
        <w:t xml:space="preserve">     </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附录：</w:t>
      </w:r>
    </w:p>
    <w:p>
      <w:pPr>
        <w:spacing w:line="400" w:lineRule="atLeast"/>
        <w:rPr>
          <w:rFonts w:ascii="Arial" w:hAnsi="Arial" w:cs="Arial"/>
          <w:sz w:val="24"/>
          <w:szCs w:val="24"/>
        </w:rPr>
      </w:pPr>
      <w:r>
        <w:rPr>
          <w:rFonts w:hint="eastAsia" w:ascii="Arial" w:hAnsi="Arial" w:cs="Arial"/>
          <w:sz w:val="24"/>
          <w:szCs w:val="24"/>
        </w:rPr>
        <w:t>附录</w:t>
      </w:r>
      <w:r>
        <w:rPr>
          <w:rFonts w:ascii="Arial" w:hAnsi="Arial" w:cs="Arial"/>
          <w:sz w:val="24"/>
          <w:szCs w:val="24"/>
        </w:rPr>
        <w:t xml:space="preserve">1  </w:t>
      </w:r>
      <w:r>
        <w:rPr>
          <w:rFonts w:hint="eastAsia" w:ascii="Arial" w:hAnsi="Arial" w:cs="Arial"/>
          <w:sz w:val="24"/>
          <w:szCs w:val="24"/>
        </w:rPr>
        <w:t>价目表</w:t>
      </w:r>
    </w:p>
    <w:p>
      <w:pPr>
        <w:spacing w:line="400" w:lineRule="atLeast"/>
        <w:rPr>
          <w:rFonts w:ascii="Arial" w:hAnsi="Arial" w:cs="Arial"/>
          <w:sz w:val="24"/>
          <w:szCs w:val="24"/>
        </w:rPr>
      </w:pPr>
      <w:r>
        <w:rPr>
          <w:rFonts w:hint="eastAsia" w:ascii="Arial" w:hAnsi="Arial" w:cs="Arial"/>
          <w:sz w:val="24"/>
          <w:szCs w:val="24"/>
        </w:rPr>
        <w:t>附录</w:t>
      </w:r>
      <w:r>
        <w:rPr>
          <w:rFonts w:ascii="Arial" w:hAnsi="Arial" w:cs="Arial"/>
          <w:sz w:val="24"/>
          <w:szCs w:val="24"/>
        </w:rPr>
        <w:t xml:space="preserve">2  </w:t>
      </w:r>
      <w:r>
        <w:rPr>
          <w:rFonts w:hint="eastAsia" w:ascii="Arial" w:hAnsi="Arial" w:cs="Arial"/>
          <w:sz w:val="24"/>
          <w:szCs w:val="24"/>
        </w:rPr>
        <w:t>供货范围及详细报价的技术资料</w:t>
      </w:r>
    </w:p>
    <w:p>
      <w:pPr>
        <w:spacing w:line="400" w:lineRule="atLeast"/>
        <w:rPr>
          <w:rFonts w:ascii="Arial" w:hAnsi="Arial" w:cs="Arial"/>
          <w:sz w:val="24"/>
          <w:szCs w:val="24"/>
        </w:rPr>
      </w:pPr>
      <w:r>
        <w:rPr>
          <w:rFonts w:hint="eastAsia" w:ascii="Arial" w:hAnsi="Arial" w:cs="Arial"/>
          <w:sz w:val="24"/>
          <w:szCs w:val="24"/>
        </w:rPr>
        <w:t>附录</w:t>
      </w:r>
      <w:r>
        <w:rPr>
          <w:rFonts w:ascii="Arial" w:hAnsi="Arial" w:cs="Arial"/>
          <w:sz w:val="24"/>
          <w:szCs w:val="24"/>
        </w:rPr>
        <w:t xml:space="preserve">3  </w:t>
      </w:r>
      <w:r>
        <w:rPr>
          <w:rFonts w:hint="eastAsia" w:ascii="Arial" w:hAnsi="Arial" w:cs="Arial"/>
          <w:sz w:val="24"/>
          <w:szCs w:val="24"/>
        </w:rPr>
        <w:t>技术服务</w:t>
      </w:r>
    </w:p>
    <w:p>
      <w:pPr>
        <w:spacing w:line="400" w:lineRule="atLeast"/>
        <w:rPr>
          <w:rFonts w:ascii="Arial" w:hAnsi="Arial" w:cs="Arial"/>
          <w:sz w:val="24"/>
          <w:szCs w:val="24"/>
        </w:rPr>
      </w:pPr>
      <w:r>
        <w:rPr>
          <w:rFonts w:hint="eastAsia" w:ascii="Arial" w:hAnsi="Arial" w:cs="Arial"/>
          <w:sz w:val="24"/>
          <w:szCs w:val="24"/>
        </w:rPr>
        <w:t>附录</w:t>
      </w:r>
      <w:r>
        <w:rPr>
          <w:rFonts w:ascii="Arial" w:hAnsi="Arial" w:cs="Arial"/>
          <w:sz w:val="24"/>
          <w:szCs w:val="24"/>
        </w:rPr>
        <w:t xml:space="preserve">4  </w:t>
      </w:r>
      <w:r>
        <w:rPr>
          <w:rFonts w:hint="eastAsia" w:ascii="Arial" w:hAnsi="Arial" w:cs="Arial"/>
          <w:sz w:val="24"/>
          <w:szCs w:val="24"/>
        </w:rPr>
        <w:t>技术参数</w:t>
      </w:r>
    </w:p>
    <w:p>
      <w:pPr>
        <w:spacing w:line="400" w:lineRule="atLeast"/>
        <w:rPr>
          <w:rFonts w:ascii="Arial" w:hAnsi="Arial" w:cs="Arial"/>
          <w:sz w:val="24"/>
          <w:szCs w:val="24"/>
        </w:rPr>
      </w:pPr>
      <w:r>
        <w:rPr>
          <w:rFonts w:hint="eastAsia" w:ascii="Arial" w:hAnsi="Arial" w:cs="Arial"/>
          <w:sz w:val="24"/>
          <w:szCs w:val="24"/>
        </w:rPr>
        <w:t>附录</w:t>
      </w:r>
      <w:r>
        <w:rPr>
          <w:rFonts w:ascii="Arial" w:hAnsi="Arial" w:cs="Arial"/>
          <w:sz w:val="24"/>
          <w:szCs w:val="24"/>
        </w:rPr>
        <w:t xml:space="preserve">5  </w:t>
      </w:r>
      <w:r>
        <w:rPr>
          <w:rFonts w:hint="eastAsia" w:ascii="Arial" w:hAnsi="Arial" w:cs="Arial"/>
          <w:sz w:val="24"/>
          <w:szCs w:val="24"/>
        </w:rPr>
        <w:t>验收及验收测试</w:t>
      </w:r>
    </w:p>
    <w:p>
      <w:pPr>
        <w:widowControl/>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pPr>
        <w:pStyle w:val="3"/>
      </w:pPr>
      <w:bookmarkStart w:id="69" w:name="_Toc11665"/>
      <w:r>
        <w:rPr>
          <w:rFonts w:hint="eastAsia" w:hAnsi="宋体"/>
        </w:rPr>
        <w:t xml:space="preserve">第四章 </w:t>
      </w:r>
      <w:r>
        <w:rPr>
          <w:rFonts w:hint="eastAsia"/>
        </w:rPr>
        <w:t>采购需求</w:t>
      </w:r>
      <w:bookmarkEnd w:id="69"/>
    </w:p>
    <w:p>
      <w:pPr>
        <w:adjustRightInd w:val="0"/>
        <w:snapToGrid w:val="0"/>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w:t>
      </w:r>
      <w:bookmarkStart w:id="123" w:name="_GoBack"/>
      <w:bookmarkEnd w:id="123"/>
      <w:r>
        <w:rPr>
          <w:rFonts w:hint="eastAsia" w:ascii="宋体" w:hAnsi="宋体" w:eastAsia="宋体" w:cs="宋体"/>
          <w:color w:val="000000" w:themeColor="text1"/>
          <w:sz w:val="24"/>
          <w:szCs w:val="24"/>
          <w14:textFill>
            <w14:solidFill>
              <w14:schemeClr w14:val="tx1"/>
            </w14:solidFill>
          </w14:textFill>
        </w:rPr>
        <w:t>、项目需求技术方案</w:t>
      </w:r>
    </w:p>
    <w:p>
      <w:pPr>
        <w:spacing w:line="576" w:lineRule="exact"/>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（一）项目情况概述</w:t>
      </w:r>
    </w:p>
    <w:p>
      <w:pPr>
        <w:spacing w:line="576"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1、项目建设方式</w:t>
      </w:r>
    </w:p>
    <w:p>
      <w:pPr>
        <w:spacing w:line="576"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通过打包购买整体服务的方式，租赁15个双语坐席服务，按照公安部交管局相关技术规范，向全区提供交管语音业务服务。确保“放管服”各项举措顺推广落地，为群众带来更加方便快捷的交管业务服务。</w:t>
      </w:r>
      <w:r>
        <w:rPr>
          <w:rFonts w:hint="eastAsia" w:ascii="宋体" w:hAnsi="宋体" w:eastAsia="宋体" w:cs="宋体"/>
          <w:sz w:val="24"/>
          <w:szCs w:val="24"/>
        </w:rPr>
        <w:t>为确保12123语音服务正常开展，为群众提供更加方便快捷的业务体验，因原平台建设采取的购买服务开展，原设备硬件、网络资源等都由原建设单位提供，考虑到设备资源、网络资源、人力资源投入的最大复用、成本投入最小化、以及业务开展的可持续性，该项目拟采用单一来源的方式按照购买平台及话务坐席服务的方式开展建设，</w:t>
      </w:r>
      <w:r>
        <w:rPr>
          <w:rFonts w:hint="eastAsia" w:ascii="宋体" w:hAnsi="宋体" w:eastAsia="宋体" w:cs="宋体"/>
          <w:color w:val="000000" w:themeColor="text1"/>
          <w:sz w:val="24"/>
          <w:szCs w:val="24"/>
          <w14:textFill>
            <w14:solidFill>
              <w14:schemeClr w14:val="tx1"/>
            </w14:solidFill>
          </w14:textFill>
        </w:rPr>
        <w:t>计划本次招标服务期为一年。</w:t>
      </w:r>
    </w:p>
    <w:p>
      <w:pPr>
        <w:spacing w:line="576"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2、建设</w:t>
      </w:r>
      <w:r>
        <w:rPr>
          <w:rFonts w:hint="eastAsia" w:ascii="宋体" w:hAnsi="宋体" w:eastAsia="宋体" w:cs="宋体"/>
          <w:b/>
          <w:bCs/>
          <w:color w:val="000000" w:themeColor="text1"/>
          <w:sz w:val="24"/>
          <w:szCs w:val="24"/>
          <w14:textFill>
            <w14:solidFill>
              <w14:schemeClr w14:val="tx1"/>
            </w14:solidFill>
          </w14:textFill>
        </w:rPr>
        <w:t>目标</w:t>
      </w:r>
      <w:r>
        <w:rPr>
          <w:rFonts w:hint="eastAsia" w:ascii="宋体" w:hAnsi="宋体" w:eastAsia="宋体" w:cs="宋体"/>
          <w:b/>
          <w:color w:val="000000" w:themeColor="text1"/>
          <w:sz w:val="24"/>
          <w:szCs w:val="24"/>
          <w14:textFill>
            <w14:solidFill>
              <w14:schemeClr w14:val="tx1"/>
            </w14:solidFill>
          </w14:textFill>
        </w:rPr>
        <w:t>及内容任务</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按照公安部交管局的方案，通过购买语音坐席服务的方式受理全区交管语音业务。</w:t>
      </w:r>
      <w:r>
        <w:rPr>
          <w:rFonts w:hint="eastAsia" w:ascii="宋体" w:hAnsi="宋体" w:eastAsia="宋体" w:cs="宋体"/>
          <w:color w:val="000000" w:themeColor="text1"/>
          <w:spacing w:val="-10"/>
          <w:kern w:val="10"/>
          <w:sz w:val="24"/>
          <w:szCs w:val="24"/>
          <w14:textFill>
            <w14:solidFill>
              <w14:schemeClr w14:val="tx1"/>
            </w14:solidFill>
          </w14:textFill>
        </w:rPr>
        <w:t>主要包括:</w:t>
      </w:r>
      <w:r>
        <w:rPr>
          <w:rFonts w:hint="eastAsia" w:ascii="宋体" w:hAnsi="宋体" w:eastAsia="宋体" w:cs="宋体"/>
          <w:b/>
          <w:bCs/>
          <w:color w:val="000000" w:themeColor="text1"/>
          <w:spacing w:val="-10"/>
          <w:kern w:val="10"/>
          <w:sz w:val="24"/>
          <w:szCs w:val="24"/>
          <w14:textFill>
            <w14:solidFill>
              <w14:schemeClr w14:val="tx1"/>
            </w14:solidFill>
          </w14:textFill>
        </w:rPr>
        <w:t>一是</w:t>
      </w:r>
      <w:r>
        <w:rPr>
          <w:rFonts w:hint="eastAsia" w:ascii="宋体" w:hAnsi="宋体" w:eastAsia="宋体" w:cs="宋体"/>
          <w:color w:val="000000" w:themeColor="text1"/>
          <w:sz w:val="24"/>
          <w:szCs w:val="24"/>
          <w14:textFill>
            <w14:solidFill>
              <w14:schemeClr w14:val="tx1"/>
            </w14:solidFill>
          </w14:textFill>
        </w:rPr>
        <w:t>提供12123语音服务平台语音服务后端系统和前端座席服务（包括场地、设备、管理、培训等）。</w:t>
      </w:r>
      <w:r>
        <w:rPr>
          <w:rFonts w:hint="eastAsia" w:ascii="宋体" w:hAnsi="宋体" w:eastAsia="宋体" w:cs="宋体"/>
          <w:b/>
          <w:color w:val="000000" w:themeColor="text1"/>
          <w:sz w:val="24"/>
          <w:szCs w:val="24"/>
          <w14:textFill>
            <w14:solidFill>
              <w14:schemeClr w14:val="tx1"/>
            </w14:solidFill>
          </w14:textFill>
        </w:rPr>
        <w:t>二是</w:t>
      </w:r>
      <w:r>
        <w:rPr>
          <w:rFonts w:hint="eastAsia" w:ascii="宋体" w:hAnsi="宋体" w:eastAsia="宋体" w:cs="宋体"/>
          <w:color w:val="000000" w:themeColor="text1"/>
          <w:sz w:val="24"/>
          <w:szCs w:val="24"/>
          <w14:textFill>
            <w14:solidFill>
              <w14:schemeClr w14:val="tx1"/>
            </w14:solidFill>
          </w14:textFill>
        </w:rPr>
        <w:t>提供部、省两级服务系统的跨省专网链路。</w:t>
      </w:r>
      <w:r>
        <w:rPr>
          <w:rFonts w:hint="eastAsia" w:ascii="宋体" w:hAnsi="宋体" w:eastAsia="宋体" w:cs="宋体"/>
          <w:b/>
          <w:color w:val="000000" w:themeColor="text1"/>
          <w:sz w:val="24"/>
          <w:szCs w:val="24"/>
          <w14:textFill>
            <w14:solidFill>
              <w14:schemeClr w14:val="tx1"/>
            </w14:solidFill>
          </w14:textFill>
        </w:rPr>
        <w:t>三是</w:t>
      </w:r>
      <w:r>
        <w:rPr>
          <w:rFonts w:hint="eastAsia" w:ascii="宋体" w:hAnsi="宋体" w:eastAsia="宋体" w:cs="宋体"/>
          <w:color w:val="000000" w:themeColor="text1"/>
          <w:sz w:val="24"/>
          <w:szCs w:val="24"/>
          <w14:textFill>
            <w14:solidFill>
              <w14:schemeClr w14:val="tx1"/>
            </w14:solidFill>
          </w14:textFill>
        </w:rPr>
        <w:t>提供15个话服座席(其中双语或少数民族语言坐席不少于坐席总数的60%）及管理人员，确保全区公安交管12123语音业务正常开展。</w:t>
      </w:r>
    </w:p>
    <w:p>
      <w:pPr>
        <w:spacing w:line="576" w:lineRule="exact"/>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（二）服务需求及技术要求</w:t>
      </w:r>
    </w:p>
    <w:p>
      <w:pPr>
        <w:spacing w:line="576"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（1）服务基础要求</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1、服务方需提供12123语音服务平台整体服务、接线人员、接线场地等，面向群众对交警相关业务进行受理解答。</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按照公安部交管局下发的技术方案，提供12123语音服务平台语音服务后端系统和前端座席服务。语音服务后端系统包括统一版语音服务软件（由公安部负责统一开发）、专用语音软硬件支撑设备、通用软硬件支撑设备；前端座席包括座席人员、座席软硬件设备。同时，需提供部级服务系统至省级服务系统的跨省专网、互联网服务系统与互联网平台数据传输网络等2条网络专线链路。</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座席及服务人员要求：需提供15个话服座席(其中双语或少数民族语言坐席不少于坐席总数的60%），同时需保证话服储备人员不低于话服人员总数20%，确保至少2名专职管理人员。储备人员需经过专业培训，掌握必要的业务知识，人员变动时储备人员能够及时补充，不影响正常接线。</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3、服务内容：根据12123语音服务流程和质量标准要求，受理全网12123呼入的咨询、业务办理、投诉及建议等相关业务。</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4、服务方式：提供人员承接12123部分呼入话务，按照甲方相关业务规范、质量标准开展呼入服务。</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服务时间要求：呼入服务时间结合排班需求，包括周六、周日及节假日的倒班，服务时间为7*11小时。服务时间内任意时间段均保证15个坐席同时在线，处于可接话状态。（上下班时间段结合业务情况经招标方同意后可进行相应调整）</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6、服务工作语言：普通话及维吾尔语。</w:t>
      </w:r>
    </w:p>
    <w:p>
      <w:pPr>
        <w:spacing w:line="576"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（2）服务质量要求</w:t>
      </w:r>
    </w:p>
    <w:p>
      <w:pPr>
        <w:pStyle w:val="240"/>
        <w:spacing w:line="576" w:lineRule="exact"/>
        <w:ind w:firstLine="434" w:firstLineChars="225"/>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1、语音平台涉及到的所有硬件合同期内均由</w:t>
      </w:r>
      <w:r>
        <w:rPr>
          <w:rFonts w:hint="eastAsia" w:ascii="宋体" w:hAnsi="宋体" w:eastAsia="宋体" w:cs="宋体"/>
          <w:color w:val="000000" w:themeColor="text1"/>
          <w:sz w:val="24"/>
          <w:szCs w:val="24"/>
          <w14:textFill>
            <w14:solidFill>
              <w14:schemeClr w14:val="tx1"/>
            </w14:solidFill>
          </w14:textFill>
        </w:rPr>
        <w:t>服务方</w:t>
      </w:r>
      <w:r>
        <w:rPr>
          <w:rFonts w:hint="eastAsia" w:ascii="宋体" w:hAnsi="宋体" w:eastAsia="宋体" w:cs="宋体"/>
          <w:color w:val="000000" w:themeColor="text1"/>
          <w:kern w:val="2"/>
          <w:sz w:val="24"/>
          <w:szCs w:val="24"/>
          <w14:textFill>
            <w14:solidFill>
              <w14:schemeClr w14:val="tx1"/>
            </w14:solidFill>
          </w14:textFill>
        </w:rPr>
        <w:t>负责维护，并保障硬件运行环境，系统软、硬件发生故障时及时处理，确保系统24小时正常运行。</w:t>
      </w:r>
    </w:p>
    <w:p>
      <w:pPr>
        <w:pStyle w:val="240"/>
        <w:spacing w:line="576" w:lineRule="exact"/>
        <w:ind w:firstLine="434" w:firstLineChars="225"/>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2、涉及到语音平台与互联网平台的对接均由</w:t>
      </w:r>
      <w:r>
        <w:rPr>
          <w:rFonts w:hint="eastAsia" w:ascii="宋体" w:hAnsi="宋体" w:eastAsia="宋体" w:cs="宋体"/>
          <w:color w:val="000000" w:themeColor="text1"/>
          <w:sz w:val="24"/>
          <w:szCs w:val="24"/>
          <w14:textFill>
            <w14:solidFill>
              <w14:schemeClr w14:val="tx1"/>
            </w14:solidFill>
          </w14:textFill>
        </w:rPr>
        <w:t>服务方</w:t>
      </w:r>
      <w:r>
        <w:rPr>
          <w:rFonts w:hint="eastAsia" w:ascii="宋体" w:hAnsi="宋体" w:eastAsia="宋体" w:cs="宋体"/>
          <w:color w:val="000000" w:themeColor="text1"/>
          <w:kern w:val="2"/>
          <w:sz w:val="24"/>
          <w:szCs w:val="24"/>
          <w14:textFill>
            <w14:solidFill>
              <w14:schemeClr w14:val="tx1"/>
            </w14:solidFill>
          </w14:textFill>
        </w:rPr>
        <w:t>负责，并且在合同期内免费对系统及软件进行升级。（由公安部开发的软件由公安部提供升级包）</w:t>
      </w:r>
    </w:p>
    <w:p>
      <w:pPr>
        <w:pStyle w:val="240"/>
        <w:spacing w:line="576" w:lineRule="exact"/>
        <w:ind w:firstLine="434" w:firstLineChars="225"/>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3、知识库的定期维护，按照公安部要求</w:t>
      </w:r>
      <w:r>
        <w:rPr>
          <w:rFonts w:hint="eastAsia" w:ascii="宋体" w:hAnsi="宋体" w:eastAsia="宋体" w:cs="宋体"/>
          <w:color w:val="000000" w:themeColor="text1"/>
          <w:sz w:val="24"/>
          <w:szCs w:val="24"/>
          <w14:textFill>
            <w14:solidFill>
              <w14:schemeClr w14:val="tx1"/>
            </w14:solidFill>
          </w14:textFill>
        </w:rPr>
        <w:t>服务方</w:t>
      </w:r>
      <w:r>
        <w:rPr>
          <w:rFonts w:hint="eastAsia" w:ascii="宋体" w:hAnsi="宋体" w:eastAsia="宋体" w:cs="宋体"/>
          <w:color w:val="000000" w:themeColor="text1"/>
          <w:kern w:val="2"/>
          <w:sz w:val="24"/>
          <w:szCs w:val="24"/>
          <w14:textFill>
            <w14:solidFill>
              <w14:schemeClr w14:val="tx1"/>
            </w14:solidFill>
          </w14:textFill>
        </w:rPr>
        <w:t>需定期完成知识库数据的更新。</w:t>
      </w:r>
    </w:p>
    <w:p>
      <w:pPr>
        <w:pStyle w:val="240"/>
        <w:spacing w:line="576" w:lineRule="exact"/>
        <w:ind w:firstLine="434" w:firstLineChars="225"/>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保障话务座席团队质量，提升客户满意度，妥善处理接话过程中引起的投诉，做好投诉预防工作。处理因由业务技术支撑所产生的客户咨询及客户投诉等。</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5、针对服务质量和整体话务波动做出相关的应急调控机制。</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6、接话过程中始终微笑服务，并保持良好的服务态度。严格按照服务规范用语应答，主动回应客户的问候，禁用服务忌语，不粗暴对待语音呼入客户。</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7、应答过程中遇客户咨询自己不熟悉的业务时，忌烦躁、不懂装懂、搪塞客户，确实遇到不懂的问题及业务可记录客户联系方式，及时联系交警部门或相关单位核实后再致电予以解答或回复。</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8、通话过程中不得无故打断客户说话，不要急于对客户做出解释，应请客户将问题表述完后再答复。</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9、对于客户的投诉以及当下无法解决核实的问题利用好工单流转系统及时将工单按流程进行转递，对于转递解决完毕或已答复的工单，有需要的情况下及时联系当事人做好解释和答复工作。</w:t>
      </w:r>
    </w:p>
    <w:p>
      <w:pPr>
        <w:spacing w:line="576"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（3）人员培训要求</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定期开展座席人员培训，新入职人员组织为期十天的岗前培训，岗前培训包括“基础能力培训”和“业务知识”培训，基础能力培训包括客服理念、信息安全、服务禁忌、服务规范、质检标准等服务基本内容，业务知识培训分为业务培训、系统培训两个阶段，原则上12123呼入项目总培训周期不少于10天（如正式上岗仍需通过员工上岗认证考核）。</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针对座席人员进行每月一次考核测试，测试内容包括业务测试、系统考试和综合评定。业务测试：主要考查员工对培训期所学理论知识的掌握情况，可通过笔试/上机等形式进行；系统考试：培训期所学系统知识，考查员工对系统常用功能菜单、知识库点击准确性以及熟练程度，通过上机实际操作进行；综合评定：根据参训人员的学习情况、出勤、日常行为规范等情况评定。</w:t>
      </w:r>
    </w:p>
    <w:p>
      <w:pPr>
        <w:spacing w:line="576"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（4）人员考核要求</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座席人员进行月度绩效考核制度，考核KPI维度围绕话务量、签入时长、满意度、月考成绩和服务质量几项内容，按照综合评定进行绩效评分，对考核不合格的人员要加强培训或调离岗位。</w:t>
      </w:r>
    </w:p>
    <w:p>
      <w:pPr>
        <w:spacing w:line="576"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70" w:name="_Toc369367434"/>
      <w:bookmarkStart w:id="71" w:name="_Toc370295746"/>
      <w:r>
        <w:rPr>
          <w:rFonts w:hint="eastAsia" w:ascii="宋体" w:hAnsi="宋体" w:eastAsia="宋体" w:cs="宋体"/>
          <w:color w:val="000000" w:themeColor="text1"/>
          <w:sz w:val="24"/>
          <w:szCs w:val="24"/>
          <w14:textFill>
            <w14:solidFill>
              <w14:schemeClr w14:val="tx1"/>
            </w14:solidFill>
          </w14:textFill>
        </w:rPr>
        <w:t>（5）信息安全管理要求</w:t>
      </w:r>
      <w:bookmarkEnd w:id="70"/>
      <w:bookmarkEnd w:id="71"/>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1、根据信息安全要求，对坐席人员信息安全培训教育工作，防范私自查询、泄漏客户信息等各类信息安全事件发生。</w:t>
      </w:r>
      <w:bookmarkStart w:id="72" w:name="_Toc369367437"/>
      <w:bookmarkStart w:id="73" w:name="_Toc370295749"/>
    </w:p>
    <w:p>
      <w:pPr>
        <w:spacing w:line="576" w:lineRule="exact"/>
        <w:ind w:firstLine="480" w:firstLineChars="200"/>
        <w:rPr>
          <w:rFonts w:hint="eastAsia" w:ascii="宋体" w:hAnsi="宋体" w:eastAsia="宋体" w:cs="宋体"/>
          <w:color w:val="000000" w:themeColor="text1"/>
          <w:kern w:val="2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2、坐席</w:t>
      </w:r>
      <w:r>
        <w:rPr>
          <w:rFonts w:hint="eastAsia" w:ascii="宋体" w:hAnsi="宋体" w:eastAsia="宋体" w:cs="宋体"/>
          <w:color w:val="000000" w:themeColor="text1"/>
          <w:kern w:val="21"/>
          <w:sz w:val="24"/>
          <w:szCs w:val="24"/>
          <w14:textFill>
            <w14:solidFill>
              <w14:schemeClr w14:val="tx1"/>
            </w14:solidFill>
          </w14:textFill>
        </w:rPr>
        <w:t>人员应严格遵守保密协议，不得擅自泄露任何数据。</w:t>
      </w:r>
    </w:p>
    <w:p>
      <w:pPr>
        <w:spacing w:line="576" w:lineRule="exact"/>
        <w:ind w:firstLine="480" w:firstLineChars="200"/>
        <w:rPr>
          <w:rFonts w:hint="eastAsia" w:ascii="宋体" w:hAnsi="宋体" w:eastAsia="宋体" w:cs="宋体"/>
          <w:color w:val="000000" w:themeColor="text1"/>
          <w:kern w:val="21"/>
          <w:sz w:val="24"/>
          <w:szCs w:val="24"/>
          <w14:textFill>
            <w14:solidFill>
              <w14:schemeClr w14:val="tx1"/>
            </w14:solidFill>
          </w14:textFill>
        </w:rPr>
      </w:pPr>
      <w:r>
        <w:rPr>
          <w:rFonts w:hint="eastAsia" w:ascii="宋体" w:hAnsi="宋体" w:eastAsia="宋体" w:cs="宋体"/>
          <w:color w:val="000000" w:themeColor="text1"/>
          <w:kern w:val="21"/>
          <w:sz w:val="24"/>
          <w:szCs w:val="24"/>
          <w14:textFill>
            <w14:solidFill>
              <w14:schemeClr w14:val="tx1"/>
            </w14:solidFill>
          </w14:textFill>
        </w:rPr>
        <w:t>3、坐席人员及管理人员必须签署信息安全保密协议及信息安全责任书。</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4、坐席人员及管理人员不得将任何涉及到交管信息数据以任何方式带出或者泄露给其他人员，如有发现将追究其及公司相关法律责任。</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5、为了在服务期限之内提供高效可靠的服务，服务方必须考虑网络冗余和备份，保障数据的安全，同时相关技术人员需签订信息安全保密责任书。</w:t>
      </w:r>
    </w:p>
    <w:p>
      <w:pPr>
        <w:spacing w:line="576" w:lineRule="exact"/>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（六）其他要求</w:t>
      </w:r>
      <w:bookmarkEnd w:id="72"/>
      <w:bookmarkEnd w:id="73"/>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1、业务技能：话务人员经培训后需具备较好的交管业务解答能力。</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2、按照质检标准进行呼入规范要求，提升话务人员的业务能力和服务质量。</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3、根据12123语音服务业务的特点，提前制定针对人员离职、突发客户投诉等应急预案并将预案上报招标方。</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4、在节假日期间，需结合总队业务需求，做好人员储备、流失率管控、排班遵时、服务质量保障等工作，严禁出现在节假日期间，支撑力度不足导致服务质量下降。</w:t>
      </w:r>
    </w:p>
    <w:p>
      <w:pPr>
        <w:spacing w:line="576"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5、服务方应定期开展话务运营情况分析，向总队提供阶段性工作汇报，对接话过程中出现的问题以及热点、重点咨询进行汇总，并对不断提升服务质量提出意见建议。</w:t>
      </w:r>
    </w:p>
    <w:p>
      <w:pPr>
        <w:spacing w:line="576"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6、服务方需在上一服务期结束前30日内具备整体服务的各项要求，实现坐席正常接话。</w:t>
      </w:r>
    </w:p>
    <w:p>
      <w:pPr>
        <w:pStyle w:val="2"/>
        <w:spacing w:line="576" w:lineRule="exact"/>
        <w:ind w:lef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（三）项目预算</w:t>
      </w:r>
    </w:p>
    <w:p>
      <w:pPr>
        <w:spacing w:line="576"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该项目预算为390万元/年。</w:t>
      </w:r>
    </w:p>
    <w:p>
      <w:pPr>
        <w:pStyle w:val="2"/>
        <w:spacing w:line="576" w:lineRule="exact"/>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（四）项目付款计划</w:t>
      </w:r>
    </w:p>
    <w:p>
      <w:pPr>
        <w:adjustRightInd w:val="0"/>
        <w:snapToGrid w:val="0"/>
        <w:spacing w:line="360" w:lineRule="auto"/>
        <w:ind w:firstLine="480"/>
        <w:rPr>
          <w:rFonts w:hint="eastAsia" w:ascii="宋体" w:hAnsi="宋体" w:eastAsia="宋体" w:cs="宋体"/>
          <w:b/>
          <w:sz w:val="24"/>
        </w:rPr>
      </w:pPr>
      <w:r>
        <w:rPr>
          <w:rFonts w:hint="eastAsia" w:ascii="宋体" w:hAnsi="宋体" w:eastAsia="宋体" w:cs="宋体"/>
          <w:sz w:val="24"/>
          <w:szCs w:val="24"/>
        </w:rPr>
        <w:t>该项目总预算390万元，合同签订后支付合同总金额的30% 即117万元。按照合同要求提供坐席服务，正常接话无问题，服务期满前1个月甲方组织进行验收。验收合格，待服务期满后支付合同总金额的70%即273万元。</w:t>
      </w:r>
    </w:p>
    <w:p>
      <w:pPr>
        <w:widowControl/>
        <w:adjustRightInd w:val="0"/>
        <w:spacing w:before="40" w:line="360" w:lineRule="auto"/>
        <w:ind w:right="-20"/>
        <w:rPr>
          <w:rFonts w:ascii="宋体" w:hAnsi="宋体" w:cs="宋体"/>
          <w:kern w:val="0"/>
          <w:szCs w:val="21"/>
        </w:rPr>
      </w:pPr>
    </w:p>
    <w:p>
      <w:pPr>
        <w:widowControl/>
        <w:adjustRightInd w:val="0"/>
        <w:spacing w:before="40" w:line="360" w:lineRule="auto"/>
        <w:ind w:right="-20"/>
        <w:rPr>
          <w:rFonts w:ascii="宋体" w:hAnsi="宋体" w:cs="宋体"/>
          <w:kern w:val="0"/>
          <w:szCs w:val="21"/>
        </w:rPr>
        <w:sectPr>
          <w:headerReference r:id="rId9" w:type="default"/>
          <w:pgSz w:w="11906" w:h="16838"/>
          <w:pgMar w:top="1440" w:right="1800" w:bottom="1440" w:left="1800" w:header="851" w:footer="992" w:gutter="0"/>
          <w:pgNumType w:fmt="decimal"/>
          <w:cols w:space="425" w:num="1"/>
          <w:docGrid w:type="lines" w:linePitch="312" w:charSpace="0"/>
        </w:sectPr>
      </w:pPr>
    </w:p>
    <w:p>
      <w:pPr>
        <w:pStyle w:val="3"/>
      </w:pPr>
      <w:bookmarkStart w:id="74" w:name="_Toc27717"/>
      <w:r>
        <w:rPr>
          <w:rFonts w:hint="eastAsia"/>
        </w:rPr>
        <w:t>第五章 响应文件格式</w:t>
      </w:r>
      <w:bookmarkEnd w:id="74"/>
    </w:p>
    <w:p>
      <w:pPr>
        <w:adjustRightInd w:val="0"/>
        <w:snapToGrid w:val="0"/>
        <w:spacing w:line="400" w:lineRule="atLeast"/>
        <w:jc w:val="center"/>
        <w:rPr>
          <w:rFonts w:ascii="宋体" w:hAnsi="宋体"/>
          <w:b/>
          <w:bCs/>
          <w:sz w:val="52"/>
          <w:szCs w:val="52"/>
        </w:rPr>
      </w:pPr>
    </w:p>
    <w:p>
      <w:pPr>
        <w:adjustRightInd w:val="0"/>
        <w:snapToGrid w:val="0"/>
        <w:spacing w:line="400" w:lineRule="atLeast"/>
        <w:jc w:val="center"/>
        <w:rPr>
          <w:rFonts w:ascii="宋体" w:hAnsi="宋体"/>
          <w:b/>
          <w:bCs/>
          <w:sz w:val="52"/>
          <w:szCs w:val="52"/>
        </w:rPr>
      </w:pPr>
    </w:p>
    <w:p>
      <w:pPr>
        <w:adjustRightInd w:val="0"/>
        <w:snapToGrid w:val="0"/>
        <w:spacing w:line="400" w:lineRule="atLeast"/>
        <w:jc w:val="center"/>
        <w:rPr>
          <w:rFonts w:ascii="宋体" w:hAnsi="宋体"/>
          <w:b/>
          <w:bCs/>
          <w:sz w:val="52"/>
          <w:szCs w:val="52"/>
        </w:rPr>
      </w:pPr>
      <w:r>
        <w:rPr>
          <w:rFonts w:hint="eastAsia" w:ascii="宋体" w:hAnsi="宋体"/>
          <w:b/>
          <w:bCs/>
          <w:sz w:val="52"/>
          <w:szCs w:val="52"/>
        </w:rPr>
        <w:t>响 应 文 件</w:t>
      </w:r>
    </w:p>
    <w:p>
      <w:pPr>
        <w:snapToGrid w:val="0"/>
        <w:spacing w:before="156" w:beforeLines="50" w:after="50"/>
        <w:jc w:val="center"/>
        <w:rPr>
          <w:rFonts w:ascii="宋体" w:hAnsi="宋体"/>
          <w:b/>
          <w:bCs/>
          <w:sz w:val="28"/>
          <w:szCs w:val="28"/>
        </w:rPr>
      </w:pPr>
      <w:r>
        <w:rPr>
          <w:rFonts w:hint="eastAsia" w:ascii="宋体" w:hAnsi="宋体"/>
          <w:b/>
          <w:bCs/>
          <w:sz w:val="28"/>
          <w:szCs w:val="28"/>
        </w:rPr>
        <w:t>（正本/副本）</w:t>
      </w:r>
    </w:p>
    <w:p>
      <w:pPr>
        <w:spacing w:before="312" w:beforeLines="100"/>
        <w:jc w:val="center"/>
        <w:rPr>
          <w:rFonts w:ascii="宋体" w:hAnsi="宋体"/>
          <w:b/>
          <w:sz w:val="28"/>
          <w:szCs w:val="28"/>
        </w:rPr>
      </w:pPr>
    </w:p>
    <w:p>
      <w:pPr>
        <w:spacing w:before="312" w:beforeLines="100"/>
        <w:jc w:val="center"/>
        <w:rPr>
          <w:rFonts w:ascii="宋体" w:hAnsi="宋体"/>
          <w:b/>
          <w:sz w:val="44"/>
          <w:szCs w:val="44"/>
        </w:rPr>
      </w:pPr>
    </w:p>
    <w:p>
      <w:pPr>
        <w:rPr>
          <w:rFonts w:ascii="宋体" w:hAnsi="宋体"/>
          <w:sz w:val="28"/>
          <w:szCs w:val="28"/>
        </w:rPr>
      </w:pPr>
    </w:p>
    <w:p>
      <w:pPr>
        <w:snapToGrid w:val="0"/>
        <w:spacing w:before="312" w:beforeLines="100" w:after="312" w:afterLines="100" w:line="360" w:lineRule="auto"/>
        <w:ind w:firstLine="993" w:firstLineChars="412"/>
        <w:rPr>
          <w:rFonts w:ascii="宋体" w:hAnsi="宋体"/>
          <w:b/>
          <w:bCs/>
          <w:sz w:val="24"/>
        </w:rPr>
      </w:pPr>
      <w:r>
        <w:rPr>
          <w:rFonts w:hint="eastAsia" w:ascii="宋体" w:hAnsi="宋体"/>
          <w:b/>
          <w:bCs/>
          <w:sz w:val="24"/>
        </w:rPr>
        <w:t>项目名称：</w:t>
      </w:r>
      <w:r>
        <w:rPr>
          <w:rFonts w:hint="eastAsia" w:ascii="宋体" w:hAnsi="宋体"/>
          <w:b/>
          <w:bCs/>
          <w:sz w:val="24"/>
          <w:u w:val="single"/>
        </w:rPr>
        <w:t xml:space="preserve">                                                   </w:t>
      </w:r>
    </w:p>
    <w:p>
      <w:pPr>
        <w:snapToGrid w:val="0"/>
        <w:spacing w:before="312" w:beforeLines="100" w:after="312" w:afterLines="100" w:line="360" w:lineRule="auto"/>
        <w:ind w:firstLine="985" w:firstLineChars="409"/>
        <w:rPr>
          <w:rFonts w:ascii="宋体" w:hAnsi="宋体"/>
          <w:b/>
          <w:bCs/>
          <w:sz w:val="24"/>
          <w:u w:val="single"/>
        </w:rPr>
      </w:pPr>
      <w:r>
        <w:rPr>
          <w:rFonts w:hint="eastAsia" w:ascii="宋体" w:hAnsi="宋体"/>
          <w:b/>
          <w:bCs/>
          <w:sz w:val="24"/>
        </w:rPr>
        <w:t>项目编号：</w:t>
      </w:r>
      <w:r>
        <w:rPr>
          <w:rFonts w:hint="eastAsia" w:ascii="宋体" w:hAnsi="宋体"/>
          <w:b/>
          <w:bCs/>
          <w:sz w:val="24"/>
          <w:u w:val="single"/>
        </w:rPr>
        <w:t xml:space="preserve">                                  </w:t>
      </w: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 xml:space="preserve">    </w:t>
      </w:r>
    </w:p>
    <w:p>
      <w:pPr>
        <w:snapToGrid w:val="0"/>
        <w:spacing w:before="312" w:beforeLines="100" w:after="312" w:afterLines="100" w:line="360" w:lineRule="auto"/>
        <w:ind w:firstLine="985" w:firstLineChars="409"/>
        <w:rPr>
          <w:rFonts w:ascii="宋体" w:hAnsi="宋体"/>
          <w:b/>
          <w:bCs/>
          <w:sz w:val="24"/>
          <w:u w:val="single"/>
        </w:rPr>
      </w:pPr>
      <w:r>
        <w:rPr>
          <w:rFonts w:hint="eastAsia" w:ascii="宋体" w:hAnsi="宋体"/>
          <w:b/>
          <w:bCs/>
          <w:sz w:val="24"/>
        </w:rPr>
        <w:t>响应内容：</w:t>
      </w:r>
      <w:r>
        <w:rPr>
          <w:rFonts w:hint="eastAsia" w:ascii="宋体" w:hAnsi="宋体"/>
          <w:b/>
          <w:bCs/>
          <w:sz w:val="24"/>
          <w:u w:val="single"/>
        </w:rPr>
        <w:t xml:space="preserve">                                       </w:t>
      </w:r>
    </w:p>
    <w:p>
      <w:pPr>
        <w:pStyle w:val="13"/>
        <w:snapToGrid w:val="0"/>
        <w:spacing w:before="312" w:beforeLines="100" w:after="312" w:afterLines="100" w:line="360" w:lineRule="auto"/>
        <w:ind w:firstLine="981" w:firstLineChars="407"/>
        <w:rPr>
          <w:rFonts w:ascii="宋体" w:hAnsi="宋体"/>
          <w:b/>
          <w:bCs/>
          <w:sz w:val="24"/>
          <w:szCs w:val="24"/>
        </w:rPr>
      </w:pPr>
      <w:r>
        <w:rPr>
          <w:rFonts w:hint="eastAsia" w:ascii="宋体" w:hAnsi="宋体"/>
          <w:b/>
          <w:bCs/>
          <w:sz w:val="24"/>
          <w:szCs w:val="24"/>
        </w:rPr>
        <w:t>供应商名称：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13"/>
        <w:snapToGrid w:val="0"/>
        <w:spacing w:before="312" w:beforeLines="100" w:after="312" w:afterLines="100" w:line="360" w:lineRule="auto"/>
        <w:ind w:firstLine="985" w:firstLineChars="409"/>
        <w:rPr>
          <w:rFonts w:ascii="宋体" w:hAnsi="宋体"/>
          <w:b/>
          <w:bCs/>
          <w:sz w:val="24"/>
          <w:szCs w:val="24"/>
          <w:u w:val="single"/>
        </w:rPr>
      </w:pPr>
      <w:r>
        <w:rPr>
          <w:rFonts w:hint="eastAsia" w:ascii="宋体" w:hAnsi="宋体"/>
          <w:b/>
          <w:bCs/>
          <w:sz w:val="24"/>
          <w:szCs w:val="24"/>
        </w:rPr>
        <w:t>供应商地址：</w:t>
      </w:r>
      <w:r>
        <w:rPr>
          <w:rFonts w:hint="eastAsia" w:ascii="宋体" w:hAnsi="宋体"/>
          <w:b/>
          <w:bCs/>
          <w:sz w:val="24"/>
          <w:szCs w:val="24"/>
          <w:u w:val="single"/>
        </w:rPr>
        <w:t xml:space="preserve">                                     </w:t>
      </w:r>
    </w:p>
    <w:p>
      <w:pPr>
        <w:pStyle w:val="13"/>
        <w:snapToGrid w:val="0"/>
        <w:spacing w:before="312" w:beforeLines="100" w:after="312" w:afterLines="100" w:line="360" w:lineRule="auto"/>
        <w:ind w:firstLine="1103" w:firstLineChars="458"/>
        <w:rPr>
          <w:rFonts w:ascii="宋体" w:hAnsi="宋体"/>
          <w:b/>
          <w:bCs/>
          <w:sz w:val="24"/>
          <w:szCs w:val="24"/>
          <w:u w:val="single"/>
        </w:rPr>
      </w:pPr>
      <w:r>
        <w:rPr>
          <w:rFonts w:hint="eastAsia" w:ascii="宋体" w:hAnsi="宋体"/>
          <w:b/>
          <w:bCs/>
          <w:sz w:val="24"/>
          <w:szCs w:val="24"/>
        </w:rPr>
        <w:t>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56" w:beforeLines="50" w:after="50"/>
        <w:ind w:firstLine="628" w:firstLineChars="262"/>
        <w:rPr>
          <w:rFonts w:ascii="宋体" w:hAnsi="宋体"/>
          <w:bCs/>
          <w:sz w:val="24"/>
        </w:rPr>
      </w:pPr>
    </w:p>
    <w:p>
      <w:pPr>
        <w:autoSpaceDE w:val="0"/>
        <w:autoSpaceDN w:val="0"/>
        <w:adjustRightInd w:val="0"/>
        <w:snapToGrid w:val="0"/>
        <w:spacing w:before="156" w:beforeLines="50" w:after="156" w:afterLines="50" w:line="360" w:lineRule="auto"/>
        <w:jc w:val="right"/>
        <w:rPr>
          <w:rFonts w:ascii="宋体" w:hAnsi="宋体"/>
          <w:b/>
          <w:sz w:val="32"/>
          <w:szCs w:val="32"/>
        </w:rPr>
      </w:pPr>
      <w:r>
        <w:rPr>
          <w:rFonts w:ascii="宋体" w:hAnsi="宋体"/>
          <w:bCs/>
          <w:sz w:val="24"/>
        </w:rPr>
        <w:t xml:space="preserve">     </w:t>
      </w:r>
      <w:bookmarkStart w:id="75" w:name="_Toc438052047"/>
      <w:bookmarkStart w:id="76" w:name="_Toc437365891"/>
      <w:bookmarkStart w:id="77" w:name="_Toc430714682"/>
      <w:bookmarkStart w:id="78" w:name="_Toc437365964"/>
      <w:bookmarkStart w:id="79" w:name="_Toc43735975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75"/>
      <w:bookmarkEnd w:id="76"/>
      <w:bookmarkEnd w:id="77"/>
      <w:bookmarkEnd w:id="78"/>
      <w:bookmarkEnd w:id="79"/>
    </w:p>
    <w:p>
      <w:pPr>
        <w:spacing w:line="360" w:lineRule="exact"/>
        <w:rPr>
          <w:rFonts w:ascii="宋体"/>
        </w:rPr>
      </w:pPr>
    </w:p>
    <w:p>
      <w:pPr>
        <w:adjustRightInd w:val="0"/>
        <w:snapToGrid w:val="0"/>
        <w:spacing w:line="360" w:lineRule="auto"/>
        <w:jc w:val="left"/>
        <w:rPr>
          <w:rFonts w:ascii="仿宋_GB2312" w:eastAsia="仿宋_GB2312"/>
          <w:b/>
          <w:sz w:val="24"/>
        </w:rPr>
      </w:pPr>
    </w:p>
    <w:p>
      <w:pPr>
        <w:adjustRightInd w:val="0"/>
        <w:snapToGrid w:val="0"/>
        <w:spacing w:line="360" w:lineRule="auto"/>
        <w:jc w:val="left"/>
        <w:rPr>
          <w:rFonts w:ascii="宋体" w:hAnsi="宋体"/>
          <w:b/>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spacing w:line="360" w:lineRule="auto"/>
        <w:jc w:val="left"/>
        <w:rPr>
          <w:rFonts w:ascii="宋体" w:hAnsi="宋体"/>
          <w:b/>
          <w:szCs w:val="21"/>
        </w:rPr>
      </w:pPr>
    </w:p>
    <w:p>
      <w:pPr>
        <w:adjustRightInd w:val="0"/>
        <w:snapToGrid w:val="0"/>
        <w:spacing w:line="360" w:lineRule="auto"/>
        <w:jc w:val="left"/>
        <w:rPr>
          <w:rFonts w:ascii="宋体" w:hAnsi="宋体"/>
          <w:b/>
          <w:szCs w:val="21"/>
        </w:rPr>
      </w:pPr>
    </w:p>
    <w:p>
      <w:pPr>
        <w:adjustRightInd w:val="0"/>
        <w:snapToGrid w:val="0"/>
        <w:spacing w:line="360" w:lineRule="auto"/>
        <w:jc w:val="left"/>
        <w:rPr>
          <w:rFonts w:ascii="宋体" w:hAnsi="宋体"/>
          <w:b/>
          <w:szCs w:val="21"/>
        </w:rPr>
      </w:pPr>
      <w:r>
        <w:rPr>
          <w:rFonts w:hint="eastAsia" w:ascii="宋体" w:hAnsi="宋体"/>
          <w:b/>
          <w:szCs w:val="21"/>
        </w:rPr>
        <w:t>一、响应函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附件1：法定代表人身份证明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附件2：法定代表人授权书</w:t>
      </w:r>
    </w:p>
    <w:p>
      <w:pPr>
        <w:adjustRightInd w:val="0"/>
        <w:snapToGrid w:val="0"/>
        <w:spacing w:line="360" w:lineRule="auto"/>
        <w:jc w:val="left"/>
        <w:rPr>
          <w:rFonts w:ascii="宋体" w:hAnsi="宋体"/>
          <w:b/>
          <w:szCs w:val="21"/>
        </w:rPr>
      </w:pPr>
      <w:r>
        <w:rPr>
          <w:rFonts w:hint="eastAsia" w:ascii="宋体" w:hAnsi="宋体"/>
          <w:b/>
          <w:szCs w:val="21"/>
        </w:rPr>
        <w:t>二、保证金</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附件3：保证金缴纳凭证</w:t>
      </w:r>
    </w:p>
    <w:p>
      <w:pPr>
        <w:adjustRightInd w:val="0"/>
        <w:snapToGrid w:val="0"/>
        <w:spacing w:line="360" w:lineRule="auto"/>
        <w:jc w:val="left"/>
        <w:rPr>
          <w:rFonts w:ascii="宋体" w:hAnsi="宋体"/>
          <w:b/>
          <w:szCs w:val="21"/>
        </w:rPr>
      </w:pPr>
      <w:r>
        <w:rPr>
          <w:rFonts w:hint="eastAsia" w:ascii="宋体" w:hAnsi="宋体"/>
          <w:b/>
          <w:szCs w:val="21"/>
        </w:rPr>
        <w:t>三、供应商的资格审查材料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附件4：供应商基本情况表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附件5：具备履行合同所必需的设备和专业技术能力的承诺</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：无重大违法记录声明书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：信用记录</w:t>
      </w:r>
    </w:p>
    <w:p>
      <w:pPr>
        <w:pStyle w:val="23"/>
        <w:adjustRightInd w:val="0"/>
        <w:snapToGrid w:val="0"/>
        <w:spacing w:line="360" w:lineRule="auto"/>
        <w:rPr>
          <w:rFonts w:hAnsi="宋体"/>
          <w:b/>
        </w:rPr>
      </w:pPr>
      <w:r>
        <w:rPr>
          <w:rFonts w:hint="eastAsia" w:hAnsi="宋体"/>
          <w:b/>
        </w:rPr>
        <w:t>四、技术方案</w:t>
      </w:r>
    </w:p>
    <w:p>
      <w:pPr>
        <w:pStyle w:val="23"/>
        <w:adjustRightInd w:val="0"/>
        <w:snapToGrid w:val="0"/>
        <w:spacing w:line="360" w:lineRule="auto"/>
        <w:rPr>
          <w:rFonts w:hAnsi="宋体"/>
          <w:b/>
        </w:rPr>
      </w:pPr>
      <w:r>
        <w:rPr>
          <w:rFonts w:hint="eastAsia" w:hAnsi="宋体"/>
          <w:b/>
        </w:rPr>
        <w:t>五、服务方案</w:t>
      </w:r>
    </w:p>
    <w:p>
      <w:pPr>
        <w:pStyle w:val="23"/>
        <w:adjustRightInd w:val="0"/>
        <w:snapToGrid w:val="0"/>
        <w:spacing w:line="360" w:lineRule="auto"/>
        <w:rPr>
          <w:rFonts w:hAnsi="宋体"/>
          <w:b/>
        </w:rPr>
      </w:pPr>
      <w:r>
        <w:rPr>
          <w:rFonts w:hint="eastAsia" w:hAnsi="宋体"/>
          <w:b/>
        </w:rPr>
        <w:t>六、报价一览表及报价明细表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附件８：报价一览表、报价明细表</w:t>
      </w:r>
    </w:p>
    <w:p>
      <w:pPr>
        <w:pStyle w:val="23"/>
        <w:adjustRightInd w:val="0"/>
        <w:snapToGrid w:val="0"/>
        <w:spacing w:line="360" w:lineRule="auto"/>
        <w:rPr>
          <w:rFonts w:hAnsi="宋体"/>
        </w:rPr>
      </w:pPr>
      <w:r>
        <w:rPr>
          <w:rFonts w:hint="eastAsia" w:hAnsi="宋体"/>
          <w:b/>
        </w:rPr>
        <w:t>七、供应商认为需提供的其它资料</w:t>
      </w:r>
    </w:p>
    <w:p>
      <w:pPr>
        <w:pStyle w:val="23"/>
        <w:adjustRightInd w:val="0"/>
        <w:snapToGrid w:val="0"/>
        <w:spacing w:before="156" w:beforeLines="50"/>
        <w:rPr>
          <w:rFonts w:ascii="黑体" w:eastAsia="黑体"/>
          <w:sz w:val="32"/>
          <w:szCs w:val="32"/>
        </w:rPr>
      </w:pPr>
    </w:p>
    <w:p>
      <w:pPr>
        <w:pStyle w:val="23"/>
        <w:adjustRightInd w:val="0"/>
        <w:snapToGrid w:val="0"/>
        <w:spacing w:before="156" w:beforeLines="50"/>
        <w:rPr>
          <w:rFonts w:ascii="黑体" w:eastAsia="黑体"/>
          <w:sz w:val="32"/>
          <w:szCs w:val="32"/>
        </w:rPr>
      </w:pPr>
    </w:p>
    <w:p>
      <w:pPr>
        <w:pStyle w:val="23"/>
        <w:adjustRightInd w:val="0"/>
        <w:snapToGrid w:val="0"/>
        <w:spacing w:before="156" w:beforeLines="50"/>
        <w:rPr>
          <w:rFonts w:ascii="黑体" w:eastAsia="黑体"/>
          <w:sz w:val="32"/>
          <w:szCs w:val="32"/>
        </w:rPr>
      </w:pPr>
    </w:p>
    <w:p>
      <w:pPr>
        <w:adjustRightInd w:val="0"/>
        <w:snapToGrid w:val="0"/>
        <w:jc w:val="center"/>
        <w:outlineLvl w:val="1"/>
        <w:rPr>
          <w:rFonts w:ascii="黑体" w:eastAsia="黑体"/>
          <w:b/>
          <w:sz w:val="28"/>
          <w:szCs w:val="28"/>
        </w:rPr>
      </w:pPr>
      <w:r>
        <w:rPr>
          <w:rFonts w:ascii="黑体" w:eastAsia="黑体"/>
          <w:sz w:val="32"/>
          <w:szCs w:val="32"/>
        </w:rPr>
        <w:br w:type="page"/>
      </w:r>
      <w:bookmarkStart w:id="80" w:name="_Toc5218"/>
      <w:r>
        <w:rPr>
          <w:rFonts w:hint="eastAsia" w:ascii="黑体" w:hAnsi="宋体" w:eastAsia="黑体"/>
          <w:b/>
          <w:sz w:val="28"/>
          <w:szCs w:val="28"/>
        </w:rPr>
        <w:t>一、响应函</w:t>
      </w:r>
      <w:bookmarkEnd w:id="80"/>
    </w:p>
    <w:p>
      <w:pPr>
        <w:adjustRightInd w:val="0"/>
        <w:snapToGrid w:val="0"/>
        <w:spacing w:line="360" w:lineRule="auto"/>
        <w:rPr>
          <w:rFonts w:ascii="仿宋_GB2312" w:hAnsi="宋体" w:eastAsia="仿宋_GB2312"/>
          <w:sz w:val="28"/>
          <w:szCs w:val="28"/>
        </w:rPr>
      </w:pP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pPr>
        <w:adjustRightInd w:val="0"/>
        <w:snapToGrid w:val="0"/>
        <w:spacing w:line="360" w:lineRule="auto"/>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项目名称)的协商邀请（项目编号：</w:t>
      </w:r>
      <w:r>
        <w:rPr>
          <w:rFonts w:hint="eastAsia" w:ascii="宋体" w:hAnsi="宋体"/>
          <w:szCs w:val="21"/>
          <w:u w:val="single"/>
        </w:rPr>
        <w:t xml:space="preserve">            </w:t>
      </w:r>
      <w:r>
        <w:rPr>
          <w:rFonts w:hint="eastAsia" w:ascii="宋体" w:hAnsi="宋体"/>
          <w:szCs w:val="21"/>
        </w:rPr>
        <w:t xml:space="preserve"> ），签字代表</w:t>
      </w:r>
      <w:r>
        <w:rPr>
          <w:rFonts w:hint="eastAsia" w:ascii="宋体" w:hAnsi="宋体"/>
          <w:szCs w:val="21"/>
          <w:u w:val="single"/>
        </w:rPr>
        <w:t xml:space="preserve">        </w:t>
      </w:r>
      <w:r>
        <w:rPr>
          <w:rFonts w:hint="eastAsia" w:ascii="宋体" w:hAnsi="宋体"/>
          <w:szCs w:val="21"/>
        </w:rPr>
        <w:t>（全名、职务）经正式授权并代表供应商</w:t>
      </w:r>
      <w:r>
        <w:rPr>
          <w:rFonts w:hint="eastAsia" w:ascii="宋体" w:hAnsi="宋体"/>
          <w:szCs w:val="21"/>
          <w:u w:val="single"/>
        </w:rPr>
        <w:t xml:space="preserve">         </w:t>
      </w:r>
      <w:r>
        <w:rPr>
          <w:rFonts w:hint="eastAsia" w:ascii="宋体" w:hAnsi="宋体"/>
          <w:szCs w:val="21"/>
        </w:rPr>
        <w:t>（供应商名称、地址）提交响应文件文件正本一份和副本一式</w:t>
      </w:r>
      <w:r>
        <w:rPr>
          <w:rFonts w:hint="eastAsia" w:ascii="宋体" w:hAnsi="宋体"/>
          <w:szCs w:val="21"/>
          <w:u w:val="single"/>
        </w:rPr>
        <w:t xml:space="preserve">  </w:t>
      </w:r>
      <w:r>
        <w:rPr>
          <w:rFonts w:hint="eastAsia" w:ascii="宋体" w:hAnsi="宋体"/>
          <w:szCs w:val="21"/>
        </w:rPr>
        <w:t>份。</w:t>
      </w:r>
    </w:p>
    <w:p>
      <w:pPr>
        <w:pStyle w:val="23"/>
        <w:adjustRightInd w:val="0"/>
        <w:snapToGrid w:val="0"/>
        <w:spacing w:line="360" w:lineRule="auto"/>
        <w:ind w:firstLine="420" w:firstLineChars="200"/>
        <w:rPr>
          <w:rFonts w:hAnsi="宋体"/>
        </w:rPr>
      </w:pPr>
      <w:r>
        <w:rPr>
          <w:rFonts w:hint="eastAsia" w:hAnsi="宋体"/>
        </w:rPr>
        <w:t>一、我方同意在本项目单一来源采购文件中规定的递交响应文件截止时间起</w:t>
      </w:r>
      <w:r>
        <w:rPr>
          <w:rFonts w:hint="eastAsia" w:hAnsi="宋体"/>
          <w:u w:val="single"/>
        </w:rPr>
        <w:t xml:space="preserve">      </w:t>
      </w:r>
      <w:r>
        <w:rPr>
          <w:rFonts w:hint="eastAsia" w:hAnsi="宋体"/>
        </w:rPr>
        <w:t>天内(响应文件有效期)遵守本响应文件中的承诺且在此期限期满之前均具有约束力。</w:t>
      </w:r>
    </w:p>
    <w:p>
      <w:pPr>
        <w:pStyle w:val="23"/>
        <w:adjustRightInd w:val="0"/>
        <w:snapToGrid w:val="0"/>
        <w:spacing w:line="360" w:lineRule="auto"/>
        <w:ind w:firstLine="420" w:firstLineChars="200"/>
        <w:rPr>
          <w:rFonts w:hAnsi="宋体"/>
        </w:rPr>
      </w:pPr>
      <w:r>
        <w:rPr>
          <w:rFonts w:hint="eastAsia" w:hAnsi="宋体"/>
        </w:rPr>
        <w:t>二、我方已详细审核全部单一来源采购文件，包括单一来源采购文件修改文件（如有的话）、参考资料及有关附件，确认无误。我方承诺接受单一来源采购文件中的全部条款且无任何异议。</w:t>
      </w:r>
    </w:p>
    <w:p>
      <w:pPr>
        <w:pStyle w:val="23"/>
        <w:adjustRightInd w:val="0"/>
        <w:snapToGrid w:val="0"/>
        <w:spacing w:line="360" w:lineRule="auto"/>
        <w:ind w:firstLine="420" w:firstLineChars="200"/>
        <w:rPr>
          <w:rFonts w:hAnsi="宋体"/>
        </w:rPr>
      </w:pPr>
      <w:r>
        <w:rPr>
          <w:rFonts w:hint="eastAsia" w:hAnsi="宋体"/>
        </w:rPr>
        <w:t>三、我方保证响应文件提供的数据和材料是真实、准确的。我方愿意向贵方提供任何与本项采购有关的数据、情况和技术资料。若贵方需要，我方愿意提供我方作出的一切承诺的证明材料。</w:t>
      </w:r>
    </w:p>
    <w:p>
      <w:pPr>
        <w:pStyle w:val="23"/>
        <w:adjustRightInd w:val="0"/>
        <w:snapToGrid w:val="0"/>
        <w:spacing w:line="360" w:lineRule="auto"/>
        <w:ind w:firstLine="420" w:firstLineChars="200"/>
        <w:rPr>
          <w:rFonts w:hAnsi="宋体"/>
        </w:rPr>
      </w:pPr>
      <w:r>
        <w:rPr>
          <w:rFonts w:hint="eastAsia" w:hAnsi="宋体"/>
        </w:rPr>
        <w:t>四、我方承诺遵守《</w:t>
      </w:r>
      <w:r>
        <w:rPr>
          <w:rFonts w:hint="eastAsia" w:hAnsi="宋体" w:cs="宋体"/>
          <w:kern w:val="0"/>
        </w:rPr>
        <w:t>中华人民共和国</w:t>
      </w:r>
      <w:r>
        <w:rPr>
          <w:rFonts w:hint="eastAsia" w:hAnsi="宋体"/>
        </w:rPr>
        <w:t>政府采购法》的有关规定，保证在获得成交资格后，按照单一来源采购文件确定的事项签订政府采购合同，履行双方所签订的合同，并承担合同规定的责任和义务。</w:t>
      </w:r>
    </w:p>
    <w:p>
      <w:pPr>
        <w:adjustRightInd w:val="0"/>
        <w:snapToGrid w:val="0"/>
        <w:spacing w:line="360" w:lineRule="auto"/>
        <w:ind w:left="1" w:firstLine="420" w:firstLineChars="200"/>
      </w:pPr>
    </w:p>
    <w:p>
      <w:pPr>
        <w:pStyle w:val="23"/>
        <w:adjustRightInd w:val="0"/>
        <w:snapToGrid w:val="0"/>
        <w:spacing w:line="360" w:lineRule="auto"/>
        <w:rPr>
          <w:rFonts w:hAnsi="宋体"/>
        </w:rPr>
      </w:pPr>
    </w:p>
    <w:p>
      <w:pPr>
        <w:pStyle w:val="23"/>
        <w:adjustRightInd w:val="0"/>
        <w:snapToGrid w:val="0"/>
        <w:spacing w:line="360" w:lineRule="auto"/>
        <w:rPr>
          <w:rFonts w:hAnsi="宋体"/>
        </w:rPr>
      </w:pPr>
    </w:p>
    <w:p>
      <w:pPr>
        <w:pStyle w:val="23"/>
        <w:adjustRightInd w:val="0"/>
        <w:snapToGrid w:val="0"/>
        <w:spacing w:line="360" w:lineRule="auto"/>
        <w:rPr>
          <w:rFonts w:hAnsi="宋体"/>
        </w:rPr>
      </w:pPr>
    </w:p>
    <w:p>
      <w:pPr>
        <w:pStyle w:val="23"/>
        <w:adjustRightInd w:val="0"/>
        <w:snapToGrid w:val="0"/>
        <w:spacing w:line="360" w:lineRule="auto"/>
        <w:rPr>
          <w:rFonts w:hAnsi="宋体"/>
        </w:rPr>
      </w:pPr>
      <w:r>
        <w:rPr>
          <w:rFonts w:hint="eastAsia" w:hAnsi="宋体"/>
        </w:rPr>
        <w:t>供应商名称(盖章)：</w:t>
      </w:r>
    </w:p>
    <w:p>
      <w:pPr>
        <w:adjustRightInd w:val="0"/>
        <w:snapToGrid w:val="0"/>
        <w:spacing w:line="360" w:lineRule="auto"/>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156" w:beforeLines="50" w:line="360" w:lineRule="auto"/>
        <w:rPr>
          <w:rFonts w:ascii="黑体" w:hAnsi="宋体" w:eastAsia="黑体"/>
          <w:sz w:val="24"/>
        </w:rPr>
      </w:pPr>
    </w:p>
    <w:p>
      <w:pPr>
        <w:adjustRightInd w:val="0"/>
        <w:snapToGrid w:val="0"/>
        <w:spacing w:line="360" w:lineRule="auto"/>
        <w:ind w:right="24"/>
        <w:rPr>
          <w:rFonts w:ascii="黑体" w:hAnsi="华文中宋" w:eastAsia="黑体"/>
          <w:bCs/>
          <w:sz w:val="32"/>
          <w:szCs w:val="32"/>
        </w:rPr>
      </w:pPr>
      <w:bookmarkStart w:id="81" w:name="_Toc421020450"/>
      <w:bookmarkStart w:id="82" w:name="_Toc434513240"/>
      <w:r>
        <w:rPr>
          <w:rFonts w:ascii="黑体" w:hAnsi="华文中宋" w:eastAsia="黑体"/>
          <w:bCs/>
          <w:sz w:val="32"/>
          <w:szCs w:val="32"/>
        </w:rPr>
        <w:br w:type="page"/>
      </w:r>
      <w:bookmarkStart w:id="83" w:name="_Toc438641266"/>
      <w:bookmarkStart w:id="84" w:name="_Toc438641381"/>
      <w:r>
        <w:rPr>
          <w:rFonts w:hint="eastAsia" w:ascii="黑体" w:hAnsi="华文中宋" w:eastAsia="黑体"/>
          <w:bCs/>
          <w:sz w:val="32"/>
          <w:szCs w:val="32"/>
        </w:rPr>
        <w:t>附件1</w:t>
      </w:r>
      <w:bookmarkEnd w:id="81"/>
      <w:bookmarkEnd w:id="82"/>
      <w:bookmarkEnd w:id="83"/>
      <w:bookmarkEnd w:id="84"/>
    </w:p>
    <w:p>
      <w:pPr>
        <w:adjustRightInd w:val="0"/>
        <w:snapToGrid w:val="0"/>
        <w:spacing w:line="360" w:lineRule="auto"/>
        <w:ind w:right="24"/>
        <w:jc w:val="center"/>
        <w:rPr>
          <w:rFonts w:ascii="方正小标宋_GBK" w:hAnsi="华文中宋" w:eastAsia="方正小标宋_GBK"/>
          <w:sz w:val="28"/>
          <w:szCs w:val="28"/>
        </w:rPr>
      </w:pPr>
      <w:bookmarkStart w:id="85" w:name="_Toc434513241"/>
      <w:bookmarkStart w:id="86" w:name="_Toc421020451"/>
      <w:bookmarkStart w:id="87" w:name="_Toc438641382"/>
      <w:bookmarkStart w:id="88" w:name="_Toc438641267"/>
      <w:r>
        <w:rPr>
          <w:rFonts w:hint="eastAsia" w:ascii="方正小标宋_GBK" w:hAnsi="华文中宋" w:eastAsia="方正小标宋_GBK"/>
          <w:sz w:val="28"/>
          <w:szCs w:val="28"/>
        </w:rPr>
        <w:t>法定代表人身份证明</w:t>
      </w:r>
      <w:bookmarkEnd w:id="85"/>
      <w:bookmarkEnd w:id="86"/>
      <w:bookmarkEnd w:id="87"/>
      <w:bookmarkEnd w:id="88"/>
    </w:p>
    <w:p>
      <w:pPr>
        <w:snapToGrid w:val="0"/>
        <w:spacing w:line="480" w:lineRule="auto"/>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pPr>
    </w:p>
    <w:p>
      <w:pPr>
        <w:adjustRightInd w:val="0"/>
        <w:snapToGrid w:val="0"/>
        <w:spacing w:line="360" w:lineRule="auto"/>
        <w:ind w:right="24"/>
        <w:rPr>
          <w:rFonts w:ascii="黑体" w:hAnsi="宋体" w:eastAsia="黑体"/>
          <w:sz w:val="32"/>
          <w:szCs w:val="32"/>
        </w:rPr>
      </w:pPr>
      <w:r>
        <w:rPr>
          <w:rFonts w:ascii="仿宋_GB2312" w:hAnsi="宋体" w:eastAsia="仿宋_GB2312"/>
          <w:szCs w:val="21"/>
        </w:rPr>
        <w:br w:type="page"/>
      </w:r>
      <w:bookmarkStart w:id="89" w:name="_Toc421020452"/>
      <w:bookmarkStart w:id="90" w:name="_Toc438641383"/>
      <w:bookmarkStart w:id="91" w:name="_Toc438641268"/>
      <w:bookmarkStart w:id="92" w:name="_Toc434513242"/>
      <w:r>
        <w:rPr>
          <w:rFonts w:hint="eastAsia" w:ascii="黑体" w:hAnsi="华文中宋" w:eastAsia="黑体"/>
          <w:bCs/>
          <w:sz w:val="32"/>
          <w:szCs w:val="32"/>
        </w:rPr>
        <w:t>附件2</w:t>
      </w:r>
      <w:bookmarkEnd w:id="89"/>
      <w:bookmarkEnd w:id="90"/>
      <w:bookmarkEnd w:id="91"/>
      <w:bookmarkEnd w:id="92"/>
    </w:p>
    <w:p>
      <w:pPr>
        <w:adjustRightInd w:val="0"/>
        <w:snapToGrid w:val="0"/>
        <w:spacing w:line="360" w:lineRule="auto"/>
        <w:ind w:right="24"/>
        <w:jc w:val="center"/>
        <w:rPr>
          <w:rFonts w:ascii="方正小标宋_GBK" w:hAnsi="华文中宋" w:eastAsia="方正小标宋_GBK"/>
          <w:sz w:val="28"/>
          <w:szCs w:val="28"/>
        </w:rPr>
      </w:pPr>
      <w:bookmarkStart w:id="93" w:name="_Toc438641269"/>
      <w:bookmarkStart w:id="94" w:name="_Toc434513243"/>
      <w:bookmarkStart w:id="95" w:name="_Toc438641384"/>
      <w:bookmarkStart w:id="96" w:name="_Toc421020453"/>
      <w:r>
        <w:rPr>
          <w:rFonts w:hint="eastAsia" w:ascii="方正小标宋_GBK" w:hAnsi="宋体" w:eastAsia="方正小标宋_GBK"/>
          <w:sz w:val="28"/>
          <w:szCs w:val="28"/>
        </w:rPr>
        <w:t>法定代表人</w:t>
      </w:r>
      <w:r>
        <w:rPr>
          <w:rFonts w:hint="eastAsia" w:ascii="方正小标宋_GBK" w:hAnsi="华文中宋" w:eastAsia="方正小标宋_GBK"/>
          <w:sz w:val="28"/>
          <w:szCs w:val="28"/>
        </w:rPr>
        <w:t>授权书</w:t>
      </w:r>
      <w:bookmarkEnd w:id="93"/>
      <w:bookmarkEnd w:id="94"/>
      <w:bookmarkEnd w:id="95"/>
      <w:bookmarkEnd w:id="96"/>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（项目名称）响应文件；(2)签署并重新提交响应文件及最后报价；</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(3)退出协商；</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ascii="宋体" w:hAnsi="宋体"/>
          <w:szCs w:val="21"/>
        </w:rPr>
      </w:pP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附：法定代表人身份证复印件</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附：委托代理人身份证复印件</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b/>
        </w:rPr>
      </w:pPr>
    </w:p>
    <w:p>
      <w:pPr>
        <w:spacing w:line="360" w:lineRule="exact"/>
        <w:rPr>
          <w:rFonts w:ascii="宋体"/>
          <w:b/>
        </w:rPr>
      </w:pPr>
    </w:p>
    <w:p>
      <w:pPr>
        <w:spacing w:line="360" w:lineRule="exact"/>
        <w:rPr>
          <w:rFonts w:ascii="宋体"/>
          <w:b/>
        </w:rPr>
      </w:pPr>
    </w:p>
    <w:p>
      <w:pPr>
        <w:spacing w:line="360" w:lineRule="exact"/>
        <w:rPr>
          <w:rFonts w:ascii="宋体"/>
          <w:b/>
        </w:rPr>
      </w:pPr>
    </w:p>
    <w:p>
      <w:pPr>
        <w:adjustRightInd w:val="0"/>
        <w:snapToGrid w:val="0"/>
        <w:spacing w:line="360" w:lineRule="auto"/>
        <w:ind w:right="24"/>
        <w:rPr>
          <w:rFonts w:ascii="宋体"/>
          <w:b/>
        </w:rPr>
      </w:pPr>
      <w:r>
        <w:rPr>
          <w:rFonts w:ascii="宋体"/>
          <w:b/>
        </w:rPr>
        <w:br w:type="page"/>
      </w:r>
      <w:bookmarkStart w:id="97" w:name="_Toc421020454"/>
      <w:bookmarkStart w:id="98" w:name="_Toc434513244"/>
    </w:p>
    <w:p>
      <w:pPr>
        <w:adjustRightInd w:val="0"/>
        <w:snapToGrid w:val="0"/>
        <w:spacing w:line="360" w:lineRule="auto"/>
        <w:ind w:right="24"/>
        <w:rPr>
          <w:rFonts w:ascii="黑体" w:hAnsi="宋体" w:eastAsia="黑体"/>
          <w:sz w:val="32"/>
          <w:szCs w:val="32"/>
        </w:rPr>
      </w:pPr>
      <w:bookmarkStart w:id="99" w:name="_Toc438641385"/>
      <w:bookmarkStart w:id="100" w:name="_Toc438641270"/>
      <w:r>
        <w:rPr>
          <w:rFonts w:hint="eastAsia" w:ascii="黑体" w:hAnsi="华文中宋" w:eastAsia="黑体"/>
          <w:bCs/>
          <w:sz w:val="32"/>
          <w:szCs w:val="32"/>
        </w:rPr>
        <w:t>附件3</w:t>
      </w:r>
      <w:bookmarkEnd w:id="97"/>
      <w:bookmarkEnd w:id="98"/>
      <w:bookmarkEnd w:id="99"/>
      <w:bookmarkEnd w:id="100"/>
    </w:p>
    <w:p>
      <w:pPr>
        <w:pStyle w:val="23"/>
        <w:adjustRightInd w:val="0"/>
        <w:snapToGrid w:val="0"/>
        <w:spacing w:line="360" w:lineRule="auto"/>
        <w:jc w:val="center"/>
        <w:rPr>
          <w:rFonts w:ascii="黑体" w:eastAsia="黑体"/>
          <w:b/>
          <w:sz w:val="28"/>
          <w:szCs w:val="28"/>
        </w:rPr>
      </w:pPr>
    </w:p>
    <w:p>
      <w:pPr>
        <w:adjustRightInd w:val="0"/>
        <w:snapToGrid w:val="0"/>
        <w:jc w:val="center"/>
        <w:outlineLvl w:val="1"/>
        <w:rPr>
          <w:rFonts w:ascii="黑体" w:hAnsi="宋体" w:eastAsia="黑体"/>
          <w:b/>
          <w:sz w:val="28"/>
          <w:szCs w:val="28"/>
        </w:rPr>
      </w:pPr>
      <w:bookmarkStart w:id="101" w:name="_Toc13648"/>
      <w:r>
        <w:rPr>
          <w:rFonts w:hint="eastAsia" w:ascii="黑体" w:hAnsi="宋体" w:eastAsia="黑体"/>
          <w:b/>
          <w:sz w:val="28"/>
          <w:szCs w:val="28"/>
        </w:rPr>
        <w:t>二、保证金</w:t>
      </w:r>
      <w:bookmarkEnd w:id="101"/>
    </w:p>
    <w:p>
      <w:pPr>
        <w:pStyle w:val="23"/>
        <w:adjustRightInd w:val="0"/>
        <w:snapToGrid w:val="0"/>
        <w:spacing w:line="360" w:lineRule="auto"/>
        <w:jc w:val="center"/>
        <w:rPr>
          <w:rFonts w:ascii="黑体" w:eastAsia="黑体"/>
          <w:b/>
          <w:sz w:val="28"/>
          <w:szCs w:val="28"/>
        </w:rPr>
      </w:pPr>
    </w:p>
    <w:p>
      <w:pPr>
        <w:shd w:val="clear" w:color="auto" w:fill="FFFFFF"/>
        <w:spacing w:line="480" w:lineRule="exact"/>
        <w:jc w:val="center"/>
        <w:rPr>
          <w:rFonts w:ascii="宋体" w:hAnsi="宋体"/>
          <w:b/>
          <w:bCs/>
          <w:sz w:val="24"/>
        </w:rPr>
      </w:pPr>
      <w:r>
        <w:rPr>
          <w:rFonts w:hint="eastAsia" w:ascii="宋体" w:hAnsi="宋体"/>
          <w:b/>
          <w:bCs/>
          <w:sz w:val="24"/>
        </w:rPr>
        <w:t>保证金缴纳凭证</w:t>
      </w:r>
    </w:p>
    <w:p>
      <w:pPr>
        <w:pStyle w:val="23"/>
        <w:adjustRightInd w:val="0"/>
        <w:snapToGrid w:val="0"/>
        <w:spacing w:before="156" w:beforeLines="50" w:line="360" w:lineRule="auto"/>
        <w:rPr>
          <w:rFonts w:ascii="仿宋_GB2312" w:hAnsi="宋体" w:eastAsia="仿宋_GB2312"/>
        </w:rPr>
      </w:pPr>
    </w:p>
    <w:p>
      <w:pPr>
        <w:adjustRightInd w:val="0"/>
        <w:snapToGrid w:val="0"/>
        <w:jc w:val="center"/>
        <w:outlineLvl w:val="1"/>
        <w:rPr>
          <w:rFonts w:ascii="黑体" w:hAnsi="宋体" w:eastAsia="黑体"/>
          <w:b/>
          <w:sz w:val="28"/>
          <w:szCs w:val="28"/>
        </w:rPr>
      </w:pPr>
      <w:r>
        <w:rPr>
          <w:rFonts w:ascii="黑体" w:hAnsi="宋体" w:eastAsia="黑体"/>
          <w:b/>
          <w:sz w:val="28"/>
          <w:szCs w:val="28"/>
        </w:rPr>
        <w:br w:type="page"/>
      </w:r>
      <w:bookmarkStart w:id="102" w:name="_Toc462741922"/>
      <w:bookmarkStart w:id="103" w:name="_Toc29924"/>
      <w:r>
        <w:rPr>
          <w:rFonts w:hint="eastAsia" w:ascii="黑体" w:hAnsi="宋体" w:eastAsia="黑体"/>
          <w:b/>
          <w:sz w:val="28"/>
          <w:szCs w:val="28"/>
        </w:rPr>
        <w:t>三、</w:t>
      </w:r>
      <w:bookmarkEnd w:id="102"/>
      <w:r>
        <w:rPr>
          <w:rFonts w:hint="eastAsia" w:ascii="黑体" w:hAnsi="宋体" w:eastAsia="黑体"/>
          <w:b/>
          <w:sz w:val="28"/>
          <w:szCs w:val="28"/>
        </w:rPr>
        <w:t>供应商的资格审查材料</w:t>
      </w:r>
      <w:bookmarkEnd w:id="103"/>
    </w:p>
    <w:p>
      <w:pPr>
        <w:adjustRightInd w:val="0"/>
        <w:snapToGrid w:val="0"/>
        <w:spacing w:line="48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（一）法人或者其他组织的营业执照等证明文件，自然人的身份证明；：</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供应商是事业单位的，应提供其有效的“事业单位法人证书”复印件；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供应商是非企业专业服务机构的，应提供其有效的执业许可证复印件；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供应商是个体工商户的，应提供其有效的“个体工商户营业执照”复印件；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供应商是自然人的，应提供其有效的自然人身份证明；</w:t>
      </w:r>
    </w:p>
    <w:p>
      <w:pPr>
        <w:adjustRightInd w:val="0"/>
        <w:snapToGrid w:val="0"/>
        <w:spacing w:line="360" w:lineRule="auto"/>
        <w:jc w:val="left"/>
        <w:rPr>
          <w:rFonts w:ascii="宋体" w:hAnsi="宋体"/>
          <w:szCs w:val="21"/>
        </w:rPr>
      </w:pPr>
      <w:r>
        <w:rPr>
          <w:rFonts w:hint="eastAsia" w:ascii="宋体" w:hAnsi="宋体"/>
          <w:szCs w:val="21"/>
        </w:rPr>
        <w:t>（二）</w:t>
      </w:r>
      <w:r>
        <w:rPr>
          <w:rFonts w:hint="eastAsia" w:ascii="宋体" w:hAnsi="宋体"/>
          <w:bCs/>
          <w:szCs w:val="21"/>
        </w:rPr>
        <w:t>财务状况报告；</w:t>
      </w:r>
    </w:p>
    <w:p>
      <w:pPr>
        <w:adjustRightInd w:val="0"/>
        <w:snapToGrid w:val="0"/>
        <w:spacing w:line="360" w:lineRule="auto"/>
        <w:ind w:firstLine="315" w:firstLineChars="150"/>
        <w:jc w:val="left"/>
        <w:rPr>
          <w:rFonts w:ascii="宋体" w:hAnsi="宋体"/>
          <w:szCs w:val="21"/>
        </w:rPr>
      </w:pPr>
      <w:r>
        <w:rPr>
          <w:rFonts w:hint="eastAsia" w:ascii="宋体" w:hAnsi="宋体"/>
          <w:szCs w:val="21"/>
        </w:rPr>
        <w:t>提供上年度财务审计报告或半年内任意一个月财务报表（财务报表应至少包括资产负债表、损益表、现金流量表或财务状况变动表，当月新成立公司不需提供）</w:t>
      </w:r>
    </w:p>
    <w:p>
      <w:pPr>
        <w:adjustRightInd w:val="0"/>
        <w:snapToGrid w:val="0"/>
        <w:spacing w:line="360" w:lineRule="auto"/>
        <w:jc w:val="left"/>
        <w:rPr>
          <w:rFonts w:ascii="宋体" w:hAnsi="宋体"/>
          <w:szCs w:val="21"/>
        </w:rPr>
      </w:pPr>
      <w:r>
        <w:rPr>
          <w:rFonts w:hint="eastAsia" w:ascii="宋体" w:hAnsi="宋体"/>
          <w:szCs w:val="21"/>
        </w:rPr>
        <w:t>（三）依法缴纳税收和社会保障资金的良好记录：</w:t>
      </w:r>
    </w:p>
    <w:p>
      <w:pPr>
        <w:adjustRightInd w:val="0"/>
        <w:snapToGrid w:val="0"/>
        <w:spacing w:line="360" w:lineRule="auto"/>
        <w:ind w:firstLine="210" w:firstLineChars="100"/>
        <w:jc w:val="left"/>
        <w:rPr>
          <w:rFonts w:ascii="宋体" w:hAnsi="宋体"/>
          <w:szCs w:val="21"/>
        </w:rPr>
      </w:pPr>
      <w:r>
        <w:rPr>
          <w:rFonts w:hint="eastAsia" w:ascii="宋体" w:hAnsi="宋体"/>
          <w:szCs w:val="21"/>
        </w:rPr>
        <w:t>说明：</w:t>
      </w:r>
    </w:p>
    <w:p>
      <w:pPr>
        <w:adjustRightInd w:val="0"/>
        <w:snapToGrid w:val="0"/>
        <w:spacing w:line="360" w:lineRule="auto"/>
        <w:ind w:firstLine="210" w:firstLineChars="100"/>
        <w:jc w:val="left"/>
        <w:rPr>
          <w:rFonts w:ascii="宋体" w:hAnsi="宋体"/>
          <w:szCs w:val="21"/>
        </w:rPr>
      </w:pPr>
      <w:r>
        <w:rPr>
          <w:rFonts w:hint="eastAsia" w:ascii="宋体" w:hAnsi="宋体"/>
          <w:szCs w:val="21"/>
        </w:rPr>
        <w:t>（1）供应商是法人的，缴纳税收的证明材料，应提供递交响应文件前半年内任意一个月的纳税凭据复印件，指供应商缴纳增值税、营业税和企业所得税任意一种的缴纳凭据；</w:t>
      </w:r>
    </w:p>
    <w:p>
      <w:pPr>
        <w:adjustRightInd w:val="0"/>
        <w:snapToGrid w:val="0"/>
        <w:spacing w:line="360" w:lineRule="auto"/>
        <w:ind w:firstLine="210" w:firstLineChars="100"/>
        <w:jc w:val="left"/>
        <w:rPr>
          <w:rFonts w:ascii="宋体" w:hAnsi="宋体"/>
          <w:szCs w:val="21"/>
        </w:rPr>
      </w:pPr>
      <w:r>
        <w:rPr>
          <w:rFonts w:hint="eastAsia" w:ascii="宋体" w:hAnsi="宋体"/>
          <w:szCs w:val="21"/>
        </w:rPr>
        <w:t>（2）供应商是法人的，缴纳社会保障资金的证明材料，应提供递交响应文件前半年内任意一个月的缴纳社会保险的凭据（专用收据或社会保险缴纳清单）；</w:t>
      </w:r>
    </w:p>
    <w:p>
      <w:pPr>
        <w:adjustRightInd w:val="0"/>
        <w:snapToGrid w:val="0"/>
        <w:spacing w:line="360" w:lineRule="auto"/>
        <w:ind w:firstLine="210" w:firstLineChars="100"/>
        <w:jc w:val="left"/>
        <w:rPr>
          <w:rFonts w:ascii="宋体" w:hAnsi="宋体"/>
          <w:szCs w:val="21"/>
        </w:rPr>
      </w:pPr>
      <w:r>
        <w:rPr>
          <w:rFonts w:hint="eastAsia" w:ascii="宋体" w:hAnsi="宋体"/>
          <w:szCs w:val="21"/>
        </w:rPr>
        <w:t>供应商是其他组织和自然人的，需要提供递交响应文件前半年内任意一个月的缴纳税收和社会保险的凭据（专用收据或社会保险缴纳清单）。</w:t>
      </w:r>
    </w:p>
    <w:p>
      <w:pPr>
        <w:adjustRightInd w:val="0"/>
        <w:snapToGrid w:val="0"/>
        <w:spacing w:line="360" w:lineRule="auto"/>
        <w:ind w:firstLine="210" w:firstLineChars="100"/>
        <w:jc w:val="left"/>
        <w:rPr>
          <w:rFonts w:ascii="宋体" w:hAnsi="宋体"/>
          <w:szCs w:val="21"/>
        </w:rPr>
      </w:pPr>
      <w:r>
        <w:rPr>
          <w:rFonts w:hint="eastAsia" w:ascii="宋体" w:hAnsi="宋体"/>
          <w:szCs w:val="21"/>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ascii="宋体" w:hAnsi="宋体"/>
          <w:szCs w:val="21"/>
        </w:rPr>
      </w:pPr>
      <w:r>
        <w:rPr>
          <w:rFonts w:hint="eastAsia" w:ascii="宋体" w:hAnsi="宋体"/>
          <w:szCs w:val="21"/>
        </w:rPr>
        <w:t xml:space="preserve">（四）供应商须具有履行合同所必需的设备和专业技术能力，须附相关证明材料或声明： </w:t>
      </w:r>
    </w:p>
    <w:p>
      <w:pPr>
        <w:adjustRightInd w:val="0"/>
        <w:snapToGrid w:val="0"/>
        <w:spacing w:line="360" w:lineRule="auto"/>
        <w:jc w:val="left"/>
        <w:rPr>
          <w:rFonts w:ascii="宋体" w:hAnsi="宋体"/>
          <w:szCs w:val="21"/>
        </w:rPr>
      </w:pPr>
      <w:r>
        <w:rPr>
          <w:rFonts w:hint="eastAsia" w:ascii="宋体" w:hAnsi="宋体"/>
          <w:szCs w:val="21"/>
        </w:rPr>
        <w:t>见附件</w:t>
      </w:r>
      <w:r>
        <w:rPr>
          <w:rFonts w:ascii="宋体" w:hAnsi="宋体"/>
          <w:szCs w:val="21"/>
        </w:rPr>
        <w:t>5</w:t>
      </w:r>
    </w:p>
    <w:p>
      <w:pPr>
        <w:adjustRightInd w:val="0"/>
        <w:snapToGrid w:val="0"/>
        <w:spacing w:line="360" w:lineRule="auto"/>
        <w:jc w:val="left"/>
        <w:rPr>
          <w:rFonts w:ascii="宋体" w:hAnsi="宋体"/>
          <w:szCs w:val="21"/>
        </w:rPr>
      </w:pPr>
      <w:r>
        <w:rPr>
          <w:rFonts w:hint="eastAsia" w:ascii="宋体" w:hAnsi="宋体"/>
          <w:szCs w:val="21"/>
        </w:rPr>
        <w:t>（五）近三年内在经营活动中没有重大违法记录的书面声明：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见附件</w:t>
      </w:r>
      <w:r>
        <w:rPr>
          <w:rFonts w:ascii="宋体" w:hAnsi="宋体"/>
          <w:szCs w:val="21"/>
        </w:rPr>
        <w:t>6</w:t>
      </w:r>
    </w:p>
    <w:p>
      <w:pPr>
        <w:adjustRightInd w:val="0"/>
        <w:snapToGrid w:val="0"/>
        <w:spacing w:line="360" w:lineRule="auto"/>
        <w:jc w:val="left"/>
        <w:rPr>
          <w:rFonts w:ascii="宋体" w:hAnsi="宋体"/>
          <w:szCs w:val="21"/>
        </w:rPr>
      </w:pPr>
      <w:r>
        <w:rPr>
          <w:rFonts w:hint="eastAsia" w:ascii="宋体" w:hAnsi="宋体"/>
          <w:szCs w:val="21"/>
        </w:rPr>
        <w:t>（六）供应商未列入失信被执行人、</w:t>
      </w:r>
      <w:r>
        <w:rPr>
          <w:rFonts w:hint="eastAsia" w:ascii="宋体" w:hAnsi="宋体"/>
          <w:szCs w:val="21"/>
          <w:lang w:eastAsia="zh-CN"/>
        </w:rPr>
        <w:t>重大税收违法失信主体</w:t>
      </w:r>
      <w:r>
        <w:rPr>
          <w:rFonts w:hint="eastAsia" w:ascii="宋体" w:hAnsi="宋体"/>
          <w:szCs w:val="21"/>
        </w:rPr>
        <w:t>、政府采购严重违法失信行为记录名单证明材料（财库[2016]125号）</w:t>
      </w:r>
    </w:p>
    <w:p>
      <w:pPr>
        <w:adjustRightInd w:val="0"/>
        <w:snapToGrid w:val="0"/>
        <w:spacing w:line="360" w:lineRule="auto"/>
        <w:ind w:firstLine="420" w:firstLineChars="200"/>
        <w:jc w:val="left"/>
        <w:rPr>
          <w:rFonts w:ascii="宋体" w:hAnsi="宋体"/>
          <w:szCs w:val="21"/>
        </w:rPr>
      </w:pPr>
      <w:r>
        <w:rPr>
          <w:rFonts w:hint="eastAsia" w:ascii="宋体" w:hAnsi="宋体"/>
          <w:szCs w:val="21"/>
        </w:rPr>
        <w:t>见附件</w:t>
      </w:r>
      <w:r>
        <w:rPr>
          <w:rFonts w:ascii="宋体" w:hAnsi="宋体"/>
          <w:szCs w:val="21"/>
        </w:rPr>
        <w:t>7</w:t>
      </w:r>
    </w:p>
    <w:p>
      <w:pPr>
        <w:spacing w:line="240" w:lineRule="exac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注：1、以上复印件均需要加盖供应商行政原章。</w:t>
      </w:r>
    </w:p>
    <w:p>
      <w:pPr>
        <w:spacing w:line="320" w:lineRule="exact"/>
        <w:ind w:firstLine="420" w:firstLineChars="200"/>
        <w:rPr>
          <w:rFonts w:ascii="宋体" w:hAnsi="宋体"/>
          <w:sz w:val="32"/>
          <w:szCs w:val="21"/>
        </w:rPr>
      </w:pPr>
      <w:r>
        <w:rPr>
          <w:rFonts w:hint="eastAsia" w:ascii="宋体" w:hAnsi="宋体"/>
          <w:szCs w:val="21"/>
        </w:rPr>
        <w:t>2、依法免税或不需要缴纳社会保障资金的供应商，应提供相应文件证明其依法免税或不需要缴纳社会保障资金。</w:t>
      </w:r>
    </w:p>
    <w:p>
      <w:pPr>
        <w:adjustRightInd w:val="0"/>
        <w:snapToGrid w:val="0"/>
        <w:jc w:val="center"/>
        <w:outlineLvl w:val="1"/>
        <w:rPr>
          <w:rFonts w:ascii="黑体" w:hAnsi="宋体" w:eastAsia="黑体"/>
          <w:b/>
          <w:sz w:val="28"/>
          <w:szCs w:val="28"/>
        </w:rPr>
        <w:sectPr>
          <w:pgSz w:w="11906" w:h="16838"/>
          <w:pgMar w:top="1440" w:right="1800" w:bottom="1440" w:left="1800" w:header="851" w:footer="992" w:gutter="0"/>
          <w:pgNumType w:fmt="decimal"/>
          <w:cols w:space="425" w:num="1"/>
          <w:docGrid w:type="lines" w:linePitch="312" w:charSpace="0"/>
        </w:sectPr>
      </w:pPr>
    </w:p>
    <w:p>
      <w:pPr>
        <w:adjustRightInd w:val="0"/>
        <w:snapToGrid w:val="0"/>
        <w:spacing w:line="360" w:lineRule="auto"/>
        <w:ind w:right="24"/>
        <w:rPr>
          <w:rFonts w:ascii="黑体" w:hAnsi="华文中宋" w:eastAsia="黑体"/>
          <w:bCs/>
          <w:sz w:val="32"/>
          <w:szCs w:val="32"/>
        </w:rPr>
      </w:pPr>
      <w:bookmarkStart w:id="104" w:name="_Toc434513246"/>
      <w:bookmarkStart w:id="105" w:name="_Toc438641388"/>
      <w:bookmarkStart w:id="106" w:name="_Toc438641273"/>
      <w:bookmarkStart w:id="107" w:name="_Toc421020456"/>
      <w:r>
        <w:rPr>
          <w:rFonts w:hint="eastAsia" w:ascii="黑体" w:hAnsi="华文中宋" w:eastAsia="黑体"/>
          <w:bCs/>
          <w:sz w:val="32"/>
          <w:szCs w:val="32"/>
        </w:rPr>
        <w:t>附件4</w:t>
      </w:r>
      <w:bookmarkEnd w:id="104"/>
      <w:bookmarkEnd w:id="105"/>
      <w:bookmarkEnd w:id="106"/>
      <w:bookmarkEnd w:id="107"/>
    </w:p>
    <w:p>
      <w:pPr>
        <w:pStyle w:val="23"/>
        <w:shd w:val="clear" w:color="auto" w:fill="FFFFFF"/>
        <w:snapToGrid w:val="0"/>
        <w:spacing w:before="295" w:after="295"/>
        <w:jc w:val="center"/>
        <w:rPr>
          <w:rFonts w:hAnsi="宋体"/>
          <w:b/>
          <w:sz w:val="28"/>
          <w:szCs w:val="28"/>
        </w:rPr>
      </w:pPr>
      <w:bookmarkStart w:id="108" w:name="_Toc421020457"/>
      <w:bookmarkStart w:id="109" w:name="_Toc434513247"/>
      <w:r>
        <w:rPr>
          <w:rFonts w:hint="eastAsia" w:hAnsi="宋体"/>
          <w:b/>
          <w:sz w:val="28"/>
          <w:szCs w:val="28"/>
        </w:rPr>
        <w:t>供应商基本情况表</w:t>
      </w:r>
      <w:bookmarkEnd w:id="108"/>
      <w:bookmarkEnd w:id="109"/>
    </w:p>
    <w:p>
      <w:pPr>
        <w:adjustRightInd w:val="0"/>
        <w:snapToGrid w:val="0"/>
        <w:spacing w:line="360" w:lineRule="auto"/>
        <w:rPr>
          <w:rFonts w:ascii="宋体" w:hAnsi="宋体"/>
          <w:szCs w:val="21"/>
        </w:rPr>
      </w:pPr>
      <w:r>
        <w:rPr>
          <w:rFonts w:hint="eastAsia" w:ascii="宋体" w:hAnsi="宋体"/>
          <w:szCs w:val="21"/>
        </w:rPr>
        <w:t>盖供应商单位章</w:t>
      </w:r>
    </w:p>
    <w:tbl>
      <w:tblPr>
        <w:tblStyle w:val="4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ascii="宋体" w:hAnsi="宋体"/>
                <w:szCs w:val="21"/>
              </w:rPr>
              <w:t>法定代表人</w:t>
            </w:r>
          </w:p>
        </w:tc>
        <w:tc>
          <w:tcPr>
            <w:tcW w:w="191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ascii="宋体" w:hAnsi="宋体"/>
                <w:szCs w:val="21"/>
              </w:rPr>
              <w:t>邮政编码</w:t>
            </w:r>
          </w:p>
        </w:tc>
        <w:tc>
          <w:tcPr>
            <w:tcW w:w="191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hint="eastAsia" w:ascii="宋体" w:hAnsi="宋体"/>
                <w:szCs w:val="21"/>
              </w:rPr>
              <w:t>电子邮箱</w:t>
            </w:r>
          </w:p>
        </w:tc>
        <w:tc>
          <w:tcPr>
            <w:tcW w:w="191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91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240"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240"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w:t>
            </w:r>
          </w:p>
        </w:tc>
        <w:tc>
          <w:tcPr>
            <w:tcW w:w="6057"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605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605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1083" w:type="dxa"/>
            <w:vAlign w:val="center"/>
          </w:tcPr>
          <w:p>
            <w:pPr>
              <w:topLinePunct/>
              <w:spacing w:line="440" w:lineRule="exact"/>
              <w:jc w:val="center"/>
              <w:rPr>
                <w:rFonts w:ascii="宋体" w:hAnsi="宋体"/>
                <w:szCs w:val="21"/>
              </w:rPr>
            </w:pPr>
            <w:r>
              <w:rPr>
                <w:rFonts w:hint="eastAsia" w:ascii="宋体" w:hAnsi="宋体"/>
                <w:szCs w:val="21"/>
              </w:rPr>
              <w:t>发证机关</w:t>
            </w:r>
          </w:p>
        </w:tc>
        <w:tc>
          <w:tcPr>
            <w:tcW w:w="3240"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2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2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2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2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562" w:type="dxa"/>
            <w:gridSpan w:val="8"/>
            <w:vAlign w:val="center"/>
          </w:tcPr>
          <w:p>
            <w:pPr>
              <w:topLinePunct/>
              <w:spacing w:line="440" w:lineRule="exact"/>
              <w:rPr>
                <w:rFonts w:ascii="仿宋_GB2312" w:hAnsi="宋体" w:eastAsia="仿宋_GB2312"/>
                <w:szCs w:val="21"/>
              </w:rPr>
            </w:pPr>
          </w:p>
        </w:tc>
      </w:tr>
    </w:tbl>
    <w:p>
      <w:pPr>
        <w:adjustRightInd w:val="0"/>
        <w:snapToGrid w:val="0"/>
        <w:spacing w:line="360" w:lineRule="auto"/>
        <w:ind w:right="24"/>
        <w:rPr>
          <w:rFonts w:ascii="宋体" w:hAnsi="宋体"/>
          <w:bCs/>
          <w:sz w:val="24"/>
        </w:rPr>
      </w:pPr>
      <w:r>
        <w:rPr>
          <w:rFonts w:hAnsi="宋体"/>
        </w:rPr>
        <w:br w:type="page"/>
      </w:r>
      <w:r>
        <w:rPr>
          <w:rFonts w:hint="eastAsia" w:ascii="黑体" w:hAnsi="华文中宋" w:eastAsia="黑体"/>
          <w:bCs/>
          <w:sz w:val="32"/>
          <w:szCs w:val="32"/>
        </w:rPr>
        <w:t>附件</w:t>
      </w:r>
      <w:r>
        <w:rPr>
          <w:rFonts w:ascii="黑体" w:hAnsi="华文中宋" w:eastAsia="黑体"/>
          <w:bCs/>
          <w:sz w:val="32"/>
          <w:szCs w:val="32"/>
        </w:rPr>
        <w:t>5</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具备履行合同所必需的设备和专业技术能力的承诺</w:t>
      </w:r>
    </w:p>
    <w:p>
      <w:pPr>
        <w:adjustRightInd w:val="0"/>
        <w:snapToGrid w:val="0"/>
        <w:spacing w:line="360" w:lineRule="auto"/>
        <w:ind w:firstLine="560" w:firstLineChars="200"/>
        <w:jc w:val="center"/>
        <w:rPr>
          <w:rFonts w:ascii="宋体" w:hAnsi="宋体"/>
          <w:sz w:val="28"/>
          <w:szCs w:val="28"/>
        </w:rPr>
      </w:pPr>
    </w:p>
    <w:p>
      <w:pPr>
        <w:autoSpaceDE w:val="0"/>
        <w:autoSpaceDN w:val="0"/>
        <w:adjustRightInd w:val="0"/>
        <w:spacing w:line="440" w:lineRule="exact"/>
        <w:jc w:val="left"/>
        <w:rPr>
          <w:rFonts w:ascii="宋体" w:cs="宋体"/>
          <w:kern w:val="0"/>
          <w:sz w:val="23"/>
          <w:szCs w:val="23"/>
        </w:rPr>
      </w:pPr>
      <w:r>
        <w:rPr>
          <w:rFonts w:hint="eastAsia" w:ascii="宋体" w:cs="宋体"/>
          <w:kern w:val="0"/>
          <w:sz w:val="23"/>
          <w:szCs w:val="23"/>
        </w:rPr>
        <w:t>本供应商郑重声明：</w:t>
      </w:r>
      <w:r>
        <w:rPr>
          <w:rFonts w:ascii="宋体" w:cs="宋体"/>
          <w:kern w:val="0"/>
          <w:sz w:val="23"/>
          <w:szCs w:val="23"/>
        </w:rPr>
        <w:t xml:space="preserve"> </w:t>
      </w:r>
    </w:p>
    <w:p>
      <w:pPr>
        <w:autoSpaceDE w:val="0"/>
        <w:autoSpaceDN w:val="0"/>
        <w:adjustRightInd w:val="0"/>
        <w:spacing w:line="440" w:lineRule="exact"/>
        <w:ind w:left="420"/>
        <w:jc w:val="left"/>
        <w:rPr>
          <w:rFonts w:ascii="宋体" w:cs="宋体"/>
          <w:kern w:val="0"/>
          <w:sz w:val="23"/>
          <w:szCs w:val="23"/>
        </w:rPr>
      </w:pPr>
    </w:p>
    <w:p>
      <w:pPr>
        <w:autoSpaceDE w:val="0"/>
        <w:autoSpaceDN w:val="0"/>
        <w:adjustRightInd w:val="0"/>
        <w:spacing w:line="440" w:lineRule="exact"/>
        <w:ind w:firstLine="460" w:firstLineChars="200"/>
        <w:jc w:val="left"/>
        <w:rPr>
          <w:rFonts w:ascii="宋体" w:cs="宋体"/>
          <w:kern w:val="0"/>
          <w:sz w:val="23"/>
          <w:szCs w:val="23"/>
        </w:rPr>
      </w:pPr>
      <w:r>
        <w:rPr>
          <w:rFonts w:hint="eastAsia" w:ascii="宋体" w:cs="宋体"/>
          <w:kern w:val="0"/>
          <w:sz w:val="23"/>
          <w:szCs w:val="23"/>
        </w:rPr>
        <w:t>本公司（或单位）具备本项目履行合同所必需的设备和专业技术能力，特此承诺。</w:t>
      </w:r>
      <w:r>
        <w:rPr>
          <w:rFonts w:ascii="宋体" w:cs="宋体"/>
          <w:kern w:val="0"/>
          <w:sz w:val="23"/>
          <w:szCs w:val="23"/>
        </w:rPr>
        <w:t xml:space="preserve"> </w:t>
      </w:r>
    </w:p>
    <w:p>
      <w:pPr>
        <w:autoSpaceDE w:val="0"/>
        <w:autoSpaceDN w:val="0"/>
        <w:adjustRightInd w:val="0"/>
        <w:spacing w:line="440" w:lineRule="exact"/>
        <w:jc w:val="left"/>
        <w:rPr>
          <w:rFonts w:ascii="宋体" w:cs="宋体"/>
          <w:kern w:val="0"/>
          <w:sz w:val="23"/>
          <w:szCs w:val="23"/>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adjustRightInd w:val="0"/>
        <w:snapToGrid w:val="0"/>
        <w:spacing w:line="360" w:lineRule="auto"/>
        <w:rPr>
          <w:rFonts w:ascii="宋体" w:hAnsi="宋体"/>
          <w:bCs/>
          <w:szCs w:val="21"/>
        </w:rPr>
      </w:pPr>
    </w:p>
    <w:p>
      <w:pPr>
        <w:spacing w:line="360" w:lineRule="auto"/>
        <w:rPr>
          <w:rFonts w:ascii="宋体" w:hAnsi="宋体"/>
          <w:szCs w:val="21"/>
        </w:rPr>
      </w:pPr>
      <w:r>
        <w:rPr>
          <w:rFonts w:hint="eastAsia" w:ascii="宋体" w:hAnsi="宋体"/>
          <w:szCs w:val="21"/>
        </w:rPr>
        <w:t>附注：本承诺书格式不得修改，不提交本声明书按无效响应处理。</w:t>
      </w:r>
    </w:p>
    <w:p>
      <w:pPr>
        <w:adjustRightInd w:val="0"/>
        <w:snapToGrid w:val="0"/>
        <w:spacing w:line="360" w:lineRule="auto"/>
        <w:rPr>
          <w:rFonts w:ascii="宋体" w:hAnsi="宋体"/>
          <w:bCs/>
          <w:szCs w:val="21"/>
        </w:rPr>
      </w:pPr>
    </w:p>
    <w:p>
      <w:pPr>
        <w:adjustRightInd w:val="0"/>
        <w:snapToGrid w:val="0"/>
        <w:spacing w:line="360" w:lineRule="auto"/>
        <w:ind w:right="24"/>
        <w:rPr>
          <w:rFonts w:ascii="宋体" w:hAnsi="宋体"/>
          <w:sz w:val="24"/>
        </w:rPr>
      </w:pPr>
      <w:r>
        <w:rPr>
          <w:rFonts w:ascii="黑体" w:hAnsi="华文中宋" w:eastAsia="黑体"/>
          <w:bCs/>
          <w:sz w:val="32"/>
          <w:szCs w:val="32"/>
        </w:rPr>
        <w:br w:type="page"/>
      </w:r>
      <w:r>
        <w:rPr>
          <w:rFonts w:hint="eastAsia" w:ascii="黑体" w:hAnsi="华文中宋" w:eastAsia="黑体"/>
          <w:bCs/>
          <w:sz w:val="32"/>
          <w:szCs w:val="32"/>
        </w:rPr>
        <w:t>附件</w:t>
      </w:r>
      <w:r>
        <w:rPr>
          <w:rFonts w:ascii="黑体" w:hAnsi="华文中宋" w:eastAsia="黑体"/>
          <w:bCs/>
          <w:sz w:val="32"/>
          <w:szCs w:val="32"/>
        </w:rPr>
        <w:t>6</w:t>
      </w:r>
    </w:p>
    <w:p>
      <w:pPr>
        <w:adjustRightInd w:val="0"/>
        <w:snapToGrid w:val="0"/>
        <w:spacing w:line="360" w:lineRule="auto"/>
        <w:jc w:val="center"/>
        <w:rPr>
          <w:rFonts w:ascii="宋体" w:hAnsi="宋体"/>
          <w:b/>
          <w:sz w:val="28"/>
          <w:szCs w:val="28"/>
        </w:rPr>
      </w:pPr>
      <w:r>
        <w:rPr>
          <w:rFonts w:hint="eastAsia" w:ascii="宋体" w:hAnsi="宋体"/>
          <w:b/>
          <w:sz w:val="28"/>
          <w:szCs w:val="28"/>
        </w:rPr>
        <w:t>无重大违法记录声明书</w:t>
      </w:r>
    </w:p>
    <w:p>
      <w:pPr>
        <w:adjustRightInd w:val="0"/>
        <w:snapToGrid w:val="0"/>
        <w:spacing w:line="360" w:lineRule="auto"/>
        <w:ind w:firstLine="420" w:firstLineChars="200"/>
        <w:rPr>
          <w:rFonts w:ascii="宋体" w:hAnsi="宋体"/>
          <w:szCs w:val="21"/>
        </w:rPr>
      </w:pPr>
      <w:r>
        <w:rPr>
          <w:rFonts w:ascii="宋体" w:hAnsi="宋体"/>
          <w:szCs w:val="21"/>
        </w:rPr>
        <w:tab/>
      </w:r>
    </w:p>
    <w:p>
      <w:pPr>
        <w:adjustRightInd w:val="0"/>
        <w:snapToGrid w:val="0"/>
        <w:spacing w:line="360" w:lineRule="auto"/>
        <w:rPr>
          <w:rFonts w:ascii="宋体" w:hAnsi="宋体"/>
          <w:szCs w:val="21"/>
        </w:rPr>
      </w:pPr>
      <w:r>
        <w:rPr>
          <w:rFonts w:hint="eastAsia" w:ascii="宋体" w:hAnsi="宋体"/>
          <w:szCs w:val="21"/>
          <w:u w:val="single"/>
        </w:rPr>
        <w:t xml:space="preserve">（采购人）         </w:t>
      </w:r>
      <w:r>
        <w:rPr>
          <w:rFonts w:hint="eastAsia" w:ascii="宋体" w:hAnsi="宋体"/>
          <w:szCs w:val="21"/>
        </w:rPr>
        <w:t>：</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编号）单一来源协商，本公司郑重声明，我方参加本项目政府采购活动前三年内无重大违法记录，符合《政府采购法》规定的供应商条件。若贵方在本项目采购过程中发现我方政府采购活动前三年内有重大违法记录，我公司将无条件退出本项目，并承担因此引起的一切后果。我方对此声明负全部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特此声明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spacing w:line="360" w:lineRule="auto"/>
        <w:ind w:firstLine="3502" w:firstLineChars="1668"/>
        <w:rPr>
          <w:rFonts w:ascii="宋体" w:hAnsi="宋体"/>
          <w:szCs w:val="21"/>
          <w:u w:val="single"/>
        </w:rPr>
      </w:pPr>
      <w:r>
        <w:rPr>
          <w:rFonts w:hint="eastAsia" w:ascii="宋体" w:hAnsi="宋体"/>
        </w:rPr>
        <w:t>供应商</w:t>
      </w:r>
      <w:r>
        <w:rPr>
          <w:rFonts w:hint="eastAsia" w:ascii="宋体" w:hAnsi="宋体"/>
          <w:szCs w:val="21"/>
        </w:rPr>
        <w:t>名称（盖单位章）：</w:t>
      </w:r>
      <w:r>
        <w:rPr>
          <w:rFonts w:hint="eastAsia" w:ascii="宋体" w:hAnsi="宋体"/>
          <w:szCs w:val="21"/>
          <w:u w:val="single"/>
        </w:rPr>
        <w:t xml:space="preserve">                 </w:t>
      </w:r>
    </w:p>
    <w:p>
      <w:pPr>
        <w:spacing w:line="360" w:lineRule="auto"/>
        <w:ind w:firstLine="3502" w:firstLineChars="1668"/>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3502" w:firstLineChars="1668"/>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3502" w:firstLineChars="1668"/>
        <w:rPr>
          <w:rFonts w:ascii="宋体" w:hAnsi="宋体"/>
          <w:szCs w:val="21"/>
        </w:rPr>
      </w:pPr>
    </w:p>
    <w:p>
      <w:pPr>
        <w:spacing w:line="360" w:lineRule="auto"/>
        <w:ind w:firstLine="3502" w:firstLineChars="1668"/>
        <w:rPr>
          <w:rFonts w:ascii="宋体" w:hAnsi="宋体"/>
          <w:szCs w:val="21"/>
        </w:rPr>
      </w:pPr>
    </w:p>
    <w:p>
      <w:pPr>
        <w:spacing w:line="360" w:lineRule="auto"/>
        <w:rPr>
          <w:rFonts w:ascii="宋体" w:hAnsi="宋体"/>
          <w:szCs w:val="21"/>
        </w:rPr>
      </w:pPr>
      <w:r>
        <w:rPr>
          <w:rFonts w:hint="eastAsia" w:ascii="宋体" w:hAnsi="宋体"/>
          <w:szCs w:val="21"/>
        </w:rPr>
        <w:t>附注：本声明书格式不得修改，不提交本声明书按无效响应处理。</w:t>
      </w:r>
    </w:p>
    <w:p>
      <w:pPr>
        <w:pStyle w:val="95"/>
        <w:rPr>
          <w:rFonts w:ascii="宋体" w:hAnsi="宋体" w:eastAsia="宋体" w:cs="宋体"/>
          <w:sz w:val="21"/>
          <w:szCs w:val="21"/>
        </w:rPr>
      </w:pPr>
      <w:r>
        <w:rPr>
          <w:rFonts w:hint="eastAsia" w:ascii="宋体" w:hAnsi="宋体" w:eastAsia="宋体"/>
          <w:sz w:val="21"/>
          <w:szCs w:val="21"/>
        </w:rPr>
        <w:t>近三年：成立三年以上的，为提交响应文件截止时间前三年内；成立不足三年的，为实际时间。</w:t>
      </w:r>
    </w:p>
    <w:p>
      <w:pPr>
        <w:autoSpaceDE w:val="0"/>
        <w:autoSpaceDN w:val="0"/>
        <w:adjustRightInd w:val="0"/>
        <w:jc w:val="center"/>
        <w:rPr>
          <w:rFonts w:ascii="宋体"/>
          <w:b/>
          <w:kern w:val="0"/>
          <w:sz w:val="28"/>
          <w:szCs w:val="28"/>
        </w:rPr>
      </w:pPr>
    </w:p>
    <w:p>
      <w:pPr>
        <w:autoSpaceDE w:val="0"/>
        <w:autoSpaceDN w:val="0"/>
        <w:adjustRightInd w:val="0"/>
        <w:jc w:val="center"/>
        <w:rPr>
          <w:rFonts w:ascii="宋体"/>
          <w:b/>
          <w:kern w:val="0"/>
          <w:sz w:val="28"/>
          <w:szCs w:val="28"/>
        </w:rPr>
        <w:sectPr>
          <w:headerReference r:id="rId10" w:type="default"/>
          <w:footerReference r:id="rId11" w:type="even"/>
          <w:pgSz w:w="11906" w:h="16838"/>
          <w:pgMar w:top="1440" w:right="1800" w:bottom="1440" w:left="1800" w:header="851" w:footer="992" w:gutter="0"/>
          <w:pgNumType w:fmt="decimal"/>
          <w:cols w:space="720" w:num="1"/>
          <w:docGrid w:type="lines" w:linePitch="312" w:charSpace="0"/>
        </w:sectPr>
      </w:pPr>
    </w:p>
    <w:p>
      <w:pPr>
        <w:autoSpaceDE w:val="0"/>
        <w:autoSpaceDN w:val="0"/>
        <w:adjustRightInd w:val="0"/>
        <w:rPr>
          <w:rFonts w:ascii="宋体"/>
          <w:b/>
          <w:kern w:val="0"/>
          <w:sz w:val="28"/>
          <w:szCs w:val="28"/>
        </w:rPr>
      </w:pPr>
      <w:r>
        <w:rPr>
          <w:rFonts w:hint="eastAsia" w:ascii="黑体" w:hAnsi="华文中宋" w:eastAsia="黑体"/>
          <w:bCs/>
          <w:sz w:val="32"/>
          <w:szCs w:val="32"/>
        </w:rPr>
        <w:t>附件</w:t>
      </w:r>
      <w:r>
        <w:rPr>
          <w:rFonts w:ascii="黑体" w:hAnsi="华文中宋" w:eastAsia="黑体"/>
          <w:bCs/>
          <w:sz w:val="32"/>
          <w:szCs w:val="32"/>
        </w:rPr>
        <w:t>7</w:t>
      </w:r>
    </w:p>
    <w:p>
      <w:pPr>
        <w:autoSpaceDE w:val="0"/>
        <w:autoSpaceDN w:val="0"/>
        <w:adjustRightInd w:val="0"/>
        <w:jc w:val="center"/>
        <w:rPr>
          <w:rFonts w:ascii="宋体"/>
          <w:b/>
          <w:kern w:val="0"/>
          <w:sz w:val="28"/>
          <w:szCs w:val="28"/>
        </w:rPr>
      </w:pPr>
      <w:r>
        <w:rPr>
          <w:rFonts w:hint="eastAsia" w:ascii="宋体"/>
          <w:b/>
          <w:kern w:val="0"/>
          <w:sz w:val="28"/>
          <w:szCs w:val="28"/>
        </w:rPr>
        <w:t>信用记录</w:t>
      </w:r>
    </w:p>
    <w:p>
      <w:pPr>
        <w:widowControl/>
        <w:adjustRightInd w:val="0"/>
        <w:snapToGrid w:val="0"/>
        <w:spacing w:line="360" w:lineRule="auto"/>
        <w:ind w:firstLine="444" w:firstLineChars="200"/>
        <w:jc w:val="center"/>
        <w:rPr>
          <w:rFonts w:ascii="宋体" w:hAnsi="宋体" w:cs="宋体"/>
          <w:spacing w:val="6"/>
          <w:kern w:val="0"/>
          <w:szCs w:val="21"/>
        </w:rPr>
      </w:pPr>
      <w:r>
        <w:rPr>
          <w:rFonts w:hint="eastAsia" w:ascii="宋体" w:hAnsi="宋体" w:cs="宋体"/>
          <w:spacing w:val="6"/>
          <w:kern w:val="0"/>
          <w:szCs w:val="21"/>
        </w:rPr>
        <w:t>（复印件并加盖供应商单位公章）</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依据财库</w:t>
      </w:r>
      <w:r>
        <w:rPr>
          <w:rFonts w:ascii="宋体" w:hAnsi="宋体" w:cs="宋体"/>
          <w:spacing w:val="6"/>
          <w:kern w:val="0"/>
          <w:szCs w:val="21"/>
        </w:rPr>
        <w:t>[2016]125</w:t>
      </w:r>
      <w:r>
        <w:rPr>
          <w:rFonts w:hint="eastAsia" w:ascii="宋体" w:hAnsi="宋体" w:cs="宋体"/>
          <w:spacing w:val="6"/>
          <w:kern w:val="0"/>
          <w:szCs w:val="21"/>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供应商须提供本单位近</w:t>
      </w:r>
      <w:r>
        <w:rPr>
          <w:rFonts w:ascii="宋体" w:hAnsi="宋体" w:cs="宋体"/>
          <w:spacing w:val="6"/>
          <w:kern w:val="0"/>
          <w:szCs w:val="21"/>
        </w:rPr>
        <w:t>3</w:t>
      </w:r>
      <w:r>
        <w:rPr>
          <w:rFonts w:hint="eastAsia" w:ascii="宋体" w:hAnsi="宋体" w:cs="宋体"/>
          <w:spacing w:val="6"/>
          <w:kern w:val="0"/>
          <w:szCs w:val="21"/>
        </w:rPr>
        <w:t>年（本项目递交响应文件截止日前）</w:t>
      </w:r>
      <w:r>
        <w:rPr>
          <w:rFonts w:ascii="宋体" w:hAnsi="宋体" w:cs="宋体"/>
          <w:spacing w:val="6"/>
          <w:kern w:val="0"/>
          <w:szCs w:val="21"/>
        </w:rPr>
        <w:t>“</w:t>
      </w:r>
      <w:r>
        <w:rPr>
          <w:rFonts w:hint="eastAsia" w:ascii="宋体" w:hAnsi="宋体" w:cs="宋体"/>
          <w:spacing w:val="6"/>
          <w:kern w:val="0"/>
          <w:szCs w:val="21"/>
        </w:rPr>
        <w:t>信用中国</w:t>
      </w:r>
      <w:r>
        <w:rPr>
          <w:rFonts w:ascii="宋体" w:hAnsi="宋体" w:cs="宋体"/>
          <w:spacing w:val="6"/>
          <w:kern w:val="0"/>
          <w:szCs w:val="21"/>
        </w:rPr>
        <w:t>”</w:t>
      </w:r>
      <w:r>
        <w:rPr>
          <w:rFonts w:hint="eastAsia" w:ascii="宋体" w:hAnsi="宋体" w:cs="宋体"/>
          <w:spacing w:val="6"/>
          <w:kern w:val="0"/>
          <w:szCs w:val="21"/>
        </w:rPr>
        <w:t>网站（</w:t>
      </w:r>
      <w:r>
        <w:rPr>
          <w:rFonts w:ascii="宋体" w:hAnsi="宋体" w:cs="宋体"/>
          <w:spacing w:val="6"/>
          <w:kern w:val="0"/>
          <w:szCs w:val="21"/>
        </w:rPr>
        <w:t>www.creditchina.gov.cn</w:t>
      </w:r>
      <w:r>
        <w:rPr>
          <w:rFonts w:hint="eastAsia" w:ascii="宋体" w:hAnsi="宋体" w:cs="宋体"/>
          <w:spacing w:val="6"/>
          <w:kern w:val="0"/>
          <w:szCs w:val="21"/>
        </w:rPr>
        <w:t>）及中国政府采购网（</w:t>
      </w:r>
      <w:r>
        <w:rPr>
          <w:rFonts w:ascii="宋体" w:hAnsi="宋体" w:cs="宋体"/>
          <w:spacing w:val="6"/>
          <w:kern w:val="0"/>
          <w:szCs w:val="21"/>
        </w:rPr>
        <w:t>www.ccgp.gov.cn</w:t>
      </w:r>
      <w:r>
        <w:rPr>
          <w:rFonts w:hint="eastAsia" w:ascii="宋体" w:hAnsi="宋体" w:cs="宋体"/>
          <w:spacing w:val="6"/>
          <w:kern w:val="0"/>
          <w:szCs w:val="21"/>
        </w:rPr>
        <w:t>）已公布的信用记录查询截图。</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截图含1）被列入失信被执行人</w:t>
      </w:r>
    </w:p>
    <w:p>
      <w:pPr>
        <w:widowControl/>
        <w:adjustRightInd w:val="0"/>
        <w:snapToGrid w:val="0"/>
        <w:spacing w:line="360" w:lineRule="auto"/>
        <w:ind w:firstLine="1221" w:firstLineChars="550"/>
        <w:jc w:val="left"/>
        <w:rPr>
          <w:rFonts w:ascii="宋体" w:hAnsi="宋体" w:cs="宋体"/>
          <w:spacing w:val="6"/>
          <w:kern w:val="0"/>
          <w:szCs w:val="21"/>
        </w:rPr>
      </w:pPr>
      <w:r>
        <w:rPr>
          <w:rFonts w:hint="eastAsia" w:ascii="宋体" w:hAnsi="宋体" w:cs="宋体"/>
          <w:spacing w:val="6"/>
          <w:kern w:val="0"/>
          <w:szCs w:val="21"/>
        </w:rPr>
        <w:t>2）</w:t>
      </w:r>
      <w:r>
        <w:rPr>
          <w:rFonts w:hint="eastAsia" w:ascii="宋体" w:hAnsi="宋体" w:cs="宋体"/>
          <w:spacing w:val="6"/>
          <w:kern w:val="0"/>
          <w:szCs w:val="21"/>
          <w:lang w:eastAsia="zh-CN"/>
        </w:rPr>
        <w:t>重大税收违法失信主体</w:t>
      </w:r>
      <w:r>
        <w:rPr>
          <w:rFonts w:hint="eastAsia" w:ascii="宋体" w:hAnsi="宋体" w:cs="宋体"/>
          <w:spacing w:val="6"/>
          <w:kern w:val="0"/>
          <w:szCs w:val="21"/>
        </w:rPr>
        <w:t>的供应商</w:t>
      </w:r>
    </w:p>
    <w:p>
      <w:pPr>
        <w:widowControl/>
        <w:adjustRightInd w:val="0"/>
        <w:snapToGrid w:val="0"/>
        <w:spacing w:line="360" w:lineRule="auto"/>
        <w:ind w:firstLine="1221" w:firstLineChars="550"/>
        <w:jc w:val="left"/>
        <w:rPr>
          <w:rFonts w:ascii="宋体" w:hAnsi="宋体" w:cs="宋体"/>
          <w:spacing w:val="6"/>
          <w:kern w:val="0"/>
          <w:szCs w:val="21"/>
        </w:rPr>
      </w:pPr>
      <w:r>
        <w:rPr>
          <w:rFonts w:hint="eastAsia" w:ascii="宋体" w:hAnsi="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例如：网站搜索页输入供应商名称，截图查询结果。</w:t>
      </w:r>
    </w:p>
    <w:p>
      <w:pPr>
        <w:widowControl/>
        <w:adjustRightInd w:val="0"/>
        <w:snapToGrid w:val="0"/>
        <w:spacing w:line="360" w:lineRule="auto"/>
        <w:ind w:firstLine="446" w:firstLineChars="200"/>
        <w:jc w:val="left"/>
        <w:rPr>
          <w:rFonts w:ascii="宋体" w:hAnsi="宋体" w:cs="宋体"/>
          <w:b/>
          <w:spacing w:val="6"/>
          <w:kern w:val="0"/>
          <w:szCs w:val="21"/>
        </w:rPr>
      </w:pPr>
      <w:r>
        <w:rPr>
          <w:rFonts w:hint="eastAsia" w:ascii="宋体" w:hAnsi="宋体" w:cs="宋体"/>
          <w:b/>
          <w:spacing w:val="6"/>
          <w:kern w:val="0"/>
          <w:szCs w:val="21"/>
        </w:rPr>
        <w:t>说明：供应商提供的截图与采购人或采购代理机构查询截图不一致的，以采购人或采购代理机构查询结果为准。</w:t>
      </w:r>
    </w:p>
    <w:p>
      <w:pPr>
        <w:widowControl/>
        <w:adjustRightInd w:val="0"/>
        <w:snapToGrid w:val="0"/>
        <w:spacing w:line="360" w:lineRule="auto"/>
        <w:ind w:firstLine="444" w:firstLineChars="200"/>
        <w:jc w:val="left"/>
        <w:rPr>
          <w:rFonts w:ascii="宋体" w:hAnsi="宋体" w:cs="宋体"/>
          <w:spacing w:val="6"/>
          <w:kern w:val="0"/>
          <w:szCs w:val="21"/>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jc w:val="center"/>
        <w:outlineLvl w:val="1"/>
        <w:rPr>
          <w:rFonts w:ascii="黑体" w:eastAsia="黑体"/>
          <w:b/>
          <w:sz w:val="28"/>
          <w:szCs w:val="28"/>
        </w:rPr>
      </w:pPr>
      <w:bookmarkStart w:id="110" w:name="_Toc17534"/>
      <w:r>
        <w:rPr>
          <w:rFonts w:hint="eastAsia" w:ascii="黑体" w:hAnsi="宋体" w:eastAsia="黑体"/>
          <w:b/>
          <w:sz w:val="28"/>
          <w:szCs w:val="28"/>
        </w:rPr>
        <w:t>四、技术方案</w:t>
      </w:r>
      <w:bookmarkEnd w:id="110"/>
    </w:p>
    <w:p>
      <w:pPr>
        <w:adjustRightInd w:val="0"/>
        <w:snapToGrid w:val="0"/>
        <w:ind w:left="-88" w:leftChars="-42" w:firstLine="210" w:firstLineChars="100"/>
        <w:rPr>
          <w:rFonts w:ascii="宋体" w:hAnsi="宋体"/>
          <w:szCs w:val="21"/>
        </w:rPr>
      </w:pP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根据采购项目技术要求及功能需求内容，投标时提供详细的项目技术方案。</w:t>
      </w:r>
    </w:p>
    <w:p/>
    <w:p>
      <w:pPr>
        <w:adjustRightInd w:val="0"/>
        <w:snapToGrid w:val="0"/>
        <w:jc w:val="center"/>
        <w:outlineLvl w:val="1"/>
        <w:rPr>
          <w:rFonts w:ascii="黑体" w:hAnsi="宋体" w:eastAsia="黑体"/>
          <w:b/>
          <w:sz w:val="28"/>
          <w:szCs w:val="28"/>
        </w:rPr>
        <w:sectPr>
          <w:pgSz w:w="11906" w:h="16838"/>
          <w:pgMar w:top="1440" w:right="1800" w:bottom="1440" w:left="1800" w:header="851" w:footer="992" w:gutter="0"/>
          <w:pgNumType w:fmt="decimal"/>
          <w:cols w:space="425" w:num="1"/>
          <w:docGrid w:type="lines" w:linePitch="312" w:charSpace="0"/>
        </w:sectPr>
      </w:pPr>
    </w:p>
    <w:p>
      <w:pPr>
        <w:adjustRightInd w:val="0"/>
        <w:snapToGrid w:val="0"/>
        <w:jc w:val="center"/>
        <w:outlineLvl w:val="1"/>
        <w:rPr>
          <w:rFonts w:hAnsi="宋体"/>
          <w:b/>
        </w:rPr>
      </w:pPr>
      <w:bookmarkStart w:id="111" w:name="_Toc2659"/>
      <w:r>
        <w:rPr>
          <w:rFonts w:hint="eastAsia" w:ascii="黑体" w:hAnsi="宋体" w:eastAsia="黑体"/>
          <w:b/>
          <w:sz w:val="28"/>
          <w:szCs w:val="28"/>
        </w:rPr>
        <w:t>五、服务方案</w:t>
      </w:r>
      <w:bookmarkEnd w:id="111"/>
    </w:p>
    <w:p>
      <w:pPr>
        <w:spacing w:line="360" w:lineRule="auto"/>
        <w:rPr>
          <w:rFonts w:ascii="宋体" w:hAnsi="宋体"/>
          <w:b/>
          <w:szCs w:val="21"/>
        </w:rPr>
      </w:pP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根据采购服务需求及其他需求内容，提供完整的服务方案，包括但不限于：</w:t>
      </w: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１、服务计划、措施及服务承诺</w:t>
      </w: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２、服务能力</w:t>
      </w: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３、服务团队及服务人员配置</w:t>
      </w: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４、培训方案</w:t>
      </w:r>
    </w:p>
    <w:p>
      <w:pPr>
        <w:adjustRightInd w:val="0"/>
        <w:snapToGrid w:val="0"/>
        <w:spacing w:line="360" w:lineRule="auto"/>
        <w:ind w:left="-88" w:leftChars="-42" w:firstLine="86" w:firstLineChars="41"/>
        <w:rPr>
          <w:rFonts w:ascii="宋体" w:hAnsi="宋体"/>
          <w:szCs w:val="21"/>
        </w:rPr>
      </w:pPr>
      <w:r>
        <w:rPr>
          <w:rFonts w:hint="eastAsia" w:ascii="宋体" w:hAnsi="宋体"/>
          <w:szCs w:val="21"/>
        </w:rPr>
        <w:t>５、运维方案</w:t>
      </w:r>
    </w:p>
    <w:p>
      <w:pPr>
        <w:topLinePunct/>
        <w:spacing w:line="440" w:lineRule="exact"/>
        <w:rPr>
          <w:rFonts w:ascii="宋体" w:hAnsi="宋体"/>
          <w:szCs w:val="21"/>
        </w:rPr>
      </w:pPr>
    </w:p>
    <w:p>
      <w:pPr>
        <w:adjustRightInd w:val="0"/>
        <w:snapToGrid w:val="0"/>
        <w:jc w:val="center"/>
        <w:outlineLvl w:val="1"/>
        <w:rPr>
          <w:rFonts w:ascii="黑体" w:hAnsi="宋体" w:eastAsia="黑体"/>
          <w:b/>
          <w:sz w:val="28"/>
          <w:szCs w:val="28"/>
        </w:rPr>
        <w:sectPr>
          <w:pgSz w:w="11906" w:h="16838"/>
          <w:pgMar w:top="1440" w:right="1800" w:bottom="1440" w:left="1800" w:header="851" w:footer="992" w:gutter="0"/>
          <w:pgNumType w:fmt="decimal"/>
          <w:cols w:space="425" w:num="1"/>
          <w:docGrid w:type="lines" w:linePitch="312" w:charSpace="0"/>
        </w:sectPr>
      </w:pPr>
    </w:p>
    <w:p>
      <w:pPr>
        <w:adjustRightInd w:val="0"/>
        <w:snapToGrid w:val="0"/>
        <w:jc w:val="center"/>
        <w:outlineLvl w:val="1"/>
        <w:rPr>
          <w:rFonts w:ascii="黑体" w:hAnsi="宋体" w:eastAsia="黑体"/>
          <w:b/>
          <w:sz w:val="28"/>
          <w:szCs w:val="28"/>
        </w:rPr>
      </w:pPr>
      <w:bookmarkStart w:id="112" w:name="_Toc15242"/>
      <w:r>
        <w:rPr>
          <w:rFonts w:hint="eastAsia" w:ascii="黑体" w:hAnsi="宋体" w:eastAsia="黑体"/>
          <w:b/>
          <w:sz w:val="28"/>
          <w:szCs w:val="28"/>
        </w:rPr>
        <w:t>六、报价一览表及报价明细表</w:t>
      </w:r>
      <w:bookmarkEnd w:id="112"/>
    </w:p>
    <w:p>
      <w:pPr>
        <w:adjustRightInd w:val="0"/>
        <w:snapToGrid w:val="0"/>
        <w:jc w:val="center"/>
        <w:rPr>
          <w:rFonts w:ascii="黑体" w:hAnsi="宋体" w:eastAsia="黑体"/>
          <w:sz w:val="32"/>
          <w:szCs w:val="32"/>
        </w:rPr>
      </w:pPr>
      <w:bookmarkStart w:id="113" w:name="_Toc434513255"/>
      <w:bookmarkStart w:id="114" w:name="_Toc421020463"/>
    </w:p>
    <w:p>
      <w:pPr>
        <w:adjustRightInd w:val="0"/>
        <w:snapToGrid w:val="0"/>
        <w:rPr>
          <w:rFonts w:ascii="黑体" w:hAnsi="宋体" w:eastAsia="黑体"/>
          <w:sz w:val="32"/>
          <w:szCs w:val="32"/>
        </w:rPr>
      </w:pPr>
      <w:bookmarkStart w:id="115" w:name="_Toc438641277"/>
      <w:bookmarkStart w:id="116" w:name="_Toc438641395"/>
      <w:r>
        <w:rPr>
          <w:rFonts w:hint="eastAsia" w:ascii="黑体" w:hAnsi="宋体" w:eastAsia="黑体"/>
          <w:sz w:val="32"/>
          <w:szCs w:val="32"/>
        </w:rPr>
        <w:t>附件</w:t>
      </w:r>
      <w:bookmarkEnd w:id="115"/>
      <w:bookmarkEnd w:id="116"/>
      <w:r>
        <w:rPr>
          <w:rFonts w:hint="eastAsia" w:ascii="黑体" w:hAnsi="宋体" w:eastAsia="黑体"/>
          <w:sz w:val="32"/>
          <w:szCs w:val="32"/>
        </w:rPr>
        <w:t>８</w:t>
      </w:r>
    </w:p>
    <w:bookmarkEnd w:id="113"/>
    <w:bookmarkEnd w:id="114"/>
    <w:p>
      <w:pPr>
        <w:adjustRightInd w:val="0"/>
        <w:snapToGrid w:val="0"/>
        <w:jc w:val="center"/>
        <w:rPr>
          <w:rFonts w:ascii="宋体" w:hAnsi="宋体"/>
          <w:b/>
          <w:bCs/>
          <w:sz w:val="28"/>
          <w:szCs w:val="28"/>
        </w:rPr>
      </w:pPr>
      <w:bookmarkStart w:id="117" w:name="_Toc438641396"/>
      <w:bookmarkStart w:id="118" w:name="_Toc434513256"/>
      <w:bookmarkStart w:id="119" w:name="_Toc421020464"/>
      <w:bookmarkStart w:id="120" w:name="_Toc438641278"/>
      <w:r>
        <w:rPr>
          <w:rFonts w:hint="eastAsia" w:ascii="宋体" w:hAnsi="宋体"/>
          <w:b/>
          <w:bCs/>
          <w:sz w:val="28"/>
          <w:szCs w:val="28"/>
        </w:rPr>
        <w:t>报价一览表</w:t>
      </w:r>
      <w:bookmarkEnd w:id="117"/>
      <w:bookmarkEnd w:id="118"/>
      <w:bookmarkEnd w:id="119"/>
      <w:bookmarkEnd w:id="120"/>
    </w:p>
    <w:p>
      <w:pPr>
        <w:adjustRightInd w:val="0"/>
        <w:snapToGrid w:val="0"/>
        <w:jc w:val="center"/>
        <w:rPr>
          <w:rFonts w:ascii="宋体" w:hAnsi="宋体"/>
          <w:sz w:val="28"/>
          <w:szCs w:val="28"/>
        </w:rPr>
      </w:pPr>
    </w:p>
    <w:tbl>
      <w:tblPr>
        <w:tblStyle w:val="45"/>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47"/>
        <w:gridCol w:w="304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28" w:type="dxa"/>
            <w:vAlign w:val="center"/>
          </w:tcPr>
          <w:p>
            <w:pPr>
              <w:widowControl/>
              <w:jc w:val="center"/>
              <w:rPr>
                <w:rFonts w:ascii="宋体" w:hAnsi="宋体"/>
                <w:szCs w:val="21"/>
              </w:rPr>
            </w:pPr>
            <w:r>
              <w:rPr>
                <w:rFonts w:hint="eastAsia" w:ascii="宋体" w:hAnsi="宋体"/>
                <w:szCs w:val="21"/>
              </w:rPr>
              <w:t>序号</w:t>
            </w:r>
          </w:p>
        </w:tc>
        <w:tc>
          <w:tcPr>
            <w:tcW w:w="2047" w:type="dxa"/>
            <w:vAlign w:val="center"/>
          </w:tcPr>
          <w:p>
            <w:pPr>
              <w:ind w:left="-88" w:leftChars="-42"/>
              <w:jc w:val="center"/>
              <w:rPr>
                <w:rFonts w:ascii="宋体" w:hAnsi="宋体"/>
                <w:szCs w:val="21"/>
              </w:rPr>
            </w:pPr>
            <w:r>
              <w:rPr>
                <w:rFonts w:ascii="宋体" w:hAnsi="宋体"/>
                <w:szCs w:val="21"/>
              </w:rPr>
              <w:t>项目名称</w:t>
            </w:r>
          </w:p>
        </w:tc>
        <w:tc>
          <w:tcPr>
            <w:tcW w:w="3041" w:type="dxa"/>
            <w:vAlign w:val="center"/>
          </w:tcPr>
          <w:p>
            <w:pPr>
              <w:widowControl/>
              <w:ind w:left="-88" w:leftChars="-42"/>
              <w:jc w:val="center"/>
              <w:rPr>
                <w:rFonts w:ascii="宋体" w:hAnsi="宋体"/>
                <w:szCs w:val="21"/>
              </w:rPr>
            </w:pPr>
          </w:p>
        </w:tc>
        <w:tc>
          <w:tcPr>
            <w:tcW w:w="2644" w:type="dxa"/>
            <w:vAlign w:val="center"/>
          </w:tcPr>
          <w:p>
            <w:pPr>
              <w:widowControl/>
              <w:ind w:left="-88" w:leftChars="-42"/>
              <w:rPr>
                <w:rFonts w:ascii="宋体" w:hAnsi="宋体"/>
                <w:szCs w:val="21"/>
              </w:rPr>
            </w:pPr>
            <w:r>
              <w:rPr>
                <w:rFonts w:hint="eastAsia" w:ascii="宋体" w:hAnsi="宋体"/>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8" w:type="dxa"/>
            <w:vAlign w:val="center"/>
          </w:tcPr>
          <w:p>
            <w:pPr>
              <w:adjustRightInd w:val="0"/>
              <w:snapToGrid w:val="0"/>
              <w:jc w:val="center"/>
              <w:rPr>
                <w:rFonts w:ascii="宋体" w:hAnsi="宋体"/>
                <w:szCs w:val="21"/>
              </w:rPr>
            </w:pPr>
            <w:r>
              <w:rPr>
                <w:rFonts w:hint="eastAsia" w:ascii="宋体" w:hAnsi="宋体"/>
                <w:szCs w:val="21"/>
              </w:rPr>
              <w:t>１</w:t>
            </w:r>
          </w:p>
        </w:tc>
        <w:tc>
          <w:tcPr>
            <w:tcW w:w="2047" w:type="dxa"/>
            <w:vAlign w:val="center"/>
          </w:tcPr>
          <w:p>
            <w:pPr>
              <w:adjustRightInd w:val="0"/>
              <w:snapToGrid w:val="0"/>
              <w:ind w:left="-88" w:leftChars="-42"/>
              <w:jc w:val="center"/>
              <w:rPr>
                <w:rFonts w:ascii="宋体" w:hAnsi="宋体"/>
                <w:szCs w:val="21"/>
              </w:rPr>
            </w:pPr>
            <w:r>
              <w:rPr>
                <w:rFonts w:hint="eastAsia" w:ascii="宋体" w:hAnsi="宋体"/>
                <w:szCs w:val="21"/>
              </w:rPr>
              <w:t>报价（单价合计）</w:t>
            </w:r>
          </w:p>
        </w:tc>
        <w:tc>
          <w:tcPr>
            <w:tcW w:w="5685" w:type="dxa"/>
            <w:gridSpan w:val="2"/>
            <w:vAlign w:val="center"/>
          </w:tcPr>
          <w:p>
            <w:pPr>
              <w:adjustRightInd w:val="0"/>
              <w:snapToGrid w:val="0"/>
              <w:ind w:left="-88" w:leftChars="-42" w:firstLine="105" w:firstLineChars="50"/>
              <w:rPr>
                <w:rFonts w:ascii="宋体" w:hAnsi="宋体"/>
                <w:szCs w:val="21"/>
                <w:u w:val="single"/>
              </w:rPr>
            </w:pPr>
            <w:r>
              <w:rPr>
                <w:rFonts w:hint="eastAsia" w:ascii="宋体" w:hAnsi="宋体"/>
                <w:szCs w:val="21"/>
              </w:rPr>
              <w:t>大写：</w:t>
            </w:r>
            <w:r>
              <w:rPr>
                <w:rFonts w:hint="eastAsia" w:ascii="宋体" w:hAnsi="宋体"/>
                <w:szCs w:val="21"/>
                <w:u w:val="single"/>
              </w:rPr>
              <w:t xml:space="preserve">                    </w:t>
            </w:r>
          </w:p>
          <w:p>
            <w:pPr>
              <w:adjustRightInd w:val="0"/>
              <w:snapToGrid w:val="0"/>
              <w:ind w:left="-88" w:leftChars="-42" w:firstLine="105" w:firstLineChars="50"/>
              <w:rPr>
                <w:rFonts w:ascii="宋体" w:hAnsi="宋体"/>
                <w:szCs w:val="21"/>
              </w:rPr>
            </w:pPr>
          </w:p>
          <w:p>
            <w:pPr>
              <w:adjustRightInd w:val="0"/>
              <w:snapToGrid w:val="0"/>
              <w:ind w:left="-88" w:leftChars="-42" w:firstLine="105" w:firstLineChars="50"/>
              <w:rPr>
                <w:rFonts w:ascii="宋体" w:hAnsi="宋体"/>
                <w:b/>
                <w:szCs w:val="21"/>
              </w:rPr>
            </w:pPr>
            <w:r>
              <w:rPr>
                <w:rFonts w:hint="eastAsia" w:ascii="宋体" w:hAnsi="宋体"/>
                <w:szCs w:val="21"/>
              </w:rPr>
              <w:t>小写：</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8" w:type="dxa"/>
            <w:vAlign w:val="center"/>
          </w:tcPr>
          <w:p>
            <w:pPr>
              <w:adjustRightInd w:val="0"/>
              <w:snapToGrid w:val="0"/>
              <w:jc w:val="center"/>
              <w:rPr>
                <w:rFonts w:ascii="宋体" w:hAnsi="宋体"/>
                <w:szCs w:val="21"/>
              </w:rPr>
            </w:pPr>
            <w:r>
              <w:rPr>
                <w:rFonts w:hint="eastAsia" w:ascii="宋体" w:hAnsi="宋体"/>
                <w:szCs w:val="21"/>
              </w:rPr>
              <w:t>２</w:t>
            </w:r>
          </w:p>
        </w:tc>
        <w:tc>
          <w:tcPr>
            <w:tcW w:w="2047" w:type="dxa"/>
            <w:vAlign w:val="center"/>
          </w:tcPr>
          <w:p>
            <w:pPr>
              <w:adjustRightInd w:val="0"/>
              <w:snapToGrid w:val="0"/>
              <w:ind w:left="-88" w:leftChars="-42"/>
              <w:jc w:val="center"/>
              <w:rPr>
                <w:rFonts w:ascii="宋体" w:hAnsi="宋体"/>
                <w:szCs w:val="21"/>
              </w:rPr>
            </w:pPr>
            <w:r>
              <w:rPr>
                <w:rFonts w:hint="eastAsia" w:ascii="宋体" w:hAnsi="宋体"/>
                <w:szCs w:val="21"/>
              </w:rPr>
              <w:t>服务期</w:t>
            </w:r>
          </w:p>
        </w:tc>
        <w:tc>
          <w:tcPr>
            <w:tcW w:w="5685" w:type="dxa"/>
            <w:gridSpan w:val="2"/>
            <w:vAlign w:val="center"/>
          </w:tcPr>
          <w:p>
            <w:pPr>
              <w:adjustRightInd w:val="0"/>
              <w:snapToGrid w:val="0"/>
              <w:ind w:left="-88" w:leftChars="-42" w:firstLine="105" w:firstLine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8" w:type="dxa"/>
            <w:vAlign w:val="center"/>
          </w:tcPr>
          <w:p>
            <w:pPr>
              <w:adjustRightInd w:val="0"/>
              <w:snapToGrid w:val="0"/>
              <w:jc w:val="center"/>
              <w:rPr>
                <w:rFonts w:ascii="宋体" w:hAnsi="宋体"/>
                <w:szCs w:val="21"/>
              </w:rPr>
            </w:pPr>
            <w:r>
              <w:rPr>
                <w:rFonts w:hint="eastAsia" w:ascii="宋体" w:hAnsi="宋体"/>
                <w:szCs w:val="21"/>
              </w:rPr>
              <w:t>３</w:t>
            </w:r>
          </w:p>
        </w:tc>
        <w:tc>
          <w:tcPr>
            <w:tcW w:w="2047" w:type="dxa"/>
            <w:vAlign w:val="center"/>
          </w:tcPr>
          <w:p>
            <w:pPr>
              <w:adjustRightInd w:val="0"/>
              <w:snapToGrid w:val="0"/>
              <w:ind w:left="-88" w:leftChars="-42"/>
              <w:jc w:val="center"/>
              <w:rPr>
                <w:rFonts w:ascii="宋体" w:hAnsi="宋体"/>
                <w:szCs w:val="21"/>
              </w:rPr>
            </w:pPr>
            <w:r>
              <w:rPr>
                <w:rFonts w:ascii="宋体" w:hAnsi="宋体"/>
                <w:szCs w:val="21"/>
              </w:rPr>
              <w:t>备  注</w:t>
            </w:r>
          </w:p>
        </w:tc>
        <w:tc>
          <w:tcPr>
            <w:tcW w:w="5685" w:type="dxa"/>
            <w:gridSpan w:val="2"/>
            <w:vAlign w:val="center"/>
          </w:tcPr>
          <w:p>
            <w:pPr>
              <w:adjustRightInd w:val="0"/>
              <w:snapToGrid w:val="0"/>
              <w:ind w:left="-88" w:leftChars="-42" w:firstLine="105" w:firstLineChars="50"/>
              <w:rPr>
                <w:rFonts w:ascii="宋体" w:hAnsi="宋体"/>
                <w:szCs w:val="21"/>
              </w:rPr>
            </w:pPr>
          </w:p>
        </w:tc>
      </w:tr>
    </w:tbl>
    <w:p>
      <w:pPr>
        <w:adjustRightInd w:val="0"/>
        <w:snapToGrid w:val="0"/>
        <w:rPr>
          <w:rFonts w:ascii="黑体" w:hAnsi="宋体" w:eastAsia="黑体"/>
          <w:sz w:val="24"/>
        </w:rPr>
      </w:pPr>
    </w:p>
    <w:p>
      <w:pPr>
        <w:adjustRightInd w:val="0"/>
        <w:snapToGrid w:val="0"/>
        <w:spacing w:line="360" w:lineRule="auto"/>
        <w:ind w:firstLine="420" w:firstLineChars="200"/>
        <w:rPr>
          <w:rFonts w:ascii="宋体" w:hAnsi="宋体"/>
          <w:szCs w:val="21"/>
        </w:rPr>
      </w:pPr>
      <w:r>
        <w:rPr>
          <w:rFonts w:hint="eastAsia" w:ascii="宋体" w:hAnsi="宋体"/>
          <w:szCs w:val="21"/>
        </w:rPr>
        <w:t>说明：</w:t>
      </w:r>
    </w:p>
    <w:p>
      <w:pPr>
        <w:adjustRightInd w:val="0"/>
        <w:snapToGrid w:val="0"/>
        <w:spacing w:line="360" w:lineRule="auto"/>
        <w:ind w:firstLine="420" w:firstLineChars="200"/>
        <w:rPr>
          <w:rFonts w:ascii="宋体" w:hAnsi="宋体"/>
          <w:szCs w:val="21"/>
        </w:rPr>
      </w:pPr>
      <w:r>
        <w:rPr>
          <w:rFonts w:hint="eastAsia" w:ascii="宋体" w:hAnsi="宋体"/>
          <w:szCs w:val="21"/>
        </w:rPr>
        <w:t>1、报价一经涂改，应在涂改处加盖单位公章或者由法定代表人或授权委托人签字或盖章，否则作无效处理。</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、结算时以结果报告数支付费用。</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adjustRightInd w:val="0"/>
        <w:snapToGrid w:val="0"/>
        <w:jc w:val="center"/>
        <w:rPr>
          <w:rFonts w:ascii="黑体" w:hAnsi="宋体" w:eastAsia="黑体"/>
          <w:sz w:val="32"/>
          <w:szCs w:val="32"/>
        </w:rPr>
      </w:pPr>
    </w:p>
    <w:p>
      <w:pPr>
        <w:adjustRightInd w:val="0"/>
        <w:snapToGrid w:val="0"/>
        <w:jc w:val="center"/>
        <w:rPr>
          <w:rFonts w:ascii="黑体" w:hAnsi="宋体" w:eastAsia="黑体"/>
          <w:sz w:val="32"/>
          <w:szCs w:val="32"/>
        </w:rPr>
      </w:pPr>
      <w:r>
        <w:rPr>
          <w:rFonts w:ascii="黑体" w:hAnsi="宋体" w:eastAsia="黑体"/>
          <w:sz w:val="32"/>
          <w:szCs w:val="32"/>
        </w:rPr>
        <w:br w:type="page"/>
      </w:r>
      <w:r>
        <w:rPr>
          <w:rFonts w:hint="eastAsia" w:ascii="黑体" w:hAnsi="宋体" w:eastAsia="黑体"/>
          <w:sz w:val="32"/>
          <w:szCs w:val="32"/>
        </w:rPr>
        <w:t>报价明细表</w:t>
      </w:r>
    </w:p>
    <w:p>
      <w:pPr>
        <w:spacing w:line="360" w:lineRule="exact"/>
        <w:ind w:firstLine="211" w:firstLineChars="100"/>
        <w:rPr>
          <w:rFonts w:ascii="楷体_GB2312" w:eastAsia="楷体_GB2312"/>
          <w:b/>
        </w:rPr>
      </w:pPr>
    </w:p>
    <w:p>
      <w:pPr>
        <w:spacing w:line="360" w:lineRule="exact"/>
        <w:ind w:firstLine="211" w:firstLineChars="100"/>
        <w:rPr>
          <w:rFonts w:ascii="楷体_GB2312" w:eastAsia="楷体_GB2312"/>
          <w:b/>
        </w:rPr>
      </w:pPr>
    </w:p>
    <w:p>
      <w:pPr>
        <w:spacing w:line="360" w:lineRule="exact"/>
        <w:rPr>
          <w:rFonts w:ascii="宋体" w:hAnsi="宋体"/>
          <w:b/>
        </w:rPr>
      </w:pPr>
      <w:r>
        <w:rPr>
          <w:rFonts w:hint="eastAsia" w:ascii="宋体" w:hAnsi="宋体"/>
          <w:b/>
        </w:rPr>
        <w:t>项目名称：</w:t>
      </w:r>
    </w:p>
    <w:p>
      <w:pPr>
        <w:spacing w:line="360" w:lineRule="exact"/>
        <w:jc w:val="left"/>
        <w:rPr>
          <w:rFonts w:ascii="宋体" w:hAnsi="宋体"/>
          <w:b/>
        </w:rPr>
      </w:pPr>
      <w:r>
        <w:rPr>
          <w:rFonts w:hint="eastAsia" w:ascii="宋体" w:hAnsi="宋体"/>
          <w:b/>
        </w:rPr>
        <w:t>项目编号：</w:t>
      </w:r>
    </w:p>
    <w:bookmarkEnd w:id="0"/>
    <w:p>
      <w:pPr>
        <w:rPr>
          <w:rFonts w:ascii="宋体" w:hAnsi="宋体"/>
          <w:b/>
        </w:rPr>
      </w:pPr>
      <w:r>
        <w:rPr>
          <w:rFonts w:hint="eastAsia" w:ascii="宋体" w:hAnsi="宋体"/>
          <w:b/>
        </w:rPr>
        <w:t>供应商名称:                                                 单位：人民币（元）</w:t>
      </w:r>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4"/>
        <w:gridCol w:w="1463"/>
        <w:gridCol w:w="1768"/>
        <w:gridCol w:w="1664"/>
        <w:gridCol w:w="1280"/>
        <w:gridCol w:w="1071"/>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jc w:val="center"/>
              <w:rPr>
                <w:rFonts w:ascii="宋体" w:hAnsi="宋体"/>
              </w:rPr>
            </w:pPr>
            <w:r>
              <w:rPr>
                <w:rFonts w:hint="eastAsia" w:ascii="宋体" w:hAnsi="宋体"/>
              </w:rPr>
              <w:t>序号</w:t>
            </w:r>
          </w:p>
        </w:tc>
        <w:tc>
          <w:tcPr>
            <w:tcW w:w="3231" w:type="dxa"/>
            <w:gridSpan w:val="2"/>
            <w:vAlign w:val="center"/>
          </w:tcPr>
          <w:p>
            <w:pPr>
              <w:jc w:val="center"/>
              <w:rPr>
                <w:rFonts w:ascii="宋体" w:hAnsi="宋体"/>
              </w:rPr>
            </w:pPr>
            <w:r>
              <w:rPr>
                <w:rFonts w:hint="eastAsia" w:ascii="宋体" w:hAnsi="宋体"/>
              </w:rPr>
              <w:t>服务内容</w:t>
            </w:r>
          </w:p>
        </w:tc>
        <w:tc>
          <w:tcPr>
            <w:tcW w:w="1664" w:type="dxa"/>
            <w:vAlign w:val="center"/>
          </w:tcPr>
          <w:p>
            <w:pPr>
              <w:jc w:val="center"/>
              <w:rPr>
                <w:rFonts w:ascii="宋体" w:hAnsi="宋体"/>
              </w:rPr>
            </w:pPr>
            <w:r>
              <w:rPr>
                <w:rFonts w:hint="eastAsia" w:ascii="宋体" w:hAnsi="宋体"/>
              </w:rPr>
              <w:t>服务商</w:t>
            </w:r>
          </w:p>
        </w:tc>
        <w:tc>
          <w:tcPr>
            <w:tcW w:w="1280" w:type="dxa"/>
            <w:vAlign w:val="center"/>
          </w:tcPr>
          <w:p>
            <w:pPr>
              <w:jc w:val="center"/>
              <w:rPr>
                <w:rFonts w:ascii="宋体" w:hAnsi="宋体"/>
              </w:rPr>
            </w:pPr>
            <w:r>
              <w:rPr>
                <w:rFonts w:hint="eastAsia" w:ascii="宋体" w:hAnsi="宋体"/>
              </w:rPr>
              <w:t>数量及单位</w:t>
            </w:r>
          </w:p>
        </w:tc>
        <w:tc>
          <w:tcPr>
            <w:tcW w:w="1071" w:type="dxa"/>
            <w:vAlign w:val="center"/>
          </w:tcPr>
          <w:p>
            <w:pPr>
              <w:jc w:val="center"/>
              <w:rPr>
                <w:rFonts w:ascii="宋体" w:hAnsi="宋体"/>
              </w:rPr>
            </w:pPr>
            <w:r>
              <w:rPr>
                <w:rFonts w:hint="eastAsia" w:ascii="宋体" w:hAnsi="宋体"/>
              </w:rPr>
              <w:t>金额</w:t>
            </w:r>
          </w:p>
        </w:tc>
        <w:tc>
          <w:tcPr>
            <w:tcW w:w="830" w:type="dxa"/>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ind w:firstLine="174" w:firstLineChars="83"/>
              <w:jc w:val="center"/>
              <w:rPr>
                <w:rFonts w:ascii="宋体" w:hAnsi="宋体"/>
              </w:rPr>
            </w:pPr>
            <w:r>
              <w:rPr>
                <w:rFonts w:hint="eastAsia" w:ascii="宋体" w:hAnsi="宋体"/>
              </w:rPr>
              <w:t>1</w:t>
            </w:r>
          </w:p>
        </w:tc>
        <w:tc>
          <w:tcPr>
            <w:tcW w:w="3231" w:type="dxa"/>
            <w:gridSpan w:val="2"/>
            <w:vAlign w:val="center"/>
          </w:tcPr>
          <w:p>
            <w:pPr>
              <w:ind w:firstLine="480"/>
              <w:jc w:val="center"/>
              <w:rPr>
                <w:rFonts w:ascii="宋体" w:hAnsi="宋体"/>
              </w:rPr>
            </w:pPr>
          </w:p>
        </w:tc>
        <w:tc>
          <w:tcPr>
            <w:tcW w:w="1664" w:type="dxa"/>
            <w:vAlign w:val="center"/>
          </w:tcPr>
          <w:p>
            <w:pPr>
              <w:ind w:firstLine="480"/>
              <w:jc w:val="center"/>
              <w:rPr>
                <w:rFonts w:ascii="宋体" w:hAnsi="宋体"/>
              </w:rPr>
            </w:pPr>
          </w:p>
        </w:tc>
        <w:tc>
          <w:tcPr>
            <w:tcW w:w="1280" w:type="dxa"/>
            <w:vAlign w:val="center"/>
          </w:tcPr>
          <w:p>
            <w:pPr>
              <w:ind w:firstLine="480"/>
              <w:jc w:val="center"/>
              <w:rPr>
                <w:rFonts w:ascii="宋体" w:hAnsi="宋体"/>
              </w:rPr>
            </w:pPr>
          </w:p>
        </w:tc>
        <w:tc>
          <w:tcPr>
            <w:tcW w:w="1071" w:type="dxa"/>
            <w:vAlign w:val="center"/>
          </w:tcPr>
          <w:p>
            <w:pPr>
              <w:ind w:firstLine="480"/>
              <w:jc w:val="center"/>
              <w:rPr>
                <w:rFonts w:ascii="宋体" w:hAnsi="宋体"/>
              </w:rPr>
            </w:pPr>
          </w:p>
        </w:tc>
        <w:tc>
          <w:tcPr>
            <w:tcW w:w="830" w:type="dxa"/>
            <w:vAlign w:val="center"/>
          </w:tcPr>
          <w:p>
            <w:pPr>
              <w:ind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ind w:firstLine="174" w:firstLineChars="83"/>
              <w:jc w:val="center"/>
              <w:rPr>
                <w:rFonts w:ascii="宋体" w:hAnsi="宋体"/>
              </w:rPr>
            </w:pPr>
            <w:r>
              <w:rPr>
                <w:rFonts w:hint="eastAsia" w:ascii="宋体" w:hAnsi="宋体"/>
              </w:rPr>
              <w:t>2</w:t>
            </w:r>
          </w:p>
        </w:tc>
        <w:tc>
          <w:tcPr>
            <w:tcW w:w="3231" w:type="dxa"/>
            <w:gridSpan w:val="2"/>
            <w:vAlign w:val="center"/>
          </w:tcPr>
          <w:p>
            <w:pPr>
              <w:ind w:firstLine="480"/>
              <w:jc w:val="center"/>
              <w:rPr>
                <w:rFonts w:ascii="宋体" w:hAnsi="宋体"/>
              </w:rPr>
            </w:pPr>
          </w:p>
        </w:tc>
        <w:tc>
          <w:tcPr>
            <w:tcW w:w="1664" w:type="dxa"/>
            <w:vAlign w:val="center"/>
          </w:tcPr>
          <w:p>
            <w:pPr>
              <w:ind w:firstLine="480"/>
              <w:jc w:val="center"/>
              <w:rPr>
                <w:rFonts w:ascii="宋体" w:hAnsi="宋体"/>
              </w:rPr>
            </w:pPr>
          </w:p>
        </w:tc>
        <w:tc>
          <w:tcPr>
            <w:tcW w:w="1280" w:type="dxa"/>
            <w:vAlign w:val="center"/>
          </w:tcPr>
          <w:p>
            <w:pPr>
              <w:ind w:firstLine="480"/>
              <w:jc w:val="center"/>
              <w:rPr>
                <w:rFonts w:ascii="宋体" w:hAnsi="宋体"/>
              </w:rPr>
            </w:pPr>
          </w:p>
        </w:tc>
        <w:tc>
          <w:tcPr>
            <w:tcW w:w="1071" w:type="dxa"/>
            <w:vAlign w:val="center"/>
          </w:tcPr>
          <w:p>
            <w:pPr>
              <w:ind w:firstLine="480"/>
              <w:jc w:val="center"/>
              <w:rPr>
                <w:rFonts w:ascii="宋体" w:hAnsi="宋体"/>
              </w:rPr>
            </w:pPr>
          </w:p>
        </w:tc>
        <w:tc>
          <w:tcPr>
            <w:tcW w:w="830" w:type="dxa"/>
            <w:vAlign w:val="center"/>
          </w:tcPr>
          <w:p>
            <w:pPr>
              <w:ind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ind w:firstLine="174" w:firstLineChars="83"/>
              <w:jc w:val="center"/>
              <w:rPr>
                <w:rFonts w:ascii="宋体" w:hAnsi="宋体"/>
              </w:rPr>
            </w:pPr>
            <w:r>
              <w:rPr>
                <w:rFonts w:hint="eastAsia" w:ascii="宋体" w:hAnsi="宋体"/>
              </w:rPr>
              <w:t>3</w:t>
            </w:r>
          </w:p>
        </w:tc>
        <w:tc>
          <w:tcPr>
            <w:tcW w:w="3231" w:type="dxa"/>
            <w:gridSpan w:val="2"/>
            <w:vAlign w:val="center"/>
          </w:tcPr>
          <w:p>
            <w:pPr>
              <w:ind w:firstLine="480"/>
              <w:jc w:val="center"/>
              <w:rPr>
                <w:rFonts w:ascii="宋体" w:hAnsi="宋体"/>
              </w:rPr>
            </w:pPr>
          </w:p>
        </w:tc>
        <w:tc>
          <w:tcPr>
            <w:tcW w:w="1664" w:type="dxa"/>
            <w:vAlign w:val="center"/>
          </w:tcPr>
          <w:p>
            <w:pPr>
              <w:ind w:firstLine="480"/>
              <w:jc w:val="center"/>
              <w:rPr>
                <w:rFonts w:ascii="宋体" w:hAnsi="宋体"/>
              </w:rPr>
            </w:pPr>
          </w:p>
        </w:tc>
        <w:tc>
          <w:tcPr>
            <w:tcW w:w="1280" w:type="dxa"/>
            <w:vAlign w:val="center"/>
          </w:tcPr>
          <w:p>
            <w:pPr>
              <w:ind w:firstLine="480"/>
              <w:jc w:val="center"/>
              <w:rPr>
                <w:rFonts w:ascii="宋体" w:hAnsi="宋体"/>
              </w:rPr>
            </w:pPr>
          </w:p>
        </w:tc>
        <w:tc>
          <w:tcPr>
            <w:tcW w:w="1071" w:type="dxa"/>
            <w:vAlign w:val="center"/>
          </w:tcPr>
          <w:p>
            <w:pPr>
              <w:ind w:firstLine="480"/>
              <w:jc w:val="center"/>
              <w:rPr>
                <w:rFonts w:ascii="宋体" w:hAnsi="宋体"/>
              </w:rPr>
            </w:pPr>
          </w:p>
        </w:tc>
        <w:tc>
          <w:tcPr>
            <w:tcW w:w="830" w:type="dxa"/>
            <w:vAlign w:val="center"/>
          </w:tcPr>
          <w:p>
            <w:pPr>
              <w:ind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ind w:firstLine="174" w:firstLineChars="83"/>
              <w:jc w:val="center"/>
              <w:rPr>
                <w:rFonts w:ascii="宋体" w:hAnsi="宋体"/>
              </w:rPr>
            </w:pPr>
            <w:r>
              <w:rPr>
                <w:rFonts w:hint="eastAsia" w:ascii="宋体" w:hAnsi="宋体"/>
              </w:rPr>
              <w:t>4</w:t>
            </w:r>
          </w:p>
        </w:tc>
        <w:tc>
          <w:tcPr>
            <w:tcW w:w="3231" w:type="dxa"/>
            <w:gridSpan w:val="2"/>
            <w:vAlign w:val="center"/>
          </w:tcPr>
          <w:p>
            <w:pPr>
              <w:ind w:firstLine="480"/>
              <w:jc w:val="center"/>
              <w:rPr>
                <w:rFonts w:ascii="宋体" w:hAnsi="宋体"/>
              </w:rPr>
            </w:pPr>
          </w:p>
        </w:tc>
        <w:tc>
          <w:tcPr>
            <w:tcW w:w="1664" w:type="dxa"/>
            <w:vAlign w:val="center"/>
          </w:tcPr>
          <w:p>
            <w:pPr>
              <w:ind w:firstLine="480"/>
              <w:jc w:val="center"/>
              <w:rPr>
                <w:rFonts w:ascii="宋体" w:hAnsi="宋体"/>
              </w:rPr>
            </w:pPr>
          </w:p>
        </w:tc>
        <w:tc>
          <w:tcPr>
            <w:tcW w:w="1280" w:type="dxa"/>
            <w:vAlign w:val="center"/>
          </w:tcPr>
          <w:p>
            <w:pPr>
              <w:ind w:firstLine="480"/>
              <w:jc w:val="center"/>
              <w:rPr>
                <w:rFonts w:ascii="宋体" w:hAnsi="宋体"/>
              </w:rPr>
            </w:pPr>
          </w:p>
        </w:tc>
        <w:tc>
          <w:tcPr>
            <w:tcW w:w="1071" w:type="dxa"/>
            <w:vAlign w:val="center"/>
          </w:tcPr>
          <w:p>
            <w:pPr>
              <w:ind w:firstLine="480"/>
              <w:jc w:val="center"/>
              <w:rPr>
                <w:rFonts w:ascii="宋体" w:hAnsi="宋体"/>
              </w:rPr>
            </w:pPr>
          </w:p>
        </w:tc>
        <w:tc>
          <w:tcPr>
            <w:tcW w:w="830" w:type="dxa"/>
            <w:vAlign w:val="center"/>
          </w:tcPr>
          <w:p>
            <w:pPr>
              <w:ind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44" w:type="dxa"/>
            <w:vAlign w:val="center"/>
          </w:tcPr>
          <w:p>
            <w:pPr>
              <w:ind w:firstLine="174" w:firstLineChars="83"/>
              <w:jc w:val="center"/>
              <w:rPr>
                <w:rFonts w:ascii="宋体" w:hAnsi="宋体"/>
              </w:rPr>
            </w:pPr>
            <w:r>
              <w:rPr>
                <w:rFonts w:hint="eastAsia" w:ascii="宋体" w:hAnsi="宋体"/>
              </w:rPr>
              <w:t>５</w:t>
            </w:r>
          </w:p>
        </w:tc>
        <w:tc>
          <w:tcPr>
            <w:tcW w:w="3231" w:type="dxa"/>
            <w:gridSpan w:val="2"/>
            <w:vAlign w:val="center"/>
          </w:tcPr>
          <w:p>
            <w:pPr>
              <w:ind w:firstLine="480"/>
              <w:jc w:val="center"/>
              <w:rPr>
                <w:rFonts w:ascii="宋体" w:hAnsi="宋体"/>
              </w:rPr>
            </w:pPr>
          </w:p>
        </w:tc>
        <w:tc>
          <w:tcPr>
            <w:tcW w:w="1664" w:type="dxa"/>
            <w:vAlign w:val="center"/>
          </w:tcPr>
          <w:p>
            <w:pPr>
              <w:ind w:firstLine="480"/>
              <w:jc w:val="center"/>
              <w:rPr>
                <w:rFonts w:ascii="宋体" w:hAnsi="宋体"/>
              </w:rPr>
            </w:pPr>
          </w:p>
        </w:tc>
        <w:tc>
          <w:tcPr>
            <w:tcW w:w="1280" w:type="dxa"/>
            <w:vAlign w:val="center"/>
          </w:tcPr>
          <w:p>
            <w:pPr>
              <w:ind w:firstLine="480"/>
              <w:jc w:val="center"/>
              <w:rPr>
                <w:rFonts w:ascii="宋体" w:hAnsi="宋体"/>
              </w:rPr>
            </w:pPr>
          </w:p>
        </w:tc>
        <w:tc>
          <w:tcPr>
            <w:tcW w:w="1071" w:type="dxa"/>
            <w:vAlign w:val="center"/>
          </w:tcPr>
          <w:p>
            <w:pPr>
              <w:ind w:firstLine="480"/>
              <w:jc w:val="center"/>
              <w:rPr>
                <w:rFonts w:ascii="宋体" w:hAnsi="宋体"/>
              </w:rPr>
            </w:pPr>
          </w:p>
        </w:tc>
        <w:tc>
          <w:tcPr>
            <w:tcW w:w="830" w:type="dxa"/>
            <w:vAlign w:val="center"/>
          </w:tcPr>
          <w:p>
            <w:pPr>
              <w:ind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720" w:type="dxa"/>
            <w:gridSpan w:val="7"/>
            <w:vAlign w:val="center"/>
          </w:tcPr>
          <w:p>
            <w:pPr>
              <w:jc w:val="left"/>
              <w:rPr>
                <w:rFonts w:ascii="宋体" w:hAnsi="宋体"/>
              </w:rPr>
            </w:pPr>
            <w:r>
              <w:rPr>
                <w:rFonts w:hint="eastAsia" w:ascii="宋体" w:hAnsi="宋体"/>
              </w:rPr>
              <w:t>其他承诺及需要说明的事项：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07" w:type="dxa"/>
            <w:gridSpan w:val="2"/>
            <w:vAlign w:val="center"/>
          </w:tcPr>
          <w:p>
            <w:pPr>
              <w:ind w:firstLine="480"/>
              <w:rPr>
                <w:rFonts w:ascii="宋体" w:hAnsi="宋体"/>
              </w:rPr>
            </w:pPr>
            <w:r>
              <w:rPr>
                <w:rFonts w:hint="eastAsia" w:ascii="宋体" w:hAnsi="宋体"/>
              </w:rPr>
              <w:t>投标总价</w:t>
            </w:r>
          </w:p>
        </w:tc>
        <w:tc>
          <w:tcPr>
            <w:tcW w:w="6613" w:type="dxa"/>
            <w:gridSpan w:val="5"/>
            <w:vAlign w:val="center"/>
          </w:tcPr>
          <w:p>
            <w:pPr>
              <w:ind w:firstLine="480"/>
              <w:rPr>
                <w:rFonts w:ascii="宋体" w:hAnsi="宋体"/>
              </w:rPr>
            </w:pPr>
            <w:r>
              <w:rPr>
                <w:rFonts w:hint="eastAsia" w:ascii="宋体" w:hAnsi="宋体"/>
              </w:rPr>
              <w:t>大写：                      小写：</w:t>
            </w:r>
          </w:p>
        </w:tc>
      </w:tr>
    </w:tbl>
    <w:p>
      <w:pPr>
        <w:adjustRightInd w:val="0"/>
        <w:textAlignment w:val="baseline"/>
        <w:rPr>
          <w:rFonts w:ascii="宋体" w:hAnsi="宋体"/>
        </w:rPr>
      </w:pPr>
      <w:r>
        <w:rPr>
          <w:rFonts w:hint="eastAsia" w:ascii="宋体" w:hAnsi="宋体"/>
          <w:b/>
        </w:rPr>
        <w:t>注：</w:t>
      </w:r>
      <w:r>
        <w:rPr>
          <w:rFonts w:hint="eastAsia" w:ascii="宋体" w:hAnsi="宋体"/>
        </w:rPr>
        <w:t>本表应按照采购需求的内容逐项填写。（此表可按服务内容自行调整表格或增加附页）</w:t>
      </w:r>
    </w:p>
    <w:p>
      <w:pPr>
        <w:adjustRightInd w:val="0"/>
        <w:textAlignment w:val="baseline"/>
        <w:rPr>
          <w:rFonts w:ascii="宋体" w:hAnsi="宋体"/>
          <w:sz w:val="32"/>
          <w:szCs w:val="32"/>
        </w:rPr>
      </w:pPr>
    </w:p>
    <w:p>
      <w:pPr>
        <w:adjustRightInd w:val="0"/>
        <w:snapToGrid w:val="0"/>
        <w:spacing w:line="360" w:lineRule="auto"/>
        <w:ind w:firstLine="2975" w:firstLineChars="1417"/>
        <w:rPr>
          <w:rFonts w:ascii="宋体" w:hAnsi="宋体"/>
          <w:szCs w:val="21"/>
        </w:rPr>
      </w:pPr>
      <w:r>
        <w:rPr>
          <w:rFonts w:hint="eastAsia" w:ascii="宋体" w:hAnsi="宋体"/>
          <w:szCs w:val="21"/>
        </w:rPr>
        <w:t>供应商（盖单位章）：</w:t>
      </w:r>
    </w:p>
    <w:p>
      <w:pPr>
        <w:adjustRightInd w:val="0"/>
        <w:snapToGrid w:val="0"/>
        <w:spacing w:line="360" w:lineRule="auto"/>
        <w:ind w:firstLine="2975" w:firstLineChars="1417"/>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ind w:firstLine="2975" w:firstLineChars="1417"/>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adjustRightInd w:val="0"/>
        <w:snapToGrid w:val="0"/>
        <w:jc w:val="center"/>
        <w:rPr>
          <w:rFonts w:ascii="黑体" w:hAnsi="宋体" w:eastAsia="黑体"/>
          <w:b/>
          <w:sz w:val="28"/>
          <w:szCs w:val="28"/>
        </w:rPr>
      </w:pPr>
    </w:p>
    <w:p>
      <w:pPr>
        <w:adjustRightInd w:val="0"/>
        <w:snapToGrid w:val="0"/>
        <w:jc w:val="center"/>
        <w:outlineLvl w:val="1"/>
        <w:rPr>
          <w:rFonts w:ascii="黑体" w:hAnsi="宋体" w:eastAsia="黑体"/>
          <w:b/>
          <w:sz w:val="28"/>
          <w:szCs w:val="28"/>
        </w:rPr>
      </w:pPr>
      <w:bookmarkStart w:id="121" w:name="_Toc421020468"/>
      <w:r>
        <w:rPr>
          <w:rFonts w:ascii="黑体" w:hAnsi="宋体" w:eastAsia="黑体"/>
          <w:b/>
          <w:sz w:val="28"/>
          <w:szCs w:val="28"/>
        </w:rPr>
        <w:br w:type="page"/>
      </w:r>
      <w:bookmarkStart w:id="122" w:name="_Toc31939"/>
      <w:r>
        <w:rPr>
          <w:rFonts w:hint="eastAsia" w:ascii="黑体" w:hAnsi="宋体" w:eastAsia="黑体"/>
          <w:b/>
          <w:sz w:val="28"/>
          <w:szCs w:val="28"/>
        </w:rPr>
        <w:t>七、供应商认为需要提供的其它资料</w:t>
      </w:r>
      <w:bookmarkEnd w:id="121"/>
      <w:bookmarkEnd w:id="122"/>
    </w:p>
    <w:p>
      <w:pPr>
        <w:pStyle w:val="23"/>
        <w:adjustRightInd w:val="0"/>
        <w:snapToGrid w:val="0"/>
        <w:spacing w:line="360" w:lineRule="auto"/>
        <w:ind w:firstLine="525" w:firstLineChars="250"/>
        <w:rPr>
          <w:rFonts w:hAnsi="宋体"/>
        </w:rPr>
      </w:pPr>
    </w:p>
    <w:p>
      <w:pPr>
        <w:pStyle w:val="23"/>
        <w:adjustRightInd w:val="0"/>
        <w:snapToGrid w:val="0"/>
        <w:spacing w:line="360" w:lineRule="auto"/>
        <w:jc w:val="center"/>
        <w:rPr>
          <w:rFonts w:hAnsi="宋体"/>
          <w:b/>
          <w:sz w:val="32"/>
          <w:szCs w:val="32"/>
        </w:rPr>
      </w:pPr>
    </w:p>
    <w:p>
      <w:pPr>
        <w:pStyle w:val="23"/>
        <w:adjustRightInd w:val="0"/>
        <w:snapToGrid w:val="0"/>
        <w:spacing w:line="360" w:lineRule="auto"/>
        <w:jc w:val="center"/>
        <w:rPr>
          <w:rFonts w:hAnsi="宋体"/>
          <w:b/>
          <w:sz w:val="32"/>
          <w:szCs w:val="32"/>
        </w:rPr>
      </w:pPr>
    </w:p>
    <w:p>
      <w:pPr>
        <w:spacing w:line="360" w:lineRule="exact"/>
        <w:jc w:val="center"/>
      </w:pPr>
    </w:p>
    <w:sectPr>
      <w:headerReference r:id="rId12" w:type="default"/>
      <w:footerReference r:id="rId13" w:type="even"/>
      <w:pgSz w:w="11906" w:h="16838"/>
      <w:pgMar w:top="1418" w:right="1588" w:bottom="141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S Sans Serif">
    <w:altName w:val="Arial"/>
    <w:panose1 w:val="020B0500000000000000"/>
    <w:charset w:val="00"/>
    <w:family w:val="swiss"/>
    <w:pitch w:val="default"/>
    <w:sig w:usb0="00000000" w:usb1="00000000" w:usb2="00000000" w:usb3="00000000" w:csb0="00000001" w:csb1="00000000"/>
  </w:font>
  <w:font w:name="Arail">
    <w:altName w:val="Courier New"/>
    <w:panose1 w:val="00000000000000000000"/>
    <w:charset w:val="00"/>
    <w:family w:val="roman"/>
    <w:pitch w:val="default"/>
    <w:sig w:usb0="00000000" w:usb1="00000000" w:usb2="00000000"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font>
  <w:font w:name="方正小标宋_GBK">
    <w:altName w:val="微软雅黑"/>
    <w:panose1 w:val="00000000000000000000"/>
    <w:charset w:val="86"/>
    <w:family w:val="script"/>
    <w:pitch w:val="default"/>
    <w:sig w:usb0="00000000" w:usb1="00000000" w:usb2="00000019" w:usb3="00000000" w:csb0="000401FF" w:csb1="00000000"/>
  </w:font>
  <w:font w:name="ˎ̥">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pPr>
      <w:pStyle w:val="28"/>
      <w:ind w:right="360"/>
      <w:rPr>
        <w:rFonts w:ascii="宋体" w:hAnsi="宋体"/>
        <w:sz w:val="28"/>
        <w:szCs w:val="28"/>
      </w:rPr>
    </w:pP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tabs>
        <w:tab w:val="left" w:pos="1395"/>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644F7"/>
    <w:multiLevelType w:val="multilevel"/>
    <w:tmpl w:val="214644F7"/>
    <w:lvl w:ilvl="0" w:tentative="0">
      <w:start w:val="1"/>
      <w:numFmt w:val="decimal"/>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4B786EF3"/>
    <w:multiLevelType w:val="multilevel"/>
    <w:tmpl w:val="4B786E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204C04"/>
    <w:multiLevelType w:val="multilevel"/>
    <w:tmpl w:val="57204C04"/>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65"/>
      <w:suff w:val="nothing"/>
      <w:lvlText w:val="%1%2　"/>
      <w:lvlJc w:val="left"/>
      <w:pPr>
        <w:ind w:left="180"/>
      </w:pPr>
      <w:rPr>
        <w:rFonts w:cs="Times New Roman"/>
      </w:rPr>
    </w:lvl>
    <w:lvl w:ilvl="2" w:tentative="0">
      <w:start w:val="1"/>
      <w:numFmt w:val="decimal"/>
      <w:suff w:val="nothing"/>
      <w:lvlText w:val="%1%2.%3　"/>
      <w:lvlJc w:val="left"/>
      <w:rPr>
        <w:rFonts w:cs="Times New Roman"/>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cs="Times New Roman"/>
      </w:rPr>
    </w:lvl>
    <w:lvl w:ilvl="8" w:tentative="0">
      <w:start w:val="1"/>
      <w:numFmt w:val="decimal"/>
      <w:lvlText w:val="%1.%2.%3.%4.%5.%6.%7.%8.%9"/>
      <w:lvlJc w:val="left"/>
      <w:pPr>
        <w:tabs>
          <w:tab w:val="left" w:pos="4777"/>
        </w:tabs>
        <w:ind w:left="4677" w:hanging="1700"/>
      </w:pPr>
      <w:rPr>
        <w:rFonts w:cs="Times New Roman"/>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B920B1"/>
    <w:rsid w:val="000012F9"/>
    <w:rsid w:val="00003ED4"/>
    <w:rsid w:val="00006621"/>
    <w:rsid w:val="000103B8"/>
    <w:rsid w:val="00011AE3"/>
    <w:rsid w:val="00012838"/>
    <w:rsid w:val="00012A36"/>
    <w:rsid w:val="00012C3C"/>
    <w:rsid w:val="000168DE"/>
    <w:rsid w:val="00030E99"/>
    <w:rsid w:val="00031972"/>
    <w:rsid w:val="00033380"/>
    <w:rsid w:val="00036EEB"/>
    <w:rsid w:val="00040030"/>
    <w:rsid w:val="000431DB"/>
    <w:rsid w:val="00045808"/>
    <w:rsid w:val="00052E02"/>
    <w:rsid w:val="00052F5F"/>
    <w:rsid w:val="0005436D"/>
    <w:rsid w:val="00054623"/>
    <w:rsid w:val="00055732"/>
    <w:rsid w:val="00060CFF"/>
    <w:rsid w:val="000619E6"/>
    <w:rsid w:val="00067470"/>
    <w:rsid w:val="00073248"/>
    <w:rsid w:val="00074CE2"/>
    <w:rsid w:val="00074FA5"/>
    <w:rsid w:val="00075336"/>
    <w:rsid w:val="00075D46"/>
    <w:rsid w:val="00075F7B"/>
    <w:rsid w:val="0007772A"/>
    <w:rsid w:val="0008532A"/>
    <w:rsid w:val="00087C0B"/>
    <w:rsid w:val="00095A6C"/>
    <w:rsid w:val="00095BF1"/>
    <w:rsid w:val="000A5078"/>
    <w:rsid w:val="000A5DE7"/>
    <w:rsid w:val="000A78A7"/>
    <w:rsid w:val="000B1188"/>
    <w:rsid w:val="000B1DB6"/>
    <w:rsid w:val="000B5503"/>
    <w:rsid w:val="000B7F7B"/>
    <w:rsid w:val="000C1B0A"/>
    <w:rsid w:val="000C215E"/>
    <w:rsid w:val="000C2551"/>
    <w:rsid w:val="000C29CA"/>
    <w:rsid w:val="000C60B5"/>
    <w:rsid w:val="000D0720"/>
    <w:rsid w:val="000D7B50"/>
    <w:rsid w:val="000E25BE"/>
    <w:rsid w:val="000E3D72"/>
    <w:rsid w:val="000F003C"/>
    <w:rsid w:val="000F3A4E"/>
    <w:rsid w:val="000F4C67"/>
    <w:rsid w:val="000F5333"/>
    <w:rsid w:val="000F6714"/>
    <w:rsid w:val="00100369"/>
    <w:rsid w:val="001010C4"/>
    <w:rsid w:val="00110819"/>
    <w:rsid w:val="00113446"/>
    <w:rsid w:val="001172EC"/>
    <w:rsid w:val="001205D7"/>
    <w:rsid w:val="0012262D"/>
    <w:rsid w:val="00123D45"/>
    <w:rsid w:val="00141394"/>
    <w:rsid w:val="001514D2"/>
    <w:rsid w:val="00157255"/>
    <w:rsid w:val="001605EF"/>
    <w:rsid w:val="001615B0"/>
    <w:rsid w:val="001619DA"/>
    <w:rsid w:val="00163DDE"/>
    <w:rsid w:val="001665EB"/>
    <w:rsid w:val="00166644"/>
    <w:rsid w:val="00170582"/>
    <w:rsid w:val="0017142F"/>
    <w:rsid w:val="00174597"/>
    <w:rsid w:val="0018299A"/>
    <w:rsid w:val="0018376D"/>
    <w:rsid w:val="00186B6B"/>
    <w:rsid w:val="00186CF9"/>
    <w:rsid w:val="00191071"/>
    <w:rsid w:val="00191BAD"/>
    <w:rsid w:val="00193595"/>
    <w:rsid w:val="00196534"/>
    <w:rsid w:val="001977D9"/>
    <w:rsid w:val="001A08D5"/>
    <w:rsid w:val="001A3A59"/>
    <w:rsid w:val="001B0ED5"/>
    <w:rsid w:val="001B10BC"/>
    <w:rsid w:val="001B67E1"/>
    <w:rsid w:val="001B7276"/>
    <w:rsid w:val="001C1542"/>
    <w:rsid w:val="001C215D"/>
    <w:rsid w:val="001C7157"/>
    <w:rsid w:val="001D38CE"/>
    <w:rsid w:val="001D72F7"/>
    <w:rsid w:val="001E6C44"/>
    <w:rsid w:val="001E72AA"/>
    <w:rsid w:val="001F1405"/>
    <w:rsid w:val="001F590B"/>
    <w:rsid w:val="001F5CB9"/>
    <w:rsid w:val="002010C7"/>
    <w:rsid w:val="0020118F"/>
    <w:rsid w:val="00204065"/>
    <w:rsid w:val="00204364"/>
    <w:rsid w:val="00204625"/>
    <w:rsid w:val="00205EEF"/>
    <w:rsid w:val="00210FE5"/>
    <w:rsid w:val="002110A5"/>
    <w:rsid w:val="00211B04"/>
    <w:rsid w:val="002133AB"/>
    <w:rsid w:val="00220702"/>
    <w:rsid w:val="0022153B"/>
    <w:rsid w:val="00221FC5"/>
    <w:rsid w:val="002250ED"/>
    <w:rsid w:val="00226632"/>
    <w:rsid w:val="0022717A"/>
    <w:rsid w:val="0023068F"/>
    <w:rsid w:val="002368DD"/>
    <w:rsid w:val="00242F6E"/>
    <w:rsid w:val="00245741"/>
    <w:rsid w:val="002458BF"/>
    <w:rsid w:val="00251161"/>
    <w:rsid w:val="002511E1"/>
    <w:rsid w:val="002542AE"/>
    <w:rsid w:val="002614BF"/>
    <w:rsid w:val="002632CA"/>
    <w:rsid w:val="00265B1D"/>
    <w:rsid w:val="00272A36"/>
    <w:rsid w:val="002736E8"/>
    <w:rsid w:val="00276AB9"/>
    <w:rsid w:val="002775D4"/>
    <w:rsid w:val="00277F4F"/>
    <w:rsid w:val="00281181"/>
    <w:rsid w:val="0028215B"/>
    <w:rsid w:val="002907B5"/>
    <w:rsid w:val="002937CF"/>
    <w:rsid w:val="00294405"/>
    <w:rsid w:val="00294496"/>
    <w:rsid w:val="00296466"/>
    <w:rsid w:val="002A3AA9"/>
    <w:rsid w:val="002B2C99"/>
    <w:rsid w:val="002B5AEF"/>
    <w:rsid w:val="002B69E4"/>
    <w:rsid w:val="002C303A"/>
    <w:rsid w:val="002C3990"/>
    <w:rsid w:val="002C3D4A"/>
    <w:rsid w:val="002C42F8"/>
    <w:rsid w:val="002C488C"/>
    <w:rsid w:val="002D2BBC"/>
    <w:rsid w:val="002D489B"/>
    <w:rsid w:val="002D63A3"/>
    <w:rsid w:val="002D74B9"/>
    <w:rsid w:val="002E27FE"/>
    <w:rsid w:val="002E2974"/>
    <w:rsid w:val="002E3C4A"/>
    <w:rsid w:val="002E4939"/>
    <w:rsid w:val="002E71A8"/>
    <w:rsid w:val="002F4971"/>
    <w:rsid w:val="002F4F71"/>
    <w:rsid w:val="002F6579"/>
    <w:rsid w:val="00300E7F"/>
    <w:rsid w:val="00304A94"/>
    <w:rsid w:val="00306ED9"/>
    <w:rsid w:val="003221A4"/>
    <w:rsid w:val="00322FFE"/>
    <w:rsid w:val="00323B29"/>
    <w:rsid w:val="0032573A"/>
    <w:rsid w:val="0033158C"/>
    <w:rsid w:val="0033375E"/>
    <w:rsid w:val="00335BC7"/>
    <w:rsid w:val="00337071"/>
    <w:rsid w:val="00341E3E"/>
    <w:rsid w:val="00343D68"/>
    <w:rsid w:val="00346DA3"/>
    <w:rsid w:val="003470C4"/>
    <w:rsid w:val="00353E0C"/>
    <w:rsid w:val="00354BA2"/>
    <w:rsid w:val="00364AAC"/>
    <w:rsid w:val="00364BB6"/>
    <w:rsid w:val="00372056"/>
    <w:rsid w:val="003721C8"/>
    <w:rsid w:val="00372EB5"/>
    <w:rsid w:val="00376D0E"/>
    <w:rsid w:val="00377713"/>
    <w:rsid w:val="0037799C"/>
    <w:rsid w:val="0038160C"/>
    <w:rsid w:val="003877C1"/>
    <w:rsid w:val="00387ADD"/>
    <w:rsid w:val="00387DEB"/>
    <w:rsid w:val="003908EE"/>
    <w:rsid w:val="00391C31"/>
    <w:rsid w:val="0039211C"/>
    <w:rsid w:val="003930BC"/>
    <w:rsid w:val="00393E32"/>
    <w:rsid w:val="00396B7B"/>
    <w:rsid w:val="003A2B41"/>
    <w:rsid w:val="003A2BEA"/>
    <w:rsid w:val="003B3E1E"/>
    <w:rsid w:val="003B4130"/>
    <w:rsid w:val="003B4632"/>
    <w:rsid w:val="003B6217"/>
    <w:rsid w:val="003B68D1"/>
    <w:rsid w:val="003C2305"/>
    <w:rsid w:val="003C55D7"/>
    <w:rsid w:val="003D744F"/>
    <w:rsid w:val="003D7CD0"/>
    <w:rsid w:val="003E1498"/>
    <w:rsid w:val="003E1A5F"/>
    <w:rsid w:val="003F3C94"/>
    <w:rsid w:val="003F411A"/>
    <w:rsid w:val="003F435B"/>
    <w:rsid w:val="00400713"/>
    <w:rsid w:val="004008D3"/>
    <w:rsid w:val="0040170C"/>
    <w:rsid w:val="00402A00"/>
    <w:rsid w:val="004036F2"/>
    <w:rsid w:val="00412328"/>
    <w:rsid w:val="00414838"/>
    <w:rsid w:val="00414FD8"/>
    <w:rsid w:val="00420C3D"/>
    <w:rsid w:val="00421B87"/>
    <w:rsid w:val="00422A96"/>
    <w:rsid w:val="0042541A"/>
    <w:rsid w:val="0042602C"/>
    <w:rsid w:val="00427A7D"/>
    <w:rsid w:val="004301B3"/>
    <w:rsid w:val="00431832"/>
    <w:rsid w:val="0043485E"/>
    <w:rsid w:val="00437664"/>
    <w:rsid w:val="00437D02"/>
    <w:rsid w:val="00440E72"/>
    <w:rsid w:val="00442237"/>
    <w:rsid w:val="00443259"/>
    <w:rsid w:val="0044444B"/>
    <w:rsid w:val="00444E48"/>
    <w:rsid w:val="00446E0E"/>
    <w:rsid w:val="0045696A"/>
    <w:rsid w:val="004570FC"/>
    <w:rsid w:val="00461A72"/>
    <w:rsid w:val="004655A4"/>
    <w:rsid w:val="0046612A"/>
    <w:rsid w:val="004709FE"/>
    <w:rsid w:val="00476C46"/>
    <w:rsid w:val="00490487"/>
    <w:rsid w:val="00491D96"/>
    <w:rsid w:val="004927E1"/>
    <w:rsid w:val="00495E3C"/>
    <w:rsid w:val="00497C69"/>
    <w:rsid w:val="004A22D6"/>
    <w:rsid w:val="004A5800"/>
    <w:rsid w:val="004A639E"/>
    <w:rsid w:val="004B11CB"/>
    <w:rsid w:val="004B1738"/>
    <w:rsid w:val="004B2B58"/>
    <w:rsid w:val="004B6878"/>
    <w:rsid w:val="004B71F2"/>
    <w:rsid w:val="004C401B"/>
    <w:rsid w:val="004C6D47"/>
    <w:rsid w:val="004C72B1"/>
    <w:rsid w:val="004D22DB"/>
    <w:rsid w:val="004D2319"/>
    <w:rsid w:val="004D35C6"/>
    <w:rsid w:val="004D3A15"/>
    <w:rsid w:val="004D3BE9"/>
    <w:rsid w:val="004D3CEE"/>
    <w:rsid w:val="004D6885"/>
    <w:rsid w:val="004E0509"/>
    <w:rsid w:val="004E220C"/>
    <w:rsid w:val="004E3545"/>
    <w:rsid w:val="004F26CD"/>
    <w:rsid w:val="004F3DC3"/>
    <w:rsid w:val="004F4587"/>
    <w:rsid w:val="004F5424"/>
    <w:rsid w:val="005001EF"/>
    <w:rsid w:val="00501D83"/>
    <w:rsid w:val="00502C43"/>
    <w:rsid w:val="005047F6"/>
    <w:rsid w:val="00504945"/>
    <w:rsid w:val="005051DD"/>
    <w:rsid w:val="005053A2"/>
    <w:rsid w:val="00510F2E"/>
    <w:rsid w:val="00515D27"/>
    <w:rsid w:val="0051612C"/>
    <w:rsid w:val="0051754E"/>
    <w:rsid w:val="00517D77"/>
    <w:rsid w:val="00521282"/>
    <w:rsid w:val="00525E65"/>
    <w:rsid w:val="00526178"/>
    <w:rsid w:val="00526C27"/>
    <w:rsid w:val="00527568"/>
    <w:rsid w:val="00527D1D"/>
    <w:rsid w:val="005300FF"/>
    <w:rsid w:val="005316A8"/>
    <w:rsid w:val="005331FA"/>
    <w:rsid w:val="005340C2"/>
    <w:rsid w:val="005432C6"/>
    <w:rsid w:val="00544661"/>
    <w:rsid w:val="00544B63"/>
    <w:rsid w:val="00550D16"/>
    <w:rsid w:val="005544B8"/>
    <w:rsid w:val="005633B7"/>
    <w:rsid w:val="0056559F"/>
    <w:rsid w:val="00567CCF"/>
    <w:rsid w:val="00573543"/>
    <w:rsid w:val="0057473D"/>
    <w:rsid w:val="005758DE"/>
    <w:rsid w:val="0058361A"/>
    <w:rsid w:val="00584974"/>
    <w:rsid w:val="005908C6"/>
    <w:rsid w:val="00591728"/>
    <w:rsid w:val="005A04C5"/>
    <w:rsid w:val="005A0F91"/>
    <w:rsid w:val="005A28D5"/>
    <w:rsid w:val="005A3728"/>
    <w:rsid w:val="005B1665"/>
    <w:rsid w:val="005B1AEA"/>
    <w:rsid w:val="005B71FE"/>
    <w:rsid w:val="005C16F3"/>
    <w:rsid w:val="005C2576"/>
    <w:rsid w:val="005C2C72"/>
    <w:rsid w:val="005C37B7"/>
    <w:rsid w:val="005C4DC4"/>
    <w:rsid w:val="005C6C67"/>
    <w:rsid w:val="005D31A8"/>
    <w:rsid w:val="005D49F9"/>
    <w:rsid w:val="005D5D47"/>
    <w:rsid w:val="005D7D98"/>
    <w:rsid w:val="005E026F"/>
    <w:rsid w:val="005E0458"/>
    <w:rsid w:val="005E5441"/>
    <w:rsid w:val="005F0252"/>
    <w:rsid w:val="005F04C1"/>
    <w:rsid w:val="005F238A"/>
    <w:rsid w:val="00605A5D"/>
    <w:rsid w:val="00606227"/>
    <w:rsid w:val="00606318"/>
    <w:rsid w:val="006069E3"/>
    <w:rsid w:val="006076FA"/>
    <w:rsid w:val="00611C6B"/>
    <w:rsid w:val="00612405"/>
    <w:rsid w:val="0062405C"/>
    <w:rsid w:val="0062700D"/>
    <w:rsid w:val="00630A1E"/>
    <w:rsid w:val="00633E8F"/>
    <w:rsid w:val="006357A5"/>
    <w:rsid w:val="00635F07"/>
    <w:rsid w:val="00636E73"/>
    <w:rsid w:val="00642696"/>
    <w:rsid w:val="006430A7"/>
    <w:rsid w:val="00646212"/>
    <w:rsid w:val="0064752D"/>
    <w:rsid w:val="00655BBF"/>
    <w:rsid w:val="00660D94"/>
    <w:rsid w:val="0066128C"/>
    <w:rsid w:val="0066335C"/>
    <w:rsid w:val="006650FF"/>
    <w:rsid w:val="00666098"/>
    <w:rsid w:val="006675F7"/>
    <w:rsid w:val="00672E39"/>
    <w:rsid w:val="00675109"/>
    <w:rsid w:val="00675740"/>
    <w:rsid w:val="00680CEB"/>
    <w:rsid w:val="0068383C"/>
    <w:rsid w:val="00686652"/>
    <w:rsid w:val="00692BE3"/>
    <w:rsid w:val="006A3F97"/>
    <w:rsid w:val="006A406B"/>
    <w:rsid w:val="006A431D"/>
    <w:rsid w:val="006A45FB"/>
    <w:rsid w:val="006A4E96"/>
    <w:rsid w:val="006B3471"/>
    <w:rsid w:val="006B411F"/>
    <w:rsid w:val="006B5AC1"/>
    <w:rsid w:val="006B5C00"/>
    <w:rsid w:val="006B69A7"/>
    <w:rsid w:val="006C16C8"/>
    <w:rsid w:val="006C1E09"/>
    <w:rsid w:val="006C3F08"/>
    <w:rsid w:val="006C486F"/>
    <w:rsid w:val="006C51A8"/>
    <w:rsid w:val="006D3A5B"/>
    <w:rsid w:val="006D4C8A"/>
    <w:rsid w:val="006D5A41"/>
    <w:rsid w:val="006E03A6"/>
    <w:rsid w:val="006E1D93"/>
    <w:rsid w:val="006E3D34"/>
    <w:rsid w:val="006E43DA"/>
    <w:rsid w:val="006E62F8"/>
    <w:rsid w:val="006F4288"/>
    <w:rsid w:val="006F7735"/>
    <w:rsid w:val="00702C20"/>
    <w:rsid w:val="007043FB"/>
    <w:rsid w:val="00704E8A"/>
    <w:rsid w:val="00715272"/>
    <w:rsid w:val="00721441"/>
    <w:rsid w:val="00723E31"/>
    <w:rsid w:val="0073548D"/>
    <w:rsid w:val="00742DEA"/>
    <w:rsid w:val="00742F8A"/>
    <w:rsid w:val="00744C5B"/>
    <w:rsid w:val="007470B4"/>
    <w:rsid w:val="007473AF"/>
    <w:rsid w:val="0075489B"/>
    <w:rsid w:val="00756F92"/>
    <w:rsid w:val="00757788"/>
    <w:rsid w:val="00762DD6"/>
    <w:rsid w:val="00762E84"/>
    <w:rsid w:val="00766449"/>
    <w:rsid w:val="00766B10"/>
    <w:rsid w:val="00771B4A"/>
    <w:rsid w:val="00775861"/>
    <w:rsid w:val="007843DE"/>
    <w:rsid w:val="00785C1C"/>
    <w:rsid w:val="007907CE"/>
    <w:rsid w:val="00790914"/>
    <w:rsid w:val="00790D28"/>
    <w:rsid w:val="00791C36"/>
    <w:rsid w:val="00795221"/>
    <w:rsid w:val="007970CD"/>
    <w:rsid w:val="007A6D42"/>
    <w:rsid w:val="007A6F60"/>
    <w:rsid w:val="007A6F99"/>
    <w:rsid w:val="007A77F3"/>
    <w:rsid w:val="007B3A39"/>
    <w:rsid w:val="007B66D1"/>
    <w:rsid w:val="007B79EE"/>
    <w:rsid w:val="007B7D04"/>
    <w:rsid w:val="007C1E0A"/>
    <w:rsid w:val="007C7DF6"/>
    <w:rsid w:val="007D4192"/>
    <w:rsid w:val="007D42F1"/>
    <w:rsid w:val="007D62B2"/>
    <w:rsid w:val="007E45A3"/>
    <w:rsid w:val="007E52C2"/>
    <w:rsid w:val="007E756B"/>
    <w:rsid w:val="007F02B7"/>
    <w:rsid w:val="007F0F68"/>
    <w:rsid w:val="007F3C7F"/>
    <w:rsid w:val="007F417F"/>
    <w:rsid w:val="007F5103"/>
    <w:rsid w:val="007F5EBC"/>
    <w:rsid w:val="007F7591"/>
    <w:rsid w:val="00807C88"/>
    <w:rsid w:val="008105EA"/>
    <w:rsid w:val="00811635"/>
    <w:rsid w:val="008124E9"/>
    <w:rsid w:val="00820514"/>
    <w:rsid w:val="00822497"/>
    <w:rsid w:val="00823090"/>
    <w:rsid w:val="00824525"/>
    <w:rsid w:val="008249C6"/>
    <w:rsid w:val="0082669E"/>
    <w:rsid w:val="00832DFB"/>
    <w:rsid w:val="0083430A"/>
    <w:rsid w:val="00835612"/>
    <w:rsid w:val="008357BF"/>
    <w:rsid w:val="00836863"/>
    <w:rsid w:val="00837169"/>
    <w:rsid w:val="008379E7"/>
    <w:rsid w:val="00844E41"/>
    <w:rsid w:val="00850B1C"/>
    <w:rsid w:val="00851CD7"/>
    <w:rsid w:val="008549D1"/>
    <w:rsid w:val="008558C4"/>
    <w:rsid w:val="00857DA8"/>
    <w:rsid w:val="00860D05"/>
    <w:rsid w:val="00860D84"/>
    <w:rsid w:val="0086245A"/>
    <w:rsid w:val="00863833"/>
    <w:rsid w:val="008642F0"/>
    <w:rsid w:val="00871CCB"/>
    <w:rsid w:val="00880432"/>
    <w:rsid w:val="00880FBC"/>
    <w:rsid w:val="0089050C"/>
    <w:rsid w:val="00891B22"/>
    <w:rsid w:val="0089205D"/>
    <w:rsid w:val="00894CC7"/>
    <w:rsid w:val="00896846"/>
    <w:rsid w:val="008A6959"/>
    <w:rsid w:val="008A6EC1"/>
    <w:rsid w:val="008B07D5"/>
    <w:rsid w:val="008B558E"/>
    <w:rsid w:val="008C575A"/>
    <w:rsid w:val="008C71CE"/>
    <w:rsid w:val="008D027F"/>
    <w:rsid w:val="008D280C"/>
    <w:rsid w:val="008D3EB9"/>
    <w:rsid w:val="008D6693"/>
    <w:rsid w:val="008D6C58"/>
    <w:rsid w:val="008E173D"/>
    <w:rsid w:val="008E1E8A"/>
    <w:rsid w:val="008E236F"/>
    <w:rsid w:val="008E28E6"/>
    <w:rsid w:val="008E3FE6"/>
    <w:rsid w:val="008F0086"/>
    <w:rsid w:val="008F18D0"/>
    <w:rsid w:val="008F1C2E"/>
    <w:rsid w:val="008F540D"/>
    <w:rsid w:val="008F58C9"/>
    <w:rsid w:val="008F69A3"/>
    <w:rsid w:val="008F7ABE"/>
    <w:rsid w:val="00901DC8"/>
    <w:rsid w:val="00903FFE"/>
    <w:rsid w:val="0090648D"/>
    <w:rsid w:val="009068B6"/>
    <w:rsid w:val="0091272B"/>
    <w:rsid w:val="00913601"/>
    <w:rsid w:val="009152F9"/>
    <w:rsid w:val="0091629A"/>
    <w:rsid w:val="00916B51"/>
    <w:rsid w:val="00922382"/>
    <w:rsid w:val="00922F3F"/>
    <w:rsid w:val="009232F8"/>
    <w:rsid w:val="00924C29"/>
    <w:rsid w:val="00925790"/>
    <w:rsid w:val="009273BE"/>
    <w:rsid w:val="00935F98"/>
    <w:rsid w:val="0093756B"/>
    <w:rsid w:val="009407F5"/>
    <w:rsid w:val="00943B98"/>
    <w:rsid w:val="009440E9"/>
    <w:rsid w:val="00944BB4"/>
    <w:rsid w:val="00945134"/>
    <w:rsid w:val="00950CA7"/>
    <w:rsid w:val="009524D4"/>
    <w:rsid w:val="00952D2D"/>
    <w:rsid w:val="00955942"/>
    <w:rsid w:val="009633F4"/>
    <w:rsid w:val="00967E4A"/>
    <w:rsid w:val="00971A41"/>
    <w:rsid w:val="00981295"/>
    <w:rsid w:val="009812AF"/>
    <w:rsid w:val="00981974"/>
    <w:rsid w:val="00982BB1"/>
    <w:rsid w:val="009869EA"/>
    <w:rsid w:val="00990DF7"/>
    <w:rsid w:val="0099129F"/>
    <w:rsid w:val="00991597"/>
    <w:rsid w:val="009A49F6"/>
    <w:rsid w:val="009A6744"/>
    <w:rsid w:val="009B3A90"/>
    <w:rsid w:val="009B54F3"/>
    <w:rsid w:val="009B5FDC"/>
    <w:rsid w:val="009C0E67"/>
    <w:rsid w:val="009C3C9D"/>
    <w:rsid w:val="009C3DEC"/>
    <w:rsid w:val="009C56E1"/>
    <w:rsid w:val="009C5CC0"/>
    <w:rsid w:val="009C6A37"/>
    <w:rsid w:val="009C6F7F"/>
    <w:rsid w:val="009D469A"/>
    <w:rsid w:val="009D5D56"/>
    <w:rsid w:val="009E4CE4"/>
    <w:rsid w:val="009E7254"/>
    <w:rsid w:val="009F418F"/>
    <w:rsid w:val="009F45F2"/>
    <w:rsid w:val="009F4E20"/>
    <w:rsid w:val="009F7F1D"/>
    <w:rsid w:val="00A026A8"/>
    <w:rsid w:val="00A0516A"/>
    <w:rsid w:val="00A0656C"/>
    <w:rsid w:val="00A07D2C"/>
    <w:rsid w:val="00A07ED6"/>
    <w:rsid w:val="00A1039F"/>
    <w:rsid w:val="00A103E3"/>
    <w:rsid w:val="00A1253C"/>
    <w:rsid w:val="00A12860"/>
    <w:rsid w:val="00A154EF"/>
    <w:rsid w:val="00A17A37"/>
    <w:rsid w:val="00A22A50"/>
    <w:rsid w:val="00A27926"/>
    <w:rsid w:val="00A30445"/>
    <w:rsid w:val="00A32827"/>
    <w:rsid w:val="00A3443C"/>
    <w:rsid w:val="00A365D7"/>
    <w:rsid w:val="00A36A75"/>
    <w:rsid w:val="00A411BD"/>
    <w:rsid w:val="00A4160B"/>
    <w:rsid w:val="00A47B3F"/>
    <w:rsid w:val="00A51BBA"/>
    <w:rsid w:val="00A628AE"/>
    <w:rsid w:val="00A65EF3"/>
    <w:rsid w:val="00A7060F"/>
    <w:rsid w:val="00A73437"/>
    <w:rsid w:val="00A73492"/>
    <w:rsid w:val="00A73A8C"/>
    <w:rsid w:val="00A73F79"/>
    <w:rsid w:val="00A76913"/>
    <w:rsid w:val="00A7707D"/>
    <w:rsid w:val="00A77692"/>
    <w:rsid w:val="00A801CB"/>
    <w:rsid w:val="00A82147"/>
    <w:rsid w:val="00A82568"/>
    <w:rsid w:val="00A8454D"/>
    <w:rsid w:val="00A901B9"/>
    <w:rsid w:val="00A9024C"/>
    <w:rsid w:val="00A94A12"/>
    <w:rsid w:val="00A97E10"/>
    <w:rsid w:val="00AA0960"/>
    <w:rsid w:val="00AA1A9A"/>
    <w:rsid w:val="00AA2948"/>
    <w:rsid w:val="00AA46E8"/>
    <w:rsid w:val="00AA4B4E"/>
    <w:rsid w:val="00AA4F4E"/>
    <w:rsid w:val="00AA522A"/>
    <w:rsid w:val="00AA522C"/>
    <w:rsid w:val="00AA6E50"/>
    <w:rsid w:val="00AA7A34"/>
    <w:rsid w:val="00AB0DB8"/>
    <w:rsid w:val="00AB25A2"/>
    <w:rsid w:val="00AB336E"/>
    <w:rsid w:val="00AB3B6A"/>
    <w:rsid w:val="00AB4190"/>
    <w:rsid w:val="00AB4B64"/>
    <w:rsid w:val="00AB6416"/>
    <w:rsid w:val="00AC1B2F"/>
    <w:rsid w:val="00AC4BC2"/>
    <w:rsid w:val="00AD0C41"/>
    <w:rsid w:val="00AD1139"/>
    <w:rsid w:val="00AD15FF"/>
    <w:rsid w:val="00AD20A0"/>
    <w:rsid w:val="00AD2ED8"/>
    <w:rsid w:val="00AD66C7"/>
    <w:rsid w:val="00AD7FB3"/>
    <w:rsid w:val="00AE106A"/>
    <w:rsid w:val="00AE1702"/>
    <w:rsid w:val="00AE191F"/>
    <w:rsid w:val="00AE7017"/>
    <w:rsid w:val="00AF43CC"/>
    <w:rsid w:val="00AF55EA"/>
    <w:rsid w:val="00AF5D6A"/>
    <w:rsid w:val="00AF66C0"/>
    <w:rsid w:val="00B022F2"/>
    <w:rsid w:val="00B037D1"/>
    <w:rsid w:val="00B03CC6"/>
    <w:rsid w:val="00B05AF3"/>
    <w:rsid w:val="00B05DC3"/>
    <w:rsid w:val="00B13843"/>
    <w:rsid w:val="00B144A3"/>
    <w:rsid w:val="00B15AA4"/>
    <w:rsid w:val="00B16340"/>
    <w:rsid w:val="00B20800"/>
    <w:rsid w:val="00B252D8"/>
    <w:rsid w:val="00B2644A"/>
    <w:rsid w:val="00B27247"/>
    <w:rsid w:val="00B312E7"/>
    <w:rsid w:val="00B323F3"/>
    <w:rsid w:val="00B35C99"/>
    <w:rsid w:val="00B3630A"/>
    <w:rsid w:val="00B4056E"/>
    <w:rsid w:val="00B40C68"/>
    <w:rsid w:val="00B427F9"/>
    <w:rsid w:val="00B4491B"/>
    <w:rsid w:val="00B44A5C"/>
    <w:rsid w:val="00B46F13"/>
    <w:rsid w:val="00B47CF5"/>
    <w:rsid w:val="00B47D69"/>
    <w:rsid w:val="00B532CA"/>
    <w:rsid w:val="00B57F25"/>
    <w:rsid w:val="00B611DC"/>
    <w:rsid w:val="00B638DF"/>
    <w:rsid w:val="00B63917"/>
    <w:rsid w:val="00B6526A"/>
    <w:rsid w:val="00B65FBD"/>
    <w:rsid w:val="00B7074D"/>
    <w:rsid w:val="00B70E23"/>
    <w:rsid w:val="00B72A8E"/>
    <w:rsid w:val="00B822A1"/>
    <w:rsid w:val="00B825EA"/>
    <w:rsid w:val="00B82A2C"/>
    <w:rsid w:val="00B83D98"/>
    <w:rsid w:val="00B920B1"/>
    <w:rsid w:val="00B94D0D"/>
    <w:rsid w:val="00B9558A"/>
    <w:rsid w:val="00B9567A"/>
    <w:rsid w:val="00B96173"/>
    <w:rsid w:val="00BA1873"/>
    <w:rsid w:val="00BA1B75"/>
    <w:rsid w:val="00BA52C3"/>
    <w:rsid w:val="00BA5763"/>
    <w:rsid w:val="00BA5A76"/>
    <w:rsid w:val="00BB34CE"/>
    <w:rsid w:val="00BB34F5"/>
    <w:rsid w:val="00BB3ECD"/>
    <w:rsid w:val="00BB6814"/>
    <w:rsid w:val="00BC057F"/>
    <w:rsid w:val="00BC09CF"/>
    <w:rsid w:val="00BC15E9"/>
    <w:rsid w:val="00BC1A88"/>
    <w:rsid w:val="00BC23DC"/>
    <w:rsid w:val="00BC25AD"/>
    <w:rsid w:val="00BC630F"/>
    <w:rsid w:val="00BC7653"/>
    <w:rsid w:val="00BD3D3A"/>
    <w:rsid w:val="00BD65FD"/>
    <w:rsid w:val="00BD6D91"/>
    <w:rsid w:val="00BE049B"/>
    <w:rsid w:val="00BE54A6"/>
    <w:rsid w:val="00BE5B24"/>
    <w:rsid w:val="00BE791F"/>
    <w:rsid w:val="00BF0410"/>
    <w:rsid w:val="00BF06D5"/>
    <w:rsid w:val="00BF5410"/>
    <w:rsid w:val="00BF5C2D"/>
    <w:rsid w:val="00BF6499"/>
    <w:rsid w:val="00BF7C06"/>
    <w:rsid w:val="00C00FAD"/>
    <w:rsid w:val="00C01363"/>
    <w:rsid w:val="00C05844"/>
    <w:rsid w:val="00C05B05"/>
    <w:rsid w:val="00C06096"/>
    <w:rsid w:val="00C1004E"/>
    <w:rsid w:val="00C120C2"/>
    <w:rsid w:val="00C16DF0"/>
    <w:rsid w:val="00C23316"/>
    <w:rsid w:val="00C248F8"/>
    <w:rsid w:val="00C27F0C"/>
    <w:rsid w:val="00C332D6"/>
    <w:rsid w:val="00C33312"/>
    <w:rsid w:val="00C34833"/>
    <w:rsid w:val="00C35057"/>
    <w:rsid w:val="00C35AF7"/>
    <w:rsid w:val="00C37703"/>
    <w:rsid w:val="00C403FD"/>
    <w:rsid w:val="00C40C61"/>
    <w:rsid w:val="00C43310"/>
    <w:rsid w:val="00C53813"/>
    <w:rsid w:val="00C63FBD"/>
    <w:rsid w:val="00C66C3B"/>
    <w:rsid w:val="00C676E5"/>
    <w:rsid w:val="00C700C2"/>
    <w:rsid w:val="00C71180"/>
    <w:rsid w:val="00C72D84"/>
    <w:rsid w:val="00C73E5E"/>
    <w:rsid w:val="00C80E93"/>
    <w:rsid w:val="00C82388"/>
    <w:rsid w:val="00C87CB0"/>
    <w:rsid w:val="00C91A88"/>
    <w:rsid w:val="00C92BC3"/>
    <w:rsid w:val="00C9457E"/>
    <w:rsid w:val="00CA1739"/>
    <w:rsid w:val="00CA224C"/>
    <w:rsid w:val="00CA4FB7"/>
    <w:rsid w:val="00CA5654"/>
    <w:rsid w:val="00CA640B"/>
    <w:rsid w:val="00CB10E9"/>
    <w:rsid w:val="00CB3305"/>
    <w:rsid w:val="00CB4122"/>
    <w:rsid w:val="00CB42CF"/>
    <w:rsid w:val="00CC0A87"/>
    <w:rsid w:val="00CC0ABA"/>
    <w:rsid w:val="00CC0D49"/>
    <w:rsid w:val="00CC26DF"/>
    <w:rsid w:val="00CC2EA4"/>
    <w:rsid w:val="00CC327B"/>
    <w:rsid w:val="00CC5B20"/>
    <w:rsid w:val="00CC68E9"/>
    <w:rsid w:val="00CC6F95"/>
    <w:rsid w:val="00CD122E"/>
    <w:rsid w:val="00CD3DEE"/>
    <w:rsid w:val="00CE0DDA"/>
    <w:rsid w:val="00CE0DFF"/>
    <w:rsid w:val="00CE108D"/>
    <w:rsid w:val="00CE2E9F"/>
    <w:rsid w:val="00CE66D1"/>
    <w:rsid w:val="00CF1F05"/>
    <w:rsid w:val="00CF3467"/>
    <w:rsid w:val="00CF3C05"/>
    <w:rsid w:val="00D00C0C"/>
    <w:rsid w:val="00D110D6"/>
    <w:rsid w:val="00D11187"/>
    <w:rsid w:val="00D14218"/>
    <w:rsid w:val="00D17747"/>
    <w:rsid w:val="00D179DD"/>
    <w:rsid w:val="00D209F7"/>
    <w:rsid w:val="00D21FF2"/>
    <w:rsid w:val="00D23006"/>
    <w:rsid w:val="00D247CD"/>
    <w:rsid w:val="00D25E81"/>
    <w:rsid w:val="00D33588"/>
    <w:rsid w:val="00D36A97"/>
    <w:rsid w:val="00D406CD"/>
    <w:rsid w:val="00D421AA"/>
    <w:rsid w:val="00D434BB"/>
    <w:rsid w:val="00D4482E"/>
    <w:rsid w:val="00D459D5"/>
    <w:rsid w:val="00D47A0A"/>
    <w:rsid w:val="00D512B9"/>
    <w:rsid w:val="00D52633"/>
    <w:rsid w:val="00D52C25"/>
    <w:rsid w:val="00D6148B"/>
    <w:rsid w:val="00D6405A"/>
    <w:rsid w:val="00D64A63"/>
    <w:rsid w:val="00D64A95"/>
    <w:rsid w:val="00D64CD9"/>
    <w:rsid w:val="00D65DC6"/>
    <w:rsid w:val="00D6719B"/>
    <w:rsid w:val="00D67857"/>
    <w:rsid w:val="00D76084"/>
    <w:rsid w:val="00D80A37"/>
    <w:rsid w:val="00D838D0"/>
    <w:rsid w:val="00D8575B"/>
    <w:rsid w:val="00D91181"/>
    <w:rsid w:val="00D95CCF"/>
    <w:rsid w:val="00D97416"/>
    <w:rsid w:val="00DA4863"/>
    <w:rsid w:val="00DB1E49"/>
    <w:rsid w:val="00DB1FD6"/>
    <w:rsid w:val="00DB4C91"/>
    <w:rsid w:val="00DB55DA"/>
    <w:rsid w:val="00DB5C3A"/>
    <w:rsid w:val="00DC0B57"/>
    <w:rsid w:val="00DC1B09"/>
    <w:rsid w:val="00DC3462"/>
    <w:rsid w:val="00DC3609"/>
    <w:rsid w:val="00DC4A7D"/>
    <w:rsid w:val="00DC78D1"/>
    <w:rsid w:val="00DD1122"/>
    <w:rsid w:val="00DE356C"/>
    <w:rsid w:val="00DE3867"/>
    <w:rsid w:val="00DE45FC"/>
    <w:rsid w:val="00DE7662"/>
    <w:rsid w:val="00DF4BE5"/>
    <w:rsid w:val="00DF7251"/>
    <w:rsid w:val="00DF7CC4"/>
    <w:rsid w:val="00E01026"/>
    <w:rsid w:val="00E04882"/>
    <w:rsid w:val="00E05504"/>
    <w:rsid w:val="00E06F93"/>
    <w:rsid w:val="00E07A59"/>
    <w:rsid w:val="00E113AB"/>
    <w:rsid w:val="00E11F3F"/>
    <w:rsid w:val="00E20682"/>
    <w:rsid w:val="00E23259"/>
    <w:rsid w:val="00E249EA"/>
    <w:rsid w:val="00E269CC"/>
    <w:rsid w:val="00E27E3D"/>
    <w:rsid w:val="00E324AA"/>
    <w:rsid w:val="00E32FD9"/>
    <w:rsid w:val="00E3743A"/>
    <w:rsid w:val="00E4131B"/>
    <w:rsid w:val="00E4689A"/>
    <w:rsid w:val="00E50147"/>
    <w:rsid w:val="00E553A3"/>
    <w:rsid w:val="00E557FB"/>
    <w:rsid w:val="00E55AE0"/>
    <w:rsid w:val="00E55BF7"/>
    <w:rsid w:val="00E56852"/>
    <w:rsid w:val="00E60C27"/>
    <w:rsid w:val="00E61EB6"/>
    <w:rsid w:val="00E62BF0"/>
    <w:rsid w:val="00E67903"/>
    <w:rsid w:val="00E719F4"/>
    <w:rsid w:val="00E75115"/>
    <w:rsid w:val="00E7632B"/>
    <w:rsid w:val="00E77B9E"/>
    <w:rsid w:val="00E80DBD"/>
    <w:rsid w:val="00E83A5A"/>
    <w:rsid w:val="00E855ED"/>
    <w:rsid w:val="00E8573E"/>
    <w:rsid w:val="00E85793"/>
    <w:rsid w:val="00E86F35"/>
    <w:rsid w:val="00E92322"/>
    <w:rsid w:val="00E954F4"/>
    <w:rsid w:val="00E962A1"/>
    <w:rsid w:val="00EA03A9"/>
    <w:rsid w:val="00EA1B8F"/>
    <w:rsid w:val="00EA309A"/>
    <w:rsid w:val="00EA7E8B"/>
    <w:rsid w:val="00EB154D"/>
    <w:rsid w:val="00EB3CAD"/>
    <w:rsid w:val="00EB42D6"/>
    <w:rsid w:val="00EB5774"/>
    <w:rsid w:val="00EB6B0E"/>
    <w:rsid w:val="00EC1F7D"/>
    <w:rsid w:val="00EC3FF8"/>
    <w:rsid w:val="00EC4EEC"/>
    <w:rsid w:val="00ED14E7"/>
    <w:rsid w:val="00EE027D"/>
    <w:rsid w:val="00EE1B72"/>
    <w:rsid w:val="00EE5AAD"/>
    <w:rsid w:val="00EE64FF"/>
    <w:rsid w:val="00EE7651"/>
    <w:rsid w:val="00EF24B6"/>
    <w:rsid w:val="00EF25AC"/>
    <w:rsid w:val="00EF53F9"/>
    <w:rsid w:val="00F05C71"/>
    <w:rsid w:val="00F05CBD"/>
    <w:rsid w:val="00F104B9"/>
    <w:rsid w:val="00F108F7"/>
    <w:rsid w:val="00F1163B"/>
    <w:rsid w:val="00F124C6"/>
    <w:rsid w:val="00F171DD"/>
    <w:rsid w:val="00F22E1B"/>
    <w:rsid w:val="00F239DB"/>
    <w:rsid w:val="00F246F6"/>
    <w:rsid w:val="00F2615A"/>
    <w:rsid w:val="00F32694"/>
    <w:rsid w:val="00F3295C"/>
    <w:rsid w:val="00F32ADB"/>
    <w:rsid w:val="00F32EFE"/>
    <w:rsid w:val="00F37A81"/>
    <w:rsid w:val="00F421FF"/>
    <w:rsid w:val="00F42852"/>
    <w:rsid w:val="00F45576"/>
    <w:rsid w:val="00F475C0"/>
    <w:rsid w:val="00F47FE7"/>
    <w:rsid w:val="00F53C5A"/>
    <w:rsid w:val="00F55423"/>
    <w:rsid w:val="00F562C9"/>
    <w:rsid w:val="00F56C87"/>
    <w:rsid w:val="00F60595"/>
    <w:rsid w:val="00F607F0"/>
    <w:rsid w:val="00F64D59"/>
    <w:rsid w:val="00F65B26"/>
    <w:rsid w:val="00F67638"/>
    <w:rsid w:val="00F77C66"/>
    <w:rsid w:val="00F77D7A"/>
    <w:rsid w:val="00F801B7"/>
    <w:rsid w:val="00F80CE1"/>
    <w:rsid w:val="00F85E6C"/>
    <w:rsid w:val="00F90F6A"/>
    <w:rsid w:val="00F919B9"/>
    <w:rsid w:val="00F9297A"/>
    <w:rsid w:val="00F949B7"/>
    <w:rsid w:val="00FA0EBC"/>
    <w:rsid w:val="00FA1047"/>
    <w:rsid w:val="00FA1D4A"/>
    <w:rsid w:val="00FA4EE3"/>
    <w:rsid w:val="00FB0295"/>
    <w:rsid w:val="00FB18C4"/>
    <w:rsid w:val="00FB25F8"/>
    <w:rsid w:val="00FB53DC"/>
    <w:rsid w:val="00FB79A8"/>
    <w:rsid w:val="00FC06F3"/>
    <w:rsid w:val="00FC405E"/>
    <w:rsid w:val="00FC647A"/>
    <w:rsid w:val="00FC6FC2"/>
    <w:rsid w:val="00FD17B7"/>
    <w:rsid w:val="00FD3571"/>
    <w:rsid w:val="00FD4993"/>
    <w:rsid w:val="00FD6450"/>
    <w:rsid w:val="00FD6475"/>
    <w:rsid w:val="00FD6FBB"/>
    <w:rsid w:val="00FD7C19"/>
    <w:rsid w:val="00FE1919"/>
    <w:rsid w:val="00FE1E27"/>
    <w:rsid w:val="00FE2613"/>
    <w:rsid w:val="00FE4E58"/>
    <w:rsid w:val="00FE6F04"/>
    <w:rsid w:val="00FF0D04"/>
    <w:rsid w:val="00FF24EE"/>
    <w:rsid w:val="00FF3517"/>
    <w:rsid w:val="00FF7908"/>
    <w:rsid w:val="08AF4CAD"/>
    <w:rsid w:val="090A764B"/>
    <w:rsid w:val="0DA649EF"/>
    <w:rsid w:val="13EF6DE7"/>
    <w:rsid w:val="1F407191"/>
    <w:rsid w:val="2604470C"/>
    <w:rsid w:val="3CC17369"/>
    <w:rsid w:val="4B590ECC"/>
    <w:rsid w:val="551104C3"/>
    <w:rsid w:val="5B6F0A3D"/>
    <w:rsid w:val="5ED705C1"/>
    <w:rsid w:val="6AF80D16"/>
    <w:rsid w:val="70597BC0"/>
    <w:rsid w:val="752913AF"/>
    <w:rsid w:val="7587677F"/>
    <w:rsid w:val="78B23807"/>
    <w:rsid w:val="7A1B6A78"/>
    <w:rsid w:val="7F99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jc w:val="center"/>
      <w:outlineLvl w:val="0"/>
    </w:pPr>
    <w:rPr>
      <w:b/>
      <w:bCs/>
      <w:sz w:val="28"/>
      <w:szCs w:val="20"/>
    </w:rPr>
  </w:style>
  <w:style w:type="paragraph" w:styleId="4">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0"/>
    <w:pPr>
      <w:widowControl/>
      <w:ind w:left="420" w:firstLine="420"/>
    </w:pPr>
    <w:rPr>
      <w:rFonts w:ascii="Times New Roman" w:hAnsi="Times New Roman" w:cs="Times New Roman"/>
      <w:szCs w:val="21"/>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286"/>
    <w:semiHidden/>
    <w:qFormat/>
    <w:uiPriority w:val="0"/>
    <w:pPr>
      <w:shd w:val="clear" w:color="auto" w:fill="000080"/>
    </w:pPr>
    <w:rPr>
      <w:lang w:val="zh-CN" w:eastAsia="zh-CN"/>
    </w:rPr>
  </w:style>
  <w:style w:type="paragraph" w:styleId="15">
    <w:name w:val="annotation text"/>
    <w:basedOn w:val="1"/>
    <w:link w:val="76"/>
    <w:qFormat/>
    <w:uiPriority w:val="0"/>
    <w:pPr>
      <w:jc w:val="left"/>
    </w:pPr>
  </w:style>
  <w:style w:type="paragraph" w:styleId="16">
    <w:name w:val="Salutation"/>
    <w:basedOn w:val="1"/>
    <w:next w:val="1"/>
    <w:link w:val="288"/>
    <w:qFormat/>
    <w:uiPriority w:val="0"/>
    <w:rPr>
      <w:rFonts w:ascii="仿宋_GB2312" w:eastAsia="仿宋_GB2312"/>
      <w:sz w:val="24"/>
      <w:lang w:val="zh-CN" w:eastAsia="zh-CN"/>
    </w:rPr>
  </w:style>
  <w:style w:type="paragraph" w:styleId="17">
    <w:name w:val="Body Text 3"/>
    <w:basedOn w:val="1"/>
    <w:link w:val="289"/>
    <w:qFormat/>
    <w:uiPriority w:val="0"/>
    <w:pPr>
      <w:autoSpaceDE w:val="0"/>
      <w:autoSpaceDN w:val="0"/>
      <w:adjustRightInd w:val="0"/>
      <w:spacing w:line="410" w:lineRule="atLeast"/>
      <w:jc w:val="left"/>
    </w:pPr>
    <w:rPr>
      <w:rFonts w:ascii="宋体"/>
      <w:color w:val="000000"/>
      <w:kern w:val="0"/>
      <w:sz w:val="24"/>
      <w:szCs w:val="20"/>
      <w:lang w:val="zh-CN" w:eastAsia="zh-CN"/>
    </w:rPr>
  </w:style>
  <w:style w:type="paragraph" w:styleId="18">
    <w:name w:val="Body Text"/>
    <w:basedOn w:val="1"/>
    <w:link w:val="291"/>
    <w:qFormat/>
    <w:uiPriority w:val="0"/>
    <w:pPr>
      <w:spacing w:after="120"/>
    </w:pPr>
    <w:rPr>
      <w:lang w:val="zh-CN" w:eastAsia="zh-CN"/>
    </w:rPr>
  </w:style>
  <w:style w:type="paragraph" w:styleId="19">
    <w:name w:val="Body Text Indent"/>
    <w:basedOn w:val="1"/>
    <w:link w:val="72"/>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73"/>
    <w:qFormat/>
    <w:uiPriority w:val="0"/>
    <w:rPr>
      <w:rFonts w:ascii="宋体" w:hAnsi="Courier New" w:cs="Courier New"/>
      <w:szCs w:val="21"/>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78"/>
    <w:qFormat/>
    <w:uiPriority w:val="0"/>
    <w:rPr>
      <w:sz w:val="24"/>
      <w:szCs w:val="20"/>
    </w:rPr>
  </w:style>
  <w:style w:type="paragraph" w:styleId="26">
    <w:name w:val="Body Text Indent 2"/>
    <w:basedOn w:val="1"/>
    <w:link w:val="292"/>
    <w:qFormat/>
    <w:uiPriority w:val="0"/>
    <w:pPr>
      <w:spacing w:after="120" w:line="480" w:lineRule="auto"/>
      <w:ind w:left="420" w:leftChars="200"/>
    </w:pPr>
    <w:rPr>
      <w:lang w:val="zh-CN" w:eastAsia="zh-CN"/>
    </w:rPr>
  </w:style>
  <w:style w:type="paragraph" w:styleId="27">
    <w:name w:val="Balloon Text"/>
    <w:basedOn w:val="1"/>
    <w:link w:val="74"/>
    <w:qFormat/>
    <w:uiPriority w:val="0"/>
    <w:rPr>
      <w:rFonts w:ascii="Calibri" w:hAnsi="Calibri"/>
      <w:sz w:val="18"/>
      <w:szCs w:val="18"/>
    </w:rPr>
  </w:style>
  <w:style w:type="paragraph" w:styleId="28">
    <w:name w:val="footer"/>
    <w:basedOn w:val="1"/>
    <w:link w:val="71"/>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630"/>
      </w:tabs>
    </w:pPr>
    <w:rPr>
      <w:b/>
    </w:rPr>
  </w:style>
  <w:style w:type="paragraph" w:styleId="31">
    <w:name w:val="toc 4"/>
    <w:basedOn w:val="1"/>
    <w:next w:val="1"/>
    <w:qFormat/>
    <w:uiPriority w:val="39"/>
    <w:pPr>
      <w:ind w:left="1260" w:leftChars="600"/>
    </w:pPr>
  </w:style>
  <w:style w:type="paragraph" w:styleId="32">
    <w:name w:val="Subtitle"/>
    <w:basedOn w:val="1"/>
    <w:next w:val="1"/>
    <w:link w:val="317"/>
    <w:qFormat/>
    <w:uiPriority w:val="0"/>
    <w:pPr>
      <w:spacing w:before="240" w:after="60" w:line="312" w:lineRule="auto"/>
      <w:jc w:val="center"/>
      <w:outlineLvl w:val="1"/>
    </w:pPr>
    <w:rPr>
      <w:rFonts w:ascii="Calibri" w:hAnsi="Calibri"/>
      <w:b/>
      <w:bCs/>
      <w:kern w:val="28"/>
      <w:sz w:val="32"/>
      <w:szCs w:val="32"/>
      <w:lang w:val="zh-CN" w:eastAsia="zh-CN"/>
    </w:rPr>
  </w:style>
  <w:style w:type="paragraph" w:styleId="33">
    <w:name w:val="List"/>
    <w:basedOn w:val="1"/>
    <w:qFormat/>
    <w:uiPriority w:val="0"/>
    <w:pPr>
      <w:ind w:left="200" w:hanging="200" w:hangingChars="200"/>
    </w:pPr>
    <w:rPr>
      <w:sz w:val="28"/>
    </w:rPr>
  </w:style>
  <w:style w:type="paragraph" w:styleId="34">
    <w:name w:val="footnote text"/>
    <w:basedOn w:val="1"/>
    <w:semiHidden/>
    <w:qFormat/>
    <w:uiPriority w:val="0"/>
    <w:pPr>
      <w:snapToGrid w:val="0"/>
      <w:jc w:val="left"/>
    </w:pPr>
    <w:rPr>
      <w:rFonts w:ascii="Times New Roman" w:hAnsi="Times New Roman" w:eastAsia="宋体" w:cs="Times New Roman"/>
      <w:sz w:val="18"/>
      <w:szCs w:val="18"/>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77"/>
    <w:qFormat/>
    <w:uiPriority w:val="0"/>
    <w:pPr>
      <w:spacing w:after="120"/>
      <w:ind w:left="420" w:leftChars="200"/>
    </w:pPr>
    <w:rPr>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285"/>
    <w:qFormat/>
    <w:uiPriority w:val="0"/>
    <w:pPr>
      <w:spacing w:after="120" w:line="480" w:lineRule="auto"/>
    </w:pPr>
    <w:rPr>
      <w:lang w:val="zh-CN" w:eastAsia="zh-CN"/>
    </w:rPr>
  </w:style>
  <w:style w:type="paragraph" w:styleId="40">
    <w:name w:val="HTML Preformatted"/>
    <w:basedOn w:val="1"/>
    <w:link w:val="2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eastAsia="zh-CN"/>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68"/>
    <w:qFormat/>
    <w:uiPriority w:val="0"/>
    <w:pPr>
      <w:spacing w:before="240" w:after="60"/>
      <w:jc w:val="center"/>
      <w:outlineLvl w:val="0"/>
    </w:pPr>
    <w:rPr>
      <w:rFonts w:ascii="Cambria" w:hAnsi="Cambria"/>
      <w:b/>
      <w:sz w:val="32"/>
      <w:lang w:val="zh-CN" w:eastAsia="zh-CN"/>
    </w:rPr>
  </w:style>
  <w:style w:type="paragraph" w:styleId="44">
    <w:name w:val="annotation subject"/>
    <w:basedOn w:val="15"/>
    <w:next w:val="15"/>
    <w:link w:val="81"/>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qFormat/>
    <w:uiPriority w:val="99"/>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99"/>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character" w:customStyle="1" w:styleId="60">
    <w:name w:val="标题 1 Char1"/>
    <w:link w:val="3"/>
    <w:qFormat/>
    <w:uiPriority w:val="0"/>
    <w:rPr>
      <w:rFonts w:eastAsia="宋体"/>
      <w:b/>
      <w:bCs/>
      <w:kern w:val="2"/>
      <w:sz w:val="28"/>
      <w:lang w:val="en-US" w:eastAsia="zh-CN" w:bidi="ar-SA"/>
    </w:rPr>
  </w:style>
  <w:style w:type="character" w:customStyle="1" w:styleId="61">
    <w:name w:val="标题 2 Char1"/>
    <w:link w:val="4"/>
    <w:qFormat/>
    <w:uiPriority w:val="0"/>
    <w:rPr>
      <w:rFonts w:ascii="Arial" w:hAnsi="Arial" w:eastAsia="宋体"/>
      <w:b/>
      <w:bCs/>
      <w:kern w:val="2"/>
      <w:sz w:val="24"/>
      <w:szCs w:val="32"/>
      <w:lang w:val="en-US" w:eastAsia="zh-CN" w:bidi="ar-SA"/>
    </w:rPr>
  </w:style>
  <w:style w:type="character" w:customStyle="1" w:styleId="62">
    <w:name w:val="标题 3 Char1"/>
    <w:link w:val="5"/>
    <w:qFormat/>
    <w:uiPriority w:val="0"/>
    <w:rPr>
      <w:rFonts w:eastAsia="宋体"/>
      <w:b/>
      <w:bCs/>
      <w:kern w:val="2"/>
      <w:sz w:val="32"/>
      <w:szCs w:val="32"/>
      <w:lang w:val="en-US" w:eastAsia="zh-CN" w:bidi="ar-SA"/>
    </w:rPr>
  </w:style>
  <w:style w:type="character" w:customStyle="1" w:styleId="63">
    <w:name w:val="标题 4 Char1"/>
    <w:link w:val="6"/>
    <w:qFormat/>
    <w:uiPriority w:val="0"/>
    <w:rPr>
      <w:rFonts w:ascii="Arial" w:hAnsi="Arial" w:eastAsia="黑体"/>
      <w:b/>
      <w:bCs/>
      <w:kern w:val="2"/>
      <w:sz w:val="28"/>
      <w:szCs w:val="28"/>
      <w:lang w:val="en-US" w:eastAsia="zh-CN" w:bidi="ar-SA"/>
    </w:rPr>
  </w:style>
  <w:style w:type="character" w:customStyle="1" w:styleId="64">
    <w:name w:val="标题 5 Char1"/>
    <w:link w:val="7"/>
    <w:qFormat/>
    <w:uiPriority w:val="0"/>
    <w:rPr>
      <w:rFonts w:eastAsia="宋体"/>
      <w:b/>
      <w:bCs/>
      <w:sz w:val="28"/>
      <w:szCs w:val="28"/>
      <w:lang w:val="en-US" w:eastAsia="zh-CN" w:bidi="ar-SA"/>
    </w:rPr>
  </w:style>
  <w:style w:type="character" w:customStyle="1" w:styleId="65">
    <w:name w:val="标题 6 Char1"/>
    <w:link w:val="8"/>
    <w:qFormat/>
    <w:uiPriority w:val="0"/>
    <w:rPr>
      <w:rFonts w:ascii="Arial" w:hAnsi="Arial" w:eastAsia="黑体"/>
      <w:b/>
      <w:bCs/>
      <w:sz w:val="24"/>
      <w:szCs w:val="24"/>
      <w:lang w:val="en-US" w:eastAsia="zh-CN" w:bidi="ar-SA"/>
    </w:rPr>
  </w:style>
  <w:style w:type="character" w:customStyle="1" w:styleId="66">
    <w:name w:val="标题 7 Char1"/>
    <w:link w:val="9"/>
    <w:qFormat/>
    <w:uiPriority w:val="0"/>
    <w:rPr>
      <w:rFonts w:eastAsia="宋体"/>
      <w:b/>
      <w:bCs/>
      <w:sz w:val="24"/>
      <w:szCs w:val="24"/>
      <w:lang w:val="en-US" w:eastAsia="zh-CN" w:bidi="ar-SA"/>
    </w:rPr>
  </w:style>
  <w:style w:type="character" w:customStyle="1" w:styleId="67">
    <w:name w:val="标题 8 Char1"/>
    <w:link w:val="10"/>
    <w:qFormat/>
    <w:uiPriority w:val="0"/>
    <w:rPr>
      <w:rFonts w:ascii="Arial" w:hAnsi="Arial" w:eastAsia="黑体"/>
      <w:sz w:val="24"/>
      <w:szCs w:val="24"/>
      <w:lang w:val="en-US" w:eastAsia="zh-CN" w:bidi="ar-SA"/>
    </w:rPr>
  </w:style>
  <w:style w:type="character" w:customStyle="1" w:styleId="68">
    <w:name w:val="标题 9 Char1"/>
    <w:link w:val="11"/>
    <w:qFormat/>
    <w:uiPriority w:val="0"/>
    <w:rPr>
      <w:rFonts w:ascii="Arial" w:hAnsi="Arial" w:eastAsia="黑体"/>
      <w:sz w:val="21"/>
      <w:szCs w:val="21"/>
      <w:lang w:val="en-US" w:eastAsia="zh-CN" w:bidi="ar-SA"/>
    </w:rPr>
  </w:style>
  <w:style w:type="paragraph" w:customStyle="1" w:styleId="69">
    <w:name w:val="表格内容"/>
    <w:basedOn w:val="18"/>
    <w:qFormat/>
    <w:uiPriority w:val="0"/>
    <w:pPr>
      <w:suppressLineNumbers/>
      <w:suppressAutoHyphens/>
      <w:jc w:val="left"/>
    </w:pPr>
    <w:rPr>
      <w:rFonts w:cs="Tahoma"/>
      <w:kern w:val="0"/>
      <w:sz w:val="24"/>
    </w:rPr>
  </w:style>
  <w:style w:type="character" w:customStyle="1" w:styleId="70">
    <w:name w:val="页眉 Char2"/>
    <w:link w:val="29"/>
    <w:qFormat/>
    <w:uiPriority w:val="0"/>
    <w:rPr>
      <w:rFonts w:eastAsia="宋体"/>
      <w:kern w:val="2"/>
      <w:sz w:val="18"/>
      <w:szCs w:val="18"/>
      <w:lang w:val="en-US" w:eastAsia="zh-CN" w:bidi="ar-SA"/>
    </w:rPr>
  </w:style>
  <w:style w:type="character" w:customStyle="1" w:styleId="71">
    <w:name w:val="页脚 Char1"/>
    <w:link w:val="28"/>
    <w:qFormat/>
    <w:uiPriority w:val="0"/>
    <w:rPr>
      <w:rFonts w:eastAsia="宋体"/>
      <w:kern w:val="2"/>
      <w:sz w:val="18"/>
      <w:szCs w:val="18"/>
      <w:lang w:val="en-US" w:eastAsia="zh-CN" w:bidi="ar-SA"/>
    </w:rPr>
  </w:style>
  <w:style w:type="character" w:customStyle="1" w:styleId="72">
    <w:name w:val="正文文本缩进 Char"/>
    <w:link w:val="19"/>
    <w:qFormat/>
    <w:uiPriority w:val="0"/>
    <w:rPr>
      <w:rFonts w:eastAsia="宋体"/>
      <w:kern w:val="2"/>
      <w:sz w:val="21"/>
      <w:szCs w:val="24"/>
      <w:lang w:val="en-US" w:eastAsia="zh-CN" w:bidi="ar-SA"/>
    </w:rPr>
  </w:style>
  <w:style w:type="character" w:customStyle="1" w:styleId="73">
    <w:name w:val="纯文本 Char3"/>
    <w:link w:val="23"/>
    <w:qFormat/>
    <w:locked/>
    <w:uiPriority w:val="0"/>
    <w:rPr>
      <w:rFonts w:ascii="宋体" w:hAnsi="Courier New" w:eastAsia="宋体" w:cs="Courier New"/>
      <w:kern w:val="2"/>
      <w:sz w:val="21"/>
      <w:szCs w:val="21"/>
      <w:lang w:val="en-US" w:eastAsia="zh-CN" w:bidi="ar-SA"/>
    </w:rPr>
  </w:style>
  <w:style w:type="character" w:customStyle="1" w:styleId="74">
    <w:name w:val="批注框文本 Char2"/>
    <w:link w:val="27"/>
    <w:qFormat/>
    <w:locked/>
    <w:uiPriority w:val="0"/>
    <w:rPr>
      <w:rFonts w:ascii="Calibri" w:hAnsi="Calibri" w:eastAsia="宋体"/>
      <w:kern w:val="2"/>
      <w:sz w:val="18"/>
      <w:szCs w:val="18"/>
      <w:lang w:val="en-US" w:eastAsia="zh-CN" w:bidi="ar-SA"/>
    </w:rPr>
  </w:style>
  <w:style w:type="paragraph" w:styleId="75">
    <w:name w:val="List Paragraph"/>
    <w:basedOn w:val="1"/>
    <w:link w:val="327"/>
    <w:qFormat/>
    <w:uiPriority w:val="0"/>
    <w:pPr>
      <w:ind w:firstLine="420" w:firstLineChars="200"/>
    </w:pPr>
    <w:rPr>
      <w:rFonts w:ascii="Calibri" w:hAnsi="Calibri"/>
      <w:szCs w:val="22"/>
      <w:lang w:val="zh-CN" w:eastAsia="zh-CN"/>
    </w:rPr>
  </w:style>
  <w:style w:type="character" w:customStyle="1" w:styleId="76">
    <w:name w:val="批注文字 Char2"/>
    <w:link w:val="15"/>
    <w:qFormat/>
    <w:uiPriority w:val="0"/>
    <w:rPr>
      <w:rFonts w:eastAsia="宋体"/>
      <w:kern w:val="2"/>
      <w:sz w:val="21"/>
      <w:szCs w:val="24"/>
      <w:lang w:val="en-US" w:eastAsia="zh-CN" w:bidi="ar-SA"/>
    </w:rPr>
  </w:style>
  <w:style w:type="character" w:customStyle="1" w:styleId="77">
    <w:name w:val="正文文本缩进 3 Char1"/>
    <w:link w:val="36"/>
    <w:qFormat/>
    <w:uiPriority w:val="0"/>
    <w:rPr>
      <w:rFonts w:eastAsia="宋体"/>
      <w:kern w:val="2"/>
      <w:sz w:val="16"/>
      <w:szCs w:val="16"/>
      <w:lang w:val="en-US" w:eastAsia="zh-CN" w:bidi="ar-SA"/>
    </w:rPr>
  </w:style>
  <w:style w:type="character" w:customStyle="1" w:styleId="78">
    <w:name w:val="日期 Char1"/>
    <w:link w:val="25"/>
    <w:qFormat/>
    <w:uiPriority w:val="0"/>
    <w:rPr>
      <w:rFonts w:eastAsia="宋体"/>
      <w:kern w:val="2"/>
      <w:sz w:val="24"/>
      <w:lang w:val="en-US" w:eastAsia="zh-CN" w:bidi="ar-SA"/>
    </w:rPr>
  </w:style>
  <w:style w:type="character" w:customStyle="1" w:styleId="79">
    <w:name w:val="p0 Char"/>
    <w:link w:val="80"/>
    <w:qFormat/>
    <w:uiPriority w:val="0"/>
    <w:rPr>
      <w:rFonts w:eastAsia="宋体"/>
      <w:sz w:val="21"/>
      <w:szCs w:val="21"/>
      <w:lang w:val="en-US" w:eastAsia="zh-CN" w:bidi="ar-SA"/>
    </w:rPr>
  </w:style>
  <w:style w:type="paragraph" w:customStyle="1" w:styleId="80">
    <w:name w:val="p0"/>
    <w:basedOn w:val="1"/>
    <w:link w:val="79"/>
    <w:qFormat/>
    <w:uiPriority w:val="0"/>
    <w:pPr>
      <w:widowControl/>
    </w:pPr>
    <w:rPr>
      <w:kern w:val="0"/>
      <w:szCs w:val="21"/>
    </w:rPr>
  </w:style>
  <w:style w:type="character" w:customStyle="1" w:styleId="81">
    <w:name w:val="批注主题 Char2"/>
    <w:link w:val="44"/>
    <w:qFormat/>
    <w:uiPriority w:val="0"/>
    <w:rPr>
      <w:rFonts w:eastAsia="宋体"/>
      <w:b/>
      <w:bCs/>
      <w:kern w:val="2"/>
      <w:sz w:val="21"/>
      <w:szCs w:val="24"/>
      <w:lang w:val="en-US" w:eastAsia="zh-CN" w:bidi="ar-SA"/>
    </w:rPr>
  </w:style>
  <w:style w:type="paragraph" w:customStyle="1" w:styleId="82">
    <w:name w:val="列出段落1"/>
    <w:basedOn w:val="1"/>
    <w:qFormat/>
    <w:uiPriority w:val="0"/>
    <w:pPr>
      <w:ind w:firstLine="420" w:firstLineChars="200"/>
    </w:pPr>
    <w:rPr>
      <w:rFonts w:ascii="Calibri" w:hAnsi="Calibri" w:cs="Calibri"/>
      <w:szCs w:val="21"/>
    </w:rPr>
  </w:style>
  <w:style w:type="character" w:customStyle="1" w:styleId="83">
    <w:name w:val="Char Char6"/>
    <w:qFormat/>
    <w:uiPriority w:val="0"/>
    <w:rPr>
      <w:rFonts w:ascii="Arial" w:hAnsi="Arial" w:eastAsia="黑体"/>
      <w:sz w:val="24"/>
      <w:szCs w:val="24"/>
      <w:lang w:val="en-US" w:eastAsia="zh-CN" w:bidi="ar-SA"/>
    </w:rPr>
  </w:style>
  <w:style w:type="character" w:customStyle="1" w:styleId="84">
    <w:name w:val="样式2 Char Char"/>
    <w:qFormat/>
    <w:uiPriority w:val="0"/>
    <w:rPr>
      <w:rFonts w:eastAsia="宋体"/>
      <w:kern w:val="2"/>
      <w:sz w:val="18"/>
      <w:szCs w:val="18"/>
      <w:lang w:val="en-US" w:eastAsia="zh-CN" w:bidi="ar-SA"/>
    </w:rPr>
  </w:style>
  <w:style w:type="paragraph" w:customStyle="1" w:styleId="8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86">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87">
    <w:name w:val="Char Char Char"/>
    <w:basedOn w:val="1"/>
    <w:qFormat/>
    <w:uiPriority w:val="0"/>
    <w:rPr>
      <w:rFonts w:ascii="宋体" w:hAnsi="宋体"/>
      <w:b/>
      <w:sz w:val="28"/>
      <w:szCs w:val="28"/>
    </w:rPr>
  </w:style>
  <w:style w:type="paragraph" w:customStyle="1" w:styleId="8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Char"/>
    <w:basedOn w:val="1"/>
    <w:qFormat/>
    <w:uiPriority w:val="0"/>
    <w:pPr>
      <w:tabs>
        <w:tab w:val="left" w:pos="360"/>
      </w:tabs>
      <w:ind w:left="360" w:hanging="360" w:hangingChars="200"/>
    </w:pPr>
    <w:rPr>
      <w:sz w:val="24"/>
    </w:rPr>
  </w:style>
  <w:style w:type="paragraph" w:customStyle="1" w:styleId="9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91">
    <w:name w:val="Char111"/>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Char Char1 Char Char Char Char Char1 Char Char Char Char"/>
    <w:basedOn w:val="14"/>
    <w:qFormat/>
    <w:uiPriority w:val="0"/>
    <w:rPr>
      <w:rFonts w:ascii="Tahoma" w:hAnsi="Tahoma"/>
    </w:rPr>
  </w:style>
  <w:style w:type="paragraph" w:customStyle="1" w:styleId="9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6">
    <w:name w:val="1"/>
    <w:basedOn w:val="1"/>
    <w:qFormat/>
    <w:uiPriority w:val="0"/>
    <w:pPr>
      <w:spacing w:after="156" w:afterLines="50" w:line="360" w:lineRule="auto"/>
    </w:pPr>
    <w:rPr>
      <w:rFonts w:ascii="宋体" w:hAnsi="宋体"/>
      <w:b/>
      <w:sz w:val="30"/>
      <w:szCs w:val="21"/>
    </w:rPr>
  </w:style>
  <w:style w:type="paragraph" w:customStyle="1" w:styleId="9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8">
    <w:name w:val="标题 1 +"/>
    <w:basedOn w:val="3"/>
    <w:next w:val="1"/>
    <w:qFormat/>
    <w:uiPriority w:val="0"/>
    <w:pPr>
      <w:keepLines/>
      <w:spacing w:line="600" w:lineRule="auto"/>
    </w:pPr>
    <w:rPr>
      <w:rFonts w:eastAsia="黑体"/>
      <w:kern w:val="0"/>
      <w:sz w:val="32"/>
      <w:szCs w:val="32"/>
    </w:rPr>
  </w:style>
  <w:style w:type="paragraph" w:customStyle="1" w:styleId="9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00">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01">
    <w:name w:val="Char1 Char Char Char 字元 Char Char 字元 Char 字元 Char1 Char Char Char"/>
    <w:basedOn w:val="1"/>
    <w:qFormat/>
    <w:uiPriority w:val="0"/>
    <w:rPr>
      <w:szCs w:val="20"/>
    </w:rPr>
  </w:style>
  <w:style w:type="paragraph" w:customStyle="1" w:styleId="102">
    <w:name w:val="p16"/>
    <w:basedOn w:val="1"/>
    <w:qFormat/>
    <w:uiPriority w:val="0"/>
    <w:pPr>
      <w:widowControl/>
      <w:jc w:val="left"/>
    </w:pPr>
    <w:rPr>
      <w:kern w:val="0"/>
      <w:szCs w:val="21"/>
    </w:rPr>
  </w:style>
  <w:style w:type="paragraph" w:customStyle="1" w:styleId="103">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7">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08">
    <w:name w:val="1 Char Char Char Char"/>
    <w:basedOn w:val="1"/>
    <w:qFormat/>
    <w:uiPriority w:val="0"/>
  </w:style>
  <w:style w:type="character" w:customStyle="1" w:styleId="109">
    <w:name w:val="p0 Char Char"/>
    <w:qFormat/>
    <w:uiPriority w:val="0"/>
    <w:rPr>
      <w:rFonts w:eastAsia="宋体"/>
      <w:kern w:val="2"/>
      <w:sz w:val="21"/>
      <w:szCs w:val="21"/>
      <w:lang w:val="en-US" w:eastAsia="zh-CN" w:bidi="ar-SA"/>
    </w:rPr>
  </w:style>
  <w:style w:type="character" w:customStyle="1" w:styleId="110">
    <w:name w:val="标题 4 Char Char"/>
    <w:qFormat/>
    <w:uiPriority w:val="0"/>
    <w:rPr>
      <w:rFonts w:ascii="Arial" w:hAnsi="Arial" w:eastAsia="宋体"/>
      <w:b/>
      <w:bCs/>
      <w:kern w:val="2"/>
      <w:sz w:val="21"/>
      <w:szCs w:val="28"/>
      <w:lang w:val="en-US" w:eastAsia="zh-CN" w:bidi="ar-SA"/>
    </w:rPr>
  </w:style>
  <w:style w:type="character" w:customStyle="1" w:styleId="111">
    <w:name w:val="Char Char15"/>
    <w:qFormat/>
    <w:uiPriority w:val="0"/>
    <w:rPr>
      <w:b/>
      <w:bCs/>
      <w:sz w:val="24"/>
      <w:szCs w:val="24"/>
    </w:rPr>
  </w:style>
  <w:style w:type="character" w:customStyle="1" w:styleId="112">
    <w:name w:val="批注文字 Char Char"/>
    <w:qFormat/>
    <w:uiPriority w:val="0"/>
    <w:rPr>
      <w:kern w:val="2"/>
      <w:sz w:val="21"/>
      <w:szCs w:val="24"/>
      <w:lang w:bidi="ar-SA"/>
    </w:rPr>
  </w:style>
  <w:style w:type="paragraph" w:customStyle="1" w:styleId="113">
    <w:name w:val="Revision"/>
    <w:qFormat/>
    <w:uiPriority w:val="0"/>
    <w:rPr>
      <w:rFonts w:ascii="Times New Roman" w:hAnsi="Times New Roman" w:eastAsia="宋体" w:cs="Times New Roman"/>
      <w:kern w:val="2"/>
      <w:sz w:val="21"/>
      <w:szCs w:val="24"/>
      <w:lang w:val="en-US" w:eastAsia="zh-CN" w:bidi="ar-SA"/>
    </w:rPr>
  </w:style>
  <w:style w:type="paragraph" w:customStyle="1" w:styleId="114">
    <w:name w:val="默认段落字体 Para Char Char Char Char Char Char Char Char Char Char Char Char Char Char Char Char Char Char Char"/>
    <w:basedOn w:val="1"/>
    <w:qFormat/>
    <w:uiPriority w:val="0"/>
  </w:style>
  <w:style w:type="paragraph" w:customStyle="1" w:styleId="11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17">
    <w:name w:val="标题2"/>
    <w:basedOn w:val="43"/>
    <w:qFormat/>
    <w:uiPriority w:val="0"/>
    <w:pPr>
      <w:spacing w:after="240"/>
      <w:jc w:val="left"/>
    </w:pPr>
    <w:rPr>
      <w:sz w:val="30"/>
    </w:rPr>
  </w:style>
  <w:style w:type="paragraph" w:customStyle="1" w:styleId="11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19">
    <w:name w:val="Char1 Char Char Char"/>
    <w:basedOn w:val="1"/>
    <w:qFormat/>
    <w:uiPriority w:val="0"/>
    <w:pPr>
      <w:widowControl/>
      <w:spacing w:after="160" w:line="240" w:lineRule="exact"/>
      <w:jc w:val="left"/>
    </w:pPr>
    <w:rPr>
      <w:kern w:val="0"/>
      <w:sz w:val="24"/>
      <w:szCs w:val="20"/>
    </w:rPr>
  </w:style>
  <w:style w:type="paragraph" w:customStyle="1" w:styleId="120">
    <w:name w:val="Char1 Char Char Char Char Char Char Char Char Char"/>
    <w:basedOn w:val="1"/>
    <w:qFormat/>
    <w:uiPriority w:val="0"/>
    <w:rPr>
      <w:szCs w:val="20"/>
    </w:rPr>
  </w:style>
  <w:style w:type="paragraph" w:customStyle="1" w:styleId="121">
    <w:name w:val="Char Char1 Char Char Char Char Char Char Char"/>
    <w:basedOn w:val="1"/>
    <w:qFormat/>
    <w:uiPriority w:val="0"/>
    <w:pPr>
      <w:widowControl/>
      <w:spacing w:after="160" w:line="240" w:lineRule="exact"/>
      <w:jc w:val="left"/>
    </w:pPr>
  </w:style>
  <w:style w:type="character" w:customStyle="1" w:styleId="122">
    <w:name w:val="Char Char17"/>
    <w:qFormat/>
    <w:uiPriority w:val="0"/>
    <w:rPr>
      <w:rFonts w:ascii="宋体" w:hAnsi="Times New Roman" w:eastAsia="宋体"/>
      <w:b/>
      <w:sz w:val="28"/>
      <w:lang w:val="en-US" w:eastAsia="zh-CN" w:bidi="ar-SA"/>
    </w:rPr>
  </w:style>
  <w:style w:type="character" w:customStyle="1" w:styleId="123">
    <w:name w:val="Char Char16"/>
    <w:qFormat/>
    <w:uiPriority w:val="0"/>
    <w:rPr>
      <w:rFonts w:ascii="宋体" w:hAnsi="Times New Roman" w:eastAsia="宋体"/>
      <w:b/>
      <w:sz w:val="24"/>
      <w:lang w:val="en-US" w:eastAsia="zh-CN" w:bidi="ar-SA"/>
    </w:rPr>
  </w:style>
  <w:style w:type="character" w:customStyle="1" w:styleId="124">
    <w:name w:val="Char Char14"/>
    <w:qFormat/>
    <w:uiPriority w:val="0"/>
    <w:rPr>
      <w:rFonts w:ascii="Arial" w:hAnsi="Arial" w:eastAsia="黑体"/>
      <w:b/>
      <w:bCs/>
      <w:sz w:val="28"/>
      <w:szCs w:val="28"/>
      <w:lang w:val="en-US" w:eastAsia="zh-CN" w:bidi="ar-SA"/>
    </w:rPr>
  </w:style>
  <w:style w:type="character" w:customStyle="1" w:styleId="125">
    <w:name w:val="标题 Char1"/>
    <w:qFormat/>
    <w:uiPriority w:val="0"/>
    <w:rPr>
      <w:rFonts w:ascii="Cambria" w:hAnsi="Cambria" w:eastAsia="宋体" w:cs="Times New Roman"/>
      <w:b/>
      <w:bCs/>
      <w:sz w:val="32"/>
      <w:szCs w:val="32"/>
    </w:rPr>
  </w:style>
  <w:style w:type="character" w:customStyle="1" w:styleId="126">
    <w:name w:val="bds_more9"/>
    <w:qFormat/>
    <w:uiPriority w:val="0"/>
    <w:rPr>
      <w:rFonts w:ascii="Times New Roman" w:hAnsi="Times New Roman" w:eastAsia="宋体"/>
    </w:rPr>
  </w:style>
  <w:style w:type="character" w:customStyle="1" w:styleId="127">
    <w:name w:val="标题 Char"/>
    <w:qFormat/>
    <w:uiPriority w:val="0"/>
    <w:rPr>
      <w:rFonts w:ascii="Cambria" w:hAnsi="Cambria"/>
      <w:b/>
      <w:kern w:val="2"/>
      <w:sz w:val="32"/>
      <w:szCs w:val="24"/>
    </w:rPr>
  </w:style>
  <w:style w:type="character" w:customStyle="1" w:styleId="128">
    <w:name w:val="sidecatalog-dot1"/>
    <w:qFormat/>
    <w:uiPriority w:val="0"/>
    <w:rPr>
      <w:rFonts w:ascii="Times New Roman" w:hAnsi="Times New Roman" w:eastAsia="宋体"/>
    </w:rPr>
  </w:style>
  <w:style w:type="character" w:customStyle="1" w:styleId="129">
    <w:name w:val="plus"/>
    <w:qFormat/>
    <w:uiPriority w:val="0"/>
    <w:rPr>
      <w:rFonts w:ascii="Times New Roman" w:hAnsi="Times New Roman" w:eastAsia="宋体"/>
      <w:b/>
      <w:vanish/>
      <w:color w:val="1F8DEF"/>
      <w:sz w:val="24"/>
      <w:szCs w:val="24"/>
    </w:rPr>
  </w:style>
  <w:style w:type="character" w:customStyle="1" w:styleId="130">
    <w:name w:val="bds_nopic"/>
    <w:qFormat/>
    <w:uiPriority w:val="0"/>
    <w:rPr>
      <w:rFonts w:ascii="Times New Roman" w:hAnsi="Times New Roman" w:eastAsia="宋体"/>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bds_nopic1"/>
    <w:qFormat/>
    <w:uiPriority w:val="0"/>
    <w:rPr>
      <w:rFonts w:ascii="Times New Roman" w:hAnsi="Times New Roman" w:eastAsia="宋体"/>
    </w:rPr>
  </w:style>
  <w:style w:type="character" w:customStyle="1" w:styleId="133">
    <w:name w:val="bds_nopic2"/>
    <w:qFormat/>
    <w:uiPriority w:val="0"/>
    <w:rPr>
      <w:rFonts w:ascii="Times New Roman" w:hAnsi="Times New Roman" w:eastAsia="宋体"/>
    </w:rPr>
  </w:style>
  <w:style w:type="character" w:customStyle="1" w:styleId="134">
    <w:name w:val="sort"/>
    <w:qFormat/>
    <w:uiPriority w:val="0"/>
    <w:rPr>
      <w:rFonts w:ascii="Times New Roman" w:hAnsi="Times New Roman" w:eastAsia="宋体"/>
      <w:color w:val="FFFFFF"/>
      <w:bdr w:val="single" w:color="auto" w:sz="24" w:space="0"/>
    </w:rPr>
  </w:style>
  <w:style w:type="character" w:customStyle="1" w:styleId="135">
    <w:name w:val="sidecatalog-dot"/>
    <w:qFormat/>
    <w:uiPriority w:val="0"/>
    <w:rPr>
      <w:rFonts w:ascii="Times New Roman" w:hAnsi="Times New Roman" w:eastAsia="宋体"/>
    </w:rPr>
  </w:style>
  <w:style w:type="character" w:customStyle="1" w:styleId="136">
    <w:name w:val="Font Style133"/>
    <w:unhideWhenUsed/>
    <w:qFormat/>
    <w:uiPriority w:val="0"/>
    <w:rPr>
      <w:rFonts w:hint="eastAsia" w:ascii="宋体" w:hAnsi="宋体" w:eastAsia="宋体"/>
      <w:spacing w:val="30"/>
      <w:sz w:val="24"/>
    </w:rPr>
  </w:style>
  <w:style w:type="character" w:customStyle="1" w:styleId="137">
    <w:name w:val="批注文字 Char"/>
    <w:qFormat/>
    <w:uiPriority w:val="99"/>
    <w:rPr>
      <w:kern w:val="2"/>
      <w:sz w:val="21"/>
      <w:szCs w:val="24"/>
    </w:rPr>
  </w:style>
  <w:style w:type="character" w:customStyle="1" w:styleId="138">
    <w:name w:val="Font Style122"/>
    <w:unhideWhenUsed/>
    <w:qFormat/>
    <w:uiPriority w:val="0"/>
    <w:rPr>
      <w:rFonts w:hint="eastAsia" w:ascii="宋体" w:hAnsi="宋体" w:eastAsia="宋体"/>
      <w:spacing w:val="20"/>
      <w:sz w:val="24"/>
    </w:rPr>
  </w:style>
  <w:style w:type="character" w:customStyle="1" w:styleId="139">
    <w:name w:val="批注主题 Char"/>
    <w:qFormat/>
    <w:uiPriority w:val="0"/>
    <w:rPr>
      <w:b/>
      <w:bCs/>
      <w:kern w:val="2"/>
      <w:sz w:val="21"/>
      <w:szCs w:val="24"/>
    </w:rPr>
  </w:style>
  <w:style w:type="character" w:customStyle="1" w:styleId="140">
    <w:name w:val="Font Style124"/>
    <w:unhideWhenUsed/>
    <w:qFormat/>
    <w:uiPriority w:val="0"/>
    <w:rPr>
      <w:rFonts w:hint="eastAsia" w:ascii="宋体" w:hAnsi="宋体" w:eastAsia="宋体"/>
      <w:spacing w:val="30"/>
      <w:sz w:val="24"/>
    </w:rPr>
  </w:style>
  <w:style w:type="character" w:customStyle="1" w:styleId="141">
    <w:name w:val="标题 8 Char"/>
    <w:qFormat/>
    <w:uiPriority w:val="0"/>
    <w:rPr>
      <w:rFonts w:ascii="Arial" w:hAnsi="Arial" w:eastAsia="黑体"/>
      <w:sz w:val="24"/>
      <w:szCs w:val="24"/>
    </w:rPr>
  </w:style>
  <w:style w:type="character" w:customStyle="1" w:styleId="142">
    <w:name w:val="标题 2 Char"/>
    <w:qFormat/>
    <w:uiPriority w:val="0"/>
    <w:rPr>
      <w:rFonts w:ascii="Cambria" w:hAnsi="Cambria" w:eastAsia="宋体" w:cs="Times New Roman"/>
      <w:b/>
      <w:bCs/>
      <w:kern w:val="2"/>
      <w:sz w:val="32"/>
      <w:szCs w:val="32"/>
    </w:rPr>
  </w:style>
  <w:style w:type="character" w:customStyle="1" w:styleId="143">
    <w:name w:val="bds_more6"/>
    <w:qFormat/>
    <w:uiPriority w:val="0"/>
    <w:rPr>
      <w:rFonts w:hint="eastAsia" w:ascii="宋体" w:hAnsi="宋体" w:eastAsia="宋体" w:cs="宋体"/>
    </w:rPr>
  </w:style>
  <w:style w:type="character" w:customStyle="1" w:styleId="144">
    <w:name w:val="标题 7 Char"/>
    <w:qFormat/>
    <w:uiPriority w:val="0"/>
    <w:rPr>
      <w:b/>
      <w:bCs/>
      <w:sz w:val="24"/>
      <w:szCs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 Style119"/>
    <w:unhideWhenUsed/>
    <w:qFormat/>
    <w:uiPriority w:val="0"/>
    <w:rPr>
      <w:rFonts w:hint="eastAsia" w:ascii="宋体" w:hAnsi="宋体" w:eastAsia="宋体"/>
      <w:sz w:val="24"/>
    </w:rPr>
  </w:style>
  <w:style w:type="character" w:customStyle="1" w:styleId="147">
    <w:name w:val="sort1"/>
    <w:qFormat/>
    <w:uiPriority w:val="0"/>
    <w:rPr>
      <w:rFonts w:ascii="Times New Roman" w:hAnsi="Times New Roman" w:eastAsia="宋体"/>
    </w:rPr>
  </w:style>
  <w:style w:type="character" w:customStyle="1" w:styleId="148">
    <w:name w:val="sidecatalog-index2"/>
    <w:qFormat/>
    <w:uiPriority w:val="0"/>
    <w:rPr>
      <w:rFonts w:ascii="Arail" w:hAnsi="Arail" w:eastAsia="Arail" w:cs="Arail"/>
      <w:color w:val="999999"/>
      <w:sz w:val="21"/>
      <w:szCs w:val="21"/>
    </w:rPr>
  </w:style>
  <w:style w:type="character" w:customStyle="1" w:styleId="149">
    <w:name w:val="bds_more8"/>
    <w:qFormat/>
    <w:uiPriority w:val="0"/>
    <w:rPr>
      <w:rFonts w:ascii="Times New Roman" w:hAnsi="Times New Roman" w:eastAsia="宋体"/>
    </w:rPr>
  </w:style>
  <w:style w:type="character" w:customStyle="1" w:styleId="150">
    <w:name w:val="desc"/>
    <w:qFormat/>
    <w:uiPriority w:val="0"/>
    <w:rPr>
      <w:rFonts w:ascii="Times New Roman" w:hAnsi="Times New Roman" w:eastAsia="宋体"/>
      <w:color w:val="000000"/>
      <w:sz w:val="18"/>
      <w:szCs w:val="18"/>
    </w:rPr>
  </w:style>
  <w:style w:type="character" w:customStyle="1" w:styleId="151">
    <w:name w:val="Font Style117"/>
    <w:unhideWhenUsed/>
    <w:qFormat/>
    <w:uiPriority w:val="0"/>
    <w:rPr>
      <w:rFonts w:hint="eastAsia" w:ascii="宋体" w:hAnsi="宋体" w:eastAsia="宋体"/>
      <w:spacing w:val="20"/>
      <w:sz w:val="24"/>
    </w:rPr>
  </w:style>
  <w:style w:type="character" w:customStyle="1" w:styleId="152">
    <w:name w:val="Font Style121"/>
    <w:unhideWhenUsed/>
    <w:qFormat/>
    <w:uiPriority w:val="0"/>
    <w:rPr>
      <w:rFonts w:hint="eastAsia" w:ascii="宋体" w:hAnsi="宋体" w:eastAsia="宋体"/>
      <w:spacing w:val="-10"/>
      <w:sz w:val="30"/>
    </w:rPr>
  </w:style>
  <w:style w:type="character" w:customStyle="1" w:styleId="153">
    <w:name w:val="日期 Char"/>
    <w:qFormat/>
    <w:uiPriority w:val="0"/>
    <w:rPr>
      <w:kern w:val="2"/>
      <w:sz w:val="21"/>
      <w:szCs w:val="24"/>
    </w:rPr>
  </w:style>
  <w:style w:type="character" w:customStyle="1" w:styleId="154">
    <w:name w:val="标题 6 Char"/>
    <w:qFormat/>
    <w:uiPriority w:val="0"/>
    <w:rPr>
      <w:rFonts w:ascii="Arial" w:hAnsi="Arial" w:eastAsia="黑体"/>
      <w:b/>
      <w:bCs/>
      <w:sz w:val="24"/>
      <w:szCs w:val="24"/>
    </w:rPr>
  </w:style>
  <w:style w:type="character" w:customStyle="1" w:styleId="155">
    <w:name w:val="sidecatalog-index1"/>
    <w:qFormat/>
    <w:uiPriority w:val="0"/>
    <w:rPr>
      <w:rFonts w:ascii="Arial" w:hAnsi="Arial" w:eastAsia="宋体" w:cs="Arial"/>
      <w:b/>
      <w:color w:val="999999"/>
      <w:sz w:val="21"/>
      <w:szCs w:val="21"/>
    </w:rPr>
  </w:style>
  <w:style w:type="character" w:customStyle="1" w:styleId="156">
    <w:name w:val="bds_more10"/>
    <w:qFormat/>
    <w:uiPriority w:val="0"/>
    <w:rPr>
      <w:rFonts w:ascii="Times New Roman" w:hAnsi="Times New Roman" w:eastAsia="宋体"/>
    </w:rPr>
  </w:style>
  <w:style w:type="character" w:customStyle="1" w:styleId="157">
    <w:name w:val="polysemyred"/>
    <w:qFormat/>
    <w:uiPriority w:val="0"/>
    <w:rPr>
      <w:rFonts w:ascii="Times New Roman" w:hAnsi="Times New Roman" w:eastAsia="宋体"/>
      <w:color w:val="FF6666"/>
      <w:sz w:val="18"/>
      <w:szCs w:val="18"/>
    </w:rPr>
  </w:style>
  <w:style w:type="character" w:customStyle="1" w:styleId="158">
    <w:name w:val="Font Style123"/>
    <w:unhideWhenUsed/>
    <w:qFormat/>
    <w:uiPriority w:val="0"/>
    <w:rPr>
      <w:rFonts w:hint="eastAsia" w:ascii="宋体" w:hAnsi="宋体" w:eastAsia="宋体"/>
      <w:b/>
      <w:sz w:val="32"/>
    </w:rPr>
  </w:style>
  <w:style w:type="character" w:customStyle="1" w:styleId="159">
    <w:name w:val="Font Style125"/>
    <w:unhideWhenUsed/>
    <w:qFormat/>
    <w:uiPriority w:val="0"/>
    <w:rPr>
      <w:rFonts w:hint="eastAsia" w:ascii="宋体" w:hAnsi="宋体" w:eastAsia="宋体"/>
      <w:b/>
      <w:sz w:val="26"/>
    </w:rPr>
  </w:style>
  <w:style w:type="character" w:customStyle="1" w:styleId="160">
    <w:name w:val="Font Style104"/>
    <w:unhideWhenUsed/>
    <w:qFormat/>
    <w:uiPriority w:val="0"/>
    <w:rPr>
      <w:rFonts w:hint="eastAsia" w:ascii="宋体" w:hAnsi="宋体" w:eastAsia="宋体"/>
      <w:spacing w:val="30"/>
      <w:sz w:val="18"/>
    </w:rPr>
  </w:style>
  <w:style w:type="character" w:customStyle="1" w:styleId="161">
    <w:name w:val="Font Style126"/>
    <w:unhideWhenUsed/>
    <w:qFormat/>
    <w:uiPriority w:val="0"/>
    <w:rPr>
      <w:rFonts w:hint="eastAsia" w:ascii="宋体" w:hAnsi="宋体" w:eastAsia="宋体"/>
      <w:b/>
      <w:spacing w:val="-30"/>
      <w:sz w:val="28"/>
    </w:rPr>
  </w:style>
  <w:style w:type="character" w:customStyle="1" w:styleId="162">
    <w:name w:val="Font Style116"/>
    <w:unhideWhenUsed/>
    <w:qFormat/>
    <w:uiPriority w:val="0"/>
    <w:rPr>
      <w:rFonts w:hint="eastAsia" w:ascii="宋体" w:hAnsi="宋体" w:eastAsia="宋体"/>
      <w:spacing w:val="-20"/>
      <w:sz w:val="24"/>
    </w:rPr>
  </w:style>
  <w:style w:type="character" w:customStyle="1" w:styleId="163">
    <w:name w:val="Font Style90"/>
    <w:unhideWhenUsed/>
    <w:qFormat/>
    <w:uiPriority w:val="0"/>
    <w:rPr>
      <w:rFonts w:hint="eastAsia" w:ascii="宋体" w:hAnsi="宋体" w:eastAsia="宋体"/>
      <w:b/>
      <w:spacing w:val="-20"/>
      <w:sz w:val="40"/>
    </w:rPr>
  </w:style>
  <w:style w:type="character" w:customStyle="1" w:styleId="164">
    <w:name w:val="polysemyexp"/>
    <w:qFormat/>
    <w:uiPriority w:val="0"/>
    <w:rPr>
      <w:rFonts w:ascii="Times New Roman" w:hAnsi="Times New Roman" w:eastAsia="宋体"/>
      <w:color w:val="AAAAAA"/>
      <w:sz w:val="18"/>
      <w:szCs w:val="18"/>
    </w:rPr>
  </w:style>
  <w:style w:type="character" w:customStyle="1" w:styleId="165">
    <w:name w:val="Font Style94"/>
    <w:unhideWhenUsed/>
    <w:qFormat/>
    <w:uiPriority w:val="0"/>
    <w:rPr>
      <w:rFonts w:hint="eastAsia" w:ascii="Times New Roman" w:hAnsi="Times New Roman" w:eastAsia="Times New Roman"/>
      <w:sz w:val="28"/>
    </w:rPr>
  </w:style>
  <w:style w:type="character" w:customStyle="1" w:styleId="166">
    <w:name w:val="标题 5 Char"/>
    <w:qFormat/>
    <w:uiPriority w:val="0"/>
    <w:rPr>
      <w:b/>
      <w:bCs/>
      <w:kern w:val="2"/>
      <w:sz w:val="28"/>
      <w:szCs w:val="28"/>
    </w:rPr>
  </w:style>
  <w:style w:type="character" w:customStyle="1" w:styleId="167">
    <w:name w:val="标题 4 Char"/>
    <w:qFormat/>
    <w:uiPriority w:val="0"/>
    <w:rPr>
      <w:rFonts w:ascii="Arial" w:hAnsi="Arial" w:eastAsia="宋体" w:cs="Times New Roman"/>
      <w:b/>
      <w:bCs/>
      <w:szCs w:val="28"/>
    </w:rPr>
  </w:style>
  <w:style w:type="character" w:customStyle="1" w:styleId="168">
    <w:name w:val="morelink-item"/>
    <w:qFormat/>
    <w:uiPriority w:val="0"/>
    <w:rPr>
      <w:rFonts w:ascii="Times New Roman" w:hAnsi="Times New Roman" w:eastAsia="宋体"/>
    </w:rPr>
  </w:style>
  <w:style w:type="character" w:customStyle="1" w:styleId="169">
    <w:name w:val="Font Style131"/>
    <w:unhideWhenUsed/>
    <w:qFormat/>
    <w:uiPriority w:val="0"/>
    <w:rPr>
      <w:rFonts w:hint="eastAsia" w:ascii="Times New Roman" w:hAnsi="Times New Roman" w:eastAsia="Times New Roman"/>
      <w:sz w:val="18"/>
    </w:rPr>
  </w:style>
  <w:style w:type="character" w:customStyle="1" w:styleId="170">
    <w:name w:val="Font Style128"/>
    <w:unhideWhenUsed/>
    <w:qFormat/>
    <w:uiPriority w:val="0"/>
    <w:rPr>
      <w:rFonts w:hint="eastAsia" w:ascii="Times New Roman" w:hAnsi="Times New Roman" w:eastAsia="Times New Roman"/>
      <w:sz w:val="16"/>
    </w:rPr>
  </w:style>
  <w:style w:type="character" w:customStyle="1" w:styleId="171">
    <w:name w:val="Font Style105"/>
    <w:unhideWhenUsed/>
    <w:qFormat/>
    <w:uiPriority w:val="0"/>
    <w:rPr>
      <w:rFonts w:hint="eastAsia" w:ascii="Times New Roman" w:hAnsi="Times New Roman" w:eastAsia="Times New Roman"/>
      <w:w w:val="60"/>
      <w:sz w:val="26"/>
    </w:rPr>
  </w:style>
  <w:style w:type="character" w:customStyle="1" w:styleId="172">
    <w:name w:val="Font Style86"/>
    <w:unhideWhenUsed/>
    <w:qFormat/>
    <w:uiPriority w:val="0"/>
    <w:rPr>
      <w:rFonts w:hint="eastAsia" w:ascii="黑体" w:hAnsi="黑体" w:eastAsia="黑体"/>
      <w:spacing w:val="10"/>
      <w:sz w:val="30"/>
    </w:rPr>
  </w:style>
  <w:style w:type="character" w:customStyle="1" w:styleId="173">
    <w:name w:val="Font Style115"/>
    <w:unhideWhenUsed/>
    <w:qFormat/>
    <w:uiPriority w:val="0"/>
    <w:rPr>
      <w:rFonts w:hint="eastAsia" w:ascii="Times New Roman" w:hAnsi="Times New Roman" w:eastAsia="Times New Roman"/>
      <w:sz w:val="16"/>
    </w:rPr>
  </w:style>
  <w:style w:type="character" w:customStyle="1" w:styleId="174">
    <w:name w:val="页眉 Char"/>
    <w:qFormat/>
    <w:uiPriority w:val="99"/>
    <w:rPr>
      <w:kern w:val="2"/>
      <w:sz w:val="18"/>
      <w:szCs w:val="18"/>
    </w:rPr>
  </w:style>
  <w:style w:type="character" w:customStyle="1" w:styleId="175">
    <w:name w:val="bds_more7"/>
    <w:qFormat/>
    <w:uiPriority w:val="0"/>
    <w:rPr>
      <w:rFonts w:ascii="Times New Roman" w:hAnsi="Times New Roman" w:eastAsia="宋体"/>
    </w:rPr>
  </w:style>
  <w:style w:type="character" w:customStyle="1" w:styleId="176">
    <w:name w:val="lemmatitleh12"/>
    <w:qFormat/>
    <w:uiPriority w:val="0"/>
    <w:rPr>
      <w:rFonts w:ascii="Times New Roman" w:hAnsi="Times New Roman" w:eastAsia="宋体"/>
    </w:rPr>
  </w:style>
  <w:style w:type="character" w:customStyle="1" w:styleId="177">
    <w:name w:val="标题 1 Char"/>
    <w:qFormat/>
    <w:uiPriority w:val="0"/>
    <w:rPr>
      <w:rFonts w:ascii="Cambria" w:hAnsi="Cambria"/>
      <w:b/>
      <w:bCs/>
      <w:kern w:val="32"/>
      <w:sz w:val="32"/>
      <w:szCs w:val="32"/>
    </w:rPr>
  </w:style>
  <w:style w:type="character" w:customStyle="1" w:styleId="178">
    <w:name w:val="批注框文本 Char"/>
    <w:qFormat/>
    <w:uiPriority w:val="0"/>
    <w:rPr>
      <w:kern w:val="2"/>
      <w:sz w:val="18"/>
      <w:szCs w:val="18"/>
    </w:rPr>
  </w:style>
  <w:style w:type="character" w:customStyle="1" w:styleId="179">
    <w:name w:val="标题 9 Char"/>
    <w:qFormat/>
    <w:uiPriority w:val="0"/>
    <w:rPr>
      <w:rFonts w:ascii="Arial" w:hAnsi="Arial" w:eastAsia="黑体"/>
      <w:sz w:val="21"/>
      <w:szCs w:val="21"/>
    </w:rPr>
  </w:style>
  <w:style w:type="character" w:customStyle="1" w:styleId="180">
    <w:name w:val="标题 3 Char"/>
    <w:qFormat/>
    <w:uiPriority w:val="0"/>
    <w:rPr>
      <w:b/>
      <w:bCs/>
      <w:sz w:val="24"/>
      <w:szCs w:val="24"/>
    </w:rPr>
  </w:style>
  <w:style w:type="character" w:customStyle="1" w:styleId="181">
    <w:name w:val="Font Style134"/>
    <w:unhideWhenUsed/>
    <w:qFormat/>
    <w:uiPriority w:val="0"/>
    <w:rPr>
      <w:rFonts w:hint="eastAsia" w:ascii="宋体" w:hAnsi="宋体" w:eastAsia="宋体"/>
      <w:spacing w:val="20"/>
      <w:sz w:val="22"/>
    </w:rPr>
  </w:style>
  <w:style w:type="character" w:customStyle="1" w:styleId="182">
    <w:name w:val="页脚 Char"/>
    <w:qFormat/>
    <w:uiPriority w:val="99"/>
    <w:rPr>
      <w:kern w:val="2"/>
      <w:sz w:val="18"/>
      <w:szCs w:val="18"/>
    </w:rPr>
  </w:style>
  <w:style w:type="paragraph" w:customStyle="1" w:styleId="183">
    <w:name w:val="Style60"/>
    <w:basedOn w:val="1"/>
    <w:unhideWhenUsed/>
    <w:qFormat/>
    <w:uiPriority w:val="0"/>
    <w:pPr>
      <w:spacing w:line="566" w:lineRule="exact"/>
    </w:pPr>
  </w:style>
  <w:style w:type="paragraph" w:customStyle="1" w:styleId="184">
    <w:name w:val="Style29"/>
    <w:basedOn w:val="1"/>
    <w:unhideWhenUsed/>
    <w:qFormat/>
    <w:uiPriority w:val="0"/>
    <w:pPr>
      <w:spacing w:line="547" w:lineRule="exact"/>
      <w:ind w:firstLine="547"/>
    </w:pPr>
  </w:style>
  <w:style w:type="paragraph" w:customStyle="1" w:styleId="185">
    <w:name w:val="Style48"/>
    <w:basedOn w:val="1"/>
    <w:unhideWhenUsed/>
    <w:qFormat/>
    <w:uiPriority w:val="0"/>
    <w:pPr>
      <w:spacing w:line="542" w:lineRule="exact"/>
      <w:jc w:val="right"/>
    </w:pPr>
  </w:style>
  <w:style w:type="paragraph" w:customStyle="1" w:styleId="186">
    <w:name w:val="Style81"/>
    <w:basedOn w:val="1"/>
    <w:unhideWhenUsed/>
    <w:qFormat/>
    <w:uiPriority w:val="0"/>
    <w:pPr>
      <w:spacing w:line="547" w:lineRule="exact"/>
    </w:pPr>
  </w:style>
  <w:style w:type="paragraph" w:customStyle="1" w:styleId="187">
    <w:name w:val="Style15"/>
    <w:basedOn w:val="1"/>
    <w:unhideWhenUsed/>
    <w:qFormat/>
    <w:uiPriority w:val="0"/>
    <w:pPr>
      <w:spacing w:line="557" w:lineRule="exact"/>
      <w:ind w:firstLine="672"/>
    </w:pPr>
  </w:style>
  <w:style w:type="paragraph" w:customStyle="1" w:styleId="188">
    <w:name w:val="Style71"/>
    <w:basedOn w:val="1"/>
    <w:unhideWhenUsed/>
    <w:qFormat/>
    <w:uiPriority w:val="0"/>
    <w:pPr>
      <w:spacing w:line="538" w:lineRule="exact"/>
      <w:ind w:firstLine="101"/>
    </w:pPr>
  </w:style>
  <w:style w:type="paragraph" w:customStyle="1" w:styleId="189">
    <w:name w:val="Style67"/>
    <w:basedOn w:val="1"/>
    <w:unhideWhenUsed/>
    <w:qFormat/>
    <w:uiPriority w:val="0"/>
    <w:pPr>
      <w:spacing w:line="566" w:lineRule="exact"/>
      <w:ind w:firstLine="552"/>
    </w:pPr>
  </w:style>
  <w:style w:type="paragraph" w:customStyle="1" w:styleId="190">
    <w:name w:val="Style21"/>
    <w:basedOn w:val="1"/>
    <w:unhideWhenUsed/>
    <w:qFormat/>
    <w:uiPriority w:val="0"/>
    <w:pPr>
      <w:spacing w:line="566" w:lineRule="exact"/>
      <w:ind w:firstLine="682"/>
    </w:pPr>
  </w:style>
  <w:style w:type="paragraph" w:customStyle="1" w:styleId="191">
    <w:name w:val="Style9"/>
    <w:basedOn w:val="1"/>
    <w:unhideWhenUsed/>
    <w:qFormat/>
    <w:uiPriority w:val="0"/>
  </w:style>
  <w:style w:type="paragraph" w:customStyle="1" w:styleId="192">
    <w:name w:val="Style54"/>
    <w:basedOn w:val="1"/>
    <w:unhideWhenUsed/>
    <w:qFormat/>
    <w:uiPriority w:val="0"/>
  </w:style>
  <w:style w:type="paragraph" w:customStyle="1" w:styleId="193">
    <w:name w:val="Style44"/>
    <w:basedOn w:val="1"/>
    <w:unhideWhenUsed/>
    <w:qFormat/>
    <w:uiPriority w:val="0"/>
  </w:style>
  <w:style w:type="paragraph" w:customStyle="1" w:styleId="194">
    <w:name w:val="Style36"/>
    <w:basedOn w:val="1"/>
    <w:unhideWhenUsed/>
    <w:qFormat/>
    <w:uiPriority w:val="0"/>
  </w:style>
  <w:style w:type="paragraph" w:customStyle="1" w:styleId="195">
    <w:name w:val="Style58"/>
    <w:basedOn w:val="1"/>
    <w:unhideWhenUsed/>
    <w:qFormat/>
    <w:uiPriority w:val="0"/>
    <w:pPr>
      <w:spacing w:line="413" w:lineRule="exact"/>
    </w:pPr>
  </w:style>
  <w:style w:type="paragraph" w:customStyle="1" w:styleId="196">
    <w:name w:val="Style65"/>
    <w:basedOn w:val="1"/>
    <w:unhideWhenUsed/>
    <w:qFormat/>
    <w:uiPriority w:val="0"/>
  </w:style>
  <w:style w:type="paragraph" w:customStyle="1" w:styleId="197">
    <w:name w:val="Style76"/>
    <w:basedOn w:val="1"/>
    <w:unhideWhenUsed/>
    <w:qFormat/>
    <w:uiPriority w:val="0"/>
  </w:style>
  <w:style w:type="paragraph" w:customStyle="1" w:styleId="198">
    <w:name w:val="Style23"/>
    <w:basedOn w:val="1"/>
    <w:unhideWhenUsed/>
    <w:qFormat/>
    <w:uiPriority w:val="0"/>
  </w:style>
  <w:style w:type="paragraph" w:customStyle="1" w:styleId="199">
    <w:name w:val="Style4"/>
    <w:basedOn w:val="1"/>
    <w:unhideWhenUsed/>
    <w:qFormat/>
    <w:uiPriority w:val="0"/>
  </w:style>
  <w:style w:type="paragraph" w:customStyle="1" w:styleId="200">
    <w:name w:val="Style64"/>
    <w:basedOn w:val="1"/>
    <w:unhideWhenUsed/>
    <w:qFormat/>
    <w:uiPriority w:val="0"/>
  </w:style>
  <w:style w:type="paragraph" w:customStyle="1" w:styleId="201">
    <w:name w:val="Style56"/>
    <w:basedOn w:val="1"/>
    <w:unhideWhenUsed/>
    <w:qFormat/>
    <w:uiPriority w:val="0"/>
  </w:style>
  <w:style w:type="paragraph" w:customStyle="1" w:styleId="202">
    <w:name w:val="Style61"/>
    <w:basedOn w:val="1"/>
    <w:unhideWhenUsed/>
    <w:qFormat/>
    <w:uiPriority w:val="0"/>
  </w:style>
  <w:style w:type="paragraph" w:customStyle="1" w:styleId="203">
    <w:name w:val="Style16"/>
    <w:basedOn w:val="1"/>
    <w:unhideWhenUsed/>
    <w:qFormat/>
    <w:uiPriority w:val="0"/>
    <w:pPr>
      <w:jc w:val="right"/>
    </w:pPr>
  </w:style>
  <w:style w:type="paragraph" w:customStyle="1" w:styleId="204">
    <w:name w:val="Style8"/>
    <w:basedOn w:val="1"/>
    <w:unhideWhenUsed/>
    <w:qFormat/>
    <w:uiPriority w:val="0"/>
    <w:pPr>
      <w:spacing w:line="566" w:lineRule="exact"/>
      <w:jc w:val="center"/>
    </w:pPr>
  </w:style>
  <w:style w:type="paragraph" w:customStyle="1" w:styleId="205">
    <w:name w:val="Style5"/>
    <w:basedOn w:val="1"/>
    <w:unhideWhenUsed/>
    <w:qFormat/>
    <w:uiPriority w:val="0"/>
  </w:style>
  <w:style w:type="paragraph" w:customStyle="1" w:styleId="206">
    <w:name w:val="Style80"/>
    <w:basedOn w:val="1"/>
    <w:unhideWhenUsed/>
    <w:qFormat/>
    <w:uiPriority w:val="0"/>
  </w:style>
  <w:style w:type="paragraph" w:customStyle="1" w:styleId="207">
    <w:name w:val="Style27"/>
    <w:basedOn w:val="1"/>
    <w:unhideWhenUsed/>
    <w:qFormat/>
    <w:uiPriority w:val="0"/>
  </w:style>
  <w:style w:type="paragraph" w:customStyle="1" w:styleId="208">
    <w:name w:val="Style70"/>
    <w:basedOn w:val="1"/>
    <w:unhideWhenUsed/>
    <w:qFormat/>
    <w:uiPriority w:val="0"/>
    <w:pPr>
      <w:spacing w:line="549" w:lineRule="exact"/>
      <w:ind w:firstLine="686"/>
    </w:pPr>
  </w:style>
  <w:style w:type="paragraph" w:customStyle="1" w:styleId="209">
    <w:name w:val="Style63"/>
    <w:basedOn w:val="1"/>
    <w:unhideWhenUsed/>
    <w:qFormat/>
    <w:uiPriority w:val="0"/>
    <w:pPr>
      <w:spacing w:line="564" w:lineRule="exact"/>
      <w:ind w:firstLine="682"/>
    </w:pPr>
  </w:style>
  <w:style w:type="paragraph" w:customStyle="1" w:styleId="210">
    <w:name w:val="Style41"/>
    <w:basedOn w:val="1"/>
    <w:unhideWhenUsed/>
    <w:qFormat/>
    <w:uiPriority w:val="0"/>
    <w:pPr>
      <w:spacing w:line="542" w:lineRule="exact"/>
      <w:ind w:firstLine="125"/>
    </w:pPr>
  </w:style>
  <w:style w:type="paragraph" w:customStyle="1" w:styleId="211">
    <w:name w:val="Style46"/>
    <w:basedOn w:val="1"/>
    <w:unhideWhenUsed/>
    <w:qFormat/>
    <w:uiPriority w:val="0"/>
    <w:pPr>
      <w:spacing w:line="672" w:lineRule="exact"/>
    </w:pPr>
  </w:style>
  <w:style w:type="paragraph" w:customStyle="1" w:styleId="212">
    <w:name w:val="Style11"/>
    <w:basedOn w:val="1"/>
    <w:unhideWhenUsed/>
    <w:qFormat/>
    <w:uiPriority w:val="0"/>
    <w:pPr>
      <w:spacing w:line="559" w:lineRule="exact"/>
      <w:ind w:firstLine="590"/>
    </w:pPr>
  </w:style>
  <w:style w:type="paragraph" w:customStyle="1" w:styleId="213">
    <w:name w:val="Style72"/>
    <w:basedOn w:val="1"/>
    <w:unhideWhenUsed/>
    <w:qFormat/>
    <w:uiPriority w:val="0"/>
  </w:style>
  <w:style w:type="paragraph" w:customStyle="1" w:styleId="214">
    <w:name w:val="Style74"/>
    <w:basedOn w:val="1"/>
    <w:unhideWhenUsed/>
    <w:qFormat/>
    <w:uiPriority w:val="0"/>
    <w:pPr>
      <w:spacing w:line="437" w:lineRule="exact"/>
    </w:pPr>
  </w:style>
  <w:style w:type="paragraph" w:customStyle="1" w:styleId="215">
    <w:name w:val="Style77"/>
    <w:basedOn w:val="1"/>
    <w:unhideWhenUsed/>
    <w:qFormat/>
    <w:uiPriority w:val="0"/>
  </w:style>
  <w:style w:type="paragraph" w:customStyle="1" w:styleId="216">
    <w:name w:val="Style68"/>
    <w:basedOn w:val="1"/>
    <w:unhideWhenUsed/>
    <w:qFormat/>
    <w:uiPriority w:val="0"/>
    <w:pPr>
      <w:spacing w:line="547" w:lineRule="exact"/>
    </w:pPr>
  </w:style>
  <w:style w:type="paragraph" w:customStyle="1" w:styleId="217">
    <w:name w:val="Style59"/>
    <w:basedOn w:val="1"/>
    <w:unhideWhenUsed/>
    <w:qFormat/>
    <w:uiPriority w:val="0"/>
  </w:style>
  <w:style w:type="paragraph" w:customStyle="1" w:styleId="218">
    <w:name w:val="Style52"/>
    <w:basedOn w:val="1"/>
    <w:unhideWhenUsed/>
    <w:qFormat/>
    <w:uiPriority w:val="0"/>
    <w:pPr>
      <w:spacing w:line="682" w:lineRule="exact"/>
      <w:ind w:firstLine="557"/>
    </w:pPr>
  </w:style>
  <w:style w:type="paragraph" w:customStyle="1" w:styleId="219">
    <w:name w:val="Style28"/>
    <w:basedOn w:val="1"/>
    <w:unhideWhenUsed/>
    <w:qFormat/>
    <w:uiPriority w:val="0"/>
    <w:pPr>
      <w:spacing w:line="552" w:lineRule="exact"/>
      <w:ind w:firstLine="547"/>
    </w:pPr>
  </w:style>
  <w:style w:type="paragraph" w:customStyle="1" w:styleId="220">
    <w:name w:val="Style47"/>
    <w:basedOn w:val="1"/>
    <w:unhideWhenUsed/>
    <w:qFormat/>
    <w:uiPriority w:val="0"/>
  </w:style>
  <w:style w:type="paragraph" w:customStyle="1" w:styleId="221">
    <w:name w:val="NO3"/>
    <w:basedOn w:val="1"/>
    <w:qFormat/>
    <w:uiPriority w:val="0"/>
    <w:pPr>
      <w:tabs>
        <w:tab w:val="left" w:pos="907"/>
      </w:tabs>
      <w:spacing w:line="360" w:lineRule="auto"/>
    </w:pPr>
    <w:rPr>
      <w:rFonts w:ascii="宋体" w:hAnsi="宋体"/>
      <w:sz w:val="24"/>
    </w:rPr>
  </w:style>
  <w:style w:type="paragraph" w:customStyle="1" w:styleId="222">
    <w:name w:val="Style13"/>
    <w:basedOn w:val="1"/>
    <w:unhideWhenUsed/>
    <w:qFormat/>
    <w:uiPriority w:val="0"/>
  </w:style>
  <w:style w:type="paragraph" w:customStyle="1" w:styleId="223">
    <w:name w:val="Style42"/>
    <w:basedOn w:val="1"/>
    <w:unhideWhenUsed/>
    <w:qFormat/>
    <w:uiPriority w:val="0"/>
    <w:pPr>
      <w:spacing w:line="542" w:lineRule="exact"/>
      <w:ind w:firstLine="547"/>
    </w:pPr>
  </w:style>
  <w:style w:type="paragraph" w:customStyle="1" w:styleId="224">
    <w:name w:val="Style34"/>
    <w:basedOn w:val="1"/>
    <w:unhideWhenUsed/>
    <w:qFormat/>
    <w:uiPriority w:val="0"/>
    <w:pPr>
      <w:spacing w:line="375" w:lineRule="exact"/>
    </w:pPr>
  </w:style>
  <w:style w:type="paragraph" w:customStyle="1" w:styleId="225">
    <w:name w:val="Style45"/>
    <w:basedOn w:val="1"/>
    <w:unhideWhenUsed/>
    <w:qFormat/>
    <w:uiPriority w:val="0"/>
  </w:style>
  <w:style w:type="paragraph" w:customStyle="1" w:styleId="226">
    <w:name w:val="Style12"/>
    <w:basedOn w:val="1"/>
    <w:unhideWhenUsed/>
    <w:qFormat/>
    <w:uiPriority w:val="0"/>
    <w:pPr>
      <w:spacing w:line="564" w:lineRule="exact"/>
      <w:ind w:hanging="115"/>
    </w:pPr>
  </w:style>
  <w:style w:type="paragraph" w:customStyle="1" w:styleId="227">
    <w:name w:val="Style78"/>
    <w:basedOn w:val="1"/>
    <w:unhideWhenUsed/>
    <w:qFormat/>
    <w:uiPriority w:val="0"/>
  </w:style>
  <w:style w:type="paragraph" w:customStyle="1" w:styleId="228">
    <w:name w:val="Style69"/>
    <w:basedOn w:val="1"/>
    <w:unhideWhenUsed/>
    <w:qFormat/>
    <w:uiPriority w:val="0"/>
    <w:pPr>
      <w:spacing w:line="557" w:lineRule="exact"/>
      <w:ind w:firstLine="1666"/>
    </w:pPr>
  </w:style>
  <w:style w:type="paragraph" w:customStyle="1" w:styleId="229">
    <w:name w:val="Style62"/>
    <w:basedOn w:val="1"/>
    <w:unhideWhenUsed/>
    <w:qFormat/>
    <w:uiPriority w:val="0"/>
  </w:style>
  <w:style w:type="paragraph" w:customStyle="1" w:styleId="230">
    <w:name w:val="Style50"/>
    <w:basedOn w:val="1"/>
    <w:unhideWhenUsed/>
    <w:qFormat/>
    <w:uiPriority w:val="0"/>
  </w:style>
  <w:style w:type="paragraph" w:customStyle="1" w:styleId="231">
    <w:name w:val="Style53"/>
    <w:basedOn w:val="1"/>
    <w:unhideWhenUsed/>
    <w:qFormat/>
    <w:uiPriority w:val="0"/>
    <w:pPr>
      <w:spacing w:line="533" w:lineRule="exact"/>
      <w:ind w:firstLine="581"/>
    </w:pPr>
  </w:style>
  <w:style w:type="paragraph" w:customStyle="1" w:styleId="232">
    <w:name w:val="Style73"/>
    <w:basedOn w:val="1"/>
    <w:unhideWhenUsed/>
    <w:qFormat/>
    <w:uiPriority w:val="0"/>
    <w:pPr>
      <w:spacing w:line="538" w:lineRule="exact"/>
      <w:ind w:firstLine="533"/>
    </w:pPr>
  </w:style>
  <w:style w:type="paragraph" w:customStyle="1" w:styleId="233">
    <w:name w:val="Style24"/>
    <w:basedOn w:val="1"/>
    <w:unhideWhenUsed/>
    <w:qFormat/>
    <w:uiPriority w:val="0"/>
  </w:style>
  <w:style w:type="paragraph" w:customStyle="1" w:styleId="234">
    <w:name w:val="Style10"/>
    <w:basedOn w:val="1"/>
    <w:unhideWhenUsed/>
    <w:qFormat/>
    <w:uiPriority w:val="0"/>
    <w:pPr>
      <w:spacing w:line="538" w:lineRule="exact"/>
    </w:pPr>
  </w:style>
  <w:style w:type="paragraph" w:customStyle="1" w:styleId="235">
    <w:name w:val="Style26"/>
    <w:basedOn w:val="1"/>
    <w:unhideWhenUsed/>
    <w:qFormat/>
    <w:uiPriority w:val="0"/>
  </w:style>
  <w:style w:type="paragraph" w:customStyle="1" w:styleId="23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7">
    <w:name w:val="附录标识"/>
    <w:basedOn w:val="236"/>
    <w:qFormat/>
    <w:uiPriority w:val="0"/>
    <w:pPr>
      <w:tabs>
        <w:tab w:val="left" w:pos="6405"/>
        <w:tab w:val="clear" w:pos="360"/>
      </w:tabs>
      <w:spacing w:after="200"/>
    </w:pPr>
    <w:rPr>
      <w:sz w:val="21"/>
    </w:rPr>
  </w:style>
  <w:style w:type="paragraph" w:customStyle="1" w:styleId="238">
    <w:name w:val="_Style 39"/>
    <w:basedOn w:val="115"/>
    <w:qFormat/>
    <w:uiPriority w:val="0"/>
  </w:style>
  <w:style w:type="paragraph" w:customStyle="1" w:styleId="23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 Char1 Char Char Char"/>
    <w:basedOn w:val="1"/>
    <w:qFormat/>
    <w:uiPriority w:val="0"/>
    <w:rPr>
      <w:kern w:val="0"/>
      <w:sz w:val="20"/>
      <w:szCs w:val="20"/>
    </w:rPr>
  </w:style>
  <w:style w:type="character" w:customStyle="1" w:styleId="242">
    <w:name w:val="10_2_2"/>
    <w:qFormat/>
    <w:uiPriority w:val="0"/>
    <w:rPr>
      <w:rFonts w:hint="default" w:ascii="Times New Roman" w:hAnsi="Times New Roman" w:cs="Times New Roman"/>
      <w:sz w:val="20"/>
      <w:szCs w:val="20"/>
    </w:rPr>
  </w:style>
  <w:style w:type="paragraph" w:customStyle="1" w:styleId="243">
    <w:name w:val="p18_1_2"/>
    <w:basedOn w:val="1"/>
    <w:qFormat/>
    <w:uiPriority w:val="0"/>
    <w:pPr>
      <w:widowControl/>
    </w:pPr>
    <w:rPr>
      <w:kern w:val="0"/>
      <w:szCs w:val="21"/>
    </w:rPr>
  </w:style>
  <w:style w:type="character" w:customStyle="1" w:styleId="244">
    <w:name w:val="纯文本 Char Char Char1"/>
    <w:uiPriority w:val="0"/>
    <w:rPr>
      <w:rFonts w:eastAsia="宋体"/>
      <w:kern w:val="2"/>
      <w:sz w:val="24"/>
      <w:lang w:val="en-US" w:eastAsia="zh-CN" w:bidi="ar-SA"/>
    </w:rPr>
  </w:style>
  <w:style w:type="character" w:customStyle="1" w:styleId="245">
    <w:name w:val="纯文本 Char1"/>
    <w:qFormat/>
    <w:uiPriority w:val="0"/>
    <w:rPr>
      <w:rFonts w:ascii="宋体" w:hAnsi="Courier New" w:cs="Courier New"/>
      <w:kern w:val="2"/>
      <w:sz w:val="21"/>
      <w:szCs w:val="21"/>
    </w:rPr>
  </w:style>
  <w:style w:type="character" w:customStyle="1" w:styleId="246">
    <w:name w:val="p121"/>
    <w:qFormat/>
    <w:uiPriority w:val="0"/>
  </w:style>
  <w:style w:type="character" w:customStyle="1" w:styleId="247">
    <w:name w:val="标准文本 Char Char"/>
    <w:link w:val="248"/>
    <w:qFormat/>
    <w:uiPriority w:val="0"/>
    <w:rPr>
      <w:rFonts w:eastAsia="宋体"/>
      <w:kern w:val="2"/>
      <w:sz w:val="24"/>
      <w:lang w:bidi="ar-SA"/>
    </w:rPr>
  </w:style>
  <w:style w:type="paragraph" w:customStyle="1" w:styleId="248">
    <w:name w:val="标准文本"/>
    <w:basedOn w:val="1"/>
    <w:link w:val="247"/>
    <w:qFormat/>
    <w:uiPriority w:val="0"/>
    <w:pPr>
      <w:spacing w:line="360" w:lineRule="auto"/>
      <w:ind w:firstLine="480" w:firstLineChars="200"/>
    </w:pPr>
    <w:rPr>
      <w:sz w:val="24"/>
      <w:szCs w:val="20"/>
      <w:lang w:val="zh-CN" w:eastAsia="zh-CN"/>
    </w:rPr>
  </w:style>
  <w:style w:type="character" w:customStyle="1" w:styleId="249">
    <w:name w:val="style21"/>
    <w:qFormat/>
    <w:uiPriority w:val="0"/>
    <w:rPr>
      <w:sz w:val="18"/>
      <w:szCs w:val="18"/>
    </w:rPr>
  </w:style>
  <w:style w:type="paragraph" w:customStyle="1" w:styleId="25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TOC Heading"/>
    <w:basedOn w:val="3"/>
    <w:next w:val="1"/>
    <w:qFormat/>
    <w:uiPriority w:val="39"/>
    <w:pPr>
      <w:keepLines/>
      <w:widowControl/>
      <w:spacing w:before="480" w:line="276" w:lineRule="auto"/>
      <w:jc w:val="left"/>
      <w:outlineLvl w:val="9"/>
    </w:pPr>
    <w:rPr>
      <w:rFonts w:ascii="Cambria" w:hAnsi="Cambria"/>
      <w:color w:val="365F91"/>
      <w:kern w:val="0"/>
      <w:szCs w:val="28"/>
      <w:lang w:val="zh-CN" w:eastAsia="zh-CN"/>
    </w:rPr>
  </w:style>
  <w:style w:type="paragraph" w:customStyle="1" w:styleId="253">
    <w:name w:val="Char Char Char Char Char Char1 Char Char Char Char"/>
    <w:basedOn w:val="14"/>
    <w:qFormat/>
    <w:uiPriority w:val="0"/>
    <w:rPr>
      <w:rFonts w:ascii="Tahoma" w:hAnsi="Tahoma"/>
      <w:sz w:val="24"/>
      <w:shd w:val="clear" w:color="auto" w:fill="000080"/>
    </w:rPr>
  </w:style>
  <w:style w:type="paragraph" w:customStyle="1" w:styleId="254">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5">
    <w:name w:val="汉仪中宋简9"/>
    <w:qFormat/>
    <w:uiPriority w:val="0"/>
    <w:pPr>
      <w:widowControl w:val="0"/>
      <w:autoSpaceDE w:val="0"/>
      <w:autoSpaceDN w:val="0"/>
      <w:adjustRightInd w:val="0"/>
      <w:jc w:val="both"/>
    </w:pPr>
    <w:rPr>
      <w:rFonts w:ascii="汉仪中宋简" w:hAnsi="Times New Roman" w:eastAsia="汉仪中宋简" w:cs="Times New Roman"/>
      <w:sz w:val="18"/>
      <w:lang w:val="en-US" w:eastAsia="zh-CN" w:bidi="ar-SA"/>
    </w:rPr>
  </w:style>
  <w:style w:type="paragraph" w:customStyle="1" w:styleId="25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汉仪中黑简"/>
    <w:basedOn w:val="1"/>
    <w:qFormat/>
    <w:uiPriority w:val="0"/>
    <w:pPr>
      <w:autoSpaceDE w:val="0"/>
      <w:autoSpaceDN w:val="0"/>
      <w:adjustRightInd w:val="0"/>
    </w:pPr>
    <w:rPr>
      <w:rFonts w:ascii="汉仪中黑简" w:eastAsia="汉仪中黑简"/>
      <w:kern w:val="0"/>
      <w:sz w:val="20"/>
      <w:szCs w:val="20"/>
    </w:rPr>
  </w:style>
  <w:style w:type="paragraph" w:customStyle="1" w:styleId="258">
    <w:name w:val="Content1"/>
    <w:basedOn w:val="1"/>
    <w:qFormat/>
    <w:uiPriority w:val="0"/>
    <w:pPr>
      <w:ind w:left="284"/>
    </w:pPr>
  </w:style>
  <w:style w:type="paragraph" w:customStyle="1" w:styleId="259">
    <w:name w:val=".."/>
    <w:basedOn w:val="1"/>
    <w:next w:val="1"/>
    <w:qFormat/>
    <w:uiPriority w:val="0"/>
    <w:pPr>
      <w:autoSpaceDE w:val="0"/>
      <w:autoSpaceDN w:val="0"/>
      <w:adjustRightInd w:val="0"/>
      <w:jc w:val="left"/>
    </w:pPr>
    <w:rPr>
      <w:rFonts w:ascii="Sim Sun" w:eastAsia="Sim Sun"/>
      <w:kern w:val="0"/>
      <w:sz w:val="24"/>
    </w:rPr>
  </w:style>
  <w:style w:type="paragraph" w:customStyle="1" w:styleId="260">
    <w:name w:val="空两格正文"/>
    <w:link w:val="261"/>
    <w:qFormat/>
    <w:uiPriority w:val="0"/>
    <w:pPr>
      <w:ind w:firstLine="200" w:firstLineChars="200"/>
    </w:pPr>
    <w:rPr>
      <w:rFonts w:ascii="Times New Roman" w:hAnsi="Times New Roman" w:eastAsia="仿宋" w:cs="Times New Roman"/>
      <w:sz w:val="28"/>
      <w:szCs w:val="24"/>
      <w:lang w:val="en-US" w:eastAsia="zh-CN" w:bidi="ar-SA"/>
    </w:rPr>
  </w:style>
  <w:style w:type="character" w:customStyle="1" w:styleId="261">
    <w:name w:val="空两格正文 Char"/>
    <w:link w:val="260"/>
    <w:qFormat/>
    <w:locked/>
    <w:uiPriority w:val="0"/>
    <w:rPr>
      <w:rFonts w:eastAsia="仿宋"/>
      <w:sz w:val="28"/>
      <w:szCs w:val="24"/>
      <w:lang w:val="en-US" w:eastAsia="zh-CN" w:bidi="ar-SA"/>
    </w:rPr>
  </w:style>
  <w:style w:type="paragraph" w:customStyle="1" w:styleId="262">
    <w:name w:val="样式 标题 2Heading 2 HiddenHeading 2 CCBSH22h2Level 2 Head + 黑色"/>
    <w:basedOn w:val="4"/>
    <w:qFormat/>
    <w:uiPriority w:val="0"/>
    <w:rPr>
      <w:color w:val="000000"/>
    </w:rPr>
  </w:style>
  <w:style w:type="paragraph" w:customStyle="1" w:styleId="263">
    <w:name w:val="List Paragraph1"/>
    <w:basedOn w:val="1"/>
    <w:qFormat/>
    <w:uiPriority w:val="0"/>
    <w:pPr>
      <w:ind w:firstLine="420" w:firstLineChars="200"/>
    </w:pPr>
    <w:rPr>
      <w:rFonts w:ascii="Calibri" w:hAnsi="Calibri"/>
    </w:rPr>
  </w:style>
  <w:style w:type="character" w:customStyle="1" w:styleId="264">
    <w:name w:val="章标题 Char"/>
    <w:link w:val="265"/>
    <w:qFormat/>
    <w:locked/>
    <w:uiPriority w:val="0"/>
    <w:rPr>
      <w:rFonts w:ascii="黑体" w:eastAsia="黑体"/>
      <w:kern w:val="2"/>
      <w:sz w:val="22"/>
      <w:szCs w:val="22"/>
      <w:lang w:val="en-US" w:eastAsia="zh-CN" w:bidi="ar-SA"/>
    </w:rPr>
  </w:style>
  <w:style w:type="paragraph" w:customStyle="1" w:styleId="265">
    <w:name w:val="章标题"/>
    <w:next w:val="1"/>
    <w:link w:val="264"/>
    <w:qFormat/>
    <w:uiPriority w:val="0"/>
    <w:pPr>
      <w:numPr>
        <w:ilvl w:val="1"/>
        <w:numId w:val="1"/>
      </w:numPr>
      <w:spacing w:before="50" w:after="50" w:line="360" w:lineRule="auto"/>
      <w:jc w:val="both"/>
      <w:outlineLvl w:val="1"/>
    </w:pPr>
    <w:rPr>
      <w:rFonts w:ascii="黑体" w:hAnsi="Times New Roman" w:eastAsia="黑体" w:cs="Times New Roman"/>
      <w:kern w:val="2"/>
      <w:sz w:val="22"/>
      <w:szCs w:val="22"/>
      <w:lang w:val="en-US" w:eastAsia="zh-CN" w:bidi="ar-SA"/>
    </w:rPr>
  </w:style>
  <w:style w:type="paragraph" w:customStyle="1" w:styleId="266">
    <w:name w:val="论文正文"/>
    <w:basedOn w:val="1"/>
    <w:qFormat/>
    <w:uiPriority w:val="0"/>
    <w:pPr>
      <w:spacing w:line="360" w:lineRule="auto"/>
      <w:ind w:firstLine="200" w:firstLineChars="200"/>
    </w:pPr>
    <w:rPr>
      <w:sz w:val="24"/>
    </w:rPr>
  </w:style>
  <w:style w:type="paragraph" w:customStyle="1" w:styleId="267">
    <w:name w:val="表内文字"/>
    <w:basedOn w:val="1"/>
    <w:qFormat/>
    <w:uiPriority w:val="0"/>
    <w:pPr>
      <w:tabs>
        <w:tab w:val="left" w:pos="1418"/>
      </w:tabs>
      <w:spacing w:line="360" w:lineRule="auto"/>
      <w:jc w:val="center"/>
    </w:pPr>
    <w:rPr>
      <w:rFonts w:ascii="仿宋_GB2312" w:eastAsia="仿宋_GB2312"/>
      <w:spacing w:val="-20"/>
      <w:kern w:val="0"/>
      <w:sz w:val="24"/>
    </w:rPr>
  </w:style>
  <w:style w:type="character" w:customStyle="1" w:styleId="268">
    <w:name w:val="标题 Char2"/>
    <w:link w:val="43"/>
    <w:qFormat/>
    <w:locked/>
    <w:uiPriority w:val="0"/>
    <w:rPr>
      <w:rFonts w:ascii="Cambria" w:hAnsi="Cambria" w:eastAsia="宋体"/>
      <w:b/>
      <w:kern w:val="2"/>
      <w:sz w:val="32"/>
      <w:szCs w:val="24"/>
      <w:lang w:val="zh-CN" w:eastAsia="zh-CN" w:bidi="ar-SA"/>
    </w:rPr>
  </w:style>
  <w:style w:type="character" w:customStyle="1" w:styleId="269">
    <w:name w:val="font21"/>
    <w:qFormat/>
    <w:uiPriority w:val="0"/>
    <w:rPr>
      <w:rFonts w:hint="eastAsia" w:ascii="宋体" w:hAnsi="宋体" w:eastAsia="宋体" w:cs="宋体"/>
      <w:color w:val="333333"/>
      <w:sz w:val="18"/>
      <w:szCs w:val="18"/>
      <w:u w:val="none"/>
      <w:vertAlign w:val="superscript"/>
    </w:rPr>
  </w:style>
  <w:style w:type="character" w:customStyle="1" w:styleId="270">
    <w:name w:val="apple-converted-space"/>
    <w:qFormat/>
    <w:uiPriority w:val="0"/>
    <w:rPr>
      <w:rFonts w:ascii="Tahoma" w:hAnsi="Tahoma" w:cs="仿宋_GB2312"/>
      <w:sz w:val="24"/>
      <w:szCs w:val="28"/>
    </w:rPr>
  </w:style>
  <w:style w:type="character" w:customStyle="1" w:styleId="271">
    <w:name w:val="Char Char151"/>
    <w:qFormat/>
    <w:uiPriority w:val="0"/>
    <w:rPr>
      <w:b/>
      <w:bCs/>
      <w:sz w:val="24"/>
      <w:szCs w:val="24"/>
    </w:rPr>
  </w:style>
  <w:style w:type="character" w:customStyle="1" w:styleId="272">
    <w:name w:val="Char Char141"/>
    <w:qFormat/>
    <w:uiPriority w:val="0"/>
    <w:rPr>
      <w:rFonts w:ascii="Arial" w:hAnsi="Arial" w:eastAsia="黑体"/>
      <w:b/>
      <w:bCs/>
      <w:sz w:val="28"/>
      <w:szCs w:val="28"/>
      <w:lang w:val="en-US" w:eastAsia="zh-CN" w:bidi="ar-SA"/>
    </w:rPr>
  </w:style>
  <w:style w:type="character" w:customStyle="1" w:styleId="273">
    <w:name w:val="Char Char61"/>
    <w:qFormat/>
    <w:uiPriority w:val="0"/>
    <w:rPr>
      <w:rFonts w:ascii="Arial" w:hAnsi="Arial" w:eastAsia="黑体"/>
      <w:sz w:val="24"/>
      <w:szCs w:val="24"/>
      <w:lang w:val="en-US" w:eastAsia="zh-CN" w:bidi="ar-SA"/>
    </w:rPr>
  </w:style>
  <w:style w:type="character" w:customStyle="1" w:styleId="274">
    <w:name w:val="font11"/>
    <w:qFormat/>
    <w:uiPriority w:val="0"/>
    <w:rPr>
      <w:rFonts w:hint="default" w:ascii="Times New Roman" w:hAnsi="Times New Roman" w:cs="Times New Roman"/>
      <w:b/>
      <w:color w:val="000000"/>
      <w:sz w:val="21"/>
      <w:szCs w:val="21"/>
      <w:u w:val="none"/>
    </w:rPr>
  </w:style>
  <w:style w:type="character" w:customStyle="1" w:styleId="275">
    <w:name w:val="apple-style-span"/>
    <w:qFormat/>
    <w:uiPriority w:val="0"/>
    <w:rPr>
      <w:rFonts w:ascii="Tahoma" w:hAnsi="Tahoma" w:cs="仿宋_GB2312"/>
      <w:sz w:val="24"/>
      <w:szCs w:val="28"/>
    </w:rPr>
  </w:style>
  <w:style w:type="character" w:customStyle="1" w:styleId="276">
    <w:name w:val="font61"/>
    <w:qFormat/>
    <w:uiPriority w:val="0"/>
    <w:rPr>
      <w:rFonts w:hint="eastAsia" w:ascii="宋体" w:hAnsi="宋体" w:eastAsia="宋体" w:cs="宋体"/>
      <w:color w:val="333333"/>
      <w:sz w:val="18"/>
      <w:szCs w:val="18"/>
      <w:u w:val="none"/>
    </w:rPr>
  </w:style>
  <w:style w:type="character" w:customStyle="1" w:styleId="277">
    <w:name w:val="Char Char161"/>
    <w:qFormat/>
    <w:uiPriority w:val="0"/>
    <w:rPr>
      <w:rFonts w:ascii="宋体" w:hAnsi="Times New Roman" w:eastAsia="宋体"/>
      <w:b/>
      <w:sz w:val="24"/>
      <w:lang w:val="en-US" w:eastAsia="zh-CN" w:bidi="ar-SA"/>
    </w:rPr>
  </w:style>
  <w:style w:type="character" w:customStyle="1" w:styleId="278">
    <w:name w:val="正文文本缩进 Char1"/>
    <w:semiHidden/>
    <w:qFormat/>
    <w:uiPriority w:val="99"/>
    <w:rPr>
      <w:rFonts w:ascii="Times New Roman" w:hAnsi="Times New Roman" w:eastAsia="宋体" w:cs="Times New Roman"/>
      <w:szCs w:val="24"/>
    </w:rPr>
  </w:style>
  <w:style w:type="character" w:customStyle="1" w:styleId="279">
    <w:name w:val="Char Char171"/>
    <w:qFormat/>
    <w:uiPriority w:val="0"/>
    <w:rPr>
      <w:rFonts w:ascii="宋体" w:hAnsi="Times New Roman" w:eastAsia="宋体"/>
      <w:b/>
      <w:sz w:val="28"/>
      <w:lang w:val="en-US" w:eastAsia="zh-CN" w:bidi="ar-SA"/>
    </w:rPr>
  </w:style>
  <w:style w:type="character" w:customStyle="1" w:styleId="280">
    <w:name w:val="param-name"/>
    <w:qFormat/>
    <w:uiPriority w:val="0"/>
  </w:style>
  <w:style w:type="character" w:customStyle="1" w:styleId="281">
    <w:name w:val="zzi1"/>
    <w:qFormat/>
    <w:uiPriority w:val="0"/>
    <w:rPr>
      <w:rFonts w:ascii="Tahoma" w:hAnsi="Tahoma" w:cs="仿宋_GB2312"/>
      <w:sz w:val="22"/>
      <w:szCs w:val="22"/>
    </w:rPr>
  </w:style>
  <w:style w:type="character" w:customStyle="1" w:styleId="282">
    <w:name w:val="Char Char19"/>
    <w:qFormat/>
    <w:uiPriority w:val="0"/>
    <w:rPr>
      <w:rFonts w:ascii="Arial" w:hAnsi="Arial" w:eastAsia="宋体"/>
      <w:b/>
      <w:bCs/>
      <w:kern w:val="2"/>
      <w:sz w:val="24"/>
      <w:szCs w:val="32"/>
      <w:lang w:val="en-US" w:eastAsia="zh-CN" w:bidi="ar-SA"/>
    </w:rPr>
  </w:style>
  <w:style w:type="character" w:customStyle="1" w:styleId="283">
    <w:name w:val="我的正文[858D7CFB-ED40-4347-BF05-701D383B685F]"/>
    <w:link w:val="284"/>
    <w:qFormat/>
    <w:uiPriority w:val="0"/>
    <w:rPr>
      <w:rFonts w:ascii="Arial" w:hAnsi="Arial"/>
      <w:sz w:val="24"/>
      <w:szCs w:val="24"/>
    </w:rPr>
  </w:style>
  <w:style w:type="paragraph" w:customStyle="1" w:styleId="284">
    <w:name w:val="我的正文"/>
    <w:basedOn w:val="1"/>
    <w:link w:val="283"/>
    <w:qFormat/>
    <w:uiPriority w:val="0"/>
    <w:pPr>
      <w:spacing w:line="480" w:lineRule="exact"/>
      <w:ind w:firstLine="200" w:firstLineChars="200"/>
    </w:pPr>
    <w:rPr>
      <w:rFonts w:ascii="Arial" w:hAnsi="Arial"/>
      <w:kern w:val="0"/>
      <w:sz w:val="24"/>
      <w:lang w:val="zh-CN" w:eastAsia="zh-CN"/>
    </w:rPr>
  </w:style>
  <w:style w:type="character" w:customStyle="1" w:styleId="285">
    <w:name w:val="正文文本 2 Char"/>
    <w:link w:val="39"/>
    <w:qFormat/>
    <w:uiPriority w:val="0"/>
    <w:rPr>
      <w:kern w:val="2"/>
      <w:sz w:val="21"/>
      <w:szCs w:val="24"/>
    </w:rPr>
  </w:style>
  <w:style w:type="character" w:customStyle="1" w:styleId="286">
    <w:name w:val="文档结构图 Char"/>
    <w:link w:val="14"/>
    <w:semiHidden/>
    <w:qFormat/>
    <w:uiPriority w:val="0"/>
    <w:rPr>
      <w:kern w:val="2"/>
      <w:sz w:val="21"/>
      <w:szCs w:val="24"/>
      <w:shd w:val="clear" w:color="auto" w:fill="000080"/>
    </w:rPr>
  </w:style>
  <w:style w:type="paragraph" w:customStyle="1" w:styleId="287">
    <w:name w:val="Char1 Char Char Char1"/>
    <w:basedOn w:val="1"/>
    <w:qFormat/>
    <w:uiPriority w:val="0"/>
    <w:pPr>
      <w:widowControl/>
      <w:spacing w:after="160" w:line="240" w:lineRule="exact"/>
      <w:jc w:val="left"/>
    </w:pPr>
    <w:rPr>
      <w:kern w:val="0"/>
      <w:sz w:val="24"/>
      <w:szCs w:val="20"/>
    </w:rPr>
  </w:style>
  <w:style w:type="character" w:customStyle="1" w:styleId="288">
    <w:name w:val="称呼 Char"/>
    <w:link w:val="16"/>
    <w:qFormat/>
    <w:uiPriority w:val="0"/>
    <w:rPr>
      <w:rFonts w:ascii="仿宋_GB2312" w:eastAsia="仿宋_GB2312"/>
      <w:kern w:val="2"/>
      <w:sz w:val="24"/>
      <w:szCs w:val="24"/>
    </w:rPr>
  </w:style>
  <w:style w:type="character" w:customStyle="1" w:styleId="289">
    <w:name w:val="正文文本 3 Char"/>
    <w:link w:val="17"/>
    <w:qFormat/>
    <w:uiPriority w:val="0"/>
    <w:rPr>
      <w:rFonts w:ascii="宋体"/>
      <w:color w:val="000000"/>
      <w:sz w:val="24"/>
    </w:rPr>
  </w:style>
  <w:style w:type="paragraph" w:customStyle="1" w:styleId="290">
    <w:name w:val="Char Char Char1"/>
    <w:basedOn w:val="1"/>
    <w:qFormat/>
    <w:uiPriority w:val="0"/>
    <w:rPr>
      <w:rFonts w:ascii="宋体" w:hAnsi="宋体"/>
      <w:b/>
      <w:sz w:val="28"/>
      <w:szCs w:val="28"/>
    </w:rPr>
  </w:style>
  <w:style w:type="character" w:customStyle="1" w:styleId="291">
    <w:name w:val="正文文本 Char1"/>
    <w:link w:val="18"/>
    <w:qFormat/>
    <w:uiPriority w:val="0"/>
    <w:rPr>
      <w:kern w:val="2"/>
      <w:sz w:val="21"/>
      <w:szCs w:val="24"/>
    </w:rPr>
  </w:style>
  <w:style w:type="character" w:customStyle="1" w:styleId="292">
    <w:name w:val="正文文本缩进 2 Char"/>
    <w:link w:val="26"/>
    <w:qFormat/>
    <w:uiPriority w:val="0"/>
    <w:rPr>
      <w:kern w:val="2"/>
      <w:sz w:val="21"/>
      <w:szCs w:val="24"/>
    </w:rPr>
  </w:style>
  <w:style w:type="character" w:customStyle="1" w:styleId="293">
    <w:name w:val="HTML 预设格式 Char"/>
    <w:link w:val="40"/>
    <w:qFormat/>
    <w:uiPriority w:val="0"/>
    <w:rPr>
      <w:rFonts w:ascii="Arial" w:hAnsi="Arial" w:cs="Arial"/>
      <w:sz w:val="24"/>
      <w:szCs w:val="24"/>
    </w:rPr>
  </w:style>
  <w:style w:type="paragraph" w:customStyle="1" w:styleId="294">
    <w:name w:val="Char Char Char1 Char1"/>
    <w:basedOn w:val="1"/>
    <w:qFormat/>
    <w:uiPriority w:val="0"/>
    <w:pPr>
      <w:tabs>
        <w:tab w:val="left" w:pos="360"/>
      </w:tabs>
      <w:snapToGrid w:val="0"/>
      <w:spacing w:line="360" w:lineRule="auto"/>
    </w:pPr>
    <w:rPr>
      <w:rFonts w:eastAsia="仿宋_GB2312" w:cs="宋体"/>
      <w:sz w:val="24"/>
    </w:rPr>
  </w:style>
  <w:style w:type="paragraph" w:customStyle="1" w:styleId="29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96">
    <w:name w:val="列出段落111"/>
    <w:basedOn w:val="1"/>
    <w:qFormat/>
    <w:uiPriority w:val="34"/>
    <w:pPr>
      <w:ind w:firstLine="420" w:firstLineChars="200"/>
    </w:pPr>
    <w:rPr>
      <w:rFonts w:ascii="Calibri" w:hAnsi="Calibri" w:cs="Calibri"/>
      <w:szCs w:val="21"/>
    </w:rPr>
  </w:style>
  <w:style w:type="paragraph" w:customStyle="1" w:styleId="297">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98">
    <w:name w:val="Char1 Char Char Char Char Char Char Char Char Char1"/>
    <w:basedOn w:val="1"/>
    <w:qFormat/>
    <w:uiPriority w:val="0"/>
    <w:rPr>
      <w:szCs w:val="20"/>
    </w:rPr>
  </w:style>
  <w:style w:type="paragraph" w:customStyle="1" w:styleId="299">
    <w:name w:val="Char2"/>
    <w:basedOn w:val="1"/>
    <w:qFormat/>
    <w:uiPriority w:val="0"/>
    <w:pPr>
      <w:tabs>
        <w:tab w:val="left" w:pos="360"/>
      </w:tabs>
      <w:ind w:left="360" w:hanging="360" w:hangingChars="200"/>
    </w:pPr>
    <w:rPr>
      <w:sz w:val="24"/>
    </w:rPr>
  </w:style>
  <w:style w:type="paragraph" w:customStyle="1" w:styleId="300">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Char Char Char Char Char Char Char1"/>
    <w:basedOn w:val="1"/>
    <w:qFormat/>
    <w:uiPriority w:val="0"/>
    <w:pPr>
      <w:snapToGrid w:val="0"/>
      <w:spacing w:line="360" w:lineRule="auto"/>
      <w:ind w:firstLine="200" w:firstLineChars="200"/>
    </w:pPr>
    <w:rPr>
      <w:rFonts w:eastAsia="仿宋_GB2312"/>
      <w:sz w:val="24"/>
    </w:rPr>
  </w:style>
  <w:style w:type="paragraph" w:styleId="302">
    <w:name w:val="No Spacing"/>
    <w:link w:val="30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3">
    <w:name w:val="无间隔 Char"/>
    <w:link w:val="302"/>
    <w:qFormat/>
    <w:locked/>
    <w:uiPriority w:val="0"/>
    <w:rPr>
      <w:rFonts w:ascii="Calibri" w:hAnsi="Calibri"/>
      <w:kern w:val="2"/>
      <w:sz w:val="21"/>
      <w:szCs w:val="22"/>
      <w:lang w:bidi="ar-SA"/>
    </w:rPr>
  </w:style>
  <w:style w:type="paragraph" w:customStyle="1" w:styleId="304">
    <w:name w:val="默认段落字体 Para Char Char Char Char Char Char Char Char Char1 Char Char Char Char"/>
    <w:basedOn w:val="1"/>
    <w:qFormat/>
    <w:uiPriority w:val="0"/>
    <w:rPr>
      <w:rFonts w:ascii="Tahoma" w:hAnsi="Tahoma"/>
      <w:sz w:val="24"/>
      <w:szCs w:val="20"/>
    </w:rPr>
  </w:style>
  <w:style w:type="paragraph" w:customStyle="1" w:styleId="30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正文新 Char"/>
    <w:link w:val="308"/>
    <w:qFormat/>
    <w:uiPriority w:val="0"/>
    <w:rPr>
      <w:sz w:val="18"/>
      <w:szCs w:val="21"/>
    </w:rPr>
  </w:style>
  <w:style w:type="paragraph" w:customStyle="1" w:styleId="308">
    <w:name w:val="正文新"/>
    <w:basedOn w:val="1"/>
    <w:link w:val="307"/>
    <w:qFormat/>
    <w:uiPriority w:val="0"/>
    <w:pPr>
      <w:spacing w:line="336" w:lineRule="auto"/>
      <w:ind w:firstLine="200" w:firstLineChars="200"/>
    </w:pPr>
    <w:rPr>
      <w:kern w:val="0"/>
      <w:sz w:val="18"/>
      <w:szCs w:val="21"/>
      <w:lang w:val="zh-CN" w:eastAsia="zh-CN"/>
    </w:rPr>
  </w:style>
  <w:style w:type="character" w:customStyle="1" w:styleId="309">
    <w:name w:val="style81"/>
    <w:qFormat/>
    <w:uiPriority w:val="0"/>
    <w:rPr>
      <w:sz w:val="21"/>
      <w:szCs w:val="21"/>
    </w:rPr>
  </w:style>
  <w:style w:type="character" w:customStyle="1" w:styleId="310">
    <w:name w:val="ca-11"/>
    <w:qFormat/>
    <w:uiPriority w:val="0"/>
    <w:rPr>
      <w:rFonts w:hint="eastAsia" w:ascii="宋体" w:hAnsi="宋体" w:eastAsia="宋体"/>
      <w:sz w:val="24"/>
      <w:szCs w:val="24"/>
    </w:rPr>
  </w:style>
  <w:style w:type="character" w:customStyle="1" w:styleId="311">
    <w:name w:val="ca-21"/>
    <w:qFormat/>
    <w:uiPriority w:val="0"/>
    <w:rPr>
      <w:rFonts w:hint="eastAsia" w:ascii="宋体-18030" w:hAnsi="宋体-18030" w:eastAsia="宋体-18030" w:cs="宋体-18030"/>
      <w:sz w:val="24"/>
      <w:szCs w:val="24"/>
    </w:rPr>
  </w:style>
  <w:style w:type="paragraph" w:customStyle="1" w:styleId="312">
    <w:name w:val="列出段落1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313">
    <w:name w:val="表格"/>
    <w:basedOn w:val="1"/>
    <w:qFormat/>
    <w:uiPriority w:val="0"/>
    <w:pPr>
      <w:spacing w:line="400" w:lineRule="exact"/>
    </w:pPr>
    <w:rPr>
      <w:color w:val="000000"/>
      <w:sz w:val="24"/>
    </w:rPr>
  </w:style>
  <w:style w:type="paragraph" w:customStyle="1" w:styleId="314">
    <w:name w:val="列出段落2"/>
    <w:basedOn w:val="1"/>
    <w:qFormat/>
    <w:uiPriority w:val="34"/>
    <w:pPr>
      <w:ind w:firstLine="420" w:firstLineChars="200"/>
    </w:pPr>
    <w:rPr>
      <w:rFonts w:ascii="Calibri" w:hAnsi="Calibri"/>
    </w:rPr>
  </w:style>
  <w:style w:type="paragraph" w:customStyle="1" w:styleId="315">
    <w:name w:val="_Style 1"/>
    <w:qFormat/>
    <w:uiPriority w:val="0"/>
    <w:pPr>
      <w:widowControl w:val="0"/>
    </w:pPr>
    <w:rPr>
      <w:rFonts w:ascii="Calibri" w:hAnsi="Calibri" w:eastAsia="宋体" w:cs="Times New Roman"/>
      <w:sz w:val="22"/>
      <w:szCs w:val="22"/>
      <w:lang w:val="en-US" w:eastAsia="en-US" w:bidi="ar-SA"/>
    </w:rPr>
  </w:style>
  <w:style w:type="paragraph" w:customStyle="1" w:styleId="316">
    <w:name w:val="正文_0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7">
    <w:name w:val="副标题 Char1"/>
    <w:link w:val="32"/>
    <w:qFormat/>
    <w:uiPriority w:val="0"/>
    <w:rPr>
      <w:rFonts w:ascii="Calibri" w:hAnsi="Calibri"/>
      <w:b/>
      <w:bCs/>
      <w:kern w:val="28"/>
      <w:sz w:val="32"/>
      <w:szCs w:val="32"/>
    </w:rPr>
  </w:style>
  <w:style w:type="character" w:customStyle="1" w:styleId="318">
    <w:name w:val="批注框文本 Char1"/>
    <w:semiHidden/>
    <w:qFormat/>
    <w:uiPriority w:val="99"/>
    <w:rPr>
      <w:kern w:val="2"/>
      <w:sz w:val="18"/>
      <w:szCs w:val="18"/>
    </w:rPr>
  </w:style>
  <w:style w:type="character" w:customStyle="1" w:styleId="319">
    <w:name w:val="正文文本 Char"/>
    <w:qFormat/>
    <w:uiPriority w:val="0"/>
    <w:rPr>
      <w:rFonts w:ascii="宋体" w:hAnsi="宋体"/>
      <w:kern w:val="2"/>
      <w:sz w:val="24"/>
      <w:szCs w:val="24"/>
    </w:rPr>
  </w:style>
  <w:style w:type="character" w:customStyle="1" w:styleId="320">
    <w:name w:val="正文缩进 Char1"/>
    <w:link w:val="321"/>
    <w:qFormat/>
    <w:uiPriority w:val="0"/>
    <w:rPr>
      <w:rFonts w:ascii="宋体"/>
      <w:sz w:val="24"/>
    </w:rPr>
  </w:style>
  <w:style w:type="paragraph" w:customStyle="1" w:styleId="321">
    <w:name w:val="正文缩进1"/>
    <w:basedOn w:val="1"/>
    <w:link w:val="320"/>
    <w:qFormat/>
    <w:uiPriority w:val="0"/>
    <w:pPr>
      <w:autoSpaceDE w:val="0"/>
      <w:autoSpaceDN w:val="0"/>
      <w:adjustRightInd w:val="0"/>
      <w:ind w:firstLine="420"/>
      <w:jc w:val="left"/>
    </w:pPr>
    <w:rPr>
      <w:rFonts w:ascii="宋体"/>
      <w:kern w:val="0"/>
      <w:sz w:val="24"/>
      <w:szCs w:val="20"/>
      <w:lang w:val="zh-CN" w:eastAsia="zh-CN"/>
    </w:rPr>
  </w:style>
  <w:style w:type="character" w:customStyle="1" w:styleId="322">
    <w:name w:val="批注主题 Char1"/>
    <w:semiHidden/>
    <w:qFormat/>
    <w:uiPriority w:val="99"/>
    <w:rPr>
      <w:b/>
      <w:bCs/>
      <w:kern w:val="2"/>
      <w:sz w:val="21"/>
      <w:szCs w:val="24"/>
    </w:rPr>
  </w:style>
  <w:style w:type="character" w:customStyle="1" w:styleId="323">
    <w:name w:val="批注文字 Char1"/>
    <w:semiHidden/>
    <w:qFormat/>
    <w:uiPriority w:val="99"/>
    <w:rPr>
      <w:kern w:val="2"/>
      <w:sz w:val="21"/>
      <w:szCs w:val="24"/>
    </w:rPr>
  </w:style>
  <w:style w:type="character" w:customStyle="1" w:styleId="324">
    <w:name w:val="页眉 Char1"/>
    <w:semiHidden/>
    <w:qFormat/>
    <w:uiPriority w:val="99"/>
    <w:rPr>
      <w:kern w:val="2"/>
      <w:sz w:val="18"/>
      <w:szCs w:val="18"/>
    </w:rPr>
  </w:style>
  <w:style w:type="paragraph" w:customStyle="1" w:styleId="325">
    <w:name w:val="纯文本1"/>
    <w:basedOn w:val="1"/>
    <w:qFormat/>
    <w:uiPriority w:val="0"/>
    <w:rPr>
      <w:rFonts w:ascii="宋体" w:hAnsi="Courier New"/>
      <w:kern w:val="0"/>
      <w:sz w:val="20"/>
      <w:szCs w:val="20"/>
      <w:lang w:val="zh-CN" w:eastAsia="zh-CN"/>
    </w:rPr>
  </w:style>
  <w:style w:type="paragraph" w:customStyle="1" w:styleId="326">
    <w:name w:val="索引 11"/>
    <w:basedOn w:val="1"/>
    <w:next w:val="1"/>
    <w:qFormat/>
    <w:uiPriority w:val="0"/>
    <w:pPr>
      <w:spacing w:line="360" w:lineRule="auto"/>
    </w:pPr>
    <w:rPr>
      <w:rFonts w:ascii="仿宋_GB2312" w:eastAsia="仿宋_GB2312"/>
      <w:sz w:val="24"/>
      <w:szCs w:val="20"/>
    </w:rPr>
  </w:style>
  <w:style w:type="character" w:customStyle="1" w:styleId="327">
    <w:name w:val="列出段落 Char"/>
    <w:link w:val="75"/>
    <w:qFormat/>
    <w:uiPriority w:val="0"/>
    <w:rPr>
      <w:rFonts w:ascii="Calibri" w:hAnsi="Calibri"/>
      <w:kern w:val="2"/>
      <w:sz w:val="21"/>
      <w:szCs w:val="22"/>
    </w:rPr>
  </w:style>
  <w:style w:type="paragraph" w:customStyle="1" w:styleId="328">
    <w:name w:val="正文文本_0"/>
    <w:basedOn w:val="1"/>
    <w:link w:val="329"/>
    <w:qFormat/>
    <w:uiPriority w:val="0"/>
    <w:pPr>
      <w:spacing w:after="120"/>
    </w:pPr>
    <w:rPr>
      <w:kern w:val="0"/>
      <w:sz w:val="20"/>
      <w:lang w:val="zh-CN" w:eastAsia="zh-CN"/>
    </w:rPr>
  </w:style>
  <w:style w:type="character" w:customStyle="1" w:styleId="329">
    <w:name w:val="正文文本 Char1_0"/>
    <w:link w:val="328"/>
    <w:qFormat/>
    <w:locked/>
    <w:uiPriority w:val="0"/>
    <w:rPr>
      <w:szCs w:val="24"/>
      <w:lang w:val="zh-CN" w:eastAsia="zh-CN"/>
    </w:rPr>
  </w:style>
  <w:style w:type="character" w:customStyle="1" w:styleId="330">
    <w:name w:val="NormalCharacter"/>
    <w:qFormat/>
    <w:uiPriority w:val="0"/>
  </w:style>
  <w:style w:type="character" w:customStyle="1" w:styleId="331">
    <w:name w:val="medium_text1"/>
    <w:qFormat/>
    <w:uiPriority w:val="0"/>
    <w:rPr>
      <w:sz w:val="24"/>
    </w:rPr>
  </w:style>
  <w:style w:type="paragraph" w:customStyle="1" w:styleId="332">
    <w:name w:val="段"/>
    <w:link w:val="342"/>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3">
    <w:name w:val="179"/>
    <w:basedOn w:val="1"/>
    <w:qFormat/>
    <w:uiPriority w:val="0"/>
    <w:pPr>
      <w:widowControl/>
      <w:snapToGrid w:val="0"/>
      <w:ind w:firstLine="420" w:firstLineChars="200"/>
      <w:textAlignment w:val="baseline"/>
    </w:pPr>
    <w:rPr>
      <w:rFonts w:ascii="Calibri" w:hAnsi="Calibri"/>
      <w:szCs w:val="22"/>
    </w:rPr>
  </w:style>
  <w:style w:type="paragraph" w:customStyle="1" w:styleId="3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Table Paragraph"/>
    <w:basedOn w:val="1"/>
    <w:qFormat/>
    <w:uiPriority w:val="1"/>
    <w:pPr>
      <w:jc w:val="left"/>
    </w:pPr>
    <w:rPr>
      <w:rFonts w:ascii="Calibri" w:hAnsi="Calibri"/>
      <w:kern w:val="0"/>
      <w:sz w:val="22"/>
      <w:szCs w:val="22"/>
      <w:lang w:eastAsia="en-US"/>
    </w:rPr>
  </w:style>
  <w:style w:type="paragraph" w:customStyle="1" w:styleId="337">
    <w:name w:val="标题 41"/>
    <w:basedOn w:val="1"/>
    <w:qFormat/>
    <w:uiPriority w:val="1"/>
    <w:pPr>
      <w:ind w:left="592"/>
      <w:jc w:val="left"/>
      <w:outlineLvl w:val="4"/>
    </w:pPr>
    <w:rPr>
      <w:rFonts w:ascii="宋体" w:hAnsi="宋体"/>
      <w:b/>
      <w:bCs/>
      <w:kern w:val="0"/>
      <w:sz w:val="32"/>
      <w:szCs w:val="32"/>
      <w:lang w:eastAsia="en-US"/>
    </w:rPr>
  </w:style>
  <w:style w:type="paragraph" w:customStyle="1" w:styleId="338">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Table Paragraph_0"/>
    <w:basedOn w:val="338"/>
    <w:qFormat/>
    <w:uiPriority w:val="1"/>
    <w:pPr>
      <w:jc w:val="left"/>
    </w:pPr>
    <w:rPr>
      <w:rFonts w:ascii="Calibri" w:hAnsi="Calibri"/>
      <w:kern w:val="0"/>
      <w:sz w:val="22"/>
      <w:szCs w:val="22"/>
      <w:lang w:eastAsia="en-US"/>
    </w:rPr>
  </w:style>
  <w:style w:type="character" w:customStyle="1" w:styleId="340">
    <w:name w:val="15"/>
    <w:qFormat/>
    <w:uiPriority w:val="0"/>
    <w:rPr>
      <w:rFonts w:hint="default" w:ascii="Calibri" w:hAnsi="Calibri" w:cs="Calibri"/>
    </w:rPr>
  </w:style>
  <w:style w:type="character" w:customStyle="1" w:styleId="341">
    <w:name w:val="副标题 Char"/>
    <w:qFormat/>
    <w:uiPriority w:val="0"/>
    <w:rPr>
      <w:rFonts w:ascii="Calibri" w:hAnsi="Calibri" w:eastAsia="宋体" w:cs="Times New Roman"/>
      <w:b/>
      <w:bCs/>
      <w:kern w:val="28"/>
      <w:sz w:val="32"/>
      <w:szCs w:val="32"/>
    </w:rPr>
  </w:style>
  <w:style w:type="character" w:customStyle="1" w:styleId="342">
    <w:name w:val="段 Char"/>
    <w:link w:val="332"/>
    <w:qFormat/>
    <w:locked/>
    <w:uiPriority w:val="0"/>
    <w:rPr>
      <w:rFonts w:ascii="宋体"/>
      <w:sz w:val="21"/>
      <w:lang w:bidi="ar-SA"/>
    </w:rPr>
  </w:style>
  <w:style w:type="paragraph" w:customStyle="1" w:styleId="343">
    <w:name w:val="一级条标题"/>
    <w:next w:val="332"/>
    <w:qFormat/>
    <w:uiPriority w:val="0"/>
    <w:pPr>
      <w:outlineLvl w:val="2"/>
    </w:pPr>
    <w:rPr>
      <w:rFonts w:ascii="Times New Roman" w:hAnsi="Times New Roman" w:eastAsia="黑体" w:cs="Times New Roman"/>
      <w:sz w:val="21"/>
      <w:lang w:val="en-US" w:eastAsia="zh-CN" w:bidi="ar-SA"/>
    </w:rPr>
  </w:style>
  <w:style w:type="paragraph" w:customStyle="1" w:styleId="344">
    <w:name w:val="图表脚注"/>
    <w:next w:val="332"/>
    <w:qFormat/>
    <w:uiPriority w:val="0"/>
    <w:pPr>
      <w:ind w:left="300" w:leftChars="200" w:hanging="100" w:hangingChars="100"/>
      <w:jc w:val="both"/>
    </w:pPr>
    <w:rPr>
      <w:rFonts w:ascii="宋体" w:hAnsi="Times New Roman" w:eastAsia="宋体" w:cs="Times New Roman"/>
      <w:sz w:val="18"/>
      <w:lang w:val="en-US" w:eastAsia="zh-CN" w:bidi="ar-SA"/>
    </w:rPr>
  </w:style>
  <w:style w:type="table" w:customStyle="1" w:styleId="345">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46">
    <w:name w:val="纯文本 Char2"/>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12260-4D73-43D7-BE7E-3F03ED8A03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24399</Words>
  <Characters>25310</Characters>
  <Lines>257</Lines>
  <Paragraphs>72</Paragraphs>
  <TotalTime>4</TotalTime>
  <ScaleCrop>false</ScaleCrop>
  <LinksUpToDate>false</LinksUpToDate>
  <CharactersWithSpaces>26736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2022-03-01T06:20:00Z</dcterms:created>
  <dc:creator>朱利平 10.104.102.88</dc:creator>
  <cp:lastModifiedBy>Administrator</cp:lastModifiedBy>
  <cp:lastPrinted>2022-03-01T10:13:00Z</cp:lastPrinted>
  <dcterms:modified xsi:type="dcterms:W3CDTF">2022-11-24T04:50:01Z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6B18C118CBBC4898AA9AEFE8AE9A6255</vt:lpwstr>
  </property>
</Properties>
</file>