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right"/>
        <w:rPr>
          <w:rFonts w:ascii="宋体" w:hAnsi="宋体" w:cs="宋体"/>
          <w:sz w:val="30"/>
          <w:szCs w:val="30"/>
        </w:rPr>
      </w:pPr>
    </w:p>
    <w:p>
      <w:pPr>
        <w:jc w:val="right"/>
        <w:rPr>
          <w:rFonts w:hint="eastAsia" w:ascii="宋体" w:hAnsi="宋体" w:eastAsia="宋体" w:cs="宋体"/>
          <w:color w:val="FF0000"/>
          <w:sz w:val="30"/>
          <w:szCs w:val="30"/>
          <w:lang w:eastAsia="zh-CN"/>
        </w:rPr>
      </w:pPr>
      <w:r>
        <w:rPr>
          <w:rFonts w:hint="eastAsia" w:ascii="宋体" w:hAnsi="宋体" w:cs="宋体"/>
          <w:sz w:val="30"/>
          <w:szCs w:val="30"/>
        </w:rPr>
        <w:t>项目编</w:t>
      </w:r>
      <w:r>
        <w:rPr>
          <w:rFonts w:hint="eastAsia" w:ascii="宋体" w:hAnsi="宋体" w:cs="宋体"/>
          <w:color w:val="auto"/>
          <w:sz w:val="30"/>
          <w:szCs w:val="30"/>
        </w:rPr>
        <w:t>号：</w:t>
      </w:r>
      <w:r>
        <w:rPr>
          <w:rFonts w:hint="eastAsia" w:ascii="宋体" w:hAnsi="宋体" w:cs="宋体"/>
          <w:color w:val="auto"/>
          <w:sz w:val="30"/>
          <w:szCs w:val="30"/>
          <w:lang w:eastAsia="zh-CN"/>
        </w:rPr>
        <w:t>FZYL202223</w:t>
      </w:r>
    </w:p>
    <w:p>
      <w:pPr>
        <w:pStyle w:val="23"/>
        <w:ind w:firstLine="480"/>
        <w:rPr>
          <w:rFonts w:cs="宋体"/>
          <w:lang w:val="zh-CN"/>
        </w:rPr>
      </w:pPr>
    </w:p>
    <w:p>
      <w:pPr>
        <w:pStyle w:val="23"/>
        <w:ind w:firstLine="480"/>
        <w:rPr>
          <w:rFonts w:cs="宋体"/>
          <w:lang w:val="zh-CN"/>
        </w:rPr>
      </w:pPr>
    </w:p>
    <w:p>
      <w:pPr>
        <w:pStyle w:val="23"/>
        <w:ind w:firstLine="0" w:firstLineChars="0"/>
        <w:jc w:val="center"/>
        <w:rPr>
          <w:rFonts w:cs="宋体"/>
          <w:b/>
          <w:bCs/>
          <w:sz w:val="36"/>
          <w:szCs w:val="36"/>
          <w:lang w:val="zh-CN"/>
        </w:rPr>
      </w:pPr>
      <w:r>
        <w:rPr>
          <w:rFonts w:hint="eastAsia" w:cs="宋体"/>
          <w:b/>
          <w:bCs/>
          <w:sz w:val="48"/>
          <w:szCs w:val="48"/>
          <w:lang w:val="zh-CN"/>
        </w:rPr>
        <w:t>巩留县妇幼保健计划生育服务中心采购医疗设备项目</w:t>
      </w:r>
    </w:p>
    <w:p>
      <w:pPr>
        <w:pStyle w:val="23"/>
        <w:ind w:firstLine="480"/>
        <w:rPr>
          <w:rFonts w:cs="宋体"/>
          <w:lang w:val="zh-CN"/>
        </w:rPr>
      </w:pPr>
    </w:p>
    <w:p>
      <w:pPr>
        <w:pStyle w:val="23"/>
        <w:ind w:firstLine="480"/>
        <w:rPr>
          <w:rFonts w:cs="宋体"/>
          <w:lang w:val="zh-CN"/>
        </w:rPr>
      </w:pPr>
    </w:p>
    <w:p>
      <w:pPr>
        <w:pStyle w:val="23"/>
        <w:ind w:firstLine="480"/>
        <w:rPr>
          <w:rFonts w:cs="宋体"/>
          <w:lang w:val="zh-CN"/>
        </w:rPr>
      </w:pPr>
    </w:p>
    <w:p>
      <w:pPr>
        <w:pStyle w:val="23"/>
        <w:ind w:firstLine="480"/>
        <w:rPr>
          <w:rFonts w:cs="宋体"/>
          <w:lang w:val="zh-CN"/>
        </w:rPr>
      </w:pPr>
    </w:p>
    <w:p>
      <w:pPr>
        <w:pStyle w:val="23"/>
        <w:ind w:firstLine="480"/>
        <w:rPr>
          <w:rFonts w:cs="宋体"/>
          <w:lang w:val="zh-CN"/>
        </w:rPr>
      </w:pPr>
    </w:p>
    <w:p>
      <w:pPr>
        <w:jc w:val="center"/>
        <w:rPr>
          <w:rFonts w:ascii="宋体" w:hAnsi="宋体" w:cs="宋体"/>
          <w:sz w:val="52"/>
          <w:szCs w:val="52"/>
          <w:lang w:val="zh-CN"/>
        </w:rPr>
      </w:pPr>
      <w:r>
        <w:rPr>
          <w:rFonts w:hint="eastAsia" w:ascii="宋体" w:hAnsi="宋体" w:cs="宋体"/>
          <w:sz w:val="52"/>
          <w:szCs w:val="52"/>
          <w:lang w:val="zh-CN"/>
        </w:rPr>
        <w:t>竞争性磋商文件</w:t>
      </w:r>
    </w:p>
    <w:p>
      <w:pPr>
        <w:autoSpaceDE w:val="0"/>
        <w:autoSpaceDN w:val="0"/>
        <w:adjustRightInd w:val="0"/>
        <w:jc w:val="left"/>
        <w:rPr>
          <w:rFonts w:ascii="宋体" w:hAnsi="宋体" w:cs="宋体"/>
          <w:kern w:val="0"/>
          <w:sz w:val="36"/>
          <w:szCs w:val="36"/>
        </w:rPr>
      </w:pPr>
    </w:p>
    <w:p>
      <w:pPr>
        <w:pStyle w:val="18"/>
        <w:rPr>
          <w:rFonts w:ascii="宋体" w:hAnsi="宋体" w:cs="宋体"/>
          <w:kern w:val="0"/>
          <w:sz w:val="36"/>
          <w:szCs w:val="36"/>
        </w:rPr>
      </w:pPr>
    </w:p>
    <w:p>
      <w:pPr>
        <w:pStyle w:val="18"/>
        <w:rPr>
          <w:rFonts w:ascii="宋体" w:hAnsi="宋体" w:cs="宋体"/>
          <w:kern w:val="0"/>
          <w:sz w:val="36"/>
          <w:szCs w:val="36"/>
        </w:rPr>
      </w:pPr>
    </w:p>
    <w:p>
      <w:pPr>
        <w:pStyle w:val="23"/>
        <w:ind w:firstLine="480"/>
        <w:rPr>
          <w:rFonts w:cs="宋体"/>
        </w:rPr>
      </w:pPr>
    </w:p>
    <w:p>
      <w:pPr>
        <w:autoSpaceDE w:val="0"/>
        <w:autoSpaceDN w:val="0"/>
        <w:adjustRightInd w:val="0"/>
        <w:spacing w:line="360" w:lineRule="auto"/>
        <w:ind w:firstLine="600" w:firstLineChars="200"/>
        <w:rPr>
          <w:rFonts w:ascii="宋体" w:hAnsi="宋体" w:cs="宋体"/>
          <w:color w:val="auto"/>
          <w:kern w:val="0"/>
          <w:sz w:val="30"/>
          <w:szCs w:val="30"/>
          <w:lang w:val="zh-CN"/>
        </w:rPr>
      </w:pPr>
      <w:r>
        <w:rPr>
          <w:rFonts w:hint="eastAsia" w:ascii="宋体" w:hAnsi="宋体" w:cs="宋体"/>
          <w:color w:val="auto"/>
          <w:kern w:val="0"/>
          <w:sz w:val="30"/>
          <w:szCs w:val="30"/>
          <w:lang w:val="zh-CN"/>
        </w:rPr>
        <w:t>采 购 人：巩留县妇幼保健院</w:t>
      </w:r>
    </w:p>
    <w:p>
      <w:pPr>
        <w:autoSpaceDE w:val="0"/>
        <w:autoSpaceDN w:val="0"/>
        <w:adjustRightInd w:val="0"/>
        <w:spacing w:line="360" w:lineRule="auto"/>
        <w:ind w:firstLine="600" w:firstLineChars="200"/>
        <w:rPr>
          <w:rFonts w:ascii="宋体" w:hAnsi="宋体" w:cs="宋体"/>
          <w:color w:val="auto"/>
          <w:kern w:val="0"/>
          <w:sz w:val="30"/>
          <w:szCs w:val="30"/>
          <w:lang w:val="zh-CN"/>
        </w:rPr>
      </w:pPr>
      <w:r>
        <w:rPr>
          <w:rFonts w:hint="eastAsia" w:ascii="宋体" w:hAnsi="宋体" w:cs="宋体"/>
          <w:color w:val="auto"/>
          <w:kern w:val="0"/>
          <w:sz w:val="30"/>
          <w:szCs w:val="30"/>
          <w:lang w:val="zh-CN"/>
        </w:rPr>
        <w:t>联系人：林主任</w:t>
      </w:r>
    </w:p>
    <w:p>
      <w:pPr>
        <w:autoSpaceDE w:val="0"/>
        <w:autoSpaceDN w:val="0"/>
        <w:adjustRightInd w:val="0"/>
        <w:spacing w:line="360" w:lineRule="auto"/>
        <w:ind w:firstLine="600" w:firstLineChars="200"/>
        <w:rPr>
          <w:rFonts w:hint="eastAsia" w:ascii="宋体" w:hAnsi="宋体" w:cs="宋体"/>
          <w:color w:val="auto"/>
          <w:kern w:val="0"/>
          <w:sz w:val="30"/>
          <w:szCs w:val="30"/>
          <w:lang w:val="zh-CN"/>
        </w:rPr>
      </w:pPr>
      <w:r>
        <w:rPr>
          <w:rFonts w:hint="eastAsia" w:ascii="宋体" w:hAnsi="宋体" w:cs="宋体"/>
          <w:color w:val="auto"/>
          <w:kern w:val="0"/>
          <w:sz w:val="30"/>
          <w:szCs w:val="30"/>
          <w:lang w:val="zh-CN"/>
        </w:rPr>
        <w:t>联系方式：13779550071</w:t>
      </w:r>
    </w:p>
    <w:p>
      <w:pPr>
        <w:autoSpaceDE w:val="0"/>
        <w:autoSpaceDN w:val="0"/>
        <w:adjustRightInd w:val="0"/>
        <w:spacing w:line="360" w:lineRule="auto"/>
        <w:ind w:firstLine="600" w:firstLineChars="200"/>
        <w:rPr>
          <w:rFonts w:hint="eastAsia" w:ascii="宋体" w:hAnsi="宋体" w:cs="宋体"/>
          <w:color w:val="FF0000"/>
          <w:kern w:val="0"/>
          <w:sz w:val="30"/>
          <w:szCs w:val="30"/>
          <w:lang w:val="zh-CN"/>
        </w:rPr>
      </w:pPr>
    </w:p>
    <w:p>
      <w:pPr>
        <w:autoSpaceDE w:val="0"/>
        <w:autoSpaceDN w:val="0"/>
        <w:adjustRightInd w:val="0"/>
        <w:spacing w:line="360" w:lineRule="auto"/>
        <w:ind w:firstLine="600" w:firstLineChars="200"/>
        <w:rPr>
          <w:rFonts w:ascii="宋体" w:hAnsi="宋体" w:cs="宋体"/>
          <w:kern w:val="0"/>
          <w:sz w:val="30"/>
          <w:szCs w:val="30"/>
          <w:lang w:val="zh-CN"/>
        </w:rPr>
      </w:pPr>
      <w:r>
        <w:rPr>
          <w:rFonts w:hint="eastAsia" w:ascii="宋体" w:hAnsi="宋体" w:cs="宋体"/>
          <w:kern w:val="0"/>
          <w:sz w:val="30"/>
          <w:szCs w:val="30"/>
          <w:lang w:val="zh-CN"/>
        </w:rPr>
        <w:t>采购代理机构：法正项目管理集团有限公司</w:t>
      </w:r>
    </w:p>
    <w:p>
      <w:pPr>
        <w:autoSpaceDE w:val="0"/>
        <w:autoSpaceDN w:val="0"/>
        <w:adjustRightInd w:val="0"/>
        <w:spacing w:line="360" w:lineRule="auto"/>
        <w:ind w:firstLine="600" w:firstLineChars="200"/>
        <w:rPr>
          <w:rFonts w:ascii="宋体" w:hAnsi="宋体" w:cs="宋体"/>
          <w:kern w:val="0"/>
          <w:sz w:val="30"/>
          <w:szCs w:val="30"/>
          <w:lang w:val="zh-CN"/>
        </w:rPr>
      </w:pPr>
      <w:r>
        <w:rPr>
          <w:rFonts w:hint="eastAsia" w:ascii="宋体" w:hAnsi="宋体" w:cs="宋体"/>
          <w:kern w:val="0"/>
          <w:sz w:val="30"/>
          <w:szCs w:val="30"/>
          <w:lang w:val="zh-CN"/>
        </w:rPr>
        <w:t>联系人：刘婷</w:t>
      </w:r>
    </w:p>
    <w:p>
      <w:pPr>
        <w:autoSpaceDE w:val="0"/>
        <w:autoSpaceDN w:val="0"/>
        <w:adjustRightInd w:val="0"/>
        <w:spacing w:line="360" w:lineRule="auto"/>
        <w:ind w:firstLine="600" w:firstLineChars="200"/>
        <w:rPr>
          <w:rFonts w:ascii="宋体" w:hAnsi="宋体" w:cs="宋体"/>
          <w:kern w:val="0"/>
          <w:sz w:val="30"/>
          <w:szCs w:val="30"/>
        </w:rPr>
      </w:pPr>
      <w:r>
        <w:rPr>
          <w:rFonts w:hint="eastAsia" w:ascii="宋体" w:hAnsi="宋体" w:cs="宋体"/>
          <w:kern w:val="0"/>
          <w:sz w:val="30"/>
          <w:szCs w:val="30"/>
          <w:lang w:val="zh-CN"/>
        </w:rPr>
        <w:t>联系方式：</w:t>
      </w:r>
      <w:r>
        <w:rPr>
          <w:rFonts w:hint="eastAsia" w:ascii="宋体" w:hAnsi="宋体" w:cs="宋体"/>
          <w:kern w:val="0"/>
          <w:sz w:val="30"/>
          <w:szCs w:val="30"/>
        </w:rPr>
        <w:t>15276327404</w:t>
      </w:r>
    </w:p>
    <w:p>
      <w:pPr>
        <w:pStyle w:val="18"/>
        <w:rPr>
          <w:rFonts w:ascii="宋体" w:hAnsi="宋体" w:cs="宋体"/>
          <w:lang w:val="zh-CN"/>
        </w:rPr>
      </w:pPr>
    </w:p>
    <w:p>
      <w:pPr>
        <w:pStyle w:val="18"/>
        <w:rPr>
          <w:rFonts w:ascii="宋体" w:hAnsi="宋体" w:cs="宋体"/>
        </w:rPr>
      </w:pPr>
    </w:p>
    <w:p>
      <w:pPr>
        <w:spacing w:line="400" w:lineRule="atLeast"/>
        <w:jc w:val="center"/>
        <w:rPr>
          <w:rFonts w:ascii="宋体" w:hAnsi="宋体" w:cs="宋体"/>
          <w:kern w:val="0"/>
          <w:sz w:val="30"/>
          <w:szCs w:val="30"/>
          <w:lang w:val="zh-CN"/>
        </w:rPr>
      </w:pPr>
      <w:r>
        <w:rPr>
          <w:rFonts w:hint="eastAsia" w:ascii="宋体" w:hAnsi="宋体" w:cs="宋体"/>
          <w:kern w:val="0"/>
          <w:sz w:val="30"/>
          <w:szCs w:val="30"/>
          <w:lang w:val="zh-CN"/>
        </w:rPr>
        <w:t>日 期：二</w:t>
      </w:r>
      <w:r>
        <w:rPr>
          <w:rFonts w:hint="eastAsia" w:ascii="宋体" w:hAnsi="宋体" w:cs="宋体"/>
          <w:kern w:val="0"/>
          <w:sz w:val="30"/>
          <w:szCs w:val="30"/>
        </w:rPr>
        <w:t>0二</w:t>
      </w:r>
      <w:r>
        <w:rPr>
          <w:rFonts w:hint="eastAsia" w:ascii="宋体" w:hAnsi="宋体" w:cs="宋体"/>
          <w:kern w:val="0"/>
          <w:sz w:val="30"/>
          <w:szCs w:val="30"/>
          <w:lang w:eastAsia="zh-CN"/>
        </w:rPr>
        <w:t>二</w:t>
      </w:r>
      <w:r>
        <w:rPr>
          <w:rFonts w:hint="eastAsia" w:ascii="宋体" w:hAnsi="宋体" w:cs="宋体"/>
          <w:kern w:val="0"/>
          <w:sz w:val="30"/>
          <w:szCs w:val="30"/>
          <w:lang w:val="zh-CN"/>
        </w:rPr>
        <w:t>年七月</w:t>
      </w:r>
    </w:p>
    <w:p>
      <w:pPr>
        <w:spacing w:line="400" w:lineRule="atLeast"/>
        <w:jc w:val="center"/>
        <w:rPr>
          <w:rFonts w:ascii="宋体" w:hAnsi="宋体" w:cs="宋体"/>
          <w:b/>
          <w:sz w:val="36"/>
        </w:rPr>
        <w:sectPr>
          <w:footerReference r:id="rId7" w:type="first"/>
          <w:headerReference r:id="rId3" w:type="default"/>
          <w:footerReference r:id="rId5" w:type="default"/>
          <w:headerReference r:id="rId4" w:type="even"/>
          <w:footerReference r:id="rId6" w:type="even"/>
          <w:pgSz w:w="11907" w:h="16840"/>
          <w:pgMar w:top="1440" w:right="1253" w:bottom="1440" w:left="1253" w:header="850" w:footer="850" w:gutter="0"/>
          <w:pgNumType w:fmt="numberInDash" w:start="1"/>
          <w:cols w:space="720" w:num="1"/>
          <w:titlePg/>
          <w:docGrid w:type="lines" w:linePitch="409" w:charSpace="0"/>
        </w:sectPr>
      </w:pPr>
    </w:p>
    <w:p>
      <w:pPr>
        <w:spacing w:line="400" w:lineRule="atLeast"/>
        <w:jc w:val="center"/>
        <w:rPr>
          <w:rFonts w:ascii="宋体" w:hAnsi="宋体" w:cs="宋体"/>
          <w:b/>
          <w:sz w:val="36"/>
        </w:rPr>
      </w:pPr>
      <w:r>
        <w:rPr>
          <w:rFonts w:hint="eastAsia" w:ascii="宋体" w:hAnsi="宋体" w:cs="宋体"/>
          <w:b/>
          <w:sz w:val="36"/>
        </w:rPr>
        <w:t>目     录</w:t>
      </w:r>
    </w:p>
    <w:p>
      <w:pPr>
        <w:pStyle w:val="15"/>
        <w:tabs>
          <w:tab w:val="right" w:leader="dot" w:pos="8400"/>
          <w:tab w:val="right" w:leader="dot" w:pos="9737"/>
        </w:tabs>
        <w:spacing w:line="480" w:lineRule="auto"/>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TOC \o "1-2" \h \z \u </w:instrText>
      </w:r>
      <w:r>
        <w:rPr>
          <w:rFonts w:hint="eastAsia" w:ascii="宋体" w:hAnsi="宋体" w:cs="宋体"/>
          <w:b/>
          <w:sz w:val="24"/>
          <w:szCs w:val="24"/>
        </w:rPr>
        <w:fldChar w:fldCharType="separate"/>
      </w:r>
      <w:r>
        <w:fldChar w:fldCharType="begin"/>
      </w:r>
      <w:r>
        <w:instrText xml:space="preserve"> HYPERLINK \l "_Toc527642949" </w:instrText>
      </w:r>
      <w:r>
        <w:fldChar w:fldCharType="separate"/>
      </w:r>
      <w:r>
        <w:rPr>
          <w:rStyle w:val="35"/>
          <w:rFonts w:hint="eastAsia" w:ascii="宋体" w:hAnsi="宋体" w:cs="宋体"/>
          <w:color w:val="auto"/>
          <w:sz w:val="24"/>
          <w:szCs w:val="24"/>
        </w:rPr>
        <w:t>第一部分 竞争性磋商公告</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p>
    <w:p>
      <w:pPr>
        <w:pStyle w:val="15"/>
        <w:tabs>
          <w:tab w:val="right" w:leader="dot" w:pos="8400"/>
          <w:tab w:val="right" w:leader="dot" w:pos="9737"/>
        </w:tabs>
        <w:spacing w:line="480" w:lineRule="auto"/>
        <w:rPr>
          <w:rFonts w:ascii="宋体" w:hAnsi="宋体" w:cs="宋体"/>
          <w:sz w:val="24"/>
          <w:szCs w:val="24"/>
        </w:rPr>
      </w:pPr>
      <w:r>
        <w:fldChar w:fldCharType="begin"/>
      </w:r>
      <w:r>
        <w:instrText xml:space="preserve"> HYPERLINK \l "_Toc527642950" </w:instrText>
      </w:r>
      <w:r>
        <w:fldChar w:fldCharType="separate"/>
      </w:r>
      <w:r>
        <w:rPr>
          <w:rStyle w:val="35"/>
          <w:rFonts w:hint="eastAsia" w:ascii="宋体" w:hAnsi="宋体" w:cs="宋体"/>
          <w:color w:val="auto"/>
          <w:sz w:val="24"/>
          <w:szCs w:val="24"/>
        </w:rPr>
        <w:t>第二部分  供应商须知</w:t>
      </w:r>
      <w:r>
        <w:rPr>
          <w:rFonts w:hint="eastAsia" w:ascii="宋体" w:hAnsi="宋体" w:cs="宋体"/>
          <w:sz w:val="24"/>
          <w:szCs w:val="24"/>
        </w:rPr>
        <w:tab/>
      </w:r>
      <w:r>
        <w:rPr>
          <w:rFonts w:hint="eastAsia" w:ascii="宋体" w:hAnsi="宋体" w:cs="宋体"/>
          <w:sz w:val="24"/>
          <w:szCs w:val="24"/>
          <w:lang w:val="en-US" w:eastAsia="zh-CN"/>
        </w:rPr>
        <w:t>4</w:t>
      </w:r>
      <w:r>
        <w:rPr>
          <w:rFonts w:hint="eastAsia" w:ascii="宋体" w:hAnsi="宋体" w:cs="宋体"/>
          <w:sz w:val="24"/>
          <w:szCs w:val="24"/>
        </w:rPr>
        <w:fldChar w:fldCharType="end"/>
      </w:r>
    </w:p>
    <w:p>
      <w:pPr>
        <w:pStyle w:val="15"/>
        <w:tabs>
          <w:tab w:val="right" w:leader="dot" w:pos="8400"/>
        </w:tabs>
        <w:spacing w:line="480" w:lineRule="auto"/>
        <w:rPr>
          <w:rFonts w:hint="eastAsia" w:ascii="宋体" w:hAnsi="宋体" w:eastAsia="宋体" w:cs="宋体"/>
          <w:sz w:val="24"/>
          <w:szCs w:val="24"/>
          <w:lang w:val="en-US" w:eastAsia="zh-CN"/>
        </w:rPr>
      </w:pPr>
      <w:r>
        <w:fldChar w:fldCharType="begin"/>
      </w:r>
      <w:r>
        <w:instrText xml:space="preserve"> HYPERLINK \l "_Toc527642959" </w:instrText>
      </w:r>
      <w:r>
        <w:fldChar w:fldCharType="separate"/>
      </w:r>
      <w:r>
        <w:rPr>
          <w:rStyle w:val="35"/>
          <w:rFonts w:hint="eastAsia" w:ascii="宋体" w:hAnsi="宋体" w:cs="宋体"/>
          <w:color w:val="auto"/>
          <w:sz w:val="24"/>
          <w:szCs w:val="24"/>
        </w:rPr>
        <w:t xml:space="preserve">第三部分  </w:t>
      </w:r>
      <w:r>
        <w:rPr>
          <w:rStyle w:val="35"/>
          <w:rFonts w:hint="eastAsia" w:ascii="宋体" w:hAnsi="宋体" w:cs="宋体"/>
          <w:color w:val="auto"/>
          <w:sz w:val="24"/>
          <w:szCs w:val="24"/>
          <w:lang w:eastAsia="zh-CN"/>
        </w:rPr>
        <w:t>项目合同</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4</w:t>
      </w:r>
    </w:p>
    <w:p>
      <w:pPr>
        <w:pStyle w:val="15"/>
        <w:tabs>
          <w:tab w:val="right" w:leader="dot" w:pos="8400"/>
        </w:tabs>
        <w:spacing w:line="480" w:lineRule="auto"/>
        <w:rPr>
          <w:rFonts w:hint="eastAsia" w:ascii="宋体" w:hAnsi="宋体" w:eastAsia="宋体" w:cs="宋体"/>
          <w:sz w:val="24"/>
          <w:szCs w:val="24"/>
          <w:lang w:eastAsia="zh-CN"/>
        </w:rPr>
      </w:pPr>
      <w:r>
        <w:fldChar w:fldCharType="begin"/>
      </w:r>
      <w:r>
        <w:instrText xml:space="preserve"> HYPERLINK \l "_Toc527642960" </w:instrText>
      </w:r>
      <w:r>
        <w:fldChar w:fldCharType="separate"/>
      </w:r>
      <w:r>
        <w:rPr>
          <w:rStyle w:val="35"/>
          <w:rFonts w:hint="eastAsia" w:ascii="宋体" w:hAnsi="宋体" w:cs="宋体"/>
          <w:color w:val="auto"/>
          <w:sz w:val="24"/>
          <w:szCs w:val="24"/>
        </w:rPr>
        <w:t xml:space="preserve">第四部分 </w:t>
      </w:r>
      <w:r>
        <w:rPr>
          <w:rStyle w:val="35"/>
          <w:rFonts w:hint="eastAsia" w:ascii="宋体" w:hAnsi="宋体" w:cs="宋体"/>
          <w:color w:val="auto"/>
          <w:sz w:val="24"/>
          <w:szCs w:val="24"/>
          <w:lang w:eastAsia="zh-CN"/>
        </w:rPr>
        <w:t>评标方法</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lang w:val="en-US" w:eastAsia="zh-CN"/>
        </w:rPr>
        <w:t>8</w:t>
      </w:r>
    </w:p>
    <w:p>
      <w:pPr>
        <w:pStyle w:val="15"/>
        <w:tabs>
          <w:tab w:val="right" w:leader="dot" w:pos="8400"/>
        </w:tabs>
        <w:spacing w:line="480" w:lineRule="auto"/>
        <w:rPr>
          <w:rFonts w:hint="eastAsia" w:ascii="宋体" w:hAnsi="宋体" w:eastAsia="宋体" w:cs="宋体"/>
          <w:sz w:val="24"/>
          <w:szCs w:val="24"/>
          <w:lang w:eastAsia="zh-CN"/>
        </w:rPr>
      </w:pPr>
      <w:r>
        <w:fldChar w:fldCharType="begin"/>
      </w:r>
      <w:r>
        <w:instrText xml:space="preserve"> HYPERLINK \l "_Toc527642969" </w:instrText>
      </w:r>
      <w:r>
        <w:fldChar w:fldCharType="separate"/>
      </w:r>
      <w:r>
        <w:rPr>
          <w:rStyle w:val="35"/>
          <w:rFonts w:hint="eastAsia" w:ascii="宋体" w:hAnsi="宋体" w:cs="宋体"/>
          <w:color w:val="auto"/>
          <w:sz w:val="24"/>
          <w:szCs w:val="24"/>
        </w:rPr>
        <w:t xml:space="preserve">第五部分 </w:t>
      </w:r>
      <w:r>
        <w:rPr>
          <w:rStyle w:val="35"/>
          <w:rFonts w:hint="eastAsia" w:ascii="宋体" w:hAnsi="宋体" w:cs="宋体"/>
          <w:color w:val="auto"/>
          <w:sz w:val="24"/>
          <w:szCs w:val="24"/>
          <w:lang w:eastAsia="zh-CN"/>
        </w:rPr>
        <w:t>技术参数</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0</w:t>
      </w:r>
    </w:p>
    <w:p>
      <w:pPr>
        <w:pStyle w:val="15"/>
        <w:tabs>
          <w:tab w:val="right" w:leader="dot" w:pos="8400"/>
        </w:tabs>
        <w:spacing w:line="480" w:lineRule="auto"/>
        <w:rPr>
          <w:rStyle w:val="35"/>
          <w:rFonts w:hint="eastAsia" w:ascii="宋体" w:hAnsi="宋体" w:eastAsia="宋体" w:cs="宋体"/>
          <w:color w:val="auto"/>
          <w:sz w:val="24"/>
          <w:szCs w:val="24"/>
          <w:lang w:eastAsia="zh-CN"/>
        </w:rPr>
      </w:pPr>
      <w:r>
        <w:rPr>
          <w:rStyle w:val="35"/>
          <w:rFonts w:hint="eastAsia" w:ascii="宋体" w:hAnsi="宋体" w:cs="宋体"/>
          <w:color w:val="auto"/>
          <w:sz w:val="24"/>
          <w:szCs w:val="24"/>
        </w:rPr>
        <w:fldChar w:fldCharType="begin"/>
      </w:r>
      <w:r>
        <w:rPr>
          <w:rStyle w:val="35"/>
          <w:rFonts w:hint="eastAsia" w:ascii="宋体" w:hAnsi="宋体" w:cs="宋体"/>
          <w:color w:val="auto"/>
          <w:sz w:val="24"/>
          <w:szCs w:val="24"/>
        </w:rPr>
        <w:instrText xml:space="preserve"> HYPERLINK \l "_Toc527642969" </w:instrText>
      </w:r>
      <w:r>
        <w:rPr>
          <w:rStyle w:val="35"/>
          <w:rFonts w:hint="eastAsia" w:ascii="宋体" w:hAnsi="宋体" w:cs="宋体"/>
          <w:color w:val="auto"/>
          <w:sz w:val="24"/>
          <w:szCs w:val="24"/>
        </w:rPr>
        <w:fldChar w:fldCharType="separate"/>
      </w:r>
      <w:r>
        <w:rPr>
          <w:rStyle w:val="35"/>
          <w:rFonts w:hint="eastAsia" w:ascii="宋体" w:hAnsi="宋体" w:cs="宋体"/>
          <w:color w:val="auto"/>
          <w:sz w:val="24"/>
          <w:szCs w:val="24"/>
        </w:rPr>
        <w:t>第六部分 响应文件</w:t>
      </w:r>
      <w:r>
        <w:rPr>
          <w:rStyle w:val="35"/>
          <w:rFonts w:hint="eastAsia" w:ascii="宋体" w:hAnsi="宋体" w:cs="宋体"/>
          <w:color w:val="auto"/>
          <w:sz w:val="24"/>
          <w:szCs w:val="24"/>
          <w:lang w:val="zh-CN"/>
        </w:rPr>
        <w:t>格式</w:t>
      </w:r>
      <w:r>
        <w:rPr>
          <w:rFonts w:hint="eastAsia" w:ascii="宋体" w:hAnsi="宋体" w:cs="宋体"/>
          <w:sz w:val="24"/>
          <w:szCs w:val="24"/>
        </w:rPr>
        <w:tab/>
      </w:r>
      <w:r>
        <w:rPr>
          <w:rStyle w:val="35"/>
          <w:rFonts w:hint="eastAsia" w:ascii="宋体" w:hAnsi="宋体" w:cs="宋体"/>
          <w:color w:val="auto"/>
          <w:sz w:val="24"/>
          <w:szCs w:val="24"/>
          <w:lang w:val="en-US" w:eastAsia="zh-CN"/>
        </w:rPr>
        <w:t>4</w:t>
      </w:r>
      <w:r>
        <w:rPr>
          <w:rStyle w:val="35"/>
          <w:rFonts w:hint="eastAsia" w:ascii="宋体" w:hAnsi="宋体" w:cs="宋体"/>
          <w:color w:val="auto"/>
          <w:sz w:val="24"/>
          <w:szCs w:val="24"/>
        </w:rPr>
        <w:fldChar w:fldCharType="end"/>
      </w:r>
      <w:r>
        <w:rPr>
          <w:rStyle w:val="35"/>
          <w:rFonts w:hint="eastAsia" w:ascii="宋体" w:hAnsi="宋体" w:cs="宋体"/>
          <w:color w:val="auto"/>
          <w:sz w:val="24"/>
          <w:szCs w:val="24"/>
          <w:lang w:val="en-US" w:eastAsia="zh-CN"/>
        </w:rPr>
        <w:t>4</w:t>
      </w:r>
    </w:p>
    <w:p>
      <w:pPr>
        <w:pStyle w:val="15"/>
        <w:tabs>
          <w:tab w:val="right" w:leader="dot" w:pos="8541"/>
        </w:tabs>
        <w:spacing w:line="480" w:lineRule="auto"/>
        <w:rPr>
          <w:rFonts w:ascii="宋体" w:hAnsi="宋体" w:cs="宋体"/>
          <w:szCs w:val="22"/>
        </w:rPr>
      </w:pPr>
      <w:r>
        <w:rPr>
          <w:rFonts w:hint="eastAsia" w:ascii="宋体" w:hAnsi="宋体" w:cs="宋体"/>
          <w:b/>
          <w:sz w:val="24"/>
          <w:szCs w:val="24"/>
        </w:rPr>
        <w:fldChar w:fldCharType="end"/>
      </w:r>
    </w:p>
    <w:p>
      <w:pPr>
        <w:pStyle w:val="20"/>
        <w:spacing w:beforeAutospacing="0" w:afterAutospacing="0" w:line="420" w:lineRule="exact"/>
        <w:jc w:val="center"/>
        <w:rPr>
          <w:rFonts w:hint="eastAsia" w:ascii="宋体" w:hAnsi="宋体" w:eastAsia="宋体" w:cs="宋体"/>
          <w:b/>
          <w:sz w:val="30"/>
          <w:szCs w:val="30"/>
          <w:lang w:eastAsia="zh-CN"/>
        </w:rPr>
        <w:sectPr>
          <w:footerReference r:id="rId9" w:type="first"/>
          <w:footerReference r:id="rId8" w:type="default"/>
          <w:pgSz w:w="11907" w:h="16840"/>
          <w:pgMar w:top="1440" w:right="1253" w:bottom="1440" w:left="1253" w:header="850" w:footer="850" w:gutter="0"/>
          <w:pgNumType w:fmt="numberInDash" w:start="1"/>
          <w:cols w:space="720" w:num="1"/>
          <w:docGrid w:type="lines" w:linePitch="409" w:charSpace="0"/>
        </w:sectPr>
      </w:pPr>
      <w:bookmarkStart w:id="0" w:name="_Toc349573119"/>
      <w:bookmarkStart w:id="1" w:name="_Toc298240403"/>
      <w:bookmarkStart w:id="2" w:name="_Toc527642950"/>
      <w:bookmarkStart w:id="3" w:name="_Toc267301280"/>
      <w:bookmarkStart w:id="4" w:name="_Toc349637918"/>
    </w:p>
    <w:p>
      <w:pPr>
        <w:pStyle w:val="20"/>
        <w:spacing w:beforeAutospacing="0" w:afterAutospacing="0" w:line="420" w:lineRule="exact"/>
        <w:jc w:val="center"/>
        <w:rPr>
          <w:rFonts w:hint="eastAsia" w:ascii="宋体" w:hAnsi="宋体" w:eastAsia="宋体" w:cs="宋体"/>
          <w:b/>
          <w:sz w:val="30"/>
          <w:szCs w:val="30"/>
        </w:rPr>
      </w:pPr>
      <w:r>
        <w:rPr>
          <w:rFonts w:hint="eastAsia" w:ascii="宋体" w:hAnsi="宋体" w:eastAsia="宋体" w:cs="宋体"/>
          <w:b/>
          <w:sz w:val="30"/>
          <w:szCs w:val="30"/>
          <w:lang w:eastAsia="zh-CN"/>
        </w:rPr>
        <w:t>巩留县妇幼保健计划生育服务中心采购医疗设备项目</w:t>
      </w:r>
    </w:p>
    <w:p>
      <w:pPr>
        <w:pStyle w:val="20"/>
        <w:spacing w:beforeAutospacing="0" w:afterAutospacing="0" w:line="420" w:lineRule="exact"/>
        <w:jc w:val="center"/>
        <w:rPr>
          <w:rFonts w:ascii="宋体" w:hAnsi="宋体" w:eastAsia="宋体" w:cs="宋体"/>
          <w:b/>
          <w:sz w:val="30"/>
          <w:szCs w:val="30"/>
        </w:rPr>
      </w:pPr>
      <w:r>
        <w:rPr>
          <w:rFonts w:hint="eastAsia" w:ascii="宋体" w:hAnsi="宋体" w:eastAsia="宋体" w:cs="宋体"/>
          <w:b/>
          <w:sz w:val="30"/>
          <w:szCs w:val="30"/>
        </w:rPr>
        <w:t>竞争性磋商公告</w:t>
      </w:r>
    </w:p>
    <w:p>
      <w:pPr>
        <w:spacing w:line="560" w:lineRule="exact"/>
        <w:rPr>
          <w:rFonts w:hint="eastAsia" w:eastAsia="宋体"/>
          <w:color w:val="FF0000"/>
          <w:sz w:val="24"/>
          <w:szCs w:val="24"/>
          <w:lang w:eastAsia="zh-CN"/>
        </w:rPr>
      </w:pPr>
      <w:r>
        <w:rPr>
          <w:rFonts w:hint="eastAsia"/>
          <w:sz w:val="24"/>
          <w:szCs w:val="24"/>
        </w:rPr>
        <w:t>一、 采购项</w:t>
      </w:r>
      <w:r>
        <w:rPr>
          <w:rFonts w:hint="eastAsia"/>
          <w:color w:val="auto"/>
          <w:sz w:val="24"/>
          <w:szCs w:val="24"/>
        </w:rPr>
        <w:t>目编号：</w:t>
      </w:r>
      <w:r>
        <w:rPr>
          <w:rFonts w:hint="eastAsia"/>
          <w:color w:val="auto"/>
          <w:sz w:val="24"/>
          <w:szCs w:val="24"/>
          <w:lang w:eastAsia="zh-CN"/>
        </w:rPr>
        <w:t>FZYL202223</w:t>
      </w:r>
    </w:p>
    <w:p>
      <w:pPr>
        <w:spacing w:line="560" w:lineRule="exact"/>
        <w:rPr>
          <w:sz w:val="24"/>
          <w:szCs w:val="24"/>
        </w:rPr>
      </w:pPr>
      <w:r>
        <w:rPr>
          <w:rFonts w:hint="eastAsia"/>
          <w:sz w:val="24"/>
          <w:szCs w:val="24"/>
        </w:rPr>
        <w:t>二、 采购项目概况</w:t>
      </w:r>
    </w:p>
    <w:tbl>
      <w:tblPr>
        <w:tblStyle w:val="24"/>
        <w:tblpPr w:leftFromText="180" w:rightFromText="180" w:vertAnchor="text" w:horzAnchor="page" w:tblpX="863" w:tblpY="361"/>
        <w:tblOverlap w:val="never"/>
        <w:tblW w:w="10340" w:type="dxa"/>
        <w:tblInd w:w="0" w:type="dxa"/>
        <w:tblLayout w:type="fixed"/>
        <w:tblCellMar>
          <w:top w:w="15" w:type="dxa"/>
          <w:left w:w="15" w:type="dxa"/>
          <w:bottom w:w="15" w:type="dxa"/>
          <w:right w:w="15" w:type="dxa"/>
        </w:tblCellMar>
      </w:tblPr>
      <w:tblGrid>
        <w:gridCol w:w="1759"/>
        <w:gridCol w:w="2628"/>
        <w:gridCol w:w="1230"/>
        <w:gridCol w:w="1164"/>
        <w:gridCol w:w="1774"/>
        <w:gridCol w:w="1785"/>
      </w:tblGrid>
      <w:tr>
        <w:tblPrEx>
          <w:tblCellMar>
            <w:top w:w="15" w:type="dxa"/>
            <w:left w:w="15" w:type="dxa"/>
            <w:bottom w:w="15" w:type="dxa"/>
            <w:right w:w="15" w:type="dxa"/>
          </w:tblCellMar>
        </w:tblPrEx>
        <w:trPr>
          <w:trHeight w:val="644" w:hRule="atLeast"/>
        </w:trPr>
        <w:tc>
          <w:tcPr>
            <w:tcW w:w="1759"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序号</w:t>
            </w:r>
          </w:p>
        </w:tc>
        <w:tc>
          <w:tcPr>
            <w:tcW w:w="2628"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设备名称</w:t>
            </w:r>
          </w:p>
        </w:tc>
        <w:tc>
          <w:tcPr>
            <w:tcW w:w="1230"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数量</w:t>
            </w:r>
          </w:p>
        </w:tc>
        <w:tc>
          <w:tcPr>
            <w:tcW w:w="1164"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单位</w:t>
            </w:r>
          </w:p>
        </w:tc>
        <w:tc>
          <w:tcPr>
            <w:tcW w:w="1774"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预算金额（元）</w:t>
            </w:r>
          </w:p>
        </w:tc>
        <w:tc>
          <w:tcPr>
            <w:tcW w:w="178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spacing w:line="560" w:lineRule="exact"/>
              <w:jc w:val="center"/>
              <w:rPr>
                <w:sz w:val="24"/>
                <w:szCs w:val="24"/>
                <w:lang w:val="en-US"/>
              </w:rPr>
            </w:pPr>
            <w:r>
              <w:rPr>
                <w:rFonts w:hint="eastAsia"/>
                <w:sz w:val="24"/>
                <w:szCs w:val="24"/>
                <w:lang w:val="en-US"/>
              </w:rPr>
              <w:t>简要规格描述</w:t>
            </w:r>
          </w:p>
        </w:tc>
      </w:tr>
      <w:tr>
        <w:tblPrEx>
          <w:tblCellMar>
            <w:top w:w="15" w:type="dxa"/>
            <w:left w:w="15" w:type="dxa"/>
            <w:bottom w:w="15" w:type="dxa"/>
            <w:right w:w="15" w:type="dxa"/>
          </w:tblCellMar>
        </w:tblPrEx>
        <w:trPr>
          <w:trHeight w:val="489" w:hRule="atLeast"/>
        </w:trPr>
        <w:tc>
          <w:tcPr>
            <w:tcW w:w="1759"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巩留县妇幼保健计划生育服务中心采购医疗设备项目</w:t>
            </w:r>
            <w:r>
              <w:rPr>
                <w:rFonts w:hint="eastAsia" w:ascii="宋体" w:hAnsi="宋体" w:eastAsia="宋体" w:cs="宋体"/>
                <w:color w:val="000000"/>
                <w:kern w:val="0"/>
                <w:sz w:val="24"/>
                <w:szCs w:val="24"/>
                <w:lang w:val="en-US" w:eastAsia="zh-CN" w:bidi="ar-SA"/>
              </w:rPr>
              <w:t>180万元</w:t>
            </w:r>
          </w:p>
        </w:tc>
        <w:tc>
          <w:tcPr>
            <w:tcW w:w="262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全自动生化分析仪</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p>
        </w:tc>
        <w:tc>
          <w:tcPr>
            <w:tcW w:w="116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台</w:t>
            </w:r>
          </w:p>
        </w:tc>
        <w:tc>
          <w:tcPr>
            <w:tcW w:w="1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1000000</w:t>
            </w:r>
          </w:p>
        </w:tc>
        <w:tc>
          <w:tcPr>
            <w:tcW w:w="17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进口</w:t>
            </w:r>
          </w:p>
        </w:tc>
      </w:tr>
      <w:tr>
        <w:tblPrEx>
          <w:tblCellMar>
            <w:top w:w="15" w:type="dxa"/>
            <w:left w:w="15" w:type="dxa"/>
            <w:bottom w:w="15" w:type="dxa"/>
            <w:right w:w="15" w:type="dxa"/>
          </w:tblCellMar>
        </w:tblPrEx>
        <w:trPr>
          <w:trHeight w:val="519" w:hRule="atLeast"/>
        </w:trPr>
        <w:tc>
          <w:tcPr>
            <w:tcW w:w="175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p>
        </w:tc>
        <w:tc>
          <w:tcPr>
            <w:tcW w:w="262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阴道分泌物检测仪</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p>
        </w:tc>
        <w:tc>
          <w:tcPr>
            <w:tcW w:w="116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台</w:t>
            </w:r>
          </w:p>
        </w:tc>
        <w:tc>
          <w:tcPr>
            <w:tcW w:w="1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140000</w:t>
            </w:r>
          </w:p>
        </w:tc>
        <w:tc>
          <w:tcPr>
            <w:tcW w:w="17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国产</w:t>
            </w:r>
          </w:p>
        </w:tc>
      </w:tr>
      <w:tr>
        <w:tblPrEx>
          <w:tblCellMar>
            <w:top w:w="15" w:type="dxa"/>
            <w:left w:w="15" w:type="dxa"/>
            <w:bottom w:w="15" w:type="dxa"/>
            <w:right w:w="15" w:type="dxa"/>
          </w:tblCellMar>
        </w:tblPrEx>
        <w:trPr>
          <w:trHeight w:val="460" w:hRule="atLeast"/>
        </w:trPr>
        <w:tc>
          <w:tcPr>
            <w:tcW w:w="175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p>
        </w:tc>
        <w:tc>
          <w:tcPr>
            <w:tcW w:w="262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全自动血液细胞分析仪</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p>
        </w:tc>
        <w:tc>
          <w:tcPr>
            <w:tcW w:w="116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台</w:t>
            </w:r>
          </w:p>
        </w:tc>
        <w:tc>
          <w:tcPr>
            <w:tcW w:w="1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290000</w:t>
            </w:r>
          </w:p>
        </w:tc>
        <w:tc>
          <w:tcPr>
            <w:tcW w:w="17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进口</w:t>
            </w:r>
          </w:p>
        </w:tc>
      </w:tr>
      <w:tr>
        <w:tblPrEx>
          <w:tblCellMar>
            <w:top w:w="15" w:type="dxa"/>
            <w:left w:w="15" w:type="dxa"/>
            <w:bottom w:w="15" w:type="dxa"/>
            <w:right w:w="15" w:type="dxa"/>
          </w:tblCellMar>
        </w:tblPrEx>
        <w:trPr>
          <w:trHeight w:val="519" w:hRule="atLeast"/>
        </w:trPr>
        <w:tc>
          <w:tcPr>
            <w:tcW w:w="175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p>
        </w:tc>
        <w:tc>
          <w:tcPr>
            <w:tcW w:w="262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化学发光测定仪</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p>
        </w:tc>
        <w:tc>
          <w:tcPr>
            <w:tcW w:w="116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台</w:t>
            </w:r>
          </w:p>
        </w:tc>
        <w:tc>
          <w:tcPr>
            <w:tcW w:w="1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200000</w:t>
            </w:r>
          </w:p>
        </w:tc>
        <w:tc>
          <w:tcPr>
            <w:tcW w:w="17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国产</w:t>
            </w:r>
          </w:p>
        </w:tc>
      </w:tr>
      <w:tr>
        <w:tblPrEx>
          <w:tblCellMar>
            <w:top w:w="15" w:type="dxa"/>
            <w:left w:w="15" w:type="dxa"/>
            <w:bottom w:w="15" w:type="dxa"/>
            <w:right w:w="15" w:type="dxa"/>
          </w:tblCellMar>
        </w:tblPrEx>
        <w:trPr>
          <w:trHeight w:val="532" w:hRule="atLeast"/>
        </w:trPr>
        <w:tc>
          <w:tcPr>
            <w:tcW w:w="175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default" w:ascii="宋体" w:hAnsi="宋体" w:eastAsia="宋体" w:cs="宋体"/>
                <w:color w:val="000000"/>
                <w:kern w:val="0"/>
                <w:sz w:val="24"/>
                <w:szCs w:val="24"/>
                <w:lang w:val="en-US" w:eastAsia="zh-CN" w:bidi="ar-SA"/>
              </w:rPr>
            </w:pPr>
          </w:p>
        </w:tc>
        <w:tc>
          <w:tcPr>
            <w:tcW w:w="262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PCR基因扩增仪</w:t>
            </w:r>
          </w:p>
        </w:tc>
        <w:tc>
          <w:tcPr>
            <w:tcW w:w="12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p>
        </w:tc>
        <w:tc>
          <w:tcPr>
            <w:tcW w:w="116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台</w:t>
            </w:r>
          </w:p>
        </w:tc>
        <w:tc>
          <w:tcPr>
            <w:tcW w:w="1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170000</w:t>
            </w:r>
          </w:p>
        </w:tc>
        <w:tc>
          <w:tcPr>
            <w:tcW w:w="178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国产</w:t>
            </w:r>
          </w:p>
        </w:tc>
      </w:tr>
    </w:tbl>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三、投标供应资格要求:</w:t>
      </w:r>
    </w:p>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1.符合《中华人民共和国政府采购法》第二十二条的相关规定；  </w:t>
      </w:r>
    </w:p>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2.参加采购活动前三年内，在经营活动中没有重大违法记录(受行政主管部门的处罚不能参加投标)</w:t>
      </w:r>
    </w:p>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3.落实的政府采购政策：《政府采购促进中小企业发展管理办法》（财库〔2020〕46号）；《财政部民政部中国残疾人联合会关于促进残疾人就业政府采购政策的通知》财库〔2017〕141号。</w:t>
      </w:r>
    </w:p>
    <w:p>
      <w:pPr>
        <w:tabs>
          <w:tab w:val="left" w:pos="4980"/>
        </w:tabs>
        <w:spacing w:line="52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4、不接受联合体投标。</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四、采购文件的报名/发售时间、地址、售价:</w:t>
      </w:r>
    </w:p>
    <w:p>
      <w:pPr>
        <w:pStyle w:val="20"/>
        <w:spacing w:before="75" w:beforeAutospacing="0" w:after="75" w:afterAutospacing="0" w:line="560" w:lineRule="exact"/>
        <w:rPr>
          <w:rFonts w:hint="default" w:ascii="宋体" w:hAnsi="宋体" w:eastAsia="宋体" w:cs="宋体"/>
          <w:color w:val="000000"/>
          <w:lang w:val="en-US" w:eastAsia="zh-CN"/>
        </w:rPr>
      </w:pPr>
      <w:r>
        <w:rPr>
          <w:rFonts w:hint="eastAsia" w:ascii="宋体" w:hAnsi="宋体" w:eastAsia="宋体" w:cs="宋体"/>
          <w:color w:val="000000"/>
        </w:rPr>
        <w:t>1．报名（发售／获取）时间：20</w:t>
      </w:r>
      <w:r>
        <w:rPr>
          <w:rFonts w:hint="eastAsia" w:cs="宋体"/>
          <w:color w:val="000000"/>
        </w:rPr>
        <w:t>2</w:t>
      </w:r>
      <w:r>
        <w:rPr>
          <w:rFonts w:hint="eastAsia" w:cs="宋体"/>
          <w:color w:val="000000"/>
          <w:lang w:val="en-US" w:eastAsia="zh-CN"/>
        </w:rPr>
        <w:t>2</w:t>
      </w:r>
      <w:r>
        <w:rPr>
          <w:rFonts w:hint="eastAsia" w:ascii="宋体" w:hAnsi="宋体" w:eastAsia="宋体" w:cs="宋体"/>
          <w:color w:val="000000"/>
        </w:rPr>
        <w:t>-0</w:t>
      </w:r>
      <w:r>
        <w:rPr>
          <w:rFonts w:hint="eastAsia" w:ascii="宋体" w:hAnsi="宋体" w:eastAsia="宋体" w:cs="宋体"/>
          <w:color w:val="000000"/>
          <w:lang w:val="en-US" w:eastAsia="zh-CN"/>
        </w:rPr>
        <w:t>8</w:t>
      </w:r>
      <w:r>
        <w:rPr>
          <w:rFonts w:hint="eastAsia" w:ascii="宋体" w:hAnsi="宋体" w:eastAsia="宋体" w:cs="宋体"/>
          <w:color w:val="000000"/>
        </w:rPr>
        <w:t>-</w:t>
      </w:r>
      <w:r>
        <w:rPr>
          <w:rFonts w:hint="eastAsia" w:ascii="宋体" w:hAnsi="宋体" w:eastAsia="宋体" w:cs="宋体"/>
          <w:color w:val="000000"/>
          <w:lang w:val="en-US" w:eastAsia="zh-CN"/>
        </w:rPr>
        <w:t>04</w:t>
      </w:r>
      <w:r>
        <w:rPr>
          <w:rFonts w:hint="eastAsia" w:ascii="宋体" w:hAnsi="宋体" w:eastAsia="宋体" w:cs="宋体"/>
          <w:color w:val="000000"/>
        </w:rPr>
        <w:t>至20</w:t>
      </w:r>
      <w:r>
        <w:rPr>
          <w:rFonts w:hint="eastAsia" w:cs="宋体"/>
          <w:color w:val="000000"/>
        </w:rPr>
        <w:t>2</w:t>
      </w:r>
      <w:r>
        <w:rPr>
          <w:rFonts w:hint="eastAsia" w:cs="宋体"/>
          <w:color w:val="000000"/>
          <w:lang w:val="en-US" w:eastAsia="zh-CN"/>
        </w:rPr>
        <w:t>2</w:t>
      </w:r>
      <w:r>
        <w:rPr>
          <w:rFonts w:hint="eastAsia" w:ascii="宋体" w:hAnsi="宋体" w:eastAsia="宋体" w:cs="宋体"/>
          <w:color w:val="000000"/>
        </w:rPr>
        <w:t>-</w:t>
      </w:r>
      <w:r>
        <w:rPr>
          <w:rFonts w:hint="eastAsia" w:ascii="宋体" w:hAnsi="宋体" w:eastAsia="宋体" w:cs="宋体"/>
          <w:color w:val="000000"/>
          <w:lang w:val="en-US" w:eastAsia="zh-CN"/>
        </w:rPr>
        <w:t>08</w:t>
      </w:r>
      <w:r>
        <w:rPr>
          <w:rFonts w:hint="eastAsia" w:ascii="宋体" w:hAnsi="宋体" w:eastAsia="宋体" w:cs="宋体"/>
          <w:color w:val="000000"/>
        </w:rPr>
        <w:t>-</w:t>
      </w:r>
      <w:r>
        <w:rPr>
          <w:rFonts w:hint="eastAsia" w:ascii="宋体" w:hAnsi="宋体" w:eastAsia="宋体" w:cs="宋体"/>
          <w:color w:val="000000"/>
          <w:lang w:val="en-US" w:eastAsia="zh-CN"/>
        </w:rPr>
        <w:t>11</w:t>
      </w:r>
    </w:p>
    <w:p>
      <w:pPr>
        <w:pStyle w:val="20"/>
        <w:spacing w:before="75" w:beforeAutospacing="0" w:after="75" w:afterAutospacing="0" w:line="560" w:lineRule="exact"/>
        <w:rPr>
          <w:rFonts w:hint="eastAsia" w:ascii="宋体" w:hAnsi="宋体" w:eastAsia="宋体" w:cs="宋体"/>
          <w:color w:val="000000"/>
          <w:lang w:eastAsia="zh-CN"/>
        </w:rPr>
      </w:pPr>
      <w:r>
        <w:rPr>
          <w:rFonts w:hint="eastAsia" w:ascii="宋体" w:hAnsi="宋体" w:eastAsia="宋体" w:cs="宋体"/>
          <w:color w:val="000000"/>
        </w:rPr>
        <w:t>上午：10:00-14:00 下午：1</w:t>
      </w:r>
      <w:r>
        <w:rPr>
          <w:rFonts w:hint="eastAsia" w:eastAsia="宋体" w:cs="宋体"/>
          <w:color w:val="000000"/>
          <w:lang w:val="en-US" w:eastAsia="zh-CN"/>
        </w:rPr>
        <w:t>6</w:t>
      </w:r>
      <w:r>
        <w:rPr>
          <w:rFonts w:hint="eastAsia" w:ascii="宋体" w:hAnsi="宋体" w:eastAsia="宋体" w:cs="宋体"/>
          <w:color w:val="000000"/>
        </w:rPr>
        <w:t>:</w:t>
      </w:r>
      <w:r>
        <w:rPr>
          <w:rFonts w:hint="eastAsia" w:ascii="宋体" w:hAnsi="宋体" w:eastAsia="宋体" w:cs="宋体"/>
          <w:color w:val="000000"/>
          <w:lang w:val="en-US" w:eastAsia="zh-CN"/>
        </w:rPr>
        <w:t>0</w:t>
      </w:r>
      <w:r>
        <w:rPr>
          <w:rFonts w:hint="eastAsia" w:ascii="宋体" w:hAnsi="宋体" w:eastAsia="宋体" w:cs="宋体"/>
          <w:color w:val="000000"/>
        </w:rPr>
        <w:t>0-</w:t>
      </w:r>
      <w:r>
        <w:rPr>
          <w:rFonts w:hint="eastAsia" w:ascii="宋体" w:hAnsi="宋体" w:eastAsia="宋体" w:cs="宋体"/>
          <w:color w:val="000000"/>
          <w:lang w:val="en-US" w:eastAsia="zh-CN"/>
        </w:rPr>
        <w:t>20</w:t>
      </w:r>
      <w:r>
        <w:rPr>
          <w:rFonts w:hint="eastAsia" w:ascii="宋体" w:hAnsi="宋体" w:eastAsia="宋体" w:cs="宋体"/>
          <w:color w:val="000000"/>
        </w:rPr>
        <w:t>:</w:t>
      </w:r>
      <w:r>
        <w:rPr>
          <w:rFonts w:hint="eastAsia" w:ascii="宋体" w:hAnsi="宋体" w:eastAsia="宋体" w:cs="宋体"/>
          <w:color w:val="000000"/>
          <w:lang w:val="en-US" w:eastAsia="zh-CN"/>
        </w:rPr>
        <w:t>0</w:t>
      </w:r>
      <w:r>
        <w:rPr>
          <w:rFonts w:hint="eastAsia" w:ascii="宋体" w:hAnsi="宋体" w:eastAsia="宋体" w:cs="宋体"/>
          <w:color w:val="000000"/>
        </w:rPr>
        <w:t>0 </w:t>
      </w:r>
      <w:r>
        <w:rPr>
          <w:rFonts w:hint="eastAsia" w:ascii="宋体" w:hAnsi="宋体" w:eastAsia="宋体" w:cs="宋体"/>
          <w:color w:val="000000"/>
          <w:lang w:eastAsia="zh-CN"/>
        </w:rPr>
        <w:t>（北京时间）</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2．报名（发售／获取）地址：伊宁市新华西路58号3楼（呼勒佳宾馆院内）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3．标书售价(元)：200元/</w:t>
      </w:r>
      <w:r>
        <w:rPr>
          <w:rFonts w:hint="eastAsia" w:cs="宋体"/>
          <w:color w:val="000000"/>
        </w:rPr>
        <w:t>份</w:t>
      </w:r>
    </w:p>
    <w:p>
      <w:pPr>
        <w:pStyle w:val="20"/>
        <w:spacing w:before="75" w:beforeAutospacing="0" w:after="75" w:afterAutospacing="0" w:line="560" w:lineRule="exact"/>
        <w:rPr>
          <w:rFonts w:hint="eastAsia" w:ascii="宋体" w:hAnsi="宋体" w:eastAsia="宋体" w:cs="宋体"/>
          <w:color w:val="auto"/>
        </w:rPr>
      </w:pPr>
      <w:r>
        <w:rPr>
          <w:rFonts w:hint="eastAsia" w:ascii="宋体" w:hAnsi="宋体" w:eastAsia="宋体" w:cs="宋体"/>
          <w:color w:val="000000"/>
        </w:rPr>
        <w:t>4</w:t>
      </w:r>
      <w:r>
        <w:rPr>
          <w:rFonts w:hint="eastAsia" w:ascii="宋体" w:hAnsi="宋体" w:eastAsia="宋体" w:cs="宋体"/>
          <w:color w:val="auto"/>
        </w:rPr>
        <w:t>．供应商购买标书时应提交的资料：法人代表授权书、被授权人身份证、营业执照副本</w:t>
      </w:r>
    </w:p>
    <w:p>
      <w:pPr>
        <w:pStyle w:val="20"/>
        <w:spacing w:before="75" w:beforeAutospacing="0" w:after="75" w:afterAutospacing="0" w:line="560" w:lineRule="exact"/>
        <w:rPr>
          <w:rFonts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复印件加盖公章</w:t>
      </w:r>
      <w:r>
        <w:rPr>
          <w:rFonts w:hint="eastAsia" w:ascii="宋体" w:hAnsi="宋体" w:eastAsia="宋体" w:cs="宋体"/>
          <w:color w:val="auto"/>
          <w:lang w:eastAsia="zh-CN"/>
        </w:rPr>
        <w:t>）</w:t>
      </w:r>
      <w:r>
        <w:rPr>
          <w:rFonts w:hint="eastAsia" w:ascii="宋体" w:hAnsi="宋体" w:eastAsia="宋体" w:cs="宋体"/>
          <w:color w:val="auto"/>
        </w:rPr>
        <w:t>；投标人为制造商的须提供《医疗器械生产许可证》原件（或复印件加盖公章）；投标人为经销商的须提供《医疗器械经营许可证》或者《医疗器械经营备案凭证》，须提供所投设备《产品生产许可证》原件（或复印件加盖公章）、所投产品注册登记证原件（或复印件加盖公章）</w:t>
      </w:r>
      <w:r>
        <w:rPr>
          <w:rFonts w:hint="eastAsia" w:ascii="宋体" w:hAnsi="宋体" w:eastAsia="宋体" w:cs="宋体"/>
          <w:color w:val="auto"/>
          <w:lang w:eastAsia="zh-CN"/>
        </w:rPr>
        <w:t>，</w:t>
      </w:r>
      <w:r>
        <w:rPr>
          <w:rFonts w:hint="eastAsia" w:ascii="宋体" w:hAnsi="宋体" w:eastAsia="宋体" w:cs="宋体"/>
          <w:color w:val="auto"/>
        </w:rPr>
        <w:t>进口产品国外生产企业给中国区代理的授权书复印件（加盖中国区总代理的鲜章）、进口产品中国区代理给投标人授权证明原件、投标人进口医疗器械产品注册证、登记表原件或复印件（加盖投标人公章）【投进口产品提供】、“信用中国”网站（www.creditchina.gov.cn）信用信息查询记录（加盖公章）。（以上证件须携带原件及加盖公章的复印件一套，注明复印件的无须提供原件，不接受公证件）原件（备查）及加盖公章复印件一套（不接受公证件）。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五、投标截止时间：20</w:t>
      </w:r>
      <w:r>
        <w:rPr>
          <w:rFonts w:hint="eastAsia" w:cs="宋体"/>
          <w:color w:val="000000"/>
        </w:rPr>
        <w:t>2</w:t>
      </w:r>
      <w:r>
        <w:rPr>
          <w:rFonts w:hint="eastAsia" w:cs="宋体"/>
          <w:color w:val="000000"/>
          <w:lang w:val="en-US" w:eastAsia="zh-CN"/>
        </w:rPr>
        <w:t>2</w:t>
      </w:r>
      <w:r>
        <w:rPr>
          <w:rFonts w:hint="eastAsia" w:ascii="宋体" w:hAnsi="宋体" w:eastAsia="宋体" w:cs="宋体"/>
          <w:color w:val="000000"/>
        </w:rPr>
        <w:t>-</w:t>
      </w:r>
      <w:r>
        <w:rPr>
          <w:rFonts w:hint="eastAsia" w:ascii="宋体" w:hAnsi="宋体" w:eastAsia="宋体" w:cs="宋体"/>
          <w:color w:val="000000"/>
          <w:lang w:val="en-US" w:eastAsia="zh-CN"/>
        </w:rPr>
        <w:t>8</w:t>
      </w:r>
      <w:r>
        <w:rPr>
          <w:rFonts w:hint="eastAsia" w:ascii="宋体" w:hAnsi="宋体" w:eastAsia="宋体" w:cs="宋体"/>
          <w:color w:val="000000"/>
        </w:rPr>
        <w:t>-</w:t>
      </w:r>
      <w:r>
        <w:rPr>
          <w:rFonts w:hint="eastAsia" w:ascii="宋体" w:hAnsi="宋体" w:eastAsia="宋体" w:cs="宋体"/>
          <w:color w:val="000000"/>
          <w:lang w:val="en-US" w:eastAsia="zh-CN"/>
        </w:rPr>
        <w:t xml:space="preserve">15 </w:t>
      </w:r>
      <w:r>
        <w:rPr>
          <w:rFonts w:hint="eastAsia" w:ascii="宋体" w:hAnsi="宋体" w:eastAsia="宋体" w:cs="宋体"/>
          <w:color w:val="000000"/>
        </w:rPr>
        <w:t xml:space="preserve"> 1</w:t>
      </w:r>
      <w:r>
        <w:rPr>
          <w:rFonts w:hint="eastAsia" w:ascii="宋体" w:hAnsi="宋体" w:eastAsia="宋体" w:cs="宋体"/>
          <w:color w:val="000000"/>
          <w:lang w:val="en-US" w:eastAsia="zh-CN"/>
        </w:rPr>
        <w:t>1</w:t>
      </w:r>
      <w:r>
        <w:rPr>
          <w:rFonts w:hint="eastAsia" w:ascii="宋体" w:hAnsi="宋体" w:eastAsia="宋体" w:cs="宋体"/>
          <w:color w:val="000000"/>
        </w:rPr>
        <w:t>:</w:t>
      </w:r>
      <w:r>
        <w:rPr>
          <w:rFonts w:hint="eastAsia" w:ascii="宋体" w:hAnsi="宋体" w:eastAsia="宋体" w:cs="宋体"/>
          <w:color w:val="000000"/>
          <w:lang w:val="en-US" w:eastAsia="zh-CN"/>
        </w:rPr>
        <w:t>0</w:t>
      </w:r>
      <w:r>
        <w:rPr>
          <w:rFonts w:hint="eastAsia" w:ascii="宋体" w:hAnsi="宋体" w:eastAsia="宋体" w:cs="宋体"/>
          <w:color w:val="000000"/>
        </w:rPr>
        <w:t>0:00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六、投标地址：</w:t>
      </w:r>
      <w:r>
        <w:rPr>
          <w:rFonts w:hint="eastAsia" w:ascii="宋体" w:hAnsi="宋体" w:eastAsia="宋体" w:cs="宋体"/>
          <w:color w:val="000000"/>
          <w:lang w:eastAsia="zh-CN"/>
        </w:rPr>
        <w:t>伊宁市海棠路铂珂瑞特酒店三楼会议室</w:t>
      </w:r>
      <w:r>
        <w:rPr>
          <w:rFonts w:hint="eastAsia" w:ascii="宋体" w:hAnsi="宋体" w:eastAsia="宋体" w:cs="宋体"/>
          <w:color w:val="000000"/>
        </w:rPr>
        <w:t>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七、开标时间：202</w:t>
      </w:r>
      <w:r>
        <w:rPr>
          <w:rFonts w:hint="eastAsia" w:ascii="宋体" w:hAnsi="宋体" w:eastAsia="宋体" w:cs="宋体"/>
          <w:color w:val="000000"/>
          <w:lang w:val="en-US" w:eastAsia="zh-CN"/>
        </w:rPr>
        <w:t>2</w:t>
      </w:r>
      <w:r>
        <w:rPr>
          <w:rFonts w:hint="eastAsia" w:ascii="宋体" w:hAnsi="宋体" w:eastAsia="宋体" w:cs="宋体"/>
          <w:color w:val="000000"/>
        </w:rPr>
        <w:t>-</w:t>
      </w:r>
      <w:r>
        <w:rPr>
          <w:rFonts w:hint="eastAsia" w:ascii="宋体" w:hAnsi="宋体" w:eastAsia="宋体" w:cs="宋体"/>
          <w:color w:val="000000"/>
          <w:lang w:val="en-US" w:eastAsia="zh-CN"/>
        </w:rPr>
        <w:t>8</w:t>
      </w:r>
      <w:r>
        <w:rPr>
          <w:rFonts w:hint="eastAsia" w:ascii="宋体" w:hAnsi="宋体" w:eastAsia="宋体" w:cs="宋体"/>
          <w:color w:val="000000"/>
        </w:rPr>
        <w:t>-1</w:t>
      </w:r>
      <w:r>
        <w:rPr>
          <w:rFonts w:hint="eastAsia" w:ascii="宋体" w:hAnsi="宋体" w:eastAsia="宋体" w:cs="宋体"/>
          <w:color w:val="000000"/>
          <w:lang w:val="en-US" w:eastAsia="zh-CN"/>
        </w:rPr>
        <w:t xml:space="preserve">5 </w:t>
      </w:r>
      <w:r>
        <w:rPr>
          <w:rFonts w:hint="eastAsia" w:ascii="宋体" w:hAnsi="宋体" w:eastAsia="宋体" w:cs="宋体"/>
          <w:color w:val="000000"/>
        </w:rPr>
        <w:t xml:space="preserve"> 11:00:00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八、开标地址：</w:t>
      </w:r>
      <w:r>
        <w:rPr>
          <w:rFonts w:hint="eastAsia" w:ascii="宋体" w:hAnsi="宋体" w:eastAsia="宋体" w:cs="宋体"/>
          <w:color w:val="000000"/>
          <w:lang w:eastAsia="zh-CN"/>
        </w:rPr>
        <w:t>伊宁市海棠路铂珂瑞特酒店三楼会议室</w:t>
      </w:r>
      <w:r>
        <w:rPr>
          <w:rFonts w:hint="eastAsia" w:ascii="宋体" w:hAnsi="宋体" w:eastAsia="宋体" w:cs="宋体"/>
          <w:color w:val="000000"/>
        </w:rPr>
        <w:t>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九、投标保证金：</w:t>
      </w:r>
    </w:p>
    <w:tbl>
      <w:tblPr>
        <w:tblStyle w:val="24"/>
        <w:tblW w:w="10077"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1"/>
        <w:gridCol w:w="2509"/>
        <w:gridCol w:w="1772"/>
        <w:gridCol w:w="1874"/>
        <w:gridCol w:w="1866"/>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31" w:type="dxa"/>
            <w:tcMar>
              <w:top w:w="75" w:type="dxa"/>
              <w:left w:w="150" w:type="dxa"/>
              <w:bottom w:w="75" w:type="dxa"/>
              <w:right w:w="150" w:type="dxa"/>
            </w:tcMar>
            <w:vAlign w:val="center"/>
          </w:tcPr>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序号</w:t>
            </w:r>
          </w:p>
        </w:tc>
        <w:tc>
          <w:tcPr>
            <w:tcW w:w="2509" w:type="dxa"/>
            <w:tcMar>
              <w:top w:w="75" w:type="dxa"/>
              <w:left w:w="150" w:type="dxa"/>
              <w:bottom w:w="75" w:type="dxa"/>
              <w:right w:w="150" w:type="dxa"/>
            </w:tcMar>
            <w:vAlign w:val="center"/>
          </w:tcPr>
          <w:p>
            <w:pPr>
              <w:pStyle w:val="20"/>
              <w:spacing w:before="75" w:beforeAutospacing="0" w:after="75" w:afterAutospacing="0" w:line="560" w:lineRule="exact"/>
              <w:jc w:val="center"/>
              <w:rPr>
                <w:rFonts w:ascii="宋体" w:hAnsi="宋体" w:eastAsia="宋体" w:cs="宋体"/>
                <w:color w:val="000000"/>
              </w:rPr>
            </w:pPr>
            <w:r>
              <w:rPr>
                <w:rFonts w:hint="eastAsia" w:ascii="宋体" w:hAnsi="宋体" w:eastAsia="宋体" w:cs="宋体"/>
                <w:color w:val="000000"/>
              </w:rPr>
              <w:t>标项名称</w:t>
            </w:r>
          </w:p>
        </w:tc>
        <w:tc>
          <w:tcPr>
            <w:tcW w:w="1772" w:type="dxa"/>
            <w:tcMar>
              <w:top w:w="75" w:type="dxa"/>
              <w:left w:w="150" w:type="dxa"/>
              <w:bottom w:w="75" w:type="dxa"/>
              <w:right w:w="150" w:type="dxa"/>
            </w:tcMar>
            <w:vAlign w:val="center"/>
          </w:tcPr>
          <w:p>
            <w:pPr>
              <w:pStyle w:val="20"/>
              <w:spacing w:before="75" w:beforeAutospacing="0" w:after="75" w:afterAutospacing="0" w:line="560" w:lineRule="exact"/>
              <w:jc w:val="center"/>
              <w:rPr>
                <w:rFonts w:ascii="宋体" w:hAnsi="宋体" w:eastAsia="宋体" w:cs="宋体"/>
                <w:color w:val="000000"/>
              </w:rPr>
            </w:pPr>
            <w:r>
              <w:rPr>
                <w:rFonts w:hint="eastAsia" w:ascii="宋体" w:hAnsi="宋体" w:eastAsia="宋体" w:cs="宋体"/>
                <w:color w:val="000000"/>
              </w:rPr>
              <w:t>投标保证金金额（元）</w:t>
            </w:r>
          </w:p>
        </w:tc>
        <w:tc>
          <w:tcPr>
            <w:tcW w:w="1874" w:type="dxa"/>
            <w:tcMar>
              <w:top w:w="75" w:type="dxa"/>
              <w:left w:w="150" w:type="dxa"/>
              <w:bottom w:w="75" w:type="dxa"/>
              <w:right w:w="150" w:type="dxa"/>
            </w:tcMar>
            <w:vAlign w:val="center"/>
          </w:tcPr>
          <w:p>
            <w:pPr>
              <w:pStyle w:val="20"/>
              <w:spacing w:before="75" w:beforeAutospacing="0" w:after="75" w:afterAutospacing="0" w:line="560" w:lineRule="exact"/>
              <w:jc w:val="center"/>
              <w:rPr>
                <w:rFonts w:ascii="宋体" w:hAnsi="宋体" w:eastAsia="宋体" w:cs="宋体"/>
                <w:color w:val="000000"/>
              </w:rPr>
            </w:pPr>
            <w:r>
              <w:rPr>
                <w:rFonts w:hint="eastAsia" w:ascii="宋体" w:hAnsi="宋体" w:eastAsia="宋体" w:cs="宋体"/>
                <w:color w:val="000000"/>
              </w:rPr>
              <w:t>开户银行</w:t>
            </w:r>
          </w:p>
        </w:tc>
        <w:tc>
          <w:tcPr>
            <w:tcW w:w="1866" w:type="dxa"/>
            <w:tcMar>
              <w:top w:w="75" w:type="dxa"/>
              <w:left w:w="150" w:type="dxa"/>
              <w:bottom w:w="75" w:type="dxa"/>
              <w:right w:w="150" w:type="dxa"/>
            </w:tcMar>
            <w:vAlign w:val="center"/>
          </w:tcPr>
          <w:p>
            <w:pPr>
              <w:pStyle w:val="20"/>
              <w:spacing w:before="75" w:beforeAutospacing="0" w:after="75" w:afterAutospacing="0" w:line="560" w:lineRule="exact"/>
              <w:jc w:val="center"/>
              <w:rPr>
                <w:rFonts w:ascii="宋体" w:hAnsi="宋体" w:eastAsia="宋体" w:cs="宋体"/>
                <w:color w:val="000000"/>
              </w:rPr>
            </w:pPr>
            <w:r>
              <w:rPr>
                <w:rFonts w:hint="eastAsia" w:ascii="宋体" w:hAnsi="宋体" w:eastAsia="宋体" w:cs="宋体"/>
                <w:color w:val="000000"/>
              </w:rPr>
              <w:t>收款账号</w:t>
            </w:r>
          </w:p>
        </w:tc>
        <w:tc>
          <w:tcPr>
            <w:tcW w:w="1425" w:type="dxa"/>
            <w:tcMar>
              <w:top w:w="75" w:type="dxa"/>
              <w:left w:w="150" w:type="dxa"/>
              <w:bottom w:w="75" w:type="dxa"/>
              <w:right w:w="150" w:type="dxa"/>
            </w:tcMar>
            <w:vAlign w:val="center"/>
          </w:tcPr>
          <w:p>
            <w:pPr>
              <w:pStyle w:val="20"/>
              <w:spacing w:before="75" w:beforeAutospacing="0" w:after="75" w:afterAutospacing="0" w:line="560" w:lineRule="exact"/>
              <w:jc w:val="center"/>
              <w:rPr>
                <w:rFonts w:ascii="宋体" w:hAnsi="宋体" w:eastAsia="宋体" w:cs="宋体"/>
                <w:color w:val="000000"/>
              </w:rPr>
            </w:pPr>
            <w:r>
              <w:rPr>
                <w:rFonts w:hint="eastAsia" w:ascii="宋体" w:hAnsi="宋体" w:eastAsia="宋体" w:cs="宋体"/>
                <w:color w:val="000000"/>
              </w:rPr>
              <w:t>交付方式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31" w:type="dxa"/>
            <w:tcMar>
              <w:top w:w="75" w:type="dxa"/>
              <w:left w:w="150" w:type="dxa"/>
              <w:bottom w:w="75" w:type="dxa"/>
              <w:right w:w="150" w:type="dxa"/>
            </w:tcMar>
            <w:vAlign w:val="center"/>
          </w:tcPr>
          <w:p>
            <w:pPr>
              <w:pStyle w:val="20"/>
              <w:spacing w:before="75" w:beforeAutospacing="0" w:after="75" w:afterAutospacing="0" w:line="560" w:lineRule="exact"/>
              <w:jc w:val="center"/>
              <w:rPr>
                <w:rFonts w:hint="eastAsia" w:ascii="宋体" w:hAnsi="宋体" w:eastAsia="宋体" w:cs="宋体"/>
                <w:color w:val="000000"/>
                <w:lang w:eastAsia="zh-CN"/>
              </w:rPr>
            </w:pPr>
            <w:r>
              <w:rPr>
                <w:rFonts w:hint="eastAsia" w:ascii="宋体" w:hAnsi="宋体" w:eastAsia="宋体" w:cs="宋体"/>
                <w:color w:val="000000"/>
                <w:lang w:val="en-US" w:eastAsia="zh-CN"/>
              </w:rPr>
              <w:t>1</w:t>
            </w:r>
          </w:p>
        </w:tc>
        <w:tc>
          <w:tcPr>
            <w:tcW w:w="2509" w:type="dxa"/>
            <w:tcMar>
              <w:top w:w="75" w:type="dxa"/>
              <w:left w:w="150" w:type="dxa"/>
              <w:bottom w:w="75" w:type="dxa"/>
              <w:right w:w="150" w:type="dxa"/>
            </w:tcMar>
            <w:vAlign w:val="center"/>
          </w:tcPr>
          <w:p>
            <w:pPr>
              <w:pStyle w:val="20"/>
              <w:spacing w:before="75" w:beforeAutospacing="0" w:after="75" w:afterAutospacing="0" w:line="56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巩留县妇幼保健计划生育服务中心采购医疗设备项目</w:t>
            </w:r>
          </w:p>
        </w:tc>
        <w:tc>
          <w:tcPr>
            <w:tcW w:w="1772" w:type="dxa"/>
            <w:tcMar>
              <w:top w:w="75" w:type="dxa"/>
              <w:left w:w="150" w:type="dxa"/>
              <w:bottom w:w="75" w:type="dxa"/>
              <w:right w:w="150" w:type="dxa"/>
            </w:tcMar>
            <w:vAlign w:val="center"/>
          </w:tcPr>
          <w:p>
            <w:pPr>
              <w:pStyle w:val="20"/>
              <w:spacing w:before="75" w:beforeAutospacing="0" w:after="75" w:afterAutospacing="0" w:line="56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35000</w:t>
            </w:r>
          </w:p>
        </w:tc>
        <w:tc>
          <w:tcPr>
            <w:tcW w:w="1874" w:type="dxa"/>
            <w:tcMar>
              <w:top w:w="75" w:type="dxa"/>
              <w:left w:w="150" w:type="dxa"/>
              <w:bottom w:w="75" w:type="dxa"/>
              <w:right w:w="150" w:type="dxa"/>
            </w:tcMar>
            <w:vAlign w:val="center"/>
          </w:tcPr>
          <w:p>
            <w:pPr>
              <w:pStyle w:val="20"/>
              <w:spacing w:before="75" w:beforeAutospacing="0" w:after="75" w:afterAutospacing="0" w:line="560" w:lineRule="exact"/>
              <w:jc w:val="center"/>
              <w:rPr>
                <w:rFonts w:ascii="宋体" w:hAnsi="宋体" w:eastAsia="宋体" w:cs="宋体"/>
                <w:color w:val="000000"/>
              </w:rPr>
            </w:pPr>
            <w:r>
              <w:rPr>
                <w:rFonts w:hint="eastAsia" w:ascii="宋体" w:hAnsi="宋体" w:eastAsia="宋体" w:cs="宋体"/>
                <w:color w:val="000000"/>
              </w:rPr>
              <w:t>中国农业银行股份有限公司伊宁新华支行</w:t>
            </w:r>
          </w:p>
        </w:tc>
        <w:tc>
          <w:tcPr>
            <w:tcW w:w="1866" w:type="dxa"/>
            <w:tcMar>
              <w:top w:w="75" w:type="dxa"/>
              <w:left w:w="150" w:type="dxa"/>
              <w:bottom w:w="75" w:type="dxa"/>
              <w:right w:w="150" w:type="dxa"/>
            </w:tcMar>
            <w:vAlign w:val="center"/>
          </w:tcPr>
          <w:p>
            <w:pPr>
              <w:pStyle w:val="20"/>
              <w:spacing w:before="75" w:beforeAutospacing="0" w:after="75" w:afterAutospacing="0" w:line="560" w:lineRule="exact"/>
              <w:jc w:val="center"/>
              <w:rPr>
                <w:rFonts w:ascii="宋体" w:hAnsi="宋体" w:eastAsia="宋体" w:cs="宋体"/>
                <w:color w:val="000000"/>
              </w:rPr>
            </w:pPr>
            <w:r>
              <w:rPr>
                <w:rFonts w:hint="eastAsia" w:ascii="宋体" w:hAnsi="宋体" w:eastAsia="宋体" w:cs="宋体"/>
                <w:color w:val="000000"/>
              </w:rPr>
              <w:t>30101001040003044</w:t>
            </w:r>
          </w:p>
        </w:tc>
        <w:tc>
          <w:tcPr>
            <w:tcW w:w="1425" w:type="dxa"/>
            <w:tcMar>
              <w:top w:w="75" w:type="dxa"/>
              <w:left w:w="150" w:type="dxa"/>
              <w:bottom w:w="75" w:type="dxa"/>
              <w:right w:w="150" w:type="dxa"/>
            </w:tcMar>
            <w:vAlign w:val="center"/>
          </w:tcPr>
          <w:p>
            <w:pPr>
              <w:pStyle w:val="20"/>
              <w:spacing w:before="75" w:beforeAutospacing="0" w:after="75" w:afterAutospacing="0" w:line="56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电汇或保函</w:t>
            </w:r>
          </w:p>
        </w:tc>
      </w:tr>
    </w:tbl>
    <w:p>
      <w:pPr>
        <w:pStyle w:val="20"/>
        <w:numPr>
          <w:ilvl w:val="0"/>
          <w:numId w:val="2"/>
        </w:numPr>
        <w:spacing w:before="75" w:beforeAutospacing="0" w:after="75" w:afterAutospacing="0" w:line="560" w:lineRule="exact"/>
        <w:rPr>
          <w:rFonts w:hint="eastAsia" w:ascii="宋体" w:hAnsi="宋体" w:eastAsia="宋体" w:cs="宋体"/>
          <w:color w:val="000000"/>
          <w:lang w:eastAsia="zh-CN"/>
        </w:rPr>
      </w:pPr>
      <w:r>
        <w:rPr>
          <w:rFonts w:hint="eastAsia" w:ascii="宋体" w:hAnsi="宋体" w:eastAsia="宋体" w:cs="宋体"/>
          <w:color w:val="000000"/>
          <w:lang w:eastAsia="zh-CN"/>
        </w:rPr>
        <w:t>本次公告在新疆政府采购网上发布。</w:t>
      </w:r>
    </w:p>
    <w:p>
      <w:pPr>
        <w:pStyle w:val="20"/>
        <w:numPr>
          <w:ilvl w:val="0"/>
          <w:numId w:val="0"/>
        </w:numPr>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十一、 联系方式</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1、采购代理机构名称：法正项目管理集团有限公司</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联系人：</w:t>
      </w:r>
      <w:r>
        <w:rPr>
          <w:rFonts w:hint="eastAsia" w:cs="宋体"/>
          <w:color w:val="000000"/>
        </w:rPr>
        <w:t>刘婷</w:t>
      </w:r>
      <w:r>
        <w:rPr>
          <w:rFonts w:hint="eastAsia" w:ascii="宋体" w:hAnsi="宋体" w:eastAsia="宋体" w:cs="宋体"/>
          <w:color w:val="000000"/>
        </w:rPr>
        <w:t>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联系电话：</w:t>
      </w:r>
      <w:r>
        <w:rPr>
          <w:rFonts w:hint="eastAsia" w:cs="宋体"/>
          <w:color w:val="000000"/>
        </w:rPr>
        <w:t>15276327404</w:t>
      </w:r>
      <w:r>
        <w:rPr>
          <w:rFonts w:hint="eastAsia" w:ascii="宋体" w:hAnsi="宋体" w:eastAsia="宋体" w:cs="宋体"/>
          <w:color w:val="000000"/>
        </w:rPr>
        <w:t>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地址：新疆维吾尔自治区伊犁哈萨克自治州伊宁市新华西路58号3层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2、采购人名称：</w:t>
      </w:r>
      <w:r>
        <w:rPr>
          <w:rFonts w:hint="eastAsia" w:ascii="宋体" w:hAnsi="宋体" w:eastAsia="宋体" w:cs="宋体"/>
          <w:color w:val="000000"/>
          <w:lang w:eastAsia="zh-CN"/>
        </w:rPr>
        <w:t>巩留县妇幼保健院</w:t>
      </w:r>
      <w:r>
        <w:rPr>
          <w:rFonts w:hint="eastAsia" w:ascii="宋体" w:hAnsi="宋体" w:eastAsia="宋体" w:cs="宋体"/>
          <w:color w:val="000000"/>
        </w:rPr>
        <w:t xml:space="preserve">  </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联系人：</w:t>
      </w:r>
      <w:r>
        <w:rPr>
          <w:rFonts w:hint="eastAsia" w:eastAsia="宋体" w:cs="宋体"/>
          <w:color w:val="000000"/>
          <w:lang w:eastAsia="zh-CN"/>
        </w:rPr>
        <w:t>林主任</w:t>
      </w:r>
      <w:r>
        <w:rPr>
          <w:rFonts w:hint="eastAsia" w:ascii="宋体" w:hAnsi="宋体" w:eastAsia="宋体" w:cs="宋体"/>
          <w:color w:val="000000"/>
        </w:rPr>
        <w:t> </w:t>
      </w:r>
    </w:p>
    <w:p>
      <w:pPr>
        <w:pStyle w:val="20"/>
        <w:spacing w:before="75" w:beforeAutospacing="0" w:after="75" w:afterAutospacing="0" w:line="560" w:lineRule="exact"/>
        <w:rPr>
          <w:rFonts w:hint="eastAsia" w:ascii="宋体" w:hAnsi="宋体" w:eastAsia="宋体" w:cs="宋体"/>
          <w:color w:val="000000"/>
          <w:lang w:eastAsia="zh-CN"/>
        </w:rPr>
      </w:pPr>
      <w:r>
        <w:rPr>
          <w:rFonts w:hint="eastAsia" w:ascii="宋体" w:hAnsi="宋体" w:eastAsia="宋体" w:cs="宋体"/>
          <w:color w:val="000000"/>
        </w:rPr>
        <w:t>联系电话：</w:t>
      </w:r>
      <w:r>
        <w:rPr>
          <w:rFonts w:hint="eastAsia" w:ascii="宋体" w:hAnsi="宋体" w:eastAsia="宋体" w:cs="宋体"/>
          <w:color w:val="000000"/>
          <w:lang w:eastAsia="zh-CN"/>
        </w:rPr>
        <w:t>13779550071</w:t>
      </w:r>
    </w:p>
    <w:p>
      <w:pPr>
        <w:pStyle w:val="20"/>
        <w:spacing w:before="75" w:beforeAutospacing="0" w:after="75" w:afterAutospacing="0" w:line="560" w:lineRule="exact"/>
        <w:rPr>
          <w:rFonts w:ascii="宋体" w:hAnsi="宋体" w:eastAsia="宋体" w:cs="宋体"/>
          <w:color w:val="000000"/>
        </w:rPr>
      </w:pPr>
      <w:r>
        <w:rPr>
          <w:rFonts w:hint="eastAsia" w:eastAsia="宋体" w:cs="宋体"/>
          <w:color w:val="000000"/>
        </w:rPr>
        <w:t>3、</w:t>
      </w:r>
      <w:r>
        <w:rPr>
          <w:rFonts w:ascii="宋体" w:hAnsi="宋体" w:eastAsia="宋体" w:cs="宋体"/>
          <w:color w:val="000000"/>
        </w:rPr>
        <w:t>同级政府采购监督管理部门名称：</w:t>
      </w:r>
      <w:r>
        <w:rPr>
          <w:rFonts w:hint="eastAsia" w:ascii="宋体" w:hAnsi="宋体" w:eastAsia="宋体" w:cs="宋体"/>
          <w:color w:val="000000"/>
          <w:lang w:eastAsia="zh-CN"/>
        </w:rPr>
        <w:t>巩留县采购办</w:t>
      </w:r>
      <w:r>
        <w:rPr>
          <w:rFonts w:ascii="宋体" w:hAnsi="宋体" w:eastAsia="宋体" w:cs="宋体"/>
          <w:color w:val="000000"/>
        </w:rPr>
        <w:t> </w:t>
      </w:r>
    </w:p>
    <w:p>
      <w:pPr>
        <w:pStyle w:val="20"/>
        <w:spacing w:before="75" w:beforeAutospacing="0" w:after="75" w:afterAutospacing="0" w:line="560" w:lineRule="exact"/>
        <w:rPr>
          <w:rFonts w:hint="eastAsia" w:ascii="宋体" w:hAnsi="宋体" w:eastAsia="宋体" w:cs="宋体"/>
          <w:color w:val="000000"/>
          <w:lang w:val="en-US" w:eastAsia="zh-CN"/>
        </w:rPr>
      </w:pPr>
      <w:r>
        <w:rPr>
          <w:rFonts w:ascii="宋体" w:hAnsi="宋体" w:eastAsia="宋体" w:cs="宋体"/>
          <w:color w:val="000000"/>
        </w:rPr>
        <w:t>联系人：</w:t>
      </w:r>
      <w:r>
        <w:rPr>
          <w:rFonts w:hint="eastAsia" w:ascii="宋体" w:hAnsi="宋体" w:eastAsia="宋体" w:cs="宋体"/>
          <w:color w:val="000000"/>
          <w:lang w:eastAsia="zh-CN"/>
        </w:rPr>
        <w:t>刘欣</w:t>
      </w:r>
    </w:p>
    <w:p>
      <w:pPr>
        <w:pStyle w:val="20"/>
        <w:spacing w:before="75" w:beforeAutospacing="0" w:after="75" w:afterAutospacing="0" w:line="560" w:lineRule="exact"/>
        <w:rPr>
          <w:rFonts w:ascii="宋体" w:hAnsi="宋体" w:eastAsia="宋体" w:cs="宋体"/>
          <w:color w:val="000000"/>
        </w:rPr>
      </w:pPr>
      <w:r>
        <w:rPr>
          <w:rFonts w:hint="eastAsia" w:ascii="宋体" w:hAnsi="宋体" w:eastAsia="宋体" w:cs="宋体"/>
          <w:color w:val="000000"/>
        </w:rPr>
        <w:t>电 话：18909991207</w:t>
      </w:r>
    </w:p>
    <w:p/>
    <w:p>
      <w:pPr>
        <w:pStyle w:val="20"/>
        <w:spacing w:before="75" w:beforeAutospacing="0" w:after="75" w:afterAutospacing="0" w:line="560" w:lineRule="exact"/>
        <w:rPr>
          <w:rFonts w:ascii="宋体" w:hAnsi="宋体" w:eastAsia="宋体" w:cs="宋体"/>
          <w:color w:val="000000"/>
        </w:rPr>
      </w:pPr>
    </w:p>
    <w:p>
      <w:pPr>
        <w:pStyle w:val="20"/>
        <w:spacing w:before="75" w:beforeAutospacing="0" w:after="75" w:afterAutospacing="0" w:line="560" w:lineRule="exact"/>
        <w:rPr>
          <w:rFonts w:ascii="宋体" w:hAnsi="宋体" w:eastAsia="宋体" w:cs="宋体"/>
          <w:color w:val="000000"/>
        </w:rPr>
      </w:pPr>
    </w:p>
    <w:p>
      <w:pPr>
        <w:pStyle w:val="20"/>
        <w:spacing w:before="75" w:beforeAutospacing="0" w:after="75" w:afterAutospacing="0" w:line="560" w:lineRule="exact"/>
        <w:rPr>
          <w:rFonts w:ascii="宋体" w:hAnsi="宋体" w:eastAsia="宋体" w:cs="宋体"/>
          <w:color w:val="000000"/>
        </w:rPr>
      </w:pPr>
    </w:p>
    <w:p>
      <w:pPr>
        <w:pStyle w:val="20"/>
        <w:spacing w:before="75" w:beforeAutospacing="0" w:after="75" w:afterAutospacing="0" w:line="560" w:lineRule="exact"/>
        <w:rPr>
          <w:rFonts w:ascii="宋体" w:hAnsi="宋体" w:eastAsia="宋体" w:cs="宋体"/>
          <w:color w:val="000000"/>
        </w:rPr>
      </w:pPr>
    </w:p>
    <w:p>
      <w:pPr>
        <w:pStyle w:val="20"/>
        <w:spacing w:before="75" w:beforeAutospacing="0" w:after="75" w:afterAutospacing="0" w:line="560" w:lineRule="exact"/>
        <w:rPr>
          <w:rFonts w:ascii="宋体" w:hAnsi="宋体" w:eastAsia="宋体" w:cs="宋体"/>
          <w:color w:val="000000"/>
        </w:rPr>
      </w:pPr>
    </w:p>
    <w:p>
      <w:pPr>
        <w:pStyle w:val="20"/>
        <w:spacing w:before="75" w:beforeAutospacing="0" w:after="75" w:afterAutospacing="0" w:line="560" w:lineRule="exact"/>
        <w:rPr>
          <w:rFonts w:ascii="宋体" w:hAnsi="宋体" w:eastAsia="宋体" w:cs="宋体"/>
          <w:color w:val="000000"/>
        </w:rPr>
      </w:pPr>
    </w:p>
    <w:p>
      <w:pPr>
        <w:pStyle w:val="20"/>
        <w:spacing w:before="75" w:beforeAutospacing="0" w:after="75" w:afterAutospacing="0" w:line="560" w:lineRule="exact"/>
        <w:rPr>
          <w:rFonts w:ascii="宋体" w:hAnsi="宋体" w:eastAsia="宋体" w:cs="宋体"/>
          <w:color w:val="000000"/>
        </w:rPr>
      </w:pPr>
    </w:p>
    <w:p>
      <w:pPr>
        <w:pStyle w:val="20"/>
        <w:spacing w:before="75" w:beforeAutospacing="0" w:after="75" w:afterAutospacing="0" w:line="560" w:lineRule="exact"/>
        <w:rPr>
          <w:rFonts w:ascii="宋体" w:hAnsi="宋体" w:eastAsia="宋体" w:cs="宋体"/>
          <w:color w:val="000000"/>
        </w:rPr>
      </w:pPr>
    </w:p>
    <w:p>
      <w:pPr>
        <w:pStyle w:val="20"/>
        <w:spacing w:before="75" w:beforeAutospacing="0" w:after="75" w:afterAutospacing="0" w:line="560" w:lineRule="exact"/>
        <w:rPr>
          <w:rFonts w:ascii="宋体" w:hAnsi="宋体" w:eastAsia="宋体" w:cs="宋体"/>
          <w:color w:val="000000"/>
        </w:rPr>
      </w:pPr>
    </w:p>
    <w:p>
      <w:pPr>
        <w:pStyle w:val="3"/>
        <w:numPr>
          <w:ilvl w:val="0"/>
          <w:numId w:val="0"/>
        </w:numPr>
        <w:spacing w:line="500" w:lineRule="exact"/>
        <w:jc w:val="center"/>
        <w:rPr>
          <w:rFonts w:ascii="宋体" w:hAnsi="宋体" w:cs="宋体"/>
          <w:sz w:val="30"/>
          <w:szCs w:val="30"/>
        </w:rPr>
      </w:pPr>
      <w:r>
        <w:rPr>
          <w:rFonts w:hint="eastAsia" w:ascii="宋体" w:hAnsi="宋体" w:cs="宋体"/>
          <w:sz w:val="30"/>
          <w:szCs w:val="30"/>
        </w:rPr>
        <w:t>第二部分  供应商须知</w:t>
      </w:r>
      <w:bookmarkEnd w:id="0"/>
      <w:bookmarkEnd w:id="1"/>
      <w:bookmarkEnd w:id="2"/>
      <w:bookmarkEnd w:id="3"/>
      <w:bookmarkEnd w:id="4"/>
    </w:p>
    <w:p>
      <w:pPr>
        <w:pStyle w:val="4"/>
        <w:spacing w:before="0" w:after="100" w:line="500" w:lineRule="exact"/>
        <w:jc w:val="center"/>
        <w:rPr>
          <w:rFonts w:ascii="宋体" w:hAnsi="宋体" w:cs="宋体"/>
        </w:rPr>
      </w:pPr>
      <w:bookmarkStart w:id="5" w:name="_Toc298240404"/>
      <w:bookmarkStart w:id="6" w:name="_Toc267301281"/>
      <w:bookmarkStart w:id="7" w:name="_Toc349637919"/>
      <w:bookmarkStart w:id="8" w:name="_Toc527642951"/>
      <w:bookmarkStart w:id="9" w:name="_Toc349573120"/>
      <w:r>
        <w:rPr>
          <w:rFonts w:hint="eastAsia" w:ascii="宋体" w:hAnsi="宋体" w:eastAsia="宋体" w:cs="宋体"/>
          <w:sz w:val="30"/>
          <w:szCs w:val="30"/>
        </w:rPr>
        <w:t>供应商须知附表</w:t>
      </w:r>
      <w:bookmarkEnd w:id="5"/>
      <w:bookmarkEnd w:id="6"/>
      <w:bookmarkEnd w:id="7"/>
      <w:bookmarkEnd w:id="8"/>
      <w:bookmarkEnd w:id="9"/>
      <w:bookmarkStart w:id="10" w:name="_Toc363474017"/>
      <w:bookmarkStart w:id="11" w:name="_Toc403077639"/>
      <w:bookmarkStart w:id="12" w:name="_Toc363473972"/>
    </w:p>
    <w:tbl>
      <w:tblPr>
        <w:tblStyle w:val="24"/>
        <w:tblW w:w="961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21"/>
        <w:gridCol w:w="2279"/>
        <w:gridCol w:w="651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21" w:type="dxa"/>
            <w:tcBorders>
              <w:top w:val="single" w:color="auto" w:sz="18" w:space="0"/>
              <w:left w:val="single" w:color="auto" w:sz="1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 xml:space="preserve">序号 </w:t>
            </w:r>
          </w:p>
        </w:tc>
        <w:tc>
          <w:tcPr>
            <w:tcW w:w="2279" w:type="dxa"/>
            <w:tcBorders>
              <w:top w:val="single" w:color="auto" w:sz="1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内容</w:t>
            </w:r>
          </w:p>
        </w:tc>
        <w:tc>
          <w:tcPr>
            <w:tcW w:w="6517" w:type="dxa"/>
            <w:tcBorders>
              <w:top w:val="single" w:color="auto" w:sz="18" w:space="0"/>
              <w:left w:val="single" w:color="auto" w:sz="8" w:space="0"/>
              <w:bottom w:val="single" w:color="auto" w:sz="8" w:space="0"/>
              <w:right w:val="single" w:color="auto" w:sz="18" w:space="0"/>
            </w:tcBorders>
            <w:vAlign w:val="center"/>
          </w:tcPr>
          <w:p>
            <w:pPr>
              <w:pStyle w:val="52"/>
              <w:spacing w:line="400" w:lineRule="exact"/>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采购人</w:t>
            </w:r>
          </w:p>
        </w:tc>
        <w:tc>
          <w:tcPr>
            <w:tcW w:w="6517" w:type="dxa"/>
            <w:tcBorders>
              <w:top w:val="single" w:color="auto" w:sz="8" w:space="0"/>
              <w:left w:val="single" w:color="auto" w:sz="8" w:space="0"/>
              <w:bottom w:val="single" w:color="auto" w:sz="8" w:space="0"/>
              <w:right w:val="single" w:color="auto" w:sz="18" w:space="0"/>
            </w:tcBorders>
            <w:vAlign w:val="center"/>
          </w:tcPr>
          <w:p>
            <w:pPr>
              <w:spacing w:line="400" w:lineRule="exact"/>
              <w:rPr>
                <w:rFonts w:hint="eastAsia" w:ascii="宋体" w:hAnsi="宋体" w:eastAsia="宋体" w:cs="宋体"/>
                <w:sz w:val="24"/>
                <w:szCs w:val="24"/>
                <w:lang w:eastAsia="zh-CN"/>
              </w:rPr>
            </w:pPr>
            <w:r>
              <w:rPr>
                <w:rFonts w:hint="eastAsia" w:ascii="宋体" w:hAnsi="宋体" w:cs="宋体"/>
                <w:sz w:val="24"/>
                <w:szCs w:val="24"/>
              </w:rPr>
              <w:t>采 购 人：</w:t>
            </w:r>
            <w:r>
              <w:rPr>
                <w:rFonts w:hint="eastAsia" w:ascii="宋体" w:hAnsi="宋体" w:cs="宋体"/>
                <w:sz w:val="24"/>
                <w:szCs w:val="24"/>
                <w:lang w:eastAsia="zh-CN"/>
              </w:rPr>
              <w:t>巩留县妇幼保健院</w:t>
            </w:r>
          </w:p>
          <w:p>
            <w:pPr>
              <w:spacing w:line="400" w:lineRule="exact"/>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lang w:eastAsia="zh-CN"/>
              </w:rPr>
              <w:t>林主任</w:t>
            </w:r>
            <w:r>
              <w:rPr>
                <w:rFonts w:hint="eastAsia" w:ascii="宋体" w:hAnsi="宋体" w:cs="宋体"/>
                <w:sz w:val="24"/>
                <w:szCs w:val="24"/>
              </w:rPr>
              <w:t xml:space="preserve">      地址：伊宁市</w:t>
            </w:r>
          </w:p>
          <w:p>
            <w:pPr>
              <w:pStyle w:val="52"/>
              <w:spacing w:line="400" w:lineRule="exact"/>
              <w:rPr>
                <w:rFonts w:hint="eastAsia" w:eastAsia="宋体"/>
                <w:kern w:val="2"/>
                <w:lang w:eastAsia="zh-CN"/>
              </w:rPr>
            </w:pPr>
            <w:r>
              <w:rPr>
                <w:rFonts w:hint="eastAsia"/>
              </w:rPr>
              <w:t>电    话：</w:t>
            </w:r>
            <w:r>
              <w:rPr>
                <w:rFonts w:hint="eastAsia"/>
                <w:lang w:eastAsia="zh-CN"/>
              </w:rPr>
              <w:t>13779550071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70"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采购代理机构</w:t>
            </w:r>
          </w:p>
        </w:tc>
        <w:tc>
          <w:tcPr>
            <w:tcW w:w="6517"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宋体" w:hAnsi="宋体" w:cs="宋体"/>
                <w:sz w:val="24"/>
                <w:szCs w:val="24"/>
              </w:rPr>
            </w:pPr>
            <w:r>
              <w:rPr>
                <w:rFonts w:hint="eastAsia" w:ascii="宋体" w:hAnsi="宋体" w:cs="宋体"/>
                <w:sz w:val="24"/>
                <w:szCs w:val="24"/>
              </w:rPr>
              <w:t>采购代理机构：法正项目管理集团有限公司伊犁分公司</w:t>
            </w:r>
          </w:p>
          <w:p>
            <w:pPr>
              <w:spacing w:line="400" w:lineRule="exact"/>
              <w:rPr>
                <w:rFonts w:ascii="宋体" w:hAnsi="宋体" w:cs="宋体"/>
                <w:sz w:val="24"/>
                <w:szCs w:val="24"/>
              </w:rPr>
            </w:pPr>
            <w:r>
              <w:rPr>
                <w:rFonts w:hint="eastAsia" w:ascii="宋体" w:hAnsi="宋体" w:cs="宋体"/>
                <w:sz w:val="24"/>
                <w:szCs w:val="24"/>
              </w:rPr>
              <w:t xml:space="preserve">地  址：新疆维吾尔自治区伊犁哈萨克自治州伊宁市新华西路58号3层 </w:t>
            </w:r>
          </w:p>
          <w:p>
            <w:pPr>
              <w:spacing w:line="400" w:lineRule="exact"/>
              <w:rPr>
                <w:rFonts w:ascii="宋体" w:hAnsi="宋体" w:cs="宋体"/>
                <w:sz w:val="24"/>
                <w:szCs w:val="24"/>
              </w:rPr>
            </w:pPr>
            <w:r>
              <w:rPr>
                <w:rFonts w:hint="eastAsia" w:ascii="宋体" w:hAnsi="宋体" w:cs="宋体"/>
                <w:sz w:val="24"/>
                <w:szCs w:val="24"/>
              </w:rPr>
              <w:t xml:space="preserve">联 系 人：刘婷                </w:t>
            </w:r>
          </w:p>
          <w:p>
            <w:pPr>
              <w:pStyle w:val="52"/>
              <w:spacing w:line="400" w:lineRule="exact"/>
              <w:rPr>
                <w:lang w:val="zh-CN"/>
              </w:rPr>
            </w:pPr>
            <w:r>
              <w:rPr>
                <w:rFonts w:hint="eastAsia"/>
              </w:rPr>
              <w:t xml:space="preserve">电    话：15276327404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2"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采购项目名称</w:t>
            </w:r>
          </w:p>
        </w:tc>
        <w:tc>
          <w:tcPr>
            <w:tcW w:w="6517" w:type="dxa"/>
            <w:tcBorders>
              <w:top w:val="single" w:color="auto" w:sz="8" w:space="0"/>
              <w:left w:val="single" w:color="auto" w:sz="8" w:space="0"/>
              <w:bottom w:val="single" w:color="auto" w:sz="8" w:space="0"/>
              <w:right w:val="single" w:color="auto" w:sz="18" w:space="0"/>
            </w:tcBorders>
            <w:vAlign w:val="center"/>
          </w:tcPr>
          <w:p>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巩留县妇幼保健计划生育服务中心采购医疗设备项目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采购项目编号</w:t>
            </w:r>
          </w:p>
        </w:tc>
        <w:tc>
          <w:tcPr>
            <w:tcW w:w="6517" w:type="dxa"/>
            <w:tcBorders>
              <w:top w:val="single" w:color="auto" w:sz="8" w:space="0"/>
              <w:left w:val="single" w:color="auto" w:sz="8" w:space="0"/>
              <w:bottom w:val="single" w:color="auto" w:sz="8" w:space="0"/>
              <w:right w:val="single" w:color="auto" w:sz="18" w:space="0"/>
            </w:tcBorders>
            <w:vAlign w:val="center"/>
          </w:tcPr>
          <w:p>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FZYL202223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1"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资金来源</w:t>
            </w:r>
          </w:p>
        </w:tc>
        <w:tc>
          <w:tcPr>
            <w:tcW w:w="6517"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宋体" w:hAnsi="宋体" w:cs="宋体"/>
                <w:sz w:val="24"/>
                <w:szCs w:val="24"/>
              </w:rPr>
            </w:pPr>
            <w:r>
              <w:rPr>
                <w:rFonts w:hint="eastAsia" w:ascii="宋体" w:hAnsi="宋体" w:cs="宋体"/>
                <w:sz w:val="24"/>
                <w:szCs w:val="24"/>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8"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采购预算金额</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pPr>
            <w:r>
              <w:rPr>
                <w:rFonts w:hint="eastAsia"/>
                <w:lang w:val="en-US" w:eastAsia="zh-CN"/>
              </w:rPr>
              <w:t>1800000元</w:t>
            </w:r>
            <w:r>
              <w:rPr>
                <w:rFonts w:hint="eastAsi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8"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采购方式</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jc w:val="both"/>
              <w:rPr>
                <w:lang w:val="zh-CN"/>
              </w:rPr>
            </w:pPr>
            <w:r>
              <w:rPr>
                <w:rFonts w:hint="eastAsia"/>
                <w:lang w:val="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1"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采购内容</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jc w:val="both"/>
              <w:rPr>
                <w:lang w:val="zh-CN"/>
              </w:rPr>
            </w:pPr>
            <w:r>
              <w:rPr>
                <w:rFonts w:hint="eastAsia"/>
                <w:lang w:val="zh-CN"/>
              </w:rPr>
              <w:t>磋商文件及补充文件范围内全部内容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0"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交货期</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rPr>
                <w:rFonts w:hint="eastAsia"/>
              </w:rPr>
            </w:pPr>
            <w:r>
              <w:rPr>
                <w:rFonts w:hint="eastAsia"/>
                <w:lang w:eastAsia="zh-CN"/>
              </w:rPr>
              <w:t>国产设备：自</w:t>
            </w:r>
            <w:r>
              <w:rPr>
                <w:rFonts w:hint="eastAsia"/>
              </w:rPr>
              <w:t>合同签订后</w:t>
            </w:r>
            <w:r>
              <w:rPr>
                <w:rFonts w:hint="eastAsia"/>
                <w:lang w:val="en-US" w:eastAsia="zh-CN"/>
              </w:rPr>
              <w:t>30</w:t>
            </w:r>
            <w:r>
              <w:rPr>
                <w:rFonts w:hint="eastAsia"/>
              </w:rPr>
              <w:t>天内</w:t>
            </w:r>
            <w:r>
              <w:rPr>
                <w:rFonts w:hint="eastAsia"/>
                <w:lang w:eastAsia="zh-CN"/>
              </w:rPr>
              <w:t>交货并</w:t>
            </w:r>
            <w:r>
              <w:rPr>
                <w:rFonts w:hint="eastAsia"/>
              </w:rPr>
              <w:t>安装调试完毕。</w:t>
            </w:r>
          </w:p>
          <w:p>
            <w:pPr>
              <w:pStyle w:val="52"/>
              <w:spacing w:line="400" w:lineRule="exact"/>
            </w:pPr>
            <w:r>
              <w:rPr>
                <w:rFonts w:hint="eastAsia"/>
                <w:lang w:eastAsia="zh-CN"/>
              </w:rPr>
              <w:t>进口设备：自</w:t>
            </w:r>
            <w:r>
              <w:rPr>
                <w:rFonts w:hint="eastAsia"/>
              </w:rPr>
              <w:t>合同签订后</w:t>
            </w:r>
            <w:r>
              <w:rPr>
                <w:rFonts w:hint="eastAsia"/>
                <w:lang w:val="en-US" w:eastAsia="zh-CN"/>
              </w:rPr>
              <w:t>60</w:t>
            </w:r>
            <w:r>
              <w:rPr>
                <w:rFonts w:hint="eastAsia"/>
              </w:rPr>
              <w:t>天内</w:t>
            </w:r>
            <w:r>
              <w:rPr>
                <w:rFonts w:hint="eastAsia"/>
                <w:lang w:eastAsia="zh-CN"/>
              </w:rPr>
              <w:t>交货并</w:t>
            </w:r>
            <w:r>
              <w:rPr>
                <w:rFonts w:hint="eastAsia"/>
              </w:rPr>
              <w:t>安装调试完毕。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质量要求、验收标准</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jc w:val="both"/>
              <w:rPr>
                <w:lang w:val="zh-CN"/>
              </w:rPr>
            </w:pPr>
            <w:r>
              <w:rPr>
                <w:rFonts w:hint="eastAsia"/>
                <w:lang w:val="zh-CN"/>
              </w:rPr>
              <w:t>质量要求：合格。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付款方式</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pPr>
            <w:r>
              <w:rPr>
                <w:rFonts w:hint="eastAsia"/>
                <w:lang w:eastAsia="zh-CN"/>
              </w:rPr>
              <w:t>签订合同时约定</w:t>
            </w:r>
            <w:r>
              <w:rPr>
                <w:rFonts w:hint="eastAsi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4"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转包与分包履约</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rPr>
                <w:lang w:val="zh-CN"/>
              </w:rPr>
            </w:pPr>
            <w:r>
              <w:rPr>
                <w:rFonts w:hint="eastAsia"/>
                <w:lang w:val="zh-CN"/>
              </w:rPr>
              <w:t>本项目不得转包及分包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9"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响应文件首次递交截止时间</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pPr>
            <w:r>
              <w:rPr>
                <w:rFonts w:hint="eastAsia"/>
                <w:color w:val="000000"/>
              </w:rPr>
              <w:t>202</w:t>
            </w:r>
            <w:r>
              <w:rPr>
                <w:rFonts w:hint="eastAsia"/>
                <w:color w:val="000000"/>
                <w:lang w:val="en-US" w:eastAsia="zh-CN"/>
              </w:rPr>
              <w:t>2</w:t>
            </w:r>
            <w:r>
              <w:rPr>
                <w:rFonts w:hint="eastAsia"/>
                <w:color w:val="000000"/>
              </w:rPr>
              <w:t>年</w:t>
            </w:r>
            <w:r>
              <w:rPr>
                <w:rFonts w:hint="eastAsia"/>
                <w:color w:val="000000"/>
                <w:lang w:val="en-US" w:eastAsia="zh-CN"/>
              </w:rPr>
              <w:t>8</w:t>
            </w:r>
            <w:r>
              <w:rPr>
                <w:rFonts w:hint="eastAsia"/>
                <w:color w:val="000000"/>
              </w:rPr>
              <w:t>月</w:t>
            </w:r>
            <w:r>
              <w:rPr>
                <w:rFonts w:hint="eastAsia"/>
                <w:color w:val="000000"/>
                <w:lang w:val="en-US" w:eastAsia="zh-CN"/>
              </w:rPr>
              <w:t>15</w:t>
            </w:r>
            <w:bookmarkStart w:id="48" w:name="_GoBack"/>
            <w:bookmarkEnd w:id="48"/>
            <w:r>
              <w:rPr>
                <w:rFonts w:hint="eastAsia"/>
                <w:color w:val="000000"/>
              </w:rPr>
              <w:t xml:space="preserve">日 </w:t>
            </w:r>
            <w:r>
              <w:rPr>
                <w:rFonts w:hint="eastAsia"/>
                <w:color w:val="000000"/>
                <w:lang w:eastAsia="zh-CN"/>
              </w:rPr>
              <w:t>上</w:t>
            </w:r>
            <w:r>
              <w:rPr>
                <w:rFonts w:hint="eastAsia"/>
                <w:color w:val="000000"/>
              </w:rPr>
              <w:t>午1</w:t>
            </w:r>
            <w:r>
              <w:rPr>
                <w:rFonts w:hint="eastAsia"/>
                <w:color w:val="000000"/>
                <w:lang w:val="en-US" w:eastAsia="zh-CN"/>
              </w:rPr>
              <w:t>1</w:t>
            </w:r>
            <w:r>
              <w:rPr>
                <w:rFonts w:hint="eastAsia"/>
                <w:color w:val="000000"/>
              </w:rPr>
              <w:t>:</w:t>
            </w:r>
            <w:r>
              <w:rPr>
                <w:rFonts w:hint="eastAsia"/>
                <w:color w:val="000000"/>
                <w:lang w:val="en-US" w:eastAsia="zh-CN"/>
              </w:rPr>
              <w:t>0</w:t>
            </w:r>
            <w:r>
              <w:rPr>
                <w:rFonts w:hint="eastAsia"/>
                <w:color w:val="000000"/>
              </w:rPr>
              <w:t>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磋商有效期</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jc w:val="both"/>
              <w:rPr>
                <w:lang w:val="zh-CN"/>
              </w:rPr>
            </w:pPr>
            <w:r>
              <w:rPr>
                <w:rFonts w:hint="eastAsia"/>
                <w:lang w:val="zh-CN"/>
              </w:rPr>
              <w:t>从磋商截止日起90日历</w:t>
            </w:r>
            <w:r>
              <w:rPr>
                <w:rFonts w:hint="eastAsia"/>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0"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磋商保证金</w:t>
            </w:r>
          </w:p>
        </w:tc>
        <w:tc>
          <w:tcPr>
            <w:tcW w:w="6517" w:type="dxa"/>
            <w:tcBorders>
              <w:top w:val="single" w:color="auto" w:sz="8" w:space="0"/>
              <w:left w:val="single" w:color="auto" w:sz="8" w:space="0"/>
              <w:bottom w:val="single" w:color="auto" w:sz="8" w:space="0"/>
              <w:right w:val="single" w:color="auto" w:sz="18" w:space="0"/>
            </w:tcBorders>
            <w:vAlign w:val="center"/>
          </w:tcPr>
          <w:p>
            <w:pPr>
              <w:spacing w:line="400" w:lineRule="exact"/>
              <w:rPr>
                <w:rFonts w:hint="default" w:ascii="宋体" w:hAnsi="宋体" w:eastAsia="宋体" w:cs="宋体"/>
                <w:sz w:val="24"/>
                <w:szCs w:val="24"/>
                <w:lang w:val="en-US" w:eastAsia="zh-CN"/>
              </w:rPr>
            </w:pPr>
            <w:r>
              <w:rPr>
                <w:rFonts w:hint="eastAsia" w:ascii="宋体" w:hAnsi="宋体" w:cs="宋体"/>
                <w:sz w:val="24"/>
                <w:szCs w:val="24"/>
              </w:rPr>
              <w:t>金    额：</w:t>
            </w:r>
            <w:r>
              <w:rPr>
                <w:rFonts w:hint="eastAsia" w:ascii="宋体" w:hAnsi="宋体" w:cs="宋体"/>
                <w:sz w:val="24"/>
                <w:szCs w:val="24"/>
                <w:lang w:val="en-US" w:eastAsia="zh-CN"/>
              </w:rPr>
              <w:t>35000元</w:t>
            </w:r>
          </w:p>
          <w:p>
            <w:pPr>
              <w:spacing w:line="400" w:lineRule="exact"/>
              <w:rPr>
                <w:rFonts w:ascii="宋体" w:hAnsi="宋体" w:cs="宋体"/>
                <w:sz w:val="24"/>
                <w:szCs w:val="24"/>
              </w:rPr>
            </w:pPr>
            <w:r>
              <w:rPr>
                <w:rFonts w:hint="eastAsia" w:ascii="宋体" w:hAnsi="宋体" w:cs="宋体"/>
                <w:sz w:val="24"/>
                <w:szCs w:val="24"/>
              </w:rPr>
              <w:t>交款方式：保证金应使用人民币，以银行转账从基本账户转出。</w:t>
            </w:r>
          </w:p>
          <w:p>
            <w:pPr>
              <w:spacing w:line="400" w:lineRule="exact"/>
              <w:rPr>
                <w:rFonts w:ascii="宋体" w:hAnsi="宋体" w:cs="宋体"/>
                <w:b/>
                <w:bCs/>
                <w:sz w:val="24"/>
                <w:szCs w:val="24"/>
              </w:rPr>
            </w:pPr>
            <w:r>
              <w:rPr>
                <w:rFonts w:hint="eastAsia" w:ascii="宋体" w:hAnsi="宋体" w:cs="宋体"/>
                <w:b/>
                <w:bCs/>
                <w:sz w:val="24"/>
                <w:szCs w:val="24"/>
              </w:rPr>
              <w:t>收取保证金单位名称：法正项目管理集团有限公司伊犁分公司开户行名称：中国农业银行股份有限公司伊宁新华支行</w:t>
            </w:r>
          </w:p>
          <w:p>
            <w:pPr>
              <w:spacing w:line="400" w:lineRule="exact"/>
              <w:rPr>
                <w:rFonts w:ascii="宋体" w:hAnsi="宋体" w:cs="宋体"/>
                <w:b/>
                <w:bCs/>
                <w:sz w:val="24"/>
                <w:szCs w:val="24"/>
              </w:rPr>
            </w:pPr>
            <w:r>
              <w:rPr>
                <w:rFonts w:hint="eastAsia" w:ascii="宋体" w:hAnsi="宋体" w:cs="宋体"/>
                <w:b/>
                <w:bCs/>
                <w:sz w:val="24"/>
                <w:szCs w:val="24"/>
              </w:rPr>
              <w:t>帐      号：30101001040003044</w:t>
            </w:r>
          </w:p>
          <w:p>
            <w:pPr>
              <w:spacing w:line="400" w:lineRule="exact"/>
              <w:rPr>
                <w:rFonts w:ascii="宋体" w:hAnsi="宋体" w:cs="宋体"/>
                <w:b/>
                <w:bCs/>
                <w:sz w:val="24"/>
                <w:szCs w:val="24"/>
              </w:rPr>
            </w:pPr>
            <w:r>
              <w:rPr>
                <w:rFonts w:hint="eastAsia" w:ascii="宋体" w:hAnsi="宋体" w:cs="宋体"/>
                <w:b/>
                <w:bCs/>
                <w:sz w:val="24"/>
                <w:szCs w:val="24"/>
              </w:rPr>
              <w:t>联  系  人：马女士13999724000</w:t>
            </w:r>
          </w:p>
          <w:p>
            <w:pPr>
              <w:spacing w:line="400" w:lineRule="exact"/>
              <w:rPr>
                <w:rFonts w:ascii="宋体" w:hAnsi="宋体" w:cs="宋体"/>
                <w:b/>
                <w:sz w:val="24"/>
                <w:szCs w:val="24"/>
              </w:rPr>
            </w:pPr>
            <w:r>
              <w:rPr>
                <w:rFonts w:hint="eastAsia" w:ascii="宋体" w:hAnsi="宋体" w:cs="宋体"/>
                <w:color w:val="000000"/>
                <w:sz w:val="24"/>
                <w:szCs w:val="24"/>
              </w:rPr>
              <w:t>在递交的磋商保证金转账单附注说明中写清：项目名称（有标段号的需著名标段号）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备选磋商方案和报价</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rPr>
                <w:lang w:val="zh-CN"/>
              </w:rPr>
            </w:pPr>
            <w:r>
              <w:rPr>
                <w:rFonts w:hint="eastAsia"/>
                <w:lang w:val="zh-CN"/>
              </w:rPr>
              <w:t>不接受备选磋商方案和多个报价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签字盖章</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rPr>
                <w:lang w:val="zh-CN"/>
              </w:rPr>
            </w:pPr>
            <w:r>
              <w:rPr>
                <w:rFonts w:hint="eastAsia"/>
                <w:lang w:val="zh-CN"/>
              </w:rPr>
              <w:t>供应商必须按照磋商文件的规定和要求签字或盖章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6"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响应文件份数</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numPr>
                <w:ilvl w:val="0"/>
                <w:numId w:val="4"/>
              </w:numPr>
              <w:spacing w:line="400" w:lineRule="exact"/>
            </w:pPr>
            <w:r>
              <w:rPr>
                <w:rFonts w:hint="eastAsia"/>
                <w:lang w:val="zh-CN"/>
              </w:rPr>
              <w:t>正本1份；副本</w:t>
            </w:r>
            <w:r>
              <w:rPr>
                <w:rFonts w:hint="eastAsia"/>
              </w:rPr>
              <w:t>贰</w:t>
            </w:r>
            <w:r>
              <w:rPr>
                <w:rFonts w:hint="eastAsia"/>
                <w:lang w:val="zh-CN"/>
              </w:rPr>
              <w:t>份；</w:t>
            </w:r>
            <w:r>
              <w:rPr>
                <w:rFonts w:hint="eastAsia"/>
              </w:rPr>
              <w:t>电子文件（光盘和优盘各一个）</w:t>
            </w:r>
          </w:p>
          <w:p>
            <w:pPr>
              <w:pStyle w:val="52"/>
              <w:spacing w:line="400" w:lineRule="exact"/>
              <w:rPr>
                <w:u w:val="single"/>
                <w:lang w:val="zh-CN"/>
              </w:rPr>
            </w:pPr>
            <w:r>
              <w:rPr>
                <w:rFonts w:hint="eastAsia"/>
              </w:rPr>
              <w:t>2、磋商响应文件装订要求：胶装。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0"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响应文件的装订</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rPr>
                <w:lang w:val="zh-CN"/>
              </w:rPr>
            </w:pPr>
            <w:r>
              <w:rPr>
                <w:rFonts w:hint="eastAsia"/>
                <w:lang w:val="zh-CN"/>
              </w:rPr>
              <w:t>一律胶装成册（禁止使用活页），正本和副本分别装订，单独密封装袋，电子版放置正本密封袋中或单独密封。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7"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响应文件封面</w:t>
            </w:r>
          </w:p>
          <w:p>
            <w:pPr>
              <w:pStyle w:val="52"/>
              <w:spacing w:line="400" w:lineRule="exact"/>
              <w:jc w:val="center"/>
              <w:rPr>
                <w:lang w:val="zh-CN"/>
              </w:rPr>
            </w:pPr>
            <w:r>
              <w:rPr>
                <w:rFonts w:hint="eastAsia"/>
                <w:lang w:val="zh-CN"/>
              </w:rPr>
              <w:t>标注</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jc w:val="both"/>
              <w:rPr>
                <w:lang w:val="zh-CN"/>
              </w:rPr>
            </w:pPr>
            <w:r>
              <w:rPr>
                <w:rFonts w:hint="eastAsia"/>
                <w:lang w:val="zh-CN"/>
              </w:rPr>
              <w:t>响应文件正本和副本的封面上均应标明：采购项目名称、采购项目编号、供应商名称、年月日；并分别在右上角标明“正本”和“副本”字样。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4"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响应文件外层</w:t>
            </w:r>
          </w:p>
          <w:p>
            <w:pPr>
              <w:pStyle w:val="52"/>
              <w:spacing w:line="400" w:lineRule="exact"/>
              <w:jc w:val="center"/>
              <w:rPr>
                <w:lang w:val="zh-CN"/>
              </w:rPr>
            </w:pPr>
            <w:r>
              <w:rPr>
                <w:rFonts w:hint="eastAsia"/>
                <w:lang w:val="zh-CN"/>
              </w:rPr>
              <w:t>密封袋的标注</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jc w:val="both"/>
              <w:rPr>
                <w:lang w:val="zh-CN"/>
              </w:rPr>
            </w:pPr>
            <w:r>
              <w:rPr>
                <w:rFonts w:hint="eastAsia"/>
                <w:lang w:val="zh-CN"/>
              </w:rPr>
              <w:t>采购项目名称、采购项目编号、包号（如有分包）、供应商名称、年月日、“正本”或“副本”字样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exac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numPr>
                <w:ilvl w:val="0"/>
                <w:numId w:val="3"/>
              </w:numPr>
              <w:spacing w:line="400" w:lineRule="exact"/>
              <w:ind w:left="0" w:firstLine="0"/>
              <w:jc w:val="center"/>
              <w:rPr>
                <w:lang w:val="zh-CN"/>
              </w:rPr>
            </w:pP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rPr>
                <w:lang w:val="zh-CN"/>
              </w:rPr>
            </w:pPr>
            <w:r>
              <w:rPr>
                <w:rFonts w:hint="eastAsia"/>
                <w:lang w:val="zh-CN"/>
              </w:rPr>
              <w:t>递交响应文件地点</w:t>
            </w:r>
          </w:p>
        </w:tc>
        <w:tc>
          <w:tcPr>
            <w:tcW w:w="6517" w:type="dxa"/>
            <w:tcBorders>
              <w:top w:val="single" w:color="auto" w:sz="8" w:space="0"/>
              <w:left w:val="single" w:color="auto" w:sz="8" w:space="0"/>
              <w:bottom w:val="single" w:color="auto" w:sz="8" w:space="0"/>
              <w:right w:val="single" w:color="auto" w:sz="18" w:space="0"/>
            </w:tcBorders>
            <w:vAlign w:val="center"/>
          </w:tcPr>
          <w:p>
            <w:pPr>
              <w:autoSpaceDE w:val="0"/>
              <w:autoSpaceDN w:val="0"/>
              <w:adjustRightInd w:val="0"/>
              <w:spacing w:line="400" w:lineRule="exact"/>
              <w:jc w:val="left"/>
              <w:rPr>
                <w:rFonts w:hint="eastAsia" w:ascii="宋体" w:hAnsi="宋体" w:eastAsia="宋体" w:cs="宋体"/>
                <w:sz w:val="24"/>
                <w:szCs w:val="24"/>
                <w:lang w:eastAsia="zh-CN"/>
              </w:rPr>
            </w:pPr>
            <w:r>
              <w:rPr>
                <w:rFonts w:hint="eastAsia"/>
                <w:sz w:val="24"/>
                <w:lang w:eastAsia="zh-CN"/>
              </w:rPr>
              <w:t>伊宁市海棠路铂珂瑞特酒店三楼会议室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2</w:t>
            </w:r>
            <w:r>
              <w:rPr>
                <w:rFonts w:hint="eastAsia"/>
              </w:rPr>
              <w:t>4</w:t>
            </w:r>
            <w:r>
              <w:rPr>
                <w:rFonts w:hint="eastAsia"/>
                <w:lang w:val="zh-CN"/>
              </w:rPr>
              <w:t>.</w:t>
            </w: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lang w:val="zh-CN"/>
              </w:rPr>
            </w:pPr>
            <w:r>
              <w:rPr>
                <w:rFonts w:hint="eastAsia"/>
                <w:lang w:val="zh-CN"/>
              </w:rPr>
              <w:t>评标方法及标准</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rPr>
                <w:lang w:val="zh-CN"/>
              </w:rPr>
            </w:pPr>
            <w:r>
              <w:rPr>
                <w:rFonts w:hint="eastAsia"/>
                <w:lang w:val="zh-CN"/>
              </w:rPr>
              <w:t>详见第四章评标方法与程序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spacing w:line="400" w:lineRule="exact"/>
              <w:jc w:val="center"/>
            </w:pPr>
            <w:r>
              <w:rPr>
                <w:rFonts w:hint="eastAsia"/>
                <w:lang w:val="zh-CN"/>
              </w:rPr>
              <w:t>2</w:t>
            </w:r>
            <w:r>
              <w:rPr>
                <w:rFonts w:hint="eastAsia"/>
              </w:rPr>
              <w:t>5.</w:t>
            </w:r>
          </w:p>
        </w:tc>
        <w:tc>
          <w:tcPr>
            <w:tcW w:w="2279" w:type="dxa"/>
            <w:tcBorders>
              <w:top w:val="single" w:color="auto" w:sz="8" w:space="0"/>
              <w:left w:val="single" w:color="auto" w:sz="8" w:space="0"/>
              <w:bottom w:val="single" w:color="auto" w:sz="8" w:space="0"/>
              <w:right w:val="single" w:color="auto" w:sz="8" w:space="0"/>
            </w:tcBorders>
            <w:vAlign w:val="center"/>
          </w:tcPr>
          <w:p>
            <w:pPr>
              <w:pStyle w:val="52"/>
              <w:spacing w:line="400" w:lineRule="exact"/>
              <w:jc w:val="center"/>
              <w:rPr>
                <w:color w:val="000000"/>
                <w:lang w:val="zh-CN"/>
              </w:rPr>
            </w:pPr>
            <w:r>
              <w:rPr>
                <w:rFonts w:hint="eastAsia"/>
                <w:color w:val="000000"/>
                <w:lang w:val="zh-CN"/>
              </w:rPr>
              <w:t>履约保证金</w:t>
            </w:r>
          </w:p>
        </w:tc>
        <w:tc>
          <w:tcPr>
            <w:tcW w:w="6517" w:type="dxa"/>
            <w:tcBorders>
              <w:top w:val="single" w:color="auto" w:sz="8" w:space="0"/>
              <w:left w:val="single" w:color="auto" w:sz="8" w:space="0"/>
              <w:bottom w:val="single" w:color="auto" w:sz="8" w:space="0"/>
              <w:right w:val="single" w:color="auto" w:sz="18" w:space="0"/>
            </w:tcBorders>
            <w:vAlign w:val="center"/>
          </w:tcPr>
          <w:p>
            <w:pPr>
              <w:pStyle w:val="52"/>
              <w:spacing w:line="400" w:lineRule="exact"/>
              <w:rPr>
                <w:color w:val="000000"/>
              </w:rPr>
            </w:pPr>
            <w:r>
              <w:rPr>
                <w:rFonts w:hint="eastAsia"/>
                <w:color w:val="000000"/>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6"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spacing w:line="400" w:lineRule="exact"/>
              <w:jc w:val="center"/>
              <w:rPr>
                <w:lang w:val="zh-CN"/>
              </w:rPr>
            </w:pPr>
            <w:r>
              <w:rPr>
                <w:rFonts w:hint="eastAsia"/>
              </w:rPr>
              <w:t>26</w:t>
            </w:r>
            <w:r>
              <w:rPr>
                <w:rFonts w:hint="eastAsia"/>
                <w:lang w:val="zh-CN"/>
              </w:rPr>
              <w:t>.</w:t>
            </w:r>
          </w:p>
        </w:tc>
        <w:tc>
          <w:tcPr>
            <w:tcW w:w="2279"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cs="宋体"/>
                <w:kern w:val="0"/>
                <w:sz w:val="24"/>
                <w:szCs w:val="24"/>
                <w:lang w:val="zh-CN"/>
              </w:rPr>
            </w:pPr>
            <w:r>
              <w:rPr>
                <w:rFonts w:hint="eastAsia" w:ascii="宋体" w:hAnsi="宋体" w:cs="宋体"/>
                <w:kern w:val="0"/>
                <w:sz w:val="24"/>
                <w:szCs w:val="24"/>
                <w:lang w:val="zh-CN"/>
              </w:rPr>
              <w:t>磋商时供应商必须出示以下证件以备现场资格审查</w:t>
            </w:r>
          </w:p>
        </w:tc>
        <w:tc>
          <w:tcPr>
            <w:tcW w:w="6517" w:type="dxa"/>
            <w:tcBorders>
              <w:top w:val="single" w:color="auto" w:sz="8" w:space="0"/>
              <w:left w:val="single" w:color="auto" w:sz="8" w:space="0"/>
              <w:bottom w:val="single" w:color="auto" w:sz="8" w:space="0"/>
              <w:right w:val="single" w:color="auto" w:sz="18" w:space="0"/>
            </w:tcBorders>
            <w:vAlign w:val="center"/>
          </w:tcPr>
          <w:p>
            <w:pPr>
              <w:numPr>
                <w:ilvl w:val="0"/>
                <w:numId w:val="5"/>
              </w:numPr>
              <w:spacing w:line="360" w:lineRule="auto"/>
              <w:rPr>
                <w:rFonts w:hint="eastAsia" w:ascii="宋体" w:hAnsi="宋体" w:cs="宋体"/>
                <w:kern w:val="0"/>
                <w:sz w:val="24"/>
                <w:szCs w:val="24"/>
                <w:lang w:val="zh-CN"/>
              </w:rPr>
            </w:pPr>
            <w:r>
              <w:rPr>
                <w:rFonts w:hint="eastAsia" w:ascii="宋体" w:hAnsi="宋体" w:cs="宋体"/>
                <w:kern w:val="0"/>
                <w:sz w:val="24"/>
                <w:szCs w:val="24"/>
                <w:lang w:val="zh-CN"/>
              </w:rPr>
              <w:t>法人代表授权书原件、被授权人身份证原件</w:t>
            </w:r>
          </w:p>
          <w:p>
            <w:pPr>
              <w:numPr>
                <w:ilvl w:val="0"/>
                <w:numId w:val="5"/>
              </w:numPr>
              <w:spacing w:line="360" w:lineRule="auto"/>
              <w:rPr>
                <w:rFonts w:ascii="宋体" w:hAnsi="宋体" w:cs="宋体"/>
                <w:kern w:val="0"/>
                <w:sz w:val="24"/>
                <w:szCs w:val="24"/>
                <w:lang w:val="zh-CN"/>
              </w:rPr>
            </w:pPr>
            <w:r>
              <w:rPr>
                <w:rFonts w:hint="eastAsia" w:ascii="宋体" w:hAnsi="宋体" w:cs="宋体"/>
                <w:kern w:val="0"/>
                <w:sz w:val="24"/>
                <w:szCs w:val="24"/>
                <w:lang w:val="zh-CN"/>
              </w:rPr>
              <w:t>营业执照副本原件或加盖公章复印件；</w:t>
            </w:r>
          </w:p>
          <w:p>
            <w:pPr>
              <w:numPr>
                <w:ilvl w:val="0"/>
                <w:numId w:val="5"/>
              </w:numPr>
              <w:spacing w:line="360" w:lineRule="auto"/>
              <w:rPr>
                <w:rFonts w:ascii="宋体" w:hAnsi="宋体" w:cs="宋体"/>
                <w:kern w:val="0"/>
                <w:sz w:val="24"/>
                <w:szCs w:val="24"/>
                <w:lang w:val="zh-CN"/>
              </w:rPr>
            </w:pPr>
            <w:r>
              <w:rPr>
                <w:rFonts w:hint="eastAsia" w:ascii="宋体" w:hAnsi="宋体" w:cs="宋体"/>
                <w:kern w:val="0"/>
                <w:sz w:val="24"/>
                <w:szCs w:val="24"/>
                <w:lang w:val="zh-CN"/>
              </w:rPr>
              <w:t>投标人为制造商的须提供《医疗器械生产许可证》原件（或复印件加盖公章）；投标人为经销商的须提供《医疗器械经营许可证》或者《医疗器械经营备案凭证》，须提供所投设备《产品生产许可证》原件（或复印件加盖公章）、所投产品注册登记证原件（或复印件加盖公章）</w:t>
            </w:r>
          </w:p>
          <w:p>
            <w:pPr>
              <w:numPr>
                <w:ilvl w:val="0"/>
                <w:numId w:val="5"/>
              </w:numPr>
              <w:spacing w:line="360" w:lineRule="auto"/>
              <w:rPr>
                <w:rFonts w:ascii="宋体" w:hAnsi="宋体" w:cs="宋体"/>
                <w:kern w:val="0"/>
                <w:sz w:val="24"/>
                <w:szCs w:val="24"/>
                <w:lang w:val="zh-CN"/>
              </w:rPr>
            </w:pPr>
            <w:r>
              <w:rPr>
                <w:rFonts w:hint="eastAsia" w:ascii="宋体" w:hAnsi="宋体" w:cs="宋体"/>
                <w:kern w:val="0"/>
                <w:sz w:val="24"/>
                <w:szCs w:val="24"/>
                <w:lang w:val="zh-CN"/>
              </w:rPr>
              <w:t>进口产品国外生产企业给中国区代理的授权书复印件（加盖中国区总代理的鲜章）、进口产品中国区代理给投标人授权证明原件、投标人进口医疗器械产品注册证、登记表原件或复印件（加盖投标人公章）【投进口产品提供】</w:t>
            </w:r>
          </w:p>
          <w:p>
            <w:pPr>
              <w:numPr>
                <w:ilvl w:val="0"/>
                <w:numId w:val="5"/>
              </w:numPr>
              <w:spacing w:line="360" w:lineRule="auto"/>
              <w:rPr>
                <w:rFonts w:ascii="宋体" w:hAnsi="宋体" w:cs="宋体"/>
                <w:kern w:val="0"/>
                <w:sz w:val="24"/>
                <w:szCs w:val="24"/>
                <w:lang w:val="zh-CN"/>
              </w:rPr>
            </w:pPr>
            <w:r>
              <w:rPr>
                <w:rFonts w:hint="eastAsia" w:ascii="宋体" w:hAnsi="宋体" w:cs="宋体"/>
                <w:kern w:val="0"/>
                <w:sz w:val="24"/>
                <w:szCs w:val="24"/>
                <w:lang w:val="zh-CN"/>
              </w:rPr>
              <w:t>“信用中国”网站（www.creditchina.gov.cn）信用信息查询记录（加盖公章）。</w:t>
            </w:r>
          </w:p>
          <w:p>
            <w:pPr>
              <w:numPr>
                <w:ilvl w:val="0"/>
                <w:numId w:val="5"/>
              </w:numPr>
              <w:spacing w:line="360" w:lineRule="auto"/>
              <w:rPr>
                <w:rFonts w:ascii="宋体" w:hAnsi="宋体" w:cs="宋体"/>
                <w:kern w:val="0"/>
                <w:sz w:val="24"/>
                <w:szCs w:val="24"/>
                <w:lang w:val="zh-CN"/>
              </w:rPr>
            </w:pPr>
            <w:r>
              <w:rPr>
                <w:rFonts w:hint="eastAsia" w:ascii="宋体" w:hAnsi="宋体" w:cs="宋体"/>
                <w:kern w:val="0"/>
                <w:sz w:val="24"/>
                <w:szCs w:val="24"/>
                <w:lang w:val="zh-CN"/>
              </w:rPr>
              <w:t>投标保证金收据原件；</w:t>
            </w:r>
          </w:p>
          <w:p>
            <w:pPr>
              <w:spacing w:line="360" w:lineRule="auto"/>
              <w:rPr>
                <w:rFonts w:ascii="宋体" w:hAnsi="宋体" w:cs="宋体"/>
                <w:sz w:val="24"/>
                <w:szCs w:val="24"/>
              </w:rPr>
            </w:pPr>
            <w:r>
              <w:rPr>
                <w:rFonts w:hint="eastAsia" w:ascii="宋体" w:hAnsi="宋体" w:cs="宋体"/>
                <w:sz w:val="24"/>
                <w:szCs w:val="24"/>
              </w:rPr>
              <w:t>以上证件不齐全的供应商不得进入磋商环节。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54" w:hRule="atLeast"/>
          <w:jc w:val="center"/>
        </w:trPr>
        <w:tc>
          <w:tcPr>
            <w:tcW w:w="821" w:type="dxa"/>
            <w:tcBorders>
              <w:top w:val="single" w:color="auto" w:sz="8" w:space="0"/>
              <w:left w:val="single" w:color="auto" w:sz="18" w:space="0"/>
              <w:bottom w:val="single" w:color="auto" w:sz="8" w:space="0"/>
              <w:right w:val="single" w:color="auto" w:sz="8" w:space="0"/>
            </w:tcBorders>
            <w:vAlign w:val="center"/>
          </w:tcPr>
          <w:p>
            <w:pPr>
              <w:pStyle w:val="52"/>
              <w:spacing w:line="400" w:lineRule="exact"/>
              <w:jc w:val="center"/>
              <w:rPr>
                <w:rFonts w:hint="default" w:eastAsia="宋体"/>
                <w:lang w:val="en-US" w:eastAsia="zh-CN"/>
              </w:rPr>
            </w:pPr>
            <w:r>
              <w:rPr>
                <w:rFonts w:hint="eastAsia"/>
                <w:lang w:val="en-US" w:eastAsia="zh-CN"/>
              </w:rPr>
              <w:t>27</w:t>
            </w:r>
          </w:p>
        </w:tc>
        <w:tc>
          <w:tcPr>
            <w:tcW w:w="2279"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售后服务要求</w:t>
            </w:r>
          </w:p>
        </w:tc>
        <w:tc>
          <w:tcPr>
            <w:tcW w:w="6517" w:type="dxa"/>
            <w:tcBorders>
              <w:top w:val="single" w:color="auto" w:sz="8" w:space="0"/>
              <w:left w:val="single" w:color="auto" w:sz="8" w:space="0"/>
              <w:bottom w:val="single" w:color="auto" w:sz="8" w:space="0"/>
              <w:right w:val="single" w:color="auto" w:sz="18" w:space="0"/>
            </w:tcBorders>
            <w:vAlign w:val="center"/>
          </w:tcPr>
          <w:p>
            <w:pPr>
              <w:rPr>
                <w:rFonts w:hint="eastAsia" w:ascii="宋体" w:hAnsi="宋体" w:cs="宋体"/>
                <w:sz w:val="24"/>
                <w:szCs w:val="24"/>
              </w:rPr>
            </w:pPr>
            <w:r>
              <w:rPr>
                <w:rFonts w:hint="eastAsia"/>
                <w:b/>
                <w:bCs/>
                <w:sz w:val="24"/>
                <w:szCs w:val="24"/>
              </w:rPr>
              <w:t>投标企业在疆内有办事机构，并有专职维修人员，从验收合格之日起（不可抗力除外），整机保修两年，终身维修，出保后只收取材料费，不再收取其他费用（包括差旅费），故障报修后，供方须在24小时以内响应。</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8" w:hRule="exact"/>
          <w:jc w:val="center"/>
        </w:trPr>
        <w:tc>
          <w:tcPr>
            <w:tcW w:w="9617" w:type="dxa"/>
            <w:gridSpan w:val="3"/>
            <w:tcBorders>
              <w:top w:val="single" w:color="auto" w:sz="8" w:space="0"/>
              <w:left w:val="single" w:color="auto" w:sz="18" w:space="0"/>
              <w:bottom w:val="single" w:color="auto" w:sz="8" w:space="0"/>
              <w:right w:val="single" w:color="auto" w:sz="18" w:space="0"/>
            </w:tcBorders>
            <w:vAlign w:val="center"/>
          </w:tcPr>
          <w:p>
            <w:pPr>
              <w:spacing w:line="400" w:lineRule="exact"/>
              <w:rPr>
                <w:rFonts w:ascii="宋体" w:hAnsi="宋体" w:cs="宋体"/>
                <w:b/>
                <w:bCs/>
                <w:color w:val="000000"/>
                <w:kern w:val="0"/>
                <w:sz w:val="24"/>
                <w:szCs w:val="24"/>
              </w:rPr>
            </w:pPr>
            <w:r>
              <w:rPr>
                <w:rFonts w:hint="eastAsia" w:ascii="宋体" w:hAnsi="宋体" w:cs="宋体"/>
                <w:b/>
                <w:bCs/>
                <w:color w:val="000000"/>
                <w:kern w:val="0"/>
                <w:sz w:val="24"/>
                <w:szCs w:val="24"/>
                <w:lang w:val="zh-CN"/>
              </w:rPr>
              <w:t>备注：</w:t>
            </w:r>
            <w:r>
              <w:rPr>
                <w:rFonts w:hint="eastAsia" w:ascii="宋体" w:hAnsi="宋体" w:cs="宋体"/>
                <w:b/>
                <w:bCs/>
                <w:color w:val="000000"/>
                <w:kern w:val="0"/>
                <w:sz w:val="24"/>
                <w:szCs w:val="24"/>
              </w:rPr>
              <w:t>1、</w:t>
            </w:r>
            <w:r>
              <w:rPr>
                <w:rFonts w:hint="eastAsia" w:ascii="宋体" w:hAnsi="宋体" w:cs="宋体"/>
                <w:b/>
                <w:bCs/>
                <w:color w:val="000000"/>
                <w:kern w:val="0"/>
                <w:sz w:val="24"/>
                <w:szCs w:val="24"/>
                <w:lang w:val="zh-CN"/>
              </w:rPr>
              <w:t>磋商文件不一致时，以前附表为准。</w:t>
            </w:r>
            <w:r>
              <w:rPr>
                <w:rFonts w:hint="eastAsia" w:ascii="宋体" w:hAnsi="宋体" w:cs="宋体"/>
                <w:b/>
                <w:bCs/>
                <w:color w:val="000000"/>
                <w:kern w:val="0"/>
                <w:sz w:val="24"/>
                <w:szCs w:val="24"/>
              </w:rPr>
              <w:t>2</w:t>
            </w:r>
            <w:r>
              <w:rPr>
                <w:rFonts w:hint="eastAsia" w:ascii="宋体" w:hAnsi="宋体" w:cs="宋体"/>
                <w:b/>
                <w:bCs/>
                <w:color w:val="000000"/>
                <w:kern w:val="0"/>
                <w:sz w:val="24"/>
                <w:szCs w:val="24"/>
                <w:lang w:val="zh-CN"/>
              </w:rPr>
              <w:t>、招标代理服务费由中标方向法正项目管理集团有限公司伊犁分公司支付， 招标代理服务费参照国家计委计价格【2002】1980 号文件和发改委【2003】857 号文件规定的收费标准。</w:t>
            </w:r>
          </w:p>
        </w:tc>
      </w:tr>
    </w:tbl>
    <w:p>
      <w:pPr>
        <w:spacing w:line="400" w:lineRule="exact"/>
        <w:jc w:val="center"/>
        <w:rPr>
          <w:rFonts w:ascii="宋体" w:hAnsi="宋体" w:cs="宋体"/>
          <w:b/>
          <w:color w:val="000000"/>
          <w:sz w:val="24"/>
          <w:szCs w:val="24"/>
        </w:rPr>
      </w:pPr>
    </w:p>
    <w:p>
      <w:pPr>
        <w:pStyle w:val="9"/>
        <w:spacing w:line="400" w:lineRule="exact"/>
        <w:rPr>
          <w:rFonts w:ascii="宋体" w:hAnsi="宋体" w:cs="宋体"/>
          <w:szCs w:val="24"/>
        </w:rPr>
      </w:pPr>
    </w:p>
    <w:p>
      <w:pPr>
        <w:keepLines/>
        <w:pageBreakBefore/>
        <w:spacing w:beforeLines="50" w:line="360" w:lineRule="auto"/>
        <w:jc w:val="center"/>
        <w:rPr>
          <w:rFonts w:ascii="宋体" w:hAnsi="宋体" w:cs="宋体"/>
          <w:sz w:val="28"/>
          <w:szCs w:val="28"/>
        </w:rPr>
      </w:pPr>
      <w:r>
        <w:rPr>
          <w:rFonts w:hint="eastAsia" w:ascii="宋体" w:hAnsi="宋体" w:cs="宋体"/>
          <w:b/>
          <w:sz w:val="28"/>
          <w:szCs w:val="28"/>
        </w:rPr>
        <w:t>一.总  则</w:t>
      </w:r>
      <w:bookmarkEnd w:id="10"/>
      <w:bookmarkEnd w:id="11"/>
      <w:bookmarkEnd w:id="12"/>
    </w:p>
    <w:p>
      <w:pPr>
        <w:spacing w:line="360" w:lineRule="auto"/>
        <w:rPr>
          <w:rFonts w:ascii="宋体" w:hAnsi="宋体" w:cs="宋体"/>
          <w:b/>
          <w:sz w:val="24"/>
          <w:szCs w:val="24"/>
        </w:rPr>
      </w:pPr>
      <w:r>
        <w:rPr>
          <w:rFonts w:hint="eastAsia" w:ascii="宋体" w:hAnsi="宋体" w:cs="宋体"/>
          <w:b/>
          <w:sz w:val="24"/>
          <w:szCs w:val="24"/>
        </w:rPr>
        <w:t>1.资金来源</w:t>
      </w:r>
    </w:p>
    <w:p>
      <w:pPr>
        <w:spacing w:line="360" w:lineRule="auto"/>
        <w:ind w:firstLine="480" w:firstLineChars="200"/>
        <w:rPr>
          <w:rFonts w:ascii="宋体" w:hAnsi="宋体" w:cs="宋体"/>
          <w:sz w:val="24"/>
          <w:szCs w:val="24"/>
        </w:rPr>
      </w:pPr>
      <w:r>
        <w:rPr>
          <w:rFonts w:hint="eastAsia" w:ascii="宋体" w:hAnsi="宋体" w:cs="宋体"/>
          <w:sz w:val="24"/>
          <w:szCs w:val="24"/>
        </w:rPr>
        <w:t>1.1本次竞争性磋商所签合同使用财政资金，资金已落实到位。</w:t>
      </w:r>
    </w:p>
    <w:p>
      <w:pPr>
        <w:numPr>
          <w:ilvl w:val="0"/>
          <w:numId w:val="6"/>
        </w:numPr>
        <w:spacing w:line="360" w:lineRule="auto"/>
        <w:rPr>
          <w:rFonts w:ascii="宋体" w:hAnsi="宋体" w:cs="宋体"/>
          <w:b/>
          <w:sz w:val="24"/>
          <w:szCs w:val="24"/>
        </w:rPr>
      </w:pPr>
      <w:bookmarkStart w:id="13" w:name="_Toc363474018"/>
      <w:bookmarkStart w:id="14" w:name="_Toc363473973"/>
      <w:bookmarkStart w:id="15" w:name="_Toc403077640"/>
      <w:r>
        <w:rPr>
          <w:rFonts w:hint="eastAsia" w:ascii="宋体" w:hAnsi="宋体" w:cs="宋体"/>
          <w:b/>
          <w:sz w:val="24"/>
          <w:szCs w:val="24"/>
        </w:rPr>
        <w:t>名词解释</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2.1采购人：</w:t>
      </w:r>
      <w:r>
        <w:rPr>
          <w:rFonts w:hint="eastAsia" w:ascii="宋体" w:hAnsi="宋体" w:cs="宋体"/>
          <w:sz w:val="24"/>
          <w:szCs w:val="24"/>
          <w:lang w:eastAsia="zh-CN"/>
        </w:rPr>
        <w:t>巩留县妇幼保健院</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2.2监督机构：同级人民政府财政部门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2.3采购代理机构：法正项目管理集团有限公司伊犁分公司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2.5产品是指本竞争性磋商文件中第五章所述内容。</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2.6服务是指供应商为满足竞争性磋商文件要求而提供的服务。</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2.7节能产品或者环保产品是指财政部发布的《节能产品政府采购清单》或《环境标志产品政府采购清单》的产品。</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2.8</w:t>
      </w:r>
      <w:r>
        <w:rPr>
          <w:rFonts w:hint="eastAsia" w:ascii="宋体" w:hAnsi="宋体" w:cs="宋体"/>
          <w:color w:val="000000"/>
          <w:sz w:val="24"/>
          <w:szCs w:val="24"/>
        </w:rPr>
        <w:t>中小企业是指符合《工业和信息化部、国家统计局、国家发展和改革委员会、财政部关于印发中小企业划型标准规定的通知》规定的对中小企业的划分标准的企业。</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2.10残疾人福利性单位是指符合《三部门联合发布关于促进残疾人就业政府采购政策的通知》财库〔2017〕141号规定的对残疾人福利性单位划分标准的单位。</w:t>
      </w:r>
    </w:p>
    <w:p>
      <w:pPr>
        <w:spacing w:line="360" w:lineRule="auto"/>
        <w:rPr>
          <w:rFonts w:ascii="宋体" w:hAnsi="宋体" w:cs="宋体"/>
          <w:b/>
          <w:sz w:val="24"/>
          <w:szCs w:val="24"/>
        </w:rPr>
      </w:pPr>
      <w:r>
        <w:rPr>
          <w:rFonts w:hint="eastAsia" w:ascii="宋体" w:hAnsi="宋体" w:cs="宋体"/>
          <w:b/>
          <w:sz w:val="24"/>
          <w:szCs w:val="24"/>
        </w:rPr>
        <w:t>3.合格的供应商</w:t>
      </w:r>
    </w:p>
    <w:p>
      <w:pPr>
        <w:tabs>
          <w:tab w:val="left" w:pos="851"/>
        </w:tabs>
        <w:spacing w:line="500" w:lineRule="exact"/>
        <w:ind w:firstLine="480" w:firstLineChars="200"/>
        <w:rPr>
          <w:rFonts w:ascii="宋体" w:hAnsi="宋体" w:cs="宋体"/>
          <w:sz w:val="24"/>
          <w:szCs w:val="24"/>
        </w:rPr>
      </w:pPr>
      <w:r>
        <w:rPr>
          <w:rFonts w:hint="eastAsia" w:ascii="宋体" w:hAnsi="宋体" w:cs="宋体"/>
          <w:sz w:val="24"/>
          <w:szCs w:val="24"/>
        </w:rPr>
        <w:t>3.1《政府采购法》第二十二条第一款规定的供应商基本资格条件:</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1.符合《中华人民共和国政府采购法》第二十二条的相关规定；  </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2.参加采购活动前三年内，在经营活动中没有重大违法记录(受行政主管部门的处罚不能参加投标)</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3.落实的政府采购政策：《政府采购促进中小企业发展管理办法》（财库〔2020〕46号）；《财政部民政部中国残疾人联合会关于促进残疾人就业政府采购政策的通知》财库〔2017〕141号。</w:t>
      </w:r>
    </w:p>
    <w:p>
      <w:pPr>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法律、行政法规规定的其他条件</w:t>
      </w:r>
    </w:p>
    <w:p>
      <w:pPr>
        <w:spacing w:line="500" w:lineRule="exact"/>
        <w:ind w:firstLine="480" w:firstLineChars="200"/>
        <w:rPr>
          <w:rFonts w:ascii="宋体" w:hAnsi="宋体" w:cs="宋体"/>
          <w:sz w:val="24"/>
          <w:szCs w:val="24"/>
        </w:rPr>
      </w:pPr>
      <w:r>
        <w:rPr>
          <w:rFonts w:hint="eastAsia" w:ascii="宋体" w:hAnsi="宋体" w:cs="宋体"/>
          <w:sz w:val="24"/>
          <w:szCs w:val="24"/>
        </w:rPr>
        <w:t>3.2供应商不得存在下列情形之一：</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（1）为采购人不具有独立法人资格的附属机构（单位）； </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（2）为本采购项目前期准备提供设计或咨询服务的，但设计施工总承包的除外； </w:t>
      </w:r>
    </w:p>
    <w:p>
      <w:pPr>
        <w:spacing w:line="500" w:lineRule="exact"/>
        <w:ind w:firstLine="480" w:firstLineChars="200"/>
        <w:rPr>
          <w:rFonts w:ascii="宋体" w:hAnsi="宋体" w:cs="宋体"/>
          <w:sz w:val="24"/>
          <w:szCs w:val="24"/>
        </w:rPr>
      </w:pPr>
      <w:r>
        <w:rPr>
          <w:rFonts w:hint="eastAsia" w:ascii="宋体" w:hAnsi="宋体" w:cs="宋体"/>
          <w:sz w:val="24"/>
          <w:szCs w:val="24"/>
        </w:rPr>
        <w:t>（3）为本采购项目的监理人；</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（4）为本采购项目的代建人； </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（5）为本采购项目提供采购代理服务的； </w:t>
      </w:r>
    </w:p>
    <w:p>
      <w:pPr>
        <w:spacing w:line="500" w:lineRule="exact"/>
        <w:ind w:firstLine="480" w:firstLineChars="200"/>
        <w:rPr>
          <w:rFonts w:ascii="宋体" w:hAnsi="宋体" w:cs="宋体"/>
          <w:sz w:val="24"/>
          <w:szCs w:val="24"/>
        </w:rPr>
      </w:pPr>
      <w:r>
        <w:rPr>
          <w:rFonts w:hint="eastAsia" w:ascii="宋体" w:hAnsi="宋体" w:cs="宋体"/>
          <w:sz w:val="24"/>
          <w:szCs w:val="24"/>
        </w:rPr>
        <w:t>（6）与本采购项目的监理人或代建人或招标代理机构同为一个法定代表人的；</w:t>
      </w:r>
    </w:p>
    <w:p>
      <w:pPr>
        <w:spacing w:line="500" w:lineRule="exact"/>
        <w:ind w:firstLine="480" w:firstLineChars="200"/>
        <w:rPr>
          <w:rFonts w:ascii="宋体" w:hAnsi="宋体" w:cs="宋体"/>
          <w:sz w:val="24"/>
          <w:szCs w:val="24"/>
        </w:rPr>
      </w:pPr>
      <w:r>
        <w:rPr>
          <w:rFonts w:hint="eastAsia" w:ascii="宋体" w:hAnsi="宋体" w:cs="宋体"/>
          <w:sz w:val="24"/>
          <w:szCs w:val="24"/>
        </w:rPr>
        <w:t>（7）与本采购项目的监理人或代建人或招标代理机构相互控股或参股的；</w:t>
      </w:r>
    </w:p>
    <w:p>
      <w:pPr>
        <w:spacing w:line="500" w:lineRule="exact"/>
        <w:ind w:firstLine="480" w:firstLineChars="200"/>
        <w:rPr>
          <w:rFonts w:ascii="宋体" w:hAnsi="宋体" w:cs="宋体"/>
          <w:sz w:val="24"/>
          <w:szCs w:val="24"/>
        </w:rPr>
      </w:pPr>
      <w:r>
        <w:rPr>
          <w:rFonts w:hint="eastAsia" w:ascii="宋体" w:hAnsi="宋体" w:cs="宋体"/>
          <w:sz w:val="24"/>
          <w:szCs w:val="24"/>
        </w:rPr>
        <w:t>（8）与本采购项目的监理人或代建人或招标代理机构相互任职或工作的；</w:t>
      </w:r>
    </w:p>
    <w:p>
      <w:pPr>
        <w:spacing w:line="500" w:lineRule="exact"/>
        <w:ind w:firstLine="480" w:firstLineChars="200"/>
        <w:rPr>
          <w:rFonts w:ascii="宋体" w:hAnsi="宋体" w:cs="宋体"/>
          <w:sz w:val="24"/>
          <w:szCs w:val="24"/>
        </w:rPr>
      </w:pPr>
      <w:r>
        <w:rPr>
          <w:rFonts w:hint="eastAsia" w:ascii="宋体" w:hAnsi="宋体" w:cs="宋体"/>
          <w:sz w:val="24"/>
          <w:szCs w:val="24"/>
        </w:rPr>
        <w:t>（9）供应商负责人为同一人或者存在控股、管理关系的不同单位的；</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（10）被责令停业的； </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（11）被暂停或取消投标资格的； </w:t>
      </w:r>
    </w:p>
    <w:p>
      <w:pPr>
        <w:spacing w:line="500" w:lineRule="exact"/>
        <w:ind w:firstLine="480" w:firstLineChars="200"/>
        <w:rPr>
          <w:rFonts w:ascii="宋体" w:hAnsi="宋体" w:cs="宋体"/>
          <w:sz w:val="24"/>
          <w:szCs w:val="24"/>
        </w:rPr>
      </w:pPr>
      <w:r>
        <w:rPr>
          <w:rFonts w:hint="eastAsia" w:ascii="宋体" w:hAnsi="宋体" w:cs="宋体"/>
          <w:sz w:val="24"/>
          <w:szCs w:val="24"/>
        </w:rPr>
        <w:t>（12）财产被接管或冻结的；</w:t>
      </w:r>
    </w:p>
    <w:p>
      <w:pPr>
        <w:spacing w:line="500" w:lineRule="exact"/>
        <w:ind w:firstLine="480" w:firstLineChars="200"/>
        <w:rPr>
          <w:rFonts w:ascii="宋体" w:hAnsi="宋体" w:cs="宋体"/>
          <w:sz w:val="24"/>
          <w:szCs w:val="24"/>
        </w:rPr>
      </w:pPr>
      <w:r>
        <w:rPr>
          <w:rFonts w:hint="eastAsia" w:ascii="宋体" w:hAnsi="宋体" w:cs="宋体"/>
          <w:sz w:val="24"/>
          <w:szCs w:val="24"/>
        </w:rPr>
        <w:t>（13）在最近三年内有骗取中标或严重违约或重大工程质量问题的。</w:t>
      </w:r>
    </w:p>
    <w:p>
      <w:pPr>
        <w:spacing w:line="500" w:lineRule="exact"/>
        <w:ind w:firstLine="480" w:firstLineChars="200"/>
        <w:rPr>
          <w:rFonts w:ascii="宋体" w:hAnsi="宋体" w:cs="宋体"/>
          <w:sz w:val="24"/>
          <w:szCs w:val="24"/>
        </w:rPr>
      </w:pPr>
      <w:r>
        <w:rPr>
          <w:rFonts w:hint="eastAsia" w:ascii="宋体" w:hAnsi="宋体" w:cs="宋体"/>
          <w:sz w:val="24"/>
          <w:szCs w:val="24"/>
        </w:rPr>
        <w:t>3.3供应商不得直接或间接地与采购单位有任何关联，亦不得是采购单位的附属机构。如果供应商在磋商中隐瞒了上述关系，一经证实，则该磋商无效。</w:t>
      </w:r>
    </w:p>
    <w:p>
      <w:pPr>
        <w:spacing w:line="500" w:lineRule="exact"/>
        <w:ind w:firstLine="480" w:firstLineChars="200"/>
        <w:rPr>
          <w:rFonts w:ascii="宋体" w:hAnsi="宋体" w:cs="宋体"/>
          <w:sz w:val="24"/>
          <w:szCs w:val="24"/>
        </w:rPr>
      </w:pPr>
      <w:r>
        <w:rPr>
          <w:rFonts w:hint="eastAsia" w:ascii="宋体" w:hAnsi="宋体" w:cs="宋体"/>
          <w:sz w:val="24"/>
          <w:szCs w:val="24"/>
        </w:rPr>
        <w:t>3.4供应商必须在代理机构购买</w:t>
      </w:r>
      <w:r>
        <w:rPr>
          <w:rFonts w:hint="eastAsia" w:ascii="宋体" w:hAnsi="宋体" w:cs="宋体"/>
          <w:color w:val="000000"/>
          <w:sz w:val="24"/>
          <w:szCs w:val="24"/>
        </w:rPr>
        <w:t>竞争性磋商文件</w:t>
      </w:r>
      <w:r>
        <w:rPr>
          <w:rFonts w:hint="eastAsia" w:ascii="宋体" w:hAnsi="宋体" w:cs="宋体"/>
          <w:sz w:val="24"/>
          <w:szCs w:val="24"/>
        </w:rPr>
        <w:t>，方可参加磋商。</w:t>
      </w:r>
      <w:r>
        <w:rPr>
          <w:rFonts w:hint="eastAsia" w:ascii="宋体" w:hAnsi="宋体" w:cs="宋体"/>
          <w:color w:val="000000"/>
          <w:sz w:val="24"/>
          <w:szCs w:val="24"/>
        </w:rPr>
        <w:t>竞争性</w:t>
      </w:r>
      <w:r>
        <w:rPr>
          <w:rFonts w:hint="eastAsia" w:ascii="宋体" w:hAnsi="宋体" w:cs="宋体"/>
          <w:sz w:val="24"/>
          <w:szCs w:val="24"/>
        </w:rPr>
        <w:t>磋商文件售后不退。</w:t>
      </w:r>
    </w:p>
    <w:p>
      <w:pPr>
        <w:spacing w:line="500" w:lineRule="exact"/>
        <w:ind w:firstLine="480" w:firstLineChars="200"/>
        <w:rPr>
          <w:rFonts w:ascii="宋体" w:hAnsi="宋体" w:cs="宋体"/>
          <w:sz w:val="24"/>
          <w:szCs w:val="24"/>
        </w:rPr>
      </w:pPr>
      <w:bookmarkStart w:id="16" w:name="OLE_LINK33"/>
      <w:r>
        <w:rPr>
          <w:rFonts w:hint="eastAsia" w:ascii="宋体" w:hAnsi="宋体" w:cs="宋体"/>
          <w:sz w:val="24"/>
          <w:szCs w:val="24"/>
        </w:rPr>
        <w:t>3.</w:t>
      </w:r>
      <w:bookmarkEnd w:id="16"/>
      <w:r>
        <w:rPr>
          <w:rFonts w:hint="eastAsia" w:ascii="宋体" w:hAnsi="宋体" w:cs="宋体"/>
          <w:sz w:val="24"/>
          <w:szCs w:val="24"/>
        </w:rPr>
        <w:t>5联合体磋商</w:t>
      </w:r>
    </w:p>
    <w:p>
      <w:pPr>
        <w:spacing w:line="500" w:lineRule="exact"/>
        <w:ind w:firstLine="480" w:firstLineChars="200"/>
        <w:rPr>
          <w:rFonts w:ascii="宋体" w:hAnsi="宋体" w:cs="宋体"/>
          <w:sz w:val="24"/>
          <w:szCs w:val="24"/>
        </w:rPr>
      </w:pPr>
      <w:r>
        <w:rPr>
          <w:rFonts w:hint="eastAsia" w:ascii="宋体" w:hAnsi="宋体" w:cs="宋体"/>
          <w:sz w:val="24"/>
          <w:szCs w:val="24"/>
        </w:rPr>
        <w:t>3.5.1如果在</w:t>
      </w:r>
      <w:r>
        <w:rPr>
          <w:rFonts w:hint="eastAsia" w:ascii="宋体" w:hAnsi="宋体" w:cs="宋体"/>
          <w:color w:val="000000"/>
          <w:sz w:val="24"/>
          <w:szCs w:val="24"/>
        </w:rPr>
        <w:t>竞争性</w:t>
      </w:r>
      <w:r>
        <w:rPr>
          <w:rFonts w:hint="eastAsia" w:ascii="宋体" w:hAnsi="宋体" w:cs="宋体"/>
          <w:sz w:val="24"/>
          <w:szCs w:val="24"/>
        </w:rPr>
        <w:t>磋商文件中接受联合体磋商（见供应商须知前附表），则两个以上供应商可以组成一个磋商联合体，以一个供应商的身份参与磋商。以联合体形式参加磋商的，联合体各方均应当符合政府采购法</w:t>
      </w:r>
      <w:r>
        <w:rPr>
          <w:rFonts w:hint="eastAsia" w:ascii="宋体" w:hAnsi="宋体" w:cs="宋体"/>
          <w:color w:val="000000"/>
          <w:sz w:val="24"/>
          <w:szCs w:val="24"/>
        </w:rPr>
        <w:t>《中华人民共和国政府采购法》及其实施条例和《政府采购竞争性磋商采购方式管理暂行办法》规定的条件</w:t>
      </w:r>
      <w:r>
        <w:rPr>
          <w:rFonts w:hint="eastAsia" w:ascii="宋体" w:hAnsi="宋体" w:cs="宋体"/>
          <w:sz w:val="24"/>
          <w:szCs w:val="24"/>
        </w:rPr>
        <w:t>。采购人根据采购项目的特殊要求规定供应商特定条件的，联合体各方中至少应当有一方符合采购人规定的特定条件。</w:t>
      </w:r>
    </w:p>
    <w:p>
      <w:pPr>
        <w:spacing w:line="360" w:lineRule="auto"/>
        <w:ind w:firstLine="468" w:firstLineChars="195"/>
        <w:rPr>
          <w:rFonts w:ascii="宋体" w:hAnsi="宋体" w:cs="宋体"/>
          <w:sz w:val="24"/>
          <w:szCs w:val="24"/>
        </w:rPr>
      </w:pPr>
      <w:r>
        <w:rPr>
          <w:rFonts w:hint="eastAsia" w:ascii="宋体" w:hAnsi="宋体" w:cs="宋体"/>
          <w:sz w:val="24"/>
          <w:szCs w:val="24"/>
        </w:rPr>
        <w:t>3.5.2联合体各方之间应当签订共同磋商协议，明确约定联合体各方承担的工作和相应的责任，并将共同磋商协议连同</w:t>
      </w:r>
      <w:r>
        <w:rPr>
          <w:rFonts w:hint="eastAsia" w:ascii="宋体" w:hAnsi="宋体" w:cs="宋体"/>
          <w:color w:val="000000"/>
          <w:sz w:val="24"/>
          <w:szCs w:val="24"/>
        </w:rPr>
        <w:t>竞争性</w:t>
      </w:r>
      <w:r>
        <w:rPr>
          <w:rFonts w:hint="eastAsia" w:ascii="宋体" w:hAnsi="宋体" w:cs="宋体"/>
          <w:sz w:val="24"/>
          <w:szCs w:val="24"/>
        </w:rPr>
        <w:t>磋商响应文件一并提交</w:t>
      </w:r>
      <w:r>
        <w:rPr>
          <w:rFonts w:hint="eastAsia" w:ascii="宋体" w:hAnsi="宋体" w:cs="宋体"/>
          <w:color w:val="000000"/>
          <w:sz w:val="24"/>
          <w:szCs w:val="24"/>
        </w:rPr>
        <w:t>采购代理机构</w:t>
      </w:r>
      <w:r>
        <w:rPr>
          <w:rFonts w:hint="eastAsia" w:ascii="宋体" w:hAnsi="宋体" w:cs="宋体"/>
          <w:sz w:val="24"/>
          <w:szCs w:val="24"/>
        </w:rPr>
        <w:t>。联合体各方签订共同磋商协议后，不得再以自己名义单独参与同一项目磋商，也不得组成新的联合体参加同一项目磋商。</w:t>
      </w:r>
    </w:p>
    <w:p>
      <w:pPr>
        <w:pStyle w:val="10"/>
        <w:spacing w:line="360" w:lineRule="auto"/>
        <w:ind w:firstLineChars="200"/>
        <w:rPr>
          <w:rFonts w:cs="宋体"/>
          <w:szCs w:val="24"/>
        </w:rPr>
      </w:pPr>
      <w:r>
        <w:rPr>
          <w:rFonts w:hint="eastAsia" w:cs="宋体"/>
          <w:color w:val="000000"/>
          <w:szCs w:val="24"/>
        </w:rPr>
        <w:t>3.5.3联合体各方应当共同与采购人签订采购合同，就采购合同约定的事项对采购人承担连带责任。</w:t>
      </w:r>
    </w:p>
    <w:p>
      <w:pPr>
        <w:spacing w:line="500" w:lineRule="exact"/>
        <w:ind w:firstLine="480" w:firstLineChars="200"/>
        <w:rPr>
          <w:rFonts w:ascii="宋体" w:hAnsi="宋体" w:cs="宋体"/>
          <w:sz w:val="24"/>
          <w:szCs w:val="24"/>
        </w:rPr>
      </w:pPr>
      <w:r>
        <w:rPr>
          <w:rFonts w:hint="eastAsia" w:ascii="宋体" w:hAnsi="宋体" w:cs="宋体"/>
          <w:sz w:val="24"/>
          <w:szCs w:val="24"/>
        </w:rPr>
        <w:t>3.6磋商费用自理。不论磋商的结果如何，供应商均应自行承担所有与参加磋商有关的费用。</w:t>
      </w:r>
    </w:p>
    <w:p>
      <w:pPr>
        <w:spacing w:line="500" w:lineRule="exact"/>
        <w:rPr>
          <w:rFonts w:ascii="宋体" w:hAnsi="宋体" w:cs="宋体"/>
          <w:b/>
          <w:sz w:val="24"/>
          <w:szCs w:val="24"/>
        </w:rPr>
      </w:pPr>
      <w:r>
        <w:rPr>
          <w:rFonts w:hint="eastAsia" w:ascii="宋体" w:hAnsi="宋体" w:cs="宋体"/>
          <w:b/>
          <w:sz w:val="24"/>
          <w:szCs w:val="24"/>
        </w:rPr>
        <w:t>4.竞争性磋商项目的合格性和合法性</w:t>
      </w:r>
    </w:p>
    <w:p>
      <w:pPr>
        <w:tabs>
          <w:tab w:val="left" w:pos="747"/>
        </w:tabs>
        <w:snapToGrid w:val="0"/>
        <w:spacing w:line="500" w:lineRule="exact"/>
        <w:ind w:firstLine="480" w:firstLineChars="200"/>
        <w:rPr>
          <w:rFonts w:ascii="宋体" w:hAnsi="宋体" w:cs="宋体"/>
          <w:color w:val="000000"/>
          <w:sz w:val="24"/>
          <w:szCs w:val="24"/>
        </w:rPr>
      </w:pPr>
      <w:r>
        <w:rPr>
          <w:rFonts w:hint="eastAsia" w:ascii="宋体" w:hAnsi="宋体" w:cs="宋体"/>
          <w:sz w:val="24"/>
          <w:szCs w:val="24"/>
        </w:rPr>
        <w:t>4.1竞争性磋商项目应满足竞争性磋商文件的要求并应符合国家法律法规、行业管理部门要求的其他强制性标准。</w:t>
      </w:r>
      <w:r>
        <w:rPr>
          <w:rFonts w:hint="eastAsia" w:ascii="宋体" w:hAnsi="宋体" w:cs="宋体"/>
          <w:color w:val="000000"/>
          <w:sz w:val="24"/>
          <w:szCs w:val="24"/>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ascii="宋体" w:hAnsi="宋体" w:cs="宋体"/>
          <w:sz w:val="24"/>
          <w:szCs w:val="24"/>
        </w:rPr>
      </w:pPr>
      <w:r>
        <w:rPr>
          <w:rFonts w:hint="eastAsia" w:ascii="宋体" w:hAnsi="宋体" w:cs="宋体"/>
          <w:color w:val="000000"/>
          <w:sz w:val="24"/>
          <w:szCs w:val="24"/>
        </w:rPr>
        <w:t>4.2采购人有权拒绝接受任何不合格的产品和服务，由此产生的费用及相关后果均由供应商自行承担。</w:t>
      </w:r>
    </w:p>
    <w:p>
      <w:pPr>
        <w:spacing w:line="360" w:lineRule="auto"/>
        <w:rPr>
          <w:rFonts w:ascii="宋体" w:hAnsi="宋体" w:cs="宋体"/>
          <w:b/>
          <w:sz w:val="24"/>
          <w:szCs w:val="24"/>
        </w:rPr>
      </w:pPr>
      <w:r>
        <w:rPr>
          <w:rFonts w:hint="eastAsia" w:ascii="宋体" w:hAnsi="宋体" w:cs="宋体"/>
          <w:b/>
          <w:sz w:val="24"/>
          <w:szCs w:val="24"/>
        </w:rPr>
        <w:t>5.竞争性磋商响应文件内容的真实性</w:t>
      </w:r>
    </w:p>
    <w:p>
      <w:pPr>
        <w:spacing w:line="360" w:lineRule="auto"/>
        <w:ind w:firstLine="480" w:firstLineChars="200"/>
        <w:rPr>
          <w:rFonts w:ascii="宋体" w:hAnsi="宋体" w:cs="宋体"/>
          <w:sz w:val="24"/>
          <w:szCs w:val="24"/>
        </w:rPr>
      </w:pPr>
      <w:r>
        <w:rPr>
          <w:rFonts w:hint="eastAsia" w:ascii="宋体" w:hAnsi="宋体" w:cs="宋体"/>
          <w:sz w:val="24"/>
          <w:szCs w:val="24"/>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50" w:line="360" w:lineRule="auto"/>
        <w:jc w:val="center"/>
        <w:rPr>
          <w:rFonts w:ascii="宋体" w:hAnsi="宋体" w:cs="宋体"/>
          <w:b/>
          <w:sz w:val="24"/>
          <w:szCs w:val="24"/>
        </w:rPr>
      </w:pPr>
      <w:r>
        <w:rPr>
          <w:rFonts w:hint="eastAsia" w:ascii="宋体" w:hAnsi="宋体" w:cs="宋体"/>
          <w:b/>
          <w:sz w:val="24"/>
          <w:szCs w:val="24"/>
        </w:rPr>
        <w:t>二.竞争性磋商文件</w:t>
      </w:r>
      <w:bookmarkEnd w:id="13"/>
      <w:bookmarkEnd w:id="14"/>
      <w:bookmarkEnd w:id="15"/>
    </w:p>
    <w:p>
      <w:pPr>
        <w:spacing w:line="360" w:lineRule="auto"/>
        <w:rPr>
          <w:rFonts w:ascii="宋体" w:hAnsi="宋体" w:cs="宋体"/>
          <w:b/>
          <w:sz w:val="24"/>
          <w:szCs w:val="24"/>
        </w:rPr>
      </w:pPr>
      <w:r>
        <w:rPr>
          <w:rFonts w:hint="eastAsia" w:ascii="宋体" w:hAnsi="宋体" w:cs="宋体"/>
          <w:b/>
          <w:sz w:val="24"/>
          <w:szCs w:val="24"/>
        </w:rPr>
        <w:t>6.竞争性磋商文件构成</w:t>
      </w:r>
    </w:p>
    <w:p>
      <w:pPr>
        <w:spacing w:line="360" w:lineRule="auto"/>
        <w:ind w:firstLine="480" w:firstLineChars="200"/>
        <w:rPr>
          <w:rFonts w:ascii="宋体" w:hAnsi="宋体" w:cs="宋体"/>
          <w:sz w:val="24"/>
          <w:szCs w:val="24"/>
        </w:rPr>
      </w:pPr>
      <w:r>
        <w:rPr>
          <w:rFonts w:hint="eastAsia" w:ascii="宋体" w:hAnsi="宋体" w:cs="宋体"/>
          <w:sz w:val="24"/>
          <w:szCs w:val="24"/>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ascii="宋体" w:hAnsi="宋体" w:cs="宋体"/>
          <w:sz w:val="24"/>
          <w:szCs w:val="24"/>
        </w:rPr>
      </w:pPr>
      <w:r>
        <w:rPr>
          <w:rFonts w:hint="eastAsia" w:ascii="宋体" w:hAnsi="宋体" w:cs="宋体"/>
          <w:sz w:val="24"/>
          <w:szCs w:val="24"/>
        </w:rPr>
        <w:t>第一章 竞争性磋商公告</w:t>
      </w:r>
    </w:p>
    <w:p>
      <w:pPr>
        <w:spacing w:line="360" w:lineRule="auto"/>
        <w:ind w:firstLine="480" w:firstLineChars="200"/>
        <w:rPr>
          <w:rFonts w:ascii="宋体" w:hAnsi="宋体" w:cs="宋体"/>
          <w:sz w:val="24"/>
          <w:szCs w:val="24"/>
        </w:rPr>
      </w:pPr>
      <w:r>
        <w:rPr>
          <w:rFonts w:hint="eastAsia" w:ascii="宋体" w:hAnsi="宋体" w:cs="宋体"/>
          <w:sz w:val="24"/>
          <w:szCs w:val="24"/>
        </w:rPr>
        <w:t>第二章 供应商须知</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第三章 合同条款及格式    </w:t>
      </w:r>
    </w:p>
    <w:p>
      <w:pPr>
        <w:spacing w:line="360" w:lineRule="auto"/>
        <w:ind w:firstLine="480" w:firstLineChars="200"/>
        <w:rPr>
          <w:rFonts w:ascii="宋体" w:hAnsi="宋体" w:cs="宋体"/>
          <w:sz w:val="24"/>
          <w:szCs w:val="24"/>
        </w:rPr>
      </w:pPr>
      <w:r>
        <w:rPr>
          <w:rFonts w:hint="eastAsia" w:ascii="宋体" w:hAnsi="宋体" w:cs="宋体"/>
          <w:sz w:val="24"/>
          <w:szCs w:val="24"/>
        </w:rPr>
        <w:t>第四章 评审方法</w:t>
      </w:r>
    </w:p>
    <w:p>
      <w:pPr>
        <w:spacing w:line="360" w:lineRule="auto"/>
        <w:ind w:firstLine="480" w:firstLineChars="200"/>
        <w:rPr>
          <w:rFonts w:ascii="宋体" w:hAnsi="宋体" w:cs="宋体"/>
          <w:sz w:val="24"/>
          <w:szCs w:val="24"/>
        </w:rPr>
      </w:pPr>
      <w:r>
        <w:rPr>
          <w:rFonts w:hint="eastAsia" w:ascii="宋体" w:hAnsi="宋体" w:cs="宋体"/>
          <w:sz w:val="24"/>
          <w:szCs w:val="24"/>
        </w:rPr>
        <w:t>第五章 清单参数要求</w:t>
      </w:r>
    </w:p>
    <w:p>
      <w:pPr>
        <w:spacing w:line="360" w:lineRule="auto"/>
        <w:ind w:firstLine="480" w:firstLineChars="200"/>
        <w:rPr>
          <w:rFonts w:ascii="宋体" w:hAnsi="宋体" w:cs="宋体"/>
          <w:sz w:val="24"/>
          <w:szCs w:val="24"/>
        </w:rPr>
      </w:pPr>
      <w:r>
        <w:rPr>
          <w:rFonts w:hint="eastAsia" w:ascii="宋体" w:hAnsi="宋体" w:cs="宋体"/>
          <w:sz w:val="24"/>
          <w:szCs w:val="24"/>
        </w:rPr>
        <w:t>第六章 竞争性磋商响应文件格式</w:t>
      </w:r>
    </w:p>
    <w:p>
      <w:pPr>
        <w:spacing w:line="360" w:lineRule="auto"/>
        <w:ind w:firstLine="480" w:firstLineChars="200"/>
        <w:rPr>
          <w:rFonts w:ascii="宋体" w:hAnsi="宋体" w:cs="宋体"/>
          <w:sz w:val="24"/>
          <w:szCs w:val="24"/>
        </w:rPr>
      </w:pPr>
      <w:r>
        <w:rPr>
          <w:rFonts w:hint="eastAsia" w:ascii="宋体" w:hAnsi="宋体" w:cs="宋体"/>
          <w:sz w:val="24"/>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ascii="宋体" w:hAnsi="宋体" w:cs="宋体"/>
          <w:sz w:val="24"/>
          <w:szCs w:val="24"/>
        </w:rPr>
      </w:pPr>
      <w:r>
        <w:rPr>
          <w:rFonts w:hint="eastAsia" w:ascii="宋体" w:hAnsi="宋体" w:cs="宋体"/>
          <w:sz w:val="24"/>
          <w:szCs w:val="24"/>
        </w:rPr>
        <w:t>6.3本竞争性磋商文件的解释权归采购代理机构，如发现竞争性磋商响应文件内容与现行法律法规不相符的情况，以现行法律法规为准。</w:t>
      </w:r>
    </w:p>
    <w:p>
      <w:pPr>
        <w:spacing w:line="360" w:lineRule="auto"/>
        <w:rPr>
          <w:rFonts w:ascii="宋体" w:hAnsi="宋体" w:cs="宋体"/>
          <w:b/>
          <w:sz w:val="24"/>
          <w:szCs w:val="24"/>
        </w:rPr>
      </w:pPr>
      <w:r>
        <w:rPr>
          <w:rFonts w:hint="eastAsia" w:ascii="宋体" w:hAnsi="宋体" w:cs="宋体"/>
          <w:b/>
          <w:sz w:val="24"/>
          <w:szCs w:val="24"/>
        </w:rPr>
        <w:t>7.竞争性磋商文件的修改和澄清</w:t>
      </w:r>
    </w:p>
    <w:p>
      <w:pPr>
        <w:spacing w:line="360" w:lineRule="auto"/>
        <w:ind w:firstLine="480" w:firstLineChars="200"/>
        <w:rPr>
          <w:rFonts w:ascii="宋体" w:hAnsi="宋体" w:cs="宋体"/>
          <w:sz w:val="24"/>
          <w:szCs w:val="24"/>
        </w:rPr>
      </w:pPr>
      <w:r>
        <w:rPr>
          <w:rFonts w:hint="eastAsia" w:ascii="宋体" w:hAnsi="宋体" w:cs="宋体"/>
          <w:sz w:val="24"/>
          <w:szCs w:val="24"/>
        </w:rPr>
        <w:t>7.1在磋商响应文件递交截止时间5日前，采购代理机构可以视采购具体情况，延长竞争性磋商响应文件递交截止时间和磋商时间并在财政部门指定的媒体上发布变更公告，同时将变更时间书面通知所有购买竞争性磋商文件的磋商供应商。</w:t>
      </w:r>
    </w:p>
    <w:p>
      <w:pPr>
        <w:spacing w:line="360" w:lineRule="auto"/>
        <w:ind w:firstLine="480" w:firstLineChars="200"/>
        <w:rPr>
          <w:rFonts w:ascii="宋体" w:hAnsi="宋体" w:cs="宋体"/>
          <w:sz w:val="24"/>
          <w:szCs w:val="24"/>
        </w:rPr>
      </w:pPr>
      <w:r>
        <w:rPr>
          <w:rFonts w:hint="eastAsia" w:ascii="宋体" w:hAnsi="宋体" w:cs="宋体"/>
          <w:sz w:val="24"/>
          <w:szCs w:val="24"/>
        </w:rPr>
        <w:t>7.2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spacing w:beforeLines="50" w:line="360" w:lineRule="auto"/>
        <w:jc w:val="center"/>
        <w:rPr>
          <w:rFonts w:ascii="宋体" w:hAnsi="宋体" w:cs="宋体"/>
          <w:b/>
          <w:sz w:val="24"/>
          <w:szCs w:val="24"/>
        </w:rPr>
      </w:pPr>
      <w:bookmarkStart w:id="17" w:name="_Toc363474019"/>
      <w:bookmarkStart w:id="18" w:name="_Toc403077641"/>
      <w:bookmarkStart w:id="19" w:name="_Toc363473974"/>
      <w:r>
        <w:rPr>
          <w:rFonts w:hint="eastAsia" w:ascii="宋体" w:hAnsi="宋体" w:cs="宋体"/>
          <w:b/>
          <w:sz w:val="24"/>
          <w:szCs w:val="24"/>
        </w:rPr>
        <w:t>三.磋商响应文件的编制</w:t>
      </w:r>
      <w:bookmarkEnd w:id="17"/>
      <w:bookmarkEnd w:id="18"/>
      <w:bookmarkEnd w:id="19"/>
    </w:p>
    <w:p>
      <w:pPr>
        <w:spacing w:line="360" w:lineRule="auto"/>
        <w:rPr>
          <w:rFonts w:ascii="宋体" w:hAnsi="宋体" w:cs="宋体"/>
          <w:b/>
          <w:sz w:val="24"/>
          <w:szCs w:val="24"/>
        </w:rPr>
      </w:pPr>
      <w:r>
        <w:rPr>
          <w:rFonts w:hint="eastAsia" w:ascii="宋体" w:hAnsi="宋体" w:cs="宋体"/>
          <w:b/>
          <w:sz w:val="24"/>
          <w:szCs w:val="24"/>
        </w:rPr>
        <w:t>8. 磋商语言和磋商货币</w:t>
      </w:r>
    </w:p>
    <w:p>
      <w:pPr>
        <w:spacing w:line="360" w:lineRule="auto"/>
        <w:ind w:firstLine="480" w:firstLineChars="200"/>
        <w:rPr>
          <w:rFonts w:ascii="宋体" w:hAnsi="宋体" w:cs="宋体"/>
          <w:b/>
          <w:sz w:val="24"/>
          <w:szCs w:val="24"/>
        </w:rPr>
      </w:pPr>
      <w:r>
        <w:rPr>
          <w:rFonts w:hint="eastAsia" w:ascii="宋体" w:hAnsi="宋体" w:cs="宋体"/>
          <w:sz w:val="24"/>
          <w:szCs w:val="24"/>
        </w:rPr>
        <w:t>8.1供应商提交的竞争性磋商响应文件以及供应商与采购代理机构就有关磋商的所有来往函电均应使用中文。</w:t>
      </w:r>
    </w:p>
    <w:p>
      <w:pPr>
        <w:spacing w:line="360" w:lineRule="auto"/>
        <w:ind w:firstLine="480" w:firstLineChars="200"/>
        <w:rPr>
          <w:rFonts w:ascii="宋体" w:hAnsi="宋体" w:cs="宋体"/>
          <w:sz w:val="24"/>
          <w:szCs w:val="24"/>
        </w:rPr>
      </w:pPr>
      <w:r>
        <w:rPr>
          <w:rFonts w:hint="eastAsia" w:ascii="宋体" w:hAnsi="宋体" w:cs="宋体"/>
          <w:sz w:val="24"/>
          <w:szCs w:val="24"/>
        </w:rPr>
        <w:t>8.2磋商应以人民币报价。任何包含非人民币报价的磋商将按无效磋商处理。</w:t>
      </w:r>
    </w:p>
    <w:p>
      <w:pPr>
        <w:spacing w:line="360" w:lineRule="auto"/>
        <w:rPr>
          <w:rFonts w:ascii="宋体" w:hAnsi="宋体" w:cs="宋体"/>
          <w:b/>
          <w:sz w:val="24"/>
          <w:szCs w:val="24"/>
        </w:rPr>
      </w:pPr>
      <w:r>
        <w:rPr>
          <w:rFonts w:hint="eastAsia" w:ascii="宋体" w:hAnsi="宋体" w:cs="宋体"/>
          <w:b/>
          <w:sz w:val="24"/>
          <w:szCs w:val="24"/>
        </w:rPr>
        <w:t>9.竞争性磋商响应文件的构成</w:t>
      </w:r>
    </w:p>
    <w:p>
      <w:pPr>
        <w:spacing w:line="360" w:lineRule="auto"/>
        <w:ind w:firstLine="480" w:firstLineChars="200"/>
        <w:rPr>
          <w:rFonts w:ascii="宋体" w:hAnsi="宋体" w:cs="宋体"/>
          <w:sz w:val="24"/>
          <w:szCs w:val="24"/>
        </w:rPr>
      </w:pPr>
      <w:r>
        <w:rPr>
          <w:rFonts w:hint="eastAsia" w:ascii="宋体" w:hAnsi="宋体" w:cs="宋体"/>
          <w:sz w:val="24"/>
          <w:szCs w:val="24"/>
        </w:rPr>
        <w:t>9.1 供应商提交的竞争性磋商响应文件应包含下列部分的内容：</w:t>
      </w:r>
    </w:p>
    <w:p>
      <w:pPr>
        <w:spacing w:line="360" w:lineRule="auto"/>
        <w:ind w:firstLine="480" w:firstLineChars="200"/>
        <w:rPr>
          <w:rFonts w:ascii="宋体" w:hAnsi="宋体" w:cs="宋体"/>
          <w:sz w:val="24"/>
          <w:szCs w:val="24"/>
        </w:rPr>
      </w:pPr>
      <w:r>
        <w:rPr>
          <w:rFonts w:hint="eastAsia" w:ascii="宋体" w:hAnsi="宋体" w:cs="宋体"/>
          <w:sz w:val="24"/>
          <w:szCs w:val="24"/>
        </w:rPr>
        <w:t>1） 按照供应商须知的要求和竞争性磋商文件规定格式填写的竞争性磋商函、首次磋商报价表、法定代表人授权委托书。</w:t>
      </w:r>
    </w:p>
    <w:p>
      <w:pPr>
        <w:spacing w:line="500" w:lineRule="exact"/>
        <w:ind w:firstLine="480" w:firstLineChars="200"/>
        <w:rPr>
          <w:rFonts w:ascii="宋体" w:hAnsi="宋体" w:cs="宋体"/>
          <w:sz w:val="24"/>
          <w:szCs w:val="24"/>
        </w:rPr>
      </w:pPr>
      <w:r>
        <w:rPr>
          <w:rFonts w:hint="eastAsia" w:ascii="宋体" w:hAnsi="宋体" w:cs="宋体"/>
          <w:sz w:val="24"/>
          <w:szCs w:val="24"/>
        </w:rPr>
        <w:t>2）按照竞争性磋商文件的要求编制的磋商方案说明书，内容至少应包括清单、资格证明文件、质量保证、交货期及通用条款、专用条款进行响应等。</w:t>
      </w:r>
    </w:p>
    <w:p>
      <w:pPr>
        <w:spacing w:line="360" w:lineRule="auto"/>
        <w:ind w:firstLine="480" w:firstLineChars="200"/>
        <w:rPr>
          <w:rFonts w:ascii="宋体" w:hAnsi="宋体" w:cs="宋体"/>
          <w:sz w:val="24"/>
          <w:szCs w:val="24"/>
        </w:rPr>
      </w:pPr>
      <w:r>
        <w:rPr>
          <w:rFonts w:hint="eastAsia" w:ascii="宋体" w:hAnsi="宋体" w:cs="宋体"/>
          <w:sz w:val="24"/>
          <w:szCs w:val="24"/>
        </w:rPr>
        <w:t>3）按照竞争性磋商文件供应商须知前附表的要求提交的资格证明文件；</w:t>
      </w:r>
    </w:p>
    <w:p>
      <w:pPr>
        <w:spacing w:line="360" w:lineRule="auto"/>
        <w:ind w:firstLine="480" w:firstLineChars="200"/>
        <w:rPr>
          <w:rFonts w:ascii="宋体" w:hAnsi="宋体" w:cs="宋体"/>
          <w:sz w:val="24"/>
          <w:szCs w:val="24"/>
        </w:rPr>
      </w:pPr>
      <w:r>
        <w:rPr>
          <w:rFonts w:hint="eastAsia" w:ascii="宋体" w:hAnsi="宋体" w:cs="宋体"/>
          <w:sz w:val="24"/>
          <w:szCs w:val="24"/>
        </w:rPr>
        <w:t>4）按照本须知第14条要求提交的磋商保证金。</w:t>
      </w:r>
    </w:p>
    <w:p>
      <w:pPr>
        <w:spacing w:line="360" w:lineRule="auto"/>
        <w:ind w:firstLine="480" w:firstLineChars="200"/>
        <w:rPr>
          <w:rFonts w:ascii="宋体" w:hAnsi="宋体" w:cs="宋体"/>
          <w:sz w:val="24"/>
          <w:szCs w:val="24"/>
        </w:rPr>
      </w:pPr>
      <w:r>
        <w:rPr>
          <w:rFonts w:hint="eastAsia" w:ascii="宋体" w:hAnsi="宋体" w:cs="宋体"/>
          <w:sz w:val="24"/>
          <w:szCs w:val="24"/>
        </w:rPr>
        <w:t>5）竞争磋商文件中要求的其他证明文件。</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9.2 如果在供应商须知前附表中没有允许提供备选方案，则每个供应商只允许提交一个磋商方案，否则，其磋商将按照无效磋商处理。                                                                                                                                                                                                                                                                                                                                                                                                                                                                                                                                                                                                                                                                                                                                                                                                                                                                                                                                                                                                                                                                                                      </w:t>
      </w:r>
    </w:p>
    <w:p>
      <w:pPr>
        <w:spacing w:line="360" w:lineRule="auto"/>
        <w:ind w:firstLine="480" w:firstLineChars="200"/>
        <w:rPr>
          <w:rFonts w:ascii="宋体" w:hAnsi="宋体" w:cs="宋体"/>
          <w:sz w:val="24"/>
          <w:szCs w:val="24"/>
        </w:rPr>
      </w:pPr>
      <w:r>
        <w:rPr>
          <w:rFonts w:hint="eastAsia" w:ascii="宋体" w:hAnsi="宋体" w:cs="宋体"/>
          <w:sz w:val="24"/>
          <w:szCs w:val="24"/>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ascii="宋体" w:hAnsi="宋体" w:cs="宋体"/>
          <w:b/>
          <w:sz w:val="24"/>
          <w:szCs w:val="24"/>
        </w:rPr>
      </w:pPr>
      <w:r>
        <w:rPr>
          <w:rFonts w:hint="eastAsia" w:ascii="宋体" w:hAnsi="宋体" w:cs="宋体"/>
          <w:b/>
          <w:sz w:val="24"/>
          <w:szCs w:val="24"/>
        </w:rPr>
        <w:t xml:space="preserve">10.竞争性磋商响应文件格式 </w:t>
      </w:r>
    </w:p>
    <w:p>
      <w:pPr>
        <w:spacing w:line="360" w:lineRule="auto"/>
        <w:ind w:firstLine="480" w:firstLineChars="200"/>
        <w:rPr>
          <w:rFonts w:ascii="宋体" w:hAnsi="宋体" w:cs="宋体"/>
          <w:sz w:val="24"/>
          <w:szCs w:val="24"/>
        </w:rPr>
      </w:pPr>
      <w:r>
        <w:rPr>
          <w:rFonts w:hint="eastAsia" w:ascii="宋体" w:hAnsi="宋体" w:cs="宋体"/>
          <w:sz w:val="24"/>
          <w:szCs w:val="24"/>
        </w:rPr>
        <w:t>10.1供应商应按照竞争性磋商文件中第七章“竞争性磋商响应文件格式”所提供的格式和要求制作竞争性磋商响应文件，明确表达磋商意愿，详细说明磋商方案、承诺及价格。</w:t>
      </w:r>
    </w:p>
    <w:p>
      <w:pPr>
        <w:spacing w:line="360" w:lineRule="auto"/>
        <w:ind w:firstLine="480" w:firstLineChars="200"/>
        <w:rPr>
          <w:rFonts w:ascii="宋体" w:hAnsi="宋体" w:cs="宋体"/>
          <w:sz w:val="24"/>
          <w:szCs w:val="24"/>
        </w:rPr>
      </w:pPr>
      <w:r>
        <w:rPr>
          <w:rFonts w:hint="eastAsia" w:ascii="宋体" w:hAnsi="宋体" w:cs="宋体"/>
          <w:sz w:val="24"/>
          <w:szCs w:val="24"/>
        </w:rPr>
        <w:t>10.2按本章第9条的内容及要求和第七章提供的格式和要求编写其竞争性磋商响应文件，供应商不得缺少或留空任何竞争性磋商文件要求填写的表格或提交的资料。</w:t>
      </w:r>
    </w:p>
    <w:p>
      <w:pPr>
        <w:spacing w:line="360" w:lineRule="auto"/>
        <w:rPr>
          <w:rFonts w:ascii="宋体" w:hAnsi="宋体" w:cs="宋体"/>
          <w:b/>
          <w:sz w:val="24"/>
          <w:szCs w:val="24"/>
        </w:rPr>
      </w:pPr>
      <w:r>
        <w:rPr>
          <w:rFonts w:hint="eastAsia" w:ascii="宋体" w:hAnsi="宋体" w:cs="宋体"/>
          <w:b/>
          <w:sz w:val="24"/>
          <w:szCs w:val="24"/>
        </w:rPr>
        <w:t>11.磋商报价</w:t>
      </w:r>
    </w:p>
    <w:p>
      <w:pPr>
        <w:spacing w:line="408" w:lineRule="auto"/>
        <w:rPr>
          <w:rFonts w:ascii="宋体" w:hAnsi="宋体" w:cs="宋体"/>
          <w:snapToGrid w:val="0"/>
          <w:color w:val="000000"/>
          <w:sz w:val="24"/>
          <w:szCs w:val="24"/>
          <w:highlight w:val="yellow"/>
        </w:rPr>
      </w:pPr>
      <w:r>
        <w:rPr>
          <w:rFonts w:hint="eastAsia" w:ascii="宋体" w:hAnsi="宋体" w:cs="宋体"/>
          <w:sz w:val="24"/>
          <w:szCs w:val="24"/>
        </w:rPr>
        <w:t xml:space="preserve">    11.1磋商报价：磋商</w:t>
      </w:r>
      <w:r>
        <w:rPr>
          <w:rFonts w:hint="eastAsia" w:ascii="宋体" w:hAnsi="宋体" w:cs="宋体"/>
          <w:snapToGrid w:val="0"/>
          <w:color w:val="000000"/>
          <w:sz w:val="24"/>
          <w:szCs w:val="24"/>
        </w:rPr>
        <w:t>报价是竞争性磋商文件所确定的磋商范围内的全部工作内容的价格体现，应包括招标文件所含内容的全部报价以及供应商在磋商前及合同明示或暗示的所有风险、责任和义务。</w:t>
      </w:r>
    </w:p>
    <w:p>
      <w:pPr>
        <w:spacing w:line="360" w:lineRule="auto"/>
        <w:ind w:firstLine="480" w:firstLineChars="200"/>
        <w:rPr>
          <w:rFonts w:ascii="宋体" w:hAnsi="宋体" w:cs="宋体"/>
          <w:sz w:val="24"/>
          <w:szCs w:val="24"/>
        </w:rPr>
      </w:pPr>
      <w:r>
        <w:rPr>
          <w:rFonts w:hint="eastAsia" w:ascii="宋体" w:hAnsi="宋体" w:cs="宋体"/>
          <w:sz w:val="24"/>
          <w:szCs w:val="24"/>
        </w:rPr>
        <w:t>11.2首次磋商报价表中标明本次工程、服务的总价，任何有选择的报价将不予接受，否则按无效磋商处理。</w:t>
      </w:r>
    </w:p>
    <w:p>
      <w:pPr>
        <w:spacing w:line="360" w:lineRule="auto"/>
        <w:ind w:firstLine="480" w:firstLineChars="200"/>
        <w:rPr>
          <w:rFonts w:ascii="宋体" w:hAnsi="宋体" w:cs="宋体"/>
          <w:sz w:val="24"/>
          <w:szCs w:val="24"/>
        </w:rPr>
      </w:pPr>
      <w:r>
        <w:rPr>
          <w:rFonts w:hint="eastAsia" w:ascii="宋体" w:hAnsi="宋体" w:cs="宋体"/>
          <w:sz w:val="24"/>
          <w:szCs w:val="24"/>
        </w:rPr>
        <w:t>11.3最后磋商报价不得高于首次磋商报价，否则按无效磋商处理。对于差异较大的报价，须作出明确说明。</w:t>
      </w:r>
    </w:p>
    <w:p>
      <w:pPr>
        <w:spacing w:line="360" w:lineRule="auto"/>
        <w:rPr>
          <w:rFonts w:ascii="宋体" w:hAnsi="宋体" w:cs="宋体"/>
          <w:b/>
          <w:sz w:val="24"/>
          <w:szCs w:val="24"/>
        </w:rPr>
      </w:pPr>
      <w:bookmarkStart w:id="20" w:name="_Toc363474023"/>
      <w:r>
        <w:rPr>
          <w:rFonts w:hint="eastAsia" w:ascii="宋体" w:hAnsi="宋体" w:cs="宋体"/>
          <w:b/>
          <w:sz w:val="24"/>
          <w:szCs w:val="24"/>
        </w:rPr>
        <w:t>12.证明供应商合格的资格证明文件</w:t>
      </w:r>
    </w:p>
    <w:p>
      <w:pPr>
        <w:spacing w:line="360" w:lineRule="auto"/>
        <w:ind w:firstLine="480" w:firstLineChars="200"/>
        <w:rPr>
          <w:rFonts w:ascii="宋体" w:hAnsi="宋体" w:cs="宋体"/>
          <w:sz w:val="24"/>
          <w:szCs w:val="24"/>
        </w:rPr>
      </w:pPr>
      <w:r>
        <w:rPr>
          <w:rFonts w:hint="eastAsia" w:ascii="宋体" w:hAnsi="宋体" w:cs="宋体"/>
          <w:sz w:val="24"/>
          <w:szCs w:val="24"/>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ascii="宋体" w:hAnsi="宋体" w:cs="宋体"/>
          <w:b/>
          <w:sz w:val="24"/>
          <w:szCs w:val="24"/>
        </w:rPr>
      </w:pPr>
      <w:r>
        <w:rPr>
          <w:rFonts w:hint="eastAsia" w:ascii="宋体" w:hAnsi="宋体" w:cs="宋体"/>
          <w:b/>
          <w:sz w:val="24"/>
          <w:szCs w:val="24"/>
        </w:rPr>
        <w:t>13.证明的合格性和符合竞争性磋商文件规定的文件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pacing w:line="360" w:lineRule="auto"/>
        <w:rPr>
          <w:rFonts w:ascii="宋体" w:hAnsi="宋体" w:cs="宋体"/>
          <w:b/>
          <w:sz w:val="24"/>
          <w:szCs w:val="24"/>
        </w:rPr>
      </w:pPr>
      <w:r>
        <w:rPr>
          <w:rFonts w:hint="eastAsia" w:ascii="宋体" w:hAnsi="宋体" w:cs="宋体"/>
          <w:b/>
          <w:sz w:val="24"/>
          <w:szCs w:val="24"/>
        </w:rPr>
        <w:t>14.磋商保证金</w:t>
      </w:r>
    </w:p>
    <w:p>
      <w:pPr>
        <w:spacing w:line="360" w:lineRule="auto"/>
        <w:ind w:firstLine="480" w:firstLineChars="200"/>
        <w:rPr>
          <w:rFonts w:ascii="宋体" w:hAnsi="宋体" w:cs="宋体"/>
          <w:sz w:val="24"/>
          <w:szCs w:val="24"/>
        </w:rPr>
      </w:pPr>
      <w:r>
        <w:rPr>
          <w:rFonts w:hint="eastAsia" w:ascii="宋体" w:hAnsi="宋体" w:cs="宋体"/>
          <w:sz w:val="24"/>
          <w:szCs w:val="24"/>
        </w:rPr>
        <w:t>14.1供应商在磋商时应向采购代理机构提交“供应商须知前附表”规定数额的磋商保证金,并作为其磋商的一部分。</w:t>
      </w:r>
    </w:p>
    <w:p>
      <w:pPr>
        <w:spacing w:line="360" w:lineRule="auto"/>
        <w:ind w:firstLine="480" w:firstLineChars="200"/>
        <w:rPr>
          <w:rFonts w:ascii="宋体" w:hAnsi="宋体" w:cs="宋体"/>
          <w:sz w:val="24"/>
          <w:szCs w:val="24"/>
        </w:rPr>
      </w:pPr>
      <w:r>
        <w:rPr>
          <w:rFonts w:hint="eastAsia" w:ascii="宋体" w:hAnsi="宋体" w:cs="宋体"/>
          <w:sz w:val="24"/>
          <w:szCs w:val="24"/>
        </w:rPr>
        <w:t>14.2磋商保证金是为了保护采购单位免遭因供应商的行为而蒙受损失。采购单位在因供应商的行为受到损害时可根据本须知的规定没收供应商的磋商保证金。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ascii="宋体" w:hAnsi="宋体" w:cs="宋体"/>
          <w:sz w:val="24"/>
          <w:szCs w:val="24"/>
        </w:rPr>
      </w:pPr>
      <w:r>
        <w:rPr>
          <w:rFonts w:hint="eastAsia" w:ascii="宋体" w:hAnsi="宋体" w:cs="宋体"/>
          <w:sz w:val="24"/>
          <w:szCs w:val="24"/>
        </w:rPr>
        <w:t>14.3磋商保证金可采取“供应商须知前附表”规定的任何一种形式。</w:t>
      </w:r>
    </w:p>
    <w:p>
      <w:pPr>
        <w:spacing w:line="360" w:lineRule="auto"/>
        <w:ind w:firstLine="480" w:firstLineChars="200"/>
        <w:rPr>
          <w:rFonts w:ascii="宋体" w:hAnsi="宋体" w:cs="宋体"/>
          <w:sz w:val="24"/>
          <w:szCs w:val="24"/>
        </w:rPr>
      </w:pPr>
      <w:r>
        <w:rPr>
          <w:rFonts w:hint="eastAsia" w:ascii="宋体" w:hAnsi="宋体" w:cs="宋体"/>
          <w:sz w:val="24"/>
          <w:szCs w:val="24"/>
        </w:rPr>
        <w:t>14.4磋商保证金必须按照竞争性磋商文件“供应商须知前附表”中规定的缴纳金额及方式办理。</w:t>
      </w:r>
    </w:p>
    <w:p>
      <w:pPr>
        <w:spacing w:line="360" w:lineRule="auto"/>
        <w:ind w:firstLine="480" w:firstLineChars="200"/>
        <w:rPr>
          <w:rFonts w:ascii="宋体" w:hAnsi="宋体" w:cs="宋体"/>
          <w:sz w:val="24"/>
          <w:szCs w:val="24"/>
        </w:rPr>
      </w:pPr>
      <w:r>
        <w:rPr>
          <w:rFonts w:hint="eastAsia" w:ascii="宋体" w:hAnsi="宋体" w:cs="宋体"/>
          <w:sz w:val="24"/>
          <w:szCs w:val="24"/>
        </w:rPr>
        <w:t>14.5磋商后经审查，未提交磋商保证金、未按竞争性磋商文件规定时间提交磋商保证金或担保机构出具的保函正本未在采购代理机构备案的、磋商保证金金额不足或磋商保证金转账凭证复印件/担保机构出具的保函正本复印件未附在磋商响应文件内的磋商将按无效磋商处理。</w:t>
      </w:r>
    </w:p>
    <w:p>
      <w:pPr>
        <w:spacing w:line="360" w:lineRule="auto"/>
        <w:ind w:firstLine="480" w:firstLineChars="200"/>
        <w:rPr>
          <w:rFonts w:ascii="宋体" w:hAnsi="宋体" w:cs="宋体"/>
          <w:sz w:val="24"/>
          <w:szCs w:val="24"/>
        </w:rPr>
      </w:pPr>
      <w:r>
        <w:rPr>
          <w:rFonts w:hint="eastAsia" w:ascii="宋体" w:hAnsi="宋体" w:cs="宋体"/>
          <w:sz w:val="24"/>
          <w:szCs w:val="24"/>
        </w:rPr>
        <w:t>14.6未成交供应商的磋商保证金，将在成交通知书发出后五个工作日内按原账户退还；成交供应商的磋商保证金，在采购合同签订并按规定交纳成交代理服务费后五个工作日内退还。</w:t>
      </w:r>
    </w:p>
    <w:p>
      <w:pPr>
        <w:spacing w:line="360" w:lineRule="auto"/>
        <w:ind w:firstLine="480" w:firstLineChars="200"/>
        <w:rPr>
          <w:rFonts w:ascii="宋体" w:hAnsi="宋体" w:cs="宋体"/>
          <w:sz w:val="24"/>
          <w:szCs w:val="24"/>
        </w:rPr>
      </w:pPr>
      <w:r>
        <w:rPr>
          <w:rFonts w:hint="eastAsia" w:ascii="宋体" w:hAnsi="宋体" w:cs="宋体"/>
          <w:sz w:val="24"/>
          <w:szCs w:val="24"/>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0" w:firstLineChars="200"/>
        <w:rPr>
          <w:rFonts w:ascii="宋体" w:hAnsi="宋体" w:cs="宋体"/>
          <w:sz w:val="24"/>
          <w:szCs w:val="24"/>
        </w:rPr>
      </w:pPr>
      <w:r>
        <w:rPr>
          <w:rFonts w:hint="eastAsia" w:ascii="宋体" w:hAnsi="宋体" w:cs="宋体"/>
          <w:sz w:val="24"/>
          <w:szCs w:val="24"/>
        </w:rPr>
        <w:t>14.8 下列任何情况发生时，视为供应商违约，其磋商保证金将被没收：</w:t>
      </w:r>
    </w:p>
    <w:p>
      <w:pPr>
        <w:spacing w:line="360" w:lineRule="auto"/>
        <w:ind w:firstLine="480" w:firstLineChars="200"/>
        <w:rPr>
          <w:rFonts w:ascii="宋体" w:hAnsi="宋体" w:cs="宋体"/>
          <w:sz w:val="24"/>
          <w:szCs w:val="24"/>
        </w:rPr>
      </w:pPr>
      <w:r>
        <w:rPr>
          <w:rFonts w:hint="eastAsia" w:ascii="宋体" w:hAnsi="宋体" w:cs="宋体"/>
          <w:sz w:val="24"/>
          <w:szCs w:val="24"/>
        </w:rPr>
        <w:t>1) 供应商在磋商有效期内撤回其磋商响应文件；</w:t>
      </w:r>
    </w:p>
    <w:p>
      <w:pPr>
        <w:spacing w:line="360" w:lineRule="auto"/>
        <w:ind w:firstLine="480" w:firstLineChars="200"/>
        <w:rPr>
          <w:rFonts w:ascii="宋体" w:hAnsi="宋体" w:cs="宋体"/>
          <w:sz w:val="24"/>
          <w:szCs w:val="24"/>
        </w:rPr>
      </w:pPr>
      <w:r>
        <w:rPr>
          <w:rFonts w:hint="eastAsia" w:ascii="宋体" w:hAnsi="宋体" w:cs="宋体"/>
          <w:sz w:val="24"/>
          <w:szCs w:val="24"/>
        </w:rPr>
        <w:t>2）供应商在响应文件中提供伪造、套改、虚假资料参加磋商的。</w:t>
      </w:r>
    </w:p>
    <w:p>
      <w:pPr>
        <w:spacing w:line="360" w:lineRule="auto"/>
        <w:ind w:firstLine="480" w:firstLineChars="200"/>
        <w:rPr>
          <w:rFonts w:ascii="宋体" w:hAnsi="宋体" w:cs="宋体"/>
          <w:sz w:val="24"/>
          <w:szCs w:val="24"/>
        </w:rPr>
      </w:pPr>
      <w:r>
        <w:rPr>
          <w:rFonts w:hint="eastAsia" w:ascii="宋体" w:hAnsi="宋体" w:cs="宋体"/>
          <w:sz w:val="24"/>
          <w:szCs w:val="24"/>
        </w:rPr>
        <w:t>3) 供应商成交后放弃成交或未能按规定签订合同；或未能按规定交纳成交代理服务费。</w:t>
      </w:r>
    </w:p>
    <w:p>
      <w:pPr>
        <w:spacing w:line="360" w:lineRule="auto"/>
        <w:ind w:firstLine="480" w:firstLineChars="200"/>
        <w:rPr>
          <w:rFonts w:ascii="宋体" w:hAnsi="宋体" w:cs="宋体"/>
          <w:sz w:val="24"/>
          <w:szCs w:val="24"/>
        </w:rPr>
      </w:pPr>
      <w:r>
        <w:rPr>
          <w:rFonts w:hint="eastAsia" w:ascii="宋体" w:hAnsi="宋体" w:cs="宋体"/>
          <w:sz w:val="24"/>
          <w:szCs w:val="24"/>
        </w:rPr>
        <w:t>4）供应商成交后将成交项目转让给他人，或者在响应文件中未说明，且未经采购人同意，将成交项目分包给他人的。</w:t>
      </w:r>
    </w:p>
    <w:p>
      <w:pPr>
        <w:spacing w:line="360" w:lineRule="auto"/>
        <w:ind w:firstLine="480" w:firstLineChars="200"/>
        <w:rPr>
          <w:rFonts w:ascii="宋体" w:hAnsi="宋体" w:cs="宋体"/>
          <w:sz w:val="24"/>
          <w:szCs w:val="24"/>
        </w:rPr>
      </w:pPr>
      <w:r>
        <w:rPr>
          <w:rFonts w:hint="eastAsia" w:ascii="宋体" w:hAnsi="宋体" w:cs="宋体"/>
          <w:sz w:val="24"/>
          <w:szCs w:val="24"/>
        </w:rPr>
        <w:t>5）供应商事先未通告无故不参加磋商活动的。</w:t>
      </w:r>
    </w:p>
    <w:p>
      <w:pPr>
        <w:spacing w:line="360" w:lineRule="auto"/>
        <w:ind w:firstLine="480" w:firstLineChars="200"/>
        <w:rPr>
          <w:rFonts w:ascii="宋体" w:hAnsi="宋体" w:cs="宋体"/>
          <w:sz w:val="24"/>
          <w:szCs w:val="24"/>
        </w:rPr>
      </w:pPr>
      <w:r>
        <w:rPr>
          <w:rFonts w:hint="eastAsia" w:ascii="宋体" w:hAnsi="宋体" w:cs="宋体"/>
          <w:sz w:val="24"/>
          <w:szCs w:val="24"/>
        </w:rPr>
        <w:t>6）供应商不按法定程序进行质疑和投诉，捏造事实，查无实据，造成恶劣影响，导致采购活动无法正常进行的。</w:t>
      </w:r>
    </w:p>
    <w:p>
      <w:pPr>
        <w:spacing w:line="360" w:lineRule="auto"/>
        <w:ind w:firstLine="480" w:firstLineChars="200"/>
        <w:rPr>
          <w:rFonts w:ascii="宋体" w:hAnsi="宋体" w:cs="宋体"/>
          <w:sz w:val="24"/>
          <w:szCs w:val="24"/>
        </w:rPr>
      </w:pPr>
      <w:r>
        <w:rPr>
          <w:rFonts w:hint="eastAsia" w:ascii="宋体" w:hAnsi="宋体" w:cs="宋体"/>
          <w:sz w:val="24"/>
          <w:szCs w:val="24"/>
        </w:rPr>
        <w:t>14.9磋商保证金的有效期与磋商有效期一致。担保机构出具的保函的有效期为磋商有效期延长一个月。</w:t>
      </w:r>
    </w:p>
    <w:p>
      <w:pPr>
        <w:spacing w:line="360" w:lineRule="auto"/>
        <w:rPr>
          <w:rFonts w:ascii="宋体" w:hAnsi="宋体" w:cs="宋体"/>
          <w:b/>
          <w:sz w:val="24"/>
          <w:szCs w:val="24"/>
        </w:rPr>
      </w:pPr>
      <w:r>
        <w:rPr>
          <w:rFonts w:hint="eastAsia" w:ascii="宋体" w:hAnsi="宋体" w:cs="宋体"/>
          <w:b/>
          <w:sz w:val="24"/>
          <w:szCs w:val="24"/>
        </w:rPr>
        <w:t>15.磋商有效期</w:t>
      </w:r>
    </w:p>
    <w:p>
      <w:pPr>
        <w:spacing w:line="360" w:lineRule="auto"/>
        <w:ind w:firstLine="480" w:firstLineChars="200"/>
        <w:rPr>
          <w:rFonts w:ascii="宋体" w:hAnsi="宋体" w:cs="宋体"/>
          <w:sz w:val="24"/>
          <w:szCs w:val="24"/>
        </w:rPr>
      </w:pPr>
      <w:bookmarkStart w:id="21" w:name="OLE_LINK4"/>
      <w:r>
        <w:rPr>
          <w:rFonts w:hint="eastAsia" w:ascii="宋体" w:hAnsi="宋体" w:cs="宋体"/>
          <w:sz w:val="24"/>
          <w:szCs w:val="24"/>
        </w:rPr>
        <w:t>15.1磋商响应文件的有效期（含授权有效期）从递交响应文件的截止之日起90天。磋商响应文件应在磋商有效期内保持有效。磋商有效期不满足规定有效期的磋商响应文件将被视为非响应性磋商而予以拒绝。</w:t>
      </w:r>
      <w:bookmarkEnd w:id="21"/>
    </w:p>
    <w:p>
      <w:pPr>
        <w:spacing w:line="360" w:lineRule="auto"/>
        <w:ind w:firstLine="480" w:firstLineChars="200"/>
        <w:rPr>
          <w:rFonts w:ascii="宋体" w:hAnsi="宋体" w:cs="宋体"/>
          <w:sz w:val="24"/>
          <w:szCs w:val="24"/>
        </w:rPr>
      </w:pPr>
      <w:r>
        <w:rPr>
          <w:rFonts w:hint="eastAsia" w:ascii="宋体" w:hAnsi="宋体" w:cs="宋体"/>
          <w:sz w:val="24"/>
          <w:szCs w:val="24"/>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ascii="宋体" w:hAnsi="宋体" w:cs="宋体"/>
          <w:b/>
          <w:sz w:val="24"/>
          <w:szCs w:val="24"/>
        </w:rPr>
      </w:pPr>
      <w:r>
        <w:rPr>
          <w:rFonts w:hint="eastAsia" w:ascii="宋体" w:hAnsi="宋体" w:cs="宋体"/>
          <w:b/>
          <w:sz w:val="24"/>
          <w:szCs w:val="24"/>
        </w:rPr>
        <w:t>16.竞争性磋商响应文件的式样和签署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16.1供应商应按照供应商须知的要求, 准备一份竞争性磋商响应文件正本和“供应商须知前附表”中规定数量的副本及与正本内容一致的电子版（光盘），每套竞争性磋商响应文件封面须清楚地标明“正本”或“副本”。</w:t>
      </w:r>
    </w:p>
    <w:p>
      <w:pPr>
        <w:spacing w:line="360" w:lineRule="auto"/>
        <w:ind w:firstLine="480" w:firstLineChars="200"/>
        <w:rPr>
          <w:rFonts w:ascii="宋体" w:hAnsi="宋体" w:cs="宋体"/>
          <w:sz w:val="24"/>
          <w:szCs w:val="24"/>
        </w:rPr>
      </w:pPr>
      <w:r>
        <w:rPr>
          <w:rFonts w:hint="eastAsia" w:ascii="宋体" w:hAnsi="宋体" w:cs="宋体"/>
          <w:sz w:val="24"/>
          <w:szCs w:val="24"/>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将按竞争性磋商文件规定的格式出具的“法定代表人授权书”附在竞争性磋商响应文件中，所有要求签字（名）处，均须由签字（名）者本人用不褪色的蓝(黑)色墨水(汁)书写，不得用任何形式的图章代替。所有竞争性磋商响应文件正本和副本须按第六章规定的顺序编排、并应编制目录、逐页标注连续页码，并分别胶装成册。</w:t>
      </w:r>
    </w:p>
    <w:p>
      <w:pPr>
        <w:spacing w:line="360" w:lineRule="auto"/>
        <w:ind w:firstLine="480" w:firstLineChars="200"/>
        <w:rPr>
          <w:rFonts w:ascii="宋体" w:hAnsi="宋体" w:cs="宋体"/>
          <w:sz w:val="24"/>
          <w:szCs w:val="24"/>
        </w:rPr>
      </w:pPr>
      <w:r>
        <w:rPr>
          <w:rFonts w:hint="eastAsia" w:ascii="宋体" w:hAnsi="宋体" w:cs="宋体"/>
          <w:sz w:val="24"/>
          <w:szCs w:val="24"/>
        </w:rPr>
        <w:t>16.3任何行间插字、涂改和增删，必须由供应商的法定代表人或其授权代表在旁边签字才有效。</w:t>
      </w:r>
    </w:p>
    <w:p>
      <w:pPr>
        <w:spacing w:line="360" w:lineRule="auto"/>
        <w:ind w:firstLine="480" w:firstLineChars="200"/>
        <w:rPr>
          <w:rFonts w:ascii="宋体" w:hAnsi="宋体" w:cs="宋体"/>
          <w:sz w:val="24"/>
          <w:szCs w:val="24"/>
        </w:rPr>
      </w:pPr>
      <w:r>
        <w:rPr>
          <w:rFonts w:hint="eastAsia" w:ascii="宋体" w:hAnsi="宋体" w:cs="宋体"/>
          <w:sz w:val="24"/>
          <w:szCs w:val="24"/>
        </w:rPr>
        <w:t>16.4供应商名称应填写全称，竞争性磋商响应文件正本必须逐页加盖供应商公章。</w:t>
      </w:r>
    </w:p>
    <w:p>
      <w:pPr>
        <w:spacing w:line="360" w:lineRule="auto"/>
        <w:ind w:firstLine="480" w:firstLineChars="200"/>
        <w:rPr>
          <w:rFonts w:ascii="宋体" w:hAnsi="宋体" w:cs="宋体"/>
          <w:sz w:val="24"/>
          <w:szCs w:val="24"/>
        </w:rPr>
      </w:pPr>
      <w:r>
        <w:rPr>
          <w:rFonts w:hint="eastAsia" w:ascii="宋体" w:hAnsi="宋体" w:cs="宋体"/>
          <w:sz w:val="24"/>
          <w:szCs w:val="24"/>
        </w:rPr>
        <w:t>16.5因字迹潦草、表述不清或不按竞争性磋商文件格式编制的竞争性磋商响应文件，所引起的对供应商不利的后果，由供应商自行负责。</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16.6竞争性磋商文件的副本、电子版文件内容须和正本内容保持一致。若正本、副本和电子版文件有不一致的内容，以正本为准。</w:t>
      </w:r>
    </w:p>
    <w:p>
      <w:pPr>
        <w:keepNext/>
        <w:keepLines/>
        <w:spacing w:beforeLines="50" w:line="360" w:lineRule="auto"/>
        <w:jc w:val="center"/>
        <w:rPr>
          <w:rFonts w:ascii="宋体" w:hAnsi="宋体" w:cs="宋体"/>
          <w:b/>
          <w:sz w:val="24"/>
          <w:szCs w:val="24"/>
        </w:rPr>
      </w:pPr>
      <w:r>
        <w:rPr>
          <w:rFonts w:hint="eastAsia" w:ascii="宋体" w:hAnsi="宋体" w:cs="宋体"/>
          <w:b/>
          <w:sz w:val="24"/>
          <w:szCs w:val="24"/>
        </w:rPr>
        <w:t>四.竞争性磋商响应文件的递交</w:t>
      </w:r>
    </w:p>
    <w:p>
      <w:pPr>
        <w:spacing w:line="360" w:lineRule="auto"/>
        <w:rPr>
          <w:rFonts w:ascii="宋体" w:hAnsi="宋体" w:cs="宋体"/>
          <w:b/>
          <w:sz w:val="24"/>
          <w:szCs w:val="24"/>
        </w:rPr>
      </w:pPr>
      <w:r>
        <w:rPr>
          <w:rFonts w:hint="eastAsia" w:ascii="宋体" w:hAnsi="宋体" w:cs="宋体"/>
          <w:b/>
          <w:sz w:val="24"/>
          <w:szCs w:val="24"/>
        </w:rPr>
        <w:t>17.竞争性磋商响应文件的密封和标记</w:t>
      </w:r>
    </w:p>
    <w:p>
      <w:pPr>
        <w:spacing w:line="360" w:lineRule="auto"/>
        <w:ind w:firstLine="480" w:firstLineChars="200"/>
        <w:rPr>
          <w:rFonts w:ascii="宋体" w:hAnsi="宋体" w:cs="宋体"/>
          <w:sz w:val="24"/>
          <w:szCs w:val="24"/>
        </w:rPr>
      </w:pPr>
      <w:r>
        <w:rPr>
          <w:rFonts w:hint="eastAsia" w:ascii="宋体" w:hAnsi="宋体" w:cs="宋体"/>
          <w:sz w:val="24"/>
          <w:szCs w:val="24"/>
        </w:rPr>
        <w:t>17.1磋商响应文件密封袋封线处加贴封条并加盖供应商公章，封袋正面要粘贴标识。</w:t>
      </w:r>
    </w:p>
    <w:p>
      <w:pPr>
        <w:spacing w:line="360" w:lineRule="auto"/>
        <w:ind w:firstLine="480" w:firstLineChars="200"/>
        <w:rPr>
          <w:rFonts w:ascii="宋体" w:hAnsi="宋体" w:cs="宋体"/>
          <w:sz w:val="24"/>
          <w:szCs w:val="24"/>
        </w:rPr>
      </w:pPr>
      <w:r>
        <w:rPr>
          <w:rFonts w:hint="eastAsia" w:ascii="宋体" w:hAnsi="宋体" w:cs="宋体"/>
          <w:sz w:val="24"/>
          <w:szCs w:val="24"/>
        </w:rPr>
        <w:t>17.2供应商应将竞争性磋商响应文件正本、所有的副本、电子版文件分开密封装在单独的封袋中（封袋不得有破损），且在封袋正面标明“竞争性磋商响应文件正本”、“竞争性磋商响应文件副本”、“电子版文件”字样。封袋应加贴封条，并在封线处加盖供应商鲜章，封袋正面要粘贴供应商全称、项目名称、编号等标识。</w:t>
      </w:r>
    </w:p>
    <w:p>
      <w:pPr>
        <w:spacing w:line="360" w:lineRule="auto"/>
        <w:ind w:firstLine="480" w:firstLineChars="200"/>
        <w:rPr>
          <w:rFonts w:ascii="宋体" w:hAnsi="宋体" w:cs="宋体"/>
          <w:sz w:val="24"/>
          <w:szCs w:val="24"/>
        </w:rPr>
      </w:pPr>
      <w:r>
        <w:rPr>
          <w:rFonts w:hint="eastAsia" w:ascii="宋体" w:hAnsi="宋体" w:cs="宋体"/>
          <w:sz w:val="24"/>
          <w:szCs w:val="24"/>
        </w:rPr>
        <w:t>外层包装请按以下要求标记：</w:t>
      </w:r>
    </w:p>
    <w:p>
      <w:pPr>
        <w:spacing w:line="360" w:lineRule="auto"/>
        <w:ind w:firstLine="480" w:firstLineChars="200"/>
        <w:rPr>
          <w:rFonts w:ascii="宋体" w:hAnsi="宋体" w:cs="宋体"/>
          <w:sz w:val="24"/>
          <w:szCs w:val="24"/>
        </w:rPr>
      </w:pPr>
      <w:r>
        <w:rPr>
          <w:rFonts w:hint="eastAsia" w:ascii="宋体" w:hAnsi="宋体" w:cs="宋体"/>
          <w:sz w:val="24"/>
          <w:szCs w:val="24"/>
        </w:rPr>
        <w:t>1) 供应商全称；</w:t>
      </w:r>
    </w:p>
    <w:p>
      <w:pPr>
        <w:spacing w:line="360" w:lineRule="auto"/>
        <w:ind w:firstLine="480" w:firstLineChars="200"/>
        <w:rPr>
          <w:rFonts w:ascii="宋体" w:hAnsi="宋体" w:cs="宋体"/>
          <w:sz w:val="24"/>
          <w:szCs w:val="24"/>
        </w:rPr>
      </w:pPr>
      <w:r>
        <w:rPr>
          <w:rFonts w:hint="eastAsia" w:ascii="宋体" w:hAnsi="宋体" w:cs="宋体"/>
          <w:sz w:val="24"/>
          <w:szCs w:val="24"/>
        </w:rPr>
        <w:t>2) 磋商项目名称、项目编号；</w:t>
      </w:r>
    </w:p>
    <w:p>
      <w:pPr>
        <w:spacing w:line="360" w:lineRule="auto"/>
        <w:ind w:firstLine="480" w:firstLineChars="200"/>
        <w:rPr>
          <w:rFonts w:ascii="宋体" w:hAnsi="宋体" w:cs="宋体"/>
          <w:sz w:val="24"/>
          <w:szCs w:val="24"/>
        </w:rPr>
      </w:pPr>
      <w:r>
        <w:rPr>
          <w:rFonts w:hint="eastAsia" w:ascii="宋体" w:hAnsi="宋体" w:cs="宋体"/>
          <w:sz w:val="24"/>
          <w:szCs w:val="24"/>
        </w:rPr>
        <w:t>3）竞争性磋商响应文件正本或副本、电子版文件“请勿在＿＿＿＿＿(磋商时间)之前启封”。</w:t>
      </w:r>
    </w:p>
    <w:p>
      <w:pPr>
        <w:spacing w:line="360" w:lineRule="auto"/>
        <w:ind w:firstLine="480" w:firstLineChars="200"/>
        <w:rPr>
          <w:rFonts w:ascii="宋体" w:hAnsi="宋体" w:cs="宋体"/>
          <w:sz w:val="24"/>
          <w:szCs w:val="24"/>
        </w:rPr>
      </w:pPr>
      <w:r>
        <w:rPr>
          <w:rFonts w:hint="eastAsia" w:ascii="宋体" w:hAnsi="宋体" w:cs="宋体"/>
          <w:sz w:val="24"/>
          <w:szCs w:val="24"/>
        </w:rPr>
        <w:t>17.3如果供应商未对竞争性磋商响应文件按上述要求进行完好密封，采购人和采购代理机构有权拒绝接收其磋商响应文件。</w:t>
      </w:r>
    </w:p>
    <w:p>
      <w:pPr>
        <w:spacing w:line="360" w:lineRule="auto"/>
        <w:rPr>
          <w:rFonts w:ascii="宋体" w:hAnsi="宋体" w:cs="宋体"/>
          <w:b/>
          <w:sz w:val="24"/>
          <w:szCs w:val="24"/>
        </w:rPr>
      </w:pPr>
      <w:r>
        <w:rPr>
          <w:rFonts w:hint="eastAsia" w:ascii="宋体" w:hAnsi="宋体" w:cs="宋体"/>
          <w:b/>
          <w:sz w:val="24"/>
          <w:szCs w:val="24"/>
        </w:rPr>
        <w:t>18．竞争性磋商响应文件的递交</w:t>
      </w:r>
    </w:p>
    <w:p>
      <w:pPr>
        <w:spacing w:line="360" w:lineRule="auto"/>
        <w:ind w:firstLine="480" w:firstLineChars="200"/>
        <w:rPr>
          <w:rFonts w:ascii="宋体" w:hAnsi="宋体" w:cs="宋体"/>
          <w:sz w:val="24"/>
          <w:szCs w:val="24"/>
        </w:rPr>
      </w:pPr>
      <w:r>
        <w:rPr>
          <w:rFonts w:hint="eastAsia" w:ascii="宋体" w:hAnsi="宋体" w:cs="宋体"/>
          <w:sz w:val="24"/>
          <w:szCs w:val="24"/>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ascii="宋体" w:hAnsi="宋体" w:cs="宋体"/>
          <w:sz w:val="24"/>
          <w:szCs w:val="24"/>
        </w:rPr>
      </w:pPr>
      <w:r>
        <w:rPr>
          <w:rFonts w:hint="eastAsia" w:ascii="宋体" w:hAnsi="宋体" w:cs="宋体"/>
          <w:sz w:val="24"/>
          <w:szCs w:val="24"/>
        </w:rPr>
        <w:t>18.2采购代理机构项目接收人在竞争性磋商文件规定的竞争性磋商响应文件递交截止时间前，只负责竞争性磋商响应文件的接收、清点、登记工作，并请递交人签字确认，对其有效性不负任何责任；</w:t>
      </w:r>
    </w:p>
    <w:p>
      <w:pPr>
        <w:spacing w:line="360" w:lineRule="auto"/>
        <w:ind w:firstLine="480" w:firstLineChars="200"/>
        <w:rPr>
          <w:rFonts w:ascii="宋体" w:hAnsi="宋体" w:cs="宋体"/>
          <w:sz w:val="24"/>
          <w:szCs w:val="24"/>
        </w:rPr>
      </w:pPr>
      <w:r>
        <w:rPr>
          <w:rFonts w:hint="eastAsia" w:ascii="宋体" w:hAnsi="宋体" w:cs="宋体"/>
          <w:sz w:val="24"/>
          <w:szCs w:val="24"/>
        </w:rPr>
        <w:t>18.3无论供应商成交与否，其竞争性磋商响应文件恕不退还。</w:t>
      </w:r>
    </w:p>
    <w:p>
      <w:pPr>
        <w:spacing w:line="360" w:lineRule="auto"/>
        <w:rPr>
          <w:rFonts w:ascii="宋体" w:hAnsi="宋体" w:cs="宋体"/>
          <w:b/>
          <w:sz w:val="24"/>
          <w:szCs w:val="24"/>
        </w:rPr>
      </w:pPr>
      <w:r>
        <w:rPr>
          <w:rFonts w:hint="eastAsia" w:ascii="宋体" w:hAnsi="宋体" w:cs="宋体"/>
          <w:b/>
          <w:sz w:val="24"/>
          <w:szCs w:val="24"/>
        </w:rPr>
        <w:t>19．延迟递交的竞争性磋商响应文件</w:t>
      </w:r>
    </w:p>
    <w:p>
      <w:pPr>
        <w:spacing w:line="360" w:lineRule="auto"/>
        <w:ind w:firstLine="480" w:firstLineChars="200"/>
        <w:rPr>
          <w:rFonts w:ascii="宋体" w:hAnsi="宋体" w:cs="宋体"/>
          <w:sz w:val="24"/>
          <w:szCs w:val="24"/>
        </w:rPr>
      </w:pPr>
      <w:r>
        <w:rPr>
          <w:rFonts w:hint="eastAsia" w:ascii="宋体" w:hAnsi="宋体" w:cs="宋体"/>
          <w:sz w:val="24"/>
          <w:szCs w:val="24"/>
        </w:rPr>
        <w:t>19.1按照供应商须知的规定，采购代理机构将拒绝接受在规定的磋商截止时间后递交的任何竞争性磋商响应文件。</w:t>
      </w:r>
    </w:p>
    <w:p>
      <w:pPr>
        <w:spacing w:line="360" w:lineRule="auto"/>
        <w:rPr>
          <w:rFonts w:ascii="宋体" w:hAnsi="宋体" w:cs="宋体"/>
          <w:b/>
          <w:sz w:val="24"/>
          <w:szCs w:val="24"/>
        </w:rPr>
      </w:pPr>
      <w:r>
        <w:rPr>
          <w:rFonts w:hint="eastAsia" w:ascii="宋体" w:hAnsi="宋体" w:cs="宋体"/>
          <w:b/>
          <w:sz w:val="24"/>
          <w:szCs w:val="24"/>
        </w:rPr>
        <w:t>20．磋商的修改与撤回</w:t>
      </w:r>
    </w:p>
    <w:p>
      <w:pPr>
        <w:spacing w:line="360" w:lineRule="auto"/>
        <w:ind w:firstLine="480" w:firstLineChars="200"/>
        <w:rPr>
          <w:rFonts w:ascii="宋体" w:hAnsi="宋体" w:cs="宋体"/>
          <w:sz w:val="24"/>
          <w:szCs w:val="24"/>
        </w:rPr>
      </w:pPr>
      <w:r>
        <w:rPr>
          <w:rFonts w:hint="eastAsia" w:ascii="宋体" w:hAnsi="宋体" w:cs="宋体"/>
          <w:sz w:val="24"/>
          <w:szCs w:val="24"/>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ascii="宋体" w:hAnsi="宋体" w:cs="宋体"/>
          <w:sz w:val="24"/>
          <w:szCs w:val="24"/>
        </w:rPr>
      </w:pPr>
      <w:r>
        <w:rPr>
          <w:rFonts w:hint="eastAsia" w:ascii="宋体" w:hAnsi="宋体" w:cs="宋体"/>
          <w:sz w:val="24"/>
          <w:szCs w:val="24"/>
        </w:rPr>
        <w:t>20.2 供应商的修改或撤回或变动价格的通知应按本须知第17条的规定编制、密封、标记和递交。</w:t>
      </w:r>
    </w:p>
    <w:p>
      <w:pPr>
        <w:spacing w:line="360" w:lineRule="auto"/>
        <w:ind w:firstLine="480" w:firstLineChars="200"/>
        <w:rPr>
          <w:rFonts w:ascii="宋体" w:hAnsi="宋体" w:cs="宋体"/>
          <w:sz w:val="24"/>
          <w:szCs w:val="24"/>
        </w:rPr>
      </w:pPr>
      <w:r>
        <w:rPr>
          <w:rFonts w:hint="eastAsia" w:ascii="宋体" w:hAnsi="宋体" w:cs="宋体"/>
          <w:sz w:val="24"/>
          <w:szCs w:val="24"/>
        </w:rPr>
        <w:t>20.3 在磋商截止时间之后，供应商不得对其磋商响应文件做任何修改或撤回。</w:t>
      </w:r>
    </w:p>
    <w:p>
      <w:pPr>
        <w:keepNext/>
        <w:keepLines/>
        <w:spacing w:beforeLines="50" w:line="360" w:lineRule="auto"/>
        <w:jc w:val="center"/>
        <w:rPr>
          <w:rFonts w:ascii="宋体" w:hAnsi="宋体" w:cs="宋体"/>
          <w:b/>
          <w:sz w:val="24"/>
          <w:szCs w:val="24"/>
        </w:rPr>
      </w:pPr>
      <w:bookmarkStart w:id="22" w:name="_Toc363473976"/>
      <w:bookmarkStart w:id="23" w:name="_Toc403077643"/>
      <w:bookmarkStart w:id="24" w:name="_Toc363474021"/>
      <w:r>
        <w:rPr>
          <w:rFonts w:hint="eastAsia" w:ascii="宋体" w:hAnsi="宋体" w:cs="宋体"/>
          <w:b/>
          <w:sz w:val="24"/>
          <w:szCs w:val="24"/>
        </w:rPr>
        <w:t>五.磋商与评标</w:t>
      </w:r>
      <w:bookmarkEnd w:id="22"/>
      <w:bookmarkEnd w:id="23"/>
      <w:bookmarkEnd w:id="24"/>
    </w:p>
    <w:p>
      <w:pPr>
        <w:spacing w:line="360" w:lineRule="auto"/>
        <w:rPr>
          <w:rFonts w:ascii="宋体" w:hAnsi="宋体" w:cs="宋体"/>
          <w:b/>
          <w:sz w:val="24"/>
          <w:szCs w:val="24"/>
        </w:rPr>
      </w:pPr>
      <w:r>
        <w:rPr>
          <w:rFonts w:hint="eastAsia" w:ascii="宋体" w:hAnsi="宋体" w:cs="宋体"/>
          <w:b/>
          <w:sz w:val="24"/>
          <w:szCs w:val="24"/>
        </w:rPr>
        <w:t>21.磋商</w:t>
      </w:r>
    </w:p>
    <w:p>
      <w:pPr>
        <w:spacing w:line="360" w:lineRule="auto"/>
        <w:ind w:firstLine="480" w:firstLineChars="200"/>
        <w:rPr>
          <w:rFonts w:ascii="宋体" w:hAnsi="宋体" w:cs="宋体"/>
          <w:sz w:val="24"/>
          <w:szCs w:val="24"/>
        </w:rPr>
      </w:pPr>
      <w:r>
        <w:rPr>
          <w:rFonts w:hint="eastAsia" w:ascii="宋体" w:hAnsi="宋体" w:cs="宋体"/>
          <w:sz w:val="24"/>
          <w:szCs w:val="24"/>
        </w:rPr>
        <w:t>21.1 采购代理机构在规定的时间和地点组织竞争性磋商。磋商时所有供应商代表自愿参加，参加磋商的代表应签名报到以证明其出席。</w:t>
      </w:r>
    </w:p>
    <w:p>
      <w:pPr>
        <w:spacing w:line="360" w:lineRule="auto"/>
        <w:ind w:firstLine="480" w:firstLineChars="200"/>
        <w:rPr>
          <w:rFonts w:ascii="宋体" w:hAnsi="宋体" w:cs="宋体"/>
          <w:sz w:val="24"/>
          <w:szCs w:val="24"/>
        </w:rPr>
      </w:pPr>
      <w:r>
        <w:rPr>
          <w:rFonts w:hint="eastAsia" w:ascii="宋体" w:hAnsi="宋体" w:cs="宋体"/>
          <w:sz w:val="24"/>
          <w:szCs w:val="24"/>
        </w:rPr>
        <w:t>21.2采购代理机构将做磋商记录，存档备查。</w:t>
      </w:r>
    </w:p>
    <w:p>
      <w:pPr>
        <w:spacing w:line="360" w:lineRule="auto"/>
        <w:rPr>
          <w:rFonts w:ascii="宋体" w:hAnsi="宋体" w:cs="宋体"/>
          <w:b/>
          <w:sz w:val="24"/>
          <w:szCs w:val="24"/>
        </w:rPr>
      </w:pPr>
      <w:r>
        <w:rPr>
          <w:rFonts w:hint="eastAsia" w:ascii="宋体" w:hAnsi="宋体" w:cs="宋体"/>
          <w:b/>
          <w:sz w:val="24"/>
          <w:szCs w:val="24"/>
        </w:rPr>
        <w:t>22．评审组织及评审原则</w:t>
      </w:r>
    </w:p>
    <w:p>
      <w:pPr>
        <w:spacing w:line="500" w:lineRule="exact"/>
        <w:ind w:firstLine="480" w:firstLineChars="200"/>
        <w:rPr>
          <w:rFonts w:ascii="宋体" w:hAnsi="宋体" w:cs="宋体"/>
          <w:sz w:val="24"/>
          <w:szCs w:val="24"/>
        </w:rPr>
      </w:pPr>
      <w:r>
        <w:rPr>
          <w:rFonts w:hint="eastAsia" w:ascii="宋体" w:hAnsi="宋体" w:cs="宋体"/>
          <w:sz w:val="24"/>
          <w:szCs w:val="24"/>
        </w:rPr>
        <w:t>22.1按照《中华人民共和国政府采购法》及实施条例和财政部关于《政府采购竞争性磋商采购方式管理暂行办法》有关问题的补充通知（财库[2015]124号）、财政部关于印发《政府采购竞争性磋商采购方式管理暂行办法》的通知（财库[2014]214号），依法组建磋商小组。本项目磋商小组由</w:t>
      </w:r>
      <w:r>
        <w:rPr>
          <w:rFonts w:hint="eastAsia" w:ascii="宋体" w:hAnsi="宋体" w:cs="宋体"/>
          <w:sz w:val="24"/>
          <w:szCs w:val="24"/>
          <w:lang w:val="en-US" w:eastAsia="zh-CN"/>
        </w:rPr>
        <w:t>3</w:t>
      </w:r>
      <w:r>
        <w:rPr>
          <w:rFonts w:hint="eastAsia" w:ascii="宋体" w:hAnsi="宋体" w:cs="宋体"/>
          <w:sz w:val="24"/>
          <w:szCs w:val="24"/>
        </w:rPr>
        <w:t>名评审专家组成。磋商小组按照竞争性磋商文件规定的评审方法独立进行评审工作。</w:t>
      </w:r>
    </w:p>
    <w:p>
      <w:pPr>
        <w:spacing w:line="360" w:lineRule="auto"/>
        <w:ind w:firstLine="480" w:firstLineChars="200"/>
        <w:rPr>
          <w:rFonts w:ascii="宋体" w:hAnsi="宋体" w:cs="宋体"/>
          <w:sz w:val="24"/>
          <w:szCs w:val="24"/>
        </w:rPr>
      </w:pPr>
      <w:r>
        <w:rPr>
          <w:rFonts w:hint="eastAsia" w:ascii="宋体" w:hAnsi="宋体" w:cs="宋体"/>
          <w:sz w:val="24"/>
          <w:szCs w:val="24"/>
        </w:rPr>
        <w:t>22.2竞争性磋商文件和竞争性磋商响应文件是评审的依据。在评审中，不得改变竞争性磋商文件中规定的评审标准、方法和成交条件。</w:t>
      </w:r>
    </w:p>
    <w:p>
      <w:pPr>
        <w:spacing w:line="360" w:lineRule="auto"/>
        <w:ind w:firstLine="480" w:firstLineChars="200"/>
        <w:rPr>
          <w:rFonts w:ascii="宋体" w:hAnsi="宋体" w:cs="宋体"/>
          <w:sz w:val="24"/>
          <w:szCs w:val="24"/>
        </w:rPr>
      </w:pPr>
      <w:r>
        <w:rPr>
          <w:rFonts w:hint="eastAsia" w:ascii="宋体" w:hAnsi="宋体" w:cs="宋体"/>
          <w:sz w:val="24"/>
          <w:szCs w:val="24"/>
        </w:rPr>
        <w:t>22.3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ascii="宋体" w:hAnsi="宋体" w:cs="宋体"/>
          <w:sz w:val="24"/>
          <w:szCs w:val="24"/>
        </w:rPr>
      </w:pPr>
      <w:r>
        <w:rPr>
          <w:rFonts w:hint="eastAsia" w:ascii="宋体" w:hAnsi="宋体" w:cs="宋体"/>
          <w:sz w:val="24"/>
          <w:szCs w:val="24"/>
        </w:rPr>
        <w:t>22.4如果供应商在澄清规定期限内，未能答复或拒绝答复磋商小组提出的澄清要求，将由磋商小组根据其竞争性磋商响应文件按最大风险进行评审。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ascii="宋体" w:hAnsi="宋体" w:cs="宋体"/>
          <w:sz w:val="24"/>
          <w:szCs w:val="24"/>
        </w:rPr>
      </w:pPr>
      <w:r>
        <w:rPr>
          <w:rFonts w:hint="eastAsia" w:ascii="宋体" w:hAnsi="宋体" w:cs="宋体"/>
          <w:sz w:val="24"/>
          <w:szCs w:val="24"/>
        </w:rPr>
        <w:t>22.5磋商过程中的实质性变动：</w:t>
      </w:r>
    </w:p>
    <w:p>
      <w:pPr>
        <w:spacing w:line="360" w:lineRule="auto"/>
        <w:ind w:firstLine="480" w:firstLineChars="200"/>
        <w:rPr>
          <w:rFonts w:ascii="宋体" w:hAnsi="宋体" w:cs="宋体"/>
          <w:sz w:val="24"/>
          <w:szCs w:val="24"/>
        </w:rPr>
      </w:pPr>
      <w:r>
        <w:rPr>
          <w:rFonts w:hint="eastAsia" w:ascii="宋体" w:hAnsi="宋体" w:cs="宋体"/>
          <w:sz w:val="24"/>
          <w:szCs w:val="24"/>
        </w:rPr>
        <w:t>22.5.1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ascii="宋体" w:hAnsi="宋体" w:cs="宋体"/>
          <w:sz w:val="24"/>
          <w:szCs w:val="24"/>
        </w:rPr>
      </w:pPr>
      <w:r>
        <w:rPr>
          <w:rFonts w:hint="eastAsia" w:ascii="宋体" w:hAnsi="宋体" w:cs="宋体"/>
          <w:sz w:val="24"/>
          <w:szCs w:val="24"/>
        </w:rPr>
        <w:t>22.5.2对竞争性磋商文件做出的实质性变动是磋商文件的有效组成部分，磋商小组应当及时以书面形式通知所有参加磋商的供应商。</w:t>
      </w:r>
    </w:p>
    <w:p>
      <w:pPr>
        <w:spacing w:line="360" w:lineRule="auto"/>
        <w:ind w:firstLine="480" w:firstLineChars="200"/>
        <w:rPr>
          <w:rFonts w:ascii="宋体" w:hAnsi="宋体" w:cs="宋体"/>
          <w:sz w:val="24"/>
          <w:szCs w:val="24"/>
        </w:rPr>
      </w:pPr>
      <w:r>
        <w:rPr>
          <w:rFonts w:hint="eastAsia" w:ascii="宋体" w:hAnsi="宋体" w:cs="宋体"/>
          <w:sz w:val="24"/>
          <w:szCs w:val="24"/>
        </w:rPr>
        <w:t>22.6竞争性磋商响应文件的初审</w:t>
      </w:r>
    </w:p>
    <w:p>
      <w:pPr>
        <w:spacing w:line="360" w:lineRule="auto"/>
        <w:ind w:firstLine="480" w:firstLineChars="200"/>
        <w:rPr>
          <w:rFonts w:ascii="宋体" w:hAnsi="宋体" w:cs="宋体"/>
          <w:sz w:val="24"/>
          <w:szCs w:val="24"/>
        </w:rPr>
      </w:pPr>
      <w:r>
        <w:rPr>
          <w:rFonts w:hint="eastAsia" w:ascii="宋体" w:hAnsi="宋体" w:cs="宋体"/>
          <w:sz w:val="24"/>
          <w:szCs w:val="24"/>
        </w:rPr>
        <w:t>22.6.1磋商小组将审查竞争性磋商响应文件是否完整、格式是否符合要求、有无计算上的错误等。</w:t>
      </w:r>
    </w:p>
    <w:p>
      <w:pPr>
        <w:spacing w:line="500" w:lineRule="exact"/>
        <w:ind w:firstLine="480" w:firstLineChars="200"/>
        <w:rPr>
          <w:rFonts w:ascii="宋体" w:hAnsi="宋体" w:cs="宋体"/>
          <w:sz w:val="24"/>
          <w:szCs w:val="24"/>
        </w:rPr>
      </w:pPr>
      <w:r>
        <w:rPr>
          <w:rFonts w:hint="eastAsia" w:ascii="宋体" w:hAnsi="宋体" w:cs="宋体"/>
          <w:sz w:val="24"/>
          <w:szCs w:val="24"/>
        </w:rPr>
        <w:t>22.6.2计算错误将按以下方法更正：</w:t>
      </w:r>
    </w:p>
    <w:p>
      <w:pPr>
        <w:spacing w:line="500" w:lineRule="exact"/>
        <w:ind w:firstLine="480" w:firstLineChars="200"/>
        <w:rPr>
          <w:rFonts w:ascii="宋体" w:hAnsi="宋体" w:cs="宋体"/>
          <w:sz w:val="24"/>
          <w:szCs w:val="24"/>
        </w:rPr>
      </w:pPr>
      <w:r>
        <w:rPr>
          <w:rFonts w:hint="eastAsia" w:ascii="宋体" w:hAnsi="宋体" w:cs="宋体"/>
          <w:sz w:val="24"/>
          <w:szCs w:val="24"/>
        </w:rPr>
        <w:t>（1）磋商响应文件中首次磋商报价表(报价表)内容与磋商响应文件中相应内容不一致的，以首次磋商报价表(报价表)为准。</w:t>
      </w:r>
    </w:p>
    <w:p>
      <w:pPr>
        <w:spacing w:line="500" w:lineRule="exact"/>
        <w:ind w:firstLine="480" w:firstLineChars="200"/>
        <w:rPr>
          <w:rFonts w:ascii="宋体" w:hAnsi="宋体" w:cs="宋体"/>
          <w:sz w:val="24"/>
          <w:szCs w:val="24"/>
        </w:rPr>
      </w:pPr>
      <w:r>
        <w:rPr>
          <w:rFonts w:hint="eastAsia" w:ascii="宋体" w:hAnsi="宋体" w:cs="宋体"/>
          <w:sz w:val="24"/>
          <w:szCs w:val="24"/>
        </w:rPr>
        <w:t>（2）磋商响应文件的大写金额和小写金额不一致的，以大写金额为准；</w:t>
      </w:r>
    </w:p>
    <w:p>
      <w:pPr>
        <w:spacing w:line="500" w:lineRule="exact"/>
        <w:ind w:firstLine="480" w:firstLineChars="200"/>
        <w:rPr>
          <w:rFonts w:ascii="宋体" w:hAnsi="宋体" w:cs="宋体"/>
          <w:sz w:val="24"/>
          <w:szCs w:val="24"/>
        </w:rPr>
      </w:pPr>
      <w:r>
        <w:rPr>
          <w:rFonts w:hint="eastAsia" w:ascii="宋体" w:hAnsi="宋体" w:cs="宋体"/>
          <w:sz w:val="24"/>
          <w:szCs w:val="24"/>
        </w:rPr>
        <w:t>（3）单价金额小数点或者百分比有明显错误的，以首次磋商报价表的总价为准，并修改单价；</w:t>
      </w:r>
    </w:p>
    <w:p>
      <w:pPr>
        <w:spacing w:line="500" w:lineRule="exact"/>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pPr>
        <w:spacing w:line="500" w:lineRule="exact"/>
        <w:ind w:firstLine="480" w:firstLineChars="200"/>
        <w:rPr>
          <w:rFonts w:ascii="宋体" w:hAnsi="宋体" w:cs="宋体"/>
          <w:sz w:val="24"/>
          <w:szCs w:val="24"/>
        </w:rPr>
      </w:pPr>
      <w:r>
        <w:rPr>
          <w:rFonts w:hint="eastAsia" w:ascii="宋体" w:hAnsi="宋体" w:cs="宋体"/>
          <w:sz w:val="24"/>
          <w:szCs w:val="24"/>
        </w:rPr>
        <w:t>按上述修正的顺序和方法调整的报价应对供应商具有约束力。如果供应商不接受修正后的价格，其响应文件将按无效响应处理。</w:t>
      </w:r>
    </w:p>
    <w:p>
      <w:pPr>
        <w:spacing w:line="360" w:lineRule="auto"/>
        <w:ind w:firstLine="480" w:firstLineChars="200"/>
        <w:rPr>
          <w:rFonts w:ascii="宋体" w:hAnsi="宋体" w:cs="宋体"/>
          <w:sz w:val="24"/>
          <w:szCs w:val="24"/>
        </w:rPr>
      </w:pPr>
      <w:r>
        <w:rPr>
          <w:rFonts w:hint="eastAsia" w:ascii="宋体" w:hAnsi="宋体" w:cs="宋体"/>
          <w:sz w:val="24"/>
          <w:szCs w:val="24"/>
        </w:rPr>
        <w:t>22.6.3对于竞争性磋商响应文件中明显的标点符号错误或不构成实质性偏差的不正规、不一致或不规则，采购人可以接受。</w:t>
      </w:r>
    </w:p>
    <w:p>
      <w:pPr>
        <w:spacing w:line="360" w:lineRule="auto"/>
        <w:ind w:firstLine="480" w:firstLineChars="200"/>
        <w:rPr>
          <w:rFonts w:ascii="宋体" w:hAnsi="宋体" w:cs="宋体"/>
          <w:sz w:val="24"/>
          <w:szCs w:val="24"/>
        </w:rPr>
      </w:pPr>
      <w:r>
        <w:rPr>
          <w:rFonts w:hint="eastAsia" w:ascii="宋体" w:hAnsi="宋体" w:cs="宋体"/>
          <w:sz w:val="24"/>
          <w:szCs w:val="24"/>
        </w:rPr>
        <w:t>22.6.4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22.6.5实质上没有响应竞争性磋商文件要求的磋商将被拒绝。供应商不得通过修正或撤销不合要求的偏离从而使其磋商成为实质性响应的磋商。</w:t>
      </w:r>
    </w:p>
    <w:p>
      <w:pPr>
        <w:spacing w:line="360" w:lineRule="auto"/>
        <w:ind w:firstLine="480" w:firstLineChars="200"/>
        <w:rPr>
          <w:rFonts w:ascii="宋体" w:hAnsi="宋体" w:cs="宋体"/>
          <w:sz w:val="24"/>
          <w:szCs w:val="24"/>
        </w:rPr>
      </w:pPr>
      <w:r>
        <w:rPr>
          <w:rFonts w:hint="eastAsia" w:ascii="宋体" w:hAnsi="宋体" w:cs="宋体"/>
          <w:sz w:val="24"/>
          <w:szCs w:val="24"/>
        </w:rPr>
        <w:t>22.7竞争性磋商响应文件的详细评审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22.7.1磋商小组将按照本须知第22.6.4条规定，只对确定为实质性响应竞争性磋商文件要求的磋商响应文件进行详细评审。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22.7.2详细评审按照“供应商须知前附表”的评审方法进行。</w:t>
      </w:r>
    </w:p>
    <w:p>
      <w:pPr>
        <w:spacing w:line="360" w:lineRule="auto"/>
        <w:ind w:firstLine="480" w:firstLineChars="200"/>
        <w:rPr>
          <w:rFonts w:ascii="宋体" w:hAnsi="宋体" w:cs="宋体"/>
          <w:sz w:val="24"/>
          <w:szCs w:val="24"/>
        </w:rPr>
      </w:pPr>
      <w:r>
        <w:rPr>
          <w:rFonts w:hint="eastAsia" w:ascii="宋体" w:hAnsi="宋体" w:cs="宋体"/>
          <w:sz w:val="24"/>
          <w:szCs w:val="24"/>
        </w:rPr>
        <w:t>22.8成交候选人的确定</w:t>
      </w:r>
    </w:p>
    <w:p>
      <w:pPr>
        <w:spacing w:line="360" w:lineRule="auto"/>
        <w:ind w:firstLine="480" w:firstLineChars="200"/>
        <w:rPr>
          <w:rFonts w:ascii="宋体" w:hAnsi="宋体" w:cs="宋体"/>
          <w:sz w:val="24"/>
          <w:szCs w:val="24"/>
        </w:rPr>
      </w:pPr>
      <w:r>
        <w:rPr>
          <w:rFonts w:hint="eastAsia" w:ascii="宋体" w:hAnsi="宋体" w:cs="宋体"/>
          <w:sz w:val="24"/>
          <w:szCs w:val="24"/>
        </w:rPr>
        <w:t>磋商小组完成评审后，向采购人提出书面评审，并推荐3名成交候选人，标明排列顺序。</w:t>
      </w:r>
    </w:p>
    <w:p>
      <w:pPr>
        <w:spacing w:line="360" w:lineRule="auto"/>
        <w:rPr>
          <w:rFonts w:ascii="宋体" w:hAnsi="宋体" w:cs="宋体"/>
          <w:b/>
          <w:sz w:val="24"/>
          <w:szCs w:val="24"/>
        </w:rPr>
      </w:pPr>
      <w:r>
        <w:rPr>
          <w:rFonts w:hint="eastAsia" w:ascii="宋体" w:hAnsi="宋体" w:cs="宋体"/>
          <w:b/>
          <w:sz w:val="24"/>
          <w:szCs w:val="24"/>
        </w:rPr>
        <w:t>23．评审过程的保密</w:t>
      </w:r>
    </w:p>
    <w:p>
      <w:pPr>
        <w:spacing w:line="360" w:lineRule="auto"/>
        <w:ind w:firstLine="480" w:firstLineChars="200"/>
        <w:rPr>
          <w:rFonts w:ascii="宋体" w:hAnsi="宋体" w:cs="宋体"/>
          <w:sz w:val="24"/>
          <w:szCs w:val="24"/>
        </w:rPr>
      </w:pPr>
      <w:r>
        <w:rPr>
          <w:rFonts w:hint="eastAsia" w:ascii="宋体" w:hAnsi="宋体" w:cs="宋体"/>
          <w:sz w:val="24"/>
          <w:szCs w:val="24"/>
        </w:rPr>
        <w:t>磋商小组成员和与评审活动有关的工作人员不得泄露有关竞争性磋商响应文件的评审和比较、成交候选人的推荐以及与评审有关的其他情况。</w:t>
      </w:r>
    </w:p>
    <w:p>
      <w:pPr>
        <w:jc w:val="left"/>
        <w:rPr>
          <w:rFonts w:ascii="宋体" w:hAnsi="宋体" w:cs="宋体"/>
          <w:b/>
          <w:sz w:val="24"/>
          <w:szCs w:val="24"/>
        </w:rPr>
      </w:pPr>
      <w:r>
        <w:rPr>
          <w:rFonts w:hint="eastAsia" w:ascii="宋体" w:hAnsi="宋体" w:cs="宋体"/>
          <w:b/>
          <w:sz w:val="24"/>
          <w:szCs w:val="24"/>
        </w:rPr>
        <w:t>24．评审方法</w:t>
      </w:r>
    </w:p>
    <w:p>
      <w:pPr>
        <w:spacing w:line="360" w:lineRule="auto"/>
        <w:ind w:firstLine="480" w:firstLineChars="200"/>
        <w:rPr>
          <w:rFonts w:ascii="宋体" w:hAnsi="宋体" w:cs="宋体"/>
          <w:sz w:val="24"/>
          <w:szCs w:val="24"/>
        </w:rPr>
      </w:pPr>
      <w:r>
        <w:rPr>
          <w:rFonts w:hint="eastAsia" w:ascii="宋体" w:hAnsi="宋体" w:cs="宋体"/>
          <w:sz w:val="24"/>
          <w:szCs w:val="24"/>
        </w:rPr>
        <w:t>24.1按照《中华人民共和国政府采购法》及实施条例和财政部关于《政府采购竞争性磋商采购方式管理暂行办法》有关问题的补充通知（财库〔2015〕124号）、财政部关于印发《政府采购竞争性磋商采购方式管理暂行办法》的通知（财库【2014】214号），本次评审采用综合评分法，即在全部满足竞争性磋商文件实质性要求前提下，磋商小组应当根据综合评分情况，按照评审得分高低顺序推存3名成交候选人。</w:t>
      </w:r>
    </w:p>
    <w:p>
      <w:pPr>
        <w:spacing w:line="360" w:lineRule="auto"/>
        <w:rPr>
          <w:rFonts w:ascii="宋体" w:hAnsi="宋体" w:cs="宋体"/>
          <w:b/>
          <w:sz w:val="24"/>
          <w:szCs w:val="24"/>
        </w:rPr>
      </w:pPr>
      <w:r>
        <w:rPr>
          <w:rFonts w:hint="eastAsia" w:ascii="宋体" w:hAnsi="宋体" w:cs="宋体"/>
          <w:b/>
          <w:sz w:val="24"/>
          <w:szCs w:val="24"/>
        </w:rPr>
        <w:t>25．评审程序</w:t>
      </w:r>
    </w:p>
    <w:p>
      <w:pPr>
        <w:spacing w:line="360" w:lineRule="auto"/>
        <w:ind w:firstLine="480" w:firstLineChars="200"/>
        <w:rPr>
          <w:rFonts w:ascii="宋体" w:hAnsi="宋体" w:cs="宋体"/>
          <w:sz w:val="24"/>
          <w:szCs w:val="24"/>
        </w:rPr>
      </w:pPr>
      <w:r>
        <w:rPr>
          <w:rFonts w:hint="eastAsia" w:ascii="宋体" w:hAnsi="宋体" w:cs="宋体"/>
          <w:sz w:val="24"/>
          <w:szCs w:val="24"/>
        </w:rPr>
        <w:t>按照竞争性磋商响应文件初审、澄清有关问题、分别磋商、二次报价、比较与评审、推荐成交候选人名单的工作程序进行评审。在上一步评审中被认定为无效磋商者，不进入下一步的评审。</w:t>
      </w:r>
    </w:p>
    <w:p>
      <w:pPr>
        <w:keepNext/>
        <w:keepLines/>
        <w:spacing w:beforeLines="50" w:line="360" w:lineRule="auto"/>
        <w:jc w:val="center"/>
        <w:rPr>
          <w:rFonts w:ascii="宋体" w:hAnsi="宋体" w:cs="宋体"/>
          <w:b/>
          <w:sz w:val="24"/>
          <w:szCs w:val="24"/>
        </w:rPr>
      </w:pPr>
      <w:r>
        <w:rPr>
          <w:rFonts w:hint="eastAsia" w:ascii="宋体" w:hAnsi="宋体" w:cs="宋体"/>
          <w:b/>
          <w:sz w:val="24"/>
          <w:szCs w:val="24"/>
        </w:rPr>
        <w:t>六.成交、通知与签约</w:t>
      </w:r>
    </w:p>
    <w:p>
      <w:pPr>
        <w:spacing w:line="360" w:lineRule="auto"/>
        <w:rPr>
          <w:rFonts w:ascii="宋体" w:hAnsi="宋体" w:cs="宋体"/>
          <w:b/>
          <w:sz w:val="24"/>
          <w:szCs w:val="24"/>
        </w:rPr>
      </w:pPr>
      <w:r>
        <w:rPr>
          <w:rFonts w:hint="eastAsia" w:ascii="宋体" w:hAnsi="宋体" w:cs="宋体"/>
          <w:b/>
          <w:sz w:val="24"/>
          <w:szCs w:val="24"/>
        </w:rPr>
        <w:t>26．成交程序</w:t>
      </w:r>
    </w:p>
    <w:p>
      <w:pPr>
        <w:spacing w:line="360" w:lineRule="auto"/>
        <w:ind w:firstLine="480" w:firstLineChars="200"/>
        <w:rPr>
          <w:rFonts w:ascii="宋体" w:hAnsi="宋体" w:cs="宋体"/>
          <w:sz w:val="24"/>
          <w:szCs w:val="24"/>
        </w:rPr>
      </w:pPr>
      <w:r>
        <w:rPr>
          <w:rFonts w:hint="eastAsia" w:ascii="宋体" w:hAnsi="宋体" w:cs="宋体"/>
          <w:sz w:val="24"/>
          <w:szCs w:val="24"/>
        </w:rPr>
        <w:t>26.1磋商小组根据评审方法的规定对供应商进行评审排序，推荐3名成交候选人，作为评审结果。评审结果由全体磋商小组成员签字确认。</w:t>
      </w:r>
    </w:p>
    <w:p>
      <w:pPr>
        <w:spacing w:line="360" w:lineRule="auto"/>
        <w:ind w:firstLine="480" w:firstLineChars="200"/>
        <w:rPr>
          <w:rFonts w:ascii="宋体" w:hAnsi="宋体" w:cs="宋体"/>
          <w:sz w:val="24"/>
          <w:szCs w:val="24"/>
        </w:rPr>
      </w:pPr>
      <w:r>
        <w:rPr>
          <w:rFonts w:hint="eastAsia" w:ascii="宋体" w:hAnsi="宋体" w:cs="宋体"/>
          <w:sz w:val="24"/>
          <w:szCs w:val="24"/>
        </w:rPr>
        <w:t>26.2采购人根据磋商报告中推荐的成交候选人排列顺序，确定排名第一的成交候选人为成交供应商。</w:t>
      </w:r>
    </w:p>
    <w:p>
      <w:pPr>
        <w:spacing w:line="360" w:lineRule="auto"/>
        <w:ind w:firstLine="480" w:firstLineChars="200"/>
        <w:rPr>
          <w:rFonts w:ascii="宋体" w:hAnsi="宋体" w:cs="宋体"/>
          <w:sz w:val="24"/>
          <w:szCs w:val="24"/>
        </w:rPr>
      </w:pPr>
      <w:r>
        <w:rPr>
          <w:rFonts w:hint="eastAsia" w:ascii="宋体" w:hAnsi="宋体" w:cs="宋体"/>
          <w:sz w:val="24"/>
          <w:szCs w:val="24"/>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ascii="宋体" w:hAnsi="宋体" w:cs="宋体"/>
          <w:sz w:val="24"/>
          <w:szCs w:val="24"/>
        </w:rPr>
      </w:pPr>
      <w:r>
        <w:rPr>
          <w:rFonts w:hint="eastAsia" w:ascii="宋体" w:hAnsi="宋体" w:cs="宋体"/>
          <w:sz w:val="24"/>
          <w:szCs w:val="24"/>
        </w:rPr>
        <w:t>26.4采购人也可以授权磋商小组评审后直接确定成交供应商。</w:t>
      </w:r>
    </w:p>
    <w:p>
      <w:pPr>
        <w:spacing w:line="360" w:lineRule="auto"/>
        <w:ind w:firstLine="480" w:firstLineChars="200"/>
        <w:rPr>
          <w:rFonts w:ascii="宋体" w:hAnsi="宋体" w:cs="宋体"/>
          <w:sz w:val="24"/>
          <w:szCs w:val="24"/>
        </w:rPr>
      </w:pPr>
      <w:r>
        <w:rPr>
          <w:rFonts w:hint="eastAsia" w:ascii="宋体" w:hAnsi="宋体" w:cs="宋体"/>
          <w:sz w:val="24"/>
          <w:szCs w:val="24"/>
        </w:rPr>
        <w:t>26.5成交供应商确定之后，成交结果将在财政部门指定的政府采购信息发布媒体上公告。</w:t>
      </w:r>
    </w:p>
    <w:p>
      <w:pPr>
        <w:spacing w:line="500" w:lineRule="exact"/>
        <w:ind w:firstLine="480" w:firstLineChars="200"/>
        <w:rPr>
          <w:rFonts w:ascii="宋体" w:hAnsi="宋体" w:cs="宋体"/>
          <w:sz w:val="24"/>
          <w:szCs w:val="24"/>
        </w:rPr>
      </w:pPr>
      <w:r>
        <w:rPr>
          <w:rFonts w:hint="eastAsia" w:ascii="宋体" w:hAnsi="宋体" w:cs="宋体"/>
          <w:sz w:val="24"/>
          <w:szCs w:val="24"/>
        </w:rPr>
        <w:t>26.6供应商或者其他利害关系人对评审结果有异议的，应当在法律规定的时间内提出。</w:t>
      </w:r>
    </w:p>
    <w:p>
      <w:pPr>
        <w:spacing w:line="360" w:lineRule="auto"/>
        <w:rPr>
          <w:rFonts w:ascii="宋体" w:hAnsi="宋体" w:cs="宋体"/>
          <w:b/>
          <w:sz w:val="24"/>
          <w:szCs w:val="24"/>
        </w:rPr>
      </w:pPr>
      <w:r>
        <w:rPr>
          <w:rFonts w:hint="eastAsia" w:ascii="宋体" w:hAnsi="宋体" w:cs="宋体"/>
          <w:b/>
          <w:sz w:val="24"/>
          <w:szCs w:val="24"/>
        </w:rPr>
        <w:t>27．成交与落标通知</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27.1采购代理机构向成交供应商发出《成交通知书》。 </w:t>
      </w:r>
    </w:p>
    <w:p>
      <w:pPr>
        <w:spacing w:line="360" w:lineRule="auto"/>
        <w:ind w:firstLine="480" w:firstLineChars="200"/>
        <w:rPr>
          <w:rFonts w:ascii="宋体" w:hAnsi="宋体" w:cs="宋体"/>
          <w:sz w:val="24"/>
          <w:szCs w:val="24"/>
        </w:rPr>
      </w:pPr>
      <w:r>
        <w:rPr>
          <w:rFonts w:hint="eastAsia" w:ascii="宋体" w:hAnsi="宋体" w:cs="宋体"/>
          <w:sz w:val="24"/>
          <w:szCs w:val="24"/>
        </w:rPr>
        <w:t>27.2成交通知书对采购人和成交供应商具有同等法律效力。成交通知书发出之后，采购人改变成交结果，或者成交供应商放弃成交，应当承担相应的法律责任。</w:t>
      </w:r>
    </w:p>
    <w:p>
      <w:pPr>
        <w:spacing w:line="360" w:lineRule="auto"/>
        <w:rPr>
          <w:rFonts w:ascii="宋体" w:hAnsi="宋体" w:cs="宋体"/>
          <w:b/>
          <w:sz w:val="24"/>
          <w:szCs w:val="24"/>
        </w:rPr>
      </w:pPr>
      <w:r>
        <w:rPr>
          <w:rFonts w:hint="eastAsia" w:ascii="宋体" w:hAnsi="宋体" w:cs="宋体"/>
          <w:b/>
          <w:sz w:val="24"/>
          <w:szCs w:val="24"/>
        </w:rPr>
        <w:t>28. 成交合同的签订</w:t>
      </w:r>
    </w:p>
    <w:p>
      <w:pPr>
        <w:spacing w:line="360" w:lineRule="auto"/>
        <w:ind w:firstLine="480" w:firstLineChars="200"/>
        <w:rPr>
          <w:rFonts w:ascii="宋体" w:hAnsi="宋体" w:cs="宋体"/>
          <w:sz w:val="24"/>
          <w:szCs w:val="24"/>
        </w:rPr>
      </w:pPr>
      <w:r>
        <w:rPr>
          <w:rFonts w:hint="eastAsia" w:ascii="宋体" w:hAnsi="宋体" w:cs="宋体"/>
          <w:sz w:val="24"/>
          <w:szCs w:val="24"/>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ascii="宋体" w:hAnsi="宋体" w:cs="宋体"/>
          <w:sz w:val="24"/>
          <w:szCs w:val="24"/>
        </w:rPr>
      </w:pPr>
      <w:r>
        <w:rPr>
          <w:rFonts w:hint="eastAsia" w:ascii="宋体" w:hAnsi="宋体" w:cs="宋体"/>
          <w:sz w:val="24"/>
          <w:szCs w:val="24"/>
        </w:rPr>
        <w:t>28.2采购人自采购合同签订之日起七个工作日内，将采购合同副本报同级人民政府财政部门备案。</w:t>
      </w:r>
    </w:p>
    <w:p>
      <w:pPr>
        <w:spacing w:line="360" w:lineRule="auto"/>
        <w:rPr>
          <w:rFonts w:ascii="宋体" w:hAnsi="宋体" w:cs="宋体"/>
          <w:b/>
          <w:sz w:val="24"/>
          <w:szCs w:val="24"/>
        </w:rPr>
      </w:pPr>
      <w:r>
        <w:rPr>
          <w:rFonts w:hint="eastAsia" w:ascii="宋体" w:hAnsi="宋体" w:cs="宋体"/>
          <w:b/>
          <w:sz w:val="24"/>
          <w:szCs w:val="24"/>
        </w:rPr>
        <w:t>29．成交代理服务费</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29.1见供应商须知前附表。</w:t>
      </w:r>
    </w:p>
    <w:p>
      <w:pPr>
        <w:spacing w:line="360" w:lineRule="auto"/>
        <w:rPr>
          <w:rFonts w:ascii="宋体" w:hAnsi="宋体" w:cs="宋体"/>
          <w:b/>
          <w:sz w:val="24"/>
          <w:szCs w:val="24"/>
        </w:rPr>
      </w:pPr>
      <w:r>
        <w:rPr>
          <w:rFonts w:hint="eastAsia" w:ascii="宋体" w:hAnsi="宋体" w:cs="宋体"/>
          <w:b/>
          <w:sz w:val="24"/>
          <w:szCs w:val="24"/>
        </w:rPr>
        <w:t>30.质疑与投诉</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30.1供应商认为竞争性磋商文件、采购过程、成交结果使自己的合法权益受到损害的，可以以书面形式向采购人、采购代理机构提出质疑。</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30.1.1对采购文件提出质疑的，为收到采购文件之日起七个工作日内；</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30.1.2对采购过程提出质疑的，为各采购程序环节结束之日起七个工作日内；</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30.1.3对成交结果提出质疑的，为成交结果公告期限届满之日起七个工作日内。</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30.1.4供应商须在法定质疑期内一次性提出针对同一采购程序环节的质疑。</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30.2 提交质疑书需携带以下资料：</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30.2.1加盖公章的营业执照副本复印件；</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30.2.2法定代表人针对本项目的专项授权书（须经法定代表人签字并加盖法人章和单位公章）及被授权人身份证复印件（查看原件）；法定代表人提交质疑书须提交其身份证复印件（查看原件）。</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30.3质疑书应该包含以下主要内容：</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30.3.1质疑供应商的基本情况信息：名称、地址、法定代表人、委托代理人、电话、邮编。</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30.3.2所质疑的政府采购项目的信息：包含采购人或者采购代理机构名称、项目名称、包（标段）、编号。</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30.3.3具体的质疑事项。质疑事项不得超出法定范围并且与质疑供应商有利害关系。</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30.3.4明确、具体的质疑请求。</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30.3.5质疑所依据的事实、理由和法律依据及证明材料。</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30.3.6质疑书需要加盖质疑供应商公章并经法定代表人签字和盖章。</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30.4有下列情形之一的，属于无效质疑，采购代理机构和采购人不予受理：</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30.4.1质疑供应商不是参与本次政府采购项目的供应商；</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30.4.2质疑供应商与质疑事项不存在利害关系的；</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30.4.3未在法定期限内提出质疑的；</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30.4.4质疑未以书面形式提出，或质疑书主要内容构成不完整的；</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30.4.5质疑书没有合法有效的签字、盖章或授权的；</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30.4.6以非法手段取得证据、材料的；</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30.4.7质疑答复后，同一质疑人就同一事项再次提出质疑的；</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30.4.8不符合法律、法规、规章和政府采购监管机构规定的其他条件的。</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30.5质疑答复</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采购人或采购代理机构在收到供应商的书面质疑后将按规定的时间进行回复。</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30.6供应商应在法定期限内以书面形式提出质疑。</w:t>
      </w:r>
    </w:p>
    <w:p>
      <w:pPr>
        <w:spacing w:line="500" w:lineRule="exact"/>
        <w:ind w:left="458" w:leftChars="218"/>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30.7投诉</w:t>
      </w:r>
    </w:p>
    <w:p>
      <w:pPr>
        <w:spacing w:line="500" w:lineRule="exact"/>
        <w:ind w:firstLine="480" w:firstLineChars="200"/>
        <w:rPr>
          <w:rStyle w:val="27"/>
          <w:rFonts w:ascii="宋体" w:hAnsi="宋体" w:cs="宋体"/>
          <w:b w:val="0"/>
          <w:color w:val="000000"/>
          <w:sz w:val="24"/>
          <w:szCs w:val="24"/>
          <w:shd w:val="clear" w:color="auto" w:fill="FFFFFF"/>
        </w:rPr>
      </w:pPr>
      <w:r>
        <w:rPr>
          <w:rStyle w:val="27"/>
          <w:rFonts w:hint="eastAsia" w:ascii="宋体" w:hAnsi="宋体" w:cs="宋体"/>
          <w:b w:val="0"/>
          <w:color w:val="000000"/>
          <w:sz w:val="24"/>
          <w:szCs w:val="24"/>
          <w:shd w:val="clear" w:color="auto" w:fill="FFFFFF"/>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ascii="宋体" w:hAnsi="宋体" w:cs="宋体"/>
          <w:b/>
          <w:sz w:val="24"/>
          <w:szCs w:val="24"/>
        </w:rPr>
      </w:pPr>
      <w:r>
        <w:rPr>
          <w:rFonts w:hint="eastAsia" w:ascii="宋体" w:hAnsi="宋体" w:cs="宋体"/>
          <w:b/>
          <w:sz w:val="24"/>
          <w:szCs w:val="24"/>
        </w:rPr>
        <w:t>31.其他</w:t>
      </w:r>
    </w:p>
    <w:p>
      <w:pPr>
        <w:spacing w:line="360" w:lineRule="auto"/>
        <w:ind w:firstLine="480" w:firstLineChars="200"/>
        <w:rPr>
          <w:rFonts w:ascii="宋体" w:hAnsi="宋体" w:cs="宋体"/>
          <w:sz w:val="24"/>
          <w:szCs w:val="24"/>
        </w:rPr>
      </w:pPr>
      <w:r>
        <w:rPr>
          <w:rFonts w:hint="eastAsia" w:ascii="宋体" w:hAnsi="宋体" w:cs="宋体"/>
          <w:sz w:val="24"/>
          <w:szCs w:val="24"/>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ascii="宋体" w:hAnsi="宋体" w:cs="宋体"/>
          <w:sz w:val="24"/>
          <w:szCs w:val="24"/>
        </w:rPr>
      </w:pPr>
      <w:r>
        <w:rPr>
          <w:rFonts w:hint="eastAsia" w:ascii="宋体" w:hAnsi="宋体" w:cs="宋体"/>
          <w:sz w:val="24"/>
          <w:szCs w:val="24"/>
        </w:rPr>
        <w:t>31.2当第二次报价全部超过磋商文件规定的采购预算（或最高磋商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31.3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ascii="宋体" w:hAnsi="宋体" w:cs="宋体"/>
          <w:sz w:val="24"/>
          <w:szCs w:val="24"/>
        </w:rPr>
      </w:pPr>
      <w:r>
        <w:rPr>
          <w:rFonts w:hint="eastAsia" w:ascii="宋体" w:hAnsi="宋体" w:cs="宋体"/>
          <w:sz w:val="24"/>
          <w:szCs w:val="24"/>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spacing w:line="360" w:lineRule="auto"/>
        <w:jc w:val="center"/>
        <w:outlineLvl w:val="0"/>
        <w:rPr>
          <w:rFonts w:ascii="宋体" w:hAnsi="宋体" w:cs="宋体"/>
          <w:b/>
          <w:bCs/>
          <w:sz w:val="36"/>
          <w:szCs w:val="36"/>
        </w:rPr>
      </w:pPr>
      <w:r>
        <w:rPr>
          <w:rFonts w:hint="eastAsia" w:ascii="宋体" w:hAnsi="宋体" w:cs="宋体"/>
        </w:rPr>
        <w:br w:type="page"/>
      </w:r>
      <w:bookmarkStart w:id="25" w:name="_Toc2720"/>
      <w:bookmarkStart w:id="26" w:name="_Toc22882"/>
      <w:bookmarkStart w:id="27" w:name="_Toc403077645"/>
      <w:bookmarkStart w:id="28" w:name="_Toc24342"/>
      <w:bookmarkStart w:id="29" w:name="_Toc14229"/>
      <w:bookmarkStart w:id="30" w:name="_Toc8736"/>
      <w:bookmarkStart w:id="31" w:name="_Toc14788"/>
      <w:bookmarkStart w:id="32" w:name="_Toc26277"/>
      <w:bookmarkStart w:id="33" w:name="_Toc25783"/>
      <w:bookmarkStart w:id="34" w:name="_Toc29437"/>
      <w:bookmarkStart w:id="35" w:name="_Toc26401"/>
      <w:bookmarkStart w:id="36" w:name="_Toc15719"/>
      <w:r>
        <w:rPr>
          <w:rFonts w:hint="eastAsia" w:ascii="宋体" w:hAnsi="宋体" w:cs="宋体"/>
          <w:b/>
          <w:bCs/>
          <w:sz w:val="36"/>
          <w:szCs w:val="36"/>
        </w:rPr>
        <w:t>第三章  合同条款及格式</w:t>
      </w:r>
      <w:bookmarkEnd w:id="25"/>
      <w:bookmarkEnd w:id="26"/>
      <w:bookmarkEnd w:id="27"/>
      <w:bookmarkEnd w:id="28"/>
      <w:bookmarkEnd w:id="29"/>
      <w:bookmarkEnd w:id="30"/>
      <w:bookmarkEnd w:id="31"/>
      <w:bookmarkEnd w:id="32"/>
      <w:bookmarkEnd w:id="33"/>
      <w:bookmarkEnd w:id="34"/>
      <w:bookmarkEnd w:id="35"/>
      <w:bookmarkEnd w:id="36"/>
    </w:p>
    <w:p>
      <w:pPr>
        <w:rPr>
          <w:rFonts w:ascii="宋体" w:hAnsi="宋体" w:cs="宋体"/>
          <w:b/>
          <w:sz w:val="52"/>
          <w:szCs w:val="52"/>
        </w:rPr>
      </w:pPr>
      <w:bookmarkStart w:id="37" w:name="_Toc8333"/>
      <w:bookmarkStart w:id="38" w:name="_Toc4679"/>
      <w:bookmarkStart w:id="39" w:name="_Toc19199"/>
      <w:bookmarkStart w:id="40" w:name="_Toc31520"/>
      <w:bookmarkStart w:id="41" w:name="_Toc26595"/>
      <w:bookmarkStart w:id="42" w:name="_Toc19246"/>
      <w:bookmarkStart w:id="43" w:name="_Toc29888"/>
      <w:bookmarkStart w:id="44" w:name="_Toc389582037"/>
    </w:p>
    <w:p>
      <w:pPr>
        <w:pStyle w:val="9"/>
        <w:rPr>
          <w:rFonts w:ascii="宋体" w:hAnsi="宋体" w:cs="宋体"/>
        </w:rPr>
      </w:pPr>
    </w:p>
    <w:p>
      <w:pPr>
        <w:adjustRightInd w:val="0"/>
        <w:snapToGrid w:val="0"/>
        <w:spacing w:before="60" w:after="60" w:line="360" w:lineRule="auto"/>
        <w:jc w:val="center"/>
        <w:rPr>
          <w:rFonts w:ascii="宋体" w:hAnsi="宋体" w:cs="宋体"/>
          <w:b/>
          <w:spacing w:val="100"/>
          <w:kern w:val="16"/>
          <w:sz w:val="52"/>
          <w:szCs w:val="52"/>
        </w:rPr>
      </w:pPr>
      <w:r>
        <w:rPr>
          <w:rFonts w:hint="eastAsia" w:ascii="宋体" w:hAnsi="宋体" w:cs="宋体"/>
          <w:b/>
          <w:spacing w:val="100"/>
          <w:kern w:val="16"/>
          <w:sz w:val="52"/>
          <w:szCs w:val="52"/>
        </w:rPr>
        <w:t>采购货物合同</w:t>
      </w:r>
    </w:p>
    <w:p>
      <w:pPr>
        <w:adjustRightInd w:val="0"/>
        <w:snapToGrid w:val="0"/>
        <w:spacing w:before="60" w:after="60" w:line="360" w:lineRule="auto"/>
        <w:jc w:val="center"/>
        <w:rPr>
          <w:rFonts w:ascii="宋体" w:hAnsi="宋体" w:cs="宋体"/>
          <w:b/>
          <w:sz w:val="36"/>
        </w:rPr>
      </w:pPr>
      <w:r>
        <w:rPr>
          <w:rFonts w:hint="eastAsia" w:ascii="宋体" w:hAnsi="宋体" w:cs="宋体"/>
          <w:b/>
          <w:sz w:val="36"/>
        </w:rPr>
        <w:t>（示范文本）</w:t>
      </w: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line="360" w:lineRule="auto"/>
        <w:rPr>
          <w:rFonts w:ascii="宋体" w:hAnsi="宋体" w:cs="宋体"/>
        </w:rPr>
      </w:pPr>
    </w:p>
    <w:p>
      <w:pPr>
        <w:rPr>
          <w:rFonts w:ascii="宋体" w:hAnsi="宋体" w:cs="宋体"/>
        </w:rPr>
      </w:pPr>
    </w:p>
    <w:p>
      <w:pPr>
        <w:pStyle w:val="9"/>
        <w:rPr>
          <w:rFonts w:ascii="宋体" w:hAnsi="宋体" w:cs="宋体"/>
        </w:rPr>
      </w:pPr>
    </w:p>
    <w:p>
      <w:pPr>
        <w:rPr>
          <w:rFonts w:ascii="宋体" w:hAnsi="宋体" w:cs="宋体"/>
        </w:rPr>
      </w:pPr>
    </w:p>
    <w:p>
      <w:pPr>
        <w:pStyle w:val="9"/>
        <w:rPr>
          <w:rFonts w:ascii="宋体" w:hAnsi="宋体" w:cs="宋体"/>
        </w:rPr>
      </w:pPr>
    </w:p>
    <w:p>
      <w:pPr>
        <w:pStyle w:val="9"/>
        <w:rPr>
          <w:rFonts w:ascii="宋体" w:hAnsi="宋体" w:cs="宋体"/>
        </w:rPr>
      </w:pPr>
    </w:p>
    <w:p>
      <w:pPr>
        <w:adjustRightInd w:val="0"/>
        <w:snapToGrid w:val="0"/>
        <w:spacing w:before="60" w:after="60" w:line="360" w:lineRule="auto"/>
        <w:rPr>
          <w:rFonts w:ascii="宋体" w:hAnsi="宋体" w:cs="宋体"/>
        </w:rPr>
      </w:pPr>
    </w:p>
    <w:p>
      <w:pPr>
        <w:adjustRightInd w:val="0"/>
        <w:snapToGrid w:val="0"/>
        <w:spacing w:before="60" w:after="60"/>
        <w:ind w:firstLine="2414" w:firstLineChars="668"/>
        <w:rPr>
          <w:rFonts w:ascii="宋体" w:hAnsi="宋体" w:cs="宋体"/>
          <w:b/>
          <w:sz w:val="36"/>
        </w:rPr>
      </w:pPr>
    </w:p>
    <w:p>
      <w:pPr>
        <w:tabs>
          <w:tab w:val="left" w:pos="709"/>
          <w:tab w:val="left" w:pos="851"/>
        </w:tabs>
        <w:adjustRightInd w:val="0"/>
        <w:snapToGrid w:val="0"/>
        <w:spacing w:before="60" w:after="60"/>
        <w:ind w:firstLine="2146" w:firstLineChars="668"/>
        <w:rPr>
          <w:rFonts w:ascii="宋体" w:hAnsi="宋体" w:cs="宋体"/>
          <w:b/>
          <w:sz w:val="32"/>
          <w:szCs w:val="32"/>
        </w:rPr>
      </w:pPr>
      <w:r>
        <w:rPr>
          <w:rFonts w:hint="eastAsia" w:ascii="宋体" w:hAnsi="宋体" w:cs="宋体"/>
          <w:b/>
          <w:sz w:val="32"/>
          <w:szCs w:val="32"/>
        </w:rPr>
        <w:t>中华人民共和国建设部</w:t>
      </w:r>
    </w:p>
    <w:p>
      <w:pPr>
        <w:adjustRightInd w:val="0"/>
        <w:snapToGrid w:val="0"/>
        <w:spacing w:before="60" w:after="60"/>
        <w:jc w:val="center"/>
        <w:rPr>
          <w:rFonts w:ascii="宋体" w:hAnsi="宋体" w:cs="宋体"/>
          <w:b/>
          <w:sz w:val="32"/>
          <w:szCs w:val="32"/>
        </w:rPr>
      </w:pPr>
      <w:r>
        <w:rPr>
          <w:rFonts w:hint="eastAsia" w:ascii="宋体" w:hAnsi="宋体" w:cs="宋体"/>
          <w:b/>
          <w:sz w:val="32"/>
          <w:szCs w:val="32"/>
        </w:rPr>
        <w:t xml:space="preserve">                     制 定</w:t>
      </w:r>
    </w:p>
    <w:p>
      <w:pPr>
        <w:spacing w:beforeLines="50" w:line="360" w:lineRule="auto"/>
        <w:ind w:firstLine="2168" w:firstLineChars="600"/>
        <w:rPr>
          <w:rFonts w:ascii="宋体" w:hAnsi="宋体" w:cs="宋体"/>
          <w:b/>
          <w:spacing w:val="20"/>
          <w:sz w:val="32"/>
          <w:szCs w:val="32"/>
        </w:rPr>
      </w:pPr>
      <w:r>
        <w:rPr>
          <w:rFonts w:hint="eastAsia" w:ascii="宋体" w:hAnsi="宋体" w:cs="宋体"/>
          <w:b/>
          <w:spacing w:val="20"/>
          <w:sz w:val="32"/>
          <w:szCs w:val="32"/>
        </w:rPr>
        <w:t>国家工商行政管理局</w:t>
      </w:r>
    </w:p>
    <w:p>
      <w:pPr>
        <w:spacing w:beforeLines="50" w:line="360" w:lineRule="auto"/>
        <w:jc w:val="center"/>
        <w:rPr>
          <w:rFonts w:ascii="宋体" w:hAnsi="宋体"/>
          <w:sz w:val="24"/>
          <w:szCs w:val="24"/>
        </w:rPr>
      </w:pPr>
      <w:r>
        <w:rPr>
          <w:rFonts w:hint="eastAsia" w:ascii="宋体" w:hAnsi="宋体" w:cs="宋体"/>
          <w:b/>
          <w:bCs/>
          <w:sz w:val="36"/>
          <w:szCs w:val="36"/>
        </w:rPr>
        <w:br w:type="page"/>
      </w:r>
      <w:r>
        <w:rPr>
          <w:rFonts w:hint="eastAsia" w:ascii="宋体" w:hAnsi="宋体"/>
          <w:sz w:val="24"/>
          <w:szCs w:val="24"/>
        </w:rPr>
        <w:t>（根据《政府采购法》和《</w:t>
      </w:r>
      <w:r>
        <w:rPr>
          <w:rFonts w:hint="eastAsia" w:ascii="宋体" w:hAnsi="宋体"/>
          <w:sz w:val="24"/>
          <w:szCs w:val="24"/>
          <w:lang w:eastAsia="zh-CN"/>
        </w:rPr>
        <w:t>民法典</w:t>
      </w:r>
      <w:r>
        <w:rPr>
          <w:rFonts w:hint="eastAsia" w:ascii="宋体" w:hAnsi="宋体"/>
          <w:sz w:val="24"/>
          <w:szCs w:val="24"/>
        </w:rPr>
        <w:t>》。采购人和供应商之间的权利和义务，应当按照平等、自愿的原则以合同方式约定。此合同书仅作为签订正式合同时的参考，正式合同书应包括本参考格式之内容。）</w:t>
      </w:r>
    </w:p>
    <w:p>
      <w:pPr>
        <w:spacing w:line="300" w:lineRule="auto"/>
        <w:ind w:firstLine="539" w:firstLineChars="245"/>
        <w:rPr>
          <w:rFonts w:ascii="宋体" w:hAnsi="宋体"/>
          <w:spacing w:val="-10"/>
          <w:sz w:val="24"/>
          <w:szCs w:val="24"/>
        </w:rPr>
      </w:pPr>
    </w:p>
    <w:p>
      <w:pPr>
        <w:autoSpaceDE w:val="0"/>
        <w:autoSpaceDN w:val="0"/>
        <w:jc w:val="center"/>
        <w:rPr>
          <w:rFonts w:ascii="宋体" w:hAnsi="宋体"/>
          <w:b/>
          <w:kern w:val="0"/>
          <w:sz w:val="24"/>
          <w:szCs w:val="24"/>
        </w:rPr>
      </w:pPr>
      <w:r>
        <w:rPr>
          <w:rFonts w:hint="eastAsia" w:ascii="宋体" w:hAnsi="宋体"/>
          <w:b/>
          <w:kern w:val="0"/>
          <w:sz w:val="24"/>
          <w:szCs w:val="24"/>
        </w:rPr>
        <w:t>合 同 书</w:t>
      </w:r>
    </w:p>
    <w:p>
      <w:pPr>
        <w:spacing w:beforeLines="25" w:line="360" w:lineRule="auto"/>
        <w:ind w:firstLine="482" w:firstLineChars="200"/>
        <w:rPr>
          <w:rFonts w:ascii="宋体" w:hAnsi="宋体" w:cs="Helvetica"/>
          <w:b/>
          <w:kern w:val="0"/>
          <w:sz w:val="24"/>
          <w:szCs w:val="24"/>
        </w:rPr>
      </w:pPr>
      <w:r>
        <w:rPr>
          <w:rFonts w:hint="eastAsia" w:ascii="宋体" w:hAnsi="宋体" w:cs="Helvetica"/>
          <w:b/>
          <w:kern w:val="0"/>
          <w:sz w:val="24"/>
          <w:szCs w:val="24"/>
        </w:rPr>
        <w:t>项目名称：</w:t>
      </w:r>
    </w:p>
    <w:p>
      <w:pPr>
        <w:spacing w:beforeLines="25" w:line="360" w:lineRule="auto"/>
        <w:ind w:firstLine="482" w:firstLineChars="200"/>
        <w:rPr>
          <w:rFonts w:ascii="宋体" w:hAnsi="宋体" w:cs="Helvetica"/>
          <w:b/>
          <w:kern w:val="0"/>
          <w:sz w:val="24"/>
          <w:szCs w:val="24"/>
        </w:rPr>
      </w:pPr>
      <w:r>
        <w:rPr>
          <w:rFonts w:hint="eastAsia" w:ascii="宋体" w:hAnsi="宋体" w:cs="Helvetica"/>
          <w:b/>
          <w:kern w:val="0"/>
          <w:sz w:val="24"/>
          <w:szCs w:val="24"/>
        </w:rPr>
        <w:t>合同编号：</w:t>
      </w:r>
    </w:p>
    <w:p>
      <w:pPr>
        <w:spacing w:beforeLines="25" w:line="360" w:lineRule="auto"/>
        <w:ind w:firstLine="482" w:firstLineChars="200"/>
        <w:rPr>
          <w:rFonts w:ascii="宋体" w:hAnsi="宋体" w:cs="Helvetica"/>
          <w:b/>
          <w:kern w:val="0"/>
          <w:sz w:val="24"/>
          <w:szCs w:val="24"/>
        </w:rPr>
      </w:pPr>
      <w:r>
        <w:rPr>
          <w:rFonts w:hint="eastAsia" w:ascii="宋体" w:hAnsi="宋体" w:cs="Helvetica"/>
          <w:b/>
          <w:kern w:val="0"/>
          <w:sz w:val="24"/>
          <w:szCs w:val="24"/>
        </w:rPr>
        <w:t>签订日期：</w:t>
      </w:r>
    </w:p>
    <w:p>
      <w:pPr>
        <w:spacing w:beforeLines="25" w:line="360" w:lineRule="auto"/>
        <w:ind w:firstLine="482" w:firstLineChars="200"/>
        <w:rPr>
          <w:rFonts w:ascii="宋体" w:hAnsi="宋体" w:cs="Helvetica"/>
          <w:b/>
          <w:kern w:val="0"/>
          <w:sz w:val="24"/>
          <w:szCs w:val="24"/>
        </w:rPr>
      </w:pPr>
      <w:r>
        <w:rPr>
          <w:rFonts w:hint="eastAsia" w:ascii="宋体" w:hAnsi="宋体" w:cs="Helvetica"/>
          <w:b/>
          <w:kern w:val="0"/>
          <w:sz w:val="24"/>
          <w:szCs w:val="24"/>
        </w:rPr>
        <w:t>签订合同地点：</w:t>
      </w:r>
    </w:p>
    <w:p>
      <w:pPr>
        <w:spacing w:beforeLines="25" w:line="360" w:lineRule="auto"/>
        <w:ind w:firstLine="480" w:firstLineChars="200"/>
        <w:rPr>
          <w:rFonts w:ascii="宋体" w:hAnsi="宋体" w:cs="Helvetica"/>
          <w:kern w:val="0"/>
          <w:sz w:val="24"/>
          <w:szCs w:val="24"/>
        </w:rPr>
      </w:pPr>
      <w:r>
        <w:rPr>
          <w:rFonts w:hint="eastAsia" w:ascii="宋体" w:hAnsi="宋体" w:cs="Helvetica"/>
          <w:kern w:val="0"/>
          <w:sz w:val="24"/>
          <w:szCs w:val="24"/>
        </w:rPr>
        <w:t>本合同由</w:t>
      </w:r>
      <w:r>
        <w:rPr>
          <w:rFonts w:hint="eastAsia" w:ascii="宋体" w:hAnsi="宋体" w:cs="Helvetica"/>
          <w:kern w:val="0"/>
          <w:sz w:val="24"/>
          <w:szCs w:val="24"/>
          <w:u w:val="single"/>
        </w:rPr>
        <w:t xml:space="preserve">（采购人） </w:t>
      </w:r>
      <w:r>
        <w:rPr>
          <w:rFonts w:hint="eastAsia" w:ascii="宋体" w:hAnsi="宋体" w:cs="Helvetica"/>
          <w:kern w:val="0"/>
          <w:sz w:val="24"/>
          <w:szCs w:val="24"/>
        </w:rPr>
        <w:t>（以下简称“甲方”）与</w:t>
      </w:r>
      <w:r>
        <w:rPr>
          <w:rFonts w:hint="eastAsia" w:ascii="宋体" w:hAnsi="宋体" w:cs="Helvetica"/>
          <w:kern w:val="0"/>
          <w:sz w:val="24"/>
          <w:szCs w:val="24"/>
          <w:u w:val="single"/>
        </w:rPr>
        <w:t xml:space="preserve">（中标人） </w:t>
      </w:r>
      <w:r>
        <w:rPr>
          <w:rFonts w:hint="eastAsia" w:ascii="宋体" w:hAnsi="宋体" w:cs="Helvetica"/>
          <w:kern w:val="0"/>
          <w:sz w:val="24"/>
          <w:szCs w:val="24"/>
        </w:rPr>
        <w:t>（以下简称“乙方”）签订。乙方以总金额万元人民币（用大写数字书写）向甲方提供如下货物（工程或服务）：</w:t>
      </w:r>
    </w:p>
    <w:p>
      <w:pPr>
        <w:spacing w:beforeLines="25" w:line="360" w:lineRule="auto"/>
        <w:ind w:firstLine="492" w:firstLineChars="204"/>
        <w:contextualSpacing/>
        <w:rPr>
          <w:rFonts w:ascii="宋体" w:hAnsi="宋体"/>
          <w:b/>
          <w:kern w:val="0"/>
          <w:sz w:val="24"/>
          <w:szCs w:val="24"/>
        </w:rPr>
      </w:pPr>
      <w:r>
        <w:rPr>
          <w:rFonts w:hint="eastAsia" w:ascii="宋体" w:hAnsi="宋体" w:cs="Helvetica"/>
          <w:b/>
          <w:kern w:val="0"/>
          <w:sz w:val="24"/>
          <w:szCs w:val="24"/>
        </w:rPr>
        <w:t>经双方协商，同意按下列条文执行：</w:t>
      </w:r>
    </w:p>
    <w:p>
      <w:pPr>
        <w:numPr>
          <w:ilvl w:val="3"/>
          <w:numId w:val="7"/>
        </w:numPr>
        <w:tabs>
          <w:tab w:val="left" w:pos="854"/>
        </w:tabs>
        <w:autoSpaceDE w:val="0"/>
        <w:autoSpaceDN w:val="0"/>
        <w:spacing w:beforeLines="25" w:line="360" w:lineRule="auto"/>
        <w:ind w:left="11" w:firstLine="477" w:firstLineChars="199"/>
        <w:contextualSpacing/>
        <w:rPr>
          <w:rFonts w:ascii="宋体" w:hAnsi="宋体"/>
          <w:kern w:val="0"/>
          <w:sz w:val="24"/>
          <w:szCs w:val="24"/>
        </w:rPr>
      </w:pPr>
      <w:r>
        <w:rPr>
          <w:rFonts w:hint="eastAsia" w:ascii="宋体" w:hAnsi="宋体"/>
          <w:kern w:val="0"/>
          <w:sz w:val="24"/>
          <w:szCs w:val="24"/>
        </w:rPr>
        <w:t>本合同甲、乙双方应遵守国家颁布的《中华人民共和国合同法》《中华人民共和国政府采购法》，并各自履行应负的全部责任和义务。</w:t>
      </w:r>
    </w:p>
    <w:p>
      <w:pPr>
        <w:numPr>
          <w:ilvl w:val="3"/>
          <w:numId w:val="7"/>
        </w:numPr>
        <w:tabs>
          <w:tab w:val="left" w:pos="854"/>
        </w:tabs>
        <w:autoSpaceDE w:val="0"/>
        <w:autoSpaceDN w:val="0"/>
        <w:spacing w:beforeLines="25" w:line="360" w:lineRule="auto"/>
        <w:ind w:left="11" w:firstLine="477" w:firstLineChars="199"/>
        <w:contextualSpacing/>
        <w:rPr>
          <w:rFonts w:ascii="宋体" w:hAnsi="宋体"/>
          <w:kern w:val="0"/>
          <w:sz w:val="24"/>
          <w:szCs w:val="24"/>
        </w:rPr>
      </w:pPr>
      <w:r>
        <w:rPr>
          <w:rFonts w:hint="eastAsia" w:ascii="宋体" w:hAnsi="宋体"/>
          <w:kern w:val="0"/>
          <w:sz w:val="24"/>
          <w:szCs w:val="24"/>
        </w:rPr>
        <w:t>甲方保证按合同条款规定的时间和方式付给乙方到期应付的合同款，并承担应负的责任和义务。</w:t>
      </w:r>
    </w:p>
    <w:p>
      <w:pPr>
        <w:numPr>
          <w:ilvl w:val="3"/>
          <w:numId w:val="7"/>
        </w:numPr>
        <w:tabs>
          <w:tab w:val="left" w:pos="854"/>
        </w:tabs>
        <w:autoSpaceDE w:val="0"/>
        <w:autoSpaceDN w:val="0"/>
        <w:spacing w:beforeLines="25" w:line="360" w:lineRule="auto"/>
        <w:ind w:left="11" w:firstLine="477" w:firstLineChars="199"/>
        <w:contextualSpacing/>
        <w:rPr>
          <w:rFonts w:ascii="宋体" w:hAnsi="宋体"/>
          <w:kern w:val="0"/>
          <w:sz w:val="24"/>
          <w:szCs w:val="24"/>
        </w:rPr>
      </w:pPr>
      <w:r>
        <w:rPr>
          <w:rFonts w:hint="eastAsia" w:ascii="宋体" w:hAnsi="宋体"/>
          <w:kern w:val="0"/>
          <w:sz w:val="24"/>
          <w:szCs w:val="24"/>
        </w:rPr>
        <w:t>乙方保证按合同条款规定的内容和工期（服务期限）向甲方提供合格的货物（工程或服务），并承担应负的责任和义务。</w:t>
      </w:r>
    </w:p>
    <w:p>
      <w:pPr>
        <w:numPr>
          <w:ilvl w:val="3"/>
          <w:numId w:val="7"/>
        </w:numPr>
        <w:tabs>
          <w:tab w:val="left" w:pos="854"/>
        </w:tabs>
        <w:autoSpaceDE w:val="0"/>
        <w:autoSpaceDN w:val="0"/>
        <w:spacing w:beforeLines="25" w:line="360" w:lineRule="auto"/>
        <w:ind w:left="11" w:firstLine="477" w:firstLineChars="199"/>
        <w:contextualSpacing/>
        <w:rPr>
          <w:rFonts w:ascii="宋体" w:hAnsi="宋体"/>
          <w:kern w:val="0"/>
          <w:sz w:val="24"/>
          <w:szCs w:val="24"/>
        </w:rPr>
      </w:pPr>
      <w:r>
        <w:rPr>
          <w:rFonts w:hint="eastAsia" w:ascii="宋体" w:hAnsi="宋体"/>
          <w:kern w:val="0"/>
          <w:sz w:val="24"/>
          <w:szCs w:val="24"/>
        </w:rPr>
        <w:t>合同文件。下列文件为本合同不可分割的部分：</w:t>
      </w:r>
    </w:p>
    <w:p>
      <w:pPr>
        <w:numPr>
          <w:ilvl w:val="0"/>
          <w:numId w:val="8"/>
        </w:numPr>
        <w:adjustRightInd w:val="0"/>
        <w:spacing w:beforeLines="25" w:line="360" w:lineRule="auto"/>
        <w:ind w:left="1091" w:leftChars="227" w:hanging="614" w:hangingChars="256"/>
        <w:rPr>
          <w:rFonts w:ascii="宋体" w:hAnsi="宋体"/>
          <w:kern w:val="0"/>
          <w:sz w:val="24"/>
          <w:szCs w:val="24"/>
        </w:rPr>
      </w:pPr>
      <w:r>
        <w:rPr>
          <w:rFonts w:hint="eastAsia" w:ascii="宋体" w:hAnsi="宋体"/>
          <w:kern w:val="0"/>
          <w:sz w:val="24"/>
          <w:szCs w:val="24"/>
        </w:rPr>
        <w:t>招标文件（项目编号：</w:t>
      </w:r>
      <w:r>
        <w:rPr>
          <w:rFonts w:hint="eastAsia" w:ascii="宋体" w:hAnsi="宋体"/>
          <w:kern w:val="0"/>
          <w:sz w:val="24"/>
          <w:szCs w:val="24"/>
          <w:u w:val="single"/>
        </w:rPr>
        <w:t>　　　</w:t>
      </w:r>
      <w:r>
        <w:rPr>
          <w:rFonts w:hint="eastAsia" w:ascii="宋体" w:hAnsi="宋体"/>
          <w:kern w:val="0"/>
          <w:sz w:val="24"/>
          <w:szCs w:val="24"/>
        </w:rPr>
        <w:t>）；</w:t>
      </w:r>
    </w:p>
    <w:p>
      <w:pPr>
        <w:numPr>
          <w:ilvl w:val="0"/>
          <w:numId w:val="8"/>
        </w:numPr>
        <w:adjustRightInd w:val="0"/>
        <w:spacing w:beforeLines="25" w:line="360" w:lineRule="auto"/>
        <w:ind w:left="1091" w:leftChars="227" w:hanging="614" w:hangingChars="256"/>
        <w:rPr>
          <w:rFonts w:ascii="宋体" w:hAnsi="宋体"/>
          <w:kern w:val="0"/>
          <w:sz w:val="24"/>
          <w:szCs w:val="24"/>
        </w:rPr>
      </w:pPr>
      <w:r>
        <w:rPr>
          <w:rFonts w:hint="eastAsia" w:ascii="宋体" w:hAnsi="宋体"/>
          <w:kern w:val="0"/>
          <w:sz w:val="24"/>
          <w:szCs w:val="24"/>
        </w:rPr>
        <w:t>中标的投标文件；</w:t>
      </w:r>
    </w:p>
    <w:p>
      <w:pPr>
        <w:numPr>
          <w:ilvl w:val="0"/>
          <w:numId w:val="8"/>
        </w:numPr>
        <w:adjustRightInd w:val="0"/>
        <w:spacing w:beforeLines="25" w:line="360" w:lineRule="auto"/>
        <w:ind w:left="1091" w:leftChars="227" w:hanging="614" w:hangingChars="256"/>
        <w:rPr>
          <w:rFonts w:ascii="宋体" w:hAnsi="宋体"/>
          <w:kern w:val="0"/>
          <w:sz w:val="24"/>
          <w:szCs w:val="24"/>
        </w:rPr>
      </w:pPr>
      <w:r>
        <w:rPr>
          <w:rFonts w:hint="eastAsia" w:ascii="宋体" w:hAnsi="宋体"/>
          <w:kern w:val="0"/>
          <w:sz w:val="24"/>
          <w:szCs w:val="24"/>
        </w:rPr>
        <w:t>合同书；</w:t>
      </w:r>
    </w:p>
    <w:p>
      <w:pPr>
        <w:numPr>
          <w:ilvl w:val="0"/>
          <w:numId w:val="8"/>
        </w:numPr>
        <w:adjustRightInd w:val="0"/>
        <w:spacing w:beforeLines="25" w:line="360" w:lineRule="auto"/>
        <w:ind w:left="1091" w:leftChars="227" w:hanging="614" w:hangingChars="256"/>
        <w:rPr>
          <w:rFonts w:ascii="宋体" w:hAnsi="宋体"/>
          <w:kern w:val="0"/>
          <w:sz w:val="24"/>
          <w:szCs w:val="24"/>
        </w:rPr>
      </w:pPr>
      <w:r>
        <w:rPr>
          <w:rFonts w:hint="eastAsia" w:ascii="宋体" w:hAnsi="宋体"/>
          <w:kern w:val="0"/>
          <w:sz w:val="24"/>
          <w:szCs w:val="24"/>
        </w:rPr>
        <w:t>合同条款；</w:t>
      </w:r>
    </w:p>
    <w:p>
      <w:pPr>
        <w:numPr>
          <w:ilvl w:val="0"/>
          <w:numId w:val="8"/>
        </w:numPr>
        <w:adjustRightInd w:val="0"/>
        <w:spacing w:beforeLines="25" w:line="360" w:lineRule="auto"/>
        <w:ind w:left="1091" w:leftChars="227" w:hanging="614" w:hangingChars="256"/>
        <w:rPr>
          <w:rFonts w:ascii="宋体" w:hAnsi="宋体"/>
          <w:kern w:val="0"/>
          <w:sz w:val="24"/>
          <w:szCs w:val="24"/>
        </w:rPr>
      </w:pPr>
      <w:r>
        <w:rPr>
          <w:rFonts w:hint="eastAsia" w:ascii="宋体" w:hAnsi="宋体"/>
          <w:kern w:val="0"/>
          <w:sz w:val="24"/>
          <w:szCs w:val="24"/>
        </w:rPr>
        <w:t>XX招标代理公司发出的中标通知书；</w:t>
      </w:r>
    </w:p>
    <w:p>
      <w:pPr>
        <w:numPr>
          <w:ilvl w:val="0"/>
          <w:numId w:val="8"/>
        </w:numPr>
        <w:adjustRightInd w:val="0"/>
        <w:spacing w:beforeLines="25" w:line="440" w:lineRule="exact"/>
        <w:ind w:left="1091" w:leftChars="227" w:hanging="614" w:hangingChars="256"/>
        <w:rPr>
          <w:rFonts w:ascii="宋体" w:hAnsi="宋体"/>
          <w:kern w:val="0"/>
          <w:sz w:val="24"/>
          <w:szCs w:val="24"/>
        </w:rPr>
      </w:pPr>
      <w:r>
        <w:rPr>
          <w:rFonts w:hint="eastAsia" w:ascii="宋体" w:hAnsi="宋体"/>
          <w:kern w:val="0"/>
          <w:sz w:val="24"/>
          <w:szCs w:val="24"/>
        </w:rPr>
        <w:t>附件；</w:t>
      </w:r>
    </w:p>
    <w:p>
      <w:pPr>
        <w:numPr>
          <w:ilvl w:val="0"/>
          <w:numId w:val="9"/>
        </w:numPr>
        <w:spacing w:beforeLines="25" w:line="440" w:lineRule="exact"/>
        <w:ind w:left="1358" w:hanging="724"/>
        <w:rPr>
          <w:rFonts w:ascii="宋体" w:hAnsi="宋体"/>
          <w:sz w:val="24"/>
          <w:szCs w:val="24"/>
        </w:rPr>
      </w:pPr>
      <w:r>
        <w:rPr>
          <w:rFonts w:hint="eastAsia" w:ascii="宋体" w:hAnsi="宋体"/>
          <w:kern w:val="0"/>
          <w:sz w:val="24"/>
          <w:szCs w:val="24"/>
        </w:rPr>
        <w:t>甲方</w:t>
      </w:r>
      <w:r>
        <w:rPr>
          <w:rFonts w:hint="eastAsia" w:ascii="宋体" w:hAnsi="宋体"/>
          <w:sz w:val="24"/>
          <w:szCs w:val="24"/>
        </w:rPr>
        <w:t>在招标期间发布的所有补充通知；</w:t>
      </w:r>
    </w:p>
    <w:p>
      <w:pPr>
        <w:numPr>
          <w:ilvl w:val="0"/>
          <w:numId w:val="9"/>
        </w:numPr>
        <w:spacing w:beforeLines="25" w:line="440" w:lineRule="exact"/>
        <w:ind w:left="1358" w:hanging="724"/>
        <w:rPr>
          <w:rFonts w:ascii="宋体" w:hAnsi="宋体"/>
          <w:kern w:val="0"/>
          <w:sz w:val="24"/>
          <w:szCs w:val="24"/>
        </w:rPr>
      </w:pPr>
      <w:r>
        <w:rPr>
          <w:rFonts w:hint="eastAsia" w:ascii="宋体" w:hAnsi="宋体"/>
          <w:kern w:val="0"/>
          <w:sz w:val="24"/>
          <w:szCs w:val="24"/>
        </w:rPr>
        <w:t>乙方在投标期内补充的所有书面文件；</w:t>
      </w:r>
    </w:p>
    <w:p>
      <w:pPr>
        <w:numPr>
          <w:ilvl w:val="0"/>
          <w:numId w:val="9"/>
        </w:numPr>
        <w:spacing w:beforeLines="25" w:line="440" w:lineRule="exact"/>
        <w:ind w:left="1358" w:hanging="724"/>
        <w:rPr>
          <w:rFonts w:ascii="宋体" w:hAnsi="宋体"/>
          <w:kern w:val="0"/>
          <w:sz w:val="24"/>
          <w:szCs w:val="24"/>
        </w:rPr>
      </w:pPr>
      <w:r>
        <w:rPr>
          <w:rFonts w:hint="eastAsia" w:ascii="宋体" w:hAnsi="宋体"/>
          <w:kern w:val="0"/>
          <w:sz w:val="24"/>
          <w:szCs w:val="24"/>
        </w:rPr>
        <w:t>乙方在投标时随同投标文件一起递送的资料及附图；</w:t>
      </w:r>
    </w:p>
    <w:p>
      <w:pPr>
        <w:numPr>
          <w:ilvl w:val="0"/>
          <w:numId w:val="9"/>
        </w:numPr>
        <w:spacing w:beforeLines="25" w:line="440" w:lineRule="exact"/>
        <w:ind w:left="1358" w:hanging="724"/>
        <w:rPr>
          <w:rFonts w:ascii="宋体" w:hAnsi="宋体"/>
          <w:kern w:val="0"/>
          <w:sz w:val="24"/>
          <w:szCs w:val="24"/>
        </w:rPr>
      </w:pPr>
      <w:r>
        <w:rPr>
          <w:rFonts w:hint="eastAsia" w:ascii="宋体" w:hAnsi="宋体"/>
          <w:kern w:val="0"/>
          <w:sz w:val="24"/>
          <w:szCs w:val="24"/>
        </w:rPr>
        <w:t>在商洽本合同时，双方澄清、确认并共同签字的补充文件、技术协议。</w:t>
      </w:r>
    </w:p>
    <w:p>
      <w:pPr>
        <w:numPr>
          <w:ilvl w:val="3"/>
          <w:numId w:val="7"/>
        </w:numPr>
        <w:tabs>
          <w:tab w:val="left" w:pos="854"/>
        </w:tabs>
        <w:autoSpaceDE w:val="0"/>
        <w:autoSpaceDN w:val="0"/>
        <w:spacing w:beforeLines="25" w:line="440" w:lineRule="exact"/>
        <w:ind w:left="11" w:firstLine="477" w:firstLineChars="199"/>
        <w:contextualSpacing/>
        <w:rPr>
          <w:rFonts w:ascii="宋体" w:hAnsi="宋体"/>
          <w:kern w:val="0"/>
          <w:sz w:val="24"/>
          <w:szCs w:val="24"/>
        </w:rPr>
      </w:pPr>
      <w:r>
        <w:rPr>
          <w:rFonts w:hint="eastAsia" w:ascii="宋体" w:hAnsi="宋体"/>
          <w:kern w:val="0"/>
          <w:sz w:val="24"/>
          <w:szCs w:val="24"/>
        </w:rPr>
        <w:t>合同范围和条件。本合同的范围和条件应与上述规定的合同文件内容相一致。</w:t>
      </w:r>
    </w:p>
    <w:p>
      <w:pPr>
        <w:numPr>
          <w:ilvl w:val="3"/>
          <w:numId w:val="7"/>
        </w:numPr>
        <w:tabs>
          <w:tab w:val="left" w:pos="854"/>
        </w:tabs>
        <w:autoSpaceDE w:val="0"/>
        <w:autoSpaceDN w:val="0"/>
        <w:spacing w:beforeLines="25" w:line="440" w:lineRule="exact"/>
        <w:ind w:left="11" w:firstLine="477" w:firstLineChars="199"/>
        <w:contextualSpacing/>
        <w:rPr>
          <w:rFonts w:ascii="宋体" w:hAnsi="宋体"/>
          <w:kern w:val="0"/>
          <w:sz w:val="24"/>
          <w:szCs w:val="24"/>
        </w:rPr>
      </w:pPr>
      <w:r>
        <w:rPr>
          <w:rFonts w:hint="eastAsia" w:ascii="宋体" w:hAnsi="宋体"/>
          <w:kern w:val="0"/>
          <w:sz w:val="24"/>
          <w:szCs w:val="24"/>
        </w:rPr>
        <w:t>货物（工程或服务）及数量。本合同所提供的货物（工程或服务）及数量详见招标文件的要求及乙方投标文件中的承诺。</w:t>
      </w:r>
    </w:p>
    <w:p>
      <w:pPr>
        <w:numPr>
          <w:ilvl w:val="3"/>
          <w:numId w:val="7"/>
        </w:numPr>
        <w:tabs>
          <w:tab w:val="left" w:pos="854"/>
        </w:tabs>
        <w:autoSpaceDE w:val="0"/>
        <w:autoSpaceDN w:val="0"/>
        <w:spacing w:beforeLines="25" w:line="440" w:lineRule="exact"/>
        <w:ind w:left="11" w:firstLine="477" w:firstLineChars="199"/>
        <w:contextualSpacing/>
        <w:rPr>
          <w:rFonts w:ascii="宋体" w:hAnsi="宋体"/>
          <w:kern w:val="0"/>
          <w:sz w:val="24"/>
          <w:szCs w:val="24"/>
        </w:rPr>
      </w:pPr>
      <w:r>
        <w:rPr>
          <w:rFonts w:hint="eastAsia" w:ascii="宋体" w:hAnsi="宋体"/>
          <w:kern w:val="0"/>
          <w:sz w:val="24"/>
          <w:szCs w:val="24"/>
        </w:rPr>
        <w:t>付款条件。本合同的付款条件按招标文件规定执行。</w:t>
      </w:r>
    </w:p>
    <w:p>
      <w:pPr>
        <w:numPr>
          <w:ilvl w:val="3"/>
          <w:numId w:val="7"/>
        </w:numPr>
        <w:tabs>
          <w:tab w:val="left" w:pos="854"/>
        </w:tabs>
        <w:autoSpaceDE w:val="0"/>
        <w:autoSpaceDN w:val="0"/>
        <w:spacing w:beforeLines="25" w:line="440" w:lineRule="exact"/>
        <w:ind w:left="11" w:firstLine="477" w:firstLineChars="199"/>
        <w:contextualSpacing/>
        <w:rPr>
          <w:rFonts w:ascii="宋体" w:hAnsi="宋体"/>
          <w:kern w:val="0"/>
          <w:sz w:val="24"/>
          <w:szCs w:val="24"/>
        </w:rPr>
      </w:pPr>
      <w:r>
        <w:rPr>
          <w:rFonts w:hint="eastAsia" w:ascii="宋体" w:hAnsi="宋体"/>
          <w:kern w:val="0"/>
          <w:sz w:val="24"/>
          <w:szCs w:val="24"/>
        </w:rPr>
        <w:t>合同金额。合同总金额见合同书，分项价格在乙方的投标报价表中有明确规定。</w:t>
      </w:r>
    </w:p>
    <w:p>
      <w:pPr>
        <w:numPr>
          <w:ilvl w:val="3"/>
          <w:numId w:val="7"/>
        </w:numPr>
        <w:tabs>
          <w:tab w:val="left" w:pos="854"/>
        </w:tabs>
        <w:autoSpaceDE w:val="0"/>
        <w:autoSpaceDN w:val="0"/>
        <w:spacing w:beforeLines="25" w:line="440" w:lineRule="exact"/>
        <w:ind w:left="11" w:firstLine="477" w:firstLineChars="199"/>
        <w:contextualSpacing/>
        <w:rPr>
          <w:rFonts w:ascii="宋体" w:hAnsi="宋体"/>
          <w:kern w:val="0"/>
          <w:sz w:val="24"/>
          <w:szCs w:val="24"/>
        </w:rPr>
      </w:pPr>
      <w:r>
        <w:rPr>
          <w:rFonts w:hint="eastAsia" w:ascii="宋体" w:hAnsi="宋体"/>
          <w:kern w:val="0"/>
          <w:sz w:val="24"/>
          <w:szCs w:val="24"/>
        </w:rPr>
        <w:t>工期和交货（服务）地点。本合同中货物（工程或服务）的工期、交货（服务）地点在招标文件中有明确规定。</w:t>
      </w:r>
    </w:p>
    <w:p>
      <w:pPr>
        <w:numPr>
          <w:ilvl w:val="3"/>
          <w:numId w:val="7"/>
        </w:numPr>
        <w:tabs>
          <w:tab w:val="left" w:pos="980"/>
        </w:tabs>
        <w:autoSpaceDE w:val="0"/>
        <w:autoSpaceDN w:val="0"/>
        <w:spacing w:beforeLines="25" w:line="440" w:lineRule="exact"/>
        <w:ind w:left="11" w:firstLine="477" w:firstLineChars="199"/>
        <w:contextualSpacing/>
        <w:rPr>
          <w:rFonts w:ascii="宋体" w:hAnsi="宋体"/>
          <w:kern w:val="0"/>
          <w:sz w:val="24"/>
          <w:szCs w:val="24"/>
        </w:rPr>
      </w:pPr>
      <w:r>
        <w:rPr>
          <w:rFonts w:hint="eastAsia" w:ascii="宋体" w:hAnsi="宋体"/>
          <w:kern w:val="0"/>
          <w:sz w:val="24"/>
          <w:szCs w:val="24"/>
        </w:rPr>
        <w:t>合同生效。本合同经甲、乙双方授权代表签字和加盖公章（或合同专用章）后生效。如招标申请公证的，合同需经公证机构公证后生效。</w:t>
      </w:r>
    </w:p>
    <w:p>
      <w:pPr>
        <w:numPr>
          <w:ilvl w:val="3"/>
          <w:numId w:val="7"/>
        </w:numPr>
        <w:tabs>
          <w:tab w:val="left" w:pos="980"/>
        </w:tabs>
        <w:autoSpaceDE w:val="0"/>
        <w:autoSpaceDN w:val="0"/>
        <w:spacing w:beforeLines="25" w:line="440" w:lineRule="exact"/>
        <w:ind w:left="11" w:firstLine="477" w:firstLineChars="199"/>
        <w:contextualSpacing/>
        <w:rPr>
          <w:rFonts w:ascii="宋体" w:hAnsi="宋体"/>
          <w:kern w:val="0"/>
          <w:sz w:val="24"/>
          <w:szCs w:val="24"/>
        </w:rPr>
      </w:pPr>
      <w:r>
        <w:rPr>
          <w:rFonts w:hint="eastAsia" w:ascii="宋体" w:hAnsi="宋体"/>
          <w:kern w:val="0"/>
          <w:sz w:val="24"/>
          <w:szCs w:val="24"/>
        </w:rPr>
        <w:t>合同的份数。本合同正本一式</w:t>
      </w:r>
      <w:r>
        <w:rPr>
          <w:rFonts w:hint="eastAsia" w:ascii="宋体" w:hAnsi="宋体"/>
          <w:kern w:val="0"/>
          <w:sz w:val="24"/>
          <w:szCs w:val="24"/>
          <w:u w:val="single"/>
        </w:rPr>
        <w:t>　</w:t>
      </w:r>
      <w:r>
        <w:rPr>
          <w:rFonts w:hint="eastAsia" w:ascii="宋体" w:hAnsi="宋体"/>
          <w:kern w:val="0"/>
          <w:sz w:val="24"/>
          <w:szCs w:val="24"/>
        </w:rPr>
        <w:t>份，甲方执</w:t>
      </w:r>
      <w:r>
        <w:rPr>
          <w:rFonts w:hint="eastAsia" w:ascii="宋体" w:hAnsi="宋体"/>
          <w:kern w:val="0"/>
          <w:sz w:val="24"/>
          <w:szCs w:val="24"/>
          <w:u w:val="single"/>
        </w:rPr>
        <w:t>　</w:t>
      </w:r>
      <w:r>
        <w:rPr>
          <w:rFonts w:hint="eastAsia" w:ascii="宋体" w:hAnsi="宋体"/>
          <w:kern w:val="0"/>
          <w:sz w:val="24"/>
          <w:szCs w:val="24"/>
        </w:rPr>
        <w:t>份，乙方执</w:t>
      </w:r>
      <w:r>
        <w:rPr>
          <w:rFonts w:hint="eastAsia" w:ascii="宋体" w:hAnsi="宋体"/>
          <w:kern w:val="0"/>
          <w:sz w:val="24"/>
          <w:szCs w:val="24"/>
          <w:u w:val="single"/>
        </w:rPr>
        <w:t>　</w:t>
      </w:r>
      <w:r>
        <w:rPr>
          <w:rFonts w:hint="eastAsia" w:ascii="宋体" w:hAnsi="宋体"/>
          <w:kern w:val="0"/>
          <w:sz w:val="24"/>
          <w:szCs w:val="24"/>
        </w:rPr>
        <w:t>份；副本一式</w:t>
      </w:r>
      <w:r>
        <w:rPr>
          <w:rFonts w:hint="eastAsia" w:ascii="宋体" w:hAnsi="宋体"/>
          <w:kern w:val="0"/>
          <w:sz w:val="24"/>
          <w:szCs w:val="24"/>
          <w:u w:val="single"/>
        </w:rPr>
        <w:t>　</w:t>
      </w:r>
      <w:r>
        <w:rPr>
          <w:rFonts w:hint="eastAsia" w:ascii="宋体" w:hAnsi="宋体"/>
          <w:kern w:val="0"/>
          <w:sz w:val="24"/>
          <w:szCs w:val="24"/>
        </w:rPr>
        <w:t>份，甲方执</w:t>
      </w:r>
      <w:r>
        <w:rPr>
          <w:rFonts w:hint="eastAsia" w:ascii="宋体" w:hAnsi="宋体"/>
          <w:kern w:val="0"/>
          <w:sz w:val="24"/>
          <w:szCs w:val="24"/>
          <w:u w:val="single"/>
        </w:rPr>
        <w:t>　</w:t>
      </w:r>
      <w:r>
        <w:rPr>
          <w:rFonts w:hint="eastAsia" w:ascii="宋体" w:hAnsi="宋体"/>
          <w:kern w:val="0"/>
          <w:sz w:val="24"/>
          <w:szCs w:val="24"/>
        </w:rPr>
        <w:t>份，乙方执</w:t>
      </w:r>
      <w:r>
        <w:rPr>
          <w:rFonts w:hint="eastAsia" w:ascii="宋体" w:hAnsi="宋体"/>
          <w:kern w:val="0"/>
          <w:sz w:val="24"/>
          <w:szCs w:val="24"/>
          <w:u w:val="single"/>
        </w:rPr>
        <w:t>　</w:t>
      </w:r>
      <w:r>
        <w:rPr>
          <w:rFonts w:hint="eastAsia" w:ascii="宋体" w:hAnsi="宋体"/>
          <w:kern w:val="0"/>
          <w:sz w:val="24"/>
          <w:szCs w:val="24"/>
        </w:rPr>
        <w:t>份。</w:t>
      </w:r>
    </w:p>
    <w:p>
      <w:pPr>
        <w:numPr>
          <w:ilvl w:val="3"/>
          <w:numId w:val="7"/>
        </w:numPr>
        <w:tabs>
          <w:tab w:val="left" w:pos="980"/>
        </w:tabs>
        <w:autoSpaceDE w:val="0"/>
        <w:autoSpaceDN w:val="0"/>
        <w:spacing w:beforeLines="25" w:line="440" w:lineRule="exact"/>
        <w:ind w:left="11" w:firstLine="477" w:firstLineChars="199"/>
        <w:contextualSpacing/>
        <w:rPr>
          <w:rFonts w:ascii="宋体" w:hAnsi="宋体"/>
          <w:kern w:val="0"/>
          <w:sz w:val="24"/>
          <w:szCs w:val="24"/>
        </w:rPr>
      </w:pPr>
      <w:r>
        <w:rPr>
          <w:rFonts w:hint="eastAsia" w:ascii="宋体" w:hAnsi="宋体"/>
          <w:kern w:val="0"/>
          <w:sz w:val="24"/>
          <w:szCs w:val="24"/>
        </w:rPr>
        <w:t>合同的失效。本合同在合同价款全部结清后失效。</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甲　　方：</w:t>
      </w:r>
      <w:r>
        <w:rPr>
          <w:rFonts w:hint="eastAsia" w:ascii="宋体" w:hAnsi="宋体"/>
          <w:kern w:val="0"/>
          <w:sz w:val="24"/>
          <w:szCs w:val="24"/>
        </w:rPr>
        <w:tab/>
      </w:r>
      <w:r>
        <w:rPr>
          <w:rFonts w:hint="eastAsia" w:ascii="宋体" w:hAnsi="宋体"/>
          <w:kern w:val="0"/>
          <w:sz w:val="24"/>
          <w:szCs w:val="24"/>
        </w:rPr>
        <w:t xml:space="preserve"> 乙　　方：</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单位名称（盖章）：</w:t>
      </w:r>
      <w:r>
        <w:rPr>
          <w:rFonts w:hint="eastAsia" w:ascii="宋体" w:hAnsi="宋体"/>
          <w:kern w:val="0"/>
          <w:sz w:val="24"/>
          <w:szCs w:val="24"/>
        </w:rPr>
        <w:tab/>
      </w:r>
      <w:r>
        <w:rPr>
          <w:rFonts w:hint="eastAsia" w:ascii="宋体" w:hAnsi="宋体"/>
          <w:kern w:val="0"/>
          <w:sz w:val="24"/>
          <w:szCs w:val="24"/>
        </w:rPr>
        <w:t>单位名称（盖章）：</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单位地址：</w:t>
      </w:r>
      <w:r>
        <w:rPr>
          <w:rFonts w:hint="eastAsia" w:ascii="宋体" w:hAnsi="宋体"/>
          <w:kern w:val="0"/>
          <w:sz w:val="24"/>
          <w:szCs w:val="24"/>
        </w:rPr>
        <w:tab/>
      </w:r>
      <w:r>
        <w:rPr>
          <w:rFonts w:hint="eastAsia" w:ascii="宋体" w:hAnsi="宋体"/>
          <w:kern w:val="0"/>
          <w:sz w:val="24"/>
          <w:szCs w:val="24"/>
        </w:rPr>
        <w:t xml:space="preserve"> 单位地址：</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法人代表（负责人）授权人(签字)： 法人代表（负责人）授权人(签字)：</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联 系 人：</w:t>
      </w:r>
      <w:r>
        <w:rPr>
          <w:rFonts w:hint="eastAsia" w:ascii="宋体" w:hAnsi="宋体"/>
          <w:kern w:val="0"/>
          <w:sz w:val="24"/>
          <w:szCs w:val="24"/>
        </w:rPr>
        <w:tab/>
      </w:r>
      <w:r>
        <w:rPr>
          <w:rFonts w:hint="eastAsia" w:ascii="宋体" w:hAnsi="宋体"/>
          <w:kern w:val="0"/>
          <w:sz w:val="24"/>
          <w:szCs w:val="24"/>
        </w:rPr>
        <w:t xml:space="preserve"> 联 系 人：</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 xml:space="preserve">电　　话： </w:t>
      </w:r>
      <w:r>
        <w:rPr>
          <w:rFonts w:hint="eastAsia" w:ascii="宋体" w:hAnsi="宋体"/>
          <w:kern w:val="0"/>
          <w:sz w:val="24"/>
          <w:szCs w:val="24"/>
        </w:rPr>
        <w:tab/>
      </w:r>
      <w:r>
        <w:rPr>
          <w:rFonts w:hint="eastAsia" w:ascii="宋体" w:hAnsi="宋体"/>
          <w:kern w:val="0"/>
          <w:sz w:val="24"/>
          <w:szCs w:val="24"/>
        </w:rPr>
        <w:t>电　　话：</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 xml:space="preserve">传　　真： </w:t>
      </w:r>
      <w:r>
        <w:rPr>
          <w:rFonts w:hint="eastAsia" w:ascii="宋体" w:hAnsi="宋体"/>
          <w:kern w:val="0"/>
          <w:sz w:val="24"/>
          <w:szCs w:val="24"/>
        </w:rPr>
        <w:tab/>
      </w:r>
      <w:r>
        <w:rPr>
          <w:rFonts w:hint="eastAsia" w:ascii="宋体" w:hAnsi="宋体"/>
          <w:kern w:val="0"/>
          <w:sz w:val="24"/>
          <w:szCs w:val="24"/>
        </w:rPr>
        <w:t>传　　真：</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 xml:space="preserve">邮政编码： </w:t>
      </w:r>
      <w:r>
        <w:rPr>
          <w:rFonts w:hint="eastAsia" w:ascii="宋体" w:hAnsi="宋体"/>
          <w:kern w:val="0"/>
          <w:sz w:val="24"/>
          <w:szCs w:val="24"/>
        </w:rPr>
        <w:tab/>
      </w:r>
      <w:r>
        <w:rPr>
          <w:rFonts w:hint="eastAsia" w:ascii="宋体" w:hAnsi="宋体"/>
          <w:kern w:val="0"/>
          <w:sz w:val="24"/>
          <w:szCs w:val="24"/>
        </w:rPr>
        <w:t>邮政编码：</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 xml:space="preserve">开户银行： </w:t>
      </w:r>
      <w:r>
        <w:rPr>
          <w:rFonts w:hint="eastAsia" w:ascii="宋体" w:hAnsi="宋体"/>
          <w:kern w:val="0"/>
          <w:sz w:val="24"/>
          <w:szCs w:val="24"/>
        </w:rPr>
        <w:tab/>
      </w:r>
      <w:r>
        <w:rPr>
          <w:rFonts w:hint="eastAsia" w:ascii="宋体" w:hAnsi="宋体"/>
          <w:kern w:val="0"/>
          <w:sz w:val="24"/>
          <w:szCs w:val="24"/>
        </w:rPr>
        <w:t>开户银行：</w:t>
      </w:r>
    </w:p>
    <w:p>
      <w:pPr>
        <w:spacing w:beforeLines="25" w:line="440" w:lineRule="exact"/>
        <w:ind w:firstLine="489" w:firstLineChars="204"/>
        <w:contextualSpacing/>
        <w:jc w:val="left"/>
        <w:rPr>
          <w:rFonts w:ascii="宋体" w:hAnsi="宋体"/>
          <w:kern w:val="0"/>
          <w:sz w:val="24"/>
          <w:szCs w:val="24"/>
        </w:rPr>
      </w:pPr>
      <w:r>
        <w:rPr>
          <w:rFonts w:hint="eastAsia" w:ascii="宋体" w:hAnsi="宋体"/>
          <w:kern w:val="0"/>
          <w:sz w:val="24"/>
          <w:szCs w:val="24"/>
        </w:rPr>
        <w:t xml:space="preserve">帐　　号： </w:t>
      </w:r>
      <w:r>
        <w:rPr>
          <w:rFonts w:hint="eastAsia" w:ascii="宋体" w:hAnsi="宋体"/>
          <w:kern w:val="0"/>
          <w:sz w:val="24"/>
          <w:szCs w:val="24"/>
        </w:rPr>
        <w:tab/>
      </w:r>
      <w:r>
        <w:rPr>
          <w:rFonts w:hint="eastAsia" w:ascii="宋体" w:hAnsi="宋体"/>
          <w:kern w:val="0"/>
          <w:sz w:val="24"/>
          <w:szCs w:val="24"/>
        </w:rPr>
        <w:t>帐　　号：</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税　　号： </w:t>
      </w:r>
      <w:r>
        <w:rPr>
          <w:rFonts w:hint="eastAsia" w:ascii="宋体" w:hAnsi="宋体"/>
          <w:kern w:val="0"/>
          <w:sz w:val="24"/>
          <w:szCs w:val="24"/>
        </w:rPr>
        <w:tab/>
      </w:r>
      <w:r>
        <w:rPr>
          <w:rFonts w:hint="eastAsia" w:ascii="宋体" w:hAnsi="宋体"/>
          <w:kern w:val="0"/>
          <w:sz w:val="24"/>
          <w:szCs w:val="24"/>
        </w:rPr>
        <w:t>税　　号：</w:t>
      </w:r>
    </w:p>
    <w:p>
      <w:pPr>
        <w:spacing w:line="360" w:lineRule="auto"/>
        <w:ind w:firstLine="480" w:firstLineChars="200"/>
        <w:jc w:val="center"/>
        <w:rPr>
          <w:rFonts w:ascii="宋体" w:hAnsi="宋体"/>
          <w:kern w:val="0"/>
          <w:sz w:val="24"/>
          <w:szCs w:val="24"/>
        </w:rPr>
      </w:pPr>
    </w:p>
    <w:p>
      <w:pPr>
        <w:spacing w:line="360" w:lineRule="auto"/>
        <w:ind w:firstLine="480" w:firstLineChars="200"/>
        <w:jc w:val="center"/>
        <w:rPr>
          <w:rFonts w:ascii="宋体" w:hAnsi="宋体"/>
          <w:kern w:val="0"/>
          <w:sz w:val="24"/>
          <w:szCs w:val="24"/>
        </w:rPr>
      </w:pPr>
    </w:p>
    <w:p>
      <w:pPr>
        <w:spacing w:line="360" w:lineRule="auto"/>
        <w:ind w:firstLine="480" w:firstLineChars="200"/>
        <w:jc w:val="center"/>
        <w:rPr>
          <w:rFonts w:ascii="宋体" w:hAnsi="宋体"/>
          <w:kern w:val="0"/>
          <w:sz w:val="24"/>
          <w:szCs w:val="24"/>
        </w:rPr>
      </w:pPr>
    </w:p>
    <w:p>
      <w:pPr>
        <w:pStyle w:val="2"/>
        <w:rPr>
          <w:rFonts w:ascii="宋体" w:hAnsi="宋体"/>
          <w:kern w:val="0"/>
          <w:sz w:val="24"/>
          <w:szCs w:val="24"/>
        </w:rPr>
      </w:pPr>
    </w:p>
    <w:p>
      <w:pPr>
        <w:rPr>
          <w:rFonts w:ascii="宋体" w:hAnsi="宋体"/>
          <w:kern w:val="0"/>
          <w:sz w:val="24"/>
          <w:szCs w:val="24"/>
        </w:rPr>
      </w:pPr>
    </w:p>
    <w:p>
      <w:pPr>
        <w:pStyle w:val="2"/>
        <w:rPr>
          <w:rFonts w:ascii="宋体" w:hAnsi="宋体"/>
          <w:kern w:val="0"/>
          <w:sz w:val="24"/>
          <w:szCs w:val="24"/>
        </w:rPr>
      </w:pPr>
    </w:p>
    <w:p>
      <w:pPr>
        <w:rPr>
          <w:rFonts w:ascii="宋体" w:hAnsi="宋体"/>
          <w:kern w:val="0"/>
          <w:sz w:val="24"/>
          <w:szCs w:val="24"/>
        </w:rPr>
      </w:pPr>
    </w:p>
    <w:p>
      <w:pPr>
        <w:pStyle w:val="2"/>
        <w:rPr>
          <w:rFonts w:ascii="宋体" w:hAnsi="宋体"/>
          <w:kern w:val="0"/>
          <w:sz w:val="24"/>
          <w:szCs w:val="24"/>
        </w:rPr>
      </w:pPr>
    </w:p>
    <w:p>
      <w:pPr>
        <w:rPr>
          <w:rFonts w:ascii="宋体" w:hAnsi="宋体"/>
          <w:kern w:val="0"/>
          <w:sz w:val="24"/>
          <w:szCs w:val="24"/>
        </w:rPr>
      </w:pPr>
    </w:p>
    <w:p>
      <w:pPr>
        <w:pStyle w:val="2"/>
        <w:rPr>
          <w:rFonts w:ascii="宋体" w:hAnsi="宋体"/>
          <w:kern w:val="0"/>
          <w:sz w:val="24"/>
          <w:szCs w:val="24"/>
        </w:rPr>
      </w:pPr>
    </w:p>
    <w:p>
      <w:pPr>
        <w:rPr>
          <w:rFonts w:ascii="宋体" w:hAnsi="宋体"/>
          <w:kern w:val="0"/>
          <w:sz w:val="24"/>
          <w:szCs w:val="24"/>
        </w:rPr>
      </w:pPr>
    </w:p>
    <w:p>
      <w:pPr>
        <w:pStyle w:val="2"/>
        <w:rPr>
          <w:rFonts w:ascii="宋体" w:hAnsi="宋体"/>
          <w:kern w:val="0"/>
          <w:sz w:val="24"/>
          <w:szCs w:val="24"/>
        </w:rPr>
      </w:pPr>
    </w:p>
    <w:p>
      <w:pPr>
        <w:rPr>
          <w:rFonts w:ascii="宋体" w:hAnsi="宋体"/>
          <w:kern w:val="0"/>
          <w:sz w:val="24"/>
          <w:szCs w:val="24"/>
        </w:rPr>
      </w:pPr>
    </w:p>
    <w:p>
      <w:pPr>
        <w:pStyle w:val="2"/>
      </w:pPr>
    </w:p>
    <w:p>
      <w:pPr>
        <w:pStyle w:val="5"/>
        <w:ind w:firstLine="723"/>
        <w:jc w:val="center"/>
        <w:rPr>
          <w:rFonts w:ascii="宋体" w:hAnsi="宋体"/>
          <w:b/>
          <w:bCs/>
          <w:kern w:val="0"/>
          <w:sz w:val="36"/>
          <w:szCs w:val="36"/>
        </w:rPr>
      </w:pPr>
    </w:p>
    <w:p>
      <w:pPr>
        <w:pStyle w:val="5"/>
        <w:ind w:firstLine="0" w:firstLineChars="0"/>
        <w:jc w:val="center"/>
        <w:outlineLvl w:val="0"/>
      </w:pPr>
      <w:r>
        <w:rPr>
          <w:rFonts w:hint="eastAsia" w:ascii="宋体" w:hAnsi="宋体"/>
          <w:b/>
          <w:bCs/>
          <w:kern w:val="0"/>
          <w:sz w:val="36"/>
          <w:szCs w:val="36"/>
        </w:rPr>
        <w:t>第四章    评审方法</w:t>
      </w:r>
    </w:p>
    <w:p>
      <w:pPr>
        <w:pStyle w:val="16"/>
        <w:ind w:left="0" w:leftChars="0"/>
      </w:pPr>
      <w:r>
        <w:rPr>
          <w:rFonts w:hint="eastAsia" w:ascii="宋体" w:hAnsi="宋体"/>
          <w:sz w:val="24"/>
          <w:szCs w:val="24"/>
        </w:rPr>
        <w:t>本次采购评标采用综合评分法，满分为100分。</w:t>
      </w:r>
    </w:p>
    <w:p>
      <w:pPr>
        <w:pStyle w:val="55"/>
        <w:tabs>
          <w:tab w:val="left" w:pos="791"/>
        </w:tabs>
        <w:spacing w:before="0" w:after="52"/>
        <w:ind w:firstLine="0"/>
        <w:rPr>
          <w:rFonts w:ascii="宋体" w:hAnsi="宋体"/>
          <w:b/>
          <w:bCs/>
          <w:sz w:val="24"/>
          <w:szCs w:val="24"/>
        </w:rPr>
      </w:pPr>
      <w:r>
        <w:rPr>
          <w:rFonts w:hint="eastAsia" w:ascii="宋体" w:hAnsi="宋体"/>
          <w:b/>
          <w:bCs/>
          <w:sz w:val="24"/>
          <w:szCs w:val="24"/>
        </w:rPr>
        <w:t>一、符合性审查标准如下：</w:t>
      </w:r>
    </w:p>
    <w:tbl>
      <w:tblPr>
        <w:tblStyle w:val="24"/>
        <w:tblW w:w="9826"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7"/>
        <w:gridCol w:w="8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87" w:type="dxa"/>
          </w:tcPr>
          <w:p>
            <w:pPr>
              <w:pStyle w:val="56"/>
              <w:spacing w:before="153"/>
              <w:ind w:left="526" w:right="399"/>
              <w:jc w:val="center"/>
              <w:rPr>
                <w:sz w:val="24"/>
                <w:szCs w:val="24"/>
              </w:rPr>
            </w:pPr>
            <w:r>
              <w:rPr>
                <w:rFonts w:hint="eastAsia"/>
                <w:sz w:val="24"/>
                <w:szCs w:val="24"/>
              </w:rPr>
              <w:t>序号</w:t>
            </w:r>
          </w:p>
        </w:tc>
        <w:tc>
          <w:tcPr>
            <w:tcW w:w="8539" w:type="dxa"/>
          </w:tcPr>
          <w:p>
            <w:pPr>
              <w:pStyle w:val="56"/>
              <w:spacing w:before="153"/>
              <w:ind w:left="3814" w:right="3685"/>
              <w:jc w:val="center"/>
              <w:rPr>
                <w:sz w:val="24"/>
                <w:szCs w:val="24"/>
              </w:rPr>
            </w:pPr>
            <w:r>
              <w:rPr>
                <w:rFonts w:hint="eastAsia"/>
                <w:sz w:val="24"/>
                <w:szCs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87" w:type="dxa"/>
          </w:tcPr>
          <w:p>
            <w:pPr>
              <w:pStyle w:val="56"/>
              <w:spacing w:before="153"/>
              <w:ind w:left="526" w:right="399"/>
              <w:jc w:val="center"/>
              <w:rPr>
                <w:sz w:val="24"/>
                <w:szCs w:val="24"/>
              </w:rPr>
            </w:pPr>
            <w:r>
              <w:rPr>
                <w:sz w:val="24"/>
                <w:szCs w:val="24"/>
              </w:rPr>
              <w:t xml:space="preserve">1 </w:t>
            </w:r>
          </w:p>
        </w:tc>
        <w:tc>
          <w:tcPr>
            <w:tcW w:w="8539" w:type="dxa"/>
          </w:tcPr>
          <w:p>
            <w:pPr>
              <w:pStyle w:val="56"/>
              <w:spacing w:before="153"/>
              <w:ind w:left="107"/>
              <w:rPr>
                <w:sz w:val="24"/>
                <w:szCs w:val="24"/>
              </w:rPr>
            </w:pPr>
            <w:r>
              <w:rPr>
                <w:rFonts w:hint="eastAsia"/>
                <w:sz w:val="24"/>
                <w:szCs w:val="24"/>
              </w:rPr>
              <w:t>投标文件是否有供应商法定代表人或其授权代表人签章和加盖供应商公章；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7" w:type="dxa"/>
          </w:tcPr>
          <w:p>
            <w:pPr>
              <w:pStyle w:val="56"/>
              <w:spacing w:before="153"/>
              <w:ind w:left="526" w:right="399"/>
              <w:jc w:val="center"/>
              <w:rPr>
                <w:sz w:val="24"/>
                <w:szCs w:val="24"/>
              </w:rPr>
            </w:pPr>
            <w:r>
              <w:rPr>
                <w:sz w:val="24"/>
                <w:szCs w:val="24"/>
              </w:rPr>
              <w:t xml:space="preserve">2 </w:t>
            </w:r>
          </w:p>
        </w:tc>
        <w:tc>
          <w:tcPr>
            <w:tcW w:w="8539" w:type="dxa"/>
          </w:tcPr>
          <w:p>
            <w:pPr>
              <w:pStyle w:val="56"/>
              <w:spacing w:before="153"/>
              <w:ind w:left="107"/>
              <w:rPr>
                <w:sz w:val="24"/>
                <w:szCs w:val="24"/>
              </w:rPr>
            </w:pPr>
            <w:r>
              <w:rPr>
                <w:rFonts w:hint="eastAsia"/>
                <w:sz w:val="24"/>
                <w:szCs w:val="24"/>
              </w:rPr>
              <w:t>投标保证金是否按招标文件要求缴纳；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87" w:type="dxa"/>
          </w:tcPr>
          <w:p>
            <w:pPr>
              <w:pStyle w:val="56"/>
              <w:spacing w:before="153"/>
              <w:ind w:left="526" w:right="399"/>
              <w:jc w:val="center"/>
              <w:rPr>
                <w:sz w:val="24"/>
                <w:szCs w:val="24"/>
              </w:rPr>
            </w:pPr>
            <w:r>
              <w:rPr>
                <w:sz w:val="24"/>
                <w:szCs w:val="24"/>
              </w:rPr>
              <w:t xml:space="preserve">3 </w:t>
            </w:r>
          </w:p>
        </w:tc>
        <w:tc>
          <w:tcPr>
            <w:tcW w:w="8539" w:type="dxa"/>
          </w:tcPr>
          <w:p>
            <w:pPr>
              <w:pStyle w:val="56"/>
              <w:spacing w:before="153"/>
              <w:ind w:left="107"/>
              <w:rPr>
                <w:sz w:val="24"/>
                <w:szCs w:val="24"/>
              </w:rPr>
            </w:pPr>
            <w:r>
              <w:rPr>
                <w:rFonts w:hint="eastAsia"/>
                <w:sz w:val="24"/>
                <w:szCs w:val="24"/>
              </w:rPr>
              <w:t>投标文件是否按招标文件内容不存在不全或字迹模糊、辨认不清的；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87" w:type="dxa"/>
          </w:tcPr>
          <w:p>
            <w:pPr>
              <w:pStyle w:val="56"/>
              <w:spacing w:before="153"/>
              <w:ind w:left="526" w:right="399"/>
              <w:jc w:val="center"/>
              <w:rPr>
                <w:sz w:val="24"/>
                <w:szCs w:val="24"/>
              </w:rPr>
            </w:pPr>
            <w:r>
              <w:rPr>
                <w:sz w:val="24"/>
                <w:szCs w:val="24"/>
              </w:rPr>
              <w:t>4</w:t>
            </w:r>
          </w:p>
        </w:tc>
        <w:tc>
          <w:tcPr>
            <w:tcW w:w="8539" w:type="dxa"/>
          </w:tcPr>
          <w:p>
            <w:pPr>
              <w:pStyle w:val="56"/>
              <w:spacing w:before="153"/>
              <w:ind w:left="107"/>
              <w:rPr>
                <w:sz w:val="24"/>
                <w:szCs w:val="24"/>
              </w:rPr>
            </w:pPr>
            <w:r>
              <w:rPr>
                <w:rFonts w:hint="eastAsia"/>
                <w:sz w:val="24"/>
                <w:szCs w:val="24"/>
              </w:rPr>
              <w:t>投标报价未超出本次项目预算。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7" w:type="dxa"/>
          </w:tcPr>
          <w:p>
            <w:pPr>
              <w:pStyle w:val="56"/>
              <w:spacing w:before="153"/>
              <w:ind w:left="526" w:right="399"/>
              <w:jc w:val="center"/>
              <w:rPr>
                <w:sz w:val="24"/>
                <w:szCs w:val="24"/>
              </w:rPr>
            </w:pPr>
            <w:r>
              <w:rPr>
                <w:sz w:val="24"/>
                <w:szCs w:val="24"/>
              </w:rPr>
              <w:t>5</w:t>
            </w:r>
          </w:p>
        </w:tc>
        <w:tc>
          <w:tcPr>
            <w:tcW w:w="8539" w:type="dxa"/>
          </w:tcPr>
          <w:p>
            <w:pPr>
              <w:pStyle w:val="56"/>
              <w:spacing w:before="153"/>
              <w:ind w:left="107"/>
              <w:rPr>
                <w:sz w:val="24"/>
                <w:szCs w:val="24"/>
              </w:rPr>
            </w:pPr>
            <w:r>
              <w:rPr>
                <w:rFonts w:hint="eastAsia"/>
                <w:sz w:val="24"/>
                <w:szCs w:val="24"/>
              </w:rPr>
              <w:t>投标文件封面右上角必须注明“正本”或“副本”字样。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87" w:type="dxa"/>
          </w:tcPr>
          <w:p>
            <w:pPr>
              <w:pStyle w:val="56"/>
              <w:spacing w:before="153"/>
              <w:ind w:left="526" w:right="399"/>
              <w:jc w:val="center"/>
              <w:rPr>
                <w:sz w:val="24"/>
                <w:szCs w:val="24"/>
              </w:rPr>
            </w:pPr>
            <w:r>
              <w:rPr>
                <w:sz w:val="24"/>
                <w:szCs w:val="24"/>
              </w:rPr>
              <w:t>6</w:t>
            </w:r>
          </w:p>
        </w:tc>
        <w:tc>
          <w:tcPr>
            <w:tcW w:w="8539" w:type="dxa"/>
          </w:tcPr>
          <w:p>
            <w:pPr>
              <w:pStyle w:val="56"/>
              <w:spacing w:before="153"/>
              <w:ind w:left="107"/>
              <w:rPr>
                <w:sz w:val="24"/>
                <w:szCs w:val="24"/>
              </w:rPr>
            </w:pPr>
            <w:r>
              <w:rPr>
                <w:rFonts w:hint="eastAsia"/>
                <w:sz w:val="24"/>
                <w:szCs w:val="24"/>
              </w:rPr>
              <w:t>投标文件中无采购人不能接受的条件。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9826" w:type="dxa"/>
            <w:gridSpan w:val="2"/>
          </w:tcPr>
          <w:p>
            <w:pPr>
              <w:pStyle w:val="56"/>
              <w:spacing w:before="153"/>
              <w:ind w:left="107"/>
              <w:rPr>
                <w:sz w:val="24"/>
                <w:szCs w:val="24"/>
              </w:rPr>
            </w:pPr>
            <w:r>
              <w:rPr>
                <w:rFonts w:hint="eastAsia"/>
                <w:sz w:val="24"/>
                <w:szCs w:val="24"/>
              </w:rPr>
              <w:t>注：投标文件有不符合上述情形之一的，作废标处理。出现重大偏差的标记“×”，没有出现重大偏差的标记“√”。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9826" w:type="dxa"/>
            <w:gridSpan w:val="2"/>
          </w:tcPr>
          <w:p>
            <w:pPr>
              <w:pStyle w:val="56"/>
              <w:spacing w:before="153"/>
              <w:ind w:left="107"/>
              <w:rPr>
                <w:sz w:val="24"/>
                <w:szCs w:val="24"/>
              </w:rPr>
            </w:pPr>
            <w:r>
              <w:rPr>
                <w:rFonts w:hint="eastAsia"/>
                <w:sz w:val="24"/>
                <w:szCs w:val="24"/>
              </w:rPr>
              <w:t>通过符合性审查的供应商方可进入技术评审。</w:t>
            </w:r>
          </w:p>
        </w:tc>
      </w:tr>
    </w:tbl>
    <w:p>
      <w:pPr>
        <w:pStyle w:val="9"/>
        <w:spacing w:before="46" w:line="316" w:lineRule="auto"/>
        <w:ind w:right="156"/>
        <w:rPr>
          <w:rFonts w:ascii="宋体" w:hAnsi="宋体"/>
          <w:b/>
          <w:bCs/>
          <w:szCs w:val="24"/>
        </w:rPr>
      </w:pPr>
      <w:r>
        <w:rPr>
          <w:rFonts w:hint="eastAsia" w:ascii="宋体" w:hAnsi="宋体"/>
          <w:b/>
          <w:bCs/>
          <w:szCs w:val="24"/>
        </w:rPr>
        <w:t>二、价格部分30 分</w:t>
      </w:r>
    </w:p>
    <w:p>
      <w:pPr>
        <w:numPr>
          <w:ilvl w:val="0"/>
          <w:numId w:val="0"/>
        </w:numPr>
        <w:spacing w:before="45" w:line="292" w:lineRule="auto"/>
        <w:ind w:right="156" w:right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价格得分的评分方法：采用低价优先法计算，即满足采购文件要求且投标价格最低的投标报价为评标基准价，其价格得分为满分。其他供应商的价格得分统一按照下列公式计算：价格得分=（评标基准价/投标报价）×30%×100，如此类推，算出所有投标供应商的价格得分。</w:t>
      </w:r>
      <w:bookmarkStart w:id="45" w:name="_Toc351203652"/>
      <w:r>
        <w:rPr>
          <w:rFonts w:hint="eastAsia" w:ascii="Times New Roman" w:hAnsi="Times New Roman" w:eastAsia="宋体" w:cs="Times New Roman"/>
          <w:kern w:val="2"/>
          <w:sz w:val="24"/>
          <w:szCs w:val="24"/>
          <w:lang w:val="en-US" w:eastAsia="zh-CN" w:bidi="ar-SA"/>
        </w:rPr>
        <w:t>注：（1）如供应商为残疾人福利性单位或中小企业（含监狱企业），需提供《中小企业声明函》，对残疾人福利性单位及小型和微型企业产品的价格给予 6%的扣除，用扣除后的价格参与评审。残疾人福利性单位属于中型小型、微型企业的，不重复享受政策。</w:t>
      </w:r>
    </w:p>
    <w:p>
      <w:pPr>
        <w:numPr>
          <w:ilvl w:val="0"/>
          <w:numId w:val="0"/>
        </w:numPr>
        <w:spacing w:before="45" w:line="292" w:lineRule="auto"/>
        <w:ind w:right="156" w:rightChars="0"/>
        <w:rPr>
          <w:b/>
          <w:sz w:val="24"/>
        </w:rPr>
      </w:pPr>
      <w:r>
        <w:rPr>
          <w:rFonts w:hint="eastAsia" w:ascii="Times New Roman" w:hAnsi="Times New Roman" w:eastAsia="宋体" w:cs="Times New Roman"/>
          <w:kern w:val="2"/>
          <w:sz w:val="24"/>
          <w:szCs w:val="24"/>
          <w:lang w:val="en-US" w:eastAsia="zh-CN" w:bidi="ar-SA"/>
        </w:rPr>
        <w:t>（2）加分项：供应商所投产品如涉及环保节能产品将在 2分之内（包括 2分）给予加分。</w:t>
      </w:r>
      <w:r>
        <w:rPr>
          <w:rFonts w:hint="eastAsia"/>
          <w:b/>
          <w:sz w:val="24"/>
          <w:lang w:val="en-US" w:eastAsia="zh-CN"/>
        </w:rPr>
        <w:t>三</w:t>
      </w:r>
      <w:r>
        <w:rPr>
          <w:b/>
          <w:sz w:val="24"/>
        </w:rPr>
        <w:t>、技术部分（</w:t>
      </w:r>
      <w:r>
        <w:rPr>
          <w:rFonts w:hint="eastAsia" w:ascii="Arial" w:eastAsia="宋体"/>
          <w:b/>
          <w:sz w:val="24"/>
          <w:lang w:val="en-US" w:eastAsia="zh-CN"/>
        </w:rPr>
        <w:t>7</w:t>
      </w:r>
      <w:r>
        <w:rPr>
          <w:rFonts w:ascii="Arial" w:eastAsia="Arial"/>
          <w:b/>
          <w:sz w:val="24"/>
        </w:rPr>
        <w:t>0</w:t>
      </w:r>
      <w:r>
        <w:rPr>
          <w:b/>
          <w:sz w:val="24"/>
        </w:rPr>
        <w:t>分）</w:t>
      </w:r>
    </w:p>
    <w:tbl>
      <w:tblPr>
        <w:tblStyle w:val="24"/>
        <w:tblW w:w="9935"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850"/>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587" w:type="dxa"/>
            <w:vMerge w:val="restart"/>
            <w:vAlign w:val="center"/>
          </w:tcPr>
          <w:p>
            <w:pPr>
              <w:pStyle w:val="55"/>
              <w:numPr>
                <w:ilvl w:val="0"/>
                <w:numId w:val="10"/>
              </w:numPr>
              <w:tabs>
                <w:tab w:val="left" w:pos="851"/>
              </w:tabs>
              <w:spacing w:before="102" w:line="319" w:lineRule="auto"/>
              <w:ind w:right="279"/>
              <w:jc w:val="both"/>
              <w:rPr>
                <w:rFonts w:hint="eastAsia"/>
                <w:spacing w:val="-1"/>
                <w:sz w:val="24"/>
                <w:lang w:val="zh-CN" w:eastAsia="zh-CN"/>
              </w:rPr>
            </w:pPr>
            <w:r>
              <w:rPr>
                <w:rFonts w:hint="eastAsia"/>
                <w:spacing w:val="-1"/>
                <w:sz w:val="24"/>
                <w:lang w:val="zh-CN" w:eastAsia="zh-CN"/>
              </w:rPr>
              <w:t>技术因素</w:t>
            </w:r>
          </w:p>
          <w:p>
            <w:pPr>
              <w:pStyle w:val="55"/>
              <w:tabs>
                <w:tab w:val="left" w:pos="851"/>
              </w:tabs>
              <w:spacing w:before="102" w:line="319" w:lineRule="auto"/>
              <w:ind w:right="279"/>
              <w:jc w:val="center"/>
              <w:rPr>
                <w:rFonts w:hint="eastAsia"/>
                <w:spacing w:val="-1"/>
                <w:sz w:val="24"/>
                <w:lang w:val="zh-CN" w:eastAsia="zh-CN"/>
              </w:rPr>
            </w:pPr>
            <w:r>
              <w:rPr>
                <w:rFonts w:hint="eastAsia"/>
                <w:spacing w:val="-1"/>
                <w:sz w:val="24"/>
                <w:lang w:val="zh-CN" w:eastAsia="zh-CN"/>
              </w:rPr>
              <w:t>（50分）</w:t>
            </w:r>
          </w:p>
        </w:tc>
        <w:tc>
          <w:tcPr>
            <w:tcW w:w="1850"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技术符合程度(30分)</w:t>
            </w:r>
          </w:p>
        </w:tc>
        <w:tc>
          <w:tcPr>
            <w:tcW w:w="6498"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所投产品性能指标、商务要求完全满足、无负偏离并优于招标文件指标得26-30分；所投产品性能指标完全满足招标文件指标，无负偏离得25分；所投产品性能指标低于要求出现负偏离的一项指标扣</w:t>
            </w:r>
            <w:r>
              <w:rPr>
                <w:rFonts w:hint="eastAsia"/>
                <w:spacing w:val="-1"/>
                <w:sz w:val="24"/>
                <w:lang w:val="en-US" w:eastAsia="zh-CN"/>
              </w:rPr>
              <w:t>2.5</w:t>
            </w:r>
            <w:r>
              <w:rPr>
                <w:rFonts w:hint="eastAsia"/>
                <w:spacing w:val="-1"/>
                <w:sz w:val="24"/>
                <w:lang w:val="zh-CN" w:eastAsia="zh-CN"/>
              </w:rPr>
              <w:t xml:space="preserve">分，产品技术参数带“*”的出现负偏离一项扣5分（基准分25分，最低得分0分）。   </w:t>
            </w:r>
          </w:p>
          <w:p>
            <w:pPr>
              <w:pStyle w:val="55"/>
              <w:tabs>
                <w:tab w:val="left" w:pos="851"/>
              </w:tabs>
              <w:spacing w:before="102" w:line="319" w:lineRule="auto"/>
              <w:ind w:right="279" w:firstLine="0"/>
              <w:jc w:val="both"/>
              <w:rPr>
                <w:rFonts w:hint="eastAsia"/>
                <w:spacing w:val="-1"/>
                <w:sz w:val="24"/>
                <w:lang w:val="zh-CN" w:eastAsia="zh-CN"/>
              </w:rPr>
            </w:pPr>
            <w:r>
              <w:rPr>
                <w:rFonts w:hint="eastAsia"/>
                <w:color w:val="FF0000"/>
                <w:spacing w:val="-1"/>
                <w:sz w:val="24"/>
                <w:lang w:val="zh-CN" w:eastAsia="zh-CN"/>
              </w:rPr>
              <w:t>（说明：以投标人提供响应招标文件的国家法定检测机构出具的关于本次招标主要产品的检测报告中的检测结果数据及产品官方宣传彩页、产品说明书及相关体系证书、商务要求是否响应符合；根据以上提供相关证明材料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87" w:type="dxa"/>
            <w:vMerge w:val="continue"/>
            <w:vAlign w:val="center"/>
          </w:tcPr>
          <w:p>
            <w:pPr>
              <w:pStyle w:val="55"/>
              <w:tabs>
                <w:tab w:val="left" w:pos="851"/>
              </w:tabs>
              <w:spacing w:before="102" w:line="319" w:lineRule="auto"/>
              <w:ind w:right="279" w:firstLine="0"/>
              <w:jc w:val="both"/>
              <w:rPr>
                <w:rFonts w:hint="eastAsia"/>
                <w:spacing w:val="-1"/>
                <w:sz w:val="24"/>
                <w:lang w:val="zh-CN" w:eastAsia="zh-CN"/>
              </w:rPr>
            </w:pPr>
          </w:p>
        </w:tc>
        <w:tc>
          <w:tcPr>
            <w:tcW w:w="1850"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技术先进性(6分)</w:t>
            </w:r>
          </w:p>
        </w:tc>
        <w:tc>
          <w:tcPr>
            <w:tcW w:w="6498"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en-US" w:eastAsia="zh-CN"/>
              </w:rPr>
              <w:t>产品性能综合评价优秀的5-6分，综合评价良 3-4 分，综合评价一般 0-2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87" w:type="dxa"/>
            <w:vMerge w:val="continue"/>
            <w:vAlign w:val="center"/>
          </w:tcPr>
          <w:p>
            <w:pPr>
              <w:pStyle w:val="55"/>
              <w:tabs>
                <w:tab w:val="left" w:pos="851"/>
              </w:tabs>
              <w:spacing w:before="102" w:line="319" w:lineRule="auto"/>
              <w:ind w:right="279" w:firstLine="0"/>
              <w:jc w:val="both"/>
              <w:rPr>
                <w:rFonts w:hint="eastAsia"/>
                <w:spacing w:val="-1"/>
                <w:sz w:val="24"/>
                <w:lang w:val="zh-CN" w:eastAsia="zh-CN"/>
              </w:rPr>
            </w:pPr>
          </w:p>
        </w:tc>
        <w:tc>
          <w:tcPr>
            <w:tcW w:w="8348" w:type="dxa"/>
            <w:gridSpan w:val="2"/>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配置情况(</w:t>
            </w:r>
            <w:r>
              <w:rPr>
                <w:rFonts w:hint="eastAsia"/>
                <w:spacing w:val="-1"/>
                <w:sz w:val="24"/>
                <w:lang w:val="en-US" w:eastAsia="zh-CN"/>
              </w:rPr>
              <w:t>7</w:t>
            </w:r>
            <w:r>
              <w:rPr>
                <w:rFonts w:hint="eastAsia"/>
                <w:spacing w:val="-1"/>
                <w:sz w:val="24"/>
                <w:lang w:val="zh-CN" w:eastAsia="zh-CN"/>
              </w:rPr>
              <w:t>分)：以利于医院工作需要为前提，根据设备配置符合程度综合评判，高：不超过</w:t>
            </w:r>
            <w:r>
              <w:rPr>
                <w:rFonts w:hint="eastAsia"/>
                <w:spacing w:val="-1"/>
                <w:sz w:val="24"/>
                <w:lang w:val="en-US" w:eastAsia="zh-CN"/>
              </w:rPr>
              <w:t>7</w:t>
            </w:r>
            <w:r>
              <w:rPr>
                <w:rFonts w:hint="eastAsia"/>
                <w:spacing w:val="-1"/>
                <w:sz w:val="24"/>
                <w:lang w:val="zh-CN" w:eastAsia="zh-CN"/>
              </w:rPr>
              <w:t>分，中：3分，低：不得分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87" w:type="dxa"/>
            <w:vMerge w:val="continue"/>
            <w:vAlign w:val="center"/>
          </w:tcPr>
          <w:p>
            <w:pPr>
              <w:pStyle w:val="55"/>
              <w:tabs>
                <w:tab w:val="left" w:pos="851"/>
              </w:tabs>
              <w:spacing w:before="102" w:line="319" w:lineRule="auto"/>
              <w:ind w:right="279" w:firstLine="0"/>
              <w:jc w:val="both"/>
              <w:rPr>
                <w:rFonts w:hint="eastAsia"/>
                <w:spacing w:val="-1"/>
                <w:sz w:val="24"/>
                <w:lang w:val="zh-CN" w:eastAsia="zh-CN"/>
              </w:rPr>
            </w:pPr>
          </w:p>
        </w:tc>
        <w:tc>
          <w:tcPr>
            <w:tcW w:w="8348" w:type="dxa"/>
            <w:gridSpan w:val="2"/>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投标设备的可操作性(5分)，根据设备的操作是否方便评分，优得5分，良得2分，差不得分。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87" w:type="dxa"/>
            <w:vMerge w:val="continue"/>
            <w:vAlign w:val="center"/>
          </w:tcPr>
          <w:p>
            <w:pPr>
              <w:pStyle w:val="55"/>
              <w:tabs>
                <w:tab w:val="left" w:pos="851"/>
              </w:tabs>
              <w:spacing w:before="102" w:line="319" w:lineRule="auto"/>
              <w:ind w:right="279" w:firstLine="0"/>
              <w:jc w:val="both"/>
              <w:rPr>
                <w:rFonts w:hint="eastAsia"/>
                <w:spacing w:val="-1"/>
                <w:sz w:val="24"/>
                <w:lang w:val="zh-CN" w:eastAsia="zh-CN"/>
              </w:rPr>
            </w:pPr>
          </w:p>
        </w:tc>
        <w:tc>
          <w:tcPr>
            <w:tcW w:w="8348" w:type="dxa"/>
            <w:gridSpan w:val="2"/>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投标设备的运行成本(2分):低2分，中:1分，高:不得分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87" w:type="dxa"/>
            <w:vMerge w:val="restart"/>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三、商务因素</w:t>
            </w:r>
          </w:p>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（20分）</w:t>
            </w:r>
          </w:p>
        </w:tc>
        <w:tc>
          <w:tcPr>
            <w:tcW w:w="8348" w:type="dxa"/>
            <w:gridSpan w:val="2"/>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商务响应(</w:t>
            </w:r>
            <w:r>
              <w:rPr>
                <w:rFonts w:hint="eastAsia"/>
                <w:spacing w:val="-1"/>
                <w:sz w:val="24"/>
                <w:lang w:val="en-US" w:eastAsia="zh-CN"/>
              </w:rPr>
              <w:t>2</w:t>
            </w:r>
            <w:r>
              <w:rPr>
                <w:rFonts w:hint="eastAsia"/>
                <w:spacing w:val="-1"/>
                <w:sz w:val="24"/>
                <w:lang w:val="zh-CN" w:eastAsia="zh-CN"/>
              </w:rPr>
              <w:t>分)：每低于一项减</w:t>
            </w:r>
            <w:r>
              <w:rPr>
                <w:rFonts w:hint="eastAsia"/>
                <w:spacing w:val="-1"/>
                <w:sz w:val="24"/>
                <w:lang w:val="en-US" w:eastAsia="zh-CN"/>
              </w:rPr>
              <w:t>1</w:t>
            </w:r>
            <w:r>
              <w:rPr>
                <w:rFonts w:hint="eastAsia"/>
                <w:spacing w:val="-1"/>
                <w:sz w:val="24"/>
                <w:lang w:val="zh-CN" w:eastAsia="zh-CN"/>
              </w:rPr>
              <w:t>分，最高分为</w:t>
            </w:r>
            <w:r>
              <w:rPr>
                <w:rFonts w:hint="eastAsia"/>
                <w:spacing w:val="-1"/>
                <w:sz w:val="24"/>
                <w:lang w:val="en-US" w:eastAsia="zh-CN"/>
              </w:rPr>
              <w:t>2</w:t>
            </w:r>
            <w:r>
              <w:rPr>
                <w:rFonts w:hint="eastAsia"/>
                <w:spacing w:val="-1"/>
                <w:sz w:val="24"/>
                <w:lang w:val="zh-CN" w:eastAsia="zh-CN"/>
              </w:rPr>
              <w:t>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587" w:type="dxa"/>
            <w:vMerge w:val="continue"/>
            <w:vAlign w:val="top"/>
          </w:tcPr>
          <w:p>
            <w:pPr>
              <w:pStyle w:val="55"/>
              <w:tabs>
                <w:tab w:val="left" w:pos="851"/>
              </w:tabs>
              <w:spacing w:before="102" w:line="319" w:lineRule="auto"/>
              <w:ind w:right="279" w:firstLine="0"/>
              <w:jc w:val="both"/>
              <w:rPr>
                <w:rFonts w:hint="eastAsia"/>
                <w:spacing w:val="-1"/>
                <w:sz w:val="24"/>
                <w:lang w:val="zh-CN" w:eastAsia="zh-CN"/>
              </w:rPr>
            </w:pPr>
          </w:p>
        </w:tc>
        <w:tc>
          <w:tcPr>
            <w:tcW w:w="1850"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所投产品近三年有类似销售业绩(3分)</w:t>
            </w:r>
          </w:p>
        </w:tc>
        <w:tc>
          <w:tcPr>
            <w:tcW w:w="6498"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每提供</w:t>
            </w:r>
            <w:r>
              <w:rPr>
                <w:rFonts w:hint="eastAsia"/>
                <w:spacing w:val="-1"/>
                <w:sz w:val="24"/>
                <w:lang w:val="en-US" w:eastAsia="zh-CN"/>
              </w:rPr>
              <w:t>1项业绩得1分</w:t>
            </w:r>
            <w:r>
              <w:rPr>
                <w:rFonts w:hint="eastAsia"/>
                <w:spacing w:val="-1"/>
                <w:sz w:val="24"/>
                <w:lang w:val="zh-CN" w:eastAsia="zh-CN"/>
              </w:rPr>
              <w:t>，最多得</w:t>
            </w:r>
            <w:r>
              <w:rPr>
                <w:rFonts w:hint="eastAsia"/>
                <w:spacing w:val="-1"/>
                <w:sz w:val="24"/>
                <w:lang w:val="en-US" w:eastAsia="zh-CN"/>
              </w:rPr>
              <w:t>3分</w:t>
            </w:r>
            <w:r>
              <w:rPr>
                <w:rFonts w:hint="eastAsia"/>
                <w:spacing w:val="-1"/>
                <w:sz w:val="24"/>
                <w:lang w:val="zh-CN" w:eastAsia="zh-CN"/>
              </w:rPr>
              <w:t>。</w:t>
            </w:r>
            <w:r>
              <w:rPr>
                <w:rFonts w:hint="eastAsia"/>
                <w:spacing w:val="-1"/>
                <w:sz w:val="24"/>
                <w:lang w:val="en-US" w:eastAsia="zh-CN"/>
              </w:rPr>
              <w:t>(提供中标通知书复印件或合同复印件）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587" w:type="dxa"/>
            <w:vMerge w:val="continue"/>
            <w:vAlign w:val="top"/>
          </w:tcPr>
          <w:p>
            <w:pPr>
              <w:pStyle w:val="55"/>
              <w:tabs>
                <w:tab w:val="left" w:pos="851"/>
              </w:tabs>
              <w:spacing w:before="102" w:line="319" w:lineRule="auto"/>
              <w:ind w:right="279" w:firstLine="0"/>
              <w:jc w:val="both"/>
              <w:rPr>
                <w:rFonts w:hint="eastAsia"/>
                <w:spacing w:val="-1"/>
                <w:sz w:val="24"/>
                <w:lang w:val="zh-CN" w:eastAsia="zh-CN"/>
              </w:rPr>
            </w:pPr>
          </w:p>
        </w:tc>
        <w:tc>
          <w:tcPr>
            <w:tcW w:w="1850" w:type="dxa"/>
            <w:vMerge w:val="restart"/>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售后服务体系(1</w:t>
            </w:r>
            <w:r>
              <w:rPr>
                <w:rFonts w:hint="eastAsia"/>
                <w:spacing w:val="-1"/>
                <w:sz w:val="24"/>
                <w:lang w:val="en-US" w:eastAsia="zh-CN"/>
              </w:rPr>
              <w:t>5</w:t>
            </w:r>
            <w:r>
              <w:rPr>
                <w:rFonts w:hint="eastAsia"/>
                <w:spacing w:val="-1"/>
                <w:sz w:val="24"/>
                <w:lang w:val="zh-CN" w:eastAsia="zh-CN"/>
              </w:rPr>
              <w:t>分)</w:t>
            </w:r>
          </w:p>
        </w:tc>
        <w:tc>
          <w:tcPr>
            <w:tcW w:w="6498"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视企业承诺的工作方案、售后服务网点分布、技术全面性等方面进行评分。1、供应商须提供完善售后服务方案（</w:t>
            </w:r>
            <w:r>
              <w:rPr>
                <w:rFonts w:hint="eastAsia"/>
                <w:spacing w:val="-1"/>
                <w:sz w:val="24"/>
                <w:lang w:val="en-US" w:eastAsia="zh-CN"/>
              </w:rPr>
              <w:t>3</w:t>
            </w:r>
            <w:r>
              <w:rPr>
                <w:rFonts w:hint="eastAsia"/>
                <w:spacing w:val="-1"/>
                <w:sz w:val="24"/>
                <w:lang w:val="zh-CN" w:eastAsia="zh-CN"/>
              </w:rPr>
              <w:t>分）；2、供应商疆内有常驻售后服务网点及工程师（</w:t>
            </w:r>
            <w:r>
              <w:rPr>
                <w:rFonts w:hint="eastAsia"/>
                <w:spacing w:val="-1"/>
                <w:sz w:val="24"/>
                <w:lang w:val="en-US" w:eastAsia="zh-CN"/>
              </w:rPr>
              <w:t>3</w:t>
            </w:r>
            <w:r>
              <w:rPr>
                <w:rFonts w:hint="eastAsia"/>
                <w:spacing w:val="-1"/>
                <w:sz w:val="24"/>
                <w:lang w:val="zh-CN" w:eastAsia="zh-CN"/>
              </w:rPr>
              <w:t>分）；未提供证明材料不得分。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87" w:type="dxa"/>
            <w:vMerge w:val="continue"/>
            <w:vAlign w:val="top"/>
          </w:tcPr>
          <w:p>
            <w:pPr>
              <w:pStyle w:val="55"/>
              <w:tabs>
                <w:tab w:val="left" w:pos="851"/>
              </w:tabs>
              <w:spacing w:before="102" w:line="319" w:lineRule="auto"/>
              <w:ind w:right="279" w:firstLine="0"/>
              <w:jc w:val="both"/>
              <w:rPr>
                <w:rFonts w:hint="eastAsia"/>
                <w:spacing w:val="-1"/>
                <w:sz w:val="24"/>
                <w:lang w:val="zh-CN" w:eastAsia="zh-CN"/>
              </w:rPr>
            </w:pPr>
          </w:p>
        </w:tc>
        <w:tc>
          <w:tcPr>
            <w:tcW w:w="1850" w:type="dxa"/>
            <w:vMerge w:val="continue"/>
            <w:vAlign w:val="center"/>
          </w:tcPr>
          <w:p>
            <w:pPr>
              <w:pStyle w:val="55"/>
              <w:tabs>
                <w:tab w:val="left" w:pos="851"/>
              </w:tabs>
              <w:spacing w:before="102" w:line="319" w:lineRule="auto"/>
              <w:ind w:right="279" w:firstLine="0"/>
              <w:jc w:val="both"/>
              <w:rPr>
                <w:rFonts w:hint="eastAsia"/>
                <w:spacing w:val="-1"/>
                <w:sz w:val="24"/>
                <w:lang w:val="zh-CN" w:eastAsia="zh-CN"/>
              </w:rPr>
            </w:pPr>
          </w:p>
        </w:tc>
        <w:tc>
          <w:tcPr>
            <w:tcW w:w="6498"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维修响应时间：根据投标文件承诺及响应时间符合采购文件要求得（2分），否则不得分。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87" w:type="dxa"/>
            <w:vMerge w:val="continue"/>
            <w:vAlign w:val="top"/>
          </w:tcPr>
          <w:p>
            <w:pPr>
              <w:pStyle w:val="55"/>
              <w:tabs>
                <w:tab w:val="left" w:pos="851"/>
              </w:tabs>
              <w:spacing w:before="102" w:line="319" w:lineRule="auto"/>
              <w:ind w:right="279" w:firstLine="0"/>
              <w:jc w:val="both"/>
              <w:rPr>
                <w:rFonts w:hint="eastAsia"/>
                <w:spacing w:val="-1"/>
                <w:sz w:val="24"/>
                <w:lang w:val="zh-CN" w:eastAsia="zh-CN"/>
              </w:rPr>
            </w:pPr>
          </w:p>
        </w:tc>
        <w:tc>
          <w:tcPr>
            <w:tcW w:w="1850" w:type="dxa"/>
            <w:vMerge w:val="continue"/>
            <w:vAlign w:val="center"/>
          </w:tcPr>
          <w:p>
            <w:pPr>
              <w:pStyle w:val="55"/>
              <w:tabs>
                <w:tab w:val="left" w:pos="851"/>
              </w:tabs>
              <w:spacing w:before="102" w:line="319" w:lineRule="auto"/>
              <w:ind w:right="279" w:firstLine="0"/>
              <w:jc w:val="both"/>
              <w:rPr>
                <w:rFonts w:hint="eastAsia"/>
                <w:spacing w:val="-1"/>
                <w:sz w:val="24"/>
                <w:lang w:val="zh-CN" w:eastAsia="zh-CN"/>
              </w:rPr>
            </w:pPr>
          </w:p>
        </w:tc>
        <w:tc>
          <w:tcPr>
            <w:tcW w:w="6498"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维修能力：根据投标人提供证明维修能力的资料得（2分），未提供证明材料不得分。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587" w:type="dxa"/>
            <w:vMerge w:val="continue"/>
            <w:vAlign w:val="top"/>
          </w:tcPr>
          <w:p>
            <w:pPr>
              <w:pStyle w:val="55"/>
              <w:tabs>
                <w:tab w:val="left" w:pos="851"/>
              </w:tabs>
              <w:spacing w:before="102" w:line="319" w:lineRule="auto"/>
              <w:ind w:right="279" w:firstLine="0"/>
              <w:jc w:val="both"/>
              <w:rPr>
                <w:rFonts w:hint="eastAsia"/>
                <w:spacing w:val="-1"/>
                <w:sz w:val="24"/>
                <w:lang w:val="zh-CN" w:eastAsia="zh-CN"/>
              </w:rPr>
            </w:pPr>
          </w:p>
        </w:tc>
        <w:tc>
          <w:tcPr>
            <w:tcW w:w="1850" w:type="dxa"/>
            <w:vMerge w:val="continue"/>
            <w:vAlign w:val="center"/>
          </w:tcPr>
          <w:p>
            <w:pPr>
              <w:pStyle w:val="55"/>
              <w:tabs>
                <w:tab w:val="left" w:pos="851"/>
              </w:tabs>
              <w:spacing w:before="102" w:line="319" w:lineRule="auto"/>
              <w:ind w:right="279" w:firstLine="0"/>
              <w:jc w:val="both"/>
              <w:rPr>
                <w:rFonts w:hint="eastAsia"/>
                <w:spacing w:val="-1"/>
                <w:sz w:val="24"/>
                <w:lang w:val="zh-CN" w:eastAsia="zh-CN"/>
              </w:rPr>
            </w:pPr>
          </w:p>
        </w:tc>
        <w:tc>
          <w:tcPr>
            <w:tcW w:w="6498"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应急预案：由投标人根据医院实际情况提供相适应的方案，根据方案的合理性、适用性及可操作性进行评分。符合要求得：（</w:t>
            </w:r>
            <w:r>
              <w:rPr>
                <w:rFonts w:hint="eastAsia"/>
                <w:spacing w:val="-1"/>
                <w:sz w:val="24"/>
                <w:lang w:val="en-US" w:eastAsia="zh-CN"/>
              </w:rPr>
              <w:t>2</w:t>
            </w:r>
            <w:r>
              <w:rPr>
                <w:rFonts w:hint="eastAsia"/>
                <w:spacing w:val="-1"/>
                <w:sz w:val="24"/>
                <w:lang w:val="zh-CN" w:eastAsia="zh-CN"/>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87" w:type="dxa"/>
            <w:vMerge w:val="continue"/>
            <w:vAlign w:val="top"/>
          </w:tcPr>
          <w:p>
            <w:pPr>
              <w:pStyle w:val="55"/>
              <w:tabs>
                <w:tab w:val="left" w:pos="851"/>
              </w:tabs>
              <w:spacing w:before="102" w:line="319" w:lineRule="auto"/>
              <w:ind w:right="279" w:firstLine="0"/>
              <w:jc w:val="both"/>
              <w:rPr>
                <w:rFonts w:hint="eastAsia"/>
                <w:spacing w:val="-1"/>
                <w:sz w:val="24"/>
                <w:lang w:val="zh-CN" w:eastAsia="zh-CN"/>
              </w:rPr>
            </w:pPr>
          </w:p>
        </w:tc>
        <w:tc>
          <w:tcPr>
            <w:tcW w:w="1850" w:type="dxa"/>
            <w:vMerge w:val="continue"/>
            <w:vAlign w:val="center"/>
          </w:tcPr>
          <w:p>
            <w:pPr>
              <w:pStyle w:val="55"/>
              <w:tabs>
                <w:tab w:val="left" w:pos="851"/>
              </w:tabs>
              <w:spacing w:before="102" w:line="319" w:lineRule="auto"/>
              <w:ind w:right="279" w:firstLine="0"/>
              <w:jc w:val="both"/>
              <w:rPr>
                <w:rFonts w:hint="eastAsia"/>
                <w:spacing w:val="-1"/>
                <w:sz w:val="24"/>
                <w:lang w:val="zh-CN" w:eastAsia="zh-CN"/>
              </w:rPr>
            </w:pPr>
          </w:p>
        </w:tc>
        <w:tc>
          <w:tcPr>
            <w:tcW w:w="6498" w:type="dxa"/>
            <w:vAlign w:val="center"/>
          </w:tcPr>
          <w:p>
            <w:pPr>
              <w:pStyle w:val="55"/>
              <w:tabs>
                <w:tab w:val="left" w:pos="851"/>
              </w:tabs>
              <w:spacing w:before="102" w:line="319" w:lineRule="auto"/>
              <w:ind w:right="279" w:firstLine="0"/>
              <w:jc w:val="both"/>
              <w:rPr>
                <w:rFonts w:hint="eastAsia"/>
                <w:spacing w:val="-1"/>
                <w:sz w:val="24"/>
                <w:lang w:val="zh-CN" w:eastAsia="zh-CN"/>
              </w:rPr>
            </w:pPr>
            <w:r>
              <w:rPr>
                <w:rFonts w:hint="eastAsia"/>
                <w:spacing w:val="-1"/>
                <w:sz w:val="24"/>
                <w:lang w:val="zh-CN" w:eastAsia="zh-CN"/>
              </w:rPr>
              <w:t>培训方案，内容明确详尽，根据投标商提供的培训方案评分(</w:t>
            </w:r>
            <w:r>
              <w:rPr>
                <w:rFonts w:hint="eastAsia"/>
                <w:spacing w:val="-1"/>
                <w:sz w:val="24"/>
                <w:lang w:val="en-US" w:eastAsia="zh-CN"/>
              </w:rPr>
              <w:t>3</w:t>
            </w:r>
            <w:r>
              <w:rPr>
                <w:rFonts w:hint="eastAsia"/>
                <w:spacing w:val="-1"/>
                <w:sz w:val="24"/>
                <w:lang w:val="zh-CN" w:eastAsia="zh-CN"/>
              </w:rPr>
              <w:t>分)</w:t>
            </w:r>
          </w:p>
        </w:tc>
      </w:tr>
    </w:tbl>
    <w:p>
      <w:pPr>
        <w:pStyle w:val="9"/>
        <w:spacing w:before="8"/>
        <w:rPr>
          <w:sz w:val="29"/>
          <w:szCs w:val="29"/>
          <w:highlight w:val="yellow"/>
        </w:rPr>
      </w:pPr>
    </w:p>
    <w:p>
      <w:pPr>
        <w:pStyle w:val="59"/>
        <w:numPr>
          <w:ilvl w:val="0"/>
          <w:numId w:val="0"/>
        </w:numPr>
        <w:tabs>
          <w:tab w:val="left" w:pos="771"/>
        </w:tabs>
        <w:spacing w:before="49"/>
        <w:ind w:leftChars="200"/>
        <w:rPr>
          <w:rFonts w:hint="eastAsia"/>
          <w:sz w:val="24"/>
          <w:lang w:eastAsia="zh-CN"/>
        </w:rPr>
      </w:pPr>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widowControl/>
        <w:numPr>
          <w:ilvl w:val="0"/>
          <w:numId w:val="11"/>
        </w:numPr>
        <w:jc w:val="center"/>
        <w:outlineLvl w:val="0"/>
        <w:rPr>
          <w:rFonts w:ascii="宋体" w:hAnsi="宋体"/>
          <w:b/>
          <w:sz w:val="32"/>
          <w:szCs w:val="32"/>
        </w:rPr>
      </w:pPr>
      <w:r>
        <w:rPr>
          <w:rFonts w:hint="eastAsia" w:ascii="宋体" w:hAnsi="宋体"/>
          <w:b/>
          <w:sz w:val="32"/>
          <w:szCs w:val="32"/>
        </w:rPr>
        <w:t>产品参数要求</w:t>
      </w:r>
    </w:p>
    <w:p>
      <w:pPr>
        <w:spacing w:after="240"/>
        <w:jc w:val="center"/>
        <w:rPr>
          <w:rFonts w:ascii="宋体" w:hAnsi="宋体"/>
          <w:b/>
          <w:bCs/>
          <w:sz w:val="32"/>
          <w:szCs w:val="32"/>
        </w:rPr>
      </w:pPr>
      <w:r>
        <w:rPr>
          <w:rFonts w:hint="eastAsia" w:ascii="宋体" w:hAnsi="宋体"/>
          <w:b/>
          <w:bCs/>
          <w:sz w:val="32"/>
          <w:szCs w:val="32"/>
        </w:rPr>
        <w:t>全自动生化分析仪招标参数</w:t>
      </w:r>
    </w:p>
    <w:p>
      <w:pPr>
        <w:rPr>
          <w:rFonts w:hint="eastAsia" w:ascii="宋体" w:hAnsi="宋体"/>
          <w:sz w:val="24"/>
        </w:rPr>
      </w:pPr>
      <w:r>
        <w:rPr>
          <w:rFonts w:hint="eastAsia" w:ascii="宋体" w:hAnsi="宋体"/>
          <w:sz w:val="24"/>
        </w:rPr>
        <w:t>设备名称：全自动生化分析仪（要求原装进口）</w:t>
      </w:r>
    </w:p>
    <w:tbl>
      <w:tblPr>
        <w:tblStyle w:val="24"/>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*处理速度：800测试/小时（不含ISE）1200测试/小时（含ISE）试剂</w:t>
            </w:r>
            <w:r>
              <w:rPr>
                <w:rFonts w:ascii="宋体" w:hAnsi="宋体"/>
                <w:sz w:val="24"/>
              </w:rPr>
              <w:t>完全开放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同时测定项目数：最大</w:t>
            </w:r>
            <w:r>
              <w:rPr>
                <w:rFonts w:ascii="宋体" w:hAnsi="宋体"/>
                <w:sz w:val="24"/>
              </w:rPr>
              <w:t>90</w:t>
            </w:r>
            <w:r>
              <w:rPr>
                <w:rFonts w:hint="eastAsia" w:ascii="宋体" w:hAns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使用范围：可进行常规生化（肝功、肾功、心肌酶谱、电解质、血脂等）；免疫（免疫球蛋白、肿瘤标志物等）；治疗药物监测（地高辛、茶碱等）测定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*分析方法 ：1点终点法；2点终点法；多点终点法；普通速率法;线性扩展速率法；最大速率法；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样品量 1.5─ 35.0μl（0.1μl步进）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试剂量：20－270μl（1μl步进）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 xml:space="preserve">反应液体积 </w:t>
            </w:r>
            <w:r>
              <w:rPr>
                <w:rFonts w:ascii="宋体" w:hAnsi="宋体"/>
                <w:sz w:val="24"/>
              </w:rPr>
              <w:t>120</w:t>
            </w:r>
            <w:r>
              <w:rPr>
                <w:rFonts w:hint="eastAsia" w:ascii="宋体" w:hAnsi="宋体"/>
                <w:sz w:val="24"/>
              </w:rPr>
              <w:t>─ 360μl,最小体积为</w:t>
            </w:r>
            <w:r>
              <w:rPr>
                <w:rFonts w:ascii="宋体" w:hAnsi="宋体"/>
                <w:sz w:val="24"/>
              </w:rPr>
              <w:t>120</w:t>
            </w:r>
            <w:r>
              <w:rPr>
                <w:rFonts w:hint="eastAsia" w:ascii="宋体" w:hAnsi="宋体"/>
                <w:sz w:val="24"/>
              </w:rPr>
              <w:t>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*进样方式：大容量独立驱动双盘双圈样品盘，用户可任意设定样品盘中各种样品的放置区域，一次性可容纳100个常规样本。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样品容器：各种试管和样品杯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试剂仓：使用环保型非氟里昂制冷，全部冷藏；R1：60个位置；R2：48个位置；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*反应杯 ：永久使用的新型硬质玻璃（光径：5mm）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*反应时间 ：大约10分钟，用户可根据需要自己设定（可延长至22分钟）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温度控制：循环水浴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反应温度 ： 37±0.1℃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*波长 ：≥</w:t>
            </w:r>
            <w:r>
              <w:rPr>
                <w:rFonts w:hint="eastAsia" w:ascii="宋体" w:hAnsi="宋体" w:cs="宋体"/>
                <w:sz w:val="24"/>
              </w:rPr>
              <w:t>13</w:t>
            </w:r>
            <w:r>
              <w:rPr>
                <w:rFonts w:hint="eastAsia" w:ascii="宋体" w:hAnsi="宋体"/>
                <w:sz w:val="24"/>
              </w:rPr>
              <w:t>个波长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测光方式 : 无像差凹面全息光栅及高速转换后分光技术（单波长和双波长测定）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软件功能:  OSS功能，反应曲线（33点），再演算功能，线性扩展功能，表格形式，特急测定功能，自动再检，批量再检，过程检测，样品不跳过，剩余试剂体积显示，试剂瓶更换，试剂不足跳过，多点校准曲线，校准物自动稀释，校准曲线历史记录，自动校准，反应检查，防交叉污染对，质控水平选择功能，质控图，实时质控，自动开机，自动关机，反应颜色校正，血清指数，项目间运算，自动样品稀释，数据查询，病例统计，报告书，定性规则，项目组合，维护，反杯跳过，废液液面检查，密码设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操作系统：大屏幕触摸式彩色液晶显示器；三种操作方式：鼠标、触摸屏、键盘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9" w:type="dxa"/>
            <w:vAlign w:val="top"/>
          </w:tcPr>
          <w:p>
            <w:pPr>
              <w:spacing w:line="360" w:lineRule="auto"/>
              <w:jc w:val="left"/>
              <w:rPr>
                <w:rFonts w:hint="eastAsia" w:ascii="宋体" w:hAnsi="宋体"/>
                <w:sz w:val="24"/>
              </w:rPr>
            </w:pPr>
            <w:r>
              <w:rPr>
                <w:rFonts w:hint="eastAsia" w:ascii="宋体" w:hAnsi="宋体"/>
                <w:sz w:val="24"/>
              </w:rPr>
              <w:t>接口：RS232C</w:t>
            </w:r>
          </w:p>
        </w:tc>
      </w:tr>
    </w:tbl>
    <w:p>
      <w:pPr>
        <w:rPr>
          <w:rFonts w:hint="eastAsia" w:ascii="宋体" w:hAnsi="宋体"/>
          <w:b/>
          <w:sz w:val="24"/>
        </w:rPr>
      </w:pPr>
    </w:p>
    <w:p>
      <w:pPr>
        <w:keepNext w:val="0"/>
        <w:keepLines w:val="0"/>
        <w:pageBreakBefore w:val="0"/>
        <w:kinsoku/>
        <w:wordWrap/>
        <w:overflowPunct/>
        <w:topLinePunct w:val="0"/>
        <w:bidi w:val="0"/>
        <w:spacing w:line="240" w:lineRule="auto"/>
        <w:ind w:firstLine="2891" w:firstLineChars="1200"/>
        <w:textAlignment w:val="auto"/>
        <w:rPr>
          <w:rFonts w:hint="eastAsia" w:ascii="仿宋" w:hAnsi="仿宋" w:eastAsia="仿宋" w:cs="仿宋"/>
          <w:b/>
          <w:bCs/>
          <w:color w:val="000000"/>
          <w:sz w:val="24"/>
          <w:szCs w:val="24"/>
        </w:rPr>
      </w:pPr>
    </w:p>
    <w:p>
      <w:pPr>
        <w:rPr>
          <w:rFonts w:hint="eastAsia" w:ascii="宋体" w:hAnsi="宋体" w:eastAsia="宋体" w:cs="宋体"/>
          <w:bCs/>
          <w:sz w:val="22"/>
          <w:szCs w:val="22"/>
        </w:rPr>
      </w:pPr>
      <w:r>
        <w:rPr>
          <w:rFonts w:hint="eastAsia" w:ascii="宋体" w:hAnsi="宋体" w:eastAsia="宋体" w:cs="宋体"/>
          <w:bCs/>
          <w:sz w:val="22"/>
          <w:szCs w:val="22"/>
        </w:rPr>
        <w:t xml:space="preserve">  </w:t>
      </w:r>
    </w:p>
    <w:p>
      <w:pPr>
        <w:pStyle w:val="2"/>
        <w:rPr>
          <w:rFonts w:hint="eastAsia"/>
        </w:rPr>
      </w:pPr>
    </w:p>
    <w:p>
      <w:pPr>
        <w:pStyle w:val="2"/>
        <w:rPr>
          <w:rFonts w:hint="eastAsia" w:ascii="仿宋" w:hAnsi="仿宋" w:eastAsia="仿宋" w:cs="仿宋"/>
          <w:b/>
          <w:bCs/>
          <w:color w:val="000000"/>
          <w:sz w:val="24"/>
          <w:szCs w:val="24"/>
        </w:rPr>
      </w:pP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widowControl/>
        <w:adjustRightInd w:val="0"/>
        <w:snapToGrid w:val="0"/>
        <w:spacing w:line="400" w:lineRule="exact"/>
        <w:jc w:val="center"/>
        <w:rPr>
          <w:rFonts w:cs="Times New Roman" w:asciiTheme="majorEastAsia" w:hAnsiTheme="majorEastAsia" w:eastAsiaTheme="majorEastAsia"/>
          <w:bCs/>
          <w:color w:val="000000"/>
          <w:kern w:val="0"/>
          <w:sz w:val="23"/>
          <w:szCs w:val="23"/>
        </w:rPr>
      </w:pPr>
      <w:r>
        <w:rPr>
          <w:rFonts w:hint="eastAsia" w:ascii="微软雅黑" w:hAnsi="微软雅黑" w:eastAsia="微软雅黑" w:cs="Times New Roman"/>
          <w:b/>
          <w:bCs/>
          <w:color w:val="000000"/>
          <w:kern w:val="0"/>
          <w:sz w:val="28"/>
          <w:szCs w:val="21"/>
        </w:rPr>
        <w:t>阴道分泌物检测仪投标参数</w:t>
      </w:r>
    </w:p>
    <w:p>
      <w:pPr>
        <w:widowControl/>
        <w:adjustRightInd w:val="0"/>
        <w:snapToGrid w:val="0"/>
        <w:spacing w:line="400" w:lineRule="exact"/>
        <w:jc w:val="left"/>
        <w:rPr>
          <w:rFonts w:cs="Times New Roman" w:asciiTheme="majorEastAsia" w:hAnsiTheme="majorEastAsia" w:eastAsiaTheme="majorEastAsia"/>
          <w:bCs/>
          <w:color w:val="000000"/>
          <w:kern w:val="0"/>
          <w:sz w:val="23"/>
          <w:szCs w:val="23"/>
        </w:rPr>
      </w:pPr>
      <w:r>
        <w:rPr>
          <w:rFonts w:hint="eastAsia" w:cs="Times New Roman" w:asciiTheme="majorEastAsia" w:hAnsiTheme="majorEastAsia" w:eastAsiaTheme="majorEastAsia"/>
          <w:bCs/>
          <w:color w:val="000000"/>
          <w:kern w:val="0"/>
          <w:sz w:val="23"/>
          <w:szCs w:val="23"/>
        </w:rPr>
        <w:t>★为必须满足项</w:t>
      </w:r>
    </w:p>
    <w:p>
      <w:pPr>
        <w:widowControl/>
        <w:adjustRightInd w:val="0"/>
        <w:snapToGrid w:val="0"/>
        <w:spacing w:line="400" w:lineRule="exact"/>
        <w:jc w:val="left"/>
        <w:rPr>
          <w:rFonts w:cs="Times New Roman" w:asciiTheme="majorEastAsia" w:hAnsiTheme="majorEastAsia" w:eastAsiaTheme="majorEastAsia"/>
          <w:bCs/>
          <w:color w:val="000000"/>
          <w:kern w:val="0"/>
          <w:sz w:val="23"/>
          <w:szCs w:val="23"/>
        </w:rPr>
      </w:pPr>
      <w:r>
        <w:rPr>
          <w:rFonts w:hint="eastAsia" w:cs="Times New Roman" w:asciiTheme="majorEastAsia" w:hAnsiTheme="majorEastAsia" w:eastAsiaTheme="majorEastAsia"/>
          <w:bCs/>
          <w:color w:val="000000"/>
          <w:kern w:val="0"/>
          <w:sz w:val="23"/>
          <w:szCs w:val="23"/>
        </w:rPr>
        <w:t>▲可作为加分项</w:t>
      </w:r>
    </w:p>
    <w:tbl>
      <w:tblPr>
        <w:tblStyle w:val="25"/>
        <w:tblpPr w:leftFromText="180" w:rightFromText="180" w:vertAnchor="text" w:horzAnchor="page" w:tblpX="1360" w:tblpY="329"/>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lang w:eastAsia="zh-CN"/>
              </w:rPr>
            </w:pPr>
            <w:r>
              <w:rPr>
                <w:rFonts w:hint="eastAsia" w:cs="Times New Roman" w:asciiTheme="majorEastAsia" w:hAnsiTheme="majorEastAsia" w:eastAsiaTheme="majorEastAsia"/>
                <w:b/>
                <w:bCs/>
                <w:color w:val="000000"/>
                <w:kern w:val="0"/>
                <w:sz w:val="23"/>
                <w:szCs w:val="23"/>
                <w:vertAlign w:val="baseline"/>
                <w:lang w:eastAsia="zh-CN"/>
              </w:rPr>
              <w:t>序号</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
                <w:bCs/>
                <w:color w:val="000000"/>
                <w:kern w:val="0"/>
                <w:sz w:val="23"/>
                <w:szCs w:val="23"/>
              </w:rPr>
              <w:t>1、</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
                <w:bCs/>
                <w:color w:val="000000"/>
                <w:kern w:val="0"/>
                <w:sz w:val="23"/>
                <w:szCs w:val="23"/>
              </w:rPr>
              <w:t>整机系统：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.1、</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整机测试速度不低于</w:t>
            </w:r>
            <w:r>
              <w:rPr>
                <w:rFonts w:cs="Times New Roman" w:asciiTheme="majorEastAsia" w:hAnsiTheme="majorEastAsia" w:eastAsiaTheme="majorEastAsia"/>
                <w:bCs/>
                <w:color w:val="000000"/>
                <w:kern w:val="0"/>
                <w:sz w:val="23"/>
                <w:szCs w:val="23"/>
              </w:rPr>
              <w:t>60T/H</w:t>
            </w:r>
            <w:r>
              <w:rPr>
                <w:rFonts w:hint="eastAsia" w:cs="Times New Roman" w:asciiTheme="majorEastAsia" w:hAnsiTheme="majorEastAsia" w:eastAsiaTheme="majorEastAsia"/>
                <w:bCs/>
                <w:color w:val="000000"/>
                <w:kern w:val="0"/>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cs="Times New Roman" w:asciiTheme="majorEastAsia" w:hAnsiTheme="majorEastAsia" w:eastAsiaTheme="majorEastAsia"/>
                <w:bCs/>
                <w:color w:val="000000"/>
                <w:kern w:val="0"/>
                <w:sz w:val="23"/>
                <w:szCs w:val="23"/>
              </w:rPr>
              <w:t>1.2</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一</w:t>
            </w:r>
            <w:r>
              <w:rPr>
                <w:rFonts w:hint="eastAsia" w:cs="Times New Roman" w:asciiTheme="majorEastAsia" w:hAnsiTheme="majorEastAsia" w:eastAsiaTheme="majorEastAsia"/>
                <w:bCs/>
                <w:color w:val="000000"/>
                <w:kern w:val="0"/>
                <w:sz w:val="23"/>
                <w:szCs w:val="23"/>
                <w:lang w:val="en-US" w:eastAsia="zh-CN"/>
              </w:rPr>
              <w:t>台</w:t>
            </w:r>
            <w:r>
              <w:rPr>
                <w:rFonts w:hint="eastAsia" w:cs="Times New Roman" w:asciiTheme="majorEastAsia" w:hAnsiTheme="majorEastAsia" w:eastAsiaTheme="majorEastAsia"/>
                <w:bCs/>
                <w:color w:val="000000"/>
                <w:kern w:val="0"/>
                <w:sz w:val="23"/>
                <w:szCs w:val="23"/>
              </w:rPr>
              <w:t>机</w:t>
            </w:r>
            <w:r>
              <w:rPr>
                <w:rFonts w:hint="eastAsia" w:cs="Times New Roman" w:asciiTheme="majorEastAsia" w:hAnsiTheme="majorEastAsia" w:eastAsiaTheme="majorEastAsia"/>
                <w:bCs/>
                <w:color w:val="000000"/>
                <w:kern w:val="0"/>
                <w:sz w:val="23"/>
                <w:szCs w:val="23"/>
                <w:lang w:val="en-US" w:eastAsia="zh-CN"/>
              </w:rPr>
              <w:t>器即可完成</w:t>
            </w:r>
            <w:r>
              <w:rPr>
                <w:rFonts w:hint="eastAsia" w:cs="Times New Roman" w:asciiTheme="majorEastAsia" w:hAnsiTheme="majorEastAsia" w:eastAsiaTheme="majorEastAsia"/>
                <w:bCs/>
                <w:color w:val="000000"/>
                <w:kern w:val="0"/>
                <w:sz w:val="23"/>
                <w:szCs w:val="23"/>
              </w:rPr>
              <w:t>形态学+干化学检测</w:t>
            </w:r>
            <w:r>
              <w:rPr>
                <w:rFonts w:hint="eastAsia" w:cs="Times New Roman" w:asciiTheme="majorEastAsia" w:hAnsiTheme="majorEastAsia" w:eastAsiaTheme="majorEastAsia"/>
                <w:bCs/>
                <w:color w:val="000000"/>
                <w:kern w:val="0"/>
                <w:sz w:val="23"/>
                <w:szCs w:val="23"/>
                <w:lang w:val="en-US" w:eastAsia="zh-CN"/>
              </w:rPr>
              <w:t>的检测</w:t>
            </w:r>
            <w:r>
              <w:rPr>
                <w:rFonts w:hint="eastAsia" w:cs="Times New Roman" w:asciiTheme="majorEastAsia" w:hAnsiTheme="majorEastAsia" w:eastAsiaTheme="majorEastAsia"/>
                <w:bCs/>
                <w:color w:val="000000"/>
                <w:kern w:val="0"/>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3</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仪器全自动操作，检测全过程无需人工操作；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4</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样本无需离心，直接检测；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5</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auto"/>
                <w:kern w:val="0"/>
                <w:sz w:val="23"/>
                <w:szCs w:val="23"/>
                <w:vertAlign w:val="baseline"/>
              </w:rPr>
            </w:pPr>
            <w:r>
              <w:rPr>
                <w:rFonts w:hint="eastAsia" w:cs="Times New Roman" w:asciiTheme="majorEastAsia" w:hAnsiTheme="majorEastAsia" w:eastAsiaTheme="majorEastAsia"/>
                <w:bCs/>
                <w:color w:val="auto"/>
                <w:kern w:val="0"/>
                <w:sz w:val="23"/>
                <w:szCs w:val="23"/>
              </w:rPr>
              <w:t>检测卡采用一次性检测芯片</w:t>
            </w:r>
            <w:r>
              <w:rPr>
                <w:rFonts w:hint="eastAsia" w:cs="Times New Roman" w:asciiTheme="majorEastAsia" w:hAnsiTheme="majorEastAsia" w:eastAsiaTheme="majorEastAsia"/>
                <w:bCs/>
                <w:color w:val="auto"/>
                <w:kern w:val="0"/>
                <w:sz w:val="23"/>
                <w:szCs w:val="23"/>
                <w:lang w:eastAsia="zh-CN"/>
              </w:rPr>
              <w:t>，检测样本携带污染率≤0.01%；</w:t>
            </w:r>
            <w:r>
              <w:rPr>
                <w:rFonts w:hint="eastAsia" w:cs="Times New Roman" w:asciiTheme="majorEastAsia" w:hAnsiTheme="majorEastAsia" w:eastAsiaTheme="majorEastAsia"/>
                <w:b/>
                <w:bCs w:val="0"/>
                <w:color w:val="auto"/>
                <w:kern w:val="0"/>
                <w:sz w:val="23"/>
                <w:szCs w:val="23"/>
                <w:lang w:eastAsia="zh-CN"/>
              </w:rPr>
              <w:t>（提供第三方注册检验报告等证明可作为加分项）</w:t>
            </w:r>
            <w:r>
              <w:rPr>
                <w:rFonts w:hint="eastAsia" w:cs="Times New Roman" w:asciiTheme="majorEastAsia" w:hAnsiTheme="majorEastAsia" w:eastAsiaTheme="majorEastAsia"/>
                <w:bCs/>
                <w:color w:val="auto"/>
                <w:kern w:val="0"/>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lang w:val="en-US" w:eastAsia="zh-CN"/>
              </w:rPr>
              <w:t>6</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auto"/>
                <w:kern w:val="0"/>
                <w:sz w:val="23"/>
                <w:szCs w:val="23"/>
                <w:vertAlign w:val="baseline"/>
              </w:rPr>
            </w:pPr>
            <w:r>
              <w:rPr>
                <w:rFonts w:hint="eastAsia" w:cs="Times New Roman" w:asciiTheme="majorEastAsia" w:hAnsiTheme="majorEastAsia" w:eastAsiaTheme="majorEastAsia"/>
                <w:bCs/>
                <w:color w:val="auto"/>
                <w:kern w:val="0"/>
                <w:sz w:val="23"/>
                <w:szCs w:val="23"/>
              </w:rPr>
              <w:t>检测仪自动分析判读样本中成分与肉眼判读结果的符合率：≥90%</w:t>
            </w:r>
            <w:r>
              <w:rPr>
                <w:rFonts w:hint="eastAsia" w:cs="Times New Roman" w:asciiTheme="majorEastAsia" w:hAnsiTheme="majorEastAsia" w:eastAsiaTheme="majorEastAsia"/>
                <w:b/>
                <w:bCs w:val="0"/>
                <w:color w:val="auto"/>
                <w:kern w:val="0"/>
                <w:sz w:val="23"/>
                <w:szCs w:val="23"/>
              </w:rPr>
              <w:t>（提供第三方注册检验报告等证明可作为加分项）</w:t>
            </w:r>
            <w:r>
              <w:rPr>
                <w:rFonts w:hint="eastAsia" w:cs="Times New Roman" w:asciiTheme="majorEastAsia" w:hAnsiTheme="majorEastAsia" w:eastAsiaTheme="majorEastAsia"/>
                <w:bCs/>
                <w:color w:val="auto"/>
                <w:kern w:val="0"/>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w:t>
            </w:r>
            <w:r>
              <w:rPr>
                <w:rFonts w:hint="eastAsia" w:cs="Times New Roman" w:asciiTheme="majorEastAsia" w:hAnsiTheme="majorEastAsia" w:eastAsiaTheme="majorEastAsia"/>
                <w:bCs/>
                <w:color w:val="000000"/>
                <w:kern w:val="0"/>
                <w:sz w:val="23"/>
                <w:szCs w:val="23"/>
                <w:lang w:val="en-US" w:eastAsia="zh-CN"/>
              </w:rPr>
              <w:t>7</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auto"/>
                <w:kern w:val="0"/>
                <w:sz w:val="23"/>
                <w:szCs w:val="23"/>
                <w:vertAlign w:val="baseline"/>
              </w:rPr>
            </w:pPr>
            <w:r>
              <w:rPr>
                <w:rFonts w:hint="eastAsia" w:cs="Times New Roman" w:asciiTheme="majorEastAsia" w:hAnsiTheme="majorEastAsia" w:eastAsiaTheme="majorEastAsia"/>
                <w:bCs/>
                <w:color w:val="auto"/>
                <w:kern w:val="0"/>
                <w:sz w:val="23"/>
                <w:szCs w:val="23"/>
              </w:rPr>
              <w:t>样本浊度检测和样本稀释功能</w:t>
            </w:r>
            <w:r>
              <w:rPr>
                <w:rFonts w:hint="eastAsia" w:cs="Times New Roman" w:asciiTheme="majorEastAsia" w:hAnsiTheme="majorEastAsia" w:eastAsiaTheme="majorEastAsia"/>
                <w:b/>
                <w:bCs w:val="0"/>
                <w:color w:val="auto"/>
                <w:kern w:val="0"/>
                <w:sz w:val="23"/>
                <w:szCs w:val="23"/>
              </w:rPr>
              <w:t>（</w:t>
            </w:r>
            <w:r>
              <w:rPr>
                <w:rFonts w:hint="eastAsia" w:cs="Times New Roman" w:asciiTheme="majorEastAsia" w:hAnsiTheme="majorEastAsia" w:eastAsiaTheme="majorEastAsia"/>
                <w:b/>
                <w:bCs w:val="0"/>
                <w:color w:val="auto"/>
                <w:kern w:val="0"/>
                <w:sz w:val="23"/>
                <w:szCs w:val="23"/>
                <w:lang w:val="en-US" w:eastAsia="zh-CN"/>
              </w:rPr>
              <w:t>仪器</w:t>
            </w:r>
            <w:r>
              <w:rPr>
                <w:rFonts w:hint="eastAsia" w:cs="Times New Roman" w:asciiTheme="majorEastAsia" w:hAnsiTheme="majorEastAsia" w:eastAsiaTheme="majorEastAsia"/>
                <w:b/>
                <w:bCs w:val="0"/>
                <w:color w:val="auto"/>
                <w:kern w:val="0"/>
                <w:sz w:val="23"/>
                <w:szCs w:val="23"/>
              </w:rPr>
              <w:t>具有自动稀释可作为加分项）</w:t>
            </w:r>
            <w:r>
              <w:rPr>
                <w:rFonts w:hint="eastAsia" w:cs="Times New Roman" w:asciiTheme="majorEastAsia" w:hAnsiTheme="majorEastAsia" w:eastAsiaTheme="majorEastAsia"/>
                <w:bCs/>
                <w:color w:val="auto"/>
                <w:kern w:val="0"/>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w:t>
            </w:r>
            <w:r>
              <w:rPr>
                <w:rFonts w:hint="eastAsia" w:cs="Times New Roman" w:asciiTheme="majorEastAsia" w:hAnsiTheme="majorEastAsia" w:eastAsiaTheme="majorEastAsia"/>
                <w:bCs/>
                <w:color w:val="000000"/>
                <w:kern w:val="0"/>
                <w:sz w:val="23"/>
                <w:szCs w:val="23"/>
                <w:lang w:val="en-US" w:eastAsia="zh-CN"/>
              </w:rPr>
              <w:t>8</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auto"/>
                <w:kern w:val="0"/>
                <w:sz w:val="23"/>
                <w:szCs w:val="23"/>
                <w:vertAlign w:val="baseline"/>
              </w:rPr>
            </w:pPr>
            <w:r>
              <w:rPr>
                <w:rFonts w:hint="eastAsia" w:cs="Times New Roman" w:asciiTheme="majorEastAsia" w:hAnsiTheme="majorEastAsia" w:eastAsiaTheme="majorEastAsia"/>
                <w:bCs/>
                <w:color w:val="auto"/>
                <w:kern w:val="0"/>
                <w:sz w:val="23"/>
                <w:szCs w:val="23"/>
              </w:rPr>
              <w:t>进样区支持一次性放置不少于5</w:t>
            </w:r>
            <w:r>
              <w:rPr>
                <w:rFonts w:cs="Times New Roman" w:asciiTheme="majorEastAsia" w:hAnsiTheme="majorEastAsia" w:eastAsiaTheme="majorEastAsia"/>
                <w:bCs/>
                <w:color w:val="auto"/>
                <w:kern w:val="0"/>
                <w:sz w:val="23"/>
                <w:szCs w:val="23"/>
              </w:rPr>
              <w:t>0</w:t>
            </w:r>
            <w:r>
              <w:rPr>
                <w:rFonts w:hint="eastAsia" w:cs="Times New Roman" w:asciiTheme="majorEastAsia" w:hAnsiTheme="majorEastAsia" w:eastAsiaTheme="majorEastAsia"/>
                <w:bCs/>
                <w:color w:val="auto"/>
                <w:kern w:val="0"/>
                <w:sz w:val="23"/>
                <w:szCs w:val="23"/>
              </w:rPr>
              <w:t>个待测样本；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lang w:val="en-US" w:eastAsia="zh-CN"/>
              </w:rPr>
              <w:t>9</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适配直径为12或14mm的样本管；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lang w:val="en-US" w:eastAsia="zh-CN"/>
              </w:rPr>
              <w:t>0</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形态学与干化学综合报告、图文并茂，用户可自定义；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cs="Times New Roman" w:asciiTheme="majorEastAsia" w:hAnsiTheme="majorEastAsia" w:eastAsiaTheme="majorEastAsia"/>
                <w:b/>
                <w:bCs/>
                <w:color w:val="000000"/>
                <w:kern w:val="0"/>
                <w:sz w:val="23"/>
                <w:szCs w:val="23"/>
              </w:rPr>
              <w:t>2</w:t>
            </w:r>
            <w:r>
              <w:rPr>
                <w:rFonts w:hint="eastAsia" w:cs="Times New Roman" w:asciiTheme="majorEastAsia" w:hAnsiTheme="majorEastAsia" w:eastAsiaTheme="majorEastAsia"/>
                <w:b/>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
                <w:bCs/>
                <w:color w:val="000000"/>
                <w:kern w:val="0"/>
                <w:sz w:val="23"/>
                <w:szCs w:val="23"/>
              </w:rPr>
              <w:t>干化分析部分：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★2.</w:t>
            </w: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干化学支持≥</w:t>
            </w:r>
            <w:r>
              <w:rPr>
                <w:rFonts w:cs="Times New Roman" w:asciiTheme="majorEastAsia" w:hAnsiTheme="majorEastAsia" w:eastAsiaTheme="majorEastAsia"/>
                <w:bCs/>
                <w:color w:val="000000"/>
                <w:kern w:val="0"/>
                <w:sz w:val="23"/>
                <w:szCs w:val="23"/>
              </w:rPr>
              <w:t>6</w:t>
            </w:r>
            <w:r>
              <w:rPr>
                <w:rFonts w:hint="eastAsia" w:cs="Times New Roman" w:asciiTheme="majorEastAsia" w:hAnsiTheme="majorEastAsia" w:eastAsiaTheme="majorEastAsia"/>
                <w:bCs/>
                <w:color w:val="000000"/>
                <w:kern w:val="0"/>
                <w:sz w:val="23"/>
                <w:szCs w:val="23"/>
              </w:rPr>
              <w:t>项检测，包括唾液酸苷酶（SNA）、β-N-乙酰氨基葡萄糖苷酶（NAG）、脯氨酸氨基肽酶（PIP）、白细胞酯酶（LE）、过氧化氢（H</w:t>
            </w:r>
            <w:r>
              <w:rPr>
                <w:rFonts w:hint="eastAsia" w:cs="Times New Roman" w:asciiTheme="majorEastAsia" w:hAnsiTheme="majorEastAsia" w:eastAsiaTheme="majorEastAsia"/>
                <w:bCs/>
                <w:color w:val="000000"/>
                <w:kern w:val="0"/>
                <w:sz w:val="23"/>
                <w:szCs w:val="23"/>
                <w:vertAlign w:val="subscript"/>
              </w:rPr>
              <w:t>2</w:t>
            </w:r>
            <w:r>
              <w:rPr>
                <w:rFonts w:hint="eastAsia" w:cs="Times New Roman" w:asciiTheme="majorEastAsia" w:hAnsiTheme="majorEastAsia" w:eastAsiaTheme="majorEastAsia"/>
                <w:bCs/>
                <w:color w:val="000000"/>
                <w:kern w:val="0"/>
                <w:sz w:val="23"/>
                <w:szCs w:val="23"/>
              </w:rPr>
              <w:t>O</w:t>
            </w:r>
            <w:r>
              <w:rPr>
                <w:rFonts w:hint="eastAsia" w:cs="Times New Roman" w:asciiTheme="majorEastAsia" w:hAnsiTheme="majorEastAsia" w:eastAsiaTheme="majorEastAsia"/>
                <w:bCs/>
                <w:color w:val="000000"/>
                <w:kern w:val="0"/>
                <w:sz w:val="23"/>
                <w:szCs w:val="23"/>
                <w:vertAlign w:val="subscript"/>
              </w:rPr>
              <w:t>2</w:t>
            </w:r>
            <w:r>
              <w:rPr>
                <w:rFonts w:hint="eastAsia" w:cs="Times New Roman" w:asciiTheme="majorEastAsia" w:hAnsiTheme="majorEastAsia" w:eastAsiaTheme="majorEastAsia"/>
                <w:bCs/>
                <w:color w:val="000000"/>
                <w:kern w:val="0"/>
                <w:sz w:val="23"/>
                <w:szCs w:val="23"/>
              </w:rPr>
              <w:t>）浓度及pH等；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cs="Times New Roman" w:asciiTheme="majorEastAsia" w:hAnsiTheme="majorEastAsia" w:eastAsiaTheme="majorEastAsia"/>
                <w:bCs/>
                <w:color w:val="000000"/>
                <w:kern w:val="0"/>
                <w:sz w:val="23"/>
                <w:szCs w:val="23"/>
              </w:rPr>
              <w:t>2</w:t>
            </w: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2</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采用CCD拍照法对干化学结果进行分析；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2.</w:t>
            </w:r>
            <w:r>
              <w:rPr>
                <w:rFonts w:cs="Times New Roman" w:asciiTheme="majorEastAsia" w:hAnsiTheme="majorEastAsia" w:eastAsiaTheme="majorEastAsia"/>
                <w:bCs/>
                <w:color w:val="000000"/>
                <w:kern w:val="0"/>
                <w:sz w:val="23"/>
                <w:szCs w:val="23"/>
              </w:rPr>
              <w:t>3</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仪器对干化学试剂卡具有恒温孵育功能；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
                <w:bCs/>
                <w:color w:val="000000"/>
                <w:kern w:val="0"/>
                <w:sz w:val="23"/>
                <w:szCs w:val="23"/>
              </w:rPr>
              <w:t>3、</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
                <w:bCs/>
                <w:color w:val="000000"/>
                <w:kern w:val="0"/>
                <w:sz w:val="23"/>
                <w:szCs w:val="23"/>
              </w:rPr>
              <w:t>有形成分分析部分：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3.</w:t>
            </w:r>
            <w:r>
              <w:rPr>
                <w:rFonts w:cs="Times New Roman" w:asciiTheme="majorEastAsia" w:hAnsiTheme="majorEastAsia" w:eastAsiaTheme="majorEastAsia"/>
                <w:bCs/>
                <w:color w:val="000000"/>
                <w:kern w:val="0"/>
                <w:sz w:val="23"/>
                <w:szCs w:val="23"/>
              </w:rPr>
              <w:t>1</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形态学支持对上皮细胞、线索细胞、小圆上皮细胞、白细胞、红细胞、霉菌、滴虫、杆菌、球菌等有形成分进行自动识别；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cs="Times New Roman" w:asciiTheme="majorEastAsia" w:hAnsiTheme="majorEastAsia" w:eastAsiaTheme="majorEastAsia"/>
                <w:bCs/>
                <w:color w:val="000000"/>
                <w:kern w:val="0"/>
                <w:sz w:val="23"/>
                <w:szCs w:val="23"/>
              </w:rPr>
              <w:t>3</w:t>
            </w:r>
            <w:r>
              <w:rPr>
                <w:rFonts w:hint="eastAsia" w:cs="Times New Roman" w:asciiTheme="majorEastAsia" w:hAnsiTheme="majorEastAsia" w:eastAsiaTheme="majorEastAsia"/>
                <w:bCs/>
                <w:color w:val="000000"/>
                <w:kern w:val="0"/>
                <w:sz w:val="23"/>
                <w:szCs w:val="23"/>
              </w:rPr>
              <w:t>.</w:t>
            </w:r>
            <w:r>
              <w:rPr>
                <w:rFonts w:cs="Times New Roman" w:asciiTheme="majorEastAsia" w:hAnsiTheme="majorEastAsia" w:eastAsiaTheme="majorEastAsia"/>
                <w:bCs/>
                <w:color w:val="000000"/>
                <w:kern w:val="0"/>
                <w:sz w:val="23"/>
                <w:szCs w:val="23"/>
              </w:rPr>
              <w:t>2</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利用人工智能深度学习技术，以显微镜检法对阴道分泌物中有形成份进行自动识别与分类计数；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3.</w:t>
            </w:r>
            <w:r>
              <w:rPr>
                <w:rFonts w:cs="Times New Roman" w:asciiTheme="majorEastAsia" w:hAnsiTheme="majorEastAsia" w:eastAsiaTheme="majorEastAsia"/>
                <w:bCs/>
                <w:color w:val="000000"/>
                <w:kern w:val="0"/>
                <w:sz w:val="23"/>
                <w:szCs w:val="23"/>
              </w:rPr>
              <w:t>3</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采用低倍镜和高倍镜交替进行拍摄；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3.</w:t>
            </w:r>
            <w:r>
              <w:rPr>
                <w:rFonts w:cs="Times New Roman" w:asciiTheme="majorEastAsia" w:hAnsiTheme="majorEastAsia" w:eastAsiaTheme="majorEastAsia"/>
                <w:bCs/>
                <w:color w:val="000000"/>
                <w:kern w:val="0"/>
                <w:sz w:val="23"/>
                <w:szCs w:val="23"/>
              </w:rPr>
              <w:t>4</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仪器可按照《全国临床检验操作规程》中清洁度判定表给出样本清洁度判定结果；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▲3.</w:t>
            </w:r>
            <w:r>
              <w:rPr>
                <w:rFonts w:cs="Times New Roman" w:asciiTheme="majorEastAsia" w:hAnsiTheme="majorEastAsia" w:eastAsiaTheme="majorEastAsia"/>
                <w:bCs/>
                <w:color w:val="000000"/>
                <w:kern w:val="0"/>
                <w:sz w:val="23"/>
                <w:szCs w:val="23"/>
              </w:rPr>
              <w:t>5</w:t>
            </w:r>
            <w:r>
              <w:rPr>
                <w:rFonts w:hint="eastAsia" w:cs="Times New Roman" w:asciiTheme="majorEastAsia" w:hAnsiTheme="majorEastAsia" w:eastAsiaTheme="majorEastAsia"/>
                <w:bCs/>
                <w:color w:val="000000"/>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000000"/>
                <w:kern w:val="0"/>
                <w:sz w:val="23"/>
                <w:szCs w:val="23"/>
                <w:vertAlign w:val="baseline"/>
              </w:rPr>
            </w:pPr>
            <w:r>
              <w:rPr>
                <w:rFonts w:hint="eastAsia" w:cs="Times New Roman" w:asciiTheme="majorEastAsia" w:hAnsiTheme="majorEastAsia" w:eastAsiaTheme="majorEastAsia"/>
                <w:bCs/>
                <w:color w:val="000000"/>
                <w:kern w:val="0"/>
                <w:sz w:val="23"/>
                <w:szCs w:val="23"/>
              </w:rPr>
              <w:t>支持</w:t>
            </w:r>
            <w:r>
              <w:rPr>
                <w:rFonts w:hint="eastAsia" w:cs="Times New Roman" w:asciiTheme="majorEastAsia" w:hAnsiTheme="majorEastAsia" w:eastAsiaTheme="majorEastAsia"/>
                <w:bCs/>
                <w:color w:val="000000"/>
                <w:kern w:val="0"/>
                <w:sz w:val="23"/>
                <w:szCs w:val="23"/>
                <w:lang w:val="en-US" w:eastAsia="zh-CN"/>
              </w:rPr>
              <w:t>样本涂片的</w:t>
            </w:r>
            <w:r>
              <w:rPr>
                <w:rFonts w:hint="eastAsia" w:cs="Times New Roman" w:asciiTheme="majorEastAsia" w:hAnsiTheme="majorEastAsia" w:eastAsiaTheme="majorEastAsia"/>
                <w:bCs/>
                <w:color w:val="000000"/>
                <w:kern w:val="0"/>
                <w:sz w:val="23"/>
                <w:szCs w:val="23"/>
              </w:rPr>
              <w:t>多层扫描，</w:t>
            </w:r>
            <w:r>
              <w:rPr>
                <w:rFonts w:hint="eastAsia" w:cs="Times New Roman" w:asciiTheme="majorEastAsia" w:hAnsiTheme="majorEastAsia" w:eastAsiaTheme="majorEastAsia"/>
                <w:bCs/>
                <w:color w:val="000000"/>
                <w:kern w:val="0"/>
                <w:sz w:val="23"/>
                <w:szCs w:val="23"/>
                <w:lang w:val="en-US" w:eastAsia="zh-CN"/>
              </w:rPr>
              <w:t>避免样本分层造成的细</w:t>
            </w:r>
            <w:r>
              <w:rPr>
                <w:rFonts w:hint="eastAsia" w:cs="Times New Roman" w:asciiTheme="majorEastAsia" w:hAnsiTheme="majorEastAsia" w:eastAsiaTheme="majorEastAsia"/>
                <w:bCs/>
                <w:color w:val="auto"/>
                <w:kern w:val="0"/>
                <w:sz w:val="23"/>
                <w:szCs w:val="23"/>
                <w:lang w:val="en-US" w:eastAsia="zh-CN"/>
              </w:rPr>
              <w:t>胞漏检</w:t>
            </w:r>
            <w:r>
              <w:rPr>
                <w:rFonts w:hint="eastAsia" w:cs="Times New Roman" w:asciiTheme="majorEastAsia" w:hAnsiTheme="majorEastAsia" w:eastAsiaTheme="majorEastAsia"/>
                <w:bCs/>
                <w:color w:val="auto"/>
                <w:kern w:val="0"/>
                <w:sz w:val="23"/>
                <w:szCs w:val="23"/>
              </w:rPr>
              <w:t>；</w:t>
            </w:r>
            <w:r>
              <w:rPr>
                <w:rFonts w:hint="eastAsia" w:cs="Times New Roman" w:asciiTheme="majorEastAsia" w:hAnsiTheme="majorEastAsia" w:eastAsiaTheme="majorEastAsia"/>
                <w:b/>
                <w:bCs w:val="0"/>
                <w:color w:val="auto"/>
                <w:kern w:val="0"/>
                <w:sz w:val="23"/>
                <w:szCs w:val="23"/>
                <w:lang w:eastAsia="zh-CN"/>
              </w:rPr>
              <w:t>（</w:t>
            </w:r>
            <w:r>
              <w:rPr>
                <w:rFonts w:hint="eastAsia" w:cs="Times New Roman" w:asciiTheme="majorEastAsia" w:hAnsiTheme="majorEastAsia" w:eastAsiaTheme="majorEastAsia"/>
                <w:b/>
                <w:bCs w:val="0"/>
                <w:color w:val="auto"/>
                <w:kern w:val="0"/>
                <w:sz w:val="23"/>
                <w:szCs w:val="23"/>
                <w:lang w:val="en-US" w:eastAsia="zh-CN"/>
              </w:rPr>
              <w:t>提供证明文件可作为加分项</w:t>
            </w:r>
            <w:r>
              <w:rPr>
                <w:rFonts w:hint="eastAsia" w:cs="Times New Roman" w:asciiTheme="majorEastAsia" w:hAnsiTheme="majorEastAsia" w:eastAsiaTheme="majorEastAsia"/>
                <w:b/>
                <w:bCs w:val="0"/>
                <w:color w:val="auto"/>
                <w:kern w:val="0"/>
                <w:sz w:val="23"/>
                <w:szCs w:val="23"/>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widowControl/>
              <w:adjustRightInd w:val="0"/>
              <w:snapToGrid w:val="0"/>
              <w:spacing w:line="400" w:lineRule="exact"/>
              <w:jc w:val="left"/>
              <w:rPr>
                <w:rFonts w:hint="eastAsia" w:cs="Times New Roman" w:asciiTheme="majorEastAsia" w:hAnsiTheme="majorEastAsia" w:eastAsiaTheme="majorEastAsia"/>
                <w:b/>
                <w:bCs/>
                <w:color w:val="auto"/>
                <w:kern w:val="0"/>
                <w:sz w:val="23"/>
                <w:szCs w:val="23"/>
                <w:vertAlign w:val="baseline"/>
              </w:rPr>
            </w:pPr>
            <w:r>
              <w:rPr>
                <w:rFonts w:hint="eastAsia" w:cs="Times New Roman" w:asciiTheme="majorEastAsia" w:hAnsiTheme="majorEastAsia" w:eastAsiaTheme="majorEastAsia"/>
                <w:bCs/>
                <w:color w:val="auto"/>
                <w:kern w:val="0"/>
                <w:sz w:val="23"/>
                <w:szCs w:val="23"/>
              </w:rPr>
              <w:t>▲3.</w:t>
            </w:r>
            <w:r>
              <w:rPr>
                <w:rFonts w:cs="Times New Roman" w:asciiTheme="majorEastAsia" w:hAnsiTheme="majorEastAsia" w:eastAsiaTheme="majorEastAsia"/>
                <w:bCs/>
                <w:color w:val="auto"/>
                <w:kern w:val="0"/>
                <w:sz w:val="23"/>
                <w:szCs w:val="23"/>
              </w:rPr>
              <w:t>6</w:t>
            </w:r>
            <w:r>
              <w:rPr>
                <w:rFonts w:hint="eastAsia" w:cs="Times New Roman" w:asciiTheme="majorEastAsia" w:hAnsiTheme="majorEastAsia" w:eastAsiaTheme="majorEastAsia"/>
                <w:bCs/>
                <w:color w:val="auto"/>
                <w:kern w:val="0"/>
                <w:sz w:val="23"/>
                <w:szCs w:val="23"/>
              </w:rPr>
              <w:t>、</w:t>
            </w:r>
          </w:p>
        </w:tc>
        <w:tc>
          <w:tcPr>
            <w:tcW w:w="7831" w:type="dxa"/>
          </w:tcPr>
          <w:p>
            <w:pPr>
              <w:widowControl/>
              <w:adjustRightInd w:val="0"/>
              <w:snapToGrid w:val="0"/>
              <w:spacing w:line="400" w:lineRule="exact"/>
              <w:jc w:val="left"/>
              <w:rPr>
                <w:rFonts w:hint="eastAsia" w:cs="Times New Roman" w:asciiTheme="majorEastAsia" w:hAnsiTheme="majorEastAsia" w:eastAsiaTheme="majorEastAsia"/>
                <w:b/>
                <w:bCs/>
                <w:color w:val="auto"/>
                <w:kern w:val="0"/>
                <w:sz w:val="23"/>
                <w:szCs w:val="23"/>
                <w:vertAlign w:val="baseline"/>
              </w:rPr>
            </w:pPr>
            <w:r>
              <w:rPr>
                <w:rFonts w:hint="eastAsia" w:cs="Times New Roman" w:asciiTheme="majorEastAsia" w:hAnsiTheme="majorEastAsia" w:eastAsiaTheme="majorEastAsia"/>
                <w:bCs/>
                <w:color w:val="auto"/>
                <w:kern w:val="0"/>
                <w:sz w:val="23"/>
                <w:szCs w:val="23"/>
              </w:rPr>
              <w:t>视频细胞检测，</w:t>
            </w:r>
            <w:r>
              <w:rPr>
                <w:rFonts w:hint="eastAsia" w:cs="Times New Roman" w:asciiTheme="majorEastAsia" w:hAnsiTheme="majorEastAsia" w:eastAsiaTheme="majorEastAsia"/>
                <w:bCs/>
                <w:color w:val="auto"/>
                <w:kern w:val="0"/>
                <w:sz w:val="23"/>
                <w:szCs w:val="23"/>
                <w:lang w:val="en-US" w:eastAsia="zh-CN"/>
              </w:rPr>
              <w:t>避免滴虫漏检</w:t>
            </w:r>
            <w:r>
              <w:rPr>
                <w:rFonts w:hint="eastAsia" w:cs="Times New Roman" w:asciiTheme="majorEastAsia" w:hAnsiTheme="majorEastAsia" w:eastAsiaTheme="majorEastAsia"/>
                <w:bCs/>
                <w:color w:val="auto"/>
                <w:kern w:val="0"/>
                <w:sz w:val="23"/>
                <w:szCs w:val="23"/>
              </w:rPr>
              <w:t>；</w:t>
            </w:r>
            <w:r>
              <w:rPr>
                <w:rFonts w:hint="eastAsia" w:cs="Times New Roman" w:asciiTheme="majorEastAsia" w:hAnsiTheme="majorEastAsia" w:eastAsiaTheme="majorEastAsia"/>
                <w:b/>
                <w:bCs w:val="0"/>
                <w:color w:val="auto"/>
                <w:kern w:val="0"/>
                <w:sz w:val="23"/>
                <w:szCs w:val="23"/>
                <w:lang w:eastAsia="zh-CN"/>
              </w:rPr>
              <w:t>（</w:t>
            </w:r>
            <w:r>
              <w:rPr>
                <w:rFonts w:hint="eastAsia" w:cs="Times New Roman" w:asciiTheme="majorEastAsia" w:hAnsiTheme="majorEastAsia" w:eastAsiaTheme="majorEastAsia"/>
                <w:b/>
                <w:bCs w:val="0"/>
                <w:color w:val="auto"/>
                <w:kern w:val="0"/>
                <w:sz w:val="23"/>
                <w:szCs w:val="23"/>
                <w:lang w:val="en-US" w:eastAsia="zh-CN"/>
              </w:rPr>
              <w:t>提供证明文件可作为加分项</w:t>
            </w:r>
            <w:r>
              <w:rPr>
                <w:rFonts w:hint="eastAsia" w:cs="Times New Roman" w:asciiTheme="majorEastAsia" w:hAnsiTheme="majorEastAsia" w:eastAsiaTheme="majorEastAsia"/>
                <w:b/>
                <w:bCs w:val="0"/>
                <w:color w:val="auto"/>
                <w:kern w:val="0"/>
                <w:sz w:val="23"/>
                <w:szCs w:val="23"/>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39" w:type="dxa"/>
          </w:tcPr>
          <w:p>
            <w:pPr>
              <w:widowControl/>
              <w:adjustRightInd w:val="0"/>
              <w:snapToGrid w:val="0"/>
              <w:spacing w:line="400" w:lineRule="exact"/>
              <w:jc w:val="center"/>
              <w:rPr>
                <w:rFonts w:hint="eastAsia" w:cs="Times New Roman" w:asciiTheme="majorEastAsia" w:hAnsiTheme="majorEastAsia" w:eastAsiaTheme="majorEastAsia"/>
                <w:b/>
                <w:bCs/>
                <w:color w:val="auto"/>
                <w:kern w:val="0"/>
                <w:sz w:val="23"/>
                <w:szCs w:val="23"/>
                <w:vertAlign w:val="baseline"/>
              </w:rPr>
            </w:pPr>
            <w:r>
              <w:rPr>
                <w:rFonts w:hint="eastAsia" w:cs="Times New Roman" w:asciiTheme="majorEastAsia" w:hAnsiTheme="majorEastAsia" w:eastAsiaTheme="majorEastAsia"/>
                <w:bCs/>
                <w:color w:val="auto"/>
                <w:kern w:val="0"/>
                <w:sz w:val="23"/>
                <w:szCs w:val="23"/>
              </w:rPr>
              <w:t>3.</w:t>
            </w:r>
            <w:r>
              <w:rPr>
                <w:rFonts w:cs="Times New Roman" w:asciiTheme="majorEastAsia" w:hAnsiTheme="majorEastAsia" w:eastAsiaTheme="majorEastAsia"/>
                <w:bCs/>
                <w:color w:val="auto"/>
                <w:kern w:val="0"/>
                <w:sz w:val="23"/>
                <w:szCs w:val="23"/>
              </w:rPr>
              <w:t>7</w:t>
            </w:r>
            <w:r>
              <w:rPr>
                <w:rFonts w:hint="eastAsia" w:cs="Times New Roman" w:asciiTheme="majorEastAsia" w:hAnsiTheme="majorEastAsia" w:eastAsiaTheme="majorEastAsia"/>
                <w:bCs/>
                <w:color w:val="auto"/>
                <w:kern w:val="0"/>
                <w:sz w:val="23"/>
                <w:szCs w:val="23"/>
              </w:rPr>
              <w:t>、</w:t>
            </w:r>
          </w:p>
        </w:tc>
        <w:tc>
          <w:tcPr>
            <w:tcW w:w="7831" w:type="dxa"/>
          </w:tcPr>
          <w:p>
            <w:pPr>
              <w:jc w:val="both"/>
              <w:rPr>
                <w:rFonts w:hint="eastAsia" w:ascii="Times New Roman" w:hAnsi="Times New Roman" w:eastAsia="宋体" w:cs="Times New Roman"/>
                <w:color w:val="auto"/>
                <w:kern w:val="2"/>
                <w:sz w:val="21"/>
                <w:szCs w:val="24"/>
                <w:lang w:val="en-US" w:eastAsia="zh-CN" w:bidi="ar-SA"/>
              </w:rPr>
            </w:pPr>
            <w:r>
              <w:rPr>
                <w:rFonts w:hint="eastAsia"/>
                <w:color w:val="auto"/>
              </w:rPr>
              <w:t>可展示全景图并根据样本中细胞类别，集中汇总查看分类图。</w:t>
            </w:r>
          </w:p>
        </w:tc>
      </w:tr>
    </w:tbl>
    <w:p>
      <w:pPr>
        <w:widowControl/>
        <w:adjustRightInd w:val="0"/>
        <w:snapToGrid w:val="0"/>
        <w:spacing w:line="400" w:lineRule="exact"/>
        <w:jc w:val="left"/>
        <w:rPr>
          <w:rFonts w:cs="Times New Roman" w:asciiTheme="majorEastAsia" w:hAnsiTheme="majorEastAsia" w:eastAsiaTheme="majorEastAsia"/>
          <w:bCs/>
          <w:color w:val="auto"/>
          <w:kern w:val="0"/>
          <w:sz w:val="23"/>
          <w:szCs w:val="23"/>
        </w:rPr>
      </w:pPr>
    </w:p>
    <w:p>
      <w:pPr>
        <w:pStyle w:val="59"/>
        <w:widowControl/>
        <w:adjustRightInd w:val="0"/>
        <w:snapToGrid w:val="0"/>
        <w:ind w:firstLine="0" w:firstLineChars="0"/>
        <w:rPr>
          <w:rFonts w:ascii="微软雅黑" w:hAnsi="微软雅黑" w:eastAsia="微软雅黑" w:cs="Times New Roman"/>
          <w:b/>
          <w:bCs/>
          <w:color w:val="000000"/>
          <w:kern w:val="0"/>
          <w:szCs w:val="21"/>
        </w:rPr>
      </w:pPr>
    </w:p>
    <w:p>
      <w:pPr>
        <w:widowControl/>
        <w:adjustRightInd w:val="0"/>
        <w:snapToGrid w:val="0"/>
        <w:spacing w:line="400" w:lineRule="exact"/>
        <w:jc w:val="left"/>
        <w:rPr>
          <w:rFonts w:cs="Times New Roman" w:asciiTheme="majorEastAsia" w:hAnsiTheme="majorEastAsia" w:eastAsiaTheme="majorEastAsia"/>
          <w:bCs/>
          <w:color w:val="000000"/>
          <w:kern w:val="0"/>
          <w:sz w:val="23"/>
          <w:szCs w:val="23"/>
        </w:rPr>
      </w:pPr>
    </w:p>
    <w:p>
      <w:pPr>
        <w:pStyle w:val="2"/>
        <w:rPr>
          <w:rFonts w:cs="Times New Roman" w:asciiTheme="majorEastAsia" w:hAnsiTheme="majorEastAsia" w:eastAsiaTheme="majorEastAsia"/>
          <w:bCs/>
          <w:color w:val="000000"/>
          <w:kern w:val="0"/>
          <w:sz w:val="23"/>
          <w:szCs w:val="23"/>
        </w:rPr>
      </w:pPr>
    </w:p>
    <w:p>
      <w:pPr>
        <w:rPr>
          <w:rFonts w:cs="Times New Roman" w:asciiTheme="majorEastAsia" w:hAnsiTheme="majorEastAsia" w:eastAsiaTheme="majorEastAsia"/>
          <w:bCs/>
          <w:color w:val="000000"/>
          <w:kern w:val="0"/>
          <w:sz w:val="23"/>
          <w:szCs w:val="23"/>
        </w:rPr>
      </w:pPr>
    </w:p>
    <w:p>
      <w:pPr>
        <w:pStyle w:val="2"/>
        <w:rPr>
          <w:rFonts w:cs="Times New Roman" w:asciiTheme="majorEastAsia" w:hAnsiTheme="majorEastAsia" w:eastAsiaTheme="majorEastAsia"/>
          <w:bCs/>
          <w:color w:val="000000"/>
          <w:kern w:val="0"/>
          <w:sz w:val="23"/>
          <w:szCs w:val="23"/>
        </w:rPr>
      </w:pPr>
    </w:p>
    <w:p>
      <w:pPr>
        <w:rPr>
          <w:rFonts w:cs="Times New Roman" w:asciiTheme="majorEastAsia" w:hAnsiTheme="majorEastAsia" w:eastAsiaTheme="majorEastAsia"/>
          <w:bCs/>
          <w:color w:val="000000"/>
          <w:kern w:val="0"/>
          <w:sz w:val="23"/>
          <w:szCs w:val="23"/>
        </w:rPr>
      </w:pPr>
    </w:p>
    <w:p>
      <w:pPr>
        <w:pStyle w:val="2"/>
        <w:rPr>
          <w:rFonts w:cs="Times New Roman" w:asciiTheme="majorEastAsia" w:hAnsiTheme="majorEastAsia" w:eastAsiaTheme="majorEastAsia"/>
          <w:bCs/>
          <w:color w:val="000000"/>
          <w:kern w:val="0"/>
          <w:sz w:val="23"/>
          <w:szCs w:val="23"/>
        </w:rPr>
      </w:pPr>
    </w:p>
    <w:p>
      <w:pPr>
        <w:rPr>
          <w:rFonts w:cs="Times New Roman" w:asciiTheme="majorEastAsia" w:hAnsiTheme="majorEastAsia" w:eastAsiaTheme="majorEastAsia"/>
          <w:bCs/>
          <w:color w:val="000000"/>
          <w:kern w:val="0"/>
          <w:sz w:val="23"/>
          <w:szCs w:val="23"/>
        </w:rPr>
      </w:pPr>
    </w:p>
    <w:p>
      <w:pPr>
        <w:pStyle w:val="2"/>
        <w:rPr>
          <w:rFonts w:cs="Times New Roman" w:asciiTheme="majorEastAsia" w:hAnsiTheme="majorEastAsia" w:eastAsiaTheme="majorEastAsia"/>
          <w:bCs/>
          <w:color w:val="000000"/>
          <w:kern w:val="0"/>
          <w:sz w:val="23"/>
          <w:szCs w:val="23"/>
        </w:rPr>
      </w:pPr>
    </w:p>
    <w:p>
      <w:pPr>
        <w:rPr>
          <w:rFonts w:cs="Times New Roman" w:asciiTheme="majorEastAsia" w:hAnsiTheme="majorEastAsia" w:eastAsiaTheme="majorEastAsia"/>
          <w:bCs/>
          <w:color w:val="000000"/>
          <w:kern w:val="0"/>
          <w:sz w:val="23"/>
          <w:szCs w:val="23"/>
        </w:rPr>
      </w:pPr>
    </w:p>
    <w:p>
      <w:pPr>
        <w:pStyle w:val="2"/>
        <w:rPr>
          <w:rFonts w:cs="Times New Roman" w:asciiTheme="majorEastAsia" w:hAnsiTheme="majorEastAsia" w:eastAsiaTheme="majorEastAsia"/>
          <w:bCs/>
          <w:color w:val="000000"/>
          <w:kern w:val="0"/>
          <w:sz w:val="23"/>
          <w:szCs w:val="23"/>
        </w:rPr>
      </w:pPr>
    </w:p>
    <w:p>
      <w:pPr>
        <w:rPr>
          <w:rFonts w:cs="Times New Roman" w:asciiTheme="majorEastAsia" w:hAnsiTheme="majorEastAsia" w:eastAsiaTheme="majorEastAsia"/>
          <w:bCs/>
          <w:color w:val="000000"/>
          <w:kern w:val="0"/>
          <w:sz w:val="23"/>
          <w:szCs w:val="23"/>
        </w:rPr>
      </w:pPr>
    </w:p>
    <w:p>
      <w:pPr>
        <w:pStyle w:val="2"/>
        <w:rPr>
          <w:rFonts w:cs="Times New Roman" w:asciiTheme="majorEastAsia" w:hAnsiTheme="majorEastAsia" w:eastAsiaTheme="majorEastAsia"/>
          <w:bCs/>
          <w:color w:val="000000"/>
          <w:kern w:val="0"/>
          <w:sz w:val="23"/>
          <w:szCs w:val="23"/>
        </w:rPr>
      </w:pPr>
    </w:p>
    <w:p>
      <w:pPr>
        <w:pStyle w:val="2"/>
        <w:ind w:left="0" w:leftChars="0" w:firstLine="0" w:firstLineChars="0"/>
        <w:rPr>
          <w:rFonts w:cs="Times New Roman" w:asciiTheme="majorEastAsia" w:hAnsiTheme="majorEastAsia" w:eastAsiaTheme="majorEastAsia"/>
          <w:bCs/>
          <w:color w:val="000000"/>
          <w:kern w:val="0"/>
          <w:sz w:val="23"/>
          <w:szCs w:val="23"/>
        </w:rPr>
      </w:pPr>
    </w:p>
    <w:p>
      <w:pPr>
        <w:rPr>
          <w:rFonts w:cs="Times New Roman" w:asciiTheme="majorEastAsia" w:hAnsiTheme="majorEastAsia" w:eastAsiaTheme="majorEastAsia"/>
          <w:bCs/>
          <w:color w:val="000000"/>
          <w:kern w:val="0"/>
          <w:sz w:val="23"/>
          <w:szCs w:val="23"/>
        </w:rPr>
      </w:pPr>
    </w:p>
    <w:p>
      <w:pPr>
        <w:widowControl/>
        <w:adjustRightInd w:val="0"/>
        <w:snapToGrid w:val="0"/>
        <w:spacing w:line="400" w:lineRule="exact"/>
        <w:jc w:val="center"/>
        <w:rPr>
          <w:rFonts w:hint="eastAsia" w:ascii="微软雅黑" w:hAnsi="微软雅黑" w:eastAsia="微软雅黑" w:cs="Times New Roman"/>
          <w:b/>
          <w:bCs/>
          <w:color w:val="000000"/>
          <w:kern w:val="0"/>
          <w:sz w:val="28"/>
          <w:szCs w:val="21"/>
        </w:rPr>
      </w:pPr>
    </w:p>
    <w:p>
      <w:pPr>
        <w:widowControl/>
        <w:adjustRightInd w:val="0"/>
        <w:snapToGrid w:val="0"/>
        <w:spacing w:line="400" w:lineRule="exact"/>
        <w:jc w:val="center"/>
        <w:rPr>
          <w:rFonts w:hint="eastAsia" w:ascii="微软雅黑" w:hAnsi="微软雅黑" w:eastAsia="微软雅黑" w:cs="Times New Roman"/>
          <w:b/>
          <w:bCs/>
          <w:color w:val="000000"/>
          <w:kern w:val="0"/>
          <w:sz w:val="28"/>
          <w:szCs w:val="21"/>
        </w:rPr>
      </w:pPr>
    </w:p>
    <w:p>
      <w:pPr>
        <w:widowControl/>
        <w:adjustRightInd w:val="0"/>
        <w:snapToGrid w:val="0"/>
        <w:spacing w:line="400" w:lineRule="exact"/>
        <w:jc w:val="center"/>
        <w:rPr>
          <w:rFonts w:hint="eastAsia" w:ascii="微软雅黑" w:hAnsi="微软雅黑" w:eastAsia="微软雅黑" w:cs="Times New Roman"/>
          <w:b/>
          <w:bCs/>
          <w:color w:val="000000"/>
          <w:kern w:val="0"/>
          <w:sz w:val="28"/>
          <w:szCs w:val="21"/>
        </w:rPr>
      </w:pPr>
      <w:r>
        <w:rPr>
          <w:rFonts w:hint="eastAsia" w:ascii="微软雅黑" w:hAnsi="微软雅黑" w:eastAsia="微软雅黑" w:cs="Times New Roman"/>
          <w:b/>
          <w:bCs/>
          <w:color w:val="000000"/>
          <w:kern w:val="0"/>
          <w:sz w:val="28"/>
          <w:szCs w:val="21"/>
        </w:rPr>
        <w:t>血液分析仪招标参数</w:t>
      </w:r>
    </w:p>
    <w:tbl>
      <w:tblPr>
        <w:tblStyle w:val="25"/>
        <w:tblpPr w:leftFromText="180" w:rightFromText="180" w:vertAnchor="text" w:horzAnchor="page" w:tblpX="1360" w:tblpY="329"/>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lang w:eastAsia="zh-CN"/>
              </w:rPr>
            </w:pPr>
            <w:r>
              <w:rPr>
                <w:rFonts w:hint="eastAsia" w:ascii="宋体" w:hAnsi="宋体" w:eastAsia="宋体" w:cs="Times New Roman"/>
                <w:sz w:val="24"/>
                <w:lang w:eastAsia="zh-CN"/>
              </w:rPr>
              <w:t>序</w:t>
            </w:r>
            <w:r>
              <w:rPr>
                <w:rFonts w:hint="eastAsia" w:ascii="宋体" w:hAnsi="宋体" w:cs="Times New Roman"/>
                <w:sz w:val="24"/>
                <w:lang w:eastAsia="zh-CN"/>
              </w:rPr>
              <w:t>号</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*原装进口五分类全自动血液分析仪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2</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*检测速度：CBC+DIFF≥70/小时，：CBC+DIFF+RET≥30/小时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3</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w:t>
            </w:r>
            <w:r>
              <w:rPr>
                <w:rFonts w:hint="eastAsia" w:ascii="宋体" w:hAnsi="宋体" w:eastAsia="宋体" w:cs="Times New Roman"/>
                <w:sz w:val="24"/>
              </w:rPr>
              <w:t>检测参数：血液报告参数≥35个，体液报告参数≥6个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4</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*用血量：全血进样量≤25ul；预稀释模式用血量≤20ul，进样量≤70ul；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5</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白细胞计数：应采用先进的激光流式原理及核酸荧光染色技术，使白细胞计数免受难溶红细胞、巨大血小板、血小板簇及细胞碎片等的干扰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6</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低值白细胞检测：当遇到低值白细胞样本时，仪器可自动或人工选择转换到低值白细胞检测模式，使白细胞检测颗粒数比普通检测模式增加2倍，结果更准确、可靠。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7</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*血小板计数：具有两种方法进行血小板的定量计数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8</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网织红细胞检测功能：使用核酸荧光染色及流式细胞技术，具有全自动网织红细胞定量计数和对网织红细胞成熟度的分类。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9</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网织红细胞血红蛋白功能：具有定量报告检测网织红细胞血红蛋白含量的功能，为报告参数。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10</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体液检测速度：≥30样本/小时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11</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可以对脑脊液、胸水、腹水、关节腔积液等体液进行红细胞和白细胞计数,并对白细胞进行分类；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12</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体液检测中具有通过高荧光体液细胞参数对肿瘤细胞进行提示功能；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13</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线性范围：全血检测要满足WBC：0-440×10^9/L；RBC：0－8.6×10^12/L；PLT：0-5000×10^9/L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14</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*血液质控品：</w:t>
            </w:r>
            <w:r>
              <w:rPr>
                <w:rFonts w:hint="eastAsia" w:ascii="宋体" w:hAnsi="宋体" w:eastAsia="宋体" w:cs="Times New Roman"/>
                <w:sz w:val="24"/>
                <w:lang w:eastAsia="zh-CN"/>
              </w:rPr>
              <w:t>具有</w:t>
            </w:r>
            <w:r>
              <w:rPr>
                <w:rFonts w:hint="eastAsia" w:ascii="宋体" w:hAnsi="宋体" w:eastAsia="宋体" w:cs="Times New Roman"/>
                <w:sz w:val="24"/>
              </w:rPr>
              <w:t>原厂配套的高、中、低三个水平的质控品，并通过FDA及CFDA注册。质控项目覆盖所有报告参数；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15</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*体液质控品：</w:t>
            </w:r>
            <w:r>
              <w:rPr>
                <w:rFonts w:hint="eastAsia" w:ascii="宋体" w:hAnsi="宋体" w:eastAsia="宋体" w:cs="Times New Roman"/>
                <w:sz w:val="24"/>
                <w:lang w:eastAsia="zh-CN"/>
              </w:rPr>
              <w:t>具有</w:t>
            </w:r>
            <w:r>
              <w:rPr>
                <w:rFonts w:hint="eastAsia" w:ascii="宋体" w:hAnsi="宋体" w:eastAsia="宋体" w:cs="Times New Roman"/>
                <w:sz w:val="24"/>
              </w:rPr>
              <w:t>原厂配套的高、低两个水平的质控品，并通过FDA及CFDA注册。质控项目覆盖所有报告参数；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16</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*校准品：</w:t>
            </w:r>
            <w:r>
              <w:rPr>
                <w:rFonts w:hint="eastAsia" w:ascii="宋体" w:hAnsi="宋体" w:eastAsia="宋体" w:cs="Times New Roman"/>
                <w:sz w:val="24"/>
                <w:lang w:eastAsia="zh-CN"/>
              </w:rPr>
              <w:t>具有</w:t>
            </w:r>
            <w:r>
              <w:rPr>
                <w:rFonts w:hint="eastAsia" w:ascii="宋体" w:hAnsi="宋体" w:eastAsia="宋体" w:cs="Times New Roman"/>
                <w:sz w:val="24"/>
              </w:rPr>
              <w:t>原厂配套的、在中国CFDA注册的校准品。校准品可校准项目包含RBC、WBC、HGB、PLT、HCT、MCV、RET。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17</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实时网络通讯系统：具有实时在线网络质控功能，通过室内质控实现实时的室间质评，确保用户的结果质量达到国际质量水准。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18</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正确度（静脉血）：白细胞：≤3.0%；红细胞：≤2.0 %；血红蛋白：≤2.0%；血小板：≤5.0 %。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19</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具有自动复检功能，并能自动追加自动检测项目；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20</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流程控制：附带流程控制软件Labman，含三大功能：复检规则设定、数据统计功能（假阴性、假阳性，复检率等）、复检信息管理功能。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21</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*现场装机调试，提供现场免费面对面培训，确保操作人员熟练掌握设备的使用维护，验收合格后交接。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lang w:val="en-US" w:eastAsia="zh-CN"/>
              </w:rPr>
              <w:t>22</w:t>
            </w:r>
          </w:p>
        </w:tc>
        <w:tc>
          <w:tcPr>
            <w:tcW w:w="8399" w:type="dxa"/>
            <w:vAlign w:val="center"/>
          </w:tcPr>
          <w:p>
            <w:pPr>
              <w:spacing w:line="360" w:lineRule="auto"/>
              <w:jc w:val="left"/>
              <w:rPr>
                <w:rFonts w:hint="eastAsia" w:cs="Times New Roman" w:asciiTheme="majorEastAsia" w:hAnsiTheme="majorEastAsia" w:eastAsiaTheme="majorEastAsia"/>
                <w:b/>
                <w:bCs/>
                <w:color w:val="000000"/>
                <w:kern w:val="0"/>
                <w:sz w:val="23"/>
                <w:szCs w:val="23"/>
                <w:vertAlign w:val="baseline"/>
              </w:rPr>
            </w:pPr>
            <w:r>
              <w:rPr>
                <w:rFonts w:hint="eastAsia" w:ascii="宋体" w:hAnsi="宋体" w:eastAsia="宋体" w:cs="Times New Roman"/>
                <w:sz w:val="24"/>
              </w:rPr>
              <w:t>*在新疆注册的全国总代理直属维修服务机构或授权服务机构（提供证明），售后服务机构配有3名以上工程师（提供工程师证书），仪器出现故障，公司在2小时内作出响应，最晚24小时到达。</w:t>
            </w:r>
          </w:p>
        </w:tc>
      </w:tr>
    </w:tbl>
    <w:p>
      <w:pPr>
        <w:widowControl/>
        <w:adjustRightInd w:val="0"/>
        <w:snapToGrid w:val="0"/>
        <w:spacing w:line="400" w:lineRule="exact"/>
        <w:jc w:val="both"/>
        <w:rPr>
          <w:rFonts w:hint="eastAsia" w:ascii="微软雅黑" w:hAnsi="微软雅黑" w:eastAsia="微软雅黑" w:cs="Times New Roman"/>
          <w:b/>
          <w:bCs/>
          <w:color w:val="000000"/>
          <w:kern w:val="0"/>
          <w:sz w:val="28"/>
          <w:szCs w:val="21"/>
        </w:rPr>
      </w:pPr>
    </w:p>
    <w:p>
      <w:pPr>
        <w:pStyle w:val="2"/>
        <w:rPr>
          <w:rFonts w:hint="eastAsia" w:ascii="微软雅黑" w:hAnsi="微软雅黑" w:eastAsia="微软雅黑" w:cs="Times New Roman"/>
          <w:b/>
          <w:bCs/>
          <w:color w:val="000000"/>
          <w:kern w:val="0"/>
          <w:sz w:val="28"/>
          <w:szCs w:val="21"/>
        </w:rPr>
      </w:pPr>
    </w:p>
    <w:p>
      <w:pPr>
        <w:rPr>
          <w:rFonts w:hint="eastAsia" w:ascii="微软雅黑" w:hAnsi="微软雅黑" w:eastAsia="微软雅黑" w:cs="Times New Roman"/>
          <w:b/>
          <w:bCs/>
          <w:color w:val="000000"/>
          <w:kern w:val="0"/>
          <w:sz w:val="28"/>
          <w:szCs w:val="21"/>
        </w:rPr>
      </w:pPr>
    </w:p>
    <w:p>
      <w:pPr>
        <w:widowControl/>
        <w:adjustRightInd w:val="0"/>
        <w:snapToGrid w:val="0"/>
        <w:spacing w:line="400" w:lineRule="exact"/>
        <w:jc w:val="center"/>
        <w:rPr>
          <w:rFonts w:hint="eastAsia" w:ascii="微软雅黑" w:hAnsi="微软雅黑" w:eastAsia="微软雅黑" w:cs="Times New Roman"/>
          <w:b/>
          <w:bCs/>
          <w:color w:val="000000"/>
          <w:kern w:val="0"/>
          <w:sz w:val="28"/>
          <w:szCs w:val="21"/>
        </w:rPr>
      </w:pPr>
      <w:r>
        <w:rPr>
          <w:rFonts w:hint="eastAsia" w:ascii="微软雅黑" w:hAnsi="微软雅黑" w:eastAsia="微软雅黑" w:cs="Times New Roman"/>
          <w:b/>
          <w:bCs/>
          <w:color w:val="000000"/>
          <w:kern w:val="0"/>
          <w:sz w:val="28"/>
          <w:szCs w:val="21"/>
        </w:rPr>
        <w:t>全自动化学发光测定仪</w:t>
      </w:r>
    </w:p>
    <w:tbl>
      <w:tblPr>
        <w:tblStyle w:val="25"/>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★一、设备名称：全自动化学发光测定仪（国产）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★二、数量：1套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★三、主要技术要求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1基本功能：全自动完成免疫实验，包括加样、稀释、振荡、孵育、清洗、读数及结果判断全过程实验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2测定方法：磁微粒化学发光免疫测定（CLIA）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3分析方式：支持随机分析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4检测速度：≥200测试/小时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5仪器吸取样本后最快出结果时间：≤22分钟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6仪器吸取样本后最慢出结果时间：≤40分钟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7定标曲线稳定时间：≥28天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8仪器平台上有注册证试剂数量：≥100项；可以检测新冠抗体IgM和IgG，肺炎支原体IgM、IgG、肺炎支原体IgM、嗜肺军团菌IgM、腺病毒IgM、柯萨奇病毒B组IgM、肠道病毒71型IgM、结核伽玛干扰素项目等。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9仪器平台可开展传染病项目情况：可开展传染病项目12项以上，其中乙肝五项均为全定量检测。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10校准品：免费提供各项目校准品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11进样模式：原试管装载，多种预稀释比例选择，急诊优先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12样品位：一批次≥100个样本（可循环追加、连续加载），设有急诊样本优先通道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13样本容器：血液采集管、样本杯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14试剂盘混匀方式：非接触式混匀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15样本载体：样本架（≥5个样本位/架）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16反应杯模式：单独反应杯，随机性测试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17样本针：永久性加样针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18反应位设计：内外双转盘式设计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19样本针清洗：内外全冲式高速清洗站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20样本针加样：精密度≤2%（50ul）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21样品针加样量范围：5ul-150ul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22样品管死体积：≤150ul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23液体水平监测：具备液面检测功能、凝块检测功能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24样本稀释功能：支持在机稀释（最大100倍稀释）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25携带污染率：≤1*10-6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26反应杯位：独立反应杯，连续供给，随时添加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27试剂位：≥24个，有在机冷藏功能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28同时分析项目数：≥24个项目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29试剂更换：支持不停机更换试剂，可通过预约功能实现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30底物更换：支持不停机更换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31孵育温度：37.0℃±0.5℃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32清洗方式：≥10针可独立清洗，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33数据处理方式：四参数、线性回归、logit-log、点到点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34环境温度：10℃-30℃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35配套试剂：支持配套检测试剂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459"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36仪器可扩展性：可最大支持4台联机；并支持联接到流水线平台</w:t>
            </w:r>
          </w:p>
        </w:tc>
      </w:tr>
    </w:tbl>
    <w:p>
      <w:pPr>
        <w:snapToGrid w:val="0"/>
        <w:spacing w:line="500" w:lineRule="exact"/>
        <w:jc w:val="center"/>
        <w:rPr>
          <w:rFonts w:hint="eastAsia" w:ascii="方正小标宋简体" w:hAnsi="方正小标宋简体" w:eastAsia="方正小标宋简体" w:cs="方正小标宋简体"/>
          <w:b w:val="0"/>
          <w:bCs w:val="0"/>
          <w:sz w:val="32"/>
          <w:szCs w:val="32"/>
          <w:vertAlign w:val="baseline"/>
        </w:rPr>
      </w:pPr>
      <w:r>
        <w:rPr>
          <w:rFonts w:hint="eastAsia" w:ascii="方正小标宋简体" w:hAnsi="方正小标宋简体" w:eastAsia="方正小标宋简体" w:cs="方正小标宋简体"/>
          <w:b w:val="0"/>
          <w:bCs w:val="0"/>
          <w:sz w:val="32"/>
          <w:szCs w:val="32"/>
          <w:lang w:val="en-US" w:eastAsia="zh-CN"/>
        </w:rPr>
        <w:t>实时荧光定量PCR仪</w:t>
      </w:r>
      <w:r>
        <w:rPr>
          <w:rFonts w:hint="eastAsia" w:ascii="方正小标宋简体" w:hAnsi="方正小标宋简体" w:eastAsia="方正小标宋简体" w:cs="方正小标宋简体"/>
          <w:b w:val="0"/>
          <w:bCs w:val="0"/>
          <w:sz w:val="32"/>
          <w:szCs w:val="32"/>
        </w:rPr>
        <w:t>技术参数</w:t>
      </w:r>
      <w:r>
        <w:rPr>
          <w:rFonts w:hint="eastAsia" w:ascii="方正小标宋简体" w:hAnsi="方正小标宋简体" w:eastAsia="方正小标宋简体" w:cs="方正小标宋简体"/>
          <w:b w:val="0"/>
          <w:bCs w:val="0"/>
          <w:sz w:val="32"/>
          <w:szCs w:val="32"/>
        </w:rPr>
        <w:br w:type="textWrapping"/>
      </w:r>
    </w:p>
    <w:tbl>
      <w:tblPr>
        <w:tblStyle w:val="25"/>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napToGrid w:val="0"/>
              <w:spacing w:line="500" w:lineRule="exact"/>
              <w:jc w:val="left"/>
              <w:rPr>
                <w:rFonts w:hint="eastAsia" w:ascii="方正小标宋简体" w:hAnsi="方正小标宋简体" w:eastAsia="方正小标宋简体" w:cs="方正小标宋简体"/>
                <w:b w:val="0"/>
                <w:bCs w:val="0"/>
                <w:sz w:val="32"/>
                <w:szCs w:val="32"/>
                <w:vertAlign w:val="baseline"/>
              </w:rPr>
            </w:pPr>
            <w:r>
              <w:rPr>
                <w:rFonts w:hint="eastAsia"/>
                <w:b/>
                <w:bCs/>
                <w:sz w:val="24"/>
                <w:szCs w:val="24"/>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1、样本容量：96孔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2、光 源：大功率LED（免维护）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3、检测器：高灵敏度光电传感器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4、检测动态范围：1-1010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5、检测灵敏度：可检测单拷贝基因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 xml:space="preserve">6、反应容积：15ul-100ul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7、荧光激发波长与荧光检测波长：激发波长470-630nm；检测波长510-665nm；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8、检测的荧光素及染料：FAM、SYBR、VIC、HEX、JOE、TET、CY3、ROX、CY5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9、控温方法：半导体热电模块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val="en-US" w:eastAsia="zh-CN"/>
              </w:rPr>
              <w:t>0</w:t>
            </w:r>
            <w:r>
              <w:rPr>
                <w:rFonts w:hint="eastAsia" w:ascii="宋体" w:hAnsi="宋体" w:eastAsia="宋体" w:cs="Times New Roman"/>
                <w:sz w:val="24"/>
                <w:szCs w:val="22"/>
              </w:rPr>
              <w:t>、控温模式：模块控温、试管控温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val="en-US" w:eastAsia="zh-CN"/>
              </w:rPr>
              <w:t>1</w:t>
            </w:r>
            <w:r>
              <w:rPr>
                <w:rFonts w:hint="eastAsia" w:ascii="宋体" w:hAnsi="宋体" w:eastAsia="宋体" w:cs="Times New Roman"/>
                <w:sz w:val="24"/>
                <w:szCs w:val="22"/>
              </w:rPr>
              <w:t>、温度准确性：±0.1℃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val="en-US" w:eastAsia="zh-CN"/>
              </w:rPr>
              <w:t>2</w:t>
            </w:r>
            <w:r>
              <w:rPr>
                <w:rFonts w:hint="eastAsia" w:ascii="宋体" w:hAnsi="宋体" w:eastAsia="宋体" w:cs="Times New Roman"/>
                <w:sz w:val="24"/>
                <w:szCs w:val="22"/>
              </w:rPr>
              <w:t>、温度均匀性：±0.1℃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val="en-US" w:eastAsia="zh-CN"/>
              </w:rPr>
              <w:t>3</w:t>
            </w:r>
            <w:r>
              <w:rPr>
                <w:rFonts w:hint="eastAsia" w:ascii="宋体" w:hAnsi="宋体" w:eastAsia="宋体" w:cs="Times New Roman"/>
                <w:sz w:val="24"/>
                <w:szCs w:val="22"/>
              </w:rPr>
              <w:t>、控温范围：4℃-99℃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val="en-US" w:eastAsia="zh-CN"/>
              </w:rPr>
              <w:t>4</w:t>
            </w:r>
            <w:r>
              <w:rPr>
                <w:rFonts w:hint="eastAsia" w:ascii="宋体" w:hAnsi="宋体" w:eastAsia="宋体" w:cs="Times New Roman"/>
                <w:sz w:val="24"/>
                <w:szCs w:val="22"/>
              </w:rPr>
              <w:t>、最大升降温速率：4.5℃/s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val="en-US" w:eastAsia="zh-CN"/>
              </w:rPr>
              <w:t>5</w:t>
            </w:r>
            <w:r>
              <w:rPr>
                <w:rFonts w:hint="eastAsia" w:ascii="宋体" w:hAnsi="宋体" w:eastAsia="宋体" w:cs="Times New Roman"/>
                <w:sz w:val="24"/>
                <w:szCs w:val="22"/>
              </w:rPr>
              <w:t>、热盖：电子自动热盖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val="en-US" w:eastAsia="zh-CN"/>
              </w:rPr>
              <w:t>6</w:t>
            </w:r>
            <w:r>
              <w:rPr>
                <w:rFonts w:hint="eastAsia" w:ascii="宋体" w:hAnsi="宋体" w:eastAsia="宋体" w:cs="Times New Roman"/>
                <w:sz w:val="24"/>
                <w:szCs w:val="22"/>
              </w:rPr>
              <w:t>、操作系统：</w:t>
            </w:r>
            <w:r>
              <w:rPr>
                <w:rFonts w:hint="eastAsia" w:ascii="宋体" w:hAnsi="宋体" w:eastAsia="宋体" w:cs="Times New Roman"/>
                <w:sz w:val="24"/>
                <w:szCs w:val="22"/>
                <w:lang w:eastAsia="zh-CN"/>
              </w:rPr>
              <w:t>，台式机，</w:t>
            </w:r>
            <w:r>
              <w:rPr>
                <w:rFonts w:hint="eastAsia" w:ascii="宋体" w:hAnsi="宋体" w:eastAsia="宋体" w:cs="Times New Roman"/>
                <w:sz w:val="24"/>
                <w:szCs w:val="22"/>
              </w:rPr>
              <w:t>WindowsXP/VISTA/7/8等</w:t>
            </w:r>
            <w:r>
              <w:rPr>
                <w:rFonts w:hint="eastAsia" w:ascii="宋体" w:hAnsi="宋体" w:eastAsia="宋体" w:cs="Times New Roman"/>
                <w:sz w:val="24"/>
                <w:szCs w:val="22"/>
                <w:lang w:eastAsia="zh-CN"/>
              </w:rPr>
              <w:t>，主机配置</w:t>
            </w:r>
            <w:r>
              <w:rPr>
                <w:rFonts w:hint="eastAsia" w:ascii="宋体" w:hAnsi="宋体" w:eastAsia="宋体" w:cs="Times New Roman"/>
                <w:sz w:val="24"/>
                <w:szCs w:val="22"/>
                <w:lang w:val="en-US" w:eastAsia="zh-CN"/>
              </w:rPr>
              <w:t>I7及以上，内存8G及以上。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tcPr>
          <w:p>
            <w:pPr>
              <w:spacing w:line="360" w:lineRule="auto"/>
              <w:jc w:val="left"/>
              <w:rPr>
                <w:rFonts w:hint="eastAsia" w:ascii="宋体" w:hAnsi="宋体" w:eastAsia="宋体" w:cs="Times New Roman"/>
                <w:sz w:val="24"/>
                <w:szCs w:val="22"/>
              </w:rPr>
            </w:pPr>
            <w:r>
              <w:rPr>
                <w:rFonts w:hint="eastAsia" w:ascii="宋体" w:hAnsi="宋体" w:eastAsia="宋体" w:cs="Times New Roman"/>
                <w:sz w:val="24"/>
                <w:szCs w:val="22"/>
              </w:rPr>
              <w:t>1</w:t>
            </w:r>
            <w:r>
              <w:rPr>
                <w:rFonts w:hint="eastAsia" w:ascii="宋体" w:hAnsi="宋体" w:eastAsia="宋体" w:cs="Times New Roman"/>
                <w:sz w:val="24"/>
                <w:szCs w:val="22"/>
                <w:lang w:val="en-US" w:eastAsia="zh-CN"/>
              </w:rPr>
              <w:t>7</w:t>
            </w:r>
            <w:r>
              <w:rPr>
                <w:rFonts w:hint="eastAsia" w:ascii="宋体" w:hAnsi="宋体" w:eastAsia="宋体" w:cs="Times New Roman"/>
                <w:sz w:val="24"/>
                <w:szCs w:val="22"/>
              </w:rPr>
              <w:t>、适用耗材：0.2ml PCR管、8联管、96孔板</w:t>
            </w:r>
          </w:p>
        </w:tc>
      </w:tr>
    </w:tbl>
    <w:p>
      <w:pPr>
        <w:snapToGrid w:val="0"/>
        <w:spacing w:line="500" w:lineRule="exact"/>
        <w:jc w:val="center"/>
        <w:rPr>
          <w:rFonts w:hint="eastAsia" w:ascii="方正小标宋简体" w:hAnsi="方正小标宋简体" w:eastAsia="方正小标宋简体" w:cs="方正小标宋简体"/>
          <w:b w:val="0"/>
          <w:bCs w:val="0"/>
          <w:sz w:val="32"/>
          <w:szCs w:val="32"/>
        </w:rPr>
      </w:pPr>
    </w:p>
    <w:p>
      <w:pPr>
        <w:keepNext w:val="0"/>
        <w:keepLines w:val="0"/>
        <w:pageBreakBefore w:val="0"/>
        <w:widowControl w:val="0"/>
        <w:kinsoku/>
        <w:wordWrap/>
        <w:topLinePunct w:val="0"/>
        <w:bidi w:val="0"/>
        <w:snapToGrid w:val="0"/>
        <w:spacing w:line="400" w:lineRule="exact"/>
        <w:ind w:firstLine="720" w:firstLineChars="200"/>
        <w:jc w:val="left"/>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 xml:space="preserve"> </w:t>
      </w:r>
    </w:p>
    <w:p>
      <w:pPr>
        <w:spacing w:line="360" w:lineRule="auto"/>
        <w:jc w:val="center"/>
        <w:rPr>
          <w:rFonts w:ascii="宋体" w:hAnsi="宋体"/>
          <w:b/>
          <w:sz w:val="24"/>
          <w:szCs w:val="24"/>
        </w:rPr>
      </w:pPr>
      <w:r>
        <w:rPr>
          <w:rFonts w:hint="eastAsia"/>
          <w:sz w:val="24"/>
          <w:szCs w:val="24"/>
        </w:rPr>
        <w:t xml:space="preserve"> </w:t>
      </w:r>
      <w:r>
        <w:rPr>
          <w:rFonts w:hint="eastAsia" w:ascii="宋体" w:hAnsi="宋体"/>
          <w:b/>
          <w:sz w:val="32"/>
          <w:szCs w:val="32"/>
        </w:rPr>
        <w:t>第六章   投标文件格式</w:t>
      </w:r>
    </w:p>
    <w:p>
      <w:pPr>
        <w:spacing w:line="360" w:lineRule="auto"/>
        <w:jc w:val="left"/>
        <w:rPr>
          <w:rFonts w:ascii="宋体" w:hAnsi="宋体" w:cs="宋体"/>
          <w:b/>
          <w:color w:val="000000"/>
          <w:sz w:val="28"/>
          <w:szCs w:val="28"/>
        </w:rPr>
      </w:pPr>
      <w:r>
        <w:rPr>
          <w:rFonts w:hint="eastAsia" w:ascii="宋体" w:hAnsi="宋体" w:cs="宋体"/>
          <w:b/>
          <w:color w:val="000000"/>
          <w:sz w:val="28"/>
          <w:szCs w:val="28"/>
        </w:rPr>
        <w:t>附件</w:t>
      </w:r>
      <w:bookmarkEnd w:id="45"/>
    </w:p>
    <w:bookmarkEnd w:id="20"/>
    <w:bookmarkEnd w:id="37"/>
    <w:bookmarkEnd w:id="38"/>
    <w:bookmarkEnd w:id="39"/>
    <w:bookmarkEnd w:id="40"/>
    <w:bookmarkEnd w:id="41"/>
    <w:bookmarkEnd w:id="42"/>
    <w:bookmarkEnd w:id="43"/>
    <w:bookmarkEnd w:id="44"/>
    <w:p>
      <w:pPr>
        <w:spacing w:line="440" w:lineRule="exact"/>
        <w:ind w:firstLine="2891" w:firstLineChars="900"/>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致：（招标公司）</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、我方同意在本项目招标文件中规定的开标日起</w:t>
      </w:r>
      <w:r>
        <w:rPr>
          <w:rFonts w:hint="eastAsia" w:ascii="仿宋" w:hAnsi="仿宋" w:eastAsia="仿宋"/>
          <w:sz w:val="24"/>
          <w:u w:val="single"/>
        </w:rPr>
        <w:t>九十日内</w:t>
      </w:r>
      <w:r>
        <w:rPr>
          <w:rFonts w:hint="eastAsia" w:ascii="仿宋" w:hAnsi="仿宋" w:eastAsia="仿宋"/>
          <w:sz w:val="24"/>
        </w:rPr>
        <w:t>遵守本投标文件中的承诺且在此期限期满之前均具有约束力。</w:t>
      </w:r>
    </w:p>
    <w:p>
      <w:pPr>
        <w:pStyle w:val="53"/>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12"/>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12"/>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12"/>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12"/>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12"/>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、提供投标须知规定的全部投标文件，包括投标文件正本一份，副本贰份。</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、按招标文件要求提供和交付的货物和服务的投标报价详见投标报价表。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、保证遵守招标文件的规定。</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11</w:t>
      </w:r>
      <w:r>
        <w:rPr>
          <w:rFonts w:hint="eastAsia" w:ascii="仿宋" w:hAnsi="仿宋" w:eastAsia="仿宋"/>
          <w:sz w:val="24"/>
        </w:rPr>
        <w:t>、我方已详细审核全部投标文件，包括“修改投标文件”（如有的话）、参考资料及有关附件，确认无误。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、我方承诺接受招标文件中第四部分</w:t>
      </w:r>
      <w:r>
        <w:rPr>
          <w:rFonts w:ascii="仿宋" w:hAnsi="仿宋" w:eastAsia="仿宋"/>
          <w:sz w:val="24"/>
        </w:rPr>
        <w:t>—</w:t>
      </w:r>
      <w:r>
        <w:rPr>
          <w:rFonts w:hint="eastAsia" w:ascii="仿宋" w:hAnsi="仿宋" w:eastAsia="仿宋"/>
          <w:sz w:val="24"/>
        </w:rPr>
        <w:t>合同部分的全部条款且无任何异议。</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3"/>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13"/>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13"/>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13"/>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13"/>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13"/>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20</w:t>
      </w:r>
      <w:r>
        <w:rPr>
          <w:rFonts w:hint="eastAsia" w:ascii="仿宋" w:hAnsi="仿宋" w:eastAsia="仿宋"/>
          <w:sz w:val="24"/>
        </w:rPr>
        <w:t xml:space="preserve">   年   月  日</w:t>
      </w: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spacing w:line="440" w:lineRule="exact"/>
        <w:rPr>
          <w:rFonts w:ascii="仿宋" w:hAnsi="仿宋" w:eastAsia="仿宋"/>
          <w:sz w:val="24"/>
        </w:rPr>
      </w:pPr>
    </w:p>
    <w:p>
      <w:pPr>
        <w:widowControl/>
        <w:jc w:val="center"/>
        <w:rPr>
          <w:rFonts w:ascii="仿宋" w:hAnsi="仿宋" w:eastAsia="仿宋"/>
          <w:b/>
          <w:sz w:val="32"/>
          <w:szCs w:val="32"/>
        </w:rPr>
      </w:pPr>
      <w:r>
        <w:rPr>
          <w:rFonts w:ascii="仿宋" w:hAnsi="仿宋" w:eastAsia="仿宋"/>
          <w:b/>
          <w:sz w:val="32"/>
          <w:szCs w:val="32"/>
        </w:rPr>
        <w:br w:type="page"/>
      </w:r>
      <w:r>
        <w:rPr>
          <w:rFonts w:hint="eastAsia" w:ascii="仿宋" w:hAnsi="仿宋" w:eastAsia="仿宋"/>
          <w:b/>
          <w:sz w:val="32"/>
          <w:szCs w:val="32"/>
        </w:rPr>
        <w:t>（附件二）法人代表授权委托书（单独提交）</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项目，招标编号为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见证人签字或盖章：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ascii="仿宋" w:hAnsi="仿宋" w:eastAsia="仿宋"/>
          <w:sz w:val="24"/>
        </w:rPr>
        <w:t>20</w:t>
      </w:r>
      <w:r>
        <w:rPr>
          <w:rFonts w:hint="eastAsia" w:ascii="仿宋" w:hAnsi="仿宋" w:eastAsia="仿宋"/>
          <w:sz w:val="24"/>
        </w:rPr>
        <w:t xml:space="preserve">   年   月  日</w:t>
      </w: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注：参加开标会议的投标人的法定代表人或其委托代理人应携带本人身份证（原件并附复印件），委托代理人还应携带《法人代表授权委托书》，以证明其身份。</w:t>
      </w:r>
    </w:p>
    <w:p>
      <w:pPr>
        <w:spacing w:line="440" w:lineRule="exact"/>
        <w:rPr>
          <w:rFonts w:ascii="仿宋" w:hAnsi="仿宋" w:eastAsia="仿宋"/>
          <w:b/>
          <w:sz w:val="24"/>
          <w:em w:val="dot"/>
        </w:rPr>
      </w:pPr>
      <w:r>
        <w:rPr>
          <w:rFonts w:ascii="仿宋" w:hAnsi="仿宋" w:eastAsia="仿宋"/>
        </w:rPr>
        <w:pict>
          <v:shape id="_x0000_s1026" o:spid="_x0000_s1026" o:spt="202" type="#_x0000_t202" style="position:absolute;left:0pt;margin-left:93.5pt;margin-top:15.85pt;height:124.8pt;width:225pt;z-index:251659264;mso-width-relative:page;mso-height-relative:page;" coordsize="21600,21600" o:gfxdata="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7PddA2AAAAAoBAAAPAAAAAAAAAAEAIAAAACIAAABkcnMvZG93bnJldi54bWxQ&#10;SwECFAAUAAAACACHTuJA+0rURfcBAADqAwAADgAAAAAAAAABACAAAAAnAQAAZHJzL2Uyb0RvYy54&#10;bWxQSwUGAAAAAAYABgBZAQAAkAUAAAAA&#10;">
            <v:path/>
            <v:fill focussize="0,0"/>
            <v:stroke dashstyle="1 1"/>
            <v:imagedata o:title=""/>
            <o:lock v:ext="edit"/>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此处附法人身份证复印件正反面</w:t>
                  </w:r>
                </w:p>
              </w:txbxContent>
            </v:textbox>
          </v:shape>
        </w:pic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r>
        <w:rPr>
          <w:rFonts w:ascii="仿宋" w:hAnsi="仿宋" w:eastAsia="仿宋"/>
        </w:rPr>
        <w:pict>
          <v:shape id="_x0000_s1027" o:spid="_x0000_s1027" o:spt="202" type="#_x0000_t202" style="position:absolute;left:0pt;margin-left:99.85pt;margin-top:18.85pt;height:124.8pt;width:225pt;z-index:251660288;mso-width-relative:page;mso-height-relative:page;" coordsize="21600,21600" o:gfxdata="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vqH32QAAAAoBAAAPAAAAAAAAAAEAIAAAACIAAABkcnMvZG93bnJldi54bWxQ&#10;SwECFAAUAAAACACHTuJA/hToh/YBAADqAwAADgAAAAAAAAABACAAAAAoAQAAZHJzL2Uyb0RvYy54&#10;bWxQSwUGAAAAAAYABgBZAQAAkAUAAAAA&#10;">
            <v:path/>
            <v:fill focussize="0,0"/>
            <v:stroke dashstyle="1 1"/>
            <v:imagedata o:title=""/>
            <o:lock v:ext="edit"/>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此处附委托人身份证复印件正反面</w:t>
                  </w:r>
                </w:p>
                <w:p/>
              </w:txbxContent>
            </v:textbox>
          </v:shape>
        </w:pict>
      </w:r>
    </w:p>
    <w:p>
      <w:pPr>
        <w:spacing w:line="440" w:lineRule="exact"/>
        <w:jc w:val="center"/>
        <w:rPr>
          <w:rFonts w:ascii="仿宋" w:hAnsi="仿宋" w:eastAsia="仿宋"/>
          <w:b/>
          <w:sz w:val="30"/>
          <w:szCs w:val="30"/>
        </w:rPr>
      </w:pPr>
      <w:bookmarkStart w:id="46" w:name="_Toc501379480"/>
      <w:bookmarkStart w:id="47" w:name="_Toc495917337"/>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5"/>
      </w:pPr>
    </w:p>
    <w:p>
      <w:pPr>
        <w:pStyle w:val="16"/>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46"/>
      <w:bookmarkEnd w:id="47"/>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rPr>
      </w:pPr>
      <w:r>
        <w:rPr>
          <w:rFonts w:ascii="仿宋" w:hAnsi="仿宋" w:eastAsia="仿宋"/>
          <w:sz w:val="24"/>
          <w:szCs w:val="24"/>
        </w:rPr>
        <w:t>姓名：性别：年龄：职务：</w:t>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Lines="50" w:afterLines="50" w:line="360" w:lineRule="auto"/>
        <w:ind w:firstLine="480" w:firstLineChars="200"/>
        <w:rPr>
          <w:rFonts w:ascii="仿宋" w:hAnsi="仿宋" w:eastAsia="仿宋"/>
          <w:sz w:val="24"/>
          <w:szCs w:val="24"/>
        </w:rPr>
      </w:pP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Lines="5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z w:val="24"/>
          <w:szCs w:val="24"/>
        </w:rPr>
        <w:t>年  月  日</w:t>
      </w:r>
    </w:p>
    <w:p>
      <w:pPr>
        <w:spacing w:line="440" w:lineRule="exact"/>
        <w:jc w:val="left"/>
        <w:rPr>
          <w:rFonts w:ascii="仿宋" w:hAnsi="仿宋" w:eastAsia="仿宋"/>
          <w:b/>
          <w:sz w:val="24"/>
          <w:em w:val="dot"/>
        </w:rPr>
      </w:pPr>
      <w:r>
        <w:rPr>
          <w:rFonts w:hint="eastAsia" w:ascii="仿宋" w:hAnsi="仿宋" w:eastAsia="仿宋"/>
          <w:b/>
          <w:sz w:val="24"/>
          <w:em w:val="dot"/>
        </w:rPr>
        <w:t>注：参加开标会议的投标人的法定代表人应携带本人身份证（原件并附复印件），以证明其身   份。</w:t>
      </w:r>
    </w:p>
    <w:p>
      <w:pPr>
        <w:spacing w:line="440" w:lineRule="exact"/>
        <w:jc w:val="center"/>
        <w:rPr>
          <w:rFonts w:ascii="仿宋" w:hAnsi="仿宋" w:eastAsia="仿宋"/>
          <w:b/>
          <w:sz w:val="24"/>
          <w:em w:val="dot"/>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5"/>
      </w:pPr>
    </w:p>
    <w:p>
      <w:pPr>
        <w:spacing w:line="440" w:lineRule="exact"/>
        <w:rPr>
          <w:rFonts w:ascii="仿宋" w:hAnsi="仿宋" w:eastAsia="仿宋"/>
          <w:b/>
          <w:sz w:val="30"/>
          <w:szCs w:val="30"/>
        </w:rPr>
      </w:pPr>
      <w:r>
        <w:rPr>
          <w:rFonts w:hint="eastAsia" w:ascii="仿宋" w:hAnsi="仿宋" w:eastAsia="仿宋"/>
          <w:b/>
          <w:sz w:val="30"/>
          <w:szCs w:val="30"/>
        </w:rPr>
        <w:t xml:space="preserve">                 （附件三）关于资格的声明函</w:t>
      </w:r>
    </w:p>
    <w:p>
      <w:pPr>
        <w:spacing w:line="440" w:lineRule="exact"/>
        <w:jc w:val="center"/>
        <w:rPr>
          <w:rFonts w:ascii="仿宋" w:hAnsi="仿宋" w:eastAsia="仿宋"/>
          <w:b/>
          <w:sz w:val="30"/>
          <w:szCs w:val="30"/>
        </w:rPr>
      </w:pPr>
    </w:p>
    <w:p>
      <w:pPr>
        <w:pStyle w:val="10"/>
        <w:spacing w:line="440" w:lineRule="exact"/>
        <w:ind w:firstLine="559"/>
        <w:rPr>
          <w:rFonts w:ascii="仿宋" w:hAnsi="仿宋" w:eastAsia="仿宋"/>
        </w:rPr>
      </w:pPr>
      <w:r>
        <w:rPr>
          <w:rFonts w:hint="eastAsia" w:ascii="仿宋" w:hAnsi="仿宋" w:eastAsia="仿宋"/>
        </w:rPr>
        <w:t>致：（招标公司）：</w:t>
      </w:r>
    </w:p>
    <w:p>
      <w:pPr>
        <w:pStyle w:val="10"/>
        <w:spacing w:line="440" w:lineRule="exact"/>
        <w:ind w:firstLineChars="200"/>
        <w:rPr>
          <w:rFonts w:ascii="仿宋" w:hAnsi="仿宋" w:eastAsia="仿宋"/>
        </w:rPr>
      </w:pPr>
      <w:r>
        <w:rPr>
          <w:rFonts w:hint="eastAsia" w:ascii="仿宋" w:hAnsi="仿宋" w:eastAsia="仿宋"/>
        </w:rPr>
        <w:t>关于贵方</w:t>
      </w:r>
      <w:r>
        <w:rPr>
          <w:rFonts w:ascii="仿宋" w:hAnsi="仿宋" w:eastAsia="仿宋"/>
        </w:rPr>
        <w:t>20</w:t>
      </w:r>
      <w:r>
        <w:rPr>
          <w:rFonts w:hint="eastAsia" w:ascii="仿宋" w:hAnsi="仿宋" w:eastAsia="仿宋"/>
          <w:u w:val="single"/>
        </w:rPr>
        <w:t>　</w:t>
      </w:r>
      <w:r>
        <w:rPr>
          <w:rFonts w:hint="eastAsia" w:ascii="仿宋" w:hAnsi="仿宋" w:eastAsia="仿宋"/>
        </w:rPr>
        <w:t>年</w:t>
      </w:r>
      <w:r>
        <w:rPr>
          <w:rFonts w:hint="eastAsia" w:ascii="仿宋" w:hAnsi="仿宋" w:eastAsia="仿宋"/>
          <w:u w:val="single"/>
        </w:rPr>
        <w:t>　</w:t>
      </w:r>
      <w:r>
        <w:rPr>
          <w:rFonts w:hint="eastAsia" w:ascii="仿宋" w:hAnsi="仿宋" w:eastAsia="仿宋"/>
        </w:rPr>
        <w:t>月</w:t>
      </w:r>
      <w:r>
        <w:rPr>
          <w:rFonts w:hint="eastAsia" w:ascii="仿宋" w:hAnsi="仿宋" w:eastAsia="仿宋"/>
          <w:u w:val="single"/>
        </w:rPr>
        <w:t>　</w:t>
      </w:r>
      <w:r>
        <w:rPr>
          <w:rFonts w:hint="eastAsia" w:ascii="仿宋" w:hAnsi="仿宋" w:eastAsia="仿宋"/>
        </w:rPr>
        <w:t>日第</w:t>
      </w:r>
      <w:r>
        <w:rPr>
          <w:rFonts w:hint="eastAsia" w:ascii="仿宋" w:hAnsi="仿宋" w:eastAsia="仿宋"/>
          <w:u w:val="single"/>
        </w:rPr>
        <w:t>项目编号</w:t>
      </w:r>
      <w:r>
        <w:rPr>
          <w:rFonts w:hint="eastAsia" w:ascii="仿宋" w:hAnsi="仿宋" w:eastAsia="仿宋"/>
        </w:rPr>
        <w:t>招标公告关于</w:t>
      </w:r>
      <w:r>
        <w:rPr>
          <w:rFonts w:hint="eastAsia" w:ascii="仿宋" w:hAnsi="仿宋" w:eastAsia="仿宋"/>
          <w:u w:val="single"/>
        </w:rPr>
        <w:t>“</w:t>
      </w:r>
      <w:r>
        <w:rPr>
          <w:rFonts w:hint="eastAsia" w:ascii="仿宋" w:hAnsi="仿宋" w:eastAsia="仿宋" w:cs="宋体"/>
          <w:u w:val="single"/>
        </w:rPr>
        <w:t>项目名称</w:t>
      </w:r>
      <w:r>
        <w:rPr>
          <w:rFonts w:hint="eastAsia" w:ascii="仿宋" w:hAnsi="仿宋" w:eastAsia="仿宋"/>
          <w:u w:val="single"/>
        </w:rPr>
        <w:t>”</w:t>
      </w:r>
      <w:r>
        <w:rPr>
          <w:rFonts w:hint="eastAsia" w:ascii="仿宋" w:hAnsi="仿宋" w:eastAsia="仿宋"/>
        </w:rPr>
        <w:t>的招标项目，本签字人愿意参加投标，并有能力提供</w:t>
      </w:r>
      <w:r>
        <w:rPr>
          <w:rFonts w:hint="eastAsia" w:ascii="仿宋" w:hAnsi="仿宋" w:eastAsia="仿宋" w:cs="宋体"/>
          <w:u w:val="single"/>
        </w:rPr>
        <w:t>项目名称</w:t>
      </w:r>
      <w:r>
        <w:rPr>
          <w:rFonts w:hint="eastAsia" w:ascii="仿宋" w:hAnsi="仿宋" w:eastAsia="仿宋"/>
        </w:rPr>
        <w:t>项目中</w:t>
      </w:r>
      <w:r>
        <w:rPr>
          <w:rFonts w:hint="eastAsia" w:ascii="仿宋" w:hAnsi="仿宋" w:eastAsia="仿宋"/>
          <w:u w:val="single"/>
        </w:rPr>
        <w:t>（所投内容）</w:t>
      </w:r>
      <w:r>
        <w:rPr>
          <w:rFonts w:hint="eastAsia" w:ascii="仿宋" w:hAnsi="仿宋" w:eastAsia="仿宋"/>
        </w:rPr>
        <w:t>的招标货物及相关服务，并保证所提交的所有文件和说明是真实和准确的。</w:t>
      </w:r>
    </w:p>
    <w:p>
      <w:pPr>
        <w:pStyle w:val="10"/>
        <w:spacing w:line="440" w:lineRule="exact"/>
        <w:ind w:firstLine="559"/>
        <w:rPr>
          <w:rFonts w:ascii="仿宋" w:hAnsi="仿宋" w:eastAsia="仿宋"/>
          <w:u w:val="single"/>
        </w:rPr>
      </w:pPr>
      <w:r>
        <w:rPr>
          <w:rFonts w:hint="eastAsia" w:ascii="仿宋" w:hAnsi="仿宋" w:eastAsia="仿宋"/>
        </w:rPr>
        <w:t>投标人：</w:t>
      </w:r>
      <w:r>
        <w:rPr>
          <w:rFonts w:hint="eastAsia" w:ascii="仿宋" w:hAnsi="仿宋" w:eastAsia="仿宋"/>
          <w:u w:val="single"/>
        </w:rPr>
        <w:t>　投标人名称　</w:t>
      </w:r>
      <w:r>
        <w:rPr>
          <w:rFonts w:hint="eastAsia" w:ascii="仿宋" w:hAnsi="仿宋" w:eastAsia="仿宋"/>
        </w:rPr>
        <w:t>　签字人姓名、职务：</w:t>
      </w:r>
    </w:p>
    <w:p>
      <w:pPr>
        <w:pStyle w:val="10"/>
        <w:spacing w:line="440" w:lineRule="exact"/>
        <w:ind w:firstLine="559"/>
        <w:rPr>
          <w:rFonts w:ascii="仿宋" w:hAnsi="仿宋" w:eastAsia="仿宋"/>
          <w:u w:val="single"/>
        </w:rPr>
      </w:pPr>
      <w:r>
        <w:rPr>
          <w:rFonts w:hint="eastAsia" w:ascii="仿宋" w:hAnsi="仿宋" w:eastAsia="仿宋"/>
        </w:rPr>
        <w:t>地址：</w:t>
      </w:r>
      <w:r>
        <w:rPr>
          <w:rFonts w:hint="eastAsia" w:ascii="仿宋" w:hAnsi="仿宋" w:eastAsia="仿宋"/>
          <w:u w:val="single"/>
        </w:rPr>
        <w:t>　　　　　　　　　　　　</w:t>
      </w:r>
      <w:r>
        <w:rPr>
          <w:rFonts w:hint="eastAsia" w:ascii="仿宋" w:hAnsi="仿宋" w:eastAsia="仿宋"/>
        </w:rPr>
        <w:t>　授权签署本资格文件人：</w:t>
      </w:r>
      <w:r>
        <w:rPr>
          <w:rFonts w:hint="eastAsia" w:ascii="仿宋" w:hAnsi="仿宋" w:eastAsia="仿宋"/>
          <w:u w:val="single"/>
        </w:rPr>
        <w:t>授权人姓名</w:t>
      </w:r>
    </w:p>
    <w:p>
      <w:pPr>
        <w:pStyle w:val="10"/>
        <w:spacing w:line="440" w:lineRule="exact"/>
        <w:ind w:firstLine="559"/>
        <w:rPr>
          <w:rFonts w:ascii="仿宋" w:hAnsi="仿宋" w:eastAsia="仿宋"/>
        </w:rPr>
      </w:pPr>
      <w:r>
        <w:rPr>
          <w:rFonts w:hint="eastAsia" w:ascii="仿宋" w:hAnsi="仿宋" w:eastAsia="仿宋"/>
        </w:rPr>
        <w:t>传真：</w:t>
      </w:r>
      <w:r>
        <w:rPr>
          <w:rFonts w:hint="eastAsia" w:ascii="仿宋" w:hAnsi="仿宋" w:eastAsia="仿宋"/>
          <w:u w:val="single"/>
        </w:rPr>
        <w:t>　　　　　</w:t>
      </w:r>
      <w:r>
        <w:rPr>
          <w:rFonts w:hint="eastAsia" w:ascii="仿宋" w:hAnsi="仿宋" w:eastAsia="仿宋"/>
          <w:u w:val="single"/>
          <w:lang w:val="en-US" w:eastAsia="zh-CN"/>
        </w:rPr>
        <w:t xml:space="preserve">        </w:t>
      </w:r>
      <w:r>
        <w:rPr>
          <w:rFonts w:hint="eastAsia" w:ascii="仿宋" w:hAnsi="仿宋" w:eastAsia="仿宋"/>
        </w:rPr>
        <w:t>　　　　　　　　　　　　　</w:t>
      </w:r>
    </w:p>
    <w:p>
      <w:pPr>
        <w:pStyle w:val="10"/>
        <w:spacing w:line="440" w:lineRule="exact"/>
        <w:ind w:firstLine="559"/>
        <w:rPr>
          <w:rFonts w:ascii="仿宋" w:hAnsi="仿宋" w:eastAsia="仿宋"/>
          <w:u w:val="single"/>
        </w:rPr>
      </w:pPr>
      <w:r>
        <w:rPr>
          <w:rFonts w:hint="eastAsia" w:ascii="仿宋" w:hAnsi="仿宋" w:eastAsia="仿宋"/>
        </w:rPr>
        <w:t>邮编：</w:t>
      </w:r>
      <w:r>
        <w:rPr>
          <w:rFonts w:hint="eastAsia" w:ascii="仿宋" w:hAnsi="仿宋" w:eastAsia="仿宋"/>
          <w:u w:val="single"/>
        </w:rPr>
        <w:t>　　　　　　　　　　　　</w:t>
      </w:r>
      <w:r>
        <w:rPr>
          <w:rFonts w:hint="eastAsia" w:ascii="仿宋" w:hAnsi="仿宋" w:eastAsia="仿宋"/>
        </w:rPr>
        <w:t>　电话：</w:t>
      </w:r>
      <w:r>
        <w:rPr>
          <w:rFonts w:hint="eastAsia" w:ascii="仿宋" w:hAnsi="仿宋" w:eastAsia="仿宋"/>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pStyle w:val="2"/>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pStyle w:val="5"/>
        <w:ind w:firstLine="602"/>
        <w:rPr>
          <w:rFonts w:ascii="仿宋" w:hAnsi="仿宋" w:eastAsia="仿宋"/>
          <w:b/>
          <w:sz w:val="30"/>
          <w:szCs w:val="30"/>
        </w:rPr>
      </w:pPr>
    </w:p>
    <w:p>
      <w:pPr>
        <w:pStyle w:val="16"/>
      </w:pPr>
    </w:p>
    <w:p/>
    <w:p>
      <w:pPr>
        <w:pStyle w:val="2"/>
      </w:pPr>
    </w:p>
    <w:p>
      <w:pPr>
        <w:spacing w:line="460" w:lineRule="atLeast"/>
        <w:jc w:val="center"/>
        <w:rPr>
          <w:rFonts w:ascii="仿宋" w:hAnsi="仿宋" w:eastAsia="仿宋"/>
          <w:b/>
          <w:bCs/>
          <w:sz w:val="30"/>
          <w:szCs w:val="30"/>
        </w:rPr>
      </w:pPr>
      <w:r>
        <w:rPr>
          <w:rFonts w:hint="eastAsia" w:ascii="仿宋" w:hAnsi="仿宋" w:eastAsia="仿宋"/>
          <w:b/>
          <w:sz w:val="30"/>
          <w:szCs w:val="30"/>
        </w:rPr>
        <w:t>（附件四）</w:t>
      </w:r>
      <w:r>
        <w:rPr>
          <w:rFonts w:hint="eastAsia" w:ascii="仿宋" w:hAnsi="仿宋" w:eastAsia="仿宋"/>
          <w:b/>
          <w:bCs/>
          <w:sz w:val="30"/>
          <w:szCs w:val="30"/>
        </w:rPr>
        <w:t>开标一览表（单独提交）</w:t>
      </w:r>
    </w:p>
    <w:p>
      <w:pPr>
        <w:pStyle w:val="54"/>
        <w:spacing w:line="440" w:lineRule="exact"/>
        <w:ind w:left="210" w:leftChars="-86" w:hanging="391" w:hangingChars="163"/>
        <w:jc w:val="both"/>
        <w:rPr>
          <w:rFonts w:ascii="仿宋" w:hAnsi="仿宋" w:eastAsia="仿宋"/>
        </w:rPr>
      </w:pPr>
    </w:p>
    <w:p>
      <w:pPr>
        <w:pStyle w:val="54"/>
        <w:spacing w:line="440" w:lineRule="exact"/>
        <w:ind w:left="210" w:leftChars="-86" w:hanging="391" w:hangingChars="163"/>
        <w:jc w:val="both"/>
        <w:rPr>
          <w:rFonts w:ascii="仿宋" w:hAnsi="仿宋" w:eastAsia="仿宋"/>
        </w:rPr>
      </w:pPr>
      <w:r>
        <w:rPr>
          <w:rFonts w:hint="eastAsia" w:ascii="仿宋" w:hAnsi="仿宋" w:eastAsia="仿宋"/>
        </w:rPr>
        <w:t>招标项目名称：投标单位名称：</w:t>
      </w:r>
    </w:p>
    <w:p>
      <w:pPr>
        <w:pStyle w:val="54"/>
        <w:spacing w:line="440" w:lineRule="exact"/>
        <w:ind w:left="210" w:leftChars="-86" w:hanging="391" w:hangingChars="163"/>
        <w:jc w:val="both"/>
        <w:rPr>
          <w:rFonts w:ascii="仿宋" w:hAnsi="仿宋" w:eastAsia="仿宋"/>
        </w:rPr>
      </w:pPr>
    </w:p>
    <w:p>
      <w:pPr>
        <w:pStyle w:val="54"/>
        <w:spacing w:line="440" w:lineRule="exact"/>
        <w:ind w:left="210" w:leftChars="-86" w:hanging="391" w:hangingChars="163"/>
        <w:jc w:val="both"/>
        <w:rPr>
          <w:rFonts w:ascii="仿宋" w:hAnsi="仿宋" w:eastAsia="仿宋"/>
        </w:rPr>
      </w:pPr>
      <w:r>
        <w:rPr>
          <w:rFonts w:hint="eastAsia" w:ascii="仿宋" w:hAnsi="仿宋" w:eastAsia="仿宋"/>
        </w:rPr>
        <w:t>招标编号：投标内容：</w:t>
      </w:r>
    </w:p>
    <w:p>
      <w:pPr>
        <w:pStyle w:val="54"/>
        <w:spacing w:line="440" w:lineRule="exact"/>
        <w:ind w:left="210" w:leftChars="-86" w:hanging="391" w:hangingChars="163"/>
        <w:jc w:val="both"/>
        <w:rPr>
          <w:rFonts w:ascii="仿宋" w:hAnsi="仿宋" w:eastAsia="仿宋"/>
        </w:rPr>
      </w:pP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交货及完工期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54"/>
        <w:spacing w:line="440" w:lineRule="exact"/>
        <w:rPr>
          <w:rFonts w:ascii="仿宋" w:hAnsi="仿宋" w:eastAsia="仿宋"/>
        </w:rPr>
      </w:pPr>
    </w:p>
    <w:p>
      <w:pPr>
        <w:pStyle w:val="54"/>
        <w:spacing w:line="440" w:lineRule="exact"/>
        <w:rPr>
          <w:rFonts w:ascii="仿宋" w:hAnsi="仿宋" w:eastAsia="仿宋"/>
        </w:rPr>
      </w:pPr>
      <w:r>
        <w:rPr>
          <w:rFonts w:hint="eastAsia" w:ascii="仿宋" w:hAnsi="仿宋" w:eastAsia="仿宋"/>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p>
    <w:p>
      <w:pPr>
        <w:spacing w:line="440" w:lineRule="exact"/>
        <w:rPr>
          <w:rFonts w:ascii="仿宋" w:hAnsi="仿宋" w:eastAsia="仿宋"/>
          <w:bCs/>
          <w:sz w:val="24"/>
          <w:szCs w:val="24"/>
        </w:rPr>
      </w:pPr>
      <w:r>
        <w:rPr>
          <w:rFonts w:hint="eastAsia" w:ascii="仿宋" w:hAnsi="仿宋" w:eastAsia="仿宋"/>
          <w:bCs/>
          <w:sz w:val="24"/>
          <w:szCs w:val="24"/>
        </w:rPr>
        <w:t>日期：年月日</w:t>
      </w:r>
    </w:p>
    <w:p>
      <w:pPr>
        <w:spacing w:line="440" w:lineRule="exact"/>
        <w:rPr>
          <w:rFonts w:ascii="仿宋" w:hAnsi="仿宋" w:eastAsia="仿宋"/>
          <w:bCs/>
          <w:sz w:val="24"/>
          <w:szCs w:val="24"/>
        </w:rPr>
      </w:pPr>
      <w:r>
        <w:rPr>
          <w:rFonts w:hint="eastAsia" w:ascii="仿宋" w:hAnsi="仿宋" w:eastAsia="仿宋"/>
          <w:b/>
          <w:bCs/>
          <w:sz w:val="24"/>
          <w:szCs w:val="24"/>
        </w:rPr>
        <w:t>注：</w:t>
      </w:r>
      <w:r>
        <w:rPr>
          <w:rFonts w:ascii="仿宋" w:hAnsi="仿宋" w:eastAsia="仿宋"/>
          <w:bCs/>
          <w:sz w:val="24"/>
          <w:szCs w:val="24"/>
        </w:rPr>
        <w:t>1</w:t>
      </w:r>
      <w:r>
        <w:rPr>
          <w:rFonts w:hint="eastAsia" w:ascii="仿宋" w:hAnsi="仿宋" w:eastAsia="仿宋"/>
          <w:bCs/>
          <w:sz w:val="24"/>
          <w:szCs w:val="24"/>
        </w:rPr>
        <w:t>、此表需密封后单独提交。</w:t>
      </w:r>
    </w:p>
    <w:p>
      <w:pPr>
        <w:spacing w:line="440" w:lineRule="exact"/>
        <w:rPr>
          <w:rFonts w:ascii="仿宋" w:hAnsi="仿宋" w:eastAsia="仿宋"/>
          <w:bCs/>
          <w:sz w:val="24"/>
          <w:szCs w:val="24"/>
        </w:rPr>
      </w:pPr>
      <w:r>
        <w:rPr>
          <w:rFonts w:ascii="仿宋" w:hAnsi="仿宋" w:eastAsia="仿宋"/>
          <w:bCs/>
          <w:sz w:val="24"/>
          <w:szCs w:val="24"/>
        </w:rPr>
        <w:t>2</w:t>
      </w:r>
      <w:r>
        <w:rPr>
          <w:rFonts w:hint="eastAsia" w:ascii="仿宋" w:hAnsi="仿宋" w:eastAsia="仿宋"/>
          <w:bCs/>
          <w:sz w:val="24"/>
          <w:szCs w:val="24"/>
        </w:rPr>
        <w:t>、本表格式不得更改，投标人只能按要求填报，否则将被视为无效投标。</w:t>
      </w:r>
    </w:p>
    <w:p>
      <w:pPr>
        <w:pStyle w:val="54"/>
        <w:spacing w:line="440" w:lineRule="exact"/>
        <w:ind w:firstLine="482" w:firstLineChars="200"/>
        <w:rPr>
          <w:rFonts w:ascii="仿宋" w:hAnsi="仿宋" w:eastAsia="仿宋"/>
          <w:b/>
          <w:bCs/>
          <w:kern w:val="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5"/>
      </w:pPr>
    </w:p>
    <w:p>
      <w:pPr>
        <w:spacing w:line="440" w:lineRule="exact"/>
        <w:ind w:firstLine="2570" w:firstLineChars="800"/>
        <w:rPr>
          <w:rFonts w:ascii="仿宋" w:hAnsi="仿宋" w:eastAsia="仿宋"/>
          <w:b/>
          <w:sz w:val="32"/>
          <w:szCs w:val="32"/>
        </w:rPr>
      </w:pPr>
    </w:p>
    <w:p>
      <w:pPr>
        <w:spacing w:line="460" w:lineRule="atLeast"/>
        <w:jc w:val="center"/>
        <w:rPr>
          <w:rFonts w:ascii="仿宋" w:hAnsi="仿宋" w:eastAsia="仿宋"/>
          <w:b/>
          <w:bCs/>
          <w:sz w:val="30"/>
          <w:szCs w:val="30"/>
        </w:rPr>
      </w:pPr>
      <w:r>
        <w:rPr>
          <w:rFonts w:hint="eastAsia" w:ascii="仿宋" w:hAnsi="仿宋" w:eastAsia="仿宋"/>
          <w:b/>
          <w:bCs/>
          <w:sz w:val="30"/>
          <w:szCs w:val="30"/>
          <w:lang w:eastAsia="zh-CN"/>
        </w:rPr>
        <w:t>最终报价</w:t>
      </w:r>
      <w:r>
        <w:rPr>
          <w:rFonts w:hint="eastAsia" w:ascii="仿宋" w:hAnsi="仿宋" w:eastAsia="仿宋"/>
          <w:b/>
          <w:bCs/>
          <w:sz w:val="30"/>
          <w:szCs w:val="30"/>
        </w:rPr>
        <w:t>一览表（</w:t>
      </w:r>
      <w:r>
        <w:rPr>
          <w:rFonts w:hint="eastAsia" w:ascii="仿宋" w:hAnsi="仿宋" w:eastAsia="仿宋"/>
          <w:b/>
          <w:bCs/>
          <w:sz w:val="30"/>
          <w:szCs w:val="30"/>
          <w:lang w:eastAsia="zh-CN"/>
        </w:rPr>
        <w:t>开标现场填写</w:t>
      </w:r>
      <w:r>
        <w:rPr>
          <w:rFonts w:hint="eastAsia" w:ascii="仿宋" w:hAnsi="仿宋" w:eastAsia="仿宋"/>
          <w:b/>
          <w:bCs/>
          <w:sz w:val="30"/>
          <w:szCs w:val="30"/>
        </w:rPr>
        <w:t>提交）</w:t>
      </w:r>
    </w:p>
    <w:p>
      <w:pPr>
        <w:pStyle w:val="54"/>
        <w:spacing w:line="440" w:lineRule="exact"/>
        <w:ind w:left="210" w:leftChars="-86" w:hanging="391" w:hangingChars="163"/>
        <w:jc w:val="both"/>
        <w:rPr>
          <w:rFonts w:ascii="仿宋" w:hAnsi="仿宋" w:eastAsia="仿宋"/>
        </w:rPr>
      </w:pPr>
    </w:p>
    <w:p>
      <w:pPr>
        <w:pStyle w:val="54"/>
        <w:spacing w:line="440" w:lineRule="exact"/>
        <w:ind w:left="210" w:leftChars="-86" w:hanging="391" w:hangingChars="163"/>
        <w:jc w:val="both"/>
        <w:rPr>
          <w:rFonts w:ascii="仿宋" w:hAnsi="仿宋" w:eastAsia="仿宋"/>
        </w:rPr>
      </w:pPr>
      <w:r>
        <w:rPr>
          <w:rFonts w:hint="eastAsia" w:ascii="仿宋" w:hAnsi="仿宋" w:eastAsia="仿宋"/>
        </w:rPr>
        <w:t>招标项目名称：投标单位名称：</w:t>
      </w:r>
    </w:p>
    <w:p>
      <w:pPr>
        <w:pStyle w:val="54"/>
        <w:spacing w:line="440" w:lineRule="exact"/>
        <w:ind w:left="210" w:leftChars="-86" w:hanging="391" w:hangingChars="163"/>
        <w:jc w:val="both"/>
        <w:rPr>
          <w:rFonts w:ascii="仿宋" w:hAnsi="仿宋" w:eastAsia="仿宋"/>
        </w:rPr>
      </w:pPr>
    </w:p>
    <w:p>
      <w:pPr>
        <w:pStyle w:val="54"/>
        <w:spacing w:line="440" w:lineRule="exact"/>
        <w:ind w:left="210" w:leftChars="-86" w:hanging="391" w:hangingChars="163"/>
        <w:jc w:val="both"/>
        <w:rPr>
          <w:rFonts w:ascii="仿宋" w:hAnsi="仿宋" w:eastAsia="仿宋"/>
        </w:rPr>
      </w:pPr>
      <w:r>
        <w:rPr>
          <w:rFonts w:hint="eastAsia" w:ascii="仿宋" w:hAnsi="仿宋" w:eastAsia="仿宋"/>
        </w:rPr>
        <w:t>招标编号：投标内容：</w:t>
      </w:r>
    </w:p>
    <w:p>
      <w:pPr>
        <w:pStyle w:val="54"/>
        <w:spacing w:line="440" w:lineRule="exact"/>
        <w:ind w:left="210" w:leftChars="-86" w:hanging="391" w:hangingChars="163"/>
        <w:jc w:val="both"/>
        <w:rPr>
          <w:rFonts w:ascii="仿宋" w:hAnsi="仿宋" w:eastAsia="仿宋"/>
        </w:rPr>
      </w:pP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交货及完工期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54"/>
        <w:spacing w:line="440" w:lineRule="exact"/>
        <w:rPr>
          <w:rFonts w:ascii="仿宋" w:hAnsi="仿宋" w:eastAsia="仿宋"/>
        </w:rPr>
      </w:pPr>
    </w:p>
    <w:p>
      <w:pPr>
        <w:spacing w:line="440" w:lineRule="exact"/>
        <w:rPr>
          <w:rFonts w:ascii="仿宋" w:hAnsi="仿宋" w:eastAsia="仿宋"/>
          <w:bCs/>
          <w:sz w:val="24"/>
          <w:szCs w:val="24"/>
        </w:rPr>
      </w:pPr>
      <w:r>
        <w:rPr>
          <w:rFonts w:hint="eastAsia" w:ascii="仿宋" w:hAnsi="仿宋" w:eastAsia="仿宋"/>
          <w:lang w:val="en-US" w:eastAsia="zh-CN"/>
        </w:rPr>
        <w:t xml:space="preserve"> </w:t>
      </w:r>
      <w:r>
        <w:rPr>
          <w:rFonts w:hint="eastAsia" w:ascii="仿宋" w:hAnsi="仿宋" w:eastAsia="仿宋"/>
          <w:bCs/>
          <w:sz w:val="24"/>
          <w:szCs w:val="24"/>
        </w:rPr>
        <w:t>投标人名称（加盖公章）：</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p>
    <w:p>
      <w:pPr>
        <w:spacing w:line="440" w:lineRule="exact"/>
        <w:rPr>
          <w:rFonts w:ascii="仿宋" w:hAnsi="仿宋" w:eastAsia="仿宋"/>
          <w:bCs/>
          <w:sz w:val="24"/>
          <w:szCs w:val="24"/>
        </w:rPr>
      </w:pPr>
      <w:r>
        <w:rPr>
          <w:rFonts w:hint="eastAsia" w:ascii="仿宋" w:hAnsi="仿宋" w:eastAsia="仿宋"/>
          <w:bCs/>
          <w:sz w:val="24"/>
          <w:szCs w:val="24"/>
        </w:rPr>
        <w:t>日期：年</w:t>
      </w:r>
      <w:r>
        <w:rPr>
          <w:rFonts w:hint="eastAsia" w:ascii="仿宋" w:hAnsi="仿宋" w:eastAsia="仿宋"/>
          <w:bCs/>
          <w:sz w:val="24"/>
          <w:szCs w:val="24"/>
          <w:lang w:val="en-US" w:eastAsia="zh-CN"/>
        </w:rPr>
        <w:t xml:space="preserve"> </w:t>
      </w:r>
      <w:r>
        <w:rPr>
          <w:rFonts w:hint="eastAsia" w:ascii="仿宋" w:hAnsi="仿宋" w:eastAsia="仿宋"/>
          <w:bCs/>
          <w:sz w:val="24"/>
          <w:szCs w:val="24"/>
        </w:rPr>
        <w:t>月</w:t>
      </w:r>
      <w:r>
        <w:rPr>
          <w:rFonts w:hint="eastAsia" w:ascii="仿宋" w:hAnsi="仿宋" w:eastAsia="仿宋"/>
          <w:bCs/>
          <w:sz w:val="24"/>
          <w:szCs w:val="24"/>
          <w:lang w:val="en-US" w:eastAsia="zh-CN"/>
        </w:rPr>
        <w:t xml:space="preserve"> </w:t>
      </w:r>
      <w:r>
        <w:rPr>
          <w:rFonts w:hint="eastAsia" w:ascii="仿宋" w:hAnsi="仿宋" w:eastAsia="仿宋"/>
          <w:bCs/>
          <w:sz w:val="24"/>
          <w:szCs w:val="24"/>
        </w:rPr>
        <w:t>日</w:t>
      </w:r>
    </w:p>
    <w:p>
      <w:pPr>
        <w:spacing w:line="440" w:lineRule="exact"/>
        <w:rPr>
          <w:rFonts w:hint="eastAsia" w:ascii="仿宋" w:hAnsi="仿宋" w:eastAsia="仿宋"/>
          <w:bCs/>
          <w:sz w:val="24"/>
          <w:szCs w:val="24"/>
          <w:lang w:eastAsia="zh-CN"/>
        </w:rPr>
      </w:pPr>
      <w:r>
        <w:rPr>
          <w:rFonts w:hint="eastAsia" w:ascii="仿宋" w:hAnsi="仿宋" w:eastAsia="仿宋"/>
          <w:b/>
          <w:bCs/>
          <w:sz w:val="24"/>
          <w:szCs w:val="24"/>
        </w:rPr>
        <w:t>注：</w:t>
      </w:r>
      <w:r>
        <w:rPr>
          <w:rFonts w:hint="eastAsia" w:ascii="仿宋" w:hAnsi="仿宋" w:eastAsia="仿宋"/>
          <w:bCs/>
          <w:sz w:val="24"/>
          <w:szCs w:val="24"/>
          <w:lang w:eastAsia="zh-CN"/>
        </w:rPr>
        <w:t>开标现场填写。</w:t>
      </w:r>
    </w:p>
    <w:p>
      <w:pPr>
        <w:spacing w:line="440" w:lineRule="exact"/>
        <w:ind w:firstLine="2570" w:firstLineChars="800"/>
        <w:rPr>
          <w:rFonts w:hint="eastAsia" w:ascii="仿宋" w:hAnsi="仿宋" w:eastAsia="仿宋"/>
          <w:b/>
          <w:sz w:val="32"/>
          <w:szCs w:val="32"/>
        </w:rPr>
      </w:pPr>
    </w:p>
    <w:p>
      <w:pPr>
        <w:spacing w:line="440" w:lineRule="exact"/>
        <w:ind w:firstLine="2570" w:firstLineChars="800"/>
        <w:rPr>
          <w:rFonts w:hint="eastAsia" w:ascii="仿宋" w:hAnsi="仿宋" w:eastAsia="仿宋"/>
          <w:b/>
          <w:sz w:val="32"/>
          <w:szCs w:val="32"/>
        </w:rPr>
      </w:pPr>
    </w:p>
    <w:p>
      <w:pPr>
        <w:pStyle w:val="3"/>
        <w:numPr>
          <w:ilvl w:val="0"/>
          <w:numId w:val="0"/>
        </w:numPr>
        <w:ind w:leftChars="0"/>
        <w:rPr>
          <w:rFonts w:hint="eastAsia"/>
        </w:rPr>
      </w:pPr>
    </w:p>
    <w:p>
      <w:pPr>
        <w:spacing w:line="440" w:lineRule="exact"/>
        <w:ind w:firstLine="2570" w:firstLineChars="800"/>
        <w:rPr>
          <w:rFonts w:hint="eastAsia" w:ascii="仿宋" w:hAnsi="仿宋" w:eastAsia="仿宋"/>
          <w:b/>
          <w:sz w:val="32"/>
          <w:szCs w:val="32"/>
        </w:rPr>
      </w:pPr>
    </w:p>
    <w:p>
      <w:pPr>
        <w:spacing w:line="440" w:lineRule="exact"/>
        <w:ind w:firstLine="2570" w:firstLineChars="800"/>
        <w:rPr>
          <w:rFonts w:hint="eastAsia" w:ascii="仿宋" w:hAnsi="仿宋" w:eastAsia="仿宋"/>
          <w:b/>
          <w:sz w:val="32"/>
          <w:szCs w:val="32"/>
        </w:rPr>
      </w:pPr>
    </w:p>
    <w:p>
      <w:pPr>
        <w:spacing w:line="440" w:lineRule="exact"/>
        <w:ind w:firstLine="2570" w:firstLineChars="800"/>
        <w:rPr>
          <w:rFonts w:hint="eastAsia" w:ascii="仿宋" w:hAnsi="仿宋" w:eastAsia="仿宋"/>
          <w:b/>
          <w:sz w:val="32"/>
          <w:szCs w:val="32"/>
        </w:rPr>
      </w:pPr>
    </w:p>
    <w:p>
      <w:pPr>
        <w:spacing w:line="440" w:lineRule="exact"/>
        <w:ind w:firstLine="2570" w:firstLineChars="800"/>
        <w:rPr>
          <w:rFonts w:hint="eastAsia" w:ascii="仿宋" w:hAnsi="仿宋" w:eastAsia="仿宋"/>
          <w:b/>
          <w:sz w:val="32"/>
          <w:szCs w:val="32"/>
        </w:rPr>
      </w:pPr>
    </w:p>
    <w:p>
      <w:pPr>
        <w:spacing w:line="440" w:lineRule="exact"/>
        <w:ind w:firstLine="2570" w:firstLineChars="800"/>
        <w:rPr>
          <w:rFonts w:hint="eastAsia" w:ascii="仿宋" w:hAnsi="仿宋" w:eastAsia="仿宋"/>
          <w:b/>
          <w:sz w:val="32"/>
          <w:szCs w:val="32"/>
        </w:rPr>
      </w:pPr>
    </w:p>
    <w:p>
      <w:pPr>
        <w:spacing w:line="440" w:lineRule="exact"/>
        <w:ind w:firstLine="2570" w:firstLineChars="800"/>
        <w:rPr>
          <w:rFonts w:hint="eastAsia" w:ascii="仿宋" w:hAnsi="仿宋" w:eastAsia="仿宋"/>
          <w:b/>
          <w:sz w:val="32"/>
          <w:szCs w:val="32"/>
        </w:rPr>
      </w:pPr>
    </w:p>
    <w:p>
      <w:pPr>
        <w:spacing w:line="440" w:lineRule="exact"/>
        <w:ind w:firstLine="2570" w:firstLineChars="800"/>
        <w:rPr>
          <w:rFonts w:hint="eastAsia" w:ascii="仿宋" w:hAnsi="仿宋" w:eastAsia="仿宋"/>
          <w:b/>
          <w:sz w:val="32"/>
          <w:szCs w:val="32"/>
        </w:rPr>
      </w:pPr>
    </w:p>
    <w:p>
      <w:pPr>
        <w:spacing w:line="440" w:lineRule="exact"/>
        <w:ind w:firstLine="2570" w:firstLineChars="800"/>
        <w:rPr>
          <w:rFonts w:hint="eastAsia" w:ascii="仿宋" w:hAnsi="仿宋" w:eastAsia="仿宋"/>
          <w:b/>
          <w:sz w:val="32"/>
          <w:szCs w:val="32"/>
        </w:rPr>
      </w:pPr>
    </w:p>
    <w:p>
      <w:pPr>
        <w:pStyle w:val="3"/>
        <w:numPr>
          <w:ilvl w:val="0"/>
          <w:numId w:val="0"/>
        </w:numPr>
        <w:ind w:leftChars="0"/>
        <w:rPr>
          <w:rFonts w:hint="eastAsia"/>
        </w:rPr>
      </w:pPr>
    </w:p>
    <w:p>
      <w:pPr>
        <w:spacing w:line="440" w:lineRule="exact"/>
        <w:ind w:firstLine="2570" w:firstLineChars="800"/>
        <w:rPr>
          <w:rFonts w:ascii="仿宋" w:hAnsi="仿宋" w:eastAsia="仿宋"/>
          <w:b/>
          <w:sz w:val="32"/>
          <w:szCs w:val="32"/>
        </w:rPr>
      </w:pPr>
      <w:r>
        <w:rPr>
          <w:rFonts w:hint="eastAsia" w:ascii="仿宋" w:hAnsi="仿宋" w:eastAsia="仿宋"/>
          <w:b/>
          <w:sz w:val="32"/>
          <w:szCs w:val="32"/>
        </w:rPr>
        <w:t>（附件五）明细报价表</w:t>
      </w:r>
    </w:p>
    <w:p>
      <w:pPr>
        <w:tabs>
          <w:tab w:val="left" w:pos="5100"/>
        </w:tabs>
        <w:spacing w:line="440" w:lineRule="exact"/>
        <w:ind w:firstLine="352" w:firstLineChars="147"/>
        <w:rPr>
          <w:rFonts w:ascii="仿宋" w:hAnsi="仿宋" w:eastAsia="仿宋"/>
          <w:bCs/>
          <w:sz w:val="24"/>
          <w:szCs w:val="24"/>
        </w:rPr>
      </w:pPr>
    </w:p>
    <w:p>
      <w:pPr>
        <w:pStyle w:val="54"/>
        <w:spacing w:line="440" w:lineRule="exact"/>
        <w:rPr>
          <w:rFonts w:ascii="仿宋" w:hAnsi="仿宋" w:eastAsia="仿宋"/>
          <w:b/>
          <w:bCs/>
          <w:kern w:val="2"/>
          <w:sz w:val="32"/>
          <w:szCs w:val="32"/>
        </w:rPr>
      </w:pPr>
      <w:r>
        <w:rPr>
          <w:rFonts w:hint="eastAsia" w:ascii="仿宋" w:hAnsi="仿宋" w:eastAsia="仿宋"/>
          <w:b/>
          <w:bCs/>
          <w:kern w:val="2"/>
          <w:sz w:val="32"/>
          <w:szCs w:val="32"/>
        </w:rPr>
        <w:t>详见第四部分清单表</w:t>
      </w:r>
    </w:p>
    <w:p>
      <w:pPr>
        <w:pStyle w:val="54"/>
        <w:spacing w:line="440" w:lineRule="exact"/>
        <w:rPr>
          <w:rFonts w:ascii="仿宋" w:hAnsi="仿宋" w:eastAsia="仿宋"/>
          <w:bCs/>
          <w:kern w:val="2"/>
        </w:rPr>
      </w:pPr>
    </w:p>
    <w:p>
      <w:pPr>
        <w:spacing w:line="440" w:lineRule="exact"/>
        <w:jc w:val="center"/>
        <w:rPr>
          <w:rFonts w:ascii="仿宋" w:hAnsi="仿宋" w:eastAsia="仿宋"/>
          <w:b/>
          <w:bCs/>
          <w:sz w:val="32"/>
          <w:szCs w:val="32"/>
        </w:rPr>
      </w:pPr>
    </w:p>
    <w:p>
      <w:pPr>
        <w:spacing w:line="440" w:lineRule="exact"/>
        <w:jc w:val="center"/>
        <w:rPr>
          <w:rFonts w:ascii="仿宋" w:hAnsi="仿宋" w:eastAsia="仿宋"/>
          <w:b/>
          <w:bCs/>
          <w:sz w:val="32"/>
          <w:szCs w:val="32"/>
        </w:rPr>
      </w:pPr>
    </w:p>
    <w:p>
      <w:pPr>
        <w:spacing w:line="440" w:lineRule="exact"/>
        <w:jc w:val="center"/>
        <w:rPr>
          <w:rFonts w:ascii="仿宋" w:hAnsi="仿宋" w:eastAsia="仿宋"/>
          <w:b/>
          <w:sz w:val="32"/>
          <w:szCs w:val="32"/>
        </w:rPr>
      </w:pPr>
      <w:r>
        <w:rPr>
          <w:rFonts w:hint="eastAsia" w:ascii="仿宋" w:hAnsi="仿宋" w:eastAsia="仿宋"/>
          <w:b/>
          <w:bCs/>
          <w:sz w:val="32"/>
          <w:szCs w:val="32"/>
        </w:rPr>
        <w:t>（附件六）</w:t>
      </w:r>
      <w:r>
        <w:rPr>
          <w:rFonts w:hint="eastAsia" w:ascii="仿宋" w:hAnsi="仿宋" w:eastAsia="仿宋"/>
          <w:b/>
          <w:sz w:val="32"/>
          <w:szCs w:val="32"/>
        </w:rPr>
        <w:t>商务/技术条款偏离表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   招标编号：</w:t>
      </w:r>
    </w:p>
    <w:p>
      <w:pPr>
        <w:pStyle w:val="54"/>
        <w:spacing w:line="440" w:lineRule="exact"/>
        <w:ind w:left="208" w:leftChars="99" w:firstLine="120" w:firstLineChars="50"/>
        <w:jc w:val="both"/>
        <w:rPr>
          <w:rFonts w:ascii="仿宋" w:hAnsi="仿宋" w:eastAsia="仿宋"/>
        </w:rPr>
      </w:pPr>
    </w:p>
    <w:p>
      <w:pPr>
        <w:pStyle w:val="54"/>
        <w:spacing w:line="440" w:lineRule="exact"/>
        <w:ind w:left="208" w:leftChars="99" w:firstLine="120" w:firstLineChars="50"/>
        <w:jc w:val="both"/>
        <w:rPr>
          <w:rFonts w:ascii="仿宋" w:hAnsi="仿宋" w:eastAsia="仿宋"/>
          <w:bCs/>
          <w:kern w:val="2"/>
        </w:rPr>
      </w:pPr>
      <w:r>
        <w:rPr>
          <w:rFonts w:hint="eastAsia" w:ascii="仿宋" w:hAnsi="仿宋" w:eastAsia="仿宋"/>
        </w:rPr>
        <w:t>投标单位名称（公章）：</w:t>
      </w:r>
      <w:r>
        <w:rPr>
          <w:rFonts w:hint="eastAsia" w:ascii="仿宋" w:hAnsi="仿宋" w:eastAsia="仿宋"/>
          <w:bCs/>
          <w:kern w:val="2"/>
        </w:rPr>
        <w:t>投标内容：</w:t>
      </w:r>
    </w:p>
    <w:p>
      <w:pPr>
        <w:pStyle w:val="54"/>
        <w:spacing w:line="440" w:lineRule="exact"/>
        <w:ind w:left="208" w:leftChars="99" w:firstLine="120" w:firstLineChars="50"/>
        <w:jc w:val="both"/>
        <w:rPr>
          <w:rFonts w:ascii="仿宋" w:hAnsi="仿宋" w:eastAsia="仿宋"/>
          <w:bCs/>
          <w:kern w:val="2"/>
        </w:rPr>
      </w:pP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396"/>
        <w:gridCol w:w="3276"/>
        <w:gridCol w:w="321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仿宋" w:hAnsi="仿宋" w:eastAsia="仿宋"/>
                <w:sz w:val="24"/>
              </w:rPr>
            </w:pPr>
            <w:r>
              <w:rPr>
                <w:rFonts w:hint="eastAsia" w:ascii="仿宋" w:hAnsi="仿宋" w:eastAsia="仿宋"/>
                <w:sz w:val="24"/>
              </w:rPr>
              <w:t>序号</w:t>
            </w:r>
          </w:p>
        </w:tc>
        <w:tc>
          <w:tcPr>
            <w:tcW w:w="1396" w:type="dxa"/>
            <w:vAlign w:val="center"/>
          </w:tcPr>
          <w:p>
            <w:pPr>
              <w:spacing w:line="440" w:lineRule="exact"/>
              <w:rPr>
                <w:rFonts w:ascii="仿宋" w:hAnsi="仿宋" w:eastAsia="仿宋"/>
                <w:sz w:val="24"/>
              </w:rPr>
            </w:pPr>
            <w:r>
              <w:rPr>
                <w:rFonts w:hint="eastAsia" w:ascii="仿宋" w:hAnsi="仿宋" w:eastAsia="仿宋"/>
                <w:sz w:val="24"/>
              </w:rPr>
              <w:t>招标文件</w:t>
            </w:r>
          </w:p>
          <w:p>
            <w:pPr>
              <w:spacing w:line="440" w:lineRule="exact"/>
              <w:ind w:firstLine="240" w:firstLineChars="100"/>
              <w:rPr>
                <w:rFonts w:ascii="仿宋" w:hAnsi="仿宋" w:eastAsia="仿宋"/>
                <w:sz w:val="24"/>
              </w:rPr>
            </w:pPr>
            <w:r>
              <w:rPr>
                <w:rFonts w:hint="eastAsia" w:ascii="仿宋" w:hAnsi="仿宋" w:eastAsia="仿宋"/>
                <w:sz w:val="24"/>
              </w:rPr>
              <w:t>条目号</w:t>
            </w:r>
          </w:p>
        </w:tc>
        <w:tc>
          <w:tcPr>
            <w:tcW w:w="3276" w:type="dxa"/>
            <w:vAlign w:val="center"/>
          </w:tcPr>
          <w:p>
            <w:pPr>
              <w:spacing w:line="440" w:lineRule="exact"/>
              <w:rPr>
                <w:rFonts w:ascii="仿宋" w:hAnsi="仿宋" w:eastAsia="仿宋"/>
                <w:sz w:val="24"/>
              </w:rPr>
            </w:pPr>
            <w:r>
              <w:rPr>
                <w:rFonts w:hint="eastAsia" w:ascii="仿宋" w:hAnsi="仿宋" w:eastAsia="仿宋"/>
                <w:sz w:val="24"/>
              </w:rPr>
              <w:t>招标文件的商务（技术）条款</w:t>
            </w:r>
          </w:p>
        </w:tc>
        <w:tc>
          <w:tcPr>
            <w:tcW w:w="3216" w:type="dxa"/>
            <w:vAlign w:val="center"/>
          </w:tcPr>
          <w:p>
            <w:pPr>
              <w:spacing w:line="440" w:lineRule="exact"/>
              <w:rPr>
                <w:rFonts w:ascii="仿宋" w:hAnsi="仿宋" w:eastAsia="仿宋"/>
                <w:sz w:val="24"/>
              </w:rPr>
            </w:pPr>
            <w:r>
              <w:rPr>
                <w:rFonts w:hint="eastAsia" w:ascii="仿宋" w:hAnsi="仿宋" w:eastAsia="仿宋"/>
                <w:sz w:val="24"/>
              </w:rPr>
              <w:t>投标文件的商务（技术）条款</w:t>
            </w:r>
          </w:p>
        </w:tc>
        <w:tc>
          <w:tcPr>
            <w:tcW w:w="1075" w:type="dxa"/>
            <w:vAlign w:val="center"/>
          </w:tcPr>
          <w:p>
            <w:pPr>
              <w:spacing w:line="440" w:lineRule="exact"/>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ascii="仿宋" w:hAnsi="仿宋" w:eastAsia="仿宋"/>
                <w:sz w:val="24"/>
              </w:rPr>
              <w:t>1</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440" w:lineRule="exact"/>
              <w:rPr>
                <w:rFonts w:ascii="仿宋" w:hAnsi="仿宋" w:eastAsia="仿宋"/>
                <w:sz w:val="24"/>
              </w:rPr>
            </w:pPr>
            <w:r>
              <w:rPr>
                <w:rFonts w:ascii="仿宋" w:hAnsi="仿宋" w:eastAsia="仿宋"/>
                <w:sz w:val="24"/>
              </w:rPr>
              <w:t>2</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ascii="仿宋" w:hAnsi="仿宋" w:eastAsia="仿宋"/>
                <w:sz w:val="24"/>
              </w:rPr>
              <w:t>3</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hint="eastAsia" w:ascii="仿宋" w:hAnsi="仿宋" w:eastAsia="仿宋"/>
                <w:sz w:val="24"/>
              </w:rPr>
              <w:t>…</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bl>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投标人代表签字：</w:t>
      </w: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日期：</w:t>
      </w:r>
      <w:r>
        <w:rPr>
          <w:rFonts w:ascii="仿宋" w:hAnsi="仿宋" w:eastAsia="仿宋"/>
          <w:sz w:val="24"/>
        </w:rPr>
        <w:t>20</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　</w:t>
      </w:r>
    </w:p>
    <w:p>
      <w:pPr>
        <w:spacing w:line="440" w:lineRule="exact"/>
        <w:rPr>
          <w:rFonts w:ascii="仿宋" w:hAnsi="仿宋" w:eastAsia="仿宋"/>
          <w:b/>
          <w:sz w:val="24"/>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（附件七）项目负责人简历表及拟投入本项目主要成员表</w:t>
      </w:r>
    </w:p>
    <w:p>
      <w:pPr>
        <w:spacing w:line="440" w:lineRule="exact"/>
        <w:rPr>
          <w:rFonts w:ascii="仿宋" w:hAnsi="仿宋" w:eastAsia="仿宋"/>
          <w:b/>
          <w:sz w:val="24"/>
          <w:szCs w:val="24"/>
        </w:rPr>
      </w:pPr>
    </w:p>
    <w:p>
      <w:pPr>
        <w:numPr>
          <w:ilvl w:val="0"/>
          <w:numId w:val="14"/>
        </w:numPr>
        <w:spacing w:line="440" w:lineRule="exact"/>
        <w:rPr>
          <w:rFonts w:ascii="仿宋" w:hAnsi="仿宋" w:eastAsia="仿宋"/>
          <w:b/>
          <w:sz w:val="24"/>
          <w:szCs w:val="24"/>
        </w:rPr>
      </w:pPr>
      <w:r>
        <w:rPr>
          <w:rFonts w:hint="eastAsia" w:ascii="仿宋" w:hAnsi="仿宋" w:eastAsia="仿宋"/>
          <w:b/>
          <w:sz w:val="24"/>
          <w:szCs w:val="24"/>
        </w:rPr>
        <w:t>项目负责人简历表</w:t>
      </w:r>
    </w:p>
    <w:p>
      <w:pPr>
        <w:spacing w:line="440" w:lineRule="exact"/>
        <w:rPr>
          <w:rFonts w:ascii="仿宋" w:hAnsi="仿宋" w:eastAsia="仿宋"/>
          <w:b/>
          <w:sz w:val="24"/>
          <w:szCs w:val="24"/>
        </w:rPr>
      </w:pPr>
    </w:p>
    <w:tbl>
      <w:tblPr>
        <w:tblStyle w:val="24"/>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r>
        <w:rPr>
          <w:rFonts w:hint="eastAsia" w:ascii="仿宋" w:hAnsi="仿宋" w:eastAsia="仿宋"/>
          <w:b/>
          <w:bCs/>
          <w:sz w:val="24"/>
          <w:szCs w:val="24"/>
        </w:rPr>
        <w:t>2、拟投入本项目的主要成员表</w:t>
      </w:r>
    </w:p>
    <w:p>
      <w:pPr>
        <w:autoSpaceDE w:val="0"/>
        <w:autoSpaceDN w:val="0"/>
        <w:adjustRightInd w:val="0"/>
        <w:spacing w:line="440" w:lineRule="exact"/>
        <w:rPr>
          <w:rFonts w:ascii="仿宋" w:hAnsi="仿宋" w:eastAsia="仿宋"/>
          <w:b/>
          <w:bCs/>
          <w:sz w:val="24"/>
          <w:szCs w:val="24"/>
        </w:rPr>
      </w:pP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仿宋" w:hAnsi="仿宋" w:eastAsia="仿宋"/>
                <w:sz w:val="24"/>
              </w:rPr>
            </w:pPr>
            <w:r>
              <w:rPr>
                <w:rFonts w:hint="eastAsia" w:ascii="仿宋" w:hAnsi="仿宋" w:eastAsia="仿宋"/>
                <w:sz w:val="24"/>
              </w:rPr>
              <w:t>序号</w:t>
            </w:r>
          </w:p>
        </w:tc>
        <w:tc>
          <w:tcPr>
            <w:tcW w:w="1330" w:type="dxa"/>
            <w:vAlign w:val="center"/>
          </w:tcPr>
          <w:p>
            <w:pPr>
              <w:spacing w:line="440" w:lineRule="exact"/>
              <w:jc w:val="center"/>
              <w:rPr>
                <w:rFonts w:ascii="仿宋" w:hAnsi="仿宋" w:eastAsia="仿宋"/>
                <w:sz w:val="24"/>
              </w:rPr>
            </w:pPr>
            <w:r>
              <w:rPr>
                <w:rFonts w:hint="eastAsia" w:ascii="仿宋" w:hAnsi="仿宋" w:eastAsia="仿宋"/>
                <w:sz w:val="24"/>
              </w:rPr>
              <w:t>姓名</w:t>
            </w:r>
          </w:p>
        </w:tc>
        <w:tc>
          <w:tcPr>
            <w:tcW w:w="2040" w:type="dxa"/>
            <w:vAlign w:val="center"/>
          </w:tcPr>
          <w:p>
            <w:pPr>
              <w:spacing w:line="440" w:lineRule="exact"/>
              <w:jc w:val="center"/>
              <w:rPr>
                <w:rFonts w:ascii="仿宋" w:hAnsi="仿宋" w:eastAsia="仿宋"/>
                <w:sz w:val="24"/>
              </w:rPr>
            </w:pPr>
            <w:r>
              <w:rPr>
                <w:rFonts w:hint="eastAsia" w:ascii="仿宋" w:hAnsi="仿宋" w:eastAsia="仿宋"/>
                <w:sz w:val="24"/>
              </w:rPr>
              <w:t>性别</w:t>
            </w:r>
          </w:p>
        </w:tc>
        <w:tc>
          <w:tcPr>
            <w:tcW w:w="1939" w:type="dxa"/>
            <w:vAlign w:val="center"/>
          </w:tcPr>
          <w:p>
            <w:pPr>
              <w:spacing w:line="440" w:lineRule="exact"/>
              <w:jc w:val="center"/>
              <w:rPr>
                <w:rFonts w:ascii="仿宋" w:hAnsi="仿宋" w:eastAsia="仿宋"/>
                <w:sz w:val="24"/>
              </w:rPr>
            </w:pPr>
            <w:r>
              <w:rPr>
                <w:rFonts w:hint="eastAsia" w:ascii="仿宋" w:hAnsi="仿宋" w:eastAsia="仿宋"/>
                <w:sz w:val="24"/>
              </w:rPr>
              <w:t>职称</w:t>
            </w:r>
          </w:p>
        </w:tc>
        <w:tc>
          <w:tcPr>
            <w:tcW w:w="1799" w:type="dxa"/>
            <w:vAlign w:val="center"/>
          </w:tcPr>
          <w:p>
            <w:pPr>
              <w:spacing w:line="440" w:lineRule="exact"/>
              <w:jc w:val="center"/>
              <w:rPr>
                <w:rFonts w:ascii="仿宋" w:hAnsi="仿宋" w:eastAsia="仿宋"/>
                <w:sz w:val="24"/>
              </w:rPr>
            </w:pPr>
            <w:r>
              <w:rPr>
                <w:rFonts w:hint="eastAsia" w:ascii="仿宋" w:hAnsi="仿宋" w:eastAsia="仿宋"/>
                <w:sz w:val="24"/>
              </w:rPr>
              <w:t>岗位</w:t>
            </w:r>
          </w:p>
        </w:tc>
        <w:tc>
          <w:tcPr>
            <w:tcW w:w="2006" w:type="dxa"/>
            <w:vAlign w:val="center"/>
          </w:tcPr>
          <w:p>
            <w:pPr>
              <w:spacing w:line="440" w:lineRule="exact"/>
              <w:jc w:val="center"/>
              <w:rPr>
                <w:rFonts w:ascii="仿宋" w:hAnsi="仿宋" w:eastAsia="仿宋"/>
                <w:sz w:val="24"/>
              </w:rPr>
            </w:pPr>
            <w:r>
              <w:rPr>
                <w:rFonts w:hint="eastAsia" w:ascii="仿宋" w:hAnsi="仿宋" w:eastAsia="仿宋"/>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仿宋" w:hAnsi="仿宋" w:eastAsia="仿宋"/>
                <w:sz w:val="24"/>
              </w:rPr>
            </w:pPr>
            <w:r>
              <w:rPr>
                <w:rFonts w:ascii="仿宋" w:hAnsi="仿宋" w:eastAsia="仿宋"/>
                <w:sz w:val="24"/>
              </w:rPr>
              <w:t>1</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2006"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仿宋" w:hAnsi="仿宋" w:eastAsia="仿宋"/>
                <w:sz w:val="24"/>
              </w:rPr>
            </w:pPr>
            <w:r>
              <w:rPr>
                <w:rFonts w:ascii="仿宋" w:hAnsi="仿宋" w:eastAsia="仿宋"/>
                <w:sz w:val="24"/>
              </w:rPr>
              <w:t>2</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2006"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仿宋" w:hAnsi="仿宋" w:eastAsia="仿宋"/>
                <w:sz w:val="24"/>
              </w:rPr>
            </w:pPr>
            <w:r>
              <w:rPr>
                <w:rFonts w:ascii="仿宋" w:hAnsi="仿宋" w:eastAsia="仿宋"/>
                <w:sz w:val="24"/>
              </w:rPr>
              <w:t>3</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2006"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仿宋" w:hAnsi="仿宋" w:eastAsia="仿宋"/>
                <w:sz w:val="24"/>
              </w:rPr>
            </w:pPr>
            <w:r>
              <w:rPr>
                <w:rFonts w:hint="eastAsia" w:ascii="仿宋" w:hAnsi="仿宋" w:eastAsia="仿宋"/>
                <w:sz w:val="24"/>
              </w:rPr>
              <w:t>…</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2006" w:type="dxa"/>
          </w:tcPr>
          <w:p>
            <w:pPr>
              <w:spacing w:line="440" w:lineRule="exact"/>
              <w:jc w:val="center"/>
              <w:rPr>
                <w:rFonts w:ascii="仿宋" w:hAnsi="仿宋" w:eastAsia="仿宋"/>
                <w:sz w:val="24"/>
              </w:rPr>
            </w:pPr>
          </w:p>
        </w:tc>
      </w:tr>
    </w:tbl>
    <w:p>
      <w:pPr>
        <w:spacing w:line="440" w:lineRule="exact"/>
        <w:rPr>
          <w:rFonts w:ascii="仿宋" w:hAnsi="仿宋" w:eastAsia="仿宋"/>
          <w:sz w:val="24"/>
          <w:u w:val="single"/>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（附件八）近三年经营业绩表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   招标编号：</w:t>
      </w:r>
    </w:p>
    <w:p>
      <w:pPr>
        <w:pStyle w:val="54"/>
        <w:spacing w:line="440" w:lineRule="exact"/>
        <w:ind w:left="208" w:leftChars="99" w:firstLine="120" w:firstLineChars="50"/>
        <w:jc w:val="both"/>
        <w:rPr>
          <w:rFonts w:ascii="仿宋" w:hAnsi="仿宋" w:eastAsia="仿宋"/>
        </w:rPr>
      </w:pPr>
    </w:p>
    <w:p>
      <w:pPr>
        <w:pStyle w:val="54"/>
        <w:spacing w:line="440" w:lineRule="exact"/>
        <w:ind w:left="208" w:leftChars="99" w:firstLine="120" w:firstLineChars="50"/>
        <w:jc w:val="both"/>
        <w:rPr>
          <w:rFonts w:ascii="仿宋" w:hAnsi="仿宋" w:eastAsia="仿宋"/>
          <w:bCs/>
          <w:kern w:val="2"/>
        </w:rPr>
      </w:pPr>
      <w:r>
        <w:rPr>
          <w:rFonts w:hint="eastAsia" w:ascii="仿宋" w:hAnsi="仿宋" w:eastAsia="仿宋"/>
        </w:rPr>
        <w:t>投标单位名称（公章）：</w:t>
      </w:r>
      <w:r>
        <w:rPr>
          <w:rFonts w:hint="eastAsia" w:ascii="仿宋" w:hAnsi="仿宋" w:eastAsia="仿宋"/>
          <w:bCs/>
          <w:kern w:val="2"/>
        </w:rPr>
        <w:t>投标内容：</w:t>
      </w:r>
    </w:p>
    <w:p>
      <w:pPr>
        <w:pStyle w:val="54"/>
        <w:spacing w:line="440" w:lineRule="exact"/>
        <w:ind w:left="208" w:leftChars="99" w:firstLine="120" w:firstLineChars="50"/>
        <w:jc w:val="both"/>
        <w:rPr>
          <w:rFonts w:ascii="仿宋" w:hAnsi="仿宋" w:eastAsia="仿宋"/>
          <w:bCs/>
          <w:kern w:val="2"/>
        </w:rPr>
      </w:pP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地区</w:t>
            </w:r>
          </w:p>
        </w:tc>
        <w:tc>
          <w:tcPr>
            <w:tcW w:w="3763"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w:t>
            </w:r>
          </w:p>
        </w:tc>
        <w:tc>
          <w:tcPr>
            <w:tcW w:w="3763" w:type="dxa"/>
          </w:tcPr>
          <w:p>
            <w:pPr>
              <w:spacing w:line="440" w:lineRule="exact"/>
              <w:jc w:val="center"/>
              <w:rPr>
                <w:rFonts w:ascii="仿宋" w:hAnsi="仿宋" w:eastAsia="仿宋"/>
                <w:sz w:val="24"/>
              </w:rPr>
            </w:pPr>
            <w:r>
              <w:rPr>
                <w:rFonts w:hint="eastAsia" w:ascii="仿宋" w:hAnsi="仿宋" w:eastAsia="仿宋"/>
                <w:sz w:val="24"/>
              </w:rPr>
              <w:t>…</w:t>
            </w:r>
          </w:p>
        </w:tc>
        <w:tc>
          <w:tcPr>
            <w:tcW w:w="2154" w:type="dxa"/>
          </w:tcPr>
          <w:p>
            <w:pPr>
              <w:spacing w:line="440" w:lineRule="exact"/>
              <w:jc w:val="center"/>
              <w:rPr>
                <w:rFonts w:ascii="仿宋" w:hAnsi="仿宋" w:eastAsia="仿宋"/>
                <w:sz w:val="24"/>
              </w:rPr>
            </w:pPr>
            <w:r>
              <w:rPr>
                <w:rFonts w:hint="eastAsia" w:ascii="仿宋" w:hAnsi="仿宋" w:eastAsia="仿宋"/>
                <w:sz w:val="24"/>
              </w:rPr>
              <w:t>…</w:t>
            </w:r>
          </w:p>
        </w:tc>
        <w:tc>
          <w:tcPr>
            <w:tcW w:w="1719"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rPr>
          <w:rFonts w:ascii="仿宋" w:hAnsi="仿宋" w:eastAsia="仿宋"/>
          <w:b/>
          <w:sz w:val="24"/>
        </w:rPr>
      </w:pPr>
    </w:p>
    <w:p>
      <w:pPr>
        <w:spacing w:line="440" w:lineRule="exact"/>
        <w:rPr>
          <w:rFonts w:ascii="仿宋" w:hAnsi="仿宋" w:eastAsia="仿宋"/>
          <w:b/>
          <w:sz w:val="24"/>
        </w:rPr>
      </w:pPr>
      <w:r>
        <w:rPr>
          <w:rFonts w:hint="eastAsia" w:ascii="仿宋" w:hAnsi="仿宋" w:eastAsia="仿宋"/>
          <w:b/>
          <w:sz w:val="24"/>
        </w:rPr>
        <w:t>附中标通知书或合同复印件。</w:t>
      </w: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r>
        <w:rPr>
          <w:rFonts w:hint="eastAsia" w:ascii="仿宋" w:hAnsi="仿宋" w:eastAsia="仿宋"/>
          <w:b/>
          <w:sz w:val="30"/>
          <w:szCs w:val="30"/>
        </w:rPr>
        <w:t>（附件九）投标单位（供应商）《反商业贿赂承诺书》</w:t>
      </w:r>
    </w:p>
    <w:p>
      <w:pPr>
        <w:pStyle w:val="10"/>
        <w:spacing w:line="440" w:lineRule="exact"/>
        <w:ind w:firstLine="559"/>
        <w:rPr>
          <w:rFonts w:ascii="仿宋" w:hAnsi="仿宋" w:eastAsia="仿宋"/>
        </w:rPr>
      </w:pPr>
    </w:p>
    <w:p>
      <w:pPr>
        <w:pStyle w:val="10"/>
        <w:spacing w:line="440" w:lineRule="exact"/>
        <w:ind w:firstLine="559"/>
        <w:rPr>
          <w:rFonts w:ascii="仿宋" w:hAnsi="仿宋" w:eastAsia="仿宋"/>
        </w:rPr>
      </w:pPr>
      <w:r>
        <w:rPr>
          <w:rFonts w:hint="eastAsia" w:ascii="仿宋" w:hAnsi="仿宋" w:eastAsia="仿宋"/>
        </w:rPr>
        <w:t>我公司承诺在</w:t>
      </w:r>
      <w:r>
        <w:rPr>
          <w:rFonts w:hint="eastAsia" w:ascii="仿宋" w:hAnsi="仿宋" w:eastAsia="仿宋"/>
          <w:u w:val="single"/>
        </w:rPr>
        <w:t>（项目名称、项目编号、投标内容）</w:t>
      </w:r>
      <w:r>
        <w:rPr>
          <w:rFonts w:hint="eastAsia" w:ascii="仿宋" w:hAnsi="仿宋" w:eastAsia="仿宋"/>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0"/>
        <w:spacing w:line="440" w:lineRule="exact"/>
        <w:ind w:firstLine="559"/>
        <w:rPr>
          <w:rFonts w:ascii="仿宋" w:hAnsi="仿宋" w:eastAsia="仿宋"/>
        </w:rPr>
      </w:pPr>
    </w:p>
    <w:p>
      <w:pPr>
        <w:pStyle w:val="10"/>
        <w:spacing w:line="440" w:lineRule="exact"/>
        <w:ind w:firstLine="559"/>
        <w:rPr>
          <w:rFonts w:ascii="仿宋" w:hAnsi="仿宋" w:eastAsia="仿宋"/>
        </w:rPr>
      </w:pPr>
      <w:r>
        <w:rPr>
          <w:rFonts w:hint="eastAsia" w:ascii="仿宋" w:hAnsi="仿宋" w:eastAsia="仿宋"/>
        </w:rPr>
        <w:t>公司法人代表：</w:t>
      </w:r>
    </w:p>
    <w:p>
      <w:pPr>
        <w:pStyle w:val="10"/>
        <w:spacing w:line="440" w:lineRule="exact"/>
        <w:ind w:firstLine="559"/>
        <w:rPr>
          <w:rFonts w:ascii="仿宋" w:hAnsi="仿宋" w:eastAsia="仿宋"/>
        </w:rPr>
      </w:pPr>
    </w:p>
    <w:p>
      <w:pPr>
        <w:pStyle w:val="10"/>
        <w:spacing w:line="440" w:lineRule="exact"/>
        <w:ind w:firstLine="559"/>
        <w:rPr>
          <w:rFonts w:ascii="仿宋" w:hAnsi="仿宋" w:eastAsia="仿宋"/>
        </w:rPr>
      </w:pPr>
      <w:r>
        <w:rPr>
          <w:rFonts w:hint="eastAsia" w:ascii="仿宋" w:hAnsi="仿宋" w:eastAsia="仿宋"/>
        </w:rPr>
        <w:t>法人授权代表：</w:t>
      </w:r>
    </w:p>
    <w:p>
      <w:pPr>
        <w:pStyle w:val="10"/>
        <w:spacing w:line="440" w:lineRule="exact"/>
        <w:ind w:firstLineChars="200"/>
        <w:rPr>
          <w:rFonts w:ascii="仿宋" w:hAnsi="仿宋" w:eastAsia="仿宋"/>
        </w:rPr>
      </w:pPr>
    </w:p>
    <w:p>
      <w:pPr>
        <w:pStyle w:val="10"/>
        <w:spacing w:line="440" w:lineRule="exact"/>
        <w:ind w:firstLineChars="200"/>
        <w:rPr>
          <w:rFonts w:ascii="仿宋" w:hAnsi="仿宋" w:eastAsia="仿宋"/>
        </w:rPr>
      </w:pPr>
      <w:r>
        <w:rPr>
          <w:rFonts w:hint="eastAsia" w:ascii="仿宋" w:hAnsi="仿宋" w:eastAsia="仿宋"/>
        </w:rPr>
        <w:t>日期：</w:t>
      </w: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rPr>
          <w:rFonts w:ascii="仿宋" w:hAnsi="仿宋" w:eastAsia="仿宋" w:cs="宋体"/>
          <w:b/>
          <w:kern w:val="0"/>
          <w:sz w:val="32"/>
          <w:szCs w:val="32"/>
        </w:rPr>
      </w:pPr>
    </w:p>
    <w:p>
      <w:pPr>
        <w:pStyle w:val="5"/>
      </w:pPr>
    </w:p>
    <w:p>
      <w:pPr>
        <w:jc w:val="center"/>
        <w:rPr>
          <w:rFonts w:ascii="仿宋" w:hAnsi="仿宋" w:eastAsia="仿宋" w:cs="宋体"/>
          <w:b/>
          <w:kern w:val="0"/>
          <w:sz w:val="32"/>
          <w:szCs w:val="32"/>
        </w:rPr>
      </w:pPr>
      <w:r>
        <w:rPr>
          <w:rFonts w:hint="eastAsia" w:ascii="仿宋" w:hAnsi="仿宋" w:eastAsia="仿宋" w:cs="宋体"/>
          <w:b/>
          <w:kern w:val="0"/>
          <w:sz w:val="32"/>
          <w:szCs w:val="32"/>
        </w:rPr>
        <w:t>（附件十）售后服务承诺书</w:t>
      </w:r>
    </w:p>
    <w:p>
      <w:pPr>
        <w:shd w:val="clear" w:color="auto" w:fill="FFFFFF"/>
        <w:spacing w:line="440" w:lineRule="exact"/>
        <w:ind w:firstLine="475" w:firstLineChars="198"/>
        <w:rPr>
          <w:rFonts w:ascii="仿宋" w:hAnsi="仿宋" w:eastAsia="仿宋" w:cs="宋体"/>
          <w:kern w:val="0"/>
          <w:sz w:val="24"/>
        </w:rPr>
      </w:pPr>
    </w:p>
    <w:p>
      <w:pPr>
        <w:shd w:val="clear" w:color="auto" w:fill="FFFFFF"/>
        <w:spacing w:line="440" w:lineRule="exact"/>
        <w:ind w:firstLine="475" w:firstLineChars="198"/>
        <w:rPr>
          <w:rFonts w:ascii="仿宋" w:hAnsi="仿宋" w:eastAsia="仿宋" w:cs="宋体"/>
          <w:kern w:val="0"/>
          <w:sz w:val="24"/>
        </w:rPr>
      </w:pPr>
      <w:r>
        <w:rPr>
          <w:rFonts w:hint="eastAsia" w:ascii="仿宋" w:hAnsi="仿宋" w:eastAsia="仿宋" w:cs="宋体"/>
          <w:kern w:val="0"/>
          <w:sz w:val="24"/>
        </w:rPr>
        <w:t>售后服务：市内有售后服务机构，报价供应商必须按提交的售后服务承诺书，提供售后服务。</w:t>
      </w:r>
    </w:p>
    <w:p>
      <w:pPr>
        <w:shd w:val="clear" w:color="auto" w:fill="FFFFFF"/>
        <w:spacing w:line="440" w:lineRule="exact"/>
        <w:ind w:firstLine="480" w:firstLineChars="200"/>
        <w:jc w:val="left"/>
        <w:rPr>
          <w:rFonts w:ascii="仿宋" w:hAnsi="仿宋" w:eastAsia="仿宋" w:cs="宋体"/>
          <w:kern w:val="0"/>
          <w:sz w:val="24"/>
          <w:u w:val="single"/>
        </w:rPr>
      </w:pPr>
      <w:r>
        <w:rPr>
          <w:rFonts w:hint="eastAsia" w:ascii="仿宋" w:hAnsi="仿宋" w:eastAsia="仿宋" w:cs="宋体"/>
          <w:kern w:val="0"/>
          <w:sz w:val="24"/>
        </w:rPr>
        <w:t>一、拟提供售后服务的项目：</w:t>
      </w:r>
    </w:p>
    <w:p>
      <w:pPr>
        <w:shd w:val="clear" w:color="auto" w:fill="FFFFFF"/>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二、送货服务响应及到达现场的时间：</w:t>
      </w:r>
    </w:p>
    <w:p>
      <w:pPr>
        <w:shd w:val="clear" w:color="auto" w:fill="FFFFFF"/>
        <w:spacing w:line="440" w:lineRule="exact"/>
        <w:ind w:firstLine="480" w:firstLineChars="200"/>
        <w:jc w:val="left"/>
        <w:rPr>
          <w:rFonts w:ascii="仿宋" w:hAnsi="仿宋" w:eastAsia="仿宋" w:cs="宋体"/>
          <w:kern w:val="0"/>
          <w:sz w:val="24"/>
          <w:u w:val="single"/>
        </w:rPr>
      </w:pPr>
      <w:r>
        <w:rPr>
          <w:rFonts w:hint="eastAsia" w:ascii="仿宋" w:hAnsi="仿宋" w:eastAsia="仿宋" w:cs="宋体"/>
          <w:kern w:val="0"/>
          <w:sz w:val="24"/>
        </w:rPr>
        <w:t>三、报价供应商的其他服务承诺及优惠条件：</w:t>
      </w:r>
    </w:p>
    <w:p>
      <w:pPr>
        <w:widowControl/>
        <w:spacing w:before="100" w:beforeAutospacing="1" w:after="100" w:afterAutospacing="1" w:line="440" w:lineRule="exact"/>
        <w:ind w:firstLine="899"/>
        <w:jc w:val="left"/>
        <w:rPr>
          <w:rFonts w:ascii="仿宋" w:hAnsi="仿宋" w:eastAsia="仿宋" w:cs="宋体"/>
          <w:kern w:val="0"/>
          <w:sz w:val="24"/>
        </w:rPr>
      </w:pPr>
      <w:r>
        <w:rPr>
          <w:rFonts w:hint="eastAsia" w:ascii="仿宋" w:hAnsi="仿宋" w:eastAsia="仿宋" w:cs="宋体"/>
          <w:kern w:val="0"/>
          <w:sz w:val="24"/>
        </w:rPr>
        <w:t>公司法人代表</w:t>
      </w:r>
      <w:r>
        <w:rPr>
          <w:rFonts w:ascii="仿宋" w:hAnsi="仿宋" w:eastAsia="仿宋" w:cs="宋体"/>
          <w:kern w:val="0"/>
          <w:sz w:val="24"/>
        </w:rPr>
        <w:t>(</w:t>
      </w:r>
      <w:r>
        <w:rPr>
          <w:rFonts w:hint="eastAsia" w:ascii="仿宋" w:hAnsi="仿宋" w:eastAsia="仿宋" w:cs="宋体"/>
          <w:kern w:val="0"/>
          <w:sz w:val="24"/>
        </w:rPr>
        <w:t>盖章或签字</w:t>
      </w:r>
      <w:r>
        <w:rPr>
          <w:rFonts w:ascii="仿宋" w:hAnsi="仿宋" w:eastAsia="仿宋" w:cs="宋体"/>
          <w:kern w:val="0"/>
          <w:sz w:val="24"/>
        </w:rPr>
        <w:t>)</w:t>
      </w:r>
      <w:r>
        <w:rPr>
          <w:rFonts w:hint="eastAsia" w:ascii="仿宋" w:hAnsi="仿宋" w:eastAsia="仿宋" w:cs="宋体"/>
          <w:kern w:val="0"/>
          <w:sz w:val="24"/>
        </w:rPr>
        <w:t>：</w:t>
      </w:r>
    </w:p>
    <w:p>
      <w:pPr>
        <w:widowControl/>
        <w:spacing w:before="100" w:beforeAutospacing="1" w:after="100" w:afterAutospacing="1" w:line="440" w:lineRule="exact"/>
        <w:ind w:firstLine="899"/>
        <w:jc w:val="left"/>
        <w:rPr>
          <w:rFonts w:ascii="仿宋" w:hAnsi="仿宋" w:eastAsia="仿宋" w:cs="宋体"/>
          <w:kern w:val="0"/>
          <w:sz w:val="24"/>
        </w:rPr>
      </w:pPr>
      <w:r>
        <w:rPr>
          <w:rFonts w:hint="eastAsia" w:ascii="仿宋" w:hAnsi="仿宋" w:eastAsia="仿宋" w:cs="宋体"/>
          <w:kern w:val="0"/>
          <w:sz w:val="24"/>
        </w:rPr>
        <w:t>法人授权代表</w:t>
      </w:r>
      <w:r>
        <w:rPr>
          <w:rFonts w:ascii="仿宋" w:hAnsi="仿宋" w:eastAsia="仿宋" w:cs="宋体"/>
          <w:kern w:val="0"/>
          <w:sz w:val="24"/>
        </w:rPr>
        <w:t>(</w:t>
      </w:r>
      <w:r>
        <w:rPr>
          <w:rFonts w:hint="eastAsia" w:ascii="仿宋" w:hAnsi="仿宋" w:eastAsia="仿宋" w:cs="宋体"/>
          <w:kern w:val="0"/>
          <w:sz w:val="24"/>
        </w:rPr>
        <w:t>盖章或签字</w:t>
      </w:r>
      <w:r>
        <w:rPr>
          <w:rFonts w:ascii="仿宋" w:hAnsi="仿宋" w:eastAsia="仿宋" w:cs="宋体"/>
          <w:kern w:val="0"/>
          <w:sz w:val="24"/>
        </w:rPr>
        <w:t>)</w:t>
      </w:r>
      <w:r>
        <w:rPr>
          <w:rFonts w:hint="eastAsia" w:ascii="仿宋" w:hAnsi="仿宋" w:eastAsia="仿宋" w:cs="宋体"/>
          <w:kern w:val="0"/>
          <w:sz w:val="24"/>
        </w:rPr>
        <w:t>：</w:t>
      </w:r>
    </w:p>
    <w:p>
      <w:pPr>
        <w:widowControl/>
        <w:spacing w:before="100" w:beforeAutospacing="1" w:after="100" w:afterAutospacing="1" w:line="440" w:lineRule="exact"/>
        <w:ind w:firstLine="897"/>
        <w:jc w:val="left"/>
        <w:rPr>
          <w:rFonts w:ascii="仿宋" w:hAnsi="仿宋" w:eastAsia="仿宋" w:cs="宋体"/>
          <w:kern w:val="0"/>
          <w:sz w:val="24"/>
        </w:rPr>
      </w:pPr>
      <w:r>
        <w:rPr>
          <w:rFonts w:hint="eastAsia" w:ascii="仿宋" w:hAnsi="仿宋" w:eastAsia="仿宋" w:cs="宋体"/>
          <w:kern w:val="0"/>
          <w:sz w:val="24"/>
        </w:rPr>
        <w:t>项目经办人</w:t>
      </w:r>
      <w:r>
        <w:rPr>
          <w:rFonts w:ascii="仿宋" w:hAnsi="仿宋" w:eastAsia="仿宋" w:cs="宋体"/>
          <w:kern w:val="0"/>
          <w:sz w:val="24"/>
        </w:rPr>
        <w:t>(</w:t>
      </w:r>
      <w:r>
        <w:rPr>
          <w:rFonts w:hint="eastAsia" w:ascii="仿宋" w:hAnsi="仿宋" w:eastAsia="仿宋" w:cs="宋体"/>
          <w:kern w:val="0"/>
          <w:sz w:val="24"/>
        </w:rPr>
        <w:t>盖章或签字</w:t>
      </w:r>
      <w:r>
        <w:rPr>
          <w:rFonts w:ascii="仿宋" w:hAnsi="仿宋" w:eastAsia="仿宋" w:cs="宋体"/>
          <w:kern w:val="0"/>
          <w:sz w:val="24"/>
        </w:rPr>
        <w:t>)</w:t>
      </w:r>
      <w:r>
        <w:rPr>
          <w:rFonts w:hint="eastAsia" w:ascii="仿宋" w:hAnsi="仿宋" w:eastAsia="仿宋" w:cs="宋体"/>
          <w:kern w:val="0"/>
          <w:sz w:val="24"/>
        </w:rPr>
        <w:t>：</w:t>
      </w:r>
    </w:p>
    <w:p>
      <w:pPr>
        <w:widowControl/>
        <w:adjustRightInd w:val="0"/>
        <w:spacing w:line="440" w:lineRule="exact"/>
        <w:jc w:val="left"/>
        <w:rPr>
          <w:rFonts w:ascii="仿宋" w:hAnsi="仿宋" w:eastAsia="仿宋" w:cs="宋体"/>
          <w:kern w:val="0"/>
          <w:sz w:val="24"/>
        </w:rPr>
      </w:pPr>
      <w:r>
        <w:rPr>
          <w:rFonts w:hint="eastAsia" w:ascii="仿宋" w:hAnsi="仿宋" w:eastAsia="仿宋" w:cs="宋体"/>
          <w:kern w:val="0"/>
          <w:sz w:val="24"/>
        </w:rPr>
        <w:t xml:space="preserve">       日 期：</w:t>
      </w:r>
      <w:r>
        <w:rPr>
          <w:rFonts w:ascii="仿宋" w:hAnsi="仿宋" w:eastAsia="仿宋" w:cs="宋体"/>
          <w:kern w:val="0"/>
          <w:sz w:val="24"/>
          <w:u w:val="single"/>
        </w:rPr>
        <w:t>20</w:t>
      </w:r>
      <w:r>
        <w:rPr>
          <w:rFonts w:hint="eastAsia" w:ascii="仿宋" w:hAnsi="仿宋" w:eastAsia="仿宋" w:cs="宋体"/>
          <w:kern w:val="0"/>
          <w:sz w:val="24"/>
          <w:u w:val="single"/>
        </w:rPr>
        <w:t xml:space="preserve">  年  月  日</w:t>
      </w:r>
    </w:p>
    <w:p>
      <w:pPr>
        <w:tabs>
          <w:tab w:val="left" w:pos="2880"/>
        </w:tabs>
        <w:spacing w:line="460" w:lineRule="atLeast"/>
        <w:rPr>
          <w:rFonts w:ascii="仿宋" w:hAnsi="仿宋" w:eastAsia="仿宋"/>
          <w:kern w:val="0"/>
          <w:sz w:val="24"/>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rPr>
          <w:rFonts w:ascii="仿宋" w:hAnsi="仿宋" w:eastAsia="仿宋"/>
          <w:b/>
          <w:sz w:val="32"/>
          <w:szCs w:val="32"/>
        </w:rPr>
      </w:pPr>
    </w:p>
    <w:p>
      <w:pPr>
        <w:spacing w:line="440" w:lineRule="exact"/>
        <w:jc w:val="center"/>
        <w:rPr>
          <w:rFonts w:ascii="仿宋" w:hAnsi="仿宋" w:eastAsia="仿宋"/>
          <w:b/>
          <w:sz w:val="32"/>
          <w:szCs w:val="32"/>
        </w:rPr>
      </w:pPr>
    </w:p>
    <w:p>
      <w:pPr>
        <w:pStyle w:val="5"/>
      </w:pPr>
    </w:p>
    <w:p>
      <w:pPr>
        <w:pStyle w:val="16"/>
      </w:pPr>
    </w:p>
    <w:p/>
    <w:p>
      <w:pPr>
        <w:pStyle w:val="5"/>
      </w:pPr>
    </w:p>
    <w:p>
      <w:pPr>
        <w:pStyle w:val="16"/>
      </w:pPr>
    </w:p>
    <w:p/>
    <w:p>
      <w:pPr>
        <w:pStyle w:val="5"/>
      </w:pPr>
    </w:p>
    <w:p>
      <w:pPr>
        <w:pStyle w:val="16"/>
      </w:pPr>
    </w:p>
    <w:p>
      <w:pPr>
        <w:tabs>
          <w:tab w:val="left" w:pos="2880"/>
        </w:tabs>
        <w:spacing w:line="460" w:lineRule="atLeast"/>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r>
        <w:rPr>
          <w:rFonts w:hint="eastAsia" w:ascii="仿宋" w:hAnsi="仿宋" w:eastAsia="仿宋" w:cs="宋体"/>
          <w:b/>
          <w:kern w:val="0"/>
          <w:sz w:val="32"/>
          <w:szCs w:val="32"/>
        </w:rPr>
        <w:t>（附件十一）信用记录</w:t>
      </w:r>
    </w:p>
    <w:p>
      <w:pPr>
        <w:widowControl/>
        <w:adjustRightInd w:val="0"/>
        <w:snapToGrid w:val="0"/>
        <w:spacing w:line="440" w:lineRule="exact"/>
        <w:ind w:firstLine="504" w:firstLineChars="200"/>
        <w:jc w:val="center"/>
        <w:rPr>
          <w:rFonts w:ascii="仿宋" w:hAnsi="仿宋" w:eastAsia="仿宋" w:cs="宋体"/>
          <w:spacing w:val="6"/>
          <w:kern w:val="0"/>
          <w:sz w:val="24"/>
          <w:szCs w:val="24"/>
        </w:rPr>
      </w:pPr>
      <w:r>
        <w:rPr>
          <w:rFonts w:hint="eastAsia" w:ascii="仿宋" w:hAnsi="仿宋" w:eastAsia="仿宋" w:cs="宋体"/>
          <w:spacing w:val="6"/>
          <w:kern w:val="0"/>
          <w:sz w:val="24"/>
          <w:szCs w:val="24"/>
        </w:rPr>
        <w:t>（复印件并加盖供应商单位公章）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依据财库</w:t>
      </w:r>
      <w:r>
        <w:rPr>
          <w:rFonts w:ascii="仿宋" w:hAnsi="仿宋" w:eastAsia="仿宋" w:cs="宋体"/>
          <w:spacing w:val="6"/>
          <w:kern w:val="0"/>
          <w:sz w:val="24"/>
          <w:szCs w:val="24"/>
        </w:rPr>
        <w:t>[2016]125</w:t>
      </w:r>
      <w:r>
        <w:rPr>
          <w:rFonts w:hint="eastAsia" w:ascii="仿宋" w:hAnsi="仿宋" w:eastAsia="仿宋" w:cs="宋体"/>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供应商须提供本单位近</w:t>
      </w:r>
      <w:r>
        <w:rPr>
          <w:rFonts w:ascii="仿宋" w:hAnsi="仿宋" w:eastAsia="仿宋" w:cs="宋体"/>
          <w:spacing w:val="6"/>
          <w:kern w:val="0"/>
          <w:sz w:val="24"/>
          <w:szCs w:val="24"/>
        </w:rPr>
        <w:t>3</w:t>
      </w:r>
      <w:r>
        <w:rPr>
          <w:rFonts w:hint="eastAsia" w:ascii="仿宋" w:hAnsi="仿宋" w:eastAsia="仿宋" w:cs="宋体"/>
          <w:spacing w:val="6"/>
          <w:kern w:val="0"/>
          <w:sz w:val="24"/>
          <w:szCs w:val="24"/>
        </w:rPr>
        <w:t>年（自公告发布之日起至开标日前）“信用中国”网站（</w:t>
      </w:r>
      <w:r>
        <w:rPr>
          <w:rFonts w:ascii="仿宋" w:hAnsi="仿宋" w:eastAsia="仿宋" w:cs="宋体"/>
          <w:spacing w:val="6"/>
          <w:kern w:val="0"/>
          <w:sz w:val="24"/>
          <w:szCs w:val="24"/>
        </w:rPr>
        <w:t>www.creditchina.gov.cn</w:t>
      </w:r>
      <w:r>
        <w:rPr>
          <w:rFonts w:hint="eastAsia" w:ascii="仿宋" w:hAnsi="仿宋" w:eastAsia="仿宋" w:cs="宋体"/>
          <w:spacing w:val="6"/>
          <w:kern w:val="0"/>
          <w:sz w:val="24"/>
          <w:szCs w:val="24"/>
        </w:rPr>
        <w:t>）</w:t>
      </w:r>
      <w:r>
        <w:rPr>
          <w:rFonts w:hint="eastAsia" w:ascii="仿宋" w:hAnsi="仿宋" w:eastAsia="仿宋" w:cs="宋体"/>
          <w:spacing w:val="6"/>
          <w:kern w:val="0"/>
          <w:sz w:val="24"/>
          <w:szCs w:val="24"/>
          <w:lang w:eastAsia="zh-CN"/>
        </w:rPr>
        <w:t>，</w:t>
      </w:r>
      <w:r>
        <w:rPr>
          <w:rFonts w:hint="eastAsia" w:ascii="仿宋" w:hAnsi="仿宋" w:eastAsia="仿宋" w:cs="宋体"/>
          <w:spacing w:val="6"/>
          <w:kern w:val="0"/>
          <w:sz w:val="24"/>
          <w:szCs w:val="24"/>
        </w:rPr>
        <w:t>“国家企业信用信息公示系统”网站（http://www.gsxt.gov.cn/corp-query-homepage.html）及中国政府采购网（</w:t>
      </w:r>
      <w:r>
        <w:rPr>
          <w:rFonts w:ascii="仿宋" w:hAnsi="仿宋" w:eastAsia="仿宋" w:cs="宋体"/>
          <w:spacing w:val="6"/>
          <w:kern w:val="0"/>
          <w:sz w:val="24"/>
          <w:szCs w:val="24"/>
        </w:rPr>
        <w:t>www.ccgp.gov.cn</w:t>
      </w:r>
      <w:r>
        <w:rPr>
          <w:rFonts w:hint="eastAsia" w:ascii="仿宋" w:hAnsi="仿宋" w:eastAsia="仿宋" w:cs="宋体"/>
          <w:spacing w:val="6"/>
          <w:kern w:val="0"/>
          <w:sz w:val="24"/>
          <w:szCs w:val="24"/>
        </w:rPr>
        <w:t>）已公布的信用记录查询结果。</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查询信息包含：</w:t>
      </w:r>
    </w:p>
    <w:p>
      <w:pPr>
        <w:widowControl/>
        <w:adjustRightInd w:val="0"/>
        <w:snapToGrid w:val="0"/>
        <w:spacing w:line="440" w:lineRule="exact"/>
        <w:ind w:firstLine="1416" w:firstLineChars="562"/>
        <w:jc w:val="left"/>
        <w:rPr>
          <w:rFonts w:ascii="仿宋" w:hAnsi="仿宋" w:eastAsia="仿宋" w:cs="宋体"/>
          <w:spacing w:val="6"/>
          <w:kern w:val="0"/>
          <w:sz w:val="24"/>
          <w:szCs w:val="24"/>
        </w:rPr>
      </w:pPr>
      <w:r>
        <w:rPr>
          <w:rFonts w:ascii="仿宋" w:hAnsi="仿宋" w:eastAsia="仿宋" w:cs="宋体"/>
          <w:spacing w:val="6"/>
          <w:kern w:val="0"/>
          <w:sz w:val="24"/>
          <w:szCs w:val="24"/>
        </w:rPr>
        <w:t>1</w:t>
      </w:r>
      <w:r>
        <w:rPr>
          <w:rFonts w:hint="eastAsia" w:ascii="仿宋" w:hAnsi="仿宋" w:eastAsia="仿宋" w:cs="宋体"/>
          <w:spacing w:val="6"/>
          <w:kern w:val="0"/>
          <w:sz w:val="24"/>
          <w:szCs w:val="24"/>
        </w:rPr>
        <w:t>）被列入失信被执行人</w:t>
      </w:r>
    </w:p>
    <w:p>
      <w:pPr>
        <w:widowControl/>
        <w:adjustRightInd w:val="0"/>
        <w:snapToGrid w:val="0"/>
        <w:spacing w:line="440" w:lineRule="exact"/>
        <w:ind w:firstLine="1416" w:firstLineChars="562"/>
        <w:jc w:val="left"/>
        <w:rPr>
          <w:rFonts w:ascii="仿宋" w:hAnsi="仿宋" w:eastAsia="仿宋" w:cs="宋体"/>
          <w:spacing w:val="6"/>
          <w:kern w:val="0"/>
          <w:sz w:val="24"/>
          <w:szCs w:val="24"/>
        </w:rPr>
      </w:pPr>
      <w:r>
        <w:rPr>
          <w:rFonts w:ascii="仿宋" w:hAnsi="仿宋" w:eastAsia="仿宋" w:cs="宋体"/>
          <w:spacing w:val="6"/>
          <w:kern w:val="0"/>
          <w:sz w:val="24"/>
          <w:szCs w:val="24"/>
        </w:rPr>
        <w:t>2</w:t>
      </w:r>
      <w:r>
        <w:rPr>
          <w:rFonts w:hint="eastAsia" w:ascii="仿宋" w:hAnsi="仿宋" w:eastAsia="仿宋" w:cs="宋体"/>
          <w:spacing w:val="6"/>
          <w:kern w:val="0"/>
          <w:sz w:val="24"/>
          <w:szCs w:val="24"/>
        </w:rPr>
        <w:t>）重大税收违法案件当事人名单的供应商</w:t>
      </w:r>
    </w:p>
    <w:p>
      <w:pPr>
        <w:widowControl/>
        <w:adjustRightInd w:val="0"/>
        <w:snapToGrid w:val="0"/>
        <w:spacing w:line="440" w:lineRule="exact"/>
        <w:ind w:firstLine="1416" w:firstLineChars="562"/>
        <w:jc w:val="left"/>
        <w:rPr>
          <w:rFonts w:ascii="仿宋" w:hAnsi="仿宋" w:eastAsia="仿宋" w:cs="宋体"/>
          <w:spacing w:val="6"/>
          <w:kern w:val="0"/>
          <w:sz w:val="24"/>
          <w:szCs w:val="24"/>
        </w:rPr>
      </w:pPr>
      <w:r>
        <w:rPr>
          <w:rFonts w:ascii="仿宋" w:hAnsi="仿宋" w:eastAsia="仿宋" w:cs="宋体"/>
          <w:spacing w:val="6"/>
          <w:kern w:val="0"/>
          <w:sz w:val="24"/>
          <w:szCs w:val="24"/>
        </w:rPr>
        <w:t>3</w:t>
      </w:r>
      <w:r>
        <w:rPr>
          <w:rFonts w:hint="eastAsia" w:ascii="仿宋" w:hAnsi="仿宋" w:eastAsia="仿宋" w:cs="宋体"/>
          <w:spacing w:val="6"/>
          <w:kern w:val="0"/>
          <w:sz w:val="24"/>
          <w:szCs w:val="24"/>
        </w:rPr>
        <w:t>）列入政府采购严重违法失信行为记录名单</w:t>
      </w:r>
    </w:p>
    <w:p>
      <w:pPr>
        <w:tabs>
          <w:tab w:val="left" w:pos="567"/>
          <w:tab w:val="left" w:pos="2880"/>
        </w:tabs>
        <w:spacing w:line="460" w:lineRule="atLeast"/>
        <w:jc w:val="left"/>
      </w:pPr>
      <w:r>
        <w:rPr>
          <w:rFonts w:hint="eastAsia" w:ascii="仿宋" w:hAnsi="仿宋" w:eastAsia="仿宋" w:cs="宋体"/>
          <w:spacing w:val="6"/>
          <w:kern w:val="0"/>
          <w:sz w:val="24"/>
          <w:szCs w:val="24"/>
        </w:rPr>
        <w:t>注：网站搜索页输入供应商名称，查询相关信息，提供网页打印件，打印件需显示打印日期。</w:t>
      </w:r>
    </w:p>
    <w:p>
      <w:pPr>
        <w:pStyle w:val="5"/>
      </w:pPr>
    </w:p>
    <w:p>
      <w:pPr>
        <w:tabs>
          <w:tab w:val="left" w:pos="567"/>
          <w:tab w:val="left" w:pos="2880"/>
        </w:tabs>
        <w:spacing w:line="460" w:lineRule="atLeast"/>
        <w:jc w:val="left"/>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
        <w:spacing w:line="456" w:lineRule="exact"/>
        <w:ind w:left="276"/>
        <w:jc w:val="both"/>
        <w:rPr>
          <w:rFonts w:hint="eastAsia" w:eastAsia="宋体"/>
          <w:sz w:val="32"/>
          <w:szCs w:val="32"/>
          <w:lang w:eastAsia="zh-CN"/>
        </w:rPr>
      </w:pPr>
      <w:r>
        <w:rPr>
          <w:rFonts w:hint="eastAsia"/>
          <w:sz w:val="32"/>
          <w:szCs w:val="32"/>
        </w:rPr>
        <w:t>附件</w:t>
      </w:r>
      <w:r>
        <w:rPr>
          <w:rFonts w:hint="eastAsia"/>
          <w:sz w:val="32"/>
          <w:szCs w:val="32"/>
          <w:lang w:eastAsia="zh-CN"/>
        </w:rPr>
        <w:t>（十二）</w:t>
      </w:r>
    </w:p>
    <w:p>
      <w:pPr>
        <w:pStyle w:val="2"/>
        <w:spacing w:line="456" w:lineRule="exact"/>
        <w:ind w:left="276"/>
        <w:jc w:val="center"/>
        <w:rPr>
          <w:b w:val="0"/>
          <w:bCs w:val="0"/>
        </w:rPr>
      </w:pPr>
      <w:r>
        <w:rPr>
          <w:rFonts w:hint="eastAsia"/>
          <w:sz w:val="32"/>
          <w:szCs w:val="32"/>
        </w:rPr>
        <w:t>投标人企业类型声明函（如是，需填报）</w:t>
      </w:r>
    </w:p>
    <w:p>
      <w:pPr>
        <w:spacing w:line="360" w:lineRule="auto"/>
        <w:ind w:firstLine="2570" w:firstLineChars="800"/>
        <w:jc w:val="both"/>
        <w:rPr>
          <w:rFonts w:hint="eastAsia" w:ascii="宋体" w:hAnsi="宋体" w:eastAsia="宋体" w:cs="宋体"/>
          <w:b/>
          <w:bCs/>
          <w:i w:val="0"/>
          <w:caps w:val="0"/>
          <w:spacing w:val="0"/>
          <w:w w:val="100"/>
          <w:sz w:val="32"/>
          <w:szCs w:val="32"/>
          <w:lang w:eastAsia="zh-CN"/>
        </w:rPr>
      </w:pPr>
      <w:r>
        <w:rPr>
          <w:rFonts w:hint="eastAsia"/>
          <w:b/>
          <w:sz w:val="32"/>
          <w:szCs w:val="32"/>
          <w:lang w:val="en-US"/>
        </w:rPr>
        <w:t>1 、</w:t>
      </w:r>
      <w:r>
        <w:rPr>
          <w:rFonts w:hint="eastAsia" w:ascii="宋体" w:hAnsi="宋体" w:eastAsia="宋体" w:cs="宋体"/>
          <w:b/>
          <w:bCs/>
          <w:i w:val="0"/>
          <w:caps w:val="0"/>
          <w:spacing w:val="0"/>
          <w:w w:val="100"/>
          <w:sz w:val="32"/>
          <w:szCs w:val="32"/>
          <w:lang w:eastAsia="zh-CN"/>
        </w:rPr>
        <w:t>中小企业声明函(货物)</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 xml:space="preserve">本公司(联合体)郑重声明，根据《政府采购促进中小企业发展管理办法》(财库( 2020 )46号)的规定，本公司(联合体)参加 </w:t>
      </w:r>
      <w:r>
        <w:rPr>
          <w:rFonts w:hint="eastAsia" w:ascii="宋体" w:hAnsi="宋体" w:eastAsia="宋体" w:cs="宋体"/>
          <w:b w:val="0"/>
          <w:bCs w:val="0"/>
          <w:i w:val="0"/>
          <w:caps w:val="0"/>
          <w:spacing w:val="0"/>
          <w:w w:val="100"/>
          <w:sz w:val="24"/>
          <w:szCs w:val="24"/>
          <w:u w:val="single" w:color="000000"/>
          <w:lang w:eastAsia="zh-CN"/>
        </w:rPr>
        <w:t>(单位名称)</w:t>
      </w:r>
      <w:r>
        <w:rPr>
          <w:rFonts w:hint="eastAsia" w:ascii="宋体" w:hAnsi="宋体" w:eastAsia="宋体" w:cs="宋体"/>
          <w:b w:val="0"/>
          <w:bCs w:val="0"/>
          <w:i w:val="0"/>
          <w:caps w:val="0"/>
          <w:spacing w:val="0"/>
          <w:w w:val="100"/>
          <w:sz w:val="24"/>
          <w:szCs w:val="24"/>
          <w:lang w:eastAsia="zh-CN"/>
        </w:rPr>
        <w:t>的</w:t>
      </w:r>
      <w:r>
        <w:rPr>
          <w:rFonts w:hint="eastAsia" w:ascii="宋体" w:hAnsi="宋体" w:eastAsia="宋体" w:cs="宋体"/>
          <w:b w:val="0"/>
          <w:bCs w:val="0"/>
          <w:i w:val="0"/>
          <w:caps w:val="0"/>
          <w:spacing w:val="0"/>
          <w:w w:val="100"/>
          <w:sz w:val="24"/>
          <w:szCs w:val="24"/>
          <w:u w:val="single" w:color="000000"/>
          <w:lang w:eastAsia="zh-CN"/>
        </w:rPr>
        <w:t>(项目名称)</w:t>
      </w:r>
      <w:r>
        <w:rPr>
          <w:rFonts w:hint="eastAsia" w:ascii="宋体" w:hAnsi="宋体" w:eastAsia="宋体" w:cs="宋体"/>
          <w:b w:val="0"/>
          <w:bCs w:val="0"/>
          <w:i w:val="0"/>
          <w:caps w:val="0"/>
          <w:spacing w:val="0"/>
          <w:w w:val="100"/>
          <w:sz w:val="24"/>
          <w:szCs w:val="24"/>
          <w:lang w:eastAsia="zh-CN"/>
        </w:rPr>
        <w:t>采购活动，提供的货物全部由符合政策要求的中小企业制造。相关企业(含联合体中的中小企业、签订分包意向协议的中小企业)的具体情况如下:</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val="en-US" w:eastAsia="zh-CN"/>
        </w:rPr>
        <w:t>1.</w:t>
      </w:r>
      <w:r>
        <w:rPr>
          <w:rFonts w:hint="eastAsia" w:ascii="宋体" w:hAnsi="宋体" w:eastAsia="宋体" w:cs="宋体"/>
          <w:b w:val="0"/>
          <w:bCs w:val="0"/>
          <w:i w:val="0"/>
          <w:caps w:val="0"/>
          <w:spacing w:val="0"/>
          <w:w w:val="100"/>
          <w:sz w:val="24"/>
          <w:szCs w:val="24"/>
          <w:u w:val="single" w:color="000000"/>
          <w:lang w:eastAsia="zh-CN"/>
        </w:rPr>
        <w:t>(标的名称)</w:t>
      </w:r>
      <w:r>
        <w:rPr>
          <w:rFonts w:hint="eastAsia" w:ascii="宋体" w:hAnsi="宋体" w:eastAsia="宋体" w:cs="宋体"/>
          <w:b w:val="0"/>
          <w:bCs w:val="0"/>
          <w:i w:val="0"/>
          <w:caps w:val="0"/>
          <w:spacing w:val="0"/>
          <w:w w:val="100"/>
          <w:sz w:val="24"/>
          <w:szCs w:val="24"/>
          <w:lang w:eastAsia="zh-CN"/>
        </w:rPr>
        <w:t>， 属于</w:t>
      </w:r>
      <w:r>
        <w:rPr>
          <w:rFonts w:hint="eastAsia" w:ascii="宋体" w:hAnsi="宋体" w:eastAsia="宋体" w:cs="宋体"/>
          <w:b w:val="0"/>
          <w:bCs w:val="0"/>
          <w:i w:val="0"/>
          <w:caps w:val="0"/>
          <w:spacing w:val="0"/>
          <w:w w:val="100"/>
          <w:sz w:val="24"/>
          <w:szCs w:val="24"/>
          <w:u w:val="single" w:color="000000"/>
          <w:lang w:eastAsia="zh-CN"/>
        </w:rPr>
        <w:t>(采购文件中明确的所属行业)</w:t>
      </w:r>
      <w:r>
        <w:rPr>
          <w:rFonts w:hint="eastAsia" w:ascii="宋体" w:hAnsi="宋体" w:eastAsia="宋体" w:cs="宋体"/>
          <w:b w:val="0"/>
          <w:bCs w:val="0"/>
          <w:i w:val="0"/>
          <w:caps w:val="0"/>
          <w:spacing w:val="0"/>
          <w:w w:val="100"/>
          <w:sz w:val="24"/>
          <w:szCs w:val="24"/>
          <w:lang w:eastAsia="zh-CN"/>
        </w:rPr>
        <w:t>行业；制造商为</w:t>
      </w:r>
      <w:r>
        <w:rPr>
          <w:rFonts w:hint="eastAsia" w:ascii="宋体" w:hAnsi="宋体" w:eastAsia="宋体" w:cs="宋体"/>
          <w:b w:val="0"/>
          <w:bCs w:val="0"/>
          <w:i w:val="0"/>
          <w:caps w:val="0"/>
          <w:spacing w:val="0"/>
          <w:w w:val="100"/>
          <w:sz w:val="24"/>
          <w:szCs w:val="24"/>
          <w:u w:val="single" w:color="000000"/>
          <w:lang w:eastAsia="zh-CN"/>
        </w:rPr>
        <w:t>(企业名称)</w:t>
      </w:r>
      <w:r>
        <w:rPr>
          <w:rFonts w:hint="eastAsia" w:ascii="宋体" w:hAnsi="宋体" w:eastAsia="宋体" w:cs="宋体"/>
          <w:b w:val="0"/>
          <w:bCs w:val="0"/>
          <w:i w:val="0"/>
          <w:caps w:val="0"/>
          <w:spacing w:val="0"/>
          <w:w w:val="100"/>
          <w:sz w:val="24"/>
          <w:szCs w:val="24"/>
          <w:lang w:eastAsia="zh-CN"/>
        </w:rPr>
        <w:t>，从业人员</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人， 营业收入为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万元，资产总额为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万元，属于</w:t>
      </w:r>
      <w:r>
        <w:rPr>
          <w:rFonts w:hint="eastAsia" w:ascii="宋体" w:hAnsi="宋体" w:eastAsia="宋体" w:cs="宋体"/>
          <w:b w:val="0"/>
          <w:bCs w:val="0"/>
          <w:i w:val="0"/>
          <w:caps w:val="0"/>
          <w:spacing w:val="0"/>
          <w:w w:val="100"/>
          <w:sz w:val="24"/>
          <w:szCs w:val="24"/>
          <w:u w:val="single" w:color="000000"/>
          <w:lang w:eastAsia="zh-CN"/>
        </w:rPr>
        <w:t>(中型企业、尘型企业、微型企业）</w:t>
      </w:r>
      <w:r>
        <w:rPr>
          <w:rFonts w:hint="eastAsia" w:ascii="宋体" w:hAnsi="宋体" w:eastAsia="宋体" w:cs="宋体"/>
          <w:b w:val="0"/>
          <w:bCs w:val="0"/>
          <w:i w:val="0"/>
          <w:caps w:val="0"/>
          <w:spacing w:val="0"/>
          <w:w w:val="100"/>
          <w:sz w:val="24"/>
          <w:szCs w:val="24"/>
          <w:lang w:eastAsia="zh-CN"/>
        </w:rPr>
        <w:t>；</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val="en-US" w:eastAsia="zh-CN"/>
        </w:rPr>
        <w:t>2.</w:t>
      </w:r>
      <w:r>
        <w:rPr>
          <w:rFonts w:hint="eastAsia" w:ascii="宋体" w:hAnsi="宋体" w:eastAsia="宋体" w:cs="宋体"/>
          <w:b w:val="0"/>
          <w:bCs w:val="0"/>
          <w:i w:val="0"/>
          <w:caps w:val="0"/>
          <w:spacing w:val="0"/>
          <w:w w:val="100"/>
          <w:sz w:val="24"/>
          <w:szCs w:val="24"/>
          <w:lang w:eastAsia="zh-CN"/>
        </w:rPr>
        <w:t>(标的名称)，属于</w:t>
      </w:r>
      <w:r>
        <w:rPr>
          <w:rFonts w:hint="eastAsia" w:ascii="宋体" w:hAnsi="宋体" w:eastAsia="宋体" w:cs="宋体"/>
          <w:b w:val="0"/>
          <w:bCs w:val="0"/>
          <w:i w:val="0"/>
          <w:caps w:val="0"/>
          <w:spacing w:val="0"/>
          <w:w w:val="100"/>
          <w:sz w:val="24"/>
          <w:szCs w:val="24"/>
          <w:u w:val="single" w:color="000000"/>
          <w:lang w:eastAsia="zh-CN"/>
        </w:rPr>
        <w:t>(采购文件中明确的所属行业)</w:t>
      </w:r>
      <w:r>
        <w:rPr>
          <w:rFonts w:hint="eastAsia" w:ascii="宋体" w:hAnsi="宋体" w:eastAsia="宋体" w:cs="宋体"/>
          <w:b w:val="0"/>
          <w:bCs w:val="0"/>
          <w:i w:val="0"/>
          <w:caps w:val="0"/>
          <w:spacing w:val="0"/>
          <w:w w:val="100"/>
          <w:sz w:val="24"/>
          <w:szCs w:val="24"/>
          <w:lang w:eastAsia="zh-CN"/>
        </w:rPr>
        <w:t>行业;制造商为</w:t>
      </w:r>
      <w:r>
        <w:rPr>
          <w:rFonts w:hint="eastAsia" w:ascii="宋体" w:hAnsi="宋体" w:eastAsia="宋体" w:cs="宋体"/>
          <w:b w:val="0"/>
          <w:bCs w:val="0"/>
          <w:i w:val="0"/>
          <w:caps w:val="0"/>
          <w:spacing w:val="0"/>
          <w:w w:val="100"/>
          <w:sz w:val="24"/>
          <w:szCs w:val="24"/>
          <w:u w:val="single" w:color="000000"/>
          <w:lang w:eastAsia="zh-CN"/>
        </w:rPr>
        <w:t>(企业名称)</w:t>
      </w:r>
      <w:r>
        <w:rPr>
          <w:rFonts w:hint="eastAsia" w:ascii="宋体" w:hAnsi="宋体" w:eastAsia="宋体" w:cs="宋体"/>
          <w:b w:val="0"/>
          <w:bCs w:val="0"/>
          <w:i w:val="0"/>
          <w:caps w:val="0"/>
          <w:spacing w:val="0"/>
          <w:w w:val="100"/>
          <w:sz w:val="24"/>
          <w:szCs w:val="24"/>
          <w:lang w:eastAsia="zh-CN"/>
        </w:rPr>
        <w:t>,从业人员</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人， 营业收入为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万元，资产总额为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万元，属于</w:t>
      </w:r>
      <w:r>
        <w:rPr>
          <w:rFonts w:hint="eastAsia" w:ascii="宋体" w:hAnsi="宋体" w:eastAsia="宋体" w:cs="宋体"/>
          <w:b w:val="0"/>
          <w:bCs w:val="0"/>
          <w:i w:val="0"/>
          <w:caps w:val="0"/>
          <w:spacing w:val="0"/>
          <w:w w:val="100"/>
          <w:sz w:val="24"/>
          <w:szCs w:val="24"/>
          <w:u w:val="single" w:color="000000"/>
          <w:lang w:eastAsia="zh-CN"/>
        </w:rPr>
        <w:t>(中型企业、尘型企业、微型企业）</w:t>
      </w:r>
      <w:r>
        <w:rPr>
          <w:rFonts w:hint="eastAsia" w:ascii="宋体" w:hAnsi="宋体" w:eastAsia="宋体" w:cs="宋体"/>
          <w:b w:val="0"/>
          <w:bCs w:val="0"/>
          <w:i w:val="0"/>
          <w:caps w:val="0"/>
          <w:spacing w:val="0"/>
          <w:w w:val="100"/>
          <w:sz w:val="24"/>
          <w:szCs w:val="24"/>
          <w:lang w:eastAsia="zh-CN"/>
        </w:rPr>
        <w:t>；</w:t>
      </w:r>
    </w:p>
    <w:p>
      <w:pPr>
        <w:snapToGrid/>
        <w:spacing w:before="0" w:beforeAutospacing="0" w:after="0" w:afterAutospacing="0" w:line="360" w:lineRule="auto"/>
        <w:ind w:firstLine="480" w:firstLineChars="200"/>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以上企业，不属于大企业的分支机构，不存在控股股东为大企业的情形，也不存在与大企业的负责人为同一人的情形</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本企业对上述声明内容的真实性负责。如有虛假，将依法承担相应责任。</w:t>
      </w:r>
    </w:p>
    <w:p>
      <w:pPr>
        <w:snapToGrid/>
        <w:spacing w:before="0" w:beforeAutospacing="0" w:after="0" w:afterAutospacing="0" w:line="360" w:lineRule="auto"/>
        <w:jc w:val="both"/>
        <w:textAlignment w:val="baseline"/>
        <w:rPr>
          <w:rFonts w:hint="eastAsia" w:ascii="宋体" w:hAnsi="宋体" w:eastAsia="宋体" w:cs="宋体"/>
          <w:b w:val="0"/>
          <w:bCs w:val="0"/>
          <w:i w:val="0"/>
          <w:caps w:val="0"/>
          <w:spacing w:val="0"/>
          <w:w w:val="100"/>
          <w:sz w:val="24"/>
          <w:szCs w:val="24"/>
          <w:lang w:eastAsia="zh-CN"/>
        </w:rPr>
      </w:pPr>
    </w:p>
    <w:p>
      <w:pPr>
        <w:snapToGrid/>
        <w:spacing w:before="0" w:beforeAutospacing="0" w:after="0" w:afterAutospacing="0" w:line="360" w:lineRule="auto"/>
        <w:ind w:firstLine="4320" w:firstLineChars="1800"/>
        <w:textAlignment w:val="baseline"/>
        <w:rPr>
          <w:rFonts w:hint="default" w:ascii="宋体" w:hAnsi="宋体" w:eastAsia="宋体" w:cs="宋体"/>
          <w:b/>
          <w:bCs/>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企业名称(盖章):</w:t>
      </w:r>
    </w:p>
    <w:p>
      <w:pPr>
        <w:snapToGrid/>
        <w:spacing w:before="0" w:beforeAutospacing="0" w:after="0" w:afterAutospacing="0" w:line="360" w:lineRule="auto"/>
        <w:ind w:firstLine="4320" w:firstLineChars="1800"/>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日  期：</w:t>
      </w:r>
    </w:p>
    <w:p>
      <w:pPr>
        <w:tabs>
          <w:tab w:val="left" w:pos="3600"/>
        </w:tabs>
        <w:snapToGrid w:val="0"/>
        <w:spacing w:before="0" w:beforeAutospacing="0" w:after="0" w:afterAutospacing="0" w:line="440" w:lineRule="exact"/>
        <w:jc w:val="both"/>
        <w:textAlignment w:val="baseline"/>
        <w:rPr>
          <w:b/>
          <w:bCs/>
          <w:i w:val="0"/>
          <w:caps w:val="0"/>
          <w:spacing w:val="6"/>
          <w:w w:val="100"/>
          <w:sz w:val="32"/>
          <w:szCs w:val="32"/>
        </w:rPr>
      </w:pPr>
    </w:p>
    <w:p>
      <w:pPr>
        <w:tabs>
          <w:tab w:val="left" w:pos="3600"/>
        </w:tabs>
        <w:snapToGrid w:val="0"/>
        <w:spacing w:before="0" w:beforeAutospacing="0" w:after="0" w:afterAutospacing="0" w:line="440" w:lineRule="exact"/>
        <w:jc w:val="center"/>
        <w:textAlignment w:val="baseline"/>
        <w:rPr>
          <w:rFonts w:cs="??_GB2312"/>
          <w:b/>
          <w:bCs/>
          <w:i w:val="0"/>
          <w:caps w:val="0"/>
          <w:spacing w:val="6"/>
          <w:w w:val="100"/>
          <w:sz w:val="32"/>
          <w:szCs w:val="32"/>
        </w:rPr>
      </w:pPr>
      <w:r>
        <w:rPr>
          <w:rFonts w:hint="eastAsia"/>
          <w:b/>
          <w:bCs/>
          <w:i w:val="0"/>
          <w:caps w:val="0"/>
          <w:spacing w:val="6"/>
          <w:w w:val="100"/>
          <w:sz w:val="32"/>
          <w:szCs w:val="32"/>
          <w:lang w:val="en-US" w:eastAsia="zh-CN"/>
        </w:rPr>
        <w:t>2</w:t>
      </w:r>
      <w:r>
        <w:rPr>
          <w:rFonts w:hint="eastAsia"/>
          <w:b/>
          <w:bCs/>
          <w:i w:val="0"/>
          <w:caps w:val="0"/>
          <w:spacing w:val="6"/>
          <w:w w:val="100"/>
          <w:sz w:val="32"/>
          <w:szCs w:val="32"/>
          <w:lang w:val="en-US"/>
        </w:rPr>
        <w:t>、</w:t>
      </w:r>
      <w:r>
        <w:rPr>
          <w:rFonts w:hint="eastAsia"/>
          <w:b/>
          <w:bCs/>
          <w:i w:val="0"/>
          <w:caps w:val="0"/>
          <w:spacing w:val="6"/>
          <w:w w:val="100"/>
          <w:sz w:val="32"/>
          <w:szCs w:val="32"/>
        </w:rPr>
        <w:t>残疾人福利性单位声明函</w:t>
      </w:r>
    </w:p>
    <w:p>
      <w:pPr>
        <w:snapToGrid/>
        <w:spacing w:before="0" w:beforeAutospacing="0" w:after="0" w:afterAutospacing="0" w:line="440" w:lineRule="exact"/>
        <w:textAlignment w:val="baseline"/>
        <w:rPr>
          <w:rFonts w:cs="??_GB2312"/>
          <w:b/>
          <w:bCs/>
          <w:i w:val="0"/>
          <w:caps w:val="0"/>
          <w:spacing w:val="6"/>
          <w:w w:val="100"/>
          <w:sz w:val="24"/>
          <w:szCs w:val="24"/>
        </w:rPr>
      </w:pPr>
    </w:p>
    <w:p>
      <w:pPr>
        <w:widowControl/>
        <w:snapToGrid w:val="0"/>
        <w:spacing w:before="0" w:beforeAutospacing="0" w:after="0" w:afterAutospacing="0" w:line="440" w:lineRule="exact"/>
        <w:ind w:firstLine="504" w:firstLineChars="200"/>
        <w:textAlignment w:val="baseline"/>
        <w:rPr>
          <w:b w:val="0"/>
          <w:i w:val="0"/>
          <w:caps w:val="0"/>
          <w:spacing w:val="6"/>
          <w:w w:val="100"/>
          <w:sz w:val="24"/>
          <w:szCs w:val="24"/>
        </w:rPr>
      </w:pPr>
      <w:r>
        <w:rPr>
          <w:rFonts w:hint="eastAsia"/>
          <w:b w:val="0"/>
          <w:i w:val="0"/>
          <w:caps w:val="0"/>
          <w:spacing w:val="6"/>
          <w:w w:val="100"/>
          <w:sz w:val="24"/>
          <w:szCs w:val="24"/>
        </w:rPr>
        <w:t>本单位郑重声明，根据《财政部民政部中国残疾人联合会关于促进残疾人就业政府采购政策的通知》（财库〔</w:t>
      </w:r>
      <w:r>
        <w:rPr>
          <w:rFonts w:ascii="宋体"/>
          <w:b w:val="0"/>
          <w:i w:val="0"/>
          <w:caps w:val="0"/>
          <w:spacing w:val="6"/>
          <w:w w:val="100"/>
          <w:sz w:val="24"/>
          <w:szCs w:val="24"/>
        </w:rPr>
        <w:t>2017</w:t>
      </w:r>
      <w:r>
        <w:rPr>
          <w:rFonts w:hint="eastAsia"/>
          <w:b w:val="0"/>
          <w:i w:val="0"/>
          <w:caps w:val="0"/>
          <w:spacing w:val="6"/>
          <w:w w:val="100"/>
          <w:sz w:val="24"/>
          <w:szCs w:val="24"/>
        </w:rPr>
        <w:t>〕</w:t>
      </w:r>
      <w:r>
        <w:rPr>
          <w:rFonts w:ascii="宋体"/>
          <w:b w:val="0"/>
          <w:i w:val="0"/>
          <w:caps w:val="0"/>
          <w:spacing w:val="6"/>
          <w:w w:val="100"/>
          <w:sz w:val="24"/>
          <w:szCs w:val="24"/>
        </w:rPr>
        <w:t xml:space="preserve"> 141</w:t>
      </w:r>
      <w:r>
        <w:rPr>
          <w:rFonts w:hint="eastAsia"/>
          <w:b w:val="0"/>
          <w:i w:val="0"/>
          <w:caps w:val="0"/>
          <w:spacing w:val="6"/>
          <w:w w:val="100"/>
          <w:sz w:val="24"/>
          <w:szCs w:val="24"/>
        </w:rPr>
        <w:t>号）的规定，本单位为符合条件的残疾人福利性单位，且本单位参加</w:t>
      </w:r>
      <w:r>
        <w:rPr>
          <w:rFonts w:ascii="宋体"/>
          <w:b w:val="0"/>
          <w:i w:val="0"/>
          <w:caps w:val="0"/>
          <w:spacing w:val="6"/>
          <w:w w:val="100"/>
          <w:sz w:val="24"/>
          <w:szCs w:val="24"/>
        </w:rPr>
        <w:t>______</w:t>
      </w:r>
      <w:r>
        <w:rPr>
          <w:rFonts w:hint="eastAsia"/>
          <w:b w:val="0"/>
          <w:i w:val="0"/>
          <w:caps w:val="0"/>
          <w:spacing w:val="6"/>
          <w:w w:val="100"/>
          <w:sz w:val="24"/>
          <w:szCs w:val="24"/>
        </w:rPr>
        <w:t>单位的</w:t>
      </w:r>
      <w:r>
        <w:rPr>
          <w:rFonts w:ascii="宋体"/>
          <w:b w:val="0"/>
          <w:i w:val="0"/>
          <w:caps w:val="0"/>
          <w:spacing w:val="6"/>
          <w:w w:val="100"/>
          <w:sz w:val="24"/>
          <w:szCs w:val="24"/>
        </w:rPr>
        <w:t>______</w:t>
      </w:r>
      <w:r>
        <w:rPr>
          <w:rFonts w:hint="eastAsia"/>
          <w:b w:val="0"/>
          <w:i w:val="0"/>
          <w:caps w:val="0"/>
          <w:spacing w:val="6"/>
          <w:w w:val="100"/>
          <w:sz w:val="24"/>
          <w:szCs w:val="24"/>
        </w:rPr>
        <w:t>项目采购活动提供本单位制造的货物（由本单位承担工程</w:t>
      </w:r>
      <w:r>
        <w:rPr>
          <w:rFonts w:ascii="宋体"/>
          <w:b w:val="0"/>
          <w:i w:val="0"/>
          <w:caps w:val="0"/>
          <w:spacing w:val="6"/>
          <w:w w:val="100"/>
          <w:sz w:val="24"/>
          <w:szCs w:val="24"/>
        </w:rPr>
        <w:t>/</w:t>
      </w:r>
      <w:r>
        <w:rPr>
          <w:rFonts w:hint="eastAsia"/>
          <w:b w:val="0"/>
          <w:i w:val="0"/>
          <w:caps w:val="0"/>
          <w:spacing w:val="6"/>
          <w:w w:val="100"/>
          <w:sz w:val="24"/>
          <w:szCs w:val="24"/>
        </w:rPr>
        <w:t>提供服务），或者提供其他残疾人福利性单位制造的货物（不包括使用非残疾人福利性单位注册商标的货物）。</w:t>
      </w:r>
    </w:p>
    <w:p>
      <w:pPr>
        <w:widowControl/>
        <w:snapToGrid w:val="0"/>
        <w:spacing w:before="0" w:beforeAutospacing="0" w:after="0" w:afterAutospacing="0" w:line="440" w:lineRule="exact"/>
        <w:ind w:firstLine="504" w:firstLineChars="200"/>
        <w:textAlignment w:val="baseline"/>
        <w:rPr>
          <w:b w:val="0"/>
          <w:i w:val="0"/>
          <w:caps w:val="0"/>
          <w:spacing w:val="6"/>
          <w:w w:val="100"/>
          <w:sz w:val="24"/>
          <w:szCs w:val="24"/>
        </w:rPr>
      </w:pPr>
      <w:r>
        <w:rPr>
          <w:rFonts w:hint="eastAsia"/>
          <w:b w:val="0"/>
          <w:i w:val="0"/>
          <w:caps w:val="0"/>
          <w:spacing w:val="6"/>
          <w:w w:val="100"/>
          <w:sz w:val="24"/>
          <w:szCs w:val="24"/>
        </w:rPr>
        <w:t>本单位对上述声明的真实性负责。如有虚假，将依法承担相应责任。</w:t>
      </w:r>
    </w:p>
    <w:p>
      <w:pPr>
        <w:widowControl/>
        <w:snapToGrid w:val="0"/>
        <w:spacing w:before="0" w:beforeAutospacing="0" w:after="0" w:afterAutospacing="0" w:line="440" w:lineRule="exact"/>
        <w:ind w:firstLine="504" w:firstLineChars="200"/>
        <w:textAlignment w:val="baseline"/>
        <w:rPr>
          <w:b w:val="0"/>
          <w:i w:val="0"/>
          <w:caps w:val="0"/>
          <w:spacing w:val="6"/>
          <w:w w:val="100"/>
          <w:sz w:val="24"/>
          <w:szCs w:val="24"/>
        </w:rPr>
      </w:pPr>
    </w:p>
    <w:p>
      <w:pPr>
        <w:widowControl/>
        <w:snapToGrid w:val="0"/>
        <w:spacing w:before="0" w:beforeAutospacing="0" w:after="0" w:afterAutospacing="0" w:line="440" w:lineRule="exact"/>
        <w:ind w:firstLine="504" w:firstLineChars="200"/>
        <w:textAlignment w:val="baseline"/>
        <w:rPr>
          <w:b w:val="0"/>
          <w:i w:val="0"/>
          <w:caps w:val="0"/>
          <w:spacing w:val="6"/>
          <w:w w:val="100"/>
          <w:sz w:val="24"/>
          <w:szCs w:val="24"/>
        </w:rPr>
      </w:pPr>
    </w:p>
    <w:p>
      <w:pPr>
        <w:widowControl/>
        <w:snapToGrid w:val="0"/>
        <w:spacing w:before="0" w:beforeAutospacing="0" w:after="0" w:afterAutospacing="0" w:line="440" w:lineRule="exact"/>
        <w:ind w:firstLine="504" w:firstLineChars="200"/>
        <w:textAlignment w:val="baseline"/>
        <w:rPr>
          <w:b w:val="0"/>
          <w:i w:val="0"/>
          <w:caps w:val="0"/>
          <w:spacing w:val="6"/>
          <w:w w:val="100"/>
          <w:sz w:val="24"/>
          <w:szCs w:val="24"/>
        </w:rPr>
      </w:pPr>
    </w:p>
    <w:p>
      <w:pPr>
        <w:widowControl/>
        <w:snapToGrid w:val="0"/>
        <w:spacing w:before="0" w:beforeAutospacing="0" w:after="0" w:afterAutospacing="0" w:line="440" w:lineRule="exact"/>
        <w:ind w:firstLine="5544" w:firstLineChars="2200"/>
        <w:textAlignment w:val="baseline"/>
        <w:rPr>
          <w:b w:val="0"/>
          <w:i w:val="0"/>
          <w:caps w:val="0"/>
          <w:spacing w:val="6"/>
          <w:w w:val="100"/>
          <w:sz w:val="24"/>
          <w:szCs w:val="24"/>
        </w:rPr>
      </w:pPr>
      <w:r>
        <w:rPr>
          <w:rFonts w:hint="eastAsia"/>
          <w:b w:val="0"/>
          <w:i w:val="0"/>
          <w:caps w:val="0"/>
          <w:spacing w:val="6"/>
          <w:w w:val="100"/>
          <w:sz w:val="24"/>
          <w:szCs w:val="24"/>
        </w:rPr>
        <w:t>单位名称（盖章）：</w:t>
      </w:r>
    </w:p>
    <w:p>
      <w:pPr>
        <w:widowControl/>
        <w:snapToGrid w:val="0"/>
        <w:spacing w:before="0" w:beforeAutospacing="0" w:after="0" w:afterAutospacing="0" w:line="440" w:lineRule="exact"/>
        <w:ind w:firstLine="6300" w:firstLineChars="2500"/>
        <w:textAlignment w:val="baseline"/>
        <w:rPr>
          <w:b w:val="0"/>
          <w:i w:val="0"/>
          <w:caps w:val="0"/>
          <w:spacing w:val="6"/>
          <w:w w:val="100"/>
          <w:sz w:val="24"/>
          <w:szCs w:val="24"/>
        </w:rPr>
      </w:pPr>
      <w:r>
        <w:rPr>
          <w:rFonts w:hint="eastAsia"/>
          <w:b w:val="0"/>
          <w:i w:val="0"/>
          <w:caps w:val="0"/>
          <w:spacing w:val="6"/>
          <w:w w:val="100"/>
          <w:sz w:val="24"/>
          <w:szCs w:val="24"/>
        </w:rPr>
        <w:t>日</w:t>
      </w:r>
      <w:r>
        <w:rPr>
          <w:rFonts w:hint="eastAsia"/>
          <w:b w:val="0"/>
          <w:i w:val="0"/>
          <w:caps w:val="0"/>
          <w:spacing w:val="6"/>
          <w:w w:val="100"/>
          <w:sz w:val="24"/>
          <w:szCs w:val="24"/>
          <w:lang w:val="en-US" w:eastAsia="zh-CN"/>
        </w:rPr>
        <w:t xml:space="preserve">  </w:t>
      </w:r>
      <w:r>
        <w:rPr>
          <w:rFonts w:hint="eastAsia"/>
          <w:b w:val="0"/>
          <w:i w:val="0"/>
          <w:caps w:val="0"/>
          <w:spacing w:val="6"/>
          <w:w w:val="100"/>
          <w:sz w:val="24"/>
          <w:szCs w:val="24"/>
        </w:rPr>
        <w:t>期：</w:t>
      </w:r>
    </w:p>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ind w:firstLine="600"/>
        <w:jc w:val="center"/>
        <w:rPr>
          <w:sz w:val="30"/>
          <w:szCs w:val="30"/>
        </w:rPr>
      </w:pPr>
      <w:r>
        <w:rPr>
          <w:rFonts w:hint="eastAsia"/>
          <w:sz w:val="30"/>
          <w:szCs w:val="30"/>
        </w:rPr>
        <w:t>其他材料请自行拟格式</w:t>
      </w:r>
    </w:p>
    <w:p>
      <w:pPr>
        <w:spacing w:line="360" w:lineRule="auto"/>
        <w:ind w:right="640"/>
        <w:rPr>
          <w:rFonts w:ascii="宋体" w:hAnsi="宋体" w:cs="宋体"/>
          <w:sz w:val="24"/>
          <w:szCs w:val="24"/>
        </w:rPr>
      </w:pPr>
    </w:p>
    <w:p>
      <w:pPr>
        <w:spacing w:line="360" w:lineRule="auto"/>
        <w:jc w:val="left"/>
        <w:rPr>
          <w:rFonts w:ascii="宋体" w:hAnsi="宋体" w:cs="宋体"/>
          <w:color w:val="000000" w:themeColor="text1"/>
          <w:kern w:val="0"/>
          <w:sz w:val="28"/>
          <w:szCs w:val="28"/>
        </w:rPr>
      </w:pPr>
    </w:p>
    <w:sectPr>
      <w:footerReference r:id="rId10" w:type="default"/>
      <w:pgSz w:w="11907" w:h="16840"/>
      <w:pgMar w:top="1440" w:right="1253" w:bottom="1440" w:left="1253" w:header="850" w:footer="850" w:gutter="0"/>
      <w:pgNumType w:fmt="decimal" w:start="1"/>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2010601030001010101"/>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sz w:val="21"/>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6E85C"/>
    <w:multiLevelType w:val="singleLevel"/>
    <w:tmpl w:val="E6C6E85C"/>
    <w:lvl w:ilvl="0" w:tentative="0">
      <w:start w:val="1"/>
      <w:numFmt w:val="decimal"/>
      <w:suff w:val="nothing"/>
      <w:lvlText w:val="%1、"/>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4">
    <w:nsid w:val="49057B84"/>
    <w:multiLevelType w:val="multilevel"/>
    <w:tmpl w:val="49057B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7">
    <w:nsid w:val="57D1AF50"/>
    <w:multiLevelType w:val="singleLevel"/>
    <w:tmpl w:val="57D1AF50"/>
    <w:lvl w:ilvl="0" w:tentative="0">
      <w:start w:val="2"/>
      <w:numFmt w:val="chineseCounting"/>
      <w:suff w:val="nothing"/>
      <w:lvlText w:val="%1、"/>
      <w:lvlJc w:val="left"/>
      <w:rPr>
        <w:rFonts w:hint="eastAsia"/>
      </w:rPr>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CCBC6A2"/>
    <w:multiLevelType w:val="singleLevel"/>
    <w:tmpl w:val="5CCBC6A2"/>
    <w:lvl w:ilvl="0" w:tentative="0">
      <w:start w:val="1"/>
      <w:numFmt w:val="decimal"/>
      <w:suff w:val="nothing"/>
      <w:lvlText w:val="%1、"/>
      <w:lvlJc w:val="left"/>
    </w:lvl>
  </w:abstractNum>
  <w:abstractNum w:abstractNumId="10">
    <w:nsid w:val="63471188"/>
    <w:multiLevelType w:val="singleLevel"/>
    <w:tmpl w:val="63471188"/>
    <w:lvl w:ilvl="0" w:tentative="0">
      <w:start w:val="10"/>
      <w:numFmt w:val="chineseCounting"/>
      <w:suff w:val="nothing"/>
      <w:lvlText w:val="%1、"/>
      <w:lvlJc w:val="left"/>
      <w:rPr>
        <w:rFonts w:hint="eastAsia"/>
      </w:rPr>
    </w:lvl>
  </w:abstractNum>
  <w:abstractNum w:abstractNumId="11">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2">
    <w:nsid w:val="7A3B68AA"/>
    <w:multiLevelType w:val="singleLevel"/>
    <w:tmpl w:val="7A3B68AA"/>
    <w:lvl w:ilvl="0" w:tentative="0">
      <w:start w:val="1"/>
      <w:numFmt w:val="decimal"/>
      <w:suff w:val="nothing"/>
      <w:lvlText w:val="（%1）"/>
      <w:lvlJc w:val="left"/>
    </w:lvl>
  </w:abstractNum>
  <w:abstractNum w:abstractNumId="13">
    <w:nsid w:val="7D713E3A"/>
    <w:multiLevelType w:val="singleLevel"/>
    <w:tmpl w:val="7D713E3A"/>
    <w:lvl w:ilvl="0" w:tentative="0">
      <w:start w:val="5"/>
      <w:numFmt w:val="chineseCounting"/>
      <w:suff w:val="space"/>
      <w:lvlText w:val="第%1章"/>
      <w:lvlJc w:val="left"/>
      <w:rPr>
        <w:rFonts w:hint="eastAsia"/>
      </w:rPr>
    </w:lvl>
  </w:abstractNum>
  <w:num w:numId="1">
    <w:abstractNumId w:val="1"/>
  </w:num>
  <w:num w:numId="2">
    <w:abstractNumId w:val="10"/>
  </w:num>
  <w:num w:numId="3">
    <w:abstractNumId w:val="4"/>
  </w:num>
  <w:num w:numId="4">
    <w:abstractNumId w:val="0"/>
  </w:num>
  <w:num w:numId="5">
    <w:abstractNumId w:val="12"/>
  </w:num>
  <w:num w:numId="6">
    <w:abstractNumId w:val="8"/>
  </w:num>
  <w:num w:numId="7">
    <w:abstractNumId w:val="11"/>
  </w:num>
  <w:num w:numId="8">
    <w:abstractNumId w:val="6"/>
  </w:num>
  <w:num w:numId="9">
    <w:abstractNumId w:val="2"/>
  </w:num>
  <w:num w:numId="10">
    <w:abstractNumId w:val="7"/>
  </w:num>
  <w:num w:numId="11">
    <w:abstractNumId w:val="13"/>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g1MGY2ZDc0NzAxN2VkZmZkOGI5NGNhZDZkM2VmYjAifQ=="/>
  </w:docVars>
  <w:rsids>
    <w:rsidRoot w:val="37640A01"/>
    <w:rsid w:val="00043363"/>
    <w:rsid w:val="00055378"/>
    <w:rsid w:val="000C3A8E"/>
    <w:rsid w:val="000D255A"/>
    <w:rsid w:val="00111BA3"/>
    <w:rsid w:val="00252654"/>
    <w:rsid w:val="00263BFB"/>
    <w:rsid w:val="00281362"/>
    <w:rsid w:val="002835A7"/>
    <w:rsid w:val="00292704"/>
    <w:rsid w:val="003029FC"/>
    <w:rsid w:val="00307C19"/>
    <w:rsid w:val="0031477A"/>
    <w:rsid w:val="003C402E"/>
    <w:rsid w:val="004863BD"/>
    <w:rsid w:val="00496C2A"/>
    <w:rsid w:val="004A5CE9"/>
    <w:rsid w:val="004B215C"/>
    <w:rsid w:val="00552F0B"/>
    <w:rsid w:val="0055516A"/>
    <w:rsid w:val="00560045"/>
    <w:rsid w:val="00581B20"/>
    <w:rsid w:val="00590841"/>
    <w:rsid w:val="005E2797"/>
    <w:rsid w:val="006144BC"/>
    <w:rsid w:val="00663AEC"/>
    <w:rsid w:val="00682649"/>
    <w:rsid w:val="00687F78"/>
    <w:rsid w:val="006E1599"/>
    <w:rsid w:val="00752FAF"/>
    <w:rsid w:val="00757A3A"/>
    <w:rsid w:val="00760537"/>
    <w:rsid w:val="00827911"/>
    <w:rsid w:val="00856091"/>
    <w:rsid w:val="00885B29"/>
    <w:rsid w:val="008A760C"/>
    <w:rsid w:val="008C1D9A"/>
    <w:rsid w:val="009137E9"/>
    <w:rsid w:val="00924C4A"/>
    <w:rsid w:val="00940C9A"/>
    <w:rsid w:val="00973DAC"/>
    <w:rsid w:val="009C0DE4"/>
    <w:rsid w:val="009C67A2"/>
    <w:rsid w:val="009D1F54"/>
    <w:rsid w:val="00A12DE0"/>
    <w:rsid w:val="00A14C03"/>
    <w:rsid w:val="00A93378"/>
    <w:rsid w:val="00A9787D"/>
    <w:rsid w:val="00B107EA"/>
    <w:rsid w:val="00BD2265"/>
    <w:rsid w:val="00C0504B"/>
    <w:rsid w:val="00C723AB"/>
    <w:rsid w:val="00CB5AF9"/>
    <w:rsid w:val="00CE2869"/>
    <w:rsid w:val="00DA61E0"/>
    <w:rsid w:val="00DB6DC7"/>
    <w:rsid w:val="00EB0AF1"/>
    <w:rsid w:val="00EC3B6F"/>
    <w:rsid w:val="00F12CB7"/>
    <w:rsid w:val="00F15F02"/>
    <w:rsid w:val="00F341CD"/>
    <w:rsid w:val="00F55D75"/>
    <w:rsid w:val="00FC21F4"/>
    <w:rsid w:val="01131BB9"/>
    <w:rsid w:val="011C15FF"/>
    <w:rsid w:val="01210F58"/>
    <w:rsid w:val="015F5290"/>
    <w:rsid w:val="019952EF"/>
    <w:rsid w:val="01B600BA"/>
    <w:rsid w:val="01E06C7B"/>
    <w:rsid w:val="02356A50"/>
    <w:rsid w:val="025018C1"/>
    <w:rsid w:val="02FE10F4"/>
    <w:rsid w:val="032068FC"/>
    <w:rsid w:val="038B43ED"/>
    <w:rsid w:val="039E3BFD"/>
    <w:rsid w:val="03A52186"/>
    <w:rsid w:val="03E47B19"/>
    <w:rsid w:val="0417675D"/>
    <w:rsid w:val="04516A4A"/>
    <w:rsid w:val="04FF1F23"/>
    <w:rsid w:val="052914F3"/>
    <w:rsid w:val="060D6622"/>
    <w:rsid w:val="063E21D1"/>
    <w:rsid w:val="069841A4"/>
    <w:rsid w:val="069F5E3F"/>
    <w:rsid w:val="06CD4843"/>
    <w:rsid w:val="07233D6B"/>
    <w:rsid w:val="0732065F"/>
    <w:rsid w:val="0742605B"/>
    <w:rsid w:val="075B391B"/>
    <w:rsid w:val="078664BC"/>
    <w:rsid w:val="079030E7"/>
    <w:rsid w:val="07D83BF9"/>
    <w:rsid w:val="07E94D96"/>
    <w:rsid w:val="07EF76F4"/>
    <w:rsid w:val="08476D28"/>
    <w:rsid w:val="086618E1"/>
    <w:rsid w:val="08770014"/>
    <w:rsid w:val="08870A12"/>
    <w:rsid w:val="08A04DD1"/>
    <w:rsid w:val="08DE7A5C"/>
    <w:rsid w:val="093622AC"/>
    <w:rsid w:val="09405A31"/>
    <w:rsid w:val="09513E08"/>
    <w:rsid w:val="09591DA8"/>
    <w:rsid w:val="095F2F05"/>
    <w:rsid w:val="09A841E7"/>
    <w:rsid w:val="09CD01F3"/>
    <w:rsid w:val="09E32745"/>
    <w:rsid w:val="0A002950"/>
    <w:rsid w:val="0A186249"/>
    <w:rsid w:val="0A385CC9"/>
    <w:rsid w:val="0A4165F9"/>
    <w:rsid w:val="0A605383"/>
    <w:rsid w:val="0A7157AC"/>
    <w:rsid w:val="0AC94B3A"/>
    <w:rsid w:val="0B2B3DA2"/>
    <w:rsid w:val="0B3176B9"/>
    <w:rsid w:val="0B6F2C35"/>
    <w:rsid w:val="0B8003C6"/>
    <w:rsid w:val="0B953281"/>
    <w:rsid w:val="0B9F52F6"/>
    <w:rsid w:val="0BA90884"/>
    <w:rsid w:val="0C2C0A2C"/>
    <w:rsid w:val="0CFA0C1C"/>
    <w:rsid w:val="0D03702E"/>
    <w:rsid w:val="0D8F6D83"/>
    <w:rsid w:val="0DA956F5"/>
    <w:rsid w:val="0DB11D6E"/>
    <w:rsid w:val="0E05260E"/>
    <w:rsid w:val="0E193487"/>
    <w:rsid w:val="0E286CBB"/>
    <w:rsid w:val="0E8129BA"/>
    <w:rsid w:val="0E87446B"/>
    <w:rsid w:val="0EA13ED0"/>
    <w:rsid w:val="0EAD7873"/>
    <w:rsid w:val="0EB951BB"/>
    <w:rsid w:val="0EF63BE9"/>
    <w:rsid w:val="0F0204B8"/>
    <w:rsid w:val="0F0769FA"/>
    <w:rsid w:val="0F134A36"/>
    <w:rsid w:val="0F2316FB"/>
    <w:rsid w:val="0F363075"/>
    <w:rsid w:val="0F40543D"/>
    <w:rsid w:val="0F825F31"/>
    <w:rsid w:val="0FD3717B"/>
    <w:rsid w:val="0FDE5080"/>
    <w:rsid w:val="10282078"/>
    <w:rsid w:val="10355351"/>
    <w:rsid w:val="103C2CFD"/>
    <w:rsid w:val="10497C64"/>
    <w:rsid w:val="10733654"/>
    <w:rsid w:val="10744395"/>
    <w:rsid w:val="111E0843"/>
    <w:rsid w:val="111F406D"/>
    <w:rsid w:val="113E3677"/>
    <w:rsid w:val="113F1243"/>
    <w:rsid w:val="116E27C1"/>
    <w:rsid w:val="118F0A79"/>
    <w:rsid w:val="11AB2A1A"/>
    <w:rsid w:val="11C12AEB"/>
    <w:rsid w:val="12127547"/>
    <w:rsid w:val="1240233E"/>
    <w:rsid w:val="12C85871"/>
    <w:rsid w:val="12FD2FB5"/>
    <w:rsid w:val="13472AED"/>
    <w:rsid w:val="136D66AD"/>
    <w:rsid w:val="13800446"/>
    <w:rsid w:val="138226F3"/>
    <w:rsid w:val="138B6BBE"/>
    <w:rsid w:val="13D5131C"/>
    <w:rsid w:val="13D66DB4"/>
    <w:rsid w:val="142D7F3C"/>
    <w:rsid w:val="14335138"/>
    <w:rsid w:val="146B5F8F"/>
    <w:rsid w:val="14B51C4C"/>
    <w:rsid w:val="14FF224F"/>
    <w:rsid w:val="15203B12"/>
    <w:rsid w:val="15443FC4"/>
    <w:rsid w:val="15716FF8"/>
    <w:rsid w:val="15A25CAB"/>
    <w:rsid w:val="15B154FD"/>
    <w:rsid w:val="15D92E05"/>
    <w:rsid w:val="160C3972"/>
    <w:rsid w:val="160D2BC7"/>
    <w:rsid w:val="167074C9"/>
    <w:rsid w:val="16A87116"/>
    <w:rsid w:val="16C94170"/>
    <w:rsid w:val="171777EB"/>
    <w:rsid w:val="174809E4"/>
    <w:rsid w:val="176A242F"/>
    <w:rsid w:val="176F1621"/>
    <w:rsid w:val="177E6315"/>
    <w:rsid w:val="17C26BEE"/>
    <w:rsid w:val="182C7D43"/>
    <w:rsid w:val="182F2003"/>
    <w:rsid w:val="18C55DE8"/>
    <w:rsid w:val="19197971"/>
    <w:rsid w:val="19320519"/>
    <w:rsid w:val="19863086"/>
    <w:rsid w:val="19B63F60"/>
    <w:rsid w:val="19EE4C21"/>
    <w:rsid w:val="19F17461"/>
    <w:rsid w:val="1A09547B"/>
    <w:rsid w:val="1A146313"/>
    <w:rsid w:val="1A1855A2"/>
    <w:rsid w:val="1A3508CA"/>
    <w:rsid w:val="1A392464"/>
    <w:rsid w:val="1A4A267C"/>
    <w:rsid w:val="1A5962A7"/>
    <w:rsid w:val="1A750583"/>
    <w:rsid w:val="1A8100A6"/>
    <w:rsid w:val="1AD52046"/>
    <w:rsid w:val="1B080168"/>
    <w:rsid w:val="1B215C37"/>
    <w:rsid w:val="1B226635"/>
    <w:rsid w:val="1B276D1E"/>
    <w:rsid w:val="1B2F71D9"/>
    <w:rsid w:val="1BB06AD1"/>
    <w:rsid w:val="1BB536DD"/>
    <w:rsid w:val="1BBC5B17"/>
    <w:rsid w:val="1BE415A1"/>
    <w:rsid w:val="1BEE3A73"/>
    <w:rsid w:val="1C014D39"/>
    <w:rsid w:val="1C162E54"/>
    <w:rsid w:val="1C1F151B"/>
    <w:rsid w:val="1C3715E1"/>
    <w:rsid w:val="1C6D189C"/>
    <w:rsid w:val="1CAC5465"/>
    <w:rsid w:val="1CC73913"/>
    <w:rsid w:val="1CED332D"/>
    <w:rsid w:val="1D076726"/>
    <w:rsid w:val="1D316FEC"/>
    <w:rsid w:val="1D633C64"/>
    <w:rsid w:val="1DAF65DE"/>
    <w:rsid w:val="1DF23CB9"/>
    <w:rsid w:val="1E400BCA"/>
    <w:rsid w:val="1E8C0B18"/>
    <w:rsid w:val="1EDE4F3B"/>
    <w:rsid w:val="1F4A18E0"/>
    <w:rsid w:val="1F777FFF"/>
    <w:rsid w:val="1FB25F2C"/>
    <w:rsid w:val="20101046"/>
    <w:rsid w:val="20217381"/>
    <w:rsid w:val="20636207"/>
    <w:rsid w:val="20866C1E"/>
    <w:rsid w:val="20E41728"/>
    <w:rsid w:val="21133818"/>
    <w:rsid w:val="212119CC"/>
    <w:rsid w:val="21474729"/>
    <w:rsid w:val="214B6F7C"/>
    <w:rsid w:val="215C1D4B"/>
    <w:rsid w:val="21C45789"/>
    <w:rsid w:val="21E00F1D"/>
    <w:rsid w:val="2201197C"/>
    <w:rsid w:val="221F2CAA"/>
    <w:rsid w:val="22556A0A"/>
    <w:rsid w:val="2256303F"/>
    <w:rsid w:val="229720A1"/>
    <w:rsid w:val="22C2291F"/>
    <w:rsid w:val="22CE5E68"/>
    <w:rsid w:val="22E25C4A"/>
    <w:rsid w:val="23147F51"/>
    <w:rsid w:val="234226FD"/>
    <w:rsid w:val="237322B8"/>
    <w:rsid w:val="239F43BC"/>
    <w:rsid w:val="23A137D8"/>
    <w:rsid w:val="23CD508A"/>
    <w:rsid w:val="23CF3F35"/>
    <w:rsid w:val="23D03546"/>
    <w:rsid w:val="23E50EB1"/>
    <w:rsid w:val="23FA4502"/>
    <w:rsid w:val="24151771"/>
    <w:rsid w:val="24287D53"/>
    <w:rsid w:val="244971E3"/>
    <w:rsid w:val="24767989"/>
    <w:rsid w:val="24940CAE"/>
    <w:rsid w:val="249675D0"/>
    <w:rsid w:val="24A00965"/>
    <w:rsid w:val="25107448"/>
    <w:rsid w:val="2512708A"/>
    <w:rsid w:val="252A3AB2"/>
    <w:rsid w:val="253C5C51"/>
    <w:rsid w:val="254B2B8F"/>
    <w:rsid w:val="255704B6"/>
    <w:rsid w:val="255B7F55"/>
    <w:rsid w:val="256A6322"/>
    <w:rsid w:val="258E14F2"/>
    <w:rsid w:val="259E0ABE"/>
    <w:rsid w:val="25D673F8"/>
    <w:rsid w:val="26411939"/>
    <w:rsid w:val="264E4B8B"/>
    <w:rsid w:val="267B5EA0"/>
    <w:rsid w:val="267D3D8B"/>
    <w:rsid w:val="26843AB7"/>
    <w:rsid w:val="26C0171B"/>
    <w:rsid w:val="26F85436"/>
    <w:rsid w:val="270D0AF9"/>
    <w:rsid w:val="274970FE"/>
    <w:rsid w:val="274A4CBD"/>
    <w:rsid w:val="27895AB9"/>
    <w:rsid w:val="28366953"/>
    <w:rsid w:val="283D19C0"/>
    <w:rsid w:val="288A714B"/>
    <w:rsid w:val="288D6F18"/>
    <w:rsid w:val="2898316B"/>
    <w:rsid w:val="28E133DE"/>
    <w:rsid w:val="28E4738D"/>
    <w:rsid w:val="291B6628"/>
    <w:rsid w:val="295B348A"/>
    <w:rsid w:val="29675307"/>
    <w:rsid w:val="29742FF9"/>
    <w:rsid w:val="29795ECC"/>
    <w:rsid w:val="29914C8E"/>
    <w:rsid w:val="29B132C6"/>
    <w:rsid w:val="29BA192D"/>
    <w:rsid w:val="2A213B30"/>
    <w:rsid w:val="2A6025F9"/>
    <w:rsid w:val="2A614DAD"/>
    <w:rsid w:val="2A6B1F82"/>
    <w:rsid w:val="2AA43D80"/>
    <w:rsid w:val="2AB86C8D"/>
    <w:rsid w:val="2ADA3F49"/>
    <w:rsid w:val="2AF577D5"/>
    <w:rsid w:val="2B226C9C"/>
    <w:rsid w:val="2B326109"/>
    <w:rsid w:val="2B5603AE"/>
    <w:rsid w:val="2B756F7C"/>
    <w:rsid w:val="2BC97B20"/>
    <w:rsid w:val="2BF97111"/>
    <w:rsid w:val="2C831AC1"/>
    <w:rsid w:val="2C930564"/>
    <w:rsid w:val="2CCA0E04"/>
    <w:rsid w:val="2CFD1A62"/>
    <w:rsid w:val="2D35143B"/>
    <w:rsid w:val="2D6C4D84"/>
    <w:rsid w:val="2D886F84"/>
    <w:rsid w:val="2DC9318F"/>
    <w:rsid w:val="2DF21899"/>
    <w:rsid w:val="2E442A83"/>
    <w:rsid w:val="2E8336FB"/>
    <w:rsid w:val="2EA0197E"/>
    <w:rsid w:val="2EB6521B"/>
    <w:rsid w:val="2F4A283C"/>
    <w:rsid w:val="2F712872"/>
    <w:rsid w:val="2F724E02"/>
    <w:rsid w:val="2F885507"/>
    <w:rsid w:val="2FB47061"/>
    <w:rsid w:val="2FF855BE"/>
    <w:rsid w:val="3024410B"/>
    <w:rsid w:val="304B6390"/>
    <w:rsid w:val="305E05AC"/>
    <w:rsid w:val="306C03F3"/>
    <w:rsid w:val="309D30E8"/>
    <w:rsid w:val="30D727F8"/>
    <w:rsid w:val="30EA2F55"/>
    <w:rsid w:val="30EC420E"/>
    <w:rsid w:val="310C7078"/>
    <w:rsid w:val="31445D45"/>
    <w:rsid w:val="315F0E65"/>
    <w:rsid w:val="31AB052E"/>
    <w:rsid w:val="31C5622D"/>
    <w:rsid w:val="321668FF"/>
    <w:rsid w:val="32677D1F"/>
    <w:rsid w:val="327F6FFA"/>
    <w:rsid w:val="329E169A"/>
    <w:rsid w:val="32B16E04"/>
    <w:rsid w:val="32C007DD"/>
    <w:rsid w:val="32C57240"/>
    <w:rsid w:val="32CE36F6"/>
    <w:rsid w:val="331735A3"/>
    <w:rsid w:val="3354659A"/>
    <w:rsid w:val="3354727C"/>
    <w:rsid w:val="336C7696"/>
    <w:rsid w:val="336D65DD"/>
    <w:rsid w:val="337A63DA"/>
    <w:rsid w:val="338D7F6D"/>
    <w:rsid w:val="33C822F5"/>
    <w:rsid w:val="33D504D1"/>
    <w:rsid w:val="343876B2"/>
    <w:rsid w:val="346D6AAF"/>
    <w:rsid w:val="34825696"/>
    <w:rsid w:val="349C6552"/>
    <w:rsid w:val="349F7868"/>
    <w:rsid w:val="34AB724F"/>
    <w:rsid w:val="34AF08E4"/>
    <w:rsid w:val="34F156D7"/>
    <w:rsid w:val="35863510"/>
    <w:rsid w:val="35BE0CA3"/>
    <w:rsid w:val="362004B9"/>
    <w:rsid w:val="362B32A8"/>
    <w:rsid w:val="364A25AD"/>
    <w:rsid w:val="36A60E67"/>
    <w:rsid w:val="36C36A3A"/>
    <w:rsid w:val="36CD134F"/>
    <w:rsid w:val="36E43AC6"/>
    <w:rsid w:val="36EE1236"/>
    <w:rsid w:val="36EE66E6"/>
    <w:rsid w:val="37640A01"/>
    <w:rsid w:val="377853E8"/>
    <w:rsid w:val="37DF2781"/>
    <w:rsid w:val="380F2E63"/>
    <w:rsid w:val="38111770"/>
    <w:rsid w:val="3826051C"/>
    <w:rsid w:val="3844292D"/>
    <w:rsid w:val="388D7FC8"/>
    <w:rsid w:val="388E796E"/>
    <w:rsid w:val="38943FFD"/>
    <w:rsid w:val="38B32E97"/>
    <w:rsid w:val="38E90588"/>
    <w:rsid w:val="3903426A"/>
    <w:rsid w:val="390C694C"/>
    <w:rsid w:val="39551A77"/>
    <w:rsid w:val="398B2732"/>
    <w:rsid w:val="39BB5DEC"/>
    <w:rsid w:val="39BE0A32"/>
    <w:rsid w:val="39F8700F"/>
    <w:rsid w:val="3A10420B"/>
    <w:rsid w:val="3A390583"/>
    <w:rsid w:val="3A426134"/>
    <w:rsid w:val="3AA553D6"/>
    <w:rsid w:val="3AE179FC"/>
    <w:rsid w:val="3B6A3190"/>
    <w:rsid w:val="3B74462B"/>
    <w:rsid w:val="3B761062"/>
    <w:rsid w:val="3B7F031A"/>
    <w:rsid w:val="3B8858C7"/>
    <w:rsid w:val="3BB126F5"/>
    <w:rsid w:val="3BC776C8"/>
    <w:rsid w:val="3BCF2E60"/>
    <w:rsid w:val="3BE330AA"/>
    <w:rsid w:val="3BF93FF5"/>
    <w:rsid w:val="3C113C85"/>
    <w:rsid w:val="3C477FD9"/>
    <w:rsid w:val="3C4C2771"/>
    <w:rsid w:val="3C601669"/>
    <w:rsid w:val="3CCB49CA"/>
    <w:rsid w:val="3CD013FC"/>
    <w:rsid w:val="3CFC4A0B"/>
    <w:rsid w:val="3D2C276F"/>
    <w:rsid w:val="3D2C365E"/>
    <w:rsid w:val="3D4923D4"/>
    <w:rsid w:val="3D49754A"/>
    <w:rsid w:val="3D5C682B"/>
    <w:rsid w:val="3D686135"/>
    <w:rsid w:val="3D8A1DC5"/>
    <w:rsid w:val="3DF07315"/>
    <w:rsid w:val="3E2E16D7"/>
    <w:rsid w:val="3E5454F7"/>
    <w:rsid w:val="3EA566FD"/>
    <w:rsid w:val="3ED034F8"/>
    <w:rsid w:val="3EED3C98"/>
    <w:rsid w:val="3EF835C2"/>
    <w:rsid w:val="3F3319E3"/>
    <w:rsid w:val="3F4272FB"/>
    <w:rsid w:val="3F593A1E"/>
    <w:rsid w:val="3F7629A6"/>
    <w:rsid w:val="3FA7290E"/>
    <w:rsid w:val="3FDA55F9"/>
    <w:rsid w:val="3FF4430F"/>
    <w:rsid w:val="401C475C"/>
    <w:rsid w:val="40430DBF"/>
    <w:rsid w:val="40AB2BA1"/>
    <w:rsid w:val="40C35254"/>
    <w:rsid w:val="40DC6726"/>
    <w:rsid w:val="40EF6BDD"/>
    <w:rsid w:val="41365F96"/>
    <w:rsid w:val="414937AD"/>
    <w:rsid w:val="414E1E87"/>
    <w:rsid w:val="419741CC"/>
    <w:rsid w:val="419E7809"/>
    <w:rsid w:val="41A60B8F"/>
    <w:rsid w:val="420A28A0"/>
    <w:rsid w:val="42170D81"/>
    <w:rsid w:val="4270310F"/>
    <w:rsid w:val="4298407F"/>
    <w:rsid w:val="42CD04D9"/>
    <w:rsid w:val="43912C36"/>
    <w:rsid w:val="43E5162B"/>
    <w:rsid w:val="442A17E1"/>
    <w:rsid w:val="444F3CA1"/>
    <w:rsid w:val="449905B2"/>
    <w:rsid w:val="451B78EB"/>
    <w:rsid w:val="453F40F1"/>
    <w:rsid w:val="45564C3B"/>
    <w:rsid w:val="45651324"/>
    <w:rsid w:val="45AC77B2"/>
    <w:rsid w:val="45C34FDE"/>
    <w:rsid w:val="45DF37F8"/>
    <w:rsid w:val="45FD0DAF"/>
    <w:rsid w:val="4610518B"/>
    <w:rsid w:val="462A192C"/>
    <w:rsid w:val="4630077B"/>
    <w:rsid w:val="466E524F"/>
    <w:rsid w:val="468A30AC"/>
    <w:rsid w:val="46CD56C2"/>
    <w:rsid w:val="472036B0"/>
    <w:rsid w:val="474902FA"/>
    <w:rsid w:val="476E60E3"/>
    <w:rsid w:val="47876A64"/>
    <w:rsid w:val="47BA534A"/>
    <w:rsid w:val="48063950"/>
    <w:rsid w:val="480D086E"/>
    <w:rsid w:val="4875234B"/>
    <w:rsid w:val="48814D3B"/>
    <w:rsid w:val="48A6719A"/>
    <w:rsid w:val="48F11B33"/>
    <w:rsid w:val="49061CFA"/>
    <w:rsid w:val="491B43EB"/>
    <w:rsid w:val="4920102B"/>
    <w:rsid w:val="4923515A"/>
    <w:rsid w:val="492D3652"/>
    <w:rsid w:val="492E4542"/>
    <w:rsid w:val="493D3155"/>
    <w:rsid w:val="49881EBF"/>
    <w:rsid w:val="49993206"/>
    <w:rsid w:val="49A275F1"/>
    <w:rsid w:val="49F03064"/>
    <w:rsid w:val="49FE3D94"/>
    <w:rsid w:val="4A0824B4"/>
    <w:rsid w:val="4A0F2ECE"/>
    <w:rsid w:val="4A164090"/>
    <w:rsid w:val="4A302A8D"/>
    <w:rsid w:val="4A3F43A6"/>
    <w:rsid w:val="4A742A43"/>
    <w:rsid w:val="4AC45C39"/>
    <w:rsid w:val="4AD373DB"/>
    <w:rsid w:val="4B2F008D"/>
    <w:rsid w:val="4B903C10"/>
    <w:rsid w:val="4BAF5FA8"/>
    <w:rsid w:val="4C135CB5"/>
    <w:rsid w:val="4C181F0E"/>
    <w:rsid w:val="4C2B1311"/>
    <w:rsid w:val="4C4A1D94"/>
    <w:rsid w:val="4C4B5555"/>
    <w:rsid w:val="4C7022D8"/>
    <w:rsid w:val="4C7F46AB"/>
    <w:rsid w:val="4CA51392"/>
    <w:rsid w:val="4CA63CA0"/>
    <w:rsid w:val="4CE128E3"/>
    <w:rsid w:val="4D355221"/>
    <w:rsid w:val="4D9D16B2"/>
    <w:rsid w:val="4DA95D43"/>
    <w:rsid w:val="4DF92B80"/>
    <w:rsid w:val="4E327DD4"/>
    <w:rsid w:val="4E5040EC"/>
    <w:rsid w:val="4EAE3EAF"/>
    <w:rsid w:val="4EBC5075"/>
    <w:rsid w:val="4EC814CC"/>
    <w:rsid w:val="4F0622D3"/>
    <w:rsid w:val="4F373F83"/>
    <w:rsid w:val="4F4B68EE"/>
    <w:rsid w:val="4F743EF4"/>
    <w:rsid w:val="4F7D7122"/>
    <w:rsid w:val="4FE80782"/>
    <w:rsid w:val="4FF4163C"/>
    <w:rsid w:val="502552AE"/>
    <w:rsid w:val="50297C88"/>
    <w:rsid w:val="504F5D42"/>
    <w:rsid w:val="507E054B"/>
    <w:rsid w:val="50985955"/>
    <w:rsid w:val="50C67F4C"/>
    <w:rsid w:val="513A0C71"/>
    <w:rsid w:val="5168267D"/>
    <w:rsid w:val="516F70A0"/>
    <w:rsid w:val="51707DBA"/>
    <w:rsid w:val="51783A6A"/>
    <w:rsid w:val="518F0B84"/>
    <w:rsid w:val="51A650B5"/>
    <w:rsid w:val="51C71D44"/>
    <w:rsid w:val="51CB03D7"/>
    <w:rsid w:val="51DB6516"/>
    <w:rsid w:val="51E77834"/>
    <w:rsid w:val="52384139"/>
    <w:rsid w:val="52543432"/>
    <w:rsid w:val="525A2F72"/>
    <w:rsid w:val="52F24E30"/>
    <w:rsid w:val="52F25F35"/>
    <w:rsid w:val="52F363F7"/>
    <w:rsid w:val="53422E0B"/>
    <w:rsid w:val="538C019C"/>
    <w:rsid w:val="53BE2437"/>
    <w:rsid w:val="53DF249A"/>
    <w:rsid w:val="54726214"/>
    <w:rsid w:val="54913480"/>
    <w:rsid w:val="54CC03EE"/>
    <w:rsid w:val="54F701DF"/>
    <w:rsid w:val="54FF57F9"/>
    <w:rsid w:val="55621B1F"/>
    <w:rsid w:val="55677F9A"/>
    <w:rsid w:val="558843A1"/>
    <w:rsid w:val="558D0BF4"/>
    <w:rsid w:val="55B521B7"/>
    <w:rsid w:val="55D658A7"/>
    <w:rsid w:val="562F5BB8"/>
    <w:rsid w:val="569A233B"/>
    <w:rsid w:val="569A466D"/>
    <w:rsid w:val="56AF2A3A"/>
    <w:rsid w:val="56C00D83"/>
    <w:rsid w:val="56F634C4"/>
    <w:rsid w:val="572C0168"/>
    <w:rsid w:val="57713BF8"/>
    <w:rsid w:val="577C1B0F"/>
    <w:rsid w:val="58111424"/>
    <w:rsid w:val="581326D6"/>
    <w:rsid w:val="58282065"/>
    <w:rsid w:val="587258A8"/>
    <w:rsid w:val="589A78EC"/>
    <w:rsid w:val="58B25CFC"/>
    <w:rsid w:val="58D97704"/>
    <w:rsid w:val="58E21FDD"/>
    <w:rsid w:val="58EB3947"/>
    <w:rsid w:val="590704AB"/>
    <w:rsid w:val="59134DD9"/>
    <w:rsid w:val="595C381C"/>
    <w:rsid w:val="597C739F"/>
    <w:rsid w:val="59952A8F"/>
    <w:rsid w:val="59973411"/>
    <w:rsid w:val="59F224D2"/>
    <w:rsid w:val="5A1C3D8D"/>
    <w:rsid w:val="5A2669C9"/>
    <w:rsid w:val="5A625953"/>
    <w:rsid w:val="5A870DC9"/>
    <w:rsid w:val="5AEF2681"/>
    <w:rsid w:val="5B05162B"/>
    <w:rsid w:val="5B16159D"/>
    <w:rsid w:val="5B1A4830"/>
    <w:rsid w:val="5B4644CD"/>
    <w:rsid w:val="5B4E4A1F"/>
    <w:rsid w:val="5B57132E"/>
    <w:rsid w:val="5B602746"/>
    <w:rsid w:val="5B6E0BA3"/>
    <w:rsid w:val="5B942A2A"/>
    <w:rsid w:val="5BB53204"/>
    <w:rsid w:val="5BCE4174"/>
    <w:rsid w:val="5BDB0D2B"/>
    <w:rsid w:val="5BE03428"/>
    <w:rsid w:val="5BEE5078"/>
    <w:rsid w:val="5C523B72"/>
    <w:rsid w:val="5C6844CB"/>
    <w:rsid w:val="5C793993"/>
    <w:rsid w:val="5C95775E"/>
    <w:rsid w:val="5CA577C7"/>
    <w:rsid w:val="5CF41F11"/>
    <w:rsid w:val="5D127CB3"/>
    <w:rsid w:val="5DA20704"/>
    <w:rsid w:val="5DBB68FA"/>
    <w:rsid w:val="5DCB6220"/>
    <w:rsid w:val="5DD16E7F"/>
    <w:rsid w:val="5E1561C1"/>
    <w:rsid w:val="5E1A5010"/>
    <w:rsid w:val="5E1E774C"/>
    <w:rsid w:val="5E205796"/>
    <w:rsid w:val="5E677465"/>
    <w:rsid w:val="5E7A5AA7"/>
    <w:rsid w:val="5E835980"/>
    <w:rsid w:val="5E9035E5"/>
    <w:rsid w:val="5F182745"/>
    <w:rsid w:val="5F60446D"/>
    <w:rsid w:val="5F714404"/>
    <w:rsid w:val="5F925BF4"/>
    <w:rsid w:val="5FA16F91"/>
    <w:rsid w:val="5FB65F5A"/>
    <w:rsid w:val="5FF65A22"/>
    <w:rsid w:val="601F289B"/>
    <w:rsid w:val="602040A5"/>
    <w:rsid w:val="602478E4"/>
    <w:rsid w:val="60767BD1"/>
    <w:rsid w:val="60874035"/>
    <w:rsid w:val="609C7FB5"/>
    <w:rsid w:val="610E0074"/>
    <w:rsid w:val="61110075"/>
    <w:rsid w:val="611E237F"/>
    <w:rsid w:val="61503FD2"/>
    <w:rsid w:val="61585F61"/>
    <w:rsid w:val="616575B2"/>
    <w:rsid w:val="61966F55"/>
    <w:rsid w:val="61D948CF"/>
    <w:rsid w:val="61F94610"/>
    <w:rsid w:val="6220516F"/>
    <w:rsid w:val="622F7EDB"/>
    <w:rsid w:val="624C3A1E"/>
    <w:rsid w:val="625C23FA"/>
    <w:rsid w:val="6268117A"/>
    <w:rsid w:val="62CC68E6"/>
    <w:rsid w:val="62FB243D"/>
    <w:rsid w:val="6322476F"/>
    <w:rsid w:val="63407D48"/>
    <w:rsid w:val="634375EF"/>
    <w:rsid w:val="63536D70"/>
    <w:rsid w:val="63787099"/>
    <w:rsid w:val="63A54DCA"/>
    <w:rsid w:val="63CC62B6"/>
    <w:rsid w:val="63EF05E1"/>
    <w:rsid w:val="63F55A91"/>
    <w:rsid w:val="6421279B"/>
    <w:rsid w:val="648F075D"/>
    <w:rsid w:val="649B2DAC"/>
    <w:rsid w:val="64B92311"/>
    <w:rsid w:val="64C8746C"/>
    <w:rsid w:val="64E165AC"/>
    <w:rsid w:val="65880AB6"/>
    <w:rsid w:val="65BC4CB9"/>
    <w:rsid w:val="65C75BF6"/>
    <w:rsid w:val="65E76F77"/>
    <w:rsid w:val="668E0BAA"/>
    <w:rsid w:val="66AA248A"/>
    <w:rsid w:val="66CE46B8"/>
    <w:rsid w:val="66EA47BB"/>
    <w:rsid w:val="66EF73A2"/>
    <w:rsid w:val="66F61CA6"/>
    <w:rsid w:val="67351044"/>
    <w:rsid w:val="6746287A"/>
    <w:rsid w:val="675E1E04"/>
    <w:rsid w:val="67AE5DC1"/>
    <w:rsid w:val="67B067D8"/>
    <w:rsid w:val="67B7381C"/>
    <w:rsid w:val="67E545E9"/>
    <w:rsid w:val="680653BB"/>
    <w:rsid w:val="685D728C"/>
    <w:rsid w:val="687038CA"/>
    <w:rsid w:val="687A01E6"/>
    <w:rsid w:val="688E03B5"/>
    <w:rsid w:val="68C81EE7"/>
    <w:rsid w:val="692865FB"/>
    <w:rsid w:val="69C7037B"/>
    <w:rsid w:val="69F503EF"/>
    <w:rsid w:val="69FA432E"/>
    <w:rsid w:val="6A171BA6"/>
    <w:rsid w:val="6A6610B9"/>
    <w:rsid w:val="6A6D2DB4"/>
    <w:rsid w:val="6AC50296"/>
    <w:rsid w:val="6AD8510A"/>
    <w:rsid w:val="6AF21074"/>
    <w:rsid w:val="6B0B64BA"/>
    <w:rsid w:val="6B1E7CA4"/>
    <w:rsid w:val="6B5C7BA9"/>
    <w:rsid w:val="6B682923"/>
    <w:rsid w:val="6BCB2EA1"/>
    <w:rsid w:val="6BD40BE0"/>
    <w:rsid w:val="6C105547"/>
    <w:rsid w:val="6C1F2DA9"/>
    <w:rsid w:val="6D0A6C11"/>
    <w:rsid w:val="6D376D4A"/>
    <w:rsid w:val="6D3C435D"/>
    <w:rsid w:val="6D6C4D54"/>
    <w:rsid w:val="6D9F6AA7"/>
    <w:rsid w:val="6DB22885"/>
    <w:rsid w:val="6DEA4C99"/>
    <w:rsid w:val="6E2C37A0"/>
    <w:rsid w:val="6E307F73"/>
    <w:rsid w:val="6E490172"/>
    <w:rsid w:val="6E4C04FF"/>
    <w:rsid w:val="6E4D7CC3"/>
    <w:rsid w:val="6E7B61C5"/>
    <w:rsid w:val="6E913526"/>
    <w:rsid w:val="6EB742E9"/>
    <w:rsid w:val="6EE32384"/>
    <w:rsid w:val="6F4D799E"/>
    <w:rsid w:val="6F6B0CBA"/>
    <w:rsid w:val="6FC65AE4"/>
    <w:rsid w:val="6FEE5049"/>
    <w:rsid w:val="7044489E"/>
    <w:rsid w:val="70666325"/>
    <w:rsid w:val="708A2170"/>
    <w:rsid w:val="709373F9"/>
    <w:rsid w:val="70AB421E"/>
    <w:rsid w:val="70D56687"/>
    <w:rsid w:val="70FB6624"/>
    <w:rsid w:val="71521CAB"/>
    <w:rsid w:val="716A7261"/>
    <w:rsid w:val="717A586E"/>
    <w:rsid w:val="719924AE"/>
    <w:rsid w:val="71C86289"/>
    <w:rsid w:val="71CC6668"/>
    <w:rsid w:val="71E17F11"/>
    <w:rsid w:val="71EE37E4"/>
    <w:rsid w:val="71EF2C3A"/>
    <w:rsid w:val="71F1164D"/>
    <w:rsid w:val="71FE53CA"/>
    <w:rsid w:val="71FF1E36"/>
    <w:rsid w:val="72033806"/>
    <w:rsid w:val="720F711F"/>
    <w:rsid w:val="72266F24"/>
    <w:rsid w:val="72562E43"/>
    <w:rsid w:val="72822385"/>
    <w:rsid w:val="72855779"/>
    <w:rsid w:val="72DC140E"/>
    <w:rsid w:val="72FE0DC3"/>
    <w:rsid w:val="734B1906"/>
    <w:rsid w:val="738A2B13"/>
    <w:rsid w:val="739D1344"/>
    <w:rsid w:val="747031F4"/>
    <w:rsid w:val="747B5C63"/>
    <w:rsid w:val="74C44CDB"/>
    <w:rsid w:val="753D23A9"/>
    <w:rsid w:val="757A3931"/>
    <w:rsid w:val="75A20BF8"/>
    <w:rsid w:val="75FE2BBA"/>
    <w:rsid w:val="760E7286"/>
    <w:rsid w:val="762218BE"/>
    <w:rsid w:val="767D4F95"/>
    <w:rsid w:val="76BF7F2A"/>
    <w:rsid w:val="76E55968"/>
    <w:rsid w:val="773442C9"/>
    <w:rsid w:val="77A71FBB"/>
    <w:rsid w:val="77E9796A"/>
    <w:rsid w:val="77F51E4A"/>
    <w:rsid w:val="787D0BC7"/>
    <w:rsid w:val="788219B1"/>
    <w:rsid w:val="78A07880"/>
    <w:rsid w:val="78E176CB"/>
    <w:rsid w:val="7924338D"/>
    <w:rsid w:val="796216A1"/>
    <w:rsid w:val="79D671F6"/>
    <w:rsid w:val="7A2338C6"/>
    <w:rsid w:val="7A63627A"/>
    <w:rsid w:val="7A80015F"/>
    <w:rsid w:val="7A827988"/>
    <w:rsid w:val="7A855D56"/>
    <w:rsid w:val="7AB51402"/>
    <w:rsid w:val="7AF4527E"/>
    <w:rsid w:val="7AF523E6"/>
    <w:rsid w:val="7B705367"/>
    <w:rsid w:val="7B8F258E"/>
    <w:rsid w:val="7BB553E8"/>
    <w:rsid w:val="7BCB62DE"/>
    <w:rsid w:val="7BCD1FCB"/>
    <w:rsid w:val="7C7C4819"/>
    <w:rsid w:val="7CA42A04"/>
    <w:rsid w:val="7CF0799D"/>
    <w:rsid w:val="7CFE6B6B"/>
    <w:rsid w:val="7D157360"/>
    <w:rsid w:val="7D1B3655"/>
    <w:rsid w:val="7D3A3E30"/>
    <w:rsid w:val="7D53315B"/>
    <w:rsid w:val="7D932345"/>
    <w:rsid w:val="7DA96E5C"/>
    <w:rsid w:val="7DAF26CA"/>
    <w:rsid w:val="7DB427A3"/>
    <w:rsid w:val="7DBD0355"/>
    <w:rsid w:val="7DD552D1"/>
    <w:rsid w:val="7E2F38D0"/>
    <w:rsid w:val="7E365DA1"/>
    <w:rsid w:val="7E9338E6"/>
    <w:rsid w:val="7EDD1E38"/>
    <w:rsid w:val="7FBF2C9E"/>
    <w:rsid w:val="7FF353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5"/>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4"/>
    </w:rPr>
  </w:style>
  <w:style w:type="paragraph" w:styleId="7">
    <w:name w:val="annotation text"/>
    <w:basedOn w:val="1"/>
    <w:qFormat/>
    <w:uiPriority w:val="0"/>
    <w:pPr>
      <w:jc w:val="left"/>
    </w:pPr>
  </w:style>
  <w:style w:type="paragraph" w:styleId="8">
    <w:name w:val="Body Text 3"/>
    <w:basedOn w:val="1"/>
    <w:qFormat/>
    <w:uiPriority w:val="0"/>
    <w:pPr>
      <w:spacing w:line="440" w:lineRule="exact"/>
    </w:pPr>
    <w:rPr>
      <w:color w:val="000000"/>
      <w:szCs w:val="18"/>
    </w:rPr>
  </w:style>
  <w:style w:type="paragraph" w:styleId="9">
    <w:name w:val="Body Text"/>
    <w:basedOn w:val="1"/>
    <w:next w:val="1"/>
    <w:qFormat/>
    <w:uiPriority w:val="0"/>
    <w:rPr>
      <w:rFonts w:ascii="Arial" w:hAnsi="Arial"/>
      <w:sz w:val="24"/>
    </w:rPr>
  </w:style>
  <w:style w:type="paragraph" w:styleId="10">
    <w:name w:val="Body Text Indent"/>
    <w:basedOn w:val="1"/>
    <w:next w:val="6"/>
    <w:qFormat/>
    <w:uiPriority w:val="0"/>
    <w:pPr>
      <w:ind w:firstLine="480"/>
    </w:pPr>
    <w:rPr>
      <w:rFonts w:ascii="宋体" w:hAnsi="宋体"/>
      <w:sz w:val="24"/>
    </w:rPr>
  </w:style>
  <w:style w:type="paragraph" w:styleId="11">
    <w:name w:val="Plain Text"/>
    <w:basedOn w:val="1"/>
    <w:qFormat/>
    <w:uiPriority w:val="0"/>
    <w:rPr>
      <w:rFonts w:ascii="宋体" w:hAnsi="Courier New"/>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toc 4"/>
    <w:basedOn w:val="1"/>
    <w:next w:val="1"/>
    <w:unhideWhenUsed/>
    <w:qFormat/>
    <w:uiPriority w:val="39"/>
    <w:pPr>
      <w:ind w:left="1260" w:leftChars="600"/>
    </w:pPr>
  </w:style>
  <w:style w:type="paragraph" w:styleId="17">
    <w:name w:val="List"/>
    <w:basedOn w:val="1"/>
    <w:qFormat/>
    <w:uiPriority w:val="0"/>
    <w:pPr>
      <w:ind w:left="200" w:hanging="200" w:hangingChars="200"/>
    </w:pPr>
  </w:style>
  <w:style w:type="paragraph" w:styleId="18">
    <w:name w:val="footnote text"/>
    <w:basedOn w:val="1"/>
    <w:qFormat/>
    <w:uiPriority w:val="0"/>
    <w:pPr>
      <w:snapToGrid w:val="0"/>
      <w:jc w:val="left"/>
    </w:pPr>
    <w:rPr>
      <w:sz w:val="18"/>
    </w:r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Title"/>
    <w:basedOn w:val="1"/>
    <w:next w:val="1"/>
    <w:qFormat/>
    <w:uiPriority w:val="0"/>
    <w:pPr>
      <w:spacing w:before="240" w:after="60"/>
      <w:jc w:val="center"/>
      <w:outlineLvl w:val="0"/>
    </w:pPr>
    <w:rPr>
      <w:rFonts w:ascii="Cambria" w:hAnsi="Cambria"/>
      <w:b/>
      <w:bCs/>
      <w:sz w:val="36"/>
      <w:szCs w:val="32"/>
    </w:rPr>
  </w:style>
  <w:style w:type="paragraph" w:styleId="22">
    <w:name w:val="Body Text First Indent"/>
    <w:basedOn w:val="9"/>
    <w:qFormat/>
    <w:uiPriority w:val="0"/>
    <w:pPr>
      <w:spacing w:after="120"/>
      <w:ind w:firstLine="420" w:firstLineChars="100"/>
    </w:pPr>
    <w:rPr>
      <w:rFonts w:ascii="Times New Roman" w:hAnsi="Times New Roman"/>
      <w:sz w:val="21"/>
    </w:rPr>
  </w:style>
  <w:style w:type="paragraph" w:styleId="23">
    <w:name w:val="Body Text First Indent 2"/>
    <w:basedOn w:val="10"/>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color w:val="999999"/>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hint="default" w:ascii="monospace" w:hAnsi="monospace" w:eastAsia="monospace" w:cs="monospace"/>
    </w:rPr>
  </w:style>
  <w:style w:type="paragraph" w:customStyle="1" w:styleId="4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2">
    <w:name w:val="Blockquote_0"/>
    <w:basedOn w:val="4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GZTB表格样式"/>
    <w:basedOn w:val="1"/>
    <w:qFormat/>
    <w:uiPriority w:val="0"/>
    <w:pPr>
      <w:spacing w:after="200" w:line="440" w:lineRule="exact"/>
    </w:pPr>
    <w:rPr>
      <w:rFonts w:ascii="新宋体" w:hAnsi="新宋体" w:eastAsia="新宋体"/>
      <w:szCs w:val="22"/>
    </w:rPr>
  </w:style>
  <w:style w:type="paragraph" w:customStyle="1" w:styleId="45">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6">
    <w:name w:val="WPS Plain"/>
    <w:qFormat/>
    <w:uiPriority w:val="0"/>
    <w:rPr>
      <w:rFonts w:ascii="Times New Roman" w:hAnsi="Times New Roman" w:eastAsia="宋体" w:cs="Times New Roman"/>
      <w:lang w:val="en-US" w:eastAsia="zh-CN" w:bidi="ar-SA"/>
    </w:rPr>
  </w:style>
  <w:style w:type="paragraph" w:customStyle="1" w:styleId="4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rPr>
  </w:style>
  <w:style w:type="paragraph" w:customStyle="1" w:styleId="48">
    <w:name w:val="样式 标题 3 + (中文) 黑体 小四 非加粗 段前: 7.8 磅 段后: 0 磅 行距: 固定值 20 磅"/>
    <w:basedOn w:val="2"/>
    <w:qFormat/>
    <w:uiPriority w:val="0"/>
    <w:pPr>
      <w:spacing w:before="0" w:after="0" w:line="400" w:lineRule="exact"/>
    </w:pPr>
    <w:rPr>
      <w:rFonts w:eastAsia="黑体" w:cs="宋体"/>
      <w:sz w:val="24"/>
      <w:szCs w:val="20"/>
    </w:rPr>
  </w:style>
  <w:style w:type="paragraph" w:customStyle="1" w:styleId="49">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customStyle="1" w:styleId="50">
    <w:name w:val="纯文本1"/>
    <w:basedOn w:val="1"/>
    <w:qFormat/>
    <w:uiPriority w:val="0"/>
    <w:rPr>
      <w:rFonts w:ascii="宋体" w:hAnsi="Courier New" w:eastAsiaTheme="minorEastAsia" w:cstheme="minorBidi"/>
      <w:szCs w:val="22"/>
    </w:rPr>
  </w:style>
  <w:style w:type="paragraph" w:customStyle="1" w:styleId="51">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3">
    <w:name w:val="样式 宋体 五号 行距: 单倍行距"/>
    <w:basedOn w:val="1"/>
    <w:qFormat/>
    <w:uiPriority w:val="0"/>
    <w:pPr>
      <w:adjustRightInd w:val="0"/>
      <w:jc w:val="left"/>
      <w:textAlignment w:val="baseline"/>
    </w:pPr>
    <w:rPr>
      <w:rFonts w:ascii="宋体" w:hAnsi="宋体"/>
      <w:kern w:val="0"/>
    </w:rPr>
  </w:style>
  <w:style w:type="paragraph" w:customStyle="1" w:styleId="54">
    <w:name w:val="缺省文本"/>
    <w:basedOn w:val="1"/>
    <w:qFormat/>
    <w:uiPriority w:val="0"/>
    <w:pPr>
      <w:autoSpaceDE w:val="0"/>
      <w:autoSpaceDN w:val="0"/>
      <w:adjustRightInd w:val="0"/>
      <w:jc w:val="left"/>
    </w:pPr>
    <w:rPr>
      <w:kern w:val="0"/>
      <w:sz w:val="24"/>
    </w:rPr>
  </w:style>
  <w:style w:type="paragraph" w:customStyle="1" w:styleId="55">
    <w:name w:val="列出段落1"/>
    <w:basedOn w:val="1"/>
    <w:qFormat/>
    <w:uiPriority w:val="99"/>
    <w:pPr>
      <w:spacing w:before="101"/>
      <w:ind w:left="260" w:hanging="530"/>
    </w:pPr>
  </w:style>
  <w:style w:type="paragraph" w:customStyle="1" w:styleId="56">
    <w:name w:val="Table Paragraph"/>
    <w:basedOn w:val="1"/>
    <w:qFormat/>
    <w:uiPriority w:val="99"/>
  </w:style>
  <w:style w:type="character" w:customStyle="1" w:styleId="57">
    <w:name w:val="列出段落字符"/>
    <w:link w:val="58"/>
    <w:qFormat/>
    <w:uiPriority w:val="34"/>
    <w:rPr>
      <w:kern w:val="2"/>
      <w:sz w:val="24"/>
      <w:szCs w:val="24"/>
    </w:rPr>
  </w:style>
  <w:style w:type="paragraph" w:customStyle="1" w:styleId="58">
    <w:name w:val="列表段落1"/>
    <w:basedOn w:val="1"/>
    <w:link w:val="57"/>
    <w:qFormat/>
    <w:uiPriority w:val="34"/>
    <w:pPr>
      <w:adjustRightInd w:val="0"/>
      <w:spacing w:line="312" w:lineRule="auto"/>
      <w:ind w:firstLine="420" w:firstLineChars="200"/>
      <w:textAlignment w:val="baseline"/>
    </w:pPr>
    <w:rPr>
      <w:sz w:val="24"/>
      <w:szCs w:val="24"/>
    </w:rPr>
  </w:style>
  <w:style w:type="paragraph" w:customStyle="1" w:styleId="59">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paragraph" w:customStyle="1" w:styleId="60">
    <w:name w:val="&quot;图例&quot;"/>
    <w:basedOn w:val="1"/>
    <w:qFormat/>
    <w:uiPriority w:val="0"/>
    <w:pPr>
      <w:widowControl w:val="0"/>
      <w:spacing w:before="120" w:after="120" w:line="360" w:lineRule="auto"/>
      <w:ind w:left="0" w:right="0"/>
      <w:jc w:val="center"/>
    </w:pPr>
    <w:rPr>
      <w:rFonts w:eastAsia="仿宋_GB2312"/>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CD354F-34EC-4FA0-81C3-8B93F15E759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21624</Words>
  <Characters>23133</Characters>
  <Lines>170</Lines>
  <Paragraphs>47</Paragraphs>
  <TotalTime>32</TotalTime>
  <ScaleCrop>false</ScaleCrop>
  <LinksUpToDate>false</LinksUpToDate>
  <CharactersWithSpaces>24791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2019-11-15T16:33:00Z</dcterms:created>
  <dc:creator>暖1367819621</dc:creator>
  <cp:lastModifiedBy>华硕</cp:lastModifiedBy>
  <cp:lastPrinted>2021-03-03T09:44:00Z</cp:lastPrinted>
  <dcterms:modified xsi:type="dcterms:W3CDTF">2022-08-03T04:32:04Z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13381224A05847E0A7F314116D546F4D</vt:lpwstr>
  </property>
</Properties>
</file>