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pPr>
    </w:p>
    <w:p>
      <w:pPr>
        <w:ind w:firstLine="560"/>
      </w:pPr>
    </w:p>
    <w:p>
      <w:pPr>
        <w:ind w:firstLine="560"/>
      </w:pPr>
    </w:p>
    <w:p>
      <w:pPr>
        <w:ind w:firstLine="0" w:firstLineChars="0"/>
        <w:jc w:val="center"/>
      </w:pPr>
      <w:r>
        <w:rPr>
          <w:rFonts w:hint="eastAsia"/>
          <w:b/>
          <w:bCs/>
          <w:sz w:val="36"/>
          <w:szCs w:val="36"/>
        </w:rPr>
        <w:t>察布查尔县2022年度卫片执法专项工作及国土变更调查专项工作</w:t>
      </w:r>
    </w:p>
    <w:p>
      <w:pPr>
        <w:ind w:firstLine="560"/>
        <w:rPr>
          <w:lang w:val="zh-CN"/>
        </w:rPr>
      </w:pPr>
    </w:p>
    <w:p>
      <w:pPr>
        <w:ind w:firstLine="560"/>
        <w:rPr>
          <w:lang w:val="zh-CN"/>
        </w:rPr>
      </w:pPr>
    </w:p>
    <w:p>
      <w:pPr>
        <w:tabs>
          <w:tab w:val="left" w:pos="7044"/>
        </w:tabs>
        <w:ind w:firstLine="560"/>
        <w:rPr>
          <w:lang w:val="zh-CN"/>
        </w:rPr>
      </w:pPr>
      <w:r>
        <w:rPr>
          <w:rFonts w:hint="eastAsia"/>
          <w:lang w:val="zh-CN"/>
        </w:rPr>
        <w:tab/>
      </w:r>
    </w:p>
    <w:p>
      <w:pPr>
        <w:ind w:firstLine="560"/>
        <w:rPr>
          <w:lang w:val="zh-CN"/>
        </w:rPr>
      </w:pPr>
    </w:p>
    <w:p>
      <w:pPr>
        <w:ind w:firstLine="560"/>
        <w:rPr>
          <w:lang w:val="zh-CN"/>
        </w:rPr>
      </w:pPr>
    </w:p>
    <w:p>
      <w:pPr>
        <w:ind w:firstLine="0" w:firstLineChars="0"/>
        <w:jc w:val="center"/>
        <w:rPr>
          <w:b/>
          <w:bCs/>
          <w:sz w:val="48"/>
          <w:szCs w:val="48"/>
        </w:rPr>
      </w:pPr>
      <w:r>
        <w:rPr>
          <w:rFonts w:hint="eastAsia"/>
          <w:b/>
          <w:bCs/>
          <w:sz w:val="48"/>
          <w:szCs w:val="48"/>
        </w:rPr>
        <w:t>竞争性磋商文件</w:t>
      </w:r>
    </w:p>
    <w:p>
      <w:pPr>
        <w:ind w:firstLine="560"/>
      </w:pPr>
    </w:p>
    <w:p>
      <w:pPr>
        <w:ind w:firstLine="560"/>
      </w:pPr>
    </w:p>
    <w:p>
      <w:pPr>
        <w:ind w:firstLine="560"/>
      </w:pPr>
    </w:p>
    <w:p>
      <w:pPr>
        <w:ind w:firstLine="560"/>
      </w:pPr>
    </w:p>
    <w:p>
      <w:pPr>
        <w:ind w:firstLine="560"/>
      </w:pPr>
    </w:p>
    <w:p>
      <w:pPr>
        <w:ind w:firstLine="560"/>
      </w:pPr>
    </w:p>
    <w:p>
      <w:pPr>
        <w:spacing w:line="360" w:lineRule="auto"/>
        <w:ind w:firstLine="0" w:firstLineChars="0"/>
        <w:jc w:val="center"/>
        <w:rPr>
          <w:b/>
          <w:bCs/>
          <w:sz w:val="32"/>
          <w:szCs w:val="32"/>
        </w:rPr>
      </w:pPr>
      <w:r>
        <w:rPr>
          <w:rFonts w:hint="eastAsia"/>
          <w:b/>
          <w:bCs/>
          <w:sz w:val="32"/>
          <w:szCs w:val="32"/>
        </w:rPr>
        <w:t>采购人：察布查尔锡伯自治县自然资源局</w:t>
      </w:r>
    </w:p>
    <w:p>
      <w:pPr>
        <w:spacing w:line="360" w:lineRule="auto"/>
        <w:ind w:firstLine="0" w:firstLineChars="0"/>
        <w:jc w:val="center"/>
        <w:rPr>
          <w:b/>
          <w:bCs/>
          <w:sz w:val="32"/>
          <w:szCs w:val="32"/>
        </w:rPr>
      </w:pPr>
      <w:r>
        <w:rPr>
          <w:rFonts w:hint="eastAsia"/>
          <w:b/>
          <w:bCs/>
          <w:sz w:val="32"/>
          <w:szCs w:val="32"/>
        </w:rPr>
        <w:t>代理机构：新疆鑫耀览项目管理咨询有限公司</w:t>
      </w:r>
    </w:p>
    <w:p>
      <w:pPr>
        <w:pStyle w:val="27"/>
        <w:rPr>
          <w:rFonts w:hint="default"/>
          <w:b/>
          <w:sz w:val="32"/>
        </w:rPr>
      </w:pPr>
      <w:r>
        <w:rPr>
          <w:b/>
          <w:sz w:val="32"/>
        </w:rPr>
        <w:t>2022年11月</w:t>
      </w:r>
    </w:p>
    <w:p>
      <w:pPr>
        <w:ind w:firstLine="643"/>
        <w:rPr>
          <w:b/>
          <w:bCs/>
          <w:sz w:val="32"/>
          <w:szCs w:val="32"/>
        </w:rPr>
      </w:pPr>
      <w:r>
        <w:rPr>
          <w:rFonts w:hint="eastAsia"/>
          <w:b/>
          <w:bCs/>
          <w:sz w:val="32"/>
          <w:szCs w:val="32"/>
        </w:rPr>
        <w:br w:type="page"/>
      </w:r>
    </w:p>
    <w:p>
      <w:pPr>
        <w:pStyle w:val="27"/>
        <w:rPr>
          <w:rFonts w:hint="default"/>
        </w:rPr>
      </w:pPr>
      <w:r>
        <w:t>目 录</w:t>
      </w:r>
    </w:p>
    <w:p>
      <w:pPr>
        <w:pStyle w:val="16"/>
        <w:tabs>
          <w:tab w:val="right" w:leader="dot" w:pos="8306"/>
        </w:tabs>
        <w:ind w:firstLine="562"/>
      </w:pPr>
      <w:r>
        <w:rPr>
          <w:rFonts w:hint="eastAsia"/>
        </w:rPr>
        <w:fldChar w:fldCharType="begin"/>
      </w:r>
      <w:r>
        <w:instrText xml:space="preserve">TOC \o "1-1" \h \u </w:instrText>
      </w:r>
      <w:r>
        <w:rPr>
          <w:rFonts w:hint="eastAsia"/>
        </w:rPr>
        <w:fldChar w:fldCharType="separate"/>
      </w:r>
      <w:r>
        <w:fldChar w:fldCharType="begin"/>
      </w:r>
      <w:r>
        <w:instrText xml:space="preserve"> HYPERLINK \l "_Toc7022" </w:instrText>
      </w:r>
      <w:r>
        <w:fldChar w:fldCharType="separate"/>
      </w:r>
      <w:r>
        <w:rPr>
          <w:rFonts w:hint="eastAsia"/>
        </w:rPr>
        <w:t>第一部分  磋商公告</w:t>
      </w:r>
      <w:r>
        <w:tab/>
      </w:r>
      <w:r>
        <w:fldChar w:fldCharType="begin"/>
      </w:r>
      <w:r>
        <w:instrText xml:space="preserve"> PAGEREF _Toc7022 \h </w:instrText>
      </w:r>
      <w:r>
        <w:fldChar w:fldCharType="separate"/>
      </w:r>
      <w:r>
        <w:t>2</w:t>
      </w:r>
      <w:r>
        <w:fldChar w:fldCharType="end"/>
      </w:r>
      <w:r>
        <w:fldChar w:fldCharType="end"/>
      </w:r>
    </w:p>
    <w:p>
      <w:pPr>
        <w:pStyle w:val="16"/>
        <w:tabs>
          <w:tab w:val="right" w:leader="dot" w:pos="8306"/>
        </w:tabs>
        <w:ind w:firstLine="562"/>
      </w:pPr>
      <w:r>
        <w:fldChar w:fldCharType="begin"/>
      </w:r>
      <w:r>
        <w:instrText xml:space="preserve"> HYPERLINK \l "_Toc26981" </w:instrText>
      </w:r>
      <w:r>
        <w:fldChar w:fldCharType="separate"/>
      </w:r>
      <w:r>
        <w:rPr>
          <w:rFonts w:hint="eastAsia"/>
        </w:rPr>
        <w:t>第二部分  投标须知前附表及投标须知</w:t>
      </w:r>
      <w:r>
        <w:tab/>
      </w:r>
      <w:r>
        <w:fldChar w:fldCharType="begin"/>
      </w:r>
      <w:r>
        <w:instrText xml:space="preserve"> PAGEREF _Toc26981 \h </w:instrText>
      </w:r>
      <w:r>
        <w:fldChar w:fldCharType="separate"/>
      </w:r>
      <w:r>
        <w:t>8</w:t>
      </w:r>
      <w:r>
        <w:fldChar w:fldCharType="end"/>
      </w:r>
      <w:r>
        <w:fldChar w:fldCharType="end"/>
      </w:r>
    </w:p>
    <w:p>
      <w:pPr>
        <w:pStyle w:val="16"/>
        <w:tabs>
          <w:tab w:val="right" w:leader="dot" w:pos="8306"/>
        </w:tabs>
        <w:ind w:firstLine="562"/>
      </w:pPr>
      <w:r>
        <w:fldChar w:fldCharType="begin"/>
      </w:r>
      <w:r>
        <w:instrText xml:space="preserve"> HYPERLINK \l "_Toc13090" </w:instrText>
      </w:r>
      <w:r>
        <w:fldChar w:fldCharType="separate"/>
      </w:r>
      <w:r>
        <w:rPr>
          <w:rFonts w:hint="eastAsia"/>
        </w:rPr>
        <w:t>第三部分  合同格式（参考）</w:t>
      </w:r>
      <w:r>
        <w:tab/>
      </w:r>
      <w:r>
        <w:fldChar w:fldCharType="begin"/>
      </w:r>
      <w:r>
        <w:instrText xml:space="preserve"> PAGEREF _Toc13090 \h </w:instrText>
      </w:r>
      <w:r>
        <w:fldChar w:fldCharType="separate"/>
      </w:r>
      <w:r>
        <w:t>40</w:t>
      </w:r>
      <w:r>
        <w:fldChar w:fldCharType="end"/>
      </w:r>
      <w:r>
        <w:fldChar w:fldCharType="end"/>
      </w:r>
    </w:p>
    <w:p>
      <w:pPr>
        <w:pStyle w:val="16"/>
        <w:tabs>
          <w:tab w:val="right" w:leader="dot" w:pos="8306"/>
        </w:tabs>
        <w:ind w:firstLine="562"/>
      </w:pPr>
      <w:r>
        <w:fldChar w:fldCharType="begin"/>
      </w:r>
      <w:r>
        <w:instrText xml:space="preserve"> HYPERLINK \l "_Toc22515" </w:instrText>
      </w:r>
      <w:r>
        <w:fldChar w:fldCharType="separate"/>
      </w:r>
      <w:r>
        <w:rPr>
          <w:rFonts w:hint="eastAsia"/>
        </w:rPr>
        <w:t>第四部分 采购需求</w:t>
      </w:r>
      <w:r>
        <w:tab/>
      </w:r>
      <w:r>
        <w:fldChar w:fldCharType="begin"/>
      </w:r>
      <w:r>
        <w:instrText xml:space="preserve"> PAGEREF _Toc22515 \h </w:instrText>
      </w:r>
      <w:r>
        <w:fldChar w:fldCharType="separate"/>
      </w:r>
      <w:r>
        <w:t>50</w:t>
      </w:r>
      <w:r>
        <w:fldChar w:fldCharType="end"/>
      </w:r>
      <w:r>
        <w:fldChar w:fldCharType="end"/>
      </w:r>
    </w:p>
    <w:p>
      <w:pPr>
        <w:pStyle w:val="16"/>
        <w:tabs>
          <w:tab w:val="right" w:leader="dot" w:pos="8306"/>
        </w:tabs>
        <w:ind w:firstLine="562"/>
      </w:pPr>
      <w:r>
        <w:fldChar w:fldCharType="begin"/>
      </w:r>
      <w:r>
        <w:instrText xml:space="preserve"> HYPERLINK \l "_Toc19605" </w:instrText>
      </w:r>
      <w:r>
        <w:fldChar w:fldCharType="separate"/>
      </w:r>
      <w:r>
        <w:rPr>
          <w:rFonts w:hint="eastAsia"/>
        </w:rPr>
        <w:t>第五部分  投标文件格式</w:t>
      </w:r>
      <w:r>
        <w:tab/>
      </w:r>
      <w:r>
        <w:fldChar w:fldCharType="begin"/>
      </w:r>
      <w:r>
        <w:instrText xml:space="preserve"> PAGEREF _Toc19605 \h </w:instrText>
      </w:r>
      <w:r>
        <w:fldChar w:fldCharType="separate"/>
      </w:r>
      <w:r>
        <w:t>51</w:t>
      </w:r>
      <w:r>
        <w:fldChar w:fldCharType="end"/>
      </w:r>
      <w:r>
        <w:fldChar w:fldCharType="end"/>
      </w:r>
    </w:p>
    <w:p>
      <w:pPr>
        <w:pStyle w:val="16"/>
        <w:tabs>
          <w:tab w:val="right" w:leader="dot" w:pos="8306"/>
        </w:tabs>
        <w:ind w:firstLine="562"/>
      </w:pPr>
      <w:r>
        <w:fldChar w:fldCharType="begin"/>
      </w:r>
      <w:r>
        <w:instrText xml:space="preserve"> HYPERLINK \l "_Toc18910" </w:instrText>
      </w:r>
      <w:r>
        <w:fldChar w:fldCharType="separate"/>
      </w:r>
      <w:r>
        <w:rPr>
          <w:rFonts w:hint="eastAsia" w:ascii="宋体" w:hAnsi="宋体" w:cs="宋体"/>
          <w:lang w:val="zh-CN"/>
        </w:rPr>
        <w:t>投 标 文 件</w:t>
      </w:r>
      <w:r>
        <w:tab/>
      </w:r>
      <w:r>
        <w:fldChar w:fldCharType="begin"/>
      </w:r>
      <w:r>
        <w:instrText xml:space="preserve"> PAGEREF _Toc18910 \h </w:instrText>
      </w:r>
      <w:r>
        <w:fldChar w:fldCharType="separate"/>
      </w:r>
      <w:r>
        <w:t>52</w:t>
      </w:r>
      <w:r>
        <w:fldChar w:fldCharType="end"/>
      </w:r>
      <w:r>
        <w:fldChar w:fldCharType="end"/>
      </w:r>
    </w:p>
    <w:p>
      <w:pPr>
        <w:pStyle w:val="16"/>
        <w:tabs>
          <w:tab w:val="right" w:leader="dot" w:pos="8306"/>
        </w:tabs>
        <w:ind w:firstLine="562"/>
      </w:pPr>
      <w:r>
        <w:fldChar w:fldCharType="begin"/>
      </w:r>
      <w:r>
        <w:instrText xml:space="preserve"> HYPERLINK \l "_Toc29483" </w:instrText>
      </w:r>
      <w:r>
        <w:fldChar w:fldCharType="separate"/>
      </w:r>
      <w:r>
        <w:rPr>
          <w:rFonts w:hint="eastAsia" w:cs="Times New Roman"/>
        </w:rPr>
        <w:t xml:space="preserve">一、 </w:t>
      </w:r>
      <w:r>
        <w:rPr>
          <w:rFonts w:hint="eastAsia" w:ascii="宋体" w:hAnsi="宋体" w:cs="宋体"/>
        </w:rPr>
        <w:t>商务部分</w:t>
      </w:r>
      <w:r>
        <w:tab/>
      </w:r>
      <w:r>
        <w:fldChar w:fldCharType="begin"/>
      </w:r>
      <w:r>
        <w:instrText xml:space="preserve"> PAGEREF _Toc29483 \h </w:instrText>
      </w:r>
      <w:r>
        <w:fldChar w:fldCharType="separate"/>
      </w:r>
      <w:r>
        <w:t>53</w:t>
      </w:r>
      <w:r>
        <w:fldChar w:fldCharType="end"/>
      </w:r>
      <w:r>
        <w:fldChar w:fldCharType="end"/>
      </w:r>
    </w:p>
    <w:p>
      <w:pPr>
        <w:pStyle w:val="16"/>
        <w:tabs>
          <w:tab w:val="right" w:leader="dot" w:pos="8306"/>
        </w:tabs>
        <w:ind w:firstLine="562"/>
      </w:pPr>
      <w:r>
        <w:fldChar w:fldCharType="begin"/>
      </w:r>
      <w:r>
        <w:instrText xml:space="preserve"> HYPERLINK \l "_Toc15288" </w:instrText>
      </w:r>
      <w:r>
        <w:fldChar w:fldCharType="separate"/>
      </w:r>
      <w:r>
        <w:rPr>
          <w:rFonts w:hint="eastAsia" w:ascii="宋体" w:hAnsi="宋体" w:cs="宋体"/>
        </w:rPr>
        <w:t>二、技术部分（技术部分格式请投标人自拟）</w:t>
      </w:r>
      <w:r>
        <w:tab/>
      </w:r>
      <w:r>
        <w:fldChar w:fldCharType="begin"/>
      </w:r>
      <w:r>
        <w:instrText xml:space="preserve"> PAGEREF _Toc15288 \h </w:instrText>
      </w:r>
      <w:r>
        <w:fldChar w:fldCharType="separate"/>
      </w:r>
      <w:r>
        <w:t>53</w:t>
      </w:r>
      <w:r>
        <w:fldChar w:fldCharType="end"/>
      </w:r>
      <w:r>
        <w:fldChar w:fldCharType="end"/>
      </w:r>
    </w:p>
    <w:p>
      <w:pPr>
        <w:pStyle w:val="27"/>
      </w:pPr>
      <w:r>
        <w:fldChar w:fldCharType="end"/>
      </w:r>
    </w:p>
    <w:p>
      <w:r>
        <w:br w:type="page"/>
      </w:r>
    </w:p>
    <w:p>
      <w:pPr>
        <w:pStyle w:val="3"/>
        <w:rPr>
          <w:rStyle w:val="32"/>
          <w:b/>
        </w:rPr>
      </w:pPr>
      <w:bookmarkStart w:id="0" w:name="_Toc7022"/>
      <w:bookmarkStart w:id="1" w:name="_Toc17358"/>
      <w:bookmarkStart w:id="2" w:name="_Toc27686"/>
      <w:bookmarkStart w:id="3" w:name="_Toc9422"/>
      <w:bookmarkStart w:id="4" w:name="_Toc18785"/>
      <w:r>
        <w:rPr>
          <w:rStyle w:val="32"/>
          <w:rFonts w:hint="eastAsia"/>
          <w:b/>
        </w:rPr>
        <w:t>第一部分  磋商公告</w:t>
      </w:r>
      <w:bookmarkEnd w:id="0"/>
      <w:bookmarkEnd w:id="1"/>
      <w:bookmarkEnd w:id="2"/>
      <w:bookmarkEnd w:id="3"/>
      <w:bookmarkEnd w:id="4"/>
    </w:p>
    <w:p>
      <w:pPr>
        <w:widowControl/>
        <w:spacing w:line="520" w:lineRule="exact"/>
        <w:ind w:firstLine="560"/>
        <w:rPr>
          <w:rFonts w:ascii="宋体" w:hAnsi="宋体" w:cs="Times New Roman"/>
          <w:kern w:val="0"/>
          <w:szCs w:val="28"/>
        </w:rPr>
      </w:pPr>
      <w:r>
        <w:rPr>
          <w:rFonts w:hint="eastAsia" w:ascii="宋体" w:hAnsi="宋体" w:cs="Times New Roman"/>
          <w:kern w:val="0"/>
          <w:szCs w:val="28"/>
        </w:rPr>
        <w:t>新疆鑫耀览项目管理咨询有限公司受</w:t>
      </w:r>
      <w:r>
        <w:fldChar w:fldCharType="begin"/>
      </w:r>
      <w:r>
        <w:instrText xml:space="preserve"> HYPERLINK "https://middle.zcygov.cn/web-user/" \l "/plan/apply/detail/_blank" \t "https://pay.zcygov.cn/purchaseplan_front/" </w:instrText>
      </w:r>
      <w:r>
        <w:fldChar w:fldCharType="separate"/>
      </w:r>
      <w:r>
        <w:rPr>
          <w:rFonts w:hint="eastAsia" w:ascii="宋体" w:hAnsi="宋体" w:cs="Times New Roman"/>
          <w:kern w:val="0"/>
          <w:szCs w:val="28"/>
        </w:rPr>
        <w:t>察布查尔锡伯自治县自然资源局</w:t>
      </w:r>
      <w:r>
        <w:rPr>
          <w:rFonts w:hint="eastAsia" w:ascii="宋体" w:hAnsi="宋体" w:cs="Times New Roman"/>
          <w:kern w:val="0"/>
          <w:szCs w:val="28"/>
        </w:rPr>
        <w:fldChar w:fldCharType="end"/>
      </w:r>
      <w:r>
        <w:rPr>
          <w:rFonts w:hint="eastAsia" w:ascii="宋体" w:hAnsi="宋体" w:cs="Times New Roman"/>
          <w:kern w:val="0"/>
          <w:szCs w:val="28"/>
        </w:rPr>
        <w:t>委托对察布查尔县2022年度卫片执法专项工作及国土变更调查专项工作进行服务代理，该项目招标方式为竞争性磋商。</w:t>
      </w:r>
    </w:p>
    <w:p>
      <w:pPr>
        <w:widowControl/>
        <w:spacing w:line="520" w:lineRule="exact"/>
        <w:ind w:firstLine="0" w:firstLineChars="0"/>
        <w:rPr>
          <w:rFonts w:ascii="宋体" w:hAnsi="宋体" w:cs="Times New Roman"/>
          <w:b/>
          <w:bCs/>
          <w:kern w:val="0"/>
          <w:sz w:val="20"/>
          <w:szCs w:val="21"/>
        </w:rPr>
      </w:pPr>
      <w:r>
        <w:rPr>
          <w:rFonts w:hint="eastAsia" w:ascii="宋体" w:hAnsi="宋体" w:cs="Times New Roman"/>
          <w:b/>
          <w:bCs/>
          <w:kern w:val="0"/>
          <w:sz w:val="30"/>
          <w:szCs w:val="30"/>
        </w:rPr>
        <w:t>一、项目概况</w:t>
      </w:r>
    </w:p>
    <w:p>
      <w:pPr>
        <w:widowControl/>
        <w:spacing w:line="520" w:lineRule="exact"/>
        <w:ind w:firstLine="560"/>
        <w:rPr>
          <w:rFonts w:cs="Times New Roman"/>
          <w:kern w:val="0"/>
          <w:szCs w:val="21"/>
        </w:rPr>
      </w:pPr>
      <w:r>
        <w:rPr>
          <w:rFonts w:hint="eastAsia" w:cs="Times New Roman"/>
          <w:kern w:val="0"/>
          <w:szCs w:val="21"/>
        </w:rPr>
        <w:t>1、项目名称：察布查尔县2022年度卫片执法专项工作及国土变更调查专项工作</w:t>
      </w:r>
    </w:p>
    <w:p>
      <w:pPr>
        <w:widowControl/>
        <w:spacing w:line="520" w:lineRule="exact"/>
        <w:ind w:firstLine="560"/>
        <w:rPr>
          <w:rFonts w:cs="Times New Roman"/>
          <w:kern w:val="0"/>
          <w:szCs w:val="21"/>
        </w:rPr>
      </w:pPr>
      <w:r>
        <w:rPr>
          <w:rFonts w:hint="eastAsia" w:cs="Times New Roman"/>
          <w:kern w:val="0"/>
          <w:szCs w:val="21"/>
        </w:rPr>
        <w:t>2、服务地址：察布查尔县</w:t>
      </w:r>
    </w:p>
    <w:p>
      <w:pPr>
        <w:widowControl/>
        <w:spacing w:line="520" w:lineRule="exact"/>
        <w:ind w:firstLine="560"/>
        <w:rPr>
          <w:rFonts w:cs="Times New Roman"/>
          <w:kern w:val="0"/>
          <w:szCs w:val="21"/>
        </w:rPr>
      </w:pPr>
      <w:r>
        <w:rPr>
          <w:rFonts w:hint="eastAsia" w:cs="Times New Roman"/>
          <w:kern w:val="0"/>
          <w:szCs w:val="21"/>
        </w:rPr>
        <w:t>3、预算金额：950000.00元</w:t>
      </w:r>
    </w:p>
    <w:p>
      <w:pPr>
        <w:widowControl/>
        <w:spacing w:line="520" w:lineRule="exact"/>
        <w:ind w:firstLine="560"/>
        <w:rPr>
          <w:rFonts w:cs="Times New Roman"/>
          <w:kern w:val="0"/>
          <w:szCs w:val="20"/>
        </w:rPr>
      </w:pPr>
      <w:r>
        <w:rPr>
          <w:rFonts w:hint="eastAsia" w:cs="Times New Roman"/>
          <w:kern w:val="0"/>
          <w:szCs w:val="21"/>
        </w:rPr>
        <w:t>4、服务内容为：对收到的下发图斑，需要对其进行实地核查、拍照取证、内业填报(含图斑判定)和数据成果上报等工作。本次变更调查的主要任务是： 按照国家和自治区的统一标准，利用卫星遥感、互联网、云计算等技术，统筹现有资料，根据国家下发的2022年底卫星遥感影像和监测图斑，结合有关监测及相关自然资源管理信息，制作外业调查底图，并开展实地调查举证。通过调查全面掌握我县2022年度的地类、面积、属性及相关图层属性信息的变化情况，更新县级国土调查数据库。</w:t>
      </w:r>
    </w:p>
    <w:p>
      <w:pPr>
        <w:spacing w:line="520" w:lineRule="exact"/>
        <w:ind w:firstLine="560"/>
        <w:rPr>
          <w:rFonts w:cs="Times New Roman"/>
          <w:color w:val="000000"/>
          <w:kern w:val="0"/>
          <w:szCs w:val="21"/>
          <w:highlight w:val="yellow"/>
        </w:rPr>
      </w:pPr>
      <w:r>
        <w:rPr>
          <w:rFonts w:hint="eastAsia" w:cs="Times New Roman"/>
          <w:color w:val="000000"/>
          <w:kern w:val="0"/>
          <w:szCs w:val="21"/>
        </w:rPr>
        <w:t>5、服</w:t>
      </w:r>
      <w:r>
        <w:rPr>
          <w:rFonts w:hint="eastAsia" w:cs="Times New Roman"/>
          <w:kern w:val="0"/>
          <w:szCs w:val="21"/>
        </w:rPr>
        <w:t>务期限要求：2022年12月5日之前完成。</w:t>
      </w:r>
    </w:p>
    <w:p>
      <w:pPr>
        <w:widowControl/>
        <w:spacing w:line="520" w:lineRule="exact"/>
        <w:ind w:firstLine="560"/>
        <w:rPr>
          <w:rFonts w:cs="Times New Roman"/>
          <w:kern w:val="0"/>
          <w:szCs w:val="21"/>
        </w:rPr>
      </w:pPr>
      <w:r>
        <w:rPr>
          <w:rFonts w:hint="eastAsia" w:cs="Times New Roman"/>
          <w:kern w:val="0"/>
          <w:szCs w:val="21"/>
        </w:rPr>
        <w:t>6、质量标准：合格标准；</w:t>
      </w:r>
    </w:p>
    <w:p>
      <w:pPr>
        <w:widowControl/>
        <w:spacing w:line="520" w:lineRule="exact"/>
        <w:ind w:firstLine="560"/>
        <w:rPr>
          <w:rFonts w:ascii="宋体" w:hAnsi="宋体" w:cs="Times New Roman"/>
          <w:kern w:val="0"/>
          <w:szCs w:val="28"/>
        </w:rPr>
      </w:pPr>
      <w:r>
        <w:rPr>
          <w:rFonts w:hint="eastAsia" w:cs="Times New Roman"/>
          <w:kern w:val="0"/>
          <w:szCs w:val="21"/>
        </w:rPr>
        <w:t>7、</w:t>
      </w:r>
      <w:bookmarkStart w:id="5" w:name="OLE_LINK25"/>
      <w:bookmarkStart w:id="6" w:name="OLE_LINK28"/>
      <w:bookmarkStart w:id="7" w:name="OLE_LINK4"/>
      <w:r>
        <w:rPr>
          <w:rFonts w:hint="eastAsia" w:cs="Times New Roman"/>
          <w:kern w:val="0"/>
          <w:szCs w:val="21"/>
        </w:rPr>
        <w:t>本项目不分标段；</w:t>
      </w:r>
    </w:p>
    <w:p>
      <w:pPr>
        <w:widowControl/>
        <w:spacing w:line="520" w:lineRule="exact"/>
        <w:ind w:firstLine="560"/>
        <w:rPr>
          <w:rFonts w:ascii="宋体" w:hAnsi="宋体" w:cs="Times New Roman"/>
          <w:kern w:val="0"/>
          <w:szCs w:val="28"/>
        </w:rPr>
      </w:pPr>
      <w:r>
        <w:rPr>
          <w:rFonts w:hint="eastAsia" w:ascii="宋体" w:hAnsi="宋体" w:cs="Times New Roman"/>
          <w:kern w:val="0"/>
          <w:szCs w:val="28"/>
        </w:rPr>
        <w:t>8、本项目不接受联合体投标，不接受备选方案。</w:t>
      </w:r>
      <w:bookmarkEnd w:id="5"/>
      <w:bookmarkEnd w:id="6"/>
      <w:bookmarkEnd w:id="7"/>
    </w:p>
    <w:p>
      <w:pPr>
        <w:widowControl/>
        <w:spacing w:line="520" w:lineRule="exact"/>
        <w:ind w:firstLine="0" w:firstLineChars="0"/>
        <w:rPr>
          <w:rFonts w:ascii="宋体" w:hAnsi="宋体" w:cs="Times New Roman"/>
          <w:b/>
          <w:bCs/>
          <w:kern w:val="0"/>
          <w:sz w:val="30"/>
          <w:szCs w:val="30"/>
        </w:rPr>
      </w:pPr>
      <w:r>
        <w:rPr>
          <w:rFonts w:hint="eastAsia" w:ascii="宋体" w:hAnsi="宋体" w:cs="Times New Roman"/>
          <w:b/>
          <w:bCs/>
          <w:kern w:val="0"/>
          <w:sz w:val="30"/>
          <w:szCs w:val="30"/>
        </w:rPr>
        <w:t>二、投标人资格要求</w:t>
      </w:r>
    </w:p>
    <w:p>
      <w:pPr>
        <w:widowControl/>
        <w:spacing w:line="520" w:lineRule="exact"/>
        <w:ind w:firstLine="560"/>
        <w:rPr>
          <w:rFonts w:cs="Times New Roman"/>
          <w:kern w:val="0"/>
          <w:szCs w:val="21"/>
        </w:rPr>
      </w:pPr>
      <w:r>
        <w:rPr>
          <w:rFonts w:hint="eastAsia" w:cs="Times New Roman"/>
          <w:kern w:val="0"/>
          <w:szCs w:val="21"/>
        </w:rPr>
        <w:t>1、满足《中华人民共和国政府采购法》第二十二条规定；</w:t>
      </w:r>
    </w:p>
    <w:p>
      <w:pPr>
        <w:widowControl/>
        <w:spacing w:line="520" w:lineRule="exact"/>
        <w:ind w:firstLine="560"/>
        <w:rPr>
          <w:rFonts w:cs="Times New Roman"/>
          <w:kern w:val="0"/>
          <w:szCs w:val="21"/>
        </w:rPr>
      </w:pPr>
      <w:r>
        <w:rPr>
          <w:rFonts w:hint="eastAsia" w:cs="Times New Roman"/>
          <w:kern w:val="0"/>
          <w:szCs w:val="21"/>
        </w:rPr>
        <w:t>2、供应商在人员、设备、资金等方面具有完成本项目的相应服务能力；</w:t>
      </w:r>
    </w:p>
    <w:p>
      <w:pPr>
        <w:widowControl/>
        <w:spacing w:line="520" w:lineRule="exact"/>
        <w:ind w:firstLine="560"/>
        <w:rPr>
          <w:rFonts w:cs="Times New Roman"/>
          <w:kern w:val="0"/>
          <w:szCs w:val="21"/>
        </w:rPr>
      </w:pPr>
      <w:r>
        <w:rPr>
          <w:rFonts w:hint="eastAsia" w:cs="Times New Roman"/>
          <w:kern w:val="0"/>
          <w:szCs w:val="21"/>
        </w:rPr>
        <w:t>3、落实政府采购政策需满足的资格要求：</w:t>
      </w:r>
    </w:p>
    <w:p>
      <w:pPr>
        <w:widowControl/>
        <w:spacing w:line="520" w:lineRule="exact"/>
        <w:ind w:firstLine="560"/>
        <w:rPr>
          <w:rFonts w:cs="Times New Roman"/>
          <w:kern w:val="0"/>
          <w:szCs w:val="21"/>
        </w:rPr>
      </w:pPr>
      <w:r>
        <w:rPr>
          <w:rFonts w:hint="eastAsia" w:cs="Times New Roman"/>
          <w:kern w:val="0"/>
          <w:szCs w:val="21"/>
        </w:rPr>
        <w:t>（1）</w:t>
      </w:r>
      <w:r>
        <w:fldChar w:fldCharType="begin"/>
      </w:r>
      <w:r>
        <w:instrText xml:space="preserve"> HYPERLINK "http://www.ccgp.gov.cn/zcfg/mof/201902/t20190213_11628855.htm" \t "http://www.ccgp.gov.cn/jnhb/jnhbqd/_blank" \o "关于调整优化节能产品、环境标志产品政府采购执行机制的通知" </w:instrText>
      </w:r>
      <w:r>
        <w:fldChar w:fldCharType="separate"/>
      </w:r>
      <w:r>
        <w:rPr>
          <w:rFonts w:hint="eastAsia" w:cs="Times New Roman"/>
          <w:kern w:val="0"/>
          <w:szCs w:val="21"/>
        </w:rPr>
        <w:t>关于调整优化节能产品、环境标志产品政府采购执行机制的通知（财库〔2019〕9号）</w:t>
      </w:r>
      <w:r>
        <w:rPr>
          <w:rFonts w:hint="eastAsia" w:cs="Times New Roman"/>
          <w:kern w:val="0"/>
          <w:szCs w:val="21"/>
        </w:rPr>
        <w:fldChar w:fldCharType="end"/>
      </w:r>
      <w:r>
        <w:rPr>
          <w:rFonts w:hint="eastAsia" w:cs="Times New Roman"/>
          <w:kern w:val="0"/>
          <w:szCs w:val="21"/>
        </w:rPr>
        <w:t>；</w:t>
      </w:r>
    </w:p>
    <w:p>
      <w:pPr>
        <w:widowControl/>
        <w:spacing w:line="520" w:lineRule="exact"/>
        <w:ind w:firstLine="560"/>
        <w:rPr>
          <w:rFonts w:cs="Times New Roman"/>
          <w:kern w:val="0"/>
          <w:szCs w:val="21"/>
        </w:rPr>
      </w:pPr>
      <w:r>
        <w:rPr>
          <w:rFonts w:hint="eastAsia" w:cs="Times New Roman"/>
          <w:kern w:val="0"/>
          <w:szCs w:val="21"/>
        </w:rPr>
        <w:t>（2）按照《财政部工业和信息化部关于印发&lt;政府采购促进中小企业发展暂行办法&gt;的通知》（财库〔2020〕46号）的规定，落实促进中小企业发展政策,本项目专门面向中小企业及小微企业；</w:t>
      </w:r>
    </w:p>
    <w:p>
      <w:pPr>
        <w:widowControl/>
        <w:spacing w:line="520" w:lineRule="exact"/>
        <w:ind w:firstLine="560"/>
        <w:rPr>
          <w:rFonts w:cs="Times New Roman"/>
          <w:kern w:val="0"/>
          <w:szCs w:val="21"/>
        </w:rPr>
      </w:pPr>
      <w:r>
        <w:rPr>
          <w:rFonts w:hint="eastAsia" w:cs="Times New Roman"/>
          <w:kern w:val="0"/>
          <w:szCs w:val="21"/>
        </w:rPr>
        <w:t>（3）财政部、SF部《关于政府采购支持JY企业发展有关问题的通知》（财库[2014]68号文）；</w:t>
      </w:r>
    </w:p>
    <w:p>
      <w:pPr>
        <w:widowControl/>
        <w:spacing w:line="520" w:lineRule="exact"/>
        <w:ind w:firstLine="560"/>
        <w:rPr>
          <w:rFonts w:cs="Times New Roman"/>
          <w:kern w:val="0"/>
          <w:szCs w:val="21"/>
        </w:rPr>
      </w:pPr>
      <w:r>
        <w:rPr>
          <w:rFonts w:hint="eastAsia" w:cs="Times New Roman"/>
          <w:kern w:val="0"/>
          <w:szCs w:val="21"/>
        </w:rPr>
        <w:t>（4）财政部、民政部、中国残疾人联合会《关于促进残疾人就业政府采购政策的通知》（财库[2017]141号）。</w:t>
      </w:r>
    </w:p>
    <w:p>
      <w:pPr>
        <w:widowControl/>
        <w:spacing w:line="520" w:lineRule="exact"/>
        <w:ind w:firstLine="560"/>
        <w:rPr>
          <w:rFonts w:cs="Times New Roman"/>
          <w:kern w:val="0"/>
          <w:szCs w:val="21"/>
        </w:rPr>
      </w:pPr>
      <w:r>
        <w:rPr>
          <w:rFonts w:hint="eastAsia" w:cs="Times New Roman"/>
          <w:kern w:val="0"/>
          <w:szCs w:val="21"/>
        </w:rPr>
        <w:t>4、本项目的特定资格要求：</w:t>
      </w:r>
    </w:p>
    <w:p>
      <w:pPr>
        <w:widowControl/>
        <w:spacing w:line="520" w:lineRule="exact"/>
        <w:ind w:firstLine="560"/>
        <w:rPr>
          <w:rFonts w:cs="Times New Roman"/>
          <w:kern w:val="0"/>
          <w:szCs w:val="21"/>
        </w:rPr>
      </w:pPr>
      <w:r>
        <w:rPr>
          <w:rFonts w:hint="eastAsia" w:cs="Times New Roman"/>
          <w:kern w:val="0"/>
          <w:szCs w:val="21"/>
        </w:rPr>
        <w:t>（1）投标人须具有有效的中华人民共和国企业法人营业执照或事业单位法人证书，具有独立承担民事责任的能力及良好的商业信誉；</w:t>
      </w:r>
    </w:p>
    <w:p>
      <w:pPr>
        <w:widowControl/>
        <w:spacing w:line="520" w:lineRule="exact"/>
        <w:ind w:firstLine="560"/>
        <w:rPr>
          <w:rFonts w:cs="Times New Roman"/>
          <w:kern w:val="0"/>
          <w:szCs w:val="21"/>
        </w:rPr>
      </w:pPr>
      <w:r>
        <w:rPr>
          <w:rFonts w:hint="eastAsia" w:cs="Times New Roman"/>
          <w:kern w:val="0"/>
          <w:szCs w:val="21"/>
        </w:rPr>
        <w:t>（2）供应商须具备测绘行政主管部门颁发的乙级及以上测绘资质。投标供应商的项目负责人需具有测绘类专业中级职称证书；</w:t>
      </w:r>
    </w:p>
    <w:p>
      <w:pPr>
        <w:widowControl/>
        <w:spacing w:line="520" w:lineRule="exact"/>
        <w:ind w:firstLine="560"/>
        <w:rPr>
          <w:rFonts w:cs="Times New Roman"/>
          <w:kern w:val="0"/>
          <w:szCs w:val="21"/>
        </w:rPr>
      </w:pPr>
      <w:r>
        <w:rPr>
          <w:rFonts w:hint="eastAsia" w:cs="Times New Roman"/>
          <w:kern w:val="0"/>
          <w:szCs w:val="21"/>
        </w:rPr>
        <w:t>（3）供应商具有健全的财务制度，有依法缴纳税收和社会保障资金的良好纪录；</w:t>
      </w:r>
    </w:p>
    <w:p>
      <w:pPr>
        <w:widowControl/>
        <w:spacing w:line="520" w:lineRule="exact"/>
        <w:ind w:firstLine="560"/>
        <w:rPr>
          <w:rFonts w:cs="Times New Roman"/>
          <w:kern w:val="0"/>
          <w:szCs w:val="21"/>
        </w:rPr>
      </w:pPr>
      <w:r>
        <w:rPr>
          <w:rFonts w:hint="eastAsia" w:cs="Times New Roman"/>
          <w:kern w:val="0"/>
          <w:szCs w:val="21"/>
        </w:rPr>
        <w:t>（4）供应商不能是被列入“信用中国”网(www.creditchina.gov.cn)失信被执行人、政府采购严重违法失信行为记录名单、重大税收违法失信主体的供应商，不能是被列入“中国政府采购网”网站（www.ccgp.gov.cn）政府采购严重违法失信行为记录名单中仍在处罚期被禁止参加政府采购活动的供应商。</w:t>
      </w:r>
    </w:p>
    <w:p>
      <w:pPr>
        <w:widowControl/>
        <w:spacing w:line="520" w:lineRule="exact"/>
        <w:ind w:firstLine="560"/>
        <w:rPr>
          <w:rFonts w:cs="Times New Roman"/>
          <w:kern w:val="0"/>
          <w:szCs w:val="21"/>
        </w:rPr>
      </w:pPr>
      <w:r>
        <w:rPr>
          <w:rFonts w:hint="eastAsia" w:cs="Times New Roman"/>
          <w:kern w:val="0"/>
          <w:szCs w:val="21"/>
        </w:rPr>
        <w:t>4、资格审查拟采用的方式为：资格后审。</w:t>
      </w:r>
    </w:p>
    <w:p>
      <w:pPr>
        <w:widowControl/>
        <w:spacing w:line="520" w:lineRule="exact"/>
        <w:ind w:firstLine="0" w:firstLineChars="0"/>
        <w:rPr>
          <w:rFonts w:ascii="宋体" w:hAnsi="宋体" w:cs="Times New Roman"/>
          <w:b/>
          <w:bCs/>
          <w:kern w:val="0"/>
          <w:sz w:val="20"/>
          <w:szCs w:val="21"/>
        </w:rPr>
      </w:pPr>
      <w:r>
        <w:rPr>
          <w:rFonts w:hint="eastAsia" w:cs="Times New Roman"/>
          <w:b/>
          <w:bCs/>
          <w:kern w:val="0"/>
          <w:sz w:val="30"/>
          <w:szCs w:val="21"/>
        </w:rPr>
        <w:t>三、招标文件领取</w:t>
      </w:r>
    </w:p>
    <w:p>
      <w:pPr>
        <w:widowControl/>
        <w:spacing w:line="520" w:lineRule="exact"/>
        <w:ind w:firstLine="560"/>
        <w:rPr>
          <w:rFonts w:cs="Times New Roman"/>
          <w:kern w:val="0"/>
          <w:szCs w:val="21"/>
        </w:rPr>
      </w:pPr>
      <w:r>
        <w:rPr>
          <w:rFonts w:hint="eastAsia" w:cs="Times New Roman"/>
          <w:kern w:val="0"/>
          <w:szCs w:val="21"/>
        </w:rPr>
        <w:t>1、时间：2022年11月9日至2022年11月16日，每天上午10：00至14:00，下午15:30至19:30（北京时间）</w:t>
      </w:r>
    </w:p>
    <w:p>
      <w:pPr>
        <w:widowControl/>
        <w:spacing w:line="520" w:lineRule="exact"/>
        <w:ind w:firstLine="560"/>
        <w:rPr>
          <w:rFonts w:cs="Times New Roman"/>
          <w:kern w:val="0"/>
          <w:szCs w:val="21"/>
        </w:rPr>
      </w:pPr>
      <w:r>
        <w:rPr>
          <w:rFonts w:hint="eastAsia" w:cs="Times New Roman"/>
          <w:kern w:val="0"/>
          <w:szCs w:val="21"/>
        </w:rPr>
        <w:t>地点：网上获取，2550485091@qq.com邮箱</w:t>
      </w:r>
    </w:p>
    <w:p>
      <w:pPr>
        <w:widowControl/>
        <w:spacing w:line="520" w:lineRule="exact"/>
        <w:ind w:firstLine="560"/>
        <w:rPr>
          <w:rFonts w:cs="Times New Roman"/>
          <w:kern w:val="0"/>
          <w:szCs w:val="21"/>
        </w:rPr>
      </w:pPr>
      <w:r>
        <w:rPr>
          <w:rFonts w:hint="eastAsia" w:cs="Times New Roman"/>
          <w:kern w:val="0"/>
          <w:szCs w:val="21"/>
        </w:rPr>
        <w:t>方式：网上获取，将法定代表人身份证明或授权委托书及被委托人身份证、有效的营业执照（三证合一）、“信用中国”网（失信被执行人、政府采购严重违法失信行为记录名单、重大税收违法失信主体和“中国政府采购网”（官网网站的查询页面打印件，打印件须体现投标人单位全称、查询时间和查询网址，以上网站查询时间不能早于本项目采购公告发布之日）、资质证书、项目负责人职称证书。加盖公章的扫描件（PDF格式）+单位名称、联系人及联系方式发送至2550485091@qq.com邮箱，并在开标时携带3套纸质版加盖公章交由采购代理机构存档。</w:t>
      </w:r>
    </w:p>
    <w:p>
      <w:pPr>
        <w:widowControl/>
        <w:spacing w:line="520" w:lineRule="exact"/>
        <w:ind w:firstLine="560"/>
        <w:rPr>
          <w:rFonts w:cs="Times New Roman"/>
          <w:kern w:val="0"/>
          <w:szCs w:val="21"/>
        </w:rPr>
      </w:pPr>
      <w:r>
        <w:rPr>
          <w:rFonts w:hint="eastAsia" w:cs="Times New Roman"/>
          <w:kern w:val="0"/>
          <w:szCs w:val="21"/>
        </w:rPr>
        <w:t>招标文件售价：200元，售后不退。</w:t>
      </w:r>
    </w:p>
    <w:p>
      <w:pPr>
        <w:widowControl/>
        <w:spacing w:line="240" w:lineRule="auto"/>
        <w:ind w:firstLine="560"/>
        <w:rPr>
          <w:rFonts w:cs="Times New Roman"/>
          <w:kern w:val="0"/>
          <w:szCs w:val="21"/>
        </w:rPr>
      </w:pPr>
      <w:r>
        <w:rPr>
          <w:rFonts w:hint="eastAsia" w:cs="Times New Roman"/>
          <w:kern w:val="0"/>
          <w:szCs w:val="21"/>
        </w:rPr>
        <w:t>2、投标保证金：19000.00元（壹万玖仟元整）。</w:t>
      </w:r>
    </w:p>
    <w:p>
      <w:pPr>
        <w:widowControl/>
        <w:spacing w:line="520" w:lineRule="exact"/>
        <w:ind w:firstLine="560"/>
        <w:rPr>
          <w:rFonts w:ascii="宋体" w:hAnsi="宋体" w:cs="Times New Roman"/>
          <w:kern w:val="0"/>
          <w:sz w:val="20"/>
          <w:szCs w:val="21"/>
        </w:rPr>
      </w:pPr>
      <w:r>
        <w:rPr>
          <w:rFonts w:hint="eastAsia" w:cs="Times New Roman"/>
          <w:kern w:val="0"/>
          <w:szCs w:val="21"/>
        </w:rPr>
        <w:t>投标保证金的缴纳截止时间（2022年11月16日18：00时，北京时间）；投标保证金必须采用电汇或网银转账的方式，由投标人单位基本账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投标项目名称，并注明联系人及电话，以便查对核实。</w:t>
      </w:r>
      <w:r>
        <w:rPr>
          <w:rFonts w:hint="eastAsia" w:ascii="宋体" w:hAnsi="宋体" w:cs="Times New Roman"/>
          <w:kern w:val="0"/>
          <w:sz w:val="20"/>
          <w:szCs w:val="21"/>
        </w:rPr>
        <w:t xml:space="preserve"> </w:t>
      </w:r>
    </w:p>
    <w:p>
      <w:pPr>
        <w:widowControl/>
        <w:spacing w:line="520" w:lineRule="exact"/>
        <w:ind w:firstLine="0" w:firstLineChars="0"/>
        <w:rPr>
          <w:rFonts w:ascii="宋体" w:hAnsi="宋体" w:cs="Times New Roman"/>
          <w:kern w:val="0"/>
          <w:sz w:val="20"/>
          <w:szCs w:val="21"/>
        </w:rPr>
      </w:pPr>
      <w:r>
        <w:rPr>
          <w:rFonts w:hint="eastAsia" w:cs="Times New Roman"/>
          <w:b/>
          <w:bCs/>
          <w:kern w:val="0"/>
          <w:sz w:val="30"/>
          <w:szCs w:val="21"/>
        </w:rPr>
        <w:t>四、响应文件提交</w:t>
      </w:r>
      <w:r>
        <w:rPr>
          <w:rFonts w:hint="eastAsia" w:ascii="宋体" w:hAnsi="宋体" w:cs="Times New Roman"/>
          <w:kern w:val="0"/>
          <w:sz w:val="20"/>
          <w:szCs w:val="21"/>
        </w:rPr>
        <w:t> </w:t>
      </w:r>
    </w:p>
    <w:p>
      <w:pPr>
        <w:widowControl/>
        <w:spacing w:line="520" w:lineRule="exact"/>
        <w:ind w:firstLine="560"/>
        <w:rPr>
          <w:rFonts w:cs="Times New Roman"/>
          <w:kern w:val="0"/>
          <w:szCs w:val="21"/>
        </w:rPr>
      </w:pPr>
      <w:r>
        <w:rPr>
          <w:rFonts w:hint="eastAsia" w:cs="Times New Roman"/>
          <w:kern w:val="0"/>
          <w:szCs w:val="21"/>
        </w:rPr>
        <w:t>截止时间：2022年11月21日11:00（北京时间）</w:t>
      </w:r>
    </w:p>
    <w:p>
      <w:pPr>
        <w:widowControl/>
        <w:spacing w:line="520" w:lineRule="exact"/>
        <w:ind w:firstLine="560"/>
        <w:rPr>
          <w:rFonts w:ascii="宋体" w:hAnsi="宋体" w:cs="Times New Roman"/>
          <w:kern w:val="0"/>
          <w:sz w:val="20"/>
          <w:szCs w:val="21"/>
        </w:rPr>
      </w:pPr>
      <w:r>
        <w:rPr>
          <w:rFonts w:hint="eastAsia" w:cs="Times New Roman"/>
          <w:kern w:val="0"/>
          <w:szCs w:val="21"/>
        </w:rPr>
        <w:t>地点：察布查尔锡伯自治县文昌路4号创业服务中心A座五楼</w:t>
      </w:r>
    </w:p>
    <w:p>
      <w:pPr>
        <w:widowControl/>
        <w:spacing w:line="520" w:lineRule="exact"/>
        <w:ind w:firstLine="0" w:firstLineChars="0"/>
        <w:rPr>
          <w:rFonts w:ascii="宋体" w:hAnsi="宋体" w:cs="Times New Roman"/>
          <w:b/>
          <w:bCs/>
          <w:kern w:val="0"/>
          <w:sz w:val="20"/>
          <w:szCs w:val="21"/>
        </w:rPr>
      </w:pPr>
      <w:r>
        <w:rPr>
          <w:rFonts w:hint="eastAsia" w:cs="Times New Roman"/>
          <w:b/>
          <w:bCs/>
          <w:kern w:val="0"/>
          <w:sz w:val="30"/>
          <w:szCs w:val="21"/>
        </w:rPr>
        <w:t>五、响应文件开启</w:t>
      </w:r>
      <w:r>
        <w:rPr>
          <w:rFonts w:hint="eastAsia" w:ascii="宋体" w:hAnsi="宋体" w:cs="Times New Roman"/>
          <w:b/>
          <w:bCs/>
          <w:kern w:val="0"/>
          <w:sz w:val="20"/>
          <w:szCs w:val="21"/>
        </w:rPr>
        <w:t> </w:t>
      </w:r>
    </w:p>
    <w:p>
      <w:pPr>
        <w:widowControl/>
        <w:spacing w:line="520" w:lineRule="exact"/>
        <w:ind w:firstLine="560"/>
        <w:rPr>
          <w:rFonts w:cs="Times New Roman"/>
          <w:kern w:val="0"/>
          <w:szCs w:val="21"/>
        </w:rPr>
      </w:pPr>
      <w:r>
        <w:rPr>
          <w:rFonts w:hint="eastAsia" w:cs="Times New Roman"/>
          <w:kern w:val="0"/>
          <w:szCs w:val="21"/>
        </w:rPr>
        <w:t>开启时间：2022年11月21日11:00（北京时间）</w:t>
      </w:r>
    </w:p>
    <w:p>
      <w:pPr>
        <w:widowControl/>
        <w:spacing w:line="520" w:lineRule="exact"/>
        <w:ind w:firstLine="560"/>
        <w:rPr>
          <w:rFonts w:cs="Times New Roman"/>
          <w:kern w:val="0"/>
          <w:szCs w:val="21"/>
        </w:rPr>
      </w:pPr>
      <w:r>
        <w:rPr>
          <w:rFonts w:hint="eastAsia" w:cs="Times New Roman"/>
          <w:kern w:val="0"/>
          <w:szCs w:val="21"/>
        </w:rPr>
        <w:t>地点：察布查尔锡伯自治县文昌路4号创业服务中心A座五楼</w:t>
      </w:r>
    </w:p>
    <w:p>
      <w:pPr>
        <w:widowControl/>
        <w:spacing w:line="520" w:lineRule="exact"/>
        <w:ind w:firstLine="0" w:firstLineChars="0"/>
        <w:rPr>
          <w:rFonts w:cs="Times New Roman"/>
          <w:b/>
          <w:bCs/>
          <w:kern w:val="0"/>
          <w:sz w:val="30"/>
          <w:szCs w:val="21"/>
        </w:rPr>
      </w:pPr>
      <w:r>
        <w:rPr>
          <w:rFonts w:hint="eastAsia" w:cs="Times New Roman"/>
          <w:b/>
          <w:bCs/>
          <w:kern w:val="0"/>
          <w:sz w:val="30"/>
          <w:szCs w:val="21"/>
        </w:rPr>
        <w:t>六、发布公告的媒介</w:t>
      </w:r>
    </w:p>
    <w:p>
      <w:pPr>
        <w:widowControl/>
        <w:spacing w:line="520" w:lineRule="exact"/>
        <w:ind w:firstLine="560"/>
        <w:rPr>
          <w:rFonts w:cs="Times New Roman"/>
          <w:kern w:val="0"/>
          <w:szCs w:val="21"/>
        </w:rPr>
      </w:pPr>
      <w:r>
        <w:rPr>
          <w:rFonts w:hint="eastAsia" w:cs="Times New Roman"/>
          <w:kern w:val="0"/>
          <w:szCs w:val="21"/>
        </w:rPr>
        <w:t>本次采购公告在新疆政府采购网上发布</w:t>
      </w:r>
    </w:p>
    <w:p>
      <w:pPr>
        <w:widowControl/>
        <w:spacing w:line="520" w:lineRule="exact"/>
        <w:ind w:firstLine="0" w:firstLineChars="0"/>
        <w:rPr>
          <w:rFonts w:cs="Times New Roman"/>
          <w:b/>
          <w:bCs/>
          <w:kern w:val="0"/>
          <w:sz w:val="30"/>
          <w:szCs w:val="21"/>
        </w:rPr>
      </w:pPr>
      <w:r>
        <w:rPr>
          <w:rFonts w:hint="eastAsia" w:cs="Times New Roman"/>
          <w:b/>
          <w:bCs/>
          <w:kern w:val="0"/>
          <w:sz w:val="30"/>
          <w:szCs w:val="21"/>
        </w:rPr>
        <w:t>七、其他补充事宜</w:t>
      </w:r>
    </w:p>
    <w:p>
      <w:pPr>
        <w:widowControl/>
        <w:spacing w:line="520" w:lineRule="exact"/>
        <w:ind w:firstLine="560"/>
        <w:rPr>
          <w:rFonts w:cs="Times New Roman"/>
          <w:kern w:val="0"/>
          <w:szCs w:val="21"/>
        </w:rPr>
      </w:pPr>
      <w:r>
        <w:rPr>
          <w:rFonts w:cs="Times New Roman"/>
          <w:kern w:val="0"/>
          <w:szCs w:val="21"/>
        </w:rPr>
        <w:t>特别提示：</w:t>
      </w:r>
    </w:p>
    <w:p>
      <w:pPr>
        <w:widowControl/>
        <w:spacing w:line="520" w:lineRule="exact"/>
        <w:ind w:firstLine="560"/>
        <w:rPr>
          <w:rFonts w:cs="Times New Roman"/>
          <w:kern w:val="0"/>
          <w:szCs w:val="21"/>
        </w:rPr>
      </w:pPr>
      <w:r>
        <w:rPr>
          <w:rFonts w:cs="Times New Roman"/>
          <w:kern w:val="0"/>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spacing w:line="520" w:lineRule="exact"/>
        <w:ind w:firstLine="560"/>
        <w:rPr>
          <w:rFonts w:cs="Times New Roman"/>
          <w:kern w:val="0"/>
          <w:szCs w:val="21"/>
        </w:rPr>
      </w:pPr>
      <w:r>
        <w:rPr>
          <w:rFonts w:cs="Times New Roman"/>
          <w:kern w:val="0"/>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spacing w:line="520" w:lineRule="exact"/>
        <w:ind w:firstLine="560"/>
        <w:rPr>
          <w:rFonts w:cs="Times New Roman"/>
          <w:kern w:val="0"/>
          <w:szCs w:val="21"/>
        </w:rPr>
      </w:pPr>
      <w:r>
        <w:rPr>
          <w:rFonts w:cs="Times New Roman"/>
          <w:kern w:val="0"/>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widowControl/>
        <w:spacing w:line="520" w:lineRule="exact"/>
        <w:ind w:firstLine="0" w:firstLineChars="0"/>
        <w:rPr>
          <w:rFonts w:cs="Times New Roman"/>
          <w:b/>
          <w:bCs/>
          <w:kern w:val="0"/>
          <w:sz w:val="30"/>
          <w:szCs w:val="21"/>
        </w:rPr>
      </w:pPr>
      <w:r>
        <w:rPr>
          <w:rFonts w:hint="eastAsia" w:cs="Times New Roman"/>
          <w:b/>
          <w:bCs/>
          <w:kern w:val="0"/>
          <w:sz w:val="30"/>
          <w:szCs w:val="21"/>
        </w:rPr>
        <w:t>八、联系方式：</w:t>
      </w:r>
    </w:p>
    <w:p>
      <w:pPr>
        <w:widowControl/>
        <w:spacing w:line="520" w:lineRule="exact"/>
        <w:ind w:firstLine="560"/>
        <w:rPr>
          <w:rFonts w:cs="Times New Roman"/>
          <w:kern w:val="0"/>
          <w:szCs w:val="21"/>
        </w:rPr>
      </w:pPr>
      <w:r>
        <w:rPr>
          <w:rFonts w:hint="eastAsia" w:cs="Times New Roman"/>
          <w:kern w:val="0"/>
          <w:szCs w:val="21"/>
        </w:rPr>
        <w:t>1.招标人信息</w:t>
      </w:r>
    </w:p>
    <w:p>
      <w:pPr>
        <w:widowControl/>
        <w:spacing w:line="520" w:lineRule="exact"/>
        <w:ind w:firstLine="560"/>
        <w:rPr>
          <w:rFonts w:cs="Times New Roman"/>
          <w:kern w:val="0"/>
          <w:szCs w:val="21"/>
        </w:rPr>
      </w:pPr>
      <w:r>
        <w:rPr>
          <w:rFonts w:hint="eastAsia" w:cs="Times New Roman"/>
          <w:kern w:val="0"/>
          <w:szCs w:val="21"/>
        </w:rPr>
        <w:t>名 称：</w:t>
      </w:r>
      <w:r>
        <w:rPr>
          <w:rFonts w:hint="eastAsia" w:ascii="宋体" w:hAnsi="宋体" w:cs="Times New Roman"/>
          <w:kern w:val="0"/>
          <w:szCs w:val="28"/>
        </w:rPr>
        <w:t>察布查尔锡伯自治县自然资源局</w:t>
      </w:r>
    </w:p>
    <w:p>
      <w:pPr>
        <w:widowControl/>
        <w:spacing w:line="520" w:lineRule="exact"/>
        <w:ind w:firstLine="560"/>
        <w:rPr>
          <w:rFonts w:ascii="宋体" w:hAnsi="宋体" w:cs="Times New Roman"/>
          <w:kern w:val="0"/>
          <w:szCs w:val="28"/>
        </w:rPr>
      </w:pPr>
      <w:r>
        <w:rPr>
          <w:rFonts w:hint="eastAsia" w:cs="Times New Roman"/>
          <w:kern w:val="0"/>
          <w:szCs w:val="21"/>
        </w:rPr>
        <w:t>联系人及联系方式：</w:t>
      </w:r>
      <w:bookmarkStart w:id="8" w:name="_Toc28359086"/>
      <w:bookmarkStart w:id="9" w:name="_Toc28359009"/>
      <w:r>
        <w:rPr>
          <w:rFonts w:hint="eastAsia" w:ascii="宋体" w:hAnsi="宋体" w:cs="Times New Roman"/>
          <w:kern w:val="0"/>
          <w:szCs w:val="28"/>
        </w:rPr>
        <w:t>李晓焕18099898916</w:t>
      </w:r>
    </w:p>
    <w:p>
      <w:pPr>
        <w:keepNext/>
        <w:numPr>
          <w:ilvl w:val="3"/>
          <w:numId w:val="0"/>
        </w:numPr>
        <w:adjustRightInd w:val="0"/>
        <w:snapToGrid w:val="0"/>
        <w:spacing w:line="360" w:lineRule="auto"/>
        <w:ind w:left="991" w:leftChars="354" w:firstLine="1"/>
        <w:outlineLvl w:val="3"/>
        <w:rPr>
          <w:rFonts w:ascii="仿宋_GB2312" w:hAnsi="仿宋_GB2312" w:eastAsia="仿宋_GB2312" w:cs="Arial"/>
          <w:color w:val="000000"/>
        </w:rPr>
      </w:pPr>
    </w:p>
    <w:p>
      <w:pPr>
        <w:widowControl/>
        <w:spacing w:line="520" w:lineRule="exact"/>
        <w:ind w:firstLine="560"/>
        <w:rPr>
          <w:rFonts w:cs="Times New Roman"/>
          <w:kern w:val="0"/>
          <w:szCs w:val="21"/>
        </w:rPr>
      </w:pPr>
      <w:r>
        <w:rPr>
          <w:rFonts w:hint="eastAsia" w:cs="Times New Roman"/>
          <w:kern w:val="0"/>
          <w:szCs w:val="21"/>
        </w:rPr>
        <w:t>2.采购代理机构信息</w:t>
      </w:r>
      <w:bookmarkEnd w:id="8"/>
      <w:bookmarkEnd w:id="9"/>
    </w:p>
    <w:p>
      <w:pPr>
        <w:widowControl/>
        <w:spacing w:line="520" w:lineRule="exact"/>
        <w:ind w:firstLine="560"/>
        <w:rPr>
          <w:rFonts w:cs="Times New Roman"/>
          <w:kern w:val="0"/>
          <w:szCs w:val="21"/>
        </w:rPr>
      </w:pPr>
      <w:r>
        <w:rPr>
          <w:rFonts w:hint="eastAsia" w:cs="Times New Roman"/>
          <w:kern w:val="0"/>
          <w:szCs w:val="21"/>
        </w:rPr>
        <w:t>名 称：新疆鑫耀览项目管理咨询有限公司</w:t>
      </w:r>
    </w:p>
    <w:p>
      <w:pPr>
        <w:widowControl/>
        <w:spacing w:line="520" w:lineRule="exact"/>
        <w:ind w:firstLine="560"/>
        <w:rPr>
          <w:rFonts w:cs="Times New Roman"/>
          <w:kern w:val="0"/>
          <w:szCs w:val="21"/>
        </w:rPr>
      </w:pPr>
      <w:r>
        <w:rPr>
          <w:rFonts w:hint="eastAsia" w:cs="Times New Roman"/>
          <w:kern w:val="0"/>
          <w:szCs w:val="21"/>
        </w:rPr>
        <w:t>地 址：伊宁市阿合买提江街黄河大厦908室</w:t>
      </w:r>
    </w:p>
    <w:p>
      <w:pPr>
        <w:widowControl/>
        <w:spacing w:line="520" w:lineRule="exact"/>
        <w:ind w:firstLine="560"/>
        <w:rPr>
          <w:rFonts w:cs="Times New Roman"/>
          <w:kern w:val="0"/>
          <w:szCs w:val="21"/>
        </w:rPr>
      </w:pPr>
      <w:r>
        <w:rPr>
          <w:rFonts w:hint="eastAsia" w:cs="Times New Roman"/>
          <w:kern w:val="0"/>
          <w:szCs w:val="21"/>
        </w:rPr>
        <w:t>联系人：何丹丹   李伟</w:t>
      </w:r>
    </w:p>
    <w:p>
      <w:pPr>
        <w:ind w:firstLine="560"/>
      </w:pPr>
      <w:r>
        <w:rPr>
          <w:rFonts w:hint="eastAsia" w:cs="Times New Roman"/>
          <w:kern w:val="0"/>
          <w:szCs w:val="21"/>
        </w:rPr>
        <w:t>联系方式方式：0999-8159955 18194883610</w:t>
      </w:r>
    </w:p>
    <w:p>
      <w:pPr>
        <w:ind w:firstLine="560"/>
      </w:pPr>
    </w:p>
    <w:p>
      <w:pPr>
        <w:pStyle w:val="3"/>
      </w:pPr>
      <w:r>
        <w:rPr>
          <w:rFonts w:hint="eastAsia"/>
        </w:rPr>
        <w:br w:type="page"/>
      </w:r>
      <w:bookmarkStart w:id="10" w:name="_Toc31881"/>
      <w:bookmarkStart w:id="11" w:name="_Toc20803"/>
      <w:bookmarkStart w:id="12" w:name="_Toc3635"/>
      <w:bookmarkStart w:id="13" w:name="_Toc157"/>
      <w:bookmarkStart w:id="14" w:name="_Toc26981"/>
      <w:r>
        <w:rPr>
          <w:rFonts w:hint="eastAsia"/>
        </w:rPr>
        <w:t>第二部分  投标须知前附表及投标须知</w:t>
      </w:r>
      <w:bookmarkEnd w:id="10"/>
      <w:bookmarkEnd w:id="11"/>
      <w:bookmarkEnd w:id="12"/>
      <w:bookmarkEnd w:id="13"/>
      <w:bookmarkEnd w:id="14"/>
    </w:p>
    <w:tbl>
      <w:tblPr>
        <w:tblStyle w:val="20"/>
        <w:tblW w:w="51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701"/>
        <w:gridCol w:w="63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384" w:type="pct"/>
            <w:vAlign w:val="center"/>
          </w:tcPr>
          <w:p>
            <w:pPr>
              <w:pStyle w:val="28"/>
              <w:rPr>
                <w:rFonts w:hint="default"/>
              </w:rPr>
            </w:pPr>
            <w:r>
              <w:t>项号</w:t>
            </w:r>
          </w:p>
        </w:tc>
        <w:tc>
          <w:tcPr>
            <w:tcW w:w="969" w:type="pct"/>
            <w:vAlign w:val="center"/>
          </w:tcPr>
          <w:p>
            <w:pPr>
              <w:pStyle w:val="28"/>
              <w:rPr>
                <w:rFonts w:hint="default"/>
              </w:rPr>
            </w:pPr>
            <w:r>
              <w:t>内  容</w:t>
            </w:r>
          </w:p>
        </w:tc>
        <w:tc>
          <w:tcPr>
            <w:tcW w:w="3645" w:type="pct"/>
            <w:vAlign w:val="center"/>
          </w:tcPr>
          <w:p>
            <w:pPr>
              <w:pStyle w:val="28"/>
              <w:rPr>
                <w:rFonts w:hint="default"/>
              </w:rPr>
            </w:pPr>
            <w: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Merge w:val="restart"/>
            <w:vAlign w:val="center"/>
          </w:tcPr>
          <w:p>
            <w:pPr>
              <w:pStyle w:val="28"/>
              <w:rPr>
                <w:rFonts w:hint="default"/>
              </w:rPr>
            </w:pPr>
            <w:r>
              <w:t>１</w:t>
            </w:r>
          </w:p>
        </w:tc>
        <w:tc>
          <w:tcPr>
            <w:tcW w:w="969" w:type="pct"/>
            <w:vAlign w:val="center"/>
          </w:tcPr>
          <w:p>
            <w:pPr>
              <w:pStyle w:val="28"/>
              <w:rPr>
                <w:rFonts w:hint="default"/>
              </w:rPr>
            </w:pPr>
            <w:r>
              <w:t>项目名称</w:t>
            </w:r>
          </w:p>
        </w:tc>
        <w:tc>
          <w:tcPr>
            <w:tcW w:w="3645" w:type="pct"/>
            <w:vAlign w:val="center"/>
          </w:tcPr>
          <w:p>
            <w:pPr>
              <w:pStyle w:val="28"/>
              <w:jc w:val="both"/>
              <w:rPr>
                <w:rFonts w:hint="default"/>
              </w:rPr>
            </w:pPr>
            <w:r>
              <w:t>察布查尔县2022年度卫片执法专项工作及国土变更调查专项工作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项目编号</w:t>
            </w:r>
          </w:p>
        </w:tc>
        <w:tc>
          <w:tcPr>
            <w:tcW w:w="3645" w:type="pct"/>
            <w:vAlign w:val="center"/>
          </w:tcPr>
          <w:p>
            <w:pPr>
              <w:pStyle w:val="28"/>
              <w:jc w:val="both"/>
              <w:rPr>
                <w:rFonts w:hint="default"/>
              </w:rPr>
            </w:pPr>
            <w:r>
              <w:t>XYLZB-2022-107-FW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采购方式</w:t>
            </w:r>
          </w:p>
        </w:tc>
        <w:tc>
          <w:tcPr>
            <w:tcW w:w="3645" w:type="pct"/>
            <w:vAlign w:val="center"/>
          </w:tcPr>
          <w:p>
            <w:pPr>
              <w:pStyle w:val="28"/>
              <w:jc w:val="both"/>
              <w:rPr>
                <w:rFonts w:hint="default"/>
              </w:rPr>
            </w:pPr>
            <w: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预算金额</w:t>
            </w:r>
          </w:p>
        </w:tc>
        <w:tc>
          <w:tcPr>
            <w:tcW w:w="3645" w:type="pct"/>
            <w:vAlign w:val="center"/>
          </w:tcPr>
          <w:p>
            <w:pPr>
              <w:pStyle w:val="28"/>
              <w:jc w:val="both"/>
              <w:rPr>
                <w:rFonts w:hint="default"/>
              </w:rPr>
            </w:pPr>
            <w:r>
              <w:t>95万元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资金来源</w:t>
            </w:r>
          </w:p>
        </w:tc>
        <w:tc>
          <w:tcPr>
            <w:tcW w:w="3645" w:type="pct"/>
            <w:vAlign w:val="center"/>
          </w:tcPr>
          <w:p>
            <w:pPr>
              <w:pStyle w:val="28"/>
              <w:jc w:val="both"/>
              <w:rPr>
                <w:rFonts w:hint="default"/>
              </w:rPr>
            </w:pPr>
            <w:r>
              <w:t>上级单位配套资金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合同履行期限</w:t>
            </w:r>
          </w:p>
        </w:tc>
        <w:tc>
          <w:tcPr>
            <w:tcW w:w="3645" w:type="pct"/>
            <w:vAlign w:val="center"/>
          </w:tcPr>
          <w:p>
            <w:pPr>
              <w:pStyle w:val="28"/>
              <w:jc w:val="both"/>
              <w:rPr>
                <w:rFonts w:hint="default"/>
              </w:rPr>
            </w:pPr>
            <w:r>
              <w:rPr>
                <w:rFonts w:hint="default"/>
              </w:rPr>
              <w:t>202</w:t>
            </w:r>
            <w:r>
              <w:t>2</w:t>
            </w:r>
            <w:r>
              <w:rPr>
                <w:rFonts w:hint="default"/>
              </w:rPr>
              <w:t>年</w:t>
            </w:r>
            <w:r>
              <w:t>12</w:t>
            </w:r>
            <w:r>
              <w:rPr>
                <w:rFonts w:hint="default"/>
              </w:rPr>
              <w:t>月</w:t>
            </w:r>
            <w:r>
              <w:t>5</w:t>
            </w:r>
            <w:r>
              <w:rPr>
                <w:rFonts w:hint="default"/>
              </w:rPr>
              <w:t>日之前完；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资格审查方式</w:t>
            </w:r>
          </w:p>
        </w:tc>
        <w:tc>
          <w:tcPr>
            <w:tcW w:w="3645" w:type="pct"/>
            <w:vAlign w:val="center"/>
          </w:tcPr>
          <w:p>
            <w:pPr>
              <w:pStyle w:val="28"/>
              <w:jc w:val="both"/>
              <w:rPr>
                <w:rFonts w:hint="default"/>
              </w:rPr>
            </w:pPr>
            <w: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联合体</w:t>
            </w:r>
          </w:p>
        </w:tc>
        <w:tc>
          <w:tcPr>
            <w:tcW w:w="3645" w:type="pct"/>
            <w:vAlign w:val="center"/>
          </w:tcPr>
          <w:p>
            <w:pPr>
              <w:pStyle w:val="28"/>
              <w:jc w:val="both"/>
              <w:rPr>
                <w:rFonts w:hint="default"/>
              </w:rPr>
            </w:pPr>
            <w:r>
              <w:t>本项目不接受联合体投标，不接受备选方案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采购人</w:t>
            </w:r>
          </w:p>
        </w:tc>
        <w:tc>
          <w:tcPr>
            <w:tcW w:w="3645" w:type="pct"/>
            <w:vAlign w:val="center"/>
          </w:tcPr>
          <w:p>
            <w:pPr>
              <w:pStyle w:val="28"/>
              <w:jc w:val="both"/>
              <w:rPr>
                <w:rFonts w:hint="default"/>
              </w:rPr>
            </w:pPr>
            <w:r>
              <w:t>采购单位：察布查尔锡伯自治县自然资源局</w:t>
            </w:r>
          </w:p>
          <w:p>
            <w:pPr>
              <w:pStyle w:val="28"/>
              <w:jc w:val="both"/>
              <w:rPr>
                <w:rFonts w:hint="default"/>
              </w:rPr>
            </w:pPr>
            <w:r>
              <w:t>联系人及联系方式：李晓焕18099898916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采购代理机构</w:t>
            </w:r>
          </w:p>
        </w:tc>
        <w:tc>
          <w:tcPr>
            <w:tcW w:w="3645" w:type="pct"/>
            <w:vAlign w:val="center"/>
          </w:tcPr>
          <w:p>
            <w:pPr>
              <w:pStyle w:val="28"/>
              <w:jc w:val="both"/>
              <w:rPr>
                <w:rFonts w:hint="default"/>
              </w:rPr>
            </w:pPr>
            <w:r>
              <w:t>采购代理机构：新疆鑫耀览项目管理咨询有限公司</w:t>
            </w:r>
          </w:p>
          <w:p>
            <w:pPr>
              <w:pStyle w:val="28"/>
              <w:jc w:val="both"/>
              <w:rPr>
                <w:rFonts w:hint="default"/>
              </w:rPr>
            </w:pPr>
            <w:r>
              <w:t>地址：伊宁市阿合买提江街黄河大厦908室</w:t>
            </w:r>
          </w:p>
          <w:p>
            <w:pPr>
              <w:pStyle w:val="28"/>
              <w:jc w:val="both"/>
              <w:rPr>
                <w:rFonts w:hint="default"/>
              </w:rPr>
            </w:pPr>
            <w:r>
              <w:t>联系人及联系电话：李伟  何丹丹0999-8159955   18194883610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4" w:type="pct"/>
            <w:vMerge w:val="continue"/>
            <w:vAlign w:val="center"/>
          </w:tcPr>
          <w:p>
            <w:pPr>
              <w:pStyle w:val="28"/>
              <w:rPr>
                <w:rFonts w:hint="default"/>
              </w:rPr>
            </w:pPr>
          </w:p>
        </w:tc>
        <w:tc>
          <w:tcPr>
            <w:tcW w:w="969" w:type="pct"/>
            <w:vAlign w:val="center"/>
          </w:tcPr>
          <w:p>
            <w:pPr>
              <w:pStyle w:val="28"/>
              <w:rPr>
                <w:rFonts w:hint="default"/>
              </w:rPr>
            </w:pPr>
            <w:r>
              <w:t>采购内容</w:t>
            </w:r>
          </w:p>
        </w:tc>
        <w:tc>
          <w:tcPr>
            <w:tcW w:w="3645" w:type="pct"/>
            <w:vAlign w:val="center"/>
          </w:tcPr>
          <w:p>
            <w:pPr>
              <w:pStyle w:val="28"/>
              <w:jc w:val="both"/>
              <w:rPr>
                <w:rFonts w:hint="default"/>
              </w:rPr>
            </w:pPr>
            <w:r>
              <w:t>对收到的下发图斑，需要对其进行实地核查、拍照取证、内业填报(含图斑判定)和数据成果上报等工作。本次变更调查的主要任务是： 按照国家和自治区的统一标准，利用卫星遥感、互联网、云计算等技术，统筹现有资料，根据国家下发的2022年底卫星遥感影像和监测图斑，结合有关监测及相关自然资源管理信息，制作外业调查底图，并开展实地调查举证。通过调查全面掌握我县2022年度的地类、面积、属性及相关 图层属性信息的变化情况，更新县级国土调查数据库。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Align w:val="center"/>
          </w:tcPr>
          <w:p>
            <w:pPr>
              <w:pStyle w:val="28"/>
              <w:rPr>
                <w:rFonts w:hint="default"/>
              </w:rPr>
            </w:pPr>
            <w:r>
              <w:t>2</w:t>
            </w:r>
          </w:p>
        </w:tc>
        <w:tc>
          <w:tcPr>
            <w:tcW w:w="969" w:type="pct"/>
            <w:vAlign w:val="center"/>
          </w:tcPr>
          <w:p>
            <w:pPr>
              <w:pStyle w:val="28"/>
              <w:rPr>
                <w:rFonts w:hint="default"/>
              </w:rPr>
            </w:pPr>
            <w:r>
              <w:t>磋商文件分数</w:t>
            </w:r>
          </w:p>
        </w:tc>
        <w:tc>
          <w:tcPr>
            <w:tcW w:w="3645" w:type="pct"/>
            <w:vAlign w:val="center"/>
          </w:tcPr>
          <w:p>
            <w:pPr>
              <w:pStyle w:val="28"/>
              <w:jc w:val="both"/>
              <w:rPr>
                <w:rFonts w:hint="default"/>
              </w:rPr>
            </w:pPr>
            <w:r>
              <w:t>磋商文件正本一份,副本三份，报价一览表一份，单独密封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4" w:type="pct"/>
            <w:vAlign w:val="center"/>
          </w:tcPr>
          <w:p>
            <w:pPr>
              <w:pStyle w:val="28"/>
              <w:rPr>
                <w:rFonts w:hint="default"/>
              </w:rPr>
            </w:pPr>
            <w:r>
              <w:t>3</w:t>
            </w:r>
          </w:p>
        </w:tc>
        <w:tc>
          <w:tcPr>
            <w:tcW w:w="969" w:type="pct"/>
            <w:vAlign w:val="center"/>
          </w:tcPr>
          <w:p>
            <w:pPr>
              <w:pStyle w:val="28"/>
              <w:rPr>
                <w:rFonts w:hint="default"/>
              </w:rPr>
            </w:pPr>
            <w:r>
              <w:t>磋商文件密封</w:t>
            </w:r>
          </w:p>
          <w:p>
            <w:pPr>
              <w:pStyle w:val="28"/>
              <w:rPr>
                <w:rFonts w:hint="default"/>
              </w:rPr>
            </w:pPr>
            <w:r>
              <w:t>要求</w:t>
            </w:r>
          </w:p>
        </w:tc>
        <w:tc>
          <w:tcPr>
            <w:tcW w:w="3645" w:type="pct"/>
            <w:vAlign w:val="center"/>
          </w:tcPr>
          <w:p>
            <w:pPr>
              <w:pStyle w:val="28"/>
              <w:jc w:val="both"/>
              <w:rPr>
                <w:rFonts w:hint="default"/>
              </w:rPr>
            </w:pPr>
            <w:r>
              <w:t>1、响应文件的装订要求：响应文件不得以活页方式装订，不可拆装。装订应牢固、胶粘不易拆散和换页。</w:t>
            </w:r>
          </w:p>
          <w:p>
            <w:pPr>
              <w:pStyle w:val="28"/>
              <w:jc w:val="both"/>
              <w:rPr>
                <w:rFonts w:hint="default"/>
              </w:rPr>
            </w:pPr>
            <w:r>
              <w:t>2、响应文件的密封要求：</w:t>
            </w:r>
          </w:p>
          <w:p>
            <w:pPr>
              <w:pStyle w:val="28"/>
              <w:jc w:val="both"/>
              <w:rPr>
                <w:rFonts w:hint="default"/>
              </w:rPr>
            </w:pPr>
            <w:r>
              <w:t>(1)供应商应将报价一览表单独密封提交，并在信封上标明"报价一览表"字样；</w:t>
            </w:r>
          </w:p>
          <w:p>
            <w:pPr>
              <w:pStyle w:val="28"/>
              <w:jc w:val="both"/>
              <w:rPr>
                <w:rFonts w:hint="default"/>
              </w:rPr>
            </w:pPr>
            <w:r>
              <w:t>(2)供应商应将响应文件统包密封，封面应注明供应商的名称、地址、项目名称、联系电话等。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4" w:type="pct"/>
            <w:vAlign w:val="center"/>
          </w:tcPr>
          <w:p>
            <w:pPr>
              <w:pStyle w:val="28"/>
              <w:rPr>
                <w:rFonts w:hint="default"/>
              </w:rPr>
            </w:pPr>
            <w:r>
              <w:t>4</w:t>
            </w:r>
          </w:p>
        </w:tc>
        <w:tc>
          <w:tcPr>
            <w:tcW w:w="969" w:type="pct"/>
            <w:vAlign w:val="center"/>
          </w:tcPr>
          <w:p>
            <w:pPr>
              <w:pStyle w:val="28"/>
              <w:rPr>
                <w:rFonts w:hint="default"/>
              </w:rPr>
            </w:pPr>
            <w:r>
              <w:t>资格要求</w:t>
            </w:r>
          </w:p>
        </w:tc>
        <w:tc>
          <w:tcPr>
            <w:tcW w:w="3645" w:type="pct"/>
            <w:vAlign w:val="center"/>
          </w:tcPr>
          <w:p>
            <w:pPr>
              <w:pStyle w:val="28"/>
              <w:jc w:val="both"/>
              <w:rPr>
                <w:rFonts w:hint="default"/>
              </w:rPr>
            </w:pPr>
            <w:r>
              <w:t>1、满足《中华人民共和国政府采购法》第二十二条规定；</w:t>
            </w:r>
          </w:p>
          <w:p>
            <w:pPr>
              <w:pStyle w:val="28"/>
              <w:jc w:val="both"/>
              <w:rPr>
                <w:rFonts w:hint="default"/>
              </w:rPr>
            </w:pPr>
            <w:r>
              <w:t>2、供应商在人员、设备、资金等方面具有完成本项目的相应服务能力；</w:t>
            </w:r>
          </w:p>
          <w:p>
            <w:pPr>
              <w:pStyle w:val="28"/>
              <w:jc w:val="both"/>
              <w:rPr>
                <w:rFonts w:hint="default"/>
              </w:rPr>
            </w:pPr>
            <w:r>
              <w:t>3、落实政府采购政策需满足的资格要求：</w:t>
            </w:r>
          </w:p>
          <w:p>
            <w:pPr>
              <w:pStyle w:val="28"/>
              <w:jc w:val="both"/>
              <w:rPr>
                <w:rFonts w:hint="default"/>
              </w:rPr>
            </w:pPr>
            <w:r>
              <w:t>（1）</w:t>
            </w:r>
            <w:r>
              <w:fldChar w:fldCharType="begin"/>
            </w:r>
            <w:r>
              <w:instrText xml:space="preserve"> HYPERLINK "http://www.ccgp.gov.cn/zcfg/mof/201902/t20190213_11628855.htm" \t "http://www.ccgp.gov.cn/jnhb/jnhbqd/_blank" \o "关于调整优化节能产品、环境标志产品政府采购执行机制的通知" </w:instrText>
            </w:r>
            <w:r>
              <w:fldChar w:fldCharType="separate"/>
            </w:r>
            <w:r>
              <w:t>关于调整优化节能产品、环境标志产品政府采购执行机制的通知（财库〔2019〕9号）</w:t>
            </w:r>
            <w:r>
              <w:fldChar w:fldCharType="end"/>
            </w:r>
            <w:r>
              <w:t>；</w:t>
            </w:r>
          </w:p>
          <w:p>
            <w:pPr>
              <w:pStyle w:val="28"/>
              <w:jc w:val="both"/>
              <w:rPr>
                <w:rFonts w:hint="default"/>
              </w:rPr>
            </w:pPr>
            <w:r>
              <w:t>（2）按照《财政部工业和信息化部关于印发&lt;政府采购促进中小企业发展暂行办法&gt;的通知》（财库〔2020〕46号）的规定，落实促进中小企业发展政策,本项目专门面向中小企业及小微企业。</w:t>
            </w:r>
          </w:p>
          <w:p>
            <w:pPr>
              <w:pStyle w:val="28"/>
              <w:jc w:val="both"/>
              <w:rPr>
                <w:rFonts w:hint="default"/>
              </w:rPr>
            </w:pPr>
            <w:r>
              <w:t>（3）财政部、SF部《关于政府采购支持JY企业发展有关问题的通知》（财库[2014]68号文）；</w:t>
            </w:r>
          </w:p>
          <w:p>
            <w:pPr>
              <w:pStyle w:val="28"/>
              <w:jc w:val="both"/>
              <w:rPr>
                <w:rFonts w:hint="default"/>
              </w:rPr>
            </w:pPr>
            <w:r>
              <w:t>（4）财政部、民政部、中国残疾人联合会《关于促进残疾人就业政府采购政策的通知》（财库[2017]141号）。</w:t>
            </w:r>
          </w:p>
          <w:p>
            <w:pPr>
              <w:pStyle w:val="28"/>
              <w:jc w:val="both"/>
              <w:rPr>
                <w:rFonts w:hint="default"/>
              </w:rPr>
            </w:pPr>
            <w:r>
              <w:t>4、本项目的特定资格要求：</w:t>
            </w:r>
          </w:p>
          <w:p>
            <w:pPr>
              <w:pStyle w:val="28"/>
              <w:jc w:val="both"/>
              <w:rPr>
                <w:rFonts w:hint="default"/>
              </w:rPr>
            </w:pPr>
            <w:r>
              <w:t>（1）投标人须具有有效的中华人民共和国企业法人营业执照或事业单位法人证书，具有独立承担民事责任的能力及良好的商业信誉；</w:t>
            </w:r>
          </w:p>
          <w:p>
            <w:pPr>
              <w:pStyle w:val="28"/>
              <w:jc w:val="both"/>
              <w:rPr>
                <w:rFonts w:hint="default"/>
              </w:rPr>
            </w:pPr>
            <w:r>
              <w:t>（2）供应商须具备测绘行政主管部门颁发的乙级及以上测绘资质。投标供应商的项目负责人需具有测绘类专业中级职称证书；</w:t>
            </w:r>
          </w:p>
          <w:p>
            <w:pPr>
              <w:pStyle w:val="28"/>
              <w:jc w:val="both"/>
              <w:rPr>
                <w:rFonts w:hint="default"/>
              </w:rPr>
            </w:pPr>
            <w:r>
              <w:t>（3）供应商具有健全的财务制度，有依法缴纳税收和社会保障资金的良好纪录；</w:t>
            </w:r>
          </w:p>
          <w:p>
            <w:pPr>
              <w:pStyle w:val="28"/>
              <w:jc w:val="both"/>
              <w:rPr>
                <w:rFonts w:hint="default"/>
              </w:rPr>
            </w:pPr>
            <w:r>
              <w:t>（4）供应商不能是被列入“信用中国”网(www.creditchina.gov.cn)失信被执行人、政府采购严重违法失信行为记录名单、重大税收违法失信主体的供应商，不能是被列入“中国政府采购网”网站（www.ccgp.gov.cn）政府采购严重违法失信行为记录名单中仍在处罚期被禁止参加政府采购活动的供应商。</w:t>
            </w:r>
          </w:p>
          <w:p>
            <w:pPr>
              <w:pStyle w:val="28"/>
              <w:jc w:val="both"/>
              <w:rPr>
                <w:rFonts w:hint="default"/>
              </w:rPr>
            </w:pPr>
            <w:r>
              <w:t>5、资格审查拟采用的方式为：资格后审。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Align w:val="center"/>
          </w:tcPr>
          <w:p>
            <w:pPr>
              <w:pStyle w:val="28"/>
              <w:rPr>
                <w:rFonts w:hint="default"/>
              </w:rPr>
            </w:pPr>
            <w:r>
              <w:t>5</w:t>
            </w:r>
          </w:p>
        </w:tc>
        <w:tc>
          <w:tcPr>
            <w:tcW w:w="969" w:type="pct"/>
            <w:vAlign w:val="center"/>
          </w:tcPr>
          <w:p>
            <w:pPr>
              <w:pStyle w:val="28"/>
              <w:rPr>
                <w:rFonts w:hint="default"/>
              </w:rPr>
            </w:pPr>
            <w:r>
              <w:t>磋商文件费用</w:t>
            </w:r>
          </w:p>
        </w:tc>
        <w:tc>
          <w:tcPr>
            <w:tcW w:w="3645" w:type="pct"/>
            <w:vAlign w:val="center"/>
          </w:tcPr>
          <w:p>
            <w:pPr>
              <w:pStyle w:val="28"/>
              <w:jc w:val="both"/>
              <w:rPr>
                <w:rFonts w:hint="default"/>
              </w:rPr>
            </w:pPr>
            <w:r>
              <w:t>200元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4" w:type="pct"/>
            <w:vAlign w:val="center"/>
          </w:tcPr>
          <w:p>
            <w:pPr>
              <w:pStyle w:val="28"/>
              <w:rPr>
                <w:rFonts w:hint="default"/>
              </w:rPr>
            </w:pPr>
            <w:r>
              <w:t>6</w:t>
            </w:r>
          </w:p>
        </w:tc>
        <w:tc>
          <w:tcPr>
            <w:tcW w:w="969" w:type="pct"/>
            <w:vAlign w:val="center"/>
          </w:tcPr>
          <w:p>
            <w:pPr>
              <w:pStyle w:val="28"/>
              <w:rPr>
                <w:rFonts w:hint="default"/>
              </w:rPr>
            </w:pPr>
            <w:r>
              <w:t>磋商保证金</w:t>
            </w:r>
          </w:p>
        </w:tc>
        <w:tc>
          <w:tcPr>
            <w:tcW w:w="3645" w:type="pct"/>
            <w:vAlign w:val="center"/>
          </w:tcPr>
          <w:p>
            <w:pPr>
              <w:pStyle w:val="28"/>
              <w:jc w:val="both"/>
              <w:rPr>
                <w:rFonts w:hint="default"/>
              </w:rPr>
            </w:pPr>
            <w:r>
              <w:t>保证金：19000.00元</w:t>
            </w:r>
          </w:p>
          <w:p>
            <w:pPr>
              <w:pStyle w:val="28"/>
              <w:jc w:val="both"/>
              <w:rPr>
                <w:rFonts w:hint="default"/>
              </w:rPr>
            </w:pPr>
            <w:r>
              <w:t>投标保证金的缴纳截止时间（2022年11月16日18:00时）；投标保证金必须采用电汇或网银转账的方式，由投标人单位基本账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投标项目名称，并注明联系人及电话，以便查对核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trPr>
        <w:tc>
          <w:tcPr>
            <w:tcW w:w="384" w:type="pct"/>
            <w:vAlign w:val="center"/>
          </w:tcPr>
          <w:p>
            <w:pPr>
              <w:pStyle w:val="28"/>
              <w:rPr>
                <w:rFonts w:hint="default"/>
              </w:rPr>
            </w:pPr>
            <w:r>
              <w:t>7</w:t>
            </w:r>
          </w:p>
        </w:tc>
        <w:tc>
          <w:tcPr>
            <w:tcW w:w="969" w:type="pct"/>
            <w:vAlign w:val="center"/>
          </w:tcPr>
          <w:p>
            <w:pPr>
              <w:pStyle w:val="28"/>
              <w:rPr>
                <w:rFonts w:hint="default"/>
              </w:rPr>
            </w:pPr>
            <w:r>
              <w:t>质量标准</w:t>
            </w:r>
          </w:p>
        </w:tc>
        <w:tc>
          <w:tcPr>
            <w:tcW w:w="3645" w:type="pct"/>
            <w:vAlign w:val="center"/>
          </w:tcPr>
          <w:p>
            <w:pPr>
              <w:pStyle w:val="28"/>
              <w:jc w:val="both"/>
              <w:rPr>
                <w:rFonts w:hint="default"/>
              </w:rPr>
            </w:pPr>
            <w:r>
              <w:t>合格（通过采购人组织的项目验收）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4" w:type="pct"/>
            <w:vAlign w:val="center"/>
          </w:tcPr>
          <w:p>
            <w:pPr>
              <w:pStyle w:val="28"/>
              <w:rPr>
                <w:rFonts w:hint="default"/>
              </w:rPr>
            </w:pPr>
            <w:r>
              <w:t>8</w:t>
            </w:r>
          </w:p>
        </w:tc>
        <w:tc>
          <w:tcPr>
            <w:tcW w:w="969" w:type="pct"/>
            <w:vAlign w:val="center"/>
          </w:tcPr>
          <w:p>
            <w:pPr>
              <w:pStyle w:val="28"/>
              <w:rPr>
                <w:rFonts w:hint="default"/>
              </w:rPr>
            </w:pPr>
            <w:r>
              <w:t>磋商文件递交截止时间</w:t>
            </w:r>
          </w:p>
        </w:tc>
        <w:tc>
          <w:tcPr>
            <w:tcW w:w="3645" w:type="pct"/>
            <w:vAlign w:val="center"/>
          </w:tcPr>
          <w:p>
            <w:pPr>
              <w:pStyle w:val="28"/>
              <w:jc w:val="both"/>
              <w:rPr>
                <w:rFonts w:hint="default"/>
              </w:rPr>
            </w:pPr>
            <w:r>
              <w:t>2022年11月21日11:00时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4" w:type="pct"/>
            <w:vAlign w:val="center"/>
          </w:tcPr>
          <w:p>
            <w:pPr>
              <w:pStyle w:val="28"/>
              <w:rPr>
                <w:rFonts w:hint="default"/>
              </w:rPr>
            </w:pPr>
            <w:r>
              <w:t>9</w:t>
            </w:r>
          </w:p>
        </w:tc>
        <w:tc>
          <w:tcPr>
            <w:tcW w:w="969" w:type="pct"/>
            <w:vAlign w:val="center"/>
          </w:tcPr>
          <w:p>
            <w:pPr>
              <w:pStyle w:val="28"/>
              <w:rPr>
                <w:rFonts w:hint="default"/>
              </w:rPr>
            </w:pPr>
            <w:r>
              <w:t>磋商文件递交</w:t>
            </w:r>
          </w:p>
          <w:p>
            <w:pPr>
              <w:pStyle w:val="28"/>
              <w:rPr>
                <w:rFonts w:hint="default"/>
              </w:rPr>
            </w:pPr>
            <w:r>
              <w:t>地点</w:t>
            </w:r>
          </w:p>
        </w:tc>
        <w:tc>
          <w:tcPr>
            <w:tcW w:w="3645" w:type="pct"/>
            <w:vAlign w:val="center"/>
          </w:tcPr>
          <w:p>
            <w:pPr>
              <w:pStyle w:val="28"/>
              <w:jc w:val="both"/>
              <w:rPr>
                <w:rFonts w:hint="default"/>
              </w:rPr>
            </w:pPr>
            <w:r>
              <w:t>察布查尔锡伯自治县文昌路4号创业服务中心A座五楼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4" w:type="pct"/>
            <w:vAlign w:val="center"/>
          </w:tcPr>
          <w:p>
            <w:pPr>
              <w:pStyle w:val="28"/>
              <w:rPr>
                <w:rFonts w:hint="default"/>
              </w:rPr>
            </w:pPr>
            <w:r>
              <w:t>10</w:t>
            </w:r>
          </w:p>
        </w:tc>
        <w:tc>
          <w:tcPr>
            <w:tcW w:w="969" w:type="pct"/>
            <w:vAlign w:val="center"/>
          </w:tcPr>
          <w:p>
            <w:pPr>
              <w:pStyle w:val="28"/>
              <w:rPr>
                <w:rFonts w:hint="default"/>
              </w:rPr>
            </w:pPr>
            <w:r>
              <w:t>磋商时间及地点</w:t>
            </w:r>
          </w:p>
        </w:tc>
        <w:tc>
          <w:tcPr>
            <w:tcW w:w="3645" w:type="pct"/>
            <w:vAlign w:val="center"/>
          </w:tcPr>
          <w:p>
            <w:pPr>
              <w:pStyle w:val="28"/>
              <w:jc w:val="both"/>
              <w:rPr>
                <w:rFonts w:hint="default"/>
              </w:rPr>
            </w:pPr>
            <w:r>
              <w:t>磋商时间：2022年11月21日11:00时</w:t>
            </w:r>
          </w:p>
          <w:p>
            <w:pPr>
              <w:pStyle w:val="28"/>
              <w:jc w:val="both"/>
              <w:rPr>
                <w:rFonts w:hint="default"/>
              </w:rPr>
            </w:pPr>
            <w:r>
              <w:t>磋商地点：察布查尔锡伯自治县文昌路4号创业服务中心A座五楼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Align w:val="center"/>
          </w:tcPr>
          <w:p>
            <w:pPr>
              <w:pStyle w:val="28"/>
              <w:rPr>
                <w:rFonts w:hint="default"/>
              </w:rPr>
            </w:pPr>
            <w:r>
              <w:t>11</w:t>
            </w:r>
          </w:p>
        </w:tc>
        <w:tc>
          <w:tcPr>
            <w:tcW w:w="969" w:type="pct"/>
            <w:vAlign w:val="center"/>
          </w:tcPr>
          <w:p>
            <w:pPr>
              <w:pStyle w:val="28"/>
              <w:rPr>
                <w:rFonts w:hint="default"/>
              </w:rPr>
            </w:pPr>
            <w:r>
              <w:t>投标有效期限</w:t>
            </w:r>
          </w:p>
        </w:tc>
        <w:tc>
          <w:tcPr>
            <w:tcW w:w="3645" w:type="pct"/>
            <w:vAlign w:val="center"/>
          </w:tcPr>
          <w:p>
            <w:pPr>
              <w:pStyle w:val="28"/>
              <w:jc w:val="both"/>
              <w:rPr>
                <w:rFonts w:hint="default"/>
              </w:rPr>
            </w:pPr>
            <w:r>
              <w:t>投标截止后90天（日历日）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4" w:type="pct"/>
            <w:vAlign w:val="center"/>
          </w:tcPr>
          <w:p>
            <w:pPr>
              <w:pStyle w:val="28"/>
              <w:rPr>
                <w:rFonts w:hint="default"/>
              </w:rPr>
            </w:pPr>
            <w:r>
              <w:t>12</w:t>
            </w:r>
          </w:p>
        </w:tc>
        <w:tc>
          <w:tcPr>
            <w:tcW w:w="969" w:type="pct"/>
            <w:vAlign w:val="center"/>
          </w:tcPr>
          <w:p>
            <w:pPr>
              <w:pStyle w:val="28"/>
              <w:rPr>
                <w:rFonts w:hint="default"/>
              </w:rPr>
            </w:pPr>
            <w:r>
              <w:t>评分办法</w:t>
            </w:r>
          </w:p>
        </w:tc>
        <w:tc>
          <w:tcPr>
            <w:tcW w:w="3645" w:type="pct"/>
            <w:vAlign w:val="center"/>
          </w:tcPr>
          <w:p>
            <w:pPr>
              <w:pStyle w:val="28"/>
              <w:jc w:val="both"/>
              <w:rPr>
                <w:rFonts w:hint="default"/>
              </w:rPr>
            </w:pPr>
            <w: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384" w:type="pct"/>
            <w:vAlign w:val="center"/>
          </w:tcPr>
          <w:p>
            <w:pPr>
              <w:pStyle w:val="28"/>
              <w:rPr>
                <w:rFonts w:hint="default"/>
              </w:rPr>
            </w:pPr>
            <w:r>
              <w:t>13</w:t>
            </w:r>
          </w:p>
        </w:tc>
        <w:tc>
          <w:tcPr>
            <w:tcW w:w="969" w:type="pct"/>
            <w:vAlign w:val="center"/>
          </w:tcPr>
          <w:p>
            <w:pPr>
              <w:pStyle w:val="28"/>
              <w:rPr>
                <w:rFonts w:hint="default"/>
              </w:rPr>
            </w:pPr>
            <w:r>
              <w:t>履约担保</w:t>
            </w:r>
          </w:p>
        </w:tc>
        <w:tc>
          <w:tcPr>
            <w:tcW w:w="3645" w:type="pct"/>
            <w:vAlign w:val="center"/>
          </w:tcPr>
          <w:p>
            <w:pPr>
              <w:pStyle w:val="28"/>
              <w:jc w:val="both"/>
              <w:rPr>
                <w:rFonts w:hint="default"/>
              </w:rPr>
            </w:pPr>
            <w:r>
              <w:t>履约保证金金额：合同金额的 5 %</w:t>
            </w:r>
          </w:p>
          <w:p>
            <w:pPr>
              <w:pStyle w:val="28"/>
              <w:jc w:val="both"/>
              <w:rPr>
                <w:rFonts w:hint="default"/>
              </w:rPr>
            </w:pPr>
            <w:r>
              <w:t>履约保证金递交：成交供应商收到《成交通知书》且签订合同同时，向采购人缴纳；</w:t>
            </w:r>
          </w:p>
          <w:p>
            <w:pPr>
              <w:pStyle w:val="28"/>
              <w:jc w:val="both"/>
              <w:rPr>
                <w:rFonts w:hint="default"/>
              </w:rPr>
            </w:pPr>
            <w:r>
              <w:t>履约保证金形式：支票、汇票、银行转账等非现金形式；（成交供应商未按磋商文件规定缴纳履约保证金的，其投标保证金将不予退还。）</w:t>
            </w:r>
          </w:p>
          <w:p>
            <w:pPr>
              <w:pStyle w:val="28"/>
              <w:jc w:val="both"/>
              <w:rPr>
                <w:rFonts w:hint="default"/>
              </w:rPr>
            </w:pPr>
            <w:r>
              <w:rPr>
                <w:lang w:val="zh-CN"/>
              </w:rPr>
              <w:t>履约保证金（质保金）退还：（1）履约保证金的有效期为该项目</w:t>
            </w:r>
            <w:r>
              <w:t>验收合格后</w:t>
            </w:r>
            <w:r>
              <w:rPr>
                <w:lang w:val="zh-CN"/>
              </w:rPr>
              <w:t>止。（2）供应商在验收合格</w:t>
            </w:r>
            <w:r>
              <w:t>前</w:t>
            </w:r>
            <w:r>
              <w:rPr>
                <w:lang w:val="zh-CN"/>
              </w:rPr>
              <w:t>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384" w:type="pct"/>
            <w:vAlign w:val="center"/>
          </w:tcPr>
          <w:p>
            <w:pPr>
              <w:pStyle w:val="28"/>
              <w:rPr>
                <w:rFonts w:hint="default"/>
              </w:rPr>
            </w:pPr>
            <w:r>
              <w:t>14</w:t>
            </w:r>
          </w:p>
        </w:tc>
        <w:tc>
          <w:tcPr>
            <w:tcW w:w="969" w:type="pct"/>
            <w:vAlign w:val="center"/>
          </w:tcPr>
          <w:p>
            <w:pPr>
              <w:pStyle w:val="28"/>
              <w:rPr>
                <w:rFonts w:hint="default"/>
              </w:rPr>
            </w:pPr>
            <w:r>
              <w:t>付款方式</w:t>
            </w:r>
          </w:p>
          <w:p>
            <w:pPr>
              <w:pStyle w:val="28"/>
              <w:rPr>
                <w:rFonts w:hint="default"/>
              </w:rPr>
            </w:pPr>
            <w:r>
              <w:t>（币种：人民币）</w:t>
            </w:r>
          </w:p>
        </w:tc>
        <w:tc>
          <w:tcPr>
            <w:tcW w:w="3645" w:type="pct"/>
            <w:vAlign w:val="center"/>
          </w:tcPr>
          <w:p>
            <w:pPr>
              <w:pStyle w:val="28"/>
              <w:jc w:val="both"/>
              <w:rPr>
                <w:rFonts w:hint="default"/>
              </w:rPr>
            </w:pP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384" w:type="pct"/>
            <w:vAlign w:val="center"/>
          </w:tcPr>
          <w:p>
            <w:pPr>
              <w:pStyle w:val="28"/>
              <w:rPr>
                <w:rFonts w:hint="default"/>
              </w:rPr>
            </w:pPr>
            <w:r>
              <w:t>15</w:t>
            </w:r>
          </w:p>
        </w:tc>
        <w:tc>
          <w:tcPr>
            <w:tcW w:w="969" w:type="pct"/>
            <w:vAlign w:val="center"/>
          </w:tcPr>
          <w:p>
            <w:pPr>
              <w:pStyle w:val="28"/>
              <w:rPr>
                <w:rFonts w:hint="default"/>
              </w:rPr>
            </w:pPr>
            <w:r>
              <w:t>磋商小组</w:t>
            </w:r>
          </w:p>
        </w:tc>
        <w:tc>
          <w:tcPr>
            <w:tcW w:w="3645" w:type="pct"/>
            <w:vAlign w:val="center"/>
          </w:tcPr>
          <w:p>
            <w:pPr>
              <w:pStyle w:val="28"/>
              <w:jc w:val="both"/>
              <w:rPr>
                <w:rFonts w:hint="default"/>
              </w:rPr>
            </w:pPr>
            <w:r>
              <w:t>磋商小组的组建：磋商小组5人</w:t>
            </w:r>
          </w:p>
          <w:p>
            <w:pPr>
              <w:pStyle w:val="28"/>
              <w:jc w:val="both"/>
              <w:rPr>
                <w:rFonts w:hint="default"/>
              </w:rPr>
            </w:pPr>
            <w:r>
              <w:t>磋商专家确定方式：采购人在专家库中随机抽取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384" w:type="pct"/>
            <w:vAlign w:val="center"/>
          </w:tcPr>
          <w:p>
            <w:pPr>
              <w:pStyle w:val="28"/>
              <w:rPr>
                <w:rFonts w:hint="default"/>
              </w:rPr>
            </w:pPr>
            <w:r>
              <w:t>16</w:t>
            </w:r>
          </w:p>
        </w:tc>
        <w:tc>
          <w:tcPr>
            <w:tcW w:w="969" w:type="pct"/>
            <w:vAlign w:val="center"/>
          </w:tcPr>
          <w:p>
            <w:pPr>
              <w:pStyle w:val="28"/>
              <w:rPr>
                <w:rFonts w:hint="default"/>
              </w:rPr>
            </w:pPr>
            <w:r>
              <w:t>低于成本价不正当竞争预防措施</w:t>
            </w:r>
          </w:p>
        </w:tc>
        <w:tc>
          <w:tcPr>
            <w:tcW w:w="3645" w:type="pct"/>
            <w:vAlign w:val="center"/>
          </w:tcPr>
          <w:p>
            <w:pPr>
              <w:pStyle w:val="28"/>
              <w:jc w:val="both"/>
              <w:rPr>
                <w:rFonts w:hint="default"/>
              </w:rPr>
            </w:pPr>
            <w:r>
              <w:t>①在评标过程中，磋商小组认为投标人的报价明显低于其他通过符合性审查投标人的报价，有可能影响产品质量或者不能诚信履约的，磋商小组应当要求其在评标现场合理的时间内提供成本构成书面说明，并提交相关证明材料。供应商书面说明应当按照国家财务会计制度的规定要求，逐项就供应商提供报价的主营业务成本（应根据供应商企业类型予以区别）、税金及附加、销售费用、管理费用、财务费用等成本构成事项详细陈述。</w:t>
            </w:r>
          </w:p>
          <w:p>
            <w:pPr>
              <w:pStyle w:val="28"/>
              <w:jc w:val="both"/>
              <w:rPr>
                <w:rFonts w:hint="default"/>
              </w:rPr>
            </w:pPr>
            <w:r>
              <w:t>②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8"/>
              <w:jc w:val="both"/>
              <w:rPr>
                <w:rFonts w:hint="default"/>
              </w:rPr>
            </w:pPr>
            <w:r>
              <w:t>③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384" w:type="pct"/>
            <w:vAlign w:val="center"/>
          </w:tcPr>
          <w:p>
            <w:pPr>
              <w:pStyle w:val="28"/>
              <w:rPr>
                <w:rFonts w:hint="default"/>
              </w:rPr>
            </w:pPr>
            <w:r>
              <w:t>17</w:t>
            </w:r>
          </w:p>
        </w:tc>
        <w:tc>
          <w:tcPr>
            <w:tcW w:w="969" w:type="pct"/>
            <w:vAlign w:val="center"/>
          </w:tcPr>
          <w:p>
            <w:pPr>
              <w:pStyle w:val="28"/>
              <w:rPr>
                <w:rFonts w:hint="default"/>
              </w:rPr>
            </w:pPr>
            <w:r>
              <w:t>中标服务费</w:t>
            </w:r>
          </w:p>
        </w:tc>
        <w:tc>
          <w:tcPr>
            <w:tcW w:w="3645" w:type="pct"/>
            <w:vAlign w:val="center"/>
          </w:tcPr>
          <w:p>
            <w:pPr>
              <w:pStyle w:val="28"/>
              <w:jc w:val="both"/>
              <w:rPr>
                <w:rFonts w:hint="default"/>
              </w:rPr>
            </w:pPr>
            <w:r>
              <w:t>本项目的招标代理服务费，由中标单位在领取中标通知书时一次性向招标代理机构支付中标服务费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41" w:hRule="atLeast"/>
        </w:trPr>
        <w:tc>
          <w:tcPr>
            <w:tcW w:w="384" w:type="pct"/>
            <w:vAlign w:val="center"/>
          </w:tcPr>
          <w:p>
            <w:pPr>
              <w:pStyle w:val="28"/>
              <w:rPr>
                <w:rFonts w:hint="default"/>
              </w:rPr>
            </w:pPr>
            <w:r>
              <w:t>18</w:t>
            </w:r>
          </w:p>
        </w:tc>
        <w:tc>
          <w:tcPr>
            <w:tcW w:w="969" w:type="pct"/>
            <w:vAlign w:val="center"/>
          </w:tcPr>
          <w:p>
            <w:pPr>
              <w:pStyle w:val="28"/>
              <w:rPr>
                <w:rFonts w:hint="default"/>
              </w:rPr>
            </w:pPr>
            <w:r>
              <w:t>中小微企业政策</w:t>
            </w:r>
          </w:p>
        </w:tc>
        <w:tc>
          <w:tcPr>
            <w:tcW w:w="3645" w:type="pct"/>
            <w:vAlign w:val="center"/>
          </w:tcPr>
          <w:p>
            <w:pPr>
              <w:pStyle w:val="28"/>
              <w:jc w:val="both"/>
              <w:rPr>
                <w:rFonts w:hint="default"/>
              </w:rPr>
            </w:pPr>
            <w:r>
              <w:t>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响应该条款要求，全面面向中小企业采购。</w:t>
            </w:r>
          </w:p>
          <w:p>
            <w:pPr>
              <w:pStyle w:val="28"/>
              <w:jc w:val="both"/>
              <w:rPr>
                <w:rFonts w:hint="default"/>
              </w:rPr>
            </w:pPr>
            <w:r>
              <w:t>特别提示：</w:t>
            </w:r>
          </w:p>
          <w:p>
            <w:pPr>
              <w:pStyle w:val="28"/>
              <w:jc w:val="both"/>
              <w:rPr>
                <w:rFonts w:hint="default"/>
              </w:rPr>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28"/>
              <w:jc w:val="both"/>
              <w:rPr>
                <w:rFonts w:hint="default"/>
              </w:rPr>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8"/>
              <w:jc w:val="both"/>
              <w:rPr>
                <w:rFonts w:hint="default"/>
              </w:rPr>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23" w:hRule="atLeast"/>
        </w:trPr>
        <w:tc>
          <w:tcPr>
            <w:tcW w:w="384" w:type="pct"/>
            <w:vAlign w:val="center"/>
          </w:tcPr>
          <w:p>
            <w:pPr>
              <w:pStyle w:val="28"/>
              <w:rPr>
                <w:rFonts w:hint="default"/>
              </w:rPr>
            </w:pPr>
            <w:r>
              <w:t>19</w:t>
            </w:r>
          </w:p>
        </w:tc>
        <w:tc>
          <w:tcPr>
            <w:tcW w:w="969" w:type="pct"/>
            <w:vAlign w:val="center"/>
          </w:tcPr>
          <w:p>
            <w:pPr>
              <w:pStyle w:val="28"/>
              <w:rPr>
                <w:rFonts w:hint="default"/>
              </w:rPr>
            </w:pPr>
            <w:r>
              <w:t>监狱企业政策</w:t>
            </w:r>
          </w:p>
        </w:tc>
        <w:tc>
          <w:tcPr>
            <w:tcW w:w="3645" w:type="pct"/>
            <w:vAlign w:val="center"/>
          </w:tcPr>
          <w:p>
            <w:pPr>
              <w:pStyle w:val="28"/>
              <w:jc w:val="both"/>
              <w:rPr>
                <w:rFonts w:hint="default"/>
              </w:rPr>
            </w:pPr>
            <w:r>
              <w:t>监狱企业扶持政策：供应商如为监狱企业将视同小型或微型企业，且报价产品为小型或微型企业生产的，将对该产品的评审报价给予 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pStyle w:val="28"/>
              <w:jc w:val="both"/>
              <w:rPr>
                <w:rFonts w:hint="default"/>
              </w:rPr>
            </w:pPr>
            <w:r>
              <w:t>残疾人福利性单位视同小型、微型企业。不重复享受政策。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384" w:type="pct"/>
            <w:vAlign w:val="center"/>
          </w:tcPr>
          <w:p>
            <w:pPr>
              <w:pStyle w:val="28"/>
              <w:rPr>
                <w:rFonts w:hint="default"/>
              </w:rPr>
            </w:pPr>
            <w:r>
              <w:t>20</w:t>
            </w:r>
          </w:p>
        </w:tc>
        <w:tc>
          <w:tcPr>
            <w:tcW w:w="969" w:type="pct"/>
            <w:vAlign w:val="center"/>
          </w:tcPr>
          <w:p>
            <w:pPr>
              <w:pStyle w:val="28"/>
              <w:rPr>
                <w:rFonts w:hint="default"/>
              </w:rPr>
            </w:pPr>
            <w:r>
              <w:t>招标文件补充</w:t>
            </w:r>
          </w:p>
          <w:p>
            <w:pPr>
              <w:pStyle w:val="28"/>
              <w:rPr>
                <w:rFonts w:hint="default"/>
              </w:rPr>
            </w:pPr>
            <w:r>
              <w:t>内容</w:t>
            </w:r>
          </w:p>
        </w:tc>
        <w:tc>
          <w:tcPr>
            <w:tcW w:w="3645" w:type="pct"/>
            <w:vAlign w:val="center"/>
          </w:tcPr>
          <w:p>
            <w:pPr>
              <w:pStyle w:val="28"/>
              <w:jc w:val="both"/>
              <w:rPr>
                <w:rFonts w:hint="default"/>
              </w:rPr>
            </w:pPr>
            <w:r>
              <w:t>1、本项目开标实行“不见面”方式。采用具有直播功能的腾讯会议软件，1）、腾讯会议软件自行下载。2）腾讯会议ID为:743 968 818会议密码∶238199。</w:t>
            </w:r>
          </w:p>
          <w:p>
            <w:pPr>
              <w:pStyle w:val="28"/>
              <w:jc w:val="both"/>
              <w:rPr>
                <w:rFonts w:hint="default"/>
              </w:rPr>
            </w:pPr>
            <w:r>
              <w:t>2、磋商文件</w:t>
            </w:r>
            <w:r>
              <w:rPr>
                <w:rFonts w:hint="default"/>
              </w:rPr>
              <w:t>递交时间：2022年1</w:t>
            </w:r>
            <w:r>
              <w:t>1</w:t>
            </w:r>
            <w:r>
              <w:rPr>
                <w:rFonts w:hint="default"/>
              </w:rPr>
              <w:t>月</w:t>
            </w:r>
            <w:r>
              <w:rPr>
                <w:rFonts w:hint="eastAsia"/>
                <w:lang w:val="en-US" w:eastAsia="zh-CN"/>
              </w:rPr>
              <w:t>2</w:t>
            </w:r>
            <w:r>
              <w:t>1</w:t>
            </w:r>
            <w:r>
              <w:rPr>
                <w:rFonts w:hint="default"/>
              </w:rPr>
              <w:t>日10:</w:t>
            </w:r>
            <w:r>
              <w:t>45</w:t>
            </w:r>
            <w:r>
              <w:rPr>
                <w:rFonts w:hint="default"/>
              </w:rPr>
              <w:t>时至11:00时</w:t>
            </w:r>
          </w:p>
          <w:p>
            <w:pPr>
              <w:pStyle w:val="28"/>
              <w:jc w:val="both"/>
              <w:rPr>
                <w:rFonts w:hint="default"/>
              </w:rPr>
            </w:pPr>
            <w:r>
              <w:t>3、磋商文件</w:t>
            </w:r>
            <w:r>
              <w:rPr>
                <w:rFonts w:hint="default"/>
              </w:rPr>
              <w:t>的递交方式：</w:t>
            </w:r>
            <w:r>
              <w:fldChar w:fldCharType="begin"/>
            </w:r>
            <w:r>
              <w:instrText xml:space="preserve"> HYPERLINK "mailto:_x0007_(Ě_x0006_5P_x0007_)_x0005__x0001_1171085153@qq.com_x0002_" </w:instrText>
            </w:r>
            <w:r>
              <w:fldChar w:fldCharType="separate"/>
            </w:r>
            <w:r>
              <w:rPr>
                <w:rFonts w:hint="default"/>
              </w:rPr>
              <w:t>将各自加密电子版</w:t>
            </w:r>
            <w:r>
              <w:t>磋商文件</w:t>
            </w:r>
            <w:r>
              <w:rPr>
                <w:rFonts w:hint="default"/>
              </w:rPr>
              <w:t>压缩包</w:t>
            </w:r>
            <w:r>
              <w:rPr>
                <w:rFonts w:hint="default"/>
              </w:rPr>
              <w:fldChar w:fldCharType="end"/>
            </w:r>
            <w:r>
              <w:fldChar w:fldCharType="begin"/>
            </w:r>
            <w:r>
              <w:instrText xml:space="preserve"> HYPERLINK "mailto:_x0007_(Ě_x0006_5P_x0007_)_x0005__x0001_1171085153@qq.com_x0002_" </w:instrText>
            </w:r>
            <w:r>
              <w:fldChar w:fldCharType="separate"/>
            </w:r>
            <w:r>
              <w:rPr>
                <w:rFonts w:hint="default"/>
              </w:rPr>
              <w:t>发送至</w:t>
            </w:r>
            <w:r>
              <w:rPr>
                <w:rFonts w:hint="default"/>
              </w:rPr>
              <w:fldChar w:fldCharType="end"/>
            </w:r>
            <w:r>
              <w:rPr>
                <w:rFonts w:hint="default"/>
              </w:rPr>
              <w:t>招标人指定邮箱（</w:t>
            </w:r>
            <w:r>
              <w:fldChar w:fldCharType="begin"/>
            </w:r>
            <w:r>
              <w:instrText xml:space="preserve"> HYPERLINK "mailto:_x0007_(Ě_x0006_5P_x0007_)_x0005__x0001_1171085153@qq.com_x0002_" </w:instrText>
            </w:r>
            <w:r>
              <w:fldChar w:fldCharType="separate"/>
            </w:r>
            <w:r>
              <w:t>2550485091</w:t>
            </w:r>
            <w:r>
              <w:rPr>
                <w:rFonts w:hint="default"/>
              </w:rPr>
              <w:t>@qq.com）。</w:t>
            </w:r>
            <w:r>
              <w:rPr>
                <w:rFonts w:hint="default"/>
              </w:rPr>
              <w:fldChar w:fldCharType="end"/>
            </w:r>
          </w:p>
          <w:p>
            <w:pPr>
              <w:pStyle w:val="28"/>
              <w:jc w:val="both"/>
              <w:rPr>
                <w:rFonts w:hint="default"/>
              </w:rPr>
            </w:pPr>
            <w:r>
              <w:t>4、磋商文件</w:t>
            </w:r>
            <w:r>
              <w:rPr>
                <w:rFonts w:hint="default"/>
              </w:rPr>
              <w:t>加密方式：设置PDF格式</w:t>
            </w:r>
            <w:r>
              <w:t>磋商文件</w:t>
            </w:r>
            <w:r>
              <w:rPr>
                <w:rFonts w:hint="default"/>
              </w:rPr>
              <w:t>压缩包密码，密码形式为“字母+数字”，“字母+数字”密码总长度最长不得大于6位。（加密要求：只能对压缩包设置密码，不得再对压缩包内的任何文件进行加密)，提前送达/逾期送达/未送达指定邮箱的</w:t>
            </w:r>
            <w:r>
              <w:t>磋商文件</w:t>
            </w:r>
            <w:r>
              <w:rPr>
                <w:rFonts w:hint="default"/>
              </w:rPr>
              <w:t>不予接受。</w:t>
            </w:r>
          </w:p>
          <w:p>
            <w:pPr>
              <w:pStyle w:val="28"/>
              <w:jc w:val="both"/>
              <w:rPr>
                <w:rFonts w:hint="default"/>
              </w:rPr>
            </w:pPr>
            <w:r>
              <w:t>5、磋商文件</w:t>
            </w:r>
            <w:r>
              <w:rPr>
                <w:rFonts w:hint="default"/>
              </w:rPr>
              <w:t>解密方式与解密时间：2022年1</w:t>
            </w:r>
            <w:r>
              <w:t>1</w:t>
            </w:r>
            <w:r>
              <w:rPr>
                <w:rFonts w:hint="default"/>
              </w:rPr>
              <w:t>月</w:t>
            </w:r>
            <w:r>
              <w:rPr>
                <w:rFonts w:hint="eastAsia"/>
                <w:lang w:val="en-US" w:eastAsia="zh-CN"/>
              </w:rPr>
              <w:t>2</w:t>
            </w:r>
            <w:r>
              <w:t>1</w:t>
            </w:r>
            <w:r>
              <w:rPr>
                <w:rFonts w:hint="default"/>
              </w:rPr>
              <w:t>日1</w:t>
            </w:r>
            <w:r>
              <w:t>1</w:t>
            </w:r>
            <w:r>
              <w:rPr>
                <w:rFonts w:hint="default"/>
              </w:rPr>
              <w:t>时</w:t>
            </w:r>
            <w:r>
              <w:t>00</w:t>
            </w:r>
            <w:r>
              <w:rPr>
                <w:rFonts w:hint="default"/>
              </w:rPr>
              <w:t>分至2022年</w:t>
            </w:r>
            <w:r>
              <w:t>11</w:t>
            </w:r>
            <w:r>
              <w:rPr>
                <w:rFonts w:hint="default"/>
              </w:rPr>
              <w:t>月</w:t>
            </w:r>
            <w:r>
              <w:rPr>
                <w:rFonts w:hint="eastAsia"/>
                <w:lang w:val="en-US" w:eastAsia="zh-CN"/>
              </w:rPr>
              <w:t>2</w:t>
            </w:r>
            <w:r>
              <w:t>1</w:t>
            </w:r>
            <w:r>
              <w:rPr>
                <w:rFonts w:hint="default"/>
              </w:rPr>
              <w:t>日11时</w:t>
            </w:r>
            <w:r>
              <w:t>1</w:t>
            </w:r>
            <w:r>
              <w:rPr>
                <w:rFonts w:hint="default"/>
              </w:rPr>
              <w:t>0分，将电子版</w:t>
            </w:r>
            <w:r>
              <w:t>磋商文件</w:t>
            </w:r>
            <w:r>
              <w:rPr>
                <w:rFonts w:hint="default"/>
              </w:rPr>
              <w:t>压缩包密码（只能对</w:t>
            </w:r>
            <w:r>
              <w:t>磋商文件</w:t>
            </w:r>
            <w:r>
              <w:rPr>
                <w:rFonts w:hint="default"/>
              </w:rPr>
              <w:t>压缩包设置密码，压缩包内的任何文件不得设置密码)发至招标人指定邮箱（</w:t>
            </w:r>
            <w:r>
              <w:fldChar w:fldCharType="begin"/>
            </w:r>
            <w:r>
              <w:instrText xml:space="preserve"> HYPERLINK "mailto:_x0007_(Ě_x0006_5P_x0007_)_x0005__x0001_1171085153@qq.com_x0002_" </w:instrText>
            </w:r>
            <w:r>
              <w:fldChar w:fldCharType="separate"/>
            </w:r>
            <w:r>
              <w:rPr>
                <w:rFonts w:hint="default"/>
              </w:rPr>
              <w:t>2550485091@qq.com）</w:t>
            </w:r>
            <w:r>
              <w:rPr>
                <w:rFonts w:hint="default"/>
              </w:rPr>
              <w:fldChar w:fldCharType="end"/>
            </w:r>
            <w:r>
              <w:rPr>
                <w:rFonts w:hint="default"/>
              </w:rPr>
              <w:t>。</w:t>
            </w:r>
          </w:p>
          <w:p>
            <w:pPr>
              <w:pStyle w:val="28"/>
              <w:jc w:val="both"/>
              <w:rPr>
                <w:rFonts w:hint="default"/>
              </w:rPr>
            </w:pPr>
            <w:r>
              <w:t>6、</w:t>
            </w:r>
            <w:r>
              <w:rPr>
                <w:rFonts w:hint="default"/>
              </w:rPr>
              <w:t>其他要求：</w:t>
            </w:r>
            <w:r>
              <w:t>磋商文件</w:t>
            </w:r>
            <w:r>
              <w:rPr>
                <w:rFonts w:hint="default"/>
              </w:rPr>
              <w:t>以递交</w:t>
            </w:r>
            <w:r>
              <w:t>磋商文件</w:t>
            </w:r>
            <w:r>
              <w:rPr>
                <w:rFonts w:hint="default"/>
              </w:rPr>
              <w:t>截止时间发至指定邮箱的</w:t>
            </w:r>
            <w:r>
              <w:t>磋商文件</w:t>
            </w:r>
            <w:r>
              <w:rPr>
                <w:rFonts w:hint="default"/>
              </w:rPr>
              <w:t>为准，招标人不接受递交</w:t>
            </w:r>
            <w:r>
              <w:t>磋商文件</w:t>
            </w:r>
            <w:r>
              <w:rPr>
                <w:rFonts w:hint="default"/>
              </w:rPr>
              <w:t>截止时间后任何补充文件或修改文件，如未按</w:t>
            </w:r>
            <w:r>
              <w:t>磋商文件</w:t>
            </w:r>
            <w:r>
              <w:rPr>
                <w:rFonts w:hint="default"/>
              </w:rPr>
              <w:t>截止时间要求发至指定邮箱或未发送</w:t>
            </w:r>
            <w:r>
              <w:t>磋商文件</w:t>
            </w:r>
            <w:r>
              <w:rPr>
                <w:rFonts w:hint="default"/>
              </w:rPr>
              <w:t>的，视为其递交的</w:t>
            </w:r>
            <w:r>
              <w:t>磋商文件</w:t>
            </w:r>
            <w:r>
              <w:rPr>
                <w:rFonts w:hint="default"/>
              </w:rPr>
              <w:t>为无效</w:t>
            </w:r>
            <w:r>
              <w:t>磋商文件</w:t>
            </w:r>
            <w:r>
              <w:rPr>
                <w:rFonts w:hint="default"/>
              </w:rPr>
              <w:t>或无</w:t>
            </w:r>
            <w:r>
              <w:t>磋商文件</w:t>
            </w:r>
            <w:r>
              <w:rPr>
                <w:rFonts w:hint="default"/>
              </w:rPr>
              <w:t>，均按无</w:t>
            </w:r>
            <w:r>
              <w:t>磋商文件</w:t>
            </w:r>
            <w:r>
              <w:rPr>
                <w:rFonts w:hint="default"/>
              </w:rPr>
              <w:t>处理。邮件名称与电子版</w:t>
            </w:r>
            <w:r>
              <w:t>磋商文件</w:t>
            </w:r>
            <w:r>
              <w:rPr>
                <w:rFonts w:hint="default"/>
              </w:rPr>
              <w:t>压缩包名称必须为：项目名称+投标单位名称（必须为单位全称）+授权委托人或法定代表人姓名+授权委托人或法定代表人联系电话。</w:t>
            </w:r>
          </w:p>
          <w:p>
            <w:pPr>
              <w:pStyle w:val="28"/>
              <w:jc w:val="both"/>
              <w:rPr>
                <w:rFonts w:hint="default"/>
              </w:rPr>
            </w:pPr>
            <w:r>
              <w:rPr>
                <w:rFonts w:hint="default"/>
                <w:b/>
                <w:bCs/>
              </w:rPr>
              <w:t>注：未按上述要求提供</w:t>
            </w:r>
            <w:r>
              <w:rPr>
                <w:b/>
                <w:bCs/>
              </w:rPr>
              <w:t>磋商文件</w:t>
            </w:r>
            <w:r>
              <w:rPr>
                <w:rFonts w:hint="default"/>
                <w:b/>
                <w:bCs/>
              </w:rPr>
              <w:t>的，其视为未响应招标文件要求</w:t>
            </w:r>
            <w:r>
              <w:rPr>
                <w:rFonts w:hint="default"/>
              </w:rPr>
              <w:t>。</w:t>
            </w:r>
          </w:p>
        </w:tc>
      </w:tr>
    </w:tbl>
    <w:p>
      <w:pPr>
        <w:pStyle w:val="4"/>
      </w:pPr>
      <w:r>
        <w:rPr>
          <w:rFonts w:hint="eastAsia"/>
        </w:rPr>
        <w:br w:type="page"/>
      </w:r>
      <w:bookmarkStart w:id="15" w:name="_Toc29698"/>
      <w:bookmarkStart w:id="16" w:name="_Toc23537"/>
      <w:r>
        <w:rPr>
          <w:rFonts w:hint="eastAsia"/>
        </w:rPr>
        <w:t>二、投标须知</w:t>
      </w:r>
      <w:bookmarkEnd w:id="15"/>
      <w:bookmarkEnd w:id="16"/>
    </w:p>
    <w:p>
      <w:pPr>
        <w:pStyle w:val="5"/>
        <w:ind w:firstLine="3654" w:firstLineChars="1300"/>
      </w:pPr>
      <w:r>
        <w:rPr>
          <w:rFonts w:hint="eastAsia"/>
        </w:rPr>
        <w:t>（一）总则</w:t>
      </w:r>
    </w:p>
    <w:p>
      <w:pPr>
        <w:pStyle w:val="2"/>
        <w:ind w:firstLine="562"/>
      </w:pPr>
      <w:r>
        <w:rPr>
          <w:rFonts w:hint="eastAsia"/>
        </w:rPr>
        <w:t>1. 项目说明</w:t>
      </w:r>
    </w:p>
    <w:p>
      <w:pPr>
        <w:ind w:firstLine="560"/>
      </w:pPr>
      <w:r>
        <w:rPr>
          <w:rFonts w:hint="eastAsia"/>
        </w:rPr>
        <w:t>1.1 本项目的说明详见投标须知前附表（以下简称“前附表”）所述。</w:t>
      </w:r>
    </w:p>
    <w:p>
      <w:pPr>
        <w:ind w:firstLine="560"/>
      </w:pPr>
      <w:r>
        <w:rPr>
          <w:rFonts w:hint="eastAsia"/>
        </w:rPr>
        <w:t>1.2本采购项目已经批准，采购人为察布查尔锡伯自治县自然资源局，现对该项目进行竞争性磋商采购。</w:t>
      </w:r>
    </w:p>
    <w:p>
      <w:pPr>
        <w:ind w:firstLine="560"/>
      </w:pPr>
      <w:r>
        <w:rPr>
          <w:rFonts w:hint="eastAsia"/>
        </w:rPr>
        <w:t>1.3本采购项目投标人的资格审查采取资格后审方式。本次采购不接受联合体投标。</w:t>
      </w:r>
    </w:p>
    <w:p>
      <w:pPr>
        <w:ind w:firstLine="560"/>
      </w:pPr>
      <w:r>
        <w:rPr>
          <w:rFonts w:hint="eastAsia"/>
        </w:rPr>
        <w:t>投标人必须符合投标人须知前附表说明，通过资格后审的投标人为合格的投标人。合格的投标人必须符合磋商文件中对投标人的规定，且具备独立完成所投项目或所投标段的能力，中标后不允许转包、违法分包。</w:t>
      </w:r>
    </w:p>
    <w:p>
      <w:pPr>
        <w:ind w:firstLine="560"/>
      </w:pPr>
      <w:r>
        <w:rPr>
          <w:rFonts w:hint="eastAsia"/>
        </w:rPr>
        <w:t>1.4 资格后审包括下列的内容</w:t>
      </w:r>
    </w:p>
    <w:p>
      <w:pPr>
        <w:ind w:firstLine="560"/>
      </w:pPr>
      <w:r>
        <w:rPr>
          <w:rFonts w:hint="eastAsia"/>
        </w:rPr>
        <w:t>1.4.1 投标人具有独立法人资格并满足“前附表”规定的资格要求 ；</w:t>
      </w:r>
    </w:p>
    <w:p>
      <w:pPr>
        <w:ind w:firstLine="560"/>
      </w:pPr>
      <w:r>
        <w:rPr>
          <w:rFonts w:hint="eastAsia"/>
        </w:rPr>
        <w:t>1.4.2磋商文件有要求投标人法定代表人或其授权代表签字或盖章和加盖投标人公章要求的，投标人须按磋商文件要求签署；</w:t>
      </w:r>
    </w:p>
    <w:p>
      <w:pPr>
        <w:ind w:firstLine="560"/>
      </w:pPr>
      <w:r>
        <w:rPr>
          <w:rFonts w:hint="eastAsia"/>
        </w:rPr>
        <w:t>1.4.3工期符合磋商文件要求；</w:t>
      </w:r>
    </w:p>
    <w:p>
      <w:pPr>
        <w:ind w:firstLine="560"/>
      </w:pPr>
      <w:r>
        <w:rPr>
          <w:rFonts w:hint="eastAsia"/>
        </w:rPr>
        <w:t>1.4.4实施地点符合磋商文件规定；</w:t>
      </w:r>
    </w:p>
    <w:p>
      <w:pPr>
        <w:ind w:firstLine="560"/>
      </w:pPr>
      <w:r>
        <w:rPr>
          <w:rFonts w:hint="eastAsia"/>
        </w:rPr>
        <w:t>1.4.5投标内容、数量、质量、服务等满足磋商文件要求；</w:t>
      </w:r>
    </w:p>
    <w:p>
      <w:pPr>
        <w:ind w:firstLine="560"/>
      </w:pPr>
      <w:r>
        <w:rPr>
          <w:rFonts w:hint="eastAsia"/>
        </w:rPr>
        <w:t>1.4.6投标文件中所提条件均须符合采购人的要求；</w:t>
      </w:r>
    </w:p>
    <w:p>
      <w:pPr>
        <w:ind w:firstLine="560"/>
      </w:pPr>
      <w:r>
        <w:rPr>
          <w:rFonts w:hint="eastAsia"/>
        </w:rPr>
        <w:t>1.4.7符合磋商文件中规定的其他实质性要求；</w:t>
      </w:r>
    </w:p>
    <w:p>
      <w:pPr>
        <w:ind w:firstLine="560"/>
      </w:pPr>
      <w:r>
        <w:rPr>
          <w:rFonts w:hint="eastAsia"/>
        </w:rPr>
        <w:t>1.4.8无法律、法规和规章禁止的其他情况。</w:t>
      </w:r>
    </w:p>
    <w:p>
      <w:pPr>
        <w:pStyle w:val="2"/>
        <w:ind w:firstLine="562"/>
      </w:pPr>
      <w:r>
        <w:rPr>
          <w:rFonts w:hint="eastAsia"/>
        </w:rPr>
        <w:t>2. 采购范围</w:t>
      </w:r>
    </w:p>
    <w:p>
      <w:pPr>
        <w:ind w:firstLine="560"/>
      </w:pPr>
      <w:r>
        <w:rPr>
          <w:rFonts w:hint="eastAsia"/>
        </w:rPr>
        <w:t>2.1本采购项目采购范围已通过“前附表”所述，指本项目磋商文件中范围内所要求的所有工作内容。</w:t>
      </w:r>
    </w:p>
    <w:p>
      <w:pPr>
        <w:pStyle w:val="2"/>
        <w:ind w:firstLine="562"/>
      </w:pPr>
      <w:r>
        <w:rPr>
          <w:rFonts w:hint="eastAsia"/>
        </w:rPr>
        <w:t>3. 适用法律及约束力</w:t>
      </w:r>
    </w:p>
    <w:p>
      <w:pPr>
        <w:ind w:firstLine="560"/>
        <w:rPr>
          <w:b/>
          <w:bCs/>
        </w:rPr>
      </w:pPr>
      <w:r>
        <w:rPr>
          <w:rFonts w:hint="eastAsia"/>
        </w:rPr>
        <w:t>3.1 本次采购及由本次采购产生的合同受中华人民共和国的相关法律、法规制约和保护。</w:t>
      </w:r>
      <w:r>
        <w:rPr>
          <w:rFonts w:hint="eastAsia"/>
          <w:b/>
          <w:bCs/>
        </w:rPr>
        <w:t>投标人一旦购买了磋商文件并参加本项目，即被认为接受了磋商文件中的所有条件和规定。</w:t>
      </w:r>
    </w:p>
    <w:p>
      <w:pPr>
        <w:pStyle w:val="2"/>
        <w:ind w:firstLine="562"/>
      </w:pPr>
      <w:r>
        <w:rPr>
          <w:rFonts w:hint="eastAsia"/>
        </w:rPr>
        <w:t>4. 采购项目实施要求</w:t>
      </w:r>
    </w:p>
    <w:p>
      <w:pPr>
        <w:ind w:firstLine="560"/>
      </w:pPr>
      <w:r>
        <w:rPr>
          <w:rFonts w:hint="eastAsia"/>
        </w:rPr>
        <w:t>4.1服务质量标准已通过“前附表”所述。</w:t>
      </w:r>
    </w:p>
    <w:p>
      <w:pPr>
        <w:ind w:firstLine="560"/>
      </w:pPr>
      <w:r>
        <w:rPr>
          <w:rFonts w:hint="eastAsia"/>
        </w:rPr>
        <w:t>4.2 供应方与采购人签订合同后，按照磋商文件及合同相关的要求编制现场服务计划。</w:t>
      </w:r>
    </w:p>
    <w:p>
      <w:pPr>
        <w:pStyle w:val="2"/>
        <w:ind w:firstLine="562"/>
      </w:pPr>
      <w:r>
        <w:rPr>
          <w:rFonts w:hint="eastAsia"/>
        </w:rPr>
        <w:t>5. 工期及实施地点</w:t>
      </w:r>
    </w:p>
    <w:p>
      <w:pPr>
        <w:ind w:firstLine="560"/>
      </w:pPr>
      <w:r>
        <w:rPr>
          <w:rFonts w:hint="eastAsia"/>
        </w:rPr>
        <w:t>5.1 工期已通过“前附表”所述；实施地点已通过“前附表”所述。</w:t>
      </w:r>
    </w:p>
    <w:p>
      <w:pPr>
        <w:pStyle w:val="2"/>
        <w:ind w:firstLine="562"/>
      </w:pPr>
      <w:r>
        <w:rPr>
          <w:rFonts w:hint="eastAsia"/>
        </w:rPr>
        <w:t>6. 资金来源</w:t>
      </w:r>
    </w:p>
    <w:p>
      <w:pPr>
        <w:ind w:firstLine="560"/>
      </w:pPr>
      <w:r>
        <w:rPr>
          <w:rFonts w:hint="eastAsia"/>
        </w:rPr>
        <w:t>6.1采购单位的资金通过“前附表”所述的方式获得，并将部分资金用于本项目合同下的合格支付。</w:t>
      </w:r>
    </w:p>
    <w:p>
      <w:pPr>
        <w:pStyle w:val="2"/>
        <w:ind w:firstLine="562"/>
      </w:pPr>
      <w:r>
        <w:rPr>
          <w:rFonts w:hint="eastAsia"/>
        </w:rPr>
        <w:t>7. 投标人资格要求</w:t>
      </w:r>
    </w:p>
    <w:p>
      <w:pPr>
        <w:ind w:firstLine="560"/>
      </w:pPr>
      <w:r>
        <w:rPr>
          <w:rFonts w:hint="eastAsia"/>
        </w:rPr>
        <w:t>7.1投标人应当符合磋商文件前附表中规定的下列资格条件要求：</w:t>
      </w:r>
    </w:p>
    <w:p>
      <w:pPr>
        <w:ind w:firstLine="560"/>
      </w:pPr>
      <w:r>
        <w:rPr>
          <w:rFonts w:hint="eastAsia"/>
        </w:rPr>
        <w:t>（1）投标人须具有有效的中华人民共和国企业法人营业执照或事业单位法人证书，具有独立承担民事责任的能力及良好的商业信誉；</w:t>
      </w:r>
    </w:p>
    <w:p>
      <w:pPr>
        <w:ind w:firstLine="560"/>
      </w:pPr>
      <w:r>
        <w:rPr>
          <w:rFonts w:hint="eastAsia"/>
        </w:rPr>
        <w:t>（2）供应商须具备测绘行政主管部门颁发的乙级及以上测绘资质。投标供应商的项目负责人需具有测绘类专业中级职称证书；</w:t>
      </w:r>
    </w:p>
    <w:p>
      <w:pPr>
        <w:ind w:firstLine="560"/>
      </w:pPr>
      <w:r>
        <w:rPr>
          <w:rFonts w:hint="eastAsia"/>
        </w:rPr>
        <w:t>（3）供应商具有健全的财务制度，有依法缴纳税收和社会保障资金的良好纪录；</w:t>
      </w:r>
    </w:p>
    <w:p>
      <w:pPr>
        <w:ind w:firstLine="560"/>
      </w:pPr>
      <w:r>
        <w:rPr>
          <w:rFonts w:hint="eastAsia"/>
        </w:rPr>
        <w:t>（4）供应商不能是被列入“信用中国”网(www.creditchina.gov.cn)失信被执行人、政府采购严重违法失信行为记录名单、重大税收违法失信主体的供应商，不能是被列入“中国政府采购网”网站（www.ccgp.gov.cn）政府采购严重违法失信行为记录名单中仍在处罚期被禁止参加政府采购活动的供应商。</w:t>
      </w:r>
    </w:p>
    <w:p>
      <w:pPr>
        <w:ind w:firstLine="560"/>
      </w:pPr>
      <w:r>
        <w:rPr>
          <w:rFonts w:hint="eastAsia"/>
        </w:rPr>
        <w:t>（5）拒绝下述投标人参加本次采购活动：</w:t>
      </w:r>
    </w:p>
    <w:p>
      <w:pPr>
        <w:ind w:firstLine="560"/>
      </w:pPr>
      <w:r>
        <w:rPr>
          <w:rFonts w:hint="eastAsia"/>
        </w:rPr>
        <w:t>1）与采购人存在利害关系可能影响采购公正性的法人、其他组织或者个人，不得参加投标。</w:t>
      </w:r>
    </w:p>
    <w:p>
      <w:pPr>
        <w:ind w:firstLine="560"/>
      </w:pPr>
      <w:r>
        <w:rPr>
          <w:rFonts w:hint="eastAsia"/>
        </w:rPr>
        <w:t>2）单位负责人为同一人或者存在控股、管理关系的不同单位，不得参加同一标段或者未划分标段的同一采购项目投标，违反前两款规定的，相关投标均无效。</w:t>
      </w:r>
    </w:p>
    <w:p>
      <w:pPr>
        <w:ind w:firstLine="560"/>
      </w:pPr>
      <w:r>
        <w:rPr>
          <w:rFonts w:hint="eastAsia"/>
        </w:rPr>
        <w:t>3）供应商参加政府采购活动前三年内，因违法经营受到刑事处罚或者责令停产停业、吊销许可证或者执照、较大数额罚款等行政处罚。</w:t>
      </w:r>
    </w:p>
    <w:p>
      <w:pPr>
        <w:ind w:firstLine="560"/>
      </w:pPr>
      <w:r>
        <w:rPr>
          <w:rFonts w:hint="eastAsia"/>
        </w:rPr>
        <w:t>4）除单一来源采购外，凡为采购项目提供整体设计、规范编制或者项目管理、监理、检测等服务的供应商，不得再参加本项目的采购活动。</w:t>
      </w:r>
    </w:p>
    <w:p>
      <w:pPr>
        <w:ind w:firstLine="560"/>
      </w:pPr>
      <w:r>
        <w:rPr>
          <w:rFonts w:hint="eastAsia"/>
        </w:rPr>
        <w:t>7.2本项目落实的政府采购政策：</w:t>
      </w:r>
    </w:p>
    <w:p>
      <w:pPr>
        <w:ind w:firstLine="560"/>
      </w:pPr>
      <w:r>
        <w:rPr>
          <w:rFonts w:hint="eastAsia"/>
        </w:rPr>
        <w:t>1）根据财政部、工业和信息化部日前发布《关于印发&lt;政府采购促进中小企业发展管理办法&gt;的通知》(财库〔2020〕46号）文件规定，对于非专门面向中小企业的项目，凡参加此次投标的小型和微型企业提供本企业制造货物、承担的工程或者服务，或者提供其他小型、微型企业制造的货物，其小型、微型产品报价部分给予10%的价格扣除优惠，但必须同时提供如下证明材料，否则不予价格扣除。若同一合同包内的小型、微型企业产品仅是构成报价产品的部件、组件或零件的，则该报价产品不给予价格扣除。①中小企业声明函。 ②若所提供的证明材料相矛盾，评审时将不予价格扣除优惠。</w:t>
      </w:r>
    </w:p>
    <w:p>
      <w:pPr>
        <w:ind w:firstLine="560"/>
      </w:pPr>
      <w:r>
        <w:rPr>
          <w:rFonts w:hint="eastAsia"/>
        </w:rPr>
        <w:t xml:space="preserve">2）根据财政部、司法部印发的《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w:t>
      </w:r>
    </w:p>
    <w:p>
      <w:pPr>
        <w:ind w:firstLine="560"/>
      </w:pPr>
      <w:r>
        <w:rPr>
          <w:rFonts w:hint="eastAsia"/>
        </w:rPr>
        <w:t>3）根据财政部、民政部、中国残疾人联合会印发的《关于促进残疾人就业政府采购政策的通知》（财库〔2017〕141号）文件规定，在政府采购活动中，残疾人福利性单位视同小型、微型企业，享受评审价格扣除的政府采购优惠政策。此次若有残疾人福利性单位参加投标的其报价享受6%的价格扣除，应当提供《关于促进残疾人就业政府采购政策的通知》（财库〔2017〕141号）规定的《残疾人福利性单位声明函》，并对声明的真实性负责。在政府采购活动中，残疾人福利性单位享受《政府采购促进中小企业发展暂行办法》价格扣除的政府采购政策，残疾人福利性单位属于小型、微型企业的，不重复享受政策。</w:t>
      </w:r>
    </w:p>
    <w:p>
      <w:pPr>
        <w:pStyle w:val="2"/>
        <w:ind w:firstLine="562"/>
      </w:pPr>
      <w:r>
        <w:rPr>
          <w:rFonts w:hint="eastAsia"/>
        </w:rPr>
        <w:t>8. 投标费用</w:t>
      </w:r>
    </w:p>
    <w:p>
      <w:pPr>
        <w:ind w:firstLine="560"/>
      </w:pPr>
      <w:r>
        <w:rPr>
          <w:rFonts w:hint="eastAsia"/>
        </w:rPr>
        <w:t>投标人应承担其编制投标文件与递交投标文件所涉及的一切费用，不论投标结果如何，采购人或采购代理机构均无义务和责任承担这些费用。</w:t>
      </w:r>
    </w:p>
    <w:p>
      <w:pPr>
        <w:pStyle w:val="2"/>
        <w:ind w:firstLine="562"/>
      </w:pPr>
      <w:r>
        <w:rPr>
          <w:rFonts w:hint="eastAsia"/>
        </w:rPr>
        <w:t>9. 授权委托</w:t>
      </w:r>
    </w:p>
    <w:p>
      <w:pPr>
        <w:ind w:firstLine="560"/>
      </w:pPr>
      <w:r>
        <w:rPr>
          <w:rFonts w:hint="eastAsia"/>
        </w:rPr>
        <w:t>9.1 投标人开标代表为法定代表人的，须持有法定代表人身份证明书和法定代表人身份证；投标人开标代表不是投标人的法定代表人的，须持有授权委托书和授权代表人的身份证。</w:t>
      </w:r>
    </w:p>
    <w:p>
      <w:pPr>
        <w:pStyle w:val="2"/>
        <w:ind w:firstLine="562"/>
      </w:pPr>
      <w:r>
        <w:rPr>
          <w:rFonts w:hint="eastAsia"/>
        </w:rPr>
        <w:t>10. 联合体投标：本项目不接受联合体投标，不接受备选方案</w:t>
      </w:r>
    </w:p>
    <w:p>
      <w:pPr>
        <w:pStyle w:val="5"/>
        <w:ind w:firstLine="562"/>
      </w:pPr>
      <w:r>
        <w:rPr>
          <w:rFonts w:hint="eastAsia"/>
        </w:rPr>
        <w:t>（二）磋商文件</w:t>
      </w:r>
    </w:p>
    <w:p>
      <w:pPr>
        <w:pStyle w:val="2"/>
        <w:ind w:firstLine="562"/>
      </w:pPr>
      <w:r>
        <w:rPr>
          <w:rFonts w:hint="eastAsia"/>
        </w:rPr>
        <w:t>11. 磋商文件的组成</w:t>
      </w:r>
    </w:p>
    <w:p>
      <w:pPr>
        <w:ind w:firstLine="560"/>
      </w:pPr>
      <w:r>
        <w:rPr>
          <w:rFonts w:hint="eastAsia"/>
        </w:rPr>
        <w:t>11.1 磋商文件包括下列内容</w:t>
      </w:r>
    </w:p>
    <w:p>
      <w:pPr>
        <w:ind w:firstLine="560"/>
      </w:pPr>
      <w:bookmarkStart w:id="17" w:name="_Toc24960"/>
      <w:r>
        <w:rPr>
          <w:rFonts w:hint="eastAsia"/>
        </w:rPr>
        <w:t>第一部分 磋商</w:t>
      </w:r>
      <w:bookmarkEnd w:id="17"/>
      <w:r>
        <w:rPr>
          <w:rFonts w:hint="eastAsia"/>
        </w:rPr>
        <w:t>公告</w:t>
      </w:r>
    </w:p>
    <w:p>
      <w:pPr>
        <w:ind w:firstLine="560"/>
      </w:pPr>
      <w:bookmarkStart w:id="18" w:name="_Toc19805"/>
      <w:r>
        <w:rPr>
          <w:rFonts w:hint="eastAsia"/>
        </w:rPr>
        <w:t>第二部分 投标须知前附表及投标须知</w:t>
      </w:r>
      <w:bookmarkEnd w:id="18"/>
    </w:p>
    <w:p>
      <w:pPr>
        <w:ind w:firstLine="560"/>
      </w:pPr>
      <w:bookmarkStart w:id="19" w:name="_Toc29461"/>
      <w:r>
        <w:rPr>
          <w:rFonts w:hint="eastAsia"/>
        </w:rPr>
        <w:t>第三部分 合同格式（参考）</w:t>
      </w:r>
      <w:bookmarkEnd w:id="19"/>
    </w:p>
    <w:p>
      <w:pPr>
        <w:ind w:firstLine="560"/>
      </w:pPr>
      <w:bookmarkStart w:id="20" w:name="_Toc26928"/>
      <w:r>
        <w:rPr>
          <w:rFonts w:hint="eastAsia"/>
        </w:rPr>
        <w:t>第四部分 采购需求</w:t>
      </w:r>
      <w:bookmarkEnd w:id="20"/>
    </w:p>
    <w:p>
      <w:pPr>
        <w:ind w:firstLine="560"/>
      </w:pPr>
      <w:r>
        <w:rPr>
          <w:rFonts w:hint="eastAsia"/>
        </w:rPr>
        <w:t>第五部分 投标文件格式</w:t>
      </w:r>
    </w:p>
    <w:p>
      <w:pPr>
        <w:ind w:firstLine="560"/>
        <w:rPr>
          <w:lang w:val="zh-CN"/>
        </w:rPr>
      </w:pPr>
      <w:r>
        <w:rPr>
          <w:rFonts w:hint="eastAsia"/>
          <w:lang w:val="zh-CN"/>
        </w:rPr>
        <w:t>11.</w:t>
      </w:r>
      <w:r>
        <w:rPr>
          <w:rFonts w:hint="eastAsia"/>
        </w:rPr>
        <w:t>2</w:t>
      </w:r>
      <w:r>
        <w:rPr>
          <w:rFonts w:hint="eastAsia"/>
          <w:lang w:val="zh-CN"/>
        </w:rPr>
        <w:t xml:space="preserve"> 磋商文件由本文件及由采购人按磋商文件有关规定发出的磋商文件补充构成。</w:t>
      </w:r>
    </w:p>
    <w:p>
      <w:pPr>
        <w:ind w:firstLine="560"/>
        <w:rPr>
          <w:lang w:val="zh-CN"/>
        </w:rPr>
      </w:pPr>
      <w:r>
        <w:rPr>
          <w:rFonts w:hint="eastAsia"/>
          <w:lang w:val="zh-CN"/>
        </w:rPr>
        <w:t>11.</w:t>
      </w:r>
      <w:r>
        <w:rPr>
          <w:rFonts w:hint="eastAsia"/>
        </w:rPr>
        <w:t>3</w:t>
      </w:r>
      <w:r>
        <w:rPr>
          <w:rFonts w:hint="eastAsia"/>
          <w:lang w:val="zh-CN"/>
        </w:rPr>
        <w:t xml:space="preserve"> 磋商文件的澄清、修改、标前答疑会纪要等书面材料在本采购项目中均称磋商文件补充。</w:t>
      </w:r>
    </w:p>
    <w:p>
      <w:pPr>
        <w:ind w:firstLine="560"/>
        <w:rPr>
          <w:lang w:val="zh-CN"/>
        </w:rPr>
      </w:pPr>
      <w:r>
        <w:rPr>
          <w:rFonts w:hint="eastAsia"/>
          <w:lang w:val="zh-CN"/>
        </w:rPr>
        <w:t>11.</w:t>
      </w:r>
      <w:r>
        <w:rPr>
          <w:rFonts w:hint="eastAsia"/>
        </w:rPr>
        <w:t>4</w:t>
      </w:r>
      <w:r>
        <w:rPr>
          <w:rFonts w:hint="eastAsia"/>
          <w:lang w:val="zh-CN"/>
        </w:rPr>
        <w:t xml:space="preserve"> 磋商文件补充作为磋商文件的组成部分，对投标人起同等约束作用。如果磋商文件补充内容与在此磋商文件补充发出之前的磋商文件等书面材料中相关内容相冲突，请投标人执行磋商文件补充的相关内容，先前发出的磋商文件等书面材料中相关内容自动废止。</w:t>
      </w:r>
    </w:p>
    <w:p>
      <w:pPr>
        <w:ind w:firstLine="560"/>
        <w:rPr>
          <w:lang w:val="zh-CN"/>
        </w:rPr>
      </w:pPr>
      <w:r>
        <w:rPr>
          <w:rFonts w:hint="eastAsia"/>
          <w:lang w:val="zh-CN"/>
        </w:rPr>
        <w:t>11.</w:t>
      </w:r>
      <w:r>
        <w:rPr>
          <w:rFonts w:hint="eastAsia"/>
        </w:rPr>
        <w:t>5</w:t>
      </w:r>
      <w:r>
        <w:rPr>
          <w:rFonts w:hint="eastAsia"/>
          <w:lang w:val="zh-CN"/>
        </w:rPr>
        <w:t>投标人应认真审阅和理解磋商文件所有内容，尤其注意可能引起“否决投标”、“拒绝评审”、“无效投标”、“评审不予通过”等的条款，按照磋商文件要求编制投标文件。任何对磋商文件的忽略或误解不能作为投标文件存在缺陷或瑕疵的理由，其风险由投标人承担。</w:t>
      </w:r>
    </w:p>
    <w:p>
      <w:pPr>
        <w:pStyle w:val="2"/>
        <w:ind w:firstLine="562"/>
        <w:rPr>
          <w:lang w:val="zh-CN"/>
        </w:rPr>
      </w:pPr>
      <w:r>
        <w:rPr>
          <w:rFonts w:hint="eastAsia"/>
          <w:lang w:val="zh-CN"/>
        </w:rPr>
        <w:t>12. 磋商文件的获取</w:t>
      </w:r>
    </w:p>
    <w:p>
      <w:pPr>
        <w:ind w:firstLine="560"/>
      </w:pPr>
      <w:r>
        <w:rPr>
          <w:rFonts w:hint="eastAsia"/>
        </w:rPr>
        <w:t>12.1磋商文件的提供期限：</w:t>
      </w:r>
      <w:r>
        <w:rPr>
          <w:rFonts w:hint="eastAsia"/>
          <w:u w:val="single"/>
        </w:rPr>
        <w:t>自开始发出之日起不少于五个工作日。具体提供期限见《磋商公告》</w:t>
      </w:r>
      <w:r>
        <w:rPr>
          <w:rFonts w:hint="eastAsia"/>
        </w:rPr>
        <w:t>。</w:t>
      </w:r>
    </w:p>
    <w:p>
      <w:pPr>
        <w:ind w:firstLine="560"/>
      </w:pPr>
      <w:r>
        <w:rPr>
          <w:rFonts w:hint="eastAsia"/>
        </w:rPr>
        <w:t>12.2凡符合资格要求并有意参加投标的投标人, 须按磋商公告要求提供领取磋商文件所需提交的资料。</w:t>
      </w:r>
    </w:p>
    <w:p>
      <w:pPr>
        <w:pStyle w:val="2"/>
        <w:ind w:firstLine="562"/>
      </w:pPr>
      <w:r>
        <w:rPr>
          <w:rFonts w:hint="eastAsia"/>
        </w:rPr>
        <w:t>13. 磋商文件的澄清或修改</w:t>
      </w:r>
    </w:p>
    <w:p>
      <w:pPr>
        <w:ind w:firstLine="560"/>
      </w:pPr>
      <w:r>
        <w:rPr>
          <w:rFonts w:hint="eastAsia"/>
        </w:rPr>
        <w:t>13.1投标人若对磋商文件有任何疑问，以书面形式并加盖投标人公章方式递送至采购代理机构。</w:t>
      </w:r>
    </w:p>
    <w:p>
      <w:pPr>
        <w:ind w:firstLine="560"/>
      </w:pPr>
      <w:r>
        <w:rPr>
          <w:rFonts w:hint="eastAsia"/>
          <w:lang w:val="zh-CN"/>
        </w:rPr>
        <w:t>13.2</w:t>
      </w:r>
      <w:r>
        <w:rPr>
          <w:rFonts w:hint="eastAsia"/>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投标人；不足5日的，采购人、采购代理机构应当顺延提交首次磋商响应文件截止时间。</w:t>
      </w:r>
    </w:p>
    <w:p>
      <w:pPr>
        <w:ind w:firstLine="560"/>
      </w:pPr>
      <w:r>
        <w:rPr>
          <w:rFonts w:hint="eastAsia"/>
        </w:rPr>
        <w:t>13.3</w:t>
      </w:r>
      <w:r>
        <w:rPr>
          <w:rFonts w:hint="eastAsia"/>
          <w:lang w:val="zh-CN"/>
        </w:rPr>
        <w:t>采购人在磋商文件要求提交投标文件截止时间3日前，有权决定延长投标截止时间和开标时间，并</w:t>
      </w:r>
      <w:r>
        <w:rPr>
          <w:rFonts w:hint="eastAsia"/>
        </w:rPr>
        <w:t>在原采购信息发布媒体上发布变更公告。不足3日的，采购人、采购代理机构应当顺延提交首次磋商响应文件截止时间。</w:t>
      </w:r>
    </w:p>
    <w:p>
      <w:pPr>
        <w:ind w:firstLine="560"/>
      </w:pPr>
      <w:r>
        <w:rPr>
          <w:rFonts w:hint="eastAsia"/>
        </w:rPr>
        <w:t>竞争性磋商文件的澄清或修改将以书面形式通知所有已报名投标人，并对竞标投标人具有约束力。投标人收到澄清或修改文件后，须于1日内回复采购人/代理机构，逾期未回复的视同已收。</w:t>
      </w:r>
    </w:p>
    <w:p>
      <w:pPr>
        <w:ind w:firstLine="560"/>
      </w:pPr>
      <w:r>
        <w:rPr>
          <w:rFonts w:hint="eastAsia"/>
        </w:rPr>
        <w:t>13.4供应商获取竞争性磋商文件后，应仔细检查竞争性磋商文件页数和附件数量，如发现有缺漏，请及时与代理机构联系补全。如果供应商不按上述要求操作而造成不良后果，代理机构不承担责任。在投标截止时间后递交的投标响应文件视为无效投标。</w:t>
      </w:r>
    </w:p>
    <w:p>
      <w:pPr>
        <w:pStyle w:val="2"/>
        <w:ind w:firstLine="562"/>
      </w:pPr>
      <w:r>
        <w:rPr>
          <w:rFonts w:hint="eastAsia"/>
        </w:rPr>
        <w:t>14. 投标报价</w:t>
      </w:r>
    </w:p>
    <w:p>
      <w:pPr>
        <w:ind w:firstLine="560"/>
      </w:pPr>
      <w:r>
        <w:rPr>
          <w:rFonts w:hint="eastAsia"/>
        </w:rPr>
        <w:t>14.1 本采购项目使用的货币为 人民币 ，实施时亦以人民币支付。</w:t>
      </w:r>
    </w:p>
    <w:p>
      <w:pPr>
        <w:ind w:firstLine="560"/>
      </w:pPr>
      <w:r>
        <w:rPr>
          <w:rFonts w:hint="eastAsia"/>
        </w:rPr>
        <w:t>14.2 投标报价为本磋商文件所确定的采购范围内的全部工作内容的价格体现。任何有选择的报价将不予接受（除非采购人另有约定），否则，在评标时将其视为无效投标。</w:t>
      </w:r>
    </w:p>
    <w:p>
      <w:pPr>
        <w:ind w:firstLine="560"/>
      </w:pPr>
      <w:r>
        <w:rPr>
          <w:rFonts w:hint="eastAsia"/>
        </w:rPr>
        <w:t>14.3 投标价格应包括：</w:t>
      </w:r>
    </w:p>
    <w:p>
      <w:pPr>
        <w:ind w:firstLine="560"/>
      </w:pPr>
      <w:r>
        <w:rPr>
          <w:rFonts w:hint="eastAsia"/>
        </w:rPr>
        <w:t>14.3.1投标报价包括投标人为实施提供投标产品（成果）、服务内容所包括的全部含税价格的体现。磋商文件如没有特别说明的话，对每一项货物及服务仅接受一个价格。</w:t>
      </w:r>
    </w:p>
    <w:p>
      <w:pPr>
        <w:ind w:firstLine="560"/>
      </w:pPr>
      <w:r>
        <w:rPr>
          <w:rFonts w:hint="eastAsia"/>
        </w:rPr>
        <w:t>14.3.2投标报价为含税价，报价应包含完成本采购项目发生的所有含税费用、支付给员工的工资和国家强制缴纳的各种社会保障资金、以及投标人认为需要的其他费用等。</w:t>
      </w:r>
    </w:p>
    <w:p>
      <w:pPr>
        <w:ind w:firstLine="560"/>
      </w:pPr>
      <w:r>
        <w:rPr>
          <w:rFonts w:hint="eastAsia"/>
        </w:rPr>
        <w:t>投标人应充分考虑到市场价格变动，以及项目实施过程中的不可预见因素，一旦中标，履约期间价格不变。如果有漏项，视同让利。</w:t>
      </w:r>
    </w:p>
    <w:p>
      <w:pPr>
        <w:ind w:firstLine="560"/>
      </w:pPr>
      <w:r>
        <w:rPr>
          <w:rFonts w:hint="eastAsia"/>
        </w:rPr>
        <w:t>14.3.3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w:t>
      </w:r>
    </w:p>
    <w:p>
      <w:pPr>
        <w:ind w:firstLine="560"/>
      </w:pPr>
      <w:r>
        <w:rPr>
          <w:rFonts w:hint="eastAsia"/>
        </w:rPr>
        <w:t>14.3.4投标人应在《开标一览表》、《投标报价一览表》等标明投标人报价；《明细报价清单》提供明细报价。</w:t>
      </w:r>
    </w:p>
    <w:p>
      <w:pPr>
        <w:ind w:firstLine="560"/>
      </w:pPr>
      <w:r>
        <w:rPr>
          <w:rFonts w:hint="eastAsia"/>
        </w:rPr>
        <w:t>14.4投标文件报价出现前后不一致的，除磋商文件另有规定外，按照下列规定修正：</w:t>
      </w:r>
    </w:p>
    <w:p>
      <w:pPr>
        <w:ind w:firstLine="560"/>
      </w:pPr>
      <w:r>
        <w:rPr>
          <w:rFonts w:hint="eastAsia"/>
        </w:rPr>
        <w:t>（一）投标文件中开标一览表（报价表）内容与投标文件中相应内容不一致的，以开标一览表（报价表）为准；</w:t>
      </w:r>
    </w:p>
    <w:p>
      <w:pPr>
        <w:ind w:firstLine="560"/>
      </w:pPr>
      <w:r>
        <w:rPr>
          <w:rFonts w:hint="eastAsia"/>
        </w:rPr>
        <w:t>（二）大写金额和小写金额不一致的，以大写金额为准；</w:t>
      </w:r>
    </w:p>
    <w:p>
      <w:pPr>
        <w:ind w:firstLine="560"/>
      </w:pPr>
      <w:r>
        <w:rPr>
          <w:rFonts w:hint="eastAsia"/>
        </w:rPr>
        <w:t>（三）单价金额小数点或者百分比有明显错位的，以开标一览表的总价为准，并修改单价；</w:t>
      </w:r>
    </w:p>
    <w:p>
      <w:pPr>
        <w:ind w:firstLine="560"/>
      </w:pPr>
      <w:r>
        <w:rPr>
          <w:rFonts w:hint="eastAsia"/>
        </w:rPr>
        <w:t>（四）总价金额与按单价汇总金额不一致的，以单价金额计算结果为准。</w:t>
      </w:r>
    </w:p>
    <w:p>
      <w:pPr>
        <w:ind w:firstLine="560"/>
      </w:pPr>
      <w:r>
        <w:rPr>
          <w:rFonts w:hint="eastAsia"/>
        </w:rPr>
        <w:t>同时出现两种以上不一致的，按照前款规定的顺序修正。</w:t>
      </w:r>
    </w:p>
    <w:p>
      <w:pPr>
        <w:ind w:firstLine="560"/>
      </w:pPr>
      <w:r>
        <w:rPr>
          <w:rFonts w:hint="eastAsia"/>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pStyle w:val="2"/>
        <w:ind w:firstLine="562"/>
      </w:pPr>
      <w:r>
        <w:rPr>
          <w:rFonts w:hint="eastAsia"/>
        </w:rPr>
        <w:t>15.投标保证金</w:t>
      </w:r>
    </w:p>
    <w:p>
      <w:pPr>
        <w:ind w:firstLine="560"/>
      </w:pPr>
      <w:r>
        <w:rPr>
          <w:rFonts w:hint="eastAsia"/>
        </w:rPr>
        <w:t>15.1投标保证金是为了保护采购人和采购代理机构免遭因投标人的违规、违约行为而引起的风险，采购人/代理机构在受到损害时可根据本须知的有关规定没收投标人的投标保证金。中标人如未能按磋商文件要求与采购人签署项目合同并提交履约保证金，视为投标人违约，则采购人有权提取中标人投标保证金。</w:t>
      </w:r>
    </w:p>
    <w:p>
      <w:pPr>
        <w:ind w:firstLine="560"/>
      </w:pPr>
      <w:r>
        <w:rPr>
          <w:rFonts w:hint="eastAsia"/>
        </w:rPr>
        <w:t>15.2 投标人应提交投标保证金，并作为其投标的一部分。磋商文件前附表规定交纳投标保证金的，投标人应按磋商文件前附表规定的要求提交保证金，投标保证金有效期应与磋商文件规定的投标有效期一致。投标人未按照磋商文件要求提交投标保证金的，投标无效。</w:t>
      </w:r>
    </w:p>
    <w:p>
      <w:pPr>
        <w:ind w:firstLine="560"/>
      </w:pPr>
      <w:r>
        <w:rPr>
          <w:rFonts w:hint="eastAsia"/>
        </w:rPr>
        <w:t>15.3 投标保证金不接受银行保函，具体提交要求见投标须知前附表。凡未按磋商文件要求提交投标保证金的投标，将视为非实质性响应性投标而被拒绝。</w:t>
      </w:r>
    </w:p>
    <w:p>
      <w:pPr>
        <w:ind w:firstLine="560"/>
      </w:pPr>
      <w:r>
        <w:rPr>
          <w:rFonts w:hint="eastAsia"/>
        </w:rPr>
        <w:t>15.4磋商文件接受联合体投标的，可以由联合体中的一方或者共同提交投标保证金。以一方名义提交投标保证金的，对联合体各方均具有约束力。</w:t>
      </w:r>
    </w:p>
    <w:p>
      <w:pPr>
        <w:ind w:firstLine="560"/>
      </w:pPr>
      <w:r>
        <w:rPr>
          <w:rFonts w:hint="eastAsia"/>
        </w:rPr>
        <w:t>15.5 未中标人的投标保证金，将在成交通知书发出5个工作日内退还。因违反规定被没收的投标保证金不予退回。</w:t>
      </w:r>
    </w:p>
    <w:p>
      <w:pPr>
        <w:ind w:firstLine="560"/>
      </w:pPr>
      <w:r>
        <w:rPr>
          <w:rFonts w:hint="eastAsia"/>
        </w:rPr>
        <w:t>15.6 中标（成交）供应商的投标保证金自采购合同签订之日起5个工作日内退还。</w:t>
      </w:r>
    </w:p>
    <w:p>
      <w:pPr>
        <w:ind w:firstLine="562"/>
      </w:pPr>
      <w:r>
        <w:rPr>
          <w:rFonts w:hint="eastAsia"/>
          <w:b/>
          <w:bCs/>
        </w:rPr>
        <w:t>15.7 下列任何情况发生时，投标保证金将可能被没收</w:t>
      </w:r>
      <w:r>
        <w:rPr>
          <w:rFonts w:hint="eastAsia"/>
        </w:rPr>
        <w:t>：</w:t>
      </w:r>
    </w:p>
    <w:p>
      <w:pPr>
        <w:ind w:firstLine="560"/>
      </w:pPr>
      <w:r>
        <w:rPr>
          <w:rFonts w:hint="eastAsia"/>
        </w:rPr>
        <w:t>15.7.1 投标人在投标截止时间后至投标有效期期满前撤回其投标的；</w:t>
      </w:r>
    </w:p>
    <w:p>
      <w:pPr>
        <w:ind w:firstLine="560"/>
      </w:pPr>
      <w:r>
        <w:rPr>
          <w:rFonts w:hint="eastAsia"/>
        </w:rPr>
        <w:t>15.7.2 中标人无正当理由拒绝按磋商文件规定与采购人签订合同或未能在规定期限内签署合同的；</w:t>
      </w:r>
    </w:p>
    <w:p>
      <w:pPr>
        <w:ind w:firstLine="560"/>
      </w:pPr>
      <w:r>
        <w:rPr>
          <w:rFonts w:hint="eastAsia"/>
        </w:rPr>
        <w:t>15.7.3提供虚假证明资料谋取中标（成交）的；</w:t>
      </w:r>
    </w:p>
    <w:p>
      <w:pPr>
        <w:ind w:firstLine="560"/>
      </w:pPr>
      <w:r>
        <w:rPr>
          <w:rFonts w:hint="eastAsia"/>
        </w:rPr>
        <w:t>15.7.4经查实属于围标、串通投标的。</w:t>
      </w:r>
    </w:p>
    <w:p>
      <w:pPr>
        <w:pStyle w:val="2"/>
        <w:ind w:firstLine="562"/>
      </w:pPr>
      <w:r>
        <w:rPr>
          <w:rFonts w:hint="eastAsia"/>
        </w:rPr>
        <w:t>16. 标前答疑会和现场集中踏勘：不组织。</w:t>
      </w:r>
    </w:p>
    <w:p>
      <w:pPr>
        <w:pStyle w:val="2"/>
        <w:ind w:firstLine="562"/>
      </w:pPr>
      <w:r>
        <w:rPr>
          <w:rFonts w:hint="eastAsia"/>
        </w:rPr>
        <w:t>17. 投标有效期</w:t>
      </w:r>
    </w:p>
    <w:p>
      <w:pPr>
        <w:ind w:firstLine="560"/>
      </w:pPr>
      <w:r>
        <w:rPr>
          <w:rFonts w:hint="eastAsia"/>
        </w:rPr>
        <w:t>17.1 投标有效期见本须知前附表所规定的期限，在此期限内，凡符合本磋商文件要求的投标文件均保持有效。</w:t>
      </w:r>
      <w:r>
        <w:rPr>
          <w:rFonts w:hint="eastAsia"/>
          <w:b/>
          <w:bCs/>
        </w:rPr>
        <w:t>投标有效期不足的，在评标时将其视为无效投标。</w:t>
      </w:r>
    </w:p>
    <w:p>
      <w:pPr>
        <w:ind w:firstLine="560"/>
      </w:pPr>
      <w:r>
        <w:rPr>
          <w:rFonts w:hint="eastAsia"/>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pStyle w:val="5"/>
        <w:ind w:firstLine="562"/>
      </w:pPr>
      <w:r>
        <w:rPr>
          <w:rFonts w:hint="eastAsia"/>
        </w:rPr>
        <w:t>（三） 投标文件的编制</w:t>
      </w:r>
    </w:p>
    <w:p>
      <w:pPr>
        <w:pStyle w:val="2"/>
        <w:ind w:firstLine="562"/>
      </w:pPr>
      <w:r>
        <w:rPr>
          <w:rFonts w:hint="eastAsia"/>
        </w:rPr>
        <w:t>18. 投标文件编制要求</w:t>
      </w:r>
    </w:p>
    <w:p>
      <w:pPr>
        <w:ind w:firstLine="560"/>
      </w:pPr>
      <w:r>
        <w:rPr>
          <w:rFonts w:hint="eastAsia"/>
        </w:rPr>
        <w:t>18.1投标人提交的投标文件及投标人与采购代理机构就有关投标的所有来往函电均使用中文。</w:t>
      </w:r>
    </w:p>
    <w:p>
      <w:pPr>
        <w:pStyle w:val="2"/>
        <w:ind w:firstLine="562"/>
      </w:pPr>
      <w:r>
        <w:rPr>
          <w:rFonts w:hint="eastAsia"/>
        </w:rPr>
        <w:t>19. 投标文件编制的依据</w:t>
      </w:r>
    </w:p>
    <w:p>
      <w:pPr>
        <w:ind w:firstLine="560"/>
      </w:pPr>
      <w:r>
        <w:rPr>
          <w:rFonts w:hint="eastAsia"/>
        </w:rPr>
        <w:t>19.1 采购人提供的有关资料；</w:t>
      </w:r>
    </w:p>
    <w:p>
      <w:pPr>
        <w:ind w:firstLine="560"/>
      </w:pPr>
      <w:r>
        <w:rPr>
          <w:rFonts w:hint="eastAsia"/>
        </w:rPr>
        <w:t>19.2 本磋商文件及磋商文件的修改或者澄清；</w:t>
      </w:r>
    </w:p>
    <w:p>
      <w:pPr>
        <w:ind w:firstLine="560"/>
      </w:pPr>
      <w:r>
        <w:rPr>
          <w:rFonts w:hint="eastAsia"/>
        </w:rPr>
        <w:t>19.3 相关的法律、法规和规定。</w:t>
      </w:r>
    </w:p>
    <w:p>
      <w:pPr>
        <w:pStyle w:val="2"/>
        <w:ind w:firstLine="562"/>
      </w:pPr>
      <w:r>
        <w:rPr>
          <w:rFonts w:hint="eastAsia"/>
        </w:rPr>
        <w:t>20. 投标文件的组成</w:t>
      </w:r>
    </w:p>
    <w:p>
      <w:pPr>
        <w:ind w:firstLine="560"/>
      </w:pPr>
      <w:r>
        <w:rPr>
          <w:rFonts w:hint="eastAsia"/>
        </w:rPr>
        <w:t xml:space="preserve">20.1投标文件的组成： </w:t>
      </w:r>
    </w:p>
    <w:p>
      <w:pPr>
        <w:ind w:firstLine="560"/>
      </w:pPr>
      <w:r>
        <w:rPr>
          <w:rFonts w:hint="eastAsia"/>
        </w:rPr>
        <w:t>投标人应当根据磋商文件要求编制响应文件，并根据自己的商务能力、技术水平对磋商文件提出的要求和条件逐条标明是否响应。</w:t>
      </w:r>
    </w:p>
    <w:p>
      <w:pPr>
        <w:ind w:firstLine="560"/>
      </w:pPr>
      <w:r>
        <w:rPr>
          <w:rFonts w:hint="eastAsia"/>
        </w:rPr>
        <w:t>20.2 投标文件主要包括但不限于以下内容：</w:t>
      </w:r>
    </w:p>
    <w:p>
      <w:pPr>
        <w:ind w:firstLine="560"/>
      </w:pPr>
      <w:bookmarkStart w:id="21" w:name="_Hlk519798401"/>
      <w:r>
        <w:rPr>
          <w:rFonts w:hint="eastAsia"/>
        </w:rPr>
        <w:t>投标文件目录</w:t>
      </w:r>
    </w:p>
    <w:p>
      <w:pPr>
        <w:ind w:firstLine="560"/>
      </w:pPr>
      <w:r>
        <w:rPr>
          <w:rFonts w:hint="eastAsia"/>
        </w:rPr>
        <w:t>商务技术部分主要包括但不限于以下内容：</w:t>
      </w:r>
    </w:p>
    <w:p>
      <w:pPr>
        <w:ind w:firstLine="560"/>
      </w:pPr>
      <w:bookmarkStart w:id="22" w:name="_Hlk519798213"/>
      <w:r>
        <w:rPr>
          <w:rFonts w:hint="eastAsia"/>
        </w:rPr>
        <w:t>（1）投标人概况及企业综合实力[包括不限于：营业执照复印件、组织机构代码证复印件、税务登记证复印件（三证合一仅需提供三证合一的营业执照复印件）；依法纳税承诺；投标资格声明；参加政府采购活动前3年内在经营活动中没有重大违法记录的书面声明；“信用中国网站（www.creditchina.gov.cn）、中国</w:t>
      </w:r>
      <w:r>
        <w:fldChar w:fldCharType="begin"/>
      </w:r>
      <w:r>
        <w:instrText xml:space="preserve"> HYPERLINK "http://www.caigou2003.com/" \t "_blank" </w:instrText>
      </w:r>
      <w:r>
        <w:fldChar w:fldCharType="separate"/>
      </w:r>
      <w:r>
        <w:rPr>
          <w:rFonts w:hint="eastAsia"/>
        </w:rPr>
        <w:t>政府采购网</w:t>
      </w:r>
      <w:r>
        <w:rPr>
          <w:rFonts w:hint="eastAsia"/>
        </w:rPr>
        <w:fldChar w:fldCharType="end"/>
      </w:r>
      <w:r>
        <w:rPr>
          <w:rFonts w:hint="eastAsia"/>
        </w:rPr>
        <w:t>（www.ccgp.gov.cn）、中国裁判文书网（wenshu.court.gov.cn）”网站的信用查询截图；采购文件中规定的资质、资格证明文件复印件；采购文件中采购人根据采购项目的特殊要求规定的特定条件证明文件复印件]；</w:t>
      </w:r>
    </w:p>
    <w:p>
      <w:pPr>
        <w:ind w:firstLine="560"/>
      </w:pPr>
      <w:r>
        <w:rPr>
          <w:rFonts w:hint="eastAsia"/>
        </w:rPr>
        <w:t>（2）投标承诺书（一）；</w:t>
      </w:r>
    </w:p>
    <w:p>
      <w:pPr>
        <w:ind w:firstLine="560"/>
      </w:pPr>
      <w:r>
        <w:rPr>
          <w:rFonts w:hint="eastAsia"/>
        </w:rPr>
        <w:t>（3）投标承诺书（二）；</w:t>
      </w:r>
    </w:p>
    <w:p>
      <w:pPr>
        <w:ind w:firstLine="560"/>
      </w:pPr>
      <w:r>
        <w:rPr>
          <w:rFonts w:hint="eastAsia"/>
        </w:rPr>
        <w:t>（4）法定代表人身份证明书（原件）和法定代表人身份证（复印件）或者法定代表人授权委托书（原件）及被授权人身份证（复印件）；</w:t>
      </w:r>
    </w:p>
    <w:p>
      <w:pPr>
        <w:ind w:firstLine="560"/>
      </w:pPr>
      <w:r>
        <w:rPr>
          <w:rFonts w:hint="eastAsia"/>
        </w:rPr>
        <w:t>（5）投标保证金缴纳凭证复印件；</w:t>
      </w:r>
    </w:p>
    <w:p>
      <w:pPr>
        <w:ind w:firstLine="560"/>
      </w:pPr>
      <w:r>
        <w:rPr>
          <w:rFonts w:hint="eastAsia"/>
        </w:rPr>
        <w:t>（6）项目负责人简历表；附项目负责人身份证、职称证或学历证书等有关证明材料复印件；</w:t>
      </w:r>
    </w:p>
    <w:p>
      <w:pPr>
        <w:ind w:firstLine="560"/>
      </w:pPr>
      <w:r>
        <w:rPr>
          <w:rFonts w:hint="eastAsia"/>
        </w:rPr>
        <w:t>（7）拟投入本项目的人员及设备一览表；</w:t>
      </w:r>
    </w:p>
    <w:p>
      <w:pPr>
        <w:ind w:firstLine="560"/>
      </w:pPr>
      <w:r>
        <w:rPr>
          <w:rFonts w:hint="eastAsia"/>
        </w:rPr>
        <w:t>（8）项目服务工作方案（含服务保证方案）；团队人员名单及人员简介；</w:t>
      </w:r>
    </w:p>
    <w:p>
      <w:pPr>
        <w:ind w:firstLine="560"/>
      </w:pPr>
      <w:r>
        <w:rPr>
          <w:rFonts w:hint="eastAsia"/>
        </w:rPr>
        <w:t>（9）质量承诺；进度承诺；服务承诺；优惠条件；</w:t>
      </w:r>
    </w:p>
    <w:p>
      <w:pPr>
        <w:ind w:firstLine="560"/>
      </w:pPr>
      <w:r>
        <w:rPr>
          <w:rFonts w:hint="eastAsia"/>
        </w:rPr>
        <w:t>（10）商务条款偏离表；技术条款偏离表；</w:t>
      </w:r>
    </w:p>
    <w:p>
      <w:pPr>
        <w:ind w:firstLine="560"/>
      </w:pPr>
      <w:r>
        <w:rPr>
          <w:rFonts w:hint="eastAsia"/>
        </w:rPr>
        <w:t>（11）投标人认为有必要提供的其他资格证明文件和商务相关资料；投标人认为有必要提供的其它技术相关资料。</w:t>
      </w:r>
    </w:p>
    <w:bookmarkEnd w:id="22"/>
    <w:p>
      <w:pPr>
        <w:ind w:firstLine="562"/>
      </w:pPr>
      <w:r>
        <w:rPr>
          <w:rFonts w:hint="eastAsia"/>
          <w:b/>
          <w:bCs/>
        </w:rPr>
        <w:t>经济部分主要包括但不限于以下内容：</w:t>
      </w:r>
    </w:p>
    <w:p>
      <w:pPr>
        <w:ind w:firstLine="560"/>
      </w:pPr>
      <w:r>
        <w:rPr>
          <w:rFonts w:hint="eastAsia"/>
        </w:rPr>
        <w:t>（1）投标报价一览表；</w:t>
      </w:r>
    </w:p>
    <w:p>
      <w:pPr>
        <w:ind w:firstLine="560"/>
      </w:pPr>
      <w:r>
        <w:rPr>
          <w:rFonts w:hint="eastAsia"/>
        </w:rPr>
        <w:t>（2）明细报价清单；</w:t>
      </w:r>
    </w:p>
    <w:p>
      <w:pPr>
        <w:ind w:firstLine="560"/>
      </w:pPr>
      <w:r>
        <w:rPr>
          <w:rFonts w:hint="eastAsia"/>
        </w:rPr>
        <w:t>（3）报价需要的其他资料。</w:t>
      </w:r>
    </w:p>
    <w:bookmarkEnd w:id="21"/>
    <w:p>
      <w:pPr>
        <w:pStyle w:val="2"/>
        <w:ind w:firstLine="562"/>
      </w:pPr>
      <w:r>
        <w:rPr>
          <w:rFonts w:hint="eastAsia"/>
        </w:rPr>
        <w:t>21. 投标文件的编制及格式</w:t>
      </w:r>
    </w:p>
    <w:p>
      <w:pPr>
        <w:ind w:firstLine="560"/>
      </w:pPr>
      <w:r>
        <w:rPr>
          <w:rFonts w:hint="eastAsia"/>
        </w:rPr>
        <w:t>21.1 投标文件包括本磋商文件第20条规定的内容，投标人提供的投标文件应当使用磋商文件所提供投标文件格式（表格可按照同样格式扩展），并保证所提供的资料的真实性。未提供格式的，投标人可自行编制。</w:t>
      </w:r>
    </w:p>
    <w:p>
      <w:pPr>
        <w:ind w:firstLine="560"/>
      </w:pPr>
      <w:r>
        <w:rPr>
          <w:rFonts w:hint="eastAsia"/>
        </w:rPr>
        <w:t>21.2 磋商文件要求提供的所有证书、合同、获奖表彰文件等采购要求的证明资料，均使用复印件，特别说明为原件的除外。本磋商文件规定的投标文件编制中所需提交的证明材料复印件须加盖投标人公章, 否则视为非实质响应磋商文件。</w:t>
      </w:r>
    </w:p>
    <w:p>
      <w:pPr>
        <w:ind w:firstLine="560"/>
      </w:pPr>
      <w:r>
        <w:rPr>
          <w:rFonts w:hint="eastAsia"/>
        </w:rPr>
        <w:t>21.3 投标文件严禁涂改或行间插字和增删。除非这些修改是根据采购人的指示进行的，或者是投标人造成的必须修改的错误，必要的修改处必须有投标人法人代表或其授权代表人签字。</w:t>
      </w:r>
    </w:p>
    <w:p>
      <w:pPr>
        <w:ind w:firstLine="560"/>
      </w:pPr>
      <w:r>
        <w:rPr>
          <w:rFonts w:hint="eastAsia"/>
        </w:rPr>
        <w:t>21.4 磋商文件中分标段的，</w:t>
      </w:r>
      <w:r>
        <w:rPr>
          <w:rFonts w:hint="eastAsia"/>
          <w:lang w:val="zh-CN"/>
        </w:rPr>
        <w:t>投标人须针对本单位所投标段分别编制投标文件并单独提交。</w:t>
      </w:r>
      <w:r>
        <w:rPr>
          <w:rFonts w:hint="eastAsia"/>
        </w:rPr>
        <w:t>投标人应当按照磋商文件的要求编制投标文件。投标文件应当对磋商文件提出的要求和条件作出明确响应。</w:t>
      </w:r>
    </w:p>
    <w:p>
      <w:pPr>
        <w:pStyle w:val="2"/>
        <w:ind w:firstLine="562"/>
      </w:pPr>
      <w:r>
        <w:rPr>
          <w:rFonts w:hint="eastAsia"/>
        </w:rPr>
        <w:t>22. 投标文件的份数和签署</w:t>
      </w:r>
    </w:p>
    <w:p>
      <w:pPr>
        <w:ind w:firstLine="560"/>
      </w:pPr>
      <w:r>
        <w:rPr>
          <w:rFonts w:hint="eastAsia"/>
        </w:rPr>
        <w:t>22.1 投标人应当按照本须知前附表规定的份数提交投标文件。否则视为非实质响应磋商文件的投标。</w:t>
      </w:r>
    </w:p>
    <w:p>
      <w:pPr>
        <w:ind w:firstLine="560"/>
      </w:pPr>
      <w:r>
        <w:rPr>
          <w:rFonts w:hint="eastAsia"/>
        </w:rPr>
        <w:t>22.2 投标文件均须印刷体打印。</w:t>
      </w:r>
    </w:p>
    <w:p>
      <w:pPr>
        <w:ind w:firstLine="560"/>
      </w:pPr>
      <w:r>
        <w:rPr>
          <w:rFonts w:hint="eastAsia"/>
        </w:rPr>
        <w:t>22.3 投标文件签署要求均应符合采购要求。投标文件未按照上述规定编制，初步评审将不予已通过。</w:t>
      </w:r>
    </w:p>
    <w:p>
      <w:pPr>
        <w:ind w:firstLine="560"/>
      </w:pPr>
      <w:r>
        <w:rPr>
          <w:rFonts w:hint="eastAsia"/>
        </w:rPr>
        <w:t>22.4 发生下列情况之一者，应在资格性、符合性检查时按照无效投标处理：</w:t>
      </w:r>
    </w:p>
    <w:p>
      <w:pPr>
        <w:ind w:firstLine="560"/>
      </w:pPr>
      <w:r>
        <w:rPr>
          <w:rFonts w:hint="eastAsia"/>
        </w:rPr>
        <w:t>（1）应缴未缴投标保证金或金额不足、投标保证金缴纳形式不符合磋商文件要求的；</w:t>
      </w:r>
    </w:p>
    <w:p>
      <w:pPr>
        <w:ind w:firstLine="560"/>
      </w:pPr>
      <w:r>
        <w:rPr>
          <w:rFonts w:hint="eastAsia"/>
        </w:rPr>
        <w:t>（2）未按照磋商文件规定要求密封、签署、盖章、提交投标文件的；</w:t>
      </w:r>
    </w:p>
    <w:p>
      <w:pPr>
        <w:ind w:firstLine="560"/>
      </w:pPr>
      <w:r>
        <w:rPr>
          <w:rFonts w:hint="eastAsia"/>
        </w:rPr>
        <w:t>（3）联合体未提交联合协议，或未提交联合体各方资格证明文件（如接受联合体的）；</w:t>
      </w:r>
    </w:p>
    <w:p>
      <w:pPr>
        <w:ind w:firstLine="560"/>
      </w:pPr>
      <w:r>
        <w:rPr>
          <w:rFonts w:hint="eastAsia"/>
        </w:rPr>
        <w:t xml:space="preserve">（4）参加政府采购活动前三年内，在经营活动中有重大违法记录的； </w:t>
      </w:r>
    </w:p>
    <w:p>
      <w:pPr>
        <w:ind w:firstLine="560"/>
      </w:pPr>
      <w:r>
        <w:rPr>
          <w:rFonts w:hint="eastAsia"/>
        </w:rPr>
        <w:t>（5）不具备磋商文件规定资格要求的；</w:t>
      </w:r>
    </w:p>
    <w:p>
      <w:pPr>
        <w:ind w:firstLine="560"/>
      </w:pPr>
      <w:r>
        <w:rPr>
          <w:rFonts w:hint="eastAsia"/>
        </w:rPr>
        <w:t>（6）不满足“投标须知”规定的实质性要求的；</w:t>
      </w:r>
    </w:p>
    <w:p>
      <w:pPr>
        <w:ind w:firstLine="560"/>
      </w:pPr>
      <w:r>
        <w:rPr>
          <w:rFonts w:hint="eastAsia"/>
        </w:rPr>
        <w:t>（7）投标报价超过采购项目预算或最高限价的；</w:t>
      </w:r>
    </w:p>
    <w:p>
      <w:pPr>
        <w:ind w:firstLine="560"/>
      </w:pPr>
      <w:r>
        <w:rPr>
          <w:rFonts w:hint="eastAsia"/>
        </w:rPr>
        <w:t>（8）同一投标人提交两个以上不同的投标文件或者投标报价的（磋商文件要求允许提交备选方案的除外）；</w:t>
      </w:r>
    </w:p>
    <w:p>
      <w:pPr>
        <w:ind w:firstLine="560"/>
      </w:pPr>
      <w:r>
        <w:rPr>
          <w:rFonts w:hint="eastAsia"/>
        </w:rPr>
        <w:t>（9）投标文件载明的投标范围小于磋商文件规定的采购范围的(缺漏磋商文件所要求的内容)；</w:t>
      </w:r>
    </w:p>
    <w:p>
      <w:pPr>
        <w:ind w:firstLine="560"/>
      </w:pPr>
      <w:r>
        <w:rPr>
          <w:rFonts w:hint="eastAsia"/>
        </w:rPr>
        <w:t>（10）投标有效期不足的；</w:t>
      </w:r>
    </w:p>
    <w:p>
      <w:pPr>
        <w:ind w:firstLine="560"/>
      </w:pPr>
      <w:r>
        <w:rPr>
          <w:rFonts w:hint="eastAsia"/>
        </w:rPr>
        <w:t>（11）投标文件含有采购人不能接受的附加条件的；</w:t>
      </w:r>
    </w:p>
    <w:p>
      <w:pPr>
        <w:ind w:firstLine="560"/>
      </w:pPr>
      <w:r>
        <w:rPr>
          <w:rFonts w:hint="eastAsia"/>
        </w:rPr>
        <w:t>（12）不符合法律、法规和磋商文件规定的其他无效情形。</w:t>
      </w:r>
    </w:p>
    <w:p>
      <w:pPr>
        <w:pStyle w:val="5"/>
        <w:ind w:firstLine="562"/>
      </w:pPr>
      <w:r>
        <w:rPr>
          <w:rFonts w:hint="eastAsia"/>
        </w:rPr>
        <w:t>（四） 投标文件的递交</w:t>
      </w:r>
    </w:p>
    <w:p>
      <w:pPr>
        <w:pStyle w:val="2"/>
        <w:ind w:firstLine="562"/>
      </w:pPr>
      <w:r>
        <w:rPr>
          <w:rFonts w:hint="eastAsia"/>
        </w:rPr>
        <w:t>23. 投标文件的封装与标记</w:t>
      </w:r>
    </w:p>
    <w:p>
      <w:pPr>
        <w:ind w:firstLine="560"/>
      </w:pPr>
      <w:r>
        <w:rPr>
          <w:rFonts w:hint="eastAsia"/>
        </w:rPr>
        <w:t>23.1</w:t>
      </w:r>
      <w:r>
        <w:rPr>
          <w:rFonts w:hint="eastAsia"/>
          <w:b/>
          <w:bCs/>
        </w:rPr>
        <w:t>纸质版投标文件：</w:t>
      </w:r>
      <w:r>
        <w:rPr>
          <w:rFonts w:hint="eastAsia"/>
        </w:rPr>
        <w:t>封面须注明“项目名称、项目编号、投标人、地址、邮政编码、联系人及联系电话、编制时间”，投标文件封面右上角须标明“正本”、“副本”字样，同时加盖投标人法人公章、法定代表人印章。“正本”、“副本”如有不一致时，以“正本”为准。投标文件正本1份与副本3份须分开密封装订，在外封套表面加贴封条，注明“纸质版投标文件”、“正本”、“副本”字样、标注“ 年月日时分（开标时间）开标前不得开启”，并在启封处加盖公章、法定代表人印章，并应确保密封完好。</w:t>
      </w:r>
    </w:p>
    <w:p>
      <w:pPr>
        <w:ind w:firstLine="560"/>
      </w:pPr>
      <w:r>
        <w:rPr>
          <w:rFonts w:hint="eastAsia"/>
        </w:rPr>
        <w:t>23.2</w:t>
      </w:r>
      <w:r>
        <w:rPr>
          <w:rFonts w:hint="eastAsia"/>
          <w:b/>
          <w:bCs/>
        </w:rPr>
        <w:t>开标一览表1份</w:t>
      </w:r>
      <w:r>
        <w:rPr>
          <w:rFonts w:hint="eastAsia"/>
        </w:rPr>
        <w:t>。须单独密封、标示后提交，并在外封套表面加贴封条：注明“开标一览表”、“项目名称、项目编号、投标人、授权代理人、联系电话”、标注“ 年月日时分（开标时间）开标前不得开启”，并在启封处加盖公章、法定代表人印章，并应确保密封完好。</w:t>
      </w:r>
    </w:p>
    <w:p>
      <w:pPr>
        <w:ind w:firstLine="560"/>
      </w:pPr>
      <w:r>
        <w:rPr>
          <w:rFonts w:hint="eastAsia"/>
        </w:rPr>
        <w:t>23.3</w:t>
      </w:r>
      <w:r>
        <w:rPr>
          <w:rFonts w:hint="eastAsia"/>
          <w:b/>
          <w:bCs/>
        </w:rPr>
        <w:t>投标人须按投标文件编制目录顺序合并装订、标识、密封后提交（如内容多可分册装订，标明投标文件第xx分册）</w:t>
      </w:r>
      <w:r>
        <w:rPr>
          <w:rFonts w:hint="eastAsia"/>
        </w:rPr>
        <w:t>。</w:t>
      </w:r>
    </w:p>
    <w:p>
      <w:pPr>
        <w:ind w:firstLine="560"/>
      </w:pPr>
      <w:r>
        <w:rPr>
          <w:rFonts w:hint="eastAsia"/>
        </w:rPr>
        <w:t>23.4为方便评委查看，投标人投标文件须编制目录、页码。</w:t>
      </w:r>
    </w:p>
    <w:p>
      <w:pPr>
        <w:ind w:firstLine="560"/>
      </w:pPr>
      <w:r>
        <w:rPr>
          <w:rFonts w:hint="eastAsia"/>
        </w:rPr>
        <w:t>23.5未按照采购文件关于投标文件编制规定格式、内容和密封、签署、盖章、标识及提交要求的投标文件将被拒绝，并退还给投标人。</w:t>
      </w:r>
    </w:p>
    <w:p>
      <w:pPr>
        <w:pStyle w:val="2"/>
        <w:ind w:firstLine="562"/>
      </w:pPr>
      <w:r>
        <w:rPr>
          <w:rFonts w:hint="eastAsia"/>
        </w:rPr>
        <w:t>24. 投标文件的提交</w:t>
      </w:r>
    </w:p>
    <w:p>
      <w:pPr>
        <w:ind w:firstLine="560"/>
      </w:pPr>
      <w:r>
        <w:rPr>
          <w:rFonts w:hint="eastAsia"/>
        </w:rPr>
        <w:t>投标人应当按照本投标须知前附表所规定的地点，于投标截止时间前提交投标文件。</w:t>
      </w:r>
    </w:p>
    <w:p>
      <w:pPr>
        <w:pStyle w:val="2"/>
        <w:ind w:firstLine="562"/>
      </w:pPr>
      <w:r>
        <w:rPr>
          <w:rFonts w:hint="eastAsia"/>
        </w:rPr>
        <w:t>25. 投标文件提交的截止时间</w:t>
      </w:r>
    </w:p>
    <w:p>
      <w:pPr>
        <w:ind w:firstLine="560"/>
      </w:pPr>
      <w:r>
        <w:rPr>
          <w:rFonts w:hint="eastAsia"/>
        </w:rPr>
        <w:t>25.1 投标文件提交的截止时间详见本投标须知前附表规定。</w:t>
      </w:r>
    </w:p>
    <w:p>
      <w:pPr>
        <w:ind w:firstLine="560"/>
      </w:pPr>
      <w:r>
        <w:rPr>
          <w:rFonts w:hint="eastAsia"/>
        </w:rPr>
        <w:t>25.2 采购人可按本磋商文件第13条规定以修改补充通知的方式，酌情延长提交投标书的截止时间。在上述情况下，采购人与投标人在原投标截止时间前的全部权力和义务，将适用于延长后新的投标截止时间。</w:t>
      </w:r>
    </w:p>
    <w:p>
      <w:pPr>
        <w:ind w:firstLine="560"/>
      </w:pPr>
      <w:r>
        <w:rPr>
          <w:rFonts w:hint="eastAsia"/>
        </w:rPr>
        <w:t>25.3 至投标文件递交截止时间，采购人收到的投标文件少于3个的，采购人将依法重新组织采购。评标过程中有效投标人少于3个的，参照执行。</w:t>
      </w:r>
    </w:p>
    <w:p>
      <w:pPr>
        <w:pStyle w:val="2"/>
        <w:ind w:firstLine="562"/>
      </w:pPr>
      <w:r>
        <w:rPr>
          <w:rFonts w:hint="eastAsia"/>
        </w:rPr>
        <w:t>26. 迟交的投标文件</w:t>
      </w:r>
    </w:p>
    <w:p>
      <w:pPr>
        <w:ind w:firstLine="560"/>
      </w:pPr>
      <w:r>
        <w:rPr>
          <w:rFonts w:hint="eastAsia"/>
        </w:rPr>
        <w:t>投标人在本投标须知前附表规定的投标截止时间以后送达的投标文件将被拒绝并退回投标人。</w:t>
      </w:r>
    </w:p>
    <w:p>
      <w:pPr>
        <w:pStyle w:val="2"/>
        <w:ind w:firstLine="562"/>
      </w:pPr>
      <w:r>
        <w:rPr>
          <w:rFonts w:hint="eastAsia"/>
        </w:rPr>
        <w:t>27. 投标文件的补充、修改与撤回</w:t>
      </w:r>
    </w:p>
    <w:p>
      <w:pPr>
        <w:ind w:firstLine="560"/>
      </w:pPr>
      <w:r>
        <w:rPr>
          <w:rFonts w:hint="eastAsia"/>
        </w:rPr>
        <w:t>27.1 投标人可以在投标须知前附表规定的投标截止时间之前，可以以书面形式补充、修改或撤回已提交的投标文件。</w:t>
      </w:r>
    </w:p>
    <w:p>
      <w:pPr>
        <w:ind w:firstLine="560"/>
      </w:pPr>
      <w:r>
        <w:rPr>
          <w:rFonts w:hint="eastAsia"/>
        </w:rPr>
        <w:t>27.2 投标人对投标文件的补充、修改或撤回，应按本磋商文件第 23 条的规定编制、密封、标识和提交，并在内层和外层封套上清楚标明“补充”、“修改”或“撤回”字样。</w:t>
      </w:r>
    </w:p>
    <w:p>
      <w:pPr>
        <w:ind w:firstLine="560"/>
      </w:pPr>
      <w:r>
        <w:rPr>
          <w:rFonts w:hint="eastAsia"/>
        </w:rPr>
        <w:t>27.3 在投标截止时间之后，投标人不得补充、修改投标文件。</w:t>
      </w:r>
    </w:p>
    <w:p>
      <w:pPr>
        <w:pStyle w:val="5"/>
        <w:ind w:firstLine="562"/>
      </w:pPr>
      <w:r>
        <w:rPr>
          <w:rFonts w:hint="eastAsia"/>
        </w:rPr>
        <w:t>（五） 开标</w:t>
      </w:r>
    </w:p>
    <w:p>
      <w:pPr>
        <w:pStyle w:val="2"/>
        <w:ind w:firstLine="562"/>
      </w:pPr>
      <w:r>
        <w:rPr>
          <w:rFonts w:hint="eastAsia"/>
        </w:rPr>
        <w:t>28. 开标</w:t>
      </w:r>
    </w:p>
    <w:p>
      <w:pPr>
        <w:ind w:firstLine="560"/>
      </w:pPr>
      <w:r>
        <w:rPr>
          <w:rFonts w:hint="eastAsia"/>
        </w:rPr>
        <w:t>28.1 磋商会议将于投标须知前附表规定的时间和地点召开，邀请投标人参加。磋商小组成员不得参加开标活动。投标人须委派开标代表参加开标。与会的投标人代表应在投标文件递交登记表上签字确认其投标响应文件已递交。在开标前不得开启投标响应文件。</w:t>
      </w:r>
    </w:p>
    <w:p>
      <w:pPr>
        <w:ind w:firstLine="560"/>
      </w:pPr>
      <w:r>
        <w:rPr>
          <w:rFonts w:hint="eastAsia"/>
        </w:rPr>
        <w:t>28.2 开标程序</w:t>
      </w:r>
    </w:p>
    <w:p>
      <w:pPr>
        <w:ind w:firstLine="560"/>
      </w:pPr>
      <w:r>
        <w:rPr>
          <w:rFonts w:hint="eastAsia"/>
        </w:rPr>
        <w:t>28.2.1投标人不足3家的，不得开标。</w:t>
      </w:r>
    </w:p>
    <w:p>
      <w:pPr>
        <w:ind w:firstLine="560"/>
      </w:pPr>
      <w:r>
        <w:rPr>
          <w:rFonts w:hint="eastAsia"/>
        </w:rPr>
        <w:t>28.2.2 开标由采购人或采购代理机构主持；</w:t>
      </w:r>
    </w:p>
    <w:p>
      <w:pPr>
        <w:ind w:firstLine="560"/>
      </w:pPr>
      <w:r>
        <w:rPr>
          <w:rFonts w:hint="eastAsia"/>
        </w:rPr>
        <w:t>28.2.3 宣读开标纪律，介绍采购人监督人；</w:t>
      </w:r>
    </w:p>
    <w:p>
      <w:pPr>
        <w:ind w:firstLine="560"/>
      </w:pPr>
      <w:r>
        <w:rPr>
          <w:rFonts w:hint="eastAsia"/>
        </w:rPr>
        <w:t>28.2.4 由证件齐全、满足要求的投标人或其推选的代表检查各投标人投标文件的送达时间、封装、标识、密封等情况；</w:t>
      </w:r>
    </w:p>
    <w:p>
      <w:pPr>
        <w:ind w:firstLine="560"/>
      </w:pPr>
      <w:r>
        <w:rPr>
          <w:rFonts w:hint="eastAsia"/>
        </w:rPr>
        <w:t>28.2.5 采购人对投标人的有效证件进行资格查验；合格投标人不足3家的，不得评标；</w:t>
      </w:r>
    </w:p>
    <w:p>
      <w:pPr>
        <w:ind w:firstLine="560"/>
      </w:pPr>
      <w:r>
        <w:rPr>
          <w:rFonts w:hint="eastAsia"/>
        </w:rPr>
        <w:t>28.2.6 经审查确认无误后，由采购人或采购代理机构工作人员当众拆启投标文件，宣读开标一览表中投标人的名称及工期（或服务期）、质量目标、投标总报价等磋商文件规定的需要宣布的其他内容。</w:t>
      </w:r>
    </w:p>
    <w:p>
      <w:pPr>
        <w:ind w:firstLine="560"/>
      </w:pPr>
      <w:r>
        <w:rPr>
          <w:rFonts w:hint="eastAsia"/>
        </w:rPr>
        <w:t>28.2.7 按本文件第 25 条已提交了可接受的撤回通知的投标文件及无效投标文件将不予开封。</w:t>
      </w:r>
    </w:p>
    <w:p>
      <w:pPr>
        <w:ind w:firstLine="560"/>
      </w:pPr>
      <w:r>
        <w:rPr>
          <w:rFonts w:hint="eastAsia"/>
        </w:rPr>
        <w:t>28.2.8 投标人代表对开标过程和开标记录有疑义，以及认为采购人、采购代理机构相关工作人员有需要回避的情形的，应当场提出询问或者回避申请。投标人未参加开标的，视同认可开标结果。</w:t>
      </w:r>
    </w:p>
    <w:p>
      <w:pPr>
        <w:ind w:firstLine="560"/>
      </w:pPr>
      <w:r>
        <w:rPr>
          <w:rFonts w:hint="eastAsia"/>
        </w:rPr>
        <w:t>28.3采购人或采购代理机构应对开标过程进行记录，由参加开标的各投标人代表和相关工作人员签字确认后随磋商文件一并存档。</w:t>
      </w:r>
    </w:p>
    <w:p>
      <w:pPr>
        <w:pStyle w:val="2"/>
        <w:ind w:firstLine="562"/>
      </w:pPr>
      <w:r>
        <w:rPr>
          <w:rFonts w:hint="eastAsia"/>
        </w:rPr>
        <w:t>29. 资格查验</w:t>
      </w:r>
    </w:p>
    <w:p>
      <w:pPr>
        <w:ind w:firstLine="560"/>
        <w:rPr>
          <w:b/>
          <w:bCs/>
        </w:rPr>
      </w:pPr>
      <w:r>
        <w:rPr>
          <w:rFonts w:hint="eastAsia"/>
        </w:rPr>
        <w:t xml:space="preserve">29.1 </w:t>
      </w:r>
      <w:r>
        <w:rPr>
          <w:rFonts w:hint="eastAsia"/>
          <w:b/>
          <w:bCs/>
        </w:rPr>
        <w:t>开标时，投标委派的开标代表携带身份证原件并按如下要求提供有效证明材料进行资格审查：</w:t>
      </w:r>
    </w:p>
    <w:p>
      <w:pPr>
        <w:ind w:firstLine="562"/>
        <w:rPr>
          <w:b/>
          <w:bCs/>
        </w:rPr>
      </w:pPr>
      <w:r>
        <w:rPr>
          <w:rFonts w:hint="eastAsia"/>
          <w:b/>
          <w:bCs/>
        </w:rPr>
        <w:t>资格查验资料：</w:t>
      </w:r>
    </w:p>
    <w:p>
      <w:pPr>
        <w:ind w:firstLine="562"/>
        <w:rPr>
          <w:b/>
          <w:bCs/>
        </w:rPr>
      </w:pPr>
      <w:r>
        <w:rPr>
          <w:rFonts w:hint="eastAsia"/>
          <w:b/>
          <w:bCs/>
        </w:rPr>
        <w:t>（1）营业执照原件；</w:t>
      </w:r>
    </w:p>
    <w:p>
      <w:pPr>
        <w:ind w:firstLine="562"/>
        <w:rPr>
          <w:b/>
          <w:bCs/>
        </w:rPr>
      </w:pPr>
      <w:r>
        <w:rPr>
          <w:rFonts w:hint="eastAsia"/>
          <w:b/>
          <w:bCs/>
        </w:rPr>
        <w:t>（2）资质证书原件；</w:t>
      </w:r>
    </w:p>
    <w:p>
      <w:pPr>
        <w:ind w:firstLine="562"/>
        <w:rPr>
          <w:b/>
          <w:bCs/>
        </w:rPr>
      </w:pPr>
      <w:r>
        <w:rPr>
          <w:rFonts w:hint="eastAsia"/>
          <w:b/>
          <w:bCs/>
        </w:rPr>
        <w:t>（3）项目负责人职称证书；</w:t>
      </w:r>
    </w:p>
    <w:p>
      <w:pPr>
        <w:ind w:firstLine="562"/>
        <w:rPr>
          <w:b/>
          <w:bCs/>
        </w:rPr>
      </w:pPr>
      <w:r>
        <w:rPr>
          <w:rFonts w:hint="eastAsia"/>
          <w:b/>
          <w:bCs/>
        </w:rPr>
        <w:t>（4）开标一览表；</w:t>
      </w:r>
    </w:p>
    <w:p>
      <w:pPr>
        <w:ind w:firstLine="562"/>
        <w:rPr>
          <w:b/>
          <w:bCs/>
        </w:rPr>
      </w:pPr>
      <w:r>
        <w:rPr>
          <w:rFonts w:hint="eastAsia"/>
          <w:b/>
          <w:bCs/>
        </w:rPr>
        <w:t>（5）法定代表人身份证明书原件并附法定代表人身份证复印件（如委托授权代表的，仅需提供法定代表人授权委托书原件并附代理人身份证复印件）；</w:t>
      </w:r>
    </w:p>
    <w:p>
      <w:pPr>
        <w:ind w:firstLine="562"/>
        <w:rPr>
          <w:b/>
          <w:bCs/>
        </w:rPr>
      </w:pPr>
      <w:r>
        <w:rPr>
          <w:rFonts w:hint="eastAsia"/>
          <w:b/>
          <w:bCs/>
        </w:rPr>
        <w:t>（6）提供符合采购文件要求的“信用中国、中国政府采购网、”网站的信用查询截图加盖单位公章；</w:t>
      </w:r>
    </w:p>
    <w:p>
      <w:pPr>
        <w:ind w:firstLine="562"/>
        <w:rPr>
          <w:b/>
          <w:bCs/>
          <w:lang w:val="zh-CN"/>
        </w:rPr>
      </w:pPr>
      <w:r>
        <w:rPr>
          <w:rFonts w:hint="eastAsia"/>
          <w:b/>
          <w:bCs/>
        </w:rPr>
        <w:t>（7）投标保证金缴款证明原件；</w:t>
      </w:r>
    </w:p>
    <w:p>
      <w:pPr>
        <w:ind w:firstLine="562"/>
      </w:pPr>
      <w:r>
        <w:rPr>
          <w:rFonts w:hint="eastAsia"/>
          <w:b/>
          <w:bCs/>
        </w:rPr>
        <w:t>29.2 开标现场提供资格查验资料齐全、满足磋商文件的封装、标识、签章等各项要求的投标人为合格有效投标人。</w:t>
      </w:r>
    </w:p>
    <w:p>
      <w:pPr>
        <w:pStyle w:val="5"/>
        <w:ind w:firstLine="562"/>
      </w:pPr>
      <w:r>
        <w:rPr>
          <w:rFonts w:hint="eastAsia"/>
        </w:rPr>
        <w:t>（六） 评标</w:t>
      </w:r>
    </w:p>
    <w:p>
      <w:pPr>
        <w:pStyle w:val="2"/>
        <w:ind w:firstLine="562"/>
      </w:pPr>
      <w:r>
        <w:rPr>
          <w:rFonts w:hint="eastAsia"/>
        </w:rPr>
        <w:t>30. 磋商小组与评标</w:t>
      </w:r>
    </w:p>
    <w:p>
      <w:pPr>
        <w:ind w:firstLine="560"/>
      </w:pPr>
      <w:r>
        <w:rPr>
          <w:rFonts w:hint="eastAsia"/>
        </w:rPr>
        <w:t>30.1 评标工作由采购人依法组建的磋商小组负责。磋商小组的名单在评标结果公告前应当保密。</w:t>
      </w:r>
    </w:p>
    <w:p>
      <w:pPr>
        <w:ind w:firstLine="560"/>
      </w:pPr>
      <w:r>
        <w:rPr>
          <w:rFonts w:hint="eastAsia"/>
        </w:rPr>
        <w:t>30.2 本项目磋商小组由5人组成，其中：评审专家不少于2/3。</w:t>
      </w:r>
    </w:p>
    <w:p>
      <w:pPr>
        <w:ind w:firstLine="560"/>
      </w:pPr>
      <w:r>
        <w:rPr>
          <w:rFonts w:hint="eastAsia"/>
        </w:rPr>
        <w:t>30.3 开标结束后，开始评标，评标采用保密方式进行。</w:t>
      </w:r>
    </w:p>
    <w:p>
      <w:pPr>
        <w:ind w:firstLine="560"/>
      </w:pPr>
      <w:r>
        <w:rPr>
          <w:rFonts w:hint="eastAsia"/>
        </w:rPr>
        <w:t>30.4 磋商小组主任由磋商小组成员推举产生，并与磋商小组其他成员有同等的权利和义务。采购人代表不得担任磋商小组主任。</w:t>
      </w:r>
    </w:p>
    <w:p>
      <w:pPr>
        <w:ind w:firstLine="560"/>
      </w:pPr>
      <w:r>
        <w:rPr>
          <w:rFonts w:hint="eastAsia"/>
        </w:rPr>
        <w:t>30.5 磋商小组成员应当客观、公正地履行职责，遵守职业道德，对所提出的评审意见承担个人责任。</w:t>
      </w:r>
    </w:p>
    <w:p>
      <w:pPr>
        <w:ind w:firstLine="560"/>
      </w:pPr>
      <w:r>
        <w:rPr>
          <w:rFonts w:hint="eastAsia"/>
        </w:rPr>
        <w:t>30.6 磋商小组根据磋商文件确定的评比标准和方法，对投标文件进行系统地评审和比较。磋商文件中没有规定的标准和方法不得作为评标的依据。</w:t>
      </w:r>
    </w:p>
    <w:p>
      <w:pPr>
        <w:ind w:firstLine="560"/>
      </w:pPr>
      <w:r>
        <w:rPr>
          <w:rFonts w:hint="eastAsia"/>
        </w:rPr>
        <w:t>30.7 在评标过程中，磋商小组发现投标人以他人的名义投标、串通投标、以行贿手段谋取中标或者以其他弄虚作假方式投标的，该投标人的投标应作无效标处理。</w:t>
      </w:r>
    </w:p>
    <w:p>
      <w:pPr>
        <w:pStyle w:val="2"/>
        <w:ind w:firstLine="562"/>
      </w:pPr>
      <w:r>
        <w:rPr>
          <w:rFonts w:hint="eastAsia"/>
        </w:rPr>
        <w:t>31. 投标文件的澄清</w:t>
      </w:r>
    </w:p>
    <w:p>
      <w:pPr>
        <w:ind w:firstLine="560"/>
      </w:pPr>
      <w:r>
        <w:rPr>
          <w:rFonts w:hint="eastAsia"/>
        </w:rPr>
        <w:t>31.1 为有助于对投标文件进行审查、评估和比较，投标人对评审中磋商小组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ind w:firstLine="560"/>
      </w:pPr>
      <w:r>
        <w:rPr>
          <w:rFonts w:hint="eastAsia"/>
        </w:rPr>
        <w:t>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pPr>
        <w:ind w:firstLine="560"/>
      </w:pPr>
      <w:r>
        <w:rPr>
          <w:rFonts w:hint="eastAsia"/>
        </w:rPr>
        <w:t>31.2 投标人未按照要求对投标文件进行澄清、说明或者补正的，磋商小组可以否决其投标。</w:t>
      </w:r>
    </w:p>
    <w:p>
      <w:pPr>
        <w:pStyle w:val="2"/>
        <w:ind w:firstLine="562"/>
      </w:pPr>
      <w:r>
        <w:rPr>
          <w:rFonts w:hint="eastAsia"/>
        </w:rPr>
        <w:t>32. 投标文件的评审、比较</w:t>
      </w:r>
    </w:p>
    <w:p>
      <w:pPr>
        <w:ind w:firstLine="560"/>
      </w:pPr>
      <w:r>
        <w:rPr>
          <w:rFonts w:hint="eastAsia"/>
        </w:rPr>
        <w:t>32.1 投标文件符合性审查</w:t>
      </w:r>
    </w:p>
    <w:p>
      <w:pPr>
        <w:ind w:firstLine="560"/>
      </w:pPr>
      <w:r>
        <w:rPr>
          <w:rFonts w:hint="eastAsia"/>
        </w:rPr>
        <w:t>32.1.1磋商小组应当对符合资格的投标人的投标文件进行符合性审查，以确定其是否满足磋商文件的实质性要求。通过资格审查的投标人的投标文件进入详细评审。磋商会议由磋商小组组长主持。磋商小组首先对各磋商响应文件进行初步审查，初步审查包括资格性审查和符合性审查，未通过审查的为无效标。</w:t>
      </w:r>
    </w:p>
    <w:p>
      <w:pPr>
        <w:ind w:firstLine="560"/>
      </w:pPr>
      <w:r>
        <w:rPr>
          <w:rFonts w:hint="eastAsia"/>
        </w:rPr>
        <w:t>⑴资格性审查：磋商小组将根据法律法规和竞争性磋商文件的规定，对磋商响应文件的资格证明文件、磋商保证金等进行审查，以确定投标人是否具备竞争性磋商资格。</w:t>
      </w:r>
    </w:p>
    <w:p>
      <w:pPr>
        <w:ind w:firstLine="560"/>
      </w:pPr>
      <w:r>
        <w:rPr>
          <w:rFonts w:hint="eastAsia"/>
        </w:rPr>
        <w:t>⑵符合性审查：依据竞争性磋商文件的规定，从投标文件的有效性、完整性和对竞争性磋商文件的响应程度进行审查，以确定是否对竞争性磋商文件的要求做出了实质性的响应，存在重大偏离的磋商响应文件为无效标。所谓重大偏离是指投标人投标文件中所述服务质量、技术、规格、数量、服务期等和服务明显不能满足竞争性磋商文件要求。</w:t>
      </w:r>
    </w:p>
    <w:p>
      <w:pPr>
        <w:ind w:firstLine="560"/>
      </w:pPr>
      <w:r>
        <w:rPr>
          <w:rFonts w:hint="eastAsia"/>
        </w:rPr>
        <w:t>32.2 投标文件的详细评审</w:t>
      </w:r>
    </w:p>
    <w:p>
      <w:pPr>
        <w:ind w:firstLine="560"/>
      </w:pPr>
      <w:r>
        <w:rPr>
          <w:rFonts w:hint="eastAsia"/>
        </w:rPr>
        <w:t>32.2.1本项目采用综合评分法。综合评分法是指投标文件满足磋商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pPr>
        <w:ind w:firstLine="560"/>
      </w:pPr>
      <w:r>
        <w:rPr>
          <w:rFonts w:hint="eastAsia"/>
        </w:rPr>
        <w:t>32.2.2 评审中，磋商小组可对投标文件中含义不明确、同类问题表述不一致或者有明显文字和计算错误的内容，磋商小组应当以书面形式要求投标人作出必要的澄清、说明或者补正。</w:t>
      </w:r>
    </w:p>
    <w:p>
      <w:pPr>
        <w:ind w:firstLine="560"/>
      </w:pPr>
      <w:r>
        <w:rPr>
          <w:rFonts w:hint="eastAsia"/>
        </w:rPr>
        <w:t>投标人的澄清、说明或者补正应当采用书面形式并加盖公章，或者由法定代表人或其授权的代表签字。投标人的澄清、说明或者补正不得超出投标文件的范围或者改变投标文件的实质性内容。</w:t>
      </w:r>
    </w:p>
    <w:p>
      <w:pPr>
        <w:ind w:firstLine="560"/>
      </w:pPr>
      <w:r>
        <w:rPr>
          <w:rFonts w:hint="eastAsia"/>
        </w:rPr>
        <w:t>32.2.3</w:t>
      </w:r>
      <w:r>
        <w:rPr>
          <w:rFonts w:hint="eastAsia"/>
          <w:b/>
          <w:bCs/>
        </w:rPr>
        <w:t>磋商小组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磋商小组应当将其作为无效投标处理。</w:t>
      </w:r>
    </w:p>
    <w:p>
      <w:pPr>
        <w:ind w:firstLine="560"/>
      </w:pPr>
      <w:r>
        <w:rPr>
          <w:rFonts w:hint="eastAsia"/>
        </w:rPr>
        <w:t>32.2.4磋商程序</w:t>
      </w:r>
    </w:p>
    <w:p>
      <w:pPr>
        <w:ind w:firstLine="560"/>
      </w:pPr>
      <w:r>
        <w:rPr>
          <w:rFonts w:hint="eastAsia"/>
        </w:rPr>
        <w:t>磋商小组所有成员应当集中与单一投标人分别进行磋商，并给予所有参加磋商的投标人平等的磋商机会。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投标人。</w:t>
      </w:r>
    </w:p>
    <w:p>
      <w:pPr>
        <w:ind w:firstLine="560"/>
      </w:pPr>
      <w:r>
        <w:rPr>
          <w:rFonts w:hint="eastAsia"/>
        </w:rPr>
        <w:t>磋商小组判断“投标文件”的响应性，仅基于“投标文件”本身而不靠外部证据。对非实质性响应的投标文件，投标人不能通过修正或撤销不符之处，而使其成为实质性响应。</w:t>
      </w:r>
    </w:p>
    <w:p>
      <w:pPr>
        <w:ind w:firstLine="562"/>
        <w:rPr>
          <w:b/>
          <w:bCs/>
        </w:rPr>
      </w:pPr>
      <w:r>
        <w:rPr>
          <w:rFonts w:hint="eastAsia"/>
          <w:b/>
          <w:bCs/>
        </w:rPr>
        <w:t>磋商小组根据竞争性磋商文件要求，讨论、通过磋商工作流程和磋商要点。</w:t>
      </w:r>
      <w:r>
        <w:rPr>
          <w:rFonts w:hint="eastAsia"/>
          <w:b/>
          <w:bCs/>
          <w:u w:val="single"/>
        </w:rPr>
        <w:t>围绕磋商要点，磋商小组全体成员集中与单一投标人分别进行磋商，逐家磋商一次为一个轮次，本项目磋商轮次原则上为一轮。</w:t>
      </w:r>
      <w:r>
        <w:rPr>
          <w:rFonts w:hint="eastAsia"/>
          <w:b/>
          <w:bCs/>
        </w:rPr>
        <w:t>磋商结束后，磋商小组将要求所有有效投标人在规定时间内提交最终报价及服务承诺。投标人未及时参与磋商或多次报价的，视为自动放弃参与磋商的资格。</w:t>
      </w:r>
    </w:p>
    <w:p>
      <w:pPr>
        <w:ind w:firstLine="560"/>
      </w:pPr>
      <w:r>
        <w:rPr>
          <w:rFonts w:hint="eastAsia"/>
        </w:rPr>
        <w:t>磋商小组成员对需要共同认定的事项存在争议的，应当按照少数服从多数的原则作出结论。持不同意见的磋商小组成员应当在评标报告上签署不同意见及理由，否则视为同意评标报告。</w:t>
      </w:r>
    </w:p>
    <w:p>
      <w:pPr>
        <w:ind w:firstLine="560"/>
      </w:pPr>
      <w:r>
        <w:rPr>
          <w:rFonts w:hint="eastAsia"/>
        </w:rPr>
        <w:t>32.2.5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ind w:firstLine="560"/>
      </w:pPr>
      <w:r>
        <w:rPr>
          <w:rFonts w:hint="eastAsia"/>
        </w:rPr>
        <w:t>32.2.6评标报告由磋商小组全体成员签字。磋商小组成员对需要共同认定的事项存在争议的，应当按照少数服从多数的原则作出结论。持不同意见的磋商小组成员应当在评标报告上签署不同意见及理由，否则视为同意评标报告。</w:t>
      </w:r>
    </w:p>
    <w:p>
      <w:pPr>
        <w:ind w:firstLine="560"/>
      </w:pPr>
      <w:r>
        <w:rPr>
          <w:rFonts w:hint="eastAsia"/>
        </w:rPr>
        <w:t>32.2.7评标结果汇总完成后，除下列情形外，任何人不得修改评标结果：</w:t>
      </w:r>
    </w:p>
    <w:p>
      <w:pPr>
        <w:ind w:firstLine="560"/>
      </w:pPr>
      <w:r>
        <w:rPr>
          <w:rFonts w:hint="eastAsia"/>
        </w:rPr>
        <w:t>（一）分值汇总计算错误的；</w:t>
      </w:r>
    </w:p>
    <w:p>
      <w:pPr>
        <w:ind w:firstLine="560"/>
      </w:pPr>
      <w:r>
        <w:rPr>
          <w:rFonts w:hint="eastAsia"/>
        </w:rPr>
        <w:t>（二）分项评分超出评分标准范围的；</w:t>
      </w:r>
    </w:p>
    <w:p>
      <w:pPr>
        <w:ind w:firstLine="560"/>
      </w:pPr>
      <w:r>
        <w:rPr>
          <w:rFonts w:hint="eastAsia"/>
        </w:rPr>
        <w:t>（三）磋商小组成员对客观评审因素评分不一致的；</w:t>
      </w:r>
    </w:p>
    <w:p>
      <w:pPr>
        <w:ind w:firstLine="560"/>
      </w:pPr>
      <w:r>
        <w:rPr>
          <w:rFonts w:hint="eastAsia"/>
        </w:rPr>
        <w:t>（四）经磋商小组认定评分畸高、畸低的。</w:t>
      </w:r>
    </w:p>
    <w:p>
      <w:pPr>
        <w:ind w:firstLine="560"/>
      </w:pPr>
      <w:r>
        <w:rPr>
          <w:rFonts w:hint="eastAsia"/>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ind w:firstLine="560"/>
      </w:pPr>
      <w:r>
        <w:rPr>
          <w:rFonts w:hint="eastAsia"/>
        </w:rPr>
        <w:t>32.2.8 磋商小组依据投标须知前附表规定的评标方法，对投标人的投标文件进行评审和比较，投标人最终得分等于商务标、技术标、经济标最终报价得分之和。磋商小组确定投标人最终得分向采购人提出书面报告，并推荐合格的中标候选人。投标文件满足磋商文件全部实质性要求，且按照评审因素的量化指标评审得分最高的投标人为排名第一的中标候选人。</w:t>
      </w:r>
    </w:p>
    <w:p>
      <w:pPr>
        <w:pStyle w:val="2"/>
        <w:ind w:firstLine="562"/>
      </w:pPr>
      <w:r>
        <w:rPr>
          <w:rFonts w:hint="eastAsia"/>
        </w:rPr>
        <w:t>33. 评标的办法和标准</w:t>
      </w:r>
    </w:p>
    <w:p>
      <w:pPr>
        <w:ind w:firstLine="560"/>
      </w:pPr>
      <w:r>
        <w:rPr>
          <w:rFonts w:hint="eastAsia"/>
        </w:rPr>
        <w:t>33.1 本采购项目评标方法为投标须知前附表规定的方法；磋商小组以评分方式对投标文件提出的商务标、技术标等，能否最大限度满足磋商文件中规定的各项要求和评价标准进行评估。</w:t>
      </w:r>
    </w:p>
    <w:p>
      <w:pPr>
        <w:ind w:firstLine="560"/>
      </w:pPr>
      <w:r>
        <w:rPr>
          <w:rFonts w:hint="eastAsia"/>
        </w:rPr>
        <w:t>33.2 审查</w:t>
      </w:r>
    </w:p>
    <w:p>
      <w:pPr>
        <w:ind w:firstLine="560"/>
      </w:pPr>
      <w:r>
        <w:rPr>
          <w:rFonts w:hint="eastAsia"/>
        </w:rPr>
        <w:t>33.2.1资格审查</w:t>
      </w:r>
    </w:p>
    <w:p>
      <w:pPr>
        <w:ind w:firstLine="560"/>
      </w:pPr>
      <w:r>
        <w:rPr>
          <w:rFonts w:hint="eastAsia"/>
        </w:rPr>
        <w:t>33.2.2符合性审查</w:t>
      </w:r>
    </w:p>
    <w:p>
      <w:pPr>
        <w:ind w:firstLine="560"/>
      </w:pPr>
      <w:r>
        <w:rPr>
          <w:rFonts w:hint="eastAsia"/>
        </w:rPr>
        <w:t>33.2.3 详细评审</w:t>
      </w:r>
    </w:p>
    <w:p>
      <w:pPr>
        <w:ind w:firstLine="560"/>
      </w:pPr>
      <w:r>
        <w:rPr>
          <w:rFonts w:hint="eastAsia"/>
        </w:rPr>
        <w:t>（1）投标报价评审</w:t>
      </w:r>
    </w:p>
    <w:p>
      <w:pPr>
        <w:ind w:firstLine="560"/>
      </w:pPr>
      <w:r>
        <w:rPr>
          <w:rFonts w:hint="eastAsia"/>
        </w:rPr>
        <w:t>（2）投标文件的详细评审</w:t>
      </w:r>
    </w:p>
    <w:p>
      <w:pPr>
        <w:ind w:firstLine="560"/>
      </w:pPr>
      <w:r>
        <w:rPr>
          <w:rFonts w:hint="eastAsia"/>
        </w:rPr>
        <w:t>33.3 评标的具体评审办法和标准</w:t>
      </w:r>
    </w:p>
    <w:p>
      <w:pPr>
        <w:ind w:firstLine="560"/>
      </w:pPr>
    </w:p>
    <w:p>
      <w:pPr>
        <w:ind w:firstLine="560"/>
      </w:pPr>
    </w:p>
    <w:p>
      <w:pPr>
        <w:pStyle w:val="4"/>
      </w:pPr>
      <w:r>
        <w:rPr>
          <w:rFonts w:hint="eastAsia"/>
        </w:rPr>
        <w:br w:type="page"/>
      </w:r>
      <w:r>
        <w:rPr>
          <w:rFonts w:hint="eastAsia"/>
        </w:rPr>
        <w:t>一、初步评审（符合性审查）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67"/>
        <w:gridCol w:w="5951"/>
        <w:gridCol w:w="709"/>
        <w:gridCol w:w="709"/>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项目</w:t>
            </w:r>
          </w:p>
        </w:tc>
        <w:tc>
          <w:tcPr>
            <w:tcW w:w="6518" w:type="dxa"/>
            <w:gridSpan w:val="2"/>
            <w:tcBorders>
              <w:top w:val="single" w:color="auto" w:sz="4" w:space="0"/>
              <w:left w:val="single" w:color="auto" w:sz="4" w:space="0"/>
              <w:bottom w:val="single" w:color="auto" w:sz="4" w:space="0"/>
              <w:right w:val="single" w:color="auto" w:sz="4" w:space="0"/>
            </w:tcBorders>
            <w:vAlign w:val="center"/>
          </w:tcPr>
          <w:p>
            <w:pPr>
              <w:pStyle w:val="28"/>
              <w:rPr>
                <w:rFonts w:hint="default"/>
              </w:rPr>
            </w:pPr>
            <w:r>
              <w:t>评  审  内  容</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投标人1</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投标人2</w:t>
            </w: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投标人3</w:t>
            </w: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pPr>
              <w:pStyle w:val="28"/>
              <w:rPr>
                <w:rFonts w:hint="default"/>
              </w:rPr>
            </w:pPr>
            <w:r>
              <w:t>初</w:t>
            </w:r>
          </w:p>
          <w:p>
            <w:pPr>
              <w:pStyle w:val="28"/>
              <w:rPr>
                <w:rFonts w:hint="default"/>
              </w:rPr>
            </w:pPr>
            <w:r>
              <w:t>步</w:t>
            </w:r>
          </w:p>
          <w:p>
            <w:pPr>
              <w:pStyle w:val="28"/>
              <w:rPr>
                <w:rFonts w:hint="default"/>
              </w:rPr>
            </w:pPr>
            <w:r>
              <w:t>评</w:t>
            </w:r>
          </w:p>
          <w:p>
            <w:pPr>
              <w:pStyle w:val="28"/>
              <w:rPr>
                <w:rFonts w:hint="default"/>
              </w:rPr>
            </w:pPr>
            <w:r>
              <w:t>审</w:t>
            </w:r>
          </w:p>
          <w:p>
            <w:pPr>
              <w:pStyle w:val="28"/>
              <w:rPr>
                <w:rFonts w:hint="default"/>
              </w:rPr>
            </w:pPr>
            <w:r>
              <w:t>︹</w:t>
            </w:r>
          </w:p>
          <w:p>
            <w:pPr>
              <w:pStyle w:val="28"/>
              <w:rPr>
                <w:rFonts w:hint="default"/>
              </w:rPr>
            </w:pPr>
            <w:r>
              <w:t>符</w:t>
            </w:r>
          </w:p>
          <w:p>
            <w:pPr>
              <w:pStyle w:val="28"/>
              <w:rPr>
                <w:rFonts w:hint="default"/>
              </w:rPr>
            </w:pPr>
            <w:r>
              <w:t>合</w:t>
            </w:r>
          </w:p>
          <w:p>
            <w:pPr>
              <w:pStyle w:val="28"/>
              <w:rPr>
                <w:rFonts w:hint="default"/>
              </w:rPr>
            </w:pPr>
            <w:r>
              <w:t>性</w:t>
            </w:r>
          </w:p>
          <w:p>
            <w:pPr>
              <w:pStyle w:val="28"/>
              <w:rPr>
                <w:rFonts w:hint="default"/>
              </w:rPr>
            </w:pPr>
            <w:r>
              <w:t>审</w:t>
            </w:r>
          </w:p>
          <w:p>
            <w:pPr>
              <w:pStyle w:val="28"/>
              <w:rPr>
                <w:rFonts w:hint="default"/>
              </w:rPr>
            </w:pPr>
            <w:r>
              <w:t>查</w:t>
            </w:r>
          </w:p>
          <w:p>
            <w:pPr>
              <w:pStyle w:val="28"/>
              <w:rPr>
                <w:rFonts w:hint="default"/>
              </w:rPr>
            </w:pPr>
            <w:r>
              <w:t>表</w:t>
            </w:r>
          </w:p>
          <w:p>
            <w:pPr>
              <w:pStyle w:val="28"/>
              <w:rPr>
                <w:rFonts w:hint="default"/>
              </w:rPr>
            </w:pPr>
            <w:r>
              <w:t>︺</w:t>
            </w: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1</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投标文件是否按采购文件要求签字或盖章；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2</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投标报价是否高于本项目的最高限价；</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3</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投标人是否对同一采购项目做出两个以上报价且未明确效力的；</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4</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投标文件的服务期是否超过磋商文件规定期限；</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5</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投标保证金的缴纳主体是否与投标人一致、提供投标担保或者所提供的投标担保不符合采购文件要求；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6</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项目负责人是否符合磋商文件要求、并按磋商文件要求提供相关资料；</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7</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投标文件封面右上角是否注明“正本”或“副本”字样；</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8</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投标承诺书是否按磋商文件规定格式完整提供、且按采购文件要求签字或盖章；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9</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法定代表人身份证明书及法定代表人授权委托书是否按磋商文件规定格式完整提供、并按磋商文件要求签字或盖章。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10</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企业信誉（信用查询）是否满足磋商文件的要求</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11</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投标文件是否附有采购人不能接受的条件</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12</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技术服务等是否满足磋商文件要求；</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13</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是否满足采购文件实质性要求的其他情形</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828" w:type="dxa"/>
            <w:gridSpan w:val="7"/>
            <w:tcBorders>
              <w:top w:val="single" w:color="auto" w:sz="4" w:space="0"/>
              <w:left w:val="single" w:color="auto" w:sz="4" w:space="0"/>
              <w:bottom w:val="single" w:color="auto" w:sz="4" w:space="0"/>
              <w:right w:val="single" w:color="auto" w:sz="4" w:space="0"/>
            </w:tcBorders>
            <w:vAlign w:val="center"/>
          </w:tcPr>
          <w:p>
            <w:pPr>
              <w:pStyle w:val="28"/>
              <w:rPr>
                <w:rFonts w:hint="default"/>
              </w:rPr>
            </w:pPr>
            <w: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9828" w:type="dxa"/>
            <w:gridSpan w:val="7"/>
            <w:tcBorders>
              <w:top w:val="single" w:color="auto" w:sz="4" w:space="0"/>
              <w:left w:val="single" w:color="auto" w:sz="4" w:space="0"/>
              <w:bottom w:val="single" w:color="auto" w:sz="4" w:space="0"/>
              <w:right w:val="single" w:color="auto" w:sz="4" w:space="0"/>
            </w:tcBorders>
          </w:tcPr>
          <w:p>
            <w:pPr>
              <w:pStyle w:val="28"/>
              <w:rPr>
                <w:rFonts w:hint="default"/>
              </w:rPr>
            </w:pPr>
            <w:r>
              <w:t>评标委员会成员签名：</w:t>
            </w:r>
          </w:p>
          <w:p>
            <w:pPr>
              <w:pStyle w:val="28"/>
              <w:rPr>
                <w:rFonts w:hint="default"/>
              </w:rPr>
            </w:pPr>
            <w: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9828" w:type="dxa"/>
            <w:gridSpan w:val="7"/>
            <w:tcBorders>
              <w:top w:val="single" w:color="auto" w:sz="4" w:space="0"/>
              <w:left w:val="single" w:color="auto" w:sz="4" w:space="0"/>
              <w:bottom w:val="single" w:color="auto" w:sz="4" w:space="0"/>
              <w:right w:val="single" w:color="auto" w:sz="4" w:space="0"/>
            </w:tcBorders>
            <w:vAlign w:val="center"/>
          </w:tcPr>
          <w:p>
            <w:pPr>
              <w:pStyle w:val="28"/>
              <w:rPr>
                <w:rFonts w:hint="default"/>
              </w:rPr>
            </w:pPr>
            <w: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pStyle w:val="4"/>
      </w:pPr>
      <w:r>
        <w:rPr>
          <w:rFonts w:hint="eastAsia"/>
        </w:rPr>
        <w:br w:type="page"/>
      </w:r>
      <w:r>
        <w:rPr>
          <w:rFonts w:hint="eastAsia"/>
        </w:rPr>
        <w:t>二、投标报价评审标准及办法</w:t>
      </w:r>
    </w:p>
    <w:p>
      <w:pPr>
        <w:ind w:firstLine="560"/>
      </w:pPr>
      <w:r>
        <w:rPr>
          <w:rFonts w:hint="eastAsia"/>
        </w:rPr>
        <w:t xml:space="preserve"> 评分标准：综合评分法</w:t>
      </w:r>
    </w:p>
    <w:p>
      <w:pPr>
        <w:pStyle w:val="4"/>
      </w:pPr>
      <w:r>
        <w:rPr>
          <w:rFonts w:hint="eastAsia"/>
        </w:rPr>
        <w:br w:type="page"/>
      </w:r>
      <w:r>
        <w:rPr>
          <w:rFonts w:hint="eastAsia"/>
        </w:rPr>
        <w:t>三、评分标准</w:t>
      </w:r>
    </w:p>
    <w:p>
      <w:pPr>
        <w:ind w:firstLine="560"/>
      </w:pPr>
      <w:r>
        <w:rPr>
          <w:rFonts w:hint="eastAsia"/>
        </w:rPr>
        <w:t>评审因素和标准</w:t>
      </w:r>
    </w:p>
    <w:tbl>
      <w:tblPr>
        <w:tblStyle w:val="20"/>
        <w:tblW w:w="4998"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636"/>
        <w:gridCol w:w="915"/>
        <w:gridCol w:w="566"/>
        <w:gridCol w:w="5883"/>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5" w:type="pct"/>
            <w:vAlign w:val="center"/>
          </w:tcPr>
          <w:p>
            <w:pPr>
              <w:pStyle w:val="28"/>
              <w:rPr>
                <w:rFonts w:hint="default"/>
              </w:rPr>
            </w:pPr>
            <w:r>
              <w:t>序号</w:t>
            </w:r>
          </w:p>
        </w:tc>
        <w:tc>
          <w:tcPr>
            <w:tcW w:w="910" w:type="pct"/>
            <w:gridSpan w:val="2"/>
            <w:vAlign w:val="center"/>
          </w:tcPr>
          <w:p>
            <w:pPr>
              <w:pStyle w:val="28"/>
              <w:rPr>
                <w:rFonts w:hint="default"/>
              </w:rPr>
            </w:pPr>
            <w:r>
              <w:t>评审因素</w:t>
            </w:r>
          </w:p>
        </w:tc>
        <w:tc>
          <w:tcPr>
            <w:tcW w:w="332" w:type="pct"/>
            <w:vAlign w:val="center"/>
          </w:tcPr>
          <w:p>
            <w:pPr>
              <w:pStyle w:val="28"/>
              <w:rPr>
                <w:rFonts w:hint="default"/>
              </w:rPr>
            </w:pPr>
            <w:r>
              <w:t>分值</w:t>
            </w:r>
          </w:p>
        </w:tc>
        <w:tc>
          <w:tcPr>
            <w:tcW w:w="3453" w:type="pct"/>
            <w:vAlign w:val="center"/>
          </w:tcPr>
          <w:p>
            <w:pPr>
              <w:pStyle w:val="28"/>
              <w:rPr>
                <w:rFonts w:hint="default"/>
              </w:rPr>
            </w:pPr>
            <w:r>
              <w:t>评分标准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305" w:type="pct"/>
            <w:vAlign w:val="center"/>
          </w:tcPr>
          <w:p>
            <w:pPr>
              <w:pStyle w:val="28"/>
              <w:rPr>
                <w:rFonts w:hint="default"/>
              </w:rPr>
            </w:pPr>
            <w:r>
              <w:t>1</w:t>
            </w:r>
          </w:p>
        </w:tc>
        <w:tc>
          <w:tcPr>
            <w:tcW w:w="373" w:type="pct"/>
            <w:vAlign w:val="center"/>
          </w:tcPr>
          <w:p>
            <w:pPr>
              <w:pStyle w:val="28"/>
              <w:rPr>
                <w:rFonts w:hint="default"/>
              </w:rPr>
            </w:pPr>
            <w:r>
              <w:t>价格部分（10分）</w:t>
            </w:r>
          </w:p>
        </w:tc>
        <w:tc>
          <w:tcPr>
            <w:tcW w:w="537" w:type="pct"/>
            <w:vAlign w:val="center"/>
          </w:tcPr>
          <w:p>
            <w:pPr>
              <w:pStyle w:val="28"/>
              <w:rPr>
                <w:rFonts w:hint="default"/>
              </w:rPr>
            </w:pPr>
            <w:r>
              <w:t>磋商报价</w:t>
            </w:r>
          </w:p>
        </w:tc>
        <w:tc>
          <w:tcPr>
            <w:tcW w:w="332" w:type="pct"/>
            <w:vAlign w:val="center"/>
          </w:tcPr>
          <w:p>
            <w:pPr>
              <w:pStyle w:val="28"/>
              <w:rPr>
                <w:rFonts w:hint="default"/>
              </w:rPr>
            </w:pPr>
            <w:r>
              <w:t>10分</w:t>
            </w:r>
          </w:p>
        </w:tc>
        <w:tc>
          <w:tcPr>
            <w:tcW w:w="3453" w:type="pct"/>
            <w:vAlign w:val="center"/>
          </w:tcPr>
          <w:p>
            <w:pPr>
              <w:pStyle w:val="28"/>
              <w:rPr>
                <w:rFonts w:hint="default"/>
              </w:rPr>
            </w:pPr>
            <w:r>
              <w:t>以经评委会一致认定满足磋商文件要求且投标价格最低的投标报价为评审基准价，其价格得分计10分。其他供应商的价格得分统一按公式计算：报价得分＝评标基准价/投标报价×投标报价权重。</w:t>
            </w:r>
          </w:p>
          <w:p>
            <w:pPr>
              <w:pStyle w:val="28"/>
              <w:rPr>
                <w:rFonts w:hint="default"/>
              </w:rPr>
            </w:pPr>
            <w:r>
              <w:t>评委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委会应当将其作为无效投标处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5" w:type="pct"/>
            <w:vMerge w:val="restart"/>
            <w:vAlign w:val="center"/>
          </w:tcPr>
          <w:p>
            <w:pPr>
              <w:pStyle w:val="28"/>
              <w:rPr>
                <w:rFonts w:hint="default"/>
                <w:highlight w:val="none"/>
              </w:rPr>
            </w:pPr>
            <w:r>
              <w:rPr>
                <w:highlight w:val="none"/>
              </w:rPr>
              <w:t>2</w:t>
            </w:r>
          </w:p>
        </w:tc>
        <w:tc>
          <w:tcPr>
            <w:tcW w:w="373" w:type="pct"/>
            <w:vMerge w:val="restart"/>
            <w:vAlign w:val="center"/>
          </w:tcPr>
          <w:p>
            <w:pPr>
              <w:pStyle w:val="28"/>
              <w:rPr>
                <w:rFonts w:hint="default"/>
                <w:highlight w:val="none"/>
              </w:rPr>
            </w:pPr>
            <w:r>
              <w:rPr>
                <w:highlight w:val="none"/>
              </w:rPr>
              <w:t>技术部分（52分）</w:t>
            </w:r>
          </w:p>
          <w:p>
            <w:pPr>
              <w:pStyle w:val="28"/>
              <w:rPr>
                <w:rFonts w:hint="default"/>
                <w:highlight w:val="none"/>
              </w:rPr>
            </w:pPr>
          </w:p>
        </w:tc>
        <w:tc>
          <w:tcPr>
            <w:tcW w:w="537" w:type="pct"/>
            <w:vMerge w:val="restart"/>
            <w:vAlign w:val="center"/>
          </w:tcPr>
          <w:p>
            <w:pPr>
              <w:pStyle w:val="28"/>
              <w:rPr>
                <w:rFonts w:hint="default"/>
                <w:highlight w:val="none"/>
              </w:rPr>
            </w:pPr>
            <w:r>
              <w:rPr>
                <w:highlight w:val="none"/>
              </w:rPr>
              <w:t>项目质量控制措施</w:t>
            </w:r>
          </w:p>
        </w:tc>
        <w:tc>
          <w:tcPr>
            <w:tcW w:w="332" w:type="pct"/>
            <w:vAlign w:val="center"/>
          </w:tcPr>
          <w:p>
            <w:pPr>
              <w:pStyle w:val="28"/>
              <w:rPr>
                <w:rFonts w:hint="default"/>
                <w:highlight w:val="none"/>
              </w:rPr>
            </w:pPr>
            <w:r>
              <w:rPr>
                <w:rFonts w:hint="default"/>
                <w:highlight w:val="none"/>
              </w:rPr>
              <w:t>15</w:t>
            </w:r>
            <w:r>
              <w:rPr>
                <w:highlight w:val="none"/>
              </w:rPr>
              <w:t>分</w:t>
            </w:r>
          </w:p>
        </w:tc>
        <w:tc>
          <w:tcPr>
            <w:tcW w:w="3453" w:type="pct"/>
            <w:vAlign w:val="center"/>
          </w:tcPr>
          <w:p>
            <w:pPr>
              <w:pStyle w:val="28"/>
              <w:jc w:val="left"/>
              <w:rPr>
                <w:rFonts w:hint="default"/>
                <w:highlight w:val="none"/>
              </w:rPr>
            </w:pPr>
            <w:r>
              <w:rPr>
                <w:rFonts w:ascii="宋体" w:hAnsi="宋体"/>
                <w:color w:val="000000"/>
                <w:szCs w:val="21"/>
                <w:highlight w:val="none"/>
              </w:rPr>
              <w:t>项目组织实施、技术方案合理、可行、有指导性的得</w:t>
            </w:r>
            <w:r>
              <w:rPr>
                <w:rFonts w:hint="default" w:ascii="宋体" w:hAnsi="宋体"/>
                <w:color w:val="000000"/>
                <w:szCs w:val="21"/>
                <w:highlight w:val="none"/>
              </w:rPr>
              <w:t>15</w:t>
            </w:r>
            <w:r>
              <w:rPr>
                <w:rFonts w:ascii="宋体" w:hAnsi="宋体"/>
                <w:color w:val="000000"/>
                <w:szCs w:val="21"/>
                <w:highlight w:val="none"/>
              </w:rPr>
              <w:t>分；方案合理性、可行性、指导性欠佳的扣</w:t>
            </w:r>
            <w:r>
              <w:rPr>
                <w:rFonts w:hint="default" w:ascii="宋体" w:hAnsi="宋体"/>
                <w:color w:val="000000"/>
                <w:szCs w:val="21"/>
                <w:highlight w:val="none"/>
              </w:rPr>
              <w:t>5</w:t>
            </w:r>
            <w:r>
              <w:rPr>
                <w:rFonts w:ascii="宋体" w:hAnsi="宋体"/>
                <w:color w:val="000000"/>
                <w:szCs w:val="21"/>
                <w:highlight w:val="none"/>
              </w:rPr>
              <w:t>-</w:t>
            </w:r>
            <w:r>
              <w:rPr>
                <w:rFonts w:hint="default" w:ascii="宋体" w:hAnsi="宋体"/>
                <w:color w:val="000000"/>
                <w:szCs w:val="21"/>
                <w:highlight w:val="none"/>
              </w:rPr>
              <w:t>10</w:t>
            </w:r>
            <w:r>
              <w:rPr>
                <w:rFonts w:ascii="宋体" w:hAnsi="宋体"/>
                <w:color w:val="000000"/>
                <w:szCs w:val="21"/>
                <w:highlight w:val="none"/>
              </w:rPr>
              <w:t>分；没有此项不得分。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5" w:type="pct"/>
            <w:vMerge w:val="continue"/>
            <w:vAlign w:val="center"/>
          </w:tcPr>
          <w:p>
            <w:pPr>
              <w:pStyle w:val="28"/>
              <w:rPr>
                <w:rFonts w:hint="default"/>
                <w:highlight w:val="none"/>
              </w:rPr>
            </w:pPr>
          </w:p>
        </w:tc>
        <w:tc>
          <w:tcPr>
            <w:tcW w:w="373" w:type="pct"/>
            <w:vMerge w:val="continue"/>
            <w:vAlign w:val="center"/>
          </w:tcPr>
          <w:p>
            <w:pPr>
              <w:pStyle w:val="28"/>
              <w:rPr>
                <w:rFonts w:hint="default"/>
                <w:highlight w:val="none"/>
              </w:rPr>
            </w:pPr>
          </w:p>
        </w:tc>
        <w:tc>
          <w:tcPr>
            <w:tcW w:w="537" w:type="pct"/>
            <w:vMerge w:val="continue"/>
            <w:vAlign w:val="center"/>
          </w:tcPr>
          <w:p>
            <w:pPr>
              <w:pStyle w:val="28"/>
              <w:rPr>
                <w:rFonts w:hint="default"/>
                <w:highlight w:val="none"/>
              </w:rPr>
            </w:pPr>
          </w:p>
        </w:tc>
        <w:tc>
          <w:tcPr>
            <w:tcW w:w="332" w:type="pct"/>
            <w:vAlign w:val="center"/>
          </w:tcPr>
          <w:p>
            <w:pPr>
              <w:pStyle w:val="28"/>
              <w:rPr>
                <w:rFonts w:hint="default"/>
                <w:highlight w:val="none"/>
              </w:rPr>
            </w:pPr>
            <w:r>
              <w:rPr>
                <w:rFonts w:hint="default"/>
                <w:highlight w:val="none"/>
              </w:rPr>
              <w:t>10</w:t>
            </w:r>
            <w:r>
              <w:rPr>
                <w:highlight w:val="none"/>
              </w:rPr>
              <w:t>分</w:t>
            </w:r>
          </w:p>
        </w:tc>
        <w:tc>
          <w:tcPr>
            <w:tcW w:w="3453" w:type="pct"/>
            <w:vAlign w:val="center"/>
          </w:tcPr>
          <w:p>
            <w:pPr>
              <w:pStyle w:val="28"/>
              <w:jc w:val="left"/>
              <w:rPr>
                <w:rFonts w:hint="default"/>
                <w:highlight w:val="none"/>
              </w:rPr>
            </w:pPr>
            <w:r>
              <w:rPr>
                <w:rFonts w:ascii="宋体" w:hAnsi="宋体"/>
                <w:color w:val="000000"/>
                <w:szCs w:val="21"/>
                <w:highlight w:val="none"/>
              </w:rPr>
              <w:t>项目组织机构、人员配备合理、可行、有指导性的得</w:t>
            </w:r>
            <w:r>
              <w:rPr>
                <w:rFonts w:hint="default" w:ascii="宋体" w:hAnsi="宋体"/>
                <w:color w:val="000000"/>
                <w:szCs w:val="21"/>
                <w:highlight w:val="none"/>
              </w:rPr>
              <w:t>10</w:t>
            </w:r>
            <w:r>
              <w:rPr>
                <w:rFonts w:ascii="宋体" w:hAnsi="宋体"/>
                <w:color w:val="000000"/>
                <w:szCs w:val="21"/>
                <w:highlight w:val="none"/>
              </w:rPr>
              <w:t>分；配备合理性、可行性、指导性欠佳的扣</w:t>
            </w:r>
            <w:r>
              <w:rPr>
                <w:rFonts w:hint="default" w:ascii="宋体" w:hAnsi="宋体"/>
                <w:color w:val="000000"/>
                <w:szCs w:val="21"/>
                <w:highlight w:val="none"/>
              </w:rPr>
              <w:t>3</w:t>
            </w:r>
            <w:r>
              <w:rPr>
                <w:rFonts w:ascii="宋体" w:hAnsi="宋体"/>
                <w:color w:val="000000"/>
                <w:szCs w:val="21"/>
                <w:highlight w:val="none"/>
              </w:rPr>
              <w:t>-5分；没有此项不得分。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5" w:type="pct"/>
            <w:vMerge w:val="continue"/>
            <w:vAlign w:val="center"/>
          </w:tcPr>
          <w:p>
            <w:pPr>
              <w:pStyle w:val="28"/>
              <w:rPr>
                <w:rFonts w:hint="default"/>
                <w:highlight w:val="none"/>
              </w:rPr>
            </w:pPr>
          </w:p>
        </w:tc>
        <w:tc>
          <w:tcPr>
            <w:tcW w:w="373" w:type="pct"/>
            <w:vMerge w:val="continue"/>
            <w:vAlign w:val="center"/>
          </w:tcPr>
          <w:p>
            <w:pPr>
              <w:pStyle w:val="28"/>
              <w:rPr>
                <w:rFonts w:hint="default"/>
                <w:highlight w:val="none"/>
              </w:rPr>
            </w:pPr>
          </w:p>
        </w:tc>
        <w:tc>
          <w:tcPr>
            <w:tcW w:w="537" w:type="pct"/>
            <w:vMerge w:val="continue"/>
            <w:vAlign w:val="center"/>
          </w:tcPr>
          <w:p>
            <w:pPr>
              <w:pStyle w:val="28"/>
              <w:rPr>
                <w:rFonts w:hint="default"/>
                <w:highlight w:val="none"/>
              </w:rPr>
            </w:pPr>
          </w:p>
        </w:tc>
        <w:tc>
          <w:tcPr>
            <w:tcW w:w="332" w:type="pct"/>
            <w:vAlign w:val="center"/>
          </w:tcPr>
          <w:p>
            <w:pPr>
              <w:pStyle w:val="28"/>
              <w:rPr>
                <w:rFonts w:hint="default"/>
                <w:highlight w:val="none"/>
              </w:rPr>
            </w:pPr>
            <w:r>
              <w:rPr>
                <w:rFonts w:hint="default"/>
                <w:highlight w:val="none"/>
              </w:rPr>
              <w:t>10</w:t>
            </w:r>
            <w:r>
              <w:rPr>
                <w:highlight w:val="none"/>
              </w:rPr>
              <w:t>分</w:t>
            </w:r>
          </w:p>
        </w:tc>
        <w:tc>
          <w:tcPr>
            <w:tcW w:w="3453" w:type="pct"/>
            <w:vAlign w:val="center"/>
          </w:tcPr>
          <w:p>
            <w:pPr>
              <w:pStyle w:val="28"/>
              <w:jc w:val="left"/>
              <w:rPr>
                <w:rFonts w:hint="default"/>
                <w:highlight w:val="none"/>
              </w:rPr>
            </w:pPr>
            <w:r>
              <w:rPr>
                <w:rFonts w:ascii="宋体" w:hAnsi="宋体"/>
                <w:color w:val="000000"/>
                <w:szCs w:val="21"/>
                <w:highlight w:val="none"/>
              </w:rPr>
              <w:t>确保项目实施期限保障措施合理、可行、有指导性的得</w:t>
            </w:r>
            <w:r>
              <w:rPr>
                <w:rFonts w:hint="default" w:ascii="宋体" w:hAnsi="宋体"/>
                <w:color w:val="000000"/>
                <w:szCs w:val="21"/>
                <w:highlight w:val="none"/>
              </w:rPr>
              <w:t>10</w:t>
            </w:r>
            <w:r>
              <w:rPr>
                <w:rFonts w:ascii="宋体" w:hAnsi="宋体"/>
                <w:color w:val="000000"/>
                <w:szCs w:val="21"/>
                <w:highlight w:val="none"/>
              </w:rPr>
              <w:t>分；措施合理性、可行性、指导性欠佳的扣</w:t>
            </w:r>
            <w:r>
              <w:rPr>
                <w:rFonts w:hint="default" w:ascii="宋体" w:hAnsi="宋体"/>
                <w:color w:val="000000"/>
                <w:szCs w:val="21"/>
                <w:highlight w:val="none"/>
              </w:rPr>
              <w:t>3</w:t>
            </w:r>
            <w:r>
              <w:rPr>
                <w:rFonts w:ascii="宋体" w:hAnsi="宋体"/>
                <w:color w:val="000000"/>
                <w:szCs w:val="21"/>
                <w:highlight w:val="none"/>
              </w:rPr>
              <w:t>-5分；没有此项不得分。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5" w:type="pct"/>
            <w:vMerge w:val="continue"/>
            <w:vAlign w:val="center"/>
          </w:tcPr>
          <w:p>
            <w:pPr>
              <w:pStyle w:val="28"/>
              <w:rPr>
                <w:rFonts w:hint="default"/>
                <w:highlight w:val="none"/>
              </w:rPr>
            </w:pPr>
          </w:p>
        </w:tc>
        <w:tc>
          <w:tcPr>
            <w:tcW w:w="373" w:type="pct"/>
            <w:vMerge w:val="continue"/>
            <w:vAlign w:val="center"/>
          </w:tcPr>
          <w:p>
            <w:pPr>
              <w:pStyle w:val="28"/>
              <w:rPr>
                <w:rFonts w:hint="default"/>
                <w:highlight w:val="none"/>
              </w:rPr>
            </w:pPr>
          </w:p>
        </w:tc>
        <w:tc>
          <w:tcPr>
            <w:tcW w:w="537" w:type="pct"/>
            <w:vMerge w:val="continue"/>
            <w:vAlign w:val="center"/>
          </w:tcPr>
          <w:p>
            <w:pPr>
              <w:pStyle w:val="28"/>
              <w:rPr>
                <w:rFonts w:hint="default"/>
                <w:highlight w:val="none"/>
              </w:rPr>
            </w:pPr>
          </w:p>
        </w:tc>
        <w:tc>
          <w:tcPr>
            <w:tcW w:w="332" w:type="pct"/>
            <w:vAlign w:val="center"/>
          </w:tcPr>
          <w:p>
            <w:pPr>
              <w:pStyle w:val="28"/>
              <w:rPr>
                <w:rFonts w:hint="default"/>
                <w:highlight w:val="none"/>
              </w:rPr>
            </w:pPr>
            <w:r>
              <w:rPr>
                <w:rFonts w:hint="default"/>
                <w:highlight w:val="none"/>
              </w:rPr>
              <w:t>7</w:t>
            </w:r>
            <w:r>
              <w:rPr>
                <w:highlight w:val="none"/>
              </w:rPr>
              <w:t>分</w:t>
            </w:r>
          </w:p>
        </w:tc>
        <w:tc>
          <w:tcPr>
            <w:tcW w:w="3453" w:type="pct"/>
            <w:vAlign w:val="center"/>
          </w:tcPr>
          <w:p>
            <w:pPr>
              <w:pStyle w:val="28"/>
              <w:jc w:val="left"/>
              <w:rPr>
                <w:rFonts w:hint="default"/>
                <w:highlight w:val="none"/>
              </w:rPr>
            </w:pPr>
            <w:r>
              <w:rPr>
                <w:rFonts w:ascii="宋体" w:hAnsi="宋体"/>
                <w:color w:val="000000"/>
                <w:szCs w:val="21"/>
                <w:highlight w:val="none"/>
              </w:rPr>
              <w:t>确保项目技术支持与质量保障措施合理、可行、有指导性的得</w:t>
            </w:r>
            <w:r>
              <w:rPr>
                <w:rFonts w:hint="default" w:ascii="宋体" w:hAnsi="宋体"/>
                <w:color w:val="000000"/>
                <w:szCs w:val="21"/>
                <w:highlight w:val="none"/>
              </w:rPr>
              <w:t>7</w:t>
            </w:r>
            <w:r>
              <w:rPr>
                <w:rFonts w:ascii="宋体" w:hAnsi="宋体"/>
                <w:color w:val="000000"/>
                <w:szCs w:val="21"/>
                <w:highlight w:val="none"/>
              </w:rPr>
              <w:t>分；措施合理性、可行性、指导性欠佳的扣</w:t>
            </w:r>
            <w:r>
              <w:rPr>
                <w:rFonts w:hint="default" w:ascii="宋体" w:hAnsi="宋体"/>
                <w:color w:val="000000"/>
                <w:szCs w:val="21"/>
                <w:highlight w:val="none"/>
              </w:rPr>
              <w:t>2</w:t>
            </w:r>
            <w:r>
              <w:rPr>
                <w:rFonts w:ascii="宋体" w:hAnsi="宋体"/>
                <w:color w:val="000000"/>
                <w:szCs w:val="21"/>
                <w:highlight w:val="none"/>
              </w:rPr>
              <w:t>-</w:t>
            </w:r>
            <w:r>
              <w:rPr>
                <w:rFonts w:hint="default" w:ascii="宋体" w:hAnsi="宋体"/>
                <w:color w:val="000000"/>
                <w:szCs w:val="21"/>
                <w:highlight w:val="none"/>
              </w:rPr>
              <w:t>4</w:t>
            </w:r>
            <w:r>
              <w:rPr>
                <w:rFonts w:ascii="宋体" w:hAnsi="宋体"/>
                <w:color w:val="000000"/>
                <w:szCs w:val="21"/>
                <w:highlight w:val="none"/>
              </w:rPr>
              <w:t>分；没有此项不得分。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 w:type="pct"/>
            <w:vMerge w:val="continue"/>
            <w:vAlign w:val="center"/>
          </w:tcPr>
          <w:p>
            <w:pPr>
              <w:pStyle w:val="28"/>
              <w:rPr>
                <w:rFonts w:hint="default"/>
                <w:highlight w:val="none"/>
              </w:rPr>
            </w:pPr>
          </w:p>
        </w:tc>
        <w:tc>
          <w:tcPr>
            <w:tcW w:w="373" w:type="pct"/>
            <w:vMerge w:val="continue"/>
            <w:vAlign w:val="center"/>
          </w:tcPr>
          <w:p>
            <w:pPr>
              <w:pStyle w:val="28"/>
              <w:rPr>
                <w:rFonts w:hint="default"/>
                <w:highlight w:val="none"/>
              </w:rPr>
            </w:pPr>
          </w:p>
        </w:tc>
        <w:tc>
          <w:tcPr>
            <w:tcW w:w="537" w:type="pct"/>
            <w:vMerge w:val="continue"/>
            <w:vAlign w:val="center"/>
          </w:tcPr>
          <w:p>
            <w:pPr>
              <w:pStyle w:val="28"/>
              <w:rPr>
                <w:rFonts w:hint="default"/>
                <w:highlight w:val="none"/>
              </w:rPr>
            </w:pPr>
          </w:p>
        </w:tc>
        <w:tc>
          <w:tcPr>
            <w:tcW w:w="332" w:type="pct"/>
            <w:vAlign w:val="center"/>
          </w:tcPr>
          <w:p>
            <w:pPr>
              <w:pStyle w:val="28"/>
              <w:rPr>
                <w:rFonts w:hint="default"/>
                <w:highlight w:val="none"/>
              </w:rPr>
            </w:pPr>
            <w:r>
              <w:rPr>
                <w:rFonts w:hint="default"/>
                <w:highlight w:val="none"/>
              </w:rPr>
              <w:t>5</w:t>
            </w:r>
            <w:r>
              <w:rPr>
                <w:highlight w:val="none"/>
              </w:rPr>
              <w:t>分</w:t>
            </w:r>
          </w:p>
        </w:tc>
        <w:tc>
          <w:tcPr>
            <w:tcW w:w="3453" w:type="pct"/>
            <w:vAlign w:val="center"/>
          </w:tcPr>
          <w:p>
            <w:pPr>
              <w:pStyle w:val="28"/>
              <w:jc w:val="left"/>
              <w:rPr>
                <w:rFonts w:hint="default"/>
                <w:highlight w:val="none"/>
              </w:rPr>
            </w:pPr>
            <w:r>
              <w:rPr>
                <w:rFonts w:ascii="宋体" w:hAnsi="宋体"/>
                <w:color w:val="000000"/>
                <w:szCs w:val="21"/>
                <w:highlight w:val="none"/>
              </w:rPr>
              <w:t>确保安全生产措施合理、可行、有指导性的得</w:t>
            </w:r>
            <w:r>
              <w:rPr>
                <w:rFonts w:hint="default" w:ascii="宋体" w:hAnsi="宋体"/>
                <w:color w:val="000000"/>
                <w:szCs w:val="21"/>
                <w:highlight w:val="none"/>
              </w:rPr>
              <w:t>5</w:t>
            </w:r>
            <w:r>
              <w:rPr>
                <w:rFonts w:ascii="宋体" w:hAnsi="宋体"/>
                <w:color w:val="000000"/>
                <w:szCs w:val="21"/>
                <w:highlight w:val="none"/>
              </w:rPr>
              <w:t>分；措施合理性、可行性、指导性欠佳的扣</w:t>
            </w:r>
            <w:r>
              <w:rPr>
                <w:rFonts w:hint="default" w:ascii="宋体" w:hAnsi="宋体"/>
                <w:color w:val="000000"/>
                <w:szCs w:val="21"/>
                <w:highlight w:val="none"/>
              </w:rPr>
              <w:t>1</w:t>
            </w:r>
            <w:r>
              <w:rPr>
                <w:rFonts w:ascii="宋体" w:hAnsi="宋体"/>
                <w:color w:val="000000"/>
                <w:szCs w:val="21"/>
                <w:highlight w:val="none"/>
              </w:rPr>
              <w:t>-</w:t>
            </w:r>
            <w:r>
              <w:rPr>
                <w:rFonts w:hint="default" w:ascii="宋体" w:hAnsi="宋体"/>
                <w:color w:val="000000"/>
                <w:szCs w:val="21"/>
                <w:highlight w:val="none"/>
              </w:rPr>
              <w:t>3</w:t>
            </w:r>
            <w:r>
              <w:rPr>
                <w:rFonts w:ascii="宋体" w:hAnsi="宋体"/>
                <w:color w:val="000000"/>
                <w:szCs w:val="21"/>
                <w:highlight w:val="none"/>
              </w:rPr>
              <w:t>分；没有此项不得分。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05" w:type="pct"/>
            <w:vMerge w:val="continue"/>
            <w:vAlign w:val="center"/>
          </w:tcPr>
          <w:p>
            <w:pPr>
              <w:pStyle w:val="28"/>
              <w:rPr>
                <w:rFonts w:hint="default"/>
                <w:highlight w:val="none"/>
              </w:rPr>
            </w:pPr>
          </w:p>
        </w:tc>
        <w:tc>
          <w:tcPr>
            <w:tcW w:w="373" w:type="pct"/>
            <w:vMerge w:val="continue"/>
            <w:vAlign w:val="center"/>
          </w:tcPr>
          <w:p>
            <w:pPr>
              <w:pStyle w:val="28"/>
              <w:rPr>
                <w:rFonts w:hint="default"/>
                <w:highlight w:val="none"/>
              </w:rPr>
            </w:pPr>
          </w:p>
        </w:tc>
        <w:tc>
          <w:tcPr>
            <w:tcW w:w="537" w:type="pct"/>
            <w:vMerge w:val="continue"/>
            <w:vAlign w:val="center"/>
          </w:tcPr>
          <w:p>
            <w:pPr>
              <w:pStyle w:val="28"/>
              <w:rPr>
                <w:rFonts w:hint="default"/>
                <w:highlight w:val="none"/>
              </w:rPr>
            </w:pPr>
          </w:p>
        </w:tc>
        <w:tc>
          <w:tcPr>
            <w:tcW w:w="332" w:type="pct"/>
            <w:vAlign w:val="center"/>
          </w:tcPr>
          <w:p>
            <w:pPr>
              <w:pStyle w:val="28"/>
              <w:rPr>
                <w:rFonts w:hint="default"/>
                <w:highlight w:val="none"/>
              </w:rPr>
            </w:pPr>
            <w:r>
              <w:rPr>
                <w:rFonts w:hint="default"/>
                <w:highlight w:val="none"/>
              </w:rPr>
              <w:t>5</w:t>
            </w:r>
            <w:r>
              <w:rPr>
                <w:highlight w:val="none"/>
              </w:rPr>
              <w:t>分</w:t>
            </w:r>
          </w:p>
        </w:tc>
        <w:tc>
          <w:tcPr>
            <w:tcW w:w="3453" w:type="pct"/>
            <w:vAlign w:val="center"/>
          </w:tcPr>
          <w:p>
            <w:pPr>
              <w:pStyle w:val="28"/>
              <w:jc w:val="left"/>
              <w:rPr>
                <w:rFonts w:hint="default"/>
                <w:highlight w:val="none"/>
              </w:rPr>
            </w:pPr>
            <w:r>
              <w:rPr>
                <w:rFonts w:ascii="宋体" w:hAnsi="宋体"/>
                <w:color w:val="000000"/>
                <w:szCs w:val="21"/>
                <w:highlight w:val="none"/>
              </w:rPr>
              <w:t>针对本项目的理解及合理化建议，提出创新、创优等合理化建议的得</w:t>
            </w:r>
            <w:r>
              <w:rPr>
                <w:rFonts w:hint="default" w:ascii="宋体" w:hAnsi="宋体"/>
                <w:color w:val="000000"/>
                <w:szCs w:val="21"/>
                <w:highlight w:val="none"/>
              </w:rPr>
              <w:t>5</w:t>
            </w:r>
            <w:r>
              <w:rPr>
                <w:rFonts w:ascii="宋体" w:hAnsi="宋体"/>
                <w:color w:val="000000"/>
                <w:szCs w:val="21"/>
                <w:highlight w:val="none"/>
              </w:rPr>
              <w:t>分，措施合理性、可行性、指导性欠佳的扣</w:t>
            </w:r>
            <w:r>
              <w:rPr>
                <w:rFonts w:hint="default" w:ascii="宋体" w:hAnsi="宋体"/>
                <w:color w:val="000000"/>
                <w:szCs w:val="21"/>
                <w:highlight w:val="none"/>
              </w:rPr>
              <w:t>1</w:t>
            </w:r>
            <w:r>
              <w:rPr>
                <w:rFonts w:ascii="宋体" w:hAnsi="宋体"/>
                <w:color w:val="000000"/>
                <w:szCs w:val="21"/>
                <w:highlight w:val="none"/>
              </w:rPr>
              <w:t>-</w:t>
            </w:r>
            <w:r>
              <w:rPr>
                <w:rFonts w:hint="default" w:ascii="宋体" w:hAnsi="宋体"/>
                <w:color w:val="000000"/>
                <w:szCs w:val="21"/>
                <w:highlight w:val="none"/>
              </w:rPr>
              <w:t>3</w:t>
            </w:r>
            <w:r>
              <w:rPr>
                <w:rFonts w:ascii="宋体" w:hAnsi="宋体"/>
                <w:color w:val="000000"/>
                <w:szCs w:val="21"/>
                <w:highlight w:val="none"/>
              </w:rPr>
              <w:t>分；没有此项不得分。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5" w:type="pct"/>
            <w:vMerge w:val="restart"/>
            <w:vAlign w:val="center"/>
          </w:tcPr>
          <w:p>
            <w:pPr>
              <w:pStyle w:val="28"/>
              <w:rPr>
                <w:rFonts w:hint="default"/>
              </w:rPr>
            </w:pPr>
          </w:p>
          <w:p>
            <w:pPr>
              <w:pStyle w:val="28"/>
              <w:rPr>
                <w:rFonts w:hint="default"/>
              </w:rPr>
            </w:pPr>
          </w:p>
          <w:p>
            <w:pPr>
              <w:pStyle w:val="28"/>
              <w:rPr>
                <w:rFonts w:hint="default"/>
              </w:rPr>
            </w:pPr>
          </w:p>
          <w:p>
            <w:pPr>
              <w:pStyle w:val="28"/>
              <w:rPr>
                <w:rFonts w:hint="default"/>
              </w:rPr>
            </w:pPr>
            <w:r>
              <w:t>3</w:t>
            </w:r>
          </w:p>
          <w:p>
            <w:pPr>
              <w:pStyle w:val="28"/>
              <w:rPr>
                <w:rFonts w:hint="default"/>
              </w:rPr>
            </w:pPr>
          </w:p>
          <w:p>
            <w:pPr>
              <w:pStyle w:val="28"/>
              <w:rPr>
                <w:rFonts w:hint="default"/>
              </w:rPr>
            </w:pPr>
          </w:p>
          <w:p>
            <w:pPr>
              <w:pStyle w:val="28"/>
              <w:rPr>
                <w:rFonts w:hint="default"/>
              </w:rPr>
            </w:pPr>
          </w:p>
          <w:p>
            <w:pPr>
              <w:pStyle w:val="28"/>
              <w:rPr>
                <w:rFonts w:hint="default"/>
              </w:rPr>
            </w:pPr>
          </w:p>
          <w:p>
            <w:pPr>
              <w:pStyle w:val="28"/>
              <w:rPr>
                <w:rFonts w:hint="default"/>
              </w:rPr>
            </w:pPr>
          </w:p>
        </w:tc>
        <w:tc>
          <w:tcPr>
            <w:tcW w:w="373" w:type="pct"/>
            <w:vMerge w:val="restart"/>
            <w:vAlign w:val="center"/>
          </w:tcPr>
          <w:p>
            <w:pPr>
              <w:pStyle w:val="28"/>
              <w:rPr>
                <w:rFonts w:hint="default"/>
              </w:rPr>
            </w:pPr>
            <w:r>
              <w:t>商务部分</w:t>
            </w:r>
          </w:p>
          <w:p>
            <w:pPr>
              <w:pStyle w:val="28"/>
              <w:rPr>
                <w:rFonts w:hint="default"/>
              </w:rPr>
            </w:pPr>
            <w:r>
              <w:t>（38分）</w:t>
            </w:r>
          </w:p>
        </w:tc>
        <w:tc>
          <w:tcPr>
            <w:tcW w:w="537" w:type="pct"/>
            <w:vAlign w:val="center"/>
          </w:tcPr>
          <w:p>
            <w:pPr>
              <w:pStyle w:val="28"/>
            </w:pPr>
            <w:r>
              <w:t>类似</w:t>
            </w:r>
          </w:p>
          <w:p>
            <w:pPr>
              <w:pStyle w:val="28"/>
              <w:rPr>
                <w:rFonts w:hint="default"/>
              </w:rPr>
            </w:pPr>
            <w:r>
              <w:t>业绩</w:t>
            </w:r>
          </w:p>
        </w:tc>
        <w:tc>
          <w:tcPr>
            <w:tcW w:w="332" w:type="pct"/>
            <w:vAlign w:val="center"/>
          </w:tcPr>
          <w:p>
            <w:pPr>
              <w:pStyle w:val="28"/>
              <w:rPr>
                <w:rFonts w:hint="default"/>
              </w:rPr>
            </w:pPr>
            <w:r>
              <w:t>24分</w:t>
            </w:r>
          </w:p>
        </w:tc>
        <w:tc>
          <w:tcPr>
            <w:tcW w:w="3453" w:type="pct"/>
            <w:vAlign w:val="center"/>
          </w:tcPr>
          <w:p>
            <w:pPr>
              <w:pStyle w:val="28"/>
              <w:rPr>
                <w:rFonts w:hint="default"/>
              </w:rPr>
            </w:pPr>
            <w:r>
              <w:t>1、供应商承担过类似项目的，每个计4分，计满12分为止。</w:t>
            </w:r>
          </w:p>
          <w:p>
            <w:pPr>
              <w:pStyle w:val="28"/>
              <w:rPr>
                <w:rFonts w:hint="default"/>
              </w:rPr>
            </w:pPr>
            <w:r>
              <w:t>2、项目负责人承担过类似项目的，每个计4分，计满12分为止。</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pPr>
            <w:r>
              <w:t>项目</w:t>
            </w:r>
          </w:p>
          <w:p>
            <w:pPr>
              <w:pStyle w:val="28"/>
              <w:rPr>
                <w:rFonts w:hint="default"/>
              </w:rPr>
            </w:pPr>
            <w:r>
              <w:t>团队</w:t>
            </w:r>
          </w:p>
        </w:tc>
        <w:tc>
          <w:tcPr>
            <w:tcW w:w="332" w:type="pct"/>
            <w:vAlign w:val="center"/>
          </w:tcPr>
          <w:p>
            <w:pPr>
              <w:pStyle w:val="28"/>
              <w:rPr>
                <w:rFonts w:hint="default"/>
              </w:rPr>
            </w:pPr>
            <w:r>
              <w:t>9分</w:t>
            </w:r>
          </w:p>
        </w:tc>
        <w:tc>
          <w:tcPr>
            <w:tcW w:w="3453" w:type="pct"/>
            <w:vAlign w:val="center"/>
          </w:tcPr>
          <w:p>
            <w:pPr>
              <w:pStyle w:val="28"/>
              <w:rPr>
                <w:rFonts w:hint="default"/>
              </w:rPr>
            </w:pPr>
            <w:r>
              <w:rPr>
                <w:rFonts w:hint="default"/>
              </w:rPr>
              <w:t>1</w:t>
            </w:r>
            <w:r>
              <w:t>、除项目负责人外，供应商拟投入本项目的人员为测绘类中级工程师的，每人计</w:t>
            </w:r>
            <w:r>
              <w:rPr>
                <w:rFonts w:hint="default"/>
                <w:color w:val="auto"/>
                <w:highlight w:val="none"/>
              </w:rPr>
              <w:t>2</w:t>
            </w:r>
            <w:r>
              <w:rPr>
                <w:color w:val="auto"/>
                <w:highlight w:val="none"/>
              </w:rPr>
              <w:t>分，为测绘类高级工程师的，每人计</w:t>
            </w:r>
            <w:r>
              <w:rPr>
                <w:rFonts w:hint="default"/>
                <w:color w:val="auto"/>
                <w:highlight w:val="none"/>
              </w:rPr>
              <w:t>3</w:t>
            </w:r>
            <w:r>
              <w:rPr>
                <w:color w:val="auto"/>
                <w:highlight w:val="none"/>
              </w:rPr>
              <w:t>分，本项计满</w:t>
            </w:r>
            <w:r>
              <w:rPr>
                <w:rFonts w:hint="default"/>
                <w:color w:val="auto"/>
                <w:highlight w:val="none"/>
              </w:rPr>
              <w:t>9</w:t>
            </w:r>
            <w:r>
              <w:rPr>
                <w:color w:val="auto"/>
                <w:highlight w:val="none"/>
              </w:rPr>
              <w:t>分为止，同一人员只计一次最高分。</w:t>
            </w:r>
          </w:p>
          <w:p>
            <w:pPr>
              <w:pStyle w:val="28"/>
              <w:rPr>
                <w:rFonts w:hint="default"/>
              </w:rPr>
            </w:pPr>
            <w:r>
              <w:t>（提供相关证书复印件加盖投标供应商单位公章）</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pPr>
            <w:r>
              <w:t>标函</w:t>
            </w:r>
          </w:p>
          <w:p>
            <w:pPr>
              <w:pStyle w:val="28"/>
              <w:rPr>
                <w:rFonts w:hint="default"/>
              </w:rPr>
            </w:pPr>
            <w:r>
              <w:t>质量</w:t>
            </w:r>
          </w:p>
        </w:tc>
        <w:tc>
          <w:tcPr>
            <w:tcW w:w="332" w:type="pct"/>
            <w:vAlign w:val="center"/>
          </w:tcPr>
          <w:p>
            <w:pPr>
              <w:pStyle w:val="28"/>
              <w:rPr>
                <w:rFonts w:hint="default"/>
              </w:rPr>
            </w:pPr>
            <w:r>
              <w:t>5分</w:t>
            </w:r>
          </w:p>
        </w:tc>
        <w:tc>
          <w:tcPr>
            <w:tcW w:w="3453" w:type="pct"/>
            <w:vAlign w:val="center"/>
          </w:tcPr>
          <w:p>
            <w:pPr>
              <w:pStyle w:val="28"/>
              <w:rPr>
                <w:rFonts w:hint="default"/>
              </w:rPr>
            </w:pPr>
            <w:r>
              <w:t>响应文件函编制内容完整、齐全、叙述严谨；标书无涂改、错页、漏页现象；提供资料是否齐全，文字是否清晰，描述是否准确。综合评定：0-5分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5" w:type="pct"/>
            <w:vAlign w:val="center"/>
          </w:tcPr>
          <w:p>
            <w:pPr>
              <w:pStyle w:val="28"/>
              <w:rPr>
                <w:rFonts w:hint="default"/>
              </w:rPr>
            </w:pPr>
            <w:r>
              <w:t>合计</w:t>
            </w:r>
          </w:p>
        </w:tc>
        <w:tc>
          <w:tcPr>
            <w:tcW w:w="373" w:type="pct"/>
          </w:tcPr>
          <w:p>
            <w:pPr>
              <w:pStyle w:val="28"/>
              <w:rPr>
                <w:rFonts w:hint="default"/>
              </w:rPr>
            </w:pPr>
          </w:p>
        </w:tc>
        <w:tc>
          <w:tcPr>
            <w:tcW w:w="4322" w:type="pct"/>
            <w:gridSpan w:val="3"/>
            <w:vAlign w:val="center"/>
          </w:tcPr>
          <w:p>
            <w:pPr>
              <w:pStyle w:val="28"/>
              <w:rPr>
                <w:rFonts w:hint="default"/>
              </w:rPr>
            </w:pPr>
            <w:r>
              <w:t>100分</w:t>
            </w:r>
          </w:p>
        </w:tc>
      </w:tr>
    </w:tbl>
    <w:p>
      <w:pPr>
        <w:ind w:firstLine="560"/>
      </w:pPr>
      <w:r>
        <w:rPr>
          <w:rFonts w:hint="eastAsia"/>
        </w:rPr>
        <w:t>备注：</w:t>
      </w:r>
    </w:p>
    <w:p>
      <w:pPr>
        <w:ind w:firstLine="560"/>
      </w:pPr>
      <w:r>
        <w:rPr>
          <w:rFonts w:hint="eastAsia"/>
        </w:rPr>
        <w:t>1、上述证明材料在响应文件中提供的复印件均须加盖供应商公章；</w:t>
      </w:r>
    </w:p>
    <w:p>
      <w:pPr>
        <w:ind w:firstLine="560"/>
      </w:pPr>
      <w:r>
        <w:rPr>
          <w:rFonts w:hint="eastAsia"/>
        </w:rPr>
        <w:t>2、评委根据各供应商响应文件的技术部分，结合评审标准自主独立计分；</w:t>
      </w:r>
    </w:p>
    <w:p>
      <w:pPr>
        <w:ind w:firstLine="560"/>
      </w:pPr>
      <w:r>
        <w:rPr>
          <w:rFonts w:hint="eastAsia"/>
        </w:rPr>
        <w:t>3、供应商不得提供虚假材料，如评审过程中查有虚假，则作无效标处理，如成交后查有虚假，则取消成交资格，接受相应处罚并承担相应的法律责任。</w:t>
      </w:r>
    </w:p>
    <w:p>
      <w:pPr>
        <w:pStyle w:val="2"/>
        <w:ind w:firstLine="562"/>
      </w:pPr>
      <w:r>
        <w:rPr>
          <w:rFonts w:hint="eastAsia"/>
        </w:rPr>
        <w:t>34. 定标原则</w:t>
      </w:r>
    </w:p>
    <w:p>
      <w:pPr>
        <w:ind w:firstLine="560"/>
      </w:pPr>
      <w:r>
        <w:rPr>
          <w:rFonts w:hint="eastAsia"/>
        </w:rPr>
        <w:t>34.1 磋商小组依据投标须知前附表规定的评标方法和标准，按照排序确定出前三名作为中标候选人推荐给采购人。</w:t>
      </w:r>
    </w:p>
    <w:p>
      <w:pPr>
        <w:ind w:firstLine="560"/>
      </w:pPr>
      <w:r>
        <w:rPr>
          <w:rFonts w:hint="eastAsia"/>
        </w:rPr>
        <w:t>34.2采购代理机构应当在评标结束后2个工作日内将评标报告送采购人。采购人应当自收到评标报告之日起５个工作日内，在评标报告确定的中标候选人名单中按顺序确定中标人。</w:t>
      </w:r>
    </w:p>
    <w:p>
      <w:pPr>
        <w:pStyle w:val="2"/>
        <w:ind w:firstLine="562"/>
      </w:pPr>
      <w:r>
        <w:rPr>
          <w:rFonts w:hint="eastAsia"/>
        </w:rPr>
        <w:t>35. 评标过程的保密</w:t>
      </w:r>
    </w:p>
    <w:p>
      <w:pPr>
        <w:ind w:firstLine="560"/>
      </w:pPr>
      <w:r>
        <w:rPr>
          <w:rFonts w:hint="eastAsia"/>
        </w:rPr>
        <w:t>35.1凡属于对投标文件的审查、澄清、评价和比较有关的资料、中标候选人的推荐情况以及与评标有关的其他任何情况，磋商小组成员和与评标活动有关的工作人员不得对任何单位和个人透露。</w:t>
      </w:r>
    </w:p>
    <w:p>
      <w:pPr>
        <w:ind w:firstLine="560"/>
      </w:pPr>
      <w:r>
        <w:rPr>
          <w:rFonts w:hint="eastAsia"/>
        </w:rPr>
        <w:t>35.2 在投标文件的评审和比较、中标候选人推荐以及授予合同的过程中，投标人向采购人或者磋商小组施加影响的任何行为，都将会导致其投标被拒绝。</w:t>
      </w:r>
    </w:p>
    <w:p>
      <w:pPr>
        <w:ind w:firstLine="560"/>
      </w:pPr>
      <w:r>
        <w:rPr>
          <w:rFonts w:hint="eastAsia"/>
        </w:rPr>
        <w:t>35.3 中标人确定后，采购人不对未中标人就评标过程以及未能中标原因做出任何解释。未中标人不得向磋商小组组成人员或者其他有关人员索问评标过程的情况和材料。</w:t>
      </w:r>
    </w:p>
    <w:p>
      <w:pPr>
        <w:pStyle w:val="5"/>
        <w:ind w:firstLine="562"/>
      </w:pPr>
      <w:r>
        <w:rPr>
          <w:rFonts w:hint="eastAsia"/>
        </w:rPr>
        <w:t>（七） 授予合同</w:t>
      </w:r>
    </w:p>
    <w:p>
      <w:pPr>
        <w:pStyle w:val="2"/>
        <w:ind w:firstLine="562"/>
      </w:pPr>
      <w:r>
        <w:rPr>
          <w:rFonts w:hint="eastAsia"/>
        </w:rPr>
        <w:t>36. 确定成交人</w:t>
      </w:r>
    </w:p>
    <w:p>
      <w:pPr>
        <w:ind w:firstLine="560"/>
      </w:pPr>
      <w:r>
        <w:rPr>
          <w:rFonts w:hint="eastAsia"/>
        </w:rPr>
        <w:t>36.1 成交的标准</w:t>
      </w:r>
    </w:p>
    <w:p>
      <w:pPr>
        <w:ind w:firstLine="560"/>
      </w:pPr>
      <w:r>
        <w:rPr>
          <w:rFonts w:hint="eastAsia"/>
        </w:rPr>
        <w:t>36.1.1 投标文件对磋商文件做出了实质性响应；</w:t>
      </w:r>
    </w:p>
    <w:p>
      <w:pPr>
        <w:ind w:firstLine="560"/>
      </w:pPr>
      <w:r>
        <w:rPr>
          <w:rFonts w:hint="eastAsia"/>
        </w:rPr>
        <w:t>36.1.2 具有良好的履行合同的能力和条件；</w:t>
      </w:r>
    </w:p>
    <w:p>
      <w:pPr>
        <w:ind w:firstLine="560"/>
      </w:pPr>
      <w:r>
        <w:rPr>
          <w:rFonts w:hint="eastAsia"/>
        </w:rPr>
        <w:t>36.1.3 能够最大限度满足磋商文件的各项要求；</w:t>
      </w:r>
    </w:p>
    <w:p>
      <w:pPr>
        <w:ind w:firstLine="560"/>
      </w:pPr>
      <w:r>
        <w:rPr>
          <w:rFonts w:hint="eastAsia"/>
        </w:rPr>
        <w:t>36.2 采购人将确定资格合格的中标候选人为成交人。</w:t>
      </w:r>
    </w:p>
    <w:p>
      <w:pPr>
        <w:pStyle w:val="2"/>
        <w:ind w:firstLine="562"/>
      </w:pPr>
      <w:r>
        <w:rPr>
          <w:rFonts w:hint="eastAsia"/>
        </w:rPr>
        <w:t>37. 授予合同的准则</w:t>
      </w:r>
    </w:p>
    <w:p>
      <w:pPr>
        <w:ind w:firstLine="560"/>
      </w:pPr>
      <w:r>
        <w:rPr>
          <w:rFonts w:hint="eastAsia"/>
        </w:rPr>
        <w:t>37.1 采购人将把合同授予经确认的成交人。</w:t>
      </w:r>
    </w:p>
    <w:p>
      <w:pPr>
        <w:pStyle w:val="2"/>
        <w:ind w:firstLine="562"/>
      </w:pPr>
      <w:r>
        <w:rPr>
          <w:rFonts w:hint="eastAsia"/>
        </w:rPr>
        <w:t>38. 成交通知书</w:t>
      </w:r>
    </w:p>
    <w:p>
      <w:pPr>
        <w:ind w:firstLine="560"/>
      </w:pPr>
      <w:r>
        <w:rPr>
          <w:rFonts w:hint="eastAsia"/>
        </w:rPr>
        <w:t>38.1 采购人依据磋商小组推荐的成交候选人确定成交人后，将对成交结果公示1工作日，同时向中标人发出《成交通知书》。</w:t>
      </w:r>
    </w:p>
    <w:p>
      <w:pPr>
        <w:ind w:firstLine="560"/>
      </w:pPr>
      <w:r>
        <w:rPr>
          <w:rFonts w:hint="eastAsia"/>
        </w:rPr>
        <w:t xml:space="preserve">38.2 《成交通知书》对采购人和中标人具有法律约束力。成交通知书发出后，采购人不得违法改变中标结果，中标人无正当理由不得放弃中标。 </w:t>
      </w:r>
    </w:p>
    <w:p>
      <w:pPr>
        <w:pStyle w:val="2"/>
        <w:ind w:firstLine="562"/>
      </w:pPr>
      <w:r>
        <w:rPr>
          <w:rFonts w:hint="eastAsia"/>
        </w:rPr>
        <w:t>39. 合同的签订</w:t>
      </w:r>
    </w:p>
    <w:p>
      <w:pPr>
        <w:ind w:firstLine="560"/>
      </w:pPr>
      <w:r>
        <w:rPr>
          <w:rFonts w:hint="eastAsia"/>
        </w:rPr>
        <w:t>39.1采购人应当自成交通知书发出之日起30日内，按照磋商文件和中标人投标文件的规定，与中标人签订书面合同。所签订的合同不得对磋商文件确定的事项和中标人投标文件作实质性修改。</w:t>
      </w:r>
    </w:p>
    <w:p>
      <w:pPr>
        <w:ind w:firstLine="560"/>
      </w:pPr>
      <w:r>
        <w:rPr>
          <w:rFonts w:hint="eastAsia"/>
        </w:rPr>
        <w:t>39.2 磋商文件要求中标人提交履约保证金或者其他形式履约担保的，中标人应当提交；拒绝提交的，视为放弃中标项目。</w:t>
      </w:r>
    </w:p>
    <w:p>
      <w:pPr>
        <w:ind w:firstLine="560"/>
      </w:pPr>
      <w:r>
        <w:rPr>
          <w:rFonts w:hint="eastAsia"/>
        </w:rPr>
        <w:t>39.3 磋商文件和中标人的投标文件均是该书面合同的附件。</w:t>
      </w:r>
    </w:p>
    <w:p>
      <w:pPr>
        <w:ind w:firstLine="560"/>
      </w:pPr>
      <w:r>
        <w:rPr>
          <w:rFonts w:hint="eastAsia"/>
        </w:rPr>
        <w:t>39.4 中标人因不可抗力或自身原因不能履行采购合同的，采购人可以与排位在中标人之后第一位的中标候选人签订采购合同，以此类推。或采购人重新组织采购。</w:t>
      </w:r>
    </w:p>
    <w:p>
      <w:pPr>
        <w:ind w:firstLine="560"/>
      </w:pPr>
      <w:r>
        <w:rPr>
          <w:rFonts w:hint="eastAsia"/>
        </w:rPr>
        <w:t>39.5 政府采购项目的采购合同自签订之日起七个工作日内，采购人应当将合同副本报同级政府采购监督管理部门和有关部门备案。</w:t>
      </w:r>
    </w:p>
    <w:p>
      <w:pPr>
        <w:pStyle w:val="2"/>
        <w:ind w:firstLine="562"/>
      </w:pPr>
      <w:r>
        <w:rPr>
          <w:rFonts w:hint="eastAsia"/>
        </w:rPr>
        <w:t>40.质疑与投诉</w:t>
      </w:r>
    </w:p>
    <w:p>
      <w:pPr>
        <w:ind w:firstLine="560"/>
      </w:pPr>
      <w:r>
        <w:rPr>
          <w:rFonts w:hint="eastAsia"/>
        </w:rPr>
        <w:t>40.1质疑与投诉</w:t>
      </w:r>
    </w:p>
    <w:p>
      <w:pPr>
        <w:ind w:firstLine="560"/>
      </w:pPr>
      <w:r>
        <w:rPr>
          <w:rFonts w:hint="eastAsia"/>
        </w:rPr>
        <w:t>1、投标人认为磋商文件、采购过程、中标或者成交结果使自己的权益受到损害的，可以在知道或者应知其权益受到损害之日起7个工作日内，向采购人、采购代理机构提出质疑。投标人须在法定质疑期内一次性提出针对同一采购程序环节的质疑。采购人在收到投标人的书面质疑后七个工作日内作出答复，并以书面形式通知质疑投标人和其他有关投标人；作出答复前，将暂停采购活动。</w:t>
      </w:r>
    </w:p>
    <w:p>
      <w:pPr>
        <w:ind w:firstLine="560"/>
      </w:pPr>
      <w:r>
        <w:rPr>
          <w:rFonts w:hint="eastAsia"/>
        </w:rPr>
        <w:t>2、质疑函的必备内容</w:t>
      </w:r>
    </w:p>
    <w:p>
      <w:pPr>
        <w:ind w:firstLine="560"/>
      </w:pPr>
      <w:r>
        <w:rPr>
          <w:rFonts w:hint="eastAsia"/>
        </w:rPr>
        <w:t>（1）投标人提交的质疑函必须注明单位名称、地址、邮编、可供查询的单位和法定代表人的电话号码、联系人电话；</w:t>
      </w:r>
    </w:p>
    <w:p>
      <w:pPr>
        <w:ind w:firstLine="560"/>
      </w:pPr>
      <w:r>
        <w:rPr>
          <w:rFonts w:hint="eastAsia"/>
        </w:rPr>
        <w:t>（2）质疑项目的名称、编号；</w:t>
      </w:r>
    </w:p>
    <w:p>
      <w:pPr>
        <w:ind w:firstLine="560"/>
      </w:pPr>
      <w:r>
        <w:rPr>
          <w:rFonts w:hint="eastAsia"/>
        </w:rPr>
        <w:t>（3）具体质疑事项和与质疑事项相关的请求；</w:t>
      </w:r>
    </w:p>
    <w:p>
      <w:pPr>
        <w:ind w:firstLine="560"/>
      </w:pPr>
      <w:r>
        <w:rPr>
          <w:rFonts w:hint="eastAsia"/>
        </w:rPr>
        <w:t>（4）事实依据；</w:t>
      </w:r>
    </w:p>
    <w:p>
      <w:pPr>
        <w:ind w:firstLine="560"/>
      </w:pPr>
      <w:r>
        <w:rPr>
          <w:rFonts w:hint="eastAsia"/>
        </w:rPr>
        <w:t>（5）提起质疑的日期；</w:t>
      </w:r>
    </w:p>
    <w:p>
      <w:pPr>
        <w:ind w:firstLine="560"/>
      </w:pPr>
      <w:r>
        <w:rPr>
          <w:rFonts w:hint="eastAsia"/>
        </w:rPr>
        <w:t>（6）质疑函须加盖单位公章，由法定代表人签章。</w:t>
      </w:r>
    </w:p>
    <w:p>
      <w:pPr>
        <w:ind w:firstLine="560"/>
      </w:pPr>
      <w:r>
        <w:rPr>
          <w:rFonts w:hint="eastAsia"/>
        </w:rPr>
        <w:t>（7）授权代理人递交质疑函的，还须提交委托质疑事项的授权委托书（附法定代表人和被授权人的身份证正反面），加盖单位公章和法定代表人签章和被授权人签字，同时出示被授权人身份证。</w:t>
      </w:r>
    </w:p>
    <w:p>
      <w:pPr>
        <w:ind w:firstLine="560"/>
      </w:pPr>
      <w:r>
        <w:rPr>
          <w:rFonts w:hint="eastAsia"/>
        </w:rPr>
        <w:t>3、质疑应符合下列条件：</w:t>
      </w:r>
    </w:p>
    <w:p>
      <w:pPr>
        <w:ind w:firstLine="560"/>
      </w:pPr>
      <w:r>
        <w:rPr>
          <w:rFonts w:hint="eastAsia"/>
        </w:rPr>
        <w:t>⑴质疑人是参与所质疑项目的采购活动的投标人；</w:t>
      </w:r>
    </w:p>
    <w:p>
      <w:pPr>
        <w:ind w:firstLine="560"/>
      </w:pPr>
      <w:r>
        <w:rPr>
          <w:rFonts w:hint="eastAsia"/>
        </w:rPr>
        <w:t>⑵质疑函内容符合相关的规定；</w:t>
      </w:r>
    </w:p>
    <w:p>
      <w:pPr>
        <w:ind w:firstLine="560"/>
      </w:pPr>
      <w:r>
        <w:rPr>
          <w:rFonts w:hint="eastAsia"/>
        </w:rPr>
        <w:t>⑶在规定的有效期限内提起质疑；</w:t>
      </w:r>
    </w:p>
    <w:p>
      <w:pPr>
        <w:ind w:firstLine="560"/>
      </w:pPr>
      <w:r>
        <w:rPr>
          <w:rFonts w:hint="eastAsia"/>
        </w:rPr>
        <w:t>⑷招投标监管部门规定的其他条件。</w:t>
      </w:r>
    </w:p>
    <w:p>
      <w:pPr>
        <w:ind w:firstLine="560"/>
      </w:pPr>
      <w:r>
        <w:rPr>
          <w:rFonts w:hint="eastAsia"/>
        </w:rPr>
        <w:t>4、采购人在收到投标人的书面质疑后七个工作日内作出答复，并以书面形式通知质疑投标人和其他有关投标人，但答复的内容不涉及商业秘密。</w:t>
      </w:r>
    </w:p>
    <w:p>
      <w:pPr>
        <w:ind w:firstLine="560"/>
      </w:pPr>
      <w:r>
        <w:rPr>
          <w:rFonts w:hint="eastAsia"/>
        </w:rPr>
        <w:t>5、提出质疑的投标人对答复不满意的，可以在答复期满后十五个工作日内向同级政府采购监督管理部门投诉。政府采购监督管理部门应当在收到投诉三十个工作日内，对投诉事项作出处理决定，并以书面形式通知投诉人和与投诉事项相关的当事人。</w:t>
      </w:r>
    </w:p>
    <w:p>
      <w:pPr>
        <w:pStyle w:val="2"/>
        <w:ind w:firstLine="562"/>
      </w:pPr>
      <w:r>
        <w:rPr>
          <w:rFonts w:hint="eastAsia"/>
        </w:rPr>
        <w:t>41. 履约担保</w:t>
      </w:r>
    </w:p>
    <w:p>
      <w:pPr>
        <w:ind w:firstLine="560"/>
      </w:pPr>
      <w:r>
        <w:rPr>
          <w:rFonts w:hint="eastAsia"/>
        </w:rPr>
        <w:t>41.1 中标人须在与采购人签署合同前按磋商文件有关要求提交履约担保。中标人应按照下列规定的方式和金额向采购人提交履约担保。</w:t>
      </w:r>
    </w:p>
    <w:p>
      <w:pPr>
        <w:ind w:firstLine="560"/>
      </w:pPr>
      <w:r>
        <w:rPr>
          <w:rFonts w:hint="eastAsia"/>
        </w:rPr>
        <w:t>41.1.1履约担保</w:t>
      </w:r>
    </w:p>
    <w:p>
      <w:pPr>
        <w:ind w:firstLine="560"/>
      </w:pPr>
      <w:r>
        <w:rPr>
          <w:rFonts w:hint="eastAsia"/>
        </w:rPr>
        <w:t>履约保证金：</w:t>
      </w:r>
      <w:r>
        <w:rPr>
          <w:rFonts w:hint="eastAsia"/>
          <w:u w:val="single"/>
        </w:rPr>
        <w:t>合同金额的5%</w:t>
      </w:r>
      <w:r>
        <w:rPr>
          <w:rFonts w:hint="eastAsia"/>
        </w:rPr>
        <w:t>；</w:t>
      </w:r>
    </w:p>
    <w:p>
      <w:pPr>
        <w:ind w:firstLine="560"/>
      </w:pPr>
      <w:r>
        <w:rPr>
          <w:rFonts w:hint="eastAsia"/>
        </w:rPr>
        <w:t>履约保证金递交：成交供应商收到《成交通知书》且签订合同同时，向采购人缴纳；</w:t>
      </w:r>
    </w:p>
    <w:p>
      <w:pPr>
        <w:ind w:firstLine="560"/>
      </w:pPr>
      <w:r>
        <w:rPr>
          <w:rFonts w:hint="eastAsia"/>
        </w:rPr>
        <w:t>履约保证金形式：支票、汇票、银行转账等非现金形式；（成交供应商未按磋商文件规定缴纳履约保证金的，其投标保证金将不予退还。）</w:t>
      </w:r>
    </w:p>
    <w:p>
      <w:pPr>
        <w:ind w:firstLine="560"/>
      </w:pPr>
      <w:r>
        <w:rPr>
          <w:rFonts w:hint="eastAsia"/>
          <w:lang w:val="zh-CN"/>
        </w:rPr>
        <w:t>履约保证金（质保金）退还：（1）履约保证金的有效期为该项目缺陷责任期满时止。（2）供应商在验收合格后缺陷责任期内未发生违约行为，采购人七个工作日内予以退还。（如乙方未能履行合同规定的义务，甲方有权从履约保证金中取得补偿；履约保证金扣除甲方应得的补偿后的余额在有效期满后七工作日内无息退还给乙方。）</w:t>
      </w:r>
    </w:p>
    <w:p>
      <w:pPr>
        <w:ind w:firstLine="560"/>
      </w:pPr>
      <w:r>
        <w:rPr>
          <w:rFonts w:hint="eastAsia"/>
        </w:rPr>
        <w:t>41.2 如中标人不能按照投标须知第39条的规定执行，采购人将视为中标人放弃中标项目；已经订立合同的，采购人有充分理由解除合同，给采购人造成损失的，放弃中标项目的中标人应当赔偿。</w:t>
      </w:r>
    </w:p>
    <w:p>
      <w:pPr>
        <w:pStyle w:val="2"/>
        <w:ind w:firstLine="562"/>
      </w:pPr>
      <w:bookmarkStart w:id="23" w:name="_Toc228180139"/>
      <w:r>
        <w:rPr>
          <w:rFonts w:hint="eastAsia"/>
        </w:rPr>
        <w:t>42.招标代理服务费</w:t>
      </w:r>
      <w:bookmarkEnd w:id="23"/>
    </w:p>
    <w:p>
      <w:pPr>
        <w:ind w:firstLine="560"/>
      </w:pPr>
      <w:r>
        <w:rPr>
          <w:rFonts w:hint="eastAsia"/>
        </w:rPr>
        <w:t>42.1本项目招标代理服务费，投标人在递交投标书的同时将被视为同意承担本项费用；中标人必须在领取成交通知书时一次性付清招标代理服务费用。该费用由投标人计入投标总报价中但不单独列项，发包人亦不再另行支付。</w:t>
      </w:r>
    </w:p>
    <w:p>
      <w:pPr>
        <w:pStyle w:val="2"/>
        <w:ind w:firstLine="562"/>
      </w:pPr>
      <w:r>
        <w:rPr>
          <w:rFonts w:hint="eastAsia"/>
        </w:rPr>
        <w:t>43. 其他</w:t>
      </w:r>
    </w:p>
    <w:p>
      <w:pPr>
        <w:ind w:firstLine="560"/>
      </w:pPr>
      <w:r>
        <w:rPr>
          <w:rFonts w:hint="eastAsia"/>
        </w:rPr>
        <w:t>未尽事宜将依照《中华人民共和国政府采购法》及相关法规执行。</w:t>
      </w:r>
    </w:p>
    <w:p>
      <w:pPr>
        <w:pStyle w:val="2"/>
        <w:ind w:firstLine="562"/>
      </w:pPr>
      <w:r>
        <w:rPr>
          <w:rFonts w:hint="eastAsia"/>
        </w:rPr>
        <w:t>44. 附件</w:t>
      </w:r>
    </w:p>
    <w:p>
      <w:pPr>
        <w:pStyle w:val="3"/>
      </w:pPr>
      <w:r>
        <w:rPr>
          <w:rFonts w:hint="eastAsia"/>
        </w:rPr>
        <w:br w:type="page"/>
      </w:r>
      <w:bookmarkStart w:id="24" w:name="_Toc5963"/>
      <w:bookmarkStart w:id="25" w:name="_Toc32250"/>
      <w:bookmarkStart w:id="26" w:name="_Hlk519787567"/>
      <w:bookmarkStart w:id="27" w:name="_Toc13090"/>
      <w:bookmarkStart w:id="28" w:name="_Toc31882"/>
      <w:bookmarkStart w:id="29" w:name="_Toc23003"/>
      <w:r>
        <w:rPr>
          <w:rFonts w:hint="eastAsia"/>
        </w:rPr>
        <w:t>第三部分  合同格式（参考）</w:t>
      </w:r>
      <w:bookmarkEnd w:id="24"/>
      <w:bookmarkEnd w:id="25"/>
      <w:bookmarkEnd w:id="26"/>
      <w:bookmarkEnd w:id="27"/>
      <w:bookmarkEnd w:id="28"/>
      <w:bookmarkEnd w:id="29"/>
    </w:p>
    <w:p>
      <w:pPr>
        <w:pStyle w:val="33"/>
        <w:spacing w:line="440" w:lineRule="exact"/>
        <w:ind w:left="0" w:leftChars="0" w:firstLine="0" w:firstLineChars="0"/>
        <w:jc w:val="center"/>
        <w:rPr>
          <w:rFonts w:ascii="宋体" w:hAnsi="宋体" w:eastAsia="宋体" w:cs="宋体"/>
          <w:color w:val="auto"/>
        </w:rPr>
      </w:pPr>
      <w:bookmarkStart w:id="30" w:name="_Hlk519793124"/>
      <w:r>
        <w:rPr>
          <w:rFonts w:hint="eastAsia" w:ascii="宋体" w:hAnsi="宋体" w:eastAsia="宋体" w:cs="宋体"/>
          <w:b/>
          <w:bCs/>
          <w:color w:val="auto"/>
        </w:rPr>
        <w:t>（实际以甲方乙方实际约定签署的合同为准）</w:t>
      </w:r>
    </w:p>
    <w:p>
      <w:pPr>
        <w:spacing w:line="440" w:lineRule="exact"/>
        <w:ind w:firstLine="480"/>
        <w:jc w:val="center"/>
        <w:rPr>
          <w:rFonts w:ascii="宋体" w:hAnsi="宋体" w:cs="宋体"/>
          <w:sz w:val="24"/>
        </w:rPr>
      </w:pPr>
      <w:r>
        <w:rPr>
          <w:rFonts w:hint="eastAsia" w:ascii="宋体" w:hAnsi="宋体" w:cs="宋体"/>
          <w:sz w:val="24"/>
        </w:rPr>
        <w:t>一、政府采购合同协议书</w:t>
      </w:r>
    </w:p>
    <w:p>
      <w:pPr>
        <w:spacing w:line="440" w:lineRule="exact"/>
        <w:ind w:firstLine="4800" w:firstLineChars="2000"/>
        <w:rPr>
          <w:rFonts w:ascii="宋体" w:hAnsi="宋体" w:cs="宋体"/>
          <w:b/>
          <w:sz w:val="24"/>
        </w:rPr>
      </w:pPr>
      <w:r>
        <w:rPr>
          <w:rFonts w:hint="eastAsia" w:ascii="宋体" w:hAnsi="宋体" w:cs="宋体"/>
          <w:sz w:val="24"/>
        </w:rPr>
        <w:t xml:space="preserve">               采购合同编号：</w:t>
      </w:r>
    </w:p>
    <w:p>
      <w:pPr>
        <w:adjustRightInd w:val="0"/>
        <w:snapToGrid w:val="0"/>
        <w:spacing w:line="440" w:lineRule="exact"/>
        <w:ind w:firstLine="482"/>
        <w:jc w:val="center"/>
        <w:rPr>
          <w:rFonts w:ascii="宋体" w:hAnsi="宋体" w:cs="宋体"/>
          <w:b/>
          <w:sz w:val="24"/>
        </w:rPr>
      </w:pPr>
    </w:p>
    <w:p>
      <w:pPr>
        <w:adjustRightInd w:val="0"/>
        <w:snapToGrid w:val="0"/>
        <w:spacing w:line="440" w:lineRule="exact"/>
        <w:ind w:firstLine="480"/>
        <w:rPr>
          <w:rFonts w:ascii="宋体" w:hAnsi="宋体" w:cs="宋体"/>
          <w:sz w:val="24"/>
        </w:rPr>
      </w:pPr>
      <w:r>
        <w:rPr>
          <w:rFonts w:hint="eastAsia" w:ascii="宋体" w:hAnsi="宋体" w:cs="宋体"/>
          <w:sz w:val="24"/>
        </w:rPr>
        <w:t>采购人（全称）：（甲方）</w:t>
      </w:r>
    </w:p>
    <w:p>
      <w:pPr>
        <w:adjustRightInd w:val="0"/>
        <w:snapToGrid w:val="0"/>
        <w:spacing w:line="440" w:lineRule="exact"/>
        <w:ind w:firstLine="480"/>
        <w:rPr>
          <w:rFonts w:ascii="宋体" w:hAnsi="宋体" w:cs="宋体"/>
          <w:sz w:val="24"/>
        </w:rPr>
      </w:pPr>
      <w:r>
        <w:rPr>
          <w:rFonts w:hint="eastAsia" w:ascii="宋体" w:hAnsi="宋体" w:cs="宋体"/>
          <w:sz w:val="24"/>
        </w:rPr>
        <w:t>供应商（全称）：（乙方）</w:t>
      </w:r>
    </w:p>
    <w:p>
      <w:pPr>
        <w:pStyle w:val="34"/>
        <w:snapToGrid w:val="0"/>
        <w:spacing w:line="440" w:lineRule="exact"/>
        <w:ind w:left="0" w:leftChars="0" w:firstLine="480"/>
        <w:rPr>
          <w:rFonts w:hAnsi="宋体" w:cs="宋体"/>
          <w:color w:val="auto"/>
          <w:sz w:val="24"/>
          <w:szCs w:val="24"/>
        </w:rPr>
      </w:pPr>
      <w:r>
        <w:rPr>
          <w:rFonts w:hint="eastAsia" w:hAnsi="宋体" w:cs="宋体"/>
          <w:color w:val="auto"/>
          <w:sz w:val="24"/>
          <w:szCs w:val="24"/>
        </w:rPr>
        <w:t>为了保护甲、乙双方合法权益，根据《中华人民共和国合同法》、《中华人民共和国政府采购法》及其他有关法律、法规、规章，双方签订本合同协议书。</w:t>
      </w:r>
    </w:p>
    <w:p>
      <w:pPr>
        <w:adjustRightInd w:val="0"/>
        <w:snapToGrid w:val="0"/>
        <w:spacing w:line="440" w:lineRule="exact"/>
        <w:ind w:firstLine="482"/>
        <w:rPr>
          <w:rFonts w:ascii="宋体" w:hAnsi="宋体" w:cs="宋体"/>
          <w:b/>
          <w:sz w:val="24"/>
        </w:rPr>
      </w:pPr>
      <w:r>
        <w:rPr>
          <w:rFonts w:hint="eastAsia" w:ascii="宋体" w:hAnsi="宋体" w:cs="宋体"/>
          <w:b/>
          <w:sz w:val="24"/>
        </w:rPr>
        <w:t>1.项目信息</w:t>
      </w:r>
    </w:p>
    <w:p>
      <w:pPr>
        <w:pStyle w:val="35"/>
        <w:adjustRightInd w:val="0"/>
        <w:snapToGrid w:val="0"/>
        <w:spacing w:line="440" w:lineRule="exact"/>
        <w:ind w:firstLine="480"/>
        <w:rPr>
          <w:rFonts w:hAnsi="宋体" w:cs="宋体"/>
          <w:sz w:val="24"/>
          <w:szCs w:val="24"/>
        </w:rPr>
      </w:pPr>
      <w:r>
        <w:rPr>
          <w:rFonts w:hint="eastAsia" w:hAnsi="宋体" w:cs="宋体"/>
          <w:sz w:val="24"/>
          <w:szCs w:val="24"/>
        </w:rPr>
        <w:t xml:space="preserve">（1）采购项目名称： </w:t>
      </w:r>
    </w:p>
    <w:p>
      <w:pPr>
        <w:pStyle w:val="35"/>
        <w:adjustRightInd w:val="0"/>
        <w:snapToGrid w:val="0"/>
        <w:spacing w:line="440" w:lineRule="exact"/>
        <w:ind w:firstLine="480"/>
        <w:rPr>
          <w:rFonts w:hAnsi="宋体" w:cs="宋体"/>
          <w:sz w:val="24"/>
          <w:szCs w:val="24"/>
        </w:rPr>
      </w:pPr>
      <w:r>
        <w:rPr>
          <w:rFonts w:hint="eastAsia" w:hAnsi="宋体" w:cs="宋体"/>
          <w:sz w:val="24"/>
          <w:szCs w:val="24"/>
        </w:rPr>
        <w:t xml:space="preserve">（2）采购计划编号：                      </w:t>
      </w:r>
    </w:p>
    <w:p>
      <w:pPr>
        <w:adjustRightInd w:val="0"/>
        <w:snapToGrid w:val="0"/>
        <w:spacing w:line="440" w:lineRule="exact"/>
        <w:ind w:firstLine="480"/>
        <w:rPr>
          <w:rFonts w:ascii="宋体" w:hAnsi="宋体" w:cs="宋体"/>
          <w:sz w:val="24"/>
        </w:rPr>
      </w:pPr>
      <w:r>
        <w:rPr>
          <w:rFonts w:hint="eastAsia" w:ascii="宋体" w:hAnsi="宋体" w:cs="宋体"/>
          <w:sz w:val="24"/>
        </w:rPr>
        <w:t>（3）项目内容：</w:t>
      </w:r>
    </w:p>
    <w:p>
      <w:pPr>
        <w:adjustRightInd w:val="0"/>
        <w:snapToGrid w:val="0"/>
        <w:spacing w:line="440" w:lineRule="exact"/>
        <w:ind w:firstLine="472" w:firstLineChars="196"/>
        <w:rPr>
          <w:rFonts w:ascii="宋体" w:hAnsi="宋体" w:cs="宋体"/>
          <w:b/>
          <w:sz w:val="24"/>
        </w:rPr>
      </w:pPr>
      <w:r>
        <w:rPr>
          <w:rFonts w:hint="eastAsia" w:ascii="宋体" w:hAnsi="宋体" w:cs="宋体"/>
          <w:b/>
          <w:sz w:val="24"/>
        </w:rPr>
        <w:t>2.合同金额</w:t>
      </w:r>
    </w:p>
    <w:p>
      <w:pPr>
        <w:adjustRightInd w:val="0"/>
        <w:snapToGrid w:val="0"/>
        <w:spacing w:line="440" w:lineRule="exact"/>
        <w:ind w:firstLine="480"/>
        <w:rPr>
          <w:rFonts w:ascii="宋体" w:hAnsi="宋体" w:cs="宋体"/>
          <w:sz w:val="24"/>
        </w:rPr>
      </w:pPr>
      <w:r>
        <w:rPr>
          <w:rFonts w:hint="eastAsia" w:ascii="宋体" w:hAnsi="宋体" w:cs="宋体"/>
          <w:sz w:val="24"/>
        </w:rPr>
        <w:t>（1）合同金额小写：</w:t>
      </w:r>
    </w:p>
    <w:p>
      <w:pPr>
        <w:adjustRightInd w:val="0"/>
        <w:snapToGrid w:val="0"/>
        <w:spacing w:line="440" w:lineRule="exact"/>
        <w:ind w:firstLine="1440" w:firstLineChars="600"/>
        <w:rPr>
          <w:rFonts w:ascii="宋体" w:hAnsi="宋体" w:cs="宋体"/>
          <w:b/>
          <w:sz w:val="24"/>
        </w:rPr>
      </w:pPr>
      <w:r>
        <w:rPr>
          <w:rFonts w:hint="eastAsia" w:ascii="宋体" w:hAnsi="宋体" w:cs="宋体"/>
          <w:sz w:val="24"/>
        </w:rPr>
        <w:t>大写：</w:t>
      </w:r>
    </w:p>
    <w:p>
      <w:pPr>
        <w:adjustRightInd w:val="0"/>
        <w:snapToGrid w:val="0"/>
        <w:spacing w:line="440" w:lineRule="exact"/>
        <w:ind w:firstLine="480"/>
        <w:rPr>
          <w:rFonts w:ascii="宋体" w:hAnsi="宋体" w:cs="宋体"/>
          <w:sz w:val="24"/>
        </w:rPr>
      </w:pPr>
      <w:r>
        <w:rPr>
          <w:rFonts w:hint="eastAsia" w:ascii="宋体" w:hAnsi="宋体" w:cs="宋体"/>
          <w:sz w:val="24"/>
        </w:rPr>
        <w:t>（2）具体标的见附件。</w:t>
      </w:r>
    </w:p>
    <w:p>
      <w:pPr>
        <w:adjustRightInd w:val="0"/>
        <w:snapToGrid w:val="0"/>
        <w:spacing w:line="440" w:lineRule="exact"/>
        <w:ind w:firstLine="480"/>
        <w:rPr>
          <w:rFonts w:ascii="宋体" w:hAnsi="宋体" w:cs="宋体"/>
          <w:sz w:val="24"/>
        </w:rPr>
      </w:pPr>
      <w:r>
        <w:rPr>
          <w:rFonts w:hint="eastAsia" w:ascii="宋体" w:hAnsi="宋体" w:cs="宋体"/>
          <w:sz w:val="24"/>
        </w:rPr>
        <w:t>（3）合同价格形式： 。</w:t>
      </w:r>
    </w:p>
    <w:p>
      <w:pPr>
        <w:adjustRightInd w:val="0"/>
        <w:snapToGrid w:val="0"/>
        <w:spacing w:line="440" w:lineRule="exact"/>
        <w:ind w:firstLine="482"/>
        <w:rPr>
          <w:rFonts w:ascii="宋体" w:hAnsi="宋体" w:cs="宋体"/>
          <w:sz w:val="24"/>
          <w:u w:val="single"/>
        </w:rPr>
      </w:pPr>
      <w:r>
        <w:rPr>
          <w:rFonts w:hint="eastAsia" w:ascii="宋体" w:hAnsi="宋体" w:cs="宋体"/>
          <w:b/>
          <w:sz w:val="24"/>
        </w:rPr>
        <w:t>3.履行合同的时间、地点及方式</w:t>
      </w:r>
    </w:p>
    <w:p>
      <w:pPr>
        <w:adjustRightInd w:val="0"/>
        <w:snapToGrid w:val="0"/>
        <w:spacing w:line="440" w:lineRule="exact"/>
        <w:ind w:firstLine="720" w:firstLineChars="300"/>
        <w:rPr>
          <w:rFonts w:ascii="宋体" w:hAnsi="宋体" w:cs="宋体"/>
          <w:sz w:val="24"/>
        </w:rPr>
      </w:pPr>
      <w:r>
        <w:rPr>
          <w:rFonts w:hint="eastAsia" w:ascii="宋体" w:hAnsi="宋体" w:cs="宋体"/>
          <w:sz w:val="24"/>
        </w:rPr>
        <w:t>起始日期：年月日，完成日期：年月日。总日历天数：天。</w:t>
      </w:r>
    </w:p>
    <w:p>
      <w:pPr>
        <w:adjustRightInd w:val="0"/>
        <w:snapToGrid w:val="0"/>
        <w:spacing w:line="440" w:lineRule="exact"/>
        <w:ind w:firstLine="720" w:firstLineChars="300"/>
        <w:rPr>
          <w:rFonts w:ascii="宋体" w:hAnsi="宋体" w:cs="宋体"/>
          <w:sz w:val="24"/>
        </w:rPr>
      </w:pPr>
      <w:r>
        <w:rPr>
          <w:rFonts w:hint="eastAsia" w:ascii="宋体" w:hAnsi="宋体" w:cs="宋体"/>
          <w:sz w:val="24"/>
        </w:rPr>
        <w:t>地点：采购人指定地点</w:t>
      </w:r>
    </w:p>
    <w:p>
      <w:pPr>
        <w:adjustRightInd w:val="0"/>
        <w:snapToGrid w:val="0"/>
        <w:spacing w:line="440" w:lineRule="exact"/>
        <w:ind w:firstLine="720" w:firstLineChars="300"/>
        <w:rPr>
          <w:rFonts w:ascii="宋体" w:hAnsi="宋体" w:cs="宋体"/>
          <w:sz w:val="24"/>
        </w:rPr>
      </w:pPr>
      <w:r>
        <w:rPr>
          <w:rFonts w:hint="eastAsia" w:ascii="宋体" w:hAnsi="宋体" w:cs="宋体"/>
          <w:sz w:val="24"/>
        </w:rPr>
        <w:t xml:space="preserve">方式：采购人指定方式           </w:t>
      </w:r>
    </w:p>
    <w:p>
      <w:pPr>
        <w:adjustRightInd w:val="0"/>
        <w:snapToGrid w:val="0"/>
        <w:spacing w:line="440" w:lineRule="exact"/>
        <w:ind w:firstLine="482"/>
        <w:rPr>
          <w:rFonts w:ascii="宋体" w:hAnsi="宋体" w:cs="宋体"/>
          <w:bCs/>
          <w:sz w:val="24"/>
        </w:rPr>
      </w:pPr>
      <w:r>
        <w:rPr>
          <w:rFonts w:hint="eastAsia" w:ascii="宋体" w:hAnsi="宋体" w:cs="宋体"/>
          <w:b/>
          <w:sz w:val="24"/>
        </w:rPr>
        <w:t>4.付款：</w:t>
      </w:r>
    </w:p>
    <w:p>
      <w:pPr>
        <w:adjustRightInd w:val="0"/>
        <w:snapToGrid w:val="0"/>
        <w:spacing w:line="440" w:lineRule="exact"/>
        <w:ind w:firstLine="482"/>
        <w:rPr>
          <w:rFonts w:ascii="宋体" w:hAnsi="宋体" w:cs="宋体"/>
          <w:b/>
          <w:sz w:val="24"/>
        </w:rPr>
      </w:pPr>
      <w:r>
        <w:rPr>
          <w:rFonts w:hint="eastAsia" w:ascii="宋体" w:hAnsi="宋体" w:cs="宋体"/>
          <w:b/>
          <w:sz w:val="24"/>
        </w:rPr>
        <w:t>5.解决合同纠纷方式</w:t>
      </w:r>
    </w:p>
    <w:p>
      <w:pPr>
        <w:adjustRightInd w:val="0"/>
        <w:snapToGrid w:val="0"/>
        <w:spacing w:line="440" w:lineRule="exact"/>
        <w:ind w:firstLine="480"/>
        <w:rPr>
          <w:rFonts w:ascii="宋体" w:hAnsi="宋体" w:cs="宋体"/>
          <w:sz w:val="24"/>
        </w:rPr>
      </w:pPr>
      <w:r>
        <w:rPr>
          <w:rFonts w:hint="eastAsia" w:ascii="宋体" w:hAnsi="宋体" w:cs="宋体"/>
          <w:sz w:val="24"/>
        </w:rPr>
        <w:t>首先通过双方协商解决，协商解决不成，则通过以下途径之一解决纠纷：</w:t>
      </w:r>
    </w:p>
    <w:p>
      <w:pPr>
        <w:adjustRightInd w:val="0"/>
        <w:snapToGrid w:val="0"/>
        <w:spacing w:line="440" w:lineRule="exact"/>
        <w:ind w:firstLine="960" w:firstLineChars="400"/>
        <w:rPr>
          <w:rFonts w:ascii="宋体" w:hAnsi="宋体" w:cs="宋体"/>
          <w:sz w:val="24"/>
        </w:rPr>
      </w:pPr>
      <w:r>
        <w:rPr>
          <w:rFonts w:hint="eastAsia" w:ascii="宋体" w:hAnsi="宋体" w:cs="宋体"/>
          <w:sz w:val="24"/>
        </w:rPr>
        <w:t>□ 提请仲裁       ■ 向人民法院提起诉讼</w:t>
      </w:r>
    </w:p>
    <w:p>
      <w:pPr>
        <w:adjustRightInd w:val="0"/>
        <w:snapToGrid w:val="0"/>
        <w:spacing w:line="440" w:lineRule="exact"/>
        <w:ind w:firstLine="482"/>
        <w:rPr>
          <w:rFonts w:ascii="宋体" w:hAnsi="宋体" w:cs="宋体"/>
          <w:b/>
          <w:sz w:val="24"/>
        </w:rPr>
      </w:pPr>
      <w:r>
        <w:rPr>
          <w:rFonts w:hint="eastAsia" w:ascii="宋体" w:hAnsi="宋体" w:cs="宋体"/>
          <w:b/>
          <w:sz w:val="24"/>
        </w:rPr>
        <w:t>6.组成合同的文件</w:t>
      </w:r>
    </w:p>
    <w:p>
      <w:pPr>
        <w:adjustRightInd w:val="0"/>
        <w:snapToGrid w:val="0"/>
        <w:spacing w:line="440" w:lineRule="exact"/>
        <w:ind w:firstLine="480"/>
        <w:rPr>
          <w:rFonts w:ascii="宋体" w:hAnsi="宋体" w:cs="宋体"/>
          <w:sz w:val="24"/>
        </w:rPr>
      </w:pPr>
      <w:r>
        <w:rPr>
          <w:rFonts w:hint="eastAsia" w:ascii="宋体" w:hAnsi="宋体" w:cs="宋体"/>
          <w:sz w:val="24"/>
        </w:rPr>
        <w:t>本协议书与下列文件一起构成合同文件，如下述文件之间有任何抵触、矛盾或歧义，应按以下顺序解释：</w:t>
      </w:r>
    </w:p>
    <w:p>
      <w:pPr>
        <w:adjustRightInd w:val="0"/>
        <w:snapToGrid w:val="0"/>
        <w:spacing w:line="440" w:lineRule="exact"/>
        <w:ind w:firstLine="480"/>
        <w:rPr>
          <w:rFonts w:ascii="宋体" w:hAnsi="宋体" w:cs="宋体"/>
          <w:sz w:val="24"/>
        </w:rPr>
      </w:pPr>
      <w:r>
        <w:rPr>
          <w:rFonts w:hint="eastAsia" w:ascii="宋体" w:hAnsi="宋体" w:cs="宋体"/>
          <w:sz w:val="24"/>
        </w:rPr>
        <w:t>（1）在采购或合同履行过程中乙方作出的承诺以及双方协商达成的变更或补充协议</w:t>
      </w:r>
    </w:p>
    <w:p>
      <w:pPr>
        <w:adjustRightInd w:val="0"/>
        <w:snapToGrid w:val="0"/>
        <w:spacing w:line="440" w:lineRule="exact"/>
        <w:ind w:firstLine="480"/>
        <w:rPr>
          <w:rFonts w:ascii="宋体" w:hAnsi="宋体" w:cs="宋体"/>
          <w:sz w:val="24"/>
        </w:rPr>
      </w:pPr>
      <w:r>
        <w:rPr>
          <w:rFonts w:hint="eastAsia" w:ascii="宋体" w:hAnsi="宋体" w:cs="宋体"/>
          <w:sz w:val="24"/>
        </w:rPr>
        <w:t>（2）成交通知书</w:t>
      </w:r>
    </w:p>
    <w:p>
      <w:pPr>
        <w:adjustRightInd w:val="0"/>
        <w:snapToGrid w:val="0"/>
        <w:spacing w:line="440" w:lineRule="exact"/>
        <w:ind w:firstLine="480"/>
        <w:rPr>
          <w:rFonts w:ascii="宋体" w:hAnsi="宋体" w:cs="宋体"/>
          <w:sz w:val="24"/>
        </w:rPr>
      </w:pPr>
      <w:r>
        <w:rPr>
          <w:rFonts w:hint="eastAsia" w:ascii="宋体" w:hAnsi="宋体" w:cs="宋体"/>
          <w:sz w:val="24"/>
        </w:rPr>
        <w:t>（3）响应文件</w:t>
      </w:r>
    </w:p>
    <w:p>
      <w:pPr>
        <w:adjustRightInd w:val="0"/>
        <w:snapToGrid w:val="0"/>
        <w:spacing w:line="440" w:lineRule="exact"/>
        <w:ind w:firstLine="480"/>
        <w:rPr>
          <w:rFonts w:ascii="宋体" w:hAnsi="宋体" w:cs="宋体"/>
          <w:sz w:val="24"/>
        </w:rPr>
      </w:pPr>
      <w:r>
        <w:rPr>
          <w:rFonts w:hint="eastAsia" w:ascii="宋体" w:hAnsi="宋体" w:cs="宋体"/>
          <w:sz w:val="24"/>
        </w:rPr>
        <w:t>（4）政府采购合同格式条款及其附件</w:t>
      </w:r>
    </w:p>
    <w:p>
      <w:pPr>
        <w:adjustRightInd w:val="0"/>
        <w:snapToGrid w:val="0"/>
        <w:spacing w:line="440" w:lineRule="exact"/>
        <w:ind w:firstLine="480"/>
        <w:rPr>
          <w:rFonts w:ascii="宋体" w:hAnsi="宋体" w:cs="宋体"/>
          <w:sz w:val="24"/>
        </w:rPr>
      </w:pPr>
      <w:r>
        <w:rPr>
          <w:rFonts w:hint="eastAsia" w:ascii="宋体" w:hAnsi="宋体" w:cs="宋体"/>
          <w:sz w:val="24"/>
        </w:rPr>
        <w:t>（5）专用合同条款</w:t>
      </w:r>
    </w:p>
    <w:p>
      <w:pPr>
        <w:adjustRightInd w:val="0"/>
        <w:snapToGrid w:val="0"/>
        <w:spacing w:line="440" w:lineRule="exact"/>
        <w:ind w:firstLine="480"/>
        <w:rPr>
          <w:rFonts w:ascii="宋体" w:hAnsi="宋体" w:cs="宋体"/>
          <w:sz w:val="24"/>
        </w:rPr>
      </w:pPr>
      <w:r>
        <w:rPr>
          <w:rFonts w:hint="eastAsia" w:ascii="宋体" w:hAnsi="宋体" w:cs="宋体"/>
          <w:sz w:val="24"/>
        </w:rPr>
        <w:t>（6）通用合同条款（如果有）</w:t>
      </w:r>
    </w:p>
    <w:p>
      <w:pPr>
        <w:adjustRightInd w:val="0"/>
        <w:snapToGrid w:val="0"/>
        <w:spacing w:line="440" w:lineRule="exact"/>
        <w:ind w:firstLine="480"/>
        <w:rPr>
          <w:rFonts w:ascii="宋体" w:hAnsi="宋体" w:cs="宋体"/>
          <w:sz w:val="24"/>
        </w:rPr>
      </w:pPr>
      <w:r>
        <w:rPr>
          <w:rFonts w:hint="eastAsia" w:ascii="宋体" w:hAnsi="宋体" w:cs="宋体"/>
          <w:sz w:val="24"/>
        </w:rPr>
        <w:t>（7）标准、规范及有关技术文件，图纸，已标价工程量清单或预算书（如果有）</w:t>
      </w:r>
    </w:p>
    <w:p>
      <w:pPr>
        <w:adjustRightInd w:val="0"/>
        <w:snapToGrid w:val="0"/>
        <w:spacing w:line="440" w:lineRule="exact"/>
        <w:ind w:firstLine="480"/>
        <w:rPr>
          <w:rFonts w:ascii="宋体" w:hAnsi="宋体" w:cs="宋体"/>
          <w:sz w:val="24"/>
        </w:rPr>
      </w:pPr>
      <w:r>
        <w:rPr>
          <w:rFonts w:hint="eastAsia" w:ascii="宋体" w:hAnsi="宋体" w:cs="宋体"/>
          <w:sz w:val="24"/>
        </w:rPr>
        <w:t>（8）其他合同文件。</w:t>
      </w:r>
    </w:p>
    <w:p>
      <w:pPr>
        <w:adjustRightInd w:val="0"/>
        <w:snapToGrid w:val="0"/>
        <w:spacing w:line="440" w:lineRule="exact"/>
        <w:ind w:firstLine="354" w:firstLineChars="147"/>
        <w:rPr>
          <w:rFonts w:ascii="宋体" w:hAnsi="宋体" w:cs="宋体"/>
          <w:b/>
          <w:sz w:val="24"/>
        </w:rPr>
      </w:pPr>
      <w:r>
        <w:rPr>
          <w:rFonts w:hint="eastAsia" w:ascii="宋体" w:hAnsi="宋体" w:cs="宋体"/>
          <w:b/>
          <w:sz w:val="24"/>
        </w:rPr>
        <w:t>7.合同生效</w:t>
      </w:r>
    </w:p>
    <w:p>
      <w:pPr>
        <w:adjustRightInd w:val="0"/>
        <w:snapToGrid w:val="0"/>
        <w:spacing w:line="440" w:lineRule="exact"/>
        <w:ind w:firstLine="480"/>
        <w:rPr>
          <w:rFonts w:ascii="宋体" w:hAnsi="宋体" w:cs="宋体"/>
          <w:sz w:val="24"/>
        </w:rPr>
      </w:pPr>
      <w:r>
        <w:rPr>
          <w:rFonts w:hint="eastAsia" w:ascii="宋体" w:hAnsi="宋体" w:cs="宋体"/>
          <w:sz w:val="24"/>
        </w:rPr>
        <w:t>本合同自</w:t>
      </w:r>
      <w:r>
        <w:rPr>
          <w:rFonts w:hint="eastAsia" w:ascii="宋体" w:hAnsi="宋体" w:cs="宋体"/>
          <w:sz w:val="24"/>
          <w:u w:val="single"/>
        </w:rPr>
        <w:t>合同签订之日起</w:t>
      </w:r>
      <w:r>
        <w:rPr>
          <w:rFonts w:hint="eastAsia" w:ascii="宋体" w:hAnsi="宋体" w:cs="宋体"/>
          <w:sz w:val="24"/>
        </w:rPr>
        <w:t>生效。</w:t>
      </w:r>
    </w:p>
    <w:p>
      <w:pPr>
        <w:adjustRightInd w:val="0"/>
        <w:snapToGrid w:val="0"/>
        <w:spacing w:line="440" w:lineRule="exact"/>
        <w:ind w:firstLine="354" w:firstLineChars="147"/>
        <w:rPr>
          <w:rFonts w:ascii="宋体" w:hAnsi="宋体" w:cs="宋体"/>
          <w:b/>
          <w:sz w:val="24"/>
        </w:rPr>
      </w:pPr>
      <w:r>
        <w:rPr>
          <w:rFonts w:hint="eastAsia" w:ascii="宋体" w:hAnsi="宋体" w:cs="宋体"/>
          <w:b/>
          <w:sz w:val="24"/>
        </w:rPr>
        <w:t>8.合同份数</w:t>
      </w:r>
    </w:p>
    <w:p>
      <w:pPr>
        <w:adjustRightInd w:val="0"/>
        <w:snapToGrid w:val="0"/>
        <w:spacing w:line="440" w:lineRule="exact"/>
        <w:ind w:firstLine="480"/>
        <w:rPr>
          <w:rFonts w:ascii="宋体" w:hAnsi="宋体" w:cs="宋体"/>
          <w:sz w:val="24"/>
        </w:rPr>
      </w:pPr>
      <w:r>
        <w:rPr>
          <w:rFonts w:hint="eastAsia" w:ascii="宋体" w:hAnsi="宋体" w:cs="宋体"/>
          <w:sz w:val="24"/>
        </w:rPr>
        <w:t>本合同一式肆份，采购人执两份，供应商执两份，均具有同等法律效力。</w:t>
      </w:r>
    </w:p>
    <w:p>
      <w:pPr>
        <w:adjustRightInd w:val="0"/>
        <w:snapToGrid w:val="0"/>
        <w:spacing w:line="440" w:lineRule="exact"/>
        <w:ind w:firstLine="480"/>
        <w:rPr>
          <w:rFonts w:ascii="宋体" w:hAnsi="宋体" w:cs="宋体"/>
          <w:sz w:val="24"/>
        </w:rPr>
      </w:pPr>
    </w:p>
    <w:p>
      <w:pPr>
        <w:adjustRightInd w:val="0"/>
        <w:snapToGrid w:val="0"/>
        <w:spacing w:line="440" w:lineRule="exact"/>
        <w:ind w:firstLine="480"/>
        <w:rPr>
          <w:rFonts w:ascii="宋体" w:hAnsi="宋体" w:cs="宋体"/>
          <w:sz w:val="24"/>
        </w:rPr>
      </w:pPr>
      <w:r>
        <w:rPr>
          <w:rFonts w:hint="eastAsia" w:ascii="宋体" w:hAnsi="宋体" w:cs="宋体"/>
          <w:sz w:val="24"/>
        </w:rPr>
        <w:t>合同订立时间：年月日</w:t>
      </w:r>
    </w:p>
    <w:p>
      <w:pPr>
        <w:adjustRightInd w:val="0"/>
        <w:snapToGrid w:val="0"/>
        <w:spacing w:line="440" w:lineRule="exact"/>
        <w:ind w:firstLine="480"/>
        <w:rPr>
          <w:rFonts w:ascii="宋体" w:hAnsi="宋体" w:cs="宋体"/>
          <w:sz w:val="24"/>
        </w:rPr>
      </w:pPr>
      <w:r>
        <w:rPr>
          <w:rFonts w:hint="eastAsia" w:ascii="宋体" w:hAnsi="宋体" w:cs="宋体"/>
          <w:sz w:val="24"/>
        </w:rPr>
        <w:t>合同订立地点：</w:t>
      </w:r>
    </w:p>
    <w:p>
      <w:pPr>
        <w:adjustRightInd w:val="0"/>
        <w:snapToGrid w:val="0"/>
        <w:spacing w:line="440" w:lineRule="exact"/>
        <w:ind w:firstLine="480"/>
        <w:rPr>
          <w:rFonts w:ascii="宋体" w:hAnsi="宋体" w:cs="宋体"/>
          <w:sz w:val="24"/>
        </w:rPr>
      </w:pPr>
    </w:p>
    <w:p>
      <w:pPr>
        <w:adjustRightInd w:val="0"/>
        <w:snapToGrid w:val="0"/>
        <w:spacing w:line="440" w:lineRule="exact"/>
        <w:ind w:firstLine="480"/>
        <w:rPr>
          <w:rFonts w:ascii="宋体" w:hAnsi="宋体" w:cs="宋体"/>
          <w:sz w:val="24"/>
        </w:rPr>
      </w:pPr>
      <w:r>
        <w:rPr>
          <w:rFonts w:hint="eastAsia" w:ascii="宋体" w:hAnsi="宋体" w:cs="宋体"/>
          <w:sz w:val="24"/>
        </w:rPr>
        <w:t>甲      方：（公章）                     乙      方：（公章）</w:t>
      </w:r>
    </w:p>
    <w:p>
      <w:pPr>
        <w:adjustRightInd w:val="0"/>
        <w:snapToGrid w:val="0"/>
        <w:spacing w:line="440" w:lineRule="exact"/>
        <w:ind w:firstLine="480"/>
        <w:rPr>
          <w:rFonts w:ascii="宋体" w:hAnsi="宋体" w:cs="宋体"/>
          <w:sz w:val="24"/>
        </w:rPr>
      </w:pPr>
      <w:r>
        <w:rPr>
          <w:rFonts w:hint="eastAsia" w:ascii="宋体" w:hAnsi="宋体" w:cs="宋体"/>
          <w:sz w:val="24"/>
        </w:rPr>
        <w:t>法定代表人：                            法定代表人：</w:t>
      </w:r>
    </w:p>
    <w:p>
      <w:pPr>
        <w:adjustRightInd w:val="0"/>
        <w:snapToGrid w:val="0"/>
        <w:spacing w:line="440" w:lineRule="exact"/>
        <w:ind w:firstLine="480"/>
        <w:rPr>
          <w:rFonts w:ascii="宋体" w:hAnsi="宋体" w:cs="宋体"/>
          <w:sz w:val="24"/>
        </w:rPr>
      </w:pPr>
      <w:r>
        <w:rPr>
          <w:rFonts w:hint="eastAsia" w:ascii="宋体" w:hAnsi="宋体" w:cs="宋体"/>
          <w:sz w:val="24"/>
        </w:rPr>
        <w:t>委托代理人：                            委托代理人：</w:t>
      </w:r>
    </w:p>
    <w:p>
      <w:pPr>
        <w:adjustRightInd w:val="0"/>
        <w:snapToGrid w:val="0"/>
        <w:spacing w:line="440" w:lineRule="exact"/>
        <w:ind w:firstLine="480"/>
        <w:rPr>
          <w:rFonts w:ascii="宋体" w:hAnsi="宋体" w:cs="宋体"/>
          <w:sz w:val="24"/>
        </w:rPr>
      </w:pPr>
      <w:r>
        <w:rPr>
          <w:rFonts w:hint="eastAsia" w:ascii="宋体" w:hAnsi="宋体" w:cs="宋体"/>
          <w:sz w:val="24"/>
        </w:rPr>
        <w:t>电      话：                            电      话：</w:t>
      </w:r>
    </w:p>
    <w:p>
      <w:pPr>
        <w:adjustRightInd w:val="0"/>
        <w:snapToGrid w:val="0"/>
        <w:spacing w:line="440" w:lineRule="exact"/>
        <w:ind w:firstLine="480"/>
        <w:rPr>
          <w:rFonts w:ascii="宋体" w:hAnsi="宋体" w:cs="宋体"/>
          <w:sz w:val="24"/>
        </w:rPr>
      </w:pPr>
      <w:r>
        <w:rPr>
          <w:rFonts w:hint="eastAsia" w:ascii="宋体" w:hAnsi="宋体" w:cs="宋体"/>
          <w:sz w:val="24"/>
        </w:rPr>
        <w:t>传      真：                            传      真：</w:t>
      </w:r>
    </w:p>
    <w:p>
      <w:pPr>
        <w:adjustRightInd w:val="0"/>
        <w:snapToGrid w:val="0"/>
        <w:spacing w:line="440" w:lineRule="exact"/>
        <w:ind w:firstLine="480"/>
        <w:rPr>
          <w:rFonts w:ascii="宋体" w:hAnsi="宋体" w:cs="宋体"/>
          <w:sz w:val="24"/>
        </w:rPr>
      </w:pPr>
      <w:r>
        <w:rPr>
          <w:rFonts w:hint="eastAsia" w:ascii="宋体" w:hAnsi="宋体" w:cs="宋体"/>
          <w:sz w:val="24"/>
        </w:rPr>
        <w:t xml:space="preserve">                                        开 户 银 行：</w:t>
      </w:r>
    </w:p>
    <w:p>
      <w:pPr>
        <w:adjustRightInd w:val="0"/>
        <w:snapToGrid w:val="0"/>
        <w:spacing w:line="440" w:lineRule="exact"/>
        <w:ind w:firstLine="480"/>
        <w:jc w:val="center"/>
        <w:rPr>
          <w:rFonts w:ascii="宋体" w:hAnsi="宋体" w:cs="宋体"/>
          <w:b/>
          <w:sz w:val="24"/>
        </w:rPr>
      </w:pPr>
      <w:r>
        <w:rPr>
          <w:rFonts w:hint="eastAsia" w:ascii="宋体" w:hAnsi="宋体" w:cs="宋体"/>
          <w:sz w:val="24"/>
        </w:rPr>
        <w:t xml:space="preserve">                            帐       号：</w:t>
      </w:r>
    </w:p>
    <w:p>
      <w:pPr>
        <w:ind w:firstLine="560"/>
      </w:pPr>
    </w:p>
    <w:p>
      <w:pPr>
        <w:ind w:firstLine="560"/>
      </w:pPr>
    </w:p>
    <w:p>
      <w:pPr>
        <w:ind w:firstLine="560"/>
      </w:pPr>
    </w:p>
    <w:p>
      <w:pPr>
        <w:pStyle w:val="4"/>
        <w:jc w:val="center"/>
      </w:pPr>
      <w:r>
        <w:rPr>
          <w:rFonts w:hint="eastAsia"/>
        </w:rPr>
        <w:br w:type="page"/>
      </w:r>
      <w:r>
        <w:rPr>
          <w:rFonts w:hint="eastAsia"/>
        </w:rPr>
        <w:t>二、政府采购合同通用条款</w:t>
      </w:r>
    </w:p>
    <w:p>
      <w:pPr>
        <w:pStyle w:val="5"/>
        <w:ind w:firstLine="562"/>
      </w:pPr>
      <w:r>
        <w:rPr>
          <w:rFonts w:hint="eastAsia"/>
        </w:rPr>
        <w:t>1.定义</w:t>
      </w:r>
    </w:p>
    <w:p>
      <w:pPr>
        <w:ind w:firstLine="560"/>
      </w:pPr>
      <w:r>
        <w:rPr>
          <w:rFonts w:hint="eastAsia"/>
        </w:rPr>
        <w:t>1.1 合同当事人</w:t>
      </w:r>
    </w:p>
    <w:p>
      <w:pPr>
        <w:ind w:firstLine="560"/>
      </w:pPr>
      <w:r>
        <w:rPr>
          <w:rFonts w:hint="eastAsia"/>
        </w:rPr>
        <w:t>（1）采购人(以下称甲方)是指使用财政性资金，通过政府采购程序向供应商购买货物、服务的国家机关、事业单位、团体组织。</w:t>
      </w:r>
    </w:p>
    <w:p>
      <w:pPr>
        <w:ind w:firstLine="560"/>
      </w:pPr>
      <w:r>
        <w:rPr>
          <w:rFonts w:hint="eastAsia"/>
        </w:rPr>
        <w:t>（2）供应商(以下称乙方)是指参加政府采购活动而取得成交资格，并向采购人提供货物、服务的法人、其他组织或者自然人。</w:t>
      </w:r>
    </w:p>
    <w:p>
      <w:pPr>
        <w:ind w:firstLine="560"/>
      </w:pPr>
      <w:r>
        <w:rPr>
          <w:rFonts w:hint="eastAsia"/>
        </w:rPr>
        <w:t>1.2本合同下列术语应解释为：</w:t>
      </w:r>
    </w:p>
    <w:p>
      <w:pPr>
        <w:ind w:firstLine="560"/>
      </w:pPr>
      <w:r>
        <w:rPr>
          <w:rFonts w:hint="eastAsia"/>
        </w:rPr>
        <w:t>（1）“合同”系指甲乙双方签署的、政府采购合同协议书中载明的甲乙双方所达成的协议，包括所有的附件、附录和上述文件所提到的构成合同的所有文件。</w:t>
      </w:r>
    </w:p>
    <w:p>
      <w:pPr>
        <w:ind w:firstLine="560"/>
      </w:pPr>
      <w:r>
        <w:rPr>
          <w:rFonts w:hint="eastAsia"/>
        </w:rPr>
        <w:t>（2）“合同价”系指根据本合同规定乙方在正确地完全履行合同义务后甲方应支付给乙方的价款。</w:t>
      </w:r>
    </w:p>
    <w:p>
      <w:pPr>
        <w:ind w:firstLine="560"/>
      </w:pPr>
      <w:r>
        <w:rPr>
          <w:rFonts w:hint="eastAsia"/>
        </w:rPr>
        <w:t>（3）“伴随服务”系指根据本合同规定乙方承担与服务有关的辅助服务，如技术支持以及其它的伴随服务，例如安装、调试、提供技术协助、培训和合同中规定乙方应承担的其它义务。</w:t>
      </w:r>
    </w:p>
    <w:p>
      <w:pPr>
        <w:ind w:firstLine="560"/>
      </w:pPr>
      <w:r>
        <w:rPr>
          <w:rFonts w:hint="eastAsia"/>
        </w:rPr>
        <w:t>（4）“项目现场”系指本合同项下服务现场。</w:t>
      </w:r>
    </w:p>
    <w:p>
      <w:pPr>
        <w:ind w:firstLine="560"/>
      </w:pPr>
      <w:r>
        <w:rPr>
          <w:rFonts w:hint="eastAsia"/>
        </w:rPr>
        <w:t>（5）“合同条款”系指本合同格式条款。</w:t>
      </w:r>
    </w:p>
    <w:p>
      <w:pPr>
        <w:pStyle w:val="5"/>
        <w:ind w:firstLine="562"/>
      </w:pPr>
      <w:r>
        <w:rPr>
          <w:rFonts w:hint="eastAsia"/>
        </w:rPr>
        <w:t>2.合同的适用范围</w:t>
      </w:r>
    </w:p>
    <w:p>
      <w:pPr>
        <w:ind w:firstLine="560"/>
      </w:pPr>
      <w:r>
        <w:rPr>
          <w:rFonts w:hint="eastAsia"/>
        </w:rPr>
        <w:t>2.1 本合同适用于合同协议书规定的项目。</w:t>
      </w:r>
    </w:p>
    <w:p>
      <w:pPr>
        <w:ind w:firstLine="560"/>
      </w:pPr>
      <w:r>
        <w:rPr>
          <w:rFonts w:hint="eastAsia"/>
        </w:rPr>
        <w:t>2.2 合同内容根据谈判文件、响应文件而确定。</w:t>
      </w:r>
    </w:p>
    <w:p>
      <w:pPr>
        <w:pStyle w:val="5"/>
        <w:ind w:firstLine="562"/>
      </w:pPr>
      <w:r>
        <w:rPr>
          <w:rFonts w:hint="eastAsia"/>
        </w:rPr>
        <w:t>3.合同标的及金额</w:t>
      </w:r>
    </w:p>
    <w:p>
      <w:pPr>
        <w:ind w:firstLine="560"/>
      </w:pPr>
      <w:r>
        <w:rPr>
          <w:rFonts w:hint="eastAsia"/>
        </w:rPr>
        <w:t>3.1 合同标的及金额应与成交结果一致。</w:t>
      </w:r>
    </w:p>
    <w:p>
      <w:pPr>
        <w:pStyle w:val="5"/>
        <w:ind w:firstLine="562"/>
      </w:pPr>
      <w:r>
        <w:rPr>
          <w:rFonts w:hint="eastAsia"/>
        </w:rPr>
        <w:t>4.合同价款</w:t>
      </w:r>
    </w:p>
    <w:p>
      <w:pPr>
        <w:ind w:firstLine="560"/>
      </w:pPr>
      <w:r>
        <w:rPr>
          <w:rFonts w:hint="eastAsia"/>
        </w:rPr>
        <w:t>4.1 具体合同价款见本合同条款第3.1项。乙方为履行本合同而发生的所有费用均应包含在合同价款中，甲方不再另行支付其它任何费用。</w:t>
      </w:r>
    </w:p>
    <w:p>
      <w:pPr>
        <w:pStyle w:val="5"/>
        <w:ind w:firstLine="562"/>
      </w:pPr>
      <w:r>
        <w:rPr>
          <w:rFonts w:hint="eastAsia"/>
        </w:rPr>
        <w:t>5.履行合同的时间、地点和方式</w:t>
      </w:r>
    </w:p>
    <w:p>
      <w:pPr>
        <w:ind w:firstLine="560"/>
      </w:pPr>
      <w:r>
        <w:rPr>
          <w:rFonts w:hint="eastAsia"/>
        </w:rPr>
        <w:t>5.1 乙方应当在甲方确定的时间、指定的地点履行合同，具体的服务时间、地点和方式见</w:t>
      </w:r>
      <w:r>
        <w:rPr>
          <w:rFonts w:hint="eastAsia"/>
          <w:b/>
          <w:bCs/>
        </w:rPr>
        <w:t>合同协议书</w:t>
      </w:r>
      <w:r>
        <w:rPr>
          <w:rFonts w:hint="eastAsia"/>
        </w:rPr>
        <w:t>。</w:t>
      </w:r>
    </w:p>
    <w:p>
      <w:pPr>
        <w:ind w:firstLine="560"/>
      </w:pPr>
      <w:r>
        <w:rPr>
          <w:rFonts w:hint="eastAsia"/>
        </w:rPr>
        <w:t xml:space="preserve">5.2 乙方提供服务应当按合同协议书规定的时间、地点和方式完成服务项目。 </w:t>
      </w:r>
    </w:p>
    <w:p>
      <w:pPr>
        <w:pStyle w:val="5"/>
        <w:ind w:firstLine="562"/>
      </w:pPr>
      <w:r>
        <w:rPr>
          <w:rFonts w:hint="eastAsia"/>
        </w:rPr>
        <w:t>6.服务的验收</w:t>
      </w:r>
    </w:p>
    <w:p>
      <w:pPr>
        <w:ind w:firstLine="560"/>
      </w:pPr>
      <w:r>
        <w:rPr>
          <w:rFonts w:hint="eastAsia"/>
        </w:rPr>
        <w:t>6.1 甲方在乙方提供服务后应当及时组织验收。</w:t>
      </w:r>
    </w:p>
    <w:p>
      <w:pPr>
        <w:ind w:firstLine="560"/>
      </w:pPr>
      <w:r>
        <w:rPr>
          <w:rFonts w:hint="eastAsia"/>
        </w:rPr>
        <w:t>6.2 服务的不足，甲方应在验收时当面提出；对服务质量有异议的应在服务履行开始之日起十个工作日内提出。</w:t>
      </w:r>
    </w:p>
    <w:p>
      <w:pPr>
        <w:ind w:firstLine="560"/>
      </w:pPr>
      <w:r>
        <w:rPr>
          <w:rFonts w:hint="eastAsia"/>
        </w:rPr>
        <w:t>6.3 在验收过程中发现有质量、技术等问题，乙方应负责按照甲方的要求采取相应补救措施，并承担由此发生的一切费用和损失。</w:t>
      </w:r>
    </w:p>
    <w:p>
      <w:pPr>
        <w:ind w:firstLine="560"/>
      </w:pPr>
      <w:r>
        <w:rPr>
          <w:rFonts w:hint="eastAsia"/>
        </w:rPr>
        <w:t>6.4 甲方在乙方按合同规定完成服务后，无正当理由而拖延接收、验收或拒绝接收、验收的，应承担因此给乙方造成的直接损失。</w:t>
      </w:r>
    </w:p>
    <w:p>
      <w:pPr>
        <w:ind w:firstLine="560"/>
      </w:pPr>
      <w:r>
        <w:rPr>
          <w:rFonts w:hint="eastAsia"/>
        </w:rPr>
        <w:t>6.5 甲方对服务成果进行检查验收合格后，应当收取发票并在《验收单》上签署验收意见及加盖单位印章。</w:t>
      </w:r>
    </w:p>
    <w:p>
      <w:pPr>
        <w:ind w:firstLine="560"/>
      </w:pPr>
      <w:r>
        <w:rPr>
          <w:rFonts w:hint="eastAsia"/>
        </w:rPr>
        <w:t>6.6 大型或者复杂的服务采购项目，甲方可以邀请国家认可的质量检测机构参加验收工作，并由其出具验收报告单。</w:t>
      </w:r>
    </w:p>
    <w:p>
      <w:pPr>
        <w:ind w:firstLine="560"/>
      </w:pPr>
      <w:r>
        <w:rPr>
          <w:rFonts w:hint="eastAsia"/>
        </w:rPr>
        <w:t>6.7 政府采购当事人在合同履约和验收工作中，应当自觉接受财政部门和对政府采购负有行政监督职责的政府其他有关部门的监督检查,在合同履约验收工作中合同当事人有下列情形的，将追究相关违法、违纪责任：</w:t>
      </w:r>
    </w:p>
    <w:p>
      <w:pPr>
        <w:ind w:firstLine="560"/>
      </w:pPr>
      <w:r>
        <w:rPr>
          <w:rFonts w:hint="eastAsia"/>
        </w:rPr>
        <w:t>（1）甲方无正当理由推迟项目验收时间的；</w:t>
      </w:r>
    </w:p>
    <w:p>
      <w:pPr>
        <w:ind w:firstLine="560"/>
      </w:pPr>
      <w:r>
        <w:rPr>
          <w:rFonts w:hint="eastAsia"/>
        </w:rPr>
        <w:t>（2）甲乙双方相互串通通过减少服务内容、降低服务标准或虚开发票等手段，套取财政资金的；</w:t>
      </w:r>
    </w:p>
    <w:p>
      <w:pPr>
        <w:ind w:firstLine="560"/>
      </w:pPr>
      <w:r>
        <w:rPr>
          <w:rFonts w:hint="eastAsia"/>
        </w:rPr>
        <w:t>（3）发现问题未向财政部门反映，私自与对方协商改变中标、成交结果的；</w:t>
      </w:r>
    </w:p>
    <w:p>
      <w:pPr>
        <w:ind w:firstLine="560"/>
      </w:pPr>
      <w:r>
        <w:rPr>
          <w:rFonts w:hint="eastAsia"/>
        </w:rPr>
        <w:t>（4）行贿、受贿或谋取不正当利益的；</w:t>
      </w:r>
    </w:p>
    <w:p>
      <w:pPr>
        <w:ind w:firstLine="560"/>
      </w:pPr>
      <w:r>
        <w:rPr>
          <w:rFonts w:hint="eastAsia"/>
        </w:rPr>
        <w:t>（5）拒绝有关部门依法实施监督检查的。</w:t>
      </w:r>
    </w:p>
    <w:p>
      <w:pPr>
        <w:pStyle w:val="5"/>
        <w:ind w:firstLine="562"/>
      </w:pPr>
      <w:r>
        <w:rPr>
          <w:rFonts w:hint="eastAsia"/>
        </w:rPr>
        <w:t>7.服务保证</w:t>
      </w:r>
    </w:p>
    <w:p>
      <w:pPr>
        <w:ind w:firstLine="560"/>
      </w:pPr>
      <w:r>
        <w:rPr>
          <w:rFonts w:hint="eastAsia"/>
        </w:rPr>
        <w:t>7.1 质量标准</w:t>
      </w:r>
    </w:p>
    <w:p>
      <w:pPr>
        <w:ind w:firstLine="560"/>
      </w:pPr>
      <w:r>
        <w:rPr>
          <w:rFonts w:hint="eastAsia"/>
        </w:rPr>
        <w:t>（1）本合同下交付的服务成果应符合第八章“服务内容及要求”所述的标准。如果没有提及适用标准，则应符合中华人民共和国有关机构发布的最新版本的标准。</w:t>
      </w:r>
    </w:p>
    <w:p>
      <w:pPr>
        <w:ind w:firstLine="560"/>
      </w:pPr>
      <w:r>
        <w:rPr>
          <w:rFonts w:hint="eastAsia"/>
        </w:rPr>
        <w:t>（2）采用中华人民共和国法定计量单位。</w:t>
      </w:r>
    </w:p>
    <w:p>
      <w:pPr>
        <w:ind w:firstLine="560"/>
      </w:pPr>
      <w:r>
        <w:rPr>
          <w:rFonts w:hint="eastAsia"/>
        </w:rPr>
        <w:t>（3）乙方所提供的服务还应符合国家有关规定。</w:t>
      </w:r>
    </w:p>
    <w:p>
      <w:pPr>
        <w:ind w:firstLine="560"/>
      </w:pPr>
      <w:r>
        <w:rPr>
          <w:rFonts w:hint="eastAsia"/>
        </w:rPr>
        <w:t>7.2 服务保证</w:t>
      </w:r>
    </w:p>
    <w:p>
      <w:pPr>
        <w:ind w:firstLine="560"/>
      </w:pPr>
      <w:r>
        <w:rPr>
          <w:rFonts w:hint="eastAsia"/>
        </w:rPr>
        <w:t>（1）乙方应保证没有因乙方的行为或疏忽而产生的缺陷。在验收后不少于双方约定或乙方承诺（两者以较长的为准）的服务保证期内，本保证保持有效。</w:t>
      </w:r>
    </w:p>
    <w:p>
      <w:pPr>
        <w:ind w:firstLine="560"/>
      </w:pPr>
      <w:r>
        <w:rPr>
          <w:rFonts w:hint="eastAsia"/>
        </w:rPr>
        <w:t>（2）在服务保证期内所发现的缺陷，甲方应尽快以书面形式通知乙方。</w:t>
      </w:r>
    </w:p>
    <w:p>
      <w:pPr>
        <w:ind w:firstLine="560"/>
      </w:pPr>
      <w:r>
        <w:rPr>
          <w:rFonts w:hint="eastAsia"/>
        </w:rPr>
        <w:t>（3）乙方收到通知后应在规定的响应时间内以合理的速度免费维修。</w:t>
      </w:r>
    </w:p>
    <w:p>
      <w:pPr>
        <w:ind w:firstLine="560"/>
      </w:pPr>
      <w:r>
        <w:rPr>
          <w:rFonts w:hint="eastAsia"/>
        </w:rPr>
        <w:t>（4）在服务保证期内，如果证实服务范围内的服务是有缺陷的，包括潜在的缺陷等，甲方可以根据本合同条款第13.1项规定以书面形式向乙方提出补救措施或索赔。</w:t>
      </w:r>
    </w:p>
    <w:p>
      <w:pPr>
        <w:ind w:firstLine="560"/>
      </w:pPr>
      <w:r>
        <w:rPr>
          <w:rFonts w:hint="eastAsia"/>
        </w:rPr>
        <w:t>（5）乙方在约定的时间内未能弥补缺陷，甲方可采取必要的补救措施，但其风险和费用将由乙方承担，甲方根据合同规定对乙方行使的其他权利不受影响。</w:t>
      </w:r>
    </w:p>
    <w:p>
      <w:pPr>
        <w:pStyle w:val="5"/>
        <w:ind w:firstLine="562"/>
      </w:pPr>
      <w:r>
        <w:rPr>
          <w:rFonts w:hint="eastAsia"/>
        </w:rPr>
        <w:t>8.权利瑕疵担保</w:t>
      </w:r>
    </w:p>
    <w:p>
      <w:pPr>
        <w:ind w:firstLine="560"/>
      </w:pPr>
      <w:r>
        <w:rPr>
          <w:rFonts w:hint="eastAsia"/>
        </w:rPr>
        <w:t>8.1 乙方保证对其出售的服务享有合法的权利。</w:t>
      </w:r>
    </w:p>
    <w:p>
      <w:pPr>
        <w:ind w:firstLine="560"/>
      </w:pPr>
      <w:r>
        <w:rPr>
          <w:rFonts w:hint="eastAsia"/>
        </w:rPr>
        <w:t>8.2 如甲方使用该服务构成上述侵权的，则由乙方承担全部责任。</w:t>
      </w:r>
    </w:p>
    <w:p>
      <w:pPr>
        <w:pStyle w:val="5"/>
        <w:ind w:firstLine="562"/>
      </w:pPr>
      <w:r>
        <w:rPr>
          <w:rFonts w:hint="eastAsia"/>
        </w:rPr>
        <w:t>9.知识产权保护</w:t>
      </w:r>
    </w:p>
    <w:p>
      <w:pPr>
        <w:ind w:firstLine="560"/>
      </w:pPr>
      <w:r>
        <w:rPr>
          <w:rFonts w:hint="eastAsia"/>
        </w:rPr>
        <w:t>9.1 乙方对其所提供的服务应当享有知识产权或经权利人合法授权，保证没有侵犯任何第三人的知识产权和商业秘密等权利。</w:t>
      </w:r>
    </w:p>
    <w:p>
      <w:pPr>
        <w:ind w:firstLine="560"/>
      </w:pPr>
      <w:r>
        <w:rPr>
          <w:rFonts w:hint="eastAsia"/>
        </w:rPr>
        <w:t>9.2 甲方使用乙方提供的服务对第三人构成侵权的，应当由乙方承担全部法律责任，给甲方造成损害的，乙方应当承担赔偿责任。</w:t>
      </w:r>
    </w:p>
    <w:p>
      <w:pPr>
        <w:ind w:firstLine="560"/>
      </w:pPr>
      <w:r>
        <w:rPr>
          <w:rFonts w:hint="eastAsia"/>
        </w:rPr>
        <w:t>9.3 甲方委托乙方提供的服务，甲方享有知识产权，未经甲方许可不得转让任何第三人。</w:t>
      </w:r>
    </w:p>
    <w:p>
      <w:pPr>
        <w:pStyle w:val="5"/>
        <w:ind w:firstLine="562"/>
      </w:pPr>
      <w:r>
        <w:rPr>
          <w:rFonts w:hint="eastAsia"/>
        </w:rPr>
        <w:t>10.保密义务</w:t>
      </w:r>
    </w:p>
    <w:p>
      <w:pPr>
        <w:ind w:firstLine="560"/>
      </w:pPr>
      <w:r>
        <w:rPr>
          <w:rFonts w:hint="eastAsia"/>
        </w:rPr>
        <w:t>10.1 甲、乙双方在采购和履行合同过程中所获悉的对方属于保密的内容，甲乙双方均有保密义务。</w:t>
      </w:r>
    </w:p>
    <w:p>
      <w:pPr>
        <w:pStyle w:val="5"/>
        <w:ind w:firstLine="562"/>
      </w:pPr>
      <w:r>
        <w:rPr>
          <w:rFonts w:hint="eastAsia"/>
        </w:rPr>
        <w:t>11.合同价款支付</w:t>
      </w:r>
    </w:p>
    <w:p>
      <w:pPr>
        <w:ind w:firstLine="560"/>
      </w:pPr>
      <w:r>
        <w:rPr>
          <w:rFonts w:hint="eastAsia"/>
        </w:rPr>
        <w:t>11.1 验收合格后，乙方出具正规发票给甲方，凭甲方开具的《政府采购合同验收报告单》办理合同价款结算手续。</w:t>
      </w:r>
    </w:p>
    <w:p>
      <w:pPr>
        <w:ind w:firstLine="560"/>
      </w:pPr>
      <w:r>
        <w:rPr>
          <w:rFonts w:hint="eastAsia"/>
        </w:rPr>
        <w:t>11.2 合同价款构成中应当由财政支付的部分，甲方应当在验收合格后的十五个工作日内向国库管理部门申请支付，经国库管理部门审核后直接支付给乙方。</w:t>
      </w:r>
    </w:p>
    <w:p>
      <w:pPr>
        <w:ind w:firstLine="560"/>
      </w:pPr>
      <w:r>
        <w:rPr>
          <w:rFonts w:hint="eastAsia"/>
        </w:rPr>
        <w:t>11.3 合同价款构成中应当由甲方自行支付的部分，甲方应当在验收合格后十五个工作日内支付。</w:t>
      </w:r>
    </w:p>
    <w:p>
      <w:pPr>
        <w:ind w:firstLine="560"/>
      </w:pPr>
      <w:r>
        <w:rPr>
          <w:rFonts w:hint="eastAsia"/>
        </w:rPr>
        <w:t>11.4 支付合同价款时，一律不向乙方以外的任何第三方办理付款手续。开户行和帐号以签订的政府采购合同为准，如果乙方要求变更，则乙方必须提供加盖财务专用章、法人代表签字的证明文件，报经甲方审查核准，并报财政部门备案。</w:t>
      </w:r>
    </w:p>
    <w:p>
      <w:pPr>
        <w:ind w:firstLine="560"/>
      </w:pPr>
      <w:r>
        <w:rPr>
          <w:rFonts w:hint="eastAsia"/>
        </w:rPr>
        <w:t>11.5 合同价款支付方式和条件在</w:t>
      </w:r>
      <w:r>
        <w:rPr>
          <w:rFonts w:hint="eastAsia"/>
          <w:b/>
          <w:bCs/>
        </w:rPr>
        <w:t>合同协议书</w:t>
      </w:r>
      <w:r>
        <w:rPr>
          <w:rFonts w:hint="eastAsia"/>
        </w:rPr>
        <w:t>中另有规定。</w:t>
      </w:r>
    </w:p>
    <w:p>
      <w:pPr>
        <w:pStyle w:val="5"/>
        <w:ind w:firstLine="562"/>
      </w:pPr>
      <w:r>
        <w:rPr>
          <w:rFonts w:hint="eastAsia"/>
        </w:rPr>
        <w:t>12. 伴随服务</w:t>
      </w:r>
    </w:p>
    <w:p>
      <w:pPr>
        <w:ind w:firstLine="560"/>
      </w:pPr>
      <w:r>
        <w:rPr>
          <w:rFonts w:hint="eastAsia"/>
        </w:rPr>
        <w:t>12.1 乙方应向甲方提交所提供服务的技术文件，包括相应的中文技术文件，如：图纸、操作手册或服务指南。这些文件应随同服务成果一同提交。</w:t>
      </w:r>
    </w:p>
    <w:p>
      <w:pPr>
        <w:ind w:firstLine="560"/>
      </w:pPr>
      <w:r>
        <w:rPr>
          <w:rFonts w:hint="eastAsia"/>
        </w:rPr>
        <w:t>12.2 乙方还应提供下列服务：</w:t>
      </w:r>
    </w:p>
    <w:p>
      <w:pPr>
        <w:ind w:firstLine="560"/>
      </w:pPr>
      <w:r>
        <w:rPr>
          <w:rFonts w:hint="eastAsia"/>
        </w:rPr>
        <w:t>（1）服务现场的启动监督及技术支持；</w:t>
      </w:r>
    </w:p>
    <w:p>
      <w:pPr>
        <w:ind w:firstLine="560"/>
      </w:pPr>
      <w:r>
        <w:rPr>
          <w:rFonts w:hint="eastAsia"/>
        </w:rPr>
        <w:t>（2）提供服务所需的专用工具和辅助材料；</w:t>
      </w:r>
    </w:p>
    <w:p>
      <w:pPr>
        <w:ind w:firstLine="560"/>
      </w:pPr>
      <w:r>
        <w:rPr>
          <w:rFonts w:hint="eastAsia"/>
        </w:rPr>
        <w:t>（3）在合同各方商定的一定期限内对所有的服务实施监督，但前提条件是该服务并不能免除乙方在服务期限内所承担的义务；</w:t>
      </w:r>
    </w:p>
    <w:p>
      <w:pPr>
        <w:pStyle w:val="5"/>
        <w:ind w:firstLine="562"/>
      </w:pPr>
      <w:r>
        <w:rPr>
          <w:rFonts w:hint="eastAsia"/>
        </w:rPr>
        <w:t>13.违约责任</w:t>
      </w:r>
    </w:p>
    <w:p>
      <w:pPr>
        <w:ind w:firstLine="560"/>
      </w:pPr>
      <w:r>
        <w:rPr>
          <w:rFonts w:hint="eastAsia"/>
        </w:rPr>
        <w:t>13.1 质量瑕疵的补救措施和索赔</w:t>
      </w:r>
    </w:p>
    <w:p>
      <w:pPr>
        <w:ind w:firstLine="560"/>
      </w:pPr>
      <w:r>
        <w:rPr>
          <w:rFonts w:hint="eastAsia"/>
        </w:rPr>
        <w:t>（1）如果乙方提供的服务不符合质量验收标准或存在质量缺陷，而甲方在合同条款第6条或合同的其他条款规定的检验、验收和质量保证期内，根据法定质量检测部门出具的检验证书向乙方提出了索赔，乙方应按照甲方同意的下列一种或几种方式结合起来解决索赔事宜：</w:t>
      </w:r>
    </w:p>
    <w:p>
      <w:pPr>
        <w:ind w:firstLine="560"/>
      </w:pPr>
      <w:r>
        <w:rPr>
          <w:rFonts w:hint="eastAsia"/>
        </w:rPr>
        <w:t>①乙方同意维修并至验收合格，由此发生的一切费用和损失由乙方承担。</w:t>
      </w:r>
    </w:p>
    <w:p>
      <w:pPr>
        <w:ind w:firstLine="560"/>
      </w:pPr>
      <w:r>
        <w:rPr>
          <w:rFonts w:hint="eastAsia"/>
        </w:rPr>
        <w:t>②根据服务的质量状况以及甲方所遭受的损失，经过甲乙双方商定降低合同的价格。</w:t>
      </w:r>
    </w:p>
    <w:p>
      <w:pPr>
        <w:ind w:firstLine="560"/>
      </w:pPr>
      <w:r>
        <w:rPr>
          <w:rFonts w:hint="eastAsia"/>
        </w:rPr>
        <w:t>③乙方应在接到甲方通知后七日内负责采用符合合同规定的方式来修补缺陷部分，其费用由乙方负担。同时，乙方应在约定的质量保证期基础上相应延长修补的质量保证期。</w:t>
      </w:r>
    </w:p>
    <w:p>
      <w:pPr>
        <w:ind w:firstLine="560"/>
      </w:pPr>
      <w:r>
        <w:rPr>
          <w:rFonts w:hint="eastAsia"/>
        </w:rPr>
        <w:t>（2）如果在甲方发出索赔通知后十日内乙方未作答复，上述索赔应视为已被乙方接受。如果乙方未能在甲方发出索赔通知后十日内或甲方同意延长的期限内，按照上述规定的任何一种方法采取补救措施，甲方有权从应付合同价款中扣除索赔金额或者没收质量保证金，如不足以弥补甲方损失的，甲方有权进一步要求乙方赔偿。</w:t>
      </w:r>
    </w:p>
    <w:p>
      <w:pPr>
        <w:ind w:firstLine="560"/>
      </w:pPr>
      <w:r>
        <w:rPr>
          <w:rFonts w:hint="eastAsia"/>
        </w:rPr>
        <w:t>13.2 迟延服务的违约责任</w:t>
      </w:r>
    </w:p>
    <w:p>
      <w:pPr>
        <w:ind w:firstLine="560"/>
      </w:pPr>
      <w:r>
        <w:rPr>
          <w:rFonts w:hint="eastAsia"/>
        </w:rPr>
        <w:t>（1）乙方应按照本合同规定的时间、地点提供服务。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pPr>
        <w:ind w:firstLine="560"/>
      </w:pPr>
      <w:r>
        <w:rPr>
          <w:rFonts w:hint="eastAsia"/>
        </w:rPr>
        <w:t>（2）除本合同条款第18条规定情况外，如果乙方没有按照合同规定的时间提供服务，甲方有权从合同价款中扣除误期赔偿费而不影响合同项下的其他补救方法，赔偿费按每周（一周按七日计算，不足七日按一周计算）赔偿延期服务的服务费用的百分之零点五（0.5%）计收，直至提供服务为止。但误期赔偿费的最高限额不超过合同价的百分之五（5%）。一旦达到误期赔偿的最高限额，甲方可以终止合同。</w:t>
      </w:r>
    </w:p>
    <w:p>
      <w:pPr>
        <w:pStyle w:val="5"/>
        <w:ind w:firstLine="562"/>
      </w:pPr>
      <w:r>
        <w:rPr>
          <w:rFonts w:hint="eastAsia"/>
        </w:rPr>
        <w:t>14.合同的变更</w:t>
      </w:r>
    </w:p>
    <w:p>
      <w:pPr>
        <w:ind w:firstLine="560"/>
      </w:pPr>
      <w:r>
        <w:rPr>
          <w:rFonts w:hint="eastAsia"/>
        </w:rPr>
        <w:t>14.1 在合同履行过程中，甲、乙双方可就合同履行的时间、地点和方式等协商进行变更。协商一致后，双方应签订书面的补充协议。</w:t>
      </w:r>
    </w:p>
    <w:p>
      <w:pPr>
        <w:ind w:firstLine="560"/>
      </w:pPr>
      <w:r>
        <w:rPr>
          <w:rFonts w:hint="eastAsia"/>
        </w:rPr>
        <w:t>14.2 在不改变合同其他条款的前提下，甲方有权在合同价款百分之十的范围内追加与合同标的相同的服务，并就此与乙方签订补充合同，乙方不得拒绝。</w:t>
      </w:r>
    </w:p>
    <w:p>
      <w:pPr>
        <w:ind w:firstLine="560"/>
      </w:pPr>
      <w:r>
        <w:rPr>
          <w:rFonts w:hint="eastAsia"/>
        </w:rPr>
        <w:t>14.3 除双方签署书面协议，并成为合同不可分割的一部分外，本合同条件不得有任何变更。</w:t>
      </w:r>
    </w:p>
    <w:p>
      <w:pPr>
        <w:pStyle w:val="5"/>
        <w:ind w:firstLine="562"/>
      </w:pPr>
      <w:r>
        <w:rPr>
          <w:rFonts w:hint="eastAsia"/>
        </w:rPr>
        <w:t>15.合同中止与终止</w:t>
      </w:r>
    </w:p>
    <w:p>
      <w:pPr>
        <w:ind w:firstLine="560"/>
      </w:pPr>
      <w:r>
        <w:rPr>
          <w:rFonts w:hint="eastAsia"/>
        </w:rPr>
        <w:t>15.1 合同的中止</w:t>
      </w:r>
    </w:p>
    <w:p>
      <w:pPr>
        <w:ind w:firstLine="560"/>
      </w:pPr>
      <w:r>
        <w:rPr>
          <w:rFonts w:hint="eastAsia"/>
        </w:rPr>
        <w:t>（1）合同在履行过程中，因采购计划调整，甲方可以要求中止履行，待计划确定后继续履行；</w:t>
      </w:r>
    </w:p>
    <w:p>
      <w:pPr>
        <w:ind w:firstLine="560"/>
      </w:pPr>
      <w:r>
        <w:rPr>
          <w:rFonts w:hint="eastAsia"/>
        </w:rPr>
        <w:t>（2）合同履行过程中因供应商就采购过程或结果提起投诉的，甲方认为有必要或财政部门责令中止的，应当中止合同的履行。</w:t>
      </w:r>
    </w:p>
    <w:p>
      <w:pPr>
        <w:ind w:firstLine="560"/>
      </w:pPr>
      <w:r>
        <w:rPr>
          <w:rFonts w:hint="eastAsia"/>
        </w:rPr>
        <w:t>15.2 合同的终止</w:t>
      </w:r>
    </w:p>
    <w:p>
      <w:pPr>
        <w:ind w:firstLine="560"/>
      </w:pPr>
      <w:r>
        <w:rPr>
          <w:rFonts w:hint="eastAsia"/>
        </w:rPr>
        <w:t>（1）合同因有效期限届满而终止；</w:t>
      </w:r>
    </w:p>
    <w:p>
      <w:pPr>
        <w:ind w:firstLine="560"/>
      </w:pPr>
      <w:r>
        <w:rPr>
          <w:rFonts w:hint="eastAsia"/>
        </w:rPr>
        <w:t>（2）乙方未能依照本合同约定条件履行合同，已构成根本性违约的，甲方有权终止本合同，并追究乙方的违约责任。</w:t>
      </w:r>
    </w:p>
    <w:p>
      <w:pPr>
        <w:ind w:firstLine="560"/>
      </w:pPr>
      <w:r>
        <w:rPr>
          <w:rFonts w:hint="eastAsia"/>
        </w:rPr>
        <w:t>（3）如果乙方丧失履约能力或被宣告破产，甲方可在任何时候以书面形式通知乙方终止合同而不给乙方补偿。</w:t>
      </w:r>
    </w:p>
    <w:p>
      <w:pPr>
        <w:ind w:firstLine="560"/>
      </w:pPr>
      <w:r>
        <w:rPr>
          <w:rFonts w:hint="eastAsia"/>
        </w:rPr>
        <w:t>（4）如果乙方在履行合同过程中有不正当竞争行为，甲方有权解除合同，并按《中华人民共和国反不正当竞争法》规定由有关部门追究其法律责任。</w:t>
      </w:r>
    </w:p>
    <w:p>
      <w:pPr>
        <w:ind w:firstLine="560"/>
      </w:pPr>
      <w:r>
        <w:rPr>
          <w:rFonts w:hint="eastAsia"/>
        </w:rPr>
        <w:t>（5）如果合同的履行将损害国家利益或社会公共利益，甲方有权终止合同的履行，给乙方造成损失的予以相应补偿。</w:t>
      </w:r>
    </w:p>
    <w:p>
      <w:pPr>
        <w:pStyle w:val="5"/>
        <w:ind w:firstLine="562"/>
      </w:pPr>
      <w:r>
        <w:rPr>
          <w:rFonts w:hint="eastAsia"/>
        </w:rPr>
        <w:t>16.合同转让和分包</w:t>
      </w:r>
    </w:p>
    <w:p>
      <w:pPr>
        <w:ind w:firstLine="560"/>
      </w:pPr>
      <w:r>
        <w:rPr>
          <w:rFonts w:hint="eastAsia"/>
        </w:rPr>
        <w:t>16.1 乙方不得以任何形式将合同转包。</w:t>
      </w:r>
    </w:p>
    <w:p>
      <w:pPr>
        <w:ind w:firstLine="560"/>
      </w:pPr>
      <w:r>
        <w:rPr>
          <w:rFonts w:hint="eastAsia"/>
        </w:rPr>
        <w:t>16.2 乙方未在响应文件中说明，且未经甲方书面同意，乙方不得将合同的主体、关键性工作分包给他人。</w:t>
      </w:r>
    </w:p>
    <w:p>
      <w:pPr>
        <w:ind w:firstLine="560"/>
      </w:pPr>
      <w:r>
        <w:rPr>
          <w:rFonts w:hint="eastAsia"/>
        </w:rPr>
        <w:t>16.3 根据政府采购支持中小企业发展政策规定，经甲方同意，获得政府采购合同的大型企业可依法向中小企业分包。</w:t>
      </w:r>
    </w:p>
    <w:p>
      <w:pPr>
        <w:pStyle w:val="5"/>
        <w:ind w:firstLine="562"/>
      </w:pPr>
      <w:r>
        <w:rPr>
          <w:rFonts w:hint="eastAsia"/>
        </w:rPr>
        <w:t>17. 供应商的广告或宣传</w:t>
      </w:r>
    </w:p>
    <w:p>
      <w:pPr>
        <w:ind w:firstLine="560"/>
      </w:pPr>
      <w:r>
        <w:rPr>
          <w:rFonts w:hint="eastAsia"/>
        </w:rPr>
        <w:t>17.1 未经甲方事先书面许可，乙方不得以履行本政府采购合同为由，以广告或其他形式宣称其是政府采购指定供应商是政府采购指定单位。</w:t>
      </w:r>
    </w:p>
    <w:p>
      <w:pPr>
        <w:pStyle w:val="5"/>
        <w:ind w:firstLine="562"/>
      </w:pPr>
      <w:r>
        <w:rPr>
          <w:rFonts w:hint="eastAsia"/>
        </w:rPr>
        <w:t>18.不可抗力</w:t>
      </w:r>
    </w:p>
    <w:p>
      <w:pPr>
        <w:ind w:firstLine="560"/>
      </w:pPr>
      <w:r>
        <w:rPr>
          <w:rFonts w:hint="eastAsia"/>
        </w:rPr>
        <w:t>18.1 不可抗力是指合同双方不可预见、不可避免、不可克服的自然灾害和社会事件。</w:t>
      </w:r>
    </w:p>
    <w:p>
      <w:pPr>
        <w:ind w:firstLine="560"/>
      </w:pPr>
      <w:r>
        <w:rPr>
          <w:rFonts w:hint="eastAsia"/>
        </w:rPr>
        <w:t>18.2 任何一方对由于不可抗力造成的部分或全部不能履行合同不承担违约责任。但迟延履行后发生不可抗力的，不能免除责任。</w:t>
      </w:r>
    </w:p>
    <w:p>
      <w:pPr>
        <w:ind w:firstLine="560"/>
      </w:pPr>
      <w:r>
        <w:rPr>
          <w:rFonts w:hint="eastAsia"/>
        </w:rPr>
        <w:t>18.3 遇有不可抗力的一方，应在三日内将事件的情况以书面形式通知另一方，并在事件发生后十日内，向另一方提交合同不能履行或部分不能履行或需要延期履行理由的报告。</w:t>
      </w:r>
    </w:p>
    <w:p>
      <w:pPr>
        <w:pStyle w:val="5"/>
        <w:ind w:firstLine="562"/>
      </w:pPr>
      <w:r>
        <w:rPr>
          <w:rFonts w:hint="eastAsia"/>
        </w:rPr>
        <w:t>19.解决争议的方法</w:t>
      </w:r>
    </w:p>
    <w:p>
      <w:pPr>
        <w:ind w:firstLine="560"/>
      </w:pPr>
      <w:r>
        <w:rPr>
          <w:rFonts w:hint="eastAsia"/>
        </w:rPr>
        <w:t>19.1 合同各方应通过友好协商，解决在执行合同过程中所发生的或与合同有关的一切争端。如从协商开始后十日内仍不能解决，可以向财政部门提请调解。</w:t>
      </w:r>
    </w:p>
    <w:p>
      <w:pPr>
        <w:ind w:firstLine="560"/>
      </w:pPr>
      <w:r>
        <w:rPr>
          <w:rFonts w:hint="eastAsia"/>
        </w:rPr>
        <w:t>19.2 调解不成可以按合同专协议书中规定下列方式之一提起仲裁或诉讼：</w:t>
      </w:r>
    </w:p>
    <w:p>
      <w:pPr>
        <w:ind w:firstLine="560"/>
      </w:pPr>
      <w:r>
        <w:rPr>
          <w:rFonts w:hint="eastAsia"/>
        </w:rPr>
        <w:t>（1）向甲方所在地仲裁机构提起仲裁；</w:t>
      </w:r>
    </w:p>
    <w:p>
      <w:pPr>
        <w:ind w:firstLine="560"/>
      </w:pPr>
      <w:r>
        <w:rPr>
          <w:rFonts w:hint="eastAsia"/>
        </w:rPr>
        <w:t>（2）向甲方所在地人民法院提起诉讼。</w:t>
      </w:r>
    </w:p>
    <w:p>
      <w:pPr>
        <w:ind w:firstLine="560"/>
      </w:pPr>
      <w:r>
        <w:rPr>
          <w:rFonts w:hint="eastAsia"/>
        </w:rPr>
        <w:t>19.3 如仲裁或诉讼事项不影响合同其它部分的履行，则在仲裁或诉讼期间，除正在进行仲裁或诉讼的部分外，合同的其它部分应继续执行。</w:t>
      </w:r>
    </w:p>
    <w:p>
      <w:pPr>
        <w:pStyle w:val="5"/>
        <w:ind w:firstLine="562"/>
      </w:pPr>
      <w:r>
        <w:rPr>
          <w:rFonts w:hint="eastAsia"/>
        </w:rPr>
        <w:t>20.法律适用</w:t>
      </w:r>
    </w:p>
    <w:p>
      <w:pPr>
        <w:ind w:firstLine="560"/>
      </w:pPr>
      <w:r>
        <w:rPr>
          <w:rFonts w:hint="eastAsia"/>
        </w:rPr>
        <w:t>20.1 本合同适用中华人民共和国现行法律、行政法规和规章，如合同条款与法律、行政法规和规章不一致的，按照法律、行政法规和规章修改本合同。</w:t>
      </w:r>
    </w:p>
    <w:p>
      <w:pPr>
        <w:pStyle w:val="5"/>
        <w:ind w:firstLine="562"/>
      </w:pPr>
      <w:r>
        <w:rPr>
          <w:rFonts w:hint="eastAsia"/>
        </w:rPr>
        <w:t>21.通知</w:t>
      </w:r>
    </w:p>
    <w:p>
      <w:pPr>
        <w:ind w:firstLine="560"/>
      </w:pPr>
      <w:r>
        <w:rPr>
          <w:rFonts w:hint="eastAsia"/>
        </w:rPr>
        <w:t>21.1 本合同一方给另一方的通知均应采用书面形式，传真或快递送到本合同中规定的对方的地址和办理签收手续。</w:t>
      </w:r>
    </w:p>
    <w:p>
      <w:pPr>
        <w:ind w:firstLine="560"/>
      </w:pPr>
      <w:r>
        <w:rPr>
          <w:rFonts w:hint="eastAsia"/>
        </w:rPr>
        <w:t>21.2 通知以送到之日或通知书中规定的生效之日起生效，两者中以较迟之日为准。</w:t>
      </w:r>
    </w:p>
    <w:p>
      <w:pPr>
        <w:ind w:firstLine="560"/>
      </w:pPr>
      <w:r>
        <w:rPr>
          <w:rFonts w:hint="eastAsia"/>
        </w:rPr>
        <w:t>22.合同生效</w:t>
      </w:r>
    </w:p>
    <w:p>
      <w:pPr>
        <w:ind w:firstLine="560"/>
      </w:pPr>
      <w:r>
        <w:rPr>
          <w:rFonts w:hint="eastAsia"/>
        </w:rPr>
        <w:t>22.1 本合同在合同各方签字盖章后生效。</w:t>
      </w:r>
    </w:p>
    <w:p>
      <w:pPr>
        <w:ind w:firstLine="560"/>
      </w:pPr>
    </w:p>
    <w:p>
      <w:pPr>
        <w:ind w:firstLine="560"/>
      </w:pPr>
    </w:p>
    <w:p>
      <w:pPr>
        <w:ind w:firstLine="560"/>
      </w:pPr>
    </w:p>
    <w:p>
      <w:pPr>
        <w:ind w:firstLine="560"/>
      </w:pPr>
    </w:p>
    <w:p>
      <w:pPr>
        <w:ind w:firstLine="560"/>
      </w:pPr>
    </w:p>
    <w:p>
      <w:pPr>
        <w:pStyle w:val="3"/>
      </w:pPr>
      <w:bookmarkStart w:id="31" w:name="_Toc22515"/>
      <w:bookmarkStart w:id="32" w:name="_Toc20915"/>
      <w:bookmarkStart w:id="33" w:name="_Toc22743"/>
      <w:r>
        <w:rPr>
          <w:rFonts w:hint="eastAsia"/>
        </w:rPr>
        <w:t xml:space="preserve">第四部分 </w:t>
      </w:r>
      <w:bookmarkStart w:id="34" w:name="_Toc6031"/>
      <w:bookmarkStart w:id="35" w:name="_Toc28160"/>
      <w:r>
        <w:rPr>
          <w:rFonts w:hint="eastAsia"/>
        </w:rPr>
        <w:t>采购需求</w:t>
      </w:r>
      <w:bookmarkEnd w:id="30"/>
      <w:bookmarkEnd w:id="31"/>
      <w:bookmarkEnd w:id="32"/>
      <w:bookmarkEnd w:id="33"/>
      <w:bookmarkEnd w:id="34"/>
      <w:bookmarkEnd w:id="35"/>
    </w:p>
    <w:p>
      <w:pPr>
        <w:ind w:firstLine="560"/>
      </w:pPr>
      <w:r>
        <w:rPr>
          <w:rFonts w:hint="eastAsia"/>
        </w:rPr>
        <w:t>（一）项目名称：察布查尔县2022年度卫片执法专项工作及国土变更调查专项工作</w:t>
      </w:r>
    </w:p>
    <w:p>
      <w:pPr>
        <w:ind w:firstLine="560"/>
      </w:pPr>
      <w:r>
        <w:rPr>
          <w:rFonts w:hint="eastAsia"/>
        </w:rPr>
        <w:t>（二）采购内容：对收到的下发图斑，需要对其进行实地核查、拍照取证、内业填报(含图斑判定)和数据成果上报等工作。本次变更调查的主要任务是： 按照国家和自治区的统一标准，利用卫星遥感、互联网、云计算等技术，统筹现有资料，根据国家下发的2022年底卫星遥感影像和监测图斑，结合有关监测及相关自然资源管理信息，制作外业调查底图，并开展实地调查举证。通过调查全面掌握我县2022年度的地类、面积、属性及相关 图层属性信息的变化情况，更新县级国土调查数据库。</w:t>
      </w:r>
    </w:p>
    <w:p>
      <w:pPr>
        <w:ind w:firstLine="560"/>
      </w:pPr>
      <w:r>
        <w:rPr>
          <w:rFonts w:hint="eastAsia"/>
        </w:rPr>
        <w:t>（</w:t>
      </w:r>
      <w:r>
        <w:rPr>
          <w:rFonts w:hint="eastAsia"/>
          <w:lang w:val="en-US" w:eastAsia="zh-CN"/>
        </w:rPr>
        <w:t>三</w:t>
      </w:r>
      <w:r>
        <w:rPr>
          <w:rFonts w:hint="eastAsia"/>
        </w:rPr>
        <w:t>）合同履约期限：2022年12月5日之前完成。</w:t>
      </w:r>
    </w:p>
    <w:p>
      <w:pPr>
        <w:pStyle w:val="3"/>
      </w:pPr>
    </w:p>
    <w:p>
      <w:pPr>
        <w:pStyle w:val="3"/>
      </w:pPr>
    </w:p>
    <w:p>
      <w:pPr>
        <w:pStyle w:val="3"/>
      </w:pPr>
      <w:r>
        <w:rPr>
          <w:rFonts w:hint="eastAsia"/>
        </w:rPr>
        <w:br w:type="page"/>
      </w:r>
      <w:bookmarkStart w:id="36" w:name="_Toc22750"/>
      <w:bookmarkStart w:id="37" w:name="_Toc19605"/>
      <w:bookmarkStart w:id="38" w:name="_Toc21099"/>
      <w:bookmarkStart w:id="39" w:name="_Toc5923"/>
      <w:bookmarkStart w:id="40" w:name="_Toc23269"/>
      <w:r>
        <w:rPr>
          <w:rFonts w:hint="eastAsia"/>
        </w:rPr>
        <w:t>第五部分  投标文件格式</w:t>
      </w:r>
      <w:bookmarkEnd w:id="36"/>
      <w:bookmarkEnd w:id="37"/>
      <w:bookmarkEnd w:id="38"/>
      <w:bookmarkEnd w:id="39"/>
      <w:bookmarkEnd w:id="40"/>
    </w:p>
    <w:p>
      <w:pPr>
        <w:ind w:firstLine="560"/>
      </w:pPr>
      <w:r>
        <w:rPr>
          <w:rFonts w:hint="eastAsia"/>
        </w:rPr>
        <w:br w:type="page"/>
      </w:r>
    </w:p>
    <w:p>
      <w:pPr>
        <w:spacing w:line="440" w:lineRule="exact"/>
        <w:ind w:firstLine="0" w:firstLineChars="0"/>
        <w:rPr>
          <w:rFonts w:ascii="宋体" w:hAnsi="宋体" w:cs="宋体"/>
          <w:sz w:val="24"/>
          <w:lang w:val="zh-CN"/>
        </w:rPr>
      </w:pPr>
      <w:r>
        <w:rPr>
          <w:rFonts w:hint="eastAsia" w:ascii="宋体" w:hAnsi="宋体" w:cs="宋体"/>
          <w:sz w:val="24"/>
          <w:lang w:val="zh-CN"/>
        </w:rPr>
        <w:t>（封面示例）</w:t>
      </w:r>
    </w:p>
    <w:p>
      <w:pPr>
        <w:spacing w:line="440" w:lineRule="exact"/>
        <w:ind w:firstLine="0" w:firstLineChars="0"/>
        <w:jc w:val="right"/>
        <w:rPr>
          <w:rFonts w:ascii="宋体" w:hAnsi="宋体" w:cs="宋体"/>
          <w:sz w:val="24"/>
          <w:lang w:val="zh-CN"/>
        </w:rPr>
      </w:pPr>
      <w:r>
        <w:rPr>
          <w:rFonts w:hint="eastAsia" w:ascii="宋体" w:hAnsi="宋体" w:cs="宋体"/>
          <w:sz w:val="24"/>
          <w:lang w:val="zh-CN"/>
        </w:rPr>
        <w:t>正</w:t>
      </w:r>
      <w:r>
        <w:rPr>
          <w:rFonts w:hint="eastAsia" w:ascii="宋体" w:hAnsi="宋体" w:cs="宋体"/>
          <w:sz w:val="24"/>
        </w:rPr>
        <w:t>/副</w:t>
      </w:r>
      <w:r>
        <w:rPr>
          <w:rFonts w:hint="eastAsia" w:ascii="宋体" w:hAnsi="宋体" w:cs="宋体"/>
          <w:sz w:val="24"/>
          <w:lang w:val="zh-CN"/>
        </w:rPr>
        <w:t>本</w:t>
      </w:r>
    </w:p>
    <w:p>
      <w:pPr>
        <w:spacing w:line="440" w:lineRule="exact"/>
        <w:ind w:firstLine="0" w:firstLineChars="0"/>
        <w:rPr>
          <w:rFonts w:ascii="宋体" w:hAnsi="宋体" w:cs="宋体"/>
          <w:sz w:val="24"/>
          <w:lang w:val="zh-CN"/>
        </w:rPr>
      </w:pPr>
    </w:p>
    <w:p>
      <w:pPr>
        <w:spacing w:line="440" w:lineRule="exact"/>
        <w:ind w:firstLine="0" w:firstLineChars="0"/>
        <w:jc w:val="center"/>
        <w:outlineLvl w:val="0"/>
        <w:rPr>
          <w:rFonts w:ascii="宋体" w:hAnsi="宋体" w:cs="宋体"/>
          <w:sz w:val="24"/>
          <w:lang w:val="zh-CN"/>
        </w:rPr>
      </w:pPr>
      <w:bookmarkStart w:id="41" w:name="_Toc19514"/>
      <w:bookmarkStart w:id="42" w:name="_Toc18910"/>
      <w:bookmarkStart w:id="43" w:name="_Toc29"/>
      <w:bookmarkStart w:id="44" w:name="_Toc20575"/>
      <w:r>
        <w:rPr>
          <w:rFonts w:hint="eastAsia" w:ascii="宋体" w:hAnsi="宋体" w:cs="宋体"/>
          <w:sz w:val="24"/>
          <w:lang w:val="zh-CN"/>
        </w:rPr>
        <w:t>投 标 文 件</w:t>
      </w:r>
      <w:bookmarkEnd w:id="41"/>
      <w:bookmarkEnd w:id="42"/>
      <w:bookmarkEnd w:id="43"/>
      <w:bookmarkEnd w:id="44"/>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r>
        <w:rPr>
          <w:rFonts w:hint="eastAsia" w:ascii="宋体" w:hAnsi="宋体" w:cs="宋体"/>
          <w:sz w:val="24"/>
          <w:lang w:val="zh-CN"/>
        </w:rPr>
        <w:t>项目名称：</w:t>
      </w:r>
    </w:p>
    <w:p>
      <w:pPr>
        <w:spacing w:line="440" w:lineRule="exact"/>
        <w:ind w:firstLine="0" w:firstLineChars="0"/>
        <w:rPr>
          <w:rFonts w:ascii="宋体" w:hAnsi="宋体" w:cs="宋体"/>
          <w:sz w:val="24"/>
          <w:lang w:val="zh-CN"/>
        </w:rPr>
      </w:pPr>
      <w:r>
        <w:rPr>
          <w:rFonts w:hint="eastAsia" w:ascii="宋体" w:hAnsi="宋体" w:cs="宋体"/>
          <w:sz w:val="24"/>
          <w:lang w:val="zh-CN"/>
        </w:rPr>
        <w:t>项目编号：</w:t>
      </w:r>
    </w:p>
    <w:p>
      <w:pPr>
        <w:spacing w:line="440" w:lineRule="exact"/>
        <w:ind w:firstLine="0" w:firstLineChars="0"/>
        <w:rPr>
          <w:rFonts w:ascii="宋体" w:hAnsi="宋体" w:cs="宋体"/>
          <w:sz w:val="24"/>
          <w:lang w:val="zh-CN"/>
        </w:rPr>
      </w:pPr>
      <w:r>
        <w:rPr>
          <w:rFonts w:hint="eastAsia" w:ascii="宋体" w:hAnsi="宋体" w:cs="宋体"/>
          <w:sz w:val="24"/>
          <w:lang w:val="zh-CN"/>
        </w:rPr>
        <w:t>投标人（盖公章）：×××公司</w:t>
      </w:r>
    </w:p>
    <w:p>
      <w:pPr>
        <w:spacing w:line="440" w:lineRule="exact"/>
        <w:ind w:firstLine="0" w:firstLineChars="0"/>
        <w:rPr>
          <w:rFonts w:ascii="宋体" w:hAnsi="宋体" w:cs="宋体"/>
          <w:sz w:val="24"/>
          <w:lang w:val="zh-CN"/>
        </w:rPr>
      </w:pPr>
      <w:r>
        <w:rPr>
          <w:rFonts w:hint="eastAsia" w:ascii="宋体" w:hAnsi="宋体" w:cs="宋体"/>
          <w:sz w:val="24"/>
          <w:lang w:val="zh-CN"/>
        </w:rPr>
        <w:t>法定代表人（签字或盖章）:</w:t>
      </w:r>
    </w:p>
    <w:p>
      <w:pPr>
        <w:spacing w:line="440" w:lineRule="exact"/>
        <w:ind w:firstLine="0" w:firstLineChars="0"/>
        <w:rPr>
          <w:rFonts w:ascii="宋体" w:hAnsi="宋体" w:cs="宋体"/>
          <w:sz w:val="24"/>
          <w:lang w:val="zh-CN"/>
        </w:rPr>
      </w:pPr>
      <w:r>
        <w:rPr>
          <w:rFonts w:hint="eastAsia" w:ascii="宋体" w:hAnsi="宋体" w:cs="宋体"/>
          <w:sz w:val="24"/>
          <w:lang w:val="zh-CN"/>
        </w:rPr>
        <w:t>授权代理人（签字）:</w:t>
      </w:r>
    </w:p>
    <w:p>
      <w:pPr>
        <w:spacing w:line="440" w:lineRule="exact"/>
        <w:ind w:firstLine="0" w:firstLineChars="0"/>
        <w:rPr>
          <w:rFonts w:ascii="宋体" w:hAnsi="宋体" w:cs="宋体"/>
          <w:sz w:val="24"/>
          <w:lang w:val="zh-CN"/>
        </w:rPr>
      </w:pPr>
      <w:r>
        <w:rPr>
          <w:rFonts w:hint="eastAsia" w:ascii="宋体" w:hAnsi="宋体" w:cs="宋体"/>
          <w:sz w:val="24"/>
          <w:lang w:val="zh-CN"/>
        </w:rPr>
        <w:t>地址：</w:t>
      </w:r>
    </w:p>
    <w:p>
      <w:pPr>
        <w:spacing w:line="440" w:lineRule="exact"/>
        <w:ind w:firstLine="0" w:firstLineChars="0"/>
        <w:rPr>
          <w:rFonts w:ascii="宋体" w:hAnsi="宋体" w:cs="宋体"/>
          <w:sz w:val="24"/>
          <w:lang w:val="zh-CN"/>
        </w:rPr>
      </w:pPr>
      <w:r>
        <w:rPr>
          <w:rFonts w:hint="eastAsia" w:ascii="宋体" w:hAnsi="宋体" w:cs="宋体"/>
          <w:sz w:val="24"/>
          <w:lang w:val="zh-CN"/>
        </w:rPr>
        <w:t>联系人：</w:t>
      </w:r>
    </w:p>
    <w:p>
      <w:pPr>
        <w:spacing w:line="440" w:lineRule="exact"/>
        <w:ind w:firstLine="0" w:firstLineChars="0"/>
        <w:rPr>
          <w:rFonts w:ascii="宋体" w:hAnsi="宋体" w:cs="宋体"/>
          <w:sz w:val="24"/>
          <w:lang w:val="zh-CN"/>
        </w:rPr>
      </w:pPr>
      <w:r>
        <w:rPr>
          <w:rFonts w:hint="eastAsia" w:ascii="宋体" w:hAnsi="宋体" w:cs="宋体"/>
          <w:sz w:val="24"/>
          <w:lang w:val="zh-CN"/>
        </w:rPr>
        <w:t>联系电话：</w:t>
      </w:r>
    </w:p>
    <w:p>
      <w:pPr>
        <w:spacing w:line="440" w:lineRule="exact"/>
        <w:ind w:firstLine="0" w:firstLineChars="0"/>
        <w:rPr>
          <w:rFonts w:ascii="宋体" w:hAnsi="宋体" w:cs="宋体"/>
          <w:sz w:val="24"/>
          <w:lang w:val="zh-CN"/>
        </w:rPr>
      </w:pPr>
      <w:r>
        <w:rPr>
          <w:rFonts w:hint="eastAsia" w:ascii="宋体" w:hAnsi="宋体" w:cs="宋体"/>
          <w:sz w:val="24"/>
          <w:lang w:val="zh-CN"/>
        </w:rPr>
        <w:t>编制时间：×年×月×日</w:t>
      </w:r>
    </w:p>
    <w:p>
      <w:pPr>
        <w:spacing w:line="440" w:lineRule="exact"/>
        <w:ind w:firstLine="0" w:firstLineChars="0"/>
        <w:rPr>
          <w:rFonts w:ascii="黑体" w:hAnsi="黑体" w:eastAsia="黑体" w:cs="黑体"/>
          <w:sz w:val="21"/>
          <w:szCs w:val="21"/>
        </w:rPr>
      </w:pPr>
    </w:p>
    <w:p>
      <w:pPr>
        <w:spacing w:line="240" w:lineRule="auto"/>
        <w:ind w:firstLine="0" w:firstLineChars="0"/>
        <w:jc w:val="center"/>
        <w:rPr>
          <w:rFonts w:cs="Times New Roman"/>
          <w:sz w:val="21"/>
        </w:rPr>
      </w:pPr>
      <w:r>
        <w:rPr>
          <w:rFonts w:hint="eastAsia" w:ascii="黑体" w:hAnsi="黑体" w:eastAsia="黑体" w:cs="黑体"/>
          <w:sz w:val="21"/>
          <w:szCs w:val="21"/>
        </w:rPr>
        <w:br w:type="page"/>
      </w:r>
      <w:bookmarkStart w:id="45" w:name="_Toc1826"/>
      <w:bookmarkStart w:id="46" w:name="_Toc30589"/>
      <w:r>
        <w:rPr>
          <w:rFonts w:hint="eastAsia" w:cs="Times New Roman"/>
          <w:b/>
          <w:kern w:val="44"/>
          <w:sz w:val="44"/>
          <w:szCs w:val="20"/>
        </w:rPr>
        <w:t>目  录</w:t>
      </w:r>
    </w:p>
    <w:bookmarkEnd w:id="45"/>
    <w:bookmarkEnd w:id="46"/>
    <w:p>
      <w:pPr>
        <w:keepNext/>
        <w:keepLines/>
        <w:spacing w:before="280" w:after="290" w:line="400" w:lineRule="exact"/>
        <w:ind w:firstLine="482"/>
        <w:outlineLvl w:val="3"/>
        <w:rPr>
          <w:rFonts w:ascii="宋体" w:hAnsi="宋体" w:cs="宋体"/>
          <w:b/>
          <w:bCs/>
          <w:sz w:val="24"/>
          <w:szCs w:val="28"/>
        </w:rPr>
      </w:pPr>
      <w:r>
        <w:rPr>
          <w:rFonts w:hint="eastAsia" w:ascii="宋体" w:hAnsi="宋体" w:cs="宋体"/>
          <w:b/>
          <w:bCs/>
          <w:sz w:val="24"/>
          <w:szCs w:val="28"/>
        </w:rPr>
        <w:t>投标文件须按以下顺序编制并编列页码（以下内容包含但不限于）：</w:t>
      </w:r>
    </w:p>
    <w:p>
      <w:pPr>
        <w:numPr>
          <w:ilvl w:val="0"/>
          <w:numId w:val="0"/>
        </w:numPr>
        <w:spacing w:line="400" w:lineRule="exact"/>
        <w:outlineLvl w:val="0"/>
        <w:rPr>
          <w:rFonts w:cs="Times New Roman"/>
          <w:sz w:val="21"/>
        </w:rPr>
      </w:pPr>
      <w:bookmarkStart w:id="47" w:name="_Toc22893"/>
      <w:bookmarkStart w:id="48" w:name="_Toc20987_WPSOffice_Level1"/>
      <w:bookmarkStart w:id="49" w:name="_Toc29483"/>
      <w:bookmarkStart w:id="50" w:name="_Toc17258"/>
      <w:bookmarkStart w:id="51" w:name="_Toc5667"/>
      <w:r>
        <w:rPr>
          <w:rFonts w:hint="eastAsia" w:ascii="宋体" w:hAnsi="宋体" w:cs="宋体"/>
          <w:b/>
          <w:sz w:val="24"/>
          <w:lang w:val="en-US" w:eastAsia="zh-CN"/>
        </w:rPr>
        <w:t>一、</w:t>
      </w:r>
      <w:r>
        <w:rPr>
          <w:rFonts w:hint="eastAsia" w:ascii="宋体" w:hAnsi="宋体" w:cs="宋体"/>
          <w:b/>
          <w:sz w:val="24"/>
        </w:rPr>
        <w:t>商务部分</w:t>
      </w:r>
      <w:bookmarkEnd w:id="47"/>
      <w:bookmarkEnd w:id="48"/>
      <w:bookmarkEnd w:id="49"/>
      <w:bookmarkEnd w:id="50"/>
      <w:bookmarkEnd w:id="51"/>
    </w:p>
    <w:p>
      <w:pPr>
        <w:keepNext/>
        <w:keepLines/>
        <w:numPr>
          <w:numId w:val="0"/>
        </w:numPr>
        <w:spacing w:line="440" w:lineRule="exact"/>
        <w:outlineLvl w:val="3"/>
        <w:rPr>
          <w:rFonts w:ascii="宋体" w:hAnsi="宋体" w:cs="宋体"/>
          <w:sz w:val="24"/>
          <w:szCs w:val="28"/>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lang w:eastAsia="zh-CN"/>
        </w:rPr>
        <w:t>）</w:t>
      </w:r>
      <w:r>
        <w:rPr>
          <w:rFonts w:hint="eastAsia" w:ascii="宋体" w:hAnsi="宋体" w:cs="宋体"/>
          <w:sz w:val="24"/>
          <w:szCs w:val="28"/>
        </w:rPr>
        <w:t>投标函（附件一）</w:t>
      </w:r>
    </w:p>
    <w:p>
      <w:pPr>
        <w:numPr>
          <w:numId w:val="0"/>
        </w:numPr>
        <w:spacing w:line="440" w:lineRule="exact"/>
        <w:rPr>
          <w:rFonts w:cs="Times New Roman"/>
          <w:sz w:val="21"/>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法定代表人身份证明书、授权委托书（附件二）</w:t>
      </w:r>
    </w:p>
    <w:p>
      <w:pPr>
        <w:keepNext/>
        <w:keepLines/>
        <w:numPr>
          <w:numId w:val="0"/>
        </w:numPr>
        <w:spacing w:line="440" w:lineRule="exact"/>
        <w:outlineLvl w:val="3"/>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投标保证金收据复印件加盖公章（附件三）</w:t>
      </w:r>
    </w:p>
    <w:p>
      <w:pPr>
        <w:numPr>
          <w:numId w:val="0"/>
        </w:numPr>
        <w:spacing w:line="440" w:lineRule="exact"/>
        <w:rPr>
          <w:rFonts w:cs="Times New Roman"/>
          <w:sz w:val="24"/>
        </w:rPr>
      </w:pPr>
      <w:r>
        <w:rPr>
          <w:rFonts w:hint="eastAsia" w:cs="Times New Roman"/>
          <w:sz w:val="24"/>
          <w:lang w:eastAsia="zh-CN"/>
        </w:rPr>
        <w:t>（</w:t>
      </w:r>
      <w:r>
        <w:rPr>
          <w:rFonts w:hint="eastAsia" w:cs="Times New Roman"/>
          <w:sz w:val="24"/>
          <w:lang w:val="en-US" w:eastAsia="zh-CN"/>
        </w:rPr>
        <w:t>4</w:t>
      </w:r>
      <w:r>
        <w:rPr>
          <w:rFonts w:hint="eastAsia" w:cs="Times New Roman"/>
          <w:sz w:val="24"/>
          <w:lang w:eastAsia="zh-CN"/>
        </w:rPr>
        <w:t>）</w:t>
      </w:r>
      <w:r>
        <w:rPr>
          <w:rFonts w:hint="eastAsia" w:cs="Times New Roman"/>
          <w:sz w:val="24"/>
        </w:rPr>
        <w:t>开标一览表（附件四）</w:t>
      </w:r>
    </w:p>
    <w:p>
      <w:pPr>
        <w:keepNext/>
        <w:keepLines/>
        <w:numPr>
          <w:numId w:val="0"/>
        </w:numPr>
        <w:spacing w:line="440" w:lineRule="exact"/>
        <w:outlineLvl w:val="3"/>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投标人资格证明材料（附件五）</w:t>
      </w:r>
    </w:p>
    <w:p>
      <w:pPr>
        <w:numPr>
          <w:numId w:val="0"/>
        </w:numPr>
        <w:spacing w:line="440" w:lineRule="exact"/>
        <w:rPr>
          <w:rFonts w:cs="Times New Roman"/>
          <w:sz w:val="21"/>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拟投入本项目的人员一览表（附件六）</w:t>
      </w:r>
    </w:p>
    <w:p>
      <w:pPr>
        <w:spacing w:after="120" w:line="440" w:lineRule="exact"/>
        <w:ind w:firstLine="0" w:firstLineChars="0"/>
        <w:rPr>
          <w:rFonts w:cs="Times New Roman"/>
          <w:sz w:val="21"/>
        </w:rPr>
      </w:pPr>
      <w:r>
        <w:rPr>
          <w:rFonts w:hint="eastAsia" w:ascii="宋体" w:hAnsi="宋体" w:cs="宋体"/>
          <w:sz w:val="24"/>
        </w:rPr>
        <w:t>（7）业绩一览表（附件七）</w:t>
      </w:r>
    </w:p>
    <w:p>
      <w:pPr>
        <w:adjustRightInd w:val="0"/>
        <w:snapToGrid w:val="0"/>
        <w:ind w:left="0" w:leftChars="0" w:firstLine="0" w:firstLineChars="0"/>
        <w:jc w:val="left"/>
        <w:outlineLvl w:val="0"/>
        <w:rPr>
          <w:rFonts w:ascii="宋体" w:hAnsi="宋体" w:cs="宋体"/>
          <w:b/>
          <w:sz w:val="24"/>
        </w:rPr>
      </w:pPr>
      <w:bookmarkStart w:id="52" w:name="_Toc15288"/>
      <w:bookmarkStart w:id="53" w:name="_Toc27954"/>
      <w:bookmarkStart w:id="54" w:name="_Toc10048"/>
      <w:bookmarkStart w:id="55" w:name="_Toc10926"/>
      <w:r>
        <w:rPr>
          <w:rFonts w:hint="eastAsia" w:ascii="宋体" w:hAnsi="宋体" w:cs="宋体"/>
          <w:b/>
          <w:sz w:val="24"/>
        </w:rPr>
        <w:t>二、技术部分（技术部分格式请投标人自拟）</w:t>
      </w:r>
      <w:bookmarkEnd w:id="52"/>
      <w:bookmarkEnd w:id="53"/>
      <w:bookmarkEnd w:id="54"/>
      <w:bookmarkEnd w:id="55"/>
    </w:p>
    <w:p>
      <w:pPr>
        <w:adjustRightInd w:val="0"/>
        <w:snapToGrid w:val="0"/>
        <w:spacing w:line="240" w:lineRule="auto"/>
        <w:ind w:firstLine="480"/>
        <w:jc w:val="left"/>
        <w:rPr>
          <w:rFonts w:ascii="宋体" w:hAnsi="宋体" w:cs="宋体"/>
          <w:bCs/>
          <w:sz w:val="24"/>
        </w:rPr>
      </w:pPr>
    </w:p>
    <w:p>
      <w:pPr>
        <w:numPr>
          <w:ilvl w:val="0"/>
          <w:numId w:val="0"/>
        </w:numPr>
        <w:adjustRightInd w:val="0"/>
        <w:snapToGrid w:val="0"/>
        <w:spacing w:line="240" w:lineRule="auto"/>
        <w:jc w:val="left"/>
        <w:rPr>
          <w:rFonts w:ascii="宋体" w:hAnsi="宋体" w:cs="宋体"/>
          <w:b/>
          <w:sz w:val="24"/>
        </w:rPr>
      </w:pPr>
      <w:r>
        <w:rPr>
          <w:rFonts w:hint="eastAsia" w:ascii="宋体" w:hAnsi="宋体" w:cs="宋体"/>
          <w:b/>
          <w:sz w:val="24"/>
          <w:lang w:val="en-US" w:eastAsia="zh-CN"/>
        </w:rPr>
        <w:t>三、</w:t>
      </w:r>
      <w:r>
        <w:rPr>
          <w:rFonts w:hint="eastAsia" w:ascii="宋体" w:hAnsi="宋体" w:cs="宋体"/>
          <w:b/>
          <w:sz w:val="24"/>
        </w:rPr>
        <w:t>政府优惠政策</w:t>
      </w:r>
    </w:p>
    <w:p>
      <w:pPr>
        <w:numPr>
          <w:numId w:val="0"/>
        </w:numPr>
        <w:adjustRightInd w:val="0"/>
        <w:snapToGrid w:val="0"/>
        <w:spacing w:line="440" w:lineRule="exact"/>
        <w:jc w:val="left"/>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反商业贿赂承诺书（附件八）</w:t>
      </w:r>
    </w:p>
    <w:p>
      <w:pPr>
        <w:numPr>
          <w:numId w:val="0"/>
        </w:numPr>
        <w:adjustRightInd w:val="0"/>
        <w:snapToGrid w:val="0"/>
        <w:spacing w:line="440" w:lineRule="exact"/>
        <w:jc w:val="left"/>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中小企业声明函（附件九）</w:t>
      </w:r>
    </w:p>
    <w:p>
      <w:pPr>
        <w:numPr>
          <w:numId w:val="0"/>
        </w:numPr>
        <w:adjustRightInd w:val="0"/>
        <w:snapToGrid w:val="0"/>
        <w:spacing w:line="440" w:lineRule="exact"/>
        <w:jc w:val="left"/>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3</w:t>
      </w:r>
      <w:r>
        <w:rPr>
          <w:rFonts w:hint="eastAsia" w:ascii="宋体" w:hAnsi="宋体" w:cs="宋体"/>
          <w:bCs/>
          <w:sz w:val="24"/>
          <w:lang w:eastAsia="zh-CN"/>
        </w:rPr>
        <w:t>）</w:t>
      </w:r>
      <w:r>
        <w:rPr>
          <w:rFonts w:hint="eastAsia" w:ascii="宋体" w:hAnsi="宋体" w:cs="宋体"/>
          <w:bCs/>
          <w:sz w:val="24"/>
        </w:rPr>
        <w:t>监狱企业证明材料（附件十）</w:t>
      </w:r>
    </w:p>
    <w:p>
      <w:pPr>
        <w:numPr>
          <w:numId w:val="0"/>
        </w:numPr>
        <w:adjustRightInd w:val="0"/>
        <w:snapToGrid w:val="0"/>
        <w:spacing w:line="440" w:lineRule="exact"/>
        <w:jc w:val="left"/>
        <w:rPr>
          <w:rFonts w:ascii="宋体" w:hAnsi="宋体" w:cs="宋体"/>
          <w:b/>
          <w:sz w:val="24"/>
        </w:rPr>
      </w:pPr>
      <w:r>
        <w:rPr>
          <w:rFonts w:hint="eastAsia" w:ascii="宋体" w:hAnsi="宋体" w:cs="宋体"/>
          <w:bCs/>
          <w:sz w:val="24"/>
          <w:lang w:eastAsia="zh-CN"/>
        </w:rPr>
        <w:t>（</w:t>
      </w:r>
      <w:r>
        <w:rPr>
          <w:rFonts w:hint="eastAsia" w:ascii="宋体" w:hAnsi="宋体" w:cs="宋体"/>
          <w:bCs/>
          <w:sz w:val="24"/>
          <w:lang w:val="en-US" w:eastAsia="zh-CN"/>
        </w:rPr>
        <w:t>4</w:t>
      </w:r>
      <w:bookmarkStart w:id="92" w:name="_GoBack"/>
      <w:bookmarkEnd w:id="92"/>
      <w:r>
        <w:rPr>
          <w:rFonts w:hint="eastAsia" w:ascii="宋体" w:hAnsi="宋体" w:cs="宋体"/>
          <w:bCs/>
          <w:sz w:val="24"/>
          <w:lang w:eastAsia="zh-CN"/>
        </w:rPr>
        <w:t>）</w:t>
      </w:r>
      <w:r>
        <w:rPr>
          <w:rFonts w:hint="eastAsia" w:ascii="宋体" w:hAnsi="宋体" w:cs="宋体"/>
          <w:bCs/>
          <w:sz w:val="24"/>
        </w:rPr>
        <w:t>残疾人福利性单位声明函（附件十一）</w:t>
      </w:r>
    </w:p>
    <w:p>
      <w:pPr>
        <w:adjustRightInd w:val="0"/>
        <w:snapToGrid w:val="0"/>
        <w:ind w:firstLine="422"/>
        <w:jc w:val="left"/>
        <w:outlineLvl w:val="0"/>
        <w:rPr>
          <w:rFonts w:ascii="宋体" w:hAnsi="宋体" w:cs="Courier New"/>
          <w:b/>
          <w:bCs/>
          <w:szCs w:val="28"/>
        </w:rPr>
      </w:pPr>
      <w:r>
        <w:rPr>
          <w:rFonts w:hint="eastAsia" w:ascii="黑体" w:hAnsi="黑体" w:eastAsia="黑体" w:cs="黑体"/>
          <w:b/>
          <w:kern w:val="0"/>
          <w:sz w:val="21"/>
          <w:szCs w:val="21"/>
        </w:rPr>
        <w:br w:type="page"/>
      </w:r>
      <w:bookmarkStart w:id="56" w:name="_Toc23780"/>
      <w:bookmarkStart w:id="57" w:name="_Toc1751"/>
      <w:bookmarkStart w:id="58" w:name="_Toc3435"/>
      <w:bookmarkStart w:id="59" w:name="_Toc24253"/>
      <w:r>
        <w:rPr>
          <w:rFonts w:hint="eastAsia" w:ascii="宋体" w:hAnsi="宋体" w:cs="Courier New"/>
          <w:b/>
          <w:bCs/>
          <w:szCs w:val="28"/>
        </w:rPr>
        <w:t>附件一</w:t>
      </w:r>
      <w:bookmarkEnd w:id="56"/>
      <w:bookmarkEnd w:id="57"/>
      <w:bookmarkEnd w:id="58"/>
      <w:bookmarkEnd w:id="59"/>
      <w:r>
        <w:rPr>
          <w:rFonts w:hint="eastAsia" w:ascii="宋体" w:hAnsi="宋体" w:cs="Courier New"/>
          <w:b/>
          <w:bCs/>
          <w:szCs w:val="28"/>
        </w:rPr>
        <w:t xml:space="preserve">  </w:t>
      </w:r>
    </w:p>
    <w:p>
      <w:pPr>
        <w:adjustRightInd w:val="0"/>
        <w:snapToGrid w:val="0"/>
        <w:ind w:firstLine="562"/>
        <w:jc w:val="left"/>
        <w:rPr>
          <w:rFonts w:ascii="宋体" w:hAnsi="宋体" w:cs="Courier New"/>
          <w:b/>
          <w:bCs/>
          <w:szCs w:val="28"/>
        </w:rPr>
      </w:pPr>
    </w:p>
    <w:p>
      <w:pPr>
        <w:adjustRightInd w:val="0"/>
        <w:snapToGrid w:val="0"/>
        <w:spacing w:line="440" w:lineRule="exact"/>
        <w:ind w:firstLine="482"/>
        <w:jc w:val="center"/>
        <w:rPr>
          <w:rFonts w:ascii="宋体" w:hAnsi="宋体" w:cs="宋体"/>
          <w:b/>
          <w:bCs/>
          <w:sz w:val="24"/>
        </w:rPr>
      </w:pPr>
      <w:bookmarkStart w:id="60" w:name="_Toc4164_WPSOffice_Level1"/>
      <w:r>
        <w:rPr>
          <w:rFonts w:hint="eastAsia" w:ascii="宋体" w:hAnsi="宋体" w:cs="宋体"/>
          <w:b/>
          <w:bCs/>
          <w:sz w:val="24"/>
        </w:rPr>
        <w:t>投   标   函</w:t>
      </w:r>
      <w:bookmarkEnd w:id="60"/>
    </w:p>
    <w:p>
      <w:pPr>
        <w:widowControl/>
        <w:adjustRightInd w:val="0"/>
        <w:snapToGrid w:val="0"/>
        <w:spacing w:line="440" w:lineRule="exact"/>
        <w:ind w:left="1" w:firstLine="480"/>
        <w:jc w:val="left"/>
        <w:rPr>
          <w:rFonts w:ascii="宋体" w:hAnsi="宋体" w:cs="宋体"/>
          <w:kern w:val="0"/>
          <w:sz w:val="24"/>
        </w:rPr>
      </w:pPr>
      <w:r>
        <w:rPr>
          <w:rFonts w:hint="eastAsia" w:ascii="宋体" w:hAnsi="宋体" w:cs="宋体"/>
          <w:sz w:val="24"/>
        </w:rPr>
        <w:t>致：</w:t>
      </w:r>
      <w:r>
        <w:rPr>
          <w:rFonts w:hint="eastAsia" w:ascii="宋体" w:hAnsi="宋体" w:cs="宋体"/>
          <w:sz w:val="24"/>
          <w:u w:val="single"/>
        </w:rPr>
        <w:t>（采购人）</w:t>
      </w:r>
    </w:p>
    <w:p>
      <w:pPr>
        <w:spacing w:line="440" w:lineRule="exact"/>
        <w:ind w:firstLine="48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（项目名称）磋商文件的全部内容，愿意以人民币（大写）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）的投标总报价，服务时限</w:t>
      </w:r>
      <w:r>
        <w:rPr>
          <w:rFonts w:hint="eastAsia" w:ascii="宋体" w:hAnsi="宋体" w:cs="宋体"/>
          <w:sz w:val="24"/>
          <w:u w:val="single"/>
        </w:rPr>
        <w:t xml:space="preserve">   年   月  日前</w:t>
      </w:r>
      <w:r>
        <w:rPr>
          <w:rFonts w:hint="eastAsia" w:ascii="宋体" w:hAnsi="宋体" w:cs="宋体"/>
          <w:sz w:val="24"/>
        </w:rPr>
        <w:t>，按合同约定实施和完成承包项目，修补项目中的任何缺陷，质量标准</w:t>
      </w:r>
      <w:r>
        <w:rPr>
          <w:rFonts w:hint="eastAsia" w:ascii="宋体" w:hAnsi="宋体" w:cs="宋体"/>
          <w:sz w:val="24"/>
          <w:u w:val="single"/>
        </w:rPr>
        <w:t xml:space="preserve">           </w:t>
      </w:r>
      <w:r>
        <w:rPr>
          <w:rFonts w:hint="eastAsia" w:ascii="宋体" w:hAnsi="宋体" w:cs="宋体"/>
          <w:sz w:val="24"/>
        </w:rPr>
        <w:t xml:space="preserve"> 。</w:t>
      </w:r>
    </w:p>
    <w:p>
      <w:pPr>
        <w:spacing w:line="440" w:lineRule="exact"/>
        <w:ind w:firstLine="480"/>
        <w:rPr>
          <w:rFonts w:ascii="宋体" w:hAnsi="宋体" w:cs="宋体"/>
          <w:sz w:val="24"/>
        </w:rPr>
      </w:pPr>
      <w:r>
        <w:rPr>
          <w:rFonts w:hint="eastAsia" w:ascii="宋体" w:hAnsi="宋体" w:cs="宋体"/>
          <w:sz w:val="24"/>
        </w:rPr>
        <w:t>2．我方保证在投标有效期内不修改、撤销投标文件。</w:t>
      </w:r>
    </w:p>
    <w:p>
      <w:pPr>
        <w:spacing w:line="440" w:lineRule="exact"/>
        <w:ind w:firstLine="480"/>
        <w:rPr>
          <w:rFonts w:ascii="宋体" w:hAnsi="宋体" w:cs="宋体"/>
          <w:sz w:val="24"/>
        </w:rPr>
      </w:pPr>
      <w:r>
        <w:rPr>
          <w:rFonts w:hint="eastAsia" w:ascii="宋体" w:hAnsi="宋体" w:cs="宋体"/>
          <w:sz w:val="24"/>
        </w:rPr>
        <w:t>3．随同本投标函提交投标保证金一份，金额为人民币（大写）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 xml:space="preserve"> ）。</w:t>
      </w:r>
    </w:p>
    <w:p>
      <w:pPr>
        <w:spacing w:line="440" w:lineRule="exact"/>
        <w:ind w:firstLine="480"/>
        <w:rPr>
          <w:rFonts w:ascii="宋体" w:hAnsi="宋体" w:cs="宋体"/>
          <w:sz w:val="24"/>
        </w:rPr>
      </w:pPr>
      <w:r>
        <w:rPr>
          <w:rFonts w:hint="eastAsia" w:ascii="宋体" w:hAnsi="宋体" w:cs="宋体"/>
          <w:sz w:val="24"/>
        </w:rPr>
        <w:t>4．如我方中标：</w:t>
      </w:r>
    </w:p>
    <w:p>
      <w:pPr>
        <w:spacing w:line="440" w:lineRule="exact"/>
        <w:ind w:firstLine="820" w:firstLineChars="342"/>
        <w:rPr>
          <w:rFonts w:ascii="宋体" w:hAnsi="宋体" w:cs="宋体"/>
          <w:sz w:val="24"/>
        </w:rPr>
      </w:pPr>
      <w:r>
        <w:rPr>
          <w:rFonts w:hint="eastAsia" w:ascii="宋体" w:hAnsi="宋体" w:cs="宋体"/>
          <w:sz w:val="24"/>
        </w:rPr>
        <w:t>（1）我方保证在收到中标通知书后，在中标通知书规定的期限内与你方签订合同。</w:t>
      </w:r>
    </w:p>
    <w:p>
      <w:pPr>
        <w:spacing w:line="440" w:lineRule="exact"/>
        <w:ind w:firstLine="820" w:firstLineChars="342"/>
        <w:rPr>
          <w:rFonts w:ascii="宋体" w:hAnsi="宋体" w:cs="宋体"/>
          <w:sz w:val="24"/>
        </w:rPr>
      </w:pPr>
      <w:r>
        <w:rPr>
          <w:rFonts w:hint="eastAsia" w:ascii="宋体" w:hAnsi="宋体" w:cs="宋体"/>
          <w:sz w:val="24"/>
        </w:rPr>
        <w:t>（2）随同本投标函递交的投标函附录属于合同文件的组成部分。</w:t>
      </w:r>
    </w:p>
    <w:p>
      <w:pPr>
        <w:spacing w:line="440" w:lineRule="exact"/>
        <w:ind w:firstLine="820" w:firstLineChars="342"/>
        <w:rPr>
          <w:rFonts w:ascii="宋体" w:hAnsi="宋体" w:cs="宋体"/>
          <w:sz w:val="24"/>
        </w:rPr>
      </w:pPr>
      <w:r>
        <w:rPr>
          <w:rFonts w:hint="eastAsia" w:ascii="宋体" w:hAnsi="宋体" w:cs="宋体"/>
          <w:sz w:val="24"/>
        </w:rPr>
        <w:t>（3）我方保证按照招标文件规定向你方递交履约保证金（如有）。</w:t>
      </w:r>
    </w:p>
    <w:p>
      <w:pPr>
        <w:spacing w:line="440" w:lineRule="exact"/>
        <w:ind w:firstLine="820" w:firstLineChars="342"/>
        <w:rPr>
          <w:rFonts w:ascii="宋体" w:hAnsi="宋体" w:cs="宋体"/>
          <w:sz w:val="24"/>
        </w:rPr>
      </w:pPr>
      <w:r>
        <w:rPr>
          <w:rFonts w:hint="eastAsia" w:ascii="宋体" w:hAnsi="宋体" w:cs="宋体"/>
          <w:sz w:val="24"/>
        </w:rPr>
        <w:t>（4）我方保证在合同约定的期限内完成并移交全部合同工程。</w:t>
      </w:r>
    </w:p>
    <w:p>
      <w:pPr>
        <w:spacing w:line="440" w:lineRule="exact"/>
        <w:ind w:firstLine="480"/>
        <w:rPr>
          <w:rFonts w:ascii="宋体" w:hAnsi="宋体" w:cs="宋体"/>
          <w:sz w:val="24"/>
        </w:rPr>
      </w:pPr>
      <w:r>
        <w:rPr>
          <w:rFonts w:hint="eastAsia" w:ascii="宋体" w:hAnsi="宋体" w:cs="宋体"/>
          <w:sz w:val="24"/>
        </w:rPr>
        <w:t>5．我方在此声明，所递交的投标文件及有关资料内容完整、真实和准确。</w:t>
      </w:r>
    </w:p>
    <w:p>
      <w:pPr>
        <w:spacing w:line="440" w:lineRule="exact"/>
        <w:ind w:firstLine="480"/>
        <w:rPr>
          <w:rFonts w:ascii="宋体" w:hAnsi="宋体" w:cs="宋体"/>
          <w:sz w:val="24"/>
        </w:rPr>
      </w:pPr>
      <w:r>
        <w:rPr>
          <w:rFonts w:hint="eastAsia" w:ascii="宋体" w:hAnsi="宋体" w:cs="宋体"/>
          <w:sz w:val="24"/>
        </w:rPr>
        <w:t>6．</w:t>
      </w:r>
      <w:r>
        <w:rPr>
          <w:rFonts w:hint="eastAsia" w:ascii="宋体" w:hAnsi="宋体" w:cs="宋体"/>
          <w:sz w:val="24"/>
          <w:u w:val="single"/>
        </w:rPr>
        <w:t xml:space="preserve">                                       </w:t>
      </w:r>
      <w:r>
        <w:rPr>
          <w:rFonts w:hint="eastAsia" w:ascii="宋体" w:hAnsi="宋体" w:cs="宋体"/>
          <w:sz w:val="24"/>
        </w:rPr>
        <w:t>（其他补充说明）。</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 xml:space="preserve">                            投 标 人：</w:t>
      </w:r>
      <w:r>
        <w:rPr>
          <w:rFonts w:hint="eastAsia" w:ascii="宋体" w:hAnsi="宋体" w:cs="宋体"/>
          <w:sz w:val="24"/>
          <w:u w:val="single"/>
        </w:rPr>
        <w:t xml:space="preserve">                     </w:t>
      </w:r>
      <w:r>
        <w:rPr>
          <w:rFonts w:hint="eastAsia" w:ascii="宋体" w:hAnsi="宋体" w:cs="宋体"/>
          <w:sz w:val="24"/>
        </w:rPr>
        <w:t>（盖单位章）</w:t>
      </w:r>
    </w:p>
    <w:p>
      <w:pPr>
        <w:spacing w:line="440" w:lineRule="exact"/>
        <w:ind w:left="4080" w:hanging="4080" w:hangingChars="1700"/>
        <w:jc w:val="center"/>
        <w:rPr>
          <w:rFonts w:ascii="宋体" w:hAnsi="宋体" w:cs="宋体"/>
          <w:sz w:val="24"/>
        </w:rPr>
      </w:pPr>
      <w:r>
        <w:rPr>
          <w:rFonts w:hint="eastAsia" w:ascii="宋体" w:hAnsi="宋体" w:cs="宋体"/>
          <w:sz w:val="24"/>
        </w:rPr>
        <w:t xml:space="preserve">                        法定代表人签字或盖章/授权委托人签字：</w:t>
      </w:r>
      <w:r>
        <w:rPr>
          <w:rFonts w:hint="eastAsia" w:ascii="宋体" w:hAnsi="宋体" w:cs="宋体"/>
          <w:sz w:val="24"/>
          <w:u w:val="single"/>
        </w:rPr>
        <w:t xml:space="preserve">         </w:t>
      </w:r>
      <w:r>
        <w:rPr>
          <w:rFonts w:hint="eastAsia" w:ascii="宋体" w:hAnsi="宋体" w:cs="宋体"/>
          <w:sz w:val="24"/>
        </w:rPr>
        <w:t xml:space="preserve">                    </w:t>
      </w:r>
    </w:p>
    <w:p>
      <w:pPr>
        <w:spacing w:line="440" w:lineRule="exact"/>
        <w:ind w:firstLine="3360" w:firstLineChars="1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440" w:lineRule="exact"/>
        <w:ind w:firstLine="0" w:firstLineChars="0"/>
        <w:rPr>
          <w:rFonts w:ascii="宋体" w:hAnsi="宋体" w:cs="宋体"/>
          <w:sz w:val="24"/>
        </w:rPr>
      </w:pPr>
      <w:r>
        <w:rPr>
          <w:rFonts w:hint="eastAsia" w:ascii="宋体" w:hAnsi="宋体" w:cs="宋体"/>
          <w:sz w:val="24"/>
        </w:rPr>
        <w:t xml:space="preserve">                            电话：</w:t>
      </w:r>
    </w:p>
    <w:p>
      <w:pPr>
        <w:spacing w:line="440" w:lineRule="exact"/>
        <w:ind w:left="480" w:hanging="480" w:hangingChars="200"/>
        <w:contextualSpacing/>
        <w:rPr>
          <w:rFonts w:cs="Times New Roman"/>
          <w:sz w:val="20"/>
          <w:szCs w:val="20"/>
        </w:rPr>
      </w:pPr>
      <w:r>
        <w:rPr>
          <w:rFonts w:hint="eastAsia" w:ascii="宋体" w:hAnsi="宋体" w:cs="宋体"/>
          <w:sz w:val="24"/>
        </w:rPr>
        <w:t xml:space="preserve">                            日期：</w:t>
      </w:r>
    </w:p>
    <w:p>
      <w:pPr>
        <w:tabs>
          <w:tab w:val="left" w:pos="540"/>
          <w:tab w:val="left" w:pos="900"/>
        </w:tabs>
        <w:autoSpaceDE w:val="0"/>
        <w:autoSpaceDN w:val="0"/>
        <w:ind w:firstLine="5341" w:firstLineChars="1900"/>
        <w:textAlignment w:val="bottom"/>
        <w:rPr>
          <w:rFonts w:ascii="宋体" w:hAnsi="宋体" w:cs="Times New Roman"/>
          <w:b/>
          <w:bCs/>
          <w:szCs w:val="28"/>
        </w:rPr>
      </w:pPr>
    </w:p>
    <w:p>
      <w:pPr>
        <w:tabs>
          <w:tab w:val="left" w:pos="540"/>
          <w:tab w:val="left" w:pos="900"/>
        </w:tabs>
        <w:autoSpaceDE w:val="0"/>
        <w:autoSpaceDN w:val="0"/>
        <w:ind w:firstLine="5341" w:firstLineChars="1900"/>
        <w:textAlignment w:val="bottom"/>
        <w:rPr>
          <w:rFonts w:ascii="宋体" w:hAnsi="宋体" w:cs="Times New Roman"/>
          <w:b/>
          <w:bCs/>
          <w:szCs w:val="28"/>
        </w:rPr>
      </w:pPr>
    </w:p>
    <w:p>
      <w:pPr>
        <w:tabs>
          <w:tab w:val="left" w:pos="540"/>
          <w:tab w:val="left" w:pos="900"/>
        </w:tabs>
        <w:autoSpaceDE w:val="0"/>
        <w:autoSpaceDN w:val="0"/>
        <w:ind w:firstLine="5341" w:firstLineChars="1900"/>
        <w:textAlignment w:val="bottom"/>
        <w:rPr>
          <w:rFonts w:ascii="宋体" w:hAnsi="宋体" w:cs="Times New Roman"/>
          <w:b/>
          <w:bCs/>
          <w:szCs w:val="28"/>
        </w:rPr>
      </w:pPr>
    </w:p>
    <w:p>
      <w:pPr>
        <w:tabs>
          <w:tab w:val="left" w:pos="540"/>
          <w:tab w:val="left" w:pos="900"/>
        </w:tabs>
        <w:autoSpaceDE w:val="0"/>
        <w:autoSpaceDN w:val="0"/>
        <w:ind w:firstLine="0" w:firstLineChars="0"/>
        <w:textAlignment w:val="bottom"/>
        <w:rPr>
          <w:rFonts w:ascii="宋体" w:hAnsi="宋体" w:cs="Times New Roman"/>
          <w:b/>
          <w:bCs/>
          <w:szCs w:val="28"/>
        </w:rPr>
      </w:pPr>
    </w:p>
    <w:p>
      <w:pPr>
        <w:tabs>
          <w:tab w:val="left" w:pos="540"/>
          <w:tab w:val="left" w:pos="900"/>
        </w:tabs>
        <w:autoSpaceDE w:val="0"/>
        <w:autoSpaceDN w:val="0"/>
        <w:ind w:firstLine="0" w:firstLineChars="0"/>
        <w:textAlignment w:val="bottom"/>
        <w:outlineLvl w:val="0"/>
        <w:rPr>
          <w:rFonts w:ascii="宋体" w:hAnsi="宋体" w:cs="宋体"/>
          <w:b/>
          <w:bCs/>
          <w:szCs w:val="28"/>
        </w:rPr>
      </w:pPr>
      <w:bookmarkStart w:id="61" w:name="_Toc22409"/>
      <w:bookmarkStart w:id="62" w:name="_Toc4540"/>
      <w:bookmarkStart w:id="63" w:name="_Toc30209"/>
      <w:bookmarkStart w:id="64" w:name="_Toc28759"/>
      <w:r>
        <w:rPr>
          <w:rFonts w:hint="eastAsia" w:ascii="宋体" w:hAnsi="宋体" w:cs="Times New Roman"/>
          <w:b/>
          <w:bCs/>
          <w:szCs w:val="28"/>
        </w:rPr>
        <w:t>附件二</w:t>
      </w:r>
      <w:bookmarkEnd w:id="61"/>
      <w:bookmarkEnd w:id="62"/>
      <w:bookmarkEnd w:id="63"/>
      <w:bookmarkEnd w:id="64"/>
      <w:r>
        <w:rPr>
          <w:rFonts w:hint="eastAsia" w:ascii="宋体" w:hAnsi="宋体" w:cs="Times New Roman"/>
          <w:b/>
          <w:bCs/>
          <w:szCs w:val="28"/>
        </w:rPr>
        <w:t xml:space="preserve">  </w:t>
      </w:r>
    </w:p>
    <w:p>
      <w:pPr>
        <w:spacing w:line="600" w:lineRule="exact"/>
        <w:ind w:firstLine="0" w:firstLineChars="0"/>
        <w:jc w:val="center"/>
        <w:rPr>
          <w:rFonts w:ascii="宋体" w:hAnsi="宋体" w:cs="Times New Roman"/>
          <w:b/>
          <w:bCs/>
          <w:sz w:val="24"/>
        </w:rPr>
      </w:pPr>
      <w:bookmarkStart w:id="65" w:name="_Toc19614_WPSOffice_Level1"/>
      <w:r>
        <w:rPr>
          <w:rFonts w:hint="eastAsia" w:ascii="宋体" w:hAnsi="宋体" w:cs="Times New Roman"/>
          <w:b/>
          <w:bCs/>
          <w:sz w:val="24"/>
        </w:rPr>
        <w:t>法定代表人身份证明书</w:t>
      </w:r>
      <w:bookmarkEnd w:id="65"/>
    </w:p>
    <w:p>
      <w:pPr>
        <w:spacing w:line="600" w:lineRule="exact"/>
        <w:ind w:firstLine="0" w:firstLineChars="0"/>
        <w:rPr>
          <w:rFonts w:ascii="宋体" w:hAnsi="宋体" w:cs="Times New Roman"/>
          <w:b/>
          <w:sz w:val="24"/>
        </w:rPr>
      </w:pPr>
    </w:p>
    <w:p>
      <w:pPr>
        <w:spacing w:line="600" w:lineRule="exact"/>
        <w:ind w:firstLine="540" w:firstLineChars="0"/>
        <w:rPr>
          <w:rFonts w:ascii="宋体" w:hAnsi="宋体" w:cs="Times New Roman"/>
          <w:sz w:val="24"/>
          <w:u w:val="single"/>
        </w:rPr>
      </w:pPr>
      <w:r>
        <w:rPr>
          <w:rFonts w:hint="eastAsia" w:ascii="宋体" w:hAnsi="宋体" w:cs="Times New Roman"/>
          <w:sz w:val="24"/>
        </w:rPr>
        <w:t>单位名称：</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rPr>
      </w:pPr>
      <w:r>
        <w:rPr>
          <w:rFonts w:hint="eastAsia" w:ascii="宋体" w:hAnsi="宋体" w:cs="Times New Roman"/>
          <w:sz w:val="24"/>
        </w:rPr>
        <w:t>单位性质：</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u w:val="single"/>
        </w:rPr>
      </w:pPr>
      <w:r>
        <w:rPr>
          <w:rFonts w:hint="eastAsia" w:ascii="宋体" w:hAnsi="宋体" w:cs="Times New Roman"/>
          <w:sz w:val="24"/>
        </w:rPr>
        <w:t>地    址：</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rPr>
      </w:pPr>
      <w:r>
        <w:rPr>
          <w:rFonts w:hint="eastAsia" w:ascii="宋体" w:hAnsi="宋体" w:cs="Times New Roman"/>
          <w:sz w:val="24"/>
        </w:rPr>
        <w:t>成立时间：</w:t>
      </w:r>
      <w:r>
        <w:rPr>
          <w:rFonts w:hint="eastAsia" w:ascii="宋体" w:hAnsi="宋体" w:cs="Times New Roman"/>
          <w:sz w:val="24"/>
          <w:u w:val="single"/>
        </w:rPr>
        <w:t xml:space="preserve">      </w:t>
      </w:r>
      <w:r>
        <w:rPr>
          <w:rFonts w:hint="eastAsia" w:ascii="宋体" w:hAnsi="宋体" w:cs="Times New Roman"/>
          <w:sz w:val="24"/>
        </w:rPr>
        <w:t>年</w:t>
      </w:r>
      <w:r>
        <w:rPr>
          <w:rFonts w:hint="eastAsia" w:ascii="宋体" w:hAnsi="宋体" w:cs="Times New Roman"/>
          <w:sz w:val="24"/>
          <w:u w:val="single"/>
        </w:rPr>
        <w:t xml:space="preserve">       </w:t>
      </w:r>
      <w:r>
        <w:rPr>
          <w:rFonts w:hint="eastAsia" w:ascii="宋体" w:hAnsi="宋体" w:cs="Times New Roman"/>
          <w:sz w:val="24"/>
        </w:rPr>
        <w:t>月</w:t>
      </w:r>
      <w:r>
        <w:rPr>
          <w:rFonts w:hint="eastAsia" w:ascii="宋体" w:hAnsi="宋体" w:cs="Times New Roman"/>
          <w:sz w:val="24"/>
          <w:u w:val="single"/>
        </w:rPr>
        <w:t xml:space="preserve">       </w:t>
      </w:r>
      <w:r>
        <w:rPr>
          <w:rFonts w:hint="eastAsia" w:ascii="宋体" w:hAnsi="宋体" w:cs="Times New Roman"/>
          <w:sz w:val="24"/>
        </w:rPr>
        <w:t>日</w:t>
      </w:r>
    </w:p>
    <w:p>
      <w:pPr>
        <w:spacing w:line="600" w:lineRule="exact"/>
        <w:ind w:firstLine="540" w:firstLineChars="0"/>
        <w:rPr>
          <w:rFonts w:ascii="宋体" w:hAnsi="宋体" w:cs="Times New Roman"/>
          <w:sz w:val="24"/>
        </w:rPr>
      </w:pPr>
      <w:r>
        <w:rPr>
          <w:rFonts w:hint="eastAsia" w:ascii="宋体" w:hAnsi="宋体" w:cs="Times New Roman"/>
          <w:sz w:val="24"/>
        </w:rPr>
        <w:t>经营期限：</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rPr>
      </w:pPr>
      <w:r>
        <w:rPr>
          <w:rFonts w:hint="eastAsia" w:ascii="宋体" w:hAnsi="宋体" w:cs="Times New Roman"/>
          <w:sz w:val="24"/>
        </w:rPr>
        <w:t>姓    名：</w:t>
      </w:r>
      <w:r>
        <w:rPr>
          <w:rFonts w:hint="eastAsia" w:ascii="宋体" w:hAnsi="宋体" w:cs="Times New Roman"/>
          <w:sz w:val="24"/>
          <w:u w:val="single"/>
        </w:rPr>
        <w:t xml:space="preserve">             </w:t>
      </w:r>
      <w:r>
        <w:rPr>
          <w:rFonts w:hint="eastAsia" w:ascii="宋体" w:hAnsi="宋体" w:cs="Times New Roman"/>
          <w:sz w:val="24"/>
        </w:rPr>
        <w:t xml:space="preserve"> 性  别：</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rPr>
      </w:pPr>
      <w:r>
        <w:rPr>
          <w:rFonts w:hint="eastAsia" w:ascii="宋体" w:hAnsi="宋体" w:cs="Times New Roman"/>
          <w:sz w:val="24"/>
        </w:rPr>
        <w:t>年    龄：</w:t>
      </w:r>
      <w:r>
        <w:rPr>
          <w:rFonts w:hint="eastAsia" w:ascii="宋体" w:hAnsi="宋体" w:cs="Times New Roman"/>
          <w:sz w:val="24"/>
          <w:u w:val="single"/>
        </w:rPr>
        <w:t xml:space="preserve">             </w:t>
      </w:r>
      <w:r>
        <w:rPr>
          <w:rFonts w:hint="eastAsia" w:ascii="宋体" w:hAnsi="宋体" w:cs="Times New Roman"/>
          <w:sz w:val="24"/>
        </w:rPr>
        <w:t xml:space="preserve"> 职  务：</w:t>
      </w:r>
      <w:r>
        <w:rPr>
          <w:rFonts w:hint="eastAsia" w:ascii="宋体" w:hAnsi="宋体" w:cs="Times New Roman"/>
          <w:sz w:val="24"/>
          <w:u w:val="single"/>
        </w:rPr>
        <w:tab/>
      </w:r>
      <w:r>
        <w:rPr>
          <w:rFonts w:hint="eastAsia" w:ascii="宋体" w:hAnsi="宋体" w:cs="Times New Roman"/>
          <w:sz w:val="24"/>
          <w:u w:val="single"/>
        </w:rPr>
        <w:t xml:space="preserve">           </w:t>
      </w:r>
      <w:r>
        <w:rPr>
          <w:rFonts w:hint="eastAsia" w:ascii="宋体" w:hAnsi="宋体" w:cs="Times New Roman"/>
          <w:sz w:val="24"/>
          <w:u w:val="single"/>
        </w:rPr>
        <w:tab/>
      </w:r>
    </w:p>
    <w:p>
      <w:pPr>
        <w:spacing w:line="600" w:lineRule="exact"/>
        <w:ind w:firstLine="0" w:firstLineChars="0"/>
        <w:rPr>
          <w:rFonts w:ascii="宋体" w:hAnsi="宋体" w:cs="Times New Roman"/>
          <w:sz w:val="24"/>
        </w:rPr>
      </w:pPr>
      <w:r>
        <w:rPr>
          <w:rFonts w:hint="eastAsia" w:ascii="宋体" w:hAnsi="宋体" w:cs="Times New Roman"/>
          <w:sz w:val="24"/>
        </w:rPr>
        <w:t xml:space="preserve">    系</w:t>
      </w:r>
      <w:r>
        <w:rPr>
          <w:rFonts w:hint="eastAsia" w:ascii="宋体" w:hAnsi="宋体" w:cs="Times New Roman"/>
          <w:sz w:val="24"/>
          <w:u w:val="single"/>
        </w:rPr>
        <w:t xml:space="preserve">                                      </w:t>
      </w:r>
      <w:r>
        <w:rPr>
          <w:rFonts w:hint="eastAsia" w:ascii="宋体" w:hAnsi="宋体" w:cs="Times New Roman"/>
          <w:sz w:val="24"/>
        </w:rPr>
        <w:t>的法定代表人。</w:t>
      </w:r>
    </w:p>
    <w:tbl>
      <w:tblPr>
        <w:tblStyle w:val="20"/>
        <w:tblpPr w:leftFromText="180" w:rightFromText="180" w:vertAnchor="text" w:horzAnchor="page" w:tblpX="2318" w:tblpY="311"/>
        <w:tblOverlap w:val="never"/>
        <w:tblW w:w="5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5560" w:type="dxa"/>
            <w:vAlign w:val="center"/>
          </w:tcPr>
          <w:p>
            <w:pPr>
              <w:spacing w:line="440" w:lineRule="exact"/>
              <w:ind w:firstLine="0" w:firstLineChars="0"/>
              <w:jc w:val="center"/>
              <w:rPr>
                <w:rFonts w:ascii="宋体" w:hAnsi="宋体" w:cs="宋体"/>
                <w:sz w:val="24"/>
              </w:rPr>
            </w:pPr>
            <w:r>
              <w:rPr>
                <w:rFonts w:hint="eastAsia" w:ascii="宋体" w:hAnsi="宋体" w:cs="宋体"/>
                <w:sz w:val="24"/>
              </w:rPr>
              <w:t>法定代表人身份证复印件正、反面</w:t>
            </w:r>
          </w:p>
        </w:tc>
      </w:tr>
    </w:tbl>
    <w:p>
      <w:pPr>
        <w:spacing w:line="600" w:lineRule="exact"/>
        <w:ind w:firstLine="610" w:firstLineChars="0"/>
        <w:rPr>
          <w:rFonts w:ascii="宋体" w:hAnsi="宋体" w:cs="Times New Roman"/>
          <w:sz w:val="24"/>
          <w:u w:val="single"/>
        </w:rPr>
      </w:pPr>
    </w:p>
    <w:p>
      <w:pPr>
        <w:spacing w:line="600" w:lineRule="exact"/>
        <w:ind w:firstLine="0" w:firstLineChars="0"/>
        <w:rPr>
          <w:rFonts w:ascii="宋体" w:hAnsi="宋体" w:cs="Times New Roman"/>
          <w:sz w:val="24"/>
        </w:rPr>
      </w:pPr>
      <w:r>
        <w:rPr>
          <w:rFonts w:hint="eastAsia" w:ascii="宋体" w:hAnsi="宋体" w:cs="Times New Roman"/>
          <w:sz w:val="24"/>
        </w:rPr>
        <w:t xml:space="preserve">   </w:t>
      </w:r>
    </w:p>
    <w:p>
      <w:pPr>
        <w:tabs>
          <w:tab w:val="left" w:pos="720"/>
          <w:tab w:val="left" w:pos="900"/>
        </w:tabs>
        <w:spacing w:line="600" w:lineRule="exact"/>
        <w:ind w:firstLine="2880" w:firstLineChars="1200"/>
        <w:rPr>
          <w:rFonts w:ascii="宋体" w:hAnsi="宋体" w:cs="Times New Roman"/>
          <w:sz w:val="24"/>
        </w:rPr>
      </w:pPr>
    </w:p>
    <w:p>
      <w:pPr>
        <w:tabs>
          <w:tab w:val="left" w:pos="720"/>
          <w:tab w:val="left" w:pos="900"/>
        </w:tabs>
        <w:spacing w:line="600" w:lineRule="exact"/>
        <w:ind w:firstLine="2880" w:firstLineChars="1200"/>
        <w:rPr>
          <w:rFonts w:ascii="宋体" w:hAnsi="宋体" w:cs="Times New Roman"/>
          <w:sz w:val="24"/>
        </w:rPr>
      </w:pPr>
    </w:p>
    <w:p>
      <w:pPr>
        <w:tabs>
          <w:tab w:val="left" w:pos="720"/>
          <w:tab w:val="left" w:pos="900"/>
        </w:tabs>
        <w:spacing w:line="600" w:lineRule="exact"/>
        <w:ind w:firstLine="0" w:firstLineChars="0"/>
        <w:rPr>
          <w:rFonts w:ascii="宋体" w:hAnsi="宋体" w:cs="Times New Roman"/>
          <w:sz w:val="24"/>
        </w:rPr>
      </w:pPr>
    </w:p>
    <w:p>
      <w:pPr>
        <w:tabs>
          <w:tab w:val="left" w:pos="720"/>
          <w:tab w:val="left" w:pos="900"/>
        </w:tabs>
        <w:spacing w:line="600" w:lineRule="exact"/>
        <w:ind w:firstLine="0" w:firstLineChars="0"/>
        <w:rPr>
          <w:rFonts w:ascii="宋体" w:hAnsi="宋体" w:cs="Times New Roman"/>
          <w:sz w:val="24"/>
        </w:rPr>
      </w:pPr>
      <w:r>
        <w:rPr>
          <w:rFonts w:hint="eastAsia" w:ascii="宋体" w:hAnsi="宋体" w:cs="Times New Roman"/>
          <w:sz w:val="24"/>
        </w:rPr>
        <w:t xml:space="preserve">特此证明。       </w:t>
      </w:r>
    </w:p>
    <w:p>
      <w:pPr>
        <w:tabs>
          <w:tab w:val="left" w:pos="720"/>
          <w:tab w:val="left" w:pos="900"/>
        </w:tabs>
        <w:spacing w:line="600" w:lineRule="exact"/>
        <w:ind w:firstLine="4800" w:firstLineChars="2000"/>
        <w:rPr>
          <w:rFonts w:ascii="宋体" w:hAnsi="宋体" w:cs="Times New Roman"/>
          <w:sz w:val="24"/>
        </w:rPr>
      </w:pPr>
    </w:p>
    <w:p>
      <w:pPr>
        <w:tabs>
          <w:tab w:val="left" w:pos="720"/>
          <w:tab w:val="left" w:pos="900"/>
        </w:tabs>
        <w:spacing w:line="600" w:lineRule="exact"/>
        <w:ind w:firstLine="4800" w:firstLineChars="2000"/>
        <w:rPr>
          <w:rFonts w:ascii="宋体" w:hAnsi="宋体" w:cs="Times New Roman"/>
          <w:sz w:val="24"/>
          <w:u w:val="single"/>
        </w:rPr>
      </w:pPr>
      <w:r>
        <w:rPr>
          <w:rFonts w:hint="eastAsia" w:ascii="宋体" w:hAnsi="宋体" w:cs="Times New Roman"/>
          <w:sz w:val="24"/>
        </w:rPr>
        <w:t>投 标 人：（盖公章）</w:t>
      </w:r>
      <w:r>
        <w:rPr>
          <w:rFonts w:hint="eastAsia" w:ascii="宋体" w:hAnsi="宋体" w:cs="Times New Roman"/>
          <w:sz w:val="24"/>
          <w:u w:val="single"/>
        </w:rPr>
        <w:t xml:space="preserve">                  </w:t>
      </w:r>
    </w:p>
    <w:p>
      <w:pPr>
        <w:spacing w:line="240" w:lineRule="auto"/>
        <w:ind w:firstLine="4800" w:firstLineChars="2000"/>
        <w:rPr>
          <w:rFonts w:ascii="宋体" w:hAnsi="宋体" w:cs="Times New Roman"/>
          <w:sz w:val="24"/>
        </w:rPr>
      </w:pPr>
    </w:p>
    <w:p>
      <w:pPr>
        <w:spacing w:line="240" w:lineRule="auto"/>
        <w:ind w:firstLine="4800" w:firstLineChars="2000"/>
        <w:rPr>
          <w:rFonts w:ascii="宋体" w:hAnsi="宋体" w:cs="Times New Roman"/>
          <w:sz w:val="24"/>
        </w:rPr>
      </w:pPr>
      <w:r>
        <w:rPr>
          <w:rFonts w:hint="eastAsia" w:ascii="宋体" w:hAnsi="宋体" w:cs="Times New Roman"/>
          <w:sz w:val="24"/>
        </w:rPr>
        <w:t>法定代表人签字或盖章</w:t>
      </w:r>
      <w:r>
        <w:rPr>
          <w:rFonts w:hint="eastAsia" w:ascii="宋体" w:hAnsi="宋体" w:cs="Times New Roman"/>
          <w:sz w:val="24"/>
          <w:u w:val="single"/>
        </w:rPr>
        <w:t xml:space="preserve">                 </w:t>
      </w:r>
      <w:r>
        <w:rPr>
          <w:rFonts w:hint="eastAsia" w:ascii="宋体" w:hAnsi="宋体" w:cs="Times New Roman"/>
          <w:sz w:val="24"/>
        </w:rPr>
        <w:t xml:space="preserve">              </w:t>
      </w:r>
    </w:p>
    <w:p>
      <w:pPr>
        <w:spacing w:line="240" w:lineRule="auto"/>
        <w:ind w:firstLine="0" w:firstLineChars="0"/>
        <w:rPr>
          <w:rFonts w:ascii="宋体" w:hAnsi="宋体" w:cs="Times New Roman"/>
          <w:sz w:val="24"/>
        </w:rPr>
      </w:pPr>
      <w:r>
        <w:rPr>
          <w:rFonts w:hint="eastAsia" w:ascii="宋体" w:hAnsi="宋体" w:cs="Times New Roman"/>
          <w:sz w:val="24"/>
        </w:rPr>
        <w:t xml:space="preserve">                                       </w:t>
      </w:r>
    </w:p>
    <w:p>
      <w:pPr>
        <w:adjustRightInd w:val="0"/>
        <w:snapToGrid w:val="0"/>
        <w:spacing w:line="360" w:lineRule="auto"/>
        <w:ind w:firstLine="0" w:firstLineChars="0"/>
        <w:jc w:val="center"/>
        <w:rPr>
          <w:rFonts w:ascii="宋体" w:hAnsi="宋体" w:cs="Times New Roman"/>
          <w:b/>
          <w:sz w:val="24"/>
          <w:u w:val="single"/>
        </w:rPr>
      </w:pPr>
      <w:r>
        <w:rPr>
          <w:rFonts w:hint="eastAsia" w:ascii="宋体" w:hAnsi="宋体" w:cs="Times New Roman"/>
          <w:sz w:val="24"/>
        </w:rPr>
        <w:t xml:space="preserve">                    日    期： 　　  </w:t>
      </w:r>
      <w:r>
        <w:rPr>
          <w:rFonts w:hint="eastAsia" w:ascii="黑体" w:hAnsi="黑体" w:eastAsia="黑体" w:cs="黑体"/>
          <w:b/>
          <w:kern w:val="0"/>
          <w:sz w:val="21"/>
          <w:szCs w:val="21"/>
        </w:rPr>
        <w:br w:type="page"/>
      </w:r>
      <w:bookmarkStart w:id="66" w:name="_Toc23410_WPSOffice_Level1"/>
      <w:r>
        <w:rPr>
          <w:rFonts w:hint="eastAsia" w:ascii="宋体" w:hAnsi="宋体" w:cs="Times New Roman"/>
          <w:b/>
          <w:bCs/>
          <w:szCs w:val="28"/>
        </w:rPr>
        <w:t>授权委托书</w:t>
      </w:r>
      <w:bookmarkEnd w:id="66"/>
    </w:p>
    <w:p>
      <w:pPr>
        <w:widowControl/>
        <w:adjustRightInd w:val="0"/>
        <w:snapToGrid w:val="0"/>
        <w:spacing w:line="440" w:lineRule="exact"/>
        <w:ind w:left="1" w:firstLine="482"/>
        <w:jc w:val="left"/>
        <w:rPr>
          <w:rFonts w:ascii="宋体" w:hAnsi="宋体" w:cs="宋体"/>
          <w:b/>
          <w:kern w:val="0"/>
          <w:sz w:val="24"/>
          <w:u w:val="single"/>
        </w:rPr>
      </w:pPr>
      <w:r>
        <w:rPr>
          <w:rFonts w:hint="eastAsia" w:ascii="宋体" w:hAnsi="宋体" w:cs="宋体"/>
          <w:b/>
          <w:kern w:val="0"/>
          <w:sz w:val="24"/>
          <w:u w:val="single"/>
        </w:rPr>
        <w:t>致：（采购人）</w:t>
      </w:r>
    </w:p>
    <w:p>
      <w:pPr>
        <w:topLinePunct/>
        <w:spacing w:line="440" w:lineRule="exact"/>
        <w:ind w:firstLine="48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项目磋商文件、签订合同和处理有关事宜，其法律后果由我方承担。</w:t>
      </w:r>
    </w:p>
    <w:p>
      <w:pPr>
        <w:spacing w:line="440" w:lineRule="exact"/>
        <w:ind w:firstLine="0" w:firstLineChars="0"/>
        <w:rPr>
          <w:rFonts w:ascii="宋体" w:hAnsi="宋体" w:cs="宋体"/>
          <w:sz w:val="24"/>
        </w:rPr>
      </w:pPr>
      <w:r>
        <w:rPr>
          <w:rFonts w:hint="eastAsia" w:ascii="宋体" w:hAnsi="宋体" w:cs="宋体"/>
          <w:sz w:val="24"/>
        </w:rPr>
        <w:t xml:space="preserve">    委托期限：</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rPr>
          <w:rFonts w:ascii="宋体" w:hAnsi="宋体" w:cs="宋体"/>
          <w:sz w:val="24"/>
        </w:rPr>
      </w:pPr>
      <w:r>
        <w:rPr>
          <w:rFonts w:hint="eastAsia" w:ascii="宋体" w:hAnsi="宋体" w:cs="宋体"/>
          <w:sz w:val="24"/>
        </w:rPr>
        <w:t>代理人无转委托权。</w:t>
      </w:r>
    </w:p>
    <w:p>
      <w:pPr>
        <w:spacing w:line="440" w:lineRule="exact"/>
        <w:ind w:firstLine="480"/>
        <w:rPr>
          <w:rFonts w:ascii="宋体" w:hAnsi="宋体" w:cs="宋体"/>
          <w:sz w:val="24"/>
        </w:rPr>
      </w:pPr>
      <w:r>
        <w:rPr>
          <w:rFonts w:hint="eastAsia" w:ascii="宋体" w:hAnsi="宋体" w:cs="宋体"/>
          <w:sz w:val="24"/>
        </w:rPr>
        <w:t>附：</w:t>
      </w:r>
    </w:p>
    <w:p>
      <w:pPr>
        <w:spacing w:line="440" w:lineRule="exact"/>
        <w:ind w:firstLine="480"/>
        <w:rPr>
          <w:rFonts w:ascii="宋体" w:hAnsi="宋体" w:cs="宋体"/>
          <w:sz w:val="24"/>
        </w:rPr>
      </w:pPr>
    </w:p>
    <w:tbl>
      <w:tblPr>
        <w:tblStyle w:val="20"/>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4383" w:type="dxa"/>
          </w:tcPr>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 xml:space="preserve">   法定代表人身份证复印件(正反面)</w:t>
            </w:r>
          </w:p>
        </w:tc>
        <w:tc>
          <w:tcPr>
            <w:tcW w:w="4657" w:type="dxa"/>
          </w:tcPr>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 xml:space="preserve">   授权委托人身份证复印件(正反面)</w:t>
            </w:r>
          </w:p>
        </w:tc>
      </w:tr>
    </w:tbl>
    <w:p>
      <w:pPr>
        <w:spacing w:line="440" w:lineRule="exact"/>
        <w:ind w:firstLine="48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pPr>
        <w:spacing w:line="440" w:lineRule="exact"/>
        <w:ind w:firstLine="0" w:firstLineChars="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pPr>
        <w:spacing w:line="440" w:lineRule="exact"/>
        <w:ind w:firstLine="0" w:firstLineChars="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440" w:lineRule="exact"/>
        <w:ind w:firstLine="0" w:firstLineChars="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 xml:space="preserve">（签字） </w:t>
      </w:r>
    </w:p>
    <w:p>
      <w:pPr>
        <w:spacing w:line="440" w:lineRule="exact"/>
        <w:ind w:firstLine="0" w:firstLineChars="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身份证号码：</w:t>
      </w:r>
    </w:p>
    <w:p>
      <w:pPr>
        <w:spacing w:line="440" w:lineRule="exact"/>
        <w:ind w:firstLine="48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p>
    <w:p>
      <w:pPr>
        <w:adjustRightInd w:val="0"/>
        <w:snapToGrid w:val="0"/>
        <w:spacing w:line="440" w:lineRule="exact"/>
        <w:ind w:firstLine="5040" w:firstLineChars="2100"/>
        <w:rPr>
          <w:rFonts w:ascii="宋体" w:hAnsi="宋体" w:cs="Times New Roman"/>
          <w:sz w:val="24"/>
        </w:rPr>
      </w:pPr>
      <w:r>
        <w:rPr>
          <w:rFonts w:hint="eastAsia" w:ascii="宋体" w:hAnsi="宋体" w:cs="宋体"/>
          <w:sz w:val="24"/>
          <w:u w:val="single"/>
        </w:rPr>
        <w:t xml:space="preserve">  </w:t>
      </w:r>
    </w:p>
    <w:p>
      <w:pPr>
        <w:shd w:val="clear" w:color="auto" w:fill="FFFFFF"/>
        <w:spacing w:line="440" w:lineRule="exact"/>
        <w:ind w:firstLine="2954" w:firstLineChars="1401"/>
        <w:rPr>
          <w:rFonts w:ascii="黑体" w:hAnsi="黑体" w:eastAsia="黑体" w:cs="黑体"/>
          <w:b/>
          <w:kern w:val="0"/>
          <w:sz w:val="21"/>
          <w:szCs w:val="21"/>
        </w:rPr>
      </w:pPr>
    </w:p>
    <w:p>
      <w:pPr>
        <w:shd w:val="clear" w:color="auto" w:fill="FFFFFF"/>
        <w:spacing w:line="440" w:lineRule="exact"/>
        <w:ind w:firstLine="2954" w:firstLineChars="1401"/>
        <w:rPr>
          <w:rFonts w:ascii="黑体" w:hAnsi="黑体" w:eastAsia="黑体" w:cs="黑体"/>
          <w:b/>
          <w:kern w:val="0"/>
          <w:sz w:val="21"/>
          <w:szCs w:val="21"/>
        </w:rPr>
      </w:pPr>
    </w:p>
    <w:p>
      <w:pPr>
        <w:shd w:val="clear" w:color="auto" w:fill="FFFFFF"/>
        <w:spacing w:line="440" w:lineRule="exact"/>
        <w:ind w:firstLine="0" w:firstLineChars="0"/>
        <w:outlineLvl w:val="0"/>
        <w:rPr>
          <w:rFonts w:ascii="宋体" w:hAnsi="宋体" w:cs="Times New Roman"/>
          <w:b/>
          <w:bCs/>
          <w:szCs w:val="28"/>
        </w:rPr>
      </w:pPr>
      <w:bookmarkStart w:id="67" w:name="_Toc23243"/>
      <w:bookmarkStart w:id="68" w:name="_Toc9484"/>
      <w:bookmarkStart w:id="69" w:name="_Toc868"/>
      <w:bookmarkStart w:id="70" w:name="_Toc26591"/>
      <w:r>
        <w:rPr>
          <w:rFonts w:hint="eastAsia" w:ascii="宋体" w:hAnsi="宋体" w:cs="Times New Roman"/>
          <w:b/>
          <w:bCs/>
          <w:szCs w:val="28"/>
        </w:rPr>
        <w:t>附件三</w:t>
      </w:r>
      <w:bookmarkEnd w:id="67"/>
      <w:bookmarkEnd w:id="68"/>
      <w:bookmarkEnd w:id="69"/>
      <w:bookmarkEnd w:id="70"/>
    </w:p>
    <w:p>
      <w:pPr>
        <w:ind w:left="562" w:hanging="562" w:hangingChars="200"/>
        <w:contextualSpacing/>
        <w:rPr>
          <w:rFonts w:ascii="宋体" w:hAnsi="宋体" w:cs="Times New Roman"/>
          <w:b/>
          <w:bCs/>
          <w:szCs w:val="28"/>
        </w:rPr>
      </w:pPr>
    </w:p>
    <w:p>
      <w:pPr>
        <w:keepNext/>
        <w:keepLines/>
        <w:spacing w:line="360" w:lineRule="auto"/>
        <w:ind w:firstLine="602"/>
        <w:jc w:val="center"/>
        <w:outlineLvl w:val="1"/>
        <w:rPr>
          <w:rFonts w:cs="Times New Roman"/>
          <w:b/>
          <w:bCs/>
          <w:sz w:val="30"/>
          <w:szCs w:val="32"/>
        </w:rPr>
      </w:pPr>
      <w:bookmarkStart w:id="71" w:name="_Toc23392"/>
      <w:r>
        <w:rPr>
          <w:rFonts w:hint="eastAsia" w:cs="Times New Roman"/>
          <w:b/>
          <w:bCs/>
          <w:sz w:val="30"/>
          <w:szCs w:val="32"/>
        </w:rPr>
        <w:t>投标保证金复印件加盖公章</w:t>
      </w:r>
      <w:bookmarkEnd w:id="71"/>
    </w:p>
    <w:p>
      <w:pPr>
        <w:shd w:val="clear" w:color="auto" w:fill="FFFFFF"/>
        <w:spacing w:line="440" w:lineRule="exact"/>
        <w:ind w:firstLine="0" w:firstLineChars="0"/>
        <w:outlineLvl w:val="0"/>
        <w:rPr>
          <w:rFonts w:ascii="宋体" w:hAnsi="宋体" w:cs="Times New Roman"/>
          <w:b/>
          <w:bCs/>
          <w:szCs w:val="28"/>
        </w:rPr>
      </w:pPr>
      <w:r>
        <w:rPr>
          <w:rFonts w:hint="eastAsia" w:ascii="黑体" w:hAnsi="黑体" w:eastAsia="黑体" w:cs="黑体"/>
          <w:b/>
          <w:kern w:val="0"/>
          <w:sz w:val="21"/>
          <w:szCs w:val="21"/>
        </w:rPr>
        <w:br w:type="page"/>
      </w:r>
      <w:bookmarkStart w:id="72" w:name="_Toc23813"/>
      <w:bookmarkStart w:id="73" w:name="_Toc31781"/>
      <w:bookmarkStart w:id="74" w:name="_Toc20473"/>
      <w:bookmarkStart w:id="75" w:name="_Toc22975"/>
      <w:r>
        <w:rPr>
          <w:rFonts w:hint="eastAsia" w:ascii="宋体" w:hAnsi="宋体" w:cs="Times New Roman"/>
          <w:b/>
          <w:bCs/>
          <w:szCs w:val="28"/>
        </w:rPr>
        <w:t>附件四</w:t>
      </w:r>
      <w:bookmarkEnd w:id="72"/>
      <w:bookmarkEnd w:id="73"/>
      <w:bookmarkEnd w:id="74"/>
      <w:bookmarkEnd w:id="75"/>
    </w:p>
    <w:p>
      <w:pPr>
        <w:spacing w:line="440" w:lineRule="exact"/>
        <w:ind w:firstLine="0" w:firstLineChars="0"/>
        <w:jc w:val="center"/>
        <w:rPr>
          <w:rFonts w:ascii="宋体" w:hAnsi="宋体" w:cs="宋体"/>
          <w:b/>
          <w:bCs/>
          <w:sz w:val="24"/>
        </w:rPr>
      </w:pPr>
      <w:r>
        <w:rPr>
          <w:rFonts w:hint="eastAsia" w:ascii="宋体" w:hAnsi="宋体" w:cs="宋体"/>
          <w:b/>
          <w:bCs/>
          <w:sz w:val="24"/>
        </w:rPr>
        <w:t>投标报价一览表</w:t>
      </w:r>
    </w:p>
    <w:p>
      <w:pPr>
        <w:spacing w:line="440" w:lineRule="exact"/>
        <w:ind w:firstLine="0" w:firstLineChars="0"/>
        <w:rPr>
          <w:rFonts w:ascii="宋体" w:hAnsi="宋体" w:cs="宋体"/>
          <w:sz w:val="24"/>
          <w:u w:val="single"/>
        </w:rPr>
      </w:pPr>
      <w:r>
        <w:rPr>
          <w:rFonts w:hint="eastAsia" w:ascii="宋体" w:hAnsi="宋体" w:cs="宋体"/>
          <w:sz w:val="24"/>
        </w:rPr>
        <w:t>项目名称：                       项目编号：</w:t>
      </w:r>
    </w:p>
    <w:tbl>
      <w:tblPr>
        <w:tblStyle w:val="2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spacing w:line="400" w:lineRule="exact"/>
              <w:ind w:firstLine="0" w:firstLineChars="0"/>
              <w:jc w:val="center"/>
              <w:rPr>
                <w:rFonts w:ascii="宋体" w:hAnsi="宋体" w:cs="宋体"/>
                <w:sz w:val="24"/>
              </w:rPr>
            </w:pPr>
            <w:r>
              <w:rPr>
                <w:rFonts w:hint="eastAsia" w:ascii="宋体" w:hAnsi="宋体" w:cs="宋体"/>
                <w:sz w:val="24"/>
              </w:rPr>
              <w:t>序号</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项目</w:t>
            </w:r>
          </w:p>
        </w:tc>
        <w:tc>
          <w:tcPr>
            <w:tcW w:w="6801" w:type="dxa"/>
            <w:vAlign w:val="center"/>
          </w:tcPr>
          <w:p>
            <w:pPr>
              <w:spacing w:line="400" w:lineRule="exact"/>
              <w:ind w:firstLine="0" w:firstLineChars="0"/>
              <w:jc w:val="center"/>
              <w:rPr>
                <w:rFonts w:ascii="宋体" w:hAnsi="宋体" w:cs="宋体"/>
                <w:sz w:val="24"/>
              </w:rPr>
            </w:pPr>
            <w:r>
              <w:rPr>
                <w:rFonts w:hint="eastAsia" w:ascii="宋体" w:hAnsi="宋体" w:cs="宋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1</w:t>
            </w:r>
          </w:p>
        </w:tc>
        <w:tc>
          <w:tcPr>
            <w:tcW w:w="1418" w:type="dxa"/>
            <w:vAlign w:val="center"/>
          </w:tcPr>
          <w:p>
            <w:pPr>
              <w:spacing w:line="400" w:lineRule="exact"/>
              <w:ind w:firstLine="0" w:firstLineChars="0"/>
              <w:rPr>
                <w:rFonts w:ascii="宋体" w:hAnsi="宋体" w:cs="宋体"/>
                <w:sz w:val="24"/>
              </w:rPr>
            </w:pPr>
            <w:r>
              <w:rPr>
                <w:rFonts w:hint="eastAsia" w:ascii="宋体" w:hAnsi="宋体" w:cs="宋体"/>
                <w:sz w:val="24"/>
              </w:rPr>
              <w:t>总价</w:t>
            </w:r>
          </w:p>
        </w:tc>
        <w:tc>
          <w:tcPr>
            <w:tcW w:w="6801" w:type="dxa"/>
            <w:vAlign w:val="center"/>
          </w:tcPr>
          <w:p>
            <w:pPr>
              <w:spacing w:line="400" w:lineRule="exact"/>
              <w:ind w:firstLine="0" w:firstLineChars="0"/>
              <w:rPr>
                <w:rFonts w:ascii="宋体" w:hAnsi="宋体" w:cs="宋体"/>
                <w:sz w:val="24"/>
              </w:rPr>
            </w:pPr>
            <w:r>
              <w:rPr>
                <w:rFonts w:hint="eastAsia" w:ascii="宋体" w:hAnsi="宋体" w:cs="宋体"/>
                <w:sz w:val="24"/>
              </w:rPr>
              <w:t>（小写）</w:t>
            </w:r>
          </w:p>
          <w:p>
            <w:pPr>
              <w:spacing w:line="400" w:lineRule="exact"/>
              <w:ind w:firstLine="0" w:firstLineChars="0"/>
              <w:rPr>
                <w:rFonts w:ascii="宋体" w:hAnsi="宋体" w:cs="宋体"/>
                <w:sz w:val="24"/>
              </w:rPr>
            </w:pPr>
          </w:p>
          <w:p>
            <w:pPr>
              <w:spacing w:line="400" w:lineRule="exact"/>
              <w:ind w:firstLine="0" w:firstLineChars="0"/>
              <w:rPr>
                <w:rFonts w:ascii="宋体" w:hAnsi="宋体" w:cs="宋体"/>
                <w:sz w:val="24"/>
              </w:rPr>
            </w:pPr>
            <w:r>
              <w:rPr>
                <w:rFonts w:hint="eastAsia" w:ascii="宋体" w:hAnsi="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2</w:t>
            </w:r>
          </w:p>
        </w:tc>
        <w:tc>
          <w:tcPr>
            <w:tcW w:w="1418" w:type="dxa"/>
            <w:vAlign w:val="center"/>
          </w:tcPr>
          <w:p>
            <w:pPr>
              <w:spacing w:line="400" w:lineRule="exact"/>
              <w:ind w:firstLine="0" w:firstLineChars="0"/>
              <w:rPr>
                <w:rFonts w:ascii="宋体" w:hAnsi="宋体" w:cs="宋体"/>
                <w:sz w:val="24"/>
              </w:rPr>
            </w:pPr>
            <w:r>
              <w:rPr>
                <w:rFonts w:hint="eastAsia" w:ascii="宋体" w:hAnsi="宋体" w:cs="宋体"/>
                <w:sz w:val="24"/>
              </w:rPr>
              <w:t>服务期限</w:t>
            </w:r>
          </w:p>
        </w:tc>
        <w:tc>
          <w:tcPr>
            <w:tcW w:w="6801" w:type="dxa"/>
            <w:vAlign w:val="center"/>
          </w:tcPr>
          <w:p>
            <w:pPr>
              <w:spacing w:line="400" w:lineRule="exact"/>
              <w:ind w:firstLine="0" w:firstLineChars="0"/>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3</w:t>
            </w:r>
          </w:p>
        </w:tc>
        <w:tc>
          <w:tcPr>
            <w:tcW w:w="1418" w:type="dxa"/>
            <w:vAlign w:val="center"/>
          </w:tcPr>
          <w:p>
            <w:pPr>
              <w:spacing w:line="400" w:lineRule="exact"/>
              <w:ind w:firstLine="0" w:firstLineChars="0"/>
              <w:rPr>
                <w:rFonts w:ascii="宋体" w:hAnsi="宋体" w:cs="宋体"/>
                <w:sz w:val="24"/>
              </w:rPr>
            </w:pPr>
            <w:r>
              <w:rPr>
                <w:rFonts w:hint="eastAsia" w:ascii="宋体" w:hAnsi="宋体" w:cs="宋体"/>
                <w:sz w:val="24"/>
              </w:rPr>
              <w:t>质量标准</w:t>
            </w:r>
          </w:p>
        </w:tc>
        <w:tc>
          <w:tcPr>
            <w:tcW w:w="6801" w:type="dxa"/>
            <w:vAlign w:val="center"/>
          </w:tcPr>
          <w:p>
            <w:pPr>
              <w:spacing w:line="400" w:lineRule="exact"/>
              <w:ind w:firstLine="0" w:firstLine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4</w:t>
            </w:r>
          </w:p>
        </w:tc>
        <w:tc>
          <w:tcPr>
            <w:tcW w:w="1418" w:type="dxa"/>
            <w:vAlign w:val="center"/>
          </w:tcPr>
          <w:p>
            <w:pPr>
              <w:spacing w:line="400" w:lineRule="exact"/>
              <w:ind w:firstLine="0" w:firstLineChars="0"/>
              <w:rPr>
                <w:rFonts w:ascii="宋体" w:hAnsi="宋体" w:cs="宋体"/>
                <w:sz w:val="24"/>
              </w:rPr>
            </w:pPr>
            <w:r>
              <w:rPr>
                <w:rFonts w:hint="eastAsia" w:ascii="宋体" w:hAnsi="宋体" w:cs="宋体"/>
                <w:sz w:val="24"/>
              </w:rPr>
              <w:t>报价说明</w:t>
            </w:r>
          </w:p>
        </w:tc>
        <w:tc>
          <w:tcPr>
            <w:tcW w:w="6801" w:type="dxa"/>
            <w:vAlign w:val="center"/>
          </w:tcPr>
          <w:p>
            <w:pPr>
              <w:spacing w:line="400" w:lineRule="exact"/>
              <w:ind w:firstLine="0" w:firstLineChars="0"/>
              <w:rPr>
                <w:rFonts w:ascii="宋体" w:hAnsi="宋体" w:cs="宋体"/>
                <w:sz w:val="24"/>
              </w:rPr>
            </w:pPr>
          </w:p>
        </w:tc>
      </w:tr>
    </w:tbl>
    <w:p>
      <w:pPr>
        <w:spacing w:line="360" w:lineRule="auto"/>
        <w:ind w:firstLine="480"/>
        <w:jc w:val="left"/>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备注：</w:t>
      </w:r>
    </w:p>
    <w:p>
      <w:pPr>
        <w:spacing w:line="440" w:lineRule="exact"/>
        <w:ind w:firstLine="0" w:firstLineChars="0"/>
        <w:rPr>
          <w:rFonts w:ascii="宋体" w:hAnsi="宋体" w:cs="宋体"/>
          <w:sz w:val="24"/>
        </w:rPr>
      </w:pPr>
      <w:r>
        <w:rPr>
          <w:rFonts w:hint="eastAsia" w:ascii="宋体" w:hAnsi="宋体" w:cs="宋体"/>
          <w:sz w:val="24"/>
        </w:rPr>
        <w:t>1、投标总价应为各分项报价之和。报价须以元为单位，小数点后保留2位。</w:t>
      </w:r>
    </w:p>
    <w:p>
      <w:pPr>
        <w:spacing w:line="440" w:lineRule="exact"/>
        <w:ind w:firstLine="0" w:firstLineChars="0"/>
        <w:rPr>
          <w:rFonts w:ascii="宋体" w:hAnsi="宋体" w:cs="宋体"/>
          <w:sz w:val="24"/>
        </w:rPr>
      </w:pPr>
      <w:r>
        <w:rPr>
          <w:rFonts w:hint="eastAsia" w:ascii="宋体" w:hAnsi="宋体" w:cs="宋体"/>
          <w:sz w:val="24"/>
        </w:rPr>
        <w:t>2、投标报价包括投标人为实施本项目全部工作内容所包括的全部含税价格的体现。</w:t>
      </w:r>
    </w:p>
    <w:p>
      <w:pPr>
        <w:spacing w:line="440" w:lineRule="exact"/>
        <w:ind w:firstLine="0" w:firstLineChars="0"/>
        <w:rPr>
          <w:rFonts w:ascii="宋体" w:hAnsi="宋体" w:cs="宋体"/>
          <w:sz w:val="24"/>
        </w:rPr>
      </w:pPr>
      <w:r>
        <w:rPr>
          <w:rFonts w:hint="eastAsia" w:ascii="宋体" w:hAnsi="宋体" w:cs="宋体"/>
          <w:sz w:val="24"/>
        </w:rPr>
        <w:t>3、投标人必须自行考虑本项目在实施期间的一切可能产生的费用。在合同执行过程中，采购人将不再另行支付与本项目相关的任何费用（非本项目要求的其它内容除外）。</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投标人（盖公章）：</w:t>
      </w:r>
    </w:p>
    <w:p>
      <w:pPr>
        <w:spacing w:line="440" w:lineRule="exact"/>
        <w:ind w:firstLine="0" w:firstLineChars="0"/>
        <w:rPr>
          <w:rFonts w:ascii="宋体" w:hAnsi="宋体" w:cs="宋体"/>
          <w:sz w:val="24"/>
        </w:rPr>
      </w:pPr>
      <w:r>
        <w:rPr>
          <w:rFonts w:hint="eastAsia" w:ascii="宋体" w:hAnsi="宋体" w:cs="宋体"/>
          <w:sz w:val="24"/>
        </w:rPr>
        <w:t>法定代表人（签字、盖章）：</w:t>
      </w:r>
    </w:p>
    <w:p>
      <w:pPr>
        <w:spacing w:line="440" w:lineRule="exact"/>
        <w:ind w:firstLine="0" w:firstLineChars="0"/>
        <w:rPr>
          <w:rFonts w:ascii="宋体" w:hAnsi="宋体" w:cs="宋体"/>
          <w:sz w:val="24"/>
        </w:rPr>
      </w:pPr>
      <w:r>
        <w:rPr>
          <w:rFonts w:hint="eastAsia" w:ascii="宋体" w:hAnsi="宋体" w:cs="宋体"/>
          <w:sz w:val="24"/>
        </w:rPr>
        <w:t>授权代理人（签字）：</w:t>
      </w:r>
    </w:p>
    <w:p>
      <w:pPr>
        <w:shd w:val="clear" w:color="auto" w:fill="FFFFFF"/>
        <w:spacing w:line="440" w:lineRule="exact"/>
        <w:ind w:firstLine="0" w:firstLineChars="0"/>
        <w:rPr>
          <w:rFonts w:ascii="宋体" w:hAnsi="宋体" w:cs="Times New Roman"/>
          <w:b/>
          <w:bCs/>
          <w:szCs w:val="28"/>
        </w:rPr>
      </w:pPr>
      <w:r>
        <w:rPr>
          <w:rFonts w:hint="eastAsia" w:ascii="宋体" w:hAnsi="宋体" w:cs="宋体"/>
          <w:sz w:val="24"/>
        </w:rPr>
        <w:t>日期：  年  月  日</w:t>
      </w:r>
      <w:r>
        <w:rPr>
          <w:rFonts w:hint="eastAsia" w:ascii="宋体" w:hAnsi="宋体" w:cs="宋体"/>
          <w:b/>
          <w:bCs/>
          <w:sz w:val="24"/>
        </w:rPr>
        <w:br w:type="page"/>
      </w:r>
      <w:r>
        <w:rPr>
          <w:rFonts w:hint="eastAsia" w:ascii="宋体" w:hAnsi="宋体" w:cs="Times New Roman"/>
          <w:b/>
          <w:bCs/>
          <w:szCs w:val="28"/>
        </w:rPr>
        <w:t>附件五</w:t>
      </w:r>
    </w:p>
    <w:p>
      <w:pPr>
        <w:shd w:val="clear" w:color="auto" w:fill="FFFFFF"/>
        <w:spacing w:line="240" w:lineRule="auto"/>
        <w:ind w:firstLine="0" w:firstLineChars="0"/>
        <w:jc w:val="center"/>
        <w:rPr>
          <w:rFonts w:ascii="宋体" w:hAnsi="宋体" w:cs="宋体"/>
          <w:b/>
          <w:bCs/>
          <w:sz w:val="44"/>
          <w:szCs w:val="44"/>
        </w:rPr>
      </w:pPr>
      <w:r>
        <w:rPr>
          <w:rFonts w:hint="eastAsia" w:ascii="宋体" w:hAnsi="宋体" w:cs="宋体"/>
          <w:b/>
          <w:bCs/>
          <w:sz w:val="44"/>
          <w:szCs w:val="44"/>
        </w:rPr>
        <w:t>投标人资格证明材料</w:t>
      </w:r>
    </w:p>
    <w:p>
      <w:pPr>
        <w:autoSpaceDE w:val="0"/>
        <w:autoSpaceDN w:val="0"/>
        <w:spacing w:line="440" w:lineRule="exact"/>
        <w:ind w:firstLine="0" w:firstLineChars="0"/>
        <w:jc w:val="left"/>
        <w:outlineLvl w:val="0"/>
        <w:rPr>
          <w:rFonts w:ascii="宋体" w:hAnsi="宋体" w:cs="宋体"/>
          <w:sz w:val="24"/>
        </w:rPr>
      </w:pPr>
      <w:bookmarkStart w:id="76" w:name="_Toc16877"/>
      <w:bookmarkStart w:id="77" w:name="_Toc3750"/>
      <w:bookmarkStart w:id="78" w:name="_Toc21363"/>
      <w:bookmarkStart w:id="79" w:name="_Toc10747"/>
      <w:r>
        <w:rPr>
          <w:rFonts w:hint="eastAsia" w:ascii="宋体" w:hAnsi="宋体" w:cs="宋体"/>
          <w:sz w:val="24"/>
        </w:rPr>
        <w:t>附件五按以下按顺序封装如下材料：</w:t>
      </w:r>
      <w:bookmarkEnd w:id="76"/>
      <w:bookmarkEnd w:id="77"/>
      <w:bookmarkEnd w:id="78"/>
      <w:bookmarkEnd w:id="79"/>
      <w:r>
        <w:rPr>
          <w:rFonts w:hint="eastAsia" w:ascii="宋体" w:hAnsi="宋体" w:cs="宋体"/>
          <w:sz w:val="24"/>
        </w:rPr>
        <w:t xml:space="preserve"> </w:t>
      </w:r>
    </w:p>
    <w:p>
      <w:pPr>
        <w:numPr>
          <w:ilvl w:val="0"/>
          <w:numId w:val="1"/>
        </w:numPr>
        <w:autoSpaceDE w:val="0"/>
        <w:autoSpaceDN w:val="0"/>
        <w:spacing w:line="440" w:lineRule="exact"/>
        <w:ind w:firstLine="0" w:firstLineChars="0"/>
        <w:jc w:val="left"/>
        <w:rPr>
          <w:rFonts w:ascii="宋体" w:hAnsi="宋体" w:cs="宋体"/>
          <w:sz w:val="24"/>
        </w:rPr>
      </w:pPr>
      <w:r>
        <w:rPr>
          <w:rFonts w:hint="eastAsia" w:ascii="宋体" w:hAnsi="宋体" w:cs="宋体"/>
          <w:sz w:val="24"/>
        </w:rPr>
        <w:t>营业执照或事业单位法人证复印件加盖公章；</w:t>
      </w:r>
    </w:p>
    <w:p>
      <w:pPr>
        <w:numPr>
          <w:ilvl w:val="0"/>
          <w:numId w:val="1"/>
        </w:numPr>
        <w:autoSpaceDE w:val="0"/>
        <w:autoSpaceDN w:val="0"/>
        <w:spacing w:line="440" w:lineRule="exact"/>
        <w:ind w:firstLine="0" w:firstLineChars="0"/>
        <w:jc w:val="left"/>
        <w:rPr>
          <w:rFonts w:ascii="宋体" w:hAnsi="宋体" w:cs="宋体"/>
          <w:sz w:val="24"/>
        </w:rPr>
      </w:pPr>
      <w:r>
        <w:rPr>
          <w:rFonts w:hint="eastAsia" w:ascii="宋体" w:hAnsi="宋体" w:cs="宋体"/>
          <w:sz w:val="24"/>
        </w:rPr>
        <w:t xml:space="preserve">资质证书复印件加盖公章； </w:t>
      </w:r>
    </w:p>
    <w:p>
      <w:pPr>
        <w:autoSpaceDE w:val="0"/>
        <w:autoSpaceDN w:val="0"/>
        <w:spacing w:line="440" w:lineRule="exact"/>
        <w:ind w:firstLine="0" w:firstLineChars="0"/>
        <w:jc w:val="left"/>
        <w:rPr>
          <w:rFonts w:ascii="宋体" w:hAnsi="宋体" w:cs="宋体"/>
          <w:sz w:val="24"/>
        </w:rPr>
      </w:pPr>
      <w:r>
        <w:rPr>
          <w:rFonts w:hint="eastAsia" w:ascii="宋体" w:hAnsi="宋体" w:cs="宋体"/>
          <w:sz w:val="24"/>
        </w:rPr>
        <w:t>3、近 3 年内，投标企业在参加政府采购和经营活动中没有违法和不良记录声明函（格式自拟，加盖公章，法定代表人签字或盖章）；</w:t>
      </w:r>
    </w:p>
    <w:p>
      <w:pPr>
        <w:autoSpaceDE w:val="0"/>
        <w:autoSpaceDN w:val="0"/>
        <w:spacing w:line="440" w:lineRule="exact"/>
        <w:ind w:firstLine="0" w:firstLineChars="0"/>
        <w:jc w:val="left"/>
        <w:rPr>
          <w:rFonts w:ascii="宋体" w:hAnsi="宋体" w:cs="宋体"/>
          <w:sz w:val="24"/>
        </w:rPr>
      </w:pPr>
      <w:r>
        <w:rPr>
          <w:rFonts w:hint="eastAsia" w:ascii="宋体" w:hAnsi="宋体" w:cs="宋体"/>
          <w:sz w:val="24"/>
        </w:rPr>
        <w:t>4、“信用中国”网（www.creditchina.gov.cn）、中国政府采购网（www.ccgp.gov.cn）被列入失信被执行人、政府采购严重违法失信行为记录名单、重大税收违法失信主体的（尚在处罚期内的），将拒绝其参加本次政府采购活动，需提供网站截图。</w:t>
      </w:r>
    </w:p>
    <w:p>
      <w:pPr>
        <w:autoSpaceDE w:val="0"/>
        <w:autoSpaceDN w:val="0"/>
        <w:spacing w:line="440" w:lineRule="exact"/>
        <w:ind w:firstLine="0" w:firstLineChars="0"/>
        <w:jc w:val="left"/>
        <w:rPr>
          <w:rFonts w:ascii="宋体" w:hAnsi="宋体" w:cs="宋体"/>
          <w:sz w:val="24"/>
        </w:rPr>
      </w:pPr>
      <w:r>
        <w:rPr>
          <w:rFonts w:hint="eastAsia" w:ascii="宋体" w:hAnsi="宋体" w:cs="宋体"/>
          <w:sz w:val="24"/>
        </w:rPr>
        <w:t xml:space="preserve">5、投标人须提供最近一年（2021）年度财务状况报告或财务报表； </w:t>
      </w:r>
    </w:p>
    <w:p>
      <w:pPr>
        <w:autoSpaceDE w:val="0"/>
        <w:autoSpaceDN w:val="0"/>
        <w:spacing w:line="440" w:lineRule="exact"/>
        <w:ind w:firstLine="0" w:firstLineChars="0"/>
        <w:jc w:val="left"/>
        <w:rPr>
          <w:rFonts w:ascii="宋体" w:hAnsi="宋体" w:cs="宋体"/>
          <w:sz w:val="24"/>
        </w:rPr>
      </w:pPr>
      <w:r>
        <w:rPr>
          <w:rFonts w:hint="eastAsia" w:ascii="宋体" w:hAnsi="宋体" w:cs="宋体"/>
          <w:sz w:val="24"/>
        </w:rPr>
        <w:t xml:space="preserve">6、企业简介加盖公章；  </w:t>
      </w:r>
    </w:p>
    <w:p>
      <w:pPr>
        <w:spacing w:after="120" w:line="440" w:lineRule="exact"/>
        <w:ind w:firstLine="0" w:firstLineChars="0"/>
        <w:rPr>
          <w:rFonts w:cs="Times New Roman"/>
          <w:color w:val="0000FF"/>
          <w:sz w:val="21"/>
        </w:rPr>
      </w:pPr>
    </w:p>
    <w:p>
      <w:pPr>
        <w:shd w:val="clear" w:color="auto" w:fill="FFFFFF"/>
        <w:spacing w:line="240" w:lineRule="auto"/>
        <w:ind w:firstLine="0" w:firstLineChars="0"/>
        <w:outlineLvl w:val="0"/>
        <w:rPr>
          <w:rFonts w:ascii="宋体" w:hAnsi="宋体" w:cs="Times New Roman"/>
          <w:b/>
          <w:bCs/>
          <w:szCs w:val="28"/>
        </w:rPr>
      </w:pPr>
      <w:r>
        <w:rPr>
          <w:rFonts w:hint="eastAsia" w:ascii="宋体" w:hAnsi="宋体" w:cs="宋体"/>
          <w:b/>
          <w:bCs/>
          <w:sz w:val="24"/>
        </w:rPr>
        <w:br w:type="page"/>
      </w:r>
      <w:bookmarkStart w:id="80" w:name="_Toc14028"/>
      <w:bookmarkStart w:id="81" w:name="_Toc3110"/>
      <w:bookmarkStart w:id="82" w:name="_Toc10689"/>
      <w:bookmarkStart w:id="83" w:name="_Toc21710"/>
      <w:r>
        <w:rPr>
          <w:rFonts w:hint="eastAsia" w:ascii="宋体" w:hAnsi="宋体" w:cs="Times New Roman"/>
          <w:b/>
          <w:bCs/>
          <w:szCs w:val="28"/>
        </w:rPr>
        <w:t>附件六</w:t>
      </w:r>
      <w:bookmarkEnd w:id="80"/>
      <w:bookmarkEnd w:id="81"/>
      <w:bookmarkEnd w:id="82"/>
      <w:bookmarkEnd w:id="83"/>
    </w:p>
    <w:p>
      <w:pPr>
        <w:spacing w:line="440" w:lineRule="exact"/>
        <w:ind w:firstLine="0" w:firstLineChars="0"/>
        <w:jc w:val="center"/>
        <w:rPr>
          <w:rFonts w:ascii="宋体" w:hAnsi="宋体" w:cs="宋体"/>
          <w:sz w:val="24"/>
        </w:rPr>
      </w:pPr>
      <w:r>
        <w:rPr>
          <w:rFonts w:hint="eastAsia" w:ascii="宋体" w:hAnsi="宋体" w:cs="宋体"/>
          <w:sz w:val="24"/>
        </w:rPr>
        <w:t>拟投入本项目的人员一览表</w:t>
      </w:r>
    </w:p>
    <w:tbl>
      <w:tblPr>
        <w:tblStyle w:val="20"/>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vAlign w:val="center"/>
          </w:tcPr>
          <w:p>
            <w:pPr>
              <w:spacing w:line="440" w:lineRule="exact"/>
              <w:ind w:firstLine="0" w:firstLineChars="0"/>
              <w:jc w:val="center"/>
              <w:rPr>
                <w:rFonts w:ascii="宋体" w:hAnsi="宋体" w:cs="宋体"/>
                <w:sz w:val="24"/>
              </w:rPr>
            </w:pPr>
            <w:r>
              <w:rPr>
                <w:rFonts w:hint="eastAsia" w:ascii="宋体" w:hAnsi="宋体" w:cs="宋体"/>
                <w:sz w:val="24"/>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exact"/>
          <w:jc w:val="center"/>
        </w:trPr>
        <w:tc>
          <w:tcPr>
            <w:tcW w:w="1276" w:type="dxa"/>
            <w:vAlign w:val="center"/>
          </w:tcPr>
          <w:p>
            <w:pPr>
              <w:spacing w:line="440" w:lineRule="exact"/>
              <w:ind w:firstLine="0" w:firstLineChars="0"/>
              <w:rPr>
                <w:rFonts w:ascii="宋体" w:hAnsi="宋体" w:cs="宋体"/>
                <w:sz w:val="24"/>
              </w:rPr>
            </w:pPr>
            <w:r>
              <w:rPr>
                <w:rFonts w:hint="eastAsia" w:ascii="宋体" w:hAnsi="宋体" w:cs="宋体"/>
                <w:sz w:val="24"/>
              </w:rPr>
              <w:t>职责分工</w:t>
            </w:r>
          </w:p>
        </w:tc>
        <w:tc>
          <w:tcPr>
            <w:tcW w:w="1183" w:type="dxa"/>
            <w:vAlign w:val="center"/>
          </w:tcPr>
          <w:p>
            <w:pPr>
              <w:spacing w:line="440" w:lineRule="exact"/>
              <w:ind w:firstLine="0" w:firstLineChars="0"/>
              <w:rPr>
                <w:rFonts w:ascii="宋体" w:hAnsi="宋体" w:cs="宋体"/>
                <w:sz w:val="24"/>
              </w:rPr>
            </w:pPr>
            <w:r>
              <w:rPr>
                <w:rFonts w:hint="eastAsia" w:ascii="宋体" w:hAnsi="宋体" w:cs="宋体"/>
                <w:sz w:val="24"/>
              </w:rPr>
              <w:t>姓名</w:t>
            </w:r>
          </w:p>
        </w:tc>
        <w:tc>
          <w:tcPr>
            <w:tcW w:w="945" w:type="dxa"/>
            <w:vAlign w:val="center"/>
          </w:tcPr>
          <w:p>
            <w:pPr>
              <w:spacing w:line="440" w:lineRule="exact"/>
              <w:ind w:firstLine="0" w:firstLineChars="0"/>
              <w:rPr>
                <w:rFonts w:ascii="宋体" w:hAnsi="宋体" w:cs="宋体"/>
                <w:sz w:val="24"/>
              </w:rPr>
            </w:pPr>
            <w:r>
              <w:rPr>
                <w:rFonts w:hint="eastAsia" w:ascii="宋体" w:hAnsi="宋体" w:cs="宋体"/>
                <w:sz w:val="24"/>
              </w:rPr>
              <w:t>年龄</w:t>
            </w:r>
          </w:p>
        </w:tc>
        <w:tc>
          <w:tcPr>
            <w:tcW w:w="1137" w:type="dxa"/>
            <w:vAlign w:val="center"/>
          </w:tcPr>
          <w:p>
            <w:pPr>
              <w:spacing w:line="440" w:lineRule="exact"/>
              <w:ind w:firstLine="0" w:firstLineChars="0"/>
              <w:rPr>
                <w:rFonts w:ascii="宋体" w:hAnsi="宋体" w:cs="宋体"/>
                <w:sz w:val="24"/>
              </w:rPr>
            </w:pPr>
            <w:r>
              <w:rPr>
                <w:rFonts w:hint="eastAsia" w:ascii="宋体" w:hAnsi="宋体" w:cs="宋体"/>
                <w:sz w:val="24"/>
              </w:rPr>
              <w:t>专业</w:t>
            </w:r>
          </w:p>
        </w:tc>
        <w:tc>
          <w:tcPr>
            <w:tcW w:w="1359" w:type="dxa"/>
            <w:vAlign w:val="center"/>
          </w:tcPr>
          <w:p>
            <w:pPr>
              <w:spacing w:line="440" w:lineRule="exact"/>
              <w:ind w:firstLine="0" w:firstLineChars="0"/>
              <w:rPr>
                <w:rFonts w:ascii="宋体" w:hAnsi="宋体" w:cs="宋体"/>
                <w:sz w:val="24"/>
              </w:rPr>
            </w:pPr>
            <w:r>
              <w:rPr>
                <w:rFonts w:hint="eastAsia" w:ascii="宋体" w:hAnsi="宋体" w:cs="宋体"/>
                <w:sz w:val="24"/>
              </w:rPr>
              <w:t>在本项目中担任的岗位</w:t>
            </w:r>
          </w:p>
        </w:tc>
        <w:tc>
          <w:tcPr>
            <w:tcW w:w="1470" w:type="dxa"/>
            <w:vAlign w:val="center"/>
          </w:tcPr>
          <w:p>
            <w:pPr>
              <w:spacing w:line="440" w:lineRule="exact"/>
              <w:ind w:firstLine="0" w:firstLineChars="0"/>
              <w:rPr>
                <w:rFonts w:ascii="宋体" w:hAnsi="宋体" w:cs="宋体"/>
                <w:sz w:val="24"/>
              </w:rPr>
            </w:pPr>
            <w:r>
              <w:rPr>
                <w:rFonts w:hint="eastAsia" w:ascii="宋体" w:hAnsi="宋体" w:cs="宋体"/>
                <w:sz w:val="24"/>
              </w:rPr>
              <w:t>从事类似工作年限</w:t>
            </w:r>
          </w:p>
        </w:tc>
        <w:tc>
          <w:tcPr>
            <w:tcW w:w="1142" w:type="dxa"/>
            <w:vAlign w:val="center"/>
          </w:tcPr>
          <w:p>
            <w:pPr>
              <w:spacing w:line="440" w:lineRule="exact"/>
              <w:ind w:firstLine="0" w:firstLineChars="0"/>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440" w:lineRule="exact"/>
              <w:ind w:firstLine="0" w:firstLineChars="0"/>
              <w:rPr>
                <w:rFonts w:ascii="宋体" w:hAnsi="宋体" w:cs="宋体"/>
                <w:sz w:val="24"/>
              </w:rPr>
            </w:pPr>
            <w:r>
              <w:rPr>
                <w:rFonts w:hint="eastAsia" w:ascii="宋体" w:hAnsi="宋体" w:cs="宋体"/>
                <w:sz w:val="24"/>
              </w:rPr>
              <w:t>项目负责人</w:t>
            </w: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440" w:lineRule="exact"/>
              <w:ind w:firstLine="0" w:firstLineChars="0"/>
              <w:rPr>
                <w:rFonts w:ascii="宋体" w:hAnsi="宋体" w:cs="宋体"/>
                <w:sz w:val="24"/>
              </w:rPr>
            </w:pPr>
            <w:r>
              <w:rPr>
                <w:rFonts w:hint="eastAsia" w:ascii="宋体" w:hAnsi="宋体" w:cs="宋体"/>
                <w:sz w:val="24"/>
              </w:rPr>
              <w:t>其他负责人</w:t>
            </w: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440" w:lineRule="exact"/>
              <w:ind w:firstLine="0" w:firstLineChars="0"/>
              <w:rPr>
                <w:rFonts w:ascii="宋体" w:hAnsi="宋体" w:cs="宋体"/>
                <w:sz w:val="24"/>
              </w:rPr>
            </w:pP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440" w:lineRule="exact"/>
              <w:ind w:firstLine="0" w:firstLineChars="0"/>
              <w:rPr>
                <w:rFonts w:ascii="宋体" w:hAnsi="宋体" w:cs="宋体"/>
                <w:sz w:val="24"/>
              </w:rPr>
            </w:pP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440" w:lineRule="exact"/>
              <w:ind w:firstLine="0" w:firstLineChars="0"/>
              <w:rPr>
                <w:rFonts w:ascii="宋体" w:hAnsi="宋体" w:cs="宋体"/>
                <w:sz w:val="24"/>
              </w:rPr>
            </w:pPr>
            <w:r>
              <w:rPr>
                <w:rFonts w:hint="eastAsia" w:ascii="宋体" w:hAnsi="宋体" w:cs="宋体"/>
                <w:sz w:val="24"/>
              </w:rPr>
              <w:t>其他团队人员</w:t>
            </w: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440" w:lineRule="exact"/>
              <w:ind w:firstLine="0" w:firstLineChars="0"/>
              <w:rPr>
                <w:rFonts w:ascii="宋体" w:hAnsi="宋体" w:cs="宋体"/>
                <w:sz w:val="24"/>
              </w:rPr>
            </w:pP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440" w:lineRule="exact"/>
              <w:ind w:firstLine="0" w:firstLineChars="0"/>
              <w:rPr>
                <w:rFonts w:ascii="宋体" w:hAnsi="宋体" w:cs="宋体"/>
                <w:sz w:val="24"/>
              </w:rPr>
            </w:pPr>
          </w:p>
        </w:tc>
        <w:tc>
          <w:tcPr>
            <w:tcW w:w="1183" w:type="dxa"/>
            <w:tcBorders>
              <w:bottom w:val="single" w:color="auto" w:sz="4" w:space="0"/>
            </w:tcBorders>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bl>
    <w:p>
      <w:pPr>
        <w:spacing w:line="440" w:lineRule="exact"/>
        <w:ind w:firstLine="0" w:firstLineChars="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我单位承诺以上填报内容真实。如不真实，将按照有关规定接受处理。</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投标人（盖公章）：</w:t>
      </w:r>
    </w:p>
    <w:p>
      <w:pPr>
        <w:spacing w:line="440" w:lineRule="exact"/>
        <w:ind w:firstLine="0" w:firstLineChars="0"/>
        <w:rPr>
          <w:rFonts w:ascii="宋体" w:hAnsi="宋体" w:cs="宋体"/>
          <w:sz w:val="24"/>
        </w:rPr>
      </w:pPr>
      <w:r>
        <w:rPr>
          <w:rFonts w:hint="eastAsia" w:ascii="宋体" w:hAnsi="宋体" w:cs="宋体"/>
          <w:sz w:val="24"/>
        </w:rPr>
        <w:t>法定代表人（签字或盖章）：</w:t>
      </w:r>
    </w:p>
    <w:p>
      <w:pPr>
        <w:spacing w:line="440" w:lineRule="exact"/>
        <w:ind w:firstLine="0" w:firstLineChars="0"/>
        <w:rPr>
          <w:rFonts w:ascii="宋体" w:hAnsi="宋体" w:cs="宋体"/>
          <w:sz w:val="24"/>
        </w:rPr>
      </w:pPr>
      <w:r>
        <w:rPr>
          <w:rFonts w:hint="eastAsia" w:ascii="宋体" w:hAnsi="宋体" w:cs="宋体"/>
          <w:sz w:val="24"/>
        </w:rPr>
        <w:t>授权代理人（签字）：</w:t>
      </w:r>
    </w:p>
    <w:p>
      <w:pPr>
        <w:spacing w:line="440" w:lineRule="exact"/>
        <w:ind w:firstLine="0" w:firstLineChars="0"/>
        <w:rPr>
          <w:rFonts w:ascii="宋体" w:hAnsi="宋体" w:cs="宋体"/>
          <w:sz w:val="24"/>
        </w:rPr>
      </w:pPr>
      <w:r>
        <w:rPr>
          <w:rFonts w:hint="eastAsia" w:ascii="宋体" w:hAnsi="宋体" w:cs="宋体"/>
          <w:sz w:val="24"/>
        </w:rPr>
        <w:t>日期：  年  月  日</w:t>
      </w:r>
    </w:p>
    <w:p>
      <w:pPr>
        <w:spacing w:line="240" w:lineRule="auto"/>
        <w:ind w:firstLine="0" w:firstLineChars="0"/>
        <w:rPr>
          <w:rFonts w:ascii="宋体" w:hAnsi="宋体" w:cs="宋体"/>
          <w:sz w:val="24"/>
        </w:rPr>
      </w:pPr>
    </w:p>
    <w:p>
      <w:pPr>
        <w:shd w:val="clear" w:color="auto" w:fill="FFFFFF"/>
        <w:spacing w:line="240" w:lineRule="auto"/>
        <w:ind w:firstLine="0" w:firstLineChars="0"/>
        <w:rPr>
          <w:rFonts w:ascii="宋体" w:hAnsi="宋体" w:cs="Times New Roman"/>
          <w:b/>
          <w:bCs/>
          <w:szCs w:val="28"/>
        </w:rPr>
      </w:pPr>
      <w:r>
        <w:rPr>
          <w:rFonts w:hint="eastAsia" w:ascii="宋体" w:hAnsi="宋体" w:cs="宋体"/>
          <w:sz w:val="24"/>
        </w:rPr>
        <w:t>备注：1、附证明文件复印件加盖公章（身份证及有关证明材料复印件）。</w:t>
      </w:r>
      <w:r>
        <w:rPr>
          <w:rFonts w:hint="eastAsia" w:ascii="宋体" w:hAnsi="宋体" w:cs="宋体"/>
          <w:sz w:val="24"/>
        </w:rPr>
        <w:br w:type="page"/>
      </w:r>
      <w:r>
        <w:rPr>
          <w:rFonts w:hint="eastAsia" w:ascii="宋体" w:hAnsi="宋体" w:cs="Times New Roman"/>
          <w:b/>
          <w:bCs/>
          <w:szCs w:val="28"/>
        </w:rPr>
        <w:t>附件七</w:t>
      </w:r>
    </w:p>
    <w:p>
      <w:pPr>
        <w:spacing w:before="54" w:line="240" w:lineRule="auto"/>
        <w:ind w:left="696" w:right="761" w:firstLine="0" w:firstLineChars="0"/>
        <w:jc w:val="center"/>
        <w:rPr>
          <w:rFonts w:ascii="宋体" w:hAnsi="宋体" w:cs="宋体"/>
          <w:b/>
          <w:szCs w:val="28"/>
        </w:rPr>
      </w:pPr>
      <w:r>
        <w:rPr>
          <w:rFonts w:hint="eastAsia" w:ascii="宋体" w:hAnsi="宋体" w:cs="宋体"/>
          <w:b/>
          <w:szCs w:val="28"/>
        </w:rPr>
        <w:t>业绩一览表</w:t>
      </w:r>
    </w:p>
    <w:p>
      <w:pPr>
        <w:spacing w:before="54" w:line="240" w:lineRule="auto"/>
        <w:ind w:right="761" w:firstLine="0" w:firstLineChars="0"/>
        <w:rPr>
          <w:rFonts w:ascii="宋体" w:hAnsi="宋体" w:cs="宋体"/>
          <w:sz w:val="24"/>
        </w:rPr>
      </w:pPr>
      <w:r>
        <w:rPr>
          <w:rFonts w:hint="eastAsia" w:ascii="宋体" w:hAnsi="宋体" w:cs="宋体"/>
          <w:sz w:val="24"/>
        </w:rPr>
        <w:t>项目名称：</w:t>
      </w:r>
    </w:p>
    <w:tbl>
      <w:tblPr>
        <w:tblStyle w:val="20"/>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bottom w:val="single" w:color="000000" w:sz="6" w:space="0"/>
              <w:right w:val="single" w:color="000000" w:sz="6" w:space="0"/>
            </w:tcBorders>
          </w:tcPr>
          <w:p>
            <w:pPr>
              <w:spacing w:before="114" w:line="306" w:lineRule="exact"/>
              <w:ind w:right="212" w:firstLine="0" w:firstLineChars="0"/>
              <w:rPr>
                <w:rFonts w:ascii="宋体" w:hAnsi="宋体" w:cs="宋体"/>
                <w:sz w:val="24"/>
              </w:rPr>
            </w:pPr>
            <w:r>
              <w:rPr>
                <w:rFonts w:hint="eastAsia" w:ascii="宋体" w:hAnsi="宋体" w:cs="宋体"/>
                <w:sz w:val="24"/>
              </w:rPr>
              <w:t>序号</w:t>
            </w:r>
          </w:p>
        </w:tc>
        <w:tc>
          <w:tcPr>
            <w:tcW w:w="1538" w:type="dxa"/>
            <w:tcBorders>
              <w:left w:val="single" w:color="000000" w:sz="6" w:space="0"/>
              <w:bottom w:val="single" w:color="000000" w:sz="6" w:space="0"/>
              <w:right w:val="single" w:color="000000" w:sz="6" w:space="0"/>
            </w:tcBorders>
          </w:tcPr>
          <w:p>
            <w:pPr>
              <w:spacing w:before="114" w:line="306" w:lineRule="exact"/>
              <w:ind w:firstLine="0" w:firstLineChars="0"/>
              <w:rPr>
                <w:rFonts w:ascii="宋体" w:hAnsi="宋体" w:cs="宋体"/>
                <w:sz w:val="24"/>
              </w:rPr>
            </w:pPr>
            <w:r>
              <w:rPr>
                <w:rFonts w:hint="eastAsia" w:ascii="宋体" w:hAnsi="宋体" w:cs="宋体"/>
                <w:sz w:val="24"/>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firstLine="0" w:firstLineChars="0"/>
              <w:rPr>
                <w:rFonts w:ascii="宋体" w:hAnsi="宋体" w:cs="宋体"/>
                <w:sz w:val="24"/>
              </w:rPr>
            </w:pPr>
            <w:r>
              <w:rPr>
                <w:rFonts w:hint="eastAsia" w:ascii="宋体" w:hAnsi="宋体" w:cs="宋体"/>
                <w:sz w:val="24"/>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firstLine="0" w:firstLineChars="0"/>
              <w:rPr>
                <w:rFonts w:ascii="宋体" w:hAnsi="宋体" w:cs="宋体"/>
                <w:sz w:val="24"/>
              </w:rPr>
            </w:pPr>
            <w:r>
              <w:rPr>
                <w:rFonts w:hint="eastAsia" w:ascii="宋体" w:hAnsi="宋体" w:cs="宋体"/>
                <w:sz w:val="24"/>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firstLine="0" w:firstLineChars="0"/>
              <w:rPr>
                <w:rFonts w:ascii="宋体" w:hAnsi="宋体" w:cs="宋体"/>
                <w:sz w:val="24"/>
              </w:rPr>
            </w:pPr>
            <w:r>
              <w:rPr>
                <w:rFonts w:hint="eastAsia" w:ascii="宋体" w:hAnsi="宋体" w:cs="宋体"/>
                <w:sz w:val="24"/>
              </w:rPr>
              <w:t>实施时间</w:t>
            </w:r>
          </w:p>
        </w:tc>
        <w:tc>
          <w:tcPr>
            <w:tcW w:w="1530" w:type="dxa"/>
            <w:tcBorders>
              <w:left w:val="single" w:color="000000" w:sz="6" w:space="0"/>
              <w:bottom w:val="single" w:color="000000" w:sz="6" w:space="0"/>
            </w:tcBorders>
          </w:tcPr>
          <w:p>
            <w:pPr>
              <w:spacing w:before="114" w:line="306" w:lineRule="exact"/>
              <w:ind w:right="485" w:firstLine="0" w:firstLineChars="0"/>
              <w:rPr>
                <w:rFonts w:ascii="宋体" w:hAnsi="宋体" w:cs="宋体"/>
                <w:sz w:val="24"/>
              </w:rPr>
            </w:pPr>
            <w:r>
              <w:rPr>
                <w:rFonts w:hint="eastAsia" w:ascii="宋体" w:hAnsi="宋体" w:cs="宋体"/>
                <w:sz w:val="24"/>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line="240" w:lineRule="auto"/>
              <w:ind w:left="3" w:firstLine="0" w:firstLineChars="0"/>
              <w:jc w:val="center"/>
              <w:rPr>
                <w:rFonts w:ascii="宋体" w:hAnsi="宋体" w:cs="宋体"/>
                <w:sz w:val="24"/>
              </w:rPr>
            </w:pPr>
            <w:r>
              <w:rPr>
                <w:rFonts w:hint="eastAsia" w:ascii="宋体" w:hAnsi="宋体" w:cs="宋体"/>
                <w:sz w:val="24"/>
              </w:rPr>
              <w:t>1</w:t>
            </w:r>
          </w:p>
        </w:tc>
        <w:tc>
          <w:tcPr>
            <w:tcW w:w="1538"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bottom w:val="single" w:color="000000" w:sz="6" w:space="0"/>
            </w:tcBorders>
          </w:tcPr>
          <w:p>
            <w:pPr>
              <w:spacing w:line="240" w:lineRule="auto"/>
              <w:ind w:firstLine="0" w:firstLineChars="0"/>
              <w:rPr>
                <w:rFonts w:ascii="宋体" w:hAnsi="宋体" w:cs="宋体"/>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firstLine="0" w:firstLineChars="0"/>
              <w:jc w:val="center"/>
              <w:rPr>
                <w:rFonts w:ascii="宋体" w:hAnsi="宋体" w:cs="宋体"/>
                <w:sz w:val="24"/>
              </w:rPr>
            </w:pPr>
            <w:r>
              <w:rPr>
                <w:rFonts w:hint="eastAsia" w:ascii="宋体" w:hAnsi="宋体" w:cs="宋体"/>
                <w:sz w:val="24"/>
              </w:rPr>
              <w:t>2</w:t>
            </w:r>
          </w:p>
        </w:tc>
        <w:tc>
          <w:tcPr>
            <w:tcW w:w="1538"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bottom w:val="single" w:color="000000" w:sz="6" w:space="0"/>
            </w:tcBorders>
          </w:tcPr>
          <w:p>
            <w:pPr>
              <w:spacing w:line="240" w:lineRule="auto"/>
              <w:ind w:firstLine="0" w:firstLineChars="0"/>
              <w:rPr>
                <w:rFonts w:ascii="宋体" w:hAnsi="宋体" w:cs="宋体"/>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3" w:firstLine="0" w:firstLineChars="0"/>
              <w:jc w:val="center"/>
              <w:rPr>
                <w:rFonts w:ascii="宋体" w:hAnsi="宋体" w:cs="宋体"/>
                <w:sz w:val="24"/>
              </w:rPr>
            </w:pPr>
            <w:r>
              <w:rPr>
                <w:rFonts w:hint="eastAsia" w:ascii="宋体" w:hAnsi="宋体" w:cs="宋体"/>
                <w:sz w:val="24"/>
              </w:rPr>
              <w:t>3</w:t>
            </w:r>
          </w:p>
        </w:tc>
        <w:tc>
          <w:tcPr>
            <w:tcW w:w="1538"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bottom w:val="single" w:color="000000" w:sz="6" w:space="0"/>
            </w:tcBorders>
          </w:tcPr>
          <w:p>
            <w:pPr>
              <w:spacing w:line="240" w:lineRule="auto"/>
              <w:ind w:firstLine="0" w:firstLineChars="0"/>
              <w:rPr>
                <w:rFonts w:ascii="宋体" w:hAnsi="宋体" w:cs="宋体"/>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firstLine="0" w:firstLineChars="0"/>
              <w:jc w:val="center"/>
              <w:rPr>
                <w:rFonts w:ascii="宋体" w:hAnsi="宋体" w:cs="宋体"/>
                <w:sz w:val="24"/>
              </w:rPr>
            </w:pPr>
            <w:r>
              <w:rPr>
                <w:rFonts w:hint="eastAsia" w:ascii="宋体" w:hAnsi="宋体" w:cs="宋体"/>
                <w:sz w:val="24"/>
              </w:rPr>
              <w:t>4</w:t>
            </w:r>
          </w:p>
        </w:tc>
        <w:tc>
          <w:tcPr>
            <w:tcW w:w="1538"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bottom w:val="single" w:color="000000" w:sz="6" w:space="0"/>
            </w:tcBorders>
          </w:tcPr>
          <w:p>
            <w:pPr>
              <w:spacing w:line="240" w:lineRule="auto"/>
              <w:ind w:firstLine="0" w:firstLineChars="0"/>
              <w:rPr>
                <w:rFonts w:ascii="宋体" w:hAnsi="宋体" w:cs="宋体"/>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39" w:hRule="atLeast"/>
          <w:jc w:val="center"/>
        </w:trPr>
        <w:tc>
          <w:tcPr>
            <w:tcW w:w="970" w:type="dxa"/>
            <w:tcBorders>
              <w:top w:val="single" w:color="000000" w:sz="6" w:space="0"/>
              <w:right w:val="single" w:color="000000" w:sz="6" w:space="0"/>
            </w:tcBorders>
          </w:tcPr>
          <w:p>
            <w:pPr>
              <w:spacing w:before="114" w:line="306" w:lineRule="exact"/>
              <w:ind w:left="215" w:right="212" w:firstLine="0" w:firstLineChars="0"/>
              <w:jc w:val="center"/>
              <w:rPr>
                <w:rFonts w:ascii="宋体" w:hAnsi="宋体" w:cs="宋体"/>
                <w:sz w:val="24"/>
              </w:rPr>
            </w:pPr>
            <w:r>
              <w:rPr>
                <w:rFonts w:hint="eastAsia" w:ascii="宋体" w:hAnsi="宋体" w:cs="宋体"/>
                <w:sz w:val="24"/>
              </w:rPr>
              <w:t>……</w:t>
            </w:r>
          </w:p>
        </w:tc>
        <w:tc>
          <w:tcPr>
            <w:tcW w:w="1538" w:type="dxa"/>
            <w:tcBorders>
              <w:top w:val="single" w:color="000000" w:sz="6" w:space="0"/>
              <w:left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tcBorders>
          </w:tcPr>
          <w:p>
            <w:pPr>
              <w:spacing w:line="240" w:lineRule="auto"/>
              <w:ind w:firstLine="0" w:firstLineChars="0"/>
              <w:rPr>
                <w:rFonts w:ascii="宋体" w:hAnsi="宋体" w:cs="宋体"/>
                <w:sz w:val="24"/>
              </w:rPr>
            </w:pPr>
          </w:p>
        </w:tc>
      </w:tr>
    </w:tbl>
    <w:p>
      <w:pPr>
        <w:autoSpaceDE w:val="0"/>
        <w:autoSpaceDN w:val="0"/>
        <w:spacing w:before="124" w:after="120" w:line="360" w:lineRule="auto"/>
        <w:ind w:right="1677" w:firstLine="480"/>
        <w:rPr>
          <w:rFonts w:ascii="宋体" w:hAnsi="宋体" w:cs="宋体"/>
          <w:sz w:val="24"/>
        </w:rPr>
      </w:pPr>
      <w:r>
        <w:rPr>
          <w:rFonts w:hint="eastAsia" w:ascii="宋体" w:hAnsi="宋体" w:cs="宋体"/>
          <w:sz w:val="24"/>
        </w:rPr>
        <w:t>注：1、业绩证明材料提供合同或任务书复印件。</w:t>
      </w:r>
    </w:p>
    <w:p>
      <w:pPr>
        <w:autoSpaceDE w:val="0"/>
        <w:autoSpaceDN w:val="0"/>
        <w:spacing w:before="124" w:after="120" w:line="360" w:lineRule="auto"/>
        <w:ind w:right="1677" w:firstLine="480"/>
        <w:rPr>
          <w:rFonts w:ascii="宋体" w:hAnsi="宋体" w:cs="宋体"/>
          <w:sz w:val="24"/>
        </w:rPr>
      </w:pPr>
      <w:r>
        <w:rPr>
          <w:rFonts w:hint="eastAsia" w:ascii="宋体" w:hAnsi="宋体" w:cs="宋体"/>
          <w:sz w:val="24"/>
        </w:rPr>
        <w:t>2、如无业绩也需附本表，内容填“无”。</w:t>
      </w:r>
    </w:p>
    <w:p>
      <w:pPr>
        <w:autoSpaceDE w:val="0"/>
        <w:autoSpaceDN w:val="0"/>
        <w:spacing w:after="120" w:line="360" w:lineRule="auto"/>
        <w:ind w:right="477" w:firstLine="480"/>
        <w:rPr>
          <w:rFonts w:ascii="宋体" w:hAnsi="宋体" w:cs="宋体"/>
          <w:sz w:val="24"/>
        </w:rPr>
      </w:pPr>
      <w:r>
        <w:rPr>
          <w:rFonts w:hint="eastAsia" w:ascii="宋体" w:hAnsi="宋体" w:cs="宋体"/>
          <w:sz w:val="24"/>
        </w:rPr>
        <w:t>3、响应供应商必须确保上表信息的真实性，采购人保留因响应供应商提供虚假信息采取的法律权利。</w:t>
      </w:r>
    </w:p>
    <w:p>
      <w:pPr>
        <w:spacing w:before="3" w:after="120"/>
        <w:ind w:firstLine="480"/>
        <w:rPr>
          <w:rFonts w:ascii="宋体" w:hAnsi="宋体" w:cs="宋体"/>
          <w:sz w:val="24"/>
        </w:rPr>
      </w:pPr>
    </w:p>
    <w:p>
      <w:pPr>
        <w:spacing w:after="120"/>
        <w:ind w:firstLine="480"/>
        <w:rPr>
          <w:rFonts w:ascii="宋体" w:hAnsi="宋体" w:cs="宋体"/>
          <w:sz w:val="24"/>
        </w:rPr>
      </w:pPr>
      <w:r>
        <w:rPr>
          <w:rFonts w:hint="eastAsia" w:ascii="宋体" w:hAnsi="宋体" w:cs="宋体"/>
          <w:sz w:val="24"/>
        </w:rPr>
        <w:t>投标人（盖章）：</w:t>
      </w:r>
    </w:p>
    <w:p>
      <w:pPr>
        <w:tabs>
          <w:tab w:val="left" w:pos="7487"/>
        </w:tabs>
        <w:spacing w:after="120" w:line="487" w:lineRule="auto"/>
        <w:ind w:right="357" w:firstLine="480"/>
        <w:rPr>
          <w:rFonts w:ascii="宋体" w:hAnsi="宋体" w:cs="宋体"/>
          <w:spacing w:val="-19"/>
          <w:sz w:val="24"/>
        </w:rPr>
      </w:pPr>
      <w:r>
        <w:rPr>
          <w:rFonts w:hint="eastAsia" w:ascii="宋体" w:hAnsi="宋体" w:cs="宋体"/>
          <w:sz w:val="24"/>
        </w:rPr>
        <w:t>法人或被授权人签字或盖章</w:t>
      </w:r>
      <w:r>
        <w:rPr>
          <w:rFonts w:hint="eastAsia" w:ascii="宋体" w:hAnsi="宋体" w:cs="宋体"/>
          <w:spacing w:val="-19"/>
          <w:sz w:val="24"/>
        </w:rPr>
        <w:t xml:space="preserve">： </w:t>
      </w:r>
    </w:p>
    <w:p>
      <w:pPr>
        <w:spacing w:line="240" w:lineRule="auto"/>
        <w:ind w:firstLine="0" w:firstLineChars="0"/>
        <w:rPr>
          <w:rFonts w:ascii="宋体" w:hAnsi="宋体" w:cs="宋体"/>
          <w:sz w:val="24"/>
        </w:rPr>
      </w:pPr>
      <w:r>
        <w:rPr>
          <w:rFonts w:hint="eastAsia" w:ascii="宋体" w:hAnsi="宋体" w:cs="宋体"/>
          <w:sz w:val="24"/>
        </w:rPr>
        <w:t>日期：</w:t>
      </w:r>
    </w:p>
    <w:p>
      <w:pPr>
        <w:shd w:val="clear" w:color="auto" w:fill="FFFFFF"/>
        <w:spacing w:line="240" w:lineRule="auto"/>
        <w:ind w:firstLine="0" w:firstLineChars="0"/>
        <w:jc w:val="center"/>
        <w:rPr>
          <w:rFonts w:hint="eastAsia" w:ascii="宋体" w:hAnsi="宋体" w:cs="宋体"/>
          <w:b/>
          <w:bCs/>
          <w:sz w:val="24"/>
        </w:rPr>
      </w:pPr>
      <w:r>
        <w:rPr>
          <w:rFonts w:hint="eastAsia" w:ascii="宋体" w:hAnsi="宋体" w:cs="宋体"/>
          <w:b/>
          <w:bCs/>
          <w:sz w:val="24"/>
        </w:rPr>
        <w:br w:type="page"/>
      </w:r>
    </w:p>
    <w:p>
      <w:pPr>
        <w:pStyle w:val="3"/>
        <w:bidi w:val="0"/>
      </w:pPr>
      <w:bookmarkStart w:id="84" w:name="_Toc30329"/>
      <w:r>
        <w:rPr>
          <w:rFonts w:hint="eastAsia"/>
        </w:rPr>
        <w:t>技术部分</w:t>
      </w:r>
      <w:bookmarkEnd w:id="84"/>
    </w:p>
    <w:p>
      <w:pPr>
        <w:pStyle w:val="3"/>
        <w:bidi w:val="0"/>
        <w:rPr>
          <w:rFonts w:hint="eastAsia"/>
        </w:rPr>
      </w:pPr>
      <w:bookmarkStart w:id="85" w:name="_Toc10505"/>
      <w:r>
        <w:rPr>
          <w:rFonts w:hint="eastAsia"/>
        </w:rPr>
        <w:t>（技术部分格式请投标人自拟）</w:t>
      </w:r>
      <w:bookmarkEnd w:id="85"/>
    </w:p>
    <w:p>
      <w:pPr>
        <w:rPr>
          <w:rFonts w:hint="eastAsia"/>
        </w:rPr>
      </w:pPr>
      <w:r>
        <w:rPr>
          <w:rFonts w:hint="eastAsia"/>
        </w:rPr>
        <w:br w:type="page"/>
      </w:r>
    </w:p>
    <w:p>
      <w:pPr>
        <w:pStyle w:val="3"/>
        <w:bidi w:val="0"/>
      </w:pPr>
      <w:bookmarkStart w:id="86" w:name="_Toc11973"/>
      <w:r>
        <w:rPr>
          <w:rFonts w:hint="eastAsia"/>
        </w:rPr>
        <w:t>二次报价单</w:t>
      </w:r>
      <w:bookmarkEnd w:id="86"/>
    </w:p>
    <w:p>
      <w:pPr>
        <w:pStyle w:val="3"/>
        <w:bidi w:val="0"/>
        <w:rPr>
          <w:rFonts w:hint="eastAsia"/>
        </w:rPr>
      </w:pPr>
      <w:bookmarkStart w:id="87" w:name="_Toc11965"/>
      <w:r>
        <w:rPr>
          <w:rFonts w:hint="eastAsia"/>
        </w:rPr>
        <w:t>（格式自拟）</w:t>
      </w:r>
      <w:bookmarkEnd w:id="87"/>
    </w:p>
    <w:p>
      <w:pPr>
        <w:rPr>
          <w:rFonts w:hint="eastAsia"/>
        </w:rPr>
      </w:pPr>
      <w:r>
        <w:rPr>
          <w:rFonts w:hint="eastAsia"/>
        </w:rPr>
        <w:br w:type="page"/>
      </w:r>
    </w:p>
    <w:p>
      <w:pPr>
        <w:shd w:val="clear" w:color="auto" w:fill="FFFFFF"/>
        <w:spacing w:line="240" w:lineRule="auto"/>
        <w:ind w:firstLine="0" w:firstLineChars="0"/>
        <w:rPr>
          <w:rFonts w:hint="eastAsia" w:ascii="宋体" w:hAnsi="宋体" w:eastAsia="宋体" w:cs="Times New Roman"/>
          <w:b/>
          <w:bCs/>
          <w:szCs w:val="28"/>
          <w:lang w:eastAsia="zh-CN"/>
        </w:rPr>
      </w:pPr>
      <w:r>
        <w:rPr>
          <w:rFonts w:hint="eastAsia" w:ascii="宋体" w:hAnsi="宋体" w:cs="Times New Roman"/>
          <w:b/>
          <w:bCs/>
          <w:szCs w:val="28"/>
        </w:rPr>
        <w:t>附件</w:t>
      </w:r>
      <w:r>
        <w:rPr>
          <w:rFonts w:hint="eastAsia" w:ascii="宋体" w:hAnsi="宋体" w:cs="Times New Roman"/>
          <w:b/>
          <w:bCs/>
          <w:szCs w:val="28"/>
          <w:lang w:val="en-US" w:eastAsia="zh-CN"/>
        </w:rPr>
        <w:t>八</w:t>
      </w:r>
    </w:p>
    <w:p>
      <w:pPr>
        <w:pStyle w:val="4"/>
        <w:bidi w:val="0"/>
        <w:jc w:val="center"/>
        <w:rPr>
          <w:rFonts w:hint="eastAsia"/>
        </w:rPr>
      </w:pPr>
      <w:r>
        <w:rPr>
          <w:rFonts w:hint="eastAsia"/>
        </w:rPr>
        <w:t>（投标人）《反商业贿赂承诺书》</w:t>
      </w:r>
    </w:p>
    <w:p>
      <w:pPr>
        <w:pStyle w:val="8"/>
        <w:spacing w:before="7"/>
        <w:rPr>
          <w:rFonts w:hint="eastAsia" w:ascii="宋体" w:hAnsi="宋体" w:eastAsia="宋体" w:cs="宋体"/>
          <w:b/>
          <w:sz w:val="28"/>
          <w:szCs w:val="28"/>
        </w:rPr>
      </w:pPr>
    </w:p>
    <w:p>
      <w:pPr>
        <w:bidi w:val="0"/>
        <w:rPr>
          <w:rFonts w:hint="eastAsia"/>
        </w:rPr>
      </w:pPr>
      <w:r>
        <w:rPr>
          <w:rFonts w:hint="eastAsia"/>
        </w:rPr>
        <w:t>我公司承诺在</w:t>
      </w:r>
      <w:r>
        <w:rPr>
          <w:rFonts w:hint="eastAsia"/>
          <w:u w:val="single"/>
        </w:rPr>
        <w:t>（项目名称、项目编号）</w:t>
      </w:r>
      <w:r>
        <w:rPr>
          <w:rFonts w:hint="eastAsia"/>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bidi w:val="0"/>
        <w:rPr>
          <w:rFonts w:hint="eastAsia"/>
        </w:rPr>
      </w:pPr>
    </w:p>
    <w:p>
      <w:pPr>
        <w:bidi w:val="0"/>
        <w:rPr>
          <w:rFonts w:hint="eastAsia"/>
        </w:rPr>
      </w:pPr>
    </w:p>
    <w:p>
      <w:pPr>
        <w:bidi w:val="0"/>
        <w:rPr>
          <w:rFonts w:hint="eastAsia"/>
        </w:rPr>
      </w:pPr>
      <w:r>
        <w:rPr>
          <w:rFonts w:hint="eastAsia"/>
        </w:rPr>
        <w:t>投标人（盖章）：</w:t>
      </w:r>
    </w:p>
    <w:p>
      <w:pPr>
        <w:bidi w:val="0"/>
        <w:rPr>
          <w:rFonts w:hint="eastAsia"/>
        </w:rPr>
      </w:pPr>
      <w:r>
        <w:rPr>
          <w:rFonts w:hint="eastAsia"/>
        </w:rPr>
        <w:t>法人或被授权人签字或盖章：</w:t>
      </w:r>
    </w:p>
    <w:p>
      <w:pPr>
        <w:bidi w:val="0"/>
        <w:rPr>
          <w:rFonts w:hint="eastAsia"/>
          <w:lang w:val="en-US" w:eastAsia="zh-CN"/>
        </w:rPr>
      </w:pPr>
      <w:r>
        <w:rPr>
          <w:rFonts w:hint="eastAsia"/>
          <w:lang w:val="en-US" w:eastAsia="zh-CN"/>
        </w:rPr>
        <w:t>日期：</w:t>
      </w:r>
    </w:p>
    <w:p>
      <w:pPr>
        <w:rPr>
          <w:rFonts w:hint="eastAsia"/>
          <w:lang w:val="en-US" w:eastAsia="zh-CN"/>
        </w:rPr>
      </w:pPr>
      <w:r>
        <w:rPr>
          <w:rFonts w:hint="eastAsia"/>
          <w:lang w:val="en-US" w:eastAsia="zh-CN"/>
        </w:rPr>
        <w:br w:type="page"/>
      </w:r>
    </w:p>
    <w:p>
      <w:pPr>
        <w:shd w:val="clear" w:color="auto" w:fill="FFFFFF"/>
        <w:spacing w:line="240" w:lineRule="auto"/>
        <w:ind w:firstLine="0" w:firstLineChars="0"/>
        <w:rPr>
          <w:rFonts w:ascii="Times New Roman" w:hAnsi="Times New Roman" w:eastAsia="宋体" w:cstheme="minorBidi"/>
          <w:b/>
          <w:kern w:val="2"/>
          <w:sz w:val="30"/>
          <w:szCs w:val="24"/>
          <w:lang w:val="en-US" w:eastAsia="zh-CN" w:bidi="ar-SA"/>
        </w:rPr>
      </w:pPr>
      <w:r>
        <w:rPr>
          <w:rFonts w:hint="eastAsia" w:ascii="宋体" w:hAnsi="宋体" w:cs="Times New Roman"/>
          <w:b/>
          <w:bCs/>
          <w:szCs w:val="28"/>
        </w:rPr>
        <w:t>附件</w:t>
      </w:r>
      <w:r>
        <w:rPr>
          <w:rFonts w:hint="eastAsia" w:ascii="宋体" w:hAnsi="宋体" w:cs="Times New Roman"/>
          <w:b/>
          <w:bCs/>
          <w:szCs w:val="28"/>
          <w:lang w:val="en-US" w:eastAsia="zh-CN"/>
        </w:rPr>
        <w:t>九</w:t>
      </w:r>
    </w:p>
    <w:p>
      <w:pPr>
        <w:keepNext/>
        <w:keepLines/>
        <w:widowControl w:val="0"/>
        <w:bidi w:val="0"/>
        <w:spacing w:beforeLines="0" w:beforeAutospacing="0" w:afterLines="0" w:afterAutospacing="0" w:line="240" w:lineRule="auto"/>
        <w:ind w:firstLine="0" w:firstLineChars="0"/>
        <w:jc w:val="center"/>
        <w:outlineLvl w:val="1"/>
        <w:rPr>
          <w:rFonts w:ascii="Times New Roman" w:hAnsi="Times New Roman" w:eastAsia="宋体" w:cstheme="minorBidi"/>
          <w:b/>
          <w:kern w:val="2"/>
          <w:sz w:val="30"/>
          <w:szCs w:val="24"/>
          <w:lang w:val="en-US" w:eastAsia="zh-CN" w:bidi="ar-SA"/>
        </w:rPr>
      </w:pPr>
      <w:r>
        <w:rPr>
          <w:rFonts w:ascii="Times New Roman" w:hAnsi="Times New Roman" w:eastAsia="宋体" w:cstheme="minorBidi"/>
          <w:b/>
          <w:kern w:val="2"/>
          <w:sz w:val="30"/>
          <w:szCs w:val="24"/>
          <w:lang w:val="en-US" w:eastAsia="zh-CN" w:bidi="ar-SA"/>
        </w:rPr>
        <w:t>中小企业声明函</w:t>
      </w:r>
    </w:p>
    <w:p>
      <w:pPr>
        <w:keepNext/>
        <w:keepLines/>
        <w:widowControl w:val="0"/>
        <w:bidi w:val="0"/>
        <w:spacing w:beforeLines="0" w:beforeAutospacing="0" w:afterLines="0" w:afterAutospacing="0" w:line="240" w:lineRule="auto"/>
        <w:ind w:firstLine="0" w:firstLineChars="0"/>
        <w:jc w:val="center"/>
        <w:outlineLvl w:val="1"/>
        <w:rPr>
          <w:rFonts w:ascii="Times New Roman" w:hAnsi="Times New Roman" w:eastAsia="宋体" w:cstheme="minorBidi"/>
          <w:b/>
          <w:kern w:val="2"/>
          <w:sz w:val="30"/>
          <w:szCs w:val="24"/>
          <w:lang w:val="en-US" w:eastAsia="zh-CN" w:bidi="ar-SA"/>
        </w:rPr>
      </w:pPr>
      <w:r>
        <w:rPr>
          <w:rFonts w:ascii="Times New Roman" w:hAnsi="Times New Roman" w:eastAsia="宋体" w:cstheme="minorBidi"/>
          <w:b/>
          <w:kern w:val="2"/>
          <w:sz w:val="30"/>
          <w:szCs w:val="24"/>
          <w:lang w:val="en-US" w:eastAsia="zh-CN" w:bidi="ar-SA"/>
        </w:rPr>
        <w:t>（如不属中小企业</w:t>
      </w:r>
      <w:r>
        <w:rPr>
          <w:rFonts w:hint="eastAsia" w:ascii="Times New Roman" w:hAnsi="Times New Roman" w:eastAsia="宋体" w:cstheme="minorBidi"/>
          <w:b/>
          <w:kern w:val="2"/>
          <w:sz w:val="30"/>
          <w:szCs w:val="24"/>
          <w:lang w:val="en-US" w:eastAsia="zh-CN" w:bidi="ar-SA"/>
        </w:rPr>
        <w:t>也需附本表，内容为空即可</w:t>
      </w:r>
      <w:r>
        <w:rPr>
          <w:rFonts w:ascii="Times New Roman" w:hAnsi="Times New Roman" w:eastAsia="宋体" w:cstheme="minorBidi"/>
          <w:b/>
          <w:kern w:val="2"/>
          <w:sz w:val="30"/>
          <w:szCs w:val="24"/>
          <w:lang w:val="en-US" w:eastAsia="zh-CN" w:bidi="ar-SA"/>
        </w:rPr>
        <w:t>）</w:t>
      </w:r>
    </w:p>
    <w:p>
      <w:pPr>
        <w:bidi w:val="0"/>
      </w:pPr>
      <w:r>
        <w:t>致</w:t>
      </w:r>
      <w:r>
        <w:rPr>
          <w:rFonts w:hint="eastAsia"/>
          <w:lang w:eastAsia="zh-CN"/>
        </w:rPr>
        <w:t>新疆鑫耀览项目管理咨询有限公司</w:t>
      </w:r>
      <w:r>
        <w:t>：</w:t>
      </w:r>
    </w:p>
    <w:p>
      <w:pPr>
        <w:bidi w:val="0"/>
      </w:pPr>
      <w:r>
        <w:t>根据《政府采购促进中小企业发展暂行办法》（财库【20</w:t>
      </w:r>
      <w:r>
        <w:rPr>
          <w:rFonts w:hint="eastAsia"/>
          <w:lang w:val="en-US" w:eastAsia="zh-CN"/>
        </w:rPr>
        <w:t>20</w:t>
      </w:r>
      <w:r>
        <w:t>】</w:t>
      </w:r>
      <w:r>
        <w:rPr>
          <w:rFonts w:hint="eastAsia"/>
          <w:lang w:val="en-US" w:eastAsia="zh-CN"/>
        </w:rPr>
        <w:t>46</w:t>
      </w:r>
      <w:r>
        <w:t xml:space="preserve"> 号）的规定，本公司为 </w:t>
      </w:r>
      <w:r>
        <w:tab/>
      </w:r>
      <w:r>
        <w:t>(请填写：中型、小型、微型)企业。即本公司同时满足以下条件：</w:t>
      </w:r>
    </w:p>
    <w:p>
      <w:pPr>
        <w:bidi w:val="0"/>
      </w:pPr>
      <w:r>
        <w:t xml:space="preserve">1、根据《工业和信息化部、国家统计局、国家发展和改革委员会、财政部关于印发中小企业划型标准规定的通知》（工信部联企业【2011】300 号）规定的划分标准，本公司为 </w:t>
      </w:r>
      <w:r>
        <w:tab/>
      </w:r>
      <w:r>
        <w:t>（请填写：中型、小型、微型）企业。</w:t>
      </w:r>
    </w:p>
    <w:p>
      <w:pPr>
        <w:bidi w:val="0"/>
      </w:pPr>
      <w:r>
        <w:t xml:space="preserve">2、本公司参加 </w:t>
      </w:r>
      <w:r>
        <w:tab/>
      </w:r>
      <w:r>
        <w:t xml:space="preserve">单位的 </w:t>
      </w:r>
      <w:r>
        <w:tab/>
      </w:r>
      <w:r>
        <w:t xml:space="preserve">项目采购活动提供本企业制造的货物，由本企业承担工程、提供服务，或者提供其他 </w:t>
      </w:r>
      <w:r>
        <w:tab/>
      </w:r>
      <w:r>
        <w:tab/>
      </w:r>
      <w:r>
        <w:t>（请填写：中型、小型、微型）企业制造的货物。本条所称货物不包括使用大型企业注册商标的货物。</w:t>
      </w:r>
    </w:p>
    <w:p>
      <w:pPr>
        <w:bidi w:val="0"/>
      </w:pPr>
      <w:r>
        <w:t>3、本公司对上述声明的真实性负责。如有虚假，将依法承担相应责任。</w:t>
      </w:r>
    </w:p>
    <w:p>
      <w:pPr>
        <w:bidi w:val="0"/>
        <w:rPr>
          <w:b/>
          <w:bCs/>
        </w:rPr>
      </w:pPr>
      <w:r>
        <w:rPr>
          <w:b/>
          <w:bCs/>
        </w:rPr>
        <w:t>注：中小微企业划分标准按《工业和信息化部、国家统计局、国家发展和改革委员会、财政部关于印发中小企业划型标准规定的通知》（工信部联企业【2011】300 号）规定执行。</w:t>
      </w:r>
    </w:p>
    <w:p>
      <w:pPr>
        <w:rPr>
          <w:b/>
          <w:bCs/>
        </w:rPr>
      </w:pPr>
      <w:r>
        <w:rPr>
          <w:b/>
          <w:bCs/>
        </w:rPr>
        <w:br w:type="page"/>
      </w:r>
    </w:p>
    <w:p>
      <w:pPr>
        <w:shd w:val="clear" w:color="auto" w:fill="FFFFFF"/>
        <w:spacing w:line="240" w:lineRule="auto"/>
        <w:ind w:firstLine="0" w:firstLineChars="0"/>
        <w:rPr>
          <w:rFonts w:ascii="Times New Roman" w:hAnsi="Times New Roman" w:eastAsia="宋体" w:cstheme="minorBidi"/>
          <w:b/>
          <w:kern w:val="2"/>
          <w:sz w:val="30"/>
          <w:szCs w:val="24"/>
          <w:lang w:val="en-US" w:eastAsia="zh-CN" w:bidi="ar-SA"/>
        </w:rPr>
      </w:pPr>
      <w:r>
        <w:rPr>
          <w:rFonts w:hint="eastAsia" w:ascii="宋体" w:hAnsi="宋体" w:cs="Times New Roman"/>
          <w:b/>
          <w:bCs/>
          <w:szCs w:val="28"/>
        </w:rPr>
        <w:t>附件</w:t>
      </w:r>
      <w:r>
        <w:rPr>
          <w:rFonts w:hint="eastAsia" w:ascii="宋体" w:hAnsi="宋体" w:cs="Times New Roman"/>
          <w:b/>
          <w:bCs/>
          <w:szCs w:val="28"/>
          <w:lang w:val="en-US" w:eastAsia="zh-CN"/>
        </w:rPr>
        <w:t>十</w:t>
      </w:r>
    </w:p>
    <w:p>
      <w:pPr>
        <w:pStyle w:val="4"/>
        <w:bidi w:val="0"/>
        <w:jc w:val="center"/>
      </w:pPr>
      <w:r>
        <w:t>监狱企业证明材料</w:t>
      </w:r>
    </w:p>
    <w:p>
      <w:pPr>
        <w:pStyle w:val="4"/>
        <w:bidi w:val="0"/>
        <w:jc w:val="center"/>
      </w:pPr>
      <w:r>
        <w:t>（如不属中</w:t>
      </w:r>
      <w:r>
        <w:rPr>
          <w:rFonts w:hint="eastAsia"/>
          <w:lang w:eastAsia="zh-CN"/>
        </w:rPr>
        <w:t>监狱企业也需附本表，内容为空即可</w:t>
      </w:r>
      <w:r>
        <w:t>）</w:t>
      </w:r>
    </w:p>
    <w:p>
      <w:pPr>
        <w:bidi w:val="0"/>
      </w:pPr>
      <w:r>
        <w:t>供应商提供由省级以上监狱管理局、戒毒管理局（含新疆生产建设兵团）出具的属于监狱企业的证明文件。</w:t>
      </w:r>
    </w:p>
    <w:p>
      <w:r>
        <w:br w:type="page"/>
      </w:r>
    </w:p>
    <w:p>
      <w:pPr>
        <w:shd w:val="clear" w:color="auto" w:fill="FFFFFF"/>
        <w:spacing w:line="240" w:lineRule="auto"/>
        <w:ind w:firstLine="0" w:firstLineChars="0"/>
        <w:rPr>
          <w:rFonts w:hint="default" w:ascii="宋体" w:hAnsi="宋体" w:eastAsia="宋体" w:cs="Times New Roman"/>
          <w:b/>
          <w:bCs/>
          <w:szCs w:val="28"/>
          <w:lang w:val="en-US" w:eastAsia="zh-CN"/>
        </w:rPr>
      </w:pPr>
      <w:r>
        <w:rPr>
          <w:rFonts w:hint="eastAsia" w:ascii="宋体" w:hAnsi="宋体" w:eastAsia="宋体" w:cs="Times New Roman"/>
          <w:b/>
          <w:bCs/>
          <w:szCs w:val="28"/>
          <w:lang w:val="en-US" w:eastAsia="zh-CN"/>
        </w:rPr>
        <w:t>附件十一</w:t>
      </w:r>
    </w:p>
    <w:p>
      <w:pPr>
        <w:pStyle w:val="4"/>
        <w:bidi w:val="0"/>
        <w:jc w:val="center"/>
      </w:pPr>
      <w:r>
        <w:t>残疾人福利性单位声明函</w:t>
      </w:r>
    </w:p>
    <w:p>
      <w:pPr>
        <w:pStyle w:val="4"/>
        <w:bidi w:val="0"/>
        <w:jc w:val="center"/>
        <w:rPr>
          <w:b/>
          <w:sz w:val="39"/>
        </w:rPr>
      </w:pPr>
      <w:bookmarkStart w:id="88" w:name="_Toc16853"/>
      <w:r>
        <w:rPr>
          <w:b/>
          <w:sz w:val="24"/>
          <w:szCs w:val="20"/>
        </w:rPr>
        <w:t>（如不属</w:t>
      </w:r>
      <w:r>
        <w:rPr>
          <w:rFonts w:hint="eastAsia" w:ascii="Times New Roman" w:hAnsi="Times New Roman" w:eastAsia="宋体"/>
          <w:b/>
          <w:sz w:val="24"/>
          <w:szCs w:val="20"/>
          <w:lang w:eastAsia="zh-CN"/>
        </w:rPr>
        <w:t>残疾人福利性单位</w:t>
      </w:r>
      <w:r>
        <w:rPr>
          <w:rFonts w:hint="eastAsia"/>
          <w:b/>
          <w:sz w:val="24"/>
          <w:szCs w:val="20"/>
          <w:lang w:eastAsia="zh-CN"/>
        </w:rPr>
        <w:t>也需附本表，内容为空即可</w:t>
      </w:r>
      <w:r>
        <w:rPr>
          <w:b/>
          <w:sz w:val="24"/>
          <w:szCs w:val="20"/>
        </w:rPr>
        <w:t>）</w:t>
      </w:r>
      <w:bookmarkEnd w:id="88"/>
    </w:p>
    <w:p>
      <w:pPr>
        <w:bidi w:val="0"/>
      </w:pPr>
      <w:r>
        <w:t>本单位郑重声明，根据《财政部 民政部 中国残疾人联合会关于促进残疾人就业政府采购政策的通知》（财库）﹝2017﹞141 号）的规定，本单位为符合条件的残疾人福利性单位，且本单位参加</w:t>
      </w:r>
      <w:r>
        <w:rPr>
          <w:u w:val="single"/>
        </w:rPr>
        <w:t xml:space="preserve"> </w:t>
      </w:r>
      <w:r>
        <w:rPr>
          <w:rFonts w:hint="eastAsia"/>
          <w:u w:val="single"/>
          <w:lang w:val="en-US" w:eastAsia="zh-CN"/>
        </w:rPr>
        <w:t xml:space="preserve"> </w:t>
      </w:r>
      <w:r>
        <w:rPr>
          <w:u w:val="single"/>
        </w:rPr>
        <w:tab/>
      </w:r>
      <w:r>
        <w:t>单位的</w:t>
      </w:r>
      <w:r>
        <w:rPr>
          <w:rFonts w:hint="eastAsia"/>
          <w:u w:val="single"/>
          <w:lang w:val="en-US" w:eastAsia="zh-CN"/>
        </w:rPr>
        <w:t xml:space="preserve">     </w:t>
      </w:r>
      <w:r>
        <w:t>项目采购活动提供本单位制造的货物（由本单位承担/提供服务），或者提供其他残疾人福利性单位制造的货物（不包括使用非残疾人福利性单位注册商标的货物）。</w:t>
      </w:r>
    </w:p>
    <w:p>
      <w:pPr>
        <w:bidi w:val="0"/>
      </w:pPr>
      <w:r>
        <w:t>本单位对上述声明的真实性负责。如有虚假，将依法承担相应责任。</w:t>
      </w:r>
    </w:p>
    <w:p>
      <w:pPr>
        <w:pStyle w:val="8"/>
        <w:ind w:left="0" w:leftChars="0" w:firstLine="0" w:firstLineChars="0"/>
        <w:rPr>
          <w:sz w:val="28"/>
          <w:szCs w:val="28"/>
        </w:rPr>
      </w:pPr>
    </w:p>
    <w:p>
      <w:pPr>
        <w:pStyle w:val="8"/>
        <w:spacing w:before="2"/>
        <w:rPr>
          <w:sz w:val="28"/>
          <w:szCs w:val="28"/>
        </w:rPr>
      </w:pPr>
    </w:p>
    <w:p>
      <w:pPr>
        <w:bidi w:val="0"/>
      </w:pPr>
      <w:r>
        <w:t>投标人名称（盖章）：</w:t>
      </w:r>
    </w:p>
    <w:p>
      <w:pPr>
        <w:bidi w:val="0"/>
      </w:pPr>
      <w:r>
        <w:t>日期：</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89" w:name="_Toc32508"/>
      <w:r>
        <w:rPr>
          <w:rFonts w:hint="eastAsia"/>
          <w:lang w:val="en-US" w:eastAsia="zh-CN"/>
        </w:rPr>
        <w:t>关于中小企业、监狱企业、残疾人福利性</w:t>
      </w:r>
      <w:bookmarkEnd w:id="89"/>
    </w:p>
    <w:p>
      <w:pPr>
        <w:pStyle w:val="3"/>
        <w:bidi w:val="0"/>
        <w:rPr>
          <w:rFonts w:hint="eastAsia"/>
          <w:lang w:val="en-US" w:eastAsia="zh-CN"/>
        </w:rPr>
      </w:pPr>
      <w:bookmarkStart w:id="90" w:name="_Toc21175"/>
      <w:r>
        <w:rPr>
          <w:rFonts w:hint="eastAsia"/>
          <w:lang w:val="en-US" w:eastAsia="zh-CN"/>
        </w:rPr>
        <w:t>单位的相关规定</w:t>
      </w:r>
      <w:bookmarkEnd w:id="90"/>
    </w:p>
    <w:p>
      <w:pPr>
        <w:pStyle w:val="4"/>
        <w:bidi w:val="0"/>
      </w:pPr>
      <w:r>
        <w:rPr>
          <w:rFonts w:hint="eastAsia"/>
          <w:lang w:val="en-US" w:eastAsia="zh-CN"/>
        </w:rPr>
        <w:t>附1.</w:t>
      </w:r>
      <w:r>
        <w:rPr>
          <w:rFonts w:hint="eastAsia"/>
        </w:rPr>
        <w:t>政府采购促进中小企业发展暂行办法</w:t>
      </w:r>
    </w:p>
    <w:p>
      <w:pPr>
        <w:bidi w:val="0"/>
        <w:rPr>
          <w:rFonts w:hint="eastAsia"/>
        </w:rPr>
      </w:pPr>
      <w:r>
        <w:rPr>
          <w:rFonts w:hint="eastAsia"/>
          <w:b/>
          <w:bCs/>
          <w:lang w:val="en-US" w:eastAsia="zh-CN"/>
        </w:rPr>
        <w:t>第一条</w:t>
      </w:r>
      <w:r>
        <w:rPr>
          <w:rFonts w:hint="eastAsia"/>
          <w:lang w:val="en-US" w:eastAsia="zh-CN"/>
        </w:rPr>
        <w:t xml:space="preserve"> 为了发挥政府采购的政策功能，促进中小企业健康发展，根据《中华人民共和国政府采购法》、《中华人民共和国中小企业促进法》等有关法律法规，制定本办法。 </w:t>
      </w:r>
    </w:p>
    <w:p>
      <w:pPr>
        <w:bidi w:val="0"/>
        <w:rPr>
          <w:rFonts w:hint="eastAsia"/>
        </w:rPr>
      </w:pPr>
      <w:r>
        <w:rPr>
          <w:rFonts w:hint="eastAsia"/>
          <w:b/>
          <w:bCs/>
          <w:lang w:val="en-US" w:eastAsia="zh-CN"/>
        </w:rPr>
        <w:t>第二条</w:t>
      </w:r>
      <w:r>
        <w:rPr>
          <w:rFonts w:hint="eastAsia"/>
          <w:lang w:val="en-US" w:eastAsia="zh-CN"/>
        </w:rPr>
        <w:t xml:space="preserve"> 本办法所称中小企业，是指在中华人民共和国 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bidi w:val="0"/>
        <w:rPr>
          <w:rFonts w:hint="eastAsia"/>
        </w:rPr>
      </w:pPr>
      <w:r>
        <w:rPr>
          <w:rFonts w:hint="eastAsia"/>
          <w:b/>
          <w:bCs/>
          <w:lang w:val="en-US" w:eastAsia="zh-CN"/>
        </w:rPr>
        <w:t>第三条</w:t>
      </w:r>
      <w:r>
        <w:rPr>
          <w:rFonts w:hint="eastAsia"/>
          <w:lang w:val="en-US" w:eastAsia="zh-CN"/>
        </w:rPr>
        <w:t xml:space="preserve"> 采购人在政府采购活动中应当通过加强采购需求管理，落实预留采购份额、价格评审优惠、优先采购等措施，提高中小企业在政府采购中的份额，支持中小企业发展。 </w:t>
      </w:r>
    </w:p>
    <w:p>
      <w:pPr>
        <w:bidi w:val="0"/>
        <w:rPr>
          <w:rFonts w:hint="eastAsia"/>
        </w:rPr>
      </w:pPr>
      <w:r>
        <w:rPr>
          <w:rFonts w:hint="eastAsia"/>
          <w:b/>
          <w:bCs/>
          <w:lang w:val="en-US" w:eastAsia="zh-CN"/>
        </w:rPr>
        <w:t>第四条</w:t>
      </w:r>
      <w:r>
        <w:rPr>
          <w:rFonts w:hint="eastAsia"/>
          <w:lang w:val="en-US" w:eastAsia="zh-CN"/>
        </w:rPr>
        <w:t xml:space="preserve"> 在政府采购活动中，供应商提供的货物、工程或者服务符合下列情形的，享受本办法规定的中小企业扶持政策：</w:t>
      </w:r>
    </w:p>
    <w:p>
      <w:pPr>
        <w:bidi w:val="0"/>
        <w:rPr>
          <w:rFonts w:hint="eastAsia"/>
        </w:rPr>
      </w:pPr>
      <w:r>
        <w:rPr>
          <w:rFonts w:hint="eastAsia"/>
          <w:lang w:val="en-US" w:eastAsia="zh-CN"/>
        </w:rPr>
        <w:t xml:space="preserve">（一）在货物采购项目中，货物由中小企业制造，即货物由中小企业生产且使用该中小企业商号或者注册商标； </w:t>
      </w:r>
    </w:p>
    <w:p>
      <w:pPr>
        <w:bidi w:val="0"/>
        <w:rPr>
          <w:rFonts w:hint="eastAsia"/>
        </w:rPr>
      </w:pPr>
      <w:r>
        <w:rPr>
          <w:rFonts w:hint="eastAsia"/>
          <w:lang w:val="en-US" w:eastAsia="zh-CN"/>
        </w:rPr>
        <w:t xml:space="preserve">（二）在工程采购项目中，工程由中小企业承建，即工程施工单位为中小企业； </w:t>
      </w:r>
    </w:p>
    <w:p>
      <w:pPr>
        <w:bidi w:val="0"/>
        <w:rPr>
          <w:rFonts w:hint="eastAsia"/>
        </w:rPr>
      </w:pPr>
      <w:r>
        <w:rPr>
          <w:rFonts w:hint="eastAsia"/>
          <w:lang w:val="en-US" w:eastAsia="zh-CN"/>
        </w:rPr>
        <w:t xml:space="preserve">（三）在服务采购项目中，服务由中小企业承接，即提2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bidi w:val="0"/>
        <w:rPr>
          <w:rFonts w:hint="eastAsia"/>
        </w:rPr>
      </w:pPr>
      <w:r>
        <w:rPr>
          <w:rFonts w:hint="eastAsia"/>
          <w:b/>
          <w:bCs/>
          <w:lang w:val="en-US" w:eastAsia="zh-CN"/>
        </w:rPr>
        <w:t>第五条</w:t>
      </w:r>
      <w:r>
        <w:rPr>
          <w:rFonts w:hint="eastAsia"/>
          <w:lang w:val="en-US" w:eastAsia="zh-CN"/>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bidi w:val="0"/>
        <w:rPr>
          <w:rFonts w:hint="eastAsia"/>
        </w:rPr>
      </w:pPr>
      <w:r>
        <w:rPr>
          <w:rFonts w:hint="eastAsia"/>
          <w:b/>
          <w:bCs/>
          <w:lang w:val="en-US" w:eastAsia="zh-CN"/>
        </w:rPr>
        <w:t>第六条</w:t>
      </w:r>
      <w:r>
        <w:rPr>
          <w:rFonts w:hint="eastAsia"/>
          <w:lang w:val="en-US" w:eastAsia="zh-CN"/>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bidi w:val="0"/>
        <w:rPr>
          <w:rFonts w:hint="eastAsia"/>
        </w:rPr>
      </w:pPr>
      <w:r>
        <w:rPr>
          <w:rFonts w:hint="eastAsia"/>
          <w:lang w:val="en-US" w:eastAsia="zh-CN"/>
        </w:rPr>
        <w:t>符合下列情形之一的，可不专门面向中小企业预留采购份额：</w:t>
      </w:r>
    </w:p>
    <w:p>
      <w:pPr>
        <w:bidi w:val="0"/>
        <w:rPr>
          <w:rFonts w:hint="eastAsia"/>
        </w:rPr>
      </w:pPr>
      <w:r>
        <w:rPr>
          <w:rFonts w:hint="eastAsia"/>
          <w:lang w:val="en-US" w:eastAsia="zh-CN"/>
        </w:rPr>
        <w:t xml:space="preserve">（一）法律法规和国家有关政策明确规定优先或者应当面向事业单位、社会组织等非企业主体采购的； </w:t>
      </w:r>
    </w:p>
    <w:p>
      <w:pPr>
        <w:bidi w:val="0"/>
        <w:rPr>
          <w:rFonts w:hint="eastAsia"/>
        </w:rPr>
      </w:pPr>
      <w:r>
        <w:rPr>
          <w:rFonts w:hint="eastAsia"/>
          <w:lang w:val="en-US" w:eastAsia="zh-CN"/>
        </w:rPr>
        <w:t>（二）因确需使用不可替代的专利、专有技术，基础设施限制，或者提供特定公共服务等原因，只能从中小企业之外的供应商处采购的；</w:t>
      </w:r>
    </w:p>
    <w:p>
      <w:pPr>
        <w:bidi w:val="0"/>
        <w:rPr>
          <w:rFonts w:hint="eastAsia"/>
        </w:rPr>
      </w:pPr>
      <w:r>
        <w:rPr>
          <w:rFonts w:hint="eastAsia"/>
          <w:lang w:val="en-US" w:eastAsia="zh-CN"/>
        </w:rPr>
        <w:t xml:space="preserve">（三）按照本办法规定预留采购份额无法确保充分供应、充分竞争，或者存在可能影响政府采购目标实现的情形； </w:t>
      </w:r>
    </w:p>
    <w:p>
      <w:pPr>
        <w:bidi w:val="0"/>
        <w:rPr>
          <w:rFonts w:hint="eastAsia"/>
        </w:rPr>
      </w:pPr>
      <w:r>
        <w:rPr>
          <w:rFonts w:hint="eastAsia"/>
          <w:lang w:val="en-US" w:eastAsia="zh-CN"/>
        </w:rPr>
        <w:t xml:space="preserve">（四）框架协议采购项目； </w:t>
      </w:r>
    </w:p>
    <w:p>
      <w:pPr>
        <w:bidi w:val="0"/>
        <w:rPr>
          <w:rFonts w:hint="eastAsia"/>
        </w:rPr>
      </w:pPr>
      <w:r>
        <w:rPr>
          <w:rFonts w:hint="eastAsia"/>
          <w:lang w:val="en-US" w:eastAsia="zh-CN"/>
        </w:rPr>
        <w:t xml:space="preserve">（五）省级以上人民政府财政部门规定的其他情形。除上述情形外，其他均为适宜由中小企业提供的情形。 </w:t>
      </w:r>
    </w:p>
    <w:p>
      <w:pPr>
        <w:bidi w:val="0"/>
        <w:rPr>
          <w:rFonts w:hint="eastAsia"/>
        </w:rPr>
      </w:pPr>
      <w:r>
        <w:rPr>
          <w:rFonts w:hint="eastAsia"/>
          <w:b/>
          <w:bCs/>
          <w:lang w:val="en-US" w:eastAsia="zh-CN"/>
        </w:rPr>
        <w:t>第七条</w:t>
      </w:r>
      <w:r>
        <w:rPr>
          <w:rFonts w:hint="eastAsia"/>
          <w:lang w:val="en-US" w:eastAsia="zh-CN"/>
        </w:rPr>
        <w:t xml:space="preserve"> 采购限额标准以上，200万元以下的货物和服务采购项目、400万元以下的工程采购项目，适宜由中小企业提供的，采购人应当专门面向中小企业采购。 </w:t>
      </w:r>
    </w:p>
    <w:p>
      <w:pPr>
        <w:bidi w:val="0"/>
        <w:rPr>
          <w:rFonts w:hint="eastAsia"/>
        </w:rPr>
      </w:pPr>
      <w:r>
        <w:rPr>
          <w:rFonts w:hint="eastAsia"/>
          <w:b/>
          <w:bCs/>
          <w:lang w:val="en-US" w:eastAsia="zh-CN"/>
        </w:rPr>
        <w:t xml:space="preserve">第八条 </w:t>
      </w:r>
      <w:r>
        <w:rPr>
          <w:rFonts w:hint="eastAsia"/>
          <w:lang w:val="en-US" w:eastAsia="zh-CN"/>
        </w:rPr>
        <w:t xml:space="preserve">超过200万元的货物和服务采购项目、超过400万元的工程采购项目中适宜由中小企业提供的，预留该部分采购项目预算总额的30%以上专门面向中小企业采购，其中预留给小微企业的比例不低于60%。预留份额通过下列措施进行： </w:t>
      </w:r>
    </w:p>
    <w:p>
      <w:pPr>
        <w:bidi w:val="0"/>
        <w:rPr>
          <w:rFonts w:hint="eastAsia"/>
        </w:rPr>
      </w:pPr>
      <w:r>
        <w:rPr>
          <w:rFonts w:hint="eastAsia"/>
          <w:lang w:val="en-US" w:eastAsia="zh-CN"/>
        </w:rPr>
        <w:t>（一）将采购项目整体或者设置采购包专门面向中小企业采购；</w:t>
      </w:r>
    </w:p>
    <w:p>
      <w:pPr>
        <w:bidi w:val="0"/>
        <w:rPr>
          <w:rFonts w:hint="eastAsia"/>
        </w:rPr>
      </w:pPr>
      <w:r>
        <w:rPr>
          <w:rFonts w:hint="eastAsia"/>
          <w:lang w:val="en-US" w:eastAsia="zh-CN"/>
        </w:rPr>
        <w:t xml:space="preserve">（二）要求供应商以联合体形式参加采购活动，且联合体中中小企业承担的部分达到一定比例； </w:t>
      </w:r>
    </w:p>
    <w:p>
      <w:pPr>
        <w:bidi w:val="0"/>
        <w:rPr>
          <w:rFonts w:hint="eastAsia"/>
        </w:rPr>
      </w:pPr>
      <w:r>
        <w:rPr>
          <w:rFonts w:hint="eastAsia"/>
          <w:lang w:val="en-US" w:eastAsia="zh-CN"/>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bidi w:val="0"/>
        <w:rPr>
          <w:rFonts w:hint="eastAsia"/>
        </w:rPr>
      </w:pPr>
      <w:r>
        <w:rPr>
          <w:rFonts w:hint="eastAsia"/>
          <w:b/>
          <w:bCs/>
          <w:lang w:val="en-US" w:eastAsia="zh-CN"/>
        </w:rPr>
        <w:t>第九条</w:t>
      </w:r>
      <w:r>
        <w:rPr>
          <w:rFonts w:hint="eastAsia"/>
          <w:lang w:val="en-US" w:eastAsia="zh-CN"/>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4除，用扣除后的价格参加评审。适用招标投标法的政府采购工程建设项目，采用综合评估法但未采用低价优先法计算价格分的，评标时应当在采用原报价进行评分的基础上增加其价格得分的 3%—5%作为其价格分。 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bidi w:val="0"/>
        <w:rPr>
          <w:rFonts w:hint="eastAsia"/>
        </w:rPr>
      </w:pPr>
      <w:r>
        <w:rPr>
          <w:rFonts w:hint="eastAsia"/>
          <w:b/>
          <w:bCs/>
          <w:lang w:val="en-US" w:eastAsia="zh-CN"/>
        </w:rPr>
        <w:t>第十条</w:t>
      </w:r>
      <w:r>
        <w:rPr>
          <w:rFonts w:hint="eastAsia"/>
          <w:lang w:val="en-US" w:eastAsia="zh-CN"/>
        </w:rPr>
        <w:t xml:space="preserve"> 采购人应当严格按照本办法规定和主管预算单位制定的预留采购份额具体方案开展采购活动。预留份额的采购项目或者采购包，通过发布公告方式邀请供应商后，符合资格条件的中小企业数量不足3 家的，应当中止采购活动，视同未预留份额的采购项目或者采购包，按照本办法第九条有关规定重新组织采购活动。 </w:t>
      </w:r>
    </w:p>
    <w:p>
      <w:pPr>
        <w:bidi w:val="0"/>
        <w:rPr>
          <w:rFonts w:hint="eastAsia"/>
        </w:rPr>
      </w:pPr>
      <w:r>
        <w:rPr>
          <w:rFonts w:hint="eastAsia"/>
          <w:b/>
          <w:bCs/>
          <w:lang w:val="en-US" w:eastAsia="zh-CN"/>
        </w:rPr>
        <w:t>第十一条</w:t>
      </w:r>
      <w:r>
        <w:rPr>
          <w:rFonts w:hint="eastAsia"/>
          <w:lang w:val="en-US" w:eastAsia="zh-CN"/>
        </w:rPr>
        <w:t xml:space="preserve"> 中小企业参加政府采购活动，应当出具本办法规定的《中小企业声明函》（附 1），否则不得享受相关中小企业扶持政策。任何单位和个人不得要求供应商提供《中小企业声明函》之外的中小企业身份证明文件。 </w:t>
      </w:r>
    </w:p>
    <w:p>
      <w:pPr>
        <w:bidi w:val="0"/>
        <w:rPr>
          <w:rFonts w:hint="eastAsia"/>
        </w:rPr>
      </w:pPr>
      <w:r>
        <w:rPr>
          <w:rFonts w:hint="eastAsia"/>
          <w:b/>
          <w:bCs/>
          <w:lang w:val="en-US" w:eastAsia="zh-CN"/>
        </w:rPr>
        <w:t>第十二条</w:t>
      </w:r>
      <w:r>
        <w:rPr>
          <w:rFonts w:hint="eastAsia"/>
          <w:lang w:val="en-US" w:eastAsia="zh-CN"/>
        </w:rPr>
        <w:t xml:space="preserve"> 采购项目涉及中小企业采购的，采购文件应当明确以下内容： </w:t>
      </w:r>
    </w:p>
    <w:p>
      <w:pPr>
        <w:bidi w:val="0"/>
        <w:rPr>
          <w:rFonts w:hint="eastAsia"/>
        </w:rPr>
      </w:pPr>
      <w:r>
        <w:rPr>
          <w:rFonts w:hint="eastAsia"/>
          <w:lang w:val="en-US" w:eastAsia="zh-CN"/>
        </w:rPr>
        <w:t xml:space="preserve">（一）预留份额的采购项目或者采购包，明确该项目或相关采购包专门面向中小企业采购，以及相关标的及预算金额； </w:t>
      </w:r>
    </w:p>
    <w:p>
      <w:pPr>
        <w:bidi w:val="0"/>
        <w:rPr>
          <w:rFonts w:hint="eastAsia"/>
        </w:rPr>
      </w:pPr>
      <w:r>
        <w:rPr>
          <w:rFonts w:hint="eastAsia"/>
          <w:lang w:val="en-US" w:eastAsia="zh-CN"/>
        </w:rPr>
        <w:t xml:space="preserve">（二）要求以联合体形式参加或者合同分包的，明确联合协议或者分包意向协议中中小企业合同金额应当达到的比例，并作为供应商资格条件； </w:t>
      </w:r>
    </w:p>
    <w:p>
      <w:pPr>
        <w:bidi w:val="0"/>
        <w:rPr>
          <w:rFonts w:hint="eastAsia"/>
        </w:rPr>
      </w:pPr>
      <w:r>
        <w:rPr>
          <w:rFonts w:hint="eastAsia"/>
          <w:lang w:val="en-US" w:eastAsia="zh-CN"/>
        </w:rPr>
        <w:t xml:space="preserve">（三）非预留份额的采购项目或者采购包，明确有关价格扣除比例或者价格分加分比例； </w:t>
      </w:r>
    </w:p>
    <w:p>
      <w:pPr>
        <w:bidi w:val="0"/>
        <w:rPr>
          <w:rFonts w:hint="eastAsia"/>
        </w:rPr>
      </w:pPr>
      <w:r>
        <w:rPr>
          <w:rFonts w:hint="eastAsia"/>
          <w:lang w:val="en-US" w:eastAsia="zh-CN"/>
        </w:rPr>
        <w:t xml:space="preserve">（四）规定依据本办法规定享受扶持政策获得政府采购合同的，小微企业不得将合同分包给大中型企业，中型企业不得将合同分包给大型企业； </w:t>
      </w:r>
    </w:p>
    <w:p>
      <w:pPr>
        <w:bidi w:val="0"/>
        <w:rPr>
          <w:rFonts w:hint="eastAsia"/>
        </w:rPr>
      </w:pPr>
      <w:r>
        <w:rPr>
          <w:rFonts w:hint="eastAsia"/>
          <w:lang w:val="en-US" w:eastAsia="zh-CN"/>
        </w:rPr>
        <w:t xml:space="preserve">（五）采购人认为具备相关条件的，明确对中小企业在资金支付期限、预付款比例等方面的优惠措施； </w:t>
      </w:r>
    </w:p>
    <w:p>
      <w:pPr>
        <w:bidi w:val="0"/>
        <w:rPr>
          <w:rFonts w:hint="eastAsia"/>
        </w:rPr>
      </w:pPr>
      <w:r>
        <w:rPr>
          <w:rFonts w:hint="eastAsia"/>
          <w:lang w:val="en-US" w:eastAsia="zh-CN"/>
        </w:rPr>
        <w:t xml:space="preserve">（六）明确采购标的对应的中小企业划分标准所属行业； </w:t>
      </w:r>
    </w:p>
    <w:p>
      <w:pPr>
        <w:bidi w:val="0"/>
        <w:rPr>
          <w:rFonts w:hint="eastAsia"/>
        </w:rPr>
      </w:pPr>
      <w:r>
        <w:rPr>
          <w:rFonts w:hint="eastAsia"/>
          <w:lang w:val="en-US" w:eastAsia="zh-CN"/>
        </w:rPr>
        <w:t>（七）法律法规和省级以上人民政府财政部门规定的其他事项。</w:t>
      </w:r>
    </w:p>
    <w:p>
      <w:pPr>
        <w:bidi w:val="0"/>
        <w:rPr>
          <w:rFonts w:hint="eastAsia"/>
        </w:rPr>
      </w:pPr>
      <w:r>
        <w:rPr>
          <w:rFonts w:hint="eastAsia"/>
          <w:b/>
          <w:bCs/>
          <w:lang w:val="en-US" w:eastAsia="zh-CN"/>
        </w:rPr>
        <w:t>第十三条</w:t>
      </w:r>
      <w:r>
        <w:rPr>
          <w:rFonts w:hint="eastAsia"/>
          <w:lang w:val="en-US" w:eastAsia="zh-CN"/>
        </w:rPr>
        <w:t xml:space="preserve"> 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 </w:t>
      </w:r>
    </w:p>
    <w:p>
      <w:pPr>
        <w:bidi w:val="0"/>
        <w:rPr>
          <w:rFonts w:hint="eastAsia"/>
        </w:rPr>
      </w:pPr>
      <w:r>
        <w:rPr>
          <w:rFonts w:hint="eastAsia"/>
          <w:b/>
          <w:bCs/>
          <w:lang w:val="en-US" w:eastAsia="zh-CN"/>
        </w:rPr>
        <w:t>第十四条</w:t>
      </w:r>
      <w:r>
        <w:rPr>
          <w:rFonts w:hint="eastAsia"/>
          <w:lang w:val="en-US" w:eastAsia="zh-CN"/>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bidi w:val="0"/>
        <w:rPr>
          <w:rFonts w:hint="eastAsia"/>
        </w:rPr>
      </w:pPr>
      <w:r>
        <w:rPr>
          <w:rFonts w:hint="eastAsia"/>
          <w:b/>
          <w:bCs/>
          <w:lang w:val="en-US" w:eastAsia="zh-CN"/>
        </w:rPr>
        <w:t>第十五条</w:t>
      </w:r>
      <w:r>
        <w:rPr>
          <w:rFonts w:hint="eastAsia"/>
          <w:lang w:val="en-US" w:eastAsia="zh-CN"/>
        </w:rPr>
        <w:t xml:space="preserve"> 鼓励各地区、各部门在采购活动中允许中小企业引入信用担保手段，为中小企业在投标（响应）保证、履约保证等方面提供专业化服务。鼓励中小企业依法合规通过政府采购合同融资。 </w:t>
      </w:r>
    </w:p>
    <w:p>
      <w:pPr>
        <w:bidi w:val="0"/>
        <w:rPr>
          <w:rFonts w:hint="eastAsia"/>
        </w:rPr>
      </w:pPr>
      <w:r>
        <w:rPr>
          <w:rFonts w:hint="eastAsia"/>
          <w:b/>
          <w:bCs/>
          <w:lang w:val="en-US" w:eastAsia="zh-CN"/>
        </w:rPr>
        <w:t>第十六条</w:t>
      </w:r>
      <w:r>
        <w:rPr>
          <w:rFonts w:hint="eastAsia"/>
          <w:lang w:val="en-US" w:eastAsia="zh-CN"/>
        </w:rPr>
        <w:t xml:space="preserve">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 </w:t>
      </w:r>
    </w:p>
    <w:p>
      <w:pPr>
        <w:bidi w:val="0"/>
        <w:rPr>
          <w:rFonts w:hint="eastAsia"/>
        </w:rPr>
      </w:pPr>
      <w:r>
        <w:rPr>
          <w:rFonts w:hint="eastAsia"/>
          <w:b/>
          <w:bCs/>
          <w:lang w:val="en-US" w:eastAsia="zh-CN"/>
        </w:rPr>
        <w:t>第十七条</w:t>
      </w:r>
      <w:r>
        <w:rPr>
          <w:rFonts w:hint="eastAsia"/>
          <w:lang w:val="en-US" w:eastAsia="zh-CN"/>
        </w:rPr>
        <w:t xml:space="preserve"> 各地区、各部门应当对涉及中小企业采购的预算项目实施全过程绩效管理，合理设置绩效目标和指标，落实扶持中小企业有关政策要求，定期开展绩效监控和评价，强化绩效评价结果应用。 </w:t>
      </w:r>
    </w:p>
    <w:p>
      <w:pPr>
        <w:bidi w:val="0"/>
        <w:rPr>
          <w:rFonts w:hint="eastAsia"/>
        </w:rPr>
      </w:pPr>
      <w:r>
        <w:rPr>
          <w:rFonts w:hint="eastAsia"/>
          <w:b/>
          <w:bCs/>
          <w:lang w:val="en-US" w:eastAsia="zh-CN"/>
        </w:rPr>
        <w:t>第十八条</w:t>
      </w:r>
      <w:r>
        <w:rPr>
          <w:rFonts w:hint="eastAsia"/>
          <w:lang w:val="en-US" w:eastAsia="zh-CN"/>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 </w:t>
      </w:r>
    </w:p>
    <w:p>
      <w:pPr>
        <w:bidi w:val="0"/>
        <w:rPr>
          <w:rFonts w:hint="eastAsia"/>
        </w:rPr>
      </w:pPr>
      <w:r>
        <w:rPr>
          <w:rFonts w:hint="eastAsia"/>
          <w:b/>
          <w:bCs/>
          <w:lang w:val="en-US" w:eastAsia="zh-CN"/>
        </w:rPr>
        <w:t>第十九条</w:t>
      </w:r>
      <w:r>
        <w:rPr>
          <w:rFonts w:hint="eastAsia"/>
          <w:lang w:val="en-US" w:eastAsia="zh-CN"/>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bidi w:val="0"/>
        <w:rPr>
          <w:rFonts w:hint="eastAsia"/>
        </w:rPr>
      </w:pPr>
      <w:r>
        <w:rPr>
          <w:rFonts w:hint="eastAsia"/>
          <w:b/>
          <w:bCs/>
          <w:lang w:val="en-US" w:eastAsia="zh-CN"/>
        </w:rPr>
        <w:t>第二十条</w:t>
      </w:r>
      <w:r>
        <w:rPr>
          <w:rFonts w:hint="eastAsia"/>
          <w:lang w:val="en-US" w:eastAsia="zh-CN"/>
        </w:rPr>
        <w:t xml:space="preserve">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bidi w:val="0"/>
        <w:rPr>
          <w:rFonts w:hint="eastAsia"/>
        </w:rPr>
      </w:pPr>
      <w:r>
        <w:rPr>
          <w:rFonts w:hint="eastAsia"/>
          <w:b/>
          <w:bCs/>
          <w:lang w:val="en-US" w:eastAsia="zh-CN"/>
        </w:rPr>
        <w:t>第二十一条</w:t>
      </w:r>
      <w:r>
        <w:rPr>
          <w:rFonts w:hint="eastAsia"/>
          <w:lang w:val="en-US" w:eastAsia="zh-CN"/>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bidi w:val="0"/>
        <w:rPr>
          <w:rFonts w:hint="eastAsia"/>
        </w:rPr>
      </w:pPr>
      <w:r>
        <w:rPr>
          <w:rFonts w:hint="eastAsia"/>
          <w:b/>
          <w:bCs/>
          <w:lang w:val="en-US" w:eastAsia="zh-CN"/>
        </w:rPr>
        <w:t>第二十二条</w:t>
      </w:r>
      <w:r>
        <w:rPr>
          <w:rFonts w:hint="eastAsia"/>
          <w:lang w:val="en-US" w:eastAsia="zh-CN"/>
        </w:rPr>
        <w:t xml:space="preserve"> 对外援助项目、国家相关资格或者资质管理制度另有规定的项目，不适用本办法。</w:t>
      </w:r>
    </w:p>
    <w:p>
      <w:pPr>
        <w:bidi w:val="0"/>
        <w:rPr>
          <w:rFonts w:hint="eastAsia"/>
        </w:rPr>
      </w:pPr>
      <w:r>
        <w:rPr>
          <w:rFonts w:hint="eastAsia"/>
          <w:b/>
          <w:bCs/>
          <w:lang w:val="en-US" w:eastAsia="zh-CN"/>
        </w:rPr>
        <w:t>第二十三条</w:t>
      </w:r>
      <w:r>
        <w:rPr>
          <w:rFonts w:hint="eastAsia"/>
          <w:lang w:val="en-US" w:eastAsia="zh-CN"/>
        </w:rPr>
        <w:t xml:space="preserve"> 关于视同中小企业的其他主体的政府采购扶持政策，由财政部会同有关部门另行规定。 </w:t>
      </w:r>
    </w:p>
    <w:p>
      <w:pPr>
        <w:bidi w:val="0"/>
        <w:rPr>
          <w:rFonts w:hint="eastAsia"/>
        </w:rPr>
      </w:pPr>
      <w:r>
        <w:rPr>
          <w:rFonts w:hint="eastAsia"/>
          <w:b/>
          <w:bCs/>
          <w:lang w:val="en-US" w:eastAsia="zh-CN"/>
        </w:rPr>
        <w:t>第二十四条</w:t>
      </w:r>
      <w:r>
        <w:rPr>
          <w:rFonts w:hint="eastAsia"/>
          <w:lang w:val="en-US" w:eastAsia="zh-CN"/>
        </w:rPr>
        <w:t xml:space="preserve"> 省级财政部门可以会同中小企业主管部门根据本办法的规定制定具体实施办法。 </w:t>
      </w:r>
    </w:p>
    <w:p>
      <w:pPr>
        <w:bidi w:val="0"/>
        <w:rPr>
          <w:rFonts w:hint="eastAsia"/>
        </w:rPr>
      </w:pPr>
      <w:r>
        <w:rPr>
          <w:rFonts w:hint="eastAsia"/>
          <w:b/>
          <w:bCs/>
          <w:lang w:val="en-US" w:eastAsia="zh-CN"/>
        </w:rPr>
        <w:t>第二十五条</w:t>
      </w:r>
      <w:r>
        <w:rPr>
          <w:rFonts w:hint="eastAsia"/>
          <w:lang w:val="en-US" w:eastAsia="zh-CN"/>
        </w:rPr>
        <w:t xml:space="preserve"> 本办法自2021年1月1日起施行。《财政部 工业和信息化部关于印发〈政府采购促进中小企业发展暂行办法〉的通知》（财库﹝2011﹞181 号）同时废止。</w:t>
      </w:r>
    </w:p>
    <w:p>
      <w:pPr>
        <w:pStyle w:val="4"/>
        <w:bidi w:val="0"/>
      </w:pPr>
      <w:r>
        <w:rPr>
          <w:rFonts w:hint="eastAsia"/>
          <w:lang w:val="en-US" w:eastAsia="zh-CN"/>
        </w:rPr>
        <w:t>附2.</w:t>
      </w:r>
      <w:r>
        <w:rPr>
          <w:rFonts w:hint="eastAsia"/>
        </w:rPr>
        <w:t>中小企业划型标准规定</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jc w:val="both"/>
        <w:textAlignment w:val="auto"/>
        <w:rPr>
          <w:rFonts w:ascii="Times New Roman" w:hAnsi="Times New Roman"/>
          <w:sz w:val="28"/>
          <w:szCs w:val="24"/>
        </w:rPr>
      </w:pPr>
      <w:r>
        <w:rPr>
          <w:rFonts w:ascii="Times New Roman" w:hAnsi="Times New Roman"/>
          <w:sz w:val="28"/>
          <w:szCs w:val="24"/>
        </w:rPr>
        <w:t>一、根据《中华人民共和国中小企业促进法》和《国务院关于进一步促进中小企业发展的若干意见》(国发〔2009〕36号)，制定本规定。</w:t>
      </w:r>
      <w:r>
        <w:rPr>
          <w:rFonts w:ascii="Times New Roman" w:hAnsi="Times New Roman"/>
          <w:sz w:val="28"/>
          <w:szCs w:val="24"/>
        </w:rPr>
        <w:br w:type="textWrapping"/>
      </w:r>
      <w:r>
        <w:rPr>
          <w:rFonts w:ascii="Times New Roman" w:hAnsi="Times New Roman"/>
          <w:sz w:val="28"/>
          <w:szCs w:val="24"/>
        </w:rPr>
        <w:t>　　二、中小企业划分为中型、小型、微型三种类型，具体标准根据企业从业人员、营业收入、资产总额等指标，结合行业特点制定。</w:t>
      </w:r>
      <w:r>
        <w:rPr>
          <w:rFonts w:ascii="Times New Roman" w:hAnsi="Times New Roman"/>
          <w:sz w:val="28"/>
          <w:szCs w:val="24"/>
        </w:rPr>
        <w:br w:type="textWrapping"/>
      </w:r>
      <w:r>
        <w:rPr>
          <w:rFonts w:ascii="Times New Roman" w:hAnsi="Times New Roman"/>
          <w:sz w:val="28"/>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imes New Roman" w:hAnsi="Times New Roman"/>
          <w:sz w:val="28"/>
          <w:szCs w:val="24"/>
        </w:rPr>
        <w:br w:type="textWrapping"/>
      </w:r>
      <w:r>
        <w:rPr>
          <w:rFonts w:ascii="Times New Roman" w:hAnsi="Times New Roman"/>
          <w:sz w:val="28"/>
          <w:szCs w:val="24"/>
        </w:rPr>
        <w:t>　　四、各行业划型标准为：</w:t>
      </w:r>
      <w:r>
        <w:rPr>
          <w:rFonts w:ascii="Times New Roman" w:hAnsi="Times New Roman"/>
          <w:sz w:val="28"/>
          <w:szCs w:val="24"/>
        </w:rPr>
        <w:br w:type="textWrapping"/>
      </w:r>
      <w:r>
        <w:rPr>
          <w:rFonts w:ascii="Times New Roman" w:hAnsi="Times New Roman"/>
          <w:sz w:val="28"/>
          <w:szCs w:val="24"/>
        </w:rPr>
        <w:t>　　（一）农、林、牧、渔业。营业收入20000万元以下的为中小微型企业。其中，营业收入500万元及以上的为中型企业，营业收入50万元及以上的为小型企业，营业收入50万元以下的为微型企业。</w:t>
      </w:r>
      <w:r>
        <w:rPr>
          <w:rFonts w:ascii="Times New Roman" w:hAnsi="Times New Roman"/>
          <w:sz w:val="28"/>
          <w:szCs w:val="24"/>
        </w:rPr>
        <w:br w:type="textWrapping"/>
      </w:r>
      <w:r>
        <w:rPr>
          <w:rFonts w:ascii="Times New Roman" w:hAnsi="Times New Roman"/>
          <w:sz w:val="28"/>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sz w:val="28"/>
          <w:szCs w:val="24"/>
        </w:rPr>
        <w:br w:type="textWrapping"/>
      </w:r>
      <w:r>
        <w:rPr>
          <w:rFonts w:ascii="Times New Roman" w:hAnsi="Times New Roman"/>
          <w:sz w:val="28"/>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imes New Roman" w:hAnsi="Times New Roman"/>
          <w:sz w:val="28"/>
          <w:szCs w:val="24"/>
        </w:rPr>
        <w:br w:type="textWrapping"/>
      </w:r>
      <w:r>
        <w:rPr>
          <w:rFonts w:ascii="Times New Roman" w:hAnsi="Times New Roman"/>
          <w:sz w:val="28"/>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imes New Roman" w:hAnsi="Times New Roman"/>
          <w:sz w:val="28"/>
          <w:szCs w:val="24"/>
        </w:rPr>
        <w:br w:type="textWrapping"/>
      </w:r>
      <w:r>
        <w:rPr>
          <w:rFonts w:ascii="Times New Roman" w:hAnsi="Times New Roman"/>
          <w:sz w:val="28"/>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imes New Roman" w:hAnsi="Times New Roman"/>
          <w:sz w:val="28"/>
          <w:szCs w:val="24"/>
        </w:rPr>
        <w:br w:type="textWrapping"/>
      </w:r>
      <w:r>
        <w:rPr>
          <w:rFonts w:ascii="Times New Roman" w:hAnsi="Times New Roman"/>
          <w:sz w:val="28"/>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imes New Roman" w:hAnsi="Times New Roman"/>
          <w:sz w:val="28"/>
          <w:szCs w:val="24"/>
        </w:rPr>
        <w:br w:type="textWrapping"/>
      </w:r>
      <w:r>
        <w:rPr>
          <w:rFonts w:ascii="Times New Roman" w:hAnsi="Times New Roman"/>
          <w:sz w:val="28"/>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imes New Roman" w:hAnsi="Times New Roman"/>
          <w:sz w:val="28"/>
          <w:szCs w:val="24"/>
        </w:rPr>
        <w:br w:type="textWrapping"/>
      </w:r>
      <w:r>
        <w:rPr>
          <w:rFonts w:ascii="Times New Roman" w:hAnsi="Times New Roman"/>
          <w:sz w:val="28"/>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imes New Roman" w:hAnsi="Times New Roman"/>
          <w:sz w:val="28"/>
          <w:szCs w:val="24"/>
        </w:rPr>
        <w:br w:type="textWrapping"/>
      </w:r>
      <w:r>
        <w:rPr>
          <w:rFonts w:ascii="Times New Roman" w:hAnsi="Times New Roman"/>
          <w:sz w:val="28"/>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imes New Roman" w:hAnsi="Times New Roman"/>
          <w:sz w:val="28"/>
          <w:szCs w:val="24"/>
        </w:rPr>
        <w:br w:type="textWrapping"/>
      </w:r>
      <w:r>
        <w:rPr>
          <w:rFonts w:ascii="Times New Roman" w:hAnsi="Times New Roman"/>
          <w:sz w:val="28"/>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imes New Roman" w:hAnsi="Times New Roman"/>
          <w:sz w:val="28"/>
          <w:szCs w:val="24"/>
        </w:rPr>
        <w:br w:type="textWrapping"/>
      </w:r>
      <w:r>
        <w:rPr>
          <w:rFonts w:ascii="Times New Roman" w:hAnsi="Times New Roman"/>
          <w:sz w:val="28"/>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imes New Roman" w:hAnsi="Times New Roman"/>
          <w:sz w:val="28"/>
          <w:szCs w:val="24"/>
        </w:rPr>
        <w:br w:type="textWrapping"/>
      </w:r>
      <w:r>
        <w:rPr>
          <w:rFonts w:ascii="Times New Roman" w:hAnsi="Times New Roman"/>
          <w:sz w:val="28"/>
          <w:szCs w:val="24"/>
        </w:rPr>
        <w:t>　　（十六）其他未列明行业。从业人员300人以下的为中小微型企业。其中，从业人员100人及以上的为中型企业；从业人员10人及以上的为小型企业；从业人员10人以下的为微型企业。</w:t>
      </w:r>
      <w:r>
        <w:rPr>
          <w:rFonts w:ascii="Times New Roman" w:hAnsi="Times New Roman"/>
          <w:sz w:val="28"/>
          <w:szCs w:val="24"/>
        </w:rPr>
        <w:br w:type="textWrapping"/>
      </w:r>
      <w:r>
        <w:rPr>
          <w:rFonts w:ascii="Times New Roman" w:hAnsi="Times New Roman"/>
          <w:sz w:val="28"/>
          <w:szCs w:val="24"/>
        </w:rPr>
        <w:t>　　五、企业类型的划分以统计部门的统计数据为依据。</w:t>
      </w:r>
      <w:r>
        <w:rPr>
          <w:rFonts w:ascii="Times New Roman" w:hAnsi="Times New Roman"/>
          <w:sz w:val="28"/>
          <w:szCs w:val="24"/>
        </w:rPr>
        <w:br w:type="textWrapping"/>
      </w:r>
      <w:r>
        <w:rPr>
          <w:rFonts w:ascii="Times New Roman" w:hAnsi="Times New Roman"/>
          <w:sz w:val="28"/>
          <w:szCs w:val="24"/>
        </w:rPr>
        <w:t>　　六、本规定适用于在中华人民共和国境内依法设立的各类所有制和各种组织形式的企业。个体工商户和本规定以外的行业，参照本规定进行划型。</w:t>
      </w:r>
      <w:r>
        <w:rPr>
          <w:rFonts w:ascii="Times New Roman" w:hAnsi="Times New Roman"/>
          <w:sz w:val="28"/>
          <w:szCs w:val="24"/>
        </w:rPr>
        <w:br w:type="textWrapping"/>
      </w:r>
      <w:r>
        <w:rPr>
          <w:rFonts w:ascii="Times New Roman" w:hAnsi="Times New Roman"/>
          <w:sz w:val="28"/>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Times New Roman" w:hAnsi="Times New Roman"/>
          <w:sz w:val="28"/>
          <w:szCs w:val="24"/>
        </w:rPr>
        <w:br w:type="textWrapping"/>
      </w:r>
      <w:r>
        <w:rPr>
          <w:rFonts w:ascii="Times New Roman" w:hAnsi="Times New Roman"/>
          <w:sz w:val="28"/>
          <w:szCs w:val="24"/>
        </w:rPr>
        <w:t>　　八、本规定由工业和信息化部、国家统计局会同有关部门根据《国民经济行业分类》修订情况和企业发展变化情况适时修订。</w:t>
      </w:r>
      <w:r>
        <w:rPr>
          <w:rFonts w:ascii="Times New Roman" w:hAnsi="Times New Roman"/>
          <w:sz w:val="28"/>
          <w:szCs w:val="24"/>
        </w:rPr>
        <w:br w:type="textWrapping"/>
      </w:r>
      <w:r>
        <w:rPr>
          <w:rFonts w:ascii="Times New Roman" w:hAnsi="Times New Roman"/>
          <w:sz w:val="28"/>
          <w:szCs w:val="24"/>
        </w:rPr>
        <w:t>　　九、本规定由工业和信息化部、国家统计局会同有关部门负责解释。</w:t>
      </w:r>
      <w:r>
        <w:rPr>
          <w:rFonts w:ascii="Times New Roman" w:hAnsi="Times New Roman"/>
          <w:sz w:val="28"/>
          <w:szCs w:val="24"/>
        </w:rPr>
        <w:br w:type="textWrapping"/>
      </w:r>
      <w:r>
        <w:rPr>
          <w:rFonts w:ascii="Times New Roman" w:hAnsi="Times New Roman"/>
          <w:sz w:val="28"/>
          <w:szCs w:val="24"/>
        </w:rPr>
        <w:t>　　十、本规定自发布之日起执行，原国家经贸委、原国家计委、财政部和国家统计局2003年颁布的《中小企业标准暂行规定》同时废止。</w:t>
      </w:r>
    </w:p>
    <w:p>
      <w:pPr>
        <w:bidi w:val="0"/>
        <w:jc w:val="right"/>
      </w:pPr>
      <w:r>
        <w:rPr>
          <w:rFonts w:hint="eastAsia"/>
        </w:rPr>
        <w:t>工业和信息化部</w:t>
      </w:r>
      <w:r>
        <w:rPr>
          <w:rFonts w:hint="eastAsia"/>
          <w:lang w:val="en-US" w:eastAsia="zh-CN"/>
        </w:rPr>
        <w:t xml:space="preserve"> </w:t>
      </w:r>
      <w:r>
        <w:rPr>
          <w:rFonts w:hint="eastAsia"/>
        </w:rPr>
        <w:t>国家统计局</w:t>
      </w:r>
    </w:p>
    <w:p>
      <w:pPr>
        <w:bidi w:val="0"/>
        <w:jc w:val="right"/>
      </w:pPr>
      <w:r>
        <w:rPr>
          <w:rFonts w:hint="eastAsia"/>
        </w:rPr>
        <w:t>国家发展和改革委员会  财政部</w:t>
      </w:r>
    </w:p>
    <w:p>
      <w:pPr>
        <w:bidi w:val="0"/>
        <w:jc w:val="right"/>
        <w:rPr>
          <w:rFonts w:hint="eastAsia"/>
          <w:lang w:val="en-US" w:eastAsia="zh-CN"/>
        </w:rPr>
      </w:pPr>
      <w:r>
        <w:rPr>
          <w:rFonts w:hint="eastAsia"/>
        </w:rPr>
        <w:t xml:space="preserve">二〇一一年六月十八日  </w:t>
      </w:r>
    </w:p>
    <w:p>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outlineLvl w:val="9"/>
        <w:rPr>
          <w:rFonts w:hint="eastAsia" w:ascii="宋体" w:hAnsi="宋体"/>
          <w:b/>
          <w:color w:val="auto"/>
          <w:spacing w:val="6"/>
          <w:sz w:val="24"/>
          <w:szCs w:val="24"/>
          <w:highlight w:val="none"/>
          <w:lang w:val="en-US" w:eastAsia="zh-CN"/>
        </w:rPr>
      </w:pPr>
    </w:p>
    <w:p>
      <w:pPr>
        <w:pStyle w:val="4"/>
        <w:bidi w:val="0"/>
      </w:pPr>
      <w:r>
        <w:rPr>
          <w:rFonts w:hint="eastAsia"/>
          <w:lang w:val="en-US" w:eastAsia="zh-CN"/>
        </w:rPr>
        <w:t>附3.</w:t>
      </w:r>
      <w:r>
        <w:rPr>
          <w:rFonts w:hint="eastAsia"/>
        </w:rPr>
        <w:t>关于政府采购支持监狱企业发展有关问题的通知</w:t>
      </w:r>
    </w:p>
    <w:p>
      <w:pPr>
        <w:bidi w:val="0"/>
        <w:rPr>
          <w:rFonts w:hint="eastAsia"/>
        </w:rPr>
      </w:pPr>
      <w: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rPr>
        <w:t>：</w:t>
      </w:r>
    </w:p>
    <w:p>
      <w:pPr>
        <w:bidi w:val="0"/>
      </w:pPr>
      <w: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91" w:name="OLE_LINK1"/>
      <w:r>
        <w:t>监狱企业</w:t>
      </w:r>
      <w:bookmarkEnd w:id="91"/>
      <w:r>
        <w:t>发展的作用，现就有关事项通知如下:</w:t>
      </w:r>
    </w:p>
    <w:p>
      <w:pPr>
        <w:bidi w:val="0"/>
        <w:rPr>
          <w:b/>
          <w:bCs/>
        </w:rPr>
      </w:pPr>
      <w:r>
        <w:rPr>
          <w:b/>
          <w:bCs/>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bidi w:val="0"/>
      </w:pPr>
      <w:r>
        <w:t>二、在政府采购活动中，监狱企业视同小型、微型企业，享受预留份额、评审中价格扣除等政府采购促进中小企业发展的政府采购政策。向监狱企业采购的金额，计入面向中小企业采购的统计数据。</w:t>
      </w:r>
    </w:p>
    <w:p>
      <w:pPr>
        <w:bidi w:val="0"/>
      </w:pPr>
      <w: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bidi w:val="0"/>
      </w:pPr>
      <w:r>
        <w:t>四、各地区可以结合本地区实际，对监狱企业生产的办公用品、家具用具、车辆维修和提供的保养服务、消防设备等，提出预留份额等政府采购支持措施，加大对监狱企业产品的采购力度。</w:t>
      </w:r>
    </w:p>
    <w:p>
      <w:pPr>
        <w:bidi w:val="0"/>
      </w:pPr>
      <w: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bidi w:val="0"/>
        <w:jc w:val="right"/>
      </w:pPr>
      <w:r>
        <w:rPr>
          <w:rFonts w:ascii="Times New Roman" w:hAnsi="Times New Roman" w:cs="Arial"/>
          <w:color w:val="auto"/>
          <w:kern w:val="0"/>
          <w:szCs w:val="24"/>
          <w:highlight w:val="none"/>
        </w:rPr>
        <w:t>　</w:t>
      </w:r>
      <w:r>
        <w:t>　财政部　司法部</w:t>
      </w:r>
    </w:p>
    <w:p>
      <w:pPr>
        <w:bidi w:val="0"/>
        <w:jc w:val="right"/>
        <w:rPr>
          <w:rFonts w:hint="eastAsia"/>
          <w:lang w:val="en-US" w:eastAsia="zh-CN"/>
        </w:rPr>
      </w:pPr>
      <w:r>
        <w:t>2014年6月10日</w:t>
      </w:r>
    </w:p>
    <w:p>
      <w:pPr>
        <w:pStyle w:val="14"/>
        <w:ind w:firstLine="1044"/>
        <w:rPr>
          <w:rFonts w:ascii="宋体" w:hAnsi="宋体" w:cs="宋体"/>
          <w:b/>
          <w:bCs/>
          <w:sz w:val="52"/>
          <w:szCs w:val="52"/>
        </w:rPr>
      </w:pPr>
    </w:p>
    <w:p>
      <w:pPr>
        <w:pStyle w:val="14"/>
        <w:ind w:firstLine="1044"/>
        <w:rPr>
          <w:rFonts w:ascii="宋体" w:hAnsi="宋体" w:cs="宋体"/>
          <w:b/>
          <w:bCs/>
          <w:sz w:val="52"/>
          <w:szCs w:val="52"/>
        </w:rPr>
      </w:pPr>
    </w:p>
    <w:p>
      <w:pPr>
        <w:pStyle w:val="14"/>
        <w:ind w:firstLine="1044"/>
        <w:rPr>
          <w:rFonts w:ascii="宋体" w:hAnsi="宋体" w:cs="宋体"/>
          <w:b/>
          <w:bCs/>
          <w:sz w:val="52"/>
          <w:szCs w:val="52"/>
        </w:rPr>
      </w:pPr>
    </w:p>
    <w:p>
      <w:pPr>
        <w:pStyle w:val="14"/>
        <w:ind w:firstLine="1044"/>
        <w:rPr>
          <w:rFonts w:ascii="宋体" w:hAnsi="宋体" w:cs="宋体"/>
          <w:b/>
          <w:bCs/>
          <w:sz w:val="52"/>
          <w:szCs w:val="52"/>
        </w:rPr>
      </w:pPr>
    </w:p>
    <w:p>
      <w:pPr>
        <w:pStyle w:val="14"/>
        <w:ind w:firstLine="1044"/>
        <w:rPr>
          <w:rFonts w:ascii="宋体" w:hAnsi="宋体" w:cs="宋体"/>
          <w:b/>
          <w:bCs/>
          <w:sz w:val="52"/>
          <w:szCs w:val="52"/>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firstLine="40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ind w:firstLine="0" w:firstLineChars="0"/>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4"/>
                      <w:ind w:firstLine="0" w:firstLineChars="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C817"/>
    <w:multiLevelType w:val="singleLevel"/>
    <w:tmpl w:val="2F80C8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mNTY2NmIyMzg4ODJjN2FhMzYyYzJmOGNlZmQ2MWQifQ=="/>
  </w:docVars>
  <w:rsids>
    <w:rsidRoot w:val="3C080B7F"/>
    <w:rsid w:val="00537C28"/>
    <w:rsid w:val="005765BD"/>
    <w:rsid w:val="00754843"/>
    <w:rsid w:val="007E0D16"/>
    <w:rsid w:val="00A26188"/>
    <w:rsid w:val="00E03E72"/>
    <w:rsid w:val="00FE0614"/>
    <w:rsid w:val="024E4B4B"/>
    <w:rsid w:val="028A2D48"/>
    <w:rsid w:val="031632F7"/>
    <w:rsid w:val="032E5BBC"/>
    <w:rsid w:val="04AD3DAA"/>
    <w:rsid w:val="04CE00F8"/>
    <w:rsid w:val="04FE4606"/>
    <w:rsid w:val="06570EA1"/>
    <w:rsid w:val="069E1EDD"/>
    <w:rsid w:val="071A324D"/>
    <w:rsid w:val="073C32D2"/>
    <w:rsid w:val="07BC03DC"/>
    <w:rsid w:val="080B3BC2"/>
    <w:rsid w:val="08395955"/>
    <w:rsid w:val="084E1401"/>
    <w:rsid w:val="0865499C"/>
    <w:rsid w:val="08687FE8"/>
    <w:rsid w:val="09D4008F"/>
    <w:rsid w:val="09EB4E86"/>
    <w:rsid w:val="0A7669ED"/>
    <w:rsid w:val="0B9229CE"/>
    <w:rsid w:val="0CAD2F48"/>
    <w:rsid w:val="0D020A0B"/>
    <w:rsid w:val="0DC70EAD"/>
    <w:rsid w:val="0E456E02"/>
    <w:rsid w:val="0F423341"/>
    <w:rsid w:val="0F930041"/>
    <w:rsid w:val="10172A20"/>
    <w:rsid w:val="10AF2C58"/>
    <w:rsid w:val="11666538"/>
    <w:rsid w:val="11E21315"/>
    <w:rsid w:val="136E0BA9"/>
    <w:rsid w:val="13B80076"/>
    <w:rsid w:val="14720225"/>
    <w:rsid w:val="14B52807"/>
    <w:rsid w:val="15232948"/>
    <w:rsid w:val="15E07FEE"/>
    <w:rsid w:val="16CD208A"/>
    <w:rsid w:val="17145980"/>
    <w:rsid w:val="180B180B"/>
    <w:rsid w:val="186054E4"/>
    <w:rsid w:val="18A137CE"/>
    <w:rsid w:val="19361673"/>
    <w:rsid w:val="19A05834"/>
    <w:rsid w:val="19D7730E"/>
    <w:rsid w:val="1A9A12C1"/>
    <w:rsid w:val="1B083691"/>
    <w:rsid w:val="1B420427"/>
    <w:rsid w:val="1CA94A00"/>
    <w:rsid w:val="1CAE1D97"/>
    <w:rsid w:val="1D2F75FB"/>
    <w:rsid w:val="1D951428"/>
    <w:rsid w:val="1FFC578E"/>
    <w:rsid w:val="21006F7B"/>
    <w:rsid w:val="21471490"/>
    <w:rsid w:val="21D7200F"/>
    <w:rsid w:val="22B804AD"/>
    <w:rsid w:val="22E42C35"/>
    <w:rsid w:val="2305495A"/>
    <w:rsid w:val="24113775"/>
    <w:rsid w:val="24B93C4E"/>
    <w:rsid w:val="26040EF9"/>
    <w:rsid w:val="27400656"/>
    <w:rsid w:val="279E37F8"/>
    <w:rsid w:val="28333D17"/>
    <w:rsid w:val="285C2E3B"/>
    <w:rsid w:val="28E3291C"/>
    <w:rsid w:val="2A1F09F7"/>
    <w:rsid w:val="2AB40FBA"/>
    <w:rsid w:val="2B342280"/>
    <w:rsid w:val="2BA35E11"/>
    <w:rsid w:val="2BD4033E"/>
    <w:rsid w:val="2C75630D"/>
    <w:rsid w:val="2C950AFD"/>
    <w:rsid w:val="2CC25C89"/>
    <w:rsid w:val="2E00469C"/>
    <w:rsid w:val="2F390A57"/>
    <w:rsid w:val="30864474"/>
    <w:rsid w:val="30DC58E0"/>
    <w:rsid w:val="316B7B13"/>
    <w:rsid w:val="334B460B"/>
    <w:rsid w:val="337E46B2"/>
    <w:rsid w:val="34F211E2"/>
    <w:rsid w:val="35904557"/>
    <w:rsid w:val="360E0CB2"/>
    <w:rsid w:val="36F32FEF"/>
    <w:rsid w:val="36FB2EA4"/>
    <w:rsid w:val="37643466"/>
    <w:rsid w:val="37E33064"/>
    <w:rsid w:val="385E02C6"/>
    <w:rsid w:val="386A5533"/>
    <w:rsid w:val="3A103EB8"/>
    <w:rsid w:val="3B8345F5"/>
    <w:rsid w:val="3BDD426E"/>
    <w:rsid w:val="3C080B7F"/>
    <w:rsid w:val="3C347AE6"/>
    <w:rsid w:val="3C4B567C"/>
    <w:rsid w:val="3C89390F"/>
    <w:rsid w:val="3CDB23CF"/>
    <w:rsid w:val="3EA3354D"/>
    <w:rsid w:val="3EE43BF5"/>
    <w:rsid w:val="3FDB517F"/>
    <w:rsid w:val="422A5D5D"/>
    <w:rsid w:val="42701998"/>
    <w:rsid w:val="42FF2D1C"/>
    <w:rsid w:val="43123B54"/>
    <w:rsid w:val="437C3823"/>
    <w:rsid w:val="43B243EF"/>
    <w:rsid w:val="442946B9"/>
    <w:rsid w:val="452F2C9A"/>
    <w:rsid w:val="45F646BC"/>
    <w:rsid w:val="45F66658"/>
    <w:rsid w:val="462C5BD6"/>
    <w:rsid w:val="47DB1818"/>
    <w:rsid w:val="488E0DCA"/>
    <w:rsid w:val="48917B53"/>
    <w:rsid w:val="489C298C"/>
    <w:rsid w:val="4A8A3813"/>
    <w:rsid w:val="4BB74194"/>
    <w:rsid w:val="4BE64A79"/>
    <w:rsid w:val="4C06511B"/>
    <w:rsid w:val="4CAC33D7"/>
    <w:rsid w:val="4D6C7200"/>
    <w:rsid w:val="4E1E4D63"/>
    <w:rsid w:val="4E781D55"/>
    <w:rsid w:val="4E8A67B0"/>
    <w:rsid w:val="5047571B"/>
    <w:rsid w:val="50BF630C"/>
    <w:rsid w:val="513B13C3"/>
    <w:rsid w:val="51BD002A"/>
    <w:rsid w:val="52421C4A"/>
    <w:rsid w:val="52E00474"/>
    <w:rsid w:val="54694499"/>
    <w:rsid w:val="5498310E"/>
    <w:rsid w:val="54A51975"/>
    <w:rsid w:val="54CB6F02"/>
    <w:rsid w:val="552F56E3"/>
    <w:rsid w:val="5593298A"/>
    <w:rsid w:val="559E70E3"/>
    <w:rsid w:val="56B57E6A"/>
    <w:rsid w:val="57FA727F"/>
    <w:rsid w:val="58EE31BF"/>
    <w:rsid w:val="590B5B1F"/>
    <w:rsid w:val="59833401"/>
    <w:rsid w:val="5A930628"/>
    <w:rsid w:val="5AE26D53"/>
    <w:rsid w:val="5B5C4D58"/>
    <w:rsid w:val="5CD526CC"/>
    <w:rsid w:val="5D467A6D"/>
    <w:rsid w:val="5D5C2DED"/>
    <w:rsid w:val="5DBA2BE7"/>
    <w:rsid w:val="5E111E29"/>
    <w:rsid w:val="5E331DA0"/>
    <w:rsid w:val="5E3520BF"/>
    <w:rsid w:val="5EA46851"/>
    <w:rsid w:val="5EAA5DDA"/>
    <w:rsid w:val="5F2D4144"/>
    <w:rsid w:val="5F362D59"/>
    <w:rsid w:val="5F7A31DC"/>
    <w:rsid w:val="600746DC"/>
    <w:rsid w:val="606F4F9B"/>
    <w:rsid w:val="60844B35"/>
    <w:rsid w:val="614D13CA"/>
    <w:rsid w:val="61686012"/>
    <w:rsid w:val="61D45648"/>
    <w:rsid w:val="61D93CEA"/>
    <w:rsid w:val="61F93300"/>
    <w:rsid w:val="62570027"/>
    <w:rsid w:val="627F4082"/>
    <w:rsid w:val="6298375F"/>
    <w:rsid w:val="63A96660"/>
    <w:rsid w:val="64FB3632"/>
    <w:rsid w:val="676313AA"/>
    <w:rsid w:val="678A61CB"/>
    <w:rsid w:val="67DB0DB0"/>
    <w:rsid w:val="69074555"/>
    <w:rsid w:val="6953168E"/>
    <w:rsid w:val="698C6808"/>
    <w:rsid w:val="6A1E603C"/>
    <w:rsid w:val="6A7A48B2"/>
    <w:rsid w:val="6A99742E"/>
    <w:rsid w:val="6B221D8A"/>
    <w:rsid w:val="6B2F38EF"/>
    <w:rsid w:val="6B8D1295"/>
    <w:rsid w:val="6CB70040"/>
    <w:rsid w:val="6D9F2138"/>
    <w:rsid w:val="6E8E0149"/>
    <w:rsid w:val="6F345978"/>
    <w:rsid w:val="6F683873"/>
    <w:rsid w:val="71297032"/>
    <w:rsid w:val="7130216F"/>
    <w:rsid w:val="71E371E1"/>
    <w:rsid w:val="731178E3"/>
    <w:rsid w:val="73B027D5"/>
    <w:rsid w:val="75630D65"/>
    <w:rsid w:val="764400AC"/>
    <w:rsid w:val="77C6382D"/>
    <w:rsid w:val="79865022"/>
    <w:rsid w:val="79A67472"/>
    <w:rsid w:val="7B9F23CB"/>
    <w:rsid w:val="7BE1474D"/>
    <w:rsid w:val="7C26600D"/>
    <w:rsid w:val="7C39281F"/>
    <w:rsid w:val="7C9A7858"/>
    <w:rsid w:val="7CD460A4"/>
    <w:rsid w:val="7CFA3572"/>
    <w:rsid w:val="7CFA56EB"/>
    <w:rsid w:val="7DC2115B"/>
    <w:rsid w:val="7DEB7B49"/>
    <w:rsid w:val="7EA81826"/>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723" w:firstLineChars="200"/>
      <w:jc w:val="both"/>
    </w:pPr>
    <w:rPr>
      <w:rFonts w:ascii="Times New Roman" w:hAnsi="Times New Roman" w:eastAsia="宋体" w:cstheme="minorBidi"/>
      <w:kern w:val="2"/>
      <w:sz w:val="28"/>
      <w:szCs w:val="24"/>
      <w:lang w:val="en-US" w:eastAsia="zh-CN" w:bidi="ar-SA"/>
    </w:rPr>
  </w:style>
  <w:style w:type="paragraph" w:styleId="3">
    <w:name w:val="heading 1"/>
    <w:basedOn w:val="1"/>
    <w:next w:val="1"/>
    <w:link w:val="32"/>
    <w:qFormat/>
    <w:uiPriority w:val="0"/>
    <w:pPr>
      <w:keepNext/>
      <w:keepLines/>
      <w:spacing w:before="240" w:after="200" w:line="240" w:lineRule="auto"/>
      <w:ind w:firstLine="0" w:firstLineChars="0"/>
      <w:jc w:val="center"/>
      <w:outlineLvl w:val="0"/>
    </w:pPr>
    <w:rPr>
      <w:b/>
      <w:kern w:val="44"/>
      <w:sz w:val="44"/>
    </w:rPr>
  </w:style>
  <w:style w:type="paragraph" w:styleId="4">
    <w:name w:val="heading 2"/>
    <w:basedOn w:val="1"/>
    <w:next w:val="1"/>
    <w:link w:val="31"/>
    <w:unhideWhenUsed/>
    <w:qFormat/>
    <w:uiPriority w:val="0"/>
    <w:pPr>
      <w:keepNext/>
      <w:keepLines/>
      <w:spacing w:line="240" w:lineRule="auto"/>
      <w:ind w:firstLine="0" w:firstLineChars="0"/>
      <w:outlineLvl w:val="1"/>
    </w:pPr>
    <w:rPr>
      <w:b/>
      <w:sz w:val="30"/>
    </w:rPr>
  </w:style>
  <w:style w:type="paragraph" w:styleId="5">
    <w:name w:val="heading 3"/>
    <w:basedOn w:val="1"/>
    <w:next w:val="1"/>
    <w:link w:val="30"/>
    <w:qFormat/>
    <w:uiPriority w:val="0"/>
    <w:pPr>
      <w:keepNext/>
      <w:keepLines/>
      <w:tabs>
        <w:tab w:val="left" w:pos="720"/>
      </w:tabs>
      <w:spacing w:line="240" w:lineRule="auto"/>
      <w:outlineLvl w:val="2"/>
    </w:pPr>
    <w:rPr>
      <w:b/>
      <w:bCs/>
      <w:szCs w:val="32"/>
    </w:rPr>
  </w:style>
  <w:style w:type="paragraph" w:styleId="2">
    <w:name w:val="heading 4"/>
    <w:basedOn w:val="1"/>
    <w:next w:val="1"/>
    <w:unhideWhenUsed/>
    <w:qFormat/>
    <w:uiPriority w:val="0"/>
    <w:pPr>
      <w:keepNext/>
      <w:keepLines/>
      <w:spacing w:line="240" w:lineRule="auto"/>
      <w:outlineLvl w:val="3"/>
    </w:pPr>
    <w:rPr>
      <w:b/>
    </w:rPr>
  </w:style>
  <w:style w:type="paragraph" w:styleId="6">
    <w:name w:val="heading 5"/>
    <w:basedOn w:val="1"/>
    <w:next w:val="1"/>
    <w:unhideWhenUsed/>
    <w:qFormat/>
    <w:uiPriority w:val="0"/>
    <w:pPr>
      <w:keepNext/>
      <w:keepLines/>
      <w:spacing w:before="280" w:after="290" w:line="372" w:lineRule="auto"/>
      <w:outlineLvl w:val="4"/>
    </w:pPr>
    <w:rPr>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kern w:val="0"/>
      <w:sz w:val="24"/>
    </w:rPr>
  </w:style>
  <w:style w:type="paragraph" w:styleId="8">
    <w:name w:val="Body Text"/>
    <w:basedOn w:val="1"/>
    <w:next w:val="9"/>
    <w:qFormat/>
    <w:uiPriority w:val="0"/>
    <w:rPr>
      <w:kern w:val="0"/>
    </w:rPr>
  </w:style>
  <w:style w:type="paragraph" w:styleId="9">
    <w:name w:val="toc 8"/>
    <w:basedOn w:val="1"/>
    <w:next w:val="1"/>
    <w:qFormat/>
    <w:uiPriority w:val="0"/>
    <w:pPr>
      <w:ind w:left="2940" w:leftChars="1400"/>
    </w:pPr>
  </w:style>
  <w:style w:type="paragraph" w:styleId="10">
    <w:name w:val="Body Text Indent"/>
    <w:basedOn w:val="1"/>
    <w:unhideWhenUsed/>
    <w:qFormat/>
    <w:uiPriority w:val="0"/>
    <w:pPr>
      <w:spacing w:after="120"/>
      <w:ind w:left="420" w:leftChars="200"/>
    </w:pPr>
  </w:style>
  <w:style w:type="paragraph" w:styleId="11">
    <w:name w:val="toc 3"/>
    <w:basedOn w:val="1"/>
    <w:next w:val="1"/>
    <w:qFormat/>
    <w:uiPriority w:val="0"/>
    <w:pPr>
      <w:widowControl/>
      <w:ind w:left="400" w:right="255"/>
    </w:pPr>
    <w:rPr>
      <w:kern w:val="0"/>
      <w:sz w:val="24"/>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pPr>
      <w:adjustRightInd w:val="0"/>
      <w:spacing w:line="360" w:lineRule="atLeast"/>
      <w:ind w:firstLine="454"/>
      <w:textAlignment w:val="baseline"/>
    </w:pPr>
    <w:rPr>
      <w:kern w:val="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b/>
    </w:rPr>
  </w:style>
  <w:style w:type="paragraph" w:styleId="17">
    <w:name w:val="List"/>
    <w:basedOn w:val="1"/>
    <w:unhideWhenUsed/>
    <w:qFormat/>
    <w:uiPriority w:val="0"/>
    <w:pPr>
      <w:ind w:left="200" w:hanging="200" w:hangingChars="200"/>
      <w:contextualSpacing/>
    </w:pPr>
    <w:rPr>
      <w:sz w:val="20"/>
      <w:szCs w:val="20"/>
    </w:rPr>
  </w:style>
  <w:style w:type="paragraph" w:styleId="18">
    <w:name w:val="Title"/>
    <w:basedOn w:val="1"/>
    <w:qFormat/>
    <w:uiPriority w:val="0"/>
    <w:pPr>
      <w:spacing w:before="240" w:after="60"/>
      <w:jc w:val="center"/>
      <w:outlineLvl w:val="0"/>
    </w:pPr>
    <w:rPr>
      <w:rFonts w:ascii="Arial" w:hAnsi="Arial"/>
      <w:b/>
      <w:sz w:val="32"/>
    </w:rPr>
  </w:style>
  <w:style w:type="paragraph" w:styleId="19">
    <w:name w:val="Body Text First Indent 2"/>
    <w:basedOn w:val="10"/>
    <w:qFormat/>
    <w:uiPriority w:val="0"/>
    <w:pPr>
      <w:widowControl/>
      <w:ind w:left="0" w:leftChars="0" w:firstLine="210"/>
      <w:jc w:val="left"/>
    </w:pPr>
    <w:rPr>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Emphasis"/>
    <w:basedOn w:val="22"/>
    <w:qFormat/>
    <w:uiPriority w:val="0"/>
    <w:rPr>
      <w:i/>
    </w:rPr>
  </w:style>
  <w:style w:type="paragraph" w:styleId="26">
    <w:name w:val="List Paragraph"/>
    <w:basedOn w:val="1"/>
    <w:qFormat/>
    <w:uiPriority w:val="99"/>
    <w:pPr>
      <w:ind w:firstLine="420"/>
    </w:pPr>
    <w:rPr>
      <w:kern w:val="0"/>
      <w:sz w:val="20"/>
    </w:rPr>
  </w:style>
  <w:style w:type="paragraph" w:customStyle="1" w:styleId="27">
    <w:name w:val="目录"/>
    <w:basedOn w:val="1"/>
    <w:qFormat/>
    <w:uiPriority w:val="0"/>
    <w:pPr>
      <w:spacing w:before="240" w:after="200" w:line="360" w:lineRule="auto"/>
      <w:ind w:firstLine="0" w:firstLineChars="0"/>
      <w:jc w:val="center"/>
    </w:pPr>
    <w:rPr>
      <w:rFonts w:hint="eastAsia" w:cs="仿宋"/>
      <w:bCs/>
      <w:sz w:val="36"/>
      <w:szCs w:val="32"/>
    </w:rPr>
  </w:style>
  <w:style w:type="paragraph" w:customStyle="1" w:styleId="28">
    <w:name w:val="表格"/>
    <w:basedOn w:val="1"/>
    <w:qFormat/>
    <w:uiPriority w:val="0"/>
    <w:pPr>
      <w:spacing w:line="240" w:lineRule="auto"/>
      <w:ind w:firstLine="0" w:firstLineChars="0"/>
      <w:jc w:val="center"/>
    </w:pPr>
    <w:rPr>
      <w:rFonts w:hint="eastAsia"/>
      <w:sz w:val="21"/>
    </w:rPr>
  </w:style>
  <w:style w:type="paragraph" w:styleId="29">
    <w:name w:val="No Spacing"/>
    <w:basedOn w:val="1"/>
    <w:qFormat/>
    <w:uiPriority w:val="0"/>
    <w:pPr>
      <w:ind w:firstLine="0"/>
    </w:pPr>
  </w:style>
  <w:style w:type="character" w:customStyle="1" w:styleId="30">
    <w:name w:val="标题 3 字符"/>
    <w:link w:val="5"/>
    <w:qFormat/>
    <w:uiPriority w:val="0"/>
    <w:rPr>
      <w:b/>
      <w:bCs/>
      <w:szCs w:val="32"/>
    </w:rPr>
  </w:style>
  <w:style w:type="character" w:customStyle="1" w:styleId="31">
    <w:name w:val="标题 2 字符"/>
    <w:link w:val="4"/>
    <w:qFormat/>
    <w:uiPriority w:val="0"/>
    <w:rPr>
      <w:b/>
      <w:sz w:val="30"/>
    </w:rPr>
  </w:style>
  <w:style w:type="character" w:customStyle="1" w:styleId="32">
    <w:name w:val="标题 1 字符"/>
    <w:link w:val="3"/>
    <w:qFormat/>
    <w:uiPriority w:val="0"/>
    <w:rPr>
      <w:rFonts w:ascii="Times New Roman" w:hAnsi="Times New Roman" w:eastAsia="宋体"/>
      <w:b/>
      <w:kern w:val="44"/>
      <w:sz w:val="44"/>
    </w:rPr>
  </w:style>
  <w:style w:type="paragraph" w:customStyle="1" w:styleId="33">
    <w:name w:val="正文文本首行缩进 21"/>
    <w:basedOn w:val="34"/>
    <w:qFormat/>
    <w:uiPriority w:val="0"/>
    <w:pPr>
      <w:autoSpaceDE/>
      <w:autoSpaceDN/>
      <w:adjustRightInd/>
      <w:spacing w:after="120" w:line="240" w:lineRule="auto"/>
      <w:ind w:left="420" w:leftChars="200" w:firstLine="420"/>
    </w:pPr>
    <w:rPr>
      <w:rFonts w:ascii="仿宋_GB2312" w:eastAsia="仿宋_GB2312"/>
      <w:sz w:val="24"/>
      <w:szCs w:val="24"/>
    </w:rPr>
  </w:style>
  <w:style w:type="paragraph" w:customStyle="1" w:styleId="34">
    <w:name w:val="正文文本缩进1"/>
    <w:basedOn w:val="1"/>
    <w:qFormat/>
    <w:uiPriority w:val="0"/>
    <w:pPr>
      <w:autoSpaceDE w:val="0"/>
      <w:autoSpaceDN w:val="0"/>
      <w:adjustRightInd w:val="0"/>
      <w:spacing w:line="360" w:lineRule="auto"/>
      <w:ind w:left="567" w:leftChars="270"/>
    </w:pPr>
    <w:rPr>
      <w:rFonts w:ascii="宋体"/>
      <w:color w:val="000000"/>
      <w:sz w:val="32"/>
      <w:szCs w:val="32"/>
    </w:rPr>
  </w:style>
  <w:style w:type="paragraph" w:customStyle="1" w:styleId="35">
    <w:name w:val="纯文本1"/>
    <w:basedOn w:val="1"/>
    <w:qFormat/>
    <w:uiPriority w:val="0"/>
    <w:rPr>
      <w:rFonts w:ascii="宋体" w:hAnsi="Courier New" w:cs="Courier New"/>
      <w:szCs w:val="21"/>
    </w:rPr>
  </w:style>
  <w:style w:type="paragraph" w:customStyle="1" w:styleId="36">
    <w:name w:val="0"/>
    <w:basedOn w:val="1"/>
    <w:qFormat/>
    <w:uiPriority w:val="0"/>
    <w:pPr>
      <w:widowControl/>
      <w:spacing w:line="408" w:lineRule="auto"/>
      <w:ind w:left="1"/>
      <w:textAlignment w:val="bottom"/>
    </w:pPr>
    <w:rPr>
      <w:color w:val="000000"/>
      <w:kern w:val="0"/>
    </w:rPr>
  </w:style>
  <w:style w:type="paragraph" w:customStyle="1" w:styleId="37">
    <w:name w:val="正文缩进1"/>
    <w:basedOn w:val="1"/>
    <w:qFormat/>
    <w:uiPriority w:val="0"/>
    <w:pPr>
      <w:spacing w:line="360" w:lineRule="auto"/>
      <w:ind w:firstLine="200"/>
      <w:jc w:val="left"/>
    </w:pPr>
    <w:rPr>
      <w:rFonts w:ascii="宋体" w:hAnsi="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36378</Words>
  <Characters>38304</Characters>
  <Lines>240</Lines>
  <Paragraphs>67</Paragraphs>
  <TotalTime>6</TotalTime>
  <ScaleCrop>false</ScaleCrop>
  <LinksUpToDate>false</LinksUpToDate>
  <CharactersWithSpaces>40085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2022-11-08T08:48:00Z</dcterms:created>
  <dc:creator>故事讲到哪了.</dc:creator>
  <cp:lastModifiedBy>MagicBooK 15</cp:lastModifiedBy>
  <cp:lastPrinted>2022-04-24T03:32:00Z</cp:lastPrinted>
  <dcterms:modified xsi:type="dcterms:W3CDTF">2022-11-08T10:55:51Z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2C1AA73AD62A4D4ABBC6146BC4C44C8F</vt:lpwstr>
  </property>
  <property fmtid="{D5CDD505-2E9C-101B-9397-08002B2CF9AE}" pid="4" name="commondata">
    <vt:lpwstr>eyJoZGlkIjoiNzM5NWY0OGNjOTcyOThmNWFiODNjODJmMjkxNzYxMDkifQ==</vt:lpwstr>
  </property>
</Properties>
</file>