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left="341" w:hanging="341"/>
        <w:jc w:val="center"/>
        <w:rPr>
          <w:rFonts w:ascii="宋体" w:hAnsi="宋体" w:cs="宋体"/>
          <w:b/>
          <w:spacing w:val="60"/>
          <w:sz w:val="56"/>
          <w:szCs w:val="56"/>
        </w:rPr>
      </w:pPr>
      <w:bookmarkStart w:id="0" w:name="_Toc406598378"/>
      <w:bookmarkStart w:id="1" w:name="_Toc393724528"/>
      <w:bookmarkStart w:id="2" w:name="_Toc404251513"/>
      <w:bookmarkStart w:id="3" w:name="_Toc364868664"/>
      <w:bookmarkStart w:id="4" w:name="_Toc423032379"/>
      <w:bookmarkStart w:id="5" w:name="_Toc439170369"/>
      <w:bookmarkStart w:id="6" w:name="_Toc326070027"/>
      <w:bookmarkStart w:id="7" w:name="_Toc220481926"/>
      <w:bookmarkStart w:id="8" w:name="_Toc226194048"/>
      <w:bookmarkStart w:id="9" w:name="_Toc331085384"/>
      <w:bookmarkStart w:id="10" w:name="_Toc386035395"/>
    </w:p>
    <w:p>
      <w:pPr>
        <w:pStyle w:val="24"/>
        <w:ind w:left="341" w:hanging="341"/>
        <w:jc w:val="center"/>
        <w:rPr>
          <w:rFonts w:hint="eastAsia" w:ascii="宋体" w:hAnsi="宋体" w:eastAsia="宋体" w:cs="宋体"/>
          <w:color w:val="000000"/>
          <w:lang w:eastAsia="zh-CN"/>
        </w:rPr>
      </w:pPr>
      <w:r>
        <w:rPr>
          <w:rFonts w:hint="eastAsia" w:ascii="宋体" w:hAnsi="宋体" w:cs="宋体"/>
          <w:b/>
          <w:spacing w:val="60"/>
          <w:sz w:val="56"/>
          <w:szCs w:val="56"/>
          <w:lang w:eastAsia="zh-CN"/>
        </w:rPr>
        <w:t>2022年自治区应急广播机动应急平台运行维护项目</w:t>
      </w:r>
    </w:p>
    <w:p>
      <w:pPr>
        <w:ind w:left="221" w:hanging="221"/>
        <w:jc w:val="center"/>
        <w:rPr>
          <w:rFonts w:ascii="宋体" w:hAnsi="宋体" w:cs="宋体"/>
          <w:b/>
          <w:bCs/>
          <w:color w:val="000000"/>
          <w:sz w:val="44"/>
          <w:szCs w:val="44"/>
        </w:rPr>
      </w:pPr>
    </w:p>
    <w:p>
      <w:pPr>
        <w:ind w:left="220" w:hanging="220"/>
        <w:rPr>
          <w:rFonts w:ascii="宋体" w:hAnsi="宋体" w:cs="宋体"/>
          <w:color w:val="000000"/>
          <w:sz w:val="44"/>
        </w:rPr>
      </w:pPr>
    </w:p>
    <w:p>
      <w:pPr>
        <w:ind w:left="422" w:hanging="422"/>
        <w:jc w:val="center"/>
        <w:rPr>
          <w:rFonts w:ascii="宋体" w:hAnsi="宋体" w:cs="宋体"/>
          <w:b/>
          <w:color w:val="000000"/>
          <w:sz w:val="84"/>
          <w:szCs w:val="84"/>
        </w:rPr>
      </w:pPr>
      <w:r>
        <w:rPr>
          <w:rFonts w:hint="eastAsia" w:ascii="宋体" w:hAnsi="宋体" w:cs="宋体"/>
          <w:b/>
          <w:color w:val="000000"/>
          <w:sz w:val="84"/>
          <w:szCs w:val="84"/>
          <w:lang w:eastAsia="zh-CN"/>
        </w:rPr>
        <w:t>竞争性磋商</w:t>
      </w:r>
      <w:r>
        <w:rPr>
          <w:rFonts w:hint="eastAsia" w:ascii="宋体" w:hAnsi="宋体" w:cs="宋体"/>
          <w:b/>
          <w:color w:val="000000"/>
          <w:sz w:val="84"/>
          <w:szCs w:val="84"/>
        </w:rPr>
        <w:t>文件</w:t>
      </w:r>
    </w:p>
    <w:p>
      <w:pPr>
        <w:adjustRightInd w:val="0"/>
        <w:snapToGrid w:val="0"/>
        <w:spacing w:line="480" w:lineRule="auto"/>
        <w:ind w:left="161" w:hanging="161"/>
        <w:rPr>
          <w:rFonts w:ascii="宋体" w:hAnsi="宋体" w:cs="宋体"/>
          <w:b/>
          <w:color w:val="000000"/>
          <w:sz w:val="32"/>
        </w:rPr>
      </w:pPr>
    </w:p>
    <w:p>
      <w:pPr>
        <w:adjustRightInd w:val="0"/>
        <w:snapToGrid w:val="0"/>
        <w:spacing w:line="480" w:lineRule="auto"/>
        <w:ind w:left="161" w:hanging="161"/>
        <w:jc w:val="center"/>
        <w:rPr>
          <w:rFonts w:hint="eastAsia" w:ascii="宋体" w:hAnsi="宋体" w:eastAsia="宋体" w:cs="宋体"/>
          <w:b/>
          <w:color w:val="000000"/>
          <w:sz w:val="32"/>
          <w:highlight w:val="none"/>
          <w:lang w:eastAsia="zh-CN"/>
        </w:rPr>
      </w:pPr>
      <w:r>
        <w:rPr>
          <w:rFonts w:hint="eastAsia" w:ascii="宋体" w:hAnsi="宋体" w:cs="宋体"/>
          <w:b/>
          <w:color w:val="000000"/>
          <w:sz w:val="32"/>
          <w:highlight w:val="none"/>
        </w:rPr>
        <w:t>招标编号：XJJJN-WLMQCG-2022/005</w:t>
      </w:r>
      <w:r>
        <w:rPr>
          <w:rFonts w:hint="eastAsia" w:ascii="宋体" w:hAnsi="宋体" w:cs="宋体"/>
          <w:b/>
          <w:color w:val="000000"/>
          <w:sz w:val="32"/>
          <w:highlight w:val="none"/>
          <w:lang w:val="en-US" w:eastAsia="zh-CN"/>
        </w:rPr>
        <w:t xml:space="preserve"> </w:t>
      </w:r>
    </w:p>
    <w:p>
      <w:pPr>
        <w:pStyle w:val="10"/>
        <w:ind w:left="161" w:hanging="161"/>
        <w:rPr>
          <w:rFonts w:ascii="宋体" w:hAnsi="宋体" w:cs="宋体"/>
          <w:b/>
          <w:color w:val="000000"/>
          <w:sz w:val="32"/>
        </w:rPr>
      </w:pPr>
    </w:p>
    <w:p>
      <w:pPr>
        <w:ind w:left="105" w:hanging="105"/>
        <w:rPr>
          <w:rFonts w:ascii="宋体" w:hAnsi="宋体" w:cs="宋体"/>
        </w:rPr>
      </w:pPr>
    </w:p>
    <w:p>
      <w:pPr>
        <w:pStyle w:val="5"/>
        <w:ind w:firstLine="480"/>
        <w:rPr>
          <w:rFonts w:ascii="宋体" w:hAnsi="宋体" w:cs="宋体"/>
          <w:color w:val="000000"/>
        </w:rPr>
      </w:pPr>
    </w:p>
    <w:p>
      <w:pPr>
        <w:pStyle w:val="5"/>
        <w:ind w:firstLine="643"/>
        <w:rPr>
          <w:rFonts w:ascii="宋体" w:hAnsi="宋体" w:cs="宋体"/>
          <w:color w:val="000000"/>
        </w:rPr>
      </w:pPr>
      <w:r>
        <w:rPr>
          <w:rFonts w:hint="eastAsia" w:ascii="宋体" w:hAnsi="宋体" w:cs="宋体"/>
          <w:b/>
          <w:color w:val="000000"/>
          <w:sz w:val="32"/>
          <w:szCs w:val="32"/>
        </w:rPr>
        <w:t>招标人：新疆维吾尔自治区广播电视局</w:t>
      </w:r>
    </w:p>
    <w:p>
      <w:pPr>
        <w:ind w:left="161" w:hanging="161"/>
        <w:jc w:val="center"/>
        <w:rPr>
          <w:rFonts w:ascii="宋体" w:hAnsi="宋体" w:cs="宋体"/>
          <w:b/>
          <w:color w:val="000000"/>
          <w:sz w:val="32"/>
          <w:szCs w:val="36"/>
        </w:rPr>
      </w:pPr>
      <w:r>
        <w:rPr>
          <w:rFonts w:hint="eastAsia" w:ascii="宋体" w:hAnsi="宋体" w:cs="宋体"/>
          <w:b/>
          <w:color w:val="000000"/>
          <w:sz w:val="32"/>
          <w:szCs w:val="36"/>
        </w:rPr>
        <w:t>招标代理机构：新疆金玖恩项目管理咨询有限公司</w:t>
      </w:r>
    </w:p>
    <w:p>
      <w:pPr>
        <w:ind w:left="161" w:hanging="161"/>
        <w:jc w:val="center"/>
        <w:rPr>
          <w:rFonts w:ascii="宋体" w:hAnsi="宋体" w:cs="宋体"/>
          <w:b/>
          <w:color w:val="000000"/>
          <w:sz w:val="32"/>
          <w:szCs w:val="36"/>
        </w:rPr>
      </w:pPr>
      <w:r>
        <w:rPr>
          <w:rFonts w:hint="eastAsia" w:ascii="宋体" w:hAnsi="宋体" w:cs="宋体"/>
          <w:b/>
          <w:color w:val="000000"/>
          <w:sz w:val="32"/>
          <w:szCs w:val="36"/>
        </w:rPr>
        <w:t>二〇二二年</w:t>
      </w:r>
      <w:r>
        <w:rPr>
          <w:rFonts w:hint="eastAsia" w:ascii="宋体" w:hAnsi="宋体" w:cs="宋体"/>
          <w:b/>
          <w:color w:val="000000"/>
          <w:sz w:val="32"/>
          <w:szCs w:val="36"/>
          <w:lang w:eastAsia="zh-CN"/>
        </w:rPr>
        <w:t>十一</w:t>
      </w:r>
      <w:r>
        <w:rPr>
          <w:rFonts w:hint="eastAsia" w:ascii="宋体" w:hAnsi="宋体" w:cs="宋体"/>
          <w:b/>
          <w:color w:val="000000"/>
          <w:sz w:val="32"/>
          <w:szCs w:val="36"/>
        </w:rPr>
        <w:t>月</w:t>
      </w:r>
    </w:p>
    <w:p>
      <w:pPr>
        <w:pStyle w:val="10"/>
        <w:ind w:left="161" w:hanging="161"/>
        <w:rPr>
          <w:rFonts w:ascii="宋体" w:hAnsi="宋体" w:cs="宋体"/>
          <w:b/>
          <w:color w:val="000000"/>
          <w:sz w:val="32"/>
          <w:szCs w:val="36"/>
        </w:rPr>
      </w:pPr>
    </w:p>
    <w:p>
      <w:pPr>
        <w:ind w:left="161" w:hanging="161"/>
        <w:rPr>
          <w:rFonts w:ascii="宋体" w:hAnsi="宋体" w:cs="宋体"/>
          <w:b/>
          <w:color w:val="000000"/>
          <w:sz w:val="32"/>
          <w:szCs w:val="36"/>
        </w:rPr>
      </w:pPr>
    </w:p>
    <w:p>
      <w:pPr>
        <w:pStyle w:val="2"/>
        <w:ind w:left="161" w:hanging="161"/>
        <w:rPr>
          <w:rFonts w:cs="宋体"/>
          <w:b/>
          <w:color w:val="000000"/>
          <w:sz w:val="32"/>
          <w:szCs w:val="36"/>
        </w:rPr>
      </w:pPr>
    </w:p>
    <w:p>
      <w:pPr>
        <w:pStyle w:val="2"/>
        <w:ind w:left="161" w:hanging="161"/>
        <w:rPr>
          <w:rFonts w:cs="宋体"/>
          <w:b/>
          <w:color w:val="000000"/>
          <w:sz w:val="32"/>
          <w:szCs w:val="36"/>
        </w:rPr>
      </w:pPr>
    </w:p>
    <w:p>
      <w:pPr>
        <w:pStyle w:val="2"/>
        <w:ind w:left="161" w:hanging="161"/>
        <w:rPr>
          <w:rFonts w:cs="宋体"/>
          <w:b/>
          <w:color w:val="000000"/>
          <w:sz w:val="32"/>
          <w:szCs w:val="36"/>
        </w:rPr>
      </w:pPr>
    </w:p>
    <w:p>
      <w:pPr>
        <w:pStyle w:val="2"/>
        <w:ind w:left="161" w:hanging="161"/>
        <w:rPr>
          <w:rFonts w:cs="宋体"/>
          <w:b/>
          <w:color w:val="000000"/>
          <w:sz w:val="32"/>
          <w:szCs w:val="36"/>
        </w:rPr>
      </w:pPr>
    </w:p>
    <w:p>
      <w:pPr>
        <w:pStyle w:val="2"/>
        <w:ind w:left="0" w:firstLine="0" w:firstLineChars="0"/>
        <w:rPr>
          <w:rFonts w:cs="宋体"/>
          <w:b/>
          <w:color w:val="000000"/>
          <w:sz w:val="32"/>
          <w:szCs w:val="36"/>
        </w:rPr>
      </w:pPr>
    </w:p>
    <w:p>
      <w:pPr>
        <w:ind w:left="105" w:hanging="105"/>
        <w:rPr>
          <w:rFonts w:ascii="宋体" w:hAnsi="宋体" w:cs="宋体"/>
        </w:rPr>
      </w:pPr>
    </w:p>
    <w:p>
      <w:pPr>
        <w:pStyle w:val="160"/>
        <w:jc w:val="center"/>
        <w:rPr>
          <w:rFonts w:ascii="宋体" w:hAnsi="宋体" w:cs="宋体"/>
          <w:b/>
          <w:sz w:val="36"/>
          <w:szCs w:val="36"/>
        </w:rPr>
      </w:pPr>
      <w:r>
        <w:rPr>
          <w:rFonts w:hint="eastAsia" w:ascii="宋体" w:hAnsi="宋体" w:cs="宋体"/>
          <w:b/>
          <w:sz w:val="36"/>
          <w:szCs w:val="36"/>
        </w:rPr>
        <w:t>特 别 提 示</w:t>
      </w:r>
    </w:p>
    <w:p>
      <w:pPr>
        <w:pStyle w:val="160"/>
        <w:jc w:val="center"/>
        <w:rPr>
          <w:rFonts w:ascii="宋体" w:hAnsi="宋体" w:cs="宋体"/>
          <w:b/>
          <w:sz w:val="36"/>
          <w:szCs w:val="36"/>
        </w:rPr>
      </w:pPr>
    </w:p>
    <w:p>
      <w:pPr>
        <w:pStyle w:val="160"/>
        <w:spacing w:line="360" w:lineRule="auto"/>
        <w:rPr>
          <w:rFonts w:ascii="宋体" w:hAnsi="宋体" w:cs="宋体"/>
          <w:b/>
        </w:rPr>
      </w:pPr>
      <w:r>
        <w:rPr>
          <w:rFonts w:hint="eastAsia" w:ascii="宋体" w:hAnsi="宋体" w:cs="宋体"/>
          <w:b/>
        </w:rPr>
        <w:t>各投标人：</w:t>
      </w:r>
    </w:p>
    <w:p>
      <w:pPr>
        <w:pStyle w:val="160"/>
        <w:spacing w:line="360" w:lineRule="auto"/>
        <w:rPr>
          <w:rFonts w:ascii="宋体" w:hAnsi="宋体" w:cs="宋体"/>
          <w:b/>
        </w:rPr>
      </w:pPr>
      <w:r>
        <w:rPr>
          <w:rFonts w:hint="eastAsia" w:ascii="宋体" w:hAnsi="宋体" w:cs="宋体"/>
          <w:b/>
        </w:rPr>
        <w:t xml:space="preserve">    在参与本次招标项目投标时，请按招标文件中规定的可能导致无效投标、废标要求或黑体字、加注“▲”“★”符号的内容应符合要求或响应,若不符合要求或不响应将有可能导致投标失败。</w:t>
      </w:r>
    </w:p>
    <w:p>
      <w:pPr>
        <w:pStyle w:val="160"/>
        <w:jc w:val="center"/>
        <w:rPr>
          <w:rFonts w:ascii="宋体" w:hAnsi="宋体" w:cs="宋体"/>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587" w:bottom="1440" w:left="1587" w:header="851" w:footer="992" w:gutter="0"/>
          <w:pgNumType w:fmt="numberInDash"/>
          <w:cols w:space="720" w:num="1"/>
          <w:docGrid w:type="lines" w:linePitch="312" w:charSpace="0"/>
        </w:sectPr>
      </w:pPr>
    </w:p>
    <w:p>
      <w:pPr>
        <w:pStyle w:val="5"/>
        <w:ind w:firstLine="480"/>
        <w:rPr>
          <w:rFonts w:ascii="宋体" w:hAnsi="宋体" w:cs="宋体"/>
        </w:rPr>
      </w:pPr>
    </w:p>
    <w:p>
      <w:pPr>
        <w:spacing w:line="240" w:lineRule="auto"/>
        <w:ind w:left="0" w:firstLine="0" w:firstLineChars="0"/>
        <w:jc w:val="center"/>
        <w:outlineLvl w:val="1"/>
        <w:rPr>
          <w:rFonts w:ascii="宋体" w:hAnsi="宋体" w:cs="宋体"/>
          <w:b/>
          <w:bCs/>
          <w:sz w:val="48"/>
          <w:szCs w:val="48"/>
        </w:rPr>
      </w:pPr>
      <w:bookmarkStart w:id="11" w:name="_Toc80113531"/>
      <w:r>
        <w:rPr>
          <w:rFonts w:hint="eastAsia" w:ascii="宋体" w:hAnsi="宋体" w:cs="宋体"/>
          <w:b/>
          <w:bCs/>
          <w:sz w:val="48"/>
          <w:szCs w:val="48"/>
        </w:rPr>
        <w:t>第一章 竞争性磋商公告</w:t>
      </w:r>
      <w:bookmarkEnd w:id="0"/>
      <w:bookmarkEnd w:id="1"/>
      <w:bookmarkEnd w:id="2"/>
      <w:bookmarkEnd w:id="3"/>
      <w:bookmarkEnd w:id="4"/>
      <w:bookmarkEnd w:id="5"/>
      <w:bookmarkEnd w:id="6"/>
      <w:bookmarkEnd w:id="7"/>
      <w:bookmarkEnd w:id="8"/>
      <w:bookmarkEnd w:id="9"/>
      <w:bookmarkEnd w:id="10"/>
      <w:bookmarkEnd w:id="11"/>
    </w:p>
    <w:p>
      <w:pPr>
        <w:pStyle w:val="3"/>
        <w:keepLines w:val="0"/>
        <w:pageBreakBefore w:val="0"/>
        <w:numPr>
          <w:ilvl w:val="0"/>
          <w:numId w:val="0"/>
        </w:numPr>
        <w:adjustRightInd/>
        <w:spacing w:line="240" w:lineRule="auto"/>
        <w:ind w:left="15" w:leftChars="-50"/>
        <w:rPr>
          <w:rFonts w:ascii="宋体" w:hAnsi="宋体" w:cs="宋体"/>
          <w:sz w:val="24"/>
          <w:szCs w:val="24"/>
        </w:rPr>
      </w:pPr>
      <w:bookmarkStart w:id="12" w:name="_Toc80113532"/>
      <w:r>
        <w:rPr>
          <w:rFonts w:hint="eastAsia" w:ascii="宋体" w:hAnsi="宋体" w:cs="宋体"/>
          <w:sz w:val="24"/>
          <w:szCs w:val="24"/>
          <w:lang w:eastAsia="zh-CN"/>
        </w:rPr>
        <w:t>2022年自治区应急广播机动应急平台运行维护项目</w:t>
      </w:r>
      <w:r>
        <w:rPr>
          <w:rFonts w:hint="eastAsia" w:ascii="宋体" w:hAnsi="宋体" w:cs="宋体"/>
          <w:sz w:val="24"/>
          <w:szCs w:val="24"/>
        </w:rPr>
        <w:t>竞争性磋商公告</w:t>
      </w:r>
      <w:bookmarkEnd w:id="12"/>
    </w:p>
    <w:p>
      <w:pPr>
        <w:pBdr>
          <w:top w:val="single" w:color="auto" w:sz="4" w:space="1"/>
          <w:left w:val="single" w:color="auto" w:sz="4" w:space="4"/>
          <w:bottom w:val="single" w:color="auto" w:sz="4" w:space="1"/>
          <w:right w:val="single" w:color="auto" w:sz="4" w:space="4"/>
        </w:pBdr>
        <w:spacing w:line="24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sz w:val="24"/>
          <w:highlight w:val="none"/>
          <w:shd w:val="clear" w:color="auto" w:fill="FFFFFF"/>
        </w:rPr>
      </w:pPr>
      <w:r>
        <w:rPr>
          <w:rFonts w:hint="eastAsia" w:ascii="宋体" w:hAnsi="宋体" w:cs="宋体"/>
          <w:sz w:val="24"/>
          <w:u w:val="single"/>
          <w:shd w:val="clear" w:color="auto" w:fill="FFFFFF"/>
          <w:lang w:eastAsia="zh-CN"/>
        </w:rPr>
        <w:t>2022年自治区应急广播机动应急平台运行维护项目</w:t>
      </w:r>
      <w:r>
        <w:rPr>
          <w:rFonts w:hint="eastAsia" w:ascii="宋体" w:hAnsi="宋体" w:cs="宋体"/>
          <w:sz w:val="24"/>
          <w:shd w:val="clear" w:color="auto" w:fill="FFFFFF"/>
        </w:rPr>
        <w:t>招标项目的潜在供应商应在新疆乌鲁木齐水磨沟区龙盛街2799号浙商大厦1806室获取磋商文件，并于</w:t>
      </w:r>
      <w:r>
        <w:rPr>
          <w:rFonts w:hint="eastAsia" w:ascii="宋体" w:hAnsi="宋体" w:cs="宋体"/>
          <w:color w:val="auto"/>
          <w:sz w:val="24"/>
          <w:highlight w:val="none"/>
          <w:shd w:val="clear" w:color="auto" w:fill="FFFFFF"/>
        </w:rPr>
        <w:t>2022年</w:t>
      </w:r>
      <w:r>
        <w:rPr>
          <w:rFonts w:hint="eastAsia" w:ascii="宋体" w:hAnsi="宋体" w:cs="宋体"/>
          <w:color w:val="auto"/>
          <w:sz w:val="24"/>
          <w:highlight w:val="none"/>
          <w:shd w:val="clear" w:color="auto" w:fill="FFFFFF"/>
          <w:lang w:val="en-US" w:eastAsia="zh-CN"/>
        </w:rPr>
        <w:t>12</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15</w:t>
      </w:r>
      <w:r>
        <w:rPr>
          <w:rFonts w:hint="eastAsia" w:ascii="宋体" w:hAnsi="宋体" w:cs="宋体"/>
          <w:color w:val="auto"/>
          <w:sz w:val="24"/>
          <w:highlight w:val="none"/>
          <w:shd w:val="clear" w:color="auto" w:fill="FFFFFF"/>
        </w:rPr>
        <w:t>日1</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点</w:t>
      </w:r>
      <w:r>
        <w:rPr>
          <w:rFonts w:hint="eastAsia" w:ascii="宋体" w:hAnsi="宋体" w:cs="宋体"/>
          <w:color w:val="auto"/>
          <w:sz w:val="24"/>
          <w:highlight w:val="none"/>
          <w:shd w:val="clear" w:color="auto" w:fill="FFFFFF"/>
          <w:lang w:val="en-US" w:eastAsia="zh-CN"/>
        </w:rPr>
        <w:t>0</w:t>
      </w:r>
      <w:r>
        <w:rPr>
          <w:rFonts w:hint="eastAsia" w:ascii="宋体" w:hAnsi="宋体" w:cs="宋体"/>
          <w:color w:val="auto"/>
          <w:sz w:val="24"/>
          <w:highlight w:val="none"/>
          <w:shd w:val="clear" w:color="auto" w:fill="FFFFFF"/>
        </w:rPr>
        <w:t>0分</w:t>
      </w:r>
      <w:r>
        <w:rPr>
          <w:rFonts w:hint="eastAsia" w:ascii="宋体" w:hAnsi="宋体" w:cs="宋体"/>
          <w:sz w:val="24"/>
          <w:highlight w:val="none"/>
          <w:shd w:val="clear" w:color="auto" w:fill="FFFFFF"/>
        </w:rPr>
        <w:t>（北京时间）前递交响应文件。</w:t>
      </w:r>
      <w:bookmarkStart w:id="13" w:name="_Toc28359002"/>
      <w:bookmarkStart w:id="14" w:name="_Toc35393621"/>
      <w:bookmarkStart w:id="15" w:name="_Toc28359079"/>
      <w:bookmarkStart w:id="16" w:name="_Toc35393790"/>
      <w:bookmarkStart w:id="17" w:name="_Hlk24379207"/>
    </w:p>
    <w:p>
      <w:pPr>
        <w:pStyle w:val="177"/>
        <w:spacing w:line="276" w:lineRule="auto"/>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一、项目基本情况</w:t>
      </w:r>
      <w:bookmarkEnd w:id="13"/>
      <w:bookmarkEnd w:id="14"/>
      <w:bookmarkEnd w:id="15"/>
      <w:bookmarkEnd w:id="16"/>
    </w:p>
    <w:p>
      <w:pPr>
        <w:pStyle w:val="177"/>
        <w:spacing w:line="276" w:lineRule="auto"/>
        <w:ind w:firstLine="480" w:firstLineChars="200"/>
        <w:rPr>
          <w:rFonts w:hint="eastAsia" w:ascii="宋体" w:hAnsi="宋体" w:eastAsia="宋体" w:cs="宋体"/>
          <w:kern w:val="2"/>
          <w:sz w:val="24"/>
          <w:szCs w:val="24"/>
          <w:shd w:val="clear" w:color="auto" w:fill="FFFFFF"/>
          <w:lang w:val="en-US" w:eastAsia="zh-CN"/>
        </w:rPr>
      </w:pPr>
      <w:r>
        <w:rPr>
          <w:rFonts w:hint="eastAsia" w:ascii="宋体" w:hAnsi="宋体" w:eastAsia="宋体" w:cs="宋体"/>
          <w:kern w:val="2"/>
          <w:sz w:val="24"/>
          <w:szCs w:val="24"/>
          <w:shd w:val="clear" w:color="auto" w:fill="FFFFFF"/>
        </w:rPr>
        <w:t>项目编号：XJJJN-WLMQCG-2022/005</w:t>
      </w:r>
    </w:p>
    <w:p>
      <w:pPr>
        <w:pStyle w:val="177"/>
        <w:spacing w:line="276" w:lineRule="auto"/>
        <w:ind w:firstLine="480" w:firstLineChars="200"/>
        <w:rPr>
          <w:rFonts w:hint="eastAsia" w:ascii="宋体" w:hAnsi="宋体" w:eastAsia="宋体" w:cs="宋体"/>
          <w:kern w:val="2"/>
          <w:sz w:val="24"/>
          <w:szCs w:val="24"/>
          <w:u w:val="none"/>
          <w:shd w:val="clear" w:color="auto" w:fill="FFFFFF"/>
          <w:lang w:eastAsia="zh-CN"/>
        </w:rPr>
      </w:pPr>
      <w:r>
        <w:rPr>
          <w:rFonts w:hint="eastAsia" w:ascii="宋体" w:hAnsi="宋体" w:eastAsia="宋体" w:cs="宋体"/>
          <w:kern w:val="2"/>
          <w:sz w:val="24"/>
          <w:szCs w:val="24"/>
          <w:shd w:val="clear" w:color="auto" w:fill="FFFFFF"/>
        </w:rPr>
        <w:t>项目名称：</w:t>
      </w:r>
      <w:bookmarkEnd w:id="17"/>
      <w:r>
        <w:rPr>
          <w:rFonts w:hint="eastAsia" w:ascii="宋体" w:hAnsi="宋体" w:eastAsia="宋体" w:cs="宋体"/>
          <w:kern w:val="2"/>
          <w:sz w:val="24"/>
          <w:szCs w:val="24"/>
          <w:u w:val="none"/>
          <w:shd w:val="clear" w:color="auto" w:fill="FFFFFF"/>
          <w:lang w:eastAsia="zh-CN"/>
        </w:rPr>
        <w:t>2022年自治区应急广播机动应急平台运行维护项目</w:t>
      </w:r>
    </w:p>
    <w:p>
      <w:pPr>
        <w:pStyle w:val="177"/>
        <w:spacing w:line="276" w:lineRule="auto"/>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采购方式：□竞争性谈判 ☑竞争性磋商 □询价</w:t>
      </w:r>
    </w:p>
    <w:p>
      <w:pPr>
        <w:pStyle w:val="177"/>
        <w:spacing w:line="276" w:lineRule="auto"/>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预算金额：</w:t>
      </w:r>
      <w:r>
        <w:rPr>
          <w:rFonts w:hint="eastAsia" w:ascii="宋体" w:hAnsi="宋体" w:eastAsia="宋体" w:cs="宋体"/>
          <w:kern w:val="2"/>
          <w:sz w:val="24"/>
          <w:szCs w:val="24"/>
          <w:shd w:val="clear" w:color="auto" w:fill="FFFFFF"/>
          <w:lang w:val="en-US" w:eastAsia="zh-CN"/>
        </w:rPr>
        <w:t>400000</w:t>
      </w:r>
      <w:r>
        <w:rPr>
          <w:rFonts w:hint="eastAsia" w:ascii="宋体" w:hAnsi="宋体" w:eastAsia="宋体" w:cs="宋体"/>
          <w:kern w:val="2"/>
          <w:sz w:val="24"/>
          <w:szCs w:val="24"/>
          <w:shd w:val="clear" w:color="auto" w:fill="FFFFFF"/>
        </w:rPr>
        <w:t>.00元</w:t>
      </w:r>
    </w:p>
    <w:p>
      <w:pPr>
        <w:pStyle w:val="177"/>
        <w:spacing w:line="276" w:lineRule="auto"/>
        <w:ind w:firstLine="480" w:firstLineChars="200"/>
        <w:rPr>
          <w:rFonts w:hint="eastAsia" w:ascii="宋体" w:hAnsi="宋体" w:eastAsia="宋体" w:cs="宋体"/>
          <w:kern w:val="2"/>
          <w:sz w:val="24"/>
          <w:szCs w:val="24"/>
          <w:shd w:val="clear" w:color="auto" w:fill="FFFFFF"/>
          <w:lang w:val="en-US" w:eastAsia="zh-CN"/>
        </w:rPr>
      </w:pPr>
      <w:r>
        <w:rPr>
          <w:rFonts w:hint="eastAsia" w:ascii="宋体" w:hAnsi="宋体" w:eastAsia="宋体" w:cs="宋体"/>
          <w:kern w:val="2"/>
          <w:sz w:val="24"/>
          <w:szCs w:val="24"/>
          <w:shd w:val="clear" w:color="auto" w:fill="FFFFFF"/>
        </w:rPr>
        <w:t>最高限价：</w:t>
      </w:r>
      <w:r>
        <w:rPr>
          <w:rFonts w:hint="eastAsia" w:ascii="宋体" w:hAnsi="宋体" w:eastAsia="宋体" w:cs="宋体"/>
          <w:kern w:val="2"/>
          <w:sz w:val="24"/>
          <w:szCs w:val="24"/>
          <w:shd w:val="clear" w:color="auto" w:fill="FFFFFF"/>
          <w:lang w:val="en-US" w:eastAsia="zh-CN"/>
        </w:rPr>
        <w:t>400000</w:t>
      </w:r>
      <w:r>
        <w:rPr>
          <w:rFonts w:hint="eastAsia" w:ascii="宋体" w:hAnsi="宋体" w:eastAsia="宋体" w:cs="宋体"/>
          <w:kern w:val="2"/>
          <w:sz w:val="24"/>
          <w:szCs w:val="24"/>
          <w:shd w:val="clear" w:color="auto" w:fill="FFFFFF"/>
        </w:rPr>
        <w:t>.00元</w:t>
      </w:r>
    </w:p>
    <w:p>
      <w:pPr>
        <w:pStyle w:val="177"/>
        <w:spacing w:line="276" w:lineRule="auto"/>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采购需求：详见磋商文件内容</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合同履行期限：具体以合同为准</w:t>
      </w:r>
    </w:p>
    <w:p>
      <w:pPr>
        <w:pStyle w:val="177"/>
        <w:spacing w:line="300" w:lineRule="exact"/>
        <w:ind w:firstLine="480" w:firstLineChars="200"/>
        <w:rPr>
          <w:rFonts w:ascii="宋体" w:hAnsi="宋体" w:eastAsia="宋体" w:cs="宋体"/>
          <w:kern w:val="2"/>
          <w:sz w:val="24"/>
          <w:szCs w:val="24"/>
          <w:shd w:val="clear" w:color="auto" w:fill="FFFFFF"/>
        </w:rPr>
      </w:pPr>
      <w:bookmarkStart w:id="18" w:name="_Toc35393622"/>
      <w:bookmarkStart w:id="19" w:name="_Toc28359080"/>
      <w:bookmarkStart w:id="20" w:name="_Toc28359003"/>
      <w:bookmarkStart w:id="21" w:name="_Toc35393791"/>
      <w:r>
        <w:rPr>
          <w:rFonts w:hint="eastAsia" w:ascii="宋体" w:hAnsi="宋体" w:eastAsia="宋体" w:cs="宋体"/>
          <w:kern w:val="2"/>
          <w:sz w:val="24"/>
          <w:szCs w:val="24"/>
          <w:shd w:val="clear" w:color="auto" w:fill="FFFFFF"/>
        </w:rPr>
        <w:t>二、</w:t>
      </w:r>
      <w:r>
        <w:rPr>
          <w:rFonts w:hint="eastAsia" w:ascii="宋体" w:hAnsi="宋体" w:eastAsia="宋体" w:cs="宋体"/>
          <w:sz w:val="24"/>
          <w:szCs w:val="24"/>
        </w:rPr>
        <w:t>供应商</w:t>
      </w:r>
      <w:r>
        <w:rPr>
          <w:rFonts w:hint="eastAsia" w:ascii="宋体" w:hAnsi="宋体" w:eastAsia="宋体" w:cs="宋体"/>
          <w:kern w:val="2"/>
          <w:sz w:val="24"/>
          <w:szCs w:val="24"/>
          <w:shd w:val="clear" w:color="auto" w:fill="FFFFFF"/>
        </w:rPr>
        <w:t>的资格要求：</w:t>
      </w:r>
      <w:bookmarkEnd w:id="18"/>
      <w:bookmarkEnd w:id="19"/>
      <w:bookmarkEnd w:id="20"/>
      <w:bookmarkEnd w:id="21"/>
    </w:p>
    <w:p>
      <w:pPr>
        <w:pStyle w:val="177"/>
        <w:spacing w:line="300" w:lineRule="exact"/>
        <w:ind w:firstLine="480" w:firstLineChars="200"/>
        <w:rPr>
          <w:rFonts w:ascii="宋体" w:hAnsi="宋体" w:eastAsia="宋体" w:cs="宋体"/>
          <w:kern w:val="2"/>
          <w:sz w:val="24"/>
          <w:szCs w:val="24"/>
          <w:shd w:val="clear" w:color="auto" w:fill="FFFFFF"/>
        </w:rPr>
      </w:pPr>
      <w:bookmarkStart w:id="22" w:name="_Toc28359084"/>
      <w:bookmarkStart w:id="23" w:name="_Toc35393625"/>
      <w:bookmarkStart w:id="24" w:name="_Toc35393794"/>
      <w:bookmarkStart w:id="25" w:name="_Toc28359007"/>
      <w:r>
        <w:rPr>
          <w:rFonts w:hint="eastAsia" w:ascii="宋体" w:hAnsi="宋体" w:eastAsia="宋体" w:cs="宋体"/>
          <w:kern w:val="2"/>
          <w:sz w:val="24"/>
          <w:szCs w:val="24"/>
          <w:shd w:val="clear" w:color="auto" w:fill="FFFFFF"/>
        </w:rPr>
        <w:t>1、符合《中华人民共和国政府采购法》第二十二条相关规定； </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（1）具有独立承担民事责任的能力；</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（2）具有良好的商业信誉和健全的财务会计制度；</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（3）具有履行合同所必需的设备和专业技术能力；</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（4）有依法缴纳税收和社会保障资金的良好记录；</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（5）参加政府采购活动前三年内，在经营活动中没有重大违法记录；</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（6）法律、行政法规规定的其他条件</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w:t>
      </w:r>
      <w:r>
        <w:rPr>
          <w:rFonts w:hint="eastAsia" w:ascii="宋体" w:hAnsi="宋体" w:eastAsia="宋体" w:cs="宋体"/>
          <w:sz w:val="24"/>
          <w:szCs w:val="24"/>
        </w:rPr>
        <w:t>供应商必须提供中华人民共和国境内注册的营业执照（或事业单位法人证书）、税务登记证、组织机构代码证或以上三证合一营业执照；</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w:t>
      </w:r>
      <w:r>
        <w:rPr>
          <w:rFonts w:hint="eastAsia" w:ascii="宋体" w:hAnsi="宋体" w:eastAsia="宋体" w:cs="宋体"/>
          <w:sz w:val="24"/>
          <w:szCs w:val="24"/>
        </w:rPr>
        <w:t>供应商如在“信用中国”网站（www.creditchina.gov.cn）、被列入失信被执行人、重大税收违法案件当事人名单、在中国政府采购网（www.ccgp.gov.cn）被列入政府采购严重违法失信行为记录名单的（尚在处罚期内的），将拒绝本次政府采购活动；</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4、单位负责人为同一人或者存在直接控股、管理关系的不同供应商，不得参加同一合同项下的政府采购活动；</w:t>
      </w:r>
    </w:p>
    <w:p>
      <w:pPr>
        <w:pStyle w:val="177"/>
        <w:spacing w:line="30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shd w:val="clear" w:color="auto" w:fill="FFFFFF"/>
        </w:rPr>
        <w:t>5</w:t>
      </w:r>
      <w:r>
        <w:rPr>
          <w:rFonts w:hint="eastAsia" w:ascii="宋体" w:hAnsi="宋体" w:eastAsia="宋体" w:cs="宋体"/>
          <w:kern w:val="2"/>
          <w:sz w:val="24"/>
          <w:szCs w:val="24"/>
          <w:shd w:val="clear" w:color="auto" w:fill="FFFFFF"/>
          <w:lang w:eastAsia="zh-CN"/>
        </w:rPr>
        <w:t>、</w:t>
      </w:r>
      <w:r>
        <w:rPr>
          <w:rFonts w:hint="eastAsia" w:ascii="宋体" w:hAnsi="宋体" w:eastAsia="宋体" w:cs="宋体"/>
          <w:sz w:val="24"/>
          <w:szCs w:val="24"/>
        </w:rPr>
        <w:t>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pPr>
        <w:pStyle w:val="177"/>
        <w:spacing w:line="300" w:lineRule="exact"/>
        <w:ind w:firstLine="480" w:firstLineChars="200"/>
        <w:rPr>
          <w:rFonts w:hint="eastAsia" w:ascii="宋体" w:hAnsi="宋体" w:eastAsia="宋体" w:cs="宋体"/>
          <w:kern w:val="2"/>
          <w:sz w:val="24"/>
          <w:szCs w:val="24"/>
          <w:shd w:val="clear" w:color="auto" w:fill="FFFFFF"/>
          <w:lang w:val="en-US" w:eastAsia="zh-CN" w:bidi="ar-SA"/>
        </w:rPr>
      </w:pPr>
      <w:r>
        <w:rPr>
          <w:rFonts w:hint="eastAsia" w:ascii="宋体" w:hAnsi="宋体" w:cs="宋体"/>
          <w:sz w:val="24"/>
        </w:rPr>
        <w:t>6</w:t>
      </w:r>
      <w:r>
        <w:rPr>
          <w:rFonts w:hint="eastAsia" w:ascii="宋体" w:hAnsi="宋体" w:eastAsia="宋体" w:cs="宋体"/>
          <w:kern w:val="2"/>
          <w:sz w:val="24"/>
          <w:szCs w:val="24"/>
          <w:shd w:val="clear" w:color="auto" w:fill="FFFFFF"/>
          <w:lang w:eastAsia="zh-CN"/>
        </w:rPr>
        <w:t>、</w:t>
      </w:r>
      <w:r>
        <w:rPr>
          <w:rFonts w:hint="eastAsia" w:ascii="宋体" w:hAnsi="宋体" w:eastAsia="宋体" w:cs="宋体"/>
          <w:kern w:val="2"/>
          <w:sz w:val="24"/>
          <w:szCs w:val="24"/>
          <w:shd w:val="clear" w:color="auto" w:fill="FFFFFF"/>
          <w:lang w:val="en-US" w:eastAsia="zh-CN" w:bidi="ar-SA"/>
        </w:rPr>
        <w:t xml:space="preserve">其他说明: </w:t>
      </w:r>
    </w:p>
    <w:p>
      <w:pPr>
        <w:spacing w:line="240" w:lineRule="auto"/>
        <w:ind w:left="239" w:leftChars="114" w:right="-334" w:rightChars="-159" w:firstLine="360" w:firstLineChars="15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 xml:space="preserve">(1) 与采购人存在利害关系可能影响招标公正性的法人、其他组织或者个人，不得参加投标: </w:t>
      </w:r>
    </w:p>
    <w:p>
      <w:pPr>
        <w:spacing w:line="240" w:lineRule="auto"/>
        <w:ind w:left="239" w:leftChars="114" w:right="-334" w:rightChars="-159" w:firstLine="360" w:firstLineChars="15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 单位负责人为同一人或者存在控股、管理关系的不同单位，不得参加同一标段投标或者未划分标段的同一招标项目投标。违反上述两款规定的，相关投标均无效。</w:t>
      </w:r>
    </w:p>
    <w:p>
      <w:pPr>
        <w:pStyle w:val="2"/>
        <w:numPr>
          <w:ilvl w:val="0"/>
          <w:numId w:val="0"/>
        </w:numPr>
        <w:ind w:right="62" w:rightChars="0" w:firstLine="480" w:firstLineChars="200"/>
        <w:rPr>
          <w:rFonts w:hint="eastAsia" w:cs="宋体"/>
          <w:sz w:val="24"/>
          <w:lang w:eastAsia="zh-CN"/>
        </w:rPr>
      </w:pPr>
      <w:r>
        <w:rPr>
          <w:rFonts w:hint="eastAsia" w:cs="宋体"/>
          <w:sz w:val="24"/>
          <w:lang w:eastAsia="zh-CN"/>
        </w:rPr>
        <w:t>（</w:t>
      </w:r>
      <w:r>
        <w:rPr>
          <w:rFonts w:hint="eastAsia" w:cs="宋体"/>
          <w:sz w:val="24"/>
          <w:lang w:val="en-US" w:eastAsia="zh-CN"/>
        </w:rPr>
        <w:t>3</w:t>
      </w:r>
      <w:r>
        <w:rPr>
          <w:rFonts w:hint="eastAsia" w:cs="宋体"/>
          <w:sz w:val="24"/>
          <w:lang w:eastAsia="zh-CN"/>
        </w:rPr>
        <w:t>）为保证投标人提供的产品和解决方案能够贴合采购人需求，要求投标人自行安排时间进行现场勘察，并提供采购人盖章的《现场勘察证明》。</w:t>
      </w:r>
    </w:p>
    <w:p>
      <w:pPr>
        <w:pStyle w:val="2"/>
        <w:numPr>
          <w:ilvl w:val="0"/>
          <w:numId w:val="0"/>
        </w:numPr>
        <w:ind w:right="62" w:rightChars="0" w:firstLine="480" w:firstLineChars="200"/>
        <w:rPr>
          <w:rFonts w:hint="eastAsia" w:cs="宋体"/>
          <w:sz w:val="24"/>
          <w:lang w:eastAsia="zh-CN"/>
        </w:rPr>
      </w:pPr>
      <w:r>
        <w:rPr>
          <w:rFonts w:hint="eastAsia" w:cs="宋体"/>
          <w:sz w:val="24"/>
          <w:lang w:eastAsia="zh-CN"/>
        </w:rPr>
        <w:t>（</w:t>
      </w:r>
      <w:r>
        <w:rPr>
          <w:rFonts w:hint="eastAsia" w:cs="宋体"/>
          <w:sz w:val="24"/>
          <w:lang w:val="en-US" w:eastAsia="zh-CN"/>
        </w:rPr>
        <w:t>4</w:t>
      </w:r>
      <w:r>
        <w:rPr>
          <w:rFonts w:hint="eastAsia" w:cs="宋体"/>
          <w:sz w:val="24"/>
          <w:lang w:eastAsia="zh-CN"/>
        </w:rPr>
        <w:t>）因所需维护设备专业性极强，投标方必须获得平台生产厂家出具的运行维护授权许可证明。</w:t>
      </w:r>
    </w:p>
    <w:p>
      <w:pPr>
        <w:pStyle w:val="177"/>
        <w:spacing w:line="300" w:lineRule="exact"/>
        <w:ind w:firstLine="480" w:firstLineChars="200"/>
      </w:pPr>
      <w:r>
        <w:rPr>
          <w:rFonts w:hint="eastAsia" w:ascii="宋体" w:hAnsi="宋体" w:eastAsia="宋体" w:cs="宋体"/>
          <w:kern w:val="2"/>
          <w:sz w:val="24"/>
          <w:szCs w:val="24"/>
          <w:shd w:val="clear" w:color="auto" w:fill="FFFFFF"/>
        </w:rPr>
        <w:t xml:space="preserve">三、采购项目需要落实的政府采购政策：标项1：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供应商应为监狱企业,供应商应为残疾人福利企业,供应商为中小企业  </w:t>
      </w:r>
      <w:r>
        <w:rPr>
          <w:rFonts w:ascii="仿宋" w:hAnsi="仿宋" w:eastAsia="仿宋" w:cs="仿宋"/>
          <w:sz w:val="21"/>
          <w:szCs w:val="21"/>
        </w:rPr>
        <w:t>。</w:t>
      </w:r>
    </w:p>
    <w:p>
      <w:pPr>
        <w:pStyle w:val="177"/>
        <w:spacing w:line="300" w:lineRule="exact"/>
        <w:ind w:firstLine="480" w:firstLineChars="200"/>
        <w:rPr>
          <w:rFonts w:ascii="宋体" w:hAnsi="宋体" w:eastAsia="宋体" w:cs="宋体"/>
          <w:sz w:val="24"/>
          <w:szCs w:val="21"/>
        </w:rPr>
      </w:pPr>
      <w:r>
        <w:rPr>
          <w:rFonts w:hint="eastAsia" w:ascii="宋体" w:hAnsi="宋体" w:eastAsia="宋体" w:cs="宋体"/>
          <w:sz w:val="24"/>
          <w:szCs w:val="21"/>
        </w:rPr>
        <w:t>特别提示：</w:t>
      </w:r>
    </w:p>
    <w:p>
      <w:pPr>
        <w:pStyle w:val="177"/>
        <w:spacing w:line="300" w:lineRule="exact"/>
        <w:ind w:firstLine="480" w:firstLineChars="200"/>
        <w:rPr>
          <w:rFonts w:ascii="宋体" w:hAnsi="宋体" w:eastAsia="宋体" w:cs="宋体"/>
          <w:sz w:val="24"/>
          <w:szCs w:val="21"/>
        </w:rPr>
      </w:pPr>
      <w:r>
        <w:rPr>
          <w:rFonts w:hint="eastAsia" w:ascii="宋体" w:hAnsi="宋体" w:eastAsia="宋体" w:cs="宋体"/>
          <w:sz w:val="24"/>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7"/>
        <w:spacing w:line="300" w:lineRule="exact"/>
        <w:ind w:firstLine="480" w:firstLineChars="200"/>
        <w:rPr>
          <w:rFonts w:ascii="宋体" w:hAnsi="宋体" w:eastAsia="宋体" w:cs="宋体"/>
          <w:sz w:val="24"/>
          <w:szCs w:val="21"/>
        </w:rPr>
      </w:pPr>
      <w:r>
        <w:rPr>
          <w:rFonts w:hint="eastAsia" w:ascii="宋体" w:hAnsi="宋体" w:eastAsia="宋体" w:cs="宋体"/>
          <w:sz w:val="24"/>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7"/>
        <w:spacing w:line="300" w:lineRule="exact"/>
        <w:ind w:firstLine="480" w:firstLineChars="200"/>
        <w:rPr>
          <w:rFonts w:ascii="宋体" w:hAnsi="宋体" w:eastAsia="宋体" w:cs="宋体"/>
          <w:sz w:val="24"/>
          <w:szCs w:val="21"/>
        </w:rPr>
      </w:pPr>
      <w:r>
        <w:rPr>
          <w:rFonts w:hint="eastAsia" w:ascii="宋体" w:hAnsi="宋体" w:eastAsia="宋体" w:cs="宋体"/>
          <w:sz w:val="24"/>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四、获取磋商文件</w:t>
      </w:r>
    </w:p>
    <w:p>
      <w:pPr>
        <w:pStyle w:val="177"/>
        <w:spacing w:line="300" w:lineRule="exact"/>
        <w:ind w:firstLine="480" w:firstLineChars="200"/>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时间：</w:t>
      </w:r>
      <w:r>
        <w:rPr>
          <w:rFonts w:hint="eastAsia" w:ascii="宋体" w:hAnsi="宋体" w:eastAsia="宋体" w:cs="宋体"/>
          <w:color w:val="auto"/>
          <w:kern w:val="2"/>
          <w:sz w:val="24"/>
          <w:szCs w:val="24"/>
          <w:shd w:val="clear" w:color="auto" w:fill="FFFFFF"/>
        </w:rPr>
        <w:t>2022年</w:t>
      </w:r>
      <w:r>
        <w:rPr>
          <w:rFonts w:hint="eastAsia" w:ascii="宋体" w:hAnsi="宋体" w:eastAsia="宋体" w:cs="宋体"/>
          <w:color w:val="auto"/>
          <w:kern w:val="2"/>
          <w:sz w:val="24"/>
          <w:szCs w:val="24"/>
          <w:shd w:val="clear" w:color="auto" w:fill="FFFFFF"/>
          <w:lang w:val="en-US" w:eastAsia="zh-CN"/>
        </w:rPr>
        <w:t>12</w:t>
      </w:r>
      <w:r>
        <w:rPr>
          <w:rFonts w:hint="eastAsia" w:ascii="宋体" w:hAnsi="宋体" w:eastAsia="宋体" w:cs="宋体"/>
          <w:color w:val="auto"/>
          <w:kern w:val="2"/>
          <w:sz w:val="24"/>
          <w:szCs w:val="24"/>
          <w:shd w:val="clear" w:color="auto" w:fill="FFFFFF"/>
        </w:rPr>
        <w:t>月</w:t>
      </w:r>
      <w:r>
        <w:rPr>
          <w:rFonts w:hint="eastAsia" w:ascii="宋体" w:hAnsi="宋体" w:eastAsia="宋体" w:cs="宋体"/>
          <w:color w:val="auto"/>
          <w:kern w:val="2"/>
          <w:sz w:val="24"/>
          <w:szCs w:val="24"/>
          <w:shd w:val="clear" w:color="auto" w:fill="FFFFFF"/>
          <w:lang w:val="en-US" w:eastAsia="zh-CN"/>
        </w:rPr>
        <w:t>5</w:t>
      </w:r>
      <w:r>
        <w:rPr>
          <w:rFonts w:hint="eastAsia" w:ascii="宋体" w:hAnsi="宋体" w:eastAsia="宋体" w:cs="宋体"/>
          <w:color w:val="auto"/>
          <w:kern w:val="2"/>
          <w:sz w:val="24"/>
          <w:szCs w:val="24"/>
          <w:shd w:val="clear" w:color="auto" w:fill="FFFFFF"/>
        </w:rPr>
        <w:t>日至2022年12月</w:t>
      </w:r>
      <w:r>
        <w:rPr>
          <w:rFonts w:hint="eastAsia" w:ascii="宋体" w:hAnsi="宋体" w:eastAsia="宋体" w:cs="宋体"/>
          <w:color w:val="auto"/>
          <w:kern w:val="2"/>
          <w:sz w:val="24"/>
          <w:szCs w:val="24"/>
          <w:shd w:val="clear" w:color="auto" w:fill="FFFFFF"/>
          <w:lang w:val="en-US" w:eastAsia="zh-CN"/>
        </w:rPr>
        <w:t>14</w:t>
      </w:r>
      <w:r>
        <w:rPr>
          <w:rFonts w:hint="eastAsia" w:ascii="宋体" w:hAnsi="宋体" w:eastAsia="宋体" w:cs="宋体"/>
          <w:color w:val="auto"/>
          <w:kern w:val="2"/>
          <w:sz w:val="24"/>
          <w:szCs w:val="24"/>
          <w:shd w:val="clear" w:color="auto" w:fill="FFFFFF"/>
        </w:rPr>
        <w:t>日，每天上午10</w:t>
      </w:r>
      <w:r>
        <w:rPr>
          <w:rFonts w:hint="eastAsia" w:ascii="宋体" w:hAnsi="宋体" w:eastAsia="宋体" w:cs="宋体"/>
          <w:kern w:val="2"/>
          <w:sz w:val="24"/>
          <w:szCs w:val="24"/>
          <w:shd w:val="clear" w:color="auto" w:fill="FFFFFF"/>
        </w:rPr>
        <w:t>:00至14:00，下午16:00至19:30（北京时间，法定节假日除外）</w:t>
      </w:r>
    </w:p>
    <w:p>
      <w:pPr>
        <w:pStyle w:val="177"/>
        <w:spacing w:line="300" w:lineRule="exact"/>
        <w:ind w:firstLine="480" w:firstLineChars="200"/>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 xml:space="preserve">地点：新疆政府采购网 </w:t>
      </w:r>
    </w:p>
    <w:p>
      <w:pPr>
        <w:pStyle w:val="177"/>
        <w:spacing w:line="300" w:lineRule="exact"/>
        <w:ind w:firstLine="480" w:firstLineChars="200"/>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 xml:space="preserve">方式：供应商登录政采云平台https://www.zcygov.cn/在线申请获取采购文件（进入“项目采购”应用，在获取采购文件菜单中选择项目，申请获取采购文件） </w:t>
      </w:r>
    </w:p>
    <w:p>
      <w:pPr>
        <w:pStyle w:val="177"/>
        <w:spacing w:line="300" w:lineRule="exact"/>
        <w:ind w:firstLine="480" w:firstLineChars="200"/>
        <w:rPr>
          <w:rFonts w:hint="eastAsia" w:ascii="宋体" w:hAnsi="宋体" w:eastAsia="宋体" w:cs="宋体"/>
          <w:kern w:val="2"/>
          <w:sz w:val="24"/>
          <w:szCs w:val="24"/>
          <w:shd w:val="clear" w:color="auto" w:fill="FFFFFF"/>
          <w:lang w:val="en-US" w:eastAsia="zh-CN"/>
        </w:rPr>
      </w:pPr>
      <w:r>
        <w:rPr>
          <w:rFonts w:hint="eastAsia" w:ascii="宋体" w:hAnsi="宋体" w:eastAsia="宋体" w:cs="宋体"/>
          <w:kern w:val="2"/>
          <w:sz w:val="24"/>
          <w:szCs w:val="24"/>
          <w:shd w:val="clear" w:color="auto" w:fill="FFFFFF"/>
        </w:rPr>
        <w:t>售价（元）：</w:t>
      </w:r>
      <w:r>
        <w:rPr>
          <w:rFonts w:hint="eastAsia" w:ascii="宋体" w:hAnsi="宋体" w:eastAsia="宋体" w:cs="宋体"/>
          <w:kern w:val="2"/>
          <w:sz w:val="24"/>
          <w:szCs w:val="24"/>
          <w:shd w:val="clear" w:color="auto" w:fill="FFFFFF"/>
          <w:lang w:val="en-US" w:eastAsia="zh-CN"/>
        </w:rPr>
        <w:t>0</w:t>
      </w:r>
    </w:p>
    <w:p>
      <w:pPr>
        <w:pStyle w:val="177"/>
        <w:spacing w:line="300" w:lineRule="exact"/>
        <w:ind w:firstLine="480" w:firstLineChars="200"/>
        <w:rPr>
          <w:rFonts w:ascii="宋体" w:hAnsi="宋体" w:eastAsia="宋体" w:cs="宋体"/>
          <w:kern w:val="2"/>
          <w:sz w:val="24"/>
          <w:szCs w:val="24"/>
          <w:highlight w:val="none"/>
          <w:shd w:val="clear" w:color="auto" w:fill="FFFFFF"/>
        </w:rPr>
      </w:pPr>
      <w:bookmarkStart w:id="26" w:name="_Toc28359082"/>
      <w:bookmarkStart w:id="27" w:name="_Toc28359005"/>
      <w:bookmarkStart w:id="28" w:name="_Toc35393793"/>
      <w:bookmarkStart w:id="29" w:name="_Toc35393624"/>
      <w:r>
        <w:rPr>
          <w:rFonts w:hint="eastAsia" w:ascii="宋体" w:hAnsi="宋体" w:eastAsia="宋体" w:cs="宋体"/>
          <w:kern w:val="2"/>
          <w:sz w:val="24"/>
          <w:szCs w:val="24"/>
          <w:highlight w:val="none"/>
          <w:shd w:val="clear" w:color="auto" w:fill="FFFFFF"/>
        </w:rPr>
        <w:t>五、提交</w:t>
      </w:r>
      <w:bookmarkEnd w:id="26"/>
      <w:bookmarkEnd w:id="27"/>
      <w:r>
        <w:rPr>
          <w:rFonts w:hint="eastAsia" w:ascii="宋体" w:hAnsi="宋体" w:eastAsia="宋体" w:cs="宋体"/>
          <w:kern w:val="2"/>
          <w:sz w:val="24"/>
          <w:szCs w:val="24"/>
          <w:highlight w:val="none"/>
          <w:shd w:val="clear" w:color="auto" w:fill="FFFFFF"/>
        </w:rPr>
        <w:t>响应文件截止时间、开标时间和地点</w:t>
      </w:r>
      <w:bookmarkEnd w:id="28"/>
      <w:bookmarkEnd w:id="29"/>
    </w:p>
    <w:p>
      <w:pPr>
        <w:pStyle w:val="177"/>
        <w:spacing w:line="300" w:lineRule="exact"/>
        <w:ind w:firstLine="480" w:firstLineChars="200"/>
        <w:rPr>
          <w:rFonts w:ascii="宋体" w:hAnsi="宋体" w:eastAsia="宋体" w:cs="宋体"/>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rPr>
        <w:t>投标截止时间：2022年</w:t>
      </w:r>
      <w:r>
        <w:rPr>
          <w:rFonts w:hint="eastAsia" w:ascii="宋体" w:hAnsi="宋体" w:eastAsia="宋体" w:cs="宋体"/>
          <w:color w:val="auto"/>
          <w:kern w:val="2"/>
          <w:sz w:val="24"/>
          <w:szCs w:val="24"/>
          <w:highlight w:val="none"/>
          <w:shd w:val="clear" w:color="auto" w:fill="FFFFFF"/>
          <w:lang w:val="en-US" w:eastAsia="zh-CN"/>
        </w:rPr>
        <w:t>12</w:t>
      </w:r>
      <w:r>
        <w:rPr>
          <w:rFonts w:hint="eastAsia" w:ascii="宋体" w:hAnsi="宋体" w:eastAsia="宋体" w:cs="宋体"/>
          <w:color w:val="auto"/>
          <w:kern w:val="2"/>
          <w:sz w:val="24"/>
          <w:szCs w:val="24"/>
          <w:highlight w:val="none"/>
          <w:shd w:val="clear" w:color="auto" w:fill="FFFFFF"/>
        </w:rPr>
        <w:t>月</w:t>
      </w:r>
      <w:r>
        <w:rPr>
          <w:rFonts w:hint="eastAsia" w:ascii="宋体" w:hAnsi="宋体" w:eastAsia="宋体" w:cs="宋体"/>
          <w:color w:val="auto"/>
          <w:kern w:val="2"/>
          <w:sz w:val="24"/>
          <w:szCs w:val="24"/>
          <w:highlight w:val="none"/>
          <w:shd w:val="clear" w:color="auto" w:fill="FFFFFF"/>
          <w:lang w:val="en-US" w:eastAsia="zh-CN"/>
        </w:rPr>
        <w:t xml:space="preserve">15 </w:t>
      </w:r>
      <w:r>
        <w:rPr>
          <w:rFonts w:hint="eastAsia" w:ascii="宋体" w:hAnsi="宋体" w:eastAsia="宋体" w:cs="宋体"/>
          <w:color w:val="auto"/>
          <w:kern w:val="2"/>
          <w:sz w:val="24"/>
          <w:szCs w:val="24"/>
          <w:highlight w:val="none"/>
          <w:shd w:val="clear" w:color="auto" w:fill="FFFFFF"/>
        </w:rPr>
        <w:t>日 1</w:t>
      </w: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shd w:val="clear" w:color="auto" w:fill="FFFFFF"/>
        </w:rPr>
        <w:t>点</w:t>
      </w:r>
      <w:r>
        <w:rPr>
          <w:rFonts w:hint="eastAsia" w:ascii="宋体" w:hAnsi="宋体" w:eastAsia="宋体" w:cs="宋体"/>
          <w:color w:val="auto"/>
          <w:kern w:val="2"/>
          <w:sz w:val="24"/>
          <w:szCs w:val="24"/>
          <w:highlight w:val="none"/>
          <w:shd w:val="clear" w:color="auto" w:fill="FFFFFF"/>
          <w:lang w:val="en-US" w:eastAsia="zh-CN"/>
        </w:rPr>
        <w:t>0</w:t>
      </w:r>
      <w:r>
        <w:rPr>
          <w:rFonts w:hint="eastAsia" w:ascii="宋体" w:hAnsi="宋体" w:eastAsia="宋体" w:cs="宋体"/>
          <w:color w:val="auto"/>
          <w:kern w:val="2"/>
          <w:sz w:val="24"/>
          <w:szCs w:val="24"/>
          <w:highlight w:val="none"/>
          <w:shd w:val="clear" w:color="auto" w:fill="FFFFFF"/>
        </w:rPr>
        <w:t>0分（北京时间）</w:t>
      </w:r>
    </w:p>
    <w:p>
      <w:pPr>
        <w:pStyle w:val="177"/>
        <w:spacing w:line="300" w:lineRule="exact"/>
        <w:ind w:firstLine="480" w:firstLineChars="200"/>
        <w:rPr>
          <w:rFonts w:ascii="宋体" w:hAnsi="宋体" w:eastAsia="宋体" w:cs="宋体"/>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rPr>
        <w:t>开标时间：2022年</w:t>
      </w:r>
      <w:r>
        <w:rPr>
          <w:rFonts w:hint="eastAsia" w:ascii="宋体" w:hAnsi="宋体" w:eastAsia="宋体" w:cs="宋体"/>
          <w:color w:val="auto"/>
          <w:kern w:val="2"/>
          <w:sz w:val="24"/>
          <w:szCs w:val="24"/>
          <w:highlight w:val="none"/>
          <w:shd w:val="clear" w:color="auto" w:fill="FFFFFF"/>
          <w:lang w:val="en-US" w:eastAsia="zh-CN"/>
        </w:rPr>
        <w:t>12</w:t>
      </w:r>
      <w:r>
        <w:rPr>
          <w:rFonts w:hint="eastAsia" w:ascii="宋体" w:hAnsi="宋体" w:eastAsia="宋体" w:cs="宋体"/>
          <w:color w:val="auto"/>
          <w:kern w:val="2"/>
          <w:sz w:val="24"/>
          <w:szCs w:val="24"/>
          <w:highlight w:val="none"/>
          <w:shd w:val="clear" w:color="auto" w:fill="FFFFFF"/>
        </w:rPr>
        <w:t>月</w:t>
      </w:r>
      <w:r>
        <w:rPr>
          <w:rFonts w:hint="eastAsia" w:ascii="宋体" w:hAnsi="宋体" w:eastAsia="宋体" w:cs="宋体"/>
          <w:color w:val="auto"/>
          <w:kern w:val="2"/>
          <w:sz w:val="24"/>
          <w:szCs w:val="24"/>
          <w:highlight w:val="none"/>
          <w:shd w:val="clear" w:color="auto" w:fill="FFFFFF"/>
          <w:lang w:val="en-US" w:eastAsia="zh-CN"/>
        </w:rPr>
        <w:t>15</w:t>
      </w:r>
      <w:r>
        <w:rPr>
          <w:rFonts w:hint="eastAsia" w:ascii="宋体" w:hAnsi="宋体" w:eastAsia="宋体" w:cs="宋体"/>
          <w:color w:val="auto"/>
          <w:kern w:val="2"/>
          <w:sz w:val="24"/>
          <w:szCs w:val="24"/>
          <w:highlight w:val="none"/>
          <w:shd w:val="clear" w:color="auto" w:fill="FFFFFF"/>
        </w:rPr>
        <w:t>日 1</w:t>
      </w: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shd w:val="clear" w:color="auto" w:fill="FFFFFF"/>
        </w:rPr>
        <w:t>点</w:t>
      </w:r>
      <w:r>
        <w:rPr>
          <w:rFonts w:hint="eastAsia" w:ascii="宋体" w:hAnsi="宋体" w:eastAsia="宋体" w:cs="宋体"/>
          <w:color w:val="auto"/>
          <w:kern w:val="2"/>
          <w:sz w:val="24"/>
          <w:szCs w:val="24"/>
          <w:highlight w:val="none"/>
          <w:shd w:val="clear" w:color="auto" w:fill="FFFFFF"/>
          <w:lang w:val="en-US" w:eastAsia="zh-CN"/>
        </w:rPr>
        <w:t>0</w:t>
      </w:r>
      <w:r>
        <w:rPr>
          <w:rFonts w:hint="eastAsia" w:ascii="宋体" w:hAnsi="宋体" w:eastAsia="宋体" w:cs="宋体"/>
          <w:color w:val="auto"/>
          <w:kern w:val="2"/>
          <w:sz w:val="24"/>
          <w:szCs w:val="24"/>
          <w:highlight w:val="none"/>
          <w:shd w:val="clear" w:color="auto" w:fill="FFFFFF"/>
        </w:rPr>
        <w:t>0分（北京时间）</w:t>
      </w:r>
    </w:p>
    <w:p>
      <w:pPr>
        <w:pStyle w:val="177"/>
        <w:spacing w:line="300" w:lineRule="exact"/>
        <w:ind w:firstLine="480" w:firstLineChars="200"/>
        <w:rPr>
          <w:rFonts w:ascii="宋体" w:hAnsi="宋体" w:eastAsia="宋体" w:cs="宋体"/>
          <w:kern w:val="2"/>
          <w:sz w:val="24"/>
          <w:szCs w:val="24"/>
          <w:highlight w:val="none"/>
          <w:shd w:val="clear" w:color="auto" w:fill="FFFFFF"/>
        </w:rPr>
      </w:pPr>
      <w:r>
        <w:rPr>
          <w:rFonts w:hint="eastAsia" w:ascii="宋体" w:hAnsi="宋体" w:eastAsia="宋体" w:cs="宋体"/>
          <w:kern w:val="2"/>
          <w:sz w:val="24"/>
          <w:szCs w:val="24"/>
          <w:highlight w:val="none"/>
          <w:shd w:val="clear" w:color="auto" w:fill="FFFFFF"/>
        </w:rPr>
        <w:t>地点：</w:t>
      </w:r>
      <w:r>
        <w:rPr>
          <w:rFonts w:hint="eastAsia" w:ascii="宋体" w:hAnsi="宋体" w:eastAsia="宋体" w:cs="宋体"/>
          <w:sz w:val="24"/>
          <w:szCs w:val="21"/>
          <w:highlight w:val="none"/>
        </w:rPr>
        <w:t>新疆乌鲁木齐市新融大厦九楼天山厅（人民路393号）</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六、公告期限</w:t>
      </w:r>
      <w:bookmarkEnd w:id="22"/>
      <w:bookmarkEnd w:id="23"/>
      <w:bookmarkEnd w:id="24"/>
      <w:bookmarkEnd w:id="25"/>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自本公告发布之日起</w:t>
      </w:r>
      <w:r>
        <w:rPr>
          <w:rFonts w:hint="eastAsia" w:ascii="宋体" w:hAnsi="宋体" w:eastAsia="宋体" w:cs="宋体"/>
          <w:kern w:val="2"/>
          <w:sz w:val="24"/>
          <w:szCs w:val="24"/>
          <w:shd w:val="clear" w:color="auto" w:fill="FFFFFF"/>
          <w:lang w:val="en-US" w:eastAsia="zh-CN"/>
        </w:rPr>
        <w:t>3</w:t>
      </w:r>
      <w:r>
        <w:rPr>
          <w:rFonts w:hint="eastAsia" w:ascii="宋体" w:hAnsi="宋体" w:eastAsia="宋体" w:cs="宋体"/>
          <w:kern w:val="2"/>
          <w:sz w:val="24"/>
          <w:szCs w:val="24"/>
          <w:shd w:val="clear" w:color="auto" w:fill="FFFFFF"/>
        </w:rPr>
        <w:t>个工作日。</w:t>
      </w:r>
    </w:p>
    <w:p>
      <w:pPr>
        <w:pStyle w:val="177"/>
        <w:spacing w:line="300" w:lineRule="exact"/>
        <w:ind w:firstLine="480" w:firstLineChars="200"/>
        <w:rPr>
          <w:rFonts w:ascii="宋体" w:hAnsi="宋体" w:eastAsia="宋体" w:cs="宋体"/>
          <w:kern w:val="2"/>
          <w:sz w:val="24"/>
          <w:szCs w:val="24"/>
          <w:shd w:val="clear" w:color="auto" w:fill="FFFFFF"/>
        </w:rPr>
      </w:pPr>
      <w:bookmarkStart w:id="30" w:name="_Toc35393795"/>
      <w:bookmarkStart w:id="31" w:name="_Toc35393626"/>
      <w:bookmarkStart w:id="32" w:name="_Toc35393796"/>
      <w:bookmarkStart w:id="33" w:name="_Toc35393627"/>
      <w:bookmarkStart w:id="34" w:name="_Toc28359008"/>
      <w:bookmarkStart w:id="35" w:name="_Toc28359085"/>
      <w:r>
        <w:rPr>
          <w:rFonts w:hint="eastAsia" w:ascii="宋体" w:hAnsi="宋体" w:eastAsia="宋体" w:cs="宋体"/>
          <w:kern w:val="2"/>
          <w:sz w:val="24"/>
          <w:szCs w:val="24"/>
          <w:shd w:val="clear" w:color="auto" w:fill="FFFFFF"/>
        </w:rPr>
        <w:t>七、其他补充事宜</w:t>
      </w:r>
      <w:bookmarkEnd w:id="30"/>
      <w:bookmarkEnd w:id="31"/>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八、对本次招标提出询问，请按以下方式联系。</w:t>
      </w:r>
      <w:bookmarkEnd w:id="32"/>
      <w:bookmarkEnd w:id="33"/>
      <w:bookmarkEnd w:id="34"/>
      <w:bookmarkEnd w:id="35"/>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1.采购人信息</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名 称：新疆维吾尔自治区广播电视局</w:t>
      </w:r>
    </w:p>
    <w:p>
      <w:pPr>
        <w:pStyle w:val="177"/>
        <w:spacing w:line="300" w:lineRule="exact"/>
        <w:ind w:firstLine="480" w:firstLineChars="200"/>
        <w:rPr>
          <w:rFonts w:hint="eastAsia" w:ascii="宋体" w:hAnsi="宋体" w:eastAsia="宋体" w:cs="宋体"/>
          <w:kern w:val="2"/>
          <w:sz w:val="24"/>
          <w:szCs w:val="24"/>
          <w:shd w:val="clear" w:color="auto" w:fill="FFFFFF"/>
          <w:lang w:eastAsia="zh-CN"/>
        </w:rPr>
      </w:pPr>
      <w:bookmarkStart w:id="36" w:name="_Toc28359086"/>
      <w:bookmarkStart w:id="37" w:name="_Toc28359009"/>
      <w:r>
        <w:rPr>
          <w:rFonts w:hint="eastAsia" w:ascii="宋体" w:hAnsi="宋体" w:eastAsia="宋体" w:cs="宋体"/>
          <w:kern w:val="2"/>
          <w:sz w:val="24"/>
          <w:szCs w:val="24"/>
          <w:shd w:val="clear" w:color="auto" w:fill="FFFFFF"/>
        </w:rPr>
        <w:t>联系人：</w:t>
      </w:r>
      <w:r>
        <w:rPr>
          <w:rFonts w:hint="eastAsia" w:ascii="宋体" w:hAnsi="宋体" w:eastAsia="宋体" w:cs="宋体"/>
          <w:kern w:val="2"/>
          <w:sz w:val="24"/>
          <w:szCs w:val="24"/>
          <w:shd w:val="clear" w:color="auto" w:fill="FFFFFF"/>
          <w:lang w:eastAsia="zh-CN"/>
        </w:rPr>
        <w:t>王军</w:t>
      </w:r>
    </w:p>
    <w:p>
      <w:pPr>
        <w:pStyle w:val="177"/>
        <w:spacing w:line="300" w:lineRule="exact"/>
        <w:ind w:firstLine="480" w:firstLineChars="200"/>
        <w:rPr>
          <w:rFonts w:ascii="宋体" w:hAnsi="宋体" w:eastAsia="宋体" w:cs="宋体"/>
          <w:kern w:val="2"/>
          <w:sz w:val="24"/>
          <w:szCs w:val="24"/>
          <w:highlight w:val="none"/>
          <w:shd w:val="clear" w:color="auto" w:fill="FFFFFF"/>
        </w:rPr>
      </w:pPr>
      <w:r>
        <w:rPr>
          <w:rFonts w:hint="eastAsia" w:ascii="宋体" w:hAnsi="宋体" w:eastAsia="宋体" w:cs="宋体"/>
          <w:kern w:val="2"/>
          <w:sz w:val="24"/>
          <w:szCs w:val="24"/>
          <w:shd w:val="clear" w:color="auto" w:fill="FFFFFF"/>
        </w:rPr>
        <w:t>联系</w:t>
      </w:r>
      <w:r>
        <w:rPr>
          <w:rFonts w:hint="eastAsia" w:ascii="宋体" w:hAnsi="宋体" w:eastAsia="宋体" w:cs="宋体"/>
          <w:kern w:val="2"/>
          <w:sz w:val="24"/>
          <w:szCs w:val="24"/>
          <w:highlight w:val="none"/>
          <w:shd w:val="clear" w:color="auto" w:fill="FFFFFF"/>
        </w:rPr>
        <w:t>电话：18999296226</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highlight w:val="none"/>
          <w:shd w:val="clear" w:color="auto" w:fill="FFFFFF"/>
        </w:rPr>
        <w:t>2.</w:t>
      </w:r>
      <w:r>
        <w:rPr>
          <w:rFonts w:hint="eastAsia" w:ascii="宋体" w:hAnsi="宋体" w:eastAsia="宋体" w:cs="宋体"/>
          <w:kern w:val="2"/>
          <w:sz w:val="24"/>
          <w:szCs w:val="24"/>
          <w:shd w:val="clear" w:color="auto" w:fill="FFFFFF"/>
        </w:rPr>
        <w:t>采购代理机构信息</w:t>
      </w:r>
      <w:bookmarkEnd w:id="36"/>
      <w:bookmarkEnd w:id="37"/>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名 称：新疆金玖恩项目管理咨询有限公司</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地 址：</w:t>
      </w:r>
      <w:r>
        <w:rPr>
          <w:rFonts w:hint="eastAsia" w:ascii="宋体" w:hAnsi="宋体" w:eastAsia="宋体" w:cs="宋体"/>
          <w:kern w:val="2"/>
          <w:sz w:val="24"/>
          <w:szCs w:val="24"/>
          <w:shd w:val="clear" w:color="auto" w:fill="FFFFFF"/>
          <w:lang w:val="en-GB"/>
        </w:rPr>
        <w:t>新疆乌鲁木齐市水磨沟区南湖东路222号南湖小高层楼1栋1层商铺B-4342</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联系人：叶青锋</w:t>
      </w:r>
    </w:p>
    <w:p>
      <w:pPr>
        <w:widowControl/>
        <w:spacing w:before="75" w:after="75" w:line="240" w:lineRule="auto"/>
        <w:ind w:left="0" w:right="0" w:firstLine="480" w:firstLineChars="200"/>
        <w:rPr>
          <w:rFonts w:ascii="宋体" w:hAnsi="宋体" w:cs="宋体"/>
          <w:b/>
          <w:sz w:val="28"/>
          <w:szCs w:val="28"/>
        </w:rPr>
      </w:pPr>
      <w:r>
        <w:rPr>
          <w:rFonts w:hint="eastAsia" w:ascii="宋体" w:hAnsi="宋体" w:cs="宋体"/>
          <w:sz w:val="24"/>
          <w:shd w:val="clear" w:color="auto" w:fill="FFFFFF"/>
        </w:rPr>
        <w:t>联系方式：0991-4677090</w:t>
      </w:r>
      <w:r>
        <w:rPr>
          <w:rFonts w:hint="eastAsia" w:ascii="宋体" w:hAnsi="宋体" w:cs="宋体"/>
          <w:b/>
          <w:sz w:val="28"/>
          <w:szCs w:val="28"/>
        </w:rPr>
        <w:br w:type="page"/>
      </w:r>
    </w:p>
    <w:p>
      <w:pPr>
        <w:widowControl/>
        <w:spacing w:before="75" w:after="75" w:line="240" w:lineRule="auto"/>
        <w:ind w:left="0" w:right="0" w:firstLine="0" w:firstLineChars="0"/>
        <w:jc w:val="center"/>
        <w:rPr>
          <w:rFonts w:ascii="宋体" w:hAnsi="宋体" w:cs="宋体"/>
          <w:b/>
          <w:sz w:val="28"/>
          <w:szCs w:val="28"/>
        </w:rPr>
      </w:pPr>
      <w:r>
        <w:rPr>
          <w:rFonts w:hint="eastAsia" w:ascii="宋体" w:hAnsi="宋体" w:cs="宋体"/>
          <w:b/>
          <w:sz w:val="28"/>
          <w:szCs w:val="28"/>
        </w:rPr>
        <w:t>供应商须知前附表</w:t>
      </w:r>
    </w:p>
    <w:p>
      <w:pPr>
        <w:widowControl/>
        <w:spacing w:line="320" w:lineRule="exact"/>
        <w:ind w:left="141" w:hanging="141"/>
        <w:jc w:val="center"/>
        <w:rPr>
          <w:rFonts w:ascii="宋体" w:hAnsi="宋体" w:cs="宋体"/>
          <w:b/>
          <w:sz w:val="28"/>
          <w:szCs w:val="28"/>
        </w:rPr>
      </w:pPr>
    </w:p>
    <w:tbl>
      <w:tblPr>
        <w:tblStyle w:val="7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8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09" w:type="dxa"/>
            <w:vAlign w:val="center"/>
          </w:tcPr>
          <w:p>
            <w:pPr>
              <w:spacing w:line="240" w:lineRule="auto"/>
              <w:ind w:left="141" w:hanging="141"/>
              <w:jc w:val="center"/>
              <w:rPr>
                <w:rFonts w:ascii="宋体" w:hAnsi="宋体" w:cs="宋体"/>
                <w:b/>
                <w:bCs/>
                <w:sz w:val="28"/>
                <w:szCs w:val="28"/>
              </w:rPr>
            </w:pPr>
            <w:r>
              <w:rPr>
                <w:rFonts w:hint="eastAsia" w:ascii="宋体" w:hAnsi="宋体" w:cs="宋体"/>
                <w:b/>
                <w:bCs/>
                <w:sz w:val="28"/>
                <w:szCs w:val="28"/>
              </w:rPr>
              <w:t>序号</w:t>
            </w:r>
          </w:p>
        </w:tc>
        <w:tc>
          <w:tcPr>
            <w:tcW w:w="8590" w:type="dxa"/>
            <w:vAlign w:val="center"/>
          </w:tcPr>
          <w:p>
            <w:pPr>
              <w:spacing w:line="240" w:lineRule="auto"/>
              <w:ind w:left="141" w:hanging="141"/>
              <w:jc w:val="center"/>
              <w:rPr>
                <w:rFonts w:ascii="宋体" w:hAnsi="宋体" w:cs="宋体"/>
                <w:b/>
                <w:bCs/>
                <w:sz w:val="28"/>
                <w:szCs w:val="28"/>
              </w:rPr>
            </w:pPr>
            <w:r>
              <w:rPr>
                <w:rFonts w:hint="eastAsia" w:ascii="宋体" w:hAnsi="宋体" w:cs="宋体"/>
                <w:b/>
                <w:bCs/>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209" w:type="dxa"/>
            <w:vAlign w:val="center"/>
          </w:tcPr>
          <w:p>
            <w:pPr>
              <w:spacing w:line="400" w:lineRule="exact"/>
              <w:ind w:left="140" w:hanging="140"/>
              <w:jc w:val="center"/>
              <w:rPr>
                <w:rFonts w:ascii="宋体" w:hAnsi="宋体" w:cs="宋体"/>
                <w:kern w:val="0"/>
                <w:sz w:val="28"/>
                <w:szCs w:val="28"/>
              </w:rPr>
            </w:pPr>
            <w:r>
              <w:rPr>
                <w:rFonts w:hint="eastAsia" w:ascii="宋体" w:hAnsi="宋体" w:cs="宋体"/>
                <w:kern w:val="0"/>
                <w:sz w:val="28"/>
                <w:szCs w:val="28"/>
              </w:rPr>
              <w:t>1</w:t>
            </w:r>
          </w:p>
        </w:tc>
        <w:tc>
          <w:tcPr>
            <w:tcW w:w="8590" w:type="dxa"/>
            <w:vAlign w:val="center"/>
          </w:tcPr>
          <w:p>
            <w:pPr>
              <w:spacing w:line="400" w:lineRule="exact"/>
              <w:ind w:left="120" w:hanging="12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shd w:val="clear" w:color="auto" w:fill="FFFFFF"/>
                <w:lang w:eastAsia="zh-CN"/>
              </w:rPr>
              <w:t>2022年自治区应急广播机动应急平台运行维护项目</w:t>
            </w:r>
          </w:p>
          <w:p>
            <w:pPr>
              <w:spacing w:line="400" w:lineRule="exact"/>
              <w:ind w:left="120" w:hanging="120"/>
              <w:rPr>
                <w:rFonts w:ascii="宋体" w:hAnsi="宋体" w:cs="宋体"/>
                <w:kern w:val="0"/>
                <w:sz w:val="24"/>
              </w:rPr>
            </w:pPr>
            <w:r>
              <w:rPr>
                <w:rFonts w:hint="eastAsia" w:ascii="宋体" w:hAnsi="宋体" w:cs="宋体"/>
                <w:sz w:val="24"/>
              </w:rPr>
              <w:t>最高限价：</w:t>
            </w:r>
            <w:r>
              <w:rPr>
                <w:rFonts w:hint="eastAsia" w:ascii="宋体" w:hAnsi="宋体" w:cs="宋体"/>
                <w:sz w:val="24"/>
                <w:lang w:val="en-US" w:eastAsia="zh-CN"/>
              </w:rPr>
              <w:t>400000</w:t>
            </w:r>
            <w:r>
              <w:rPr>
                <w:rFonts w:hint="eastAsia" w:ascii="宋体" w:hAnsi="宋体" w:cs="宋体"/>
                <w:sz w:val="24"/>
              </w:rPr>
              <w:t>.00元（如投标报价超过此价的报价为无效报价)</w:t>
            </w:r>
          </w:p>
          <w:p>
            <w:pPr>
              <w:spacing w:line="400" w:lineRule="exact"/>
              <w:ind w:left="120" w:hanging="120"/>
              <w:rPr>
                <w:rFonts w:ascii="宋体" w:hAnsi="宋体" w:cs="宋体"/>
                <w:sz w:val="24"/>
              </w:rPr>
            </w:pPr>
            <w:r>
              <w:rPr>
                <w:rFonts w:hint="eastAsia" w:ascii="宋体" w:hAnsi="宋体" w:cs="宋体"/>
                <w:sz w:val="24"/>
              </w:rPr>
              <w:t>质量标准：达到国家、行业部门规范标准及采购人要求。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09" w:type="dxa"/>
            <w:vAlign w:val="center"/>
          </w:tcPr>
          <w:p>
            <w:pPr>
              <w:spacing w:line="400" w:lineRule="exact"/>
              <w:ind w:left="141" w:hanging="141"/>
              <w:jc w:val="center"/>
              <w:rPr>
                <w:rFonts w:ascii="宋体" w:hAnsi="宋体" w:cs="宋体"/>
                <w:b/>
                <w:sz w:val="28"/>
                <w:szCs w:val="28"/>
              </w:rPr>
            </w:pPr>
            <w:r>
              <w:rPr>
                <w:rFonts w:hint="eastAsia" w:ascii="宋体" w:hAnsi="宋体" w:cs="宋体"/>
                <w:b/>
                <w:sz w:val="28"/>
                <w:szCs w:val="28"/>
              </w:rPr>
              <w:t>2</w:t>
            </w:r>
          </w:p>
        </w:tc>
        <w:tc>
          <w:tcPr>
            <w:tcW w:w="8590" w:type="dxa"/>
            <w:vAlign w:val="center"/>
          </w:tcPr>
          <w:p>
            <w:pPr>
              <w:spacing w:line="400" w:lineRule="exact"/>
              <w:ind w:left="120" w:hanging="120"/>
              <w:rPr>
                <w:rFonts w:ascii="宋体" w:hAnsi="宋体" w:cs="宋体"/>
                <w:sz w:val="24"/>
              </w:rPr>
            </w:pPr>
            <w:r>
              <w:rPr>
                <w:rFonts w:hint="eastAsia" w:ascii="宋体" w:hAnsi="宋体" w:cs="宋体"/>
                <w:sz w:val="24"/>
              </w:rPr>
              <w:t>采购人名称：新疆维吾尔自治区广播电视局</w:t>
            </w:r>
          </w:p>
          <w:p>
            <w:pPr>
              <w:spacing w:line="400" w:lineRule="exact"/>
              <w:ind w:left="120" w:hanging="120"/>
              <w:rPr>
                <w:rFonts w:ascii="宋体" w:hAnsi="宋体" w:cs="宋体"/>
                <w:sz w:val="24"/>
              </w:rPr>
            </w:pPr>
            <w:r>
              <w:rPr>
                <w:rFonts w:hint="eastAsia" w:ascii="宋体" w:hAnsi="宋体" w:cs="宋体"/>
                <w:sz w:val="24"/>
              </w:rPr>
              <w:t>地址：新疆乌鲁木齐市新市区北京南路591号</w:t>
            </w:r>
          </w:p>
          <w:p>
            <w:pPr>
              <w:pStyle w:val="5"/>
              <w:spacing w:line="400" w:lineRule="exact"/>
              <w:ind w:left="0" w:firstLine="0" w:firstLineChars="0"/>
              <w:rPr>
                <w:rFonts w:hint="eastAsia" w:ascii="宋体" w:hAnsi="宋体" w:eastAsia="宋体" w:cs="宋体"/>
                <w:lang w:val="en-US" w:eastAsia="zh-CN"/>
              </w:rPr>
            </w:pPr>
            <w:r>
              <w:rPr>
                <w:rFonts w:hint="eastAsia" w:ascii="宋体" w:hAnsi="宋体" w:cs="宋体"/>
              </w:rPr>
              <w:t>联系人：</w:t>
            </w:r>
            <w:r>
              <w:rPr>
                <w:rFonts w:hint="eastAsia" w:ascii="宋体" w:hAnsi="宋体" w:cs="宋体"/>
                <w:lang w:val="en-US" w:eastAsia="zh-CN"/>
              </w:rPr>
              <w:t>王军</w:t>
            </w:r>
          </w:p>
          <w:p>
            <w:pPr>
              <w:pStyle w:val="5"/>
              <w:spacing w:line="400" w:lineRule="exact"/>
              <w:ind w:left="0" w:firstLine="0" w:firstLineChars="0"/>
              <w:rPr>
                <w:rFonts w:ascii="宋体" w:hAnsi="宋体" w:cs="宋体"/>
              </w:rPr>
            </w:pPr>
            <w:r>
              <w:rPr>
                <w:rFonts w:hint="eastAsia" w:ascii="宋体" w:hAnsi="宋体" w:cs="宋体"/>
              </w:rPr>
              <w:t>联系</w:t>
            </w:r>
            <w:r>
              <w:rPr>
                <w:rFonts w:hint="eastAsia" w:ascii="宋体" w:hAnsi="宋体" w:cs="宋体"/>
                <w:highlight w:val="none"/>
              </w:rPr>
              <w:t>电话：18999296226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09" w:type="dxa"/>
            <w:vAlign w:val="center"/>
          </w:tcPr>
          <w:p>
            <w:pPr>
              <w:spacing w:line="400" w:lineRule="exact"/>
              <w:ind w:left="141" w:hanging="141"/>
              <w:jc w:val="center"/>
              <w:rPr>
                <w:rFonts w:ascii="宋体" w:hAnsi="宋体" w:cs="宋体"/>
                <w:b/>
                <w:sz w:val="28"/>
                <w:szCs w:val="28"/>
              </w:rPr>
            </w:pPr>
            <w:r>
              <w:rPr>
                <w:rFonts w:hint="eastAsia" w:ascii="宋体" w:hAnsi="宋体" w:cs="宋体"/>
                <w:b/>
                <w:sz w:val="28"/>
                <w:szCs w:val="28"/>
              </w:rPr>
              <w:t>3</w:t>
            </w:r>
          </w:p>
        </w:tc>
        <w:tc>
          <w:tcPr>
            <w:tcW w:w="8590" w:type="dxa"/>
            <w:vAlign w:val="center"/>
          </w:tcPr>
          <w:p>
            <w:pPr>
              <w:spacing w:line="400" w:lineRule="exact"/>
              <w:ind w:left="120" w:hanging="120"/>
              <w:rPr>
                <w:rFonts w:ascii="宋体" w:hAnsi="宋体" w:cs="宋体"/>
                <w:sz w:val="24"/>
              </w:rPr>
            </w:pPr>
            <w:r>
              <w:rPr>
                <w:rFonts w:hint="eastAsia" w:ascii="宋体" w:hAnsi="宋体" w:cs="宋体"/>
                <w:sz w:val="24"/>
              </w:rPr>
              <w:t>采购代理机构名称：新疆金玖恩项目管理咨询有限公司</w:t>
            </w:r>
          </w:p>
          <w:p>
            <w:pPr>
              <w:spacing w:line="400" w:lineRule="exact"/>
              <w:ind w:left="120" w:hanging="120"/>
              <w:rPr>
                <w:rFonts w:ascii="宋体" w:hAnsi="宋体" w:cs="宋体"/>
                <w:sz w:val="24"/>
              </w:rPr>
            </w:pPr>
            <w:r>
              <w:rPr>
                <w:rFonts w:hint="eastAsia" w:ascii="宋体" w:hAnsi="宋体" w:cs="宋体"/>
                <w:sz w:val="24"/>
              </w:rPr>
              <w:t>地址：新疆乌鲁木齐市水磨沟区南湖东路222号南湖小高层楼1栋1层商铺B-4342</w:t>
            </w:r>
          </w:p>
          <w:p>
            <w:pPr>
              <w:spacing w:line="400" w:lineRule="exact"/>
              <w:ind w:left="120" w:hanging="120"/>
              <w:rPr>
                <w:rFonts w:ascii="宋体" w:hAnsi="宋体" w:cs="宋体"/>
                <w:sz w:val="24"/>
              </w:rPr>
            </w:pPr>
            <w:r>
              <w:rPr>
                <w:rFonts w:hint="eastAsia" w:ascii="宋体" w:hAnsi="宋体" w:cs="宋体"/>
                <w:sz w:val="24"/>
              </w:rPr>
              <w:t>联系人：叶青锋</w:t>
            </w:r>
          </w:p>
          <w:p>
            <w:pPr>
              <w:spacing w:line="400" w:lineRule="exact"/>
              <w:ind w:left="120" w:hanging="120"/>
              <w:rPr>
                <w:rFonts w:ascii="宋体" w:hAnsi="宋体" w:cs="宋体"/>
                <w:sz w:val="24"/>
              </w:rPr>
            </w:pPr>
            <w:r>
              <w:rPr>
                <w:rFonts w:hint="eastAsia" w:ascii="宋体" w:hAnsi="宋体" w:cs="宋体"/>
                <w:sz w:val="24"/>
              </w:rPr>
              <w:t>电话： 0991-4677090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1209" w:type="dxa"/>
            <w:vAlign w:val="center"/>
          </w:tcPr>
          <w:p>
            <w:pPr>
              <w:spacing w:line="400" w:lineRule="exact"/>
              <w:ind w:left="141" w:hanging="141"/>
              <w:jc w:val="center"/>
              <w:rPr>
                <w:rFonts w:ascii="宋体" w:hAnsi="宋体" w:cs="宋体"/>
                <w:b/>
                <w:sz w:val="28"/>
                <w:szCs w:val="28"/>
              </w:rPr>
            </w:pPr>
            <w:r>
              <w:rPr>
                <w:rFonts w:hint="eastAsia" w:ascii="宋体" w:hAnsi="宋体" w:cs="宋体"/>
                <w:b/>
                <w:sz w:val="28"/>
                <w:szCs w:val="28"/>
              </w:rPr>
              <w:t>4</w:t>
            </w:r>
          </w:p>
        </w:tc>
        <w:tc>
          <w:tcPr>
            <w:tcW w:w="8590" w:type="dxa"/>
            <w:vAlign w:val="center"/>
          </w:tcPr>
          <w:p>
            <w:pPr>
              <w:spacing w:line="400" w:lineRule="exact"/>
              <w:ind w:left="120" w:hanging="120"/>
              <w:rPr>
                <w:rFonts w:ascii="宋体" w:hAnsi="宋体" w:cs="宋体"/>
                <w:sz w:val="24"/>
              </w:rPr>
            </w:pPr>
            <w:r>
              <w:rPr>
                <w:rFonts w:hint="eastAsia" w:ascii="宋体" w:hAnsi="宋体" w:cs="宋体"/>
                <w:sz w:val="24"/>
              </w:rPr>
              <w:t>金额：5000.00元（大写：</w:t>
            </w:r>
            <w:r>
              <w:rPr>
                <w:rFonts w:hint="eastAsia" w:ascii="宋体" w:hAnsi="宋体" w:cs="宋体"/>
                <w:sz w:val="24"/>
                <w:lang w:eastAsia="zh-CN"/>
              </w:rPr>
              <w:t>伍仟元整</w:t>
            </w:r>
            <w:r>
              <w:rPr>
                <w:rFonts w:hint="eastAsia" w:ascii="宋体" w:hAnsi="宋体" w:cs="宋体"/>
                <w:sz w:val="24"/>
              </w:rPr>
              <w:t>）</w:t>
            </w:r>
          </w:p>
          <w:p>
            <w:pPr>
              <w:spacing w:line="400" w:lineRule="exact"/>
              <w:ind w:left="120" w:hanging="120"/>
              <w:rPr>
                <w:rFonts w:ascii="宋体" w:hAnsi="宋体" w:cs="宋体"/>
                <w:sz w:val="24"/>
              </w:rPr>
            </w:pPr>
            <w:r>
              <w:rPr>
                <w:rFonts w:hint="eastAsia" w:ascii="宋体" w:hAnsi="宋体" w:cs="宋体"/>
                <w:sz w:val="24"/>
              </w:rPr>
              <w:t>提交方式：以电汇或转账方式递交</w:t>
            </w:r>
          </w:p>
          <w:p>
            <w:pPr>
              <w:spacing w:line="400" w:lineRule="exact"/>
              <w:ind w:left="120" w:hanging="120"/>
              <w:rPr>
                <w:rFonts w:ascii="宋体" w:hAnsi="宋体" w:cs="宋体"/>
                <w:sz w:val="24"/>
              </w:rPr>
            </w:pPr>
            <w:r>
              <w:rPr>
                <w:rFonts w:hint="eastAsia" w:ascii="宋体" w:hAnsi="宋体" w:cs="宋体"/>
                <w:sz w:val="24"/>
              </w:rPr>
              <w:t>提交时间：距投标截止时间至少24小时前（以到账时间为准，节假日除外）；</w:t>
            </w:r>
          </w:p>
          <w:p>
            <w:pPr>
              <w:spacing w:line="400" w:lineRule="exact"/>
              <w:ind w:left="120" w:hanging="120"/>
              <w:rPr>
                <w:rFonts w:ascii="宋体" w:hAnsi="宋体" w:cs="宋体"/>
                <w:sz w:val="24"/>
              </w:rPr>
            </w:pPr>
            <w:r>
              <w:rPr>
                <w:rFonts w:hint="eastAsia" w:ascii="宋体" w:hAnsi="宋体" w:cs="宋体"/>
                <w:sz w:val="24"/>
              </w:rPr>
              <w:t>[投标保证金缴纳账号]：</w:t>
            </w:r>
          </w:p>
          <w:p>
            <w:pPr>
              <w:spacing w:line="400" w:lineRule="exact"/>
              <w:ind w:left="120" w:hanging="120"/>
              <w:rPr>
                <w:rFonts w:ascii="宋体" w:hAnsi="宋体" w:cs="宋体"/>
                <w:sz w:val="24"/>
              </w:rPr>
            </w:pPr>
            <w:r>
              <w:rPr>
                <w:rFonts w:hint="eastAsia" w:ascii="宋体" w:hAnsi="宋体" w:cs="宋体"/>
                <w:sz w:val="24"/>
              </w:rPr>
              <w:t>投标人应从基本账户以转账或汇款形式汇至指定账户</w:t>
            </w:r>
          </w:p>
          <w:p>
            <w:pPr>
              <w:spacing w:line="400" w:lineRule="exact"/>
              <w:ind w:left="120" w:hanging="120"/>
              <w:rPr>
                <w:rFonts w:ascii="宋体" w:hAnsi="宋体" w:cs="宋体"/>
                <w:sz w:val="24"/>
              </w:rPr>
            </w:pPr>
            <w:r>
              <w:rPr>
                <w:rFonts w:hint="eastAsia" w:ascii="宋体" w:hAnsi="宋体" w:cs="宋体"/>
                <w:sz w:val="24"/>
              </w:rPr>
              <w:t>保证金缴纳账号：</w:t>
            </w:r>
          </w:p>
          <w:p>
            <w:pPr>
              <w:spacing w:line="400" w:lineRule="exact"/>
              <w:ind w:left="120" w:hanging="120"/>
              <w:rPr>
                <w:rFonts w:ascii="宋体" w:hAnsi="宋体" w:cs="宋体"/>
                <w:sz w:val="24"/>
              </w:rPr>
            </w:pPr>
            <w:r>
              <w:rPr>
                <w:rFonts w:hint="eastAsia" w:ascii="宋体" w:hAnsi="宋体" w:cs="宋体"/>
                <w:sz w:val="24"/>
              </w:rPr>
              <w:t>新疆金玖恩项目管理咨询有限公司</w:t>
            </w:r>
          </w:p>
          <w:p>
            <w:pPr>
              <w:spacing w:line="400" w:lineRule="exact"/>
              <w:ind w:left="120" w:hanging="120"/>
              <w:rPr>
                <w:rFonts w:ascii="宋体" w:hAnsi="宋体" w:cs="宋体"/>
                <w:sz w:val="24"/>
              </w:rPr>
            </w:pPr>
            <w:r>
              <w:rPr>
                <w:rFonts w:hint="eastAsia" w:ascii="宋体" w:hAnsi="宋体" w:cs="宋体"/>
                <w:sz w:val="24"/>
              </w:rPr>
              <w:t>账号：0000020070110098273360</w:t>
            </w:r>
          </w:p>
          <w:p>
            <w:pPr>
              <w:spacing w:line="400" w:lineRule="exact"/>
              <w:ind w:left="120" w:hanging="120"/>
              <w:rPr>
                <w:rFonts w:ascii="宋体" w:hAnsi="宋体" w:cs="宋体"/>
                <w:sz w:val="24"/>
              </w:rPr>
            </w:pPr>
            <w:r>
              <w:rPr>
                <w:rFonts w:hint="eastAsia" w:ascii="宋体" w:hAnsi="宋体" w:cs="宋体"/>
                <w:sz w:val="24"/>
              </w:rPr>
              <w:t>开户行：乌鲁木齐银行龙盛街支行</w:t>
            </w:r>
          </w:p>
          <w:p>
            <w:pPr>
              <w:spacing w:line="400" w:lineRule="exact"/>
              <w:ind w:left="120" w:hanging="120"/>
              <w:rPr>
                <w:rFonts w:ascii="宋体" w:hAnsi="宋体" w:cs="宋体"/>
                <w:sz w:val="24"/>
              </w:rPr>
            </w:pPr>
            <w:r>
              <w:rPr>
                <w:rFonts w:hint="eastAsia" w:ascii="宋体" w:hAnsi="宋体" w:cs="宋体"/>
                <w:sz w:val="24"/>
              </w:rPr>
              <w:t>投标保证金的形式：投标保证金</w:t>
            </w:r>
            <w:r>
              <w:rPr>
                <w:rFonts w:hint="eastAsia" w:ascii="宋体" w:hAnsi="宋体" w:cs="宋体"/>
                <w:color w:val="auto"/>
                <w:sz w:val="24"/>
              </w:rPr>
              <w:t>于</w:t>
            </w:r>
            <w:r>
              <w:rPr>
                <w:rFonts w:hint="eastAsia" w:ascii="宋体" w:hAnsi="宋体" w:cs="宋体"/>
                <w:color w:val="auto"/>
                <w:sz w:val="24"/>
                <w:highlight w:val="none"/>
              </w:rPr>
              <w:t>2022年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日</w:t>
            </w:r>
            <w:r>
              <w:rPr>
                <w:rFonts w:hint="eastAsia" w:ascii="宋体" w:hAnsi="宋体" w:cs="宋体"/>
                <w:color w:val="auto"/>
                <w:sz w:val="24"/>
                <w:highlight w:val="none"/>
                <w:lang w:eastAsia="zh-CN"/>
              </w:rPr>
              <w:t>下</w:t>
            </w:r>
            <w:r>
              <w:rPr>
                <w:rFonts w:hint="eastAsia" w:ascii="宋体" w:hAnsi="宋体" w:cs="宋体"/>
                <w:color w:val="auto"/>
                <w:sz w:val="24"/>
                <w:highlight w:val="none"/>
              </w:rPr>
              <w:t>午</w:t>
            </w:r>
            <w:r>
              <w:rPr>
                <w:rFonts w:hint="eastAsia" w:ascii="宋体" w:hAnsi="宋体" w:cs="宋体"/>
                <w:color w:val="auto"/>
                <w:sz w:val="24"/>
              </w:rPr>
              <w:t>1</w:t>
            </w:r>
            <w:r>
              <w:rPr>
                <w:rFonts w:hint="eastAsia" w:ascii="宋体" w:hAnsi="宋体" w:cs="宋体"/>
                <w:color w:val="auto"/>
                <w:sz w:val="24"/>
                <w:lang w:val="en-US" w:eastAsia="zh-CN"/>
              </w:rPr>
              <w:t>8</w:t>
            </w:r>
            <w:bookmarkStart w:id="305" w:name="_GoBack"/>
            <w:bookmarkEnd w:id="305"/>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0（北京时</w:t>
            </w:r>
            <w:r>
              <w:rPr>
                <w:rFonts w:hint="eastAsia" w:ascii="宋体" w:hAnsi="宋体" w:cs="宋体"/>
                <w:sz w:val="24"/>
              </w:rPr>
              <w:t>间，以到账时间为准）之前从投标人基本账户以网银或银行电汇等非现金形式汇至本公司账户，否则其投标文件将被拒绝评审，投标人提交投标保证金应充分考虑资金在途时间。</w:t>
            </w:r>
          </w:p>
          <w:p>
            <w:pPr>
              <w:spacing w:line="400" w:lineRule="exact"/>
              <w:ind w:left="120" w:hanging="120"/>
              <w:rPr>
                <w:rFonts w:ascii="宋体" w:hAnsi="宋体" w:cs="宋体"/>
                <w:sz w:val="24"/>
              </w:rPr>
            </w:pPr>
            <w:r>
              <w:rPr>
                <w:rFonts w:hint="eastAsia" w:ascii="宋体" w:hAnsi="宋体" w:cs="宋体"/>
                <w:sz w:val="24"/>
              </w:rPr>
              <w:t>供应商未按招标文件要求提交保证金的，相应文件无效。</w:t>
            </w:r>
          </w:p>
          <w:p>
            <w:pPr>
              <w:spacing w:line="400" w:lineRule="exact"/>
              <w:ind w:left="120" w:hanging="120"/>
              <w:rPr>
                <w:rFonts w:ascii="宋体" w:hAnsi="宋体" w:cs="宋体"/>
                <w:sz w:val="24"/>
              </w:rPr>
            </w:pPr>
            <w:r>
              <w:rPr>
                <w:rFonts w:hint="eastAsia" w:ascii="宋体" w:hAnsi="宋体" w:cs="宋体"/>
                <w:sz w:val="24"/>
              </w:rPr>
              <w:t>联系方式： 0991-4677090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209" w:type="dxa"/>
            <w:vAlign w:val="center"/>
          </w:tcPr>
          <w:p>
            <w:pPr>
              <w:spacing w:line="400" w:lineRule="exact"/>
              <w:ind w:left="141" w:hanging="141"/>
              <w:jc w:val="center"/>
              <w:rPr>
                <w:rFonts w:ascii="宋体" w:hAnsi="宋体" w:cs="宋体"/>
                <w:b/>
                <w:sz w:val="28"/>
                <w:szCs w:val="28"/>
              </w:rPr>
            </w:pPr>
            <w:r>
              <w:rPr>
                <w:rFonts w:hint="eastAsia" w:ascii="宋体" w:hAnsi="宋体" w:cs="宋体"/>
                <w:b/>
                <w:sz w:val="28"/>
                <w:szCs w:val="28"/>
              </w:rPr>
              <w:t>5</w:t>
            </w:r>
          </w:p>
        </w:tc>
        <w:tc>
          <w:tcPr>
            <w:tcW w:w="8590" w:type="dxa"/>
          </w:tcPr>
          <w:p>
            <w:pPr>
              <w:spacing w:line="400" w:lineRule="exact"/>
              <w:ind w:left="120" w:hanging="120"/>
              <w:rPr>
                <w:rFonts w:ascii="宋体" w:hAnsi="宋体" w:cs="宋体"/>
                <w:b/>
                <w:bCs/>
                <w:sz w:val="24"/>
              </w:rPr>
            </w:pPr>
            <w:r>
              <w:rPr>
                <w:rFonts w:hint="eastAsia" w:ascii="宋体" w:hAnsi="宋体" w:cs="宋体"/>
                <w:b/>
                <w:bCs/>
                <w:sz w:val="24"/>
              </w:rPr>
              <w:t xml:space="preserve">供应商资质要求： </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1、符合《中华人民共和国政府采购法》第二十二条相关规定； </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（1）具有独立承担民事责任的能力；</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（2）具有良好的商业信誉和健全的财务会计制度；</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（3）具有履行合同所必需的设备和专业技术能力；</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（4）有依法缴纳税收和社会保障资金的良好记录；</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（5）参加政府采购活动前三年内，在经营活动中没有重大违法记录；</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（6）法律、行政法规规定的其他条件</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w:t>
            </w:r>
            <w:r>
              <w:rPr>
                <w:rFonts w:hint="eastAsia" w:ascii="宋体" w:hAnsi="宋体" w:eastAsia="宋体" w:cs="宋体"/>
                <w:sz w:val="24"/>
                <w:szCs w:val="24"/>
              </w:rPr>
              <w:t>供应商必须提供中华人民共和国境内注册的营业执照（或事业单位法人证书）、税务登记证、组织机构代码证或以上三证合一营业执照；</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w:t>
            </w:r>
            <w:r>
              <w:rPr>
                <w:rFonts w:hint="eastAsia" w:ascii="宋体" w:hAnsi="宋体" w:eastAsia="宋体" w:cs="宋体"/>
                <w:sz w:val="24"/>
                <w:szCs w:val="24"/>
              </w:rPr>
              <w:t>供应商如在“信用中国”网站（www.creditchina.gov.cn）、被列入失信被执行人、重大税收违法案件当事人名单、在中国政府采购网（www.ccgp.gov.cn）被列入政府采购严重违法失信行为记录名单的（尚在处罚期内的），将拒绝本次政府采购活动；</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4、单位负责人为同一人或者存在直接控股、管理关系的不同供应商，不得参加同一合同项下的政府采购活动；</w:t>
            </w:r>
          </w:p>
          <w:p>
            <w:pPr>
              <w:pStyle w:val="177"/>
              <w:spacing w:line="30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shd w:val="clear" w:color="auto" w:fill="FFFFFF"/>
              </w:rPr>
              <w:t>5</w:t>
            </w:r>
            <w:r>
              <w:rPr>
                <w:rFonts w:hint="eastAsia" w:ascii="宋体" w:hAnsi="宋体" w:eastAsia="宋体" w:cs="宋体"/>
                <w:kern w:val="2"/>
                <w:sz w:val="24"/>
                <w:szCs w:val="24"/>
                <w:shd w:val="clear" w:color="auto" w:fill="FFFFFF"/>
                <w:lang w:eastAsia="zh-CN"/>
              </w:rPr>
              <w:t>、</w:t>
            </w:r>
            <w:r>
              <w:rPr>
                <w:rFonts w:hint="eastAsia" w:ascii="宋体" w:hAnsi="宋体" w:eastAsia="宋体" w:cs="宋体"/>
                <w:sz w:val="24"/>
                <w:szCs w:val="24"/>
              </w:rPr>
              <w:t>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pPr>
              <w:pStyle w:val="177"/>
              <w:spacing w:line="300" w:lineRule="exact"/>
              <w:ind w:firstLine="480" w:firstLineChars="200"/>
              <w:rPr>
                <w:rFonts w:hint="eastAsia" w:ascii="宋体" w:hAnsi="宋体" w:eastAsia="宋体" w:cs="宋体"/>
                <w:kern w:val="2"/>
                <w:sz w:val="24"/>
                <w:szCs w:val="24"/>
                <w:shd w:val="clear" w:color="auto" w:fill="FFFFFF"/>
                <w:lang w:val="en-US" w:eastAsia="zh-CN" w:bidi="ar-SA"/>
              </w:rPr>
            </w:pPr>
            <w:r>
              <w:rPr>
                <w:rFonts w:hint="eastAsia" w:ascii="宋体" w:hAnsi="宋体" w:cs="宋体"/>
                <w:sz w:val="24"/>
              </w:rPr>
              <w:t>6</w:t>
            </w:r>
            <w:r>
              <w:rPr>
                <w:rFonts w:hint="eastAsia" w:ascii="宋体" w:hAnsi="宋体" w:eastAsia="宋体" w:cs="宋体"/>
                <w:kern w:val="2"/>
                <w:sz w:val="24"/>
                <w:szCs w:val="24"/>
                <w:shd w:val="clear" w:color="auto" w:fill="FFFFFF"/>
                <w:lang w:eastAsia="zh-CN"/>
              </w:rPr>
              <w:t>、</w:t>
            </w:r>
            <w:r>
              <w:rPr>
                <w:rFonts w:hint="eastAsia" w:ascii="宋体" w:hAnsi="宋体" w:eastAsia="宋体" w:cs="宋体"/>
                <w:kern w:val="2"/>
                <w:sz w:val="24"/>
                <w:szCs w:val="24"/>
                <w:shd w:val="clear" w:color="auto" w:fill="FFFFFF"/>
                <w:lang w:val="en-US" w:eastAsia="zh-CN" w:bidi="ar-SA"/>
              </w:rPr>
              <w:t xml:space="preserve">其他说明: </w:t>
            </w:r>
          </w:p>
          <w:p>
            <w:pPr>
              <w:spacing w:line="240" w:lineRule="auto"/>
              <w:ind w:left="239" w:leftChars="114" w:right="-334" w:rightChars="-159" w:firstLine="360" w:firstLineChars="15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 xml:space="preserve">(1) 与采购人存在利害关系可能影响招标公正性的法人、其他组织或者个人，不得参加投标: </w:t>
            </w:r>
          </w:p>
          <w:p>
            <w:pPr>
              <w:spacing w:line="240" w:lineRule="auto"/>
              <w:ind w:left="239" w:leftChars="114" w:right="-334" w:rightChars="-159" w:firstLine="360" w:firstLineChars="15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 单位负责人为同一人或者存在控股、管理关系的不同单位，不得参加同一标段投标或者未划分标段的同一招标项目投标。违反上述两款规定的，相关投标均无效。</w:t>
            </w:r>
          </w:p>
          <w:p>
            <w:pPr>
              <w:pStyle w:val="2"/>
              <w:numPr>
                <w:ilvl w:val="0"/>
                <w:numId w:val="0"/>
              </w:numPr>
              <w:ind w:right="62" w:rightChars="0" w:firstLine="480" w:firstLineChars="200"/>
              <w:rPr>
                <w:rFonts w:hint="eastAsia" w:cs="宋体"/>
                <w:sz w:val="24"/>
                <w:lang w:eastAsia="zh-CN"/>
              </w:rPr>
            </w:pPr>
            <w:r>
              <w:rPr>
                <w:rFonts w:hint="eastAsia" w:cs="宋体"/>
                <w:sz w:val="24"/>
                <w:lang w:eastAsia="zh-CN"/>
              </w:rPr>
              <w:t>（</w:t>
            </w:r>
            <w:r>
              <w:rPr>
                <w:rFonts w:hint="eastAsia" w:cs="宋体"/>
                <w:sz w:val="24"/>
                <w:lang w:val="en-US" w:eastAsia="zh-CN"/>
              </w:rPr>
              <w:t>3</w:t>
            </w:r>
            <w:r>
              <w:rPr>
                <w:rFonts w:hint="eastAsia" w:cs="宋体"/>
                <w:sz w:val="24"/>
                <w:lang w:eastAsia="zh-CN"/>
              </w:rPr>
              <w:t>）为保证投标人提供的产品和解决方案能够贴合采购人需求，要求投标人自行安排时间进行现场勘察，并提供采购人盖章的《现场勘察证明》。</w:t>
            </w:r>
          </w:p>
          <w:p>
            <w:pPr>
              <w:pStyle w:val="2"/>
              <w:numPr>
                <w:ilvl w:val="0"/>
                <w:numId w:val="0"/>
              </w:numPr>
              <w:ind w:right="62" w:rightChars="0" w:firstLine="480" w:firstLineChars="200"/>
              <w:rPr>
                <w:rFonts w:ascii="宋体" w:hAnsi="宋体" w:cs="宋体"/>
                <w:sz w:val="24"/>
              </w:rPr>
            </w:pPr>
            <w:r>
              <w:rPr>
                <w:rFonts w:hint="eastAsia" w:cs="宋体"/>
                <w:sz w:val="24"/>
                <w:lang w:eastAsia="zh-CN"/>
              </w:rPr>
              <w:t>（</w:t>
            </w:r>
            <w:r>
              <w:rPr>
                <w:rFonts w:hint="eastAsia" w:cs="宋体"/>
                <w:sz w:val="24"/>
                <w:lang w:val="en-US" w:eastAsia="zh-CN"/>
              </w:rPr>
              <w:t>4</w:t>
            </w:r>
            <w:r>
              <w:rPr>
                <w:rFonts w:hint="eastAsia" w:cs="宋体"/>
                <w:sz w:val="24"/>
                <w:lang w:eastAsia="zh-CN"/>
              </w:rPr>
              <w:t>）因所需维护设备专业性极强，投标方必须获得平台生产厂家出具的运行维护授权许可证明。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209" w:type="dxa"/>
            <w:vAlign w:val="center"/>
          </w:tcPr>
          <w:p>
            <w:pPr>
              <w:spacing w:line="400" w:lineRule="exact"/>
              <w:ind w:left="120" w:hanging="120"/>
              <w:jc w:val="center"/>
              <w:rPr>
                <w:rFonts w:ascii="宋体" w:hAnsi="宋体" w:cs="宋体"/>
                <w:b/>
                <w:sz w:val="28"/>
                <w:szCs w:val="28"/>
              </w:rPr>
            </w:pPr>
            <w:r>
              <w:rPr>
                <w:rFonts w:hint="eastAsia" w:ascii="宋体" w:hAnsi="宋体" w:cs="宋体"/>
                <w:b/>
                <w:bCs/>
                <w:sz w:val="24"/>
              </w:rPr>
              <w:t>6</w:t>
            </w:r>
          </w:p>
        </w:tc>
        <w:tc>
          <w:tcPr>
            <w:tcW w:w="8590" w:type="dxa"/>
          </w:tcPr>
          <w:p>
            <w:pPr>
              <w:widowControl/>
              <w:spacing w:line="400" w:lineRule="exact"/>
              <w:ind w:left="120" w:hanging="120"/>
              <w:jc w:val="left"/>
              <w:rPr>
                <w:rFonts w:ascii="宋体" w:hAnsi="宋体" w:cs="宋体"/>
                <w:kern w:val="0"/>
                <w:sz w:val="24"/>
              </w:rPr>
            </w:pPr>
            <w:r>
              <w:rPr>
                <w:rFonts w:hint="eastAsia" w:ascii="宋体" w:hAnsi="宋体" w:cs="宋体"/>
                <w:kern w:val="0"/>
                <w:sz w:val="24"/>
                <w:szCs w:val="20"/>
              </w:rPr>
              <w:t>支持中小企业发展：给予小型和微型企业产品的价格给予10%-20/%的扣除，用扣除后的价格参与评标</w:t>
            </w:r>
            <w:r>
              <w:rPr>
                <w:rFonts w:hint="eastAsia" w:ascii="宋体" w:hAnsi="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7</w:t>
            </w:r>
          </w:p>
        </w:tc>
        <w:tc>
          <w:tcPr>
            <w:tcW w:w="8590" w:type="dxa"/>
            <w:vAlign w:val="center"/>
          </w:tcPr>
          <w:p>
            <w:pPr>
              <w:pStyle w:val="84"/>
              <w:spacing w:line="400" w:lineRule="exact"/>
              <w:rPr>
                <w:rFonts w:ascii="宋体" w:hAnsi="宋体" w:cs="宋体"/>
              </w:rPr>
            </w:pPr>
            <w:r>
              <w:rPr>
                <w:rFonts w:hint="eastAsia" w:ascii="宋体" w:hAnsi="宋体" w:cs="宋体"/>
                <w:sz w:val="24"/>
              </w:rPr>
              <w:t>服务标准：详见第二章采购需求、技术参数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8</w:t>
            </w:r>
          </w:p>
        </w:tc>
        <w:tc>
          <w:tcPr>
            <w:tcW w:w="8590" w:type="dxa"/>
            <w:vAlign w:val="center"/>
          </w:tcPr>
          <w:p>
            <w:pPr>
              <w:pStyle w:val="84"/>
              <w:spacing w:line="400" w:lineRule="exact"/>
              <w:rPr>
                <w:rFonts w:ascii="宋体" w:hAnsi="宋体" w:cs="宋体"/>
                <w:sz w:val="24"/>
              </w:rPr>
            </w:pPr>
            <w:r>
              <w:rPr>
                <w:rFonts w:hint="eastAsia" w:ascii="宋体" w:hAnsi="宋体" w:cs="宋体"/>
                <w:sz w:val="24"/>
              </w:rPr>
              <w:t>详细技术参数：详见第二章采购需求、技术参数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9</w:t>
            </w:r>
          </w:p>
        </w:tc>
        <w:tc>
          <w:tcPr>
            <w:tcW w:w="8590" w:type="dxa"/>
            <w:vAlign w:val="center"/>
          </w:tcPr>
          <w:p>
            <w:pPr>
              <w:spacing w:line="400" w:lineRule="exact"/>
              <w:ind w:left="120" w:hanging="120"/>
              <w:rPr>
                <w:rFonts w:ascii="宋体" w:hAnsi="宋体" w:cs="宋体"/>
                <w:sz w:val="24"/>
              </w:rPr>
            </w:pPr>
            <w:r>
              <w:rPr>
                <w:rFonts w:hint="eastAsia" w:ascii="宋体" w:hAnsi="宋体" w:cs="宋体"/>
                <w:sz w:val="24"/>
              </w:rPr>
              <w:t>付款方式：以甲乙双方实际签订合同为准。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10</w:t>
            </w:r>
          </w:p>
        </w:tc>
        <w:tc>
          <w:tcPr>
            <w:tcW w:w="8590" w:type="dxa"/>
            <w:vAlign w:val="center"/>
          </w:tcPr>
          <w:p>
            <w:pPr>
              <w:spacing w:line="400" w:lineRule="exact"/>
              <w:ind w:left="120" w:hanging="120"/>
              <w:rPr>
                <w:rFonts w:ascii="宋体" w:hAnsi="宋体" w:cs="宋体"/>
                <w:sz w:val="24"/>
              </w:rPr>
            </w:pPr>
            <w:r>
              <w:rPr>
                <w:rFonts w:hint="eastAsia" w:ascii="宋体" w:hAnsi="宋体" w:cs="宋体"/>
                <w:sz w:val="24"/>
              </w:rPr>
              <w:t xml:space="preserve">响应文件有效期：90日历天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11</w:t>
            </w:r>
          </w:p>
        </w:tc>
        <w:tc>
          <w:tcPr>
            <w:tcW w:w="8590" w:type="dxa"/>
            <w:vAlign w:val="center"/>
          </w:tcPr>
          <w:p>
            <w:pPr>
              <w:pStyle w:val="68"/>
              <w:spacing w:before="0" w:beforeAutospacing="0" w:after="0" w:afterAutospacing="0" w:line="400" w:lineRule="exact"/>
              <w:ind w:left="120" w:hanging="120"/>
              <w:rPr>
                <w:color w:val="auto"/>
              </w:rPr>
            </w:pPr>
            <w:r>
              <w:rPr>
                <w:rFonts w:hint="eastAsia"/>
                <w:color w:val="auto"/>
              </w:rPr>
              <w:t>投标截止时间：</w:t>
            </w:r>
            <w:r>
              <w:rPr>
                <w:rFonts w:hint="eastAsia"/>
                <w:color w:val="auto"/>
                <w:highlight w:val="none"/>
              </w:rPr>
              <w:t>2022年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15</w:t>
            </w:r>
            <w:r>
              <w:rPr>
                <w:rFonts w:hint="eastAsia"/>
                <w:color w:val="auto"/>
                <w:highlight w:val="none"/>
              </w:rPr>
              <w:t>日1</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0</w:t>
            </w:r>
            <w:r>
              <w:rPr>
                <w:rFonts w:hint="eastAsia"/>
                <w:color w:val="auto"/>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12</w:t>
            </w:r>
          </w:p>
        </w:tc>
        <w:tc>
          <w:tcPr>
            <w:tcW w:w="8590" w:type="dxa"/>
            <w:vAlign w:val="center"/>
          </w:tcPr>
          <w:p>
            <w:pPr>
              <w:spacing w:line="400" w:lineRule="exact"/>
              <w:ind w:left="120" w:right="0" w:hanging="120"/>
              <w:rPr>
                <w:rFonts w:ascii="宋体" w:hAnsi="宋体" w:cs="宋体"/>
                <w:color w:val="auto"/>
                <w:sz w:val="24"/>
              </w:rPr>
            </w:pPr>
            <w:r>
              <w:rPr>
                <w:rFonts w:hint="eastAsia" w:ascii="宋体" w:hAnsi="宋体" w:cs="宋体"/>
                <w:color w:val="auto"/>
                <w:sz w:val="24"/>
              </w:rPr>
              <w:t>响应文件的数目：正本壹份、副本贰份，开标一览表壹份、电子版响应文件壹份且各自单独密封；电子版响应文件的格式为：U盘，文件格式不限（需保证能正常打开使用）。在密封袋上注明项目名称、项目编号、单位名称、地址、联系人、联系电话及正本、副本等字样，密封袋须加盖法人公章或投标专用章以及法定代表人或委托代理人印章，并应确保密封完好。每一密封袋上注明“于XXXX年XX月XX日XX:XX（开标时间）开标之前不准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13</w:t>
            </w:r>
          </w:p>
        </w:tc>
        <w:tc>
          <w:tcPr>
            <w:tcW w:w="8590" w:type="dxa"/>
            <w:vAlign w:val="center"/>
          </w:tcPr>
          <w:p>
            <w:pPr>
              <w:spacing w:line="400" w:lineRule="exact"/>
              <w:ind w:left="120" w:hanging="120"/>
              <w:rPr>
                <w:rFonts w:ascii="宋体" w:hAnsi="宋体" w:cs="宋体"/>
                <w:b/>
                <w:color w:val="auto"/>
                <w:sz w:val="24"/>
              </w:rPr>
            </w:pPr>
            <w:r>
              <w:rPr>
                <w:rFonts w:hint="eastAsia" w:ascii="宋体" w:hAnsi="宋体" w:cs="宋体"/>
                <w:color w:val="auto"/>
                <w:sz w:val="24"/>
              </w:rPr>
              <w:t>响应文件递交时间：</w:t>
            </w:r>
            <w:r>
              <w:rPr>
                <w:rFonts w:hint="eastAsia" w:ascii="宋体" w:hAnsi="宋体" w:cs="宋体"/>
                <w:color w:val="auto"/>
                <w:sz w:val="24"/>
                <w:highlight w:val="none"/>
              </w:rPr>
              <w:t>2022年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p>
            <w:pPr>
              <w:spacing w:line="400" w:lineRule="exact"/>
              <w:ind w:left="120" w:hanging="120"/>
              <w:rPr>
                <w:rFonts w:ascii="宋体" w:hAnsi="宋体" w:cs="宋体"/>
                <w:color w:val="auto"/>
                <w:sz w:val="24"/>
              </w:rPr>
            </w:pPr>
            <w:r>
              <w:rPr>
                <w:rFonts w:hint="eastAsia" w:ascii="宋体" w:hAnsi="宋体" w:cs="宋体"/>
                <w:color w:val="auto"/>
                <w:sz w:val="24"/>
              </w:rPr>
              <w:t>响应文件递交地点：</w:t>
            </w:r>
            <w:r>
              <w:rPr>
                <w:rFonts w:hint="eastAsia" w:ascii="宋体" w:hAnsi="宋体" w:cs="宋体"/>
                <w:color w:val="auto"/>
                <w:sz w:val="24"/>
                <w:highlight w:val="none"/>
              </w:rPr>
              <w:t>新疆乌鲁木齐市新融大厦九楼天山厅（人民路393号）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14</w:t>
            </w:r>
          </w:p>
        </w:tc>
        <w:tc>
          <w:tcPr>
            <w:tcW w:w="8590" w:type="dxa"/>
            <w:vAlign w:val="center"/>
          </w:tcPr>
          <w:p>
            <w:pPr>
              <w:spacing w:line="400" w:lineRule="exact"/>
              <w:ind w:left="120" w:hanging="120"/>
              <w:rPr>
                <w:rFonts w:ascii="宋体" w:hAnsi="宋体" w:cs="宋体"/>
                <w:color w:val="auto"/>
                <w:sz w:val="24"/>
              </w:rPr>
            </w:pPr>
            <w:r>
              <w:rPr>
                <w:rFonts w:hint="eastAsia" w:ascii="宋体" w:hAnsi="宋体" w:cs="宋体"/>
                <w:color w:val="auto"/>
                <w:sz w:val="24"/>
              </w:rPr>
              <w:t>开标时间：</w:t>
            </w:r>
            <w:r>
              <w:rPr>
                <w:rFonts w:hint="eastAsia" w:ascii="宋体" w:hAnsi="宋体" w:cs="宋体"/>
                <w:color w:val="auto"/>
                <w:sz w:val="24"/>
                <w:highlight w:val="none"/>
              </w:rPr>
              <w:t>2022年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15</w:t>
            </w:r>
          </w:p>
        </w:tc>
        <w:tc>
          <w:tcPr>
            <w:tcW w:w="8590" w:type="dxa"/>
            <w:vAlign w:val="center"/>
          </w:tcPr>
          <w:p>
            <w:pPr>
              <w:spacing w:line="400" w:lineRule="exact"/>
              <w:ind w:left="120" w:hanging="120"/>
              <w:rPr>
                <w:rFonts w:ascii="宋体" w:hAnsi="宋体" w:cs="宋体"/>
                <w:color w:val="auto"/>
                <w:sz w:val="24"/>
              </w:rPr>
            </w:pPr>
            <w:r>
              <w:rPr>
                <w:rFonts w:hint="eastAsia" w:ascii="宋体" w:hAnsi="宋体" w:cs="宋体"/>
                <w:color w:val="auto"/>
                <w:sz w:val="24"/>
              </w:rPr>
              <w:t>开标地点：</w:t>
            </w:r>
            <w:r>
              <w:rPr>
                <w:rFonts w:hint="eastAsia" w:ascii="宋体" w:hAnsi="宋体" w:cs="宋体"/>
                <w:color w:val="auto"/>
                <w:sz w:val="24"/>
                <w:highlight w:val="none"/>
              </w:rPr>
              <w:t>新疆乌鲁木齐市新融大厦九楼天山厅（人民路393号）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16</w:t>
            </w:r>
          </w:p>
        </w:tc>
        <w:tc>
          <w:tcPr>
            <w:tcW w:w="8590" w:type="dxa"/>
            <w:vAlign w:val="center"/>
          </w:tcPr>
          <w:p>
            <w:pPr>
              <w:spacing w:line="400" w:lineRule="exact"/>
              <w:ind w:left="120" w:hanging="120"/>
              <w:rPr>
                <w:rFonts w:ascii="宋体" w:hAnsi="宋体" w:cs="宋体"/>
                <w:sz w:val="24"/>
              </w:rPr>
            </w:pPr>
            <w:r>
              <w:rPr>
                <w:rFonts w:hint="eastAsia" w:ascii="宋体" w:hAnsi="宋体" w:cs="宋体"/>
                <w:sz w:val="24"/>
              </w:rPr>
              <w:t>本项目评标办法：竞争性磋商（本项目采用两轮报价，供应商提交二次报价后，磋商小组对满足所有实质性要求提交最后报价的供应商的响应文件和供应商提交的二次报价进行综合评分，最终汇总得分由高到低排序推荐第一、第二、第三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09" w:type="dxa"/>
            <w:vAlign w:val="center"/>
          </w:tcPr>
          <w:p>
            <w:pPr>
              <w:spacing w:line="400" w:lineRule="exact"/>
              <w:ind w:left="120" w:hanging="120"/>
              <w:jc w:val="center"/>
              <w:rPr>
                <w:rFonts w:ascii="宋体" w:hAnsi="宋体" w:cs="宋体"/>
                <w:b/>
                <w:bCs/>
                <w:sz w:val="24"/>
              </w:rPr>
            </w:pPr>
            <w:r>
              <w:rPr>
                <w:rFonts w:hint="eastAsia" w:ascii="宋体" w:hAnsi="宋体" w:cs="宋体"/>
                <w:b/>
                <w:bCs/>
                <w:sz w:val="24"/>
              </w:rPr>
              <w:t>17</w:t>
            </w:r>
          </w:p>
        </w:tc>
        <w:tc>
          <w:tcPr>
            <w:tcW w:w="8590" w:type="dxa"/>
            <w:vAlign w:val="center"/>
          </w:tcPr>
          <w:p>
            <w:pPr>
              <w:spacing w:line="400" w:lineRule="exact"/>
              <w:ind w:left="120" w:hanging="120"/>
              <w:rPr>
                <w:rFonts w:ascii="宋体" w:hAnsi="宋体" w:cs="宋体"/>
                <w:sz w:val="24"/>
              </w:rPr>
            </w:pPr>
            <w:r>
              <w:rPr>
                <w:rFonts w:hint="eastAsia" w:ascii="宋体" w:hAnsi="宋体" w:cs="宋体"/>
                <w:b/>
                <w:sz w:val="24"/>
              </w:rPr>
              <w:t>投标报价：1、投标报价不得高于最高限价，如高于将被视为无效投标报价；2、本次磋商采用两轮报价；3、供应商的投标报价应包含本项目相关服务的全部费用，采购人不再另行支付其他费用。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09" w:type="dxa"/>
            <w:vAlign w:val="center"/>
          </w:tcPr>
          <w:p>
            <w:pPr>
              <w:pStyle w:val="164"/>
              <w:spacing w:line="400" w:lineRule="exact"/>
              <w:ind w:left="0" w:firstLine="0" w:firstLineChars="0"/>
              <w:jc w:val="center"/>
              <w:rPr>
                <w:rFonts w:ascii="宋体" w:hAnsi="宋体" w:cs="宋体"/>
                <w:b/>
                <w:sz w:val="24"/>
              </w:rPr>
            </w:pPr>
            <w:r>
              <w:rPr>
                <w:rFonts w:hint="eastAsia" w:ascii="宋体" w:hAnsi="宋体" w:cs="宋体"/>
                <w:b/>
                <w:sz w:val="24"/>
              </w:rPr>
              <w:t>履约保证金</w:t>
            </w:r>
          </w:p>
        </w:tc>
        <w:tc>
          <w:tcPr>
            <w:tcW w:w="8590" w:type="dxa"/>
            <w:vAlign w:val="center"/>
          </w:tcPr>
          <w:p>
            <w:pPr>
              <w:pStyle w:val="164"/>
              <w:spacing w:line="400" w:lineRule="exact"/>
              <w:ind w:left="0" w:firstLine="0" w:firstLineChars="0"/>
              <w:rPr>
                <w:rFonts w:ascii="宋体" w:hAnsi="宋体" w:cs="宋体"/>
                <w:b/>
                <w:sz w:val="24"/>
              </w:rPr>
            </w:pPr>
            <w:r>
              <w:rPr>
                <w:rFonts w:hint="eastAsia" w:ascii="宋体" w:hAnsi="宋体" w:cs="宋体"/>
                <w:b/>
                <w:sz w:val="24"/>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1209" w:type="dxa"/>
            <w:vAlign w:val="center"/>
          </w:tcPr>
          <w:p>
            <w:pPr>
              <w:pStyle w:val="164"/>
              <w:spacing w:line="400" w:lineRule="exact"/>
              <w:ind w:left="0" w:firstLine="0" w:firstLineChars="0"/>
              <w:jc w:val="center"/>
              <w:rPr>
                <w:rFonts w:ascii="宋体" w:hAnsi="宋体" w:cs="宋体"/>
                <w:b/>
                <w:sz w:val="24"/>
              </w:rPr>
            </w:pPr>
            <w:r>
              <w:rPr>
                <w:rFonts w:hint="eastAsia" w:ascii="宋体" w:hAnsi="宋体" w:cs="宋体"/>
                <w:b/>
                <w:sz w:val="24"/>
              </w:rPr>
              <w:t>说明</w:t>
            </w:r>
          </w:p>
        </w:tc>
        <w:tc>
          <w:tcPr>
            <w:tcW w:w="8590" w:type="dxa"/>
            <w:vAlign w:val="center"/>
          </w:tcPr>
          <w:p>
            <w:pPr>
              <w:pStyle w:val="164"/>
              <w:spacing w:line="400" w:lineRule="exact"/>
              <w:ind w:left="0" w:firstLine="0" w:firstLineChars="0"/>
              <w:rPr>
                <w:rFonts w:ascii="宋体" w:hAnsi="宋体" w:cs="宋体"/>
                <w:b/>
                <w:sz w:val="24"/>
              </w:rPr>
            </w:pPr>
            <w:r>
              <w:rPr>
                <w:rFonts w:hint="eastAsia" w:ascii="宋体" w:hAnsi="宋体" w:cs="宋体"/>
                <w:b/>
                <w:sz w:val="24"/>
              </w:rPr>
              <w:t>1、所有供应商对磋商文件中所有条款如有疑问或异议请在开标前</w:t>
            </w:r>
            <w:r>
              <w:rPr>
                <w:rFonts w:hint="eastAsia" w:ascii="宋体" w:hAnsi="宋体" w:cs="宋体"/>
                <w:b/>
                <w:bCs/>
                <w:sz w:val="24"/>
              </w:rPr>
              <w:t>5天前</w:t>
            </w:r>
            <w:r>
              <w:rPr>
                <w:rFonts w:hint="eastAsia" w:ascii="宋体" w:hAnsi="宋体" w:cs="宋体"/>
                <w:b/>
                <w:sz w:val="24"/>
              </w:rPr>
              <w:t>以书面形式提出，否则不予受理。</w:t>
            </w:r>
          </w:p>
          <w:p>
            <w:pPr>
              <w:pStyle w:val="164"/>
              <w:spacing w:line="400" w:lineRule="exact"/>
              <w:ind w:left="0" w:firstLine="0" w:firstLineChars="0"/>
              <w:rPr>
                <w:rFonts w:ascii="宋体" w:hAnsi="宋体" w:cs="宋体"/>
                <w:b/>
                <w:sz w:val="24"/>
              </w:rPr>
            </w:pPr>
            <w:r>
              <w:rPr>
                <w:rFonts w:hint="eastAsia" w:ascii="宋体" w:hAnsi="宋体" w:cs="宋体"/>
                <w:b/>
                <w:sz w:val="24"/>
              </w:rPr>
              <w:t>2、所有供应商的报价高于最高限价视为无效报价（即作否决投标处理）。</w:t>
            </w:r>
          </w:p>
          <w:p>
            <w:pPr>
              <w:pStyle w:val="164"/>
              <w:spacing w:line="400" w:lineRule="exact"/>
              <w:ind w:left="0" w:firstLine="0" w:firstLineChars="0"/>
              <w:rPr>
                <w:rFonts w:ascii="宋体" w:hAnsi="宋体" w:cs="宋体"/>
                <w:b/>
                <w:sz w:val="24"/>
              </w:rPr>
            </w:pPr>
            <w:r>
              <w:rPr>
                <w:rFonts w:hint="eastAsia" w:ascii="宋体" w:hAnsi="宋体" w:cs="宋体"/>
                <w:b/>
                <w:sz w:val="24"/>
              </w:rPr>
              <w:t>3、所有供应商的报价明显低于其他投标报价或者在设有标底时明显低于标底，使得其投标报价可能低于其个别成本的，应当要求该供应商作出书面说明并提供相应证明材料。供应商不能合理或者不能提供相应证明材料的，由磋商小组认定该供应商以低于成本报价竞标，其投标视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09" w:type="dxa"/>
            <w:vAlign w:val="center"/>
          </w:tcPr>
          <w:p>
            <w:pPr>
              <w:pStyle w:val="164"/>
              <w:spacing w:line="400" w:lineRule="exact"/>
              <w:ind w:left="0" w:firstLine="0" w:firstLineChars="0"/>
              <w:jc w:val="center"/>
              <w:rPr>
                <w:rFonts w:ascii="宋体" w:hAnsi="宋体" w:cs="宋体"/>
                <w:b/>
                <w:sz w:val="24"/>
              </w:rPr>
            </w:pPr>
            <w:r>
              <w:rPr>
                <w:rFonts w:hint="eastAsia" w:ascii="宋体" w:hAnsi="宋体" w:cs="宋体"/>
                <w:b/>
                <w:sz w:val="24"/>
              </w:rPr>
              <w:t>相关要求</w:t>
            </w:r>
          </w:p>
        </w:tc>
        <w:tc>
          <w:tcPr>
            <w:tcW w:w="8590" w:type="dxa"/>
            <w:vAlign w:val="center"/>
          </w:tcPr>
          <w:p>
            <w:pPr>
              <w:pStyle w:val="164"/>
              <w:spacing w:line="400" w:lineRule="exact"/>
              <w:ind w:left="0" w:firstLine="0" w:firstLineChars="0"/>
              <w:rPr>
                <w:rFonts w:hint="eastAsia" w:ascii="宋体" w:hAnsi="宋体" w:cs="宋体"/>
                <w:b/>
                <w:sz w:val="24"/>
              </w:rPr>
            </w:pPr>
            <w:r>
              <w:rPr>
                <w:rFonts w:hint="eastAsia" w:ascii="宋体" w:hAnsi="宋体" w:cs="宋体"/>
                <w:b/>
                <w:sz w:val="24"/>
              </w:rPr>
              <w:t>1、每次车辆出勤，提供至少1人在车辆出勤及演练期间跟随车辆进行保障；节假日或重要保障期至少保证1人随时关注车库状态；每周巡检一次，发现异常及时上报处理，巡查中测试车辆各个功能并做相应记录；非工作时间驻场人员确保7*24小时接听移动电话。</w:t>
            </w:r>
          </w:p>
          <w:p>
            <w:pPr>
              <w:pStyle w:val="164"/>
              <w:spacing w:line="400" w:lineRule="exact"/>
              <w:ind w:left="0" w:firstLine="0" w:firstLineChars="0"/>
              <w:rPr>
                <w:rFonts w:hint="eastAsia" w:ascii="宋体" w:hAnsi="宋体" w:cs="宋体"/>
                <w:b/>
                <w:sz w:val="24"/>
              </w:rPr>
            </w:pPr>
            <w:r>
              <w:rPr>
                <w:rFonts w:hint="eastAsia" w:ascii="宋体" w:hAnsi="宋体" w:cs="宋体"/>
                <w:b/>
                <w:sz w:val="24"/>
              </w:rPr>
              <w:t>2、保障人员发现车辆及设备出现故障或接到用户反馈后应在30分钟内响应，尽快抵达现场；解决故障后进行记录，并上报。</w:t>
            </w:r>
          </w:p>
          <w:p>
            <w:pPr>
              <w:pStyle w:val="164"/>
              <w:spacing w:line="400" w:lineRule="exact"/>
              <w:ind w:left="0" w:firstLine="0" w:firstLineChars="0"/>
              <w:rPr>
                <w:rFonts w:hint="eastAsia" w:ascii="宋体" w:hAnsi="宋体" w:cs="宋体"/>
                <w:b/>
                <w:sz w:val="24"/>
              </w:rPr>
            </w:pPr>
            <w:r>
              <w:rPr>
                <w:rFonts w:hint="eastAsia" w:ascii="宋体" w:hAnsi="宋体" w:cs="宋体"/>
                <w:b/>
                <w:sz w:val="24"/>
              </w:rPr>
              <w:t>3、每次测试完毕出具相应检测报告。</w:t>
            </w:r>
          </w:p>
          <w:p>
            <w:pPr>
              <w:pStyle w:val="164"/>
              <w:spacing w:line="400" w:lineRule="exact"/>
              <w:ind w:left="0" w:firstLine="0" w:firstLineChars="0"/>
              <w:rPr>
                <w:rFonts w:ascii="宋体" w:hAnsi="宋体" w:cs="宋体"/>
                <w:b/>
                <w:sz w:val="24"/>
              </w:rPr>
            </w:pPr>
            <w:r>
              <w:rPr>
                <w:rFonts w:hint="eastAsia" w:ascii="宋体" w:hAnsi="宋体" w:cs="宋体"/>
                <w:b/>
                <w:sz w:val="24"/>
              </w:rPr>
              <w:t>4、每年做两次详细完整的系统体检，并出具报告。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799" w:type="dxa"/>
            <w:gridSpan w:val="2"/>
            <w:vAlign w:val="center"/>
          </w:tcPr>
          <w:p>
            <w:pPr>
              <w:pStyle w:val="164"/>
              <w:spacing w:line="400" w:lineRule="exact"/>
              <w:ind w:left="0" w:firstLine="0" w:firstLineChars="0"/>
              <w:rPr>
                <w:rFonts w:ascii="宋体" w:hAnsi="宋体" w:cs="宋体"/>
                <w:b/>
                <w:sz w:val="24"/>
              </w:rPr>
            </w:pPr>
            <w:r>
              <w:rPr>
                <w:rFonts w:hint="eastAsia" w:ascii="宋体" w:hAnsi="宋体" w:cs="宋体"/>
                <w:b/>
                <w:bCs/>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799" w:type="dxa"/>
            <w:gridSpan w:val="2"/>
            <w:vAlign w:val="center"/>
          </w:tcPr>
          <w:p>
            <w:pPr>
              <w:pStyle w:val="164"/>
              <w:spacing w:line="400" w:lineRule="exact"/>
              <w:ind w:left="0" w:firstLine="0" w:firstLineChars="0"/>
              <w:rPr>
                <w:rFonts w:ascii="宋体" w:hAnsi="宋体" w:cs="宋体"/>
                <w:b/>
                <w:bCs/>
                <w:sz w:val="24"/>
              </w:rPr>
            </w:pPr>
            <w:r>
              <w:rPr>
                <w:rFonts w:hint="eastAsia" w:ascii="宋体" w:hAnsi="宋体" w:cs="宋体"/>
                <w:b/>
                <w:bCs/>
                <w:sz w:val="24"/>
              </w:rPr>
              <w:t>信用信息查询：</w:t>
            </w:r>
          </w:p>
          <w:p>
            <w:pPr>
              <w:pStyle w:val="164"/>
              <w:spacing w:line="400" w:lineRule="exact"/>
              <w:ind w:left="0" w:firstLine="0" w:firstLineChars="0"/>
              <w:rPr>
                <w:rFonts w:ascii="宋体" w:hAnsi="宋体" w:cs="宋体"/>
                <w:b/>
                <w:bCs/>
                <w:sz w:val="24"/>
              </w:rPr>
            </w:pPr>
            <w:r>
              <w:rPr>
                <w:rFonts w:hint="eastAsia" w:ascii="宋体" w:hAnsi="宋体" w:cs="宋体"/>
                <w:b/>
                <w:bCs/>
                <w:sz w:val="24"/>
              </w:rPr>
              <w:t>根据《财政部关于在政府采购活动中查询及使用信用记录有关问题的通知》（财库〔2016〕125 号）规定，投标截止当天，采购人或采购代理机构将通过“信用中国”网站(www.creditchina.gov.cn)、中国政府采购网(www.ccgp.gov.cn)，对供应商的信用记录进行审查，对列入失信被执行人、重大税收违法案件当事人名单、政府采购严重违法失信行为记录名单及其他不符合《中华人民共和国政府采购法》第二十二条规定条件的供应商，其投标将被拒绝。</w:t>
            </w:r>
          </w:p>
        </w:tc>
      </w:tr>
    </w:tbl>
    <w:p>
      <w:pPr>
        <w:spacing w:line="500" w:lineRule="exact"/>
        <w:ind w:left="0" w:firstLine="0" w:firstLineChars="0"/>
        <w:jc w:val="center"/>
        <w:rPr>
          <w:rFonts w:ascii="宋体" w:hAnsi="宋体" w:cs="宋体"/>
          <w:b/>
          <w:sz w:val="32"/>
          <w:szCs w:val="32"/>
        </w:rPr>
      </w:pPr>
      <w:r>
        <w:rPr>
          <w:rFonts w:hint="eastAsia" w:ascii="宋体" w:hAnsi="宋体" w:cs="宋体"/>
          <w:b/>
          <w:sz w:val="32"/>
          <w:szCs w:val="32"/>
        </w:rPr>
        <w:br w:type="page"/>
      </w:r>
    </w:p>
    <w:p>
      <w:pPr>
        <w:spacing w:line="500" w:lineRule="exact"/>
        <w:ind w:left="0" w:firstLine="0" w:firstLineChars="0"/>
        <w:jc w:val="center"/>
        <w:rPr>
          <w:rFonts w:ascii="宋体" w:hAnsi="宋体" w:cs="宋体"/>
          <w:b/>
          <w:sz w:val="32"/>
          <w:szCs w:val="32"/>
        </w:rPr>
      </w:pPr>
      <w:r>
        <w:rPr>
          <w:rFonts w:hint="eastAsia" w:ascii="宋体" w:hAnsi="宋体" w:cs="宋体"/>
          <w:b/>
          <w:sz w:val="32"/>
          <w:szCs w:val="32"/>
        </w:rPr>
        <w:t>第一章   供应商须知</w:t>
      </w:r>
    </w:p>
    <w:p>
      <w:pPr>
        <w:spacing w:line="500" w:lineRule="exact"/>
        <w:ind w:left="120" w:hanging="120"/>
        <w:jc w:val="center"/>
        <w:rPr>
          <w:rFonts w:ascii="宋体" w:hAnsi="宋体" w:cs="宋体"/>
          <w:b/>
          <w:sz w:val="24"/>
        </w:rPr>
      </w:pPr>
      <w:r>
        <w:rPr>
          <w:rFonts w:hint="eastAsia" w:ascii="宋体" w:hAnsi="宋体" w:cs="宋体"/>
          <w:b/>
          <w:sz w:val="24"/>
        </w:rPr>
        <w:t>一、总  则</w:t>
      </w:r>
    </w:p>
    <w:p>
      <w:pPr>
        <w:spacing w:line="500" w:lineRule="exact"/>
        <w:ind w:firstLine="482" w:firstLineChars="200"/>
        <w:rPr>
          <w:rFonts w:ascii="宋体" w:hAnsi="宋体" w:cs="宋体"/>
          <w:b/>
          <w:sz w:val="24"/>
        </w:rPr>
      </w:pPr>
      <w:r>
        <w:rPr>
          <w:rFonts w:hint="eastAsia" w:ascii="宋体" w:hAnsi="宋体" w:cs="宋体"/>
          <w:b/>
          <w:sz w:val="24"/>
        </w:rPr>
        <w:t>1、适用范围</w:t>
      </w:r>
    </w:p>
    <w:p>
      <w:pPr>
        <w:spacing w:line="500" w:lineRule="exact"/>
        <w:ind w:firstLine="480" w:firstLineChars="200"/>
        <w:rPr>
          <w:rFonts w:ascii="宋体" w:hAnsi="宋体" w:cs="宋体"/>
          <w:sz w:val="24"/>
        </w:rPr>
      </w:pPr>
      <w:r>
        <w:rPr>
          <w:rFonts w:hint="eastAsia" w:ascii="宋体" w:hAnsi="宋体" w:cs="宋体"/>
          <w:sz w:val="24"/>
        </w:rPr>
        <w:t>1.1本竞争性磋商文件仅适用于本投标中所述的招标项目。</w:t>
      </w:r>
    </w:p>
    <w:p>
      <w:pPr>
        <w:spacing w:line="500" w:lineRule="exact"/>
        <w:ind w:firstLine="482" w:firstLineChars="200"/>
        <w:rPr>
          <w:rFonts w:ascii="宋体" w:hAnsi="宋体" w:cs="宋体"/>
          <w:b/>
          <w:sz w:val="24"/>
        </w:rPr>
      </w:pPr>
      <w:r>
        <w:rPr>
          <w:rFonts w:hint="eastAsia" w:ascii="宋体" w:hAnsi="宋体" w:cs="宋体"/>
          <w:b/>
          <w:sz w:val="24"/>
        </w:rPr>
        <w:t>2、合格的供应商</w:t>
      </w:r>
    </w:p>
    <w:p>
      <w:pPr>
        <w:pStyle w:val="5"/>
        <w:overflowPunct w:val="0"/>
        <w:spacing w:line="500" w:lineRule="exact"/>
        <w:ind w:left="0" w:firstLine="480"/>
        <w:rPr>
          <w:rFonts w:ascii="宋体" w:hAnsi="宋体" w:cs="宋体"/>
          <w:szCs w:val="24"/>
        </w:rPr>
      </w:pPr>
      <w:r>
        <w:rPr>
          <w:rFonts w:hint="eastAsia" w:ascii="宋体" w:hAnsi="宋体" w:cs="宋体"/>
          <w:szCs w:val="24"/>
        </w:rPr>
        <w:t>2.1供应商资格要求：</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1、符合《中华人民共和国政府采购法》第二十二条相关规定； </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（1）具有独立承担民事责任的能力；</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（2）具有良好的商业信誉和健全的财务会计制度；</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（3）具有履行合同所必需的设备和专业技术能力；</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（4）有依法缴纳税收和社会保障资金的良好记录；</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（5）参加政府采购活动前三年内，在经营活动中没有重大违法记录；</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（6）法律、行政法规规定的其他条件</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w:t>
      </w:r>
      <w:r>
        <w:rPr>
          <w:rFonts w:hint="eastAsia" w:ascii="宋体" w:hAnsi="宋体" w:eastAsia="宋体" w:cs="宋体"/>
          <w:sz w:val="24"/>
          <w:szCs w:val="24"/>
        </w:rPr>
        <w:t>供应商必须提供中华人民共和国境内注册的营业执照（或事业单位法人证书）、税务登记证、组织机构代码证或以上三证合一营业执照；</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w:t>
      </w:r>
      <w:r>
        <w:rPr>
          <w:rFonts w:hint="eastAsia" w:ascii="宋体" w:hAnsi="宋体" w:eastAsia="宋体" w:cs="宋体"/>
          <w:sz w:val="24"/>
          <w:szCs w:val="24"/>
        </w:rPr>
        <w:t>供应商如在“信用中国”网站（www.creditchina.gov.cn）、被列入失信被执行人、重大税收违法案件当事人名单、在中国政府采购网（www.ccgp.gov.cn）被列入政府采购严重违法失信行为记录名单的（尚在处罚期内的），将拒绝本次政府采购活动；</w:t>
      </w:r>
    </w:p>
    <w:p>
      <w:pPr>
        <w:pStyle w:val="177"/>
        <w:spacing w:line="300" w:lineRule="exact"/>
        <w:ind w:firstLine="480" w:firstLineChars="200"/>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4、单位负责人为同一人或者存在直接控股、管理关系的不同供应商，不得参加同一合同项下的政府采购活动；</w:t>
      </w:r>
    </w:p>
    <w:p>
      <w:pPr>
        <w:pStyle w:val="177"/>
        <w:spacing w:line="30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shd w:val="clear" w:color="auto" w:fill="FFFFFF"/>
        </w:rPr>
        <w:t>5</w:t>
      </w:r>
      <w:r>
        <w:rPr>
          <w:rFonts w:hint="eastAsia" w:ascii="宋体" w:hAnsi="宋体" w:eastAsia="宋体" w:cs="宋体"/>
          <w:kern w:val="2"/>
          <w:sz w:val="24"/>
          <w:szCs w:val="24"/>
          <w:shd w:val="clear" w:color="auto" w:fill="FFFFFF"/>
          <w:lang w:eastAsia="zh-CN"/>
        </w:rPr>
        <w:t>、</w:t>
      </w:r>
      <w:r>
        <w:rPr>
          <w:rFonts w:hint="eastAsia" w:ascii="宋体" w:hAnsi="宋体" w:eastAsia="宋体" w:cs="宋体"/>
          <w:sz w:val="24"/>
          <w:szCs w:val="24"/>
        </w:rPr>
        <w:t>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pPr>
        <w:pStyle w:val="177"/>
        <w:spacing w:line="300" w:lineRule="exact"/>
        <w:ind w:firstLine="480" w:firstLineChars="200"/>
        <w:rPr>
          <w:rFonts w:hint="eastAsia" w:ascii="宋体" w:hAnsi="宋体" w:eastAsia="宋体" w:cs="宋体"/>
          <w:kern w:val="2"/>
          <w:sz w:val="24"/>
          <w:szCs w:val="24"/>
          <w:shd w:val="clear" w:color="auto" w:fill="FFFFFF"/>
          <w:lang w:val="en-US" w:eastAsia="zh-CN" w:bidi="ar-SA"/>
        </w:rPr>
      </w:pPr>
      <w:r>
        <w:rPr>
          <w:rFonts w:hint="eastAsia" w:ascii="宋体" w:hAnsi="宋体" w:cs="宋体"/>
          <w:sz w:val="24"/>
        </w:rPr>
        <w:t>6</w:t>
      </w:r>
      <w:r>
        <w:rPr>
          <w:rFonts w:hint="eastAsia" w:ascii="宋体" w:hAnsi="宋体" w:eastAsia="宋体" w:cs="宋体"/>
          <w:kern w:val="2"/>
          <w:sz w:val="24"/>
          <w:szCs w:val="24"/>
          <w:shd w:val="clear" w:color="auto" w:fill="FFFFFF"/>
          <w:lang w:eastAsia="zh-CN"/>
        </w:rPr>
        <w:t>、</w:t>
      </w:r>
      <w:r>
        <w:rPr>
          <w:rFonts w:hint="eastAsia" w:ascii="宋体" w:hAnsi="宋体" w:eastAsia="宋体" w:cs="宋体"/>
          <w:kern w:val="2"/>
          <w:sz w:val="24"/>
          <w:szCs w:val="24"/>
          <w:shd w:val="clear" w:color="auto" w:fill="FFFFFF"/>
          <w:lang w:val="en-US" w:eastAsia="zh-CN" w:bidi="ar-SA"/>
        </w:rPr>
        <w:t xml:space="preserve">其他说明: </w:t>
      </w:r>
    </w:p>
    <w:p>
      <w:pPr>
        <w:spacing w:line="240" w:lineRule="auto"/>
        <w:ind w:left="239" w:leftChars="114" w:right="-334" w:rightChars="-159" w:firstLine="360" w:firstLineChars="15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 xml:space="preserve">(1) 与采购人存在利害关系可能影响招标公正性的法人、其他组织或者个人，不得参加投标: </w:t>
      </w:r>
    </w:p>
    <w:p>
      <w:pPr>
        <w:spacing w:line="240" w:lineRule="auto"/>
        <w:ind w:left="239" w:leftChars="114" w:right="-334" w:rightChars="-159" w:firstLine="360" w:firstLineChars="15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 单位负责人为同一人或者存在控股、管理关系的不同单位，不得参加同一标段投标或者未划分标段的同一招标项目投标。违反上述两款规定的，相关投标均无效。</w:t>
      </w:r>
    </w:p>
    <w:p>
      <w:pPr>
        <w:pStyle w:val="2"/>
        <w:numPr>
          <w:ilvl w:val="0"/>
          <w:numId w:val="0"/>
        </w:numPr>
        <w:spacing w:line="240" w:lineRule="auto"/>
        <w:ind w:right="62" w:rightChars="0" w:firstLine="480" w:firstLineChars="200"/>
        <w:rPr>
          <w:rFonts w:hint="eastAsia" w:cs="宋体"/>
          <w:sz w:val="24"/>
          <w:lang w:eastAsia="zh-CN"/>
        </w:rPr>
      </w:pPr>
      <w:r>
        <w:rPr>
          <w:rFonts w:hint="eastAsia" w:cs="宋体"/>
          <w:sz w:val="24"/>
          <w:lang w:eastAsia="zh-CN"/>
        </w:rPr>
        <w:t>（</w:t>
      </w:r>
      <w:r>
        <w:rPr>
          <w:rFonts w:hint="eastAsia" w:cs="宋体"/>
          <w:sz w:val="24"/>
          <w:lang w:val="en-US" w:eastAsia="zh-CN"/>
        </w:rPr>
        <w:t>3</w:t>
      </w:r>
      <w:r>
        <w:rPr>
          <w:rFonts w:hint="eastAsia" w:cs="宋体"/>
          <w:sz w:val="24"/>
          <w:lang w:eastAsia="zh-CN"/>
        </w:rPr>
        <w:t>）为保证投标人提供的产品和解决方案能够贴合采购人需求，要求投标人自行安排时间进行现场勘察，并提供采购人盖章的《现场勘察证明》。</w:t>
      </w:r>
    </w:p>
    <w:p>
      <w:pPr>
        <w:pStyle w:val="5"/>
        <w:overflowPunct w:val="0"/>
        <w:spacing w:line="240" w:lineRule="auto"/>
        <w:ind w:left="0" w:firstLine="480"/>
        <w:rPr>
          <w:rFonts w:ascii="宋体" w:hAnsi="宋体" w:cs="宋体"/>
          <w:szCs w:val="24"/>
        </w:rPr>
      </w:pPr>
      <w:r>
        <w:rPr>
          <w:rFonts w:hint="eastAsia" w:cs="宋体"/>
          <w:sz w:val="24"/>
          <w:lang w:eastAsia="zh-CN"/>
        </w:rPr>
        <w:t>（</w:t>
      </w:r>
      <w:r>
        <w:rPr>
          <w:rFonts w:hint="eastAsia" w:cs="宋体"/>
          <w:sz w:val="24"/>
          <w:lang w:val="en-US" w:eastAsia="zh-CN"/>
        </w:rPr>
        <w:t>4</w:t>
      </w:r>
      <w:r>
        <w:rPr>
          <w:rFonts w:hint="eastAsia" w:cs="宋体"/>
          <w:sz w:val="24"/>
          <w:lang w:eastAsia="zh-CN"/>
        </w:rPr>
        <w:t>）因所需维护设备专业性极强，投标方必须获得平台生产厂家出具的运行维护授权许可证明。</w:t>
      </w:r>
    </w:p>
    <w:p>
      <w:pPr>
        <w:spacing w:line="500" w:lineRule="exact"/>
        <w:ind w:firstLine="482" w:firstLineChars="200"/>
        <w:rPr>
          <w:rFonts w:ascii="宋体" w:hAnsi="宋体" w:cs="宋体"/>
          <w:b/>
          <w:sz w:val="24"/>
        </w:rPr>
      </w:pPr>
      <w:r>
        <w:rPr>
          <w:rFonts w:hint="eastAsia" w:ascii="宋体" w:hAnsi="宋体" w:cs="宋体"/>
          <w:b/>
          <w:sz w:val="24"/>
        </w:rPr>
        <w:t>3、定义</w:t>
      </w:r>
    </w:p>
    <w:p>
      <w:pPr>
        <w:pStyle w:val="5"/>
        <w:overflowPunct w:val="0"/>
        <w:spacing w:line="500" w:lineRule="exact"/>
        <w:ind w:left="0" w:firstLine="480"/>
        <w:rPr>
          <w:rFonts w:ascii="宋体" w:hAnsi="宋体" w:cs="宋体"/>
          <w:szCs w:val="24"/>
          <w:lang w:val="zh-CN"/>
        </w:rPr>
      </w:pPr>
      <w:r>
        <w:rPr>
          <w:rFonts w:hint="eastAsia" w:ascii="宋体" w:hAnsi="宋体" w:cs="宋体"/>
          <w:szCs w:val="24"/>
        </w:rPr>
        <w:t xml:space="preserve"> 3.1 “采购人”系指合同中明确规定的实际购买货物和服务的法人、行政事业单位、团体组织。</w:t>
      </w:r>
    </w:p>
    <w:p>
      <w:pPr>
        <w:spacing w:line="500" w:lineRule="exact"/>
        <w:ind w:left="239" w:leftChars="114" w:firstLine="360" w:firstLineChars="150"/>
        <w:rPr>
          <w:rFonts w:ascii="宋体" w:hAnsi="宋体" w:cs="宋体"/>
          <w:sz w:val="24"/>
        </w:rPr>
      </w:pPr>
      <w:r>
        <w:rPr>
          <w:rFonts w:hint="eastAsia" w:ascii="宋体" w:hAnsi="宋体" w:cs="宋体"/>
          <w:sz w:val="24"/>
        </w:rPr>
        <w:t>3.2 “供应商”系指响应招标，并按照竞争性磋商文件的要求参与投标竞争的法人，成交后即为成交人，签定合同后即为卖方。</w:t>
      </w:r>
    </w:p>
    <w:p>
      <w:pPr>
        <w:pStyle w:val="5"/>
        <w:overflowPunct w:val="0"/>
        <w:spacing w:line="500" w:lineRule="exact"/>
        <w:ind w:firstLine="480"/>
        <w:rPr>
          <w:rFonts w:ascii="宋体" w:hAnsi="宋体" w:cs="宋体"/>
          <w:szCs w:val="24"/>
        </w:rPr>
      </w:pPr>
      <w:r>
        <w:rPr>
          <w:rFonts w:hint="eastAsia" w:ascii="宋体" w:hAnsi="宋体" w:cs="宋体"/>
          <w:szCs w:val="24"/>
        </w:rPr>
        <w:t>3.3 “招标机构”系指在委托人授权范围内具体组织实施招标活动的法人。</w:t>
      </w:r>
    </w:p>
    <w:p>
      <w:pPr>
        <w:spacing w:line="500" w:lineRule="exact"/>
        <w:ind w:firstLine="480" w:firstLineChars="200"/>
        <w:rPr>
          <w:rFonts w:ascii="宋体" w:hAnsi="宋体" w:cs="宋体"/>
          <w:sz w:val="24"/>
        </w:rPr>
      </w:pPr>
      <w:r>
        <w:rPr>
          <w:rFonts w:hint="eastAsia" w:ascii="宋体" w:hAnsi="宋体" w:cs="宋体"/>
          <w:sz w:val="24"/>
        </w:rPr>
        <w:t>3.4 “货物”系指卖方按合同要求，须向买方提供的一切产品及其它技术资料和材料。</w:t>
      </w:r>
    </w:p>
    <w:p>
      <w:pPr>
        <w:spacing w:line="500" w:lineRule="exact"/>
        <w:ind w:firstLine="480" w:firstLineChars="200"/>
        <w:rPr>
          <w:rFonts w:ascii="宋体" w:hAnsi="宋体" w:cs="宋体"/>
          <w:sz w:val="24"/>
        </w:rPr>
      </w:pPr>
      <w:r>
        <w:rPr>
          <w:rFonts w:hint="eastAsia" w:ascii="宋体" w:hAnsi="宋体" w:cs="宋体"/>
          <w:sz w:val="24"/>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ascii="宋体" w:hAnsi="宋体" w:cs="宋体"/>
          <w:sz w:val="24"/>
        </w:rPr>
      </w:pPr>
      <w:r>
        <w:rPr>
          <w:rFonts w:hint="eastAsia" w:ascii="宋体" w:hAnsi="宋体" w:cs="宋体"/>
          <w:sz w:val="24"/>
        </w:rPr>
        <w:t>3.6 “卖方”系指提供合同货物和服务的法人。</w:t>
      </w:r>
    </w:p>
    <w:p>
      <w:pPr>
        <w:spacing w:line="500" w:lineRule="exact"/>
        <w:ind w:firstLine="480" w:firstLineChars="200"/>
        <w:rPr>
          <w:rFonts w:ascii="宋体" w:hAnsi="宋体" w:cs="宋体"/>
          <w:sz w:val="24"/>
        </w:rPr>
      </w:pPr>
      <w:r>
        <w:rPr>
          <w:rFonts w:hint="eastAsia" w:ascii="宋体" w:hAnsi="宋体" w:cs="宋体"/>
          <w:sz w:val="24"/>
        </w:rPr>
        <w:t>3.7 “买方”系指购买货物和服务的单位。</w:t>
      </w:r>
    </w:p>
    <w:p>
      <w:pPr>
        <w:spacing w:line="500" w:lineRule="exact"/>
        <w:ind w:firstLine="482" w:firstLineChars="200"/>
        <w:rPr>
          <w:rFonts w:ascii="宋体" w:hAnsi="宋体" w:cs="宋体"/>
          <w:b/>
          <w:sz w:val="24"/>
        </w:rPr>
      </w:pPr>
      <w:r>
        <w:rPr>
          <w:rFonts w:hint="eastAsia" w:ascii="宋体" w:hAnsi="宋体" w:cs="宋体"/>
          <w:b/>
          <w:sz w:val="24"/>
        </w:rPr>
        <w:t>4、投标费用</w:t>
      </w:r>
    </w:p>
    <w:p>
      <w:pPr>
        <w:spacing w:line="500" w:lineRule="exact"/>
        <w:ind w:firstLine="480" w:firstLineChars="200"/>
        <w:rPr>
          <w:rFonts w:ascii="宋体" w:hAnsi="宋体" w:cs="宋体"/>
          <w:sz w:val="24"/>
        </w:rPr>
      </w:pPr>
      <w:r>
        <w:rPr>
          <w:rFonts w:hint="eastAsia" w:ascii="宋体" w:hAnsi="宋体" w:cs="宋体"/>
          <w:sz w:val="24"/>
        </w:rPr>
        <w:t>4.1 无论投标结果如何，供应商须自行承担所有与参加投标有关的全部费用,采购人和采购代理机构在任何情况下均无义务和责任承担这些费用。</w:t>
      </w:r>
    </w:p>
    <w:p>
      <w:pPr>
        <w:spacing w:line="500" w:lineRule="exact"/>
        <w:ind w:left="120" w:hanging="120"/>
        <w:jc w:val="center"/>
        <w:rPr>
          <w:rFonts w:ascii="宋体" w:hAnsi="宋体" w:cs="宋体"/>
          <w:b/>
          <w:sz w:val="24"/>
        </w:rPr>
      </w:pPr>
      <w:r>
        <w:rPr>
          <w:rFonts w:hint="eastAsia" w:ascii="宋体" w:hAnsi="宋体" w:cs="宋体"/>
          <w:b/>
          <w:sz w:val="24"/>
        </w:rPr>
        <w:t>二、竞争性磋商文件</w:t>
      </w:r>
    </w:p>
    <w:p>
      <w:pPr>
        <w:spacing w:line="500" w:lineRule="exact"/>
        <w:ind w:firstLine="482" w:firstLineChars="200"/>
        <w:rPr>
          <w:rFonts w:ascii="宋体" w:hAnsi="宋体" w:cs="宋体"/>
          <w:b/>
          <w:sz w:val="24"/>
        </w:rPr>
      </w:pPr>
      <w:r>
        <w:rPr>
          <w:rFonts w:hint="eastAsia" w:ascii="宋体" w:hAnsi="宋体" w:cs="宋体"/>
          <w:b/>
          <w:sz w:val="24"/>
        </w:rPr>
        <w:t>5、竞争性磋商文件</w:t>
      </w:r>
    </w:p>
    <w:p>
      <w:pPr>
        <w:spacing w:line="500" w:lineRule="exact"/>
        <w:ind w:firstLine="480" w:firstLineChars="200"/>
        <w:rPr>
          <w:rFonts w:ascii="宋体" w:hAnsi="宋体" w:cs="宋体"/>
          <w:sz w:val="24"/>
        </w:rPr>
      </w:pPr>
      <w:r>
        <w:rPr>
          <w:rFonts w:hint="eastAsia" w:ascii="宋体" w:hAnsi="宋体" w:cs="宋体"/>
          <w:sz w:val="24"/>
        </w:rPr>
        <w:t>5.1 竞争性磋商文件用以阐明所招标的内容，招标投标程序及合同条款，包括：</w:t>
      </w:r>
    </w:p>
    <w:p>
      <w:pPr>
        <w:spacing w:line="500" w:lineRule="exact"/>
        <w:ind w:firstLine="480" w:firstLineChars="200"/>
        <w:rPr>
          <w:rFonts w:ascii="宋体" w:hAnsi="宋体" w:cs="宋体"/>
          <w:sz w:val="24"/>
        </w:rPr>
      </w:pPr>
      <w:r>
        <w:rPr>
          <w:rFonts w:hint="eastAsia" w:ascii="宋体" w:hAnsi="宋体" w:cs="宋体"/>
          <w:sz w:val="24"/>
        </w:rPr>
        <w:t>5.1.1 供应商须知前附表；</w:t>
      </w:r>
    </w:p>
    <w:p>
      <w:pPr>
        <w:spacing w:line="500" w:lineRule="exact"/>
        <w:ind w:firstLine="480" w:firstLineChars="200"/>
        <w:rPr>
          <w:rFonts w:ascii="宋体" w:hAnsi="宋体" w:cs="宋体"/>
          <w:sz w:val="24"/>
        </w:rPr>
      </w:pPr>
      <w:r>
        <w:rPr>
          <w:rFonts w:hint="eastAsia" w:ascii="宋体" w:hAnsi="宋体" w:cs="宋体"/>
          <w:sz w:val="24"/>
        </w:rPr>
        <w:t>5.1.2 招标书；</w:t>
      </w:r>
    </w:p>
    <w:p>
      <w:pPr>
        <w:spacing w:line="500" w:lineRule="exact"/>
        <w:ind w:firstLine="480" w:firstLineChars="200"/>
        <w:rPr>
          <w:rFonts w:ascii="宋体" w:hAnsi="宋体" w:cs="宋体"/>
          <w:sz w:val="24"/>
        </w:rPr>
      </w:pPr>
      <w:r>
        <w:rPr>
          <w:rFonts w:hint="eastAsia" w:ascii="宋体" w:hAnsi="宋体" w:cs="宋体"/>
          <w:sz w:val="24"/>
        </w:rPr>
        <w:t>5.1.3 供应商须知；</w:t>
      </w:r>
    </w:p>
    <w:p>
      <w:pPr>
        <w:spacing w:line="500" w:lineRule="exact"/>
        <w:ind w:firstLine="480" w:firstLineChars="200"/>
        <w:rPr>
          <w:rFonts w:ascii="宋体" w:hAnsi="宋体" w:cs="宋体"/>
          <w:sz w:val="24"/>
        </w:rPr>
      </w:pPr>
      <w:r>
        <w:rPr>
          <w:rFonts w:hint="eastAsia" w:ascii="宋体" w:hAnsi="宋体" w:cs="宋体"/>
          <w:sz w:val="24"/>
        </w:rPr>
        <w:t>5.1.4 技术要求；</w:t>
      </w:r>
    </w:p>
    <w:p>
      <w:pPr>
        <w:spacing w:line="500" w:lineRule="exact"/>
        <w:ind w:firstLine="480" w:firstLineChars="200"/>
        <w:rPr>
          <w:rFonts w:ascii="宋体" w:hAnsi="宋体" w:cs="宋体"/>
          <w:sz w:val="24"/>
        </w:rPr>
      </w:pPr>
      <w:r>
        <w:rPr>
          <w:rFonts w:hint="eastAsia" w:ascii="宋体" w:hAnsi="宋体" w:cs="宋体"/>
          <w:sz w:val="24"/>
        </w:rPr>
        <w:t>5.1.5合同；</w:t>
      </w:r>
    </w:p>
    <w:p>
      <w:pPr>
        <w:spacing w:line="500" w:lineRule="exact"/>
        <w:ind w:firstLine="480" w:firstLineChars="200"/>
        <w:rPr>
          <w:rFonts w:ascii="宋体" w:hAnsi="宋体" w:cs="宋体"/>
          <w:sz w:val="24"/>
        </w:rPr>
      </w:pPr>
      <w:r>
        <w:rPr>
          <w:rFonts w:hint="eastAsia" w:ascii="宋体" w:hAnsi="宋体" w:cs="宋体"/>
          <w:sz w:val="24"/>
        </w:rPr>
        <w:t>5.1.6 响应文件格式。</w:t>
      </w:r>
    </w:p>
    <w:p>
      <w:pPr>
        <w:spacing w:line="500" w:lineRule="exact"/>
        <w:ind w:firstLine="480" w:firstLineChars="200"/>
        <w:rPr>
          <w:rFonts w:ascii="宋体" w:hAnsi="宋体" w:cs="宋体"/>
          <w:sz w:val="24"/>
        </w:rPr>
      </w:pPr>
      <w:r>
        <w:rPr>
          <w:rFonts w:hint="eastAsia" w:ascii="宋体" w:hAnsi="宋体" w:cs="宋体"/>
          <w:sz w:val="24"/>
        </w:rPr>
        <w:t>5.2供应商应仔细阅读竞争性磋商文件中的所有内容。招标机构将拒绝未按竞争性磋商文件的要求提供全部资料或提交的响应文件未对竞争性磋商文件作出实质性响应的投标。</w:t>
      </w:r>
    </w:p>
    <w:p>
      <w:pPr>
        <w:spacing w:line="500" w:lineRule="exact"/>
        <w:ind w:firstLine="482" w:firstLineChars="200"/>
        <w:rPr>
          <w:rFonts w:ascii="宋体" w:hAnsi="宋体" w:cs="宋体"/>
          <w:b/>
          <w:sz w:val="24"/>
        </w:rPr>
      </w:pPr>
      <w:r>
        <w:rPr>
          <w:rFonts w:hint="eastAsia" w:ascii="宋体" w:hAnsi="宋体" w:cs="宋体"/>
          <w:b/>
          <w:sz w:val="24"/>
        </w:rPr>
        <w:t>6、竞争性磋商文件的澄清</w:t>
      </w:r>
    </w:p>
    <w:p>
      <w:pPr>
        <w:spacing w:line="500" w:lineRule="exact"/>
        <w:ind w:firstLine="480" w:firstLineChars="200"/>
        <w:rPr>
          <w:rFonts w:ascii="宋体" w:hAnsi="宋体" w:cs="宋体"/>
          <w:sz w:val="24"/>
        </w:rPr>
      </w:pPr>
      <w:r>
        <w:rPr>
          <w:rFonts w:hint="eastAsia" w:ascii="宋体" w:hAnsi="宋体" w:cs="宋体"/>
          <w:sz w:val="24"/>
        </w:rPr>
        <w:t>6.1 任何要求澄清竞争性磋商文件的供应商，均应在投标截止日期5天前以书面形式或传真、电报通知招标机构。招标机构将以书面形式予以答复，同时将书面通知每个购买竞争性磋商文件的供应商。</w:t>
      </w:r>
    </w:p>
    <w:p>
      <w:pPr>
        <w:spacing w:line="500" w:lineRule="exact"/>
        <w:ind w:firstLine="482" w:firstLineChars="200"/>
        <w:rPr>
          <w:rFonts w:ascii="宋体" w:hAnsi="宋体" w:cs="宋体"/>
          <w:b/>
          <w:sz w:val="24"/>
        </w:rPr>
      </w:pPr>
      <w:r>
        <w:rPr>
          <w:rFonts w:hint="eastAsia" w:ascii="宋体" w:hAnsi="宋体" w:cs="宋体"/>
          <w:b/>
          <w:sz w:val="24"/>
        </w:rPr>
        <w:t>7、竞争性磋商文件的修改</w:t>
      </w:r>
    </w:p>
    <w:p>
      <w:pPr>
        <w:spacing w:line="500" w:lineRule="exact"/>
        <w:ind w:firstLine="480" w:firstLineChars="200"/>
        <w:rPr>
          <w:rFonts w:ascii="宋体" w:hAnsi="宋体" w:cs="宋体"/>
          <w:sz w:val="24"/>
        </w:rPr>
      </w:pPr>
      <w:r>
        <w:rPr>
          <w:rFonts w:hint="eastAsia" w:ascii="宋体" w:hAnsi="宋体" w:cs="宋体"/>
          <w:sz w:val="24"/>
        </w:rPr>
        <w:t>7.1 在投标截止时间5天以前，采购人都可能以《竞争性磋商文件补充》的方式修改竞争性磋商文件。并将以书面形式通知所有购买竞争性磋商文件的供应商，</w:t>
      </w:r>
    </w:p>
    <w:p>
      <w:pPr>
        <w:spacing w:line="500" w:lineRule="exact"/>
        <w:ind w:firstLine="480" w:firstLineChars="200"/>
        <w:rPr>
          <w:rFonts w:ascii="宋体" w:hAnsi="宋体" w:cs="宋体"/>
          <w:sz w:val="24"/>
        </w:rPr>
      </w:pPr>
      <w:r>
        <w:rPr>
          <w:rFonts w:hint="eastAsia" w:ascii="宋体" w:hAnsi="宋体" w:cs="宋体"/>
          <w:sz w:val="24"/>
        </w:rPr>
        <w:t>7.2 《竞争性磋商文件补充》作为竞争性磋商文件的组成部分，对供应商具有同等约束力。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spacing w:line="500" w:lineRule="exact"/>
        <w:ind w:firstLine="480" w:firstLineChars="200"/>
        <w:rPr>
          <w:rFonts w:ascii="宋体" w:hAnsi="宋体" w:cs="宋体"/>
          <w:sz w:val="24"/>
        </w:rPr>
      </w:pPr>
      <w:r>
        <w:rPr>
          <w:rFonts w:hint="eastAsia" w:ascii="宋体" w:hAnsi="宋体" w:cs="宋体"/>
          <w:sz w:val="24"/>
        </w:rPr>
        <w:t>7.3 为使供应商在编制响应文件时把《竞争性磋商文件补充》内容考虑进去，采购人可以相应延长投标截止日期，具体时间将在《竞争性磋商文件补充》中写明。</w:t>
      </w:r>
    </w:p>
    <w:p>
      <w:pPr>
        <w:spacing w:line="500" w:lineRule="exact"/>
        <w:ind w:left="120" w:hanging="120"/>
        <w:jc w:val="center"/>
        <w:rPr>
          <w:rFonts w:ascii="宋体" w:hAnsi="宋体" w:cs="宋体"/>
          <w:b/>
          <w:sz w:val="24"/>
        </w:rPr>
      </w:pPr>
    </w:p>
    <w:p>
      <w:pPr>
        <w:numPr>
          <w:ilvl w:val="0"/>
          <w:numId w:val="4"/>
        </w:numPr>
        <w:spacing w:line="500" w:lineRule="exact"/>
        <w:ind w:left="120" w:hanging="120"/>
        <w:jc w:val="center"/>
        <w:rPr>
          <w:rFonts w:ascii="宋体" w:hAnsi="宋体" w:cs="宋体"/>
          <w:b/>
          <w:sz w:val="24"/>
        </w:rPr>
      </w:pPr>
      <w:r>
        <w:rPr>
          <w:rFonts w:hint="eastAsia" w:ascii="宋体" w:hAnsi="宋体" w:cs="宋体"/>
          <w:b/>
          <w:sz w:val="24"/>
        </w:rPr>
        <w:t>响应文件的编制</w:t>
      </w:r>
    </w:p>
    <w:p>
      <w:pPr>
        <w:spacing w:line="500" w:lineRule="exact"/>
        <w:ind w:left="120" w:hanging="120"/>
        <w:rPr>
          <w:rFonts w:ascii="宋体" w:hAnsi="宋体" w:cs="宋体"/>
          <w:b/>
          <w:sz w:val="24"/>
        </w:rPr>
      </w:pPr>
    </w:p>
    <w:p>
      <w:pPr>
        <w:spacing w:line="500" w:lineRule="exact"/>
        <w:ind w:left="0" w:firstLine="482" w:firstLineChars="200"/>
        <w:rPr>
          <w:rFonts w:ascii="宋体" w:hAnsi="宋体" w:cs="宋体"/>
          <w:b/>
          <w:sz w:val="24"/>
        </w:rPr>
      </w:pPr>
      <w:r>
        <w:rPr>
          <w:rFonts w:hint="eastAsia" w:ascii="宋体" w:hAnsi="宋体" w:cs="宋体"/>
          <w:b/>
          <w:sz w:val="24"/>
        </w:rPr>
        <w:t>8、 响应文件的编写</w:t>
      </w:r>
    </w:p>
    <w:p>
      <w:pPr>
        <w:widowControl/>
        <w:spacing w:line="500" w:lineRule="exact"/>
        <w:ind w:left="120" w:hanging="120"/>
        <w:rPr>
          <w:rFonts w:ascii="宋体" w:hAnsi="宋体" w:cs="宋体"/>
          <w:b/>
          <w:sz w:val="24"/>
          <w:shd w:val="pct10" w:color="auto" w:fill="FFFFFF"/>
        </w:rPr>
      </w:pPr>
      <w:r>
        <w:rPr>
          <w:rFonts w:hint="eastAsia" w:ascii="宋体" w:hAnsi="宋体" w:cs="宋体"/>
          <w:sz w:val="24"/>
        </w:rPr>
        <w:t xml:space="preserve">    8.1 供应商应仔细阅读竞争性磋商文件，了解竞争性磋商文件的要求。在充分理解竞争性磋商文件提出的技术要求、服务和商务条件后，编制响应文件。</w:t>
      </w:r>
    </w:p>
    <w:p>
      <w:pPr>
        <w:spacing w:line="500" w:lineRule="exact"/>
        <w:ind w:firstLine="482" w:firstLineChars="200"/>
        <w:rPr>
          <w:rFonts w:ascii="宋体" w:hAnsi="宋体" w:cs="宋体"/>
          <w:b/>
          <w:sz w:val="24"/>
        </w:rPr>
      </w:pPr>
      <w:r>
        <w:rPr>
          <w:rFonts w:hint="eastAsia" w:ascii="宋体" w:hAnsi="宋体" w:cs="宋体"/>
          <w:b/>
          <w:sz w:val="24"/>
        </w:rPr>
        <w:t>9、投标的语言</w:t>
      </w:r>
    </w:p>
    <w:p>
      <w:pPr>
        <w:spacing w:line="500" w:lineRule="exact"/>
        <w:ind w:left="120" w:hanging="120"/>
        <w:rPr>
          <w:rFonts w:ascii="宋体" w:hAnsi="宋体" w:cs="宋体"/>
          <w:sz w:val="24"/>
        </w:rPr>
      </w:pPr>
      <w:r>
        <w:rPr>
          <w:rFonts w:hint="eastAsia" w:ascii="宋体" w:hAnsi="宋体" w:cs="宋体"/>
          <w:sz w:val="24"/>
        </w:rPr>
        <w:t xml:space="preserve">    9.1 供应商的响应文件以及供应商与招标机构就有关招标活动的所有来往函电均应使用中文。如果响应文件或与投标有关的其它文件、信件及来往函电以其他语言书写，供应商应将其译成中文。</w:t>
      </w:r>
    </w:p>
    <w:p>
      <w:pPr>
        <w:spacing w:line="500" w:lineRule="exact"/>
        <w:ind w:left="120" w:hanging="120"/>
        <w:rPr>
          <w:rFonts w:ascii="宋体" w:hAnsi="宋体" w:cs="宋体"/>
          <w:sz w:val="24"/>
        </w:rPr>
      </w:pPr>
      <w:r>
        <w:rPr>
          <w:rFonts w:hint="eastAsia" w:ascii="宋体" w:hAnsi="宋体" w:cs="宋体"/>
          <w:sz w:val="24"/>
        </w:rPr>
        <w:t xml:space="preserve">    9.2响应文件中使用的计量单位除竞争性磋商文件中有特殊规定外，一律使用法定计量单位。</w:t>
      </w:r>
    </w:p>
    <w:p>
      <w:pPr>
        <w:spacing w:line="500" w:lineRule="exact"/>
        <w:ind w:left="120" w:hanging="120"/>
        <w:rPr>
          <w:rFonts w:ascii="宋体" w:hAnsi="宋体" w:cs="宋体"/>
          <w:b/>
          <w:bCs/>
          <w:sz w:val="24"/>
        </w:rPr>
      </w:pPr>
      <w:r>
        <w:rPr>
          <w:rFonts w:hint="eastAsia" w:ascii="宋体" w:hAnsi="宋体" w:cs="宋体"/>
          <w:b/>
          <w:bCs/>
          <w:sz w:val="24"/>
        </w:rPr>
        <w:t xml:space="preserve">    10、响应文件的格式</w:t>
      </w:r>
    </w:p>
    <w:p>
      <w:pPr>
        <w:spacing w:line="500" w:lineRule="exact"/>
        <w:ind w:left="120" w:hanging="120"/>
        <w:rPr>
          <w:rFonts w:ascii="宋体" w:hAnsi="宋体" w:cs="宋体"/>
          <w:sz w:val="24"/>
        </w:rPr>
      </w:pPr>
      <w:r>
        <w:rPr>
          <w:rFonts w:hint="eastAsia" w:ascii="宋体" w:hAnsi="宋体" w:cs="宋体"/>
          <w:sz w:val="24"/>
        </w:rPr>
        <w:t xml:space="preserve">    10.1供应商应按竞争性磋商文件提供的格式及投标报价说明完整地填写所提供的产品、服务、数量及价格等内容。</w:t>
      </w:r>
    </w:p>
    <w:p>
      <w:pPr>
        <w:spacing w:line="500" w:lineRule="exact"/>
        <w:ind w:left="120" w:hanging="120"/>
        <w:rPr>
          <w:rFonts w:ascii="宋体" w:hAnsi="宋体" w:cs="宋体"/>
          <w:sz w:val="24"/>
        </w:rPr>
      </w:pPr>
      <w:r>
        <w:rPr>
          <w:rFonts w:hint="eastAsia" w:ascii="宋体" w:hAnsi="宋体" w:cs="宋体"/>
          <w:sz w:val="24"/>
        </w:rPr>
        <w:t xml:space="preserve">    10.2如供应商认为需要对竞争性磋商文件的有关内容做详细的阐述而竞争性磋商文件中提供的响应文件格式又不能满足，供应商可以在响应文件相关格式后另行添加表格或文字，对竞争性磋商文件的有关内容做详细的阐述。但阐述的内容不能偏离竞争性磋商文件的实质性内容，且应完整、表达清晰、准确。如果阐述的内容偏离了竞争性磋商文件的实质性内容，响应文件按否决其投标处理。</w:t>
      </w:r>
    </w:p>
    <w:p>
      <w:pPr>
        <w:spacing w:line="500" w:lineRule="exact"/>
        <w:ind w:left="120" w:hanging="120"/>
        <w:rPr>
          <w:rFonts w:ascii="宋体" w:hAnsi="宋体" w:cs="宋体"/>
          <w:b/>
          <w:sz w:val="24"/>
        </w:rPr>
      </w:pPr>
      <w:r>
        <w:rPr>
          <w:rFonts w:hint="eastAsia" w:ascii="宋体" w:hAnsi="宋体" w:cs="宋体"/>
          <w:b/>
          <w:sz w:val="24"/>
        </w:rPr>
        <w:t xml:space="preserve">    11、响应文件的组成和顺序:响应文件由经济报价部分、商务部分、技术部分三部分组成，合装成一本标书（胶装）。报价一览表需按竞争性磋商文件提供的格式填写，统一规范，不得自行增减内容，并单独提供且与响应文件中提供的一致，并按竞争性磋商文件要求密封。</w:t>
      </w:r>
    </w:p>
    <w:p>
      <w:pPr>
        <w:spacing w:line="500" w:lineRule="exact"/>
        <w:ind w:left="0" w:right="0" w:firstLine="480" w:firstLineChars="200"/>
        <w:rPr>
          <w:rFonts w:ascii="宋体" w:hAnsi="宋体" w:cs="宋体"/>
          <w:b/>
          <w:sz w:val="24"/>
        </w:rPr>
      </w:pPr>
      <w:r>
        <w:rPr>
          <w:rFonts w:hint="eastAsia" w:ascii="宋体" w:hAnsi="宋体" w:cs="宋体"/>
          <w:sz w:val="24"/>
        </w:rPr>
        <w:t>11.1</w:t>
      </w:r>
      <w:r>
        <w:rPr>
          <w:rFonts w:hint="eastAsia" w:ascii="宋体" w:hAnsi="宋体" w:cs="宋体"/>
          <w:b/>
          <w:sz w:val="24"/>
        </w:rPr>
        <w:t>经济报价部分：</w:t>
      </w:r>
    </w:p>
    <w:p>
      <w:pPr>
        <w:spacing w:line="500" w:lineRule="exact"/>
        <w:ind w:left="0" w:right="0" w:firstLine="480" w:firstLineChars="200"/>
        <w:rPr>
          <w:rFonts w:ascii="宋体" w:hAnsi="宋体" w:cs="宋体"/>
          <w:sz w:val="24"/>
        </w:rPr>
      </w:pPr>
      <w:r>
        <w:rPr>
          <w:rFonts w:hint="eastAsia" w:ascii="宋体" w:hAnsi="宋体" w:cs="宋体"/>
          <w:sz w:val="24"/>
        </w:rPr>
        <w:t>11.1.1投标承诺书</w:t>
      </w:r>
    </w:p>
    <w:p>
      <w:pPr>
        <w:spacing w:line="480" w:lineRule="exact"/>
        <w:ind w:left="0" w:right="0" w:firstLine="480" w:firstLineChars="200"/>
        <w:rPr>
          <w:rFonts w:ascii="宋体" w:hAnsi="宋体" w:cs="宋体"/>
          <w:sz w:val="24"/>
        </w:rPr>
      </w:pPr>
      <w:r>
        <w:rPr>
          <w:rFonts w:hint="eastAsia" w:ascii="宋体" w:hAnsi="宋体" w:cs="宋体"/>
          <w:sz w:val="24"/>
        </w:rPr>
        <w:t>11.1.2开标一览表</w:t>
      </w:r>
    </w:p>
    <w:p>
      <w:pPr>
        <w:spacing w:line="480" w:lineRule="exact"/>
        <w:ind w:left="0" w:right="0" w:firstLine="480" w:firstLineChars="200"/>
        <w:rPr>
          <w:rFonts w:ascii="宋体" w:hAnsi="宋体" w:cs="宋体"/>
          <w:sz w:val="24"/>
        </w:rPr>
      </w:pPr>
      <w:r>
        <w:rPr>
          <w:rFonts w:hint="eastAsia" w:ascii="宋体" w:hAnsi="宋体" w:cs="宋体"/>
          <w:sz w:val="24"/>
        </w:rPr>
        <w:t>11.1.3投标分项报价表（供应商认为有必要时填写）</w:t>
      </w:r>
    </w:p>
    <w:p>
      <w:pPr>
        <w:spacing w:line="500" w:lineRule="exact"/>
        <w:ind w:left="0" w:right="0" w:firstLine="482" w:firstLineChars="200"/>
        <w:rPr>
          <w:rFonts w:ascii="宋体" w:hAnsi="宋体" w:cs="宋体"/>
          <w:b/>
          <w:sz w:val="24"/>
        </w:rPr>
      </w:pPr>
      <w:r>
        <w:rPr>
          <w:rFonts w:hint="eastAsia" w:ascii="宋体" w:hAnsi="宋体" w:cs="宋体"/>
          <w:b/>
          <w:sz w:val="24"/>
        </w:rPr>
        <w:t>11.2商务部分：</w:t>
      </w:r>
    </w:p>
    <w:p>
      <w:pPr>
        <w:spacing w:line="480" w:lineRule="exact"/>
        <w:ind w:left="0" w:right="0" w:firstLine="480" w:firstLineChars="200"/>
        <w:rPr>
          <w:rFonts w:ascii="宋体" w:hAnsi="宋体" w:cs="宋体"/>
          <w:sz w:val="24"/>
        </w:rPr>
      </w:pPr>
      <w:r>
        <w:rPr>
          <w:rFonts w:hint="eastAsia" w:ascii="宋体" w:hAnsi="宋体" w:cs="宋体"/>
          <w:sz w:val="24"/>
        </w:rPr>
        <w:t>11.2.1供应商的资格声明（格式见附件）；</w:t>
      </w:r>
    </w:p>
    <w:p>
      <w:pPr>
        <w:spacing w:line="480" w:lineRule="exact"/>
        <w:ind w:left="0" w:right="0" w:firstLine="480" w:firstLineChars="200"/>
        <w:rPr>
          <w:rFonts w:ascii="宋体" w:hAnsi="宋体" w:cs="宋体"/>
          <w:sz w:val="24"/>
        </w:rPr>
      </w:pPr>
      <w:r>
        <w:rPr>
          <w:rFonts w:hint="eastAsia" w:ascii="宋体" w:hAnsi="宋体" w:cs="宋体"/>
          <w:sz w:val="24"/>
        </w:rPr>
        <w:t>11.2.2 供应商基本情况简介（格式见附件）；</w:t>
      </w:r>
    </w:p>
    <w:p>
      <w:pPr>
        <w:spacing w:line="480" w:lineRule="exact"/>
        <w:ind w:left="0" w:right="0" w:firstLine="480" w:firstLineChars="200"/>
        <w:rPr>
          <w:rFonts w:ascii="宋体" w:hAnsi="宋体" w:cs="宋体"/>
          <w:sz w:val="24"/>
        </w:rPr>
      </w:pPr>
      <w:r>
        <w:rPr>
          <w:rFonts w:hint="eastAsia" w:ascii="宋体" w:hAnsi="宋体" w:cs="宋体"/>
          <w:sz w:val="24"/>
        </w:rPr>
        <w:t>11.2.3法定代表人证明书（格式见附件）；</w:t>
      </w:r>
    </w:p>
    <w:p>
      <w:pPr>
        <w:spacing w:line="480" w:lineRule="exact"/>
        <w:ind w:left="0" w:right="0" w:firstLine="480" w:firstLineChars="200"/>
        <w:rPr>
          <w:rFonts w:ascii="宋体" w:hAnsi="宋体" w:cs="宋体"/>
          <w:sz w:val="24"/>
        </w:rPr>
      </w:pPr>
      <w:r>
        <w:rPr>
          <w:rFonts w:hint="eastAsia" w:ascii="宋体" w:hAnsi="宋体" w:cs="宋体"/>
          <w:sz w:val="24"/>
        </w:rPr>
        <w:t>11.2.4法定代表人授权委托书（格式见附件），委托代理人在</w:t>
      </w:r>
      <w:r>
        <w:rPr>
          <w:rFonts w:hint="eastAsia" w:ascii="宋体" w:hAnsi="宋体" w:cs="宋体"/>
          <w:kern w:val="0"/>
          <w:sz w:val="24"/>
        </w:rPr>
        <w:t>本单位缴纳的社保缴纳证明</w:t>
      </w:r>
      <w:r>
        <w:rPr>
          <w:rFonts w:hint="eastAsia" w:ascii="宋体" w:hAnsi="宋体" w:cs="宋体"/>
          <w:sz w:val="24"/>
        </w:rPr>
        <w:t>（如法人代表参加，提供身份证及法定代表人证明书）（格式见附件）；</w:t>
      </w:r>
    </w:p>
    <w:p>
      <w:pPr>
        <w:pStyle w:val="61"/>
        <w:ind w:left="48" w:leftChars="23" w:firstLine="480" w:firstLineChars="200"/>
        <w:rPr>
          <w:rFonts w:ascii="宋体" w:hAnsi="宋体" w:cs="宋体"/>
        </w:rPr>
      </w:pPr>
      <w:r>
        <w:rPr>
          <w:rFonts w:hint="eastAsia" w:ascii="宋体" w:hAnsi="宋体" w:cs="宋体"/>
          <w:sz w:val="24"/>
        </w:rPr>
        <w:t>11.2.5法人营业执照函</w:t>
      </w:r>
    </w:p>
    <w:p>
      <w:pPr>
        <w:spacing w:line="480" w:lineRule="exact"/>
        <w:ind w:firstLine="480" w:firstLineChars="200"/>
        <w:rPr>
          <w:rFonts w:ascii="宋体" w:hAnsi="宋体" w:cs="宋体"/>
          <w:sz w:val="24"/>
        </w:rPr>
      </w:pPr>
      <w:r>
        <w:rPr>
          <w:rFonts w:hint="eastAsia" w:ascii="宋体" w:hAnsi="宋体" w:cs="宋体"/>
          <w:sz w:val="24"/>
        </w:rPr>
        <w:t>11.2.6近三年企业类似业绩表及证明（格式见附件）；</w:t>
      </w:r>
    </w:p>
    <w:p>
      <w:pPr>
        <w:spacing w:line="480" w:lineRule="exact"/>
        <w:ind w:left="0" w:right="0" w:firstLine="480" w:firstLineChars="200"/>
        <w:rPr>
          <w:rFonts w:ascii="宋体" w:hAnsi="宋体" w:cs="宋体"/>
          <w:sz w:val="24"/>
        </w:rPr>
      </w:pPr>
      <w:r>
        <w:rPr>
          <w:rFonts w:hint="eastAsia" w:ascii="宋体" w:hAnsi="宋体" w:cs="宋体"/>
          <w:sz w:val="24"/>
        </w:rPr>
        <w:t>11.2.7项目负责人简历表</w:t>
      </w:r>
    </w:p>
    <w:p>
      <w:pPr>
        <w:spacing w:line="480" w:lineRule="exact"/>
        <w:ind w:left="0" w:right="0" w:firstLine="480" w:firstLineChars="200"/>
        <w:rPr>
          <w:rFonts w:ascii="宋体" w:hAnsi="宋体" w:cs="宋体"/>
          <w:sz w:val="24"/>
        </w:rPr>
      </w:pPr>
      <w:r>
        <w:rPr>
          <w:rFonts w:hint="eastAsia" w:ascii="宋体" w:hAnsi="宋体" w:cs="宋体"/>
          <w:sz w:val="24"/>
        </w:rPr>
        <w:t>11.2.8拟参加项目其他人员简历表</w:t>
      </w:r>
    </w:p>
    <w:p>
      <w:pPr>
        <w:spacing w:line="480" w:lineRule="exact"/>
        <w:ind w:left="0" w:right="0" w:firstLine="480" w:firstLineChars="200"/>
        <w:rPr>
          <w:rFonts w:ascii="宋体" w:hAnsi="宋体" w:cs="宋体"/>
          <w:sz w:val="24"/>
        </w:rPr>
      </w:pPr>
      <w:r>
        <w:rPr>
          <w:rFonts w:hint="eastAsia" w:ascii="宋体" w:hAnsi="宋体" w:cs="宋体"/>
          <w:sz w:val="24"/>
        </w:rPr>
        <w:t>11.2.9商务条款偏离表</w:t>
      </w:r>
    </w:p>
    <w:p>
      <w:pPr>
        <w:spacing w:line="480" w:lineRule="exact"/>
        <w:ind w:left="0" w:right="0" w:firstLine="480" w:firstLineChars="200"/>
        <w:rPr>
          <w:rFonts w:ascii="宋体" w:hAnsi="宋体" w:cs="宋体"/>
          <w:sz w:val="24"/>
        </w:rPr>
      </w:pPr>
      <w:r>
        <w:rPr>
          <w:rFonts w:hint="eastAsia" w:ascii="宋体" w:hAnsi="宋体" w:cs="宋体"/>
          <w:sz w:val="24"/>
        </w:rPr>
        <w:t>11.2.10具有良好的商业信誉和健全的财务会计制度（近年度财务审计报告），或银行出具的资信证明（针对公司成立时间不足一年的情形）；</w:t>
      </w:r>
    </w:p>
    <w:p>
      <w:pPr>
        <w:spacing w:line="480" w:lineRule="exact"/>
        <w:ind w:left="0" w:right="0" w:firstLine="480" w:firstLineChars="200"/>
        <w:rPr>
          <w:rFonts w:ascii="宋体" w:hAnsi="宋体" w:cs="宋体"/>
          <w:sz w:val="24"/>
        </w:rPr>
      </w:pPr>
      <w:r>
        <w:rPr>
          <w:rFonts w:hint="eastAsia" w:ascii="宋体" w:hAnsi="宋体" w:cs="宋体"/>
          <w:sz w:val="24"/>
        </w:rPr>
        <w:t>11.2.11磋商保证金（附磋商保证金银行汇款凭证复印件）</w:t>
      </w:r>
    </w:p>
    <w:p>
      <w:pPr>
        <w:spacing w:line="480" w:lineRule="exact"/>
        <w:ind w:left="0" w:right="0" w:firstLine="480" w:firstLineChars="200"/>
        <w:rPr>
          <w:rFonts w:ascii="宋体" w:hAnsi="宋体" w:cs="宋体"/>
          <w:sz w:val="24"/>
        </w:rPr>
      </w:pPr>
      <w:r>
        <w:rPr>
          <w:rFonts w:hint="eastAsia" w:ascii="宋体" w:hAnsi="宋体" w:cs="宋体"/>
          <w:sz w:val="24"/>
        </w:rPr>
        <w:t>11.2.12供应商企业信誉证明文件</w:t>
      </w:r>
    </w:p>
    <w:p>
      <w:pPr>
        <w:spacing w:line="480" w:lineRule="exact"/>
        <w:ind w:left="0" w:right="0" w:firstLine="480" w:firstLineChars="200"/>
        <w:rPr>
          <w:rFonts w:ascii="宋体" w:hAnsi="宋体" w:cs="宋体"/>
          <w:sz w:val="24"/>
        </w:rPr>
      </w:pPr>
      <w:r>
        <w:rPr>
          <w:rFonts w:hint="eastAsia" w:ascii="宋体" w:hAnsi="宋体" w:cs="宋体"/>
          <w:sz w:val="24"/>
        </w:rPr>
        <w:t>11.2.13供应商证明投标资格合格的相关证件证明的复印件</w:t>
      </w:r>
    </w:p>
    <w:p>
      <w:pPr>
        <w:spacing w:line="480" w:lineRule="exact"/>
        <w:ind w:left="0" w:right="0" w:firstLine="480" w:firstLineChars="200"/>
        <w:rPr>
          <w:rFonts w:ascii="宋体" w:hAnsi="宋体" w:cs="宋体"/>
          <w:sz w:val="24"/>
        </w:rPr>
      </w:pPr>
      <w:r>
        <w:rPr>
          <w:rFonts w:hint="eastAsia" w:ascii="宋体" w:hAnsi="宋体" w:cs="宋体"/>
          <w:sz w:val="24"/>
        </w:rPr>
        <w:t>11.2.14中小企业声明函等内容（符合本声明函时填写）</w:t>
      </w:r>
    </w:p>
    <w:p>
      <w:pPr>
        <w:spacing w:line="480" w:lineRule="exact"/>
        <w:ind w:left="0" w:right="0" w:firstLine="480" w:firstLineChars="200"/>
        <w:rPr>
          <w:rFonts w:ascii="宋体" w:hAnsi="宋体" w:cs="宋体"/>
          <w:sz w:val="24"/>
        </w:rPr>
      </w:pPr>
      <w:r>
        <w:rPr>
          <w:rFonts w:hint="eastAsia" w:ascii="宋体" w:hAnsi="宋体" w:cs="宋体"/>
          <w:sz w:val="24"/>
        </w:rPr>
        <w:t>11.2.15其它必须的资料及有利于投标的资料</w:t>
      </w:r>
    </w:p>
    <w:p>
      <w:pPr>
        <w:spacing w:line="480" w:lineRule="exact"/>
        <w:ind w:left="0" w:right="0" w:firstLine="480" w:firstLineChars="200"/>
        <w:rPr>
          <w:rFonts w:ascii="宋体" w:hAnsi="宋体" w:cs="宋体"/>
          <w:sz w:val="24"/>
        </w:rPr>
      </w:pPr>
      <w:r>
        <w:rPr>
          <w:rFonts w:hint="eastAsia" w:ascii="宋体" w:hAnsi="宋体" w:cs="宋体"/>
          <w:sz w:val="24"/>
        </w:rPr>
        <w:t>11.2.16供应商反商业贿赂承诺书</w:t>
      </w:r>
    </w:p>
    <w:p>
      <w:pPr>
        <w:spacing w:line="480" w:lineRule="exact"/>
        <w:ind w:left="0" w:right="0" w:firstLine="480" w:firstLineChars="200"/>
        <w:rPr>
          <w:rFonts w:ascii="宋体" w:hAnsi="宋体" w:cs="宋体"/>
          <w:sz w:val="24"/>
        </w:rPr>
      </w:pPr>
      <w:r>
        <w:rPr>
          <w:rFonts w:hint="eastAsia" w:ascii="宋体" w:hAnsi="宋体" w:cs="宋体"/>
          <w:sz w:val="24"/>
        </w:rPr>
        <w:t>11.2.17不参与围标串标承诺书</w:t>
      </w:r>
    </w:p>
    <w:p>
      <w:pPr>
        <w:spacing w:line="480" w:lineRule="exact"/>
        <w:ind w:left="0" w:right="0" w:firstLine="480" w:firstLineChars="200"/>
        <w:rPr>
          <w:rFonts w:ascii="宋体" w:hAnsi="宋体" w:cs="宋体"/>
          <w:sz w:val="24"/>
        </w:rPr>
      </w:pPr>
      <w:r>
        <w:rPr>
          <w:rFonts w:hint="eastAsia" w:ascii="宋体" w:hAnsi="宋体" w:cs="宋体"/>
          <w:sz w:val="24"/>
        </w:rPr>
        <w:t>11.2.18关于对本响应文件（响应文件）中资料真实性的承诺</w:t>
      </w:r>
    </w:p>
    <w:p>
      <w:pPr>
        <w:spacing w:line="480" w:lineRule="exact"/>
        <w:ind w:left="0" w:right="0" w:firstLine="480" w:firstLineChars="200"/>
        <w:rPr>
          <w:rFonts w:ascii="宋体" w:hAnsi="宋体" w:cs="宋体"/>
          <w:sz w:val="24"/>
        </w:rPr>
      </w:pPr>
      <w:r>
        <w:rPr>
          <w:rFonts w:hint="eastAsia" w:ascii="宋体" w:hAnsi="宋体" w:cs="宋体"/>
          <w:sz w:val="24"/>
        </w:rPr>
        <w:t>11.2.19完税证明</w:t>
      </w:r>
    </w:p>
    <w:p>
      <w:pPr>
        <w:spacing w:line="480" w:lineRule="exact"/>
        <w:ind w:left="0" w:right="0" w:firstLine="480" w:firstLineChars="200"/>
        <w:rPr>
          <w:rFonts w:ascii="宋体" w:hAnsi="宋体" w:cs="宋体"/>
          <w:sz w:val="24"/>
        </w:rPr>
      </w:pPr>
      <w:r>
        <w:rPr>
          <w:rFonts w:hint="eastAsia" w:ascii="宋体" w:hAnsi="宋体" w:cs="宋体"/>
          <w:sz w:val="24"/>
        </w:rPr>
        <w:t>11.2.20服务承诺书</w:t>
      </w:r>
    </w:p>
    <w:p>
      <w:pPr>
        <w:spacing w:line="480" w:lineRule="exact"/>
        <w:ind w:left="0" w:right="0" w:firstLine="482" w:firstLineChars="200"/>
        <w:rPr>
          <w:rFonts w:ascii="宋体" w:hAnsi="宋体" w:cs="宋体"/>
          <w:b/>
          <w:sz w:val="24"/>
        </w:rPr>
      </w:pPr>
      <w:r>
        <w:rPr>
          <w:rFonts w:hint="eastAsia" w:ascii="宋体" w:hAnsi="宋体" w:cs="宋体"/>
          <w:b/>
          <w:sz w:val="24"/>
        </w:rPr>
        <w:t>11.3技术部分（具体要求详见响应文件格式中要求）</w:t>
      </w:r>
    </w:p>
    <w:p>
      <w:pPr>
        <w:spacing w:line="480" w:lineRule="exact"/>
        <w:ind w:left="0" w:right="0" w:firstLine="480" w:firstLineChars="200"/>
        <w:rPr>
          <w:rFonts w:ascii="宋体" w:hAnsi="宋体" w:cs="宋体"/>
          <w:sz w:val="24"/>
        </w:rPr>
      </w:pPr>
      <w:r>
        <w:rPr>
          <w:rFonts w:hint="eastAsia" w:ascii="宋体" w:hAnsi="宋体" w:cs="宋体"/>
          <w:sz w:val="24"/>
        </w:rPr>
        <w:t>11.3.1实施方案；</w:t>
      </w:r>
    </w:p>
    <w:p>
      <w:pPr>
        <w:spacing w:line="480" w:lineRule="exact"/>
        <w:ind w:left="0" w:right="0" w:firstLine="480" w:firstLineChars="200"/>
        <w:rPr>
          <w:rFonts w:ascii="宋体" w:hAnsi="宋体" w:cs="宋体"/>
          <w:sz w:val="24"/>
        </w:rPr>
      </w:pPr>
      <w:r>
        <w:rPr>
          <w:rFonts w:hint="eastAsia" w:ascii="宋体" w:hAnsi="宋体" w:cs="宋体"/>
          <w:sz w:val="24"/>
        </w:rPr>
        <w:t>11.3.2服务承诺书</w:t>
      </w:r>
    </w:p>
    <w:p>
      <w:pPr>
        <w:spacing w:line="480" w:lineRule="exact"/>
        <w:ind w:firstLine="482" w:firstLineChars="200"/>
        <w:rPr>
          <w:rFonts w:ascii="宋体" w:hAnsi="宋体" w:cs="宋体"/>
          <w:b/>
          <w:bCs/>
          <w:sz w:val="24"/>
        </w:rPr>
      </w:pPr>
      <w:r>
        <w:rPr>
          <w:rFonts w:hint="eastAsia" w:ascii="宋体" w:hAnsi="宋体" w:cs="宋体"/>
          <w:b/>
          <w:bCs/>
          <w:sz w:val="24"/>
        </w:rPr>
        <w:t>注：响应文件按统一格式、顺序编写。</w:t>
      </w:r>
    </w:p>
    <w:p>
      <w:pPr>
        <w:numPr>
          <w:ilvl w:val="0"/>
          <w:numId w:val="5"/>
        </w:numPr>
        <w:spacing w:line="500" w:lineRule="exact"/>
        <w:ind w:firstLine="482" w:firstLineChars="200"/>
        <w:rPr>
          <w:rFonts w:ascii="宋体" w:hAnsi="宋体" w:cs="宋体"/>
          <w:b/>
          <w:sz w:val="24"/>
        </w:rPr>
      </w:pPr>
      <w:r>
        <w:rPr>
          <w:rFonts w:hint="eastAsia" w:ascii="宋体" w:hAnsi="宋体" w:cs="宋体"/>
          <w:b/>
          <w:sz w:val="24"/>
        </w:rPr>
        <w:t>投标报价（本项目采用两轮报价）</w:t>
      </w:r>
    </w:p>
    <w:p>
      <w:pPr>
        <w:pStyle w:val="5"/>
        <w:overflowPunct w:val="0"/>
        <w:spacing w:line="500" w:lineRule="exact"/>
        <w:ind w:firstLine="480"/>
        <w:rPr>
          <w:rFonts w:ascii="宋体" w:hAnsi="宋体" w:cs="宋体"/>
          <w:szCs w:val="24"/>
        </w:rPr>
      </w:pPr>
      <w:r>
        <w:rPr>
          <w:rFonts w:hint="eastAsia" w:ascii="宋体" w:hAnsi="宋体" w:cs="宋体"/>
          <w:szCs w:val="24"/>
        </w:rPr>
        <w:t>12.1投标报价不得高于最高限价，如高于将被视为无效投标报价；</w:t>
      </w:r>
    </w:p>
    <w:p>
      <w:pPr>
        <w:pStyle w:val="5"/>
        <w:overflowPunct w:val="0"/>
        <w:spacing w:line="500" w:lineRule="exact"/>
        <w:ind w:firstLine="480"/>
        <w:rPr>
          <w:rFonts w:ascii="宋体" w:hAnsi="宋体" w:cs="宋体"/>
          <w:szCs w:val="24"/>
        </w:rPr>
      </w:pPr>
      <w:r>
        <w:rPr>
          <w:rFonts w:hint="eastAsia" w:ascii="宋体" w:hAnsi="宋体" w:cs="宋体"/>
          <w:szCs w:val="24"/>
        </w:rPr>
        <w:t>12.2最低投标报价不是确定成交候选人的唯一标准，磋商小组根据供应商企业实力、人员配备、实施方案、投标报价等综合因素标准确定成交候选人；</w:t>
      </w:r>
    </w:p>
    <w:p>
      <w:pPr>
        <w:pStyle w:val="5"/>
        <w:overflowPunct w:val="0"/>
        <w:spacing w:line="500" w:lineRule="exact"/>
        <w:ind w:firstLine="480"/>
        <w:rPr>
          <w:rFonts w:ascii="宋体" w:hAnsi="宋体" w:cs="宋体"/>
          <w:szCs w:val="24"/>
        </w:rPr>
      </w:pPr>
      <w:r>
        <w:rPr>
          <w:rFonts w:hint="eastAsia" w:ascii="宋体" w:hAnsi="宋体" w:cs="宋体"/>
          <w:szCs w:val="24"/>
        </w:rPr>
        <w:t>12.3供应商的投标报价应包含本项目相关服务的全部费用，采购不再另行支付其他费用。</w:t>
      </w:r>
    </w:p>
    <w:p>
      <w:pPr>
        <w:pStyle w:val="5"/>
        <w:overflowPunct w:val="0"/>
        <w:spacing w:line="500" w:lineRule="exact"/>
        <w:ind w:firstLine="480"/>
        <w:rPr>
          <w:rFonts w:ascii="宋体" w:hAnsi="宋体" w:cs="宋体"/>
          <w:szCs w:val="24"/>
        </w:rPr>
      </w:pPr>
      <w:r>
        <w:rPr>
          <w:rFonts w:hint="eastAsia" w:ascii="宋体" w:hAnsi="宋体" w:cs="宋体"/>
          <w:szCs w:val="24"/>
        </w:rPr>
        <w:t>12.4供应商应按磋商文件的要求填写相应投标报价表格。如小写与大写不符的，以大写为准。供应商应在投标报价表成交明其提供的所有服务及其相关工作范围内所在费用的总价。</w:t>
      </w:r>
    </w:p>
    <w:p>
      <w:pPr>
        <w:pStyle w:val="5"/>
        <w:overflowPunct w:val="0"/>
        <w:spacing w:line="500" w:lineRule="exact"/>
        <w:ind w:firstLine="480"/>
        <w:rPr>
          <w:rFonts w:ascii="宋体" w:hAnsi="宋体" w:cs="宋体"/>
          <w:szCs w:val="24"/>
        </w:rPr>
      </w:pPr>
      <w:r>
        <w:rPr>
          <w:rFonts w:hint="eastAsia" w:ascii="宋体" w:hAnsi="宋体" w:cs="宋体"/>
          <w:szCs w:val="24"/>
        </w:rPr>
        <w:t>12.5除非合同中另有规定，供应商对《投标报价表》中的全部服务的报价应包括所投本项目工作所发生的全部费用以及供应商企业利润、税金和政策性文件规定及合同包含的所有风险、责任等各项应有费用。投标报价为最终报价，除非因特殊原因并经买卖双方及相关监督部门协商同意，供应商不得再要求追加任何费用。同时，除非合同条款中另有规定，否则，投标单位所报价格在合同实施期间不因市场变化因素而变动。</w:t>
      </w:r>
    </w:p>
    <w:p>
      <w:pPr>
        <w:pStyle w:val="5"/>
        <w:overflowPunct w:val="0"/>
        <w:spacing w:line="500" w:lineRule="exact"/>
        <w:ind w:firstLine="480"/>
        <w:rPr>
          <w:rFonts w:ascii="宋体" w:hAnsi="宋体" w:cs="宋体"/>
          <w:szCs w:val="24"/>
        </w:rPr>
      </w:pPr>
      <w:r>
        <w:rPr>
          <w:rFonts w:hint="eastAsia" w:ascii="宋体" w:hAnsi="宋体" w:cs="宋体"/>
          <w:szCs w:val="24"/>
        </w:rPr>
        <w:t>12.6 供应商应对磋商文件内所要采购的全部内容进行报价，只投其中部分内容者，其投标书将被拒绝。但如果磋商文件要求分标段投标的，则供应商可以根据自己经营许可内容有选择地只投其中一个或几个或全部标段，但各标段应分别计算填写单价和总价。</w:t>
      </w:r>
    </w:p>
    <w:p>
      <w:pPr>
        <w:pStyle w:val="5"/>
        <w:overflowPunct w:val="0"/>
        <w:spacing w:line="500" w:lineRule="exact"/>
        <w:ind w:firstLine="480"/>
        <w:rPr>
          <w:rFonts w:ascii="宋体" w:hAnsi="宋体" w:cs="宋体"/>
          <w:szCs w:val="24"/>
        </w:rPr>
      </w:pPr>
      <w:r>
        <w:rPr>
          <w:rFonts w:hint="eastAsia" w:ascii="宋体" w:hAnsi="宋体" w:cs="宋体"/>
          <w:szCs w:val="24"/>
        </w:rPr>
        <w:t>12.7 一项投标内容只允许一个报价，采购人不接受任何有选择性的投标报价。</w:t>
      </w:r>
    </w:p>
    <w:p>
      <w:pPr>
        <w:spacing w:line="500" w:lineRule="exact"/>
        <w:ind w:left="0" w:firstLine="482" w:firstLineChars="200"/>
        <w:rPr>
          <w:rFonts w:ascii="宋体" w:hAnsi="宋体" w:cs="宋体"/>
          <w:b/>
          <w:sz w:val="24"/>
        </w:rPr>
      </w:pPr>
      <w:r>
        <w:rPr>
          <w:rFonts w:hint="eastAsia" w:ascii="宋体" w:hAnsi="宋体" w:cs="宋体"/>
          <w:b/>
          <w:sz w:val="24"/>
        </w:rPr>
        <w:t>13、供应商应逐条详细阅读竞争性磋商文件有关要求，表明所提供的服务是否对竞争性磋商文件做出实质性响应。</w:t>
      </w:r>
    </w:p>
    <w:p>
      <w:pPr>
        <w:spacing w:line="500" w:lineRule="exact"/>
        <w:ind w:firstLine="482" w:firstLineChars="200"/>
        <w:rPr>
          <w:rFonts w:ascii="宋体" w:hAnsi="宋体" w:cs="宋体"/>
          <w:b/>
          <w:sz w:val="24"/>
        </w:rPr>
      </w:pPr>
      <w:r>
        <w:rPr>
          <w:rFonts w:hint="eastAsia" w:ascii="宋体" w:hAnsi="宋体" w:cs="宋体"/>
          <w:b/>
          <w:sz w:val="24"/>
        </w:rPr>
        <w:t>14、响应文件的有效期</w:t>
      </w:r>
    </w:p>
    <w:p>
      <w:pPr>
        <w:spacing w:line="500" w:lineRule="exact"/>
        <w:ind w:firstLine="480" w:firstLineChars="200"/>
        <w:rPr>
          <w:rFonts w:ascii="宋体" w:hAnsi="宋体" w:cs="宋体"/>
          <w:sz w:val="24"/>
        </w:rPr>
      </w:pPr>
      <w:r>
        <w:rPr>
          <w:rFonts w:hint="eastAsia" w:ascii="宋体" w:hAnsi="宋体" w:cs="宋体"/>
          <w:sz w:val="24"/>
        </w:rPr>
        <w:t>14.1 响应文件从实际开标之日起</w:t>
      </w:r>
      <w:r>
        <w:rPr>
          <w:rFonts w:hint="eastAsia" w:ascii="宋体" w:hAnsi="宋体" w:cs="宋体"/>
          <w:sz w:val="24"/>
          <w:u w:val="single"/>
        </w:rPr>
        <w:t>90</w:t>
      </w:r>
      <w:r>
        <w:rPr>
          <w:rFonts w:hint="eastAsia" w:ascii="宋体" w:hAnsi="宋体" w:cs="宋体"/>
          <w:sz w:val="24"/>
        </w:rPr>
        <w:t>日历天内有效。</w:t>
      </w:r>
    </w:p>
    <w:p>
      <w:pPr>
        <w:spacing w:line="500" w:lineRule="exact"/>
        <w:ind w:firstLine="480" w:firstLineChars="200"/>
        <w:rPr>
          <w:rFonts w:ascii="宋体" w:hAnsi="宋体" w:cs="宋体"/>
          <w:sz w:val="24"/>
        </w:rPr>
      </w:pPr>
      <w:r>
        <w:rPr>
          <w:rFonts w:hint="eastAsia" w:ascii="宋体" w:hAnsi="宋体" w:cs="宋体"/>
          <w:sz w:val="24"/>
        </w:rPr>
        <w:t>14.2 如遇特殊情况，在原投标有效期届满之前，采购人可与供应商协商延长响应文件的有效期，并经供应商确认。</w:t>
      </w:r>
    </w:p>
    <w:p>
      <w:pPr>
        <w:spacing w:line="500" w:lineRule="exact"/>
        <w:ind w:firstLine="482" w:firstLineChars="200"/>
        <w:rPr>
          <w:rFonts w:ascii="宋体" w:hAnsi="宋体" w:cs="宋体"/>
          <w:b/>
          <w:sz w:val="24"/>
        </w:rPr>
      </w:pPr>
      <w:r>
        <w:rPr>
          <w:rFonts w:hint="eastAsia" w:ascii="宋体" w:hAnsi="宋体" w:cs="宋体"/>
          <w:b/>
          <w:sz w:val="24"/>
        </w:rPr>
        <w:t>15、响应文件的份数、签署、字体、装订</w:t>
      </w:r>
    </w:p>
    <w:p>
      <w:pPr>
        <w:spacing w:line="500" w:lineRule="exact"/>
        <w:ind w:firstLine="482" w:firstLineChars="200"/>
        <w:rPr>
          <w:rFonts w:ascii="宋体" w:hAnsi="宋体" w:cs="宋体"/>
          <w:b/>
          <w:bCs/>
          <w:sz w:val="24"/>
        </w:rPr>
      </w:pPr>
      <w:r>
        <w:rPr>
          <w:rFonts w:hint="eastAsia" w:ascii="宋体" w:hAnsi="宋体" w:cs="宋体"/>
          <w:b/>
          <w:bCs/>
          <w:sz w:val="24"/>
        </w:rPr>
        <w:t>15.1 供应商必须按“供应商须知前附表”中规定的“正本”和“副本”份数，响应文件正本和副本如有不一致之处，以正本为准。参考资料数量不限。</w:t>
      </w:r>
    </w:p>
    <w:p>
      <w:pPr>
        <w:spacing w:line="500" w:lineRule="exact"/>
        <w:ind w:firstLine="482" w:firstLineChars="200"/>
        <w:rPr>
          <w:rFonts w:ascii="宋体" w:hAnsi="宋体" w:cs="宋体"/>
          <w:b/>
          <w:bCs/>
          <w:sz w:val="24"/>
        </w:rPr>
      </w:pPr>
      <w:r>
        <w:rPr>
          <w:rFonts w:hint="eastAsia" w:ascii="宋体" w:hAnsi="宋体" w:cs="宋体"/>
          <w:b/>
          <w:bCs/>
          <w:sz w:val="24"/>
        </w:rPr>
        <w:t>15.2响应文件正本须用不褪色的墨水笔书写或打印。响应文件的书写应清楚工整，修改处应由供应商法人或法人授权代表签章。</w:t>
      </w:r>
    </w:p>
    <w:p>
      <w:pPr>
        <w:spacing w:line="500" w:lineRule="exact"/>
        <w:ind w:firstLine="482" w:firstLineChars="200"/>
        <w:rPr>
          <w:rFonts w:ascii="宋体" w:hAnsi="宋体" w:cs="宋体"/>
          <w:b/>
          <w:bCs/>
          <w:sz w:val="24"/>
        </w:rPr>
      </w:pPr>
      <w:r>
        <w:rPr>
          <w:rFonts w:hint="eastAsia" w:ascii="宋体" w:hAnsi="宋体" w:cs="宋体"/>
          <w:b/>
          <w:bCs/>
          <w:sz w:val="24"/>
        </w:rPr>
        <w:t>15.3 响应文件应由企业法人或法人授权代表在凡规定签章处逐一签署及加盖单位公章，副本可为正本的复印。</w:t>
      </w:r>
    </w:p>
    <w:p>
      <w:pPr>
        <w:spacing w:line="500" w:lineRule="exact"/>
        <w:ind w:firstLine="482" w:firstLineChars="200"/>
        <w:rPr>
          <w:rFonts w:ascii="宋体" w:hAnsi="宋体" w:cs="宋体"/>
          <w:b/>
          <w:sz w:val="24"/>
        </w:rPr>
      </w:pPr>
      <w:r>
        <w:rPr>
          <w:rFonts w:hint="eastAsia" w:ascii="宋体" w:hAnsi="宋体" w:cs="宋体"/>
          <w:b/>
          <w:sz w:val="24"/>
        </w:rPr>
        <w:t>15.4响应文件一律采用胶装方式进行装订。</w:t>
      </w:r>
    </w:p>
    <w:p>
      <w:pPr>
        <w:spacing w:line="500" w:lineRule="exact"/>
        <w:ind w:firstLine="482" w:firstLineChars="200"/>
        <w:rPr>
          <w:rFonts w:ascii="宋体" w:hAnsi="宋体" w:cs="宋体"/>
          <w:b/>
          <w:sz w:val="24"/>
        </w:rPr>
      </w:pPr>
      <w:r>
        <w:rPr>
          <w:rFonts w:hint="eastAsia" w:ascii="宋体" w:hAnsi="宋体" w:cs="宋体"/>
          <w:b/>
          <w:sz w:val="24"/>
        </w:rPr>
        <w:t>16、磋商保证金</w:t>
      </w:r>
    </w:p>
    <w:p>
      <w:pPr>
        <w:spacing w:line="500" w:lineRule="exact"/>
        <w:ind w:firstLine="480" w:firstLineChars="200"/>
        <w:rPr>
          <w:rFonts w:ascii="宋体" w:hAnsi="宋体" w:cs="宋体"/>
          <w:sz w:val="24"/>
        </w:rPr>
      </w:pPr>
      <w:r>
        <w:rPr>
          <w:rFonts w:hint="eastAsia" w:ascii="宋体" w:hAnsi="宋体" w:cs="宋体"/>
          <w:sz w:val="24"/>
        </w:rPr>
        <w:t>16.1 磋商保证金数额</w:t>
      </w:r>
      <w:r>
        <w:rPr>
          <w:rFonts w:hint="eastAsia" w:ascii="宋体" w:hAnsi="宋体" w:cs="宋体"/>
          <w:b/>
          <w:sz w:val="24"/>
          <w:u w:val="single"/>
        </w:rPr>
        <w:t>详见供应商须知前附表第4条</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16.2 磋商保证金用于应对本次招标因供应商违规、违约而产生的风险。</w:t>
      </w:r>
    </w:p>
    <w:p>
      <w:pPr>
        <w:spacing w:line="500" w:lineRule="exact"/>
        <w:ind w:firstLine="480" w:firstLineChars="200"/>
        <w:rPr>
          <w:rFonts w:ascii="宋体" w:hAnsi="宋体" w:cs="宋体"/>
          <w:sz w:val="24"/>
        </w:rPr>
      </w:pPr>
      <w:r>
        <w:rPr>
          <w:rFonts w:hint="eastAsia" w:ascii="宋体" w:hAnsi="宋体" w:cs="宋体"/>
          <w:sz w:val="24"/>
        </w:rPr>
        <w:t>16.3 供应商必须于投标截止时间之前（</w:t>
      </w:r>
      <w:r>
        <w:rPr>
          <w:rFonts w:hint="eastAsia" w:ascii="宋体" w:hAnsi="宋体" w:cs="宋体"/>
          <w:b/>
          <w:sz w:val="24"/>
          <w:u w:val="single"/>
        </w:rPr>
        <w:t>详见供应商须知前附表第4条规定）</w:t>
      </w:r>
      <w:r>
        <w:rPr>
          <w:rFonts w:hint="eastAsia" w:ascii="宋体" w:hAnsi="宋体" w:cs="宋体"/>
          <w:sz w:val="24"/>
        </w:rPr>
        <w:t>按将磋商保证金交纳至规定的帐号，对未按要求提交磋商保证金的投标书，将被视为不响应磋商文件予以拒绝。</w:t>
      </w:r>
    </w:p>
    <w:p>
      <w:pPr>
        <w:spacing w:line="500" w:lineRule="exact"/>
        <w:ind w:firstLine="480" w:firstLineChars="200"/>
        <w:rPr>
          <w:rFonts w:ascii="宋体" w:hAnsi="宋体" w:cs="宋体"/>
          <w:sz w:val="24"/>
        </w:rPr>
      </w:pPr>
      <w:r>
        <w:rPr>
          <w:rFonts w:hint="eastAsia" w:ascii="宋体" w:hAnsi="宋体" w:cs="宋体"/>
          <w:sz w:val="24"/>
        </w:rPr>
        <w:t>16.4 磋商保证金应按规定的方式提交。本招标不接受其他形式的磋商保证金。</w:t>
      </w:r>
    </w:p>
    <w:p>
      <w:pPr>
        <w:spacing w:line="500" w:lineRule="exact"/>
        <w:ind w:firstLine="480" w:firstLineChars="200"/>
        <w:rPr>
          <w:rFonts w:ascii="宋体" w:hAnsi="宋体" w:cs="宋体"/>
          <w:sz w:val="24"/>
        </w:rPr>
      </w:pPr>
      <w:r>
        <w:rPr>
          <w:rFonts w:hint="eastAsia" w:ascii="宋体" w:hAnsi="宋体" w:cs="宋体"/>
          <w:sz w:val="24"/>
        </w:rPr>
        <w:t>16.5在采购人规定的投标有效期满之前，采购人将以书面形式发出《成交通知书》，《成交通知书》一经发出即发生法律效力。</w:t>
      </w:r>
    </w:p>
    <w:p>
      <w:pPr>
        <w:spacing w:line="500" w:lineRule="exact"/>
        <w:ind w:firstLine="480" w:firstLineChars="200"/>
        <w:rPr>
          <w:rFonts w:ascii="宋体" w:hAnsi="宋体" w:cs="宋体"/>
          <w:sz w:val="24"/>
        </w:rPr>
      </w:pPr>
      <w:r>
        <w:rPr>
          <w:rFonts w:hint="eastAsia" w:ascii="宋体" w:hAnsi="宋体" w:cs="宋体"/>
          <w:sz w:val="24"/>
        </w:rPr>
        <w:t>16.6 发生以下情况磋商保证金可能被没收：</w:t>
      </w:r>
    </w:p>
    <w:p>
      <w:pPr>
        <w:spacing w:line="500" w:lineRule="exact"/>
        <w:ind w:firstLine="480" w:firstLineChars="200"/>
        <w:rPr>
          <w:rFonts w:ascii="宋体" w:hAnsi="宋体" w:cs="宋体"/>
          <w:sz w:val="24"/>
        </w:rPr>
      </w:pPr>
      <w:r>
        <w:rPr>
          <w:rFonts w:hint="eastAsia" w:ascii="宋体" w:hAnsi="宋体" w:cs="宋体"/>
          <w:sz w:val="24"/>
        </w:rPr>
        <w:t>16.6.1 供应商在投标有效期内撤回投标的；</w:t>
      </w:r>
    </w:p>
    <w:p>
      <w:pPr>
        <w:spacing w:line="500" w:lineRule="exact"/>
        <w:ind w:firstLine="480" w:firstLineChars="200"/>
        <w:rPr>
          <w:rFonts w:ascii="宋体" w:hAnsi="宋体" w:cs="宋体"/>
          <w:sz w:val="24"/>
        </w:rPr>
      </w:pPr>
      <w:r>
        <w:rPr>
          <w:rFonts w:hint="eastAsia" w:ascii="宋体" w:hAnsi="宋体" w:cs="宋体"/>
          <w:sz w:val="24"/>
        </w:rPr>
        <w:t>16.6.2 成交人未能做到：</w:t>
      </w:r>
    </w:p>
    <w:p>
      <w:pPr>
        <w:spacing w:line="500" w:lineRule="exact"/>
        <w:ind w:firstLine="480" w:firstLineChars="200"/>
        <w:rPr>
          <w:rFonts w:ascii="宋体" w:hAnsi="宋体" w:cs="宋体"/>
          <w:sz w:val="24"/>
        </w:rPr>
      </w:pPr>
      <w:r>
        <w:rPr>
          <w:rFonts w:hint="eastAsia" w:ascii="宋体" w:hAnsi="宋体" w:cs="宋体"/>
          <w:sz w:val="24"/>
        </w:rPr>
        <w:t>①按本章第32条规定签定合同、34条规定缴纳履约保证金；</w:t>
      </w:r>
    </w:p>
    <w:p>
      <w:pPr>
        <w:spacing w:line="500" w:lineRule="exact"/>
        <w:ind w:firstLine="480" w:firstLineChars="200"/>
        <w:rPr>
          <w:rFonts w:ascii="宋体" w:hAnsi="宋体" w:cs="宋体"/>
          <w:sz w:val="24"/>
        </w:rPr>
      </w:pPr>
      <w:r>
        <w:rPr>
          <w:rFonts w:hint="eastAsia" w:ascii="宋体" w:hAnsi="宋体" w:cs="宋体"/>
          <w:sz w:val="24"/>
        </w:rPr>
        <w:t>②按本章第37条交付</w:t>
      </w:r>
      <w:r>
        <w:rPr>
          <w:rFonts w:hint="eastAsia" w:ascii="宋体" w:hAnsi="宋体" w:cs="宋体"/>
          <w:sz w:val="24"/>
          <w:lang w:eastAsia="zh-CN"/>
        </w:rPr>
        <w:t>招标代理服务费</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16.6.3供应商在投标过程中有违反有关法律法规行为的。</w:t>
      </w:r>
    </w:p>
    <w:p>
      <w:pPr>
        <w:spacing w:line="480" w:lineRule="exact"/>
        <w:ind w:left="120" w:hanging="120"/>
        <w:jc w:val="center"/>
        <w:rPr>
          <w:rFonts w:ascii="宋体" w:hAnsi="宋体" w:cs="宋体"/>
          <w:b/>
          <w:sz w:val="24"/>
        </w:rPr>
      </w:pPr>
    </w:p>
    <w:p>
      <w:pPr>
        <w:numPr>
          <w:ilvl w:val="0"/>
          <w:numId w:val="4"/>
        </w:numPr>
        <w:spacing w:line="480" w:lineRule="exact"/>
        <w:ind w:left="120" w:hanging="120"/>
        <w:jc w:val="center"/>
        <w:rPr>
          <w:rFonts w:ascii="宋体" w:hAnsi="宋体" w:cs="宋体"/>
          <w:b/>
          <w:sz w:val="24"/>
        </w:rPr>
      </w:pPr>
      <w:r>
        <w:rPr>
          <w:rFonts w:hint="eastAsia" w:ascii="宋体" w:hAnsi="宋体" w:cs="宋体"/>
          <w:b/>
          <w:sz w:val="24"/>
        </w:rPr>
        <w:t>响应文件的递交</w:t>
      </w:r>
    </w:p>
    <w:p>
      <w:pPr>
        <w:spacing w:line="480" w:lineRule="exact"/>
        <w:ind w:firstLine="482" w:firstLineChars="200"/>
        <w:rPr>
          <w:rFonts w:ascii="宋体" w:hAnsi="宋体" w:cs="宋体"/>
          <w:b/>
          <w:sz w:val="24"/>
        </w:rPr>
      </w:pPr>
      <w:r>
        <w:rPr>
          <w:rFonts w:hint="eastAsia" w:ascii="宋体" w:hAnsi="宋体" w:cs="宋体"/>
          <w:b/>
          <w:sz w:val="24"/>
        </w:rPr>
        <w:t>17、响应文件的密封与标记</w:t>
      </w:r>
    </w:p>
    <w:p>
      <w:pPr>
        <w:widowControl/>
        <w:spacing w:line="480" w:lineRule="exact"/>
        <w:ind w:left="-2" w:leftChars="-1" w:firstLine="463" w:firstLineChars="193"/>
        <w:rPr>
          <w:rFonts w:ascii="宋体" w:hAnsi="宋体" w:cs="宋体"/>
          <w:sz w:val="24"/>
        </w:rPr>
      </w:pPr>
      <w:r>
        <w:rPr>
          <w:rFonts w:hint="eastAsia" w:ascii="宋体" w:hAnsi="宋体" w:cs="宋体"/>
          <w:sz w:val="24"/>
        </w:rPr>
        <w:t>17.1</w:t>
      </w:r>
      <w:r>
        <w:rPr>
          <w:rFonts w:hint="eastAsia" w:ascii="宋体" w:hAnsi="宋体" w:cs="宋体"/>
          <w:b/>
          <w:sz w:val="24"/>
        </w:rPr>
        <w:t>供应商应在密封袋上注明项目名称、项目编号、单位名称、地址、联系人、联系电话及正本、副本等字样，密封袋须加盖法人公章或投标专用章以及法定代表人或委托代理人印章，并应确保密封完好。每一密封袋上注明“于XXXX年XX月XX日XX:XX开标之前不准启封”字样。</w:t>
      </w:r>
    </w:p>
    <w:p>
      <w:pPr>
        <w:spacing w:line="480" w:lineRule="exact"/>
        <w:ind w:firstLine="480" w:firstLineChars="200"/>
        <w:rPr>
          <w:rFonts w:ascii="宋体" w:hAnsi="宋体" w:cs="宋体"/>
          <w:sz w:val="24"/>
        </w:rPr>
      </w:pPr>
      <w:r>
        <w:rPr>
          <w:rFonts w:hint="eastAsia" w:ascii="宋体" w:hAnsi="宋体" w:cs="宋体"/>
          <w:sz w:val="24"/>
        </w:rPr>
        <w:t>17.2所有响应文件信袋及包装物上均应贴上封条，封条上应注明以下内容：</w:t>
      </w:r>
    </w:p>
    <w:p>
      <w:pPr>
        <w:spacing w:line="480" w:lineRule="exact"/>
        <w:ind w:firstLine="480" w:firstLineChars="200"/>
        <w:rPr>
          <w:rFonts w:ascii="宋体" w:hAnsi="宋体" w:cs="宋体"/>
          <w:sz w:val="24"/>
        </w:rPr>
      </w:pPr>
      <w:r>
        <w:rPr>
          <w:rFonts w:hint="eastAsia" w:ascii="宋体" w:hAnsi="宋体" w:cs="宋体"/>
          <w:sz w:val="24"/>
        </w:rPr>
        <w:t xml:space="preserve">（1）“密封”； </w:t>
      </w:r>
    </w:p>
    <w:p>
      <w:pPr>
        <w:spacing w:line="480" w:lineRule="exact"/>
        <w:ind w:firstLine="480" w:firstLineChars="200"/>
        <w:rPr>
          <w:rFonts w:ascii="宋体" w:hAnsi="宋体" w:cs="宋体"/>
          <w:sz w:val="24"/>
        </w:rPr>
      </w:pPr>
      <w:r>
        <w:rPr>
          <w:rFonts w:hint="eastAsia" w:ascii="宋体" w:hAnsi="宋体" w:cs="宋体"/>
          <w:sz w:val="24"/>
        </w:rPr>
        <w:t>（2）“开标前不准启封”；</w:t>
      </w:r>
    </w:p>
    <w:p>
      <w:pPr>
        <w:spacing w:line="480" w:lineRule="exact"/>
        <w:ind w:firstLine="480" w:firstLineChars="200"/>
        <w:rPr>
          <w:rFonts w:ascii="宋体" w:hAnsi="宋体" w:cs="宋体"/>
          <w:sz w:val="24"/>
        </w:rPr>
      </w:pPr>
      <w:r>
        <w:rPr>
          <w:rFonts w:hint="eastAsia" w:ascii="宋体" w:hAnsi="宋体" w:cs="宋体"/>
          <w:sz w:val="24"/>
        </w:rPr>
        <w:t>17.4未按本须知要求密封、标记和递交的响应文件，其相关投标将被认定为投标无效。</w:t>
      </w:r>
    </w:p>
    <w:p>
      <w:pPr>
        <w:spacing w:line="480" w:lineRule="exact"/>
        <w:ind w:firstLine="482" w:firstLineChars="200"/>
        <w:rPr>
          <w:rFonts w:ascii="宋体" w:hAnsi="宋体" w:cs="宋体"/>
          <w:b/>
          <w:sz w:val="24"/>
        </w:rPr>
      </w:pPr>
      <w:r>
        <w:rPr>
          <w:rFonts w:hint="eastAsia" w:ascii="宋体" w:hAnsi="宋体" w:cs="宋体"/>
          <w:b/>
          <w:sz w:val="24"/>
        </w:rPr>
        <w:t>18、响应文件递交的截止日期</w:t>
      </w:r>
    </w:p>
    <w:p>
      <w:pPr>
        <w:spacing w:line="480" w:lineRule="exact"/>
        <w:ind w:firstLine="480" w:firstLineChars="200"/>
        <w:rPr>
          <w:rFonts w:ascii="宋体" w:hAnsi="宋体" w:cs="宋体"/>
          <w:sz w:val="24"/>
        </w:rPr>
      </w:pPr>
      <w:r>
        <w:rPr>
          <w:rFonts w:hint="eastAsia" w:ascii="宋体" w:hAnsi="宋体" w:cs="宋体"/>
          <w:sz w:val="24"/>
        </w:rPr>
        <w:t>18.1供应商必须按“供应商须知前附表”中规定的投标截止时间将响应文件送达</w:t>
      </w:r>
      <w:r>
        <w:rPr>
          <w:rFonts w:hint="eastAsia" w:ascii="宋体" w:hAnsi="宋体" w:cs="宋体"/>
          <w:b/>
          <w:sz w:val="24"/>
          <w:u w:val="single"/>
        </w:rPr>
        <w:t xml:space="preserve"> 开标地点 </w:t>
      </w:r>
      <w:r>
        <w:rPr>
          <w:rFonts w:hint="eastAsia" w:ascii="宋体" w:hAnsi="宋体" w:cs="宋体"/>
          <w:sz w:val="24"/>
        </w:rPr>
        <w:t>。</w:t>
      </w:r>
    </w:p>
    <w:p>
      <w:pPr>
        <w:spacing w:line="480" w:lineRule="exact"/>
        <w:ind w:firstLine="480" w:firstLineChars="200"/>
        <w:rPr>
          <w:rFonts w:ascii="宋体" w:hAnsi="宋体" w:cs="宋体"/>
          <w:sz w:val="24"/>
        </w:rPr>
      </w:pPr>
      <w:r>
        <w:rPr>
          <w:rFonts w:hint="eastAsia" w:ascii="宋体" w:hAnsi="宋体" w:cs="宋体"/>
          <w:sz w:val="24"/>
        </w:rPr>
        <w:t>18.2超过竞争性磋商文件规定的投标截止时间送达或邮寄的响应文件将不予接受。</w:t>
      </w:r>
    </w:p>
    <w:p>
      <w:pPr>
        <w:spacing w:line="480" w:lineRule="exact"/>
        <w:ind w:firstLine="482" w:firstLineChars="200"/>
        <w:rPr>
          <w:rFonts w:ascii="宋体" w:hAnsi="宋体" w:cs="宋体"/>
          <w:b/>
          <w:sz w:val="24"/>
        </w:rPr>
      </w:pPr>
      <w:r>
        <w:rPr>
          <w:rFonts w:hint="eastAsia" w:ascii="宋体" w:hAnsi="宋体" w:cs="宋体"/>
          <w:b/>
          <w:sz w:val="24"/>
        </w:rPr>
        <w:t>19、响应文件的修改和撤消</w:t>
      </w:r>
    </w:p>
    <w:p>
      <w:pPr>
        <w:spacing w:line="480" w:lineRule="exact"/>
        <w:ind w:firstLine="480" w:firstLineChars="200"/>
        <w:rPr>
          <w:rFonts w:ascii="宋体" w:hAnsi="宋体" w:cs="宋体"/>
          <w:sz w:val="24"/>
        </w:rPr>
      </w:pPr>
      <w:r>
        <w:rPr>
          <w:rFonts w:hint="eastAsia" w:ascii="宋体" w:hAnsi="宋体" w:cs="宋体"/>
          <w:sz w:val="24"/>
        </w:rPr>
        <w:t>19.1 供应商可以在递交响应文件后，在规定的投标截止时间前，以书面形式向采购人递交通知修改或撤回其响应文件。</w:t>
      </w:r>
    </w:p>
    <w:p>
      <w:pPr>
        <w:spacing w:line="480" w:lineRule="exact"/>
        <w:ind w:firstLine="480" w:firstLineChars="200"/>
        <w:rPr>
          <w:rFonts w:ascii="宋体" w:hAnsi="宋体" w:cs="宋体"/>
          <w:sz w:val="24"/>
        </w:rPr>
      </w:pPr>
      <w:r>
        <w:rPr>
          <w:rFonts w:hint="eastAsia" w:ascii="宋体" w:hAnsi="宋体" w:cs="宋体"/>
          <w:sz w:val="24"/>
        </w:rPr>
        <w:t>19.2 供应商对响应文件的修改或撤消应按本章第18和19条规定进行准备、密封、标注和递交。</w:t>
      </w:r>
    </w:p>
    <w:p>
      <w:pPr>
        <w:spacing w:line="480" w:lineRule="exact"/>
        <w:ind w:firstLine="480" w:firstLineChars="200"/>
        <w:rPr>
          <w:rFonts w:ascii="宋体" w:hAnsi="宋体" w:cs="宋体"/>
          <w:sz w:val="24"/>
        </w:rPr>
      </w:pPr>
      <w:r>
        <w:rPr>
          <w:rFonts w:hint="eastAsia" w:ascii="宋体" w:hAnsi="宋体" w:cs="宋体"/>
          <w:sz w:val="24"/>
        </w:rPr>
        <w:t>19.3 投标截止时间后不得修改响应文件。</w:t>
      </w:r>
    </w:p>
    <w:p>
      <w:pPr>
        <w:spacing w:line="480" w:lineRule="exact"/>
        <w:ind w:firstLine="480" w:firstLineChars="200"/>
        <w:rPr>
          <w:rFonts w:ascii="宋体" w:hAnsi="宋体" w:cs="宋体"/>
          <w:sz w:val="24"/>
        </w:rPr>
      </w:pPr>
      <w:r>
        <w:rPr>
          <w:rFonts w:hint="eastAsia" w:ascii="宋体" w:hAnsi="宋体" w:cs="宋体"/>
          <w:sz w:val="24"/>
        </w:rPr>
        <w:t>19.4 供应商不得在投标截止时间起至响应文件有效期满前撤消响应文件，否则招标机构将没收其磋商保证金，作为对采购代理机构和采购人的违约赔偿金。</w:t>
      </w:r>
    </w:p>
    <w:p>
      <w:pPr>
        <w:spacing w:line="480" w:lineRule="exact"/>
        <w:ind w:left="120" w:hanging="120"/>
        <w:jc w:val="center"/>
        <w:rPr>
          <w:rFonts w:ascii="宋体" w:hAnsi="宋体" w:cs="宋体"/>
          <w:b/>
          <w:sz w:val="24"/>
        </w:rPr>
      </w:pPr>
    </w:p>
    <w:p>
      <w:pPr>
        <w:spacing w:line="480" w:lineRule="exact"/>
        <w:ind w:left="120" w:hanging="120"/>
        <w:jc w:val="center"/>
        <w:rPr>
          <w:rFonts w:ascii="宋体" w:hAnsi="宋体" w:cs="宋体"/>
          <w:b/>
          <w:sz w:val="24"/>
        </w:rPr>
      </w:pPr>
    </w:p>
    <w:p>
      <w:pPr>
        <w:spacing w:line="480" w:lineRule="exact"/>
        <w:ind w:left="120" w:hanging="120"/>
        <w:jc w:val="center"/>
        <w:rPr>
          <w:rFonts w:ascii="宋体" w:hAnsi="宋体" w:cs="宋体"/>
          <w:b/>
          <w:sz w:val="24"/>
        </w:rPr>
      </w:pPr>
      <w:r>
        <w:rPr>
          <w:rFonts w:hint="eastAsia" w:ascii="宋体" w:hAnsi="宋体" w:cs="宋体"/>
          <w:b/>
          <w:sz w:val="24"/>
        </w:rPr>
        <w:t>五、开    标</w:t>
      </w:r>
    </w:p>
    <w:p>
      <w:pPr>
        <w:spacing w:line="480" w:lineRule="exact"/>
        <w:ind w:firstLine="482" w:firstLineChars="200"/>
        <w:rPr>
          <w:rFonts w:ascii="宋体" w:hAnsi="宋体" w:cs="宋体"/>
          <w:b/>
          <w:sz w:val="24"/>
        </w:rPr>
      </w:pPr>
      <w:r>
        <w:rPr>
          <w:rFonts w:hint="eastAsia" w:ascii="宋体" w:hAnsi="宋体" w:cs="宋体"/>
          <w:b/>
          <w:sz w:val="24"/>
        </w:rPr>
        <w:t>20、开标</w:t>
      </w:r>
    </w:p>
    <w:p>
      <w:pPr>
        <w:spacing w:line="480" w:lineRule="exact"/>
        <w:ind w:firstLine="480" w:firstLineChars="200"/>
        <w:rPr>
          <w:rFonts w:ascii="宋体" w:hAnsi="宋体" w:cs="宋体"/>
          <w:sz w:val="24"/>
        </w:rPr>
      </w:pPr>
      <w:r>
        <w:rPr>
          <w:rFonts w:hint="eastAsia" w:ascii="宋体" w:hAnsi="宋体" w:cs="宋体"/>
          <w:sz w:val="24"/>
        </w:rPr>
        <w:t>20.1 采购代理机构按“供应商须知前附表”规定的时间和地点开标，届时请监督人和供应商代表参加并签到。</w:t>
      </w:r>
    </w:p>
    <w:p>
      <w:pPr>
        <w:spacing w:line="480" w:lineRule="exact"/>
        <w:ind w:firstLine="480" w:firstLineChars="200"/>
        <w:rPr>
          <w:rFonts w:ascii="宋体" w:hAnsi="宋体" w:cs="宋体"/>
          <w:sz w:val="24"/>
        </w:rPr>
      </w:pPr>
      <w:r>
        <w:rPr>
          <w:rFonts w:hint="eastAsia" w:ascii="宋体" w:hAnsi="宋体" w:cs="宋体"/>
          <w:sz w:val="24"/>
        </w:rPr>
        <w:t>20.2开标时，采购人代表或监督人查验供应商相关证件是否合格，由采购代理公司或采购人代为检查响应文件密封情况是否完好。</w:t>
      </w:r>
    </w:p>
    <w:p>
      <w:pPr>
        <w:autoSpaceDE w:val="0"/>
        <w:autoSpaceDN w:val="0"/>
        <w:adjustRightInd w:val="0"/>
        <w:spacing w:line="480" w:lineRule="exact"/>
        <w:ind w:left="120" w:hanging="120"/>
        <w:jc w:val="left"/>
        <w:rPr>
          <w:rFonts w:ascii="宋体" w:hAnsi="宋体" w:cs="宋体"/>
          <w:sz w:val="24"/>
        </w:rPr>
      </w:pPr>
      <w:r>
        <w:rPr>
          <w:rFonts w:hint="eastAsia" w:ascii="宋体" w:hAnsi="宋体" w:cs="宋体"/>
          <w:sz w:val="24"/>
        </w:rPr>
        <w:t xml:space="preserve">    20.3 有效证件</w:t>
      </w:r>
    </w:p>
    <w:p>
      <w:pPr>
        <w:spacing w:line="480" w:lineRule="exact"/>
        <w:ind w:firstLine="482" w:firstLineChars="200"/>
        <w:rPr>
          <w:rFonts w:ascii="宋体" w:hAnsi="宋体" w:cs="宋体"/>
          <w:b/>
          <w:sz w:val="24"/>
        </w:rPr>
      </w:pPr>
      <w:r>
        <w:rPr>
          <w:rFonts w:hint="eastAsia" w:ascii="宋体" w:hAnsi="宋体" w:cs="宋体"/>
          <w:b/>
          <w:sz w:val="24"/>
        </w:rPr>
        <w:t>开标时，请各供应商随身携带以下有效证件的原件以备查验：</w:t>
      </w:r>
    </w:p>
    <w:p>
      <w:pPr>
        <w:numPr>
          <w:ilvl w:val="0"/>
          <w:numId w:val="6"/>
        </w:numPr>
        <w:spacing w:line="480" w:lineRule="exact"/>
        <w:ind w:firstLine="482" w:firstLineChars="200"/>
        <w:rPr>
          <w:rFonts w:ascii="宋体" w:hAnsi="宋体" w:cs="宋体"/>
          <w:b/>
          <w:sz w:val="24"/>
        </w:rPr>
      </w:pPr>
      <w:r>
        <w:rPr>
          <w:rFonts w:hint="eastAsia" w:ascii="宋体" w:hAnsi="宋体" w:cs="宋体"/>
          <w:b/>
          <w:sz w:val="24"/>
        </w:rPr>
        <w:t>有效的营业执照；</w:t>
      </w:r>
    </w:p>
    <w:p>
      <w:pPr>
        <w:numPr>
          <w:ilvl w:val="0"/>
          <w:numId w:val="6"/>
        </w:numPr>
        <w:spacing w:line="480" w:lineRule="exact"/>
        <w:ind w:left="50" w:leftChars="0" w:firstLine="482" w:firstLineChars="200"/>
        <w:rPr>
          <w:rFonts w:hint="eastAsia" w:ascii="宋体" w:hAnsi="宋体" w:cs="宋体"/>
          <w:b/>
          <w:sz w:val="24"/>
        </w:rPr>
      </w:pPr>
      <w:r>
        <w:rPr>
          <w:rFonts w:hint="eastAsia" w:ascii="宋体" w:hAnsi="宋体" w:cs="宋体"/>
          <w:b/>
          <w:sz w:val="24"/>
        </w:rPr>
        <w:t>委托代理人须携带法人代表授权书原件及委托人身份证原件(授权书需附法人身份证及委托人身份证复印件)；（如法人代表参加，提供身份证原件及法定代表人证明书原件）；</w:t>
      </w:r>
    </w:p>
    <w:p>
      <w:pPr>
        <w:numPr>
          <w:ilvl w:val="0"/>
          <w:numId w:val="6"/>
        </w:numPr>
        <w:spacing w:line="480" w:lineRule="exact"/>
        <w:ind w:firstLine="482" w:firstLineChars="200"/>
        <w:rPr>
          <w:rFonts w:hint="default" w:ascii="宋体" w:hAnsi="宋体" w:cs="宋体"/>
          <w:b/>
          <w:sz w:val="24"/>
          <w:lang w:val="en-US" w:eastAsia="zh-CN"/>
        </w:rPr>
      </w:pPr>
      <w:r>
        <w:rPr>
          <w:rFonts w:hint="default" w:ascii="宋体" w:hAnsi="宋体" w:cs="宋体"/>
          <w:b/>
          <w:sz w:val="24"/>
          <w:lang w:val="en-US" w:eastAsia="zh-CN"/>
        </w:rPr>
        <w:t>运行维护授权许可证明</w:t>
      </w:r>
      <w:r>
        <w:rPr>
          <w:rFonts w:hint="eastAsia" w:ascii="宋体" w:hAnsi="宋体" w:cs="宋体"/>
          <w:b/>
          <w:sz w:val="24"/>
          <w:lang w:val="en-US" w:eastAsia="zh-CN"/>
        </w:rPr>
        <w:t>；</w:t>
      </w:r>
    </w:p>
    <w:p>
      <w:pPr>
        <w:numPr>
          <w:ilvl w:val="0"/>
          <w:numId w:val="6"/>
        </w:numPr>
        <w:spacing w:line="480" w:lineRule="exact"/>
        <w:ind w:firstLine="482" w:firstLineChars="200"/>
        <w:rPr>
          <w:rFonts w:ascii="宋体" w:hAnsi="宋体" w:cs="宋体"/>
          <w:b/>
          <w:sz w:val="24"/>
        </w:rPr>
      </w:pPr>
      <w:r>
        <w:rPr>
          <w:rFonts w:hint="eastAsia" w:ascii="宋体" w:hAnsi="宋体" w:cs="宋体"/>
          <w:b/>
          <w:sz w:val="24"/>
        </w:rPr>
        <w:t>磋商保证金收据汇款凭证。</w:t>
      </w:r>
    </w:p>
    <w:p>
      <w:pPr>
        <w:spacing w:line="480" w:lineRule="exact"/>
        <w:ind w:firstLine="482" w:firstLineChars="200"/>
        <w:rPr>
          <w:rFonts w:ascii="宋体" w:hAnsi="宋体" w:cs="宋体"/>
          <w:b/>
          <w:sz w:val="24"/>
        </w:rPr>
      </w:pPr>
      <w:r>
        <w:rPr>
          <w:rFonts w:hint="eastAsia" w:ascii="宋体" w:hAnsi="宋体" w:cs="宋体"/>
          <w:b/>
          <w:sz w:val="24"/>
        </w:rPr>
        <w:t>上述资料均为原件或可扫描二维码显示出相应信息的复印件（复印件需加盖单位公章）；未通过证件查验的响应文件将不予以接受。</w:t>
      </w:r>
    </w:p>
    <w:p>
      <w:pPr>
        <w:spacing w:line="480" w:lineRule="exact"/>
        <w:ind w:firstLine="482" w:firstLineChars="200"/>
        <w:rPr>
          <w:rFonts w:ascii="宋体" w:hAnsi="宋体" w:cs="宋体"/>
          <w:b/>
          <w:sz w:val="24"/>
        </w:rPr>
      </w:pPr>
      <w:r>
        <w:rPr>
          <w:rFonts w:hint="eastAsia" w:ascii="宋体" w:hAnsi="宋体" w:cs="宋体"/>
          <w:b/>
          <w:sz w:val="24"/>
        </w:rPr>
        <w:t>20.4供应商的法定代表人或委托代理人未准时参加开标会议的视为自动弃权。</w:t>
      </w:r>
    </w:p>
    <w:p>
      <w:pPr>
        <w:spacing w:line="500" w:lineRule="exact"/>
        <w:ind w:left="120" w:hanging="120"/>
        <w:jc w:val="center"/>
        <w:rPr>
          <w:rFonts w:ascii="宋体" w:hAnsi="宋体" w:cs="宋体"/>
          <w:b/>
          <w:sz w:val="24"/>
        </w:rPr>
      </w:pPr>
      <w:r>
        <w:rPr>
          <w:rFonts w:hint="eastAsia" w:ascii="宋体" w:hAnsi="宋体" w:cs="宋体"/>
          <w:b/>
          <w:sz w:val="24"/>
        </w:rPr>
        <w:t>六、评标、定标</w:t>
      </w:r>
    </w:p>
    <w:p>
      <w:pPr>
        <w:spacing w:line="500" w:lineRule="exact"/>
        <w:ind w:firstLine="482" w:firstLineChars="200"/>
        <w:rPr>
          <w:rFonts w:ascii="宋体" w:hAnsi="宋体" w:cs="宋体"/>
          <w:b/>
          <w:sz w:val="24"/>
        </w:rPr>
      </w:pPr>
      <w:r>
        <w:rPr>
          <w:rFonts w:hint="eastAsia" w:ascii="宋体" w:hAnsi="宋体" w:cs="宋体"/>
          <w:b/>
          <w:sz w:val="24"/>
        </w:rPr>
        <w:t>21、评标</w:t>
      </w:r>
    </w:p>
    <w:p>
      <w:pPr>
        <w:spacing w:line="500" w:lineRule="exact"/>
        <w:ind w:firstLine="480" w:firstLineChars="200"/>
        <w:rPr>
          <w:rFonts w:ascii="宋体" w:hAnsi="宋体" w:cs="宋体"/>
          <w:sz w:val="24"/>
        </w:rPr>
      </w:pPr>
      <w:r>
        <w:rPr>
          <w:rFonts w:hint="eastAsia" w:ascii="宋体" w:hAnsi="宋体" w:cs="宋体"/>
          <w:sz w:val="24"/>
        </w:rPr>
        <w:t xml:space="preserve">21.1  </w:t>
      </w:r>
      <w:r>
        <w:rPr>
          <w:rFonts w:hint="eastAsia" w:ascii="宋体" w:hAnsi="宋体" w:cs="宋体"/>
          <w:b/>
          <w:sz w:val="24"/>
        </w:rPr>
        <w:t xml:space="preserve">磋商小组或评标小组 </w:t>
      </w:r>
    </w:p>
    <w:p>
      <w:pPr>
        <w:spacing w:line="500" w:lineRule="exact"/>
        <w:ind w:left="120" w:hanging="120"/>
        <w:rPr>
          <w:rFonts w:ascii="宋体" w:hAnsi="宋体" w:cs="宋体"/>
          <w:sz w:val="24"/>
        </w:rPr>
      </w:pPr>
      <w:r>
        <w:rPr>
          <w:rFonts w:hint="eastAsia" w:ascii="宋体" w:hAnsi="宋体" w:cs="宋体"/>
          <w:sz w:val="24"/>
        </w:rPr>
        <w:t xml:space="preserve">    21.1.1评标工作由采购人或委托代理机构负责组织组成磋商小组。磋商小组由有关技术、经济等方面的磋商小组组成，具体评标事务由磋商小组负责，并独立履行其法规规定的职责。</w:t>
      </w:r>
    </w:p>
    <w:p>
      <w:pPr>
        <w:spacing w:line="500" w:lineRule="exact"/>
        <w:ind w:left="120" w:hanging="120"/>
        <w:rPr>
          <w:rFonts w:ascii="宋体" w:hAnsi="宋体" w:cs="宋体"/>
          <w:b/>
          <w:bCs/>
          <w:sz w:val="24"/>
        </w:rPr>
      </w:pPr>
      <w:r>
        <w:rPr>
          <w:rFonts w:hint="eastAsia" w:ascii="宋体" w:hAnsi="宋体" w:cs="宋体"/>
          <w:b/>
          <w:bCs/>
          <w:sz w:val="24"/>
        </w:rPr>
        <w:t>21.1.2磋商小组由采购人和（或）专家库中熟悉相关技术的专家组成，成员人数为三人以上的单数，其中熟悉相关技术方面的专家不得少于成员总数的三之二。磋商小组设负责人的，磋商小组负责人由磋商小组推举产生或者由采购人确定。磋商小组负责人与磋商小组的其他成员有同等的表决权。</w:t>
      </w:r>
    </w:p>
    <w:p>
      <w:pPr>
        <w:spacing w:line="500" w:lineRule="exact"/>
        <w:ind w:left="120" w:hanging="120"/>
        <w:rPr>
          <w:rFonts w:ascii="宋体" w:hAnsi="宋体" w:cs="宋体"/>
          <w:sz w:val="24"/>
        </w:rPr>
      </w:pPr>
      <w:r>
        <w:rPr>
          <w:rFonts w:hint="eastAsia" w:ascii="宋体" w:hAnsi="宋体" w:cs="宋体"/>
          <w:sz w:val="24"/>
        </w:rPr>
        <w:t xml:space="preserve">    21.1.3  磋商小组或评标小组负责具体的评标事务，并独立履行以下职责：</w:t>
      </w:r>
    </w:p>
    <w:p>
      <w:pPr>
        <w:spacing w:line="500" w:lineRule="exact"/>
        <w:ind w:left="120" w:hanging="120"/>
        <w:rPr>
          <w:rFonts w:ascii="宋体" w:hAnsi="宋体" w:cs="宋体"/>
          <w:sz w:val="24"/>
        </w:rPr>
      </w:pPr>
      <w:r>
        <w:rPr>
          <w:rFonts w:hint="eastAsia" w:ascii="宋体" w:hAnsi="宋体" w:cs="宋体"/>
          <w:sz w:val="24"/>
        </w:rPr>
        <w:t xml:space="preserve">    21.1.3.1 审查响应文件是否符合竞争性磋商文件的要求，并作出评价；</w:t>
      </w:r>
    </w:p>
    <w:p>
      <w:pPr>
        <w:spacing w:line="500" w:lineRule="exact"/>
        <w:ind w:left="120" w:hanging="120"/>
        <w:rPr>
          <w:rFonts w:ascii="宋体" w:hAnsi="宋体" w:cs="宋体"/>
          <w:sz w:val="24"/>
        </w:rPr>
      </w:pPr>
      <w:r>
        <w:rPr>
          <w:rFonts w:hint="eastAsia" w:ascii="宋体" w:hAnsi="宋体" w:cs="宋体"/>
          <w:sz w:val="24"/>
        </w:rPr>
        <w:t xml:space="preserve">    21.1.3.2 可以要求投标供应商对响应文件有关事项作出解释或澄清；</w:t>
      </w:r>
    </w:p>
    <w:p>
      <w:pPr>
        <w:spacing w:line="500" w:lineRule="exact"/>
        <w:ind w:left="120" w:hanging="120"/>
        <w:rPr>
          <w:rFonts w:ascii="宋体" w:hAnsi="宋体" w:cs="宋体"/>
          <w:sz w:val="24"/>
        </w:rPr>
      </w:pPr>
      <w:r>
        <w:rPr>
          <w:rFonts w:hint="eastAsia" w:ascii="宋体" w:hAnsi="宋体" w:cs="宋体"/>
          <w:sz w:val="24"/>
        </w:rPr>
        <w:t xml:space="preserve">    21.1.3.3 推荐成交候选供应商名单，或者受采购人委托按照事先确定的办法直接确定成交人；</w:t>
      </w:r>
    </w:p>
    <w:p>
      <w:pPr>
        <w:spacing w:line="500" w:lineRule="exact"/>
        <w:ind w:left="120" w:hanging="120"/>
        <w:rPr>
          <w:rFonts w:ascii="宋体" w:hAnsi="宋体" w:cs="宋体"/>
          <w:sz w:val="24"/>
        </w:rPr>
      </w:pPr>
      <w:r>
        <w:rPr>
          <w:rFonts w:hint="eastAsia" w:ascii="宋体" w:hAnsi="宋体" w:cs="宋体"/>
          <w:sz w:val="24"/>
        </w:rPr>
        <w:t xml:space="preserve">    21.1.3.4 向采购单位或者有关部门报告非法干预评标工作的行为。</w:t>
      </w:r>
    </w:p>
    <w:p>
      <w:pPr>
        <w:spacing w:line="500" w:lineRule="exact"/>
        <w:ind w:left="120" w:hanging="120"/>
        <w:rPr>
          <w:rFonts w:ascii="宋体" w:hAnsi="宋体" w:cs="宋体"/>
          <w:sz w:val="24"/>
        </w:rPr>
      </w:pPr>
      <w:r>
        <w:rPr>
          <w:rFonts w:hint="eastAsia" w:ascii="宋体" w:hAnsi="宋体" w:cs="宋体"/>
          <w:sz w:val="24"/>
        </w:rPr>
        <w:t xml:space="preserve">    21.1.4 磋商小组成员应当履行下列义务：</w:t>
      </w:r>
    </w:p>
    <w:p>
      <w:pPr>
        <w:spacing w:line="500" w:lineRule="exact"/>
        <w:ind w:left="120" w:hanging="120"/>
        <w:rPr>
          <w:rFonts w:ascii="宋体" w:hAnsi="宋体" w:cs="宋体"/>
          <w:sz w:val="24"/>
        </w:rPr>
      </w:pPr>
      <w:r>
        <w:rPr>
          <w:rFonts w:hint="eastAsia" w:ascii="宋体" w:hAnsi="宋体" w:cs="宋体"/>
          <w:sz w:val="24"/>
        </w:rPr>
        <w:t xml:space="preserve">    21.1.4.1 遵纪守法，客观、公正、廉洁地履行职责；</w:t>
      </w:r>
    </w:p>
    <w:p>
      <w:pPr>
        <w:spacing w:line="500" w:lineRule="exact"/>
        <w:ind w:left="120" w:hanging="120"/>
        <w:rPr>
          <w:rFonts w:ascii="宋体" w:hAnsi="宋体" w:cs="宋体"/>
          <w:sz w:val="24"/>
        </w:rPr>
      </w:pPr>
      <w:r>
        <w:rPr>
          <w:rFonts w:hint="eastAsia" w:ascii="宋体" w:hAnsi="宋体" w:cs="宋体"/>
          <w:sz w:val="24"/>
        </w:rPr>
        <w:t xml:space="preserve">    21.1.4 .2 按照竞争性磋商文件规定的评标办法和评标标准进行评标，对评审意见承担个人责任；</w:t>
      </w:r>
    </w:p>
    <w:p>
      <w:pPr>
        <w:spacing w:line="500" w:lineRule="exact"/>
        <w:ind w:left="120" w:hanging="120"/>
        <w:rPr>
          <w:rFonts w:ascii="宋体" w:hAnsi="宋体" w:cs="宋体"/>
          <w:sz w:val="24"/>
        </w:rPr>
      </w:pPr>
      <w:r>
        <w:rPr>
          <w:rFonts w:hint="eastAsia" w:ascii="宋体" w:hAnsi="宋体" w:cs="宋体"/>
          <w:sz w:val="24"/>
        </w:rPr>
        <w:t xml:space="preserve">    21.1.4 .3 对评标过程和结果，以及供应商的商业秘密保密；</w:t>
      </w:r>
    </w:p>
    <w:p>
      <w:pPr>
        <w:spacing w:line="500" w:lineRule="exact"/>
        <w:ind w:left="120" w:hanging="120"/>
        <w:rPr>
          <w:rFonts w:ascii="宋体" w:hAnsi="宋体" w:cs="宋体"/>
          <w:sz w:val="24"/>
        </w:rPr>
      </w:pPr>
      <w:r>
        <w:rPr>
          <w:rFonts w:hint="eastAsia" w:ascii="宋体" w:hAnsi="宋体" w:cs="宋体"/>
          <w:sz w:val="24"/>
        </w:rPr>
        <w:t xml:space="preserve">    21.1.4 .4 参与评标报告的起草；</w:t>
      </w:r>
    </w:p>
    <w:p>
      <w:pPr>
        <w:spacing w:line="500" w:lineRule="exact"/>
        <w:ind w:left="120" w:hanging="120"/>
        <w:rPr>
          <w:rFonts w:ascii="宋体" w:hAnsi="宋体" w:cs="宋体"/>
          <w:sz w:val="24"/>
        </w:rPr>
      </w:pPr>
      <w:r>
        <w:rPr>
          <w:rFonts w:hint="eastAsia" w:ascii="宋体" w:hAnsi="宋体" w:cs="宋体"/>
          <w:sz w:val="24"/>
        </w:rPr>
        <w:t xml:space="preserve">    21.1.4 .5 配合财政部门的投诉处理工作；</w:t>
      </w:r>
    </w:p>
    <w:p>
      <w:pPr>
        <w:spacing w:line="500" w:lineRule="exact"/>
        <w:ind w:left="120" w:hanging="120"/>
        <w:rPr>
          <w:rFonts w:ascii="宋体" w:hAnsi="宋体" w:cs="宋体"/>
          <w:sz w:val="24"/>
        </w:rPr>
      </w:pPr>
      <w:r>
        <w:rPr>
          <w:rFonts w:hint="eastAsia" w:ascii="宋体" w:hAnsi="宋体" w:cs="宋体"/>
          <w:sz w:val="24"/>
        </w:rPr>
        <w:t xml:space="preserve">    21.1.4 .6 配合采购单位答复投标供应商提出的质疑。</w:t>
      </w:r>
    </w:p>
    <w:p>
      <w:pPr>
        <w:spacing w:line="500" w:lineRule="exact"/>
        <w:ind w:firstLine="480" w:firstLineChars="200"/>
        <w:rPr>
          <w:rFonts w:ascii="宋体" w:hAnsi="宋体" w:cs="宋体"/>
          <w:b/>
          <w:sz w:val="24"/>
        </w:rPr>
      </w:pPr>
      <w:r>
        <w:rPr>
          <w:rFonts w:hint="eastAsia" w:ascii="宋体" w:hAnsi="宋体" w:cs="宋体"/>
          <w:sz w:val="24"/>
        </w:rPr>
        <w:t>21.2按国家计委等七部委颁发的《磋商小组和评标方法暂行规定》，结合本项目特点，</w:t>
      </w:r>
      <w:r>
        <w:rPr>
          <w:rFonts w:hint="eastAsia" w:ascii="宋体" w:hAnsi="宋体" w:cs="宋体"/>
          <w:b/>
          <w:sz w:val="24"/>
        </w:rPr>
        <w:t xml:space="preserve">本项目采用竞争性磋商方式（本项目采用两轮报价，供应商提交报价后，磋商小组对满足所有实质性要求提交最后报价的供应商的响应文件和供应商提交的报价等进行综合评分，得分由高到低排序推荐成交候选人）。  </w:t>
      </w:r>
    </w:p>
    <w:p>
      <w:pPr>
        <w:spacing w:line="500" w:lineRule="exact"/>
        <w:ind w:firstLine="480" w:firstLineChars="200"/>
        <w:rPr>
          <w:rFonts w:ascii="宋体" w:hAnsi="宋体" w:cs="宋体"/>
          <w:sz w:val="24"/>
        </w:rPr>
      </w:pPr>
      <w:r>
        <w:rPr>
          <w:rFonts w:hint="eastAsia" w:ascii="宋体" w:hAnsi="宋体" w:cs="宋体"/>
          <w:sz w:val="24"/>
        </w:rPr>
        <w:t>21.3 评标的依据为竞争性磋商文件和响应文件。</w:t>
      </w:r>
    </w:p>
    <w:p>
      <w:pPr>
        <w:spacing w:line="500" w:lineRule="exact"/>
        <w:ind w:firstLine="480" w:firstLineChars="200"/>
        <w:rPr>
          <w:rFonts w:ascii="宋体" w:hAnsi="宋体" w:cs="宋体"/>
          <w:sz w:val="24"/>
        </w:rPr>
      </w:pPr>
      <w:r>
        <w:rPr>
          <w:rFonts w:hint="eastAsia" w:ascii="宋体" w:hAnsi="宋体" w:cs="宋体"/>
          <w:sz w:val="24"/>
        </w:rPr>
        <w:t>21.4评标过程的保密性。开标后，直到授予供应商合同止，凡是属于审查、澄清、评价和比较的有关资料以及授标建议等均不得向供应商或其他无关的人员透露。</w:t>
      </w:r>
    </w:p>
    <w:p>
      <w:pPr>
        <w:spacing w:line="500" w:lineRule="exact"/>
        <w:ind w:firstLine="480" w:firstLineChars="200"/>
        <w:rPr>
          <w:rFonts w:ascii="宋体" w:hAnsi="宋体" w:cs="宋体"/>
          <w:sz w:val="24"/>
        </w:rPr>
      </w:pPr>
      <w:r>
        <w:rPr>
          <w:rFonts w:hint="eastAsia" w:ascii="宋体" w:hAnsi="宋体" w:cs="宋体"/>
          <w:sz w:val="24"/>
        </w:rPr>
        <w:t>21.5 供应商在评标过程中所进行的力图影响评标结果、有悖于招标规则的活动，可能导致取消其成交资格。</w:t>
      </w:r>
    </w:p>
    <w:p>
      <w:pPr>
        <w:spacing w:line="500" w:lineRule="exact"/>
        <w:ind w:firstLine="480" w:firstLineChars="200"/>
        <w:rPr>
          <w:rFonts w:ascii="宋体" w:hAnsi="宋体" w:cs="宋体"/>
          <w:sz w:val="24"/>
        </w:rPr>
      </w:pPr>
      <w:r>
        <w:rPr>
          <w:rFonts w:hint="eastAsia" w:ascii="宋体" w:hAnsi="宋体" w:cs="宋体"/>
          <w:sz w:val="24"/>
        </w:rPr>
        <w:t>21.6 与竞争性磋商文件有重大偏离的响应文件将被拒绝。且此重大偏离在开标后不许修改。</w:t>
      </w:r>
    </w:p>
    <w:p>
      <w:pPr>
        <w:spacing w:line="500" w:lineRule="exact"/>
        <w:ind w:firstLine="480" w:firstLineChars="200"/>
        <w:rPr>
          <w:rFonts w:ascii="宋体" w:hAnsi="宋体" w:cs="宋体"/>
          <w:sz w:val="24"/>
        </w:rPr>
      </w:pPr>
      <w:r>
        <w:rPr>
          <w:rFonts w:hint="eastAsia" w:ascii="宋体" w:hAnsi="宋体" w:cs="宋体"/>
          <w:sz w:val="24"/>
        </w:rPr>
        <w:t>21.7 根据国家计委等七部委颁发的《磋商小组和评标方法暂行规定》以下为</w:t>
      </w:r>
      <w:r>
        <w:rPr>
          <w:rFonts w:hint="eastAsia" w:ascii="宋体" w:hAnsi="宋体" w:cs="宋体"/>
          <w:b/>
          <w:bCs/>
          <w:sz w:val="24"/>
        </w:rPr>
        <w:t>重大偏离：</w:t>
      </w:r>
    </w:p>
    <w:p>
      <w:pPr>
        <w:spacing w:line="500" w:lineRule="exact"/>
        <w:ind w:firstLine="480" w:firstLineChars="200"/>
        <w:rPr>
          <w:rFonts w:ascii="宋体" w:hAnsi="宋体" w:cs="宋体"/>
          <w:sz w:val="24"/>
        </w:rPr>
      </w:pPr>
      <w:r>
        <w:rPr>
          <w:rFonts w:hint="eastAsia" w:ascii="宋体" w:hAnsi="宋体" w:cs="宋体"/>
          <w:sz w:val="24"/>
        </w:rPr>
        <w:t>（一）</w:t>
      </w:r>
      <w:r>
        <w:rPr>
          <w:rFonts w:hint="eastAsia" w:ascii="宋体" w:hAnsi="宋体" w:cs="宋体"/>
          <w:sz w:val="24"/>
          <w:u w:val="single"/>
        </w:rPr>
        <w:t>磋商保证金的缴纳主体与供应商不一致的，</w:t>
      </w:r>
      <w:r>
        <w:rPr>
          <w:rFonts w:hint="eastAsia" w:ascii="宋体" w:hAnsi="宋体" w:cs="宋体"/>
          <w:sz w:val="24"/>
        </w:rPr>
        <w:t>没有按照竞争性磋商文件要求提供投标担保，或者所提供的投标担保有瑕疵的；</w:t>
      </w:r>
    </w:p>
    <w:p>
      <w:pPr>
        <w:spacing w:line="500" w:lineRule="exact"/>
        <w:ind w:firstLine="480" w:firstLineChars="200"/>
        <w:rPr>
          <w:rFonts w:ascii="宋体" w:hAnsi="宋体" w:cs="宋体"/>
          <w:sz w:val="24"/>
        </w:rPr>
      </w:pPr>
      <w:r>
        <w:rPr>
          <w:rFonts w:hint="eastAsia" w:ascii="宋体" w:hAnsi="宋体" w:cs="宋体"/>
          <w:sz w:val="24"/>
        </w:rPr>
        <w:t>（二）响应文件没有供应商法定代表人或其授权代表签字（章）和加盖供应商公章的；</w:t>
      </w:r>
    </w:p>
    <w:p>
      <w:pPr>
        <w:spacing w:line="500" w:lineRule="exact"/>
        <w:ind w:firstLine="480" w:firstLineChars="200"/>
        <w:rPr>
          <w:rFonts w:ascii="宋体" w:hAnsi="宋体" w:cs="宋体"/>
          <w:sz w:val="24"/>
        </w:rPr>
      </w:pPr>
      <w:r>
        <w:rPr>
          <w:rFonts w:hint="eastAsia" w:ascii="宋体" w:hAnsi="宋体" w:cs="宋体"/>
          <w:sz w:val="24"/>
        </w:rPr>
        <w:t>（三）响应文件记载的招标项目完成期限超过竞争性磋商文件规定的完成期限；</w:t>
      </w:r>
    </w:p>
    <w:p>
      <w:pPr>
        <w:spacing w:line="500" w:lineRule="exact"/>
        <w:ind w:firstLine="480" w:firstLineChars="200"/>
        <w:rPr>
          <w:rFonts w:ascii="宋体" w:hAnsi="宋体" w:cs="宋体"/>
          <w:sz w:val="24"/>
        </w:rPr>
      </w:pPr>
      <w:r>
        <w:rPr>
          <w:rFonts w:hint="eastAsia" w:ascii="宋体" w:hAnsi="宋体" w:cs="宋体"/>
          <w:sz w:val="24"/>
        </w:rPr>
        <w:t>（四）商务条款有偏离情况的；</w:t>
      </w:r>
    </w:p>
    <w:p>
      <w:pPr>
        <w:spacing w:line="500" w:lineRule="exact"/>
        <w:ind w:firstLine="480" w:firstLineChars="200"/>
        <w:rPr>
          <w:rFonts w:ascii="宋体" w:hAnsi="宋体" w:cs="宋体"/>
          <w:sz w:val="24"/>
        </w:rPr>
      </w:pPr>
      <w:r>
        <w:rPr>
          <w:rFonts w:hint="eastAsia" w:ascii="宋体" w:hAnsi="宋体" w:cs="宋体"/>
          <w:sz w:val="24"/>
        </w:rPr>
        <w:t>（五）技术条款有偏离情况的；</w:t>
      </w:r>
    </w:p>
    <w:p>
      <w:pPr>
        <w:spacing w:line="500" w:lineRule="exact"/>
        <w:ind w:firstLine="480" w:firstLineChars="200"/>
        <w:rPr>
          <w:rFonts w:ascii="宋体" w:hAnsi="宋体" w:cs="宋体"/>
          <w:sz w:val="24"/>
        </w:rPr>
      </w:pPr>
      <w:r>
        <w:rPr>
          <w:rFonts w:hint="eastAsia" w:ascii="宋体" w:hAnsi="宋体" w:cs="宋体"/>
          <w:sz w:val="24"/>
        </w:rPr>
        <w:t>（六）投标附有采购人不能接受的条件；</w:t>
      </w:r>
    </w:p>
    <w:p>
      <w:pPr>
        <w:spacing w:line="500" w:lineRule="exact"/>
        <w:ind w:firstLine="480" w:firstLineChars="200"/>
        <w:rPr>
          <w:rFonts w:ascii="宋体" w:hAnsi="宋体" w:cs="宋体"/>
          <w:sz w:val="24"/>
        </w:rPr>
      </w:pPr>
      <w:r>
        <w:rPr>
          <w:rFonts w:hint="eastAsia" w:ascii="宋体" w:hAnsi="宋体" w:cs="宋体"/>
          <w:sz w:val="24"/>
        </w:rPr>
        <w:t>（七）不符合竞争性磋商文件中规定的其他实质性要求</w:t>
      </w:r>
    </w:p>
    <w:p>
      <w:pPr>
        <w:spacing w:line="500" w:lineRule="exact"/>
        <w:ind w:firstLine="480" w:firstLineChars="200"/>
        <w:rPr>
          <w:rFonts w:ascii="宋体" w:hAnsi="宋体" w:cs="宋体"/>
          <w:sz w:val="24"/>
        </w:rPr>
      </w:pPr>
      <w:r>
        <w:rPr>
          <w:rFonts w:hint="eastAsia" w:ascii="宋体" w:hAnsi="宋体" w:cs="宋体"/>
          <w:sz w:val="24"/>
        </w:rPr>
        <w:t>（八)投标报价不符合竞争性磋商文件规定的要求。</w:t>
      </w:r>
    </w:p>
    <w:p>
      <w:pPr>
        <w:spacing w:line="500" w:lineRule="exact"/>
        <w:ind w:firstLine="480" w:firstLineChars="200"/>
        <w:rPr>
          <w:rFonts w:ascii="宋体" w:hAnsi="宋体" w:cs="宋体"/>
          <w:sz w:val="24"/>
        </w:rPr>
      </w:pPr>
      <w:r>
        <w:rPr>
          <w:rFonts w:hint="eastAsia" w:ascii="宋体" w:hAnsi="宋体" w:cs="宋体"/>
          <w:sz w:val="24"/>
        </w:rPr>
        <w:t>响应文件有上述情形之一的，视为非实质性响应招标，并按规定作否决其投标处理。竞争性磋商文件对重大偏差另有规定的，从其规定。</w:t>
      </w:r>
    </w:p>
    <w:p>
      <w:pPr>
        <w:spacing w:line="500" w:lineRule="exact"/>
        <w:ind w:firstLine="480" w:firstLineChars="200"/>
        <w:rPr>
          <w:rFonts w:ascii="宋体" w:hAnsi="宋体" w:cs="宋体"/>
          <w:sz w:val="24"/>
        </w:rPr>
      </w:pPr>
      <w:r>
        <w:rPr>
          <w:rFonts w:hint="eastAsia" w:ascii="宋体" w:hAnsi="宋体" w:cs="宋体"/>
          <w:sz w:val="24"/>
        </w:rPr>
        <w:t>磋商小组应当审查每一响应文件是否对竞争性磋商文件提出的所有实质性要求和条件作出响应。未能在实质上响应招标的投标，将作否决其投标处理。</w:t>
      </w:r>
    </w:p>
    <w:p>
      <w:pPr>
        <w:spacing w:line="500" w:lineRule="exact"/>
        <w:ind w:firstLine="482" w:firstLineChars="200"/>
        <w:rPr>
          <w:rFonts w:ascii="宋体" w:hAnsi="宋体" w:cs="宋体"/>
          <w:b/>
          <w:sz w:val="24"/>
        </w:rPr>
      </w:pPr>
      <w:r>
        <w:rPr>
          <w:rFonts w:hint="eastAsia" w:ascii="宋体" w:hAnsi="宋体" w:cs="宋体"/>
          <w:b/>
          <w:sz w:val="24"/>
        </w:rPr>
        <w:t>22、对响应文件的初步审查和响应性确定</w:t>
      </w:r>
    </w:p>
    <w:p>
      <w:pPr>
        <w:spacing w:line="500" w:lineRule="exact"/>
        <w:ind w:firstLine="480" w:firstLineChars="200"/>
        <w:rPr>
          <w:rFonts w:ascii="宋体" w:hAnsi="宋体" w:cs="宋体"/>
          <w:sz w:val="24"/>
        </w:rPr>
      </w:pPr>
      <w:r>
        <w:rPr>
          <w:rFonts w:hint="eastAsia" w:ascii="宋体" w:hAnsi="宋体" w:cs="宋体"/>
          <w:sz w:val="24"/>
        </w:rPr>
        <w:t>22.1 开标后采购人将审查响应文件的完整性、准确性以及保证金提交、文件签署情况。在审查时，投标报价大写与数字有出入，以大写金额为准。若供应商拒绝接受上述修正，其投标将可能被拒绝。</w:t>
      </w:r>
    </w:p>
    <w:p>
      <w:pPr>
        <w:spacing w:line="500" w:lineRule="exact"/>
        <w:ind w:firstLine="480" w:firstLineChars="200"/>
        <w:rPr>
          <w:rFonts w:ascii="宋体" w:hAnsi="宋体" w:cs="宋体"/>
          <w:sz w:val="24"/>
        </w:rPr>
      </w:pPr>
      <w:r>
        <w:rPr>
          <w:rFonts w:hint="eastAsia" w:ascii="宋体" w:hAnsi="宋体" w:cs="宋体"/>
          <w:sz w:val="24"/>
        </w:rPr>
        <w:t>22.2 在对响应文件进行详细评估之前，磋商小组将审查每一份响应文件是否对竞争性磋商文件的要求作出了实质性的响应。实质性响应的响应文件应该是与竞争性磋商文件的全部条款、条件和技术规格相符，而没有重大偏离。</w:t>
      </w:r>
    </w:p>
    <w:p>
      <w:pPr>
        <w:spacing w:line="500" w:lineRule="exact"/>
        <w:ind w:firstLine="480" w:firstLineChars="200"/>
        <w:rPr>
          <w:rFonts w:ascii="宋体" w:hAnsi="宋体" w:cs="宋体"/>
          <w:sz w:val="24"/>
        </w:rPr>
      </w:pPr>
      <w:r>
        <w:rPr>
          <w:rFonts w:hint="eastAsia" w:ascii="宋体" w:hAnsi="宋体" w:cs="宋体"/>
          <w:sz w:val="24"/>
        </w:rPr>
        <w:t>22.3采购人判断响应文件的响应性是基于响应文件本身而不靠外部证据。</w:t>
      </w:r>
    </w:p>
    <w:p>
      <w:pPr>
        <w:spacing w:line="500" w:lineRule="exact"/>
        <w:ind w:firstLine="480" w:firstLineChars="200"/>
        <w:rPr>
          <w:rFonts w:ascii="宋体" w:hAnsi="宋体" w:cs="宋体"/>
          <w:sz w:val="24"/>
        </w:rPr>
      </w:pPr>
      <w:r>
        <w:rPr>
          <w:rFonts w:hint="eastAsia" w:ascii="宋体" w:hAnsi="宋体" w:cs="宋体"/>
          <w:sz w:val="24"/>
        </w:rPr>
        <w:t>22.4 采购人将拒绝被定为非响应性的投标，供应商不能通过修正或撤消不符之处而使其投标成为响应性投标。</w:t>
      </w:r>
    </w:p>
    <w:p>
      <w:pPr>
        <w:ind w:left="239" w:leftChars="114" w:firstLine="361" w:firstLineChars="150"/>
        <w:jc w:val="left"/>
        <w:rPr>
          <w:rFonts w:ascii="宋体" w:hAnsi="宋体" w:cs="宋体"/>
          <w:b/>
          <w:bCs/>
          <w:sz w:val="24"/>
        </w:rPr>
      </w:pPr>
      <w:r>
        <w:rPr>
          <w:rFonts w:hint="eastAsia" w:ascii="宋体" w:hAnsi="宋体" w:cs="宋体"/>
          <w:b/>
          <w:bCs/>
          <w:sz w:val="24"/>
        </w:rPr>
        <w:br w:type="page"/>
      </w:r>
    </w:p>
    <w:p>
      <w:pPr>
        <w:ind w:left="239" w:leftChars="114" w:firstLine="361" w:firstLineChars="150"/>
        <w:jc w:val="left"/>
        <w:rPr>
          <w:rFonts w:ascii="宋体" w:hAnsi="宋体" w:cs="宋体"/>
          <w:b/>
          <w:bCs/>
          <w:sz w:val="36"/>
          <w:szCs w:val="36"/>
        </w:rPr>
      </w:pPr>
      <w:r>
        <w:rPr>
          <w:rFonts w:hint="eastAsia" w:ascii="宋体" w:hAnsi="宋体" w:cs="宋体"/>
          <w:b/>
          <w:bCs/>
          <w:sz w:val="24"/>
        </w:rPr>
        <w:t>22.5投标评审标准：</w:t>
      </w:r>
    </w:p>
    <w:p>
      <w:pPr>
        <w:pStyle w:val="4"/>
        <w:numPr>
          <w:ilvl w:val="0"/>
          <w:numId w:val="7"/>
        </w:numPr>
        <w:ind w:left="151" w:hanging="151"/>
        <w:rPr>
          <w:rFonts w:ascii="宋体" w:hAnsi="宋体" w:cs="宋体"/>
          <w:kern w:val="0"/>
          <w:sz w:val="18"/>
          <w:szCs w:val="20"/>
        </w:rPr>
      </w:pPr>
      <w:bookmarkStart w:id="38" w:name="_Toc80113533"/>
      <w:bookmarkStart w:id="39" w:name="_Toc14939"/>
      <w:r>
        <w:rPr>
          <w:rFonts w:hint="eastAsia" w:ascii="宋体" w:hAnsi="宋体" w:cs="宋体"/>
        </w:rPr>
        <w:t>资格审查</w:t>
      </w:r>
      <w:bookmarkEnd w:id="38"/>
      <w:bookmarkEnd w:id="39"/>
      <w:bookmarkStart w:id="40" w:name="_Toc15501"/>
    </w:p>
    <w:tbl>
      <w:tblPr>
        <w:tblStyle w:val="74"/>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707"/>
        <w:gridCol w:w="2244"/>
        <w:gridCol w:w="3857"/>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2" w:type="dxa"/>
            <w:noWrap/>
            <w:vAlign w:val="center"/>
          </w:tcPr>
          <w:p>
            <w:pPr>
              <w:jc w:val="both"/>
              <w:rPr>
                <w:rFonts w:hint="eastAsia" w:ascii="宋体" w:hAnsi="宋体" w:eastAsia="宋体" w:cs="仿宋"/>
                <w:color w:val="000000"/>
                <w:kern w:val="0"/>
                <w:szCs w:val="21"/>
                <w:lang w:eastAsia="zh-CN"/>
              </w:rPr>
            </w:pPr>
            <w:r>
              <w:rPr>
                <w:rFonts w:hint="eastAsia" w:ascii="宋体" w:hAnsi="宋体" w:cs="仿宋"/>
                <w:color w:val="000000"/>
                <w:kern w:val="0"/>
                <w:szCs w:val="21"/>
                <w:lang w:eastAsia="zh-CN"/>
              </w:rPr>
              <w:t>序号</w:t>
            </w:r>
          </w:p>
        </w:tc>
        <w:tc>
          <w:tcPr>
            <w:tcW w:w="2951" w:type="dxa"/>
            <w:gridSpan w:val="2"/>
            <w:noWrap/>
            <w:vAlign w:val="center"/>
          </w:tcPr>
          <w:p>
            <w:pPr>
              <w:ind w:left="105" w:hanging="105"/>
              <w:jc w:val="center"/>
              <w:rPr>
                <w:rFonts w:ascii="宋体" w:hAnsi="宋体" w:cs="仿宋"/>
                <w:color w:val="000000"/>
                <w:kern w:val="0"/>
                <w:szCs w:val="21"/>
              </w:rPr>
            </w:pPr>
            <w:r>
              <w:rPr>
                <w:rFonts w:hint="eastAsia" w:ascii="宋体" w:hAnsi="宋体" w:cs="仿宋"/>
                <w:color w:val="000000"/>
                <w:kern w:val="0"/>
                <w:szCs w:val="21"/>
              </w:rPr>
              <w:t>检查因素</w:t>
            </w:r>
          </w:p>
        </w:tc>
        <w:tc>
          <w:tcPr>
            <w:tcW w:w="3857" w:type="dxa"/>
            <w:noWrap/>
            <w:vAlign w:val="center"/>
          </w:tcPr>
          <w:p>
            <w:pPr>
              <w:ind w:left="105" w:hanging="105"/>
              <w:jc w:val="center"/>
              <w:rPr>
                <w:rFonts w:ascii="宋体" w:hAnsi="宋体" w:cs="仿宋"/>
                <w:color w:val="000000"/>
                <w:kern w:val="0"/>
                <w:szCs w:val="21"/>
              </w:rPr>
            </w:pPr>
            <w:r>
              <w:rPr>
                <w:rFonts w:hint="eastAsia" w:ascii="宋体" w:hAnsi="宋体" w:cs="仿宋"/>
                <w:color w:val="000000"/>
                <w:kern w:val="0"/>
                <w:szCs w:val="21"/>
              </w:rPr>
              <w:t>检查内容</w:t>
            </w:r>
          </w:p>
        </w:tc>
        <w:tc>
          <w:tcPr>
            <w:tcW w:w="1709" w:type="dxa"/>
            <w:noWrap/>
            <w:vAlign w:val="center"/>
          </w:tcPr>
          <w:p>
            <w:pPr>
              <w:ind w:left="105" w:hanging="105"/>
              <w:jc w:val="center"/>
              <w:rPr>
                <w:rFonts w:ascii="宋体" w:hAnsi="宋体" w:cs="仿宋"/>
                <w:color w:val="000000"/>
                <w:kern w:val="0"/>
                <w:szCs w:val="21"/>
              </w:rPr>
            </w:pPr>
            <w:r>
              <w:rPr>
                <w:rFonts w:hint="eastAsia" w:ascii="宋体" w:hAnsi="宋体" w:cs="仿宋"/>
                <w:color w:val="000000"/>
                <w:kern w:val="0"/>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422" w:type="dxa"/>
            <w:vMerge w:val="restart"/>
            <w:noWrap/>
            <w:vAlign w:val="center"/>
          </w:tcPr>
          <w:p>
            <w:pPr>
              <w:ind w:left="105" w:hanging="105"/>
              <w:jc w:val="center"/>
              <w:rPr>
                <w:rFonts w:ascii="宋体" w:hAnsi="宋体" w:cs="仿宋"/>
                <w:color w:val="000000"/>
                <w:szCs w:val="21"/>
              </w:rPr>
            </w:pPr>
            <w:r>
              <w:rPr>
                <w:rFonts w:ascii="宋体" w:hAnsi="宋体" w:cs="仿宋"/>
                <w:color w:val="000000"/>
                <w:szCs w:val="21"/>
              </w:rPr>
              <w:t>1</w:t>
            </w:r>
          </w:p>
        </w:tc>
        <w:tc>
          <w:tcPr>
            <w:tcW w:w="707" w:type="dxa"/>
            <w:vMerge w:val="restart"/>
            <w:noWrap/>
            <w:vAlign w:val="center"/>
          </w:tcPr>
          <w:p>
            <w:pPr>
              <w:ind w:left="105" w:hanging="105"/>
              <w:jc w:val="left"/>
              <w:rPr>
                <w:rFonts w:ascii="宋体" w:hAnsi="宋体" w:cs="仿宋"/>
                <w:color w:val="000000"/>
                <w:szCs w:val="21"/>
                <w:lang w:val="zh-CN"/>
              </w:rPr>
            </w:pPr>
            <w:r>
              <w:rPr>
                <w:rFonts w:hint="eastAsia" w:ascii="宋体" w:hAnsi="宋体" w:cs="仿宋"/>
                <w:color w:val="000000"/>
                <w:szCs w:val="21"/>
                <w:lang w:val="zh-CN"/>
              </w:rPr>
              <w:t>符合《中华人民共和国政府采购法》第二十二条规定，提供：</w:t>
            </w:r>
          </w:p>
        </w:tc>
        <w:tc>
          <w:tcPr>
            <w:tcW w:w="2244" w:type="dxa"/>
            <w:noWrap/>
            <w:vAlign w:val="center"/>
          </w:tcPr>
          <w:p>
            <w:pPr>
              <w:spacing w:line="260" w:lineRule="exact"/>
              <w:ind w:left="105" w:hanging="105"/>
              <w:jc w:val="left"/>
              <w:rPr>
                <w:rFonts w:ascii="宋体" w:hAnsi="宋体" w:cs="仿宋"/>
                <w:color w:val="000000"/>
                <w:szCs w:val="21"/>
              </w:rPr>
            </w:pPr>
            <w:r>
              <w:rPr>
                <w:rFonts w:hint="eastAsia" w:ascii="宋体" w:hAnsi="宋体" w:cs="仿宋"/>
                <w:color w:val="000000"/>
                <w:szCs w:val="21"/>
              </w:rPr>
              <w:t>（</w:t>
            </w:r>
            <w:r>
              <w:rPr>
                <w:rFonts w:ascii="宋体" w:hAnsi="宋体" w:cs="仿宋"/>
                <w:color w:val="000000"/>
                <w:szCs w:val="21"/>
              </w:rPr>
              <w:t>1）具有独立承担民事责任的能力</w:t>
            </w:r>
          </w:p>
        </w:tc>
        <w:tc>
          <w:tcPr>
            <w:tcW w:w="3857" w:type="dxa"/>
            <w:noWrap/>
            <w:vAlign w:val="center"/>
          </w:tcPr>
          <w:p>
            <w:pPr>
              <w:spacing w:line="260" w:lineRule="exact"/>
              <w:ind w:left="105" w:hanging="105"/>
              <w:rPr>
                <w:rFonts w:ascii="宋体" w:hAnsi="宋体" w:cs="仿宋"/>
                <w:color w:val="000000"/>
                <w:szCs w:val="21"/>
              </w:rPr>
            </w:pPr>
            <w:r>
              <w:rPr>
                <w:rFonts w:hint="eastAsia" w:ascii="宋体" w:hAnsi="宋体" w:cs="仿宋"/>
                <w:color w:val="000000"/>
                <w:szCs w:val="21"/>
              </w:rPr>
              <w:t>投标投标人营业执照复印件（须具有统一社会信用代码），自然人只需提供本人身份证。</w:t>
            </w:r>
          </w:p>
        </w:tc>
        <w:tc>
          <w:tcPr>
            <w:tcW w:w="1709" w:type="dxa"/>
            <w:noWrap/>
            <w:vAlign w:val="center"/>
          </w:tcPr>
          <w:p>
            <w:pPr>
              <w:spacing w:line="260" w:lineRule="exact"/>
              <w:ind w:left="105" w:hanging="105"/>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7" w:hRule="atLeast"/>
        </w:trPr>
        <w:tc>
          <w:tcPr>
            <w:tcW w:w="422" w:type="dxa"/>
            <w:vMerge w:val="continue"/>
            <w:noWrap/>
            <w:vAlign w:val="center"/>
          </w:tcPr>
          <w:p>
            <w:pPr>
              <w:ind w:left="105" w:hanging="105"/>
              <w:jc w:val="center"/>
              <w:rPr>
                <w:rFonts w:ascii="宋体" w:hAnsi="宋体" w:cs="仿宋"/>
                <w:color w:val="000000"/>
                <w:szCs w:val="21"/>
              </w:rPr>
            </w:pPr>
          </w:p>
        </w:tc>
        <w:tc>
          <w:tcPr>
            <w:tcW w:w="707" w:type="dxa"/>
            <w:vMerge w:val="continue"/>
            <w:noWrap/>
            <w:vAlign w:val="center"/>
          </w:tcPr>
          <w:p>
            <w:pPr>
              <w:ind w:left="105" w:hanging="105"/>
              <w:jc w:val="left"/>
              <w:rPr>
                <w:rFonts w:ascii="宋体" w:hAnsi="宋体" w:cs="仿宋"/>
                <w:color w:val="000000"/>
                <w:szCs w:val="21"/>
                <w:lang w:val="zh-CN"/>
              </w:rPr>
            </w:pPr>
          </w:p>
        </w:tc>
        <w:tc>
          <w:tcPr>
            <w:tcW w:w="2244" w:type="dxa"/>
            <w:noWrap/>
            <w:vAlign w:val="center"/>
          </w:tcPr>
          <w:p>
            <w:pPr>
              <w:spacing w:line="260" w:lineRule="exact"/>
              <w:ind w:left="105" w:hanging="105"/>
              <w:jc w:val="left"/>
              <w:rPr>
                <w:rFonts w:ascii="宋体" w:hAnsi="宋体" w:cs="仿宋"/>
                <w:color w:val="000000"/>
                <w:szCs w:val="21"/>
              </w:rPr>
            </w:pPr>
            <w:r>
              <w:rPr>
                <w:rFonts w:hint="eastAsia" w:ascii="宋体" w:hAnsi="宋体" w:cs="仿宋"/>
                <w:color w:val="000000"/>
                <w:szCs w:val="21"/>
                <w:lang w:val="zh-CN"/>
              </w:rPr>
              <w:t>（</w:t>
            </w:r>
            <w:r>
              <w:rPr>
                <w:rFonts w:ascii="宋体" w:hAnsi="宋体" w:cs="仿宋"/>
                <w:color w:val="000000"/>
                <w:szCs w:val="21"/>
                <w:lang w:val="zh-CN"/>
              </w:rPr>
              <w:t>2）</w:t>
            </w:r>
            <w:r>
              <w:rPr>
                <w:rFonts w:hint="eastAsia" w:ascii="宋体" w:hAnsi="宋体" w:cs="仿宋"/>
                <w:color w:val="000000"/>
                <w:szCs w:val="21"/>
              </w:rPr>
              <w:t>具有良好的商业信誉和健全的财务会计制度</w:t>
            </w:r>
          </w:p>
        </w:tc>
        <w:tc>
          <w:tcPr>
            <w:tcW w:w="3857" w:type="dxa"/>
            <w:noWrap/>
            <w:vAlign w:val="center"/>
          </w:tcPr>
          <w:p>
            <w:pPr>
              <w:spacing w:line="260" w:lineRule="exact"/>
              <w:ind w:left="105" w:hanging="105"/>
              <w:rPr>
                <w:rFonts w:ascii="宋体" w:hAnsi="宋体" w:cs="仿宋"/>
                <w:color w:val="000000"/>
                <w:szCs w:val="21"/>
              </w:rPr>
            </w:pPr>
            <w:r>
              <w:rPr>
                <w:rFonts w:hint="eastAsia" w:ascii="宋体" w:hAnsi="宋体" w:cs="仿宋"/>
                <w:color w:val="000000"/>
                <w:szCs w:val="21"/>
              </w:rPr>
              <w:t>投标投标人商业信誉情况，以及2019年至2021年度</w:t>
            </w:r>
            <w:r>
              <w:rPr>
                <w:rFonts w:ascii="宋体" w:hAnsi="宋体" w:cs="仿宋"/>
                <w:color w:val="000000"/>
                <w:szCs w:val="21"/>
              </w:rPr>
              <w:t>财务报表复印件。自然人只需提供本人信誉。</w:t>
            </w:r>
          </w:p>
        </w:tc>
        <w:tc>
          <w:tcPr>
            <w:tcW w:w="1709" w:type="dxa"/>
            <w:noWrap/>
            <w:vAlign w:val="center"/>
          </w:tcPr>
          <w:p>
            <w:pPr>
              <w:spacing w:line="260" w:lineRule="exact"/>
              <w:ind w:left="105" w:hanging="105"/>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422" w:type="dxa"/>
            <w:vMerge w:val="continue"/>
            <w:noWrap/>
            <w:vAlign w:val="center"/>
          </w:tcPr>
          <w:p>
            <w:pPr>
              <w:ind w:left="105" w:hanging="105"/>
              <w:jc w:val="center"/>
              <w:rPr>
                <w:rFonts w:ascii="宋体" w:hAnsi="宋体" w:cs="仿宋"/>
                <w:color w:val="000000"/>
                <w:szCs w:val="21"/>
              </w:rPr>
            </w:pPr>
          </w:p>
        </w:tc>
        <w:tc>
          <w:tcPr>
            <w:tcW w:w="707" w:type="dxa"/>
            <w:vMerge w:val="continue"/>
            <w:noWrap/>
            <w:vAlign w:val="center"/>
          </w:tcPr>
          <w:p>
            <w:pPr>
              <w:ind w:left="105" w:hanging="105"/>
              <w:jc w:val="left"/>
              <w:rPr>
                <w:rFonts w:ascii="宋体" w:hAnsi="宋体" w:cs="仿宋"/>
                <w:color w:val="000000"/>
                <w:szCs w:val="21"/>
                <w:lang w:val="zh-CN"/>
              </w:rPr>
            </w:pPr>
          </w:p>
        </w:tc>
        <w:tc>
          <w:tcPr>
            <w:tcW w:w="2244" w:type="dxa"/>
            <w:noWrap/>
            <w:vAlign w:val="center"/>
          </w:tcPr>
          <w:p>
            <w:pPr>
              <w:spacing w:line="260" w:lineRule="exact"/>
              <w:ind w:left="105" w:hanging="105"/>
              <w:jc w:val="left"/>
              <w:rPr>
                <w:rFonts w:ascii="宋体" w:hAnsi="宋体" w:cs="仿宋"/>
                <w:color w:val="000000"/>
                <w:szCs w:val="21"/>
                <w:lang w:val="zh-CN"/>
              </w:rPr>
            </w:pPr>
            <w:r>
              <w:rPr>
                <w:rFonts w:hint="eastAsia" w:ascii="宋体" w:hAnsi="宋体" w:cs="仿宋"/>
                <w:color w:val="000000"/>
                <w:szCs w:val="21"/>
                <w:lang w:val="zh-CN"/>
              </w:rPr>
              <w:t>（</w:t>
            </w:r>
            <w:r>
              <w:rPr>
                <w:rFonts w:ascii="宋体" w:hAnsi="宋体" w:cs="仿宋"/>
                <w:color w:val="000000"/>
                <w:szCs w:val="21"/>
                <w:lang w:val="zh-CN"/>
              </w:rPr>
              <w:t>3）具有履行合同所必须的设备和专业技术能力</w:t>
            </w:r>
          </w:p>
        </w:tc>
        <w:tc>
          <w:tcPr>
            <w:tcW w:w="3857" w:type="dxa"/>
            <w:noWrap/>
            <w:vAlign w:val="center"/>
          </w:tcPr>
          <w:p>
            <w:pPr>
              <w:spacing w:line="260" w:lineRule="exact"/>
              <w:ind w:left="105" w:hanging="105"/>
              <w:rPr>
                <w:rFonts w:ascii="宋体" w:hAnsi="宋体" w:cs="仿宋"/>
                <w:color w:val="000000"/>
                <w:szCs w:val="21"/>
              </w:rPr>
            </w:pPr>
            <w:r>
              <w:rPr>
                <w:rFonts w:hint="eastAsia" w:ascii="宋体" w:hAnsi="宋体" w:cs="仿宋"/>
                <w:color w:val="000000"/>
                <w:szCs w:val="21"/>
              </w:rPr>
              <w:t>主要设备情况，以及主要技术人员、售后服务机构人员能力等。</w:t>
            </w:r>
          </w:p>
        </w:tc>
        <w:tc>
          <w:tcPr>
            <w:tcW w:w="1709" w:type="dxa"/>
            <w:noWrap/>
            <w:vAlign w:val="center"/>
          </w:tcPr>
          <w:p>
            <w:pPr>
              <w:spacing w:line="260" w:lineRule="exact"/>
              <w:ind w:left="105" w:hanging="105"/>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trPr>
        <w:tc>
          <w:tcPr>
            <w:tcW w:w="422" w:type="dxa"/>
            <w:vMerge w:val="continue"/>
            <w:noWrap/>
            <w:vAlign w:val="center"/>
          </w:tcPr>
          <w:p>
            <w:pPr>
              <w:ind w:left="105" w:hanging="105"/>
              <w:jc w:val="center"/>
              <w:rPr>
                <w:rFonts w:ascii="宋体" w:hAnsi="宋体" w:cs="仿宋"/>
                <w:color w:val="000000"/>
                <w:szCs w:val="21"/>
              </w:rPr>
            </w:pPr>
          </w:p>
        </w:tc>
        <w:tc>
          <w:tcPr>
            <w:tcW w:w="707" w:type="dxa"/>
            <w:vMerge w:val="continue"/>
            <w:noWrap/>
            <w:vAlign w:val="center"/>
          </w:tcPr>
          <w:p>
            <w:pPr>
              <w:ind w:left="105" w:hanging="105"/>
              <w:jc w:val="left"/>
              <w:rPr>
                <w:rFonts w:ascii="宋体" w:hAnsi="宋体" w:cs="仿宋"/>
                <w:color w:val="000000"/>
                <w:szCs w:val="21"/>
                <w:lang w:val="zh-CN"/>
              </w:rPr>
            </w:pPr>
          </w:p>
        </w:tc>
        <w:tc>
          <w:tcPr>
            <w:tcW w:w="2244" w:type="dxa"/>
            <w:noWrap/>
            <w:vAlign w:val="center"/>
          </w:tcPr>
          <w:p>
            <w:pPr>
              <w:spacing w:line="260" w:lineRule="exact"/>
              <w:ind w:left="105" w:hanging="105"/>
              <w:jc w:val="left"/>
              <w:rPr>
                <w:rFonts w:ascii="宋体" w:hAnsi="宋体" w:cs="仿宋"/>
                <w:color w:val="000000"/>
                <w:szCs w:val="21"/>
                <w:lang w:val="zh-CN"/>
              </w:rPr>
            </w:pPr>
            <w:r>
              <w:rPr>
                <w:rFonts w:hint="eastAsia" w:ascii="宋体" w:hAnsi="宋体" w:cs="仿宋"/>
                <w:color w:val="000000"/>
                <w:szCs w:val="21"/>
                <w:lang w:val="zh-CN"/>
              </w:rPr>
              <w:t>（</w:t>
            </w:r>
            <w:r>
              <w:rPr>
                <w:rFonts w:ascii="宋体" w:hAnsi="宋体" w:cs="仿宋"/>
                <w:color w:val="000000"/>
                <w:szCs w:val="21"/>
                <w:lang w:val="zh-CN"/>
              </w:rPr>
              <w:t>4）有依法缴纳税收和社会保障金的良好记录</w:t>
            </w:r>
          </w:p>
        </w:tc>
        <w:tc>
          <w:tcPr>
            <w:tcW w:w="3857" w:type="dxa"/>
            <w:noWrap/>
            <w:vAlign w:val="center"/>
          </w:tcPr>
          <w:p>
            <w:pPr>
              <w:spacing w:line="260" w:lineRule="exact"/>
              <w:ind w:left="105" w:hanging="105"/>
              <w:rPr>
                <w:rFonts w:ascii="宋体" w:hAnsi="宋体" w:cs="仿宋"/>
                <w:color w:val="000000"/>
                <w:szCs w:val="21"/>
              </w:rPr>
            </w:pPr>
            <w:r>
              <w:rPr>
                <w:rFonts w:hint="eastAsia" w:ascii="宋体" w:hAnsi="宋体" w:cs="仿宋"/>
                <w:color w:val="000000"/>
                <w:szCs w:val="21"/>
              </w:rPr>
              <w:t>投标人</w:t>
            </w:r>
            <w:r>
              <w:rPr>
                <w:rFonts w:hint="eastAsia" w:ascii="宋体" w:hAnsi="宋体" w:cs="仿宋"/>
                <w:color w:val="000000"/>
                <w:szCs w:val="21"/>
                <w:lang w:val="zh-CN"/>
              </w:rPr>
              <w:t>缴纳税收和社会保障金</w:t>
            </w:r>
            <w:r>
              <w:rPr>
                <w:rFonts w:hint="eastAsia" w:ascii="宋体" w:hAnsi="宋体" w:cs="仿宋"/>
                <w:color w:val="000000"/>
                <w:szCs w:val="21"/>
              </w:rPr>
              <w:t>证明材料复印件</w:t>
            </w:r>
            <w:r>
              <w:rPr>
                <w:rFonts w:ascii="宋体" w:hAnsi="宋体" w:cs="仿宋"/>
                <w:color w:val="000000"/>
                <w:szCs w:val="21"/>
              </w:rPr>
              <w:t>(提供</w:t>
            </w:r>
            <w:r>
              <w:rPr>
                <w:rFonts w:hint="eastAsia" w:ascii="宋体" w:hAnsi="宋体" w:cs="仿宋"/>
                <w:color w:val="000000"/>
                <w:szCs w:val="21"/>
              </w:rPr>
              <w:t>税务部门出具的近半年内任一月完税证明和社保机构出具的近半年内任一月社保缴纳证明</w:t>
            </w:r>
            <w:r>
              <w:rPr>
                <w:rFonts w:ascii="宋体" w:hAnsi="宋体" w:cs="仿宋"/>
                <w:color w:val="000000"/>
                <w:szCs w:val="21"/>
              </w:rPr>
              <w:t>)，还需提供授权代理人近三个月的社保缴纳证明材料。</w:t>
            </w:r>
          </w:p>
        </w:tc>
        <w:tc>
          <w:tcPr>
            <w:tcW w:w="1709" w:type="dxa"/>
            <w:noWrap/>
            <w:vAlign w:val="center"/>
          </w:tcPr>
          <w:p>
            <w:pPr>
              <w:spacing w:line="260" w:lineRule="exact"/>
              <w:ind w:left="105" w:hanging="105"/>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atLeast"/>
        </w:trPr>
        <w:tc>
          <w:tcPr>
            <w:tcW w:w="422" w:type="dxa"/>
            <w:vMerge w:val="continue"/>
            <w:noWrap/>
            <w:vAlign w:val="center"/>
          </w:tcPr>
          <w:p>
            <w:pPr>
              <w:ind w:left="105" w:hanging="105"/>
              <w:jc w:val="center"/>
              <w:rPr>
                <w:rFonts w:ascii="宋体" w:hAnsi="宋体" w:cs="仿宋"/>
                <w:color w:val="000000"/>
                <w:szCs w:val="21"/>
              </w:rPr>
            </w:pPr>
          </w:p>
        </w:tc>
        <w:tc>
          <w:tcPr>
            <w:tcW w:w="707" w:type="dxa"/>
            <w:vMerge w:val="continue"/>
            <w:noWrap/>
            <w:vAlign w:val="center"/>
          </w:tcPr>
          <w:p>
            <w:pPr>
              <w:ind w:left="105" w:hanging="105"/>
              <w:jc w:val="left"/>
              <w:rPr>
                <w:rFonts w:ascii="宋体" w:hAnsi="宋体" w:cs="仿宋"/>
                <w:color w:val="000000"/>
                <w:szCs w:val="21"/>
                <w:lang w:val="zh-CN"/>
              </w:rPr>
            </w:pPr>
          </w:p>
        </w:tc>
        <w:tc>
          <w:tcPr>
            <w:tcW w:w="2244" w:type="dxa"/>
            <w:noWrap/>
            <w:vAlign w:val="center"/>
          </w:tcPr>
          <w:p>
            <w:pPr>
              <w:spacing w:line="260" w:lineRule="exact"/>
              <w:ind w:left="105" w:hanging="105"/>
              <w:jc w:val="left"/>
              <w:rPr>
                <w:rFonts w:ascii="宋体" w:hAnsi="宋体" w:cs="仿宋"/>
                <w:color w:val="000000"/>
                <w:szCs w:val="21"/>
                <w:lang w:val="zh-CN"/>
              </w:rPr>
            </w:pPr>
            <w:r>
              <w:rPr>
                <w:rFonts w:hint="eastAsia" w:ascii="宋体" w:hAnsi="宋体" w:cs="仿宋"/>
                <w:color w:val="000000"/>
                <w:szCs w:val="21"/>
              </w:rPr>
              <w:t>（</w:t>
            </w:r>
            <w:r>
              <w:rPr>
                <w:rFonts w:ascii="宋体" w:hAnsi="宋体" w:cs="仿宋"/>
                <w:color w:val="000000"/>
                <w:szCs w:val="21"/>
              </w:rPr>
              <w:t>5）参加政府采购活动近3年内，在经营活动中没有重大违法记录</w:t>
            </w:r>
          </w:p>
        </w:tc>
        <w:tc>
          <w:tcPr>
            <w:tcW w:w="3857" w:type="dxa"/>
            <w:noWrap/>
            <w:vAlign w:val="center"/>
          </w:tcPr>
          <w:p>
            <w:pPr>
              <w:spacing w:line="260" w:lineRule="exact"/>
              <w:ind w:left="105" w:hanging="105"/>
              <w:rPr>
                <w:rFonts w:ascii="宋体" w:hAnsi="宋体" w:cs="仿宋"/>
                <w:color w:val="000000"/>
                <w:szCs w:val="21"/>
              </w:rPr>
            </w:pPr>
            <w:r>
              <w:rPr>
                <w:rFonts w:hint="eastAsia" w:ascii="宋体" w:hAnsi="宋体" w:cs="仿宋"/>
                <w:color w:val="000000"/>
                <w:szCs w:val="21"/>
              </w:rPr>
              <w:t>投标人在“信用中国”</w:t>
            </w:r>
            <w:r>
              <w:fldChar w:fldCharType="begin"/>
            </w:r>
            <w:r>
              <w:instrText xml:space="preserve"> HYPERLINK "http://www.creditchina.gov.cn）和中国政府采购网（www.ccgp.gov.cn）网站上未被列入失信被执行人、重大税收违法案件当事人名单以及政府采购严重违法失信行为记录名单里；企查查网站查询www.qichacha.com近三年无违法、处罚信息；" </w:instrText>
            </w:r>
            <w:r>
              <w:fldChar w:fldCharType="separate"/>
            </w:r>
            <w:r>
              <w:rPr>
                <w:rStyle w:val="81"/>
                <w:rFonts w:hint="eastAsia" w:ascii="宋体" w:hAnsi="宋体" w:cs="仿宋"/>
                <w:color w:val="000000"/>
                <w:szCs w:val="21"/>
                <w:u w:val="none"/>
              </w:rPr>
              <w:t>、中国政府采购网近三年无违法、处罚信息、不良行为记录，并且须在 “中国裁判文书网”（http://wenshu.court.gov.cn/）查询无行贿犯罪记录（提供查询网页打印件），提供查询截图打印页面加盖公章</w:t>
            </w:r>
            <w:r>
              <w:rPr>
                <w:rStyle w:val="81"/>
                <w:rFonts w:hint="eastAsia" w:ascii="宋体" w:hAnsi="宋体" w:cs="仿宋"/>
                <w:color w:val="000000"/>
                <w:szCs w:val="21"/>
                <w:u w:val="none"/>
              </w:rPr>
              <w:fldChar w:fldCharType="end"/>
            </w:r>
            <w:r>
              <w:rPr>
                <w:rStyle w:val="81"/>
                <w:rFonts w:hint="eastAsia" w:ascii="宋体" w:hAnsi="宋体" w:cs="仿宋"/>
                <w:color w:val="000000"/>
                <w:szCs w:val="21"/>
                <w:u w:val="none"/>
              </w:rPr>
              <w:t>。</w:t>
            </w:r>
          </w:p>
        </w:tc>
        <w:tc>
          <w:tcPr>
            <w:tcW w:w="1709" w:type="dxa"/>
            <w:noWrap/>
            <w:vAlign w:val="center"/>
          </w:tcPr>
          <w:p>
            <w:pPr>
              <w:spacing w:line="260" w:lineRule="exact"/>
              <w:ind w:left="105" w:hanging="105"/>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422" w:type="dxa"/>
            <w:noWrap/>
            <w:vAlign w:val="center"/>
          </w:tcPr>
          <w:p>
            <w:pPr>
              <w:ind w:left="105" w:hanging="105"/>
              <w:jc w:val="center"/>
              <w:rPr>
                <w:rFonts w:ascii="宋体" w:hAnsi="宋体" w:cs="仿宋"/>
                <w:color w:val="000000"/>
                <w:szCs w:val="21"/>
              </w:rPr>
            </w:pPr>
            <w:r>
              <w:rPr>
                <w:rFonts w:ascii="宋体" w:hAnsi="宋体" w:cs="仿宋"/>
                <w:color w:val="000000"/>
                <w:szCs w:val="21"/>
              </w:rPr>
              <w:t>2</w:t>
            </w:r>
          </w:p>
        </w:tc>
        <w:tc>
          <w:tcPr>
            <w:tcW w:w="2951" w:type="dxa"/>
            <w:gridSpan w:val="2"/>
            <w:noWrap/>
            <w:vAlign w:val="center"/>
          </w:tcPr>
          <w:p>
            <w:pPr>
              <w:spacing w:line="260" w:lineRule="exact"/>
              <w:ind w:left="105" w:hanging="105"/>
              <w:jc w:val="left"/>
              <w:rPr>
                <w:rFonts w:ascii="宋体" w:hAnsi="宋体" w:cs="仿宋"/>
                <w:color w:val="000000"/>
                <w:szCs w:val="21"/>
              </w:rPr>
            </w:pPr>
            <w:r>
              <w:rPr>
                <w:rFonts w:hint="eastAsia" w:ascii="宋体" w:hAnsi="宋体" w:cs="仿宋"/>
                <w:color w:val="000000"/>
                <w:szCs w:val="21"/>
              </w:rPr>
              <w:t>投标文件按招标文件规定格式完整提供</w:t>
            </w:r>
          </w:p>
        </w:tc>
        <w:tc>
          <w:tcPr>
            <w:tcW w:w="3857" w:type="dxa"/>
            <w:noWrap/>
            <w:vAlign w:val="center"/>
          </w:tcPr>
          <w:p>
            <w:pPr>
              <w:ind w:left="105" w:hanging="105"/>
              <w:jc w:val="left"/>
              <w:rPr>
                <w:rFonts w:ascii="宋体" w:hAnsi="宋体" w:cs="仿宋"/>
                <w:color w:val="000000"/>
                <w:szCs w:val="21"/>
              </w:rPr>
            </w:pPr>
            <w:r>
              <w:rPr>
                <w:rFonts w:hint="eastAsia" w:ascii="宋体" w:hAnsi="宋体" w:cs="仿宋"/>
                <w:color w:val="000000"/>
                <w:szCs w:val="21"/>
              </w:rPr>
              <w:t>投标文件的格式</w:t>
            </w:r>
          </w:p>
        </w:tc>
        <w:tc>
          <w:tcPr>
            <w:tcW w:w="1709" w:type="dxa"/>
            <w:noWrap/>
            <w:vAlign w:val="center"/>
          </w:tcPr>
          <w:p>
            <w:pPr>
              <w:ind w:left="105" w:hanging="105"/>
              <w:jc w:val="left"/>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22" w:type="dxa"/>
            <w:noWrap/>
            <w:vAlign w:val="center"/>
          </w:tcPr>
          <w:p>
            <w:pPr>
              <w:ind w:left="105" w:hanging="105"/>
              <w:jc w:val="center"/>
              <w:rPr>
                <w:rFonts w:ascii="宋体" w:hAnsi="宋体" w:cs="仿宋"/>
                <w:color w:val="000000"/>
                <w:szCs w:val="21"/>
              </w:rPr>
            </w:pPr>
            <w:r>
              <w:rPr>
                <w:rFonts w:hint="eastAsia" w:ascii="宋体" w:hAnsi="宋体" w:cs="仿宋"/>
                <w:color w:val="000000"/>
                <w:szCs w:val="21"/>
              </w:rPr>
              <w:t>3</w:t>
            </w:r>
          </w:p>
        </w:tc>
        <w:tc>
          <w:tcPr>
            <w:tcW w:w="2951" w:type="dxa"/>
            <w:gridSpan w:val="2"/>
            <w:noWrap/>
            <w:vAlign w:val="center"/>
          </w:tcPr>
          <w:p>
            <w:pPr>
              <w:spacing w:line="260" w:lineRule="exact"/>
              <w:ind w:left="105" w:hanging="105"/>
              <w:jc w:val="left"/>
              <w:rPr>
                <w:rFonts w:ascii="宋体" w:hAnsi="宋体" w:cs="仿宋"/>
                <w:color w:val="000000"/>
                <w:szCs w:val="21"/>
              </w:rPr>
            </w:pPr>
            <w:r>
              <w:rPr>
                <w:rFonts w:hint="eastAsia" w:ascii="宋体" w:hAnsi="宋体" w:cs="仿宋"/>
                <w:color w:val="000000"/>
                <w:szCs w:val="21"/>
              </w:rPr>
              <w:t>代理人的授权文件和身份证明</w:t>
            </w:r>
          </w:p>
        </w:tc>
        <w:tc>
          <w:tcPr>
            <w:tcW w:w="3857" w:type="dxa"/>
            <w:noWrap/>
            <w:vAlign w:val="center"/>
          </w:tcPr>
          <w:p>
            <w:pPr>
              <w:ind w:left="105" w:hanging="105"/>
              <w:jc w:val="left"/>
              <w:rPr>
                <w:rFonts w:ascii="宋体" w:hAnsi="宋体" w:cs="仿宋"/>
                <w:color w:val="000000"/>
                <w:szCs w:val="21"/>
              </w:rPr>
            </w:pPr>
            <w:r>
              <w:rPr>
                <w:rFonts w:hint="eastAsia" w:ascii="宋体" w:hAnsi="宋体" w:cs="仿宋"/>
                <w:color w:val="000000"/>
                <w:szCs w:val="21"/>
              </w:rPr>
              <w:t>法定代表人授权书和代理人的身份证复印件</w:t>
            </w:r>
          </w:p>
        </w:tc>
        <w:tc>
          <w:tcPr>
            <w:tcW w:w="1709" w:type="dxa"/>
            <w:noWrap/>
            <w:vAlign w:val="center"/>
          </w:tcPr>
          <w:p>
            <w:pPr>
              <w:ind w:left="105" w:hanging="105"/>
              <w:jc w:val="left"/>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422" w:type="dxa"/>
            <w:noWrap/>
            <w:vAlign w:val="center"/>
          </w:tcPr>
          <w:p>
            <w:pPr>
              <w:ind w:left="105" w:hanging="105"/>
              <w:jc w:val="center"/>
              <w:rPr>
                <w:rFonts w:ascii="宋体" w:hAnsi="宋体" w:cs="仿宋"/>
                <w:color w:val="000000"/>
                <w:szCs w:val="21"/>
              </w:rPr>
            </w:pPr>
            <w:r>
              <w:rPr>
                <w:rFonts w:hint="eastAsia" w:ascii="宋体" w:hAnsi="宋体" w:cs="仿宋"/>
                <w:color w:val="000000"/>
                <w:szCs w:val="21"/>
              </w:rPr>
              <w:t>4</w:t>
            </w:r>
          </w:p>
        </w:tc>
        <w:tc>
          <w:tcPr>
            <w:tcW w:w="2951" w:type="dxa"/>
            <w:gridSpan w:val="2"/>
            <w:noWrap/>
            <w:vAlign w:val="center"/>
          </w:tcPr>
          <w:p>
            <w:pPr>
              <w:ind w:left="105" w:hanging="105"/>
              <w:jc w:val="left"/>
              <w:rPr>
                <w:rFonts w:ascii="宋体" w:hAnsi="宋体" w:cs="仿宋"/>
                <w:color w:val="000000"/>
                <w:szCs w:val="21"/>
              </w:rPr>
            </w:pPr>
            <w:r>
              <w:rPr>
                <w:rFonts w:hint="eastAsia" w:ascii="宋体" w:hAnsi="宋体" w:cs="仿宋"/>
                <w:color w:val="000000"/>
                <w:szCs w:val="21"/>
              </w:rPr>
              <w:t>投标保证金</w:t>
            </w:r>
          </w:p>
        </w:tc>
        <w:tc>
          <w:tcPr>
            <w:tcW w:w="3857" w:type="dxa"/>
            <w:noWrap/>
            <w:vAlign w:val="center"/>
          </w:tcPr>
          <w:p>
            <w:pPr>
              <w:ind w:left="105" w:hanging="105"/>
              <w:jc w:val="left"/>
              <w:rPr>
                <w:rFonts w:ascii="宋体" w:hAnsi="宋体" w:cs="仿宋"/>
                <w:color w:val="000000"/>
                <w:szCs w:val="21"/>
              </w:rPr>
            </w:pPr>
            <w:r>
              <w:rPr>
                <w:rFonts w:hint="eastAsia" w:ascii="宋体" w:hAnsi="宋体" w:cs="仿宋"/>
                <w:color w:val="000000"/>
                <w:szCs w:val="21"/>
              </w:rPr>
              <w:t>符合本招标文件关于投标保证金的</w:t>
            </w:r>
            <w:r>
              <w:rPr>
                <w:rFonts w:hint="eastAsia" w:ascii="宋体" w:hAnsi="宋体" w:cs="仿宋"/>
                <w:color w:val="000000"/>
                <w:szCs w:val="21"/>
                <w:lang w:val="zh-CN"/>
              </w:rPr>
              <w:t>规定</w:t>
            </w:r>
          </w:p>
        </w:tc>
        <w:tc>
          <w:tcPr>
            <w:tcW w:w="1709" w:type="dxa"/>
            <w:noWrap/>
            <w:vAlign w:val="center"/>
          </w:tcPr>
          <w:p>
            <w:pPr>
              <w:ind w:left="105" w:hanging="105"/>
              <w:jc w:val="left"/>
              <w:rPr>
                <w:rFonts w:ascii="宋体" w:hAnsi="宋体"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22" w:type="dxa"/>
            <w:noWrap/>
            <w:vAlign w:val="center"/>
          </w:tcPr>
          <w:p>
            <w:pPr>
              <w:ind w:left="105" w:hanging="105"/>
              <w:jc w:val="center"/>
              <w:rPr>
                <w:rFonts w:ascii="宋体" w:hAnsi="宋体" w:cs="仿宋"/>
                <w:color w:val="000000"/>
                <w:szCs w:val="21"/>
              </w:rPr>
            </w:pPr>
            <w:r>
              <w:rPr>
                <w:rFonts w:hint="eastAsia" w:ascii="宋体" w:hAnsi="宋体" w:cs="仿宋"/>
                <w:color w:val="000000"/>
                <w:szCs w:val="21"/>
              </w:rPr>
              <w:t>5</w:t>
            </w:r>
          </w:p>
        </w:tc>
        <w:tc>
          <w:tcPr>
            <w:tcW w:w="2951" w:type="dxa"/>
            <w:gridSpan w:val="2"/>
            <w:noWrap/>
            <w:vAlign w:val="center"/>
          </w:tcPr>
          <w:p>
            <w:pPr>
              <w:ind w:left="105" w:hanging="105"/>
              <w:jc w:val="left"/>
              <w:rPr>
                <w:rFonts w:ascii="宋体" w:hAnsi="宋体" w:cs="仿宋"/>
                <w:color w:val="000000"/>
                <w:szCs w:val="21"/>
              </w:rPr>
            </w:pPr>
            <w:r>
              <w:rPr>
                <w:rFonts w:hint="eastAsia" w:ascii="宋体" w:hAnsi="宋体" w:cs="仿宋"/>
                <w:color w:val="000000"/>
                <w:szCs w:val="21"/>
              </w:rPr>
              <w:t>联合体投标授权书</w:t>
            </w:r>
          </w:p>
        </w:tc>
        <w:tc>
          <w:tcPr>
            <w:tcW w:w="3857" w:type="dxa"/>
            <w:noWrap/>
            <w:vAlign w:val="center"/>
          </w:tcPr>
          <w:p>
            <w:pPr>
              <w:ind w:left="105" w:hanging="105"/>
              <w:jc w:val="left"/>
              <w:rPr>
                <w:rFonts w:ascii="宋体" w:hAnsi="宋体" w:cs="仿宋"/>
                <w:color w:val="000000"/>
                <w:szCs w:val="21"/>
              </w:rPr>
            </w:pPr>
            <w:r>
              <w:rPr>
                <w:rFonts w:hint="eastAsia" w:ascii="宋体" w:hAnsi="宋体" w:cs="仿宋"/>
                <w:color w:val="000000"/>
                <w:szCs w:val="21"/>
              </w:rPr>
              <w:t>授权委托书，格式以采购文件为准</w:t>
            </w:r>
          </w:p>
        </w:tc>
        <w:tc>
          <w:tcPr>
            <w:tcW w:w="1709" w:type="dxa"/>
            <w:noWrap/>
            <w:vAlign w:val="center"/>
          </w:tcPr>
          <w:p>
            <w:pPr>
              <w:ind w:left="105" w:hanging="105"/>
              <w:jc w:val="left"/>
              <w:rPr>
                <w:rFonts w:ascii="宋体" w:hAnsi="宋体" w:cs="仿宋"/>
                <w:color w:val="000000"/>
                <w:szCs w:val="21"/>
              </w:rPr>
            </w:pPr>
          </w:p>
        </w:tc>
      </w:tr>
    </w:tbl>
    <w:p>
      <w:pPr>
        <w:widowControl/>
        <w:spacing w:line="240" w:lineRule="auto"/>
        <w:ind w:left="0" w:right="0" w:firstLine="0" w:firstLineChars="0"/>
        <w:jc w:val="left"/>
        <w:rPr>
          <w:rFonts w:ascii="宋体" w:hAnsi="宋体" w:cs="宋体"/>
          <w:kern w:val="0"/>
          <w:sz w:val="18"/>
          <w:szCs w:val="20"/>
        </w:rPr>
      </w:pPr>
    </w:p>
    <w:p>
      <w:pPr>
        <w:pStyle w:val="4"/>
        <w:ind w:left="0" w:firstLine="0" w:firstLineChars="0"/>
        <w:rPr>
          <w:rFonts w:ascii="宋体" w:hAnsi="宋体" w:cs="宋体"/>
        </w:rPr>
      </w:pPr>
      <w:bookmarkStart w:id="41" w:name="_Toc80113534"/>
    </w:p>
    <w:p>
      <w:pPr>
        <w:pStyle w:val="5"/>
        <w:ind w:firstLine="482"/>
        <w:rPr>
          <w:rFonts w:ascii="宋体" w:hAnsi="宋体" w:cs="宋体"/>
        </w:rPr>
      </w:pPr>
      <w:r>
        <w:rPr>
          <w:rFonts w:hint="eastAsia" w:ascii="宋体" w:hAnsi="宋体" w:cs="宋体"/>
          <w:b/>
        </w:rPr>
        <w:t>“√”表示合格；“×”表示不合格，一项不合格为无效投标处理，如不合格，请在结果中写明原因。</w:t>
      </w:r>
    </w:p>
    <w:p>
      <w:pPr>
        <w:ind w:left="105" w:hanging="105"/>
        <w:rPr>
          <w:rFonts w:ascii="宋体" w:hAnsi="宋体" w:cs="宋体"/>
        </w:rPr>
      </w:pPr>
    </w:p>
    <w:p>
      <w:pPr>
        <w:pStyle w:val="73"/>
        <w:rPr>
          <w:rFonts w:ascii="宋体" w:hAnsi="宋体" w:cs="宋体"/>
        </w:rPr>
      </w:pPr>
    </w:p>
    <w:p>
      <w:pPr>
        <w:pStyle w:val="4"/>
        <w:ind w:left="0" w:firstLine="0" w:firstLineChars="0"/>
        <w:jc w:val="both"/>
        <w:rPr>
          <w:rFonts w:ascii="宋体" w:hAnsi="宋体" w:cs="宋体"/>
        </w:rPr>
      </w:pPr>
      <w:r>
        <w:rPr>
          <w:rFonts w:hint="eastAsia" w:ascii="宋体" w:hAnsi="宋体" w:cs="宋体"/>
        </w:rPr>
        <w:t>二、符合性评审标准（有一项不通过，否决响应文件）：</w:t>
      </w:r>
      <w:bookmarkEnd w:id="40"/>
      <w:bookmarkEnd w:id="41"/>
    </w:p>
    <w:tbl>
      <w:tblPr>
        <w:tblStyle w:val="74"/>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613"/>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3" w:type="dxa"/>
            <w:vAlign w:val="center"/>
          </w:tcPr>
          <w:p>
            <w:pPr>
              <w:ind w:left="105" w:hanging="105"/>
              <w:jc w:val="right"/>
              <w:rPr>
                <w:rFonts w:ascii="宋体" w:hAnsi="宋体" w:cs="宋体"/>
                <w:b/>
                <w:szCs w:val="21"/>
              </w:rPr>
            </w:pPr>
            <w:r>
              <w:rPr>
                <w:rFonts w:hint="eastAsia" w:ascii="宋体" w:hAnsi="宋体" w:cs="宋体"/>
                <w:b/>
                <w:szCs w:val="21"/>
              </w:rPr>
              <w:t>项目</w:t>
            </w:r>
          </w:p>
        </w:tc>
        <w:tc>
          <w:tcPr>
            <w:tcW w:w="6520" w:type="dxa"/>
            <w:gridSpan w:val="2"/>
            <w:vAlign w:val="center"/>
          </w:tcPr>
          <w:p>
            <w:pPr>
              <w:ind w:left="105" w:hanging="105"/>
              <w:jc w:val="center"/>
              <w:rPr>
                <w:rFonts w:ascii="宋体" w:hAnsi="宋体" w:cs="宋体"/>
                <w:b/>
                <w:szCs w:val="21"/>
              </w:rPr>
            </w:pPr>
            <w:r>
              <w:rPr>
                <w:rFonts w:hint="eastAsia" w:ascii="宋体" w:hAnsi="宋体" w:cs="宋体"/>
                <w:b/>
                <w:szCs w:val="21"/>
              </w:rPr>
              <w:t>评  审  内  容</w:t>
            </w:r>
          </w:p>
        </w:tc>
        <w:tc>
          <w:tcPr>
            <w:tcW w:w="709" w:type="dxa"/>
            <w:vAlign w:val="center"/>
          </w:tcPr>
          <w:p>
            <w:pPr>
              <w:ind w:left="105" w:hanging="105"/>
              <w:jc w:val="center"/>
              <w:rPr>
                <w:rFonts w:ascii="宋体" w:hAnsi="宋体" w:cs="宋体"/>
                <w:szCs w:val="21"/>
              </w:rPr>
            </w:pPr>
            <w:r>
              <w:rPr>
                <w:rFonts w:hint="eastAsia" w:ascii="宋体" w:hAnsi="宋体" w:cs="宋体"/>
                <w:szCs w:val="21"/>
              </w:rPr>
              <w:t>供应商1</w:t>
            </w:r>
          </w:p>
        </w:tc>
        <w:tc>
          <w:tcPr>
            <w:tcW w:w="709" w:type="dxa"/>
            <w:vAlign w:val="center"/>
          </w:tcPr>
          <w:p>
            <w:pPr>
              <w:ind w:left="105" w:hanging="105"/>
              <w:jc w:val="center"/>
              <w:rPr>
                <w:rFonts w:ascii="宋体" w:hAnsi="宋体" w:cs="宋体"/>
                <w:szCs w:val="21"/>
              </w:rPr>
            </w:pPr>
            <w:r>
              <w:rPr>
                <w:rFonts w:hint="eastAsia" w:ascii="宋体" w:hAnsi="宋体" w:cs="宋体"/>
                <w:szCs w:val="21"/>
              </w:rPr>
              <w:t>供应商2</w:t>
            </w:r>
          </w:p>
        </w:tc>
        <w:tc>
          <w:tcPr>
            <w:tcW w:w="613" w:type="dxa"/>
            <w:vAlign w:val="center"/>
          </w:tcPr>
          <w:p>
            <w:pPr>
              <w:ind w:left="105" w:hanging="105"/>
              <w:jc w:val="center"/>
              <w:rPr>
                <w:rFonts w:ascii="宋体" w:hAnsi="宋体" w:cs="宋体"/>
                <w:szCs w:val="21"/>
              </w:rPr>
            </w:pPr>
            <w:r>
              <w:rPr>
                <w:rFonts w:hint="eastAsia" w:ascii="宋体" w:hAnsi="宋体" w:cs="宋体"/>
                <w:szCs w:val="21"/>
              </w:rPr>
              <w:t>供应商3</w:t>
            </w:r>
          </w:p>
        </w:tc>
        <w:tc>
          <w:tcPr>
            <w:tcW w:w="757" w:type="dxa"/>
            <w:vAlign w:val="center"/>
          </w:tcPr>
          <w:p>
            <w:pPr>
              <w:ind w:left="105" w:hanging="105"/>
              <w:jc w:val="center"/>
              <w:rPr>
                <w:rFonts w:ascii="宋体" w:hAnsi="宋体" w:cs="宋体"/>
                <w:szCs w:val="21"/>
              </w:rPr>
            </w:pPr>
            <w:r>
              <w:rPr>
                <w:rFonts w:hint="eastAsia" w:ascii="宋体" w:hAnsi="宋体" w:cs="宋体"/>
                <w:szCs w:val="21"/>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vAlign w:val="center"/>
          </w:tcPr>
          <w:p>
            <w:pPr>
              <w:ind w:left="105" w:hanging="105"/>
              <w:jc w:val="right"/>
              <w:rPr>
                <w:rFonts w:ascii="宋体" w:hAnsi="宋体" w:cs="宋体"/>
                <w:szCs w:val="21"/>
              </w:rPr>
            </w:pPr>
            <w:r>
              <w:rPr>
                <w:rFonts w:hint="eastAsia" w:ascii="宋体" w:hAnsi="宋体" w:cs="宋体"/>
                <w:szCs w:val="21"/>
              </w:rPr>
              <w:t>符合性评审</w:t>
            </w:r>
          </w:p>
        </w:tc>
        <w:tc>
          <w:tcPr>
            <w:tcW w:w="567" w:type="dxa"/>
            <w:vAlign w:val="center"/>
          </w:tcPr>
          <w:p>
            <w:pPr>
              <w:ind w:left="105" w:hanging="105"/>
              <w:jc w:val="center"/>
              <w:rPr>
                <w:rFonts w:ascii="宋体" w:hAnsi="宋体" w:cs="宋体"/>
                <w:szCs w:val="21"/>
              </w:rPr>
            </w:pPr>
            <w:r>
              <w:rPr>
                <w:rFonts w:hint="eastAsia" w:ascii="宋体" w:hAnsi="宋体" w:cs="宋体"/>
                <w:szCs w:val="21"/>
              </w:rPr>
              <w:t>1</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需要提交的证明文件不全，或者不符合磋商文件标明的证明文</w:t>
            </w:r>
          </w:p>
          <w:p>
            <w:pPr>
              <w:spacing w:line="240" w:lineRule="auto"/>
              <w:ind w:left="105" w:hanging="105"/>
              <w:rPr>
                <w:rFonts w:ascii="宋体" w:hAnsi="宋体" w:cs="宋体"/>
                <w:szCs w:val="21"/>
              </w:rPr>
            </w:pPr>
            <w:r>
              <w:rPr>
                <w:rFonts w:hint="eastAsia" w:ascii="宋体" w:hAnsi="宋体" w:cs="宋体"/>
                <w:szCs w:val="21"/>
              </w:rPr>
              <w:t>件要求的；</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2</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响应文件无法定代表人签字（章）,或未提供法定代表人授权委托书、投标声明书或者填写项目不齐全的；</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3</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投标代表人未能出具身份证明或与法定代表人授权委托人身份</w:t>
            </w:r>
          </w:p>
          <w:p>
            <w:pPr>
              <w:spacing w:line="240" w:lineRule="auto"/>
              <w:ind w:left="105" w:hanging="105"/>
              <w:rPr>
                <w:rFonts w:ascii="宋体" w:hAnsi="宋体" w:cs="宋体"/>
                <w:szCs w:val="21"/>
              </w:rPr>
            </w:pPr>
            <w:r>
              <w:rPr>
                <w:rFonts w:hint="eastAsia" w:ascii="宋体" w:hAnsi="宋体" w:cs="宋体"/>
                <w:szCs w:val="21"/>
              </w:rPr>
              <w:t>不符的；</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4</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响应文件不齐全或者内容虚假的；</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5</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响应文件的实质性内容未使用中文表述、意思表述不明确、前</w:t>
            </w:r>
          </w:p>
          <w:p>
            <w:pPr>
              <w:spacing w:line="240" w:lineRule="auto"/>
              <w:ind w:left="105" w:hanging="105"/>
              <w:rPr>
                <w:rFonts w:ascii="宋体" w:hAnsi="宋体" w:cs="宋体"/>
                <w:szCs w:val="21"/>
              </w:rPr>
            </w:pPr>
            <w:r>
              <w:rPr>
                <w:rFonts w:hint="eastAsia" w:ascii="宋体" w:hAnsi="宋体" w:cs="宋体"/>
                <w:szCs w:val="21"/>
              </w:rPr>
              <w:t>后矛盾或者使用计量单位不符合磋商文件要求的（经评标委员</w:t>
            </w:r>
          </w:p>
          <w:p>
            <w:pPr>
              <w:spacing w:line="240" w:lineRule="auto"/>
              <w:ind w:left="105" w:hanging="105"/>
              <w:rPr>
                <w:rFonts w:ascii="宋体" w:hAnsi="宋体" w:cs="宋体"/>
                <w:szCs w:val="21"/>
              </w:rPr>
            </w:pPr>
            <w:r>
              <w:rPr>
                <w:rFonts w:hint="eastAsia" w:ascii="宋体" w:hAnsi="宋体" w:cs="宋体"/>
                <w:szCs w:val="21"/>
              </w:rPr>
              <w:t>会认定并允许其当场更正的笔误除外）</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6</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投标报价高于采购最高限价。</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7</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投标报价不是唯一报价的；</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8</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投标服务标准等相关条款不能满足磋商文件要求的；</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9</w:t>
            </w:r>
          </w:p>
        </w:tc>
        <w:tc>
          <w:tcPr>
            <w:tcW w:w="5953" w:type="dxa"/>
            <w:vAlign w:val="center"/>
          </w:tcPr>
          <w:p>
            <w:pPr>
              <w:spacing w:line="240" w:lineRule="auto"/>
              <w:ind w:left="105" w:hanging="105"/>
              <w:rPr>
                <w:rFonts w:ascii="宋体" w:hAnsi="宋体" w:cs="宋体"/>
                <w:szCs w:val="21"/>
              </w:rPr>
            </w:pPr>
            <w:r>
              <w:rPr>
                <w:rFonts w:hint="eastAsia" w:ascii="宋体" w:hAnsi="宋体" w:cs="宋体"/>
                <w:szCs w:val="21"/>
              </w:rPr>
              <w:t>未实质性响应磋商文件要求或者响应文件有采购人不能接受的</w:t>
            </w:r>
          </w:p>
          <w:p>
            <w:pPr>
              <w:spacing w:line="240" w:lineRule="auto"/>
              <w:ind w:left="105" w:hanging="105"/>
              <w:rPr>
                <w:rFonts w:ascii="宋体" w:hAnsi="宋体" w:cs="宋体"/>
                <w:szCs w:val="21"/>
              </w:rPr>
            </w:pPr>
            <w:r>
              <w:rPr>
                <w:rFonts w:hint="eastAsia" w:ascii="宋体" w:hAnsi="宋体" w:cs="宋体"/>
                <w:szCs w:val="21"/>
              </w:rPr>
              <w:t>附加条件的；</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vAlign w:val="center"/>
          </w:tcPr>
          <w:p>
            <w:pPr>
              <w:ind w:left="105" w:hanging="105"/>
              <w:jc w:val="right"/>
              <w:rPr>
                <w:rFonts w:ascii="宋体" w:hAnsi="宋体" w:cs="宋体"/>
                <w:szCs w:val="21"/>
              </w:rPr>
            </w:pPr>
          </w:p>
        </w:tc>
        <w:tc>
          <w:tcPr>
            <w:tcW w:w="567" w:type="dxa"/>
            <w:vAlign w:val="center"/>
          </w:tcPr>
          <w:p>
            <w:pPr>
              <w:ind w:left="105" w:hanging="105"/>
              <w:jc w:val="center"/>
              <w:rPr>
                <w:rFonts w:ascii="宋体" w:hAnsi="宋体" w:cs="宋体"/>
                <w:szCs w:val="21"/>
              </w:rPr>
            </w:pPr>
            <w:r>
              <w:rPr>
                <w:rFonts w:hint="eastAsia" w:ascii="宋体" w:hAnsi="宋体" w:cs="宋体"/>
                <w:szCs w:val="21"/>
              </w:rPr>
              <w:t>10</w:t>
            </w:r>
          </w:p>
        </w:tc>
        <w:tc>
          <w:tcPr>
            <w:tcW w:w="5953" w:type="dxa"/>
            <w:vAlign w:val="center"/>
          </w:tcPr>
          <w:p>
            <w:pPr>
              <w:kinsoku w:val="0"/>
              <w:overflowPunct w:val="0"/>
              <w:autoSpaceDE w:val="0"/>
              <w:autoSpaceDN w:val="0"/>
              <w:snapToGrid w:val="0"/>
              <w:spacing w:line="240" w:lineRule="auto"/>
              <w:ind w:left="105" w:hanging="105"/>
              <w:jc w:val="left"/>
              <w:rPr>
                <w:rFonts w:ascii="宋体" w:hAnsi="宋体" w:cs="宋体"/>
                <w:kern w:val="0"/>
                <w:szCs w:val="21"/>
              </w:rPr>
            </w:pPr>
            <w:r>
              <w:rPr>
                <w:rFonts w:hint="eastAsia" w:ascii="宋体" w:hAnsi="宋体" w:cs="宋体"/>
                <w:kern w:val="0"/>
                <w:szCs w:val="21"/>
              </w:rPr>
              <w:t>响应文件标明的响应或偏离与事实不符或伪造证明文件等虚假</w:t>
            </w:r>
          </w:p>
          <w:p>
            <w:pPr>
              <w:kinsoku w:val="0"/>
              <w:overflowPunct w:val="0"/>
              <w:autoSpaceDE w:val="0"/>
              <w:autoSpaceDN w:val="0"/>
              <w:snapToGrid w:val="0"/>
              <w:spacing w:line="240" w:lineRule="auto"/>
              <w:ind w:left="105" w:hanging="105"/>
              <w:jc w:val="left"/>
              <w:rPr>
                <w:rFonts w:ascii="宋体" w:hAnsi="宋体" w:cs="宋体"/>
                <w:szCs w:val="21"/>
              </w:rPr>
            </w:pPr>
            <w:r>
              <w:rPr>
                <w:rFonts w:hint="eastAsia" w:ascii="宋体" w:hAnsi="宋体" w:cs="宋体"/>
                <w:kern w:val="0"/>
                <w:szCs w:val="21"/>
              </w:rPr>
              <w:t>投标的；</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vAlign w:val="center"/>
          </w:tcPr>
          <w:p>
            <w:pPr>
              <w:ind w:left="105" w:hanging="105"/>
              <w:jc w:val="center"/>
              <w:rPr>
                <w:rFonts w:ascii="宋体" w:hAnsi="宋体" w:cs="宋体"/>
                <w:szCs w:val="21"/>
              </w:rPr>
            </w:pPr>
            <w:r>
              <w:rPr>
                <w:rFonts w:hint="eastAsia" w:ascii="宋体" w:hAnsi="宋体" w:cs="宋体"/>
                <w:szCs w:val="21"/>
              </w:rPr>
              <w:t>结论：</w:t>
            </w:r>
          </w:p>
        </w:tc>
        <w:tc>
          <w:tcPr>
            <w:tcW w:w="709" w:type="dxa"/>
            <w:vAlign w:val="center"/>
          </w:tcPr>
          <w:p>
            <w:pPr>
              <w:ind w:left="105" w:hanging="105"/>
              <w:rPr>
                <w:rFonts w:ascii="宋体" w:hAnsi="宋体" w:cs="宋体"/>
                <w:szCs w:val="21"/>
              </w:rPr>
            </w:pPr>
          </w:p>
        </w:tc>
        <w:tc>
          <w:tcPr>
            <w:tcW w:w="709" w:type="dxa"/>
            <w:vAlign w:val="center"/>
          </w:tcPr>
          <w:p>
            <w:pPr>
              <w:ind w:left="105" w:hanging="105"/>
              <w:rPr>
                <w:rFonts w:ascii="宋体" w:hAnsi="宋体" w:cs="宋体"/>
                <w:szCs w:val="21"/>
              </w:rPr>
            </w:pPr>
          </w:p>
        </w:tc>
        <w:tc>
          <w:tcPr>
            <w:tcW w:w="613" w:type="dxa"/>
            <w:vAlign w:val="center"/>
          </w:tcPr>
          <w:p>
            <w:pPr>
              <w:ind w:left="105" w:hanging="105"/>
              <w:rPr>
                <w:rFonts w:ascii="宋体" w:hAnsi="宋体" w:cs="宋体"/>
                <w:szCs w:val="21"/>
              </w:rPr>
            </w:pPr>
          </w:p>
        </w:tc>
        <w:tc>
          <w:tcPr>
            <w:tcW w:w="757" w:type="dxa"/>
            <w:vAlign w:val="center"/>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vAlign w:val="center"/>
          </w:tcPr>
          <w:p>
            <w:pPr>
              <w:ind w:left="105" w:hanging="105"/>
              <w:jc w:val="left"/>
              <w:rPr>
                <w:rFonts w:ascii="宋体" w:hAnsi="宋体" w:cs="宋体"/>
                <w:b/>
                <w:szCs w:val="21"/>
              </w:rPr>
            </w:pPr>
            <w:r>
              <w:rPr>
                <w:rFonts w:hint="eastAsia" w:ascii="宋体" w:hAnsi="宋体" w:cs="宋体"/>
                <w:b/>
                <w:szCs w:val="21"/>
              </w:rPr>
              <w:t>磋商小组成员签名：</w:t>
            </w:r>
          </w:p>
          <w:p>
            <w:pPr>
              <w:ind w:left="105" w:hanging="105"/>
              <w:jc w:val="right"/>
              <w:rPr>
                <w:rFonts w:ascii="宋体" w:hAnsi="宋体" w:cs="宋体"/>
                <w:szCs w:val="21"/>
              </w:rPr>
            </w:pPr>
            <w:r>
              <w:rPr>
                <w:rFonts w:hint="eastAsia" w:ascii="宋体" w:hAnsi="宋体" w:cs="宋体"/>
                <w:b/>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vAlign w:val="center"/>
          </w:tcPr>
          <w:p>
            <w:pPr>
              <w:spacing w:line="240" w:lineRule="auto"/>
              <w:ind w:left="105" w:hanging="105"/>
              <w:jc w:val="left"/>
              <w:rPr>
                <w:rFonts w:ascii="宋体" w:hAnsi="宋体" w:cs="宋体"/>
                <w:b/>
                <w:szCs w:val="21"/>
              </w:rPr>
            </w:pPr>
            <w:r>
              <w:rPr>
                <w:rFonts w:hint="eastAsia" w:ascii="宋体" w:hAnsi="宋体" w:cs="宋体"/>
                <w:szCs w:val="21"/>
              </w:rPr>
              <w:t>备注：初步评审合格后方可进入详细评审阶段，如果响应文件中有一项未通过上述审查标准，磋商小组将认定整个响应文件不响应磋商文件而予以否决其投标，并且不允许供应商通过修改或撤销其不符合要求的差异或保留，使之成为具有响应性的投标。</w:t>
            </w:r>
          </w:p>
        </w:tc>
      </w:tr>
    </w:tbl>
    <w:p>
      <w:pPr>
        <w:pStyle w:val="10"/>
        <w:ind w:left="110" w:hanging="110"/>
        <w:rPr>
          <w:rFonts w:ascii="宋体" w:hAnsi="宋体" w:cs="宋体"/>
          <w:sz w:val="22"/>
          <w:szCs w:val="22"/>
          <w:shd w:val="clear" w:color="auto" w:fill="FFFFFF"/>
        </w:rPr>
      </w:pPr>
    </w:p>
    <w:p>
      <w:pPr>
        <w:pStyle w:val="38"/>
        <w:snapToGrid w:val="0"/>
        <w:ind w:firstLine="0" w:firstLineChars="0"/>
        <w:rPr>
          <w:rFonts w:ascii="宋体" w:hAnsi="宋体" w:cs="宋体"/>
          <w:b/>
          <w:bCs/>
          <w:sz w:val="24"/>
        </w:rPr>
      </w:pPr>
      <w:r>
        <w:rPr>
          <w:rFonts w:hint="eastAsia" w:ascii="宋体" w:hAnsi="宋体" w:cs="宋体"/>
          <w:b/>
          <w:bCs/>
          <w:sz w:val="24"/>
        </w:rPr>
        <w:t>被拒绝的响应文件为无效。通过符合性评审阶段的企业方能进入评分阶段。</w:t>
      </w:r>
    </w:p>
    <w:p>
      <w:pPr>
        <w:pStyle w:val="10"/>
        <w:ind w:left="141" w:hanging="141"/>
        <w:jc w:val="center"/>
        <w:outlineLvl w:val="1"/>
        <w:rPr>
          <w:rFonts w:ascii="宋体" w:hAnsi="宋体" w:cs="宋体"/>
          <w:b/>
          <w:bCs/>
          <w:caps/>
          <w:sz w:val="28"/>
          <w:szCs w:val="28"/>
        </w:rPr>
      </w:pPr>
      <w:bookmarkStart w:id="42" w:name="_Toc25766"/>
    </w:p>
    <w:p>
      <w:pPr>
        <w:ind w:left="105" w:hanging="105"/>
      </w:pPr>
    </w:p>
    <w:p>
      <w:pPr>
        <w:pStyle w:val="2"/>
        <w:ind w:left="105" w:hanging="105"/>
      </w:pPr>
    </w:p>
    <w:p>
      <w:pPr>
        <w:ind w:left="105" w:hanging="105"/>
        <w:rPr>
          <w:rFonts w:ascii="宋体" w:hAnsi="宋体" w:cs="宋体"/>
        </w:rPr>
      </w:pPr>
    </w:p>
    <w:p>
      <w:pPr>
        <w:pStyle w:val="10"/>
        <w:ind w:left="141" w:hanging="141"/>
        <w:jc w:val="center"/>
        <w:outlineLvl w:val="1"/>
        <w:rPr>
          <w:rFonts w:ascii="宋体" w:hAnsi="宋体" w:cs="宋体"/>
          <w:b/>
          <w:bCs/>
          <w:caps/>
          <w:sz w:val="28"/>
          <w:szCs w:val="28"/>
        </w:rPr>
      </w:pPr>
      <w:bookmarkStart w:id="43" w:name="_Toc80113535"/>
      <w:r>
        <w:rPr>
          <w:rFonts w:hint="eastAsia" w:ascii="宋体" w:hAnsi="宋体" w:cs="宋体"/>
          <w:b/>
          <w:bCs/>
          <w:caps/>
          <w:sz w:val="28"/>
          <w:szCs w:val="28"/>
        </w:rPr>
        <w:t>三、详细评分标准</w:t>
      </w:r>
      <w:bookmarkEnd w:id="42"/>
      <w:bookmarkEnd w:id="43"/>
    </w:p>
    <w:tbl>
      <w:tblPr>
        <w:tblStyle w:val="74"/>
        <w:tblW w:w="894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45"/>
        <w:gridCol w:w="566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Align w:val="center"/>
          </w:tcPr>
          <w:p>
            <w:pPr>
              <w:widowControl/>
              <w:adjustRightInd w:val="0"/>
              <w:snapToGrid w:val="0"/>
              <w:spacing w:line="300" w:lineRule="auto"/>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评分项目</w:t>
            </w:r>
          </w:p>
        </w:tc>
        <w:tc>
          <w:tcPr>
            <w:tcW w:w="1245" w:type="dxa"/>
            <w:vAlign w:val="center"/>
          </w:tcPr>
          <w:p>
            <w:pPr>
              <w:widowControl/>
              <w:adjustRightInd w:val="0"/>
              <w:snapToGrid w:val="0"/>
              <w:spacing w:line="300" w:lineRule="auto"/>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评分因素</w:t>
            </w:r>
          </w:p>
        </w:tc>
        <w:tc>
          <w:tcPr>
            <w:tcW w:w="5667" w:type="dxa"/>
            <w:vAlign w:val="center"/>
          </w:tcPr>
          <w:p>
            <w:pPr>
              <w:widowControl/>
              <w:adjustRightInd w:val="0"/>
              <w:snapToGrid w:val="0"/>
              <w:spacing w:line="300" w:lineRule="auto"/>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评审内容</w:t>
            </w:r>
          </w:p>
        </w:tc>
        <w:tc>
          <w:tcPr>
            <w:tcW w:w="756" w:type="dxa"/>
            <w:vAlign w:val="center"/>
          </w:tcPr>
          <w:p>
            <w:pPr>
              <w:widowControl/>
              <w:adjustRightInd w:val="0"/>
              <w:snapToGrid w:val="0"/>
              <w:spacing w:line="300" w:lineRule="auto"/>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276" w:type="dxa"/>
            <w:vAlign w:val="center"/>
          </w:tcPr>
          <w:p>
            <w:pPr>
              <w:widowControl/>
              <w:adjustRightInd w:val="0"/>
              <w:snapToGrid w:val="0"/>
              <w:spacing w:line="30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价格部分（30分）</w:t>
            </w:r>
          </w:p>
        </w:tc>
        <w:tc>
          <w:tcPr>
            <w:tcW w:w="1245" w:type="dxa"/>
            <w:vAlign w:val="center"/>
          </w:tcPr>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投标报价</w:t>
            </w:r>
          </w:p>
        </w:tc>
        <w:tc>
          <w:tcPr>
            <w:tcW w:w="5667" w:type="dxa"/>
            <w:vAlign w:val="center"/>
          </w:tcPr>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价格分采用低价优先法计算，即满足本招标文件要求的最低投标报价为评标基准价，其价格分为满分，其它投标人的价格分统一按照下列公式计算：</w:t>
            </w:r>
          </w:p>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投标报价得分=（评标基准价／投标报价）×价格分分值（精确到小数点后两位）。</w:t>
            </w:r>
          </w:p>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超过了采购项目预算或最高限价的，为无效投标。</w:t>
            </w:r>
          </w:p>
        </w:tc>
        <w:tc>
          <w:tcPr>
            <w:tcW w:w="756" w:type="dxa"/>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276" w:type="dxa"/>
            <w:vMerge w:val="restart"/>
            <w:shd w:val="clear" w:color="auto" w:fill="auto"/>
            <w:vAlign w:val="center"/>
          </w:tcPr>
          <w:p>
            <w:pPr>
              <w:widowControl/>
              <w:adjustRightInd w:val="0"/>
              <w:snapToGrid w:val="0"/>
              <w:spacing w:line="300" w:lineRule="auto"/>
              <w:jc w:val="center"/>
              <w:rPr>
                <w:rFonts w:ascii="宋体" w:hAnsi="宋体" w:eastAsia="宋体" w:cs="宋体"/>
                <w:color w:val="000000" w:themeColor="text1"/>
                <w:szCs w:val="21"/>
              </w:rPr>
            </w:pPr>
            <w:r>
              <w:rPr>
                <w:rFonts w:hint="eastAsia" w:ascii="宋体" w:hAnsi="宋体" w:eastAsia="宋体" w:cs="宋体"/>
                <w:color w:val="000000" w:themeColor="text1"/>
                <w:kern w:val="0"/>
                <w:szCs w:val="21"/>
              </w:rPr>
              <w:t>商务部分（</w:t>
            </w:r>
            <w:r>
              <w:rPr>
                <w:rFonts w:ascii="宋体" w:hAnsi="宋体" w:eastAsia="宋体" w:cs="宋体"/>
                <w:color w:val="000000" w:themeColor="text1"/>
                <w:kern w:val="0"/>
                <w:szCs w:val="21"/>
              </w:rPr>
              <w:t>18</w:t>
            </w:r>
            <w:r>
              <w:rPr>
                <w:rFonts w:hint="eastAsia" w:ascii="宋体" w:hAnsi="宋体" w:eastAsia="宋体" w:cs="宋体"/>
                <w:color w:val="000000" w:themeColor="text1"/>
                <w:kern w:val="0"/>
                <w:szCs w:val="21"/>
              </w:rPr>
              <w:t>分）</w:t>
            </w:r>
          </w:p>
        </w:tc>
        <w:tc>
          <w:tcPr>
            <w:tcW w:w="1245" w:type="dxa"/>
            <w:shd w:val="clear" w:color="auto" w:fill="auto"/>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投标人资质</w:t>
            </w:r>
          </w:p>
        </w:tc>
        <w:tc>
          <w:tcPr>
            <w:tcW w:w="5667" w:type="dxa"/>
            <w:shd w:val="clear" w:color="000000" w:fill="FFFFFF"/>
            <w:vAlign w:val="center"/>
          </w:tcPr>
          <w:p>
            <w:pPr>
              <w:adjustRightInd w:val="0"/>
              <w:snapToGrid w:val="0"/>
              <w:spacing w:line="30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本项目为综合性的系统维护服务项目，投标人须具备较强的系统集成和技术服务能力，因此根据投标人是否具备以下系统集成资质进行打分，</w:t>
            </w:r>
            <w:r>
              <w:rPr>
                <w:rFonts w:ascii="宋体" w:hAnsi="宋体" w:eastAsia="宋体" w:cs="宋体"/>
                <w:color w:val="000000" w:themeColor="text1"/>
                <w:kern w:val="0"/>
                <w:szCs w:val="21"/>
              </w:rPr>
              <w:t>不提供不得分。</w:t>
            </w:r>
          </w:p>
          <w:p>
            <w:pPr>
              <w:numPr>
                <w:ilvl w:val="0"/>
                <w:numId w:val="8"/>
              </w:numPr>
              <w:adjustRightInd w:val="0"/>
              <w:snapToGrid w:val="0"/>
              <w:spacing w:line="30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投标人具有音视频集成工程企业壹级资质壹级，得</w:t>
            </w:r>
            <w:r>
              <w:rPr>
                <w:rFonts w:ascii="宋体" w:hAnsi="宋体" w:eastAsia="宋体" w:cs="宋体"/>
                <w:color w:val="000000" w:themeColor="text1"/>
                <w:kern w:val="0"/>
                <w:szCs w:val="21"/>
              </w:rPr>
              <w:t>4分</w:t>
            </w:r>
            <w:r>
              <w:rPr>
                <w:rFonts w:hint="eastAsia" w:ascii="宋体" w:hAnsi="宋体" w:eastAsia="宋体" w:cs="宋体"/>
                <w:color w:val="000000" w:themeColor="text1"/>
                <w:kern w:val="0"/>
                <w:szCs w:val="21"/>
              </w:rPr>
              <w:t>，无或认证内容不符者不得分。</w:t>
            </w:r>
          </w:p>
          <w:p>
            <w:pPr>
              <w:numPr>
                <w:ilvl w:val="0"/>
                <w:numId w:val="8"/>
              </w:numPr>
              <w:adjustRightInd w:val="0"/>
              <w:snapToGrid w:val="0"/>
              <w:spacing w:line="300" w:lineRule="auto"/>
              <w:ind w:left="587"/>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投标人具有</w:t>
            </w:r>
            <w:r>
              <w:rPr>
                <w:rFonts w:ascii="宋体" w:hAnsi="宋体" w:eastAsia="宋体" w:cs="宋体"/>
                <w:color w:val="000000" w:themeColor="text1"/>
                <w:kern w:val="0"/>
                <w:szCs w:val="21"/>
              </w:rPr>
              <w:t>ISO9001企业质量管理体系认证资质者 4分，认证内容须包含广电设备系统集成或音视频设备系统集成，以原件为准，无或认证内容不符者不得分。</w:t>
            </w:r>
          </w:p>
          <w:p>
            <w:pPr>
              <w:adjustRightInd w:val="0"/>
              <w:snapToGrid w:val="0"/>
              <w:spacing w:line="300" w:lineRule="auto"/>
              <w:ind w:left="167"/>
              <w:jc w:val="left"/>
              <w:rPr>
                <w:rFonts w:hint="eastAsia" w:ascii="宋体" w:hAnsi="宋体" w:eastAsia="宋体" w:cs="宋体"/>
                <w:color w:val="000000" w:themeColor="text1"/>
                <w:kern w:val="0"/>
                <w:szCs w:val="21"/>
              </w:rPr>
            </w:pPr>
          </w:p>
        </w:tc>
        <w:tc>
          <w:tcPr>
            <w:tcW w:w="756" w:type="dxa"/>
            <w:shd w:val="clear" w:color="000000" w:fill="FFFFFF"/>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ascii="宋体" w:hAnsi="宋体" w:eastAsia="宋体" w:cs="宋体"/>
                <w:color w:val="000000" w:themeColor="text1"/>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6" w:type="dxa"/>
            <w:vMerge w:val="continue"/>
            <w:shd w:val="clear" w:color="auto" w:fill="auto"/>
            <w:vAlign w:val="center"/>
          </w:tcPr>
          <w:p>
            <w:pPr>
              <w:widowControl/>
              <w:adjustRightInd w:val="0"/>
              <w:snapToGrid w:val="0"/>
              <w:spacing w:line="300" w:lineRule="auto"/>
              <w:jc w:val="left"/>
              <w:rPr>
                <w:rFonts w:ascii="宋体" w:hAnsi="宋体" w:eastAsia="宋体" w:cs="宋体"/>
                <w:color w:val="000000" w:themeColor="text1"/>
                <w:kern w:val="0"/>
                <w:szCs w:val="21"/>
              </w:rPr>
            </w:pPr>
          </w:p>
        </w:tc>
        <w:tc>
          <w:tcPr>
            <w:tcW w:w="1245" w:type="dxa"/>
            <w:shd w:val="clear" w:color="auto" w:fill="auto"/>
            <w:vAlign w:val="center"/>
          </w:tcPr>
          <w:p>
            <w:pPr>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企业</w:t>
            </w:r>
          </w:p>
          <w:p>
            <w:pPr>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业绩</w:t>
            </w:r>
          </w:p>
        </w:tc>
        <w:tc>
          <w:tcPr>
            <w:tcW w:w="5667" w:type="dxa"/>
            <w:shd w:val="clear" w:color="auto" w:fill="auto"/>
            <w:vAlign w:val="center"/>
          </w:tcPr>
          <w:p>
            <w:pPr>
              <w:adjustRightInd w:val="0"/>
              <w:snapToGrid w:val="0"/>
              <w:spacing w:line="30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投标人具有自</w:t>
            </w:r>
            <w:r>
              <w:rPr>
                <w:rFonts w:ascii="宋体" w:hAnsi="宋体" w:eastAsia="宋体" w:cs="宋体"/>
                <w:color w:val="000000" w:themeColor="text1"/>
                <w:kern w:val="0"/>
                <w:szCs w:val="21"/>
              </w:rPr>
              <w:t>2017年以来类似省级媒体视音频系统集成</w:t>
            </w:r>
            <w:r>
              <w:rPr>
                <w:rFonts w:hint="eastAsia" w:ascii="宋体" w:hAnsi="宋体" w:eastAsia="宋体" w:cs="宋体"/>
                <w:color w:val="000000" w:themeColor="text1"/>
                <w:kern w:val="0"/>
                <w:szCs w:val="21"/>
              </w:rPr>
              <w:t>或售后服务</w:t>
            </w:r>
            <w:r>
              <w:rPr>
                <w:rFonts w:ascii="宋体" w:hAnsi="宋体" w:eastAsia="宋体" w:cs="宋体"/>
                <w:color w:val="000000" w:themeColor="text1"/>
                <w:kern w:val="0"/>
                <w:szCs w:val="21"/>
              </w:rPr>
              <w:t>案例，每提供一个</w:t>
            </w:r>
            <w:r>
              <w:rPr>
                <w:rFonts w:hint="eastAsia" w:ascii="宋体" w:hAnsi="宋体" w:eastAsia="宋体" w:cs="宋体"/>
                <w:color w:val="000000" w:themeColor="text1"/>
                <w:kern w:val="0"/>
                <w:szCs w:val="21"/>
              </w:rPr>
              <w:t>中标通知书或</w:t>
            </w:r>
            <w:r>
              <w:rPr>
                <w:rFonts w:ascii="宋体" w:hAnsi="宋体" w:eastAsia="宋体" w:cs="宋体"/>
                <w:color w:val="000000" w:themeColor="text1"/>
                <w:kern w:val="0"/>
                <w:szCs w:val="21"/>
              </w:rPr>
              <w:t>合同或用户证明，</w:t>
            </w:r>
            <w:r>
              <w:rPr>
                <w:rFonts w:hint="eastAsia" w:ascii="宋体" w:hAnsi="宋体" w:eastAsia="宋体" w:cs="宋体"/>
                <w:color w:val="000000" w:themeColor="text1"/>
                <w:kern w:val="0"/>
                <w:szCs w:val="21"/>
              </w:rPr>
              <w:t>得</w:t>
            </w:r>
            <w:r>
              <w:rPr>
                <w:rFonts w:ascii="宋体" w:hAnsi="宋体" w:eastAsia="宋体" w:cs="宋体"/>
                <w:color w:val="000000" w:themeColor="text1"/>
                <w:kern w:val="0"/>
                <w:szCs w:val="21"/>
              </w:rPr>
              <w:t>1分，最多</w:t>
            </w:r>
            <w:r>
              <w:rPr>
                <w:rFonts w:hint="eastAsia" w:ascii="宋体" w:hAnsi="宋体" w:eastAsia="宋体" w:cs="宋体"/>
                <w:color w:val="000000" w:themeColor="text1"/>
                <w:kern w:val="0"/>
                <w:szCs w:val="21"/>
              </w:rPr>
              <w:t>得</w:t>
            </w:r>
            <w:r>
              <w:rPr>
                <w:rFonts w:ascii="宋体" w:hAnsi="宋体" w:eastAsia="宋体" w:cs="宋体"/>
                <w:color w:val="000000" w:themeColor="text1"/>
                <w:kern w:val="0"/>
                <w:szCs w:val="21"/>
              </w:rPr>
              <w:t>10分。</w:t>
            </w:r>
          </w:p>
        </w:tc>
        <w:tc>
          <w:tcPr>
            <w:tcW w:w="756" w:type="dxa"/>
            <w:shd w:val="clear" w:color="000000" w:fill="FFFFFF"/>
            <w:vAlign w:val="center"/>
          </w:tcPr>
          <w:p>
            <w:pPr>
              <w:adjustRightInd w:val="0"/>
              <w:snapToGrid w:val="0"/>
              <w:spacing w:line="300" w:lineRule="auto"/>
              <w:jc w:val="center"/>
              <w:rPr>
                <w:rFonts w:ascii="宋体" w:hAnsi="宋体" w:eastAsia="宋体" w:cs="宋体"/>
                <w:color w:val="000000" w:themeColor="text1"/>
                <w:kern w:val="0"/>
                <w:szCs w:val="21"/>
              </w:rPr>
            </w:pPr>
            <w:r>
              <w:rPr>
                <w:rFonts w:ascii="宋体" w:hAnsi="宋体" w:eastAsia="宋体" w:cs="宋体"/>
                <w:color w:val="000000" w:themeColor="text1"/>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76" w:type="dxa"/>
            <w:vMerge w:val="restart"/>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技术部分(</w:t>
            </w:r>
            <w:r>
              <w:rPr>
                <w:rFonts w:ascii="宋体" w:hAnsi="宋体" w:eastAsia="宋体" w:cs="宋体"/>
                <w:color w:val="000000" w:themeColor="text1"/>
                <w:kern w:val="0"/>
                <w:szCs w:val="21"/>
              </w:rPr>
              <w:t>52</w:t>
            </w:r>
            <w:r>
              <w:rPr>
                <w:rFonts w:hint="eastAsia" w:ascii="宋体" w:hAnsi="宋体" w:eastAsia="宋体" w:cs="宋体"/>
                <w:color w:val="000000" w:themeColor="text1"/>
                <w:kern w:val="0"/>
                <w:szCs w:val="21"/>
              </w:rPr>
              <w:t>分)</w:t>
            </w:r>
          </w:p>
        </w:tc>
        <w:tc>
          <w:tcPr>
            <w:tcW w:w="1245" w:type="dxa"/>
            <w:tcBorders>
              <w:bottom w:val="single" w:color="auto" w:sz="4" w:space="0"/>
            </w:tcBorders>
            <w:vAlign w:val="center"/>
          </w:tcPr>
          <w:p>
            <w:pPr>
              <w:adjustRightInd w:val="0"/>
              <w:snapToGrid w:val="0"/>
              <w:spacing w:line="300" w:lineRule="auto"/>
              <w:jc w:val="center"/>
              <w:rPr>
                <w:rFonts w:ascii="宋体" w:hAnsi="宋体" w:eastAsia="宋体" w:cs="宋体"/>
                <w:color w:val="000000" w:themeColor="text1"/>
                <w:kern w:val="0"/>
                <w:szCs w:val="21"/>
                <w:highlight w:val="yellow"/>
              </w:rPr>
            </w:pPr>
            <w:r>
              <w:rPr>
                <w:rFonts w:hint="eastAsia" w:ascii="宋体" w:hAnsi="宋体" w:eastAsia="宋体" w:cs="宋体"/>
                <w:color w:val="000000" w:themeColor="text1"/>
                <w:kern w:val="0"/>
                <w:szCs w:val="21"/>
              </w:rPr>
              <w:t>对项目重点、难点的理解</w:t>
            </w:r>
          </w:p>
        </w:tc>
        <w:tc>
          <w:tcPr>
            <w:tcW w:w="5667" w:type="dxa"/>
            <w:tcBorders>
              <w:bottom w:val="single" w:color="auto" w:sz="4" w:space="0"/>
            </w:tcBorders>
            <w:vAlign w:val="center"/>
          </w:tcPr>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全面分析了用户项目实施地现状、实施要求等内容，对于本项目任务目标及需求理解深刻：</w:t>
            </w:r>
            <w:r>
              <w:rPr>
                <w:rFonts w:ascii="宋体" w:hAnsi="宋体" w:eastAsia="宋体" w:cs="宋体"/>
                <w:color w:val="000000" w:themeColor="text1"/>
                <w:kern w:val="0"/>
                <w:szCs w:val="21"/>
              </w:rPr>
              <w:t>10分</w:t>
            </w:r>
          </w:p>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对于用户项目实施地现状实施要求等内容阐述基本充分，对于本项目任务目标及需求有基本了解：</w:t>
            </w:r>
            <w:r>
              <w:rPr>
                <w:rFonts w:ascii="宋体" w:hAnsi="宋体" w:eastAsia="宋体" w:cs="宋体"/>
                <w:color w:val="000000" w:themeColor="text1"/>
                <w:kern w:val="0"/>
                <w:szCs w:val="21"/>
              </w:rPr>
              <w:t>7分</w:t>
            </w:r>
          </w:p>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对于用户项目实施地现状、实施要求等内容阐述不够充分，对于本项目任务目标及需求缺乏了解：</w:t>
            </w:r>
            <w:r>
              <w:rPr>
                <w:rFonts w:ascii="宋体" w:hAnsi="宋体" w:eastAsia="宋体" w:cs="宋体"/>
                <w:color w:val="000000" w:themeColor="text1"/>
                <w:kern w:val="0"/>
                <w:szCs w:val="21"/>
              </w:rPr>
              <w:t>4分</w:t>
            </w:r>
          </w:p>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对于用户项目实施地现状、实施要求等内容阐述十分不充分，对于本项目任务目标及需求不了解：</w:t>
            </w:r>
            <w:r>
              <w:rPr>
                <w:rFonts w:ascii="宋体" w:hAnsi="宋体" w:eastAsia="宋体" w:cs="宋体"/>
                <w:color w:val="000000" w:themeColor="text1"/>
                <w:kern w:val="0"/>
                <w:szCs w:val="21"/>
              </w:rPr>
              <w:t>1分</w:t>
            </w:r>
          </w:p>
          <w:p>
            <w:pPr>
              <w:widowControl/>
              <w:adjustRightInd w:val="0"/>
              <w:snapToGrid w:val="0"/>
              <w:spacing w:line="300" w:lineRule="auto"/>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未提供服务方案：</w:t>
            </w:r>
            <w:r>
              <w:rPr>
                <w:rFonts w:ascii="宋体" w:hAnsi="宋体" w:eastAsia="宋体" w:cs="宋体"/>
                <w:color w:val="000000" w:themeColor="text1"/>
                <w:kern w:val="0"/>
                <w:szCs w:val="21"/>
              </w:rPr>
              <w:t>0分</w:t>
            </w:r>
          </w:p>
        </w:tc>
        <w:tc>
          <w:tcPr>
            <w:tcW w:w="756" w:type="dxa"/>
            <w:tcBorders>
              <w:bottom w:val="single" w:color="auto" w:sz="4" w:space="0"/>
            </w:tcBorders>
            <w:vAlign w:val="center"/>
          </w:tcPr>
          <w:p>
            <w:pPr>
              <w:adjustRightInd w:val="0"/>
              <w:snapToGrid w:val="0"/>
              <w:spacing w:line="300" w:lineRule="auto"/>
              <w:jc w:val="center"/>
              <w:rPr>
                <w:rFonts w:ascii="宋体" w:hAnsi="宋体" w:eastAsia="宋体" w:cs="宋体"/>
                <w:color w:val="000000" w:themeColor="text1"/>
                <w:kern w:val="0"/>
                <w:szCs w:val="21"/>
              </w:rPr>
            </w:pPr>
            <w:r>
              <w:rPr>
                <w:rFonts w:ascii="宋体" w:hAnsi="宋体" w:eastAsia="宋体" w:cs="宋体"/>
                <w:color w:val="000000" w:themeColor="text1"/>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76" w:type="dxa"/>
            <w:vMerge w:val="continue"/>
            <w:vAlign w:val="center"/>
          </w:tcPr>
          <w:p>
            <w:pPr>
              <w:widowControl/>
              <w:adjustRightInd w:val="0"/>
              <w:snapToGrid w:val="0"/>
              <w:spacing w:line="300" w:lineRule="auto"/>
              <w:jc w:val="center"/>
              <w:rPr>
                <w:rFonts w:ascii="宋体" w:hAnsi="宋体" w:eastAsia="宋体" w:cs="宋体"/>
                <w:color w:val="000000" w:themeColor="text1"/>
                <w:kern w:val="0"/>
                <w:szCs w:val="21"/>
              </w:rPr>
            </w:pPr>
          </w:p>
        </w:tc>
        <w:tc>
          <w:tcPr>
            <w:tcW w:w="1245" w:type="dxa"/>
            <w:tcBorders>
              <w:bottom w:val="single" w:color="auto" w:sz="4" w:space="0"/>
            </w:tcBorders>
            <w:vAlign w:val="center"/>
          </w:tcPr>
          <w:p>
            <w:pPr>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实施方案</w:t>
            </w:r>
          </w:p>
        </w:tc>
        <w:tc>
          <w:tcPr>
            <w:tcW w:w="5667" w:type="dxa"/>
            <w:tcBorders>
              <w:bottom w:val="single" w:color="auto" w:sz="4" w:space="0"/>
            </w:tcBorders>
            <w:vAlign w:val="center"/>
          </w:tcPr>
          <w:p>
            <w:pPr>
              <w:widowControl/>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人员配备、分工合理，实施计划安排合理，现场质量保证体系、措施完整可行，应急预案完善：10分</w:t>
            </w:r>
          </w:p>
          <w:p>
            <w:pPr>
              <w:widowControl/>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人员配备、分工较合理，实施计划安排较合理，现场质量保证体系、措施比较完整可行，应急预案较完善：7分</w:t>
            </w:r>
          </w:p>
          <w:p>
            <w:pPr>
              <w:widowControl/>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人员配备、分工安排一般，实施计划安排一般，现场质量保证体系、措施欠完善，应急预案不够详实：4分</w:t>
            </w:r>
          </w:p>
          <w:p>
            <w:pPr>
              <w:adjustRightInd w:val="0"/>
              <w:snapToGrid w:val="0"/>
              <w:spacing w:line="30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未提供实施方案：0分</w:t>
            </w:r>
          </w:p>
        </w:tc>
        <w:tc>
          <w:tcPr>
            <w:tcW w:w="756" w:type="dxa"/>
            <w:tcBorders>
              <w:bottom w:val="single" w:color="auto" w:sz="4" w:space="0"/>
            </w:tcBorders>
            <w:vAlign w:val="center"/>
          </w:tcPr>
          <w:p>
            <w:pPr>
              <w:adjustRightInd w:val="0"/>
              <w:snapToGrid w:val="0"/>
              <w:spacing w:line="300" w:lineRule="auto"/>
              <w:jc w:val="center"/>
              <w:rPr>
                <w:rFonts w:ascii="宋体" w:hAnsi="宋体" w:eastAsia="宋体" w:cs="宋体"/>
                <w:color w:val="000000" w:themeColor="text1"/>
                <w:kern w:val="0"/>
                <w:szCs w:val="21"/>
              </w:rPr>
            </w:pPr>
            <w:r>
              <w:rPr>
                <w:rFonts w:ascii="宋体" w:hAnsi="宋体" w:eastAsia="宋体" w:cs="宋体"/>
                <w:color w:val="000000" w:themeColor="text1"/>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76" w:type="dxa"/>
            <w:vMerge w:val="continue"/>
            <w:vAlign w:val="center"/>
          </w:tcPr>
          <w:p>
            <w:pPr>
              <w:adjustRightInd w:val="0"/>
              <w:snapToGrid w:val="0"/>
              <w:spacing w:line="300" w:lineRule="auto"/>
              <w:jc w:val="left"/>
              <w:rPr>
                <w:rFonts w:ascii="宋体" w:hAnsi="宋体" w:eastAsia="宋体" w:cs="宋体"/>
                <w:color w:val="000000" w:themeColor="text1"/>
                <w:kern w:val="0"/>
                <w:szCs w:val="21"/>
              </w:rPr>
            </w:pPr>
          </w:p>
        </w:tc>
        <w:tc>
          <w:tcPr>
            <w:tcW w:w="1245" w:type="dxa"/>
            <w:vAlign w:val="center"/>
          </w:tcPr>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项目管理评价</w:t>
            </w:r>
          </w:p>
        </w:tc>
        <w:tc>
          <w:tcPr>
            <w:tcW w:w="5667" w:type="dxa"/>
            <w:vAlign w:val="center"/>
          </w:tcPr>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对投标人的项目管理（包括：组织实施、进度安排和进度控制、质量保障、风险、文档等）的合理性和实用性以及满足招标人的需要进行评价</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管理方案十分合理，具有非常高的准确性、及时性、全面性：10分</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管理方案较为合理，具有一定的准确性、及时性、全面性：7分</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管理方案合理性一般，准确性、及时性、全面性一般：4分</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其他：0分</w:t>
            </w:r>
          </w:p>
        </w:tc>
        <w:tc>
          <w:tcPr>
            <w:tcW w:w="756" w:type="dxa"/>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ascii="宋体" w:hAnsi="宋体" w:eastAsia="宋体" w:cs="宋体"/>
                <w:color w:val="000000" w:themeColor="text1"/>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76" w:type="dxa"/>
            <w:vMerge w:val="continue"/>
            <w:vAlign w:val="center"/>
          </w:tcPr>
          <w:p>
            <w:pPr>
              <w:adjustRightInd w:val="0"/>
              <w:snapToGrid w:val="0"/>
              <w:spacing w:line="300" w:lineRule="auto"/>
              <w:jc w:val="left"/>
              <w:rPr>
                <w:rFonts w:ascii="宋体" w:hAnsi="宋体" w:eastAsia="宋体" w:cs="宋体"/>
                <w:color w:val="000000" w:themeColor="text1"/>
                <w:kern w:val="0"/>
                <w:szCs w:val="21"/>
              </w:rPr>
            </w:pPr>
          </w:p>
        </w:tc>
        <w:tc>
          <w:tcPr>
            <w:tcW w:w="1245" w:type="dxa"/>
            <w:vAlign w:val="center"/>
          </w:tcPr>
          <w:p>
            <w:pPr>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完成项目保证措施及违约责任承诺</w:t>
            </w:r>
          </w:p>
        </w:tc>
        <w:tc>
          <w:tcPr>
            <w:tcW w:w="5667" w:type="dxa"/>
            <w:vAlign w:val="center"/>
          </w:tcPr>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关键线路清晰、准确、完整，计划编制先进、可行。关键节点的控制措施有力。违约责任承诺具体：10分</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关键线路较明确，计划编制合理。关键节点的控制措施可行。违约责任承诺完整：7分</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关键线路不明确，计划编制不合理。关键节点的控制措施可行性低。违约责任承诺不完整：4分</w:t>
            </w:r>
          </w:p>
          <w:p>
            <w:pPr>
              <w:spacing w:line="38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未提供施工进度计划和各阶段进度的保证措施及违约责任承诺：0分</w:t>
            </w:r>
          </w:p>
        </w:tc>
        <w:tc>
          <w:tcPr>
            <w:tcW w:w="756" w:type="dxa"/>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ascii="宋体" w:hAnsi="宋体" w:eastAsia="宋体" w:cs="宋体"/>
                <w:color w:val="000000" w:themeColor="text1"/>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76" w:type="dxa"/>
            <w:vMerge w:val="continue"/>
            <w:vAlign w:val="center"/>
          </w:tcPr>
          <w:p>
            <w:pPr>
              <w:adjustRightInd w:val="0"/>
              <w:snapToGrid w:val="0"/>
              <w:spacing w:line="300" w:lineRule="auto"/>
              <w:jc w:val="left"/>
              <w:rPr>
                <w:rFonts w:ascii="宋体" w:hAnsi="宋体" w:eastAsia="宋体" w:cs="宋体"/>
                <w:color w:val="000000" w:themeColor="text1"/>
                <w:kern w:val="0"/>
                <w:szCs w:val="21"/>
              </w:rPr>
            </w:pPr>
          </w:p>
        </w:tc>
        <w:tc>
          <w:tcPr>
            <w:tcW w:w="1245" w:type="dxa"/>
            <w:vAlign w:val="center"/>
          </w:tcPr>
          <w:p>
            <w:pPr>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本地化服务</w:t>
            </w:r>
          </w:p>
        </w:tc>
        <w:tc>
          <w:tcPr>
            <w:tcW w:w="5667" w:type="dxa"/>
            <w:vAlign w:val="center"/>
          </w:tcPr>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对投标人本地化服务和本地服务条件进行综合评价</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投标人在乌鲁木齐设有常驻机构和常驻人员，具有充足的备品备件，能够及时有效提供应急本地化服务的：1</w:t>
            </w:r>
            <w:r>
              <w:rPr>
                <w:rFonts w:ascii="宋体" w:hAnsi="宋体" w:eastAsia="宋体" w:cs="宋体"/>
                <w:color w:val="000000" w:themeColor="text1"/>
                <w:kern w:val="0"/>
                <w:szCs w:val="21"/>
              </w:rPr>
              <w:t>0</w:t>
            </w:r>
            <w:r>
              <w:rPr>
                <w:rFonts w:hint="eastAsia" w:ascii="宋体" w:hAnsi="宋体" w:eastAsia="宋体" w:cs="宋体"/>
                <w:color w:val="000000" w:themeColor="text1"/>
                <w:kern w:val="0"/>
                <w:szCs w:val="21"/>
              </w:rPr>
              <w:t>分。</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投标人在除乌鲁木齐外的新疆其他地区设有常驻机构和人员，具有一定的备品备件，能够提供本地化服务的：5分。</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投标人无法提供本地化服务的：0分。</w:t>
            </w:r>
          </w:p>
          <w:p>
            <w:pPr>
              <w:spacing w:line="40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需要提供常驻机构地址和租赁合同或房屋产权证明复印件，提供常驻人员名单、联系方式、身份证明或资格证书，提供本地服务机构实景照片、备品备件库和人员照片等证明材料。</w:t>
            </w:r>
          </w:p>
        </w:tc>
        <w:tc>
          <w:tcPr>
            <w:tcW w:w="756" w:type="dxa"/>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ascii="宋体" w:hAnsi="宋体" w:eastAsia="宋体" w:cs="宋体"/>
                <w:color w:val="000000" w:themeColor="text1"/>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76" w:type="dxa"/>
            <w:vMerge w:val="continue"/>
            <w:vAlign w:val="center"/>
          </w:tcPr>
          <w:p>
            <w:pPr>
              <w:adjustRightInd w:val="0"/>
              <w:snapToGrid w:val="0"/>
              <w:spacing w:line="300" w:lineRule="auto"/>
              <w:jc w:val="left"/>
              <w:rPr>
                <w:rFonts w:ascii="宋体" w:hAnsi="宋体" w:eastAsia="宋体" w:cs="宋体"/>
                <w:color w:val="000000" w:themeColor="text1"/>
                <w:kern w:val="0"/>
                <w:szCs w:val="21"/>
              </w:rPr>
            </w:pPr>
          </w:p>
        </w:tc>
        <w:tc>
          <w:tcPr>
            <w:tcW w:w="1245" w:type="dxa"/>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售后服务方案</w:t>
            </w:r>
          </w:p>
        </w:tc>
        <w:tc>
          <w:tcPr>
            <w:tcW w:w="5667" w:type="dxa"/>
            <w:vAlign w:val="center"/>
          </w:tcPr>
          <w:p>
            <w:pPr>
              <w:widowControl/>
              <w:adjustRightInd w:val="0"/>
              <w:snapToGrid w:val="0"/>
              <w:spacing w:line="300" w:lineRule="auto"/>
              <w:rPr>
                <w:rFonts w:ascii="宋体" w:hAnsi="宋体" w:eastAsia="宋体" w:cs="仿宋"/>
                <w:color w:val="000000" w:themeColor="text1"/>
                <w:szCs w:val="21"/>
              </w:rPr>
            </w:pPr>
            <w:r>
              <w:rPr>
                <w:rFonts w:hint="eastAsia" w:ascii="宋体" w:hAnsi="宋体" w:eastAsia="宋体" w:cs="仿宋"/>
                <w:color w:val="000000" w:themeColor="text1"/>
                <w:szCs w:val="21"/>
              </w:rPr>
              <w:t>对投标人的售后的合理性和实用性以及满足招标人的需要进行评价</w:t>
            </w:r>
          </w:p>
          <w:p>
            <w:pPr>
              <w:widowControl/>
              <w:adjustRightInd w:val="0"/>
              <w:snapToGrid w:val="0"/>
              <w:spacing w:line="300" w:lineRule="auto"/>
              <w:rPr>
                <w:rFonts w:ascii="宋体" w:hAnsi="宋体" w:eastAsia="宋体" w:cs="仿宋"/>
                <w:color w:val="000000" w:themeColor="text1"/>
                <w:szCs w:val="21"/>
              </w:rPr>
            </w:pPr>
            <w:r>
              <w:rPr>
                <w:rFonts w:hint="eastAsia" w:ascii="宋体" w:hAnsi="宋体" w:eastAsia="宋体" w:cs="仿宋"/>
                <w:color w:val="000000" w:themeColor="text1"/>
                <w:szCs w:val="21"/>
              </w:rPr>
              <w:t>售后方案十分合理，具有非常高的准确性、及时性、全面性：</w:t>
            </w:r>
            <w:r>
              <w:rPr>
                <w:rFonts w:ascii="宋体" w:hAnsi="宋体" w:eastAsia="宋体" w:cs="仿宋"/>
                <w:color w:val="000000" w:themeColor="text1"/>
                <w:szCs w:val="21"/>
              </w:rPr>
              <w:t>8分</w:t>
            </w:r>
          </w:p>
          <w:p>
            <w:pPr>
              <w:widowControl/>
              <w:adjustRightInd w:val="0"/>
              <w:snapToGrid w:val="0"/>
              <w:spacing w:line="300" w:lineRule="auto"/>
              <w:rPr>
                <w:rFonts w:ascii="宋体" w:hAnsi="宋体" w:eastAsia="宋体" w:cs="仿宋"/>
                <w:color w:val="000000" w:themeColor="text1"/>
                <w:szCs w:val="21"/>
              </w:rPr>
            </w:pPr>
            <w:r>
              <w:rPr>
                <w:rFonts w:hint="eastAsia" w:ascii="宋体" w:hAnsi="宋体" w:eastAsia="宋体" w:cs="仿宋"/>
                <w:color w:val="000000" w:themeColor="text1"/>
                <w:szCs w:val="21"/>
              </w:rPr>
              <w:t>售后方案较为合理，具有一定的准确性、及时性、全面性：</w:t>
            </w:r>
            <w:r>
              <w:rPr>
                <w:rFonts w:ascii="宋体" w:hAnsi="宋体" w:eastAsia="宋体" w:cs="仿宋"/>
                <w:color w:val="000000" w:themeColor="text1"/>
                <w:szCs w:val="21"/>
              </w:rPr>
              <w:t>5分</w:t>
            </w:r>
          </w:p>
          <w:p>
            <w:pPr>
              <w:widowControl/>
              <w:adjustRightInd w:val="0"/>
              <w:snapToGrid w:val="0"/>
              <w:spacing w:line="300" w:lineRule="auto"/>
              <w:rPr>
                <w:rFonts w:ascii="宋体" w:hAnsi="宋体" w:eastAsia="宋体" w:cs="仿宋"/>
                <w:color w:val="000000" w:themeColor="text1"/>
                <w:szCs w:val="21"/>
              </w:rPr>
            </w:pPr>
            <w:r>
              <w:rPr>
                <w:rFonts w:hint="eastAsia" w:ascii="宋体" w:hAnsi="宋体" w:eastAsia="宋体" w:cs="仿宋"/>
                <w:color w:val="000000" w:themeColor="text1"/>
                <w:szCs w:val="21"/>
              </w:rPr>
              <w:t>售后方案合理性一般，准确性、及时性、全面性一般：</w:t>
            </w:r>
            <w:r>
              <w:rPr>
                <w:rFonts w:ascii="宋体" w:hAnsi="宋体" w:eastAsia="宋体" w:cs="仿宋"/>
                <w:color w:val="000000" w:themeColor="text1"/>
                <w:szCs w:val="21"/>
              </w:rPr>
              <w:t>2分</w:t>
            </w:r>
          </w:p>
          <w:p>
            <w:pPr>
              <w:widowControl/>
              <w:adjustRightInd w:val="0"/>
              <w:snapToGrid w:val="0"/>
              <w:spacing w:line="300" w:lineRule="auto"/>
              <w:rPr>
                <w:rFonts w:ascii="宋体" w:hAnsi="宋体" w:eastAsia="宋体" w:cs="宋体"/>
                <w:color w:val="000000" w:themeColor="text1"/>
                <w:kern w:val="0"/>
                <w:szCs w:val="21"/>
              </w:rPr>
            </w:pPr>
            <w:r>
              <w:rPr>
                <w:rFonts w:hint="eastAsia" w:ascii="宋体" w:hAnsi="宋体" w:eastAsia="宋体" w:cs="仿宋"/>
                <w:color w:val="000000" w:themeColor="text1"/>
                <w:szCs w:val="21"/>
              </w:rPr>
              <w:t>其他：</w:t>
            </w:r>
            <w:r>
              <w:rPr>
                <w:rFonts w:ascii="宋体" w:hAnsi="宋体" w:eastAsia="宋体" w:cs="仿宋"/>
                <w:color w:val="000000" w:themeColor="text1"/>
                <w:szCs w:val="21"/>
              </w:rPr>
              <w:t>0分</w:t>
            </w:r>
          </w:p>
        </w:tc>
        <w:tc>
          <w:tcPr>
            <w:tcW w:w="756" w:type="dxa"/>
            <w:vAlign w:val="center"/>
          </w:tcPr>
          <w:p>
            <w:pPr>
              <w:widowControl/>
              <w:adjustRightInd w:val="0"/>
              <w:snapToGrid w:val="0"/>
              <w:spacing w:line="300" w:lineRule="auto"/>
              <w:jc w:val="center"/>
              <w:rPr>
                <w:rFonts w:ascii="宋体" w:hAnsi="宋体" w:eastAsia="宋体" w:cs="宋体"/>
                <w:color w:val="000000" w:themeColor="text1"/>
                <w:kern w:val="0"/>
                <w:szCs w:val="21"/>
              </w:rPr>
            </w:pPr>
            <w:r>
              <w:rPr>
                <w:rFonts w:ascii="宋体" w:hAnsi="宋体" w:eastAsia="宋体" w:cs="宋体"/>
                <w:color w:val="000000" w:themeColor="text1"/>
                <w:kern w:val="0"/>
                <w:szCs w:val="21"/>
              </w:rPr>
              <w:t>8</w:t>
            </w:r>
          </w:p>
        </w:tc>
      </w:tr>
    </w:tbl>
    <w:p>
      <w:pPr>
        <w:spacing w:line="500" w:lineRule="exact"/>
        <w:ind w:left="120" w:hanging="120"/>
        <w:rPr>
          <w:rFonts w:ascii="宋体" w:hAnsi="宋体" w:cs="宋体"/>
          <w:b/>
          <w:sz w:val="24"/>
        </w:rPr>
      </w:pPr>
    </w:p>
    <w:p>
      <w:pPr>
        <w:spacing w:line="500" w:lineRule="exact"/>
        <w:ind w:left="120" w:hanging="120"/>
        <w:rPr>
          <w:rFonts w:ascii="宋体" w:hAnsi="宋体" w:cs="宋体"/>
          <w:b/>
          <w:sz w:val="24"/>
        </w:rPr>
      </w:pPr>
      <w:r>
        <w:rPr>
          <w:rFonts w:hint="eastAsia" w:ascii="宋体" w:hAnsi="宋体" w:cs="宋体"/>
          <w:b/>
          <w:sz w:val="24"/>
        </w:rPr>
        <w:t>特别注意：</w:t>
      </w:r>
    </w:p>
    <w:p>
      <w:pPr>
        <w:spacing w:line="500" w:lineRule="exact"/>
        <w:ind w:left="0" w:right="0" w:firstLine="482" w:firstLineChars="200"/>
        <w:rPr>
          <w:rFonts w:ascii="宋体" w:hAnsi="宋体" w:cs="宋体"/>
          <w:b/>
          <w:sz w:val="24"/>
        </w:rPr>
      </w:pPr>
      <w:r>
        <w:rPr>
          <w:rFonts w:hint="eastAsia" w:ascii="宋体" w:hAnsi="宋体" w:cs="宋体"/>
          <w:b/>
          <w:sz w:val="24"/>
        </w:rPr>
        <w:t>1、成交人按照要求开展各项工作，必须在规定的时间内完成工作，不得出现工作差错。</w:t>
      </w:r>
    </w:p>
    <w:p>
      <w:pPr>
        <w:spacing w:line="500" w:lineRule="exact"/>
        <w:ind w:firstLine="482" w:firstLineChars="200"/>
        <w:rPr>
          <w:rFonts w:ascii="宋体" w:hAnsi="宋体" w:cs="宋体"/>
          <w:b/>
          <w:sz w:val="24"/>
        </w:rPr>
      </w:pPr>
      <w:r>
        <w:rPr>
          <w:rFonts w:hint="eastAsia" w:ascii="宋体" w:hAnsi="宋体" w:cs="宋体"/>
          <w:b/>
          <w:sz w:val="24"/>
        </w:rPr>
        <w:t>23、响应文件的澄清</w:t>
      </w:r>
    </w:p>
    <w:p>
      <w:pPr>
        <w:spacing w:line="500" w:lineRule="exact"/>
        <w:ind w:firstLine="480" w:firstLineChars="200"/>
        <w:rPr>
          <w:rFonts w:ascii="宋体" w:hAnsi="宋体" w:cs="宋体"/>
          <w:sz w:val="24"/>
        </w:rPr>
      </w:pPr>
      <w:r>
        <w:rPr>
          <w:rFonts w:hint="eastAsia" w:ascii="宋体" w:hAnsi="宋体" w:cs="宋体"/>
          <w:sz w:val="24"/>
        </w:rPr>
        <w:t>23.1 磋商小组在评标过程中有权随时请供应商就响应文件中含混之处加以澄清或答疑。</w:t>
      </w:r>
    </w:p>
    <w:p>
      <w:pPr>
        <w:spacing w:line="500" w:lineRule="exact"/>
        <w:ind w:firstLine="480" w:firstLineChars="200"/>
        <w:rPr>
          <w:rFonts w:ascii="宋体" w:hAnsi="宋体" w:cs="宋体"/>
          <w:sz w:val="24"/>
        </w:rPr>
      </w:pPr>
      <w:r>
        <w:rPr>
          <w:rFonts w:hint="eastAsia" w:ascii="宋体" w:hAnsi="宋体" w:cs="宋体"/>
          <w:sz w:val="24"/>
        </w:rPr>
        <w:t>23.2 供应商对要求澄清的问题应以书面形式明确答复，并应有法人授权代表的签署。</w:t>
      </w:r>
    </w:p>
    <w:p>
      <w:pPr>
        <w:spacing w:line="500" w:lineRule="exact"/>
        <w:ind w:firstLine="480" w:firstLineChars="200"/>
        <w:rPr>
          <w:rFonts w:ascii="宋体" w:hAnsi="宋体" w:cs="宋体"/>
          <w:sz w:val="24"/>
        </w:rPr>
      </w:pPr>
      <w:r>
        <w:rPr>
          <w:rFonts w:hint="eastAsia" w:ascii="宋体" w:hAnsi="宋体" w:cs="宋体"/>
          <w:sz w:val="24"/>
        </w:rPr>
        <w:t>23.3 供应商的澄清文件是响应文件的组成部分，并取代响应文件中被澄清的部分。</w:t>
      </w:r>
    </w:p>
    <w:p>
      <w:pPr>
        <w:spacing w:line="500" w:lineRule="exact"/>
        <w:ind w:firstLine="480" w:firstLineChars="200"/>
        <w:rPr>
          <w:rFonts w:ascii="宋体" w:hAnsi="宋体" w:cs="宋体"/>
          <w:sz w:val="24"/>
        </w:rPr>
      </w:pPr>
      <w:r>
        <w:rPr>
          <w:rFonts w:hint="eastAsia" w:ascii="宋体" w:hAnsi="宋体" w:cs="宋体"/>
          <w:sz w:val="24"/>
        </w:rPr>
        <w:t>23.4 响应文件的澄清不得改变投标的实质内容。</w:t>
      </w:r>
    </w:p>
    <w:p>
      <w:pPr>
        <w:spacing w:line="500" w:lineRule="exact"/>
        <w:ind w:firstLine="480" w:firstLineChars="200"/>
        <w:rPr>
          <w:rFonts w:ascii="宋体" w:hAnsi="宋体" w:cs="宋体"/>
          <w:sz w:val="24"/>
        </w:rPr>
      </w:pPr>
      <w:r>
        <w:rPr>
          <w:rFonts w:hint="eastAsia" w:ascii="宋体" w:hAnsi="宋体" w:cs="宋体"/>
          <w:sz w:val="24"/>
        </w:rPr>
        <w:t>23.5如果供应商在响应文件中未对竞争性磋商文件中的条款或参数要求提出偏离意见或澄清将视同供应商同意竞争性磋商文件的全部或部分要求。</w:t>
      </w:r>
    </w:p>
    <w:p>
      <w:pPr>
        <w:spacing w:line="500" w:lineRule="exact"/>
        <w:ind w:firstLine="482" w:firstLineChars="200"/>
        <w:rPr>
          <w:rFonts w:ascii="宋体" w:hAnsi="宋体" w:cs="宋体"/>
          <w:b/>
          <w:sz w:val="24"/>
        </w:rPr>
      </w:pPr>
      <w:r>
        <w:rPr>
          <w:rFonts w:hint="eastAsia" w:ascii="宋体" w:hAnsi="宋体" w:cs="宋体"/>
          <w:b/>
          <w:sz w:val="24"/>
        </w:rPr>
        <w:t>24、定标</w:t>
      </w:r>
    </w:p>
    <w:p>
      <w:pPr>
        <w:spacing w:line="500" w:lineRule="exact"/>
        <w:ind w:firstLine="480" w:firstLineChars="200"/>
        <w:rPr>
          <w:rFonts w:ascii="宋体" w:hAnsi="宋体" w:cs="宋体"/>
          <w:sz w:val="24"/>
        </w:rPr>
      </w:pPr>
      <w:r>
        <w:rPr>
          <w:rFonts w:hint="eastAsia" w:ascii="宋体" w:hAnsi="宋体" w:cs="宋体"/>
          <w:sz w:val="24"/>
        </w:rPr>
        <w:t>24.1 磋商小组有权依据文件选择和拒绝供应商成交，且无需向供应商进行任何有关评标的解释工作。</w:t>
      </w:r>
    </w:p>
    <w:p>
      <w:pPr>
        <w:spacing w:line="500" w:lineRule="exact"/>
        <w:ind w:left="120" w:leftChars="57" w:firstLine="361" w:firstLineChars="150"/>
        <w:rPr>
          <w:rFonts w:ascii="宋体" w:hAnsi="宋体" w:cs="宋体"/>
          <w:b/>
          <w:bCs/>
          <w:sz w:val="24"/>
        </w:rPr>
      </w:pPr>
      <w:r>
        <w:rPr>
          <w:rFonts w:hint="eastAsia" w:ascii="宋体" w:hAnsi="宋体" w:cs="宋体"/>
          <w:b/>
          <w:bCs/>
          <w:sz w:val="24"/>
        </w:rPr>
        <w:t>24.2 磋商小组通过上述评标方法以供应商提交报价后，磋商小组对满足所有实质性要求提交最后报价的供应商的响应文件和供应商提交的报价等进行综合评分，最终汇总后得分由高到低排序确定成交候选人。</w:t>
      </w:r>
    </w:p>
    <w:p>
      <w:pPr>
        <w:spacing w:line="500" w:lineRule="exact"/>
        <w:ind w:firstLine="482" w:firstLineChars="200"/>
        <w:rPr>
          <w:rFonts w:ascii="宋体" w:hAnsi="宋体" w:cs="宋体"/>
          <w:b/>
          <w:sz w:val="24"/>
        </w:rPr>
      </w:pPr>
      <w:r>
        <w:rPr>
          <w:rFonts w:hint="eastAsia" w:ascii="宋体" w:hAnsi="宋体" w:cs="宋体"/>
          <w:b/>
          <w:sz w:val="24"/>
        </w:rPr>
        <w:t>25、成交的标准</w:t>
      </w:r>
    </w:p>
    <w:p>
      <w:pPr>
        <w:spacing w:line="500" w:lineRule="exact"/>
        <w:ind w:firstLine="480" w:firstLineChars="200"/>
        <w:rPr>
          <w:rFonts w:ascii="宋体" w:hAnsi="宋体" w:cs="宋体"/>
          <w:sz w:val="24"/>
        </w:rPr>
      </w:pPr>
      <w:r>
        <w:rPr>
          <w:rFonts w:hint="eastAsia" w:ascii="宋体" w:hAnsi="宋体" w:cs="宋体"/>
          <w:sz w:val="24"/>
        </w:rPr>
        <w:t>25.1 资格审查文件完整无缺；</w:t>
      </w:r>
    </w:p>
    <w:p>
      <w:pPr>
        <w:spacing w:line="500" w:lineRule="exact"/>
        <w:ind w:firstLine="480" w:firstLineChars="200"/>
        <w:rPr>
          <w:rFonts w:ascii="宋体" w:hAnsi="宋体" w:cs="宋体"/>
          <w:sz w:val="24"/>
        </w:rPr>
      </w:pPr>
      <w:r>
        <w:rPr>
          <w:rFonts w:hint="eastAsia" w:ascii="宋体" w:hAnsi="宋体" w:cs="宋体"/>
          <w:sz w:val="24"/>
        </w:rPr>
        <w:t>25.2 已交纳磋商保证金；</w:t>
      </w:r>
    </w:p>
    <w:p>
      <w:pPr>
        <w:spacing w:line="500" w:lineRule="exact"/>
        <w:ind w:firstLine="480" w:firstLineChars="200"/>
        <w:rPr>
          <w:rFonts w:ascii="宋体" w:hAnsi="宋体" w:cs="宋体"/>
          <w:sz w:val="24"/>
        </w:rPr>
      </w:pPr>
      <w:r>
        <w:rPr>
          <w:rFonts w:hint="eastAsia" w:ascii="宋体" w:hAnsi="宋体" w:cs="宋体"/>
          <w:sz w:val="24"/>
        </w:rPr>
        <w:t>25.3 报价合理，承诺条件优惠；</w:t>
      </w:r>
    </w:p>
    <w:p>
      <w:pPr>
        <w:spacing w:line="500" w:lineRule="exact"/>
        <w:ind w:firstLine="480" w:firstLineChars="200"/>
        <w:rPr>
          <w:rFonts w:ascii="宋体" w:hAnsi="宋体" w:cs="宋体"/>
          <w:sz w:val="24"/>
        </w:rPr>
      </w:pPr>
      <w:r>
        <w:rPr>
          <w:rFonts w:hint="eastAsia" w:ascii="宋体" w:hAnsi="宋体" w:cs="宋体"/>
          <w:sz w:val="24"/>
        </w:rPr>
        <w:t>25.4 响应文件与竞争性磋商文件无重大偏离；</w:t>
      </w:r>
    </w:p>
    <w:p>
      <w:pPr>
        <w:spacing w:line="500" w:lineRule="exact"/>
        <w:ind w:firstLine="480" w:firstLineChars="200"/>
        <w:rPr>
          <w:rFonts w:ascii="宋体" w:hAnsi="宋体" w:cs="宋体"/>
          <w:sz w:val="24"/>
        </w:rPr>
      </w:pPr>
      <w:r>
        <w:rPr>
          <w:rFonts w:hint="eastAsia" w:ascii="宋体" w:hAnsi="宋体" w:cs="宋体"/>
          <w:sz w:val="24"/>
        </w:rPr>
        <w:t>25.5 有较强的技术力量，能提供完善的技术服务，有较好的行业业绩；</w:t>
      </w:r>
    </w:p>
    <w:p>
      <w:pPr>
        <w:spacing w:line="500" w:lineRule="exact"/>
        <w:ind w:firstLine="480" w:firstLineChars="200"/>
        <w:rPr>
          <w:rFonts w:ascii="宋体" w:hAnsi="宋体" w:cs="宋体"/>
          <w:sz w:val="24"/>
        </w:rPr>
      </w:pPr>
      <w:r>
        <w:rPr>
          <w:rFonts w:hint="eastAsia" w:ascii="宋体" w:hAnsi="宋体" w:cs="宋体"/>
          <w:sz w:val="24"/>
        </w:rPr>
        <w:t>25.6 其他；</w:t>
      </w:r>
    </w:p>
    <w:p>
      <w:pPr>
        <w:spacing w:line="500" w:lineRule="exact"/>
        <w:ind w:firstLine="480" w:firstLineChars="200"/>
        <w:rPr>
          <w:rFonts w:ascii="宋体" w:hAnsi="宋体" w:cs="宋体"/>
          <w:sz w:val="24"/>
        </w:rPr>
      </w:pPr>
      <w:r>
        <w:rPr>
          <w:rFonts w:hint="eastAsia" w:ascii="宋体" w:hAnsi="宋体" w:cs="宋体"/>
          <w:sz w:val="24"/>
        </w:rPr>
        <w:t>25.7 在合同签订之前，采购人和招标代理人有权对成交单位的履约能力进行最后审查，审查方式包括询问、调查和实地考察，如发现成交单位提供的响应文件中有虚假或对招标书所要求说明的情况故意隐瞒或虚报，则有权取消其成交资格，其磋商保证金不予退回，并在有效期内另行评定成交者。</w:t>
      </w:r>
    </w:p>
    <w:p>
      <w:pPr>
        <w:spacing w:line="500" w:lineRule="exact"/>
        <w:ind w:firstLine="482" w:firstLineChars="200"/>
        <w:rPr>
          <w:rFonts w:ascii="宋体" w:hAnsi="宋体" w:cs="宋体"/>
          <w:b/>
          <w:sz w:val="24"/>
        </w:rPr>
      </w:pPr>
      <w:r>
        <w:rPr>
          <w:rFonts w:hint="eastAsia" w:ascii="宋体" w:hAnsi="宋体" w:cs="宋体"/>
          <w:b/>
          <w:sz w:val="24"/>
        </w:rPr>
        <w:t>26、成交通知</w:t>
      </w:r>
    </w:p>
    <w:p>
      <w:pPr>
        <w:spacing w:line="500" w:lineRule="exact"/>
        <w:ind w:firstLine="480" w:firstLineChars="200"/>
        <w:rPr>
          <w:rFonts w:ascii="宋体" w:hAnsi="宋体" w:cs="宋体"/>
          <w:sz w:val="24"/>
        </w:rPr>
      </w:pPr>
      <w:r>
        <w:rPr>
          <w:rFonts w:hint="eastAsia" w:ascii="宋体" w:hAnsi="宋体" w:cs="宋体"/>
          <w:sz w:val="24"/>
        </w:rPr>
        <w:t>26.1成交公示期：</w:t>
      </w:r>
      <w:r>
        <w:rPr>
          <w:rFonts w:hint="eastAsia" w:ascii="宋体" w:hAnsi="宋体" w:cs="宋体"/>
          <w:sz w:val="24"/>
          <w:u w:val="single"/>
        </w:rPr>
        <w:t>在新疆政府采购网成交结果公示一个工作日。</w:t>
      </w:r>
    </w:p>
    <w:p>
      <w:pPr>
        <w:spacing w:line="500" w:lineRule="exact"/>
        <w:ind w:firstLine="480" w:firstLineChars="200"/>
        <w:rPr>
          <w:rFonts w:ascii="宋体" w:hAnsi="宋体" w:cs="宋体"/>
          <w:sz w:val="24"/>
        </w:rPr>
      </w:pPr>
      <w:r>
        <w:rPr>
          <w:rFonts w:hint="eastAsia" w:ascii="宋体" w:hAnsi="宋体" w:cs="宋体"/>
          <w:sz w:val="24"/>
        </w:rPr>
        <w:t>26.2采购代理机构根据定标结果，在新疆政府采购网成交结果公示的同时，以书面形式向成交单位发出成交通知书。</w:t>
      </w:r>
    </w:p>
    <w:p>
      <w:pPr>
        <w:spacing w:line="500" w:lineRule="exact"/>
        <w:ind w:firstLine="480" w:firstLineChars="200"/>
        <w:rPr>
          <w:rFonts w:ascii="宋体" w:hAnsi="宋体" w:cs="宋体"/>
          <w:sz w:val="24"/>
        </w:rPr>
      </w:pPr>
      <w:r>
        <w:rPr>
          <w:rFonts w:hint="eastAsia" w:ascii="宋体" w:hAnsi="宋体" w:cs="宋体"/>
          <w:sz w:val="24"/>
        </w:rPr>
        <w:t>26.3采购代理机构将定标结果及时通知未成交单位并退还磋商保证金。无需解释落标原因。</w:t>
      </w:r>
    </w:p>
    <w:p>
      <w:pPr>
        <w:spacing w:line="500" w:lineRule="exact"/>
        <w:ind w:firstLine="482" w:firstLineChars="200"/>
        <w:rPr>
          <w:rFonts w:ascii="宋体" w:hAnsi="宋体" w:cs="宋体"/>
          <w:b/>
          <w:bCs/>
          <w:sz w:val="24"/>
        </w:rPr>
      </w:pPr>
      <w:r>
        <w:rPr>
          <w:rFonts w:hint="eastAsia" w:ascii="宋体" w:hAnsi="宋体" w:cs="宋体"/>
          <w:b/>
          <w:bCs/>
          <w:sz w:val="24"/>
        </w:rPr>
        <w:t>27、拒绝某些或所有投标的权力</w:t>
      </w:r>
    </w:p>
    <w:p>
      <w:pPr>
        <w:spacing w:line="500" w:lineRule="exact"/>
        <w:ind w:firstLine="480" w:firstLineChars="200"/>
        <w:rPr>
          <w:rFonts w:ascii="宋体" w:hAnsi="宋体" w:cs="宋体"/>
          <w:sz w:val="24"/>
        </w:rPr>
      </w:pPr>
      <w:r>
        <w:rPr>
          <w:rFonts w:hint="eastAsia" w:ascii="宋体" w:hAnsi="宋体" w:cs="宋体"/>
          <w:sz w:val="24"/>
        </w:rPr>
        <w:t>27.1采购人有权在定标之前拒绝任何有不正当行为或扰乱正常采购工作的供应商，由此对供应商造成的损失不负任何责任，同时对此无需做任何解释。</w:t>
      </w:r>
    </w:p>
    <w:p>
      <w:pPr>
        <w:spacing w:line="500" w:lineRule="exact"/>
        <w:ind w:firstLine="482" w:firstLineChars="200"/>
        <w:rPr>
          <w:rFonts w:ascii="宋体" w:hAnsi="宋体" w:cs="宋体"/>
          <w:b/>
          <w:bCs/>
          <w:sz w:val="24"/>
        </w:rPr>
      </w:pPr>
      <w:r>
        <w:rPr>
          <w:rFonts w:hint="eastAsia" w:ascii="宋体" w:hAnsi="宋体" w:cs="宋体"/>
          <w:b/>
          <w:bCs/>
          <w:sz w:val="24"/>
        </w:rPr>
        <w:t>28．法律责任</w:t>
      </w:r>
    </w:p>
    <w:p>
      <w:pPr>
        <w:spacing w:line="500" w:lineRule="exact"/>
        <w:ind w:firstLine="480" w:firstLineChars="200"/>
        <w:rPr>
          <w:rFonts w:ascii="宋体" w:hAnsi="宋体" w:cs="宋体"/>
          <w:sz w:val="24"/>
        </w:rPr>
      </w:pPr>
      <w:r>
        <w:rPr>
          <w:rFonts w:hint="eastAsia" w:ascii="宋体" w:hAnsi="宋体" w:cs="宋体"/>
          <w:sz w:val="24"/>
        </w:rPr>
        <w:t>28.1</w:t>
      </w:r>
      <w:r>
        <w:rPr>
          <w:rFonts w:hint="eastAsia" w:ascii="宋体" w:hAnsi="宋体" w:cs="宋体"/>
          <w:sz w:val="24"/>
        </w:rPr>
        <w:tab/>
      </w:r>
      <w:r>
        <w:rPr>
          <w:rFonts w:hint="eastAsia" w:ascii="宋体" w:hAnsi="宋体" w:cs="宋体"/>
          <w:sz w:val="24"/>
        </w:rPr>
        <w:t xml:space="preserve">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500" w:lineRule="exact"/>
        <w:ind w:left="0" w:right="0" w:firstLine="480" w:firstLineChars="200"/>
        <w:rPr>
          <w:rFonts w:ascii="宋体" w:hAnsi="宋体" w:cs="宋体"/>
          <w:sz w:val="24"/>
        </w:rPr>
      </w:pPr>
      <w:r>
        <w:rPr>
          <w:rFonts w:hint="eastAsia" w:ascii="宋体" w:hAnsi="宋体" w:cs="宋体"/>
          <w:sz w:val="24"/>
        </w:rPr>
        <w:t xml:space="preserve">（一）提供虚假材料谋取成交的； </w:t>
      </w:r>
    </w:p>
    <w:p>
      <w:pPr>
        <w:spacing w:line="500" w:lineRule="exact"/>
        <w:ind w:left="0" w:right="0" w:firstLine="480" w:firstLineChars="200"/>
        <w:rPr>
          <w:rFonts w:ascii="宋体" w:hAnsi="宋体" w:cs="宋体"/>
          <w:sz w:val="24"/>
        </w:rPr>
      </w:pPr>
      <w:r>
        <w:rPr>
          <w:rFonts w:hint="eastAsia" w:ascii="宋体" w:hAnsi="宋体" w:cs="宋体"/>
          <w:sz w:val="24"/>
        </w:rPr>
        <w:t>（二）采取不正当手段诋毁、排挤其他供应商的；</w:t>
      </w:r>
    </w:p>
    <w:p>
      <w:pPr>
        <w:spacing w:line="500" w:lineRule="exact"/>
        <w:ind w:left="0" w:right="0" w:firstLine="480" w:firstLineChars="200"/>
        <w:rPr>
          <w:rFonts w:ascii="宋体" w:hAnsi="宋体" w:cs="宋体"/>
          <w:sz w:val="24"/>
        </w:rPr>
      </w:pPr>
      <w:r>
        <w:rPr>
          <w:rFonts w:hint="eastAsia" w:ascii="宋体" w:hAnsi="宋体" w:cs="宋体"/>
          <w:sz w:val="24"/>
        </w:rPr>
        <w:t xml:space="preserve">（三）与采购人、采购人、其他供应商恶意串通的； </w:t>
      </w:r>
    </w:p>
    <w:p>
      <w:pPr>
        <w:spacing w:line="500" w:lineRule="exact"/>
        <w:ind w:left="0" w:right="0" w:firstLine="480" w:firstLineChars="200"/>
        <w:rPr>
          <w:rFonts w:ascii="宋体" w:hAnsi="宋体" w:cs="宋体"/>
          <w:sz w:val="24"/>
        </w:rPr>
      </w:pPr>
      <w:r>
        <w:rPr>
          <w:rFonts w:hint="eastAsia" w:ascii="宋体" w:hAnsi="宋体" w:cs="宋体"/>
          <w:sz w:val="24"/>
        </w:rPr>
        <w:t xml:space="preserve">（四）向采购人、采购人行贿或者提供其他不正当利益的； </w:t>
      </w:r>
    </w:p>
    <w:p>
      <w:pPr>
        <w:spacing w:line="500" w:lineRule="exact"/>
        <w:ind w:left="0" w:right="0" w:firstLine="480" w:firstLineChars="200"/>
        <w:rPr>
          <w:rFonts w:ascii="宋体" w:hAnsi="宋体" w:cs="宋体"/>
          <w:sz w:val="24"/>
        </w:rPr>
      </w:pPr>
      <w:r>
        <w:rPr>
          <w:rFonts w:hint="eastAsia" w:ascii="宋体" w:hAnsi="宋体" w:cs="宋体"/>
          <w:sz w:val="24"/>
        </w:rPr>
        <w:t xml:space="preserve">（五）在招标过程中与采购人、采购人进行协商谈判、不按照竞争性磋商文件、响应文件订立合同，或者与采购人另行订立背离合同实质性内容的协议的； </w:t>
      </w:r>
    </w:p>
    <w:p>
      <w:pPr>
        <w:spacing w:line="500" w:lineRule="exact"/>
        <w:ind w:left="0" w:right="0" w:firstLine="480" w:firstLineChars="200"/>
        <w:rPr>
          <w:rFonts w:ascii="宋体" w:hAnsi="宋体" w:cs="宋体"/>
          <w:sz w:val="24"/>
        </w:rPr>
      </w:pPr>
      <w:r>
        <w:rPr>
          <w:rFonts w:hint="eastAsia" w:ascii="宋体" w:hAnsi="宋体" w:cs="宋体"/>
          <w:sz w:val="24"/>
        </w:rPr>
        <w:t xml:space="preserve">（六）拒绝有关部门监督检查或者提供虚假情况的。 </w:t>
      </w:r>
    </w:p>
    <w:p>
      <w:pPr>
        <w:spacing w:line="500" w:lineRule="exact"/>
        <w:ind w:left="0" w:right="0" w:firstLine="480" w:firstLineChars="200"/>
        <w:rPr>
          <w:rFonts w:ascii="宋体" w:hAnsi="宋体" w:cs="宋体"/>
          <w:sz w:val="24"/>
        </w:rPr>
      </w:pPr>
      <w:r>
        <w:rPr>
          <w:rFonts w:hint="eastAsia" w:ascii="宋体" w:hAnsi="宋体" w:cs="宋体"/>
          <w:sz w:val="24"/>
        </w:rPr>
        <w:t xml:space="preserve">供应商有前款第（一）至（五）项情形之一的，成交无效。 </w:t>
      </w:r>
    </w:p>
    <w:p>
      <w:pPr>
        <w:spacing w:line="500" w:lineRule="exact"/>
        <w:ind w:firstLine="480" w:firstLineChars="200"/>
        <w:rPr>
          <w:rFonts w:ascii="宋体" w:hAnsi="宋体" w:cs="宋体"/>
          <w:sz w:val="24"/>
        </w:rPr>
      </w:pPr>
      <w:r>
        <w:rPr>
          <w:rFonts w:hint="eastAsia" w:ascii="宋体" w:hAnsi="宋体" w:cs="宋体"/>
          <w:sz w:val="24"/>
        </w:rPr>
        <w:t>28.2</w:t>
      </w:r>
      <w:r>
        <w:rPr>
          <w:rFonts w:hint="eastAsia" w:ascii="宋体" w:hAnsi="宋体" w:cs="宋体"/>
          <w:sz w:val="24"/>
        </w:rPr>
        <w:tab/>
      </w:r>
      <w:r>
        <w:rPr>
          <w:rFonts w:hint="eastAsia" w:ascii="宋体" w:hAnsi="宋体" w:cs="宋体"/>
          <w:sz w:val="24"/>
        </w:rPr>
        <w:t>成交人有下列情形之一的，采购人不予退还其交纳的磋商保证金；情节严重的，由财政部门将其列入不良行为记录名单，在一至三年内禁止参加政府采购活动，并予以通报：</w:t>
      </w:r>
    </w:p>
    <w:p>
      <w:pPr>
        <w:spacing w:line="500" w:lineRule="exact"/>
        <w:ind w:left="0" w:right="0" w:firstLine="480" w:firstLineChars="200"/>
        <w:rPr>
          <w:rFonts w:ascii="宋体" w:hAnsi="宋体" w:cs="宋体"/>
          <w:sz w:val="24"/>
        </w:rPr>
      </w:pPr>
      <w:r>
        <w:rPr>
          <w:rFonts w:hint="eastAsia" w:ascii="宋体" w:hAnsi="宋体" w:cs="宋体"/>
          <w:sz w:val="24"/>
        </w:rPr>
        <w:t>（一）成交后无正当理由不与采购人签订合同的；</w:t>
      </w:r>
    </w:p>
    <w:p>
      <w:pPr>
        <w:spacing w:line="500" w:lineRule="exact"/>
        <w:ind w:left="0" w:right="0" w:firstLine="480" w:firstLineChars="200"/>
        <w:rPr>
          <w:rFonts w:ascii="宋体" w:hAnsi="宋体" w:cs="宋体"/>
          <w:sz w:val="24"/>
        </w:rPr>
      </w:pPr>
      <w:r>
        <w:rPr>
          <w:rFonts w:hint="eastAsia" w:ascii="宋体" w:hAnsi="宋体" w:cs="宋体"/>
          <w:sz w:val="24"/>
        </w:rPr>
        <w:t>（二）将成交项目转让给他人，或者在响应文件中未说明，且未经采购人同意，将成交项目分包给他人的；</w:t>
      </w:r>
    </w:p>
    <w:p>
      <w:pPr>
        <w:spacing w:line="500" w:lineRule="exact"/>
        <w:ind w:left="0" w:right="0" w:firstLine="480" w:firstLineChars="200"/>
        <w:rPr>
          <w:rFonts w:ascii="宋体" w:hAnsi="宋体" w:cs="宋体"/>
          <w:sz w:val="24"/>
        </w:rPr>
      </w:pPr>
      <w:r>
        <w:rPr>
          <w:rFonts w:hint="eastAsia" w:ascii="宋体" w:hAnsi="宋体" w:cs="宋体"/>
          <w:sz w:val="24"/>
        </w:rPr>
        <w:t>（三）拒绝履行合同义务的。</w:t>
      </w:r>
    </w:p>
    <w:p>
      <w:pPr>
        <w:spacing w:line="500" w:lineRule="exact"/>
        <w:ind w:firstLine="480" w:firstLineChars="200"/>
        <w:rPr>
          <w:rFonts w:ascii="宋体" w:hAnsi="宋体" w:cs="宋体"/>
          <w:sz w:val="24"/>
        </w:rPr>
      </w:pPr>
      <w:r>
        <w:rPr>
          <w:rFonts w:hint="eastAsia" w:ascii="宋体" w:hAnsi="宋体" w:cs="宋体"/>
          <w:sz w:val="24"/>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500" w:lineRule="exact"/>
        <w:ind w:firstLine="482" w:firstLineChars="200"/>
        <w:rPr>
          <w:rFonts w:ascii="宋体" w:hAnsi="宋体" w:cs="宋体"/>
          <w:b/>
          <w:bCs/>
          <w:sz w:val="24"/>
        </w:rPr>
      </w:pPr>
      <w:r>
        <w:rPr>
          <w:rFonts w:hint="eastAsia" w:ascii="宋体" w:hAnsi="宋体" w:cs="宋体"/>
          <w:b/>
          <w:bCs/>
          <w:sz w:val="24"/>
        </w:rPr>
        <w:t>29．</w:t>
      </w:r>
      <w:r>
        <w:rPr>
          <w:rFonts w:hint="eastAsia" w:ascii="宋体" w:hAnsi="宋体" w:cs="宋体"/>
          <w:b/>
          <w:bCs/>
          <w:sz w:val="24"/>
        </w:rPr>
        <w:tab/>
      </w:r>
      <w:r>
        <w:rPr>
          <w:rFonts w:hint="eastAsia" w:ascii="宋体" w:hAnsi="宋体" w:cs="宋体"/>
          <w:b/>
          <w:bCs/>
          <w:sz w:val="24"/>
        </w:rPr>
        <w:t>验收</w:t>
      </w:r>
    </w:p>
    <w:p>
      <w:pPr>
        <w:spacing w:line="500" w:lineRule="exact"/>
        <w:ind w:firstLine="480" w:firstLineChars="200"/>
        <w:rPr>
          <w:rFonts w:ascii="宋体" w:hAnsi="宋体" w:cs="宋体"/>
          <w:sz w:val="24"/>
        </w:rPr>
      </w:pPr>
      <w:r>
        <w:rPr>
          <w:rFonts w:hint="eastAsia" w:ascii="宋体" w:hAnsi="宋体" w:cs="宋体"/>
          <w:sz w:val="24"/>
        </w:rPr>
        <w:t>29.1</w:t>
      </w:r>
      <w:r>
        <w:rPr>
          <w:rFonts w:hint="eastAsia" w:ascii="宋体" w:hAnsi="宋体" w:cs="宋体"/>
          <w:sz w:val="24"/>
        </w:rPr>
        <w:tab/>
      </w:r>
      <w:r>
        <w:rPr>
          <w:rFonts w:hint="eastAsia" w:ascii="宋体" w:hAnsi="宋体" w:cs="宋体"/>
          <w:sz w:val="24"/>
        </w:rPr>
        <w:t>验收按甲乙双方合同约定方式进行。</w:t>
      </w:r>
    </w:p>
    <w:p>
      <w:pPr>
        <w:spacing w:line="500" w:lineRule="exact"/>
        <w:ind w:firstLine="482" w:firstLineChars="200"/>
        <w:rPr>
          <w:rFonts w:ascii="宋体" w:hAnsi="宋体" w:cs="宋体"/>
          <w:sz w:val="24"/>
        </w:rPr>
      </w:pPr>
      <w:r>
        <w:rPr>
          <w:rFonts w:hint="eastAsia" w:ascii="宋体" w:hAnsi="宋体" w:cs="宋体"/>
          <w:b/>
          <w:bCs/>
          <w:sz w:val="24"/>
        </w:rPr>
        <w:t>30．</w:t>
      </w:r>
      <w:r>
        <w:rPr>
          <w:rFonts w:hint="eastAsia" w:ascii="宋体" w:hAnsi="宋体" w:cs="宋体"/>
          <w:b/>
          <w:bCs/>
          <w:sz w:val="24"/>
        </w:rPr>
        <w:tab/>
      </w:r>
      <w:r>
        <w:rPr>
          <w:rFonts w:hint="eastAsia" w:ascii="宋体" w:hAnsi="宋体" w:cs="宋体"/>
          <w:b/>
          <w:bCs/>
          <w:sz w:val="24"/>
        </w:rPr>
        <w:t>质疑</w:t>
      </w:r>
    </w:p>
    <w:p>
      <w:pPr>
        <w:spacing w:line="500" w:lineRule="exact"/>
        <w:ind w:firstLine="480" w:firstLineChars="200"/>
        <w:rPr>
          <w:rFonts w:ascii="宋体" w:hAnsi="宋体" w:cs="宋体"/>
          <w:sz w:val="24"/>
        </w:rPr>
      </w:pPr>
      <w:r>
        <w:rPr>
          <w:rFonts w:hint="eastAsia" w:ascii="宋体" w:hAnsi="宋体" w:cs="宋体"/>
          <w:sz w:val="24"/>
        </w:rPr>
        <w:t>30.1</w:t>
      </w:r>
      <w:r>
        <w:rPr>
          <w:rFonts w:hint="eastAsia" w:ascii="宋体" w:hAnsi="宋体" w:cs="宋体"/>
          <w:sz w:val="24"/>
        </w:rPr>
        <w:tab/>
      </w:r>
      <w:r>
        <w:rPr>
          <w:rFonts w:hint="eastAsia" w:ascii="宋体" w:hAnsi="宋体" w:cs="宋体"/>
          <w:sz w:val="24"/>
        </w:rPr>
        <w:t>投标供应商对成交公告有异议的，应当在成交公告发布之日起七个工作日内，以书面形式向采购人提出质疑，质疑书应列明理由、依据，加盖单位公章。</w:t>
      </w:r>
    </w:p>
    <w:p>
      <w:pPr>
        <w:spacing w:line="500" w:lineRule="exact"/>
        <w:ind w:firstLine="480" w:firstLineChars="200"/>
        <w:rPr>
          <w:rFonts w:ascii="宋体" w:hAnsi="宋体" w:cs="宋体"/>
          <w:sz w:val="24"/>
        </w:rPr>
      </w:pPr>
      <w:r>
        <w:rPr>
          <w:rFonts w:hint="eastAsia" w:ascii="宋体" w:hAnsi="宋体" w:cs="宋体"/>
          <w:sz w:val="24"/>
        </w:rPr>
        <w:t>30.2</w:t>
      </w:r>
      <w:r>
        <w:rPr>
          <w:rFonts w:hint="eastAsia" w:ascii="宋体" w:hAnsi="宋体" w:cs="宋体"/>
          <w:sz w:val="24"/>
        </w:rPr>
        <w:tab/>
      </w:r>
      <w:r>
        <w:rPr>
          <w:rFonts w:hint="eastAsia" w:ascii="宋体" w:hAnsi="宋体" w:cs="宋体"/>
          <w:sz w:val="24"/>
        </w:rPr>
        <w:t>采购人应当在收到供应商书面质疑后七个工作日内，对质疑内容作出答复，但涉及商业秘密内容的除外；</w:t>
      </w:r>
    </w:p>
    <w:p>
      <w:pPr>
        <w:spacing w:line="500" w:lineRule="exact"/>
        <w:ind w:firstLine="480" w:firstLineChars="200"/>
        <w:rPr>
          <w:rFonts w:ascii="宋体" w:hAnsi="宋体" w:cs="宋体"/>
          <w:sz w:val="24"/>
        </w:rPr>
      </w:pPr>
      <w:r>
        <w:rPr>
          <w:rFonts w:hint="eastAsia" w:ascii="宋体" w:hAnsi="宋体" w:cs="宋体"/>
          <w:sz w:val="24"/>
        </w:rPr>
        <w:t>30.3</w:t>
      </w:r>
      <w:r>
        <w:rPr>
          <w:rFonts w:hint="eastAsia" w:ascii="宋体" w:hAnsi="宋体" w:cs="宋体"/>
          <w:sz w:val="24"/>
        </w:rPr>
        <w:tab/>
      </w:r>
      <w:r>
        <w:rPr>
          <w:rFonts w:hint="eastAsia" w:ascii="宋体" w:hAnsi="宋体" w:cs="宋体"/>
          <w:sz w:val="24"/>
        </w:rPr>
        <w:t>供应商须对质疑内容的真实性承担责任。</w:t>
      </w:r>
    </w:p>
    <w:p>
      <w:pPr>
        <w:spacing w:line="500" w:lineRule="exact"/>
        <w:ind w:firstLine="482" w:firstLineChars="200"/>
        <w:rPr>
          <w:rFonts w:ascii="宋体" w:hAnsi="宋体" w:cs="宋体"/>
          <w:b/>
          <w:bCs/>
          <w:sz w:val="24"/>
        </w:rPr>
      </w:pPr>
      <w:r>
        <w:rPr>
          <w:rFonts w:hint="eastAsia" w:ascii="宋体" w:hAnsi="宋体" w:cs="宋体"/>
          <w:b/>
          <w:bCs/>
          <w:sz w:val="24"/>
        </w:rPr>
        <w:t>31．</w:t>
      </w:r>
      <w:r>
        <w:rPr>
          <w:rFonts w:hint="eastAsia" w:ascii="宋体" w:hAnsi="宋体" w:cs="宋体"/>
          <w:b/>
          <w:bCs/>
          <w:sz w:val="24"/>
        </w:rPr>
        <w:tab/>
      </w:r>
      <w:r>
        <w:rPr>
          <w:rFonts w:hint="eastAsia" w:ascii="宋体" w:hAnsi="宋体" w:cs="宋体"/>
          <w:b/>
          <w:bCs/>
          <w:sz w:val="24"/>
        </w:rPr>
        <w:t>投诉</w:t>
      </w:r>
    </w:p>
    <w:p>
      <w:pPr>
        <w:spacing w:line="500" w:lineRule="exact"/>
        <w:ind w:firstLine="480" w:firstLineChars="200"/>
        <w:rPr>
          <w:rFonts w:ascii="宋体" w:hAnsi="宋体" w:cs="宋体"/>
          <w:sz w:val="24"/>
        </w:rPr>
      </w:pPr>
      <w:r>
        <w:rPr>
          <w:rFonts w:hint="eastAsia" w:ascii="宋体" w:hAnsi="宋体" w:cs="宋体"/>
          <w:sz w:val="24"/>
        </w:rPr>
        <w:t>31.1</w:t>
      </w:r>
      <w:r>
        <w:rPr>
          <w:rFonts w:hint="eastAsia" w:ascii="宋体" w:hAnsi="宋体" w:cs="宋体"/>
          <w:sz w:val="24"/>
        </w:rPr>
        <w:tab/>
      </w:r>
      <w:r>
        <w:rPr>
          <w:rFonts w:hint="eastAsia" w:ascii="宋体" w:hAnsi="宋体" w:cs="宋体"/>
          <w:sz w:val="24"/>
        </w:rPr>
        <w:t>质疑供应商对采购人的答复不满意或者采购人未在规定时间内答复的，可以在答复期满后十五个工作日内按有关规定，向同级人民政府财政部门投诉。财政部门应当在收到投诉后三十个工作日内，对投诉事项作出处理决定。</w:t>
      </w:r>
    </w:p>
    <w:p>
      <w:pPr>
        <w:spacing w:line="500" w:lineRule="exact"/>
        <w:ind w:firstLine="480" w:firstLineChars="200"/>
        <w:rPr>
          <w:rFonts w:ascii="宋体" w:hAnsi="宋体" w:cs="宋体"/>
          <w:sz w:val="24"/>
        </w:rPr>
      </w:pPr>
      <w:r>
        <w:rPr>
          <w:rFonts w:hint="eastAsia" w:ascii="宋体" w:hAnsi="宋体" w:cs="宋体"/>
          <w:sz w:val="24"/>
        </w:rPr>
        <w:t>31.2</w:t>
      </w:r>
      <w:r>
        <w:rPr>
          <w:rFonts w:hint="eastAsia" w:ascii="宋体" w:hAnsi="宋体" w:cs="宋体"/>
          <w:sz w:val="24"/>
        </w:rPr>
        <w:tab/>
      </w:r>
      <w:r>
        <w:rPr>
          <w:rFonts w:hint="eastAsia" w:ascii="宋体" w:hAnsi="宋体" w:cs="宋体"/>
          <w:sz w:val="24"/>
        </w:rPr>
        <w:t>处理投诉事项期间，财政部门可以视具体情况书面通知采购单位暂停签订合同等活动，但暂停时间最长不得超过三十日。</w:t>
      </w:r>
    </w:p>
    <w:p>
      <w:pPr>
        <w:spacing w:line="300" w:lineRule="exact"/>
        <w:ind w:left="714" w:leftChars="1" w:hanging="712" w:hangingChars="297"/>
        <w:rPr>
          <w:rFonts w:ascii="宋体" w:hAnsi="宋体" w:cs="宋体"/>
          <w:sz w:val="24"/>
          <w:szCs w:val="20"/>
        </w:rPr>
      </w:pPr>
    </w:p>
    <w:p>
      <w:pPr>
        <w:spacing w:line="500" w:lineRule="exact"/>
        <w:ind w:left="120" w:hanging="120"/>
        <w:jc w:val="center"/>
        <w:rPr>
          <w:rFonts w:ascii="宋体" w:hAnsi="宋体" w:cs="宋体"/>
          <w:b/>
          <w:sz w:val="24"/>
        </w:rPr>
      </w:pPr>
    </w:p>
    <w:p>
      <w:pPr>
        <w:spacing w:line="500" w:lineRule="exact"/>
        <w:ind w:left="120" w:hanging="120"/>
        <w:jc w:val="center"/>
        <w:rPr>
          <w:rFonts w:ascii="宋体" w:hAnsi="宋体" w:cs="宋体"/>
          <w:b/>
          <w:sz w:val="24"/>
        </w:rPr>
      </w:pPr>
      <w:r>
        <w:rPr>
          <w:rFonts w:hint="eastAsia" w:ascii="宋体" w:hAnsi="宋体" w:cs="宋体"/>
          <w:b/>
          <w:sz w:val="24"/>
        </w:rPr>
        <w:t>七、签定合同</w:t>
      </w:r>
    </w:p>
    <w:p>
      <w:pPr>
        <w:spacing w:line="500" w:lineRule="exact"/>
        <w:ind w:left="120" w:hanging="120"/>
        <w:jc w:val="center"/>
        <w:rPr>
          <w:rFonts w:ascii="宋体" w:hAnsi="宋体" w:cs="宋体"/>
          <w:b/>
          <w:sz w:val="24"/>
        </w:rPr>
      </w:pPr>
    </w:p>
    <w:p>
      <w:pPr>
        <w:spacing w:line="500" w:lineRule="exact"/>
        <w:ind w:firstLine="482" w:firstLineChars="200"/>
        <w:rPr>
          <w:rFonts w:ascii="宋体" w:hAnsi="宋体" w:cs="宋体"/>
          <w:b/>
          <w:sz w:val="24"/>
        </w:rPr>
      </w:pPr>
      <w:r>
        <w:rPr>
          <w:rFonts w:hint="eastAsia" w:ascii="宋体" w:hAnsi="宋体" w:cs="宋体"/>
          <w:b/>
          <w:sz w:val="24"/>
        </w:rPr>
        <w:t>32、签定合同</w:t>
      </w:r>
    </w:p>
    <w:p>
      <w:pPr>
        <w:ind w:firstLine="480" w:firstLineChars="200"/>
        <w:rPr>
          <w:rFonts w:ascii="宋体" w:hAnsi="宋体" w:cs="宋体"/>
          <w:sz w:val="24"/>
        </w:rPr>
      </w:pPr>
      <w:r>
        <w:rPr>
          <w:rFonts w:hint="eastAsia" w:ascii="宋体" w:hAnsi="宋体" w:cs="宋体"/>
          <w:sz w:val="24"/>
        </w:rPr>
        <w:t>32.1 采购人和成交人在自成交通知书发出之日起30日内，根据《中华人民共和国民法典》等其他有关法律、法规，遵循平等、自愿、公平和诚信的原则，订立本合同。</w:t>
      </w:r>
    </w:p>
    <w:p>
      <w:pPr>
        <w:spacing w:line="500" w:lineRule="exact"/>
        <w:ind w:firstLine="480" w:firstLineChars="200"/>
        <w:rPr>
          <w:rFonts w:ascii="宋体" w:hAnsi="宋体" w:cs="宋体"/>
          <w:sz w:val="24"/>
        </w:rPr>
      </w:pPr>
      <w:r>
        <w:rPr>
          <w:rFonts w:hint="eastAsia" w:ascii="宋体" w:hAnsi="宋体" w:cs="宋体"/>
          <w:sz w:val="24"/>
        </w:rPr>
        <w:t>3.2 成交合同不得转让。合同分包需在响应文件中予以说明，并需经采购人同意。否则，采购人有权取消成交人的成交资格。</w:t>
      </w:r>
    </w:p>
    <w:p>
      <w:pPr>
        <w:spacing w:line="500" w:lineRule="exact"/>
        <w:ind w:firstLine="480" w:firstLineChars="200"/>
        <w:rPr>
          <w:rFonts w:ascii="宋体" w:hAnsi="宋体" w:cs="宋体"/>
          <w:sz w:val="24"/>
        </w:rPr>
      </w:pPr>
      <w:r>
        <w:rPr>
          <w:rFonts w:hint="eastAsia" w:ascii="宋体" w:hAnsi="宋体" w:cs="宋体"/>
          <w:sz w:val="24"/>
        </w:rPr>
        <w:t>32.3 采购人如遇成交人违约，可从候选成交人中重新选定成交人，并签定经济合同。</w:t>
      </w:r>
    </w:p>
    <w:p>
      <w:pPr>
        <w:spacing w:line="500" w:lineRule="exact"/>
        <w:ind w:firstLine="482" w:firstLineChars="200"/>
        <w:rPr>
          <w:rFonts w:ascii="宋体" w:hAnsi="宋体" w:cs="宋体"/>
          <w:b/>
          <w:sz w:val="24"/>
        </w:rPr>
      </w:pPr>
      <w:r>
        <w:rPr>
          <w:rFonts w:hint="eastAsia" w:ascii="宋体" w:hAnsi="宋体" w:cs="宋体"/>
          <w:b/>
          <w:sz w:val="24"/>
        </w:rPr>
        <w:t>32.4 根据实际情况预留</w:t>
      </w:r>
      <w:r>
        <w:rPr>
          <w:rFonts w:hint="eastAsia" w:ascii="宋体" w:hAnsi="宋体" w:cs="宋体"/>
          <w:b/>
          <w:sz w:val="24"/>
          <w:lang w:eastAsia="zh-CN"/>
        </w:rPr>
        <w:t>合同</w:t>
      </w:r>
      <w:r>
        <w:rPr>
          <w:rFonts w:hint="eastAsia" w:ascii="宋体" w:hAnsi="宋体" w:cs="宋体"/>
          <w:b/>
          <w:sz w:val="24"/>
        </w:rPr>
        <w:t>份数，</w:t>
      </w:r>
      <w:r>
        <w:rPr>
          <w:rFonts w:hint="eastAsia" w:ascii="宋体" w:hAnsi="宋体" w:cs="宋体"/>
          <w:b/>
          <w:sz w:val="24"/>
          <w:lang w:eastAsia="zh-CN"/>
        </w:rPr>
        <w:t>合同</w:t>
      </w:r>
      <w:r>
        <w:rPr>
          <w:rFonts w:hint="eastAsia" w:ascii="宋体" w:hAnsi="宋体" w:cs="宋体"/>
          <w:b/>
          <w:sz w:val="24"/>
        </w:rPr>
        <w:t>需经采购人、成交人双方签字盖章后即生效。采购人、成交人亦可自愿申请公证。</w:t>
      </w:r>
    </w:p>
    <w:p>
      <w:pPr>
        <w:spacing w:line="500" w:lineRule="exact"/>
        <w:ind w:firstLine="482" w:firstLineChars="200"/>
        <w:rPr>
          <w:rFonts w:ascii="宋体" w:hAnsi="宋体" w:cs="宋体"/>
          <w:b/>
          <w:sz w:val="24"/>
        </w:rPr>
      </w:pPr>
      <w:r>
        <w:rPr>
          <w:rFonts w:hint="eastAsia" w:ascii="宋体" w:hAnsi="宋体" w:cs="宋体"/>
          <w:b/>
          <w:sz w:val="24"/>
        </w:rPr>
        <w:t>33、合同的组成</w:t>
      </w:r>
    </w:p>
    <w:p>
      <w:pPr>
        <w:spacing w:line="500" w:lineRule="exact"/>
        <w:ind w:firstLine="480" w:firstLineChars="200"/>
        <w:rPr>
          <w:rFonts w:ascii="宋体" w:hAnsi="宋体" w:cs="宋体"/>
          <w:sz w:val="24"/>
        </w:rPr>
      </w:pPr>
      <w:r>
        <w:rPr>
          <w:rFonts w:hint="eastAsia" w:ascii="宋体" w:hAnsi="宋体" w:cs="宋体"/>
          <w:sz w:val="24"/>
        </w:rPr>
        <w:t>33.1 下列文件均为合同不可分割部分：</w:t>
      </w:r>
    </w:p>
    <w:p>
      <w:pPr>
        <w:spacing w:line="500" w:lineRule="exact"/>
        <w:ind w:firstLine="480" w:firstLineChars="200"/>
        <w:rPr>
          <w:rFonts w:ascii="宋体" w:hAnsi="宋体" w:cs="宋体"/>
          <w:sz w:val="24"/>
        </w:rPr>
      </w:pPr>
      <w:r>
        <w:rPr>
          <w:rFonts w:hint="eastAsia" w:ascii="宋体" w:hAnsi="宋体" w:cs="宋体"/>
          <w:sz w:val="24"/>
        </w:rPr>
        <w:t>33.1.1 专用合同；</w:t>
      </w:r>
    </w:p>
    <w:p>
      <w:pPr>
        <w:spacing w:line="500" w:lineRule="exact"/>
        <w:ind w:firstLine="480" w:firstLineChars="200"/>
        <w:rPr>
          <w:rFonts w:ascii="宋体" w:hAnsi="宋体" w:cs="宋体"/>
          <w:sz w:val="24"/>
        </w:rPr>
      </w:pPr>
      <w:r>
        <w:rPr>
          <w:rFonts w:hint="eastAsia" w:ascii="宋体" w:hAnsi="宋体" w:cs="宋体"/>
          <w:sz w:val="24"/>
        </w:rPr>
        <w:t>33.1.2 合同条款；</w:t>
      </w:r>
    </w:p>
    <w:p>
      <w:pPr>
        <w:spacing w:line="500" w:lineRule="exact"/>
        <w:ind w:firstLine="480" w:firstLineChars="200"/>
        <w:rPr>
          <w:rFonts w:ascii="宋体" w:hAnsi="宋体" w:cs="宋体"/>
          <w:sz w:val="24"/>
        </w:rPr>
      </w:pPr>
      <w:r>
        <w:rPr>
          <w:rFonts w:hint="eastAsia" w:ascii="宋体" w:hAnsi="宋体" w:cs="宋体"/>
          <w:sz w:val="24"/>
        </w:rPr>
        <w:t>33.1.3 成交通知书；</w:t>
      </w:r>
    </w:p>
    <w:p>
      <w:pPr>
        <w:spacing w:line="500" w:lineRule="exact"/>
        <w:ind w:firstLine="480" w:firstLineChars="200"/>
        <w:rPr>
          <w:rFonts w:ascii="宋体" w:hAnsi="宋体" w:cs="宋体"/>
          <w:sz w:val="24"/>
        </w:rPr>
      </w:pPr>
      <w:r>
        <w:rPr>
          <w:rFonts w:hint="eastAsia" w:ascii="宋体" w:hAnsi="宋体" w:cs="宋体"/>
          <w:sz w:val="24"/>
        </w:rPr>
        <w:t>33.1.4 乙方成交的响应文件；</w:t>
      </w:r>
    </w:p>
    <w:p>
      <w:pPr>
        <w:spacing w:line="500" w:lineRule="exact"/>
        <w:ind w:firstLine="480" w:firstLineChars="200"/>
        <w:rPr>
          <w:rFonts w:ascii="宋体" w:hAnsi="宋体" w:cs="宋体"/>
          <w:sz w:val="24"/>
        </w:rPr>
      </w:pPr>
      <w:r>
        <w:rPr>
          <w:rFonts w:hint="eastAsia" w:ascii="宋体" w:hAnsi="宋体" w:cs="宋体"/>
          <w:sz w:val="24"/>
        </w:rPr>
        <w:t>33.1.5 竞争性磋商文件；</w:t>
      </w:r>
    </w:p>
    <w:p>
      <w:pPr>
        <w:spacing w:line="500" w:lineRule="exact"/>
        <w:ind w:left="120" w:hanging="120"/>
        <w:rPr>
          <w:rFonts w:ascii="宋体" w:hAnsi="宋体" w:cs="宋体"/>
          <w:sz w:val="24"/>
        </w:rPr>
      </w:pPr>
      <w:r>
        <w:rPr>
          <w:rFonts w:hint="eastAsia" w:ascii="宋体" w:hAnsi="宋体" w:cs="宋体"/>
          <w:sz w:val="24"/>
        </w:rPr>
        <w:t xml:space="preserve">    33.1.6 评标答疑记录。</w:t>
      </w:r>
    </w:p>
    <w:p>
      <w:pPr>
        <w:spacing w:line="500" w:lineRule="exact"/>
        <w:ind w:firstLine="482" w:firstLineChars="200"/>
        <w:rPr>
          <w:rFonts w:ascii="宋体" w:hAnsi="宋体" w:cs="宋体"/>
          <w:b/>
          <w:bCs/>
          <w:sz w:val="24"/>
        </w:rPr>
      </w:pPr>
      <w:r>
        <w:rPr>
          <w:rFonts w:hint="eastAsia" w:ascii="宋体" w:hAnsi="宋体" w:cs="宋体"/>
          <w:b/>
          <w:bCs/>
          <w:sz w:val="24"/>
        </w:rPr>
        <w:t>34、履约保证金</w:t>
      </w:r>
    </w:p>
    <w:p>
      <w:pPr>
        <w:spacing w:line="500" w:lineRule="exact"/>
        <w:ind w:firstLine="480" w:firstLineChars="200"/>
        <w:rPr>
          <w:rFonts w:hint="eastAsia" w:ascii="宋体" w:hAnsi="宋体" w:eastAsia="宋体" w:cs="宋体"/>
          <w:lang w:eastAsia="zh-CN"/>
        </w:rPr>
      </w:pPr>
      <w:r>
        <w:rPr>
          <w:rFonts w:hint="eastAsia" w:ascii="宋体" w:hAnsi="宋体" w:cs="宋体"/>
          <w:sz w:val="24"/>
        </w:rPr>
        <w:t>34.</w:t>
      </w:r>
      <w:r>
        <w:rPr>
          <w:rFonts w:hint="eastAsia" w:ascii="宋体" w:hAnsi="宋体" w:cs="宋体"/>
          <w:sz w:val="24"/>
          <w:lang w:val="en-US" w:eastAsia="zh-CN"/>
        </w:rPr>
        <w:t xml:space="preserve">1 </w:t>
      </w:r>
      <w:r>
        <w:rPr>
          <w:rFonts w:hint="eastAsia" w:ascii="宋体" w:hAnsi="宋体" w:cs="宋体"/>
          <w:sz w:val="24"/>
          <w:lang w:eastAsia="zh-CN"/>
        </w:rPr>
        <w:t>本项目不收取履约保证金。</w:t>
      </w:r>
    </w:p>
    <w:p>
      <w:pPr>
        <w:numPr>
          <w:ilvl w:val="0"/>
          <w:numId w:val="9"/>
        </w:numPr>
        <w:spacing w:after="156" w:line="500" w:lineRule="exact"/>
        <w:ind w:left="120" w:hanging="120"/>
        <w:jc w:val="center"/>
        <w:rPr>
          <w:rFonts w:ascii="宋体" w:hAnsi="宋体" w:cs="宋体"/>
          <w:b/>
          <w:sz w:val="24"/>
        </w:rPr>
      </w:pPr>
      <w:r>
        <w:rPr>
          <w:rFonts w:hint="eastAsia" w:ascii="宋体" w:hAnsi="宋体" w:cs="宋体"/>
          <w:b/>
          <w:sz w:val="24"/>
        </w:rPr>
        <w:t>特别提示</w:t>
      </w:r>
    </w:p>
    <w:p>
      <w:pPr>
        <w:spacing w:line="500" w:lineRule="exact"/>
        <w:ind w:firstLine="480" w:firstLineChars="200"/>
        <w:rPr>
          <w:rFonts w:ascii="宋体" w:hAnsi="宋体" w:cs="宋体"/>
          <w:sz w:val="24"/>
        </w:rPr>
      </w:pPr>
      <w:r>
        <w:rPr>
          <w:rFonts w:hint="eastAsia" w:ascii="宋体" w:hAnsi="宋体" w:cs="宋体"/>
          <w:sz w:val="24"/>
        </w:rPr>
        <w:t>35、供应商应认真研读竞争性磋商文件，充分考虑竞争性磋商文件中的技术要求和合同条款后编制响应文件。</w:t>
      </w:r>
    </w:p>
    <w:p>
      <w:pPr>
        <w:spacing w:line="500" w:lineRule="exact"/>
        <w:ind w:firstLine="480" w:firstLineChars="200"/>
        <w:rPr>
          <w:rFonts w:ascii="宋体" w:hAnsi="宋体" w:cs="宋体"/>
          <w:sz w:val="24"/>
        </w:rPr>
      </w:pPr>
      <w:r>
        <w:rPr>
          <w:rFonts w:hint="eastAsia" w:ascii="宋体" w:hAnsi="宋体" w:cs="宋体"/>
          <w:sz w:val="24"/>
        </w:rPr>
        <w:t>36、如竞争性磋商文件中未提供的各类表格样式，供应商可另行设计表格样式，但力求内容完整，表达清晰、准确。</w:t>
      </w:r>
    </w:p>
    <w:p>
      <w:pPr>
        <w:spacing w:before="156" w:after="156" w:line="500" w:lineRule="exact"/>
        <w:ind w:left="120" w:hanging="120"/>
        <w:jc w:val="center"/>
        <w:rPr>
          <w:rFonts w:ascii="宋体" w:hAnsi="宋体" w:cs="宋体"/>
          <w:b/>
          <w:sz w:val="24"/>
        </w:rPr>
      </w:pPr>
    </w:p>
    <w:p>
      <w:pPr>
        <w:spacing w:before="156" w:after="156" w:line="500" w:lineRule="exact"/>
        <w:ind w:left="120" w:hanging="120"/>
        <w:jc w:val="center"/>
        <w:rPr>
          <w:rFonts w:ascii="宋体" w:hAnsi="宋体" w:cs="宋体"/>
          <w:b/>
          <w:sz w:val="24"/>
        </w:rPr>
      </w:pPr>
      <w:r>
        <w:rPr>
          <w:rFonts w:hint="eastAsia" w:ascii="宋体" w:hAnsi="宋体" w:cs="宋体"/>
          <w:b/>
          <w:sz w:val="24"/>
        </w:rPr>
        <w:t>九、其他事项</w:t>
      </w:r>
    </w:p>
    <w:p>
      <w:pPr>
        <w:spacing w:line="500" w:lineRule="exact"/>
        <w:ind w:firstLine="482" w:firstLineChars="200"/>
        <w:rPr>
          <w:rFonts w:hint="eastAsia" w:ascii="宋体" w:hAnsi="宋体" w:eastAsia="宋体" w:cs="宋体"/>
          <w:b/>
          <w:sz w:val="24"/>
          <w:lang w:eastAsia="zh-CN"/>
        </w:rPr>
      </w:pPr>
      <w:r>
        <w:rPr>
          <w:rFonts w:hint="eastAsia" w:ascii="宋体" w:hAnsi="宋体" w:cs="宋体"/>
          <w:b/>
          <w:sz w:val="24"/>
        </w:rPr>
        <w:t>37、</w:t>
      </w:r>
      <w:r>
        <w:rPr>
          <w:rFonts w:hint="eastAsia" w:ascii="宋体" w:hAnsi="宋体" w:cs="宋体"/>
          <w:b/>
          <w:sz w:val="24"/>
          <w:lang w:eastAsia="zh-CN"/>
        </w:rPr>
        <w:t>招标代理服务费</w:t>
      </w:r>
    </w:p>
    <w:p>
      <w:pPr>
        <w:spacing w:line="500" w:lineRule="exact"/>
        <w:ind w:firstLine="480" w:firstLineChars="200"/>
        <w:rPr>
          <w:rFonts w:ascii="宋体" w:hAnsi="宋体" w:cs="宋体"/>
          <w:sz w:val="24"/>
        </w:rPr>
      </w:pPr>
      <w:r>
        <w:rPr>
          <w:rFonts w:hint="eastAsia" w:ascii="宋体" w:hAnsi="宋体" w:cs="宋体"/>
          <w:sz w:val="24"/>
        </w:rPr>
        <w:t>37.1成交单位必须在采购工作结束后向新疆金玖恩项目管理咨询有限公司一次付清</w:t>
      </w:r>
      <w:r>
        <w:rPr>
          <w:rFonts w:hint="eastAsia" w:ascii="宋体" w:hAnsi="宋体" w:cs="宋体"/>
          <w:sz w:val="24"/>
          <w:lang w:eastAsia="zh-CN"/>
        </w:rPr>
        <w:t>招标代理服务费</w:t>
      </w:r>
      <w:r>
        <w:rPr>
          <w:rFonts w:hint="eastAsia" w:ascii="宋体" w:hAnsi="宋体" w:cs="宋体"/>
          <w:kern w:val="0"/>
          <w:sz w:val="24"/>
        </w:rPr>
        <w:t>（即成交人在领取成交通知书时支付）</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 xml:space="preserve">37.2 </w:t>
      </w:r>
      <w:r>
        <w:rPr>
          <w:rFonts w:hint="eastAsia" w:ascii="宋体" w:hAnsi="宋体" w:cs="宋体"/>
          <w:sz w:val="24"/>
          <w:lang w:eastAsia="zh-CN"/>
        </w:rPr>
        <w:t>招标代理服务费</w:t>
      </w:r>
      <w:r>
        <w:rPr>
          <w:rFonts w:hint="eastAsia" w:ascii="宋体" w:hAnsi="宋体" w:cs="宋体"/>
          <w:sz w:val="24"/>
        </w:rPr>
        <w:t>执行国家计委关于印发《招标代理服务收费管理暂行办法》的通知。</w:t>
      </w:r>
    </w:p>
    <w:p>
      <w:pPr>
        <w:spacing w:line="500" w:lineRule="exact"/>
        <w:ind w:firstLine="480" w:firstLineChars="200"/>
        <w:rPr>
          <w:rFonts w:ascii="宋体" w:hAnsi="宋体" w:cs="宋体"/>
          <w:sz w:val="24"/>
        </w:rPr>
      </w:pPr>
      <w:r>
        <w:rPr>
          <w:rFonts w:hint="eastAsia" w:ascii="宋体" w:hAnsi="宋体" w:cs="宋体"/>
          <w:sz w:val="24"/>
        </w:rPr>
        <w:t>38、本竞争性磋商文件是根据《中华人民共和国政府采购法》规定编制的，解释权属新疆金玖恩项目管理咨询有限公司。</w:t>
      </w:r>
    </w:p>
    <w:p>
      <w:pPr>
        <w:pStyle w:val="6"/>
        <w:ind w:left="120" w:hanging="120"/>
        <w:rPr>
          <w:rFonts w:ascii="宋体" w:hAnsi="宋体" w:cs="宋体"/>
          <w:sz w:val="24"/>
        </w:rPr>
      </w:pPr>
    </w:p>
    <w:p>
      <w:pPr>
        <w:ind w:left="120" w:hanging="120"/>
        <w:rPr>
          <w:rFonts w:ascii="宋体" w:hAnsi="宋体" w:cs="宋体"/>
          <w:sz w:val="24"/>
        </w:rPr>
      </w:pPr>
    </w:p>
    <w:p>
      <w:pPr>
        <w:spacing w:line="240" w:lineRule="auto"/>
        <w:ind w:firstLine="482" w:firstLineChars="200"/>
        <w:rPr>
          <w:rFonts w:ascii="宋体" w:hAnsi="宋体" w:cs="宋体"/>
          <w:b/>
          <w:bCs/>
          <w:sz w:val="24"/>
        </w:rPr>
      </w:pPr>
    </w:p>
    <w:p>
      <w:pPr>
        <w:pStyle w:val="5"/>
        <w:ind w:firstLine="480"/>
        <w:rPr>
          <w:rFonts w:ascii="宋体" w:hAnsi="宋体" w:cs="宋体"/>
        </w:rPr>
      </w:pPr>
    </w:p>
    <w:p>
      <w:pPr>
        <w:spacing w:line="240" w:lineRule="auto"/>
        <w:ind w:firstLine="643" w:firstLineChars="200"/>
        <w:jc w:val="center"/>
        <w:rPr>
          <w:rFonts w:ascii="宋体" w:hAnsi="宋体" w:cs="宋体"/>
          <w:b/>
          <w:bCs/>
          <w:sz w:val="32"/>
          <w:szCs w:val="32"/>
        </w:rPr>
      </w:pPr>
    </w:p>
    <w:p>
      <w:pPr>
        <w:spacing w:line="240" w:lineRule="auto"/>
        <w:ind w:firstLine="643" w:firstLineChars="200"/>
        <w:jc w:val="center"/>
        <w:rPr>
          <w:rFonts w:ascii="宋体" w:hAnsi="宋体" w:cs="宋体"/>
          <w:b/>
          <w:bCs/>
          <w:sz w:val="32"/>
          <w:szCs w:val="32"/>
        </w:rPr>
      </w:pPr>
      <w:r>
        <w:rPr>
          <w:rFonts w:hint="eastAsia" w:ascii="宋体" w:hAnsi="宋体" w:cs="宋体"/>
          <w:b/>
          <w:bCs/>
          <w:sz w:val="32"/>
          <w:szCs w:val="32"/>
        </w:rPr>
        <w:br w:type="page"/>
      </w:r>
    </w:p>
    <w:p>
      <w:pPr>
        <w:spacing w:line="240" w:lineRule="auto"/>
        <w:ind w:firstLine="643" w:firstLineChars="200"/>
        <w:jc w:val="center"/>
        <w:rPr>
          <w:rFonts w:ascii="宋体" w:hAnsi="宋体" w:cs="宋体"/>
          <w:b/>
          <w:bCs/>
          <w:sz w:val="32"/>
          <w:szCs w:val="32"/>
        </w:rPr>
      </w:pPr>
    </w:p>
    <w:p>
      <w:pPr>
        <w:spacing w:line="240" w:lineRule="auto"/>
        <w:ind w:firstLine="643" w:firstLineChars="200"/>
        <w:jc w:val="center"/>
        <w:rPr>
          <w:rFonts w:ascii="宋体" w:hAnsi="宋体" w:cs="宋体"/>
          <w:b/>
          <w:bCs/>
          <w:sz w:val="32"/>
          <w:szCs w:val="32"/>
        </w:rPr>
      </w:pPr>
      <w:r>
        <w:rPr>
          <w:rFonts w:hint="eastAsia" w:ascii="宋体" w:hAnsi="宋体" w:cs="宋体"/>
          <w:b/>
          <w:bCs/>
          <w:sz w:val="32"/>
          <w:szCs w:val="32"/>
        </w:rPr>
        <w:t>第二章   采购需求、技术参数</w:t>
      </w:r>
    </w:p>
    <w:p>
      <w:pPr>
        <w:adjustRightInd w:val="0"/>
        <w:snapToGrid w:val="0"/>
        <w:ind w:left="0" w:firstLine="0" w:firstLineChars="0"/>
        <w:rPr>
          <w:rFonts w:ascii="宋体" w:hAnsi="宋体" w:cs="宋体"/>
          <w:b/>
          <w:sz w:val="28"/>
          <w:szCs w:val="28"/>
        </w:rPr>
      </w:pPr>
    </w:p>
    <w:p>
      <w:pPr>
        <w:pStyle w:val="164"/>
        <w:widowControl/>
        <w:numPr>
          <w:ilvl w:val="0"/>
          <w:numId w:val="10"/>
        </w:numPr>
        <w:tabs>
          <w:tab w:val="left" w:pos="720"/>
        </w:tabs>
        <w:spacing w:line="360" w:lineRule="auto"/>
        <w:ind w:left="1716" w:hanging="1716" w:firstLineChars="0"/>
        <w:jc w:val="left"/>
        <w:outlineLvl w:val="1"/>
        <w:rPr>
          <w:rFonts w:ascii="宋体" w:hAnsi="宋体" w:eastAsia="宋体" w:cs="宋体"/>
          <w:b/>
          <w:snapToGrid w:val="0"/>
          <w:color w:val="000000" w:themeColor="text1"/>
          <w:kern w:val="0"/>
          <w:sz w:val="24"/>
          <w:szCs w:val="24"/>
        </w:rPr>
      </w:pPr>
      <w:r>
        <w:rPr>
          <w:rFonts w:hint="eastAsia" w:ascii="宋体" w:hAnsi="宋体" w:eastAsia="宋体" w:cs="宋体"/>
          <w:b/>
          <w:snapToGrid w:val="0"/>
          <w:color w:val="000000" w:themeColor="text1"/>
          <w:kern w:val="0"/>
          <w:sz w:val="24"/>
          <w:szCs w:val="24"/>
        </w:rPr>
        <w:t>项目概述</w:t>
      </w:r>
    </w:p>
    <w:p>
      <w:pPr>
        <w:spacing w:line="360" w:lineRule="auto"/>
        <w:ind w:firstLine="480" w:firstLineChars="200"/>
        <w:rPr>
          <w:rFonts w:ascii="宋体" w:hAnsi="宋体" w:eastAsia="宋体" w:cs="宋体"/>
          <w:bCs/>
          <w:snapToGrid w:val="0"/>
          <w:color w:val="000000" w:themeColor="text1"/>
          <w:kern w:val="0"/>
          <w:sz w:val="24"/>
          <w:szCs w:val="24"/>
        </w:rPr>
      </w:pPr>
      <w:r>
        <w:rPr>
          <w:rFonts w:ascii="宋体" w:hAnsi="宋体" w:eastAsia="宋体" w:cs="宋体"/>
          <w:bCs/>
          <w:snapToGrid w:val="0"/>
          <w:color w:val="000000" w:themeColor="text1"/>
          <w:kern w:val="0"/>
          <w:sz w:val="24"/>
          <w:szCs w:val="24"/>
        </w:rPr>
        <w:t>自治区广电局应急</w:t>
      </w:r>
      <w:r>
        <w:rPr>
          <w:rFonts w:hint="eastAsia" w:ascii="宋体" w:hAnsi="宋体" w:eastAsia="宋体" w:cs="宋体"/>
          <w:bCs/>
          <w:snapToGrid w:val="0"/>
          <w:color w:val="000000" w:themeColor="text1"/>
          <w:kern w:val="0"/>
          <w:sz w:val="24"/>
          <w:szCs w:val="24"/>
        </w:rPr>
        <w:t>车</w:t>
      </w:r>
      <w:r>
        <w:rPr>
          <w:rFonts w:ascii="宋体" w:hAnsi="宋体" w:eastAsia="宋体" w:cs="宋体"/>
          <w:bCs/>
          <w:snapToGrid w:val="0"/>
          <w:color w:val="000000" w:themeColor="text1"/>
          <w:kern w:val="0"/>
          <w:sz w:val="24"/>
          <w:szCs w:val="24"/>
        </w:rPr>
        <w:t>系统包括移动应急指挥车、移动应急广播播出车和移动应急广播保障车组成。在应急情况下，移动应急指挥车可以在现场变身为现场指挥中心，随时保持与上级领导部门的无缝连接，随时接收上级指令无延时传达，及时将现场情况反馈给上级部门，同时可以灵活处理实时下达现场指令。移动应急广播播出车则可以随时向现场播发即时消息，保证现场群众及时了解整体情况，明确政府应急措施和应对，稳定群众情绪，保证现场秩序。移动应急广播保障车则为应急指挥车和应急广播播出车提供保障服务。</w:t>
      </w:r>
    </w:p>
    <w:p>
      <w:pPr>
        <w:spacing w:line="360" w:lineRule="auto"/>
        <w:ind w:firstLine="480" w:firstLineChars="20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为确保自治区广电局应急车系统安全有效使用，消除系统存在的安全隐患，进一步确保应急车专业系统的整体使用安全。运维单位要为自治区广电局应急车系统提供为期一年的深度综合技术服务。</w:t>
      </w:r>
    </w:p>
    <w:p>
      <w:pPr>
        <w:pStyle w:val="164"/>
        <w:widowControl/>
        <w:numPr>
          <w:ilvl w:val="0"/>
          <w:numId w:val="10"/>
        </w:numPr>
        <w:tabs>
          <w:tab w:val="left" w:pos="720"/>
        </w:tabs>
        <w:spacing w:line="360" w:lineRule="auto"/>
        <w:ind w:left="1716" w:hanging="1716" w:firstLineChars="0"/>
        <w:jc w:val="left"/>
        <w:outlineLvl w:val="1"/>
        <w:rPr>
          <w:rFonts w:ascii="宋体" w:hAnsi="宋体" w:eastAsia="宋体" w:cs="宋体"/>
          <w:b/>
          <w:snapToGrid w:val="0"/>
          <w:color w:val="000000" w:themeColor="text1"/>
          <w:kern w:val="0"/>
          <w:sz w:val="24"/>
          <w:szCs w:val="24"/>
        </w:rPr>
      </w:pPr>
      <w:r>
        <w:rPr>
          <w:rFonts w:hint="eastAsia" w:ascii="宋体" w:hAnsi="宋体" w:eastAsia="宋体" w:cs="宋体"/>
          <w:b/>
          <w:snapToGrid w:val="0"/>
          <w:color w:val="000000" w:themeColor="text1"/>
          <w:kern w:val="0"/>
          <w:sz w:val="24"/>
          <w:szCs w:val="24"/>
        </w:rPr>
        <w:t>项目需求</w:t>
      </w:r>
    </w:p>
    <w:p>
      <w:pPr>
        <w:pStyle w:val="164"/>
        <w:numPr>
          <w:ilvl w:val="0"/>
          <w:numId w:val="11"/>
        </w:numPr>
        <w:spacing w:line="360" w:lineRule="auto"/>
        <w:ind w:left="0" w:leftChars="-67" w:hanging="141" w:hangingChars="59"/>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系统深度维护</w:t>
      </w:r>
    </w:p>
    <w:p>
      <w:pPr>
        <w:pStyle w:val="164"/>
        <w:numPr>
          <w:ilvl w:val="1"/>
          <w:numId w:val="11"/>
        </w:numPr>
        <w:spacing w:line="360" w:lineRule="auto"/>
        <w:ind w:firstLine="566" w:firstLineChars="236"/>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车辆性能和使用性能维护保养不少于2次，并出具报告；深度检测车辆电瓶、发电机、发动机、侧拉箱、电动电缆盘等配件系统，如发现问题及时进行维护。设备包含：</w:t>
      </w:r>
      <w:r>
        <w:rPr>
          <w:rFonts w:ascii="宋体" w:hAnsi="宋体" w:eastAsia="宋体" w:cs="宋体"/>
          <w:bCs/>
          <w:snapToGrid w:val="0"/>
          <w:color w:val="000000" w:themeColor="text1"/>
          <w:kern w:val="0"/>
          <w:sz w:val="24"/>
          <w:szCs w:val="24"/>
        </w:rPr>
        <w:t>柴油发电机；</w:t>
      </w:r>
      <w:r>
        <w:rPr>
          <w:rFonts w:hint="eastAsia" w:ascii="宋体" w:hAnsi="宋体" w:eastAsia="宋体" w:cs="宋体"/>
          <w:bCs/>
          <w:snapToGrid w:val="0"/>
          <w:color w:val="000000" w:themeColor="text1"/>
          <w:kern w:val="0"/>
          <w:sz w:val="24"/>
          <w:szCs w:val="24"/>
        </w:rPr>
        <w:t>UPS</w:t>
      </w:r>
      <w:r>
        <w:rPr>
          <w:rFonts w:ascii="宋体" w:hAnsi="宋体" w:eastAsia="宋体" w:cs="宋体"/>
          <w:bCs/>
          <w:snapToGrid w:val="0"/>
          <w:color w:val="000000" w:themeColor="text1"/>
          <w:kern w:val="0"/>
          <w:sz w:val="24"/>
          <w:szCs w:val="24"/>
        </w:rPr>
        <w:t>；空调，电暖器；电瓶，侧拉箱、支撑腿及其传感器；</w:t>
      </w:r>
    </w:p>
    <w:p>
      <w:pPr>
        <w:pStyle w:val="164"/>
        <w:numPr>
          <w:ilvl w:val="1"/>
          <w:numId w:val="11"/>
        </w:numPr>
        <w:spacing w:line="360" w:lineRule="auto"/>
        <w:ind w:left="556" w:leftChars="265" w:firstLine="1"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应急指挥车通信系统运行维护，对系统设备进行不少于2次的深度维护，保证卫星系统、短波通信系统、卫星电话系统等应急通信系统畅通，在需要时发挥重要的通信保障作用。设备包含：</w:t>
      </w:r>
      <w:r>
        <w:rPr>
          <w:rFonts w:ascii="宋体" w:hAnsi="宋体" w:eastAsia="宋体" w:cs="宋体"/>
          <w:bCs/>
          <w:snapToGrid w:val="0"/>
          <w:color w:val="000000" w:themeColor="text1"/>
          <w:kern w:val="0"/>
          <w:sz w:val="24"/>
          <w:szCs w:val="24"/>
        </w:rPr>
        <w:t>动中通天线、</w:t>
      </w:r>
      <w:r>
        <w:rPr>
          <w:rFonts w:hint="eastAsia" w:ascii="宋体" w:hAnsi="宋体" w:eastAsia="宋体" w:cs="宋体"/>
          <w:bCs/>
          <w:snapToGrid w:val="0"/>
          <w:color w:val="000000" w:themeColor="text1"/>
          <w:kern w:val="0"/>
          <w:sz w:val="24"/>
          <w:szCs w:val="24"/>
        </w:rPr>
        <w:t>5</w:t>
      </w:r>
      <w:r>
        <w:rPr>
          <w:rFonts w:ascii="宋体" w:hAnsi="宋体" w:eastAsia="宋体" w:cs="宋体"/>
          <w:bCs/>
          <w:snapToGrid w:val="0"/>
          <w:color w:val="000000" w:themeColor="text1"/>
          <w:kern w:val="0"/>
          <w:sz w:val="24"/>
          <w:szCs w:val="24"/>
        </w:rPr>
        <w:t>0W固态功放，VSAT终端</w:t>
      </w:r>
      <w:r>
        <w:rPr>
          <w:rFonts w:hint="eastAsia" w:ascii="宋体" w:hAnsi="宋体" w:eastAsia="宋体" w:cs="宋体"/>
          <w:bCs/>
          <w:snapToGrid w:val="0"/>
          <w:color w:val="000000" w:themeColor="text1"/>
          <w:kern w:val="0"/>
          <w:sz w:val="24"/>
          <w:szCs w:val="24"/>
        </w:rPr>
        <w:t>，</w:t>
      </w:r>
      <w:r>
        <w:rPr>
          <w:rFonts w:ascii="宋体" w:hAnsi="宋体" w:eastAsia="宋体" w:cs="宋体"/>
          <w:bCs/>
          <w:snapToGrid w:val="0"/>
          <w:color w:val="000000" w:themeColor="text1"/>
          <w:kern w:val="0"/>
          <w:sz w:val="24"/>
          <w:szCs w:val="24"/>
        </w:rPr>
        <w:t xml:space="preserve"> ITC-8101短波电台、ITC-7000短波电台， GPS对讲机，手持对讲机</w:t>
      </w:r>
      <w:r>
        <w:rPr>
          <w:rFonts w:hint="eastAsia" w:ascii="宋体" w:hAnsi="宋体" w:eastAsia="宋体" w:cs="宋体"/>
          <w:bCs/>
          <w:snapToGrid w:val="0"/>
          <w:color w:val="000000" w:themeColor="text1"/>
          <w:kern w:val="0"/>
          <w:sz w:val="24"/>
          <w:szCs w:val="24"/>
        </w:rPr>
        <w:t>，海事卫星电话</w:t>
      </w:r>
    </w:p>
    <w:p>
      <w:pPr>
        <w:pStyle w:val="164"/>
        <w:numPr>
          <w:ilvl w:val="1"/>
          <w:numId w:val="11"/>
        </w:numPr>
        <w:spacing w:line="360" w:lineRule="auto"/>
        <w:ind w:left="567" w:leftChars="270"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应急指挥车会议系统运行维护，保证会议系统运行正常，随时可以通过网络或卫星进行视频会议对接。设备包含：</w:t>
      </w:r>
      <w:r>
        <w:rPr>
          <w:rFonts w:ascii="宋体" w:hAnsi="宋体" w:eastAsia="宋体" w:cs="宋体"/>
          <w:bCs/>
          <w:snapToGrid w:val="0"/>
          <w:color w:val="000000" w:themeColor="text1"/>
          <w:kern w:val="0"/>
          <w:sz w:val="24"/>
          <w:szCs w:val="24"/>
        </w:rPr>
        <w:t>工控机，会议子系统，功放</w:t>
      </w:r>
    </w:p>
    <w:p>
      <w:pPr>
        <w:pStyle w:val="164"/>
        <w:numPr>
          <w:ilvl w:val="1"/>
          <w:numId w:val="11"/>
        </w:numPr>
        <w:spacing w:line="360" w:lineRule="auto"/>
        <w:ind w:left="567" w:leftChars="270"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应急指挥车应急指挥系统维护，对车内安装的车载应急指挥系统软件使用熟练，常见问题能够快速排除故障。定时检查车辆定位系统准确性，确保指挥中心能够及时掌握应急指挥车的位置和行驶轨迹。设备包含：北斗导航仪，专用服务器</w:t>
      </w:r>
    </w:p>
    <w:p>
      <w:pPr>
        <w:pStyle w:val="164"/>
        <w:numPr>
          <w:ilvl w:val="1"/>
          <w:numId w:val="11"/>
        </w:numPr>
        <w:spacing w:line="360" w:lineRule="auto"/>
        <w:ind w:left="567" w:leftChars="270"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应急指挥车视音频系统运行维护，定时对车内视频、音频设备进行开机检查，确保视音频信号正常，单兵拍摄系统正常，能够及时反馈现场视音频信号到指挥车。设备包含：</w:t>
      </w:r>
      <w:r>
        <w:rPr>
          <w:rFonts w:ascii="宋体" w:hAnsi="宋体" w:eastAsia="宋体" w:cs="宋体"/>
          <w:bCs/>
          <w:snapToGrid w:val="0"/>
          <w:color w:val="000000" w:themeColor="text1"/>
          <w:kern w:val="0"/>
          <w:sz w:val="24"/>
          <w:szCs w:val="24"/>
        </w:rPr>
        <w:t>摄像机（SonyPxw-X580），电池，</w:t>
      </w:r>
      <w:r>
        <w:rPr>
          <w:rFonts w:hint="eastAsia" w:ascii="宋体" w:hAnsi="宋体" w:eastAsia="宋体" w:cs="宋体"/>
          <w:bCs/>
          <w:snapToGrid w:val="0"/>
          <w:color w:val="000000" w:themeColor="text1"/>
          <w:kern w:val="0"/>
          <w:sz w:val="24"/>
          <w:szCs w:val="24"/>
        </w:rPr>
        <w:t>视频</w:t>
      </w:r>
      <w:r>
        <w:rPr>
          <w:rFonts w:ascii="宋体" w:hAnsi="宋体" w:eastAsia="宋体" w:cs="宋体"/>
          <w:bCs/>
          <w:snapToGrid w:val="0"/>
          <w:color w:val="000000" w:themeColor="text1"/>
          <w:kern w:val="0"/>
          <w:sz w:val="24"/>
          <w:szCs w:val="24"/>
        </w:rPr>
        <w:t>矩阵，升降杆，微波传输系统</w:t>
      </w:r>
    </w:p>
    <w:p>
      <w:pPr>
        <w:pStyle w:val="164"/>
        <w:numPr>
          <w:ilvl w:val="1"/>
          <w:numId w:val="11"/>
        </w:numPr>
        <w:spacing w:line="360" w:lineRule="auto"/>
        <w:ind w:left="567" w:leftChars="270"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应急广播播出车通信系统维护，对系统设备进行不少于2次的深度维护，保证卫星系统、短波通信系统、卫星电话系统等应急通信系统畅通，在需要时发挥重要的通信保障作用。设备包含：静</w:t>
      </w:r>
      <w:r>
        <w:rPr>
          <w:rFonts w:ascii="宋体" w:hAnsi="宋体" w:eastAsia="宋体" w:cs="宋体"/>
          <w:bCs/>
          <w:snapToGrid w:val="0"/>
          <w:color w:val="000000" w:themeColor="text1"/>
          <w:kern w:val="0"/>
          <w:sz w:val="24"/>
          <w:szCs w:val="24"/>
        </w:rPr>
        <w:t>中通天线、40W固态功放</w:t>
      </w:r>
      <w:r>
        <w:rPr>
          <w:rFonts w:hint="eastAsia" w:ascii="宋体" w:hAnsi="宋体" w:eastAsia="宋体" w:cs="宋体"/>
          <w:bCs/>
          <w:snapToGrid w:val="0"/>
          <w:color w:val="000000" w:themeColor="text1"/>
          <w:kern w:val="0"/>
          <w:sz w:val="24"/>
          <w:szCs w:val="24"/>
        </w:rPr>
        <w:t>，</w:t>
      </w:r>
      <w:r>
        <w:rPr>
          <w:rFonts w:ascii="宋体" w:hAnsi="宋体" w:eastAsia="宋体" w:cs="宋体"/>
          <w:bCs/>
          <w:snapToGrid w:val="0"/>
          <w:color w:val="000000" w:themeColor="text1"/>
          <w:kern w:val="0"/>
          <w:sz w:val="24"/>
          <w:szCs w:val="24"/>
        </w:rPr>
        <w:t>VSAT终端</w:t>
      </w:r>
      <w:r>
        <w:rPr>
          <w:rFonts w:hint="eastAsia" w:ascii="宋体" w:hAnsi="宋体" w:eastAsia="宋体" w:cs="宋体"/>
          <w:bCs/>
          <w:snapToGrid w:val="0"/>
          <w:color w:val="000000" w:themeColor="text1"/>
          <w:kern w:val="0"/>
          <w:sz w:val="24"/>
          <w:szCs w:val="24"/>
        </w:rPr>
        <w:t>，</w:t>
      </w:r>
      <w:r>
        <w:rPr>
          <w:rFonts w:ascii="宋体" w:hAnsi="宋体" w:eastAsia="宋体" w:cs="宋体"/>
          <w:bCs/>
          <w:snapToGrid w:val="0"/>
          <w:color w:val="000000" w:themeColor="text1"/>
          <w:kern w:val="0"/>
          <w:sz w:val="24"/>
          <w:szCs w:val="24"/>
        </w:rPr>
        <w:t>ITC-8101短波电台、ITC-7000短波电台，天线， GPS对讲机，手持对讲机</w:t>
      </w:r>
      <w:r>
        <w:rPr>
          <w:rFonts w:hint="eastAsia" w:ascii="宋体" w:hAnsi="宋体" w:eastAsia="宋体" w:cs="宋体"/>
          <w:bCs/>
          <w:snapToGrid w:val="0"/>
          <w:color w:val="000000" w:themeColor="text1"/>
          <w:kern w:val="0"/>
          <w:sz w:val="24"/>
          <w:szCs w:val="24"/>
        </w:rPr>
        <w:t>，海事卫星电话。</w:t>
      </w:r>
    </w:p>
    <w:p>
      <w:pPr>
        <w:pStyle w:val="164"/>
        <w:numPr>
          <w:ilvl w:val="1"/>
          <w:numId w:val="11"/>
        </w:numPr>
        <w:spacing w:line="360" w:lineRule="auto"/>
        <w:ind w:left="567" w:leftChars="270"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应急广播播出车制作播发系统运行维护，对系统设备进行不少于2次的深度维护，保证制作系统、音频系统、发射系统等运行正常。设备包含：</w:t>
      </w:r>
      <w:r>
        <w:rPr>
          <w:rFonts w:ascii="宋体" w:hAnsi="宋体" w:eastAsia="宋体" w:cs="宋体"/>
          <w:bCs/>
          <w:snapToGrid w:val="0"/>
          <w:color w:val="000000" w:themeColor="text1"/>
          <w:kern w:val="0"/>
          <w:sz w:val="24"/>
          <w:szCs w:val="24"/>
        </w:rPr>
        <w:t>4G路由器，交换机</w:t>
      </w:r>
      <w:r>
        <w:rPr>
          <w:rFonts w:hint="eastAsia" w:ascii="宋体" w:hAnsi="宋体" w:eastAsia="宋体" w:cs="宋体"/>
          <w:bCs/>
          <w:snapToGrid w:val="0"/>
          <w:color w:val="000000" w:themeColor="text1"/>
          <w:kern w:val="0"/>
          <w:sz w:val="24"/>
          <w:szCs w:val="24"/>
        </w:rPr>
        <w:t>，</w:t>
      </w:r>
      <w:r>
        <w:rPr>
          <w:rFonts w:ascii="宋体" w:hAnsi="宋体" w:eastAsia="宋体" w:cs="宋体"/>
          <w:bCs/>
          <w:snapToGrid w:val="0"/>
          <w:color w:val="000000" w:themeColor="text1"/>
          <w:kern w:val="0"/>
          <w:sz w:val="24"/>
          <w:szCs w:val="24"/>
        </w:rPr>
        <w:t>音频工作站、调音台、CD机、功放</w:t>
      </w:r>
      <w:r>
        <w:rPr>
          <w:rFonts w:hint="eastAsia" w:ascii="宋体" w:hAnsi="宋体" w:eastAsia="宋体" w:cs="宋体"/>
          <w:bCs/>
          <w:snapToGrid w:val="0"/>
          <w:color w:val="000000" w:themeColor="text1"/>
          <w:kern w:val="0"/>
          <w:sz w:val="24"/>
          <w:szCs w:val="24"/>
        </w:rPr>
        <w:t>、</w:t>
      </w:r>
      <w:r>
        <w:rPr>
          <w:rFonts w:ascii="宋体" w:hAnsi="宋体" w:eastAsia="宋体" w:cs="宋体"/>
          <w:bCs/>
          <w:snapToGrid w:val="0"/>
          <w:color w:val="000000" w:themeColor="text1"/>
          <w:kern w:val="0"/>
          <w:sz w:val="24"/>
          <w:szCs w:val="24"/>
        </w:rPr>
        <w:t>FM发射机</w:t>
      </w:r>
      <w:r>
        <w:rPr>
          <w:rFonts w:hint="eastAsia" w:ascii="宋体" w:hAnsi="宋体" w:eastAsia="宋体" w:cs="宋体"/>
          <w:bCs/>
          <w:snapToGrid w:val="0"/>
          <w:color w:val="000000" w:themeColor="text1"/>
          <w:kern w:val="0"/>
          <w:sz w:val="24"/>
          <w:szCs w:val="24"/>
        </w:rPr>
        <w:t>、</w:t>
      </w:r>
      <w:r>
        <w:rPr>
          <w:rFonts w:ascii="宋体" w:hAnsi="宋体" w:eastAsia="宋体" w:cs="宋体"/>
          <w:bCs/>
          <w:snapToGrid w:val="0"/>
          <w:color w:val="000000" w:themeColor="text1"/>
          <w:kern w:val="0"/>
          <w:sz w:val="24"/>
          <w:szCs w:val="24"/>
        </w:rPr>
        <w:t>卫星接收机</w:t>
      </w:r>
      <w:r>
        <w:rPr>
          <w:rFonts w:hint="eastAsia" w:ascii="宋体" w:hAnsi="宋体" w:eastAsia="宋体" w:cs="宋体"/>
          <w:bCs/>
          <w:snapToGrid w:val="0"/>
          <w:color w:val="000000" w:themeColor="text1"/>
          <w:kern w:val="0"/>
          <w:sz w:val="24"/>
          <w:szCs w:val="24"/>
        </w:rPr>
        <w:t>、</w:t>
      </w:r>
      <w:r>
        <w:rPr>
          <w:rFonts w:ascii="宋体" w:hAnsi="宋体" w:eastAsia="宋体" w:cs="宋体"/>
          <w:bCs/>
          <w:snapToGrid w:val="0"/>
          <w:color w:val="000000" w:themeColor="text1"/>
          <w:kern w:val="0"/>
          <w:sz w:val="24"/>
          <w:szCs w:val="24"/>
        </w:rPr>
        <w:t>RDS编码器、SCA编码器</w:t>
      </w:r>
    </w:p>
    <w:p>
      <w:pPr>
        <w:pStyle w:val="164"/>
        <w:spacing w:line="360" w:lineRule="auto"/>
        <w:ind w:left="567" w:leftChars="270" w:firstLine="0" w:firstLineChars="0"/>
        <w:rPr>
          <w:rFonts w:ascii="宋体" w:hAnsi="宋体" w:eastAsia="宋体" w:cs="宋体"/>
          <w:bCs/>
          <w:snapToGrid w:val="0"/>
          <w:color w:val="000000" w:themeColor="text1"/>
          <w:kern w:val="0"/>
          <w:sz w:val="24"/>
          <w:szCs w:val="24"/>
        </w:rPr>
      </w:pPr>
      <w:r>
        <w:rPr>
          <w:rFonts w:ascii="宋体" w:hAnsi="宋体" w:eastAsia="宋体" w:cs="宋体"/>
          <w:bCs/>
          <w:snapToGrid w:val="0"/>
          <w:color w:val="000000" w:themeColor="text1"/>
          <w:kern w:val="0"/>
          <w:sz w:val="24"/>
          <w:szCs w:val="24"/>
        </w:rPr>
        <w:t>1.8</w:t>
      </w:r>
      <w:r>
        <w:rPr>
          <w:rFonts w:hint="eastAsia" w:ascii="宋体" w:hAnsi="宋体" w:eastAsia="宋体" w:cs="宋体"/>
          <w:bCs/>
          <w:snapToGrid w:val="0"/>
          <w:color w:val="000000" w:themeColor="text1"/>
          <w:kern w:val="0"/>
          <w:sz w:val="24"/>
          <w:szCs w:val="24"/>
        </w:rPr>
        <w:t>应急广播保障车通信系统维护，对系统设备进行不少于2次的深度维护，保证短波通信系统、等应急通信系统畅通，在需要时发挥重要的通信保障作用。设备包含：</w:t>
      </w:r>
      <w:r>
        <w:rPr>
          <w:rFonts w:ascii="宋体" w:hAnsi="宋体" w:eastAsia="宋体" w:cs="宋体"/>
          <w:bCs/>
          <w:snapToGrid w:val="0"/>
          <w:color w:val="000000" w:themeColor="text1"/>
          <w:kern w:val="0"/>
          <w:sz w:val="24"/>
          <w:szCs w:val="24"/>
        </w:rPr>
        <w:t>ITC-8101短波电台、ITC-7000短波电台，天线， GPS对讲机，手持对讲机</w:t>
      </w:r>
      <w:r>
        <w:rPr>
          <w:rFonts w:hint="eastAsia" w:ascii="宋体" w:hAnsi="宋体" w:eastAsia="宋体" w:cs="宋体"/>
          <w:bCs/>
          <w:snapToGrid w:val="0"/>
          <w:color w:val="000000" w:themeColor="text1"/>
          <w:kern w:val="0"/>
          <w:sz w:val="24"/>
          <w:szCs w:val="24"/>
        </w:rPr>
        <w:t>，海事卫星电话。</w:t>
      </w:r>
    </w:p>
    <w:p>
      <w:pPr>
        <w:spacing w:line="360" w:lineRule="auto"/>
        <w:rPr>
          <w:rFonts w:ascii="宋体" w:hAnsi="宋体" w:eastAsia="宋体" w:cs="宋体"/>
          <w:bCs/>
          <w:snapToGrid w:val="0"/>
          <w:color w:val="000000" w:themeColor="text1"/>
          <w:kern w:val="0"/>
          <w:sz w:val="24"/>
          <w:szCs w:val="24"/>
        </w:rPr>
      </w:pPr>
    </w:p>
    <w:p>
      <w:pPr>
        <w:spacing w:line="360" w:lineRule="auto"/>
        <w:rPr>
          <w:rFonts w:ascii="宋体" w:hAnsi="宋体" w:eastAsia="宋体" w:cs="宋体"/>
          <w:bCs/>
          <w:snapToGrid w:val="0"/>
          <w:color w:val="000000" w:themeColor="text1"/>
          <w:kern w:val="0"/>
          <w:sz w:val="24"/>
          <w:szCs w:val="24"/>
        </w:rPr>
      </w:pPr>
    </w:p>
    <w:p>
      <w:pPr>
        <w:spacing w:line="360" w:lineRule="auto"/>
        <w:rPr>
          <w:rFonts w:ascii="宋体" w:hAnsi="宋体" w:eastAsia="宋体" w:cs="宋体"/>
          <w:bCs/>
          <w:snapToGrid w:val="0"/>
          <w:color w:val="000000" w:themeColor="text1"/>
          <w:kern w:val="0"/>
          <w:sz w:val="24"/>
          <w:szCs w:val="24"/>
        </w:rPr>
      </w:pPr>
    </w:p>
    <w:p>
      <w:pPr>
        <w:pStyle w:val="164"/>
        <w:numPr>
          <w:ilvl w:val="0"/>
          <w:numId w:val="11"/>
        </w:numPr>
        <w:spacing w:line="360" w:lineRule="auto"/>
        <w:ind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应急保障技术服务</w:t>
      </w:r>
    </w:p>
    <w:p>
      <w:pPr>
        <w:pStyle w:val="164"/>
        <w:numPr>
          <w:ilvl w:val="1"/>
          <w:numId w:val="11"/>
        </w:numPr>
        <w:tabs>
          <w:tab w:val="left" w:pos="284"/>
        </w:tabs>
        <w:spacing w:line="360" w:lineRule="auto"/>
        <w:ind w:firstLine="567"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因设备特殊，需保证在任何时刻都能正常使用，故要求投标人在重要节日现场保障、重大活动现场保障、突发事件现场保障和应急演练现场保障。保障时间与活动时间相同</w:t>
      </w:r>
    </w:p>
    <w:p>
      <w:pPr>
        <w:pStyle w:val="164"/>
        <w:numPr>
          <w:ilvl w:val="1"/>
          <w:numId w:val="11"/>
        </w:numPr>
        <w:spacing w:line="360" w:lineRule="auto"/>
        <w:ind w:firstLine="567"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每次应急保障技术服务要保证至少</w:t>
      </w:r>
      <w:r>
        <w:rPr>
          <w:rFonts w:ascii="宋体" w:hAnsi="宋体" w:eastAsia="宋体" w:cs="宋体"/>
          <w:bCs/>
          <w:snapToGrid w:val="0"/>
          <w:color w:val="000000" w:themeColor="text1"/>
          <w:kern w:val="0"/>
          <w:sz w:val="24"/>
          <w:szCs w:val="24"/>
        </w:rPr>
        <w:t>1</w:t>
      </w:r>
      <w:r>
        <w:rPr>
          <w:rFonts w:hint="eastAsia" w:ascii="宋体" w:hAnsi="宋体" w:eastAsia="宋体" w:cs="宋体"/>
          <w:bCs/>
          <w:snapToGrid w:val="0"/>
          <w:color w:val="000000" w:themeColor="text1"/>
          <w:kern w:val="0"/>
          <w:sz w:val="24"/>
          <w:szCs w:val="24"/>
        </w:rPr>
        <w:t>位资深熟悉系统性能的工程师提供现场技术保障服务。第一时间协助工作人员处理各类突发问题</w:t>
      </w:r>
    </w:p>
    <w:p>
      <w:pPr>
        <w:pStyle w:val="164"/>
        <w:numPr>
          <w:ilvl w:val="1"/>
          <w:numId w:val="11"/>
        </w:numPr>
        <w:spacing w:line="360" w:lineRule="auto"/>
        <w:ind w:firstLine="567"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每次车辆出勤，提供至少</w:t>
      </w:r>
      <w:r>
        <w:rPr>
          <w:rFonts w:ascii="宋体" w:hAnsi="宋体" w:eastAsia="宋体" w:cs="宋体"/>
          <w:bCs/>
          <w:snapToGrid w:val="0"/>
          <w:color w:val="000000" w:themeColor="text1"/>
          <w:kern w:val="0"/>
          <w:sz w:val="24"/>
          <w:szCs w:val="24"/>
        </w:rPr>
        <w:t>1</w:t>
      </w:r>
      <w:r>
        <w:rPr>
          <w:rFonts w:hint="eastAsia" w:ascii="宋体" w:hAnsi="宋体" w:eastAsia="宋体" w:cs="宋体"/>
          <w:bCs/>
          <w:snapToGrid w:val="0"/>
          <w:color w:val="000000" w:themeColor="text1"/>
          <w:kern w:val="0"/>
          <w:sz w:val="24"/>
          <w:szCs w:val="24"/>
        </w:rPr>
        <w:t>人在车辆出勤及演练期间跟随车辆进行保障；节假日或重要保障期至少保证</w:t>
      </w:r>
      <w:r>
        <w:rPr>
          <w:rFonts w:ascii="宋体" w:hAnsi="宋体" w:eastAsia="宋体" w:cs="宋体"/>
          <w:bCs/>
          <w:snapToGrid w:val="0"/>
          <w:color w:val="000000" w:themeColor="text1"/>
          <w:kern w:val="0"/>
          <w:sz w:val="24"/>
          <w:szCs w:val="24"/>
        </w:rPr>
        <w:t>1</w:t>
      </w:r>
      <w:r>
        <w:rPr>
          <w:rFonts w:hint="eastAsia" w:ascii="宋体" w:hAnsi="宋体" w:eastAsia="宋体" w:cs="宋体"/>
          <w:bCs/>
          <w:snapToGrid w:val="0"/>
          <w:color w:val="000000" w:themeColor="text1"/>
          <w:kern w:val="0"/>
          <w:sz w:val="24"/>
          <w:szCs w:val="24"/>
        </w:rPr>
        <w:t>人随时关注车库状态；每周巡检一次，发现异常及时上报处理，巡查中测试车辆各个功能并做相应记录；非工作时间驻场人员确保</w:t>
      </w:r>
      <w:r>
        <w:rPr>
          <w:rFonts w:ascii="宋体" w:hAnsi="宋体" w:eastAsia="宋体" w:cs="宋体"/>
          <w:bCs/>
          <w:snapToGrid w:val="0"/>
          <w:color w:val="000000" w:themeColor="text1"/>
          <w:kern w:val="0"/>
          <w:sz w:val="24"/>
          <w:szCs w:val="24"/>
        </w:rPr>
        <w:t>7*24</w:t>
      </w:r>
      <w:r>
        <w:rPr>
          <w:rFonts w:hint="eastAsia" w:ascii="宋体" w:hAnsi="宋体" w:eastAsia="宋体" w:cs="宋体"/>
          <w:bCs/>
          <w:snapToGrid w:val="0"/>
          <w:color w:val="000000" w:themeColor="text1"/>
          <w:kern w:val="0"/>
          <w:sz w:val="24"/>
          <w:szCs w:val="24"/>
        </w:rPr>
        <w:t>小时接听移动电话。</w:t>
      </w:r>
    </w:p>
    <w:p>
      <w:pPr>
        <w:pStyle w:val="164"/>
        <w:numPr>
          <w:ilvl w:val="1"/>
          <w:numId w:val="11"/>
        </w:numPr>
        <w:spacing w:line="360" w:lineRule="auto"/>
        <w:ind w:firstLine="567"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保障人员发现车辆及设备出现故障或接到用户反馈后应在30分钟内响应，尽快抵达现场；解决故障后进行记录，并上报。</w:t>
      </w:r>
    </w:p>
    <w:p>
      <w:pPr>
        <w:pStyle w:val="164"/>
        <w:numPr>
          <w:ilvl w:val="1"/>
          <w:numId w:val="11"/>
        </w:numPr>
        <w:spacing w:line="360" w:lineRule="auto"/>
        <w:ind w:firstLine="567"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每次测试完毕出具相应检测报告。</w:t>
      </w:r>
    </w:p>
    <w:p>
      <w:pPr>
        <w:pStyle w:val="164"/>
        <w:numPr>
          <w:ilvl w:val="1"/>
          <w:numId w:val="11"/>
        </w:numPr>
        <w:spacing w:line="360" w:lineRule="auto"/>
        <w:ind w:firstLine="567" w:firstLineChars="0"/>
        <w:rPr>
          <w:rFonts w:ascii="宋体" w:hAnsi="宋体" w:eastAsia="宋体" w:cs="宋体"/>
          <w:bCs/>
          <w:snapToGrid w:val="0"/>
          <w:color w:val="000000" w:themeColor="text1"/>
          <w:kern w:val="0"/>
          <w:sz w:val="24"/>
          <w:szCs w:val="24"/>
        </w:rPr>
      </w:pPr>
      <w:r>
        <w:rPr>
          <w:rFonts w:hint="eastAsia" w:ascii="宋体" w:hAnsi="宋体" w:eastAsia="宋体" w:cs="宋体"/>
          <w:bCs/>
          <w:snapToGrid w:val="0"/>
          <w:color w:val="000000" w:themeColor="text1"/>
          <w:kern w:val="0"/>
          <w:sz w:val="24"/>
          <w:szCs w:val="24"/>
        </w:rPr>
        <w:t>每年做两次详细完整的系统体检，并出具报告。</w:t>
      </w:r>
    </w:p>
    <w:p>
      <w:pPr>
        <w:ind w:left="0" w:firstLine="0" w:firstLineChars="0"/>
        <w:rPr>
          <w:rFonts w:ascii="宋体" w:hAnsi="宋体" w:cs="宋体"/>
          <w:color w:val="000000"/>
          <w:sz w:val="24"/>
        </w:rPr>
      </w:pPr>
    </w:p>
    <w:p>
      <w:pPr>
        <w:pStyle w:val="3"/>
        <w:numPr>
          <w:ilvl w:val="0"/>
          <w:numId w:val="0"/>
        </w:numPr>
        <w:tabs>
          <w:tab w:val="left" w:pos="709"/>
        </w:tabs>
        <w:snapToGrid w:val="0"/>
        <w:spacing w:line="240" w:lineRule="auto"/>
        <w:ind w:left="15" w:leftChars="-50"/>
        <w:jc w:val="both"/>
        <w:textAlignment w:val="baseline"/>
        <w:rPr>
          <w:rFonts w:ascii="宋体" w:hAnsi="宋体" w:cs="宋体"/>
          <w:color w:val="000000"/>
          <w:sz w:val="24"/>
          <w:szCs w:val="24"/>
        </w:rPr>
      </w:pPr>
      <w:r>
        <w:rPr>
          <w:rFonts w:hint="eastAsia" w:ascii="宋体" w:hAnsi="宋体" w:cs="宋体"/>
          <w:b w:val="0"/>
          <w:bCs/>
          <w:color w:val="000000"/>
          <w:sz w:val="24"/>
          <w:szCs w:val="24"/>
          <w:lang w:eastAsia="zh-CN"/>
        </w:rPr>
        <w:t>三</w:t>
      </w:r>
      <w:r>
        <w:rPr>
          <w:rFonts w:hint="eastAsia" w:ascii="宋体" w:hAnsi="宋体" w:cs="宋体"/>
          <w:b w:val="0"/>
          <w:bCs/>
          <w:color w:val="000000"/>
          <w:sz w:val="24"/>
          <w:szCs w:val="24"/>
        </w:rPr>
        <w:t>、采购清单</w:t>
      </w:r>
      <w:r>
        <w:rPr>
          <w:rFonts w:hint="eastAsia" w:ascii="宋体" w:hAnsi="宋体" w:cs="宋体"/>
          <w:color w:val="000000"/>
          <w:sz w:val="24"/>
          <w:szCs w:val="24"/>
        </w:rPr>
        <w:t xml:space="preserve"> </w:t>
      </w:r>
    </w:p>
    <w:p>
      <w:pPr>
        <w:ind w:left="0" w:firstLine="0" w:firstLineChars="0"/>
        <w:rPr>
          <w:rFonts w:ascii="宋体" w:hAnsi="宋体" w:cs="宋体"/>
        </w:rPr>
      </w:pPr>
    </w:p>
    <w:tbl>
      <w:tblPr>
        <w:tblStyle w:val="74"/>
        <w:tblW w:w="9437" w:type="dxa"/>
        <w:tblInd w:w="-572" w:type="dxa"/>
        <w:tblLayout w:type="autofit"/>
        <w:tblCellMar>
          <w:top w:w="0" w:type="dxa"/>
          <w:left w:w="108" w:type="dxa"/>
          <w:bottom w:w="0" w:type="dxa"/>
          <w:right w:w="108" w:type="dxa"/>
        </w:tblCellMar>
      </w:tblPr>
      <w:tblGrid>
        <w:gridCol w:w="1217"/>
        <w:gridCol w:w="1217"/>
        <w:gridCol w:w="1630"/>
        <w:gridCol w:w="3876"/>
        <w:gridCol w:w="1497"/>
      </w:tblGrid>
      <w:tr>
        <w:tblPrEx>
          <w:tblCellMar>
            <w:top w:w="0" w:type="dxa"/>
            <w:left w:w="108" w:type="dxa"/>
            <w:bottom w:w="0" w:type="dxa"/>
            <w:right w:w="108" w:type="dxa"/>
          </w:tblCellMar>
        </w:tblPrEx>
        <w:trPr>
          <w:trHeight w:val="810"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服务项日</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系统</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设备</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服务明细</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备注</w:t>
            </w:r>
          </w:p>
        </w:tc>
      </w:tr>
      <w:tr>
        <w:tblPrEx>
          <w:tblCellMar>
            <w:top w:w="0" w:type="dxa"/>
            <w:left w:w="108" w:type="dxa"/>
            <w:bottom w:w="0" w:type="dxa"/>
            <w:right w:w="108" w:type="dxa"/>
          </w:tblCellMar>
        </w:tblPrEx>
        <w:trPr>
          <w:trHeight w:val="4467"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卫星通信系统维护</w:t>
            </w:r>
            <w:r>
              <w:rPr>
                <w:rFonts w:hint="eastAsia" w:ascii="宋体" w:hAnsi="宋体" w:eastAsia="宋体" w:cs="Arial"/>
                <w:color w:val="000000" w:themeColor="text1"/>
                <w:kern w:val="0"/>
                <w:sz w:val="20"/>
                <w:szCs w:val="20"/>
              </w:rPr>
              <w:t>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动中通天线、40W固态功放、高频头，VSAT终端</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1、更换阻尼脂：保养天线机械结构，检查天线线路，更新卫星数据，更换密封件；</w:t>
            </w:r>
            <w:r>
              <w:rPr>
                <w:rFonts w:hint="eastAsia" w:ascii="宋体" w:hAnsi="宋体" w:eastAsia="宋体" w:cs="Arial"/>
                <w:kern w:val="0"/>
                <w:sz w:val="20"/>
                <w:szCs w:val="20"/>
              </w:rPr>
              <w:br w:type="textWrapping"/>
            </w:r>
            <w:r>
              <w:rPr>
                <w:rFonts w:hint="eastAsia" w:ascii="宋体" w:hAnsi="宋体" w:eastAsia="宋体" w:cs="Arial"/>
                <w:kern w:val="0"/>
                <w:sz w:val="20"/>
                <w:szCs w:val="20"/>
              </w:rPr>
              <w:t>2、检查固态功放发射功率是否达标（40W）；更换密封件，散热组件，检查功放链路；</w:t>
            </w:r>
            <w:r>
              <w:rPr>
                <w:rFonts w:hint="eastAsia" w:ascii="宋体" w:hAnsi="宋体" w:eastAsia="宋体" w:cs="Arial"/>
                <w:kern w:val="0"/>
                <w:sz w:val="20"/>
                <w:szCs w:val="20"/>
              </w:rPr>
              <w:br w:type="textWrapping"/>
            </w:r>
            <w:r>
              <w:rPr>
                <w:rFonts w:hint="eastAsia" w:ascii="宋体" w:hAnsi="宋体" w:eastAsia="宋体" w:cs="Arial"/>
                <w:kern w:val="0"/>
                <w:sz w:val="20"/>
                <w:szCs w:val="20"/>
              </w:rPr>
              <w:t>3、检测卫星接收信号强度，检查高频头供电，更换密封件，接头等；</w:t>
            </w:r>
            <w:r>
              <w:rPr>
                <w:rFonts w:hint="eastAsia" w:ascii="宋体" w:hAnsi="宋体" w:eastAsia="宋体" w:cs="Arial"/>
                <w:kern w:val="0"/>
                <w:sz w:val="20"/>
                <w:szCs w:val="20"/>
              </w:rPr>
              <w:br w:type="textWrapping"/>
            </w:r>
            <w:r>
              <w:rPr>
                <w:rFonts w:hint="eastAsia" w:ascii="宋体" w:hAnsi="宋体" w:eastAsia="宋体" w:cs="Arial"/>
                <w:kern w:val="0"/>
                <w:sz w:val="20"/>
                <w:szCs w:val="20"/>
              </w:rPr>
              <w:t>4、检查VSAT卫星终端能否调制并解调卫星信号，检查调制器LNB供电。</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5277"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短波通信系统维</w:t>
            </w:r>
            <w:r>
              <w:rPr>
                <w:rFonts w:hint="eastAsia" w:ascii="宋体" w:hAnsi="宋体" w:eastAsia="宋体" w:cs="Arial"/>
                <w:kern w:val="0"/>
                <w:sz w:val="20"/>
                <w:szCs w:val="20"/>
              </w:rPr>
              <w:br w:type="textWrapping"/>
            </w:r>
            <w:r>
              <w:rPr>
                <w:rFonts w:hint="eastAsia" w:ascii="宋体" w:hAnsi="宋体" w:eastAsia="宋体" w:cs="Arial"/>
                <w:kern w:val="0"/>
                <w:sz w:val="20"/>
                <w:szCs w:val="20"/>
              </w:rPr>
              <w:t>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1台ITC-8101短波电台（I-COM进口）、1台ITC-7000短波电台（I-COM进口），2支天线，1台GPS对讲机，4台手持对讲机</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1、更新电台固件，在无线电环境良好的情况下检测ITC-8101，ITC-7000短波电台不同模式下发射信号强度；</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2、更换保险，更换易损件检查天线线路；</w:t>
            </w:r>
            <w:r>
              <w:rPr>
                <w:rFonts w:hint="eastAsia" w:ascii="宋体" w:hAnsi="宋体" w:eastAsia="宋体" w:cs="Arial"/>
                <w:kern w:val="0"/>
                <w:sz w:val="20"/>
                <w:szCs w:val="20"/>
              </w:rPr>
              <w:br w:type="textWrapping"/>
            </w:r>
            <w:r>
              <w:rPr>
                <w:rFonts w:hint="eastAsia" w:ascii="宋体" w:hAnsi="宋体" w:eastAsia="宋体" w:cs="Arial"/>
                <w:kern w:val="0"/>
                <w:sz w:val="20"/>
                <w:szCs w:val="20"/>
              </w:rPr>
              <w:t>3、检测手持对讲机及GPS车载机通信及信号强度，电池续航等。</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6088"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指挥系统维护维修，保障有效运行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1台工控机、1套会议子系统、1台功放、4支号角喇叭、1台警灯警报</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1．更新BIOS，检查并维护工控机操作系统，清除无用数据及软件，清理工控机灰尘，更换散热组件，更换防尘组件，稳定性评估检测；</w:t>
            </w:r>
            <w:r>
              <w:rPr>
                <w:rFonts w:hint="eastAsia" w:ascii="宋体" w:hAnsi="宋体" w:eastAsia="宋体" w:cs="Arial"/>
                <w:kern w:val="0"/>
                <w:sz w:val="20"/>
                <w:szCs w:val="20"/>
              </w:rPr>
              <w:br w:type="textWrapping"/>
            </w:r>
            <w:r>
              <w:rPr>
                <w:rFonts w:hint="eastAsia" w:ascii="宋体" w:hAnsi="宋体" w:eastAsia="宋体" w:cs="Arial"/>
                <w:kern w:val="0"/>
                <w:sz w:val="20"/>
                <w:szCs w:val="20"/>
              </w:rPr>
              <w:t>2．拆机检查并维护会议子系统各设备，重点测试麦克风、调音台、会议主机是否存在无声、噪音、杂音啸叫等问题，更换调音台保险（进口配件），更新调音台固件；</w:t>
            </w:r>
            <w:r>
              <w:rPr>
                <w:rFonts w:hint="eastAsia" w:ascii="宋体" w:hAnsi="宋体" w:eastAsia="宋体" w:cs="Arial"/>
                <w:kern w:val="0"/>
                <w:sz w:val="20"/>
                <w:szCs w:val="20"/>
              </w:rPr>
              <w:br w:type="textWrapping"/>
            </w:r>
            <w:r>
              <w:rPr>
                <w:rFonts w:hint="eastAsia" w:ascii="宋体" w:hAnsi="宋体" w:eastAsia="宋体" w:cs="Arial"/>
                <w:kern w:val="0"/>
                <w:sz w:val="20"/>
                <w:szCs w:val="20"/>
              </w:rPr>
              <w:t>3．测试功放输出功率、线路、车顶喇叭，更换功放保险；</w:t>
            </w:r>
            <w:r>
              <w:rPr>
                <w:rFonts w:hint="eastAsia" w:ascii="宋体" w:hAnsi="宋体" w:eastAsia="宋体" w:cs="Arial"/>
                <w:kern w:val="0"/>
                <w:sz w:val="20"/>
                <w:szCs w:val="20"/>
              </w:rPr>
              <w:br w:type="textWrapping"/>
            </w:r>
            <w:r>
              <w:rPr>
                <w:rFonts w:hint="eastAsia" w:ascii="宋体" w:hAnsi="宋体" w:eastAsia="宋体" w:cs="Arial"/>
                <w:kern w:val="0"/>
                <w:sz w:val="20"/>
                <w:szCs w:val="20"/>
              </w:rPr>
              <w:t>4．开盖检查警灯警报是否存在声音缺失等问题，更换警灯警报保险；</w:t>
            </w:r>
            <w:r>
              <w:rPr>
                <w:rFonts w:hint="eastAsia" w:ascii="宋体" w:hAnsi="宋体" w:eastAsia="宋体" w:cs="Arial"/>
                <w:kern w:val="0"/>
                <w:sz w:val="20"/>
                <w:szCs w:val="20"/>
              </w:rPr>
              <w:br w:type="textWrapping"/>
            </w:r>
            <w:r>
              <w:rPr>
                <w:rFonts w:hint="eastAsia" w:ascii="宋体" w:hAnsi="宋体" w:eastAsia="宋体" w:cs="Arial"/>
                <w:kern w:val="0"/>
                <w:sz w:val="20"/>
                <w:szCs w:val="20"/>
              </w:rPr>
              <w:t>5.增加侧面及背面警灯。</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5683"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视音频系统维护维修，保障有效运行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镜头维护，摄像机维护，电池更换，矩阵，升降杆，微波传输</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1、更新镜头底层数据及固件； 检查摄像机镜头对焦环、变焦环、光圈环，清理灰尘，调整后焦；</w:t>
            </w:r>
            <w:r>
              <w:rPr>
                <w:rFonts w:hint="eastAsia" w:ascii="宋体" w:hAnsi="宋体" w:eastAsia="宋体" w:cs="Arial"/>
                <w:kern w:val="0"/>
                <w:sz w:val="20"/>
                <w:szCs w:val="20"/>
              </w:rPr>
              <w:br w:type="textWrapping"/>
            </w:r>
            <w:r>
              <w:rPr>
                <w:rFonts w:hint="eastAsia" w:ascii="宋体" w:hAnsi="宋体" w:eastAsia="宋体" w:cs="Arial"/>
                <w:kern w:val="0"/>
                <w:sz w:val="20"/>
                <w:szCs w:val="20"/>
              </w:rPr>
              <w:t>2、升级摄像机固件，检查摄像机成像、输出、存储等功能；</w:t>
            </w:r>
            <w:r>
              <w:rPr>
                <w:rFonts w:hint="eastAsia" w:ascii="宋体" w:hAnsi="宋体" w:eastAsia="宋体" w:cs="Arial"/>
                <w:kern w:val="0"/>
                <w:sz w:val="20"/>
                <w:szCs w:val="20"/>
              </w:rPr>
              <w:br w:type="textWrapping"/>
            </w:r>
            <w:r>
              <w:rPr>
                <w:rFonts w:hint="eastAsia" w:ascii="宋体" w:hAnsi="宋体" w:eastAsia="宋体" w:cs="Arial"/>
                <w:kern w:val="0"/>
                <w:sz w:val="20"/>
                <w:szCs w:val="20"/>
              </w:rPr>
              <w:t>3、检查摄像机电池健康状态，如无法使用则更换</w:t>
            </w:r>
          </w:p>
          <w:p>
            <w:pPr>
              <w:widowControl/>
              <w:jc w:val="left"/>
              <w:rPr>
                <w:rFonts w:ascii="宋体" w:hAnsi="宋体" w:eastAsia="宋体" w:cs="Arial"/>
                <w:kern w:val="0"/>
                <w:sz w:val="20"/>
                <w:szCs w:val="20"/>
              </w:rPr>
            </w:pPr>
            <w:r>
              <w:rPr>
                <w:rFonts w:hint="eastAsia" w:ascii="宋体" w:hAnsi="宋体" w:eastAsia="宋体" w:cs="Arial"/>
                <w:kern w:val="0"/>
                <w:sz w:val="20"/>
                <w:szCs w:val="20"/>
              </w:rPr>
              <w:t>4、更新矩阵固件，检查矩阵信号线路，是否存在无法控制的问题；</w:t>
            </w:r>
            <w:r>
              <w:rPr>
                <w:rFonts w:hint="eastAsia" w:ascii="宋体" w:hAnsi="宋体" w:eastAsia="宋体" w:cs="Arial"/>
                <w:kern w:val="0"/>
                <w:sz w:val="20"/>
                <w:szCs w:val="20"/>
              </w:rPr>
              <w:br w:type="textWrapping"/>
            </w:r>
            <w:r>
              <w:rPr>
                <w:rFonts w:hint="eastAsia" w:ascii="宋体" w:hAnsi="宋体" w:eastAsia="宋体" w:cs="Arial"/>
                <w:kern w:val="0"/>
                <w:sz w:val="20"/>
                <w:szCs w:val="20"/>
              </w:rPr>
              <w:t>5、更换升降杆液压油、阻尼脂，检查升降是否存在无法控制的问题；</w:t>
            </w:r>
            <w:r>
              <w:rPr>
                <w:rFonts w:hint="eastAsia" w:ascii="宋体" w:hAnsi="宋体" w:eastAsia="宋体" w:cs="Arial"/>
                <w:kern w:val="0"/>
                <w:sz w:val="20"/>
                <w:szCs w:val="20"/>
              </w:rPr>
              <w:br w:type="textWrapping"/>
            </w:r>
            <w:r>
              <w:rPr>
                <w:rFonts w:ascii="宋体" w:hAnsi="宋体" w:eastAsia="宋体" w:cs="Arial"/>
                <w:kern w:val="0"/>
                <w:sz w:val="20"/>
                <w:szCs w:val="20"/>
              </w:rPr>
              <w:t>6</w:t>
            </w:r>
            <w:r>
              <w:rPr>
                <w:rFonts w:hint="eastAsia" w:ascii="宋体" w:hAnsi="宋体" w:eastAsia="宋体" w:cs="Arial"/>
                <w:kern w:val="0"/>
                <w:sz w:val="20"/>
                <w:szCs w:val="20"/>
              </w:rPr>
              <w:t>、更新微波接收机固件，检测微波传输信号强度及天线链路。</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2510"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网络系统维护维修，保障有效运行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4G路由器，交换机，线路</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1、更新4G路由器固件，检查4G路由器信号强度，天线数量，更换损坏天线；</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2、更新交换机固件，检查交换机负载、丢包率、吞吐量，执行压力测试；</w:t>
            </w:r>
            <w:r>
              <w:rPr>
                <w:rFonts w:hint="eastAsia" w:ascii="宋体" w:hAnsi="宋体" w:eastAsia="宋体" w:cs="Arial"/>
                <w:kern w:val="0"/>
                <w:sz w:val="20"/>
                <w:szCs w:val="20"/>
              </w:rPr>
              <w:br w:type="textWrapping"/>
            </w:r>
            <w:r>
              <w:rPr>
                <w:rFonts w:hint="eastAsia" w:ascii="宋体" w:hAnsi="宋体" w:eastAsia="宋体" w:cs="Arial"/>
                <w:kern w:val="0"/>
                <w:sz w:val="20"/>
                <w:szCs w:val="20"/>
              </w:rPr>
              <w:t>3、检查维护线路，更换破皮、损伤、老化等线路；</w:t>
            </w:r>
            <w:r>
              <w:rPr>
                <w:rFonts w:hint="eastAsia" w:ascii="宋体" w:hAnsi="宋体" w:eastAsia="宋体" w:cs="Arial"/>
                <w:kern w:val="0"/>
                <w:sz w:val="20"/>
                <w:szCs w:val="20"/>
              </w:rPr>
              <w:br w:type="textWrapping"/>
            </w:r>
            <w:r>
              <w:rPr>
                <w:rFonts w:hint="eastAsia" w:ascii="宋体" w:hAnsi="宋体" w:eastAsia="宋体" w:cs="Arial"/>
                <w:kern w:val="0"/>
                <w:sz w:val="20"/>
                <w:szCs w:val="20"/>
              </w:rPr>
              <w:t>4、更换散热组件、防尘组件，定期清理积灰。</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2036"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发电机维护维修，保障有效运行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帕玛特柴油发电机</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1、发电机复位；</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2、更换机油、机滤、柴滤、防冻液；</w:t>
            </w:r>
            <w:r>
              <w:rPr>
                <w:rFonts w:hint="eastAsia" w:ascii="宋体" w:hAnsi="宋体" w:eastAsia="宋体" w:cs="Arial"/>
                <w:kern w:val="0"/>
                <w:sz w:val="20"/>
                <w:szCs w:val="20"/>
              </w:rPr>
              <w:br w:type="textWrapping"/>
            </w:r>
            <w:r>
              <w:rPr>
                <w:rFonts w:hint="eastAsia" w:ascii="宋体" w:hAnsi="宋体" w:eastAsia="宋体" w:cs="Arial"/>
                <w:kern w:val="0"/>
                <w:sz w:val="20"/>
                <w:szCs w:val="20"/>
              </w:rPr>
              <w:t>3电瓶状态检测及更换。</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3251"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UPS维护维修，保障有效运行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山特ups机头、电池组</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1、更新UPS固件；</w:t>
            </w:r>
            <w:r>
              <w:rPr>
                <w:rFonts w:hint="eastAsia" w:ascii="宋体" w:hAnsi="宋体" w:eastAsia="宋体" w:cs="Arial"/>
                <w:kern w:val="0"/>
                <w:sz w:val="20"/>
                <w:szCs w:val="20"/>
              </w:rPr>
              <w:br w:type="textWrapping"/>
            </w:r>
            <w:r>
              <w:rPr>
                <w:rFonts w:hint="eastAsia" w:ascii="宋体" w:hAnsi="宋体" w:eastAsia="宋体" w:cs="Arial"/>
                <w:kern w:val="0"/>
                <w:sz w:val="20"/>
                <w:szCs w:val="20"/>
              </w:rPr>
              <w:t>2、使用功率计检查UPS逆变参数，负载功耗；</w:t>
            </w:r>
            <w:r>
              <w:rPr>
                <w:rFonts w:hint="eastAsia" w:ascii="宋体" w:hAnsi="宋体" w:eastAsia="宋体" w:cs="Arial"/>
                <w:kern w:val="0"/>
                <w:sz w:val="20"/>
                <w:szCs w:val="20"/>
              </w:rPr>
              <w:br w:type="textWrapping"/>
            </w:r>
            <w:r>
              <w:rPr>
                <w:rFonts w:hint="eastAsia" w:ascii="宋体" w:hAnsi="宋体" w:eastAsia="宋体" w:cs="Arial"/>
                <w:kern w:val="0"/>
                <w:sz w:val="20"/>
                <w:szCs w:val="20"/>
              </w:rPr>
              <w:t>3、使用检测仪检查电池组健康状态（内阻、电池容量、结晶率等），如必要则及时更换；</w:t>
            </w:r>
            <w:r>
              <w:rPr>
                <w:rFonts w:hint="eastAsia" w:ascii="宋体" w:hAnsi="宋体" w:eastAsia="宋体" w:cs="Arial"/>
                <w:kern w:val="0"/>
                <w:sz w:val="20"/>
                <w:szCs w:val="20"/>
              </w:rPr>
              <w:br w:type="textWrapping"/>
            </w:r>
            <w:r>
              <w:rPr>
                <w:rFonts w:hint="eastAsia" w:ascii="宋体" w:hAnsi="宋体" w:eastAsia="宋体" w:cs="Arial"/>
                <w:kern w:val="0"/>
                <w:sz w:val="20"/>
                <w:szCs w:val="20"/>
              </w:rPr>
              <w:t>4、更换UPS保险，定期清理散热组件、防尘组件，清理积灰；</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2846"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空调及电暖器维</w:t>
            </w:r>
            <w:r>
              <w:rPr>
                <w:rFonts w:hint="eastAsia" w:ascii="宋体" w:hAnsi="宋体" w:eastAsia="宋体" w:cs="Arial"/>
                <w:kern w:val="0"/>
                <w:sz w:val="20"/>
                <w:szCs w:val="20"/>
              </w:rPr>
              <w:br w:type="textWrapping"/>
            </w:r>
            <w:r>
              <w:rPr>
                <w:rFonts w:hint="eastAsia" w:ascii="宋体" w:hAnsi="宋体" w:eastAsia="宋体" w:cs="Arial"/>
                <w:kern w:val="0"/>
                <w:sz w:val="20"/>
                <w:szCs w:val="20"/>
              </w:rPr>
              <w:t>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风道，冷媒， 电暖器</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1、清理风道积灰，清洁空调；</w:t>
            </w:r>
            <w:r>
              <w:rPr>
                <w:rFonts w:hint="eastAsia" w:ascii="宋体" w:hAnsi="宋体" w:eastAsia="宋体" w:cs="Arial"/>
                <w:kern w:val="0"/>
                <w:sz w:val="20"/>
                <w:szCs w:val="20"/>
              </w:rPr>
              <w:br w:type="textWrapping"/>
            </w:r>
            <w:r>
              <w:rPr>
                <w:rFonts w:hint="eastAsia" w:ascii="宋体" w:hAnsi="宋体" w:eastAsia="宋体" w:cs="Arial"/>
                <w:kern w:val="0"/>
                <w:sz w:val="20"/>
                <w:szCs w:val="20"/>
              </w:rPr>
              <w:t>2、检查空调健康状态，制冷及制热效率，更换冷媒；</w:t>
            </w:r>
            <w:r>
              <w:rPr>
                <w:rFonts w:hint="eastAsia" w:ascii="宋体" w:hAnsi="宋体" w:eastAsia="宋体" w:cs="Arial"/>
                <w:kern w:val="0"/>
                <w:sz w:val="20"/>
                <w:szCs w:val="20"/>
              </w:rPr>
              <w:br w:type="textWrapping"/>
            </w:r>
            <w:r>
              <w:rPr>
                <w:rFonts w:hint="eastAsia" w:ascii="宋体" w:hAnsi="宋体" w:eastAsia="宋体" w:cs="Arial"/>
                <w:kern w:val="0"/>
                <w:sz w:val="20"/>
                <w:szCs w:val="20"/>
              </w:rPr>
              <w:t>3、更换电暖器保险，检查电暖器制热功率及温感探头，更换发热芯。</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3657"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侧拉箱、支撑及</w:t>
            </w:r>
            <w:r>
              <w:rPr>
                <w:rFonts w:hint="eastAsia" w:ascii="宋体" w:hAnsi="宋体" w:eastAsia="宋体" w:cs="Arial"/>
                <w:kern w:val="0"/>
                <w:sz w:val="20"/>
                <w:szCs w:val="20"/>
              </w:rPr>
              <w:br w:type="textWrapping"/>
            </w:r>
            <w:r>
              <w:rPr>
                <w:rFonts w:hint="eastAsia" w:ascii="宋体" w:hAnsi="宋体" w:eastAsia="宋体" w:cs="Arial"/>
                <w:kern w:val="0"/>
                <w:sz w:val="20"/>
                <w:szCs w:val="20"/>
              </w:rPr>
              <w:t>直流供电维护维修，保障有效运行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包含电瓶，侧拉箱、支撑腿及其传感器</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1、测量侧拉箱及车体形变，检查侧拉箱开启及回收功能；</w:t>
            </w:r>
            <w:r>
              <w:rPr>
                <w:rFonts w:hint="eastAsia" w:ascii="宋体" w:hAnsi="宋体" w:eastAsia="宋体" w:cs="Arial"/>
                <w:kern w:val="0"/>
                <w:sz w:val="20"/>
                <w:szCs w:val="20"/>
              </w:rPr>
              <w:br w:type="textWrapping"/>
            </w:r>
            <w:r>
              <w:rPr>
                <w:rFonts w:hint="eastAsia" w:ascii="宋体" w:hAnsi="宋体" w:eastAsia="宋体" w:cs="Arial"/>
                <w:kern w:val="0"/>
                <w:sz w:val="20"/>
                <w:szCs w:val="20"/>
              </w:rPr>
              <w:t>2、调整并复位侧拉箱限位器；</w:t>
            </w:r>
            <w:r>
              <w:rPr>
                <w:rFonts w:hint="eastAsia" w:ascii="宋体" w:hAnsi="宋体" w:eastAsia="宋体" w:cs="Arial"/>
                <w:kern w:val="0"/>
                <w:sz w:val="20"/>
                <w:szCs w:val="20"/>
              </w:rPr>
              <w:br w:type="textWrapping"/>
            </w:r>
            <w:r>
              <w:rPr>
                <w:rFonts w:hint="eastAsia" w:ascii="宋体" w:hAnsi="宋体" w:eastAsia="宋体" w:cs="Arial"/>
                <w:kern w:val="0"/>
                <w:sz w:val="20"/>
                <w:szCs w:val="20"/>
              </w:rPr>
              <w:t>3、测量支撑腿形变，检查支撑腿支撑及回收功能；</w:t>
            </w:r>
            <w:r>
              <w:rPr>
                <w:rFonts w:hint="eastAsia" w:ascii="宋体" w:hAnsi="宋体" w:eastAsia="宋体" w:cs="Arial"/>
                <w:kern w:val="0"/>
                <w:sz w:val="20"/>
                <w:szCs w:val="20"/>
              </w:rPr>
              <w:br w:type="textWrapping"/>
            </w:r>
            <w:r>
              <w:rPr>
                <w:rFonts w:hint="eastAsia" w:ascii="宋体" w:hAnsi="宋体" w:eastAsia="宋体" w:cs="Arial"/>
                <w:kern w:val="0"/>
                <w:sz w:val="20"/>
                <w:szCs w:val="20"/>
              </w:rPr>
              <w:t>4、检测电瓶健康状态，视情况更换；</w:t>
            </w:r>
            <w:r>
              <w:rPr>
                <w:rFonts w:hint="eastAsia" w:ascii="宋体" w:hAnsi="宋体" w:eastAsia="宋体" w:cs="Arial"/>
                <w:kern w:val="0"/>
                <w:sz w:val="20"/>
                <w:szCs w:val="20"/>
              </w:rPr>
              <w:br w:type="textWrapping"/>
            </w:r>
            <w:r>
              <w:rPr>
                <w:rFonts w:hint="eastAsia" w:ascii="宋体" w:hAnsi="宋体" w:eastAsia="宋体" w:cs="Arial"/>
                <w:kern w:val="0"/>
                <w:sz w:val="20"/>
                <w:szCs w:val="20"/>
              </w:rPr>
              <w:t>5、检查支撑及侧拉控制器、传感器、 互锁系统功能。</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820"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xml:space="preserve">序号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服务项目</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设备</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服务明细</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xml:space="preserve"> 备注</w:t>
            </w:r>
          </w:p>
        </w:tc>
      </w:tr>
      <w:tr>
        <w:tblPrEx>
          <w:tblCellMar>
            <w:top w:w="0" w:type="dxa"/>
            <w:left w:w="108" w:type="dxa"/>
            <w:bottom w:w="0" w:type="dxa"/>
            <w:right w:w="108" w:type="dxa"/>
          </w:tblCellMar>
        </w:tblPrEx>
        <w:trPr>
          <w:trHeight w:val="4467"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卫星通信系统维</w:t>
            </w:r>
            <w:r>
              <w:rPr>
                <w:rFonts w:hint="eastAsia" w:ascii="宋体" w:hAnsi="宋体" w:eastAsia="宋体" w:cs="Arial"/>
                <w:kern w:val="0"/>
                <w:sz w:val="20"/>
                <w:szCs w:val="20"/>
              </w:rPr>
              <w:br w:type="textWrapping"/>
            </w:r>
            <w:r>
              <w:rPr>
                <w:rFonts w:hint="eastAsia" w:ascii="宋体" w:hAnsi="宋体" w:eastAsia="宋体" w:cs="Arial"/>
                <w:kern w:val="0"/>
                <w:sz w:val="20"/>
                <w:szCs w:val="20"/>
              </w:rPr>
              <w:t>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静中通天线、40W固态功放、高频头、VSAT终端</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1、更换阻尼脂：保养天线机械结构，检查天线线路，更新卫星数据，更换密封件；</w:t>
            </w:r>
            <w:r>
              <w:rPr>
                <w:rFonts w:hint="eastAsia" w:ascii="宋体" w:hAnsi="宋体" w:eastAsia="宋体" w:cs="Arial"/>
                <w:kern w:val="0"/>
                <w:sz w:val="20"/>
                <w:szCs w:val="20"/>
              </w:rPr>
              <w:br w:type="textWrapping"/>
            </w:r>
            <w:r>
              <w:rPr>
                <w:rFonts w:hint="eastAsia" w:ascii="宋体" w:hAnsi="宋体" w:eastAsia="宋体" w:cs="Arial"/>
                <w:kern w:val="0"/>
                <w:sz w:val="20"/>
                <w:szCs w:val="20"/>
              </w:rPr>
              <w:t>2、检查固态功放发射功率是否达标（40W）；更换密封件，散热组件，检查功放链路；</w:t>
            </w:r>
            <w:r>
              <w:rPr>
                <w:rFonts w:hint="eastAsia" w:ascii="宋体" w:hAnsi="宋体" w:eastAsia="宋体" w:cs="Arial"/>
                <w:kern w:val="0"/>
                <w:sz w:val="20"/>
                <w:szCs w:val="20"/>
              </w:rPr>
              <w:br w:type="textWrapping"/>
            </w:r>
            <w:r>
              <w:rPr>
                <w:rFonts w:hint="eastAsia" w:ascii="宋体" w:hAnsi="宋体" w:eastAsia="宋体" w:cs="Arial"/>
                <w:kern w:val="0"/>
                <w:sz w:val="20"/>
                <w:szCs w:val="20"/>
              </w:rPr>
              <w:t>3、检测卫星接收信号强度，检查高频头供电，更换密封件、接头等；</w:t>
            </w:r>
            <w:r>
              <w:rPr>
                <w:rFonts w:hint="eastAsia" w:ascii="宋体" w:hAnsi="宋体" w:eastAsia="宋体" w:cs="Arial"/>
                <w:kern w:val="0"/>
                <w:sz w:val="20"/>
                <w:szCs w:val="20"/>
              </w:rPr>
              <w:br w:type="textWrapping"/>
            </w:r>
            <w:r>
              <w:rPr>
                <w:rFonts w:hint="eastAsia" w:ascii="宋体" w:hAnsi="宋体" w:eastAsia="宋体" w:cs="Arial"/>
                <w:kern w:val="0"/>
                <w:sz w:val="20"/>
                <w:szCs w:val="20"/>
              </w:rPr>
              <w:t>4、检查VSAT卫星终端能否调制并解调卫星信号，检查调制器LNB供电。</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5277"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短波通信系统维</w:t>
            </w:r>
            <w:r>
              <w:rPr>
                <w:rFonts w:hint="eastAsia" w:ascii="宋体" w:hAnsi="宋体" w:eastAsia="宋体" w:cs="Arial"/>
                <w:kern w:val="0"/>
                <w:sz w:val="20"/>
                <w:szCs w:val="20"/>
              </w:rPr>
              <w:br w:type="textWrapping"/>
            </w:r>
            <w:r>
              <w:rPr>
                <w:rFonts w:hint="eastAsia" w:ascii="宋体" w:hAnsi="宋体" w:eastAsia="宋体" w:cs="Arial"/>
                <w:kern w:val="0"/>
                <w:sz w:val="20"/>
                <w:szCs w:val="20"/>
              </w:rPr>
              <w:t>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1台ITC-8101短波电台（I-COM进口）、1台ITC-7000短波电台（I-COM进口），2支天线，1台GPS对讲机，4台手持对讲机</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1、更新电台固件，在无线电环境良好的情况下检测ITC-8101、ITC-7000短波电台不同模式下发射信号强度；</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2、更换保险，更换易损件，检查天线线路；</w:t>
            </w:r>
            <w:r>
              <w:rPr>
                <w:rFonts w:hint="eastAsia" w:ascii="宋体" w:hAnsi="宋体" w:eastAsia="宋体" w:cs="Arial"/>
                <w:kern w:val="0"/>
                <w:sz w:val="20"/>
                <w:szCs w:val="20"/>
              </w:rPr>
              <w:br w:type="textWrapping"/>
            </w:r>
            <w:r>
              <w:rPr>
                <w:rFonts w:hint="eastAsia" w:ascii="宋体" w:hAnsi="宋体" w:eastAsia="宋体" w:cs="Arial"/>
                <w:kern w:val="0"/>
                <w:sz w:val="20"/>
                <w:szCs w:val="20"/>
              </w:rPr>
              <w:t>3、检测手持对讲机及GPS车载机通信及信号强度，电池续航等。</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2846"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音频制播系统维</w:t>
            </w:r>
            <w:r>
              <w:rPr>
                <w:rFonts w:hint="eastAsia" w:ascii="宋体" w:hAnsi="宋体" w:eastAsia="宋体" w:cs="Arial"/>
                <w:kern w:val="0"/>
                <w:sz w:val="20"/>
                <w:szCs w:val="20"/>
              </w:rPr>
              <w:br w:type="textWrapping"/>
            </w:r>
            <w:r>
              <w:rPr>
                <w:rFonts w:hint="eastAsia" w:ascii="宋体" w:hAnsi="宋体" w:eastAsia="宋体" w:cs="Arial"/>
                <w:kern w:val="0"/>
                <w:sz w:val="20"/>
                <w:szCs w:val="20"/>
              </w:rPr>
              <w:t>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音频工作站、调音台、CD机、功放</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1、更新并检查音频工作站操作系统，更新播出系统软件，清除工作站内部积灰；</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2、更新调音台固件，检查数字调音台各通道功能及线路，更换调音台保险，清除积灰必要时清洁CD机激光头，清洁防喷网、海绵。</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3657"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信号接收及发射</w:t>
            </w:r>
            <w:r>
              <w:rPr>
                <w:rFonts w:hint="eastAsia" w:ascii="宋体" w:hAnsi="宋体" w:eastAsia="宋体" w:cs="Arial"/>
                <w:kern w:val="0"/>
                <w:sz w:val="20"/>
                <w:szCs w:val="20"/>
              </w:rPr>
              <w:br w:type="textWrapping"/>
            </w:r>
            <w:r>
              <w:rPr>
                <w:rFonts w:hint="eastAsia" w:ascii="宋体" w:hAnsi="宋体" w:eastAsia="宋体" w:cs="Arial"/>
                <w:kern w:val="0"/>
                <w:sz w:val="20"/>
                <w:szCs w:val="20"/>
              </w:rPr>
              <w:t>系统维护维修，保障有效运行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FM发射机，卫星接收机、RDS编码器、SCA</w:t>
            </w:r>
            <w:r>
              <w:rPr>
                <w:rFonts w:hint="eastAsia" w:ascii="宋体" w:hAnsi="宋体" w:eastAsia="宋体" w:cs="Arial"/>
                <w:kern w:val="0"/>
                <w:sz w:val="20"/>
                <w:szCs w:val="20"/>
              </w:rPr>
              <w:br w:type="textWrapping"/>
            </w:r>
            <w:r>
              <w:rPr>
                <w:rFonts w:hint="eastAsia" w:ascii="宋体" w:hAnsi="宋体" w:eastAsia="宋体" w:cs="Arial"/>
                <w:kern w:val="0"/>
                <w:sz w:val="20"/>
                <w:szCs w:val="20"/>
              </w:rPr>
              <w:t>编码器</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1、更新发射机固件，更换发射机保险，清理发射机积灰，测量FM调频发射机发射功率及FM信号强度。</w:t>
            </w:r>
            <w:r>
              <w:rPr>
                <w:rFonts w:hint="eastAsia" w:ascii="宋体" w:hAnsi="宋体" w:eastAsia="宋体" w:cs="Arial"/>
                <w:kern w:val="0"/>
                <w:sz w:val="20"/>
                <w:szCs w:val="20"/>
              </w:rPr>
              <w:br w:type="textWrapping"/>
            </w:r>
            <w:r>
              <w:rPr>
                <w:rFonts w:hint="eastAsia" w:ascii="宋体" w:hAnsi="宋体" w:eastAsia="宋体" w:cs="Arial"/>
                <w:kern w:val="0"/>
                <w:sz w:val="20"/>
                <w:szCs w:val="20"/>
              </w:rPr>
              <w:t>2、测试卫星接收系统功能及线路维护；</w:t>
            </w:r>
            <w:r>
              <w:rPr>
                <w:rFonts w:hint="eastAsia" w:ascii="宋体" w:hAnsi="宋体" w:eastAsia="宋体" w:cs="Arial"/>
                <w:kern w:val="0"/>
                <w:sz w:val="20"/>
                <w:szCs w:val="20"/>
              </w:rPr>
              <w:br w:type="textWrapping"/>
            </w:r>
            <w:r>
              <w:rPr>
                <w:rFonts w:hint="eastAsia" w:ascii="宋体" w:hAnsi="宋体" w:eastAsia="宋体" w:cs="Arial"/>
                <w:kern w:val="0"/>
                <w:sz w:val="20"/>
                <w:szCs w:val="20"/>
              </w:rPr>
              <w:t>3、更新RDS编码器固件，测试功能及线路；</w:t>
            </w:r>
            <w:r>
              <w:rPr>
                <w:rFonts w:hint="eastAsia" w:ascii="宋体" w:hAnsi="宋体" w:eastAsia="宋体" w:cs="Arial"/>
                <w:kern w:val="0"/>
                <w:sz w:val="20"/>
                <w:szCs w:val="20"/>
              </w:rPr>
              <w:br w:type="textWrapping"/>
            </w:r>
            <w:r>
              <w:rPr>
                <w:rFonts w:hint="eastAsia" w:ascii="宋体" w:hAnsi="宋体" w:eastAsia="宋体" w:cs="Arial"/>
                <w:kern w:val="0"/>
                <w:sz w:val="20"/>
                <w:szCs w:val="20"/>
              </w:rPr>
              <w:t>4、更新SCA编码器固件， 测试功能及线路。</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4062"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网络系统维护维修，保障有效运行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4G路由器，交换机，线路</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1、更新4G路由器固件，检查4G路由器信号强度、天线数量，更换损坏天线；</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2、更新交换机固件，检查交换机负载、丢包率、吞吐量，执行压力测试；</w:t>
            </w:r>
            <w:r>
              <w:rPr>
                <w:rFonts w:hint="eastAsia" w:ascii="宋体" w:hAnsi="宋体" w:eastAsia="宋体" w:cs="Arial"/>
                <w:kern w:val="0"/>
                <w:sz w:val="20"/>
                <w:szCs w:val="20"/>
              </w:rPr>
              <w:br w:type="textWrapping"/>
            </w:r>
            <w:r>
              <w:rPr>
                <w:rFonts w:hint="eastAsia" w:ascii="宋体" w:hAnsi="宋体" w:eastAsia="宋体" w:cs="Arial"/>
                <w:kern w:val="0"/>
                <w:sz w:val="20"/>
                <w:szCs w:val="20"/>
              </w:rPr>
              <w:t>3、检查维护线路，更换破皮、损伤、老化等线路；</w:t>
            </w:r>
            <w:r>
              <w:rPr>
                <w:rFonts w:hint="eastAsia" w:ascii="宋体" w:hAnsi="宋体" w:eastAsia="宋体" w:cs="Arial"/>
                <w:kern w:val="0"/>
                <w:sz w:val="20"/>
                <w:szCs w:val="20"/>
              </w:rPr>
              <w:br w:type="textWrapping"/>
            </w:r>
            <w:r>
              <w:rPr>
                <w:rFonts w:hint="eastAsia" w:ascii="宋体" w:hAnsi="宋体" w:eastAsia="宋体" w:cs="Arial"/>
                <w:kern w:val="0"/>
                <w:sz w:val="20"/>
                <w:szCs w:val="20"/>
              </w:rPr>
              <w:t>4、更换散热组件、防尘组件，定期清理积灰。</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2036"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发电机维护维修，保障有效运行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帕玛特柴油发电机</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1、发电机复位；</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2、更换机油、机滤、柴滤、防冻液；</w:t>
            </w:r>
            <w:r>
              <w:rPr>
                <w:rFonts w:hint="eastAsia" w:ascii="宋体" w:hAnsi="宋体" w:eastAsia="宋体" w:cs="Arial"/>
                <w:kern w:val="0"/>
                <w:sz w:val="20"/>
                <w:szCs w:val="20"/>
              </w:rPr>
              <w:br w:type="textWrapping"/>
            </w:r>
            <w:r>
              <w:rPr>
                <w:rFonts w:hint="eastAsia" w:ascii="宋体" w:hAnsi="宋体" w:eastAsia="宋体" w:cs="Arial"/>
                <w:kern w:val="0"/>
                <w:sz w:val="20"/>
                <w:szCs w:val="20"/>
              </w:rPr>
              <w:t>3、电瓶状态检测及更换。</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3251"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UPS维护维修，保障有效运行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山特ups机头、电池组</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1、更新UPS固件；</w:t>
            </w:r>
            <w:r>
              <w:rPr>
                <w:rFonts w:hint="eastAsia" w:ascii="宋体" w:hAnsi="宋体" w:eastAsia="宋体" w:cs="Arial"/>
                <w:kern w:val="0"/>
                <w:sz w:val="20"/>
                <w:szCs w:val="20"/>
              </w:rPr>
              <w:br w:type="textWrapping"/>
            </w:r>
            <w:r>
              <w:rPr>
                <w:rFonts w:hint="eastAsia" w:ascii="宋体" w:hAnsi="宋体" w:eastAsia="宋体" w:cs="Arial"/>
                <w:kern w:val="0"/>
                <w:sz w:val="20"/>
                <w:szCs w:val="20"/>
              </w:rPr>
              <w:t>2、使用功率计检查UPS逆变参数，负载功耗；</w:t>
            </w:r>
            <w:r>
              <w:rPr>
                <w:rFonts w:hint="eastAsia" w:ascii="宋体" w:hAnsi="宋体" w:eastAsia="宋体" w:cs="Arial"/>
                <w:kern w:val="0"/>
                <w:sz w:val="20"/>
                <w:szCs w:val="20"/>
              </w:rPr>
              <w:br w:type="textWrapping"/>
            </w:r>
            <w:r>
              <w:rPr>
                <w:rFonts w:hint="eastAsia" w:ascii="宋体" w:hAnsi="宋体" w:eastAsia="宋体" w:cs="Arial"/>
                <w:kern w:val="0"/>
                <w:sz w:val="20"/>
                <w:szCs w:val="20"/>
              </w:rPr>
              <w:t>3、使用检测仪检查电池组健康状态（内阻、电池容量、结晶率等），如必要则及时更换；</w:t>
            </w:r>
            <w:r>
              <w:rPr>
                <w:rFonts w:hint="eastAsia" w:ascii="宋体" w:hAnsi="宋体" w:eastAsia="宋体" w:cs="Arial"/>
                <w:kern w:val="0"/>
                <w:sz w:val="20"/>
                <w:szCs w:val="20"/>
              </w:rPr>
              <w:br w:type="textWrapping"/>
            </w:r>
            <w:r>
              <w:rPr>
                <w:rFonts w:hint="eastAsia" w:ascii="宋体" w:hAnsi="宋体" w:eastAsia="宋体" w:cs="Arial"/>
                <w:kern w:val="0"/>
                <w:sz w:val="20"/>
                <w:szCs w:val="20"/>
              </w:rPr>
              <w:t>4、更换UPS保险、定期清理散热组件、防尘组件，清理积灰；</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1225"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空调及电暖器维</w:t>
            </w:r>
            <w:r>
              <w:rPr>
                <w:rFonts w:hint="eastAsia" w:ascii="宋体" w:hAnsi="宋体" w:eastAsia="宋体" w:cs="Arial"/>
                <w:kern w:val="0"/>
                <w:sz w:val="20"/>
                <w:szCs w:val="20"/>
              </w:rPr>
              <w:br w:type="textWrapping"/>
            </w:r>
            <w:r>
              <w:rPr>
                <w:rFonts w:hint="eastAsia" w:ascii="宋体" w:hAnsi="宋体" w:eastAsia="宋体" w:cs="Arial"/>
                <w:kern w:val="0"/>
                <w:sz w:val="20"/>
                <w:szCs w:val="20"/>
              </w:rPr>
              <w:t>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风道，冷媒，电暖器</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1、清理风道积灰，清洁空调；</w:t>
            </w:r>
            <w:r>
              <w:rPr>
                <w:rFonts w:hint="eastAsia" w:ascii="宋体" w:hAnsi="宋体" w:eastAsia="宋体" w:cs="Arial"/>
                <w:kern w:val="0"/>
                <w:sz w:val="20"/>
                <w:szCs w:val="20"/>
              </w:rPr>
              <w:br w:type="textWrapping"/>
            </w:r>
            <w:r>
              <w:rPr>
                <w:rFonts w:hint="eastAsia" w:ascii="宋体" w:hAnsi="宋体" w:eastAsia="宋体" w:cs="Arial"/>
                <w:kern w:val="0"/>
                <w:sz w:val="20"/>
                <w:szCs w:val="20"/>
              </w:rPr>
              <w:t>2、检查空调健康状态（冷媒压力），制冷及制热效率，更换冷媒；</w:t>
            </w:r>
            <w:r>
              <w:rPr>
                <w:rFonts w:hint="eastAsia" w:ascii="宋体" w:hAnsi="宋体" w:eastAsia="宋体" w:cs="Arial"/>
                <w:kern w:val="0"/>
                <w:sz w:val="20"/>
                <w:szCs w:val="20"/>
              </w:rPr>
              <w:br w:type="textWrapping"/>
            </w:r>
            <w:r>
              <w:rPr>
                <w:rFonts w:hint="eastAsia" w:ascii="宋体" w:hAnsi="宋体" w:eastAsia="宋体" w:cs="Arial"/>
                <w:kern w:val="0"/>
                <w:sz w:val="20"/>
                <w:szCs w:val="20"/>
              </w:rPr>
              <w:t>3、更换电暖器保险，检查电暖器制热功率及温感探头，更换发热芯。</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3657"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侧拉箱、支撑及</w:t>
            </w:r>
            <w:r>
              <w:rPr>
                <w:rFonts w:hint="eastAsia" w:ascii="宋体" w:hAnsi="宋体" w:eastAsia="宋体" w:cs="Arial"/>
                <w:kern w:val="0"/>
                <w:sz w:val="20"/>
                <w:szCs w:val="20"/>
              </w:rPr>
              <w:br w:type="textWrapping"/>
            </w:r>
            <w:r>
              <w:rPr>
                <w:rFonts w:hint="eastAsia" w:ascii="宋体" w:hAnsi="宋体" w:eastAsia="宋体" w:cs="Arial"/>
                <w:kern w:val="0"/>
                <w:sz w:val="20"/>
                <w:szCs w:val="20"/>
              </w:rPr>
              <w:t>直流供电维护维修，保障有效运行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包含电瓶，侧拉箱、支撑腿及其传感器</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1、测量侧拉箱及车体形变，检查侧拉箱开启及回收功能；</w:t>
            </w:r>
            <w:r>
              <w:rPr>
                <w:rFonts w:hint="eastAsia" w:ascii="宋体" w:hAnsi="宋体" w:eastAsia="宋体" w:cs="Arial"/>
                <w:kern w:val="0"/>
                <w:sz w:val="20"/>
                <w:szCs w:val="20"/>
              </w:rPr>
              <w:br w:type="textWrapping"/>
            </w:r>
            <w:r>
              <w:rPr>
                <w:rFonts w:hint="eastAsia" w:ascii="宋体" w:hAnsi="宋体" w:eastAsia="宋体" w:cs="Arial"/>
                <w:kern w:val="0"/>
                <w:sz w:val="20"/>
                <w:szCs w:val="20"/>
              </w:rPr>
              <w:t>2、调整并复位侧拉箱限位器；</w:t>
            </w:r>
            <w:r>
              <w:rPr>
                <w:rFonts w:hint="eastAsia" w:ascii="宋体" w:hAnsi="宋体" w:eastAsia="宋体" w:cs="Arial"/>
                <w:kern w:val="0"/>
                <w:sz w:val="20"/>
                <w:szCs w:val="20"/>
              </w:rPr>
              <w:br w:type="textWrapping"/>
            </w:r>
            <w:r>
              <w:rPr>
                <w:rFonts w:hint="eastAsia" w:ascii="宋体" w:hAnsi="宋体" w:eastAsia="宋体" w:cs="Arial"/>
                <w:kern w:val="0"/>
                <w:sz w:val="20"/>
                <w:szCs w:val="20"/>
              </w:rPr>
              <w:t>3、测量支撑腿形变，检查支撑腿支撑及回收功能；</w:t>
            </w:r>
            <w:r>
              <w:rPr>
                <w:rFonts w:hint="eastAsia" w:ascii="宋体" w:hAnsi="宋体" w:eastAsia="宋体" w:cs="Arial"/>
                <w:kern w:val="0"/>
                <w:sz w:val="20"/>
                <w:szCs w:val="20"/>
              </w:rPr>
              <w:br w:type="textWrapping"/>
            </w:r>
            <w:r>
              <w:rPr>
                <w:rFonts w:hint="eastAsia" w:ascii="宋体" w:hAnsi="宋体" w:eastAsia="宋体" w:cs="Arial"/>
                <w:kern w:val="0"/>
                <w:sz w:val="20"/>
                <w:szCs w:val="20"/>
              </w:rPr>
              <w:t>4、检测电瓶健康状态，视情况更换；</w:t>
            </w:r>
            <w:r>
              <w:rPr>
                <w:rFonts w:hint="eastAsia" w:ascii="宋体" w:hAnsi="宋体" w:eastAsia="宋体" w:cs="Arial"/>
                <w:kern w:val="0"/>
                <w:sz w:val="20"/>
                <w:szCs w:val="20"/>
              </w:rPr>
              <w:br w:type="textWrapping"/>
            </w:r>
            <w:r>
              <w:rPr>
                <w:rFonts w:hint="eastAsia" w:ascii="宋体" w:hAnsi="宋体" w:eastAsia="宋体" w:cs="Arial"/>
                <w:kern w:val="0"/>
                <w:sz w:val="20"/>
                <w:szCs w:val="20"/>
              </w:rPr>
              <w:t>5、检查支撑及侧拉控制器、传感器、 互锁系统功能。</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5277"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短波通信系统维</w:t>
            </w:r>
            <w:r>
              <w:rPr>
                <w:rFonts w:hint="eastAsia" w:ascii="宋体" w:hAnsi="宋体" w:eastAsia="宋体" w:cs="Arial"/>
                <w:kern w:val="0"/>
                <w:sz w:val="20"/>
                <w:szCs w:val="20"/>
              </w:rPr>
              <w:br w:type="textWrapping"/>
            </w:r>
            <w:r>
              <w:rPr>
                <w:rFonts w:hint="eastAsia" w:ascii="宋体" w:hAnsi="宋体" w:eastAsia="宋体" w:cs="Arial"/>
                <w:kern w:val="0"/>
                <w:sz w:val="20"/>
                <w:szCs w:val="20"/>
              </w:rPr>
              <w:t>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1台ITC-8101短波电台（I-COM进口）ITC-7000短波电台（I-COM进口），2支天线，1台GPS对讲机，4台手持对讲机</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1、更新电台固件，在无线电环境良好的情况下检测ITC-8101，ITC-7000短波电台不同模式下发射信号强度；</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2、更换保险，更换易损件，检查天线线路；</w:t>
            </w:r>
            <w:r>
              <w:rPr>
                <w:rFonts w:hint="eastAsia" w:ascii="宋体" w:hAnsi="宋体" w:eastAsia="宋体" w:cs="Arial"/>
                <w:kern w:val="0"/>
                <w:sz w:val="20"/>
                <w:szCs w:val="20"/>
              </w:rPr>
              <w:br w:type="textWrapping"/>
            </w:r>
            <w:r>
              <w:rPr>
                <w:rFonts w:hint="eastAsia" w:ascii="宋体" w:hAnsi="宋体" w:eastAsia="宋体" w:cs="Arial"/>
                <w:kern w:val="0"/>
                <w:sz w:val="20"/>
                <w:szCs w:val="20"/>
              </w:rPr>
              <w:t>3、检测手持对讲机及GPS车载机通信及信号强度，电池续航等。</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highlight w:val="yellow"/>
              </w:rPr>
            </w:pPr>
          </w:p>
        </w:tc>
      </w:tr>
      <w:tr>
        <w:tblPrEx>
          <w:tblCellMar>
            <w:top w:w="0" w:type="dxa"/>
            <w:left w:w="108" w:type="dxa"/>
            <w:bottom w:w="0" w:type="dxa"/>
            <w:right w:w="108" w:type="dxa"/>
          </w:tblCellMar>
        </w:tblPrEx>
        <w:trPr>
          <w:trHeight w:val="3251"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UPS维护维修，保障有效运行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山特ups机头、电池组</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1、更新UPS固件；</w:t>
            </w:r>
            <w:r>
              <w:rPr>
                <w:rFonts w:hint="eastAsia" w:ascii="宋体" w:hAnsi="宋体" w:eastAsia="宋体" w:cs="Arial"/>
                <w:kern w:val="0"/>
                <w:sz w:val="20"/>
                <w:szCs w:val="20"/>
              </w:rPr>
              <w:br w:type="textWrapping"/>
            </w:r>
            <w:r>
              <w:rPr>
                <w:rFonts w:hint="eastAsia" w:ascii="宋体" w:hAnsi="宋体" w:eastAsia="宋体" w:cs="Arial"/>
                <w:kern w:val="0"/>
                <w:sz w:val="20"/>
                <w:szCs w:val="20"/>
              </w:rPr>
              <w:t>2、使用功率计检查UPS逆变参数，负载功耗；</w:t>
            </w:r>
            <w:r>
              <w:rPr>
                <w:rFonts w:hint="eastAsia" w:ascii="宋体" w:hAnsi="宋体" w:eastAsia="宋体" w:cs="Arial"/>
                <w:kern w:val="0"/>
                <w:sz w:val="20"/>
                <w:szCs w:val="20"/>
              </w:rPr>
              <w:br w:type="textWrapping"/>
            </w:r>
            <w:r>
              <w:rPr>
                <w:rFonts w:hint="eastAsia" w:ascii="宋体" w:hAnsi="宋体" w:eastAsia="宋体" w:cs="Arial"/>
                <w:kern w:val="0"/>
                <w:sz w:val="20"/>
                <w:szCs w:val="20"/>
              </w:rPr>
              <w:t>3、使用检测仪检查电池组健康状态（内阻，电池容量，结晶率等），如必要则及时更换；</w:t>
            </w:r>
            <w:r>
              <w:rPr>
                <w:rFonts w:hint="eastAsia" w:ascii="宋体" w:hAnsi="宋体" w:eastAsia="宋体" w:cs="Arial"/>
                <w:kern w:val="0"/>
                <w:sz w:val="20"/>
                <w:szCs w:val="20"/>
              </w:rPr>
              <w:br w:type="textWrapping"/>
            </w:r>
            <w:r>
              <w:rPr>
                <w:rFonts w:hint="eastAsia" w:ascii="宋体" w:hAnsi="宋体" w:eastAsia="宋体" w:cs="Arial"/>
                <w:kern w:val="0"/>
                <w:sz w:val="20"/>
                <w:szCs w:val="20"/>
              </w:rPr>
              <w:t>4、更换UPS保险、定期清理散热组件、防尘组件，清理积灰；</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p>
        </w:tc>
      </w:tr>
      <w:tr>
        <w:tblPrEx>
          <w:tblCellMar>
            <w:top w:w="0" w:type="dxa"/>
            <w:left w:w="108" w:type="dxa"/>
            <w:bottom w:w="0" w:type="dxa"/>
            <w:right w:w="108" w:type="dxa"/>
          </w:tblCellMar>
        </w:tblPrEx>
        <w:trPr>
          <w:trHeight w:val="2441"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支撑及直流供电维修，保障有效运行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1块电瓶、2支支撑腿及其传感器</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1、测量支撑腿形变，检查支撑腿支撑及回收功能</w:t>
            </w:r>
            <w:r>
              <w:rPr>
                <w:rFonts w:hint="eastAsia" w:ascii="宋体" w:hAnsi="宋体" w:eastAsia="宋体" w:cs="Arial"/>
                <w:kern w:val="0"/>
                <w:sz w:val="20"/>
                <w:szCs w:val="20"/>
              </w:rPr>
              <w:br w:type="textWrapping"/>
            </w:r>
            <w:r>
              <w:rPr>
                <w:rFonts w:hint="eastAsia" w:ascii="宋体" w:hAnsi="宋体" w:eastAsia="宋体" w:cs="Arial"/>
                <w:kern w:val="0"/>
                <w:sz w:val="20"/>
                <w:szCs w:val="20"/>
              </w:rPr>
              <w:t>2、检测电瓶健康状态， 视情况更换</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p>
        </w:tc>
      </w:tr>
      <w:tr>
        <w:tblPrEx>
          <w:tblCellMar>
            <w:top w:w="0" w:type="dxa"/>
            <w:left w:w="108" w:type="dxa"/>
            <w:bottom w:w="0" w:type="dxa"/>
            <w:right w:w="108" w:type="dxa"/>
          </w:tblCellMar>
        </w:tblPrEx>
        <w:trPr>
          <w:trHeight w:val="2441"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空调及制热系统维修，保障有效运行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空调1台</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1、清理风道积灰，清洁空调；</w:t>
            </w:r>
            <w:r>
              <w:rPr>
                <w:rFonts w:hint="eastAsia" w:ascii="宋体" w:hAnsi="宋体" w:eastAsia="宋体" w:cs="Arial"/>
                <w:kern w:val="0"/>
                <w:sz w:val="20"/>
                <w:szCs w:val="20"/>
              </w:rPr>
              <w:br w:type="textWrapping"/>
            </w:r>
            <w:r>
              <w:rPr>
                <w:rFonts w:hint="eastAsia" w:ascii="宋体" w:hAnsi="宋体" w:eastAsia="宋体" w:cs="Arial"/>
                <w:kern w:val="0"/>
                <w:sz w:val="20"/>
                <w:szCs w:val="20"/>
              </w:rPr>
              <w:t>2、检查空调健康状态，制冷及制热效率，更换冷媒；</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p>
        </w:tc>
      </w:tr>
      <w:tr>
        <w:tblPrEx>
          <w:tblCellMar>
            <w:top w:w="0" w:type="dxa"/>
            <w:left w:w="108" w:type="dxa"/>
            <w:bottom w:w="0" w:type="dxa"/>
            <w:right w:w="108" w:type="dxa"/>
          </w:tblCellMar>
        </w:tblPrEx>
        <w:trPr>
          <w:trHeight w:val="2046" w:hRule="atLeast"/>
        </w:trPr>
        <w:tc>
          <w:tcPr>
            <w:tcW w:w="12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发电机维护维修，保障有效运行</w:t>
            </w:r>
          </w:p>
        </w:tc>
        <w:tc>
          <w:tcPr>
            <w:tcW w:w="16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BDK汽油发电机、电瓶</w:t>
            </w:r>
          </w:p>
        </w:tc>
        <w:tc>
          <w:tcPr>
            <w:tcW w:w="38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1、发电机复位；</w:t>
            </w:r>
            <w:r>
              <w:rPr>
                <w:rFonts w:hint="eastAsia" w:ascii="宋体" w:hAnsi="宋体" w:eastAsia="宋体" w:cs="Arial"/>
                <w:kern w:val="0"/>
                <w:sz w:val="20"/>
                <w:szCs w:val="20"/>
              </w:rPr>
              <w:br w:type="textWrapping"/>
            </w:r>
            <w:r>
              <w:rPr>
                <w:rFonts w:hint="eastAsia" w:ascii="宋体" w:hAnsi="宋体" w:eastAsia="宋体" w:cs="Arial"/>
                <w:kern w:val="0"/>
                <w:sz w:val="20"/>
                <w:szCs w:val="20"/>
              </w:rPr>
              <w:t>2、更换机油、机滤、防冻液；</w:t>
            </w:r>
            <w:r>
              <w:rPr>
                <w:rFonts w:hint="eastAsia" w:ascii="宋体" w:hAnsi="宋体" w:eastAsia="宋体" w:cs="Arial"/>
                <w:kern w:val="0"/>
                <w:sz w:val="20"/>
                <w:szCs w:val="20"/>
              </w:rPr>
              <w:br w:type="textWrapping"/>
            </w:r>
            <w:r>
              <w:rPr>
                <w:rFonts w:hint="eastAsia" w:ascii="宋体" w:hAnsi="宋体" w:eastAsia="宋体" w:cs="Arial"/>
                <w:kern w:val="0"/>
                <w:sz w:val="20"/>
                <w:szCs w:val="20"/>
              </w:rPr>
              <w:t>3、电瓶状态检测及更换。</w:t>
            </w: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p>
        </w:tc>
      </w:tr>
    </w:tbl>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sz w:val="36"/>
          <w:szCs w:val="36"/>
        </w:rPr>
      </w:pPr>
    </w:p>
    <w:p>
      <w:pPr>
        <w:spacing w:line="460" w:lineRule="exact"/>
        <w:ind w:left="-105" w:leftChars="-50" w:firstLine="0" w:firstLineChars="0"/>
        <w:jc w:val="center"/>
        <w:rPr>
          <w:rFonts w:ascii="宋体" w:hAnsi="宋体" w:cs="宋体"/>
          <w:b/>
          <w:kern w:val="44"/>
          <w:sz w:val="44"/>
        </w:rPr>
      </w:pPr>
      <w:r>
        <w:rPr>
          <w:rFonts w:hint="eastAsia" w:ascii="宋体" w:hAnsi="宋体" w:cs="宋体"/>
          <w:b/>
          <w:sz w:val="36"/>
          <w:szCs w:val="36"/>
        </w:rPr>
        <w:t>第三章    合同</w:t>
      </w:r>
    </w:p>
    <w:p>
      <w:pPr>
        <w:spacing w:line="460" w:lineRule="exact"/>
        <w:ind w:left="-105" w:leftChars="-50" w:firstLine="0" w:firstLineChars="0"/>
        <w:rPr>
          <w:rFonts w:ascii="宋体" w:hAnsi="宋体" w:cs="宋体"/>
          <w:b/>
          <w:kern w:val="44"/>
          <w:sz w:val="32"/>
          <w:szCs w:val="20"/>
        </w:rPr>
      </w:pPr>
      <w:r>
        <w:rPr>
          <w:rFonts w:hint="eastAsia" w:ascii="宋体" w:hAnsi="宋体" w:cs="宋体"/>
          <w:b/>
          <w:sz w:val="24"/>
        </w:rPr>
        <w:br w:type="column"/>
      </w:r>
    </w:p>
    <w:p>
      <w:pPr>
        <w:ind w:left="120" w:hanging="120"/>
        <w:rPr>
          <w:rFonts w:ascii="宋体" w:hAnsi="宋体" w:cs="宋体"/>
          <w:b/>
          <w:sz w:val="28"/>
          <w:szCs w:val="28"/>
        </w:rPr>
      </w:pPr>
      <w:r>
        <w:rPr>
          <w:rFonts w:hint="eastAsia" w:ascii="宋体" w:hAnsi="宋体" w:cs="宋体"/>
          <w:sz w:val="24"/>
        </w:rPr>
        <w:t>合同编号：</w:t>
      </w:r>
    </w:p>
    <w:p>
      <w:pPr>
        <w:spacing w:line="480" w:lineRule="auto"/>
        <w:ind w:left="141" w:hanging="141"/>
        <w:jc w:val="center"/>
        <w:rPr>
          <w:rFonts w:ascii="宋体" w:hAnsi="宋体" w:cs="宋体"/>
          <w:b/>
          <w:sz w:val="28"/>
          <w:szCs w:val="28"/>
        </w:rPr>
      </w:pPr>
    </w:p>
    <w:p>
      <w:pPr>
        <w:spacing w:line="480" w:lineRule="auto"/>
        <w:ind w:left="221" w:hanging="221"/>
        <w:jc w:val="center"/>
        <w:rPr>
          <w:rFonts w:ascii="宋体" w:hAnsi="宋体" w:cs="宋体"/>
          <w:b/>
          <w:sz w:val="44"/>
          <w:szCs w:val="44"/>
        </w:rPr>
      </w:pPr>
      <w:r>
        <w:rPr>
          <w:rFonts w:hint="eastAsia" w:ascii="宋体" w:hAnsi="宋体" w:cs="宋体"/>
          <w:b/>
          <w:sz w:val="44"/>
          <w:szCs w:val="44"/>
        </w:rPr>
        <w:t>政府采购合同</w:t>
      </w:r>
    </w:p>
    <w:p>
      <w:pPr>
        <w:spacing w:line="480" w:lineRule="auto"/>
        <w:ind w:left="120" w:hanging="120"/>
        <w:jc w:val="center"/>
        <w:rPr>
          <w:rFonts w:ascii="宋体" w:hAnsi="宋体" w:cs="宋体"/>
          <w:b/>
          <w:sz w:val="24"/>
        </w:rPr>
      </w:pPr>
      <w:r>
        <w:rPr>
          <w:rFonts w:hint="eastAsia" w:ascii="宋体" w:hAnsi="宋体" w:cs="宋体"/>
          <w:b/>
          <w:sz w:val="24"/>
        </w:rPr>
        <w:t>（服务类）</w:t>
      </w:r>
    </w:p>
    <w:p>
      <w:pPr>
        <w:pStyle w:val="178"/>
        <w:ind w:left="120" w:hanging="120"/>
        <w:rPr>
          <w:rFonts w:hAnsi="宋体" w:cs="宋体"/>
          <w:szCs w:val="24"/>
        </w:rPr>
      </w:pPr>
    </w:p>
    <w:p>
      <w:pPr>
        <w:pStyle w:val="178"/>
        <w:ind w:left="120" w:hanging="120"/>
        <w:rPr>
          <w:rFonts w:hAnsi="宋体" w:cs="宋体"/>
          <w:szCs w:val="24"/>
        </w:rPr>
      </w:pPr>
    </w:p>
    <w:p>
      <w:pPr>
        <w:pStyle w:val="178"/>
        <w:ind w:left="120" w:hanging="120"/>
        <w:rPr>
          <w:rFonts w:hAnsi="宋体" w:cs="宋体"/>
          <w:szCs w:val="24"/>
        </w:rPr>
      </w:pPr>
    </w:p>
    <w:p>
      <w:pPr>
        <w:pStyle w:val="178"/>
        <w:ind w:left="120" w:hanging="120"/>
        <w:jc w:val="center"/>
        <w:rPr>
          <w:rFonts w:hAnsi="宋体" w:cs="宋体"/>
          <w:b/>
          <w:szCs w:val="24"/>
        </w:rPr>
      </w:pPr>
      <w:r>
        <w:rPr>
          <w:rFonts w:hint="eastAsia" w:hAnsi="宋体" w:cs="宋体"/>
          <w:b/>
          <w:szCs w:val="24"/>
        </w:rPr>
        <w:t>第一部分 合同书</w:t>
      </w:r>
    </w:p>
    <w:p>
      <w:pPr>
        <w:pStyle w:val="178"/>
        <w:ind w:left="120" w:hanging="120"/>
        <w:rPr>
          <w:rFonts w:hAnsi="宋体" w:cs="宋体"/>
          <w:szCs w:val="24"/>
        </w:rPr>
      </w:pPr>
    </w:p>
    <w:p>
      <w:pPr>
        <w:pStyle w:val="178"/>
        <w:ind w:left="120" w:hanging="120"/>
        <w:rPr>
          <w:rFonts w:hAnsi="宋体" w:cs="宋体"/>
          <w:szCs w:val="24"/>
        </w:rPr>
      </w:pPr>
    </w:p>
    <w:p>
      <w:pPr>
        <w:spacing w:before="120" w:line="22" w:lineRule="atLeast"/>
        <w:ind w:left="120" w:hanging="120"/>
        <w:rPr>
          <w:rFonts w:ascii="宋体" w:hAnsi="宋体" w:cs="宋体"/>
          <w:sz w:val="24"/>
        </w:rPr>
      </w:pPr>
    </w:p>
    <w:p>
      <w:pPr>
        <w:ind w:left="0" w:right="0" w:firstLine="960" w:firstLineChars="400"/>
        <w:rPr>
          <w:rFonts w:ascii="宋体" w:hAnsi="宋体" w:cs="宋体"/>
          <w:sz w:val="24"/>
        </w:rPr>
      </w:pPr>
      <w:r>
        <w:rPr>
          <w:rFonts w:hint="eastAsia" w:ascii="宋体" w:hAnsi="宋体" w:cs="宋体"/>
          <w:sz w:val="24"/>
        </w:rPr>
        <w:t>项目名称：</w:t>
      </w:r>
    </w:p>
    <w:p>
      <w:pPr>
        <w:pStyle w:val="179"/>
        <w:ind w:left="0" w:right="0" w:firstLine="960" w:firstLineChars="400"/>
        <w:rPr>
          <w:rFonts w:ascii="宋体" w:hAnsi="宋体" w:eastAsia="宋体" w:cs="宋体"/>
          <w:szCs w:val="24"/>
        </w:rPr>
      </w:pPr>
    </w:p>
    <w:p>
      <w:pPr>
        <w:pStyle w:val="179"/>
        <w:ind w:left="0" w:right="0" w:firstLine="960" w:firstLineChars="400"/>
        <w:rPr>
          <w:rFonts w:ascii="宋体" w:hAnsi="宋体" w:eastAsia="宋体" w:cs="宋体"/>
          <w:szCs w:val="24"/>
        </w:rPr>
      </w:pPr>
    </w:p>
    <w:p>
      <w:pPr>
        <w:ind w:left="0" w:right="0" w:firstLine="840" w:firstLineChars="400"/>
        <w:rPr>
          <w:rFonts w:ascii="宋体" w:hAnsi="宋体" w:cs="宋体"/>
        </w:rPr>
      </w:pPr>
    </w:p>
    <w:p>
      <w:pPr>
        <w:ind w:left="0" w:right="0" w:firstLine="960" w:firstLineChars="400"/>
        <w:rPr>
          <w:rFonts w:ascii="宋体" w:hAnsi="宋体" w:cs="宋体"/>
          <w:sz w:val="24"/>
          <w:u w:val="single"/>
        </w:rPr>
      </w:pPr>
      <w:r>
        <w:rPr>
          <w:rFonts w:hint="eastAsia" w:ascii="宋体" w:hAnsi="宋体" w:cs="宋体"/>
          <w:sz w:val="24"/>
        </w:rPr>
        <w:t>甲  方：</w:t>
      </w:r>
    </w:p>
    <w:p>
      <w:pPr>
        <w:ind w:left="0" w:right="0" w:firstLine="960" w:firstLineChars="400"/>
        <w:rPr>
          <w:rFonts w:ascii="宋体" w:hAnsi="宋体" w:cs="宋体"/>
          <w:sz w:val="24"/>
        </w:rPr>
      </w:pPr>
    </w:p>
    <w:p>
      <w:pPr>
        <w:ind w:left="0" w:right="0" w:firstLine="960" w:firstLineChars="400"/>
        <w:rPr>
          <w:rFonts w:ascii="宋体" w:hAnsi="宋体" w:cs="宋体"/>
          <w:sz w:val="24"/>
          <w:u w:val="single"/>
        </w:rPr>
      </w:pPr>
      <w:r>
        <w:rPr>
          <w:rFonts w:hint="eastAsia" w:ascii="宋体" w:hAnsi="宋体" w:cs="宋体"/>
          <w:sz w:val="24"/>
        </w:rPr>
        <w:t>乙  方：</w:t>
      </w:r>
    </w:p>
    <w:p>
      <w:pPr>
        <w:ind w:left="0" w:right="0" w:firstLine="960" w:firstLineChars="400"/>
        <w:rPr>
          <w:rFonts w:ascii="宋体" w:hAnsi="宋体" w:cs="宋体"/>
          <w:sz w:val="24"/>
        </w:rPr>
      </w:pPr>
    </w:p>
    <w:p>
      <w:pPr>
        <w:ind w:left="0" w:right="0" w:firstLine="960" w:firstLineChars="400"/>
        <w:rPr>
          <w:rFonts w:ascii="宋体" w:hAnsi="宋体" w:cs="宋体"/>
          <w:sz w:val="24"/>
          <w:u w:val="single"/>
        </w:rPr>
      </w:pPr>
      <w:r>
        <w:rPr>
          <w:rFonts w:hint="eastAsia" w:ascii="宋体" w:hAnsi="宋体" w:cs="宋体"/>
          <w:sz w:val="24"/>
        </w:rPr>
        <w:t>签订地：</w:t>
      </w:r>
    </w:p>
    <w:p>
      <w:pPr>
        <w:ind w:left="0" w:right="0" w:firstLine="0" w:firstLineChars="0"/>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p>
    <w:p>
      <w:pPr>
        <w:autoSpaceDE w:val="0"/>
        <w:autoSpaceDN w:val="0"/>
        <w:adjustRightInd w:val="0"/>
        <w:spacing w:line="600" w:lineRule="exact"/>
        <w:ind w:left="120" w:hanging="120"/>
        <w:jc w:val="center"/>
        <w:rPr>
          <w:rFonts w:ascii="宋体" w:hAnsi="宋体" w:cs="宋体"/>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，以对项目进行了采购。经评定，</w:t>
      </w:r>
      <w:r>
        <w:rPr>
          <w:rFonts w:hint="eastAsia" w:ascii="宋体" w:hAnsi="宋体" w:cs="宋体"/>
          <w:sz w:val="24"/>
          <w:u w:val="single"/>
        </w:rPr>
        <w:t xml:space="preserve">   （成交供应商名称） </w:t>
      </w:r>
      <w:r>
        <w:rPr>
          <w:rFonts w:hint="eastAsia" w:ascii="宋体" w:hAnsi="宋体" w:cs="宋体"/>
          <w:sz w:val="24"/>
        </w:rPr>
        <w:t>为该项目成交供应商。现于成交通知书发出之日起三十日内，按照采购文件确定的事项签订本合同。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w:t>
      </w:r>
      <w:r>
        <w:rPr>
          <w:rFonts w:hint="eastAsia" w:ascii="宋体" w:hAnsi="宋体" w:cs="宋体"/>
          <w:sz w:val="24"/>
        </w:rPr>
        <w:t>民法典</w:t>
      </w:r>
      <w:r>
        <w:rPr>
          <w:rFonts w:hint="eastAsia" w:ascii="宋体" w:hAnsi="宋体" w:cs="宋体"/>
          <w:sz w:val="24"/>
          <w:lang w:val="zh-CN"/>
        </w:rPr>
        <w:t>》等相关法律法规之规定，按照平等、自愿、公平和诚实信用的原则，经(以下简称：甲方)和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sz w:val="24"/>
        </w:rPr>
      </w:pPr>
      <w:bookmarkStart w:id="44" w:name="_Toc19273"/>
      <w:bookmarkStart w:id="45" w:name="_Toc15367"/>
      <w:bookmarkStart w:id="46" w:name="_Toc28969"/>
      <w:bookmarkStart w:id="47" w:name="_Toc20421"/>
      <w:bookmarkStart w:id="48" w:name="_Toc80113536"/>
      <w:bookmarkStart w:id="49" w:name="_Toc28855"/>
      <w:bookmarkStart w:id="50" w:name="_Toc22536"/>
      <w:r>
        <w:rPr>
          <w:rFonts w:hint="eastAsia" w:ascii="宋体" w:hAnsi="宋体" w:cs="宋体"/>
          <w:b/>
          <w:sz w:val="24"/>
        </w:rPr>
        <w:t>1.1 合同组成部分</w:t>
      </w:r>
      <w:bookmarkEnd w:id="44"/>
      <w:bookmarkEnd w:id="45"/>
      <w:bookmarkEnd w:id="46"/>
      <w:bookmarkEnd w:id="47"/>
      <w:bookmarkEnd w:id="48"/>
      <w:bookmarkEnd w:id="49"/>
      <w:bookmarkEnd w:id="50"/>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成交通知书；</w:t>
      </w:r>
    </w:p>
    <w:p>
      <w:pPr>
        <w:spacing w:line="560" w:lineRule="exact"/>
        <w:ind w:firstLine="480" w:firstLineChars="200"/>
        <w:rPr>
          <w:rFonts w:ascii="宋体" w:hAnsi="宋体" w:cs="宋体"/>
          <w:sz w:val="24"/>
        </w:rPr>
      </w:pPr>
      <w:r>
        <w:rPr>
          <w:rFonts w:hint="eastAsia" w:ascii="宋体" w:hAnsi="宋体" w:cs="宋体"/>
          <w:sz w:val="24"/>
        </w:rPr>
        <w:t>1.1.3 响应文件（含澄清或者说明文件）；</w:t>
      </w:r>
    </w:p>
    <w:p>
      <w:pPr>
        <w:spacing w:line="560" w:lineRule="exact"/>
        <w:ind w:firstLine="480" w:firstLineChars="200"/>
        <w:rPr>
          <w:rFonts w:ascii="宋体" w:hAnsi="宋体" w:cs="宋体"/>
          <w:sz w:val="24"/>
        </w:rPr>
      </w:pPr>
      <w:r>
        <w:rPr>
          <w:rFonts w:hint="eastAsia" w:ascii="宋体" w:hAnsi="宋体" w:cs="宋体"/>
          <w:sz w:val="24"/>
        </w:rPr>
        <w:t>1.1.4 磋商文件（含澄清或者修改文件）；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51" w:name="_Toc18585"/>
      <w:bookmarkStart w:id="52" w:name="_Toc15612"/>
      <w:bookmarkStart w:id="53" w:name="_Toc80113537"/>
      <w:bookmarkStart w:id="54" w:name="_Toc22185"/>
      <w:bookmarkStart w:id="55" w:name="_Toc13100"/>
      <w:bookmarkStart w:id="56" w:name="_Toc2918"/>
      <w:bookmarkStart w:id="57" w:name="_Toc6773"/>
      <w:bookmarkStart w:id="58" w:name="_Toc6311"/>
      <w:r>
        <w:rPr>
          <w:rFonts w:hint="eastAsia" w:ascii="宋体" w:hAnsi="宋体" w:cs="宋体"/>
          <w:b/>
          <w:sz w:val="24"/>
        </w:rPr>
        <w:t>1.2 标的</w:t>
      </w:r>
      <w:bookmarkEnd w:id="51"/>
      <w:bookmarkEnd w:id="52"/>
      <w:bookmarkEnd w:id="53"/>
      <w:bookmarkEnd w:id="54"/>
      <w:bookmarkEnd w:id="55"/>
      <w:bookmarkEnd w:id="56"/>
      <w:bookmarkEnd w:id="57"/>
      <w:bookmarkEnd w:id="58"/>
    </w:p>
    <w:p>
      <w:pPr>
        <w:spacing w:line="560" w:lineRule="exact"/>
        <w:ind w:firstLine="480" w:firstLineChars="200"/>
        <w:rPr>
          <w:rFonts w:ascii="宋体" w:hAnsi="宋体" w:cs="宋体"/>
          <w:sz w:val="24"/>
          <w:u w:val="single"/>
        </w:rPr>
      </w:pPr>
      <w:r>
        <w:rPr>
          <w:rFonts w:hint="eastAsia" w:ascii="宋体" w:hAnsi="宋体" w:cs="宋体"/>
          <w:sz w:val="24"/>
        </w:rPr>
        <w:t>1.2.1 标的名称：；</w:t>
      </w:r>
    </w:p>
    <w:p>
      <w:pPr>
        <w:spacing w:line="560" w:lineRule="exact"/>
        <w:ind w:firstLine="480" w:firstLineChars="200"/>
        <w:rPr>
          <w:rFonts w:ascii="宋体" w:hAnsi="宋体" w:cs="宋体"/>
          <w:sz w:val="24"/>
          <w:u w:val="single"/>
        </w:rPr>
      </w:pPr>
      <w:r>
        <w:rPr>
          <w:rFonts w:hint="eastAsia" w:ascii="宋体" w:hAnsi="宋体" w:cs="宋体"/>
          <w:sz w:val="24"/>
        </w:rPr>
        <w:t>1.2.2 标的数量：；</w:t>
      </w:r>
    </w:p>
    <w:p>
      <w:pPr>
        <w:spacing w:line="56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59" w:name="_Toc13918"/>
      <w:bookmarkStart w:id="60" w:name="_Toc80113538"/>
      <w:bookmarkStart w:id="61" w:name="_Toc5635"/>
      <w:bookmarkStart w:id="62" w:name="_Toc9082"/>
      <w:bookmarkStart w:id="63" w:name="_Toc1386"/>
      <w:bookmarkStart w:id="64" w:name="_Toc17356"/>
      <w:bookmarkStart w:id="65" w:name="_Toc4929"/>
      <w:bookmarkStart w:id="66" w:name="_Toc21124"/>
      <w:r>
        <w:rPr>
          <w:rFonts w:hint="eastAsia" w:ascii="宋体" w:hAnsi="宋体" w:cs="宋体"/>
          <w:b/>
          <w:sz w:val="24"/>
        </w:rPr>
        <w:t>1.3 价款</w:t>
      </w:r>
      <w:bookmarkEnd w:id="59"/>
      <w:bookmarkEnd w:id="60"/>
      <w:bookmarkEnd w:id="61"/>
      <w:bookmarkEnd w:id="62"/>
      <w:bookmarkEnd w:id="63"/>
      <w:bookmarkEnd w:id="64"/>
      <w:bookmarkEnd w:id="65"/>
      <w:bookmarkEnd w:id="66"/>
    </w:p>
    <w:p>
      <w:pPr>
        <w:spacing w:line="560" w:lineRule="exact"/>
        <w:ind w:firstLine="480" w:firstLineChars="200"/>
        <w:rPr>
          <w:rFonts w:ascii="宋体" w:hAnsi="宋体" w:cs="宋体"/>
          <w:sz w:val="24"/>
        </w:rPr>
      </w:pPr>
      <w:r>
        <w:rPr>
          <w:rFonts w:hint="eastAsia" w:ascii="宋体" w:hAnsi="宋体" w:cs="宋体"/>
          <w:sz w:val="24"/>
        </w:rPr>
        <w:t>本合同总价为：￥元（大写：元人民币）。</w:t>
      </w:r>
    </w:p>
    <w:p>
      <w:pPr>
        <w:spacing w:line="560" w:lineRule="exact"/>
        <w:ind w:firstLine="482" w:firstLineChars="200"/>
        <w:outlineLvl w:val="0"/>
        <w:rPr>
          <w:rFonts w:ascii="宋体" w:hAnsi="宋体" w:cs="宋体"/>
          <w:b/>
          <w:sz w:val="24"/>
        </w:rPr>
      </w:pPr>
      <w:bookmarkStart w:id="67" w:name="_Toc3654"/>
      <w:bookmarkStart w:id="68" w:name="_Toc26916"/>
      <w:bookmarkStart w:id="69" w:name="_Toc4606"/>
      <w:bookmarkStart w:id="70" w:name="_Toc30158"/>
      <w:bookmarkStart w:id="71" w:name="_Toc3270"/>
      <w:bookmarkStart w:id="72" w:name="_Toc30506"/>
      <w:bookmarkStart w:id="73" w:name="_Toc80113539"/>
      <w:bookmarkStart w:id="74" w:name="_Toc14993"/>
      <w:r>
        <w:rPr>
          <w:rFonts w:hint="eastAsia" w:ascii="宋体" w:hAnsi="宋体" w:cs="宋体"/>
          <w:b/>
          <w:sz w:val="24"/>
        </w:rPr>
        <w:t>1.4 付款方式和发票开具方式</w:t>
      </w:r>
      <w:bookmarkEnd w:id="67"/>
      <w:bookmarkEnd w:id="68"/>
      <w:bookmarkEnd w:id="69"/>
      <w:bookmarkEnd w:id="70"/>
      <w:bookmarkEnd w:id="71"/>
      <w:bookmarkEnd w:id="72"/>
      <w:bookmarkEnd w:id="73"/>
      <w:bookmarkEnd w:id="74"/>
    </w:p>
    <w:p>
      <w:pPr>
        <w:spacing w:line="560" w:lineRule="exact"/>
        <w:ind w:firstLine="480" w:firstLineChars="200"/>
        <w:rPr>
          <w:rFonts w:ascii="宋体" w:hAnsi="宋体" w:cs="宋体"/>
          <w:sz w:val="24"/>
        </w:rPr>
      </w:pPr>
      <w:r>
        <w:rPr>
          <w:rFonts w:hint="eastAsia" w:ascii="宋体" w:hAnsi="宋体" w:cs="宋体"/>
          <w:sz w:val="24"/>
        </w:rPr>
        <w:t>1.4.1付款方式：</w:t>
      </w:r>
      <w:r>
        <w:rPr>
          <w:rFonts w:hint="eastAsia" w:ascii="宋体" w:hAnsi="宋体" w:cs="宋体"/>
          <w:sz w:val="24"/>
          <w:u w:val="single"/>
        </w:rPr>
        <w:t>以具体签订合同为准     ；</w:t>
      </w:r>
    </w:p>
    <w:p>
      <w:pPr>
        <w:spacing w:line="560" w:lineRule="exact"/>
        <w:ind w:firstLine="480" w:firstLineChars="200"/>
        <w:rPr>
          <w:rFonts w:ascii="宋体" w:hAnsi="宋体" w:cs="宋体"/>
          <w:sz w:val="24"/>
        </w:rPr>
      </w:pPr>
      <w:r>
        <w:rPr>
          <w:rFonts w:hint="eastAsia" w:ascii="宋体" w:hAnsi="宋体" w:cs="宋体"/>
          <w:sz w:val="24"/>
        </w:rPr>
        <w:t>1.4.2 发票开具方式：。</w:t>
      </w:r>
    </w:p>
    <w:p>
      <w:pPr>
        <w:spacing w:line="560" w:lineRule="exact"/>
        <w:ind w:firstLine="482" w:firstLineChars="200"/>
        <w:outlineLvl w:val="0"/>
        <w:rPr>
          <w:rFonts w:ascii="宋体" w:hAnsi="宋体" w:cs="宋体"/>
          <w:b/>
          <w:sz w:val="24"/>
        </w:rPr>
      </w:pPr>
      <w:bookmarkStart w:id="75" w:name="_Toc24138"/>
      <w:bookmarkStart w:id="76" w:name="_Toc31421"/>
      <w:bookmarkStart w:id="77" w:name="_Toc80113540"/>
      <w:bookmarkStart w:id="78" w:name="_Toc4760"/>
      <w:bookmarkStart w:id="79" w:name="_Toc3625"/>
      <w:bookmarkStart w:id="80" w:name="_Toc8408"/>
      <w:bookmarkStart w:id="81" w:name="_Toc8772"/>
      <w:bookmarkStart w:id="82" w:name="_Toc11108"/>
      <w:r>
        <w:rPr>
          <w:rFonts w:hint="eastAsia" w:ascii="宋体" w:hAnsi="宋体" w:cs="宋体"/>
          <w:b/>
          <w:sz w:val="24"/>
        </w:rPr>
        <w:t>1.5 履行期限、地点和方式</w:t>
      </w:r>
      <w:bookmarkEnd w:id="75"/>
      <w:bookmarkEnd w:id="76"/>
      <w:bookmarkEnd w:id="77"/>
      <w:bookmarkEnd w:id="78"/>
      <w:bookmarkEnd w:id="79"/>
      <w:bookmarkEnd w:id="80"/>
      <w:bookmarkEnd w:id="81"/>
      <w:bookmarkEnd w:id="82"/>
    </w:p>
    <w:p>
      <w:pPr>
        <w:spacing w:line="56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以具体签订合同为准</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采购人要求地点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按照甲方要求履行              　         </w:t>
      </w:r>
      <w:r>
        <w:rPr>
          <w:rFonts w:hint="eastAsia" w:ascii="宋体" w:hAnsi="宋体" w:cs="宋体"/>
          <w:sz w:val="24"/>
        </w:rPr>
        <w:t>。</w:t>
      </w:r>
    </w:p>
    <w:p>
      <w:pPr>
        <w:spacing w:line="560" w:lineRule="exact"/>
        <w:ind w:firstLine="482" w:firstLineChars="200"/>
        <w:outlineLvl w:val="0"/>
        <w:rPr>
          <w:rFonts w:ascii="宋体" w:hAnsi="宋体" w:cs="宋体"/>
          <w:sz w:val="24"/>
          <w:u w:val="single"/>
        </w:rPr>
      </w:pPr>
      <w:bookmarkStart w:id="83" w:name="_Toc24662"/>
      <w:bookmarkStart w:id="84" w:name="_Toc8586"/>
      <w:bookmarkStart w:id="85" w:name="_Toc3079"/>
      <w:bookmarkStart w:id="86" w:name="_Toc80113541"/>
      <w:bookmarkStart w:id="87" w:name="_Toc22100"/>
      <w:bookmarkStart w:id="88" w:name="_Toc5698"/>
      <w:bookmarkStart w:id="89" w:name="_Toc2375"/>
      <w:bookmarkStart w:id="90" w:name="_Toc23307"/>
      <w:r>
        <w:rPr>
          <w:rFonts w:hint="eastAsia" w:ascii="宋体" w:hAnsi="宋体" w:cs="宋体"/>
          <w:b/>
          <w:sz w:val="24"/>
        </w:rPr>
        <w:t>1.6 违约责任</w:t>
      </w:r>
      <w:bookmarkEnd w:id="83"/>
      <w:bookmarkEnd w:id="84"/>
      <w:bookmarkEnd w:id="85"/>
      <w:bookmarkEnd w:id="86"/>
      <w:bookmarkEnd w:id="87"/>
      <w:bookmarkEnd w:id="88"/>
      <w:bookmarkEnd w:id="89"/>
      <w:bookmarkEnd w:id="90"/>
    </w:p>
    <w:p>
      <w:pPr>
        <w:spacing w:line="56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计算，最高限额为；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82" w:firstLineChars="200"/>
        <w:outlineLvl w:val="0"/>
        <w:rPr>
          <w:rFonts w:ascii="宋体" w:hAnsi="宋体" w:cs="宋体"/>
          <w:b/>
          <w:sz w:val="24"/>
        </w:rPr>
      </w:pPr>
      <w:bookmarkStart w:id="91" w:name="_Toc80113542"/>
      <w:bookmarkStart w:id="92" w:name="_Toc32454"/>
      <w:bookmarkStart w:id="93" w:name="_Toc30329"/>
      <w:bookmarkStart w:id="94" w:name="_Toc9497"/>
      <w:bookmarkStart w:id="95" w:name="_Toc18683"/>
      <w:bookmarkStart w:id="96" w:name="_Toc22109"/>
      <w:bookmarkStart w:id="97" w:name="_Toc4776"/>
      <w:bookmarkStart w:id="98" w:name="_Toc26807"/>
      <w:r>
        <w:rPr>
          <w:rFonts w:hint="eastAsia" w:ascii="宋体" w:hAnsi="宋体" w:cs="宋体"/>
          <w:b/>
          <w:sz w:val="24"/>
        </w:rPr>
        <w:t>1.7 合同争议的解决</w:t>
      </w:r>
      <w:bookmarkEnd w:id="91"/>
      <w:bookmarkEnd w:id="92"/>
      <w:bookmarkEnd w:id="93"/>
      <w:bookmarkEnd w:id="94"/>
      <w:bookmarkEnd w:id="95"/>
      <w:bookmarkEnd w:id="96"/>
      <w:bookmarkEnd w:id="97"/>
      <w:bookmarkEnd w:id="98"/>
    </w:p>
    <w:p>
      <w:pPr>
        <w:spacing w:line="56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2  </w:t>
      </w:r>
      <w:r>
        <w:rPr>
          <w:rFonts w:hint="eastAsia" w:ascii="宋体" w:hAnsi="宋体" w:cs="宋体"/>
          <w:sz w:val="24"/>
        </w:rPr>
        <w:t>种方式解决：</w:t>
      </w:r>
    </w:p>
    <w:p>
      <w:pPr>
        <w:spacing w:line="560" w:lineRule="exact"/>
        <w:ind w:firstLine="480" w:firstLineChars="200"/>
        <w:rPr>
          <w:rFonts w:ascii="宋体" w:hAnsi="宋体" w:cs="宋体"/>
          <w:sz w:val="24"/>
        </w:rPr>
      </w:pPr>
      <w:r>
        <w:rPr>
          <w:rFonts w:hint="eastAsia" w:ascii="宋体" w:hAnsi="宋体" w:cs="宋体"/>
          <w:sz w:val="24"/>
        </w:rPr>
        <w:t>1.7.1 将争议提交仲裁委员会依申请仲裁时其现行有效的仲裁规则裁决；</w:t>
      </w:r>
    </w:p>
    <w:p>
      <w:pPr>
        <w:spacing w:line="56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合同签订地    </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99" w:name="_Toc12273"/>
      <w:bookmarkStart w:id="100" w:name="_Toc16417"/>
      <w:bookmarkStart w:id="101" w:name="_Toc3095"/>
      <w:bookmarkStart w:id="102" w:name="_Toc15827"/>
      <w:bookmarkStart w:id="103" w:name="_Toc80113543"/>
      <w:bookmarkStart w:id="104" w:name="_Toc23784"/>
      <w:bookmarkStart w:id="105" w:name="_Toc29127"/>
      <w:bookmarkStart w:id="106" w:name="_Toc26227"/>
      <w:r>
        <w:rPr>
          <w:rFonts w:hint="eastAsia" w:ascii="宋体" w:hAnsi="宋体" w:cs="宋体"/>
          <w:b/>
          <w:sz w:val="24"/>
        </w:rPr>
        <w:t>1.8 合同生效</w:t>
      </w:r>
      <w:bookmarkEnd w:id="99"/>
      <w:bookmarkEnd w:id="100"/>
      <w:bookmarkEnd w:id="101"/>
      <w:bookmarkEnd w:id="102"/>
      <w:bookmarkEnd w:id="103"/>
      <w:bookmarkEnd w:id="104"/>
      <w:bookmarkEnd w:id="105"/>
      <w:bookmarkEnd w:id="106"/>
    </w:p>
    <w:p>
      <w:pPr>
        <w:spacing w:line="56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（签署页，无正文）</w:t>
      </w:r>
    </w:p>
    <w:p>
      <w:pPr>
        <w:pStyle w:val="5"/>
        <w:ind w:firstLine="480"/>
        <w:rPr>
          <w:rFonts w:ascii="宋体" w:hAnsi="宋体" w:cs="宋体"/>
          <w:lang w:val="zh-CN"/>
        </w:rPr>
      </w:pPr>
    </w:p>
    <w:p>
      <w:pPr>
        <w:ind w:left="105" w:hanging="105"/>
        <w:rPr>
          <w:rFonts w:ascii="宋体" w:hAnsi="宋体" w:cs="宋体"/>
          <w:lang w:val="zh-CN"/>
        </w:rPr>
      </w:pP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560" w:lineRule="exact"/>
        <w:ind w:left="120" w:hanging="120"/>
        <w:rPr>
          <w:rFonts w:ascii="宋体" w:hAnsi="宋体" w:cs="宋体"/>
          <w:sz w:val="24"/>
          <w:lang w:val="zh-CN"/>
        </w:rPr>
      </w:pP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560" w:lineRule="exact"/>
        <w:ind w:left="120" w:hanging="120"/>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560" w:lineRule="exact"/>
        <w:ind w:left="120" w:hanging="120"/>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560" w:lineRule="exact"/>
        <w:ind w:left="120" w:hanging="120"/>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560" w:lineRule="exact"/>
        <w:ind w:left="120" w:hanging="120"/>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560" w:lineRule="exact"/>
        <w:ind w:left="120" w:hanging="120"/>
        <w:rPr>
          <w:rFonts w:ascii="宋体" w:hAnsi="宋体" w:cs="宋体"/>
          <w:sz w:val="24"/>
        </w:rPr>
      </w:pPr>
      <w:r>
        <w:rPr>
          <w:rFonts w:hint="eastAsia" w:ascii="宋体" w:hAnsi="宋体" w:cs="宋体"/>
          <w:sz w:val="24"/>
        </w:rPr>
        <w:t>开户账号：开户账号：</w:t>
      </w:r>
    </w:p>
    <w:p>
      <w:pPr>
        <w:pStyle w:val="178"/>
        <w:spacing w:line="560" w:lineRule="exact"/>
        <w:ind w:left="120" w:hanging="120"/>
        <w:jc w:val="center"/>
        <w:rPr>
          <w:rFonts w:hAnsi="宋体" w:cs="宋体"/>
          <w:b/>
          <w:szCs w:val="24"/>
        </w:rPr>
      </w:pPr>
      <w:bookmarkStart w:id="107" w:name="_Toc331685783"/>
      <w:r>
        <w:rPr>
          <w:rFonts w:hint="eastAsia" w:hAnsi="宋体" w:cs="宋体"/>
          <w:b/>
          <w:szCs w:val="24"/>
        </w:rPr>
        <w:br w:type="page"/>
      </w:r>
    </w:p>
    <w:p>
      <w:pPr>
        <w:pStyle w:val="178"/>
        <w:spacing w:line="560" w:lineRule="exact"/>
        <w:ind w:left="120" w:hanging="120"/>
        <w:jc w:val="center"/>
        <w:rPr>
          <w:rFonts w:hAnsi="宋体" w:cs="宋体"/>
          <w:b/>
          <w:szCs w:val="24"/>
        </w:rPr>
      </w:pPr>
      <w:r>
        <w:rPr>
          <w:rFonts w:hint="eastAsia" w:hAnsi="宋体" w:cs="宋体"/>
          <w:b/>
          <w:szCs w:val="24"/>
        </w:rPr>
        <w:t>第二部分 合同一般条款</w:t>
      </w:r>
      <w:bookmarkEnd w:id="107"/>
    </w:p>
    <w:p>
      <w:pPr>
        <w:spacing w:line="560" w:lineRule="exact"/>
        <w:ind w:firstLine="482" w:firstLineChars="200"/>
        <w:outlineLvl w:val="0"/>
        <w:rPr>
          <w:rFonts w:ascii="宋体" w:hAnsi="宋体" w:cs="宋体"/>
          <w:b/>
          <w:sz w:val="24"/>
        </w:rPr>
      </w:pPr>
      <w:bookmarkStart w:id="108" w:name="_Ref467378499"/>
      <w:bookmarkStart w:id="109" w:name="_Toc14021"/>
      <w:bookmarkStart w:id="110" w:name="_Ref467379214"/>
      <w:bookmarkStart w:id="111" w:name="_Ref467379109"/>
      <w:bookmarkStart w:id="112" w:name="_Toc21448"/>
      <w:bookmarkStart w:id="113" w:name="_Toc5228"/>
      <w:bookmarkStart w:id="114" w:name="_Ref467378404"/>
      <w:bookmarkStart w:id="115" w:name="_Toc25079"/>
      <w:bookmarkStart w:id="116" w:name="_Toc80113544"/>
      <w:bookmarkStart w:id="117" w:name="_Toc259093669"/>
      <w:bookmarkStart w:id="118" w:name="_Toc279701240"/>
      <w:bookmarkStart w:id="119" w:name="_Toc19680"/>
      <w:bookmarkStart w:id="120" w:name="_Toc31297"/>
      <w:bookmarkStart w:id="121" w:name="_Ref467378463"/>
      <w:bookmarkStart w:id="122" w:name="_Toc487900349"/>
      <w:bookmarkStart w:id="123" w:name="_Ref467379094"/>
      <w:bookmarkStart w:id="124" w:name="_Ref467379195"/>
      <w:bookmarkStart w:id="125" w:name="_Ref467379225"/>
      <w:bookmarkStart w:id="126" w:name="_Toc17288"/>
      <w:bookmarkStart w:id="127" w:name="_Ref467379101"/>
      <w:bookmarkStart w:id="128" w:name="_Ref467379205"/>
      <w:r>
        <w:rPr>
          <w:rFonts w:hint="eastAsia" w:ascii="宋体" w:hAnsi="宋体" w:cs="宋体"/>
          <w:b/>
          <w:sz w:val="24"/>
        </w:rPr>
        <w:t>2.1 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“合同”系指采购人和成交供应商签订的载明双方当事人所达成的协议，并包括所有的附件、附录和构成合同的其他文件。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“合同价”系指根据合同约定，成交供应商在履行合同义务后，采购人应支付给成交供应商的价格。</w:t>
      </w:r>
    </w:p>
    <w:p>
      <w:pPr>
        <w:spacing w:line="560" w:lineRule="exact"/>
        <w:ind w:firstLine="480" w:firstLineChars="200"/>
        <w:rPr>
          <w:rFonts w:ascii="宋体" w:hAnsi="宋体" w:cs="宋体"/>
          <w:sz w:val="24"/>
        </w:rPr>
      </w:pPr>
      <w:r>
        <w:rPr>
          <w:rFonts w:hint="eastAsia" w:ascii="宋体" w:hAnsi="宋体" w:cs="宋体"/>
          <w:sz w:val="24"/>
        </w:rPr>
        <w:t>2.1.3 “服务”系指成交供应商根据合同约定应向采购人履行的除货物和工程以外的其他政府采购对象，包括采购人自身需要的服务和向社会公众提供的公共服务。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rPr>
      </w:pPr>
      <w:bookmarkStart w:id="129" w:name="_Ref467378840"/>
      <w:r>
        <w:rPr>
          <w:rFonts w:hint="eastAsia" w:ascii="宋体" w:hAnsi="宋体" w:cs="宋体"/>
          <w:sz w:val="24"/>
        </w:rPr>
        <w:t>2.1.4 “甲方”系指与成交供应商签署合同的采购人</w:t>
      </w:r>
      <w:bookmarkEnd w:id="129"/>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130" w:name="_Ref467379400"/>
      <w:r>
        <w:rPr>
          <w:rFonts w:hint="eastAsia" w:ascii="宋体" w:hAnsi="宋体" w:cs="宋体"/>
          <w:sz w:val="24"/>
        </w:rPr>
        <w:t>2.1.5 “乙方”系指根据合同约定提供服务的成交供应商</w:t>
      </w:r>
      <w:bookmarkEnd w:id="130"/>
      <w:r>
        <w:rPr>
          <w:rFonts w:hint="eastAsia" w:ascii="宋体" w:hAnsi="宋体" w:cs="宋体"/>
          <w:sz w:val="24"/>
        </w:rPr>
        <w:t>。</w:t>
      </w:r>
    </w:p>
    <w:p>
      <w:pPr>
        <w:spacing w:line="560" w:lineRule="exact"/>
        <w:ind w:firstLine="480" w:firstLineChars="200"/>
        <w:rPr>
          <w:rFonts w:ascii="宋体" w:hAnsi="宋体" w:cs="宋体"/>
          <w:sz w:val="24"/>
        </w:rPr>
      </w:pPr>
      <w:bookmarkStart w:id="131" w:name="_Ref467379436"/>
      <w:r>
        <w:rPr>
          <w:rFonts w:hint="eastAsia" w:ascii="宋体" w:hAnsi="宋体" w:cs="宋体"/>
          <w:sz w:val="24"/>
        </w:rPr>
        <w:t>2.1.6 “现场”系指合同约定提供服务的地点。</w:t>
      </w:r>
      <w:bookmarkEnd w:id="131"/>
    </w:p>
    <w:p>
      <w:pPr>
        <w:spacing w:line="560" w:lineRule="exact"/>
        <w:ind w:firstLine="482" w:firstLineChars="200"/>
        <w:outlineLvl w:val="0"/>
        <w:rPr>
          <w:rFonts w:ascii="宋体" w:hAnsi="宋体" w:cs="宋体"/>
          <w:b/>
          <w:sz w:val="24"/>
        </w:rPr>
      </w:pPr>
      <w:bookmarkStart w:id="132" w:name="_Toc25672"/>
      <w:bookmarkStart w:id="133" w:name="_Toc80113545"/>
      <w:bookmarkStart w:id="134" w:name="_Toc19539"/>
      <w:bookmarkStart w:id="135" w:name="_Toc16752"/>
      <w:bookmarkStart w:id="136" w:name="_Toc279701241"/>
      <w:bookmarkStart w:id="137" w:name="_Toc259093670"/>
      <w:bookmarkStart w:id="138" w:name="_Toc23289"/>
      <w:bookmarkStart w:id="139" w:name="_Toc15512"/>
      <w:bookmarkStart w:id="140" w:name="_Toc3769"/>
      <w:bookmarkStart w:id="141" w:name="_Toc487900350"/>
      <w:bookmarkStart w:id="142" w:name="_Toc31402"/>
      <w:r>
        <w:rPr>
          <w:rFonts w:hint="eastAsia" w:ascii="宋体" w:hAnsi="宋体" w:cs="宋体"/>
          <w:b/>
          <w:sz w:val="24"/>
        </w:rPr>
        <w:t>2.2 技术规范</w:t>
      </w:r>
      <w:bookmarkEnd w:id="132"/>
      <w:bookmarkEnd w:id="133"/>
      <w:bookmarkEnd w:id="134"/>
      <w:bookmarkEnd w:id="135"/>
      <w:bookmarkEnd w:id="136"/>
      <w:bookmarkEnd w:id="137"/>
      <w:bookmarkEnd w:id="138"/>
      <w:bookmarkEnd w:id="139"/>
      <w:bookmarkEnd w:id="140"/>
      <w:bookmarkEnd w:id="141"/>
      <w:bookmarkEnd w:id="142"/>
    </w:p>
    <w:p>
      <w:pPr>
        <w:spacing w:line="56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143" w:name="_Toc13673"/>
      <w:bookmarkStart w:id="144" w:name="_Toc31236"/>
      <w:bookmarkStart w:id="145" w:name="_Toc28380"/>
      <w:bookmarkStart w:id="146" w:name="_Toc9161"/>
      <w:bookmarkStart w:id="147" w:name="_Toc12412"/>
      <w:bookmarkStart w:id="148" w:name="_Toc279701242"/>
      <w:bookmarkStart w:id="149" w:name="_Toc27945"/>
      <w:bookmarkStart w:id="150" w:name="_Toc487900351"/>
      <w:bookmarkStart w:id="151" w:name="_Toc80113546"/>
      <w:bookmarkStart w:id="152" w:name="_Toc4133"/>
      <w:bookmarkStart w:id="153" w:name="_Toc259093671"/>
      <w:r>
        <w:rPr>
          <w:rFonts w:hint="eastAsia" w:ascii="宋体" w:hAnsi="宋体" w:cs="宋体"/>
          <w:b/>
          <w:sz w:val="24"/>
        </w:rPr>
        <w:t>2.3 知识产权</w:t>
      </w:r>
      <w:bookmarkEnd w:id="143"/>
      <w:bookmarkEnd w:id="144"/>
      <w:bookmarkEnd w:id="145"/>
      <w:bookmarkEnd w:id="146"/>
      <w:bookmarkEnd w:id="147"/>
      <w:bookmarkEnd w:id="148"/>
      <w:bookmarkEnd w:id="149"/>
      <w:bookmarkEnd w:id="150"/>
      <w:bookmarkEnd w:id="151"/>
      <w:bookmarkEnd w:id="152"/>
      <w:bookmarkEnd w:id="153"/>
    </w:p>
    <w:p>
      <w:pPr>
        <w:spacing w:line="56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ascii="宋体" w:hAnsi="宋体" w:cs="宋体"/>
          <w:b/>
          <w:sz w:val="24"/>
        </w:rPr>
      </w:pPr>
      <w:r>
        <w:rPr>
          <w:rFonts w:hint="eastAsia" w:ascii="宋体" w:hAnsi="宋体" w:cs="宋体"/>
          <w:b/>
          <w:sz w:val="24"/>
        </w:rPr>
        <w:t>2.4 履约检查和问题反馈</w:t>
      </w:r>
    </w:p>
    <w:p>
      <w:pPr>
        <w:spacing w:line="560" w:lineRule="exact"/>
        <w:ind w:firstLine="480" w:firstLineChars="200"/>
        <w:rPr>
          <w:rFonts w:ascii="宋体" w:hAnsi="宋体" w:cs="宋体"/>
          <w:sz w:val="24"/>
        </w:rPr>
      </w:pPr>
      <w:bookmarkStart w:id="154" w:name="_Ref467379657"/>
      <w:r>
        <w:rPr>
          <w:rFonts w:hint="eastAsia" w:ascii="宋体" w:hAnsi="宋体" w:cs="宋体"/>
          <w:sz w:val="24"/>
        </w:rPr>
        <w:t>2.4.1</w:t>
      </w:r>
      <w:bookmarkEnd w:id="154"/>
      <w:bookmarkStart w:id="155" w:name="_Toc186431854"/>
      <w:bookmarkStart w:id="156" w:name="_Ref467379793"/>
      <w:bookmarkStart w:id="157" w:name="_Toc487900357"/>
      <w:bookmarkStart w:id="158" w:name="_Toc259093676"/>
      <w:bookmarkStart w:id="159" w:name="_Ref467379807"/>
      <w:bookmarkStart w:id="160" w:name="_Toc27970124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155"/>
      <w:bookmarkStart w:id="161" w:name="_Toc186431855"/>
      <w:r>
        <w:rPr>
          <w:rFonts w:hint="eastAsia" w:ascii="宋体" w:hAnsi="宋体" w:cs="宋体"/>
          <w:sz w:val="24"/>
        </w:rPr>
        <w:t>。</w:t>
      </w:r>
    </w:p>
    <w:bookmarkEnd w:id="161"/>
    <w:p>
      <w:pPr>
        <w:spacing w:line="560" w:lineRule="exact"/>
        <w:ind w:firstLine="482" w:firstLineChars="200"/>
        <w:outlineLvl w:val="0"/>
        <w:rPr>
          <w:rFonts w:ascii="宋体" w:hAnsi="宋体" w:cs="宋体"/>
          <w:b/>
          <w:sz w:val="24"/>
        </w:rPr>
      </w:pPr>
      <w:bookmarkStart w:id="162" w:name="_Toc26555"/>
      <w:bookmarkStart w:id="163" w:name="_Toc1641"/>
      <w:bookmarkStart w:id="164" w:name="_Toc22011"/>
      <w:bookmarkStart w:id="165" w:name="_Toc10573"/>
      <w:bookmarkStart w:id="166" w:name="_Toc15447"/>
      <w:bookmarkStart w:id="167" w:name="_Toc80113547"/>
      <w:bookmarkStart w:id="168" w:name="_Toc31233"/>
      <w:r>
        <w:rPr>
          <w:rFonts w:hint="eastAsia" w:ascii="宋体" w:hAnsi="宋体" w:cs="宋体"/>
          <w:b/>
          <w:sz w:val="24"/>
        </w:rPr>
        <w:t>2.5 结算方式和付款条件</w:t>
      </w:r>
      <w:bookmarkEnd w:id="156"/>
      <w:bookmarkEnd w:id="157"/>
      <w:bookmarkEnd w:id="158"/>
      <w:bookmarkEnd w:id="159"/>
      <w:bookmarkEnd w:id="160"/>
      <w:bookmarkEnd w:id="162"/>
      <w:bookmarkEnd w:id="163"/>
      <w:bookmarkEnd w:id="164"/>
      <w:bookmarkEnd w:id="165"/>
      <w:bookmarkEnd w:id="166"/>
      <w:bookmarkEnd w:id="167"/>
      <w:bookmarkEnd w:id="168"/>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sz w:val="24"/>
          <w:u w:val="single"/>
        </w:rPr>
        <w:t>合同第一部分</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69" w:name="_Toc279701248"/>
      <w:bookmarkStart w:id="170" w:name="_Ref467379863"/>
      <w:bookmarkStart w:id="171" w:name="_Ref467379852"/>
      <w:bookmarkStart w:id="172" w:name="_Ref467379923"/>
      <w:bookmarkStart w:id="173" w:name="_Toc487900358"/>
      <w:bookmarkStart w:id="174" w:name="_Toc259093677"/>
      <w:bookmarkStart w:id="175" w:name="_Toc5992"/>
      <w:bookmarkStart w:id="176" w:name="_Toc30507"/>
      <w:bookmarkStart w:id="177" w:name="_Toc13154"/>
      <w:bookmarkStart w:id="178" w:name="_Toc18990"/>
      <w:bookmarkStart w:id="179" w:name="_Toc168"/>
      <w:bookmarkStart w:id="180" w:name="_Toc80113548"/>
      <w:bookmarkStart w:id="181" w:name="_Toc16163"/>
      <w:bookmarkStart w:id="182" w:name="_Toc13467"/>
      <w:r>
        <w:rPr>
          <w:rFonts w:hint="eastAsia" w:ascii="宋体" w:hAnsi="宋体" w:cs="宋体"/>
          <w:b/>
          <w:sz w:val="24"/>
        </w:rPr>
        <w:t>2.6 技术资料</w:t>
      </w:r>
      <w:bookmarkEnd w:id="169"/>
      <w:bookmarkEnd w:id="170"/>
      <w:bookmarkEnd w:id="171"/>
      <w:bookmarkEnd w:id="172"/>
      <w:bookmarkEnd w:id="173"/>
      <w:bookmarkEnd w:id="174"/>
      <w:r>
        <w:rPr>
          <w:rFonts w:hint="eastAsia" w:ascii="宋体" w:hAnsi="宋体" w:cs="宋体"/>
          <w:b/>
          <w:sz w:val="24"/>
        </w:rPr>
        <w:t>和保密义务</w:t>
      </w:r>
      <w:bookmarkEnd w:id="175"/>
      <w:bookmarkEnd w:id="176"/>
      <w:bookmarkEnd w:id="177"/>
      <w:bookmarkEnd w:id="178"/>
      <w:bookmarkEnd w:id="179"/>
      <w:bookmarkEnd w:id="180"/>
      <w:bookmarkEnd w:id="181"/>
      <w:bookmarkEnd w:id="182"/>
    </w:p>
    <w:p>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183" w:name="_Toc19069"/>
      <w:bookmarkStart w:id="184" w:name="_Toc80113549"/>
      <w:bookmarkStart w:id="185" w:name="_Toc26340"/>
      <w:bookmarkStart w:id="186" w:name="_Toc30059"/>
      <w:bookmarkStart w:id="187" w:name="_Toc279701252"/>
      <w:bookmarkStart w:id="188" w:name="_Toc259093681"/>
      <w:bookmarkStart w:id="189" w:name="_Toc487900362"/>
      <w:r>
        <w:rPr>
          <w:rFonts w:hint="eastAsia" w:ascii="宋体" w:hAnsi="宋体" w:cs="宋体"/>
          <w:b/>
          <w:sz w:val="24"/>
        </w:rPr>
        <w:t>2.7 质量保证</w:t>
      </w:r>
      <w:bookmarkEnd w:id="183"/>
      <w:bookmarkEnd w:id="184"/>
      <w:bookmarkEnd w:id="185"/>
      <w:bookmarkEnd w:id="186"/>
    </w:p>
    <w:p>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190" w:name="_Toc80113550"/>
      <w:bookmarkStart w:id="191" w:name="_Toc8335"/>
      <w:bookmarkStart w:id="192" w:name="_Toc22267"/>
      <w:bookmarkStart w:id="193" w:name="_Toc23417"/>
      <w:r>
        <w:rPr>
          <w:rFonts w:hint="eastAsia" w:ascii="宋体" w:hAnsi="宋体" w:cs="宋体"/>
          <w:b/>
          <w:sz w:val="24"/>
        </w:rPr>
        <w:t>2.8 延迟</w:t>
      </w:r>
      <w:bookmarkEnd w:id="187"/>
      <w:bookmarkEnd w:id="188"/>
      <w:bookmarkEnd w:id="189"/>
      <w:r>
        <w:rPr>
          <w:rFonts w:hint="eastAsia" w:ascii="宋体" w:hAnsi="宋体" w:cs="宋体"/>
          <w:b/>
          <w:sz w:val="24"/>
        </w:rPr>
        <w:t>履行</w:t>
      </w:r>
      <w:bookmarkEnd w:id="190"/>
      <w:bookmarkEnd w:id="191"/>
      <w:bookmarkEnd w:id="192"/>
      <w:bookmarkEnd w:id="193"/>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rPr>
      </w:pPr>
      <w:bookmarkStart w:id="194" w:name="_Toc9991"/>
      <w:bookmarkStart w:id="195" w:name="_Toc80113551"/>
      <w:bookmarkStart w:id="196" w:name="_Toc849"/>
      <w:bookmarkStart w:id="197" w:name="_Toc10611"/>
      <w:bookmarkStart w:id="198" w:name="_Toc279701254"/>
      <w:bookmarkStart w:id="199" w:name="_Toc487900364"/>
      <w:bookmarkStart w:id="200" w:name="_Ref467378121"/>
      <w:bookmarkStart w:id="201" w:name="_Toc259093683"/>
      <w:r>
        <w:rPr>
          <w:rFonts w:hint="eastAsia" w:ascii="宋体" w:hAnsi="宋体" w:cs="宋体"/>
          <w:b/>
          <w:sz w:val="24"/>
        </w:rPr>
        <w:t>2.9 合同变更</w:t>
      </w:r>
      <w:bookmarkEnd w:id="194"/>
      <w:bookmarkEnd w:id="195"/>
      <w:bookmarkEnd w:id="196"/>
      <w:bookmarkEnd w:id="197"/>
    </w:p>
    <w:p>
      <w:pPr>
        <w:spacing w:line="56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202" w:name="_Toc279701259"/>
      <w:bookmarkStart w:id="203" w:name="_Toc259093688"/>
      <w:bookmarkStart w:id="204" w:name="_Toc487900369"/>
    </w:p>
    <w:p>
      <w:pPr>
        <w:spacing w:line="560" w:lineRule="exact"/>
        <w:ind w:firstLine="482" w:firstLineChars="200"/>
        <w:outlineLvl w:val="0"/>
        <w:rPr>
          <w:rFonts w:ascii="宋体" w:hAnsi="宋体" w:cs="宋体"/>
          <w:b/>
          <w:sz w:val="24"/>
        </w:rPr>
      </w:pPr>
      <w:bookmarkStart w:id="205" w:name="_Toc26689"/>
      <w:bookmarkStart w:id="206" w:name="_Toc23368"/>
      <w:bookmarkStart w:id="207" w:name="_Toc42"/>
      <w:bookmarkStart w:id="208" w:name="_Toc13734"/>
      <w:bookmarkStart w:id="209" w:name="_Toc80113552"/>
      <w:bookmarkStart w:id="210" w:name="_Toc21830"/>
      <w:bookmarkStart w:id="211" w:name="_Toc18610"/>
      <w:bookmarkStart w:id="212" w:name="_Toc10663"/>
      <w:r>
        <w:rPr>
          <w:rFonts w:hint="eastAsia" w:ascii="宋体" w:hAnsi="宋体" w:cs="宋体"/>
          <w:b/>
          <w:sz w:val="24"/>
        </w:rPr>
        <w:t>2.10 合同转让</w:t>
      </w:r>
      <w:bookmarkEnd w:id="202"/>
      <w:bookmarkEnd w:id="203"/>
      <w:bookmarkEnd w:id="204"/>
      <w:r>
        <w:rPr>
          <w:rFonts w:hint="eastAsia" w:ascii="宋体" w:hAnsi="宋体" w:cs="宋体"/>
          <w:b/>
          <w:sz w:val="24"/>
        </w:rPr>
        <w:t>和分包</w:t>
      </w:r>
      <w:bookmarkEnd w:id="205"/>
      <w:bookmarkEnd w:id="206"/>
      <w:bookmarkEnd w:id="207"/>
      <w:bookmarkEnd w:id="208"/>
      <w:bookmarkEnd w:id="209"/>
      <w:bookmarkEnd w:id="210"/>
      <w:bookmarkEnd w:id="211"/>
      <w:bookmarkEnd w:id="212"/>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213" w:name="_Toc14371"/>
      <w:bookmarkStart w:id="214" w:name="_Toc6339"/>
      <w:bookmarkStart w:id="215" w:name="_Toc26633"/>
      <w:bookmarkStart w:id="216" w:name="_Toc80113553"/>
      <w:bookmarkStart w:id="217" w:name="_Toc13987"/>
      <w:bookmarkStart w:id="218" w:name="_Toc4720"/>
      <w:bookmarkStart w:id="219" w:name="_Toc25571"/>
      <w:bookmarkStart w:id="220" w:name="_Toc32494"/>
      <w:r>
        <w:rPr>
          <w:rFonts w:hint="eastAsia" w:ascii="宋体" w:hAnsi="宋体" w:cs="宋体"/>
          <w:b/>
          <w:sz w:val="24"/>
        </w:rPr>
        <w:t>2.11 不可抗力</w:t>
      </w:r>
      <w:bookmarkEnd w:id="213"/>
      <w:bookmarkEnd w:id="214"/>
      <w:bookmarkEnd w:id="215"/>
      <w:bookmarkEnd w:id="216"/>
      <w:bookmarkEnd w:id="217"/>
      <w:bookmarkEnd w:id="218"/>
      <w:bookmarkEnd w:id="219"/>
      <w:bookmarkEnd w:id="220"/>
    </w:p>
    <w:p>
      <w:pPr>
        <w:spacing w:line="56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2.11.4受不可抗力影响的一方在不可抗力发生后，应在约定时间内以书面形式通知对方当事人，并在约定时间内，将有关部门出具的证明文件送达对方当事人。</w:t>
      </w:r>
    </w:p>
    <w:p>
      <w:pPr>
        <w:spacing w:line="560" w:lineRule="exact"/>
        <w:ind w:firstLine="482" w:firstLineChars="200"/>
        <w:outlineLvl w:val="0"/>
        <w:rPr>
          <w:rFonts w:ascii="宋体" w:hAnsi="宋体" w:cs="宋体"/>
          <w:b/>
          <w:sz w:val="24"/>
        </w:rPr>
      </w:pPr>
      <w:bookmarkStart w:id="221" w:name="_Toc25783"/>
      <w:bookmarkStart w:id="222" w:name="_Toc24465"/>
      <w:bookmarkStart w:id="223" w:name="_Toc803"/>
      <w:bookmarkStart w:id="224" w:name="_Toc13396"/>
      <w:bookmarkStart w:id="225" w:name="_Toc14115"/>
      <w:bookmarkStart w:id="226" w:name="_Toc23854"/>
      <w:bookmarkStart w:id="227" w:name="_Toc279701255"/>
      <w:bookmarkStart w:id="228" w:name="_Toc259093684"/>
      <w:bookmarkStart w:id="229" w:name="_Toc487900365"/>
      <w:bookmarkStart w:id="230" w:name="_Toc80113554"/>
      <w:bookmarkStart w:id="231" w:name="_Toc3638"/>
      <w:r>
        <w:rPr>
          <w:rFonts w:hint="eastAsia" w:ascii="宋体" w:hAnsi="宋体" w:cs="宋体"/>
          <w:b/>
          <w:sz w:val="24"/>
        </w:rPr>
        <w:t>2.12 税费</w:t>
      </w:r>
      <w:bookmarkEnd w:id="221"/>
      <w:bookmarkEnd w:id="222"/>
      <w:bookmarkEnd w:id="223"/>
      <w:bookmarkEnd w:id="224"/>
      <w:bookmarkEnd w:id="225"/>
      <w:bookmarkEnd w:id="226"/>
      <w:bookmarkEnd w:id="227"/>
      <w:bookmarkEnd w:id="228"/>
      <w:bookmarkEnd w:id="229"/>
      <w:bookmarkEnd w:id="230"/>
      <w:bookmarkEnd w:id="231"/>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pPr>
        <w:spacing w:line="560" w:lineRule="exact"/>
        <w:ind w:firstLine="482" w:firstLineChars="200"/>
        <w:outlineLvl w:val="0"/>
        <w:rPr>
          <w:rFonts w:ascii="宋体" w:hAnsi="宋体" w:cs="宋体"/>
          <w:b/>
          <w:sz w:val="24"/>
        </w:rPr>
      </w:pPr>
      <w:bookmarkStart w:id="232" w:name="_Toc14814"/>
      <w:bookmarkStart w:id="233" w:name="_Toc7315"/>
      <w:bookmarkStart w:id="234" w:name="_Toc26883"/>
      <w:bookmarkStart w:id="235" w:name="_Toc25525"/>
      <w:bookmarkStart w:id="236" w:name="_Toc17088"/>
      <w:bookmarkStart w:id="237" w:name="_Toc487900368"/>
      <w:bookmarkStart w:id="238" w:name="_Toc80113555"/>
      <w:bookmarkStart w:id="239" w:name="_Toc279701258"/>
      <w:bookmarkStart w:id="240" w:name="_Toc25529"/>
      <w:bookmarkStart w:id="241" w:name="_Toc259093687"/>
      <w:bookmarkStart w:id="242" w:name="_Toc30105"/>
      <w:r>
        <w:rPr>
          <w:rFonts w:hint="eastAsia" w:ascii="宋体" w:hAnsi="宋体" w:cs="宋体"/>
          <w:b/>
          <w:sz w:val="24"/>
        </w:rPr>
        <w:t>2.13 乙方破产</w:t>
      </w:r>
      <w:bookmarkEnd w:id="232"/>
      <w:bookmarkEnd w:id="233"/>
      <w:bookmarkEnd w:id="234"/>
      <w:bookmarkEnd w:id="235"/>
      <w:bookmarkEnd w:id="236"/>
      <w:bookmarkEnd w:id="237"/>
      <w:bookmarkEnd w:id="238"/>
      <w:bookmarkEnd w:id="239"/>
      <w:bookmarkEnd w:id="240"/>
      <w:bookmarkEnd w:id="241"/>
      <w:bookmarkEnd w:id="242"/>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243" w:name="_Toc1123"/>
      <w:bookmarkStart w:id="244" w:name="_Toc7376"/>
      <w:bookmarkStart w:id="245" w:name="_Toc2016"/>
      <w:bookmarkStart w:id="246" w:name="_Toc23323"/>
      <w:bookmarkStart w:id="247" w:name="_Toc7262"/>
      <w:bookmarkStart w:id="248" w:name="_Toc80113556"/>
      <w:r>
        <w:rPr>
          <w:rFonts w:hint="eastAsia" w:ascii="宋体" w:hAnsi="宋体" w:cs="宋体"/>
          <w:b/>
          <w:sz w:val="24"/>
        </w:rPr>
        <w:t>2.14 合同中止、终止</w:t>
      </w:r>
      <w:bookmarkEnd w:id="243"/>
      <w:bookmarkEnd w:id="244"/>
      <w:bookmarkEnd w:id="245"/>
      <w:bookmarkEnd w:id="246"/>
      <w:bookmarkEnd w:id="247"/>
      <w:bookmarkEnd w:id="248"/>
    </w:p>
    <w:p>
      <w:pPr>
        <w:spacing w:line="560" w:lineRule="exact"/>
        <w:ind w:firstLine="480" w:firstLineChars="200"/>
        <w:rPr>
          <w:rFonts w:ascii="宋体" w:hAnsi="宋体" w:cs="宋体"/>
          <w:sz w:val="24"/>
        </w:rPr>
      </w:pPr>
      <w:r>
        <w:rPr>
          <w:rFonts w:hint="eastAsia" w:ascii="宋体" w:hAnsi="宋体" w:cs="宋体"/>
          <w:sz w:val="24"/>
        </w:rPr>
        <w:t>2.14.1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249" w:name="_Toc1969"/>
      <w:bookmarkStart w:id="250" w:name="_Toc17363"/>
      <w:bookmarkStart w:id="251" w:name="_Toc14525"/>
      <w:bookmarkStart w:id="252" w:name="_Toc80113557"/>
      <w:bookmarkStart w:id="253" w:name="_Toc18445"/>
      <w:bookmarkStart w:id="254" w:name="_Toc6567"/>
      <w:r>
        <w:rPr>
          <w:rFonts w:hint="eastAsia" w:ascii="宋体" w:hAnsi="宋体" w:cs="宋体"/>
          <w:b/>
          <w:sz w:val="24"/>
        </w:rPr>
        <w:t>2.15 检验和验收</w:t>
      </w:r>
      <w:bookmarkEnd w:id="249"/>
      <w:bookmarkEnd w:id="250"/>
      <w:bookmarkEnd w:id="251"/>
      <w:bookmarkEnd w:id="252"/>
      <w:bookmarkEnd w:id="253"/>
      <w:bookmarkEnd w:id="254"/>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2.15.1 乙方提交项目完成报告，甲方按照约定进行验收；</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198"/>
    <w:bookmarkEnd w:id="199"/>
    <w:bookmarkEnd w:id="200"/>
    <w:bookmarkEnd w:id="201"/>
    <w:p>
      <w:pPr>
        <w:spacing w:line="560" w:lineRule="exact"/>
        <w:ind w:firstLine="482" w:firstLineChars="200"/>
        <w:outlineLvl w:val="0"/>
        <w:rPr>
          <w:rFonts w:ascii="宋体" w:hAnsi="宋体" w:cs="宋体"/>
          <w:b/>
          <w:sz w:val="24"/>
        </w:rPr>
      </w:pPr>
      <w:bookmarkStart w:id="255" w:name="_Toc487900371"/>
      <w:bookmarkStart w:id="256" w:name="_Toc279701261"/>
      <w:bookmarkStart w:id="257" w:name="_Toc259093690"/>
      <w:bookmarkStart w:id="258" w:name="_Toc31892"/>
      <w:bookmarkStart w:id="259" w:name="_Toc9808"/>
      <w:bookmarkStart w:id="260" w:name="_Toc80113558"/>
      <w:bookmarkStart w:id="261" w:name="_Toc25198"/>
      <w:bookmarkStart w:id="262" w:name="_Toc21911"/>
      <w:bookmarkStart w:id="263" w:name="_Toc2308"/>
      <w:bookmarkStart w:id="264" w:name="_Toc28926"/>
      <w:bookmarkStart w:id="265" w:name="_Toc12666"/>
      <w:r>
        <w:rPr>
          <w:rFonts w:hint="eastAsia" w:ascii="宋体" w:hAnsi="宋体" w:cs="宋体"/>
          <w:b/>
          <w:sz w:val="24"/>
        </w:rPr>
        <w:t>2.16 通知</w:t>
      </w:r>
      <w:bookmarkEnd w:id="255"/>
      <w:bookmarkEnd w:id="256"/>
      <w:bookmarkEnd w:id="257"/>
      <w:r>
        <w:rPr>
          <w:rFonts w:hint="eastAsia" w:ascii="宋体" w:hAnsi="宋体" w:cs="宋体"/>
          <w:b/>
          <w:sz w:val="24"/>
        </w:rPr>
        <w:t>和送达</w:t>
      </w:r>
      <w:bookmarkEnd w:id="258"/>
      <w:bookmarkEnd w:id="259"/>
      <w:bookmarkEnd w:id="260"/>
      <w:bookmarkEnd w:id="261"/>
      <w:bookmarkEnd w:id="262"/>
      <w:bookmarkEnd w:id="263"/>
      <w:bookmarkEnd w:id="264"/>
      <w:bookmarkEnd w:id="265"/>
    </w:p>
    <w:p>
      <w:pPr>
        <w:spacing w:line="560" w:lineRule="exact"/>
        <w:ind w:firstLine="480" w:firstLineChars="200"/>
        <w:rPr>
          <w:rFonts w:ascii="宋体" w:hAnsi="宋体" w:cs="宋体"/>
          <w:sz w:val="24"/>
        </w:rPr>
      </w:pPr>
      <w:bookmarkStart w:id="266" w:name="_Toc29220"/>
      <w:bookmarkStart w:id="267" w:name="_Toc7073"/>
      <w:bookmarkStart w:id="268" w:name="_Toc259093691"/>
      <w:bookmarkStart w:id="269" w:name="_Toc279701262"/>
      <w:bookmarkStart w:id="270" w:name="_Toc487900372"/>
      <w:r>
        <w:rPr>
          <w:rFonts w:hint="eastAsia" w:ascii="宋体" w:hAnsi="宋体" w:cs="宋体"/>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66"/>
      <w:bookmarkEnd w:id="267"/>
    </w:p>
    <w:p>
      <w:pPr>
        <w:spacing w:line="560" w:lineRule="exact"/>
        <w:ind w:firstLine="480" w:firstLineChars="200"/>
        <w:rPr>
          <w:rFonts w:ascii="宋体" w:hAnsi="宋体" w:cs="宋体"/>
          <w:sz w:val="24"/>
        </w:rPr>
      </w:pPr>
      <w:bookmarkStart w:id="271" w:name="_Toc18401"/>
      <w:bookmarkStart w:id="272" w:name="_Toc27674"/>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1"/>
      <w:bookmarkEnd w:id="272"/>
    </w:p>
    <w:bookmarkEnd w:id="268"/>
    <w:bookmarkEnd w:id="269"/>
    <w:bookmarkEnd w:id="270"/>
    <w:p>
      <w:pPr>
        <w:spacing w:line="560" w:lineRule="exact"/>
        <w:ind w:firstLine="482" w:firstLineChars="200"/>
        <w:outlineLvl w:val="0"/>
        <w:rPr>
          <w:rFonts w:ascii="宋体" w:hAnsi="宋体" w:cs="宋体"/>
          <w:b/>
          <w:sz w:val="24"/>
        </w:rPr>
      </w:pPr>
      <w:bookmarkStart w:id="273" w:name="_Toc279701263"/>
      <w:bookmarkStart w:id="274" w:name="_Toc3240"/>
      <w:bookmarkStart w:id="275" w:name="_Toc80113559"/>
      <w:bookmarkStart w:id="276" w:name="_Toc5063"/>
      <w:bookmarkStart w:id="277" w:name="_Toc259093692"/>
      <w:bookmarkStart w:id="278" w:name="_Toc487900373"/>
      <w:bookmarkStart w:id="279" w:name="_Toc28906"/>
      <w:bookmarkStart w:id="280" w:name="_Toc20808"/>
      <w:bookmarkStart w:id="281" w:name="_Toc28371"/>
      <w:bookmarkStart w:id="282" w:name="_Toc27644"/>
      <w:bookmarkStart w:id="283" w:name="_Toc12254"/>
      <w:r>
        <w:rPr>
          <w:rFonts w:hint="eastAsia" w:ascii="宋体" w:hAnsi="宋体" w:cs="宋体"/>
          <w:b/>
          <w:sz w:val="24"/>
        </w:rPr>
        <w:t>2.17 合同使用的文字和适用的法律</w:t>
      </w:r>
      <w:bookmarkEnd w:id="273"/>
      <w:bookmarkEnd w:id="274"/>
      <w:bookmarkEnd w:id="275"/>
      <w:bookmarkEnd w:id="276"/>
      <w:bookmarkEnd w:id="277"/>
      <w:bookmarkEnd w:id="278"/>
      <w:bookmarkEnd w:id="279"/>
      <w:bookmarkEnd w:id="280"/>
      <w:bookmarkEnd w:id="281"/>
      <w:bookmarkEnd w:id="282"/>
      <w:bookmarkEnd w:id="283"/>
    </w:p>
    <w:p>
      <w:pPr>
        <w:spacing w:line="560" w:lineRule="exact"/>
        <w:ind w:firstLine="480" w:firstLineChars="200"/>
        <w:rPr>
          <w:rFonts w:ascii="宋体" w:hAnsi="宋体" w:cs="宋体"/>
          <w:sz w:val="24"/>
        </w:rPr>
      </w:pPr>
      <w:r>
        <w:rPr>
          <w:rFonts w:hint="eastAsia" w:ascii="宋体" w:hAnsi="宋体" w:cs="宋体"/>
          <w:sz w:val="24"/>
        </w:rPr>
        <w:t>2.17.1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2.17.2 合同适用中华人民共和国法律。</w:t>
      </w:r>
    </w:p>
    <w:p>
      <w:pPr>
        <w:spacing w:line="560" w:lineRule="exact"/>
        <w:ind w:firstLine="482" w:firstLineChars="200"/>
        <w:outlineLvl w:val="0"/>
        <w:rPr>
          <w:rFonts w:ascii="宋体" w:hAnsi="宋体" w:cs="宋体"/>
          <w:b/>
          <w:sz w:val="24"/>
        </w:rPr>
      </w:pPr>
      <w:bookmarkStart w:id="284" w:name="_Toc1492"/>
      <w:bookmarkStart w:id="285" w:name="_Toc259093693"/>
      <w:bookmarkStart w:id="286" w:name="_Toc22266"/>
      <w:bookmarkStart w:id="287" w:name="_Toc30096"/>
      <w:bookmarkStart w:id="288" w:name="_Toc24949"/>
      <w:bookmarkStart w:id="289" w:name="_Toc21527"/>
      <w:bookmarkStart w:id="290" w:name="_Toc27403"/>
      <w:bookmarkStart w:id="291" w:name="_Toc279701264"/>
      <w:bookmarkStart w:id="292" w:name="_Toc80113560"/>
      <w:bookmarkStart w:id="293" w:name="_Toc27127"/>
      <w:bookmarkStart w:id="294" w:name="_Toc487900374"/>
      <w:r>
        <w:rPr>
          <w:rFonts w:hint="eastAsia" w:ascii="宋体" w:hAnsi="宋体" w:cs="宋体"/>
          <w:b/>
          <w:sz w:val="24"/>
        </w:rPr>
        <w:t>2.18 履约保证金</w:t>
      </w:r>
      <w:bookmarkEnd w:id="284"/>
      <w:bookmarkEnd w:id="285"/>
      <w:bookmarkEnd w:id="286"/>
      <w:bookmarkEnd w:id="287"/>
      <w:bookmarkEnd w:id="288"/>
      <w:bookmarkEnd w:id="289"/>
      <w:bookmarkEnd w:id="290"/>
      <w:bookmarkEnd w:id="291"/>
      <w:bookmarkEnd w:id="292"/>
      <w:bookmarkEnd w:id="293"/>
    </w:p>
    <w:p>
      <w:pPr>
        <w:spacing w:line="560" w:lineRule="exact"/>
        <w:ind w:firstLine="480" w:firstLineChars="200"/>
        <w:rPr>
          <w:rFonts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2.18.2 履约保证金在</w:t>
      </w:r>
      <w:r>
        <w:rPr>
          <w:rFonts w:hint="eastAsia" w:ascii="宋体" w:hAnsi="宋体" w:cs="宋体"/>
          <w:b/>
          <w:i/>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5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4"/>
    <w:p>
      <w:pPr>
        <w:spacing w:line="560" w:lineRule="exact"/>
        <w:ind w:firstLine="482" w:firstLineChars="200"/>
        <w:rPr>
          <w:rFonts w:ascii="宋体" w:hAnsi="宋体" w:cs="宋体"/>
          <w:b/>
          <w:sz w:val="24"/>
        </w:rPr>
      </w:pPr>
      <w:r>
        <w:rPr>
          <w:rFonts w:hint="eastAsia" w:ascii="宋体" w:hAnsi="宋体" w:cs="宋体"/>
          <w:b/>
          <w:sz w:val="24"/>
        </w:rPr>
        <w:t>2.19 合同份数</w:t>
      </w:r>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pStyle w:val="178"/>
        <w:spacing w:line="560" w:lineRule="exact"/>
        <w:ind w:left="120" w:hanging="120"/>
        <w:jc w:val="center"/>
        <w:rPr>
          <w:rFonts w:hAnsi="宋体" w:cs="宋体"/>
          <w:b/>
          <w:szCs w:val="24"/>
        </w:rPr>
      </w:pPr>
      <w:r>
        <w:rPr>
          <w:rFonts w:hint="eastAsia" w:hAnsi="宋体" w:cs="宋体"/>
          <w:szCs w:val="24"/>
        </w:rPr>
        <w:br w:type="page"/>
      </w:r>
      <w:bookmarkStart w:id="295" w:name="_Toc331685784"/>
      <w:r>
        <w:rPr>
          <w:rFonts w:hint="eastAsia" w:hAnsi="宋体" w:cs="宋体"/>
          <w:b/>
          <w:szCs w:val="24"/>
        </w:rPr>
        <w:t>第三部分  合同专用条款</w:t>
      </w:r>
      <w:bookmarkEnd w:id="295"/>
    </w:p>
    <w:p>
      <w:pPr>
        <w:spacing w:line="56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74"/>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560" w:lineRule="exact"/>
              <w:ind w:left="120" w:hanging="120"/>
              <w:jc w:val="center"/>
              <w:rPr>
                <w:rFonts w:ascii="宋体" w:hAnsi="宋体" w:cs="宋体"/>
                <w:b/>
                <w:sz w:val="24"/>
              </w:rPr>
            </w:pPr>
            <w:r>
              <w:rPr>
                <w:rFonts w:hint="eastAsia" w:ascii="宋体" w:hAnsi="宋体" w:cs="宋体"/>
                <w:b/>
                <w:sz w:val="24"/>
              </w:rPr>
              <w:t>条款号</w:t>
            </w:r>
          </w:p>
        </w:tc>
        <w:tc>
          <w:tcPr>
            <w:tcW w:w="7633" w:type="dxa"/>
            <w:vAlign w:val="center"/>
          </w:tcPr>
          <w:p>
            <w:pPr>
              <w:spacing w:line="560" w:lineRule="exact"/>
              <w:ind w:left="120" w:hanging="120"/>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ind w:left="120" w:hanging="120"/>
              <w:rPr>
                <w:rFonts w:ascii="宋体" w:hAnsi="宋体" w:cs="宋体"/>
                <w:sz w:val="24"/>
              </w:rPr>
            </w:pPr>
          </w:p>
        </w:tc>
        <w:tc>
          <w:tcPr>
            <w:tcW w:w="7633" w:type="dxa"/>
            <w:vAlign w:val="center"/>
          </w:tcPr>
          <w:p>
            <w:pPr>
              <w:spacing w:line="560" w:lineRule="exact"/>
              <w:ind w:left="120" w:hanging="120"/>
              <w:rPr>
                <w:rFonts w:ascii="宋体" w:hAnsi="宋体" w:cs="宋体"/>
                <w:sz w:val="24"/>
              </w:rPr>
            </w:pPr>
          </w:p>
        </w:tc>
      </w:tr>
    </w:tbl>
    <w:p>
      <w:pPr>
        <w:spacing w:after="156" w:line="560" w:lineRule="exact"/>
        <w:ind w:left="105" w:hanging="105"/>
        <w:rPr>
          <w:rFonts w:ascii="宋体" w:hAnsi="宋体" w:cs="宋体"/>
        </w:rPr>
      </w:pPr>
    </w:p>
    <w:p>
      <w:pPr>
        <w:pStyle w:val="4"/>
        <w:spacing w:before="0" w:line="240" w:lineRule="atLeast"/>
        <w:ind w:left="660" w:leftChars="257" w:hanging="120"/>
        <w:rPr>
          <w:rFonts w:ascii="宋体" w:hAnsi="宋体" w:cs="宋体"/>
          <w:sz w:val="24"/>
        </w:rPr>
      </w:pPr>
    </w:p>
    <w:p>
      <w:pPr>
        <w:ind w:left="105" w:hanging="105"/>
        <w:rPr>
          <w:rFonts w:ascii="宋体" w:hAnsi="宋体" w:cs="宋体"/>
        </w:rPr>
      </w:pPr>
    </w:p>
    <w:p>
      <w:pPr>
        <w:pStyle w:val="5"/>
        <w:spacing w:line="240" w:lineRule="atLeast"/>
        <w:ind w:left="540" w:leftChars="257" w:firstLine="560"/>
        <w:rPr>
          <w:rFonts w:ascii="宋体" w:hAnsi="宋体" w:cs="宋体"/>
          <w:sz w:val="28"/>
        </w:rPr>
      </w:pPr>
    </w:p>
    <w:p>
      <w:pPr>
        <w:ind w:left="120" w:hanging="120"/>
        <w:rPr>
          <w:rFonts w:ascii="宋体" w:hAnsi="宋体" w:cs="宋体"/>
          <w:bCs/>
          <w:sz w:val="24"/>
        </w:rPr>
      </w:pPr>
    </w:p>
    <w:p>
      <w:pPr>
        <w:ind w:left="120" w:hanging="120"/>
        <w:rPr>
          <w:rFonts w:ascii="宋体" w:hAnsi="宋体" w:cs="宋体"/>
          <w:bCs/>
          <w:sz w:val="24"/>
        </w:rPr>
      </w:pPr>
    </w:p>
    <w:p>
      <w:pPr>
        <w:ind w:left="120" w:hanging="120"/>
        <w:rPr>
          <w:rFonts w:ascii="宋体" w:hAnsi="宋体" w:cs="宋体"/>
          <w:sz w:val="24"/>
        </w:rPr>
      </w:pPr>
    </w:p>
    <w:p>
      <w:pPr>
        <w:pStyle w:val="163"/>
        <w:spacing w:line="380" w:lineRule="exact"/>
        <w:jc w:val="both"/>
        <w:rPr>
          <w:rFonts w:ascii="宋体" w:hAnsi="宋体" w:cs="宋体"/>
          <w:b/>
          <w:color w:val="auto"/>
          <w:sz w:val="28"/>
          <w:szCs w:val="28"/>
        </w:rPr>
      </w:pPr>
    </w:p>
    <w:p>
      <w:pPr>
        <w:pStyle w:val="163"/>
        <w:spacing w:line="380" w:lineRule="exact"/>
        <w:jc w:val="both"/>
        <w:rPr>
          <w:rFonts w:ascii="宋体" w:hAnsi="宋体" w:cs="宋体"/>
          <w:b/>
          <w:color w:val="auto"/>
          <w:sz w:val="28"/>
          <w:szCs w:val="28"/>
        </w:rPr>
      </w:pPr>
    </w:p>
    <w:p>
      <w:pPr>
        <w:pStyle w:val="163"/>
        <w:spacing w:line="380" w:lineRule="exact"/>
        <w:ind w:firstLine="3373" w:firstLineChars="1200"/>
        <w:jc w:val="both"/>
        <w:rPr>
          <w:rFonts w:ascii="宋体" w:hAnsi="宋体" w:cs="宋体"/>
          <w:b/>
          <w:color w:val="auto"/>
          <w:sz w:val="28"/>
          <w:szCs w:val="28"/>
        </w:rPr>
      </w:pPr>
      <w:r>
        <w:rPr>
          <w:rFonts w:hint="eastAsia" w:ascii="宋体" w:hAnsi="宋体" w:cs="宋体"/>
          <w:b/>
          <w:color w:val="auto"/>
          <w:sz w:val="28"/>
          <w:szCs w:val="28"/>
        </w:rPr>
        <w:t>第四章  响应文件格式</w:t>
      </w:r>
    </w:p>
    <w:p>
      <w:pPr>
        <w:pStyle w:val="163"/>
        <w:spacing w:line="380" w:lineRule="exact"/>
        <w:jc w:val="center"/>
        <w:rPr>
          <w:rFonts w:ascii="宋体" w:hAnsi="宋体" w:cs="宋体"/>
          <w:b/>
          <w:color w:val="auto"/>
          <w:sz w:val="28"/>
          <w:szCs w:val="28"/>
        </w:rPr>
      </w:pPr>
    </w:p>
    <w:p>
      <w:pPr>
        <w:pStyle w:val="163"/>
        <w:spacing w:line="480" w:lineRule="auto"/>
        <w:jc w:val="center"/>
        <w:rPr>
          <w:rFonts w:ascii="宋体" w:hAnsi="宋体" w:cs="宋体"/>
          <w:color w:val="auto"/>
          <w:sz w:val="28"/>
          <w:szCs w:val="28"/>
          <w:bdr w:val="single" w:color="auto" w:sz="4" w:space="0"/>
        </w:rPr>
      </w:pPr>
      <w:r>
        <w:rPr>
          <w:rFonts w:ascii="宋体" w:hAnsi="宋体" w:cs="宋体"/>
          <w:color w:val="auto"/>
          <w:sz w:val="28"/>
          <w:szCs w:val="28"/>
        </w:rPr>
        <w:pict>
          <v:shape id="_x0000_s1026" o:spid="_x0000_s1026" o:spt="202" type="#_x0000_t202" style="position:absolute;left:0pt;margin-left:340.1pt;margin-top:4.6pt;height:21.75pt;width:45.3pt;mso-wrap-distance-bottom:3.6pt;mso-wrap-distance-left:9pt;mso-wrap-distance-right:9pt;mso-wrap-distance-top:3.6pt;z-index:251663360;mso-width-relative:page;mso-height-relative:page;" coordsize="21600,21600" o:gfxdata="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67II2AAAAAgBAAAPAAAAAAAAAAEAIAAAACIAAABkcnMvZG93&#10;bnJldi54bWxQSwECFAAUAAAACACHTuJAkKpgqTkCAAB8BAAADgAAAAAAAAABACAAAAAnAQAAZHJz&#10;L2Uyb0RvYy54bWxQSwUGAAAAAAYABgBZAQAA0gUAAAAA&#10;">
            <v:path/>
            <v:fill focussize="0,0"/>
            <v:stroke joinstyle="miter"/>
            <v:imagedata o:title=""/>
            <o:lock v:ext="edit"/>
            <v:textbox>
              <w:txbxContent>
                <w:p>
                  <w:pPr>
                    <w:adjustRightInd w:val="0"/>
                    <w:snapToGrid w:val="0"/>
                    <w:ind w:left="0" w:right="0" w:firstLine="0" w:firstLineChars="0"/>
                    <w:jc w:val="center"/>
                  </w:pPr>
                  <w:r>
                    <w:rPr>
                      <w:rFonts w:hint="eastAsia"/>
                    </w:rPr>
                    <w:t>正本</w:t>
                  </w:r>
                </w:p>
              </w:txbxContent>
            </v:textbox>
            <w10:wrap type="square"/>
          </v:shape>
        </w:pict>
      </w:r>
    </w:p>
    <w:p>
      <w:pPr>
        <w:pStyle w:val="163"/>
        <w:spacing w:line="380" w:lineRule="exact"/>
        <w:jc w:val="center"/>
        <w:rPr>
          <w:rFonts w:ascii="宋体" w:hAnsi="宋体" w:cs="宋体"/>
          <w:color w:val="auto"/>
          <w:sz w:val="28"/>
          <w:szCs w:val="28"/>
        </w:rPr>
      </w:pPr>
    </w:p>
    <w:p>
      <w:pPr>
        <w:ind w:left="140" w:right="980" w:hanging="140"/>
        <w:jc w:val="center"/>
        <w:rPr>
          <w:rFonts w:ascii="宋体" w:hAnsi="宋体" w:cs="宋体"/>
          <w:sz w:val="28"/>
          <w:szCs w:val="28"/>
        </w:rPr>
      </w:pPr>
      <w:r>
        <w:rPr>
          <w:rFonts w:hint="eastAsia" w:ascii="宋体" w:hAnsi="宋体" w:cs="宋体"/>
          <w:sz w:val="28"/>
          <w:szCs w:val="28"/>
        </w:rPr>
        <w:t xml:space="preserve"> （项目名称）</w:t>
      </w:r>
    </w:p>
    <w:p>
      <w:pPr>
        <w:ind w:left="140" w:hanging="140"/>
        <w:rPr>
          <w:rFonts w:ascii="宋体" w:hAnsi="宋体" w:cs="宋体"/>
          <w:sz w:val="28"/>
          <w:szCs w:val="28"/>
        </w:rPr>
      </w:pPr>
    </w:p>
    <w:p>
      <w:pPr>
        <w:ind w:firstLine="280" w:firstLineChars="100"/>
        <w:rPr>
          <w:rFonts w:ascii="宋体" w:hAnsi="宋体" w:cs="宋体"/>
          <w:sz w:val="28"/>
          <w:szCs w:val="28"/>
          <w:u w:val="single"/>
        </w:rPr>
      </w:pPr>
      <w:r>
        <w:rPr>
          <w:rFonts w:hint="eastAsia" w:ascii="宋体" w:hAnsi="宋体" w:cs="宋体"/>
          <w:sz w:val="28"/>
          <w:szCs w:val="28"/>
        </w:rPr>
        <w:t xml:space="preserve">     竞争性磋商文件编号： </w:t>
      </w:r>
    </w:p>
    <w:p>
      <w:pPr>
        <w:ind w:left="100" w:hanging="100"/>
        <w:rPr>
          <w:rFonts w:ascii="宋体" w:hAnsi="宋体" w:cs="宋体"/>
          <w:sz w:val="20"/>
        </w:rPr>
      </w:pPr>
    </w:p>
    <w:p>
      <w:pPr>
        <w:ind w:left="100" w:hanging="100"/>
        <w:rPr>
          <w:rFonts w:ascii="宋体" w:hAnsi="宋体" w:cs="宋体"/>
          <w:sz w:val="20"/>
        </w:rPr>
      </w:pPr>
    </w:p>
    <w:p>
      <w:pPr>
        <w:ind w:left="100" w:hanging="100"/>
        <w:rPr>
          <w:rFonts w:ascii="宋体" w:hAnsi="宋体" w:cs="宋体"/>
          <w:sz w:val="20"/>
        </w:rPr>
      </w:pPr>
    </w:p>
    <w:p>
      <w:pPr>
        <w:ind w:left="100" w:hanging="100"/>
        <w:rPr>
          <w:rFonts w:ascii="宋体" w:hAnsi="宋体" w:cs="宋体"/>
          <w:sz w:val="20"/>
        </w:rPr>
      </w:pPr>
    </w:p>
    <w:p>
      <w:pPr>
        <w:ind w:left="221" w:hanging="221"/>
        <w:jc w:val="center"/>
        <w:rPr>
          <w:rFonts w:ascii="宋体" w:hAnsi="宋体" w:cs="宋体"/>
          <w:b/>
          <w:bCs/>
          <w:sz w:val="44"/>
          <w:szCs w:val="44"/>
        </w:rPr>
      </w:pPr>
      <w:r>
        <w:rPr>
          <w:rFonts w:hint="eastAsia" w:ascii="宋体" w:hAnsi="宋体" w:cs="宋体"/>
          <w:b/>
          <w:bCs/>
          <w:sz w:val="44"/>
          <w:szCs w:val="44"/>
        </w:rPr>
        <w:t>响  应  文  件</w:t>
      </w:r>
    </w:p>
    <w:p>
      <w:pPr>
        <w:ind w:left="141" w:hanging="141"/>
        <w:rPr>
          <w:rFonts w:ascii="宋体" w:hAnsi="宋体" w:cs="宋体"/>
          <w:b/>
          <w:bCs/>
          <w:sz w:val="28"/>
          <w:szCs w:val="28"/>
        </w:rPr>
      </w:pPr>
    </w:p>
    <w:p>
      <w:pPr>
        <w:ind w:left="150" w:hanging="150"/>
        <w:rPr>
          <w:rFonts w:ascii="宋体" w:hAnsi="宋体" w:cs="宋体"/>
          <w:bCs/>
          <w:sz w:val="30"/>
          <w:szCs w:val="30"/>
        </w:rPr>
      </w:pPr>
    </w:p>
    <w:p>
      <w:pPr>
        <w:ind w:left="0" w:leftChars="0" w:firstLine="840" w:firstLineChars="300"/>
        <w:rPr>
          <w:rFonts w:ascii="宋体" w:hAnsi="宋体" w:cs="宋体"/>
          <w:sz w:val="28"/>
          <w:szCs w:val="28"/>
          <w:u w:val="single"/>
        </w:rPr>
      </w:pPr>
      <w:r>
        <w:rPr>
          <w:rFonts w:hint="eastAsia" w:ascii="宋体" w:hAnsi="宋体" w:cs="宋体"/>
          <w:sz w:val="28"/>
          <w:szCs w:val="28"/>
        </w:rPr>
        <w:t>供应商：（盖单位章）</w:t>
      </w:r>
    </w:p>
    <w:p>
      <w:pPr>
        <w:ind w:left="140" w:hanging="140"/>
        <w:jc w:val="center"/>
        <w:rPr>
          <w:rFonts w:ascii="宋体" w:hAnsi="宋体" w:cs="宋体"/>
          <w:sz w:val="28"/>
          <w:szCs w:val="28"/>
        </w:rPr>
      </w:pPr>
    </w:p>
    <w:p>
      <w:pPr>
        <w:ind w:firstLine="700" w:firstLineChars="250"/>
        <w:rPr>
          <w:rFonts w:ascii="宋体" w:hAnsi="宋体" w:cs="宋体"/>
          <w:sz w:val="28"/>
          <w:szCs w:val="28"/>
        </w:rPr>
      </w:pPr>
      <w:r>
        <w:rPr>
          <w:rFonts w:hint="eastAsia" w:ascii="宋体" w:hAnsi="宋体" w:cs="宋体"/>
          <w:sz w:val="28"/>
          <w:szCs w:val="28"/>
        </w:rPr>
        <w:t xml:space="preserve"> 法定代表人：（签字或盖章）</w:t>
      </w:r>
    </w:p>
    <w:p>
      <w:pPr>
        <w:ind w:left="105" w:hanging="105"/>
        <w:jc w:val="center"/>
        <w:rPr>
          <w:rFonts w:ascii="宋体" w:hAnsi="宋体" w:cs="宋体"/>
        </w:rPr>
      </w:pPr>
    </w:p>
    <w:p>
      <w:pPr>
        <w:ind w:left="105" w:hanging="105"/>
        <w:jc w:val="center"/>
        <w:rPr>
          <w:rFonts w:ascii="宋体" w:hAnsi="宋体" w:cs="宋体"/>
        </w:rPr>
      </w:pPr>
    </w:p>
    <w:p>
      <w:pPr>
        <w:ind w:left="140" w:hanging="140"/>
        <w:jc w:val="center"/>
        <w:rPr>
          <w:rFonts w:ascii="宋体" w:hAnsi="宋体" w:cs="宋体"/>
          <w:sz w:val="28"/>
          <w:szCs w:val="28"/>
        </w:rPr>
      </w:pPr>
      <w:r>
        <w:rPr>
          <w:rFonts w:hint="eastAsia" w:ascii="宋体" w:hAnsi="宋体" w:cs="宋体"/>
          <w:sz w:val="28"/>
          <w:szCs w:val="28"/>
        </w:rPr>
        <w:t xml:space="preserve"> 年        月        日</w:t>
      </w:r>
    </w:p>
    <w:p>
      <w:pPr>
        <w:ind w:left="221" w:hanging="221"/>
        <w:jc w:val="center"/>
        <w:rPr>
          <w:rFonts w:ascii="宋体" w:hAnsi="宋体" w:cs="宋体"/>
          <w:b/>
          <w:bCs/>
          <w:sz w:val="44"/>
          <w:szCs w:val="44"/>
        </w:rPr>
      </w:pPr>
      <w:r>
        <w:rPr>
          <w:rFonts w:hint="eastAsia" w:ascii="宋体" w:hAnsi="宋体" w:cs="宋体"/>
          <w:b/>
          <w:bCs/>
          <w:sz w:val="44"/>
          <w:szCs w:val="44"/>
        </w:rPr>
        <w:br w:type="page"/>
      </w:r>
    </w:p>
    <w:p>
      <w:pPr>
        <w:ind w:left="221" w:hanging="221"/>
        <w:jc w:val="center"/>
        <w:rPr>
          <w:rFonts w:ascii="宋体" w:hAnsi="宋体" w:cs="宋体"/>
          <w:b/>
          <w:bCs/>
          <w:sz w:val="44"/>
          <w:szCs w:val="44"/>
        </w:rPr>
      </w:pPr>
      <w:r>
        <w:rPr>
          <w:rFonts w:hint="eastAsia" w:ascii="宋体" w:hAnsi="宋体" w:cs="宋体"/>
          <w:b/>
          <w:bCs/>
          <w:sz w:val="44"/>
          <w:szCs w:val="44"/>
        </w:rPr>
        <w:t>第一部分</w:t>
      </w:r>
    </w:p>
    <w:p>
      <w:pPr>
        <w:ind w:left="221" w:hanging="221"/>
        <w:jc w:val="center"/>
        <w:rPr>
          <w:rFonts w:ascii="宋体" w:hAnsi="宋体" w:cs="宋体"/>
          <w:b/>
          <w:bCs/>
          <w:sz w:val="44"/>
          <w:szCs w:val="44"/>
        </w:rPr>
      </w:pPr>
      <w:r>
        <w:rPr>
          <w:rFonts w:hint="eastAsia" w:ascii="宋体" w:hAnsi="宋体" w:cs="宋体"/>
          <w:b/>
          <w:bCs/>
          <w:sz w:val="44"/>
          <w:szCs w:val="44"/>
        </w:rPr>
        <w:t>经济报价部分</w:t>
      </w:r>
    </w:p>
    <w:p>
      <w:pPr>
        <w:ind w:left="151" w:hanging="151"/>
        <w:rPr>
          <w:rFonts w:ascii="宋体" w:hAnsi="宋体" w:cs="宋体"/>
          <w:b/>
          <w:sz w:val="30"/>
          <w:szCs w:val="20"/>
          <w:lang w:val="zh-CN"/>
        </w:rPr>
      </w:pPr>
      <w:r>
        <w:rPr>
          <w:rFonts w:hint="eastAsia" w:ascii="宋体" w:hAnsi="宋体" w:cs="宋体"/>
          <w:b/>
          <w:sz w:val="30"/>
          <w:szCs w:val="20"/>
        </w:rPr>
        <w:t>1、</w:t>
      </w:r>
      <w:r>
        <w:rPr>
          <w:rFonts w:hint="eastAsia" w:ascii="宋体" w:hAnsi="宋体" w:cs="宋体"/>
          <w:b/>
          <w:sz w:val="30"/>
          <w:szCs w:val="20"/>
          <w:lang w:val="zh-CN"/>
        </w:rPr>
        <w:t>投标承诺书</w:t>
      </w:r>
    </w:p>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投标承诺书（一）</w:t>
      </w:r>
    </w:p>
    <w:p>
      <w:pPr>
        <w:spacing w:line="440" w:lineRule="exact"/>
        <w:ind w:left="120" w:hanging="120"/>
        <w:jc w:val="center"/>
        <w:rPr>
          <w:rFonts w:ascii="宋体" w:hAnsi="宋体" w:cs="宋体"/>
          <w:sz w:val="24"/>
          <w:u w:val="single"/>
        </w:rPr>
      </w:pPr>
    </w:p>
    <w:p>
      <w:pPr>
        <w:spacing w:line="500" w:lineRule="exact"/>
        <w:ind w:firstLine="480" w:firstLineChars="200"/>
        <w:rPr>
          <w:rFonts w:ascii="宋体" w:hAnsi="宋体" w:cs="宋体"/>
          <w:sz w:val="24"/>
          <w:u w:val="single"/>
        </w:rPr>
      </w:pPr>
      <w:r>
        <w:rPr>
          <w:rFonts w:hint="eastAsia" w:ascii="宋体" w:hAnsi="宋体" w:cs="宋体"/>
          <w:sz w:val="24"/>
        </w:rPr>
        <w:t>致（采购人）：</w:t>
      </w:r>
    </w:p>
    <w:p>
      <w:pPr>
        <w:spacing w:line="500" w:lineRule="exact"/>
        <w:ind w:firstLine="480" w:firstLineChars="200"/>
        <w:rPr>
          <w:rFonts w:ascii="宋体" w:hAnsi="宋体" w:cs="宋体"/>
          <w:sz w:val="24"/>
        </w:rPr>
      </w:pPr>
      <w:r>
        <w:rPr>
          <w:rFonts w:hint="eastAsia" w:ascii="宋体" w:hAnsi="宋体" w:cs="宋体"/>
          <w:sz w:val="24"/>
        </w:rPr>
        <w:t xml:space="preserve"> 1.在研究了上述项目的竞争性磋商文件后，我公司愿意遵照竞争性磋商文件的要求参加的投标。</w:t>
      </w:r>
    </w:p>
    <w:p>
      <w:pPr>
        <w:spacing w:line="500" w:lineRule="exact"/>
        <w:ind w:firstLine="480" w:firstLineChars="200"/>
        <w:rPr>
          <w:rFonts w:ascii="宋体" w:hAnsi="宋体" w:cs="宋体"/>
          <w:sz w:val="24"/>
        </w:rPr>
      </w:pPr>
      <w:r>
        <w:rPr>
          <w:rFonts w:hint="eastAsia" w:ascii="宋体" w:hAnsi="宋体" w:cs="宋体"/>
          <w:sz w:val="24"/>
        </w:rPr>
        <w:t>同时，签字代表宣布承诺如下：</w:t>
      </w:r>
    </w:p>
    <w:p>
      <w:pPr>
        <w:spacing w:line="500" w:lineRule="exact"/>
        <w:ind w:firstLine="480" w:firstLineChars="200"/>
        <w:rPr>
          <w:rFonts w:ascii="宋体" w:hAnsi="宋体" w:cs="宋体"/>
          <w:sz w:val="24"/>
        </w:rPr>
      </w:pPr>
      <w:r>
        <w:rPr>
          <w:rFonts w:hint="eastAsia" w:ascii="宋体" w:hAnsi="宋体" w:cs="宋体"/>
          <w:sz w:val="24"/>
        </w:rPr>
        <w:t>⑴供应商已详细阅读全部竞争性磋商文件（含修改文件），并理解其实质性内容，同意承担其规定的全部义务和相关责任。</w:t>
      </w:r>
    </w:p>
    <w:p>
      <w:pPr>
        <w:spacing w:line="500" w:lineRule="exact"/>
        <w:ind w:firstLine="480" w:firstLineChars="200"/>
        <w:rPr>
          <w:rFonts w:ascii="宋体" w:hAnsi="宋体" w:cs="宋体"/>
          <w:sz w:val="24"/>
        </w:rPr>
      </w:pPr>
      <w:r>
        <w:rPr>
          <w:rFonts w:hint="eastAsia" w:ascii="宋体" w:hAnsi="宋体" w:cs="宋体"/>
          <w:sz w:val="24"/>
        </w:rPr>
        <w:t>⑵供应商严格按照竞争性磋商文件的规定报价，如被确定为成交人后，全面履行合同。</w:t>
      </w:r>
    </w:p>
    <w:p>
      <w:pPr>
        <w:spacing w:line="500" w:lineRule="exact"/>
        <w:ind w:firstLine="480" w:firstLineChars="200"/>
        <w:rPr>
          <w:rFonts w:ascii="宋体" w:hAnsi="宋体" w:cs="宋体"/>
          <w:sz w:val="24"/>
        </w:rPr>
      </w:pPr>
      <w:r>
        <w:rPr>
          <w:rFonts w:hint="eastAsia" w:ascii="宋体" w:hAnsi="宋体" w:cs="宋体"/>
          <w:sz w:val="24"/>
        </w:rPr>
        <w:t>⑶本投标有效期为90天；若在投标有效期内撤回投标，同意其磋商保证金将被采购人不予退还。</w:t>
      </w:r>
    </w:p>
    <w:p>
      <w:pPr>
        <w:spacing w:line="500" w:lineRule="exact"/>
        <w:ind w:firstLine="480" w:firstLineChars="200"/>
        <w:rPr>
          <w:rFonts w:ascii="宋体" w:hAnsi="宋体" w:cs="宋体"/>
          <w:sz w:val="24"/>
        </w:rPr>
      </w:pPr>
      <w:r>
        <w:rPr>
          <w:rFonts w:hint="eastAsia" w:ascii="宋体" w:hAnsi="宋体" w:cs="宋体"/>
          <w:sz w:val="24"/>
        </w:rPr>
        <w:t>(4)如提供虚假资质证明材料，依法接受处罚。</w:t>
      </w:r>
    </w:p>
    <w:p>
      <w:pPr>
        <w:spacing w:line="360" w:lineRule="atLeast"/>
        <w:ind w:left="120" w:hanging="120"/>
        <w:rPr>
          <w:rFonts w:ascii="宋体" w:hAnsi="宋体" w:cs="宋体"/>
          <w:sz w:val="24"/>
        </w:rPr>
      </w:pPr>
    </w:p>
    <w:p>
      <w:pPr>
        <w:ind w:left="120" w:hanging="120"/>
        <w:rPr>
          <w:rFonts w:ascii="宋体" w:hAnsi="宋体" w:cs="宋体"/>
          <w:sz w:val="24"/>
        </w:rPr>
      </w:pPr>
      <w:r>
        <w:rPr>
          <w:rFonts w:hint="eastAsia" w:ascii="宋体" w:hAnsi="宋体" w:cs="宋体"/>
          <w:sz w:val="24"/>
        </w:rPr>
        <w:t>与本投标有关的一切正式往来通讯如下：</w:t>
      </w:r>
    </w:p>
    <w:p>
      <w:pPr>
        <w:ind w:left="120" w:hanging="120"/>
        <w:rPr>
          <w:rFonts w:ascii="宋体" w:hAnsi="宋体" w:cs="宋体"/>
          <w:sz w:val="24"/>
          <w:u w:val="single"/>
        </w:rPr>
      </w:pPr>
      <w:r>
        <w:rPr>
          <w:rFonts w:hint="eastAsia" w:ascii="宋体" w:hAnsi="宋体" w:cs="宋体"/>
          <w:sz w:val="24"/>
        </w:rPr>
        <w:t xml:space="preserve">供应商地址： </w:t>
      </w:r>
    </w:p>
    <w:p>
      <w:pPr>
        <w:spacing w:line="240" w:lineRule="auto"/>
        <w:ind w:left="120" w:hanging="120"/>
        <w:rPr>
          <w:rFonts w:ascii="宋体" w:hAnsi="宋体" w:cs="宋体"/>
          <w:sz w:val="24"/>
          <w:u w:val="single"/>
        </w:rPr>
      </w:pPr>
      <w:r>
        <w:rPr>
          <w:rFonts w:hint="eastAsia" w:ascii="宋体" w:hAnsi="宋体" w:cs="宋体"/>
          <w:sz w:val="24"/>
        </w:rPr>
        <w:t>邮 政 编 码：供应商：</w:t>
      </w:r>
      <w:r>
        <w:rPr>
          <w:rFonts w:hint="eastAsia" w:ascii="宋体" w:hAnsi="宋体" w:cs="宋体"/>
          <w:sz w:val="24"/>
          <w:u w:val="single"/>
        </w:rPr>
        <w:t>（全称） （盖章）</w:t>
      </w:r>
    </w:p>
    <w:p>
      <w:pPr>
        <w:spacing w:line="240" w:lineRule="auto"/>
        <w:ind w:left="120" w:hanging="120"/>
        <w:rPr>
          <w:rFonts w:ascii="宋体" w:hAnsi="宋体" w:cs="宋体"/>
          <w:sz w:val="24"/>
        </w:rPr>
      </w:pPr>
      <w:r>
        <w:rPr>
          <w:rFonts w:hint="eastAsia" w:ascii="宋体" w:hAnsi="宋体" w:cs="宋体"/>
          <w:sz w:val="24"/>
        </w:rPr>
        <w:t>电      话：       法定代表人:</w:t>
      </w:r>
    </w:p>
    <w:p>
      <w:pPr>
        <w:spacing w:line="240" w:lineRule="auto"/>
        <w:ind w:left="120" w:hanging="120"/>
        <w:rPr>
          <w:rFonts w:ascii="宋体" w:hAnsi="宋体" w:cs="宋体"/>
          <w:sz w:val="24"/>
        </w:rPr>
      </w:pPr>
      <w:r>
        <w:rPr>
          <w:rFonts w:hint="eastAsia" w:ascii="宋体" w:hAnsi="宋体" w:cs="宋体"/>
          <w:sz w:val="24"/>
        </w:rPr>
        <w:t xml:space="preserve">传      真： </w:t>
      </w:r>
      <w:r>
        <w:rPr>
          <w:rFonts w:hint="eastAsia" w:ascii="宋体" w:hAnsi="宋体" w:cs="宋体"/>
          <w:sz w:val="24"/>
          <w:u w:val="single"/>
        </w:rPr>
        <w:t>（职务、姓名）  （签字或盖章）</w:t>
      </w:r>
    </w:p>
    <w:p>
      <w:pPr>
        <w:autoSpaceDE w:val="0"/>
        <w:autoSpaceDN w:val="0"/>
        <w:adjustRightInd w:val="0"/>
        <w:spacing w:line="240" w:lineRule="auto"/>
        <w:ind w:firstLine="4920" w:firstLineChars="2050"/>
        <w:rPr>
          <w:rFonts w:ascii="宋体" w:hAnsi="宋体" w:cs="宋体"/>
          <w:sz w:val="24"/>
        </w:rPr>
      </w:pPr>
    </w:p>
    <w:p>
      <w:pPr>
        <w:autoSpaceDE w:val="0"/>
        <w:autoSpaceDN w:val="0"/>
        <w:adjustRightInd w:val="0"/>
        <w:spacing w:line="240" w:lineRule="auto"/>
        <w:ind w:firstLine="4920" w:firstLineChars="2050"/>
        <w:rPr>
          <w:rFonts w:ascii="宋体" w:hAnsi="宋体" w:cs="宋体"/>
          <w:sz w:val="24"/>
        </w:rPr>
      </w:pPr>
    </w:p>
    <w:p>
      <w:pPr>
        <w:autoSpaceDE w:val="0"/>
        <w:autoSpaceDN w:val="0"/>
        <w:adjustRightInd w:val="0"/>
        <w:spacing w:line="240" w:lineRule="auto"/>
        <w:ind w:firstLine="4920" w:firstLineChars="2050"/>
        <w:rPr>
          <w:rFonts w:ascii="宋体" w:hAnsi="宋体" w:cs="宋体"/>
          <w:sz w:val="24"/>
        </w:rPr>
      </w:pPr>
    </w:p>
    <w:p>
      <w:pPr>
        <w:autoSpaceDE w:val="0"/>
        <w:autoSpaceDN w:val="0"/>
        <w:adjustRightInd w:val="0"/>
        <w:spacing w:line="240" w:lineRule="auto"/>
        <w:ind w:firstLine="4920" w:firstLineChars="2050"/>
        <w:rPr>
          <w:rFonts w:ascii="宋体" w:hAnsi="宋体" w:cs="宋体"/>
          <w:b/>
          <w:sz w:val="24"/>
          <w:lang w:val="zh-CN"/>
        </w:rPr>
      </w:pPr>
      <w:r>
        <w:rPr>
          <w:rFonts w:hint="eastAsia" w:ascii="宋体" w:hAnsi="宋体" w:cs="宋体"/>
          <w:sz w:val="24"/>
        </w:rPr>
        <w:t>日期：年月日</w:t>
      </w:r>
    </w:p>
    <w:p>
      <w:pPr>
        <w:ind w:left="120" w:hanging="120"/>
        <w:rPr>
          <w:rFonts w:ascii="宋体" w:hAnsi="宋体" w:cs="宋体"/>
          <w:sz w:val="24"/>
          <w:lang w:val="zh-CN"/>
        </w:rPr>
      </w:pPr>
    </w:p>
    <w:p>
      <w:pPr>
        <w:ind w:left="120" w:hanging="120"/>
        <w:rPr>
          <w:rFonts w:ascii="宋体" w:hAnsi="宋体" w:cs="宋体"/>
          <w:sz w:val="24"/>
          <w:lang w:val="zh-CN"/>
        </w:rPr>
      </w:pPr>
    </w:p>
    <w:p>
      <w:pPr>
        <w:ind w:left="120" w:hanging="120"/>
        <w:rPr>
          <w:rFonts w:ascii="宋体" w:hAnsi="宋体" w:cs="宋体"/>
          <w:sz w:val="24"/>
          <w:lang w:val="zh-CN"/>
        </w:rPr>
      </w:pPr>
    </w:p>
    <w:p>
      <w:pPr>
        <w:ind w:left="120" w:hanging="120"/>
        <w:rPr>
          <w:rFonts w:ascii="宋体" w:hAnsi="宋体" w:cs="宋体"/>
          <w:sz w:val="24"/>
          <w:lang w:val="zh-CN"/>
        </w:rPr>
      </w:pPr>
    </w:p>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投标承诺书（二）</w:t>
      </w:r>
    </w:p>
    <w:p>
      <w:pPr>
        <w:autoSpaceDE w:val="0"/>
        <w:autoSpaceDN w:val="0"/>
        <w:adjustRightInd w:val="0"/>
        <w:ind w:left="120" w:hanging="120"/>
        <w:jc w:val="center"/>
        <w:rPr>
          <w:rFonts w:ascii="宋体" w:hAnsi="宋体" w:cs="宋体"/>
          <w:b/>
          <w:bCs/>
          <w:sz w:val="24"/>
          <w:lang w:val="zh-CN"/>
        </w:rPr>
      </w:pPr>
    </w:p>
    <w:p>
      <w:pPr>
        <w:autoSpaceDE w:val="0"/>
        <w:autoSpaceDN w:val="0"/>
        <w:adjustRightInd w:val="0"/>
        <w:ind w:left="120" w:hanging="120"/>
        <w:rPr>
          <w:rFonts w:ascii="宋体" w:hAnsi="宋体" w:cs="宋体"/>
          <w:sz w:val="24"/>
          <w:u w:val="single"/>
          <w:lang w:val="zh-CN"/>
        </w:rPr>
      </w:pPr>
      <w:r>
        <w:rPr>
          <w:rFonts w:hint="eastAsia" w:ascii="宋体" w:hAnsi="宋体" w:cs="宋体"/>
          <w:sz w:val="24"/>
          <w:lang w:val="zh-CN"/>
        </w:rPr>
        <w:t>采购人：</w:t>
      </w:r>
    </w:p>
    <w:p>
      <w:pPr>
        <w:autoSpaceDE w:val="0"/>
        <w:autoSpaceDN w:val="0"/>
        <w:adjustRightInd w:val="0"/>
        <w:ind w:left="120" w:hanging="120"/>
        <w:rPr>
          <w:rFonts w:ascii="宋体" w:hAnsi="宋体" w:cs="宋体"/>
          <w:sz w:val="24"/>
          <w:u w:val="single"/>
          <w:lang w:val="zh-CN"/>
        </w:rPr>
      </w:pPr>
    </w:p>
    <w:p>
      <w:pPr>
        <w:autoSpaceDE w:val="0"/>
        <w:autoSpaceDN w:val="0"/>
        <w:adjustRightInd w:val="0"/>
        <w:ind w:left="120" w:hanging="120"/>
        <w:rPr>
          <w:rFonts w:ascii="宋体" w:hAnsi="宋体" w:cs="宋体"/>
          <w:sz w:val="24"/>
          <w:lang w:val="zh-CN"/>
        </w:rPr>
      </w:pPr>
      <w:r>
        <w:rPr>
          <w:rFonts w:hint="eastAsia" w:ascii="宋体" w:hAnsi="宋体" w:cs="宋体"/>
          <w:sz w:val="24"/>
          <w:lang w:val="zh-CN"/>
        </w:rPr>
        <w:t>若我公司成交后，项目负责人为：</w:t>
      </w:r>
    </w:p>
    <w:p>
      <w:pPr>
        <w:autoSpaceDE w:val="0"/>
        <w:autoSpaceDN w:val="0"/>
        <w:adjustRightInd w:val="0"/>
        <w:ind w:left="120" w:hanging="120"/>
        <w:rPr>
          <w:rFonts w:ascii="宋体" w:hAnsi="宋体" w:cs="宋体"/>
          <w:sz w:val="24"/>
          <w:lang w:val="zh-CN"/>
        </w:rPr>
      </w:pPr>
    </w:p>
    <w:tbl>
      <w:tblPr>
        <w:tblStyle w:val="74"/>
        <w:tblW w:w="9855" w:type="dxa"/>
        <w:tblInd w:w="0" w:type="dxa"/>
        <w:tblLayout w:type="fixed"/>
        <w:tblCellMar>
          <w:top w:w="0" w:type="dxa"/>
          <w:left w:w="108" w:type="dxa"/>
          <w:bottom w:w="0" w:type="dxa"/>
          <w:right w:w="108" w:type="dxa"/>
        </w:tblCellMar>
      </w:tblPr>
      <w:tblGrid>
        <w:gridCol w:w="2463"/>
        <w:gridCol w:w="2464"/>
        <w:gridCol w:w="2464"/>
        <w:gridCol w:w="2464"/>
      </w:tblGrid>
      <w:tr>
        <w:tblPrEx>
          <w:tblCellMar>
            <w:top w:w="0" w:type="dxa"/>
            <w:left w:w="108" w:type="dxa"/>
            <w:bottom w:w="0" w:type="dxa"/>
            <w:right w:w="108" w:type="dxa"/>
          </w:tblCellMar>
        </w:tblPrEx>
        <w:trPr>
          <w:trHeight w:val="296"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姓名</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lang w:val="zh-CN"/>
              </w:rPr>
            </w:pP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职称（</w:t>
            </w:r>
            <w:r>
              <w:rPr>
                <w:rFonts w:hint="eastAsia" w:ascii="宋体" w:hAnsi="宋体" w:cs="宋体"/>
                <w:sz w:val="24"/>
              </w:rPr>
              <w:t>如有</w:t>
            </w:r>
            <w:r>
              <w:rPr>
                <w:rFonts w:hint="eastAsia" w:ascii="宋体" w:hAnsi="宋体" w:cs="宋体"/>
                <w:sz w:val="24"/>
                <w:lang w:val="zh-CN"/>
              </w:rPr>
              <w:t>）</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lang w:val="zh-CN"/>
              </w:rPr>
            </w:pPr>
          </w:p>
        </w:tc>
      </w:tr>
      <w:tr>
        <w:tblPrEx>
          <w:tblCellMar>
            <w:top w:w="0" w:type="dxa"/>
            <w:left w:w="108" w:type="dxa"/>
            <w:bottom w:w="0" w:type="dxa"/>
            <w:right w:w="108" w:type="dxa"/>
          </w:tblCellMar>
        </w:tblPrEx>
        <w:trPr>
          <w:trHeight w:val="327"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lang w:val="zh-CN"/>
              </w:rPr>
              <w:t>证书编号（</w:t>
            </w:r>
            <w:r>
              <w:rPr>
                <w:rFonts w:hint="eastAsia" w:ascii="宋体" w:hAnsi="宋体" w:cs="宋体"/>
                <w:sz w:val="24"/>
              </w:rPr>
              <w:t>如有</w:t>
            </w:r>
            <w:r>
              <w:rPr>
                <w:rFonts w:hint="eastAsia" w:ascii="宋体" w:hAnsi="宋体" w:cs="宋体"/>
                <w:sz w:val="24"/>
                <w:lang w:val="zh-CN"/>
              </w:rPr>
              <w:t>）</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rPr>
              <w:t>专业（如有）</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p>
        </w:tc>
      </w:tr>
      <w:tr>
        <w:tblPrEx>
          <w:tblCellMar>
            <w:top w:w="0" w:type="dxa"/>
            <w:left w:w="108" w:type="dxa"/>
            <w:bottom w:w="0" w:type="dxa"/>
            <w:right w:w="108" w:type="dxa"/>
          </w:tblCellMar>
        </w:tblPrEx>
        <w:trPr>
          <w:trHeight w:val="360"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lang w:val="zh-CN"/>
              </w:rPr>
              <w:t>身份证号码</w:t>
            </w:r>
          </w:p>
        </w:tc>
        <w:tc>
          <w:tcPr>
            <w:tcW w:w="739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p>
        </w:tc>
      </w:tr>
    </w:tbl>
    <w:p>
      <w:pPr>
        <w:autoSpaceDE w:val="0"/>
        <w:autoSpaceDN w:val="0"/>
        <w:adjustRightInd w:val="0"/>
        <w:ind w:left="120" w:hanging="120"/>
        <w:rPr>
          <w:rFonts w:ascii="宋体" w:hAnsi="宋体" w:cs="宋体"/>
          <w:sz w:val="24"/>
        </w:rPr>
      </w:pPr>
    </w:p>
    <w:p>
      <w:pPr>
        <w:spacing w:line="500" w:lineRule="exact"/>
        <w:ind w:left="0" w:right="0" w:firstLine="480" w:firstLineChars="200"/>
        <w:rPr>
          <w:rFonts w:ascii="宋体" w:hAnsi="宋体" w:cs="宋体"/>
          <w:sz w:val="24"/>
        </w:rPr>
      </w:pPr>
      <w:r>
        <w:rPr>
          <w:rFonts w:hint="eastAsia" w:ascii="宋体" w:hAnsi="宋体" w:cs="宋体"/>
          <w:sz w:val="24"/>
        </w:rPr>
        <w:t>成交后，我公司拟派本项目的工作服务人员为人。项目负责人为我公司主要领导人员，具有统管和协调本项目人员和网站开发的能力。若由于特殊原因须更换项目负责人时，我公司将以资质、业绩以及信誉不低于此项目负责人的人员替换，并报业主审查。经审查通过后，方可更换。若未经业主批准，我公司擅自更换项目负责人，我公司愿以合同价的</w:t>
      </w:r>
      <w:r>
        <w:rPr>
          <w:rFonts w:hint="eastAsia" w:ascii="宋体" w:hAnsi="宋体" w:cs="宋体"/>
          <w:sz w:val="24"/>
          <w:u w:val="single"/>
        </w:rPr>
        <w:t xml:space="preserve">    %</w:t>
      </w:r>
      <w:r>
        <w:rPr>
          <w:rFonts w:hint="eastAsia" w:ascii="宋体" w:hAnsi="宋体" w:cs="宋体"/>
          <w:sz w:val="24"/>
        </w:rPr>
        <w:t>作为赔偿金。</w:t>
      </w:r>
    </w:p>
    <w:p>
      <w:pPr>
        <w:autoSpaceDE w:val="0"/>
        <w:autoSpaceDN w:val="0"/>
        <w:adjustRightInd w:val="0"/>
        <w:ind w:left="120" w:hanging="120"/>
        <w:rPr>
          <w:rFonts w:ascii="宋体" w:hAnsi="宋体" w:cs="宋体"/>
          <w:sz w:val="24"/>
          <w:lang w:val="zh-CN"/>
        </w:rPr>
      </w:pPr>
    </w:p>
    <w:p>
      <w:pPr>
        <w:autoSpaceDE w:val="0"/>
        <w:autoSpaceDN w:val="0"/>
        <w:adjustRightInd w:val="0"/>
        <w:ind w:left="120" w:hanging="120"/>
        <w:rPr>
          <w:rFonts w:ascii="宋体" w:hAnsi="宋体" w:cs="宋体"/>
          <w:sz w:val="24"/>
          <w:lang w:val="zh-CN"/>
        </w:rPr>
      </w:pPr>
      <w:r>
        <w:rPr>
          <w:rFonts w:hint="eastAsia" w:ascii="宋体" w:hAnsi="宋体" w:cs="宋体"/>
          <w:sz w:val="24"/>
          <w:lang w:val="zh-CN"/>
        </w:rPr>
        <w:t>供应商：（盖章）</w:t>
      </w:r>
    </w:p>
    <w:p>
      <w:pPr>
        <w:autoSpaceDE w:val="0"/>
        <w:autoSpaceDN w:val="0"/>
        <w:adjustRightInd w:val="0"/>
        <w:spacing w:line="500" w:lineRule="exact"/>
        <w:ind w:left="120" w:hanging="120"/>
        <w:rPr>
          <w:rFonts w:ascii="宋体" w:hAnsi="宋体" w:cs="宋体"/>
          <w:sz w:val="24"/>
          <w:lang w:val="zh-CN"/>
        </w:rPr>
      </w:pPr>
    </w:p>
    <w:p>
      <w:pPr>
        <w:autoSpaceDE w:val="0"/>
        <w:autoSpaceDN w:val="0"/>
        <w:adjustRightInd w:val="0"/>
        <w:spacing w:line="500" w:lineRule="exact"/>
        <w:ind w:left="120" w:hanging="120"/>
        <w:rPr>
          <w:rFonts w:ascii="宋体" w:hAnsi="宋体" w:cs="宋体"/>
          <w:sz w:val="24"/>
          <w:lang w:val="zh-CN"/>
        </w:rPr>
      </w:pPr>
      <w:r>
        <w:rPr>
          <w:rFonts w:hint="eastAsia" w:ascii="宋体" w:hAnsi="宋体" w:cs="宋体"/>
          <w:sz w:val="24"/>
          <w:lang w:val="zh-CN"/>
        </w:rPr>
        <w:t>法定代表人或授权代理人：（签字或盖章）</w:t>
      </w:r>
    </w:p>
    <w:p>
      <w:pPr>
        <w:autoSpaceDE w:val="0"/>
        <w:autoSpaceDN w:val="0"/>
        <w:adjustRightInd w:val="0"/>
        <w:spacing w:line="500" w:lineRule="exact"/>
        <w:ind w:left="120" w:hanging="120"/>
        <w:rPr>
          <w:rFonts w:ascii="宋体" w:hAnsi="宋体" w:cs="宋体"/>
          <w:sz w:val="24"/>
          <w:lang w:val="zh-CN"/>
        </w:rPr>
      </w:pPr>
      <w:r>
        <w:rPr>
          <w:rFonts w:hint="eastAsia" w:ascii="宋体" w:hAnsi="宋体" w:cs="宋体"/>
          <w:sz w:val="24"/>
          <w:lang w:val="zh-CN"/>
        </w:rPr>
        <w:t xml:space="preserve">                                          日期：年月日</w:t>
      </w:r>
    </w:p>
    <w:p>
      <w:pPr>
        <w:ind w:left="120" w:hanging="120"/>
        <w:rPr>
          <w:rFonts w:ascii="宋体" w:hAnsi="宋体" w:cs="宋体"/>
          <w:sz w:val="24"/>
          <w:lang w:val="zh-CN"/>
        </w:rPr>
      </w:pPr>
    </w:p>
    <w:p>
      <w:pPr>
        <w:ind w:left="120" w:hanging="120"/>
        <w:rPr>
          <w:rFonts w:ascii="宋体" w:hAnsi="宋体" w:cs="宋体"/>
          <w:sz w:val="24"/>
          <w:lang w:val="zh-CN"/>
        </w:rPr>
      </w:pPr>
    </w:p>
    <w:p>
      <w:pPr>
        <w:ind w:left="120" w:hanging="120"/>
        <w:rPr>
          <w:rFonts w:ascii="宋体" w:hAnsi="宋体" w:cs="宋体"/>
          <w:b/>
          <w:sz w:val="30"/>
          <w:szCs w:val="20"/>
        </w:rPr>
      </w:pPr>
      <w:r>
        <w:rPr>
          <w:rFonts w:hint="eastAsia" w:ascii="宋体" w:hAnsi="宋体" w:cs="宋体"/>
          <w:sz w:val="24"/>
          <w:lang w:val="zh-CN"/>
        </w:rPr>
        <w:br w:type="page"/>
      </w:r>
      <w:r>
        <w:rPr>
          <w:rFonts w:hint="eastAsia" w:ascii="宋体" w:hAnsi="宋体" w:cs="宋体"/>
          <w:b/>
          <w:sz w:val="24"/>
        </w:rPr>
        <w:t xml:space="preserve">2、 </w:t>
      </w:r>
      <w:r>
        <w:rPr>
          <w:rFonts w:hint="eastAsia" w:ascii="宋体" w:hAnsi="宋体" w:cs="宋体"/>
          <w:b/>
          <w:sz w:val="30"/>
          <w:szCs w:val="20"/>
        </w:rPr>
        <w:t>开标一览表</w:t>
      </w:r>
    </w:p>
    <w:p>
      <w:pPr>
        <w:ind w:left="140" w:hanging="140"/>
        <w:rPr>
          <w:rFonts w:ascii="宋体" w:hAnsi="宋体" w:cs="宋体"/>
        </w:rPr>
      </w:pPr>
      <w:r>
        <w:rPr>
          <w:rFonts w:hint="eastAsia" w:ascii="宋体" w:hAnsi="宋体" w:cs="宋体"/>
          <w:sz w:val="28"/>
        </w:rPr>
        <w:t>竞争性磋商文件编号：</w:t>
      </w:r>
    </w:p>
    <w:tbl>
      <w:tblPr>
        <w:tblStyle w:val="74"/>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966"/>
        <w:gridCol w:w="1848"/>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390" w:type="dxa"/>
            <w:vAlign w:val="center"/>
          </w:tcPr>
          <w:p>
            <w:pPr>
              <w:pStyle w:val="160"/>
              <w:jc w:val="center"/>
              <w:rPr>
                <w:rFonts w:ascii="宋体" w:hAnsi="宋体" w:cs="宋体"/>
                <w:color w:val="auto"/>
              </w:rPr>
            </w:pPr>
            <w:r>
              <w:rPr>
                <w:rFonts w:hint="eastAsia" w:ascii="宋体" w:hAnsi="宋体" w:cs="宋体"/>
                <w:color w:val="auto"/>
              </w:rPr>
              <w:t>名 称</w:t>
            </w:r>
          </w:p>
        </w:tc>
        <w:tc>
          <w:tcPr>
            <w:tcW w:w="1966" w:type="dxa"/>
            <w:vAlign w:val="center"/>
          </w:tcPr>
          <w:p>
            <w:pPr>
              <w:pStyle w:val="160"/>
              <w:ind w:firstLine="81" w:firstLineChars="34"/>
              <w:jc w:val="center"/>
              <w:rPr>
                <w:rFonts w:ascii="宋体" w:hAnsi="宋体" w:cs="宋体"/>
                <w:color w:val="auto"/>
              </w:rPr>
            </w:pPr>
            <w:r>
              <w:rPr>
                <w:rFonts w:hint="eastAsia" w:ascii="宋体" w:hAnsi="宋体" w:cs="宋体"/>
                <w:color w:val="auto"/>
              </w:rPr>
              <w:t>总价（元）</w:t>
            </w:r>
          </w:p>
        </w:tc>
        <w:tc>
          <w:tcPr>
            <w:tcW w:w="1848" w:type="dxa"/>
            <w:vAlign w:val="center"/>
          </w:tcPr>
          <w:p>
            <w:pPr>
              <w:pStyle w:val="160"/>
              <w:ind w:firstLine="81" w:firstLineChars="34"/>
              <w:jc w:val="center"/>
              <w:rPr>
                <w:rFonts w:ascii="宋体" w:hAnsi="宋体" w:cs="宋体"/>
                <w:color w:val="auto"/>
                <w:highlight w:val="yellow"/>
              </w:rPr>
            </w:pPr>
            <w:r>
              <w:rPr>
                <w:rFonts w:hint="eastAsia" w:ascii="宋体" w:hAnsi="宋体" w:cs="宋体"/>
                <w:color w:val="auto"/>
              </w:rPr>
              <w:t>服务期</w:t>
            </w:r>
          </w:p>
        </w:tc>
        <w:tc>
          <w:tcPr>
            <w:tcW w:w="3001" w:type="dxa"/>
            <w:vAlign w:val="center"/>
          </w:tcPr>
          <w:p>
            <w:pPr>
              <w:pStyle w:val="160"/>
              <w:jc w:val="center"/>
              <w:rPr>
                <w:rFonts w:ascii="宋体" w:hAnsi="宋体" w:cs="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390" w:type="dxa"/>
            <w:vAlign w:val="center"/>
          </w:tcPr>
          <w:p>
            <w:pPr>
              <w:ind w:left="120" w:hanging="120"/>
              <w:jc w:val="center"/>
              <w:rPr>
                <w:rFonts w:ascii="宋体" w:hAnsi="宋体" w:cs="宋体"/>
                <w:b/>
                <w:kern w:val="0"/>
                <w:sz w:val="24"/>
              </w:rPr>
            </w:pPr>
          </w:p>
        </w:tc>
        <w:tc>
          <w:tcPr>
            <w:tcW w:w="1966" w:type="dxa"/>
            <w:vAlign w:val="center"/>
          </w:tcPr>
          <w:p>
            <w:pPr>
              <w:pStyle w:val="160"/>
              <w:jc w:val="center"/>
              <w:rPr>
                <w:rFonts w:ascii="宋体" w:hAnsi="宋体" w:cs="宋体"/>
                <w:color w:val="auto"/>
              </w:rPr>
            </w:pPr>
          </w:p>
        </w:tc>
        <w:tc>
          <w:tcPr>
            <w:tcW w:w="1848" w:type="dxa"/>
            <w:vAlign w:val="center"/>
          </w:tcPr>
          <w:p>
            <w:pPr>
              <w:pStyle w:val="160"/>
              <w:jc w:val="center"/>
              <w:rPr>
                <w:rFonts w:ascii="宋体" w:hAnsi="宋体" w:cs="宋体"/>
                <w:color w:val="auto"/>
                <w:highlight w:val="yellow"/>
              </w:rPr>
            </w:pPr>
          </w:p>
        </w:tc>
        <w:tc>
          <w:tcPr>
            <w:tcW w:w="3001" w:type="dxa"/>
            <w:vAlign w:val="center"/>
          </w:tcPr>
          <w:p>
            <w:pPr>
              <w:pStyle w:val="16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hAnsi="宋体" w:cs="宋体"/>
                <w:b/>
                <w:kern w:val="0"/>
                <w:sz w:val="24"/>
              </w:rPr>
            </w:pPr>
          </w:p>
        </w:tc>
        <w:tc>
          <w:tcPr>
            <w:tcW w:w="1966" w:type="dxa"/>
          </w:tcPr>
          <w:p>
            <w:pPr>
              <w:ind w:left="120" w:hanging="120"/>
              <w:rPr>
                <w:rFonts w:ascii="宋体" w:hAnsi="宋体" w:cs="宋体"/>
                <w:sz w:val="24"/>
              </w:rPr>
            </w:pPr>
          </w:p>
        </w:tc>
        <w:tc>
          <w:tcPr>
            <w:tcW w:w="1848" w:type="dxa"/>
            <w:vAlign w:val="center"/>
          </w:tcPr>
          <w:p>
            <w:pPr>
              <w:ind w:left="120" w:hanging="120"/>
              <w:rPr>
                <w:rFonts w:ascii="宋体" w:hAnsi="宋体" w:cs="宋体"/>
                <w:sz w:val="24"/>
              </w:rPr>
            </w:pPr>
          </w:p>
        </w:tc>
        <w:tc>
          <w:tcPr>
            <w:tcW w:w="3001" w:type="dxa"/>
            <w:vAlign w:val="center"/>
          </w:tcPr>
          <w:p>
            <w:pPr>
              <w:ind w:left="120" w:hanging="12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hAnsi="宋体" w:cs="宋体"/>
                <w:b/>
                <w:kern w:val="0"/>
                <w:sz w:val="24"/>
              </w:rPr>
            </w:pPr>
          </w:p>
        </w:tc>
        <w:tc>
          <w:tcPr>
            <w:tcW w:w="1966" w:type="dxa"/>
          </w:tcPr>
          <w:p>
            <w:pPr>
              <w:ind w:left="120" w:hanging="120"/>
              <w:rPr>
                <w:rFonts w:ascii="宋体" w:hAnsi="宋体" w:cs="宋体"/>
                <w:sz w:val="24"/>
              </w:rPr>
            </w:pPr>
          </w:p>
        </w:tc>
        <w:tc>
          <w:tcPr>
            <w:tcW w:w="1848" w:type="dxa"/>
            <w:vAlign w:val="center"/>
          </w:tcPr>
          <w:p>
            <w:pPr>
              <w:ind w:left="120" w:hanging="120"/>
              <w:rPr>
                <w:rFonts w:ascii="宋体" w:hAnsi="宋体" w:cs="宋体"/>
                <w:sz w:val="24"/>
              </w:rPr>
            </w:pPr>
          </w:p>
        </w:tc>
        <w:tc>
          <w:tcPr>
            <w:tcW w:w="3001" w:type="dxa"/>
            <w:vAlign w:val="center"/>
          </w:tcPr>
          <w:p>
            <w:pPr>
              <w:ind w:left="120" w:hanging="12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hAnsi="宋体" w:cs="宋体"/>
                <w:b/>
                <w:kern w:val="0"/>
                <w:sz w:val="24"/>
              </w:rPr>
            </w:pPr>
          </w:p>
        </w:tc>
        <w:tc>
          <w:tcPr>
            <w:tcW w:w="1966" w:type="dxa"/>
          </w:tcPr>
          <w:p>
            <w:pPr>
              <w:ind w:left="120" w:hanging="120"/>
              <w:rPr>
                <w:rFonts w:ascii="宋体" w:hAnsi="宋体" w:cs="宋体"/>
                <w:sz w:val="24"/>
              </w:rPr>
            </w:pPr>
          </w:p>
        </w:tc>
        <w:tc>
          <w:tcPr>
            <w:tcW w:w="1848" w:type="dxa"/>
            <w:vAlign w:val="center"/>
          </w:tcPr>
          <w:p>
            <w:pPr>
              <w:ind w:left="120" w:hanging="120"/>
              <w:rPr>
                <w:rFonts w:ascii="宋体" w:hAnsi="宋体" w:cs="宋体"/>
                <w:sz w:val="24"/>
              </w:rPr>
            </w:pPr>
          </w:p>
        </w:tc>
        <w:tc>
          <w:tcPr>
            <w:tcW w:w="3001" w:type="dxa"/>
            <w:vAlign w:val="center"/>
          </w:tcPr>
          <w:p>
            <w:pPr>
              <w:ind w:left="120" w:hanging="12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90" w:type="dxa"/>
            <w:vMerge w:val="restart"/>
            <w:vAlign w:val="center"/>
          </w:tcPr>
          <w:p>
            <w:pPr>
              <w:ind w:left="140" w:hanging="140"/>
              <w:jc w:val="center"/>
              <w:rPr>
                <w:rFonts w:ascii="宋体" w:hAnsi="宋体" w:cs="宋体"/>
                <w:sz w:val="28"/>
                <w:szCs w:val="28"/>
              </w:rPr>
            </w:pPr>
            <w:r>
              <w:rPr>
                <w:rFonts w:hint="eastAsia" w:ascii="宋体" w:hAnsi="宋体" w:cs="宋体"/>
                <w:sz w:val="28"/>
                <w:szCs w:val="28"/>
              </w:rPr>
              <w:t>总报价</w:t>
            </w:r>
          </w:p>
        </w:tc>
        <w:tc>
          <w:tcPr>
            <w:tcW w:w="6815" w:type="dxa"/>
            <w:gridSpan w:val="3"/>
            <w:vAlign w:val="center"/>
          </w:tcPr>
          <w:p>
            <w:pPr>
              <w:ind w:left="140" w:hanging="140"/>
              <w:rPr>
                <w:rFonts w:ascii="宋体" w:hAnsi="宋体" w:cs="宋体"/>
                <w:sz w:val="28"/>
                <w:szCs w:val="28"/>
              </w:rPr>
            </w:pPr>
            <w:r>
              <w:rPr>
                <w:rFonts w:hint="eastAsia" w:ascii="宋体" w:hAnsi="宋体" w:cs="宋体"/>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390" w:type="dxa"/>
            <w:vMerge w:val="continue"/>
            <w:vAlign w:val="center"/>
          </w:tcPr>
          <w:p>
            <w:pPr>
              <w:ind w:left="140" w:hanging="140"/>
              <w:jc w:val="center"/>
              <w:rPr>
                <w:rFonts w:ascii="宋体" w:hAnsi="宋体" w:cs="宋体"/>
                <w:sz w:val="28"/>
                <w:szCs w:val="28"/>
              </w:rPr>
            </w:pPr>
          </w:p>
        </w:tc>
        <w:tc>
          <w:tcPr>
            <w:tcW w:w="6815" w:type="dxa"/>
            <w:gridSpan w:val="3"/>
            <w:vAlign w:val="center"/>
          </w:tcPr>
          <w:p>
            <w:pPr>
              <w:ind w:left="140" w:hanging="140"/>
              <w:rPr>
                <w:rFonts w:ascii="宋体" w:hAnsi="宋体" w:cs="宋体"/>
                <w:sz w:val="28"/>
                <w:szCs w:val="28"/>
              </w:rPr>
            </w:pPr>
            <w:r>
              <w:rPr>
                <w:rFonts w:hint="eastAsia" w:ascii="宋体" w:hAnsi="宋体" w:cs="宋体"/>
                <w:sz w:val="28"/>
                <w:szCs w:val="28"/>
              </w:rPr>
              <w:t>大写：</w:t>
            </w:r>
          </w:p>
        </w:tc>
      </w:tr>
    </w:tbl>
    <w:p>
      <w:pPr>
        <w:pStyle w:val="163"/>
        <w:rPr>
          <w:rFonts w:ascii="宋体" w:hAnsi="宋体" w:cs="宋体"/>
          <w:color w:val="auto"/>
        </w:rPr>
      </w:pPr>
    </w:p>
    <w:p>
      <w:pPr>
        <w:pStyle w:val="163"/>
        <w:rPr>
          <w:rFonts w:ascii="宋体" w:hAnsi="宋体" w:cs="宋体"/>
          <w:color w:val="auto"/>
        </w:rPr>
      </w:pPr>
      <w:r>
        <w:rPr>
          <w:rFonts w:hint="eastAsia" w:ascii="宋体" w:hAnsi="宋体" w:cs="宋体"/>
          <w:color w:val="auto"/>
        </w:rPr>
        <w:t>供应商法人授权代表签字：</w:t>
      </w:r>
    </w:p>
    <w:p>
      <w:pPr>
        <w:widowControl/>
        <w:snapToGrid w:val="0"/>
        <w:spacing w:line="400" w:lineRule="exact"/>
        <w:ind w:left="120" w:hanging="120"/>
        <w:jc w:val="left"/>
        <w:rPr>
          <w:rFonts w:ascii="宋体" w:hAnsi="宋体" w:cs="宋体"/>
          <w:b/>
          <w:sz w:val="24"/>
        </w:rPr>
      </w:pPr>
      <w:r>
        <w:rPr>
          <w:rFonts w:hint="eastAsia" w:ascii="宋体" w:hAnsi="宋体" w:cs="宋体"/>
          <w:b/>
          <w:sz w:val="24"/>
        </w:rPr>
        <w:t>1、此表另需单独装在密封袋中。</w:t>
      </w:r>
    </w:p>
    <w:p>
      <w:pPr>
        <w:widowControl/>
        <w:snapToGrid w:val="0"/>
        <w:spacing w:line="400" w:lineRule="exact"/>
        <w:ind w:left="120" w:hanging="120"/>
        <w:jc w:val="left"/>
        <w:rPr>
          <w:rFonts w:ascii="宋体" w:hAnsi="宋体" w:cs="宋体"/>
          <w:b/>
          <w:sz w:val="24"/>
        </w:rPr>
      </w:pPr>
      <w:r>
        <w:rPr>
          <w:rFonts w:hint="eastAsia" w:ascii="宋体" w:hAnsi="宋体" w:cs="宋体"/>
          <w:b/>
          <w:sz w:val="24"/>
        </w:rPr>
        <w:t>2、以上报价包含本项目相关服务的全部费用；</w:t>
      </w:r>
    </w:p>
    <w:p>
      <w:pPr>
        <w:widowControl/>
        <w:snapToGrid w:val="0"/>
        <w:spacing w:line="400" w:lineRule="exact"/>
        <w:ind w:left="120" w:hanging="120"/>
        <w:jc w:val="left"/>
        <w:rPr>
          <w:rFonts w:ascii="宋体" w:hAnsi="宋体" w:cs="宋体"/>
          <w:b/>
          <w:sz w:val="24"/>
        </w:rPr>
      </w:pPr>
      <w:r>
        <w:rPr>
          <w:rFonts w:hint="eastAsia" w:ascii="宋体" w:hAnsi="宋体" w:cs="宋体"/>
          <w:b/>
          <w:sz w:val="24"/>
        </w:rPr>
        <w:t>3、在表上供应商法人授权代表签字，否则无效；</w:t>
      </w:r>
    </w:p>
    <w:p>
      <w:pPr>
        <w:widowControl/>
        <w:snapToGrid w:val="0"/>
        <w:spacing w:line="400" w:lineRule="exact"/>
        <w:ind w:left="120" w:hanging="120"/>
        <w:jc w:val="left"/>
        <w:rPr>
          <w:rFonts w:ascii="宋体" w:hAnsi="宋体" w:cs="宋体"/>
          <w:b/>
          <w:sz w:val="24"/>
        </w:rPr>
      </w:pPr>
      <w:r>
        <w:rPr>
          <w:rFonts w:hint="eastAsia" w:ascii="宋体" w:hAnsi="宋体" w:cs="宋体"/>
          <w:b/>
          <w:sz w:val="24"/>
        </w:rPr>
        <w:t>4、报价保留两位小数。</w:t>
      </w:r>
    </w:p>
    <w:p>
      <w:pPr>
        <w:widowControl/>
        <w:snapToGrid w:val="0"/>
        <w:spacing w:line="400" w:lineRule="exact"/>
        <w:ind w:left="120" w:hanging="120"/>
        <w:jc w:val="left"/>
        <w:rPr>
          <w:rFonts w:ascii="宋体" w:hAnsi="宋体" w:cs="宋体"/>
          <w:b/>
          <w:sz w:val="24"/>
        </w:rPr>
      </w:pPr>
      <w:r>
        <w:rPr>
          <w:rFonts w:hint="eastAsia" w:ascii="宋体" w:hAnsi="宋体" w:cs="宋体"/>
          <w:b/>
          <w:sz w:val="24"/>
        </w:rPr>
        <w:t>5、此表在内容一致的情况下，可自行制作。</w:t>
      </w:r>
    </w:p>
    <w:p>
      <w:pPr>
        <w:widowControl/>
        <w:snapToGrid w:val="0"/>
        <w:spacing w:line="400" w:lineRule="exact"/>
        <w:ind w:left="120" w:hanging="120"/>
        <w:jc w:val="left"/>
        <w:rPr>
          <w:rFonts w:ascii="宋体" w:hAnsi="宋体" w:cs="宋体"/>
          <w:b/>
          <w:sz w:val="24"/>
        </w:rPr>
      </w:pPr>
    </w:p>
    <w:p>
      <w:pPr>
        <w:widowControl/>
        <w:snapToGrid w:val="0"/>
        <w:spacing w:line="400" w:lineRule="exact"/>
        <w:ind w:left="120" w:hanging="120"/>
        <w:jc w:val="left"/>
        <w:rPr>
          <w:rFonts w:ascii="宋体" w:hAnsi="宋体" w:cs="宋体"/>
          <w:b/>
          <w:sz w:val="24"/>
        </w:rPr>
      </w:pPr>
    </w:p>
    <w:p>
      <w:pPr>
        <w:pStyle w:val="6"/>
        <w:ind w:left="161" w:hanging="161"/>
        <w:rPr>
          <w:rFonts w:ascii="宋体" w:hAnsi="宋体" w:cs="宋体"/>
        </w:rPr>
      </w:pPr>
    </w:p>
    <w:p>
      <w:pPr>
        <w:pStyle w:val="5"/>
        <w:ind w:firstLine="560"/>
        <w:rPr>
          <w:rFonts w:ascii="宋体" w:hAnsi="宋体" w:cs="宋体"/>
          <w:sz w:val="28"/>
        </w:rPr>
      </w:pPr>
      <w:r>
        <w:rPr>
          <w:rFonts w:hint="eastAsia" w:ascii="宋体" w:hAnsi="宋体" w:cs="宋体"/>
          <w:sz w:val="28"/>
        </w:rPr>
        <w:t xml:space="preserve">供应商名称（加盖公章）： </w:t>
      </w:r>
    </w:p>
    <w:p>
      <w:pPr>
        <w:pStyle w:val="5"/>
        <w:ind w:right="1182" w:firstLine="560"/>
        <w:jc w:val="center"/>
        <w:rPr>
          <w:rFonts w:ascii="宋体" w:hAnsi="宋体" w:cs="宋体"/>
          <w:sz w:val="28"/>
        </w:rPr>
      </w:pPr>
      <w:r>
        <w:rPr>
          <w:rFonts w:hint="eastAsia" w:ascii="宋体" w:hAnsi="宋体" w:cs="宋体"/>
          <w:sz w:val="28"/>
        </w:rPr>
        <w:t xml:space="preserve">法定代表人或授权代表人（签字或盖章）： </w:t>
      </w:r>
    </w:p>
    <w:p>
      <w:pPr>
        <w:widowControl/>
        <w:snapToGrid w:val="0"/>
        <w:spacing w:line="400" w:lineRule="exact"/>
        <w:ind w:left="120" w:hanging="120"/>
        <w:jc w:val="left"/>
        <w:rPr>
          <w:rFonts w:ascii="宋体" w:hAnsi="宋体" w:cs="宋体"/>
          <w:bCs/>
          <w:kern w:val="0"/>
          <w:sz w:val="24"/>
        </w:rPr>
      </w:pPr>
      <w:r>
        <w:rPr>
          <w:rFonts w:hint="eastAsia" w:ascii="宋体" w:hAnsi="宋体" w:cs="宋体"/>
          <w:bCs/>
          <w:kern w:val="0"/>
          <w:sz w:val="24"/>
        </w:rPr>
        <w:t>年月日</w:t>
      </w: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pStyle w:val="5"/>
        <w:ind w:left="0" w:firstLine="0" w:firstLineChars="0"/>
        <w:rPr>
          <w:rFonts w:ascii="宋体" w:hAnsi="宋体" w:cs="宋体"/>
        </w:rPr>
      </w:pPr>
    </w:p>
    <w:p>
      <w:pPr>
        <w:ind w:left="221" w:hanging="221"/>
        <w:jc w:val="center"/>
        <w:rPr>
          <w:rFonts w:ascii="宋体" w:hAnsi="宋体" w:cs="宋体"/>
          <w:b/>
          <w:bCs/>
          <w:sz w:val="44"/>
          <w:szCs w:val="44"/>
        </w:rPr>
      </w:pPr>
      <w:r>
        <w:rPr>
          <w:rFonts w:hint="eastAsia" w:ascii="宋体" w:hAnsi="宋体" w:cs="宋体"/>
          <w:b/>
          <w:bCs/>
          <w:sz w:val="44"/>
          <w:szCs w:val="44"/>
        </w:rPr>
        <w:br w:type="page"/>
      </w:r>
    </w:p>
    <w:p>
      <w:pPr>
        <w:spacing w:line="240" w:lineRule="atLeast"/>
        <w:ind w:left="660" w:leftChars="257" w:hanging="120"/>
        <w:jc w:val="center"/>
        <w:rPr>
          <w:rFonts w:ascii="宋体" w:hAnsi="宋体" w:cs="宋体"/>
          <w:b/>
          <w:bCs/>
          <w:sz w:val="24"/>
        </w:rPr>
      </w:pPr>
      <w:bookmarkStart w:id="296" w:name="_Toc518923118"/>
      <w:r>
        <w:rPr>
          <w:rFonts w:hint="eastAsia" w:ascii="宋体" w:hAnsi="宋体" w:cs="宋体"/>
          <w:b/>
          <w:bCs/>
          <w:sz w:val="24"/>
        </w:rPr>
        <w:t>3   投标分项报价表</w:t>
      </w:r>
      <w:bookmarkEnd w:id="296"/>
    </w:p>
    <w:p>
      <w:pPr>
        <w:pStyle w:val="45"/>
        <w:spacing w:line="240" w:lineRule="atLeast"/>
        <w:ind w:left="660" w:leftChars="257" w:hanging="120"/>
        <w:rPr>
          <w:rFonts w:hAnsi="宋体" w:cs="宋体"/>
          <w:sz w:val="24"/>
        </w:rPr>
      </w:pPr>
    </w:p>
    <w:p>
      <w:pPr>
        <w:pStyle w:val="45"/>
        <w:spacing w:line="240" w:lineRule="atLeast"/>
        <w:ind w:left="-21" w:leftChars="-67" w:hanging="120"/>
        <w:rPr>
          <w:rFonts w:hAnsi="宋体" w:cs="宋体"/>
          <w:sz w:val="24"/>
        </w:rPr>
      </w:pPr>
      <w:r>
        <w:rPr>
          <w:rFonts w:hint="eastAsia" w:hAnsi="宋体" w:cs="宋体"/>
          <w:sz w:val="24"/>
        </w:rPr>
        <w:t>项目名称:                      招标编号:             　        　</w:t>
      </w:r>
    </w:p>
    <w:p>
      <w:pPr>
        <w:pStyle w:val="45"/>
        <w:spacing w:line="240" w:lineRule="atLeast"/>
        <w:ind w:left="-141" w:leftChars="-67" w:firstLine="6120" w:firstLineChars="2550"/>
        <w:rPr>
          <w:rFonts w:hAnsi="宋体" w:cs="宋体"/>
          <w:sz w:val="24"/>
        </w:rPr>
      </w:pPr>
      <w:r>
        <w:rPr>
          <w:rFonts w:hint="eastAsia" w:hAnsi="宋体" w:cs="宋体"/>
          <w:sz w:val="24"/>
        </w:rPr>
        <w:t>报价单位：人民币：元</w:t>
      </w:r>
    </w:p>
    <w:tbl>
      <w:tblPr>
        <w:tblStyle w:val="74"/>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05"/>
        <w:gridCol w:w="2765"/>
        <w:gridCol w:w="709"/>
        <w:gridCol w:w="992"/>
        <w:gridCol w:w="105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50" w:type="dxa"/>
            <w:vAlign w:val="center"/>
          </w:tcPr>
          <w:p>
            <w:pPr>
              <w:pStyle w:val="45"/>
              <w:adjustRightInd w:val="0"/>
              <w:snapToGrid w:val="0"/>
              <w:spacing w:line="240" w:lineRule="auto"/>
              <w:ind w:left="0" w:right="0" w:firstLine="0" w:firstLineChars="0"/>
              <w:rPr>
                <w:rFonts w:hAnsi="宋体" w:cs="宋体"/>
                <w:sz w:val="24"/>
              </w:rPr>
            </w:pPr>
            <w:r>
              <w:rPr>
                <w:rFonts w:hint="eastAsia" w:hAnsi="宋体" w:cs="宋体"/>
                <w:sz w:val="24"/>
              </w:rPr>
              <w:t>序号</w:t>
            </w:r>
          </w:p>
        </w:tc>
        <w:tc>
          <w:tcPr>
            <w:tcW w:w="1305"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名称</w:t>
            </w:r>
          </w:p>
        </w:tc>
        <w:tc>
          <w:tcPr>
            <w:tcW w:w="2765"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参数描述</w:t>
            </w:r>
          </w:p>
        </w:tc>
        <w:tc>
          <w:tcPr>
            <w:tcW w:w="709"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数量</w:t>
            </w:r>
          </w:p>
        </w:tc>
        <w:tc>
          <w:tcPr>
            <w:tcW w:w="992"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单价</w:t>
            </w:r>
          </w:p>
        </w:tc>
        <w:tc>
          <w:tcPr>
            <w:tcW w:w="1056"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总价</w:t>
            </w:r>
          </w:p>
        </w:tc>
        <w:tc>
          <w:tcPr>
            <w:tcW w:w="884"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50"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1</w:t>
            </w:r>
          </w:p>
        </w:tc>
        <w:tc>
          <w:tcPr>
            <w:tcW w:w="1305" w:type="dxa"/>
            <w:vAlign w:val="center"/>
          </w:tcPr>
          <w:p>
            <w:pPr>
              <w:pStyle w:val="45"/>
              <w:adjustRightInd w:val="0"/>
              <w:snapToGrid w:val="0"/>
              <w:spacing w:line="240" w:lineRule="auto"/>
              <w:ind w:left="0" w:right="0" w:firstLine="0" w:firstLineChars="0"/>
              <w:jc w:val="center"/>
              <w:rPr>
                <w:rFonts w:hAnsi="宋体" w:cs="宋体"/>
                <w:sz w:val="24"/>
              </w:rPr>
            </w:pPr>
          </w:p>
        </w:tc>
        <w:tc>
          <w:tcPr>
            <w:tcW w:w="2765" w:type="dxa"/>
            <w:vAlign w:val="center"/>
          </w:tcPr>
          <w:p>
            <w:pPr>
              <w:pStyle w:val="45"/>
              <w:adjustRightInd w:val="0"/>
              <w:snapToGrid w:val="0"/>
              <w:spacing w:line="240" w:lineRule="auto"/>
              <w:ind w:left="0" w:right="0" w:firstLine="0" w:firstLineChars="0"/>
              <w:jc w:val="center"/>
              <w:rPr>
                <w:rFonts w:hAnsi="宋体" w:cs="宋体"/>
                <w:sz w:val="24"/>
              </w:rPr>
            </w:pPr>
          </w:p>
        </w:tc>
        <w:tc>
          <w:tcPr>
            <w:tcW w:w="709" w:type="dxa"/>
            <w:vAlign w:val="center"/>
          </w:tcPr>
          <w:p>
            <w:pPr>
              <w:pStyle w:val="45"/>
              <w:adjustRightInd w:val="0"/>
              <w:snapToGrid w:val="0"/>
              <w:spacing w:line="240" w:lineRule="auto"/>
              <w:ind w:left="0" w:right="0" w:firstLine="0" w:firstLineChars="0"/>
              <w:jc w:val="center"/>
              <w:rPr>
                <w:rFonts w:hAnsi="宋体" w:cs="宋体"/>
                <w:sz w:val="24"/>
              </w:rPr>
            </w:pPr>
          </w:p>
        </w:tc>
        <w:tc>
          <w:tcPr>
            <w:tcW w:w="992" w:type="dxa"/>
            <w:vAlign w:val="center"/>
          </w:tcPr>
          <w:p>
            <w:pPr>
              <w:pStyle w:val="45"/>
              <w:adjustRightInd w:val="0"/>
              <w:snapToGrid w:val="0"/>
              <w:spacing w:line="240" w:lineRule="auto"/>
              <w:ind w:left="0" w:right="0" w:firstLine="0" w:firstLineChars="0"/>
              <w:jc w:val="center"/>
              <w:rPr>
                <w:rFonts w:hAnsi="宋体" w:cs="宋体"/>
                <w:sz w:val="24"/>
              </w:rPr>
            </w:pPr>
          </w:p>
        </w:tc>
        <w:tc>
          <w:tcPr>
            <w:tcW w:w="1056" w:type="dxa"/>
            <w:vAlign w:val="center"/>
          </w:tcPr>
          <w:p>
            <w:pPr>
              <w:pStyle w:val="45"/>
              <w:adjustRightInd w:val="0"/>
              <w:snapToGrid w:val="0"/>
              <w:spacing w:line="240" w:lineRule="auto"/>
              <w:ind w:left="0" w:right="0" w:firstLine="0" w:firstLineChars="0"/>
              <w:jc w:val="center"/>
              <w:rPr>
                <w:rFonts w:hAnsi="宋体" w:cs="宋体"/>
                <w:sz w:val="24"/>
              </w:rPr>
            </w:pPr>
          </w:p>
        </w:tc>
        <w:tc>
          <w:tcPr>
            <w:tcW w:w="884" w:type="dxa"/>
            <w:vAlign w:val="center"/>
          </w:tcPr>
          <w:p>
            <w:pPr>
              <w:pStyle w:val="45"/>
              <w:adjustRightInd w:val="0"/>
              <w:snapToGrid w:val="0"/>
              <w:spacing w:line="240" w:lineRule="auto"/>
              <w:ind w:left="0" w:right="0" w:firstLine="0" w:firstLineChars="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2</w:t>
            </w:r>
          </w:p>
        </w:tc>
        <w:tc>
          <w:tcPr>
            <w:tcW w:w="1305" w:type="dxa"/>
            <w:vAlign w:val="center"/>
          </w:tcPr>
          <w:p>
            <w:pPr>
              <w:pStyle w:val="45"/>
              <w:adjustRightInd w:val="0"/>
              <w:snapToGrid w:val="0"/>
              <w:spacing w:line="240" w:lineRule="auto"/>
              <w:ind w:left="0" w:right="0" w:firstLine="0" w:firstLineChars="0"/>
              <w:jc w:val="center"/>
              <w:rPr>
                <w:rFonts w:hAnsi="宋体" w:cs="宋体"/>
                <w:sz w:val="24"/>
              </w:rPr>
            </w:pPr>
          </w:p>
        </w:tc>
        <w:tc>
          <w:tcPr>
            <w:tcW w:w="2765" w:type="dxa"/>
            <w:vAlign w:val="center"/>
          </w:tcPr>
          <w:p>
            <w:pPr>
              <w:pStyle w:val="45"/>
              <w:adjustRightInd w:val="0"/>
              <w:snapToGrid w:val="0"/>
              <w:spacing w:line="240" w:lineRule="auto"/>
              <w:ind w:left="0" w:right="0" w:firstLine="0" w:firstLineChars="0"/>
              <w:jc w:val="center"/>
              <w:rPr>
                <w:rFonts w:hAnsi="宋体" w:cs="宋体"/>
                <w:sz w:val="24"/>
              </w:rPr>
            </w:pPr>
          </w:p>
        </w:tc>
        <w:tc>
          <w:tcPr>
            <w:tcW w:w="709" w:type="dxa"/>
            <w:vAlign w:val="center"/>
          </w:tcPr>
          <w:p>
            <w:pPr>
              <w:pStyle w:val="45"/>
              <w:adjustRightInd w:val="0"/>
              <w:snapToGrid w:val="0"/>
              <w:spacing w:line="240" w:lineRule="auto"/>
              <w:ind w:left="0" w:right="0" w:firstLine="0" w:firstLineChars="0"/>
              <w:jc w:val="center"/>
              <w:rPr>
                <w:rFonts w:hAnsi="宋体" w:cs="宋体"/>
                <w:sz w:val="24"/>
              </w:rPr>
            </w:pPr>
          </w:p>
        </w:tc>
        <w:tc>
          <w:tcPr>
            <w:tcW w:w="992" w:type="dxa"/>
            <w:vAlign w:val="center"/>
          </w:tcPr>
          <w:p>
            <w:pPr>
              <w:pStyle w:val="45"/>
              <w:adjustRightInd w:val="0"/>
              <w:snapToGrid w:val="0"/>
              <w:spacing w:line="240" w:lineRule="auto"/>
              <w:ind w:left="0" w:right="0" w:firstLine="0" w:firstLineChars="0"/>
              <w:jc w:val="center"/>
              <w:rPr>
                <w:rFonts w:hAnsi="宋体" w:cs="宋体"/>
                <w:sz w:val="24"/>
              </w:rPr>
            </w:pPr>
          </w:p>
        </w:tc>
        <w:tc>
          <w:tcPr>
            <w:tcW w:w="1056" w:type="dxa"/>
            <w:vAlign w:val="center"/>
          </w:tcPr>
          <w:p>
            <w:pPr>
              <w:pStyle w:val="45"/>
              <w:adjustRightInd w:val="0"/>
              <w:snapToGrid w:val="0"/>
              <w:spacing w:line="240" w:lineRule="auto"/>
              <w:ind w:left="0" w:right="0" w:firstLine="0" w:firstLineChars="0"/>
              <w:jc w:val="center"/>
              <w:rPr>
                <w:rFonts w:hAnsi="宋体" w:cs="宋体"/>
                <w:sz w:val="24"/>
              </w:rPr>
            </w:pPr>
          </w:p>
        </w:tc>
        <w:tc>
          <w:tcPr>
            <w:tcW w:w="884" w:type="dxa"/>
            <w:vAlign w:val="center"/>
          </w:tcPr>
          <w:p>
            <w:pPr>
              <w:pStyle w:val="45"/>
              <w:adjustRightInd w:val="0"/>
              <w:snapToGrid w:val="0"/>
              <w:spacing w:line="240" w:lineRule="auto"/>
              <w:ind w:left="0" w:right="0" w:firstLine="0" w:firstLineChars="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3</w:t>
            </w:r>
          </w:p>
        </w:tc>
        <w:tc>
          <w:tcPr>
            <w:tcW w:w="1305" w:type="dxa"/>
            <w:vAlign w:val="center"/>
          </w:tcPr>
          <w:p>
            <w:pPr>
              <w:pStyle w:val="45"/>
              <w:adjustRightInd w:val="0"/>
              <w:snapToGrid w:val="0"/>
              <w:spacing w:line="240" w:lineRule="auto"/>
              <w:ind w:left="0" w:right="0" w:firstLine="0" w:firstLineChars="0"/>
              <w:jc w:val="center"/>
              <w:rPr>
                <w:rFonts w:hAnsi="宋体" w:cs="宋体"/>
                <w:sz w:val="24"/>
              </w:rPr>
            </w:pPr>
          </w:p>
        </w:tc>
        <w:tc>
          <w:tcPr>
            <w:tcW w:w="2765" w:type="dxa"/>
            <w:vAlign w:val="center"/>
          </w:tcPr>
          <w:p>
            <w:pPr>
              <w:pStyle w:val="45"/>
              <w:adjustRightInd w:val="0"/>
              <w:snapToGrid w:val="0"/>
              <w:spacing w:line="240" w:lineRule="auto"/>
              <w:ind w:left="0" w:right="0" w:firstLine="0" w:firstLineChars="0"/>
              <w:jc w:val="center"/>
              <w:rPr>
                <w:rFonts w:hAnsi="宋体" w:cs="宋体"/>
                <w:sz w:val="24"/>
              </w:rPr>
            </w:pPr>
          </w:p>
        </w:tc>
        <w:tc>
          <w:tcPr>
            <w:tcW w:w="709" w:type="dxa"/>
            <w:vAlign w:val="center"/>
          </w:tcPr>
          <w:p>
            <w:pPr>
              <w:pStyle w:val="45"/>
              <w:adjustRightInd w:val="0"/>
              <w:snapToGrid w:val="0"/>
              <w:spacing w:line="240" w:lineRule="auto"/>
              <w:ind w:left="0" w:right="0" w:firstLine="0" w:firstLineChars="0"/>
              <w:jc w:val="center"/>
              <w:rPr>
                <w:rFonts w:hAnsi="宋体" w:cs="宋体"/>
                <w:sz w:val="24"/>
              </w:rPr>
            </w:pPr>
          </w:p>
        </w:tc>
        <w:tc>
          <w:tcPr>
            <w:tcW w:w="992" w:type="dxa"/>
            <w:vAlign w:val="center"/>
          </w:tcPr>
          <w:p>
            <w:pPr>
              <w:pStyle w:val="45"/>
              <w:adjustRightInd w:val="0"/>
              <w:snapToGrid w:val="0"/>
              <w:spacing w:line="240" w:lineRule="auto"/>
              <w:ind w:left="0" w:right="0" w:firstLine="0" w:firstLineChars="0"/>
              <w:jc w:val="center"/>
              <w:rPr>
                <w:rFonts w:hAnsi="宋体" w:cs="宋体"/>
                <w:sz w:val="24"/>
              </w:rPr>
            </w:pPr>
          </w:p>
        </w:tc>
        <w:tc>
          <w:tcPr>
            <w:tcW w:w="1056" w:type="dxa"/>
            <w:vAlign w:val="center"/>
          </w:tcPr>
          <w:p>
            <w:pPr>
              <w:pStyle w:val="45"/>
              <w:adjustRightInd w:val="0"/>
              <w:snapToGrid w:val="0"/>
              <w:spacing w:line="240" w:lineRule="auto"/>
              <w:ind w:left="0" w:right="0" w:firstLine="0" w:firstLineChars="0"/>
              <w:jc w:val="center"/>
              <w:rPr>
                <w:rFonts w:hAnsi="宋体" w:cs="宋体"/>
                <w:sz w:val="24"/>
              </w:rPr>
            </w:pPr>
          </w:p>
        </w:tc>
        <w:tc>
          <w:tcPr>
            <w:tcW w:w="884" w:type="dxa"/>
            <w:vAlign w:val="center"/>
          </w:tcPr>
          <w:p>
            <w:pPr>
              <w:pStyle w:val="45"/>
              <w:adjustRightInd w:val="0"/>
              <w:snapToGrid w:val="0"/>
              <w:spacing w:line="240" w:lineRule="auto"/>
              <w:ind w:left="0" w:right="0" w:firstLine="0" w:firstLineChars="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w:t>
            </w:r>
          </w:p>
        </w:tc>
        <w:tc>
          <w:tcPr>
            <w:tcW w:w="1305"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w:t>
            </w:r>
          </w:p>
        </w:tc>
        <w:tc>
          <w:tcPr>
            <w:tcW w:w="2765"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w:t>
            </w:r>
          </w:p>
        </w:tc>
        <w:tc>
          <w:tcPr>
            <w:tcW w:w="709"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w:t>
            </w:r>
          </w:p>
        </w:tc>
        <w:tc>
          <w:tcPr>
            <w:tcW w:w="992"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w:t>
            </w:r>
          </w:p>
        </w:tc>
        <w:tc>
          <w:tcPr>
            <w:tcW w:w="1056"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w:t>
            </w:r>
          </w:p>
        </w:tc>
        <w:tc>
          <w:tcPr>
            <w:tcW w:w="884" w:type="dxa"/>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21" w:type="dxa"/>
            <w:gridSpan w:val="5"/>
            <w:vAlign w:val="center"/>
          </w:tcPr>
          <w:p>
            <w:pPr>
              <w:pStyle w:val="45"/>
              <w:adjustRightInd w:val="0"/>
              <w:snapToGrid w:val="0"/>
              <w:spacing w:line="240" w:lineRule="auto"/>
              <w:ind w:left="0" w:right="0" w:firstLine="0" w:firstLineChars="0"/>
              <w:jc w:val="center"/>
              <w:rPr>
                <w:rFonts w:hAnsi="宋体" w:cs="宋体"/>
                <w:sz w:val="24"/>
              </w:rPr>
            </w:pPr>
            <w:r>
              <w:rPr>
                <w:rFonts w:hint="eastAsia" w:hAnsi="宋体" w:cs="宋体"/>
                <w:sz w:val="24"/>
              </w:rPr>
              <w:t>总价</w:t>
            </w:r>
          </w:p>
        </w:tc>
        <w:tc>
          <w:tcPr>
            <w:tcW w:w="1056" w:type="dxa"/>
            <w:vAlign w:val="center"/>
          </w:tcPr>
          <w:p>
            <w:pPr>
              <w:pStyle w:val="45"/>
              <w:adjustRightInd w:val="0"/>
              <w:snapToGrid w:val="0"/>
              <w:spacing w:line="240" w:lineRule="auto"/>
              <w:ind w:left="0" w:right="0" w:firstLine="0" w:firstLineChars="0"/>
              <w:jc w:val="center"/>
              <w:rPr>
                <w:rFonts w:hAnsi="宋体" w:cs="宋体"/>
                <w:sz w:val="24"/>
              </w:rPr>
            </w:pPr>
          </w:p>
        </w:tc>
        <w:tc>
          <w:tcPr>
            <w:tcW w:w="884" w:type="dxa"/>
            <w:vAlign w:val="center"/>
          </w:tcPr>
          <w:p>
            <w:pPr>
              <w:pStyle w:val="45"/>
              <w:adjustRightInd w:val="0"/>
              <w:snapToGrid w:val="0"/>
              <w:spacing w:line="240" w:lineRule="auto"/>
              <w:ind w:left="0" w:right="0" w:firstLine="0" w:firstLineChars="0"/>
              <w:jc w:val="center"/>
              <w:rPr>
                <w:rFonts w:hAnsi="宋体" w:cs="宋体"/>
                <w:sz w:val="24"/>
              </w:rPr>
            </w:pPr>
          </w:p>
        </w:tc>
      </w:tr>
    </w:tbl>
    <w:p>
      <w:pPr>
        <w:pStyle w:val="45"/>
        <w:spacing w:line="240" w:lineRule="atLeast"/>
        <w:ind w:left="660" w:leftChars="257" w:hanging="120"/>
        <w:rPr>
          <w:rFonts w:hAnsi="宋体" w:cs="宋体"/>
          <w:sz w:val="24"/>
        </w:rPr>
      </w:pPr>
    </w:p>
    <w:p>
      <w:pPr>
        <w:pStyle w:val="45"/>
        <w:spacing w:line="240" w:lineRule="atLeast"/>
        <w:ind w:left="660" w:leftChars="257" w:hanging="12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45"/>
        <w:tabs>
          <w:tab w:val="left" w:pos="5370"/>
        </w:tabs>
        <w:spacing w:line="240" w:lineRule="atLeast"/>
        <w:ind w:left="660" w:leftChars="257" w:hanging="120"/>
        <w:rPr>
          <w:rFonts w:hAnsi="宋体" w:cs="宋体"/>
          <w:sz w:val="24"/>
          <w:u w:val="single"/>
        </w:rPr>
      </w:pPr>
      <w:r>
        <w:rPr>
          <w:rFonts w:hint="eastAsia" w:hAnsi="宋体" w:cs="宋体"/>
          <w:sz w:val="24"/>
        </w:rPr>
        <w:t>供应商(盖单位章):</w:t>
      </w:r>
      <w:r>
        <w:rPr>
          <w:rFonts w:hint="eastAsia" w:hAnsi="宋体" w:cs="宋体"/>
          <w:sz w:val="24"/>
          <w:u w:val="single"/>
        </w:rPr>
        <w:tab/>
      </w:r>
    </w:p>
    <w:p>
      <w:pPr>
        <w:pStyle w:val="45"/>
        <w:spacing w:line="240" w:lineRule="atLeast"/>
        <w:ind w:left="660" w:leftChars="257" w:hanging="120"/>
        <w:rPr>
          <w:rFonts w:hAnsi="宋体" w:cs="宋体"/>
          <w:sz w:val="24"/>
        </w:rPr>
      </w:pPr>
    </w:p>
    <w:p>
      <w:pPr>
        <w:pStyle w:val="45"/>
        <w:spacing w:line="240" w:lineRule="atLeast"/>
        <w:ind w:left="660" w:leftChars="257" w:hanging="120"/>
        <w:rPr>
          <w:rFonts w:hAnsi="宋体" w:cs="宋体"/>
          <w:sz w:val="24"/>
        </w:rPr>
      </w:pPr>
      <w:r>
        <w:rPr>
          <w:rFonts w:hint="eastAsia" w:hAnsi="宋体" w:cs="宋体"/>
          <w:sz w:val="24"/>
        </w:rPr>
        <w:t>注:</w:t>
      </w:r>
    </w:p>
    <w:p>
      <w:pPr>
        <w:pStyle w:val="45"/>
        <w:spacing w:line="240" w:lineRule="atLeast"/>
        <w:ind w:left="660" w:leftChars="257" w:hanging="120"/>
        <w:rPr>
          <w:rFonts w:hAnsi="宋体" w:cs="宋体"/>
          <w:sz w:val="24"/>
        </w:rPr>
      </w:pPr>
      <w:r>
        <w:rPr>
          <w:rFonts w:hint="eastAsia" w:hAnsi="宋体" w:cs="宋体"/>
          <w:sz w:val="24"/>
        </w:rPr>
        <w:t>1.如果供应商认为需要，每种可填写一份该表。</w:t>
      </w:r>
    </w:p>
    <w:p>
      <w:pPr>
        <w:pStyle w:val="45"/>
        <w:spacing w:line="240" w:lineRule="atLeast"/>
        <w:ind w:firstLine="480" w:firstLineChars="200"/>
        <w:rPr>
          <w:rFonts w:hAnsi="宋体" w:cs="宋体"/>
          <w:sz w:val="24"/>
        </w:rPr>
      </w:pPr>
      <w:r>
        <w:rPr>
          <w:rFonts w:hint="eastAsia" w:hAnsi="宋体" w:cs="宋体"/>
          <w:sz w:val="24"/>
        </w:rPr>
        <w:t>2.如果按单价计算的结果与总价不一致,以单价为准修正总价。</w:t>
      </w:r>
    </w:p>
    <w:p>
      <w:pPr>
        <w:pStyle w:val="45"/>
        <w:spacing w:line="240" w:lineRule="atLeast"/>
        <w:ind w:left="660" w:leftChars="257" w:hanging="120"/>
        <w:rPr>
          <w:rFonts w:hAnsi="宋体" w:cs="宋体"/>
          <w:sz w:val="24"/>
        </w:rPr>
      </w:pPr>
      <w:r>
        <w:rPr>
          <w:rFonts w:hint="eastAsia" w:hAnsi="宋体" w:cs="宋体"/>
          <w:sz w:val="24"/>
        </w:rPr>
        <w:t>3.此分项报价表不做强制要求，供应商可视自身情况而定。</w:t>
      </w:r>
    </w:p>
    <w:p>
      <w:pPr>
        <w:pStyle w:val="45"/>
        <w:spacing w:line="240" w:lineRule="atLeast"/>
        <w:ind w:left="660" w:leftChars="257" w:hanging="120"/>
        <w:rPr>
          <w:rFonts w:hAnsi="宋体" w:cs="宋体"/>
          <w:sz w:val="24"/>
        </w:rPr>
      </w:pPr>
      <w:r>
        <w:rPr>
          <w:rFonts w:hint="eastAsia" w:hAnsi="宋体" w:cs="宋体"/>
          <w:sz w:val="24"/>
        </w:rPr>
        <w:t>4.上述各项的详细分项报价，应另页描述。</w:t>
      </w:r>
    </w:p>
    <w:p>
      <w:pPr>
        <w:pStyle w:val="45"/>
        <w:spacing w:line="240" w:lineRule="atLeast"/>
        <w:ind w:left="660" w:leftChars="257" w:hanging="120"/>
        <w:rPr>
          <w:rFonts w:hAnsi="宋体" w:cs="宋体"/>
          <w:sz w:val="24"/>
        </w:rPr>
      </w:pPr>
      <w:r>
        <w:rPr>
          <w:rFonts w:hint="eastAsia" w:hAnsi="宋体" w:cs="宋体"/>
          <w:sz w:val="24"/>
        </w:rPr>
        <w:t>5.如果开标一览表（报价表）内容与响应文件中明细表内容不一致的，以开标一览表（报价表）内容为准。</w:t>
      </w:r>
    </w:p>
    <w:p>
      <w:pPr>
        <w:pStyle w:val="45"/>
        <w:spacing w:line="240" w:lineRule="atLeast"/>
        <w:ind w:left="660" w:leftChars="257" w:hanging="120"/>
        <w:rPr>
          <w:rFonts w:hAnsi="宋体" w:cs="宋体"/>
          <w:sz w:val="24"/>
        </w:rPr>
      </w:pPr>
    </w:p>
    <w:p>
      <w:pPr>
        <w:ind w:left="120" w:hanging="120"/>
        <w:jc w:val="center"/>
        <w:rPr>
          <w:rFonts w:ascii="宋体" w:hAnsi="宋体" w:cs="宋体"/>
          <w:b/>
          <w:bCs/>
          <w:sz w:val="44"/>
          <w:szCs w:val="44"/>
        </w:rPr>
      </w:pPr>
      <w:r>
        <w:rPr>
          <w:rFonts w:hint="eastAsia" w:ascii="宋体" w:hAnsi="宋体" w:cs="宋体"/>
          <w:sz w:val="24"/>
        </w:rPr>
        <w:br w:type="page"/>
      </w:r>
    </w:p>
    <w:p>
      <w:pPr>
        <w:ind w:left="221" w:hanging="221"/>
        <w:jc w:val="center"/>
        <w:rPr>
          <w:rFonts w:ascii="宋体" w:hAnsi="宋体" w:cs="宋体"/>
          <w:b/>
          <w:bCs/>
          <w:sz w:val="44"/>
          <w:szCs w:val="44"/>
        </w:rPr>
      </w:pPr>
      <w:r>
        <w:rPr>
          <w:rFonts w:hint="eastAsia" w:ascii="宋体" w:hAnsi="宋体" w:cs="宋体"/>
          <w:b/>
          <w:bCs/>
          <w:sz w:val="44"/>
          <w:szCs w:val="44"/>
        </w:rPr>
        <w:t>第二部分</w:t>
      </w:r>
    </w:p>
    <w:p>
      <w:pPr>
        <w:ind w:left="221" w:hanging="221"/>
        <w:jc w:val="center"/>
        <w:rPr>
          <w:rFonts w:ascii="宋体" w:hAnsi="宋体" w:cs="宋体"/>
          <w:b/>
          <w:bCs/>
          <w:sz w:val="44"/>
          <w:szCs w:val="44"/>
        </w:rPr>
      </w:pPr>
      <w:r>
        <w:rPr>
          <w:rFonts w:hint="eastAsia" w:ascii="宋体" w:hAnsi="宋体" w:cs="宋体"/>
          <w:b/>
          <w:bCs/>
          <w:sz w:val="44"/>
          <w:szCs w:val="44"/>
        </w:rPr>
        <w:t>商务部分</w:t>
      </w:r>
    </w:p>
    <w:p>
      <w:pPr>
        <w:spacing w:line="460" w:lineRule="exact"/>
        <w:ind w:left="120" w:hanging="120"/>
        <w:rPr>
          <w:rFonts w:ascii="宋体" w:hAnsi="宋体" w:cs="宋体"/>
          <w:b/>
          <w:sz w:val="24"/>
        </w:rPr>
      </w:pPr>
    </w:p>
    <w:p>
      <w:pPr>
        <w:pStyle w:val="4"/>
        <w:numPr>
          <w:ilvl w:val="0"/>
          <w:numId w:val="12"/>
        </w:numPr>
        <w:spacing w:line="460" w:lineRule="exact"/>
        <w:ind w:left="120" w:hanging="120"/>
        <w:rPr>
          <w:rFonts w:ascii="宋体" w:hAnsi="宋体" w:cs="宋体"/>
          <w:sz w:val="24"/>
          <w:szCs w:val="24"/>
        </w:rPr>
      </w:pPr>
      <w:bookmarkStart w:id="297" w:name="_Toc80113561"/>
      <w:r>
        <w:rPr>
          <w:rFonts w:hint="eastAsia" w:ascii="宋体" w:hAnsi="宋体" w:cs="宋体"/>
          <w:sz w:val="24"/>
          <w:szCs w:val="24"/>
        </w:rPr>
        <w:t>供应商的资格声明</w:t>
      </w:r>
      <w:bookmarkEnd w:id="297"/>
    </w:p>
    <w:p>
      <w:pPr>
        <w:ind w:left="120" w:hanging="120"/>
        <w:rPr>
          <w:rFonts w:ascii="宋体" w:hAnsi="宋体" w:cs="宋体"/>
          <w:sz w:val="24"/>
        </w:rPr>
      </w:pPr>
    </w:p>
    <w:p>
      <w:pPr>
        <w:spacing w:line="460" w:lineRule="exact"/>
        <w:ind w:left="120" w:hanging="120"/>
        <w:rPr>
          <w:rFonts w:ascii="宋体" w:hAnsi="宋体" w:cs="宋体"/>
          <w:sz w:val="24"/>
        </w:rPr>
      </w:pPr>
      <w:r>
        <w:rPr>
          <w:rFonts w:hint="eastAsia" w:ascii="宋体" w:hAnsi="宋体" w:cs="宋体"/>
          <w:sz w:val="24"/>
        </w:rPr>
        <w:t>：</w:t>
      </w:r>
    </w:p>
    <w:p>
      <w:pPr>
        <w:widowControl/>
        <w:spacing w:line="460" w:lineRule="exact"/>
        <w:ind w:left="120" w:hanging="120"/>
        <w:jc w:val="left"/>
        <w:rPr>
          <w:rFonts w:ascii="宋体" w:hAnsi="宋体" w:cs="宋体"/>
          <w:sz w:val="24"/>
        </w:rPr>
      </w:pPr>
      <w:r>
        <w:rPr>
          <w:rFonts w:hint="eastAsia" w:ascii="宋体" w:hAnsi="宋体" w:cs="宋体"/>
          <w:sz w:val="24"/>
        </w:rPr>
        <w:t xml:space="preserve">    关于贵方年月日发出的项目竞争性磋商文件，本供应商愿意参加投标，并证明资格文件中和所要求的说明是真实和准确无误的。</w:t>
      </w:r>
    </w:p>
    <w:p>
      <w:pPr>
        <w:spacing w:line="460" w:lineRule="exact"/>
        <w:ind w:left="120" w:hanging="120"/>
        <w:rPr>
          <w:rFonts w:ascii="宋体" w:hAnsi="宋体" w:cs="宋体"/>
          <w:sz w:val="24"/>
        </w:rPr>
      </w:pPr>
      <w:r>
        <w:rPr>
          <w:rFonts w:hint="eastAsia" w:ascii="宋体" w:hAnsi="宋体" w:cs="宋体"/>
          <w:sz w:val="24"/>
        </w:rPr>
        <w:t xml:space="preserve">    本供应商对可能要求的进一步的资格资料表示理解和同意，并同意按贵方的要求提供任何有关资料。</w:t>
      </w: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r>
        <w:rPr>
          <w:rFonts w:hint="eastAsia" w:ascii="宋体" w:hAnsi="宋体" w:cs="宋体"/>
          <w:sz w:val="24"/>
        </w:rPr>
        <w:t>供应商名称： （法人公章）</w:t>
      </w:r>
    </w:p>
    <w:p>
      <w:pPr>
        <w:spacing w:line="460" w:lineRule="exact"/>
        <w:ind w:left="120" w:hanging="120"/>
        <w:rPr>
          <w:rFonts w:ascii="宋体" w:hAnsi="宋体" w:cs="宋体"/>
          <w:sz w:val="24"/>
        </w:rPr>
      </w:pPr>
      <w:r>
        <w:rPr>
          <w:rFonts w:hint="eastAsia" w:ascii="宋体" w:hAnsi="宋体" w:cs="宋体"/>
          <w:sz w:val="24"/>
        </w:rPr>
        <w:t xml:space="preserve">    法定代表人或授权代表人（签字或盖章）：</w:t>
      </w:r>
    </w:p>
    <w:p>
      <w:pPr>
        <w:spacing w:line="460" w:lineRule="exact"/>
        <w:ind w:firstLine="480" w:firstLineChars="200"/>
        <w:rPr>
          <w:rFonts w:ascii="宋体" w:hAnsi="宋体" w:cs="宋体"/>
          <w:sz w:val="24"/>
        </w:rPr>
      </w:pPr>
      <w:r>
        <w:rPr>
          <w:rFonts w:hint="eastAsia" w:ascii="宋体" w:hAnsi="宋体" w:cs="宋体"/>
          <w:sz w:val="24"/>
        </w:rPr>
        <w:t>地址：</w:t>
      </w:r>
    </w:p>
    <w:p>
      <w:pPr>
        <w:spacing w:line="460" w:lineRule="exact"/>
        <w:ind w:left="120" w:hanging="120"/>
        <w:rPr>
          <w:rFonts w:ascii="宋体" w:hAnsi="宋体" w:cs="宋体"/>
          <w:sz w:val="24"/>
        </w:rPr>
      </w:pPr>
      <w:r>
        <w:rPr>
          <w:rFonts w:hint="eastAsia" w:ascii="宋体" w:hAnsi="宋体" w:cs="宋体"/>
          <w:sz w:val="24"/>
        </w:rPr>
        <w:t xml:space="preserve">    传真：</w:t>
      </w:r>
    </w:p>
    <w:p>
      <w:pPr>
        <w:spacing w:line="460" w:lineRule="exact"/>
        <w:ind w:left="120" w:hanging="120"/>
        <w:rPr>
          <w:rFonts w:ascii="宋体" w:hAnsi="宋体" w:cs="宋体"/>
          <w:sz w:val="24"/>
        </w:rPr>
      </w:pPr>
      <w:r>
        <w:rPr>
          <w:rFonts w:hint="eastAsia" w:ascii="宋体" w:hAnsi="宋体" w:cs="宋体"/>
          <w:sz w:val="24"/>
        </w:rPr>
        <w:t xml:space="preserve">    电话：</w:t>
      </w:r>
    </w:p>
    <w:p>
      <w:pPr>
        <w:spacing w:line="460" w:lineRule="exact"/>
        <w:ind w:left="0" w:firstLine="480" w:firstLineChars="200"/>
        <w:rPr>
          <w:rFonts w:ascii="宋体" w:hAnsi="宋体" w:cs="宋体"/>
          <w:b/>
          <w:sz w:val="24"/>
        </w:rPr>
      </w:pPr>
      <w:r>
        <w:rPr>
          <w:rFonts w:hint="eastAsia" w:ascii="宋体" w:hAnsi="宋体" w:cs="宋体"/>
          <w:sz w:val="24"/>
        </w:rPr>
        <w:t>日 期:</w:t>
      </w: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sz w:val="24"/>
        </w:rPr>
      </w:pPr>
      <w:r>
        <w:rPr>
          <w:rFonts w:hint="eastAsia" w:ascii="宋体" w:hAnsi="宋体" w:cs="宋体"/>
          <w:b/>
          <w:sz w:val="24"/>
        </w:rPr>
        <w:t>2、供应商基本情况简介</w:t>
      </w:r>
    </w:p>
    <w:p>
      <w:pPr>
        <w:spacing w:line="440" w:lineRule="exact"/>
        <w:ind w:left="239" w:leftChars="114" w:firstLine="602" w:firstLineChars="250"/>
        <w:jc w:val="left"/>
        <w:rPr>
          <w:rFonts w:ascii="宋体" w:hAnsi="宋体" w:cs="宋体"/>
          <w:b/>
          <w:bCs/>
          <w:sz w:val="24"/>
        </w:rPr>
      </w:pPr>
    </w:p>
    <w:p>
      <w:pPr>
        <w:spacing w:line="440" w:lineRule="exact"/>
        <w:ind w:left="239" w:leftChars="114" w:firstLine="602" w:firstLineChars="250"/>
        <w:jc w:val="left"/>
        <w:rPr>
          <w:rFonts w:ascii="宋体" w:hAnsi="宋体" w:cs="宋体"/>
          <w:b/>
          <w:bCs/>
          <w:sz w:val="24"/>
        </w:rPr>
      </w:pPr>
      <w:r>
        <w:rPr>
          <w:rFonts w:hint="eastAsia" w:ascii="宋体" w:hAnsi="宋体" w:cs="宋体"/>
          <w:b/>
          <w:bCs/>
          <w:sz w:val="24"/>
        </w:rPr>
        <w:t>具有较强的项目管理、技术服务和组织实施能力、具有履行合同所必需的设备和专业技术能力；有良好的执业质量记录，具有良好的职业道德记录和社会声誉；在工作中没有出现重大质量问题和不良记录，具备承担相应风险的能力。</w:t>
      </w:r>
    </w:p>
    <w:p>
      <w:pPr>
        <w:spacing w:line="480" w:lineRule="exact"/>
        <w:ind w:firstLine="480" w:firstLineChars="200"/>
        <w:rPr>
          <w:rFonts w:ascii="宋体" w:hAnsi="宋体" w:cs="宋体"/>
          <w:sz w:val="24"/>
        </w:rPr>
      </w:pPr>
    </w:p>
    <w:p>
      <w:pPr>
        <w:autoSpaceDE w:val="0"/>
        <w:autoSpaceDN w:val="0"/>
        <w:adjustRightInd w:val="0"/>
        <w:ind w:left="120" w:hanging="120"/>
        <w:jc w:val="center"/>
        <w:rPr>
          <w:rFonts w:ascii="宋体" w:hAnsi="宋体" w:cs="宋体"/>
          <w:sz w:val="24"/>
        </w:rPr>
      </w:pPr>
      <w:r>
        <w:rPr>
          <w:rFonts w:hint="eastAsia" w:ascii="宋体" w:hAnsi="宋体" w:cs="宋体"/>
          <w:b/>
          <w:sz w:val="24"/>
        </w:rPr>
        <w:t>投标单位总体情况表</w:t>
      </w:r>
    </w:p>
    <w:tbl>
      <w:tblPr>
        <w:tblStyle w:val="74"/>
        <w:tblW w:w="10141" w:type="dxa"/>
        <w:tblInd w:w="-252" w:type="dxa"/>
        <w:tblLayout w:type="fixed"/>
        <w:tblCellMar>
          <w:top w:w="0" w:type="dxa"/>
          <w:left w:w="108" w:type="dxa"/>
          <w:bottom w:w="0" w:type="dxa"/>
          <w:right w:w="108" w:type="dxa"/>
        </w:tblCellMar>
      </w:tblPr>
      <w:tblGrid>
        <w:gridCol w:w="1683"/>
        <w:gridCol w:w="1246"/>
        <w:gridCol w:w="1744"/>
        <w:gridCol w:w="5468"/>
      </w:tblGrid>
      <w:tr>
        <w:trPr>
          <w:trHeight w:val="680" w:hRule="atLeast"/>
        </w:trPr>
        <w:tc>
          <w:tcPr>
            <w:tcW w:w="10141" w:type="dxa"/>
            <w:gridSpan w:val="4"/>
            <w:tcBorders>
              <w:top w:val="nil"/>
              <w:left w:val="nil"/>
              <w:bottom w:val="single" w:color="auto" w:sz="4" w:space="0"/>
              <w:right w:val="nil"/>
            </w:tcBorders>
            <w:vAlign w:val="bottom"/>
          </w:tcPr>
          <w:p>
            <w:pPr>
              <w:widowControl/>
              <w:ind w:left="120" w:hanging="120"/>
              <w:rPr>
                <w:rFonts w:ascii="宋体" w:hAnsi="宋体" w:cs="宋体"/>
                <w:bCs/>
                <w:sz w:val="24"/>
              </w:rPr>
            </w:pPr>
            <w:r>
              <w:rPr>
                <w:rFonts w:hint="eastAsia" w:ascii="宋体" w:hAnsi="宋体" w:cs="宋体"/>
                <w:bCs/>
                <w:sz w:val="24"/>
              </w:rPr>
              <w:t>投标单位名称：</w:t>
            </w:r>
          </w:p>
        </w:tc>
      </w:tr>
      <w:tr>
        <w:tblPrEx>
          <w:tblCellMar>
            <w:top w:w="0" w:type="dxa"/>
            <w:left w:w="108" w:type="dxa"/>
            <w:bottom w:w="0" w:type="dxa"/>
            <w:right w:w="108" w:type="dxa"/>
          </w:tblCellMar>
        </w:tblPrEx>
        <w:trPr>
          <w:trHeight w:val="837" w:hRule="atLeast"/>
        </w:trPr>
        <w:tc>
          <w:tcPr>
            <w:tcW w:w="1683" w:type="dxa"/>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sz w:val="24"/>
              </w:rPr>
            </w:pPr>
            <w:r>
              <w:rPr>
                <w:rFonts w:hint="eastAsia" w:ascii="宋体" w:hAnsi="宋体" w:cs="宋体"/>
                <w:bCs/>
                <w:sz w:val="24"/>
              </w:rPr>
              <w:t>具有资质</w:t>
            </w:r>
          </w:p>
        </w:tc>
        <w:tc>
          <w:tcPr>
            <w:tcW w:w="1246" w:type="dxa"/>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sz w:val="24"/>
              </w:rPr>
            </w:pPr>
            <w:r>
              <w:rPr>
                <w:rFonts w:hint="eastAsia" w:ascii="宋体" w:hAnsi="宋体" w:cs="宋体"/>
                <w:bCs/>
                <w:sz w:val="24"/>
              </w:rPr>
              <w:t>注册资金（万元）</w:t>
            </w:r>
          </w:p>
        </w:tc>
        <w:tc>
          <w:tcPr>
            <w:tcW w:w="1744" w:type="dxa"/>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sz w:val="24"/>
              </w:rPr>
            </w:pPr>
            <w:r>
              <w:rPr>
                <w:rFonts w:hint="eastAsia" w:ascii="宋体" w:hAnsi="宋体" w:cs="宋体"/>
                <w:bCs/>
                <w:sz w:val="24"/>
              </w:rPr>
              <w:t>近三年平均营业收入情况（万元）</w:t>
            </w:r>
          </w:p>
        </w:tc>
        <w:tc>
          <w:tcPr>
            <w:tcW w:w="5468" w:type="dxa"/>
            <w:tcBorders>
              <w:top w:val="single" w:color="auto" w:sz="4" w:space="0"/>
              <w:left w:val="nil"/>
              <w:bottom w:val="single" w:color="auto" w:sz="4" w:space="0"/>
              <w:right w:val="single" w:color="auto" w:sz="4" w:space="0"/>
            </w:tcBorders>
            <w:vAlign w:val="center"/>
          </w:tcPr>
          <w:p>
            <w:pPr>
              <w:widowControl/>
              <w:snapToGrid w:val="0"/>
              <w:ind w:left="120" w:hanging="120"/>
              <w:jc w:val="center"/>
              <w:rPr>
                <w:rFonts w:ascii="宋体" w:hAnsi="宋体" w:cs="宋体"/>
                <w:bCs/>
                <w:sz w:val="24"/>
              </w:rPr>
            </w:pPr>
            <w:r>
              <w:rPr>
                <w:rFonts w:hint="eastAsia" w:ascii="宋体" w:hAnsi="宋体" w:cs="宋体"/>
                <w:bCs/>
                <w:sz w:val="24"/>
              </w:rPr>
              <w:t>企业在职人员共计    人</w:t>
            </w:r>
          </w:p>
        </w:tc>
      </w:tr>
      <w:tr>
        <w:tblPrEx>
          <w:tblCellMar>
            <w:top w:w="0" w:type="dxa"/>
            <w:left w:w="108" w:type="dxa"/>
            <w:bottom w:w="0" w:type="dxa"/>
            <w:right w:w="108" w:type="dxa"/>
          </w:tblCellMar>
        </w:tblPrEx>
        <w:trPr>
          <w:trHeight w:val="973" w:hRule="atLeast"/>
        </w:trPr>
        <w:tc>
          <w:tcPr>
            <w:tcW w:w="1683"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bCs/>
                <w:sz w:val="24"/>
              </w:rPr>
            </w:pPr>
            <w:r>
              <w:rPr>
                <w:rFonts w:hint="eastAsia" w:ascii="宋体" w:hAnsi="宋体" w:cs="宋体"/>
                <w:bCs/>
                <w:sz w:val="24"/>
              </w:rPr>
              <w:t>　</w:t>
            </w:r>
          </w:p>
        </w:tc>
        <w:tc>
          <w:tcPr>
            <w:tcW w:w="1246"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bCs/>
                <w:sz w:val="24"/>
              </w:rPr>
            </w:pPr>
            <w:r>
              <w:rPr>
                <w:rFonts w:hint="eastAsia" w:ascii="宋体" w:hAnsi="宋体" w:cs="宋体"/>
                <w:bCs/>
                <w:sz w:val="24"/>
              </w:rPr>
              <w:t>　</w:t>
            </w:r>
          </w:p>
        </w:tc>
        <w:tc>
          <w:tcPr>
            <w:tcW w:w="1744"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bCs/>
                <w:sz w:val="24"/>
              </w:rPr>
            </w:pPr>
            <w:r>
              <w:rPr>
                <w:rFonts w:hint="eastAsia" w:ascii="宋体" w:hAnsi="宋体" w:cs="宋体"/>
                <w:bCs/>
                <w:sz w:val="24"/>
              </w:rPr>
              <w:t>　</w:t>
            </w:r>
          </w:p>
        </w:tc>
        <w:tc>
          <w:tcPr>
            <w:tcW w:w="5468" w:type="dxa"/>
            <w:tcBorders>
              <w:top w:val="nil"/>
              <w:left w:val="nil"/>
              <w:bottom w:val="single" w:color="auto" w:sz="4" w:space="0"/>
              <w:right w:val="single" w:color="000000" w:sz="4" w:space="0"/>
            </w:tcBorders>
            <w:vAlign w:val="center"/>
          </w:tcPr>
          <w:p>
            <w:pPr>
              <w:widowControl/>
              <w:ind w:left="120" w:hanging="120"/>
              <w:jc w:val="center"/>
              <w:rPr>
                <w:rFonts w:ascii="宋体" w:hAnsi="宋体" w:cs="宋体"/>
                <w:bCs/>
                <w:sz w:val="24"/>
              </w:rPr>
            </w:pPr>
            <w:r>
              <w:rPr>
                <w:rFonts w:hint="eastAsia" w:ascii="宋体" w:hAnsi="宋体" w:cs="宋体"/>
                <w:bCs/>
                <w:sz w:val="24"/>
              </w:rPr>
              <w:t>参加本项目人员共计    人　</w:t>
            </w:r>
          </w:p>
        </w:tc>
      </w:tr>
      <w:tr>
        <w:tblPrEx>
          <w:tblCellMar>
            <w:top w:w="0" w:type="dxa"/>
            <w:left w:w="108" w:type="dxa"/>
            <w:bottom w:w="0" w:type="dxa"/>
            <w:right w:w="108" w:type="dxa"/>
          </w:tblCellMar>
        </w:tblPrEx>
        <w:trPr>
          <w:trHeight w:val="1292" w:hRule="atLeast"/>
        </w:trPr>
        <w:tc>
          <w:tcPr>
            <w:tcW w:w="10141" w:type="dxa"/>
            <w:gridSpan w:val="4"/>
            <w:tcBorders>
              <w:top w:val="single" w:color="auto" w:sz="4" w:space="0"/>
              <w:left w:val="nil"/>
              <w:bottom w:val="nil"/>
              <w:right w:val="nil"/>
            </w:tcBorders>
            <w:vAlign w:val="bottom"/>
          </w:tcPr>
          <w:p>
            <w:pPr>
              <w:widowControl/>
              <w:snapToGrid w:val="0"/>
              <w:ind w:left="120" w:hanging="120"/>
              <w:rPr>
                <w:rFonts w:ascii="宋体" w:hAnsi="宋体" w:cs="宋体"/>
                <w:bCs/>
                <w:sz w:val="24"/>
              </w:rPr>
            </w:pPr>
          </w:p>
          <w:p>
            <w:pPr>
              <w:widowControl/>
              <w:snapToGrid w:val="0"/>
              <w:ind w:left="120" w:hanging="120"/>
              <w:rPr>
                <w:rFonts w:ascii="宋体" w:hAnsi="宋体" w:cs="宋体"/>
                <w:bCs/>
                <w:sz w:val="24"/>
              </w:rPr>
            </w:pPr>
            <w:r>
              <w:rPr>
                <w:rFonts w:hint="eastAsia" w:ascii="宋体" w:hAnsi="宋体" w:cs="宋体"/>
                <w:bCs/>
                <w:sz w:val="24"/>
              </w:rPr>
              <w:t>附：</w:t>
            </w:r>
          </w:p>
          <w:p>
            <w:pPr>
              <w:widowControl/>
              <w:numPr>
                <w:ilvl w:val="0"/>
                <w:numId w:val="13"/>
              </w:numPr>
              <w:snapToGrid w:val="0"/>
              <w:ind w:left="120" w:hanging="120"/>
              <w:rPr>
                <w:rFonts w:ascii="宋体" w:hAnsi="宋体" w:cs="宋体"/>
                <w:bCs/>
                <w:sz w:val="24"/>
              </w:rPr>
            </w:pPr>
            <w:r>
              <w:rPr>
                <w:rFonts w:hint="eastAsia" w:ascii="宋体" w:hAnsi="宋体" w:cs="宋体"/>
                <w:bCs/>
                <w:sz w:val="24"/>
              </w:rPr>
              <w:t>附供应商营业执照等复印件。</w:t>
            </w:r>
          </w:p>
          <w:p>
            <w:pPr>
              <w:pStyle w:val="5"/>
              <w:ind w:left="0" w:firstLine="0" w:firstLineChars="0"/>
              <w:rPr>
                <w:rFonts w:ascii="宋体" w:hAnsi="宋体" w:cs="宋体"/>
              </w:rPr>
            </w:pPr>
            <w:r>
              <w:rPr>
                <w:rFonts w:hint="eastAsia" w:ascii="宋体" w:hAnsi="宋体" w:cs="宋体"/>
                <w:bCs/>
              </w:rPr>
              <w:t>2、本表格供应商可根据实际情况自行修改，以便能更好体现出企业信息，但修改后的表格应包含上述表格已列出内容。</w:t>
            </w:r>
          </w:p>
          <w:p>
            <w:pPr>
              <w:widowControl/>
              <w:snapToGrid w:val="0"/>
              <w:ind w:left="120" w:hanging="120"/>
              <w:rPr>
                <w:rFonts w:ascii="宋体" w:hAnsi="宋体" w:cs="宋体"/>
                <w:bCs/>
                <w:sz w:val="24"/>
              </w:rPr>
            </w:pPr>
          </w:p>
        </w:tc>
      </w:tr>
    </w:tbl>
    <w:p>
      <w:pPr>
        <w:pStyle w:val="5"/>
        <w:ind w:firstLine="482"/>
        <w:rPr>
          <w:rFonts w:ascii="宋体" w:hAnsi="宋体" w:cs="宋体"/>
          <w:b/>
        </w:rPr>
      </w:pPr>
    </w:p>
    <w:p>
      <w:pPr>
        <w:pStyle w:val="5"/>
        <w:ind w:firstLine="482"/>
        <w:rPr>
          <w:rFonts w:ascii="宋体" w:hAnsi="宋体" w:cs="宋体"/>
          <w:b/>
        </w:rPr>
      </w:pPr>
    </w:p>
    <w:p>
      <w:pPr>
        <w:spacing w:line="640" w:lineRule="exact"/>
        <w:ind w:left="120" w:hanging="120"/>
        <w:rPr>
          <w:rFonts w:ascii="宋体" w:hAnsi="宋体" w:cs="宋体"/>
          <w:sz w:val="24"/>
        </w:rPr>
      </w:pPr>
      <w:r>
        <w:rPr>
          <w:rFonts w:hint="eastAsia" w:ascii="宋体" w:hAnsi="宋体" w:cs="宋体"/>
          <w:sz w:val="24"/>
        </w:rPr>
        <w:t>供应商：(公章)：</w:t>
      </w:r>
    </w:p>
    <w:p>
      <w:pPr>
        <w:spacing w:line="640" w:lineRule="exact"/>
        <w:ind w:firstLine="2880" w:firstLineChars="1200"/>
        <w:rPr>
          <w:rFonts w:ascii="宋体" w:hAnsi="宋体" w:cs="宋体"/>
          <w:sz w:val="24"/>
          <w:u w:val="single"/>
        </w:rPr>
      </w:pPr>
      <w:r>
        <w:rPr>
          <w:rFonts w:hint="eastAsia" w:ascii="宋体" w:hAnsi="宋体" w:cs="宋体"/>
          <w:sz w:val="24"/>
        </w:rPr>
        <w:t>法定代表人或授权代表人（签字或盖章）：</w:t>
      </w:r>
    </w:p>
    <w:p>
      <w:pPr>
        <w:spacing w:line="640" w:lineRule="exact"/>
        <w:ind w:left="120" w:hanging="120"/>
        <w:rPr>
          <w:rFonts w:ascii="宋体" w:hAnsi="宋体" w:cs="宋体"/>
          <w:sz w:val="24"/>
        </w:rPr>
      </w:pPr>
      <w:r>
        <w:rPr>
          <w:rFonts w:hint="eastAsia" w:ascii="宋体" w:hAnsi="宋体" w:cs="宋体"/>
          <w:sz w:val="24"/>
        </w:rPr>
        <w:t xml:space="preserve">                        日 期:</w:t>
      </w:r>
    </w:p>
    <w:p>
      <w:pPr>
        <w:pStyle w:val="38"/>
        <w:spacing w:line="460" w:lineRule="exact"/>
        <w:ind w:firstLine="0" w:firstLineChars="0"/>
        <w:jc w:val="center"/>
        <w:rPr>
          <w:rFonts w:ascii="宋体" w:hAnsi="宋体" w:cs="宋体"/>
          <w:b/>
          <w:sz w:val="24"/>
        </w:rPr>
      </w:pPr>
      <w:r>
        <w:rPr>
          <w:rFonts w:hint="eastAsia" w:ascii="宋体" w:hAnsi="宋体" w:cs="宋体"/>
          <w:b/>
          <w:sz w:val="24"/>
        </w:rPr>
        <w:br w:type="page"/>
      </w:r>
    </w:p>
    <w:p>
      <w:pPr>
        <w:tabs>
          <w:tab w:val="left" w:pos="3987"/>
        </w:tabs>
        <w:spacing w:line="460" w:lineRule="exact"/>
        <w:ind w:left="120" w:hanging="120"/>
        <w:jc w:val="left"/>
        <w:rPr>
          <w:rFonts w:ascii="宋体" w:hAnsi="宋体" w:cs="宋体"/>
          <w:b/>
          <w:sz w:val="24"/>
        </w:rPr>
      </w:pPr>
      <w:r>
        <w:rPr>
          <w:rFonts w:hint="eastAsia" w:ascii="宋体" w:hAnsi="宋体" w:cs="宋体"/>
          <w:b/>
          <w:sz w:val="24"/>
        </w:rPr>
        <w:tab/>
      </w:r>
    </w:p>
    <w:p>
      <w:pPr>
        <w:pStyle w:val="4"/>
        <w:spacing w:line="460" w:lineRule="exact"/>
        <w:ind w:left="-105" w:leftChars="-50" w:firstLine="0" w:firstLineChars="0"/>
        <w:rPr>
          <w:rFonts w:ascii="宋体" w:hAnsi="宋体" w:cs="宋体"/>
          <w:sz w:val="24"/>
          <w:szCs w:val="24"/>
        </w:rPr>
      </w:pPr>
      <w:bookmarkStart w:id="298" w:name="_Toc80113562"/>
      <w:r>
        <w:rPr>
          <w:rFonts w:hint="eastAsia" w:ascii="宋体" w:hAnsi="宋体" w:cs="宋体"/>
          <w:sz w:val="24"/>
          <w:szCs w:val="24"/>
        </w:rPr>
        <w:t>3、法定代表人证明书</w:t>
      </w:r>
      <w:bookmarkEnd w:id="298"/>
    </w:p>
    <w:p>
      <w:pPr>
        <w:ind w:left="120" w:hanging="120"/>
        <w:rPr>
          <w:rFonts w:ascii="宋体" w:hAnsi="宋体" w:cs="宋体"/>
          <w:sz w:val="24"/>
        </w:rPr>
      </w:pPr>
    </w:p>
    <w:p>
      <w:pPr>
        <w:spacing w:line="460" w:lineRule="exact"/>
        <w:ind w:left="120" w:hanging="120"/>
        <w:rPr>
          <w:rFonts w:ascii="宋体" w:hAnsi="宋体" w:cs="宋体"/>
          <w:sz w:val="24"/>
          <w:u w:val="single"/>
        </w:rPr>
      </w:pPr>
      <w:r>
        <w:rPr>
          <w:rFonts w:hint="eastAsia" w:ascii="宋体" w:hAnsi="宋体" w:cs="宋体"/>
          <w:sz w:val="24"/>
        </w:rPr>
        <w:t>单位名称：</w:t>
      </w:r>
    </w:p>
    <w:p>
      <w:pPr>
        <w:spacing w:line="460" w:lineRule="exact"/>
        <w:ind w:left="120" w:hanging="120"/>
        <w:rPr>
          <w:rFonts w:ascii="宋体" w:hAnsi="宋体" w:cs="宋体"/>
          <w:sz w:val="24"/>
        </w:rPr>
      </w:pPr>
      <w:r>
        <w:rPr>
          <w:rFonts w:hint="eastAsia" w:ascii="宋体" w:hAnsi="宋体" w:cs="宋体"/>
          <w:sz w:val="24"/>
        </w:rPr>
        <w:t>地址：</w:t>
      </w:r>
    </w:p>
    <w:p>
      <w:pPr>
        <w:spacing w:line="460" w:lineRule="exact"/>
        <w:ind w:left="120" w:hanging="120"/>
        <w:rPr>
          <w:rFonts w:ascii="宋体" w:hAnsi="宋体" w:cs="宋体"/>
          <w:sz w:val="24"/>
        </w:rPr>
      </w:pPr>
      <w:r>
        <w:rPr>
          <w:rFonts w:hint="eastAsia" w:ascii="宋体" w:hAnsi="宋体" w:cs="宋体"/>
          <w:sz w:val="24"/>
        </w:rPr>
        <w:t>姓名：   性别：年龄：  职务：</w:t>
      </w:r>
    </w:p>
    <w:p>
      <w:pPr>
        <w:spacing w:line="460" w:lineRule="exact"/>
        <w:ind w:left="120" w:hanging="120"/>
        <w:rPr>
          <w:rFonts w:ascii="宋体" w:hAnsi="宋体" w:cs="宋体"/>
          <w:sz w:val="24"/>
        </w:rPr>
      </w:pPr>
      <w:r>
        <w:rPr>
          <w:rFonts w:hint="eastAsia" w:ascii="宋体" w:hAnsi="宋体" w:cs="宋体"/>
          <w:sz w:val="24"/>
        </w:rPr>
        <w:t>系  的法定代表人。</w:t>
      </w: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tbl>
      <w:tblPr>
        <w:tblStyle w:val="75"/>
        <w:tblpPr w:leftFromText="180" w:rightFromText="180" w:vertAnchor="text" w:horzAnchor="page" w:tblpX="1282" w:tblpY="246"/>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6" w:hRule="atLeast"/>
        </w:trPr>
        <w:tc>
          <w:tcPr>
            <w:tcW w:w="4728" w:type="dxa"/>
            <w:vAlign w:val="center"/>
          </w:tcPr>
          <w:p>
            <w:pPr>
              <w:spacing w:line="460" w:lineRule="exact"/>
              <w:ind w:left="120" w:hanging="120"/>
              <w:jc w:val="center"/>
              <w:rPr>
                <w:rFonts w:ascii="宋体" w:hAnsi="宋体" w:cs="宋体"/>
                <w:sz w:val="24"/>
              </w:rPr>
            </w:pPr>
            <w:r>
              <w:rPr>
                <w:rFonts w:hint="eastAsia" w:ascii="宋体" w:hAnsi="宋体" w:cs="宋体"/>
                <w:sz w:val="24"/>
              </w:rPr>
              <w:t>法人身份证复印件正面</w:t>
            </w:r>
          </w:p>
        </w:tc>
        <w:tc>
          <w:tcPr>
            <w:tcW w:w="4729" w:type="dxa"/>
            <w:vAlign w:val="center"/>
          </w:tcPr>
          <w:p>
            <w:pPr>
              <w:spacing w:line="460" w:lineRule="exact"/>
              <w:ind w:left="120" w:hanging="120"/>
              <w:jc w:val="center"/>
              <w:rPr>
                <w:rFonts w:ascii="宋体" w:hAnsi="宋体" w:cs="宋体"/>
                <w:sz w:val="24"/>
              </w:rPr>
            </w:pPr>
            <w:r>
              <w:rPr>
                <w:rFonts w:hint="eastAsia" w:ascii="宋体" w:hAnsi="宋体" w:cs="宋体"/>
                <w:sz w:val="24"/>
              </w:rPr>
              <w:t>法人身份证复印件反面</w:t>
            </w:r>
          </w:p>
        </w:tc>
      </w:tr>
    </w:tbl>
    <w:p>
      <w:pPr>
        <w:spacing w:line="460" w:lineRule="exact"/>
        <w:ind w:firstLine="960" w:firstLineChars="400"/>
        <w:jc w:val="right"/>
        <w:rPr>
          <w:rFonts w:ascii="宋体" w:hAnsi="宋体" w:cs="宋体"/>
          <w:sz w:val="24"/>
        </w:rPr>
      </w:pPr>
    </w:p>
    <w:p>
      <w:pPr>
        <w:spacing w:line="460" w:lineRule="exact"/>
        <w:ind w:firstLine="960" w:firstLineChars="400"/>
        <w:jc w:val="right"/>
        <w:rPr>
          <w:rFonts w:ascii="宋体" w:hAnsi="宋体" w:cs="宋体"/>
          <w:sz w:val="24"/>
        </w:rPr>
      </w:pPr>
    </w:p>
    <w:p>
      <w:pPr>
        <w:spacing w:line="460" w:lineRule="exact"/>
        <w:ind w:firstLine="960" w:firstLineChars="400"/>
        <w:jc w:val="right"/>
        <w:rPr>
          <w:rFonts w:ascii="宋体" w:hAnsi="宋体" w:cs="宋体"/>
          <w:sz w:val="24"/>
        </w:rPr>
      </w:pPr>
    </w:p>
    <w:p>
      <w:pPr>
        <w:pStyle w:val="5"/>
        <w:ind w:firstLine="480"/>
        <w:rPr>
          <w:rFonts w:ascii="宋体" w:hAnsi="宋体" w:cs="宋体"/>
        </w:rPr>
      </w:pPr>
    </w:p>
    <w:p>
      <w:pPr>
        <w:spacing w:line="460" w:lineRule="exact"/>
        <w:ind w:left="239" w:leftChars="114" w:firstLine="600" w:firstLineChars="250"/>
        <w:rPr>
          <w:rFonts w:ascii="宋体" w:hAnsi="宋体" w:cs="宋体"/>
          <w:sz w:val="24"/>
        </w:rPr>
      </w:pPr>
      <w:r>
        <w:rPr>
          <w:rFonts w:hint="eastAsia" w:ascii="宋体" w:hAnsi="宋体" w:cs="宋体"/>
          <w:sz w:val="24"/>
        </w:rPr>
        <w:t>供应商名称：（公章）</w:t>
      </w:r>
    </w:p>
    <w:p>
      <w:pPr>
        <w:ind w:left="120" w:hanging="120"/>
        <w:rPr>
          <w:rFonts w:ascii="宋体" w:hAnsi="宋体" w:cs="宋体"/>
          <w:sz w:val="24"/>
        </w:rPr>
      </w:pPr>
    </w:p>
    <w:p>
      <w:pPr>
        <w:spacing w:line="460" w:lineRule="exact"/>
        <w:ind w:firstLine="960" w:firstLineChars="400"/>
        <w:jc w:val="right"/>
        <w:rPr>
          <w:rFonts w:ascii="宋体" w:hAnsi="宋体" w:cs="宋体"/>
          <w:sz w:val="24"/>
        </w:rPr>
      </w:pPr>
    </w:p>
    <w:p>
      <w:pPr>
        <w:spacing w:line="460" w:lineRule="exact"/>
        <w:ind w:firstLine="960" w:firstLineChars="400"/>
        <w:rPr>
          <w:rFonts w:ascii="宋体" w:hAnsi="宋体" w:cs="宋体"/>
          <w:sz w:val="24"/>
        </w:rPr>
      </w:pPr>
      <w:r>
        <w:rPr>
          <w:rFonts w:hint="eastAsia" w:ascii="宋体" w:hAnsi="宋体" w:cs="宋体"/>
          <w:sz w:val="24"/>
        </w:rPr>
        <w:t xml:space="preserve">           日期：   年  月  日</w:t>
      </w:r>
    </w:p>
    <w:p>
      <w:pPr>
        <w:spacing w:line="460" w:lineRule="exact"/>
        <w:ind w:left="120" w:hanging="120"/>
        <w:jc w:val="center"/>
        <w:rPr>
          <w:rFonts w:ascii="宋体" w:hAnsi="宋体" w:cs="宋体"/>
          <w:b/>
          <w:sz w:val="24"/>
          <w:lang w:val="zh-CN"/>
        </w:rPr>
      </w:pPr>
      <w:r>
        <w:rPr>
          <w:rFonts w:hint="eastAsia" w:ascii="宋体" w:hAnsi="宋体" w:cs="宋体"/>
          <w:sz w:val="24"/>
        </w:rPr>
        <w:br w:type="page"/>
      </w:r>
      <w:r>
        <w:rPr>
          <w:rFonts w:hint="eastAsia" w:ascii="宋体" w:hAnsi="宋体" w:cs="宋体"/>
          <w:b/>
          <w:sz w:val="24"/>
        </w:rPr>
        <w:t>4、法定代表人授权委托书</w:t>
      </w:r>
    </w:p>
    <w:p>
      <w:pPr>
        <w:autoSpaceDE w:val="0"/>
        <w:autoSpaceDN w:val="0"/>
        <w:adjustRightInd w:val="0"/>
        <w:ind w:left="120" w:hanging="120"/>
        <w:rPr>
          <w:rFonts w:ascii="宋体" w:hAnsi="宋体" w:cs="宋体"/>
          <w:sz w:val="24"/>
          <w:lang w:val="zh-CN"/>
        </w:rPr>
      </w:pPr>
    </w:p>
    <w:p>
      <w:pPr>
        <w:autoSpaceDE w:val="0"/>
        <w:autoSpaceDN w:val="0"/>
        <w:adjustRightInd w:val="0"/>
        <w:spacing w:line="320" w:lineRule="exact"/>
        <w:ind w:left="239" w:leftChars="114" w:firstLine="600" w:firstLineChars="250"/>
        <w:rPr>
          <w:rFonts w:ascii="宋体" w:hAnsi="宋体" w:cs="宋体"/>
          <w:sz w:val="24"/>
          <w:lang w:val="zh-CN"/>
        </w:rPr>
      </w:pPr>
      <w:r>
        <w:rPr>
          <w:rFonts w:hint="eastAsia" w:ascii="宋体" w:hAnsi="宋体" w:cs="宋体"/>
          <w:sz w:val="24"/>
          <w:lang w:val="zh-CN"/>
        </w:rPr>
        <w:t>本授权委托书声明：我（姓名）系（供应商名称）的法定代表人，现授权委托（姓名）为我公司代理人，</w:t>
      </w:r>
      <w:r>
        <w:rPr>
          <w:rFonts w:hint="eastAsia" w:ascii="宋体" w:hAnsi="宋体" w:cs="宋体"/>
          <w:sz w:val="24"/>
        </w:rPr>
        <w:t>代表我公司</w:t>
      </w:r>
      <w:r>
        <w:rPr>
          <w:rFonts w:hint="eastAsia" w:ascii="宋体" w:hAnsi="宋体" w:cs="宋体"/>
          <w:sz w:val="24"/>
          <w:lang w:val="zh-CN"/>
        </w:rPr>
        <w:t>参加（采购人）的（</w:t>
      </w:r>
      <w:r>
        <w:rPr>
          <w:rFonts w:hint="eastAsia" w:ascii="宋体" w:hAnsi="宋体" w:cs="宋体"/>
          <w:sz w:val="24"/>
        </w:rPr>
        <w:t>项目名称</w:t>
      </w:r>
      <w:r>
        <w:rPr>
          <w:rFonts w:hint="eastAsia" w:ascii="宋体" w:hAnsi="宋体" w:cs="宋体"/>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代理人：性别：年龄：</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单  位：部门：职务：</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代理人无转委权。特此委托。</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附法定代表人、被授权人身份证复印件</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ascii="宋体" w:hAnsi="宋体" w:cs="宋体"/>
          <w:bCs/>
          <w:sz w:val="24"/>
        </w:rPr>
        <w:pict>
          <v:shape id="_x0000_s1030" o:spid="_x0000_s1030" o:spt="202" type="#_x0000_t202" style="position:absolute;left:0pt;margin-left:219.75pt;margin-top:11.45pt;height:99.5pt;width:194.7pt;z-index:251660288;mso-width-relative:page;mso-height-relative:page;"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cq5o2QAAAAoBAAAPAAAAAAAAAAEA&#10;IAAAACIAAABkcnMvZG93bnJldi54bWxQSwECFAAUAAAACACHTuJAk8hb/w4CAAA3BAAADgAAAAAA&#10;AAABACAAAAAoAQAAZHJzL2Uyb0RvYy54bWxQSwUGAAAAAAYABgBZAQAAqAUAAAAA&#10;">
            <v:path/>
            <v:fill focussize="0,0"/>
            <v:stroke dashstyle="1 1" endcap="round"/>
            <v:imagedata o:title=""/>
            <o:lock v:ext="edit"/>
            <v:textbox>
              <w:txbxContent>
                <w:p>
                  <w:pPr>
                    <w:ind w:left="140" w:hanging="140"/>
                    <w:jc w:val="center"/>
                    <w:rPr>
                      <w:sz w:val="28"/>
                      <w:szCs w:val="28"/>
                    </w:rPr>
                  </w:pPr>
                  <w:r>
                    <w:rPr>
                      <w:rFonts w:hint="eastAsia"/>
                      <w:sz w:val="28"/>
                      <w:szCs w:val="28"/>
                    </w:rPr>
                    <w:t>法人身份证复印件背面</w:t>
                  </w:r>
                </w:p>
              </w:txbxContent>
            </v:textbox>
          </v:shape>
        </w:pict>
      </w:r>
      <w:r>
        <w:rPr>
          <w:rFonts w:ascii="宋体" w:hAnsi="宋体" w:cs="宋体"/>
          <w:bCs/>
          <w:sz w:val="24"/>
        </w:rPr>
        <w:pict>
          <v:shape id="_x0000_s1029" o:spid="_x0000_s1029" o:spt="202" type="#_x0000_t202" style="position:absolute;left:0pt;margin-left:-3.75pt;margin-top:12.3pt;height:99.5pt;width:194.7pt;z-index:251659264;mso-width-relative:page;mso-height-relative:page;"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KkecXaAAAACQEAAA8AAAAAAAAA&#10;AQAgAAAAIgAAAGRycy9kb3ducmV2LnhtbFBLAQIUABQAAAAIAIdO4kApVnF7DwIAADkEAAAOAAAA&#10;AAAAAAEAIAAAACkBAABkcnMvZTJvRG9jLnhtbFBLBQYAAAAABgAGAFkBAACqBQAAAAA=&#10;">
            <v:path/>
            <v:fill focussize="0,0"/>
            <v:stroke dashstyle="1 1" endcap="round"/>
            <v:imagedata o:title=""/>
            <o:lock v:ext="edit"/>
            <v:textbox>
              <w:txbxContent>
                <w:p>
                  <w:pPr>
                    <w:ind w:left="140" w:hanging="140"/>
                    <w:jc w:val="center"/>
                    <w:rPr>
                      <w:sz w:val="28"/>
                      <w:szCs w:val="28"/>
                    </w:rPr>
                  </w:pPr>
                  <w:r>
                    <w:rPr>
                      <w:rFonts w:hint="eastAsia"/>
                      <w:sz w:val="28"/>
                      <w:szCs w:val="28"/>
                    </w:rPr>
                    <w:t>法人身份证复印件正面</w:t>
                  </w:r>
                </w:p>
              </w:txbxContent>
            </v:textbox>
          </v:shape>
        </w:pic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ascii="宋体" w:hAnsi="宋体" w:cs="宋体"/>
          <w:bCs/>
          <w:sz w:val="24"/>
        </w:rPr>
        <w:pict>
          <v:shape id="_x0000_s1028" o:spid="_x0000_s1028" o:spt="202" type="#_x0000_t202" style="position:absolute;left:0pt;margin-left:221.05pt;margin-top:11.9pt;height:99.5pt;width:194.7pt;z-index:251662336;mso-width-relative:page;mso-height-relative:page;" coordsize="21600,21600" o:gfxdata="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V38J2gAAAAoBAAAPAAAAAAAA&#10;AAEAIAAAACIAAABkcnMvZG93bnJldi54bWxQSwECFAAUAAAACACHTuJAueBXPBACAAA3BAAADgAA&#10;AAAAAAABACAAAAApAQAAZHJzL2Uyb0RvYy54bWxQSwUGAAAAAAYABgBZAQAAqwUAAAAA&#10;">
            <v:path/>
            <v:fill focussize="0,0"/>
            <v:stroke dashstyle="1 1" endcap="round"/>
            <v:imagedata o:title=""/>
            <o:lock v:ext="edit"/>
            <v:textbox>
              <w:txbxContent>
                <w:p>
                  <w:pPr>
                    <w:ind w:left="140" w:hanging="140"/>
                    <w:jc w:val="center"/>
                    <w:rPr>
                      <w:sz w:val="28"/>
                      <w:szCs w:val="28"/>
                    </w:rPr>
                  </w:pPr>
                  <w:r>
                    <w:rPr>
                      <w:rFonts w:hint="eastAsia"/>
                      <w:sz w:val="28"/>
                      <w:szCs w:val="28"/>
                    </w:rPr>
                    <w:t>被委托人身份证复印件背面</w:t>
                  </w:r>
                </w:p>
              </w:txbxContent>
            </v:textbox>
          </v:shape>
        </w:pict>
      </w:r>
      <w:r>
        <w:rPr>
          <w:rFonts w:ascii="宋体" w:hAnsi="宋体" w:cs="宋体"/>
          <w:bCs/>
          <w:sz w:val="24"/>
        </w:rPr>
        <w:pict>
          <v:shape id="_x0000_s1027" o:spid="_x0000_s1027" o:spt="202" type="#_x0000_t202" style="position:absolute;left:0pt;margin-left:-3.9pt;margin-top:11.45pt;height:99.5pt;width:194.7pt;z-index:251661312;mso-width-relative:page;mso-height-relative:page;" coordsize="21600,21600" o:gfxdata="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ElxatkAAAAJAQAADwAAAAAAAAAB&#10;ACAAAAAiAAAAZHJzL2Rvd25yZXYueG1sUEsBAhQAFAAAAAgAh07iQAVC9tcPAgAANwQAAA4AAAAA&#10;AAAAAQAgAAAAKAEAAGRycy9lMm9Eb2MueG1sUEsFBgAAAAAGAAYAWQEAAKkFAAAAAA==&#10;">
            <v:path/>
            <v:fill focussize="0,0"/>
            <v:stroke dashstyle="1 1" endcap="round"/>
            <v:imagedata o:title=""/>
            <o:lock v:ext="edit"/>
            <v:textbox>
              <w:txbxContent>
                <w:p>
                  <w:pPr>
                    <w:ind w:left="140" w:hanging="140"/>
                    <w:jc w:val="center"/>
                    <w:rPr>
                      <w:sz w:val="28"/>
                      <w:szCs w:val="28"/>
                    </w:rPr>
                  </w:pPr>
                  <w:r>
                    <w:rPr>
                      <w:rFonts w:hint="eastAsia"/>
                      <w:sz w:val="28"/>
                      <w:szCs w:val="28"/>
                    </w:rPr>
                    <w:t>被委托人身份证复印件正面</w:t>
                  </w:r>
                </w:p>
              </w:txbxContent>
            </v:textbox>
          </v:shape>
        </w:pic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 xml:space="preserve">供应商名称：（盖章）                               </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法定代表人：（</w:t>
      </w:r>
      <w:r>
        <w:rPr>
          <w:rFonts w:hint="eastAsia" w:ascii="宋体" w:hAnsi="宋体" w:cs="宋体"/>
          <w:sz w:val="24"/>
        </w:rPr>
        <w:t>签字或盖章</w:t>
      </w:r>
      <w:r>
        <w:rPr>
          <w:rFonts w:hint="eastAsia" w:ascii="宋体" w:hAnsi="宋体" w:cs="宋体"/>
          <w:sz w:val="24"/>
          <w:lang w:val="zh-CN"/>
        </w:rPr>
        <w:t xml:space="preserve">）                                  </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rPr>
        <w:t>委托代理人</w:t>
      </w:r>
      <w:r>
        <w:rPr>
          <w:rFonts w:hint="eastAsia" w:ascii="宋体" w:hAnsi="宋体" w:cs="宋体"/>
          <w:sz w:val="24"/>
          <w:lang w:val="zh-CN"/>
        </w:rPr>
        <w:t>：（签字）</w:t>
      </w:r>
    </w:p>
    <w:p>
      <w:pPr>
        <w:autoSpaceDE w:val="0"/>
        <w:autoSpaceDN w:val="0"/>
        <w:adjustRightInd w:val="0"/>
        <w:spacing w:line="320" w:lineRule="exact"/>
        <w:ind w:left="120" w:hanging="120"/>
        <w:rPr>
          <w:rFonts w:ascii="宋体" w:hAnsi="宋体" w:cs="宋体"/>
          <w:b/>
          <w:bCs/>
          <w:sz w:val="24"/>
          <w:lang w:val="zh-CN"/>
        </w:rPr>
      </w:pPr>
    </w:p>
    <w:p>
      <w:pPr>
        <w:autoSpaceDE w:val="0"/>
        <w:autoSpaceDN w:val="0"/>
        <w:adjustRightInd w:val="0"/>
        <w:spacing w:line="320" w:lineRule="exact"/>
        <w:ind w:left="120" w:hanging="120"/>
        <w:jc w:val="center"/>
        <w:rPr>
          <w:rFonts w:ascii="宋体" w:hAnsi="宋体" w:cs="宋体"/>
          <w:sz w:val="24"/>
          <w:lang w:val="zh-CN"/>
        </w:rPr>
      </w:pPr>
      <w:r>
        <w:rPr>
          <w:rFonts w:hint="eastAsia" w:ascii="宋体" w:hAnsi="宋体" w:cs="宋体"/>
          <w:sz w:val="24"/>
          <w:lang w:val="zh-CN"/>
        </w:rPr>
        <w:t>日期：年月日</w:t>
      </w:r>
    </w:p>
    <w:p>
      <w:pPr>
        <w:pStyle w:val="5"/>
        <w:ind w:firstLine="480"/>
        <w:rPr>
          <w:rFonts w:ascii="宋体" w:hAnsi="宋体" w:cs="宋体"/>
          <w:lang w:val="zh-CN"/>
        </w:rPr>
      </w:pPr>
    </w:p>
    <w:p>
      <w:pPr>
        <w:autoSpaceDE w:val="0"/>
        <w:autoSpaceDN w:val="0"/>
        <w:adjustRightInd w:val="0"/>
        <w:spacing w:line="320" w:lineRule="exact"/>
        <w:ind w:left="120" w:hanging="120"/>
        <w:jc w:val="center"/>
        <w:rPr>
          <w:rFonts w:ascii="宋体" w:hAnsi="宋体" w:cs="宋体"/>
          <w:sz w:val="24"/>
          <w:lang w:val="zh-CN"/>
        </w:rPr>
      </w:pPr>
    </w:p>
    <w:p>
      <w:pPr>
        <w:autoSpaceDE w:val="0"/>
        <w:autoSpaceDN w:val="0"/>
        <w:adjustRightInd w:val="0"/>
        <w:ind w:left="120" w:hanging="120"/>
        <w:rPr>
          <w:rFonts w:ascii="宋体" w:hAnsi="宋体" w:cs="宋体"/>
          <w:sz w:val="24"/>
        </w:rPr>
      </w:pPr>
      <w:r>
        <w:rPr>
          <w:rFonts w:hint="eastAsia" w:ascii="宋体" w:hAnsi="宋体" w:cs="宋体"/>
          <w:sz w:val="24"/>
        </w:rPr>
        <w:t>注：此授权委托书格式不得更改且内容必须在一张纸上。</w:t>
      </w:r>
    </w:p>
    <w:p>
      <w:pPr>
        <w:pStyle w:val="4"/>
        <w:spacing w:line="360" w:lineRule="auto"/>
        <w:ind w:firstLine="2811" w:firstLineChars="1000"/>
        <w:jc w:val="both"/>
        <w:rPr>
          <w:rFonts w:ascii="宋体" w:hAnsi="宋体" w:cs="宋体"/>
          <w:kern w:val="44"/>
          <w:sz w:val="28"/>
          <w:szCs w:val="36"/>
        </w:rPr>
      </w:pPr>
      <w:bookmarkStart w:id="299" w:name="_Toc80113563"/>
      <w:r>
        <w:rPr>
          <w:rFonts w:hint="eastAsia" w:ascii="宋体" w:hAnsi="宋体" w:cs="宋体"/>
          <w:kern w:val="44"/>
          <w:sz w:val="28"/>
          <w:szCs w:val="36"/>
        </w:rPr>
        <w:t>5、法人营业执照函</w:t>
      </w:r>
      <w:bookmarkEnd w:id="299"/>
    </w:p>
    <w:p>
      <w:pPr>
        <w:ind w:left="120" w:hanging="120"/>
        <w:rPr>
          <w:rFonts w:ascii="宋体" w:hAnsi="宋体" w:cs="宋体"/>
          <w:sz w:val="24"/>
        </w:rPr>
      </w:pPr>
      <w:r>
        <w:rPr>
          <w:rFonts w:hint="eastAsia" w:ascii="宋体" w:hAnsi="宋体" w:cs="宋体"/>
          <w:sz w:val="24"/>
          <w:u w:val="single"/>
        </w:rPr>
        <w:t xml:space="preserve">      （采购人）     </w:t>
      </w:r>
      <w:r>
        <w:rPr>
          <w:rFonts w:hint="eastAsia" w:ascii="宋体" w:hAnsi="宋体" w:cs="宋体"/>
          <w:sz w:val="24"/>
        </w:rPr>
        <w:t>：</w:t>
      </w:r>
    </w:p>
    <w:p>
      <w:pPr>
        <w:ind w:left="239" w:leftChars="114" w:firstLine="600" w:firstLineChars="250"/>
        <w:rPr>
          <w:rFonts w:ascii="宋体" w:hAnsi="宋体" w:cs="宋体"/>
          <w:sz w:val="24"/>
        </w:rPr>
      </w:pPr>
      <w:r>
        <w:rPr>
          <w:rFonts w:hint="eastAsia" w:ascii="宋体" w:hAnsi="宋体" w:cs="宋体"/>
          <w:sz w:val="24"/>
        </w:rPr>
        <w:t>现附上由（签发机关名称）签发的我方法人营业执照复印件，该执照已经年检，真实有效。</w:t>
      </w:r>
    </w:p>
    <w:p>
      <w:pPr>
        <w:ind w:left="120" w:hanging="120"/>
        <w:rPr>
          <w:rFonts w:ascii="宋体" w:hAnsi="宋体" w:cs="宋体"/>
          <w:sz w:val="24"/>
        </w:rPr>
      </w:pPr>
    </w:p>
    <w:p>
      <w:pPr>
        <w:ind w:left="120" w:hanging="120"/>
        <w:rPr>
          <w:rFonts w:ascii="宋体" w:hAnsi="宋体" w:cs="宋体"/>
          <w:sz w:val="24"/>
        </w:rPr>
      </w:pPr>
    </w:p>
    <w:p>
      <w:pPr>
        <w:ind w:left="120" w:hanging="120"/>
        <w:rPr>
          <w:rFonts w:ascii="宋体" w:hAnsi="宋体" w:cs="宋体"/>
          <w:sz w:val="24"/>
        </w:rPr>
      </w:pPr>
    </w:p>
    <w:p>
      <w:pPr>
        <w:ind w:firstLine="3600" w:firstLineChars="1500"/>
        <w:rPr>
          <w:rFonts w:ascii="宋体" w:hAnsi="宋体" w:cs="宋体"/>
          <w:sz w:val="24"/>
        </w:rPr>
      </w:pPr>
      <w:r>
        <w:rPr>
          <w:rFonts w:hint="eastAsia" w:ascii="宋体" w:hAnsi="宋体" w:cs="宋体"/>
          <w:sz w:val="24"/>
        </w:rPr>
        <w:t xml:space="preserve">投标单位：（法人公章）   </w:t>
      </w:r>
    </w:p>
    <w:p>
      <w:pPr>
        <w:ind w:firstLine="1680" w:firstLineChars="700"/>
        <w:rPr>
          <w:rFonts w:ascii="宋体" w:hAnsi="宋体" w:cs="宋体"/>
          <w:sz w:val="24"/>
        </w:rPr>
      </w:pPr>
      <w:r>
        <w:rPr>
          <w:rFonts w:hint="eastAsia" w:ascii="宋体" w:hAnsi="宋体" w:cs="宋体"/>
          <w:sz w:val="24"/>
        </w:rPr>
        <w:t>法定代表人或授权代表人： （签字或盖章）</w:t>
      </w:r>
    </w:p>
    <w:p>
      <w:pPr>
        <w:ind w:left="120" w:hanging="120"/>
        <w:rPr>
          <w:rFonts w:ascii="宋体" w:hAnsi="宋体" w:cs="宋体"/>
          <w:sz w:val="24"/>
        </w:rPr>
      </w:pPr>
    </w:p>
    <w:p>
      <w:pPr>
        <w:ind w:firstLine="4560" w:firstLineChars="1900"/>
        <w:rPr>
          <w:rFonts w:ascii="宋体" w:hAnsi="宋体" w:cs="宋体"/>
          <w:sz w:val="24"/>
        </w:rPr>
      </w:pPr>
      <w:r>
        <w:rPr>
          <w:rFonts w:hint="eastAsia" w:ascii="宋体" w:hAnsi="宋体" w:cs="宋体"/>
          <w:sz w:val="24"/>
        </w:rPr>
        <w:t>日期：   年   月   日</w:t>
      </w:r>
    </w:p>
    <w:p>
      <w:pPr>
        <w:pStyle w:val="4"/>
        <w:spacing w:line="360" w:lineRule="auto"/>
        <w:ind w:left="120" w:hanging="120"/>
        <w:rPr>
          <w:rFonts w:ascii="宋体" w:hAnsi="宋体" w:cs="宋体"/>
          <w:sz w:val="24"/>
        </w:rPr>
      </w:pPr>
      <w:r>
        <w:rPr>
          <w:rFonts w:hint="eastAsia" w:ascii="宋体" w:hAnsi="宋体" w:cs="宋体"/>
          <w:sz w:val="24"/>
        </w:rPr>
        <w:br w:type="page"/>
      </w:r>
    </w:p>
    <w:p>
      <w:pPr>
        <w:pStyle w:val="4"/>
        <w:spacing w:line="240" w:lineRule="auto"/>
        <w:ind w:left="120" w:hanging="120"/>
        <w:rPr>
          <w:rFonts w:ascii="宋体" w:hAnsi="宋体" w:cs="宋体"/>
          <w:sz w:val="24"/>
          <w:szCs w:val="24"/>
        </w:rPr>
      </w:pPr>
      <w:bookmarkStart w:id="300" w:name="_Toc80113564"/>
      <w:r>
        <w:rPr>
          <w:rFonts w:hint="eastAsia" w:ascii="宋体" w:hAnsi="宋体" w:cs="宋体"/>
          <w:sz w:val="24"/>
          <w:szCs w:val="24"/>
        </w:rPr>
        <w:t>6、</w:t>
      </w:r>
      <w:r>
        <w:rPr>
          <w:rFonts w:hint="eastAsia" w:ascii="宋体" w:hAnsi="宋体" w:cs="宋体"/>
          <w:sz w:val="24"/>
        </w:rPr>
        <w:t>近</w:t>
      </w:r>
      <w:r>
        <w:rPr>
          <w:rFonts w:hint="eastAsia" w:ascii="宋体" w:hAnsi="宋体" w:cs="宋体"/>
          <w:sz w:val="24"/>
          <w:lang w:eastAsia="zh-CN"/>
        </w:rPr>
        <w:t>五</w:t>
      </w:r>
      <w:r>
        <w:rPr>
          <w:rFonts w:hint="eastAsia" w:ascii="宋体" w:hAnsi="宋体" w:cs="宋体"/>
          <w:sz w:val="24"/>
        </w:rPr>
        <w:t>年企业类似业绩表及证明（如有需填写）</w:t>
      </w:r>
      <w:bookmarkEnd w:id="300"/>
    </w:p>
    <w:p>
      <w:pPr>
        <w:autoSpaceDE w:val="0"/>
        <w:autoSpaceDN w:val="0"/>
        <w:adjustRightInd w:val="0"/>
        <w:ind w:left="120" w:hanging="120"/>
        <w:jc w:val="center"/>
        <w:rPr>
          <w:rFonts w:ascii="宋体" w:hAnsi="宋体" w:cs="宋体"/>
          <w:b/>
          <w:bCs/>
          <w:sz w:val="24"/>
        </w:rPr>
      </w:pPr>
      <w:r>
        <w:rPr>
          <w:rFonts w:hint="eastAsia" w:ascii="宋体" w:hAnsi="宋体" w:cs="宋体"/>
          <w:sz w:val="24"/>
        </w:rPr>
        <w:t>近</w:t>
      </w:r>
      <w:r>
        <w:rPr>
          <w:rFonts w:hint="eastAsia" w:ascii="宋体" w:hAnsi="宋体" w:cs="宋体"/>
          <w:sz w:val="24"/>
          <w:lang w:eastAsia="zh-CN"/>
        </w:rPr>
        <w:t>五</w:t>
      </w:r>
      <w:r>
        <w:rPr>
          <w:rFonts w:hint="eastAsia" w:ascii="宋体" w:hAnsi="宋体" w:cs="宋体"/>
          <w:sz w:val="24"/>
        </w:rPr>
        <w:t>年企业类似业绩表</w:t>
      </w:r>
    </w:p>
    <w:tbl>
      <w:tblPr>
        <w:tblStyle w:val="74"/>
        <w:tblpPr w:leftFromText="180" w:rightFromText="180" w:vertAnchor="text" w:horzAnchor="page" w:tblpX="1062" w:tblpY="541"/>
        <w:tblOverlap w:val="never"/>
        <w:tblW w:w="10820" w:type="dxa"/>
        <w:tblInd w:w="0" w:type="dxa"/>
        <w:tblLayout w:type="fixed"/>
        <w:tblCellMar>
          <w:top w:w="0" w:type="dxa"/>
          <w:left w:w="108" w:type="dxa"/>
          <w:bottom w:w="0" w:type="dxa"/>
          <w:right w:w="108" w:type="dxa"/>
        </w:tblCellMar>
      </w:tblPr>
      <w:tblGrid>
        <w:gridCol w:w="640"/>
        <w:gridCol w:w="2042"/>
        <w:gridCol w:w="3570"/>
        <w:gridCol w:w="704"/>
        <w:gridCol w:w="997"/>
        <w:gridCol w:w="1307"/>
        <w:gridCol w:w="253"/>
        <w:gridCol w:w="1307"/>
      </w:tblGrid>
      <w:tr>
        <w:tblPrEx>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vAlign w:val="bottom"/>
          </w:tcPr>
          <w:p>
            <w:pPr>
              <w:widowControl/>
              <w:ind w:left="120" w:hanging="120"/>
              <w:rPr>
                <w:rFonts w:ascii="宋体" w:hAnsi="宋体" w:cs="宋体"/>
                <w:sz w:val="24"/>
              </w:rPr>
            </w:pPr>
            <w:r>
              <w:rPr>
                <w:rFonts w:hint="eastAsia" w:ascii="宋体" w:hAnsi="宋体" w:cs="宋体"/>
                <w:sz w:val="24"/>
              </w:rPr>
              <w:t>供应商名称：</w:t>
            </w:r>
          </w:p>
        </w:tc>
        <w:tc>
          <w:tcPr>
            <w:tcW w:w="1701" w:type="dxa"/>
            <w:gridSpan w:val="2"/>
            <w:tcBorders>
              <w:top w:val="nil"/>
              <w:left w:val="nil"/>
              <w:bottom w:val="nil"/>
              <w:right w:val="nil"/>
            </w:tcBorders>
            <w:vAlign w:val="bottom"/>
          </w:tcPr>
          <w:p>
            <w:pPr>
              <w:widowControl/>
              <w:ind w:left="120" w:hanging="120"/>
              <w:rPr>
                <w:rFonts w:ascii="宋体" w:hAnsi="宋体" w:cs="宋体"/>
                <w:sz w:val="24"/>
              </w:rPr>
            </w:pPr>
          </w:p>
        </w:tc>
        <w:tc>
          <w:tcPr>
            <w:tcW w:w="1560" w:type="dxa"/>
            <w:gridSpan w:val="2"/>
            <w:tcBorders>
              <w:top w:val="nil"/>
              <w:left w:val="nil"/>
              <w:bottom w:val="nil"/>
              <w:right w:val="nil"/>
            </w:tcBorders>
            <w:vAlign w:val="bottom"/>
          </w:tcPr>
          <w:p>
            <w:pPr>
              <w:widowControl/>
              <w:ind w:left="120" w:hanging="120"/>
              <w:jc w:val="center"/>
              <w:rPr>
                <w:rFonts w:ascii="宋体" w:hAnsi="宋体" w:cs="宋体"/>
                <w:sz w:val="24"/>
              </w:rPr>
            </w:pPr>
            <w:r>
              <w:rPr>
                <w:rFonts w:hint="eastAsia" w:ascii="宋体" w:hAnsi="宋体" w:cs="宋体"/>
                <w:sz w:val="24"/>
              </w:rPr>
              <w:t>单位：万元</w:t>
            </w:r>
          </w:p>
        </w:tc>
        <w:tc>
          <w:tcPr>
            <w:tcW w:w="1307" w:type="dxa"/>
            <w:tcBorders>
              <w:top w:val="nil"/>
              <w:left w:val="nil"/>
              <w:bottom w:val="nil"/>
              <w:right w:val="nil"/>
            </w:tcBorders>
            <w:vAlign w:val="bottom"/>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序号</w:t>
            </w:r>
          </w:p>
        </w:tc>
        <w:tc>
          <w:tcPr>
            <w:tcW w:w="2042" w:type="dxa"/>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近</w:t>
            </w:r>
            <w:r>
              <w:rPr>
                <w:rFonts w:hint="eastAsia" w:ascii="宋体" w:hAnsi="宋体" w:cs="宋体"/>
                <w:sz w:val="24"/>
                <w:lang w:eastAsia="zh-CN"/>
              </w:rPr>
              <w:t>五</w:t>
            </w:r>
            <w:r>
              <w:rPr>
                <w:rFonts w:hint="eastAsia" w:ascii="宋体" w:hAnsi="宋体" w:cs="宋体"/>
                <w:sz w:val="24"/>
              </w:rPr>
              <w:t>年企业类似业绩表及证明</w:t>
            </w:r>
          </w:p>
        </w:tc>
        <w:tc>
          <w:tcPr>
            <w:tcW w:w="4274" w:type="dxa"/>
            <w:gridSpan w:val="2"/>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业主单位</w:t>
            </w:r>
          </w:p>
        </w:tc>
        <w:tc>
          <w:tcPr>
            <w:tcW w:w="2557" w:type="dxa"/>
            <w:gridSpan w:val="3"/>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合同价</w:t>
            </w:r>
          </w:p>
        </w:tc>
        <w:tc>
          <w:tcPr>
            <w:tcW w:w="1307" w:type="dxa"/>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项目时间</w:t>
            </w:r>
          </w:p>
        </w:tc>
      </w:tr>
      <w:tr>
        <w:tblPrEx>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1</w:t>
            </w:r>
          </w:p>
        </w:tc>
        <w:tc>
          <w:tcPr>
            <w:tcW w:w="2042" w:type="dxa"/>
            <w:tcBorders>
              <w:top w:val="nil"/>
              <w:left w:val="nil"/>
              <w:bottom w:val="single" w:color="auto" w:sz="4" w:space="0"/>
              <w:right w:val="single" w:color="auto" w:sz="4" w:space="0"/>
            </w:tcBorders>
            <w:vAlign w:val="center"/>
          </w:tcPr>
          <w:p>
            <w:pPr>
              <w:widowControl/>
              <w:ind w:left="120" w:hanging="120"/>
              <w:rPr>
                <w:rFonts w:ascii="宋体" w:hAnsi="宋体" w:cs="宋体"/>
                <w:sz w:val="24"/>
              </w:rPr>
            </w:pPr>
            <w:r>
              <w:rPr>
                <w:rFonts w:hint="eastAsia" w:ascii="宋体" w:hAnsi="宋体" w:cs="宋体"/>
                <w:sz w:val="24"/>
              </w:rPr>
              <w:t>　</w:t>
            </w: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2</w:t>
            </w: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3</w:t>
            </w: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4</w:t>
            </w: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5</w:t>
            </w: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42"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274"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557"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1307"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585" w:hRule="atLeast"/>
        </w:trPr>
        <w:tc>
          <w:tcPr>
            <w:tcW w:w="9260" w:type="dxa"/>
            <w:gridSpan w:val="6"/>
            <w:tcBorders>
              <w:top w:val="single" w:color="auto" w:sz="4" w:space="0"/>
              <w:left w:val="nil"/>
              <w:bottom w:val="nil"/>
              <w:right w:val="nil"/>
            </w:tcBorders>
            <w:vAlign w:val="bottom"/>
          </w:tcPr>
          <w:p>
            <w:pPr>
              <w:widowControl/>
              <w:ind w:left="120" w:hanging="120"/>
              <w:rPr>
                <w:rFonts w:ascii="宋体" w:hAnsi="宋体" w:cs="宋体"/>
                <w:sz w:val="24"/>
              </w:rPr>
            </w:pPr>
            <w:r>
              <w:rPr>
                <w:rFonts w:hint="eastAsia" w:ascii="宋体" w:hAnsi="宋体" w:cs="宋体"/>
                <w:sz w:val="24"/>
              </w:rPr>
              <w:t>说明：</w:t>
            </w:r>
          </w:p>
          <w:p>
            <w:pPr>
              <w:widowControl/>
              <w:ind w:left="120" w:hanging="120"/>
              <w:rPr>
                <w:rFonts w:ascii="宋体" w:hAnsi="宋体" w:cs="宋体"/>
                <w:sz w:val="24"/>
              </w:rPr>
            </w:pPr>
            <w:r>
              <w:rPr>
                <w:rFonts w:hint="eastAsia" w:ascii="宋体" w:hAnsi="宋体" w:cs="宋体"/>
                <w:sz w:val="24"/>
              </w:rPr>
              <w:t>提供相关类似业绩的证明材料（加盖公章）放入响应文件中</w:t>
            </w:r>
          </w:p>
        </w:tc>
        <w:tc>
          <w:tcPr>
            <w:tcW w:w="1560" w:type="dxa"/>
            <w:gridSpan w:val="2"/>
            <w:tcBorders>
              <w:top w:val="single" w:color="auto" w:sz="4" w:space="0"/>
              <w:left w:val="nil"/>
              <w:bottom w:val="nil"/>
              <w:right w:val="nil"/>
            </w:tcBorders>
            <w:vAlign w:val="bottom"/>
          </w:tcPr>
          <w:p>
            <w:pPr>
              <w:widowControl/>
              <w:ind w:left="120" w:hanging="120"/>
              <w:rPr>
                <w:rFonts w:ascii="宋体" w:hAnsi="宋体" w:cs="宋体"/>
                <w:sz w:val="24"/>
              </w:rPr>
            </w:pPr>
          </w:p>
        </w:tc>
      </w:tr>
      <w:tr>
        <w:tblPrEx>
          <w:tblCellMar>
            <w:top w:w="0" w:type="dxa"/>
            <w:left w:w="108" w:type="dxa"/>
            <w:bottom w:w="0" w:type="dxa"/>
            <w:right w:w="108" w:type="dxa"/>
          </w:tblCellMar>
        </w:tblPrEx>
        <w:trPr>
          <w:trHeight w:val="585" w:hRule="atLeast"/>
        </w:trPr>
        <w:tc>
          <w:tcPr>
            <w:tcW w:w="9260" w:type="dxa"/>
            <w:gridSpan w:val="6"/>
            <w:tcBorders>
              <w:top w:val="nil"/>
              <w:left w:val="nil"/>
              <w:bottom w:val="nil"/>
              <w:right w:val="nil"/>
            </w:tcBorders>
            <w:vAlign w:val="bottom"/>
          </w:tcPr>
          <w:p>
            <w:pPr>
              <w:widowControl/>
              <w:ind w:left="120" w:hanging="120"/>
              <w:rPr>
                <w:rFonts w:ascii="宋体" w:hAnsi="宋体" w:cs="宋体"/>
                <w:sz w:val="24"/>
              </w:rPr>
            </w:pPr>
          </w:p>
        </w:tc>
        <w:tc>
          <w:tcPr>
            <w:tcW w:w="1560" w:type="dxa"/>
            <w:gridSpan w:val="2"/>
            <w:tcBorders>
              <w:top w:val="nil"/>
              <w:left w:val="nil"/>
              <w:bottom w:val="nil"/>
              <w:right w:val="nil"/>
            </w:tcBorders>
            <w:vAlign w:val="bottom"/>
          </w:tcPr>
          <w:p>
            <w:pPr>
              <w:widowControl/>
              <w:ind w:left="120" w:hanging="120"/>
              <w:rPr>
                <w:rFonts w:ascii="宋体" w:hAnsi="宋体" w:cs="宋体"/>
                <w:sz w:val="24"/>
              </w:rPr>
            </w:pPr>
          </w:p>
        </w:tc>
      </w:tr>
      <w:tr>
        <w:tblPrEx>
          <w:tblCellMar>
            <w:top w:w="0" w:type="dxa"/>
            <w:left w:w="108" w:type="dxa"/>
            <w:bottom w:w="0" w:type="dxa"/>
            <w:right w:w="108" w:type="dxa"/>
          </w:tblCellMar>
        </w:tblPrEx>
        <w:trPr>
          <w:trHeight w:val="1890" w:hRule="atLeast"/>
        </w:trPr>
        <w:tc>
          <w:tcPr>
            <w:tcW w:w="9260" w:type="dxa"/>
            <w:gridSpan w:val="6"/>
            <w:tcBorders>
              <w:top w:val="nil"/>
              <w:left w:val="nil"/>
              <w:bottom w:val="nil"/>
              <w:right w:val="nil"/>
            </w:tcBorders>
            <w:vAlign w:val="center"/>
          </w:tcPr>
          <w:p>
            <w:pPr>
              <w:widowControl/>
              <w:ind w:left="120" w:hanging="120"/>
              <w:rPr>
                <w:rFonts w:ascii="宋体" w:hAnsi="宋体" w:cs="宋体"/>
                <w:sz w:val="24"/>
              </w:rPr>
            </w:pPr>
            <w:r>
              <w:rPr>
                <w:rFonts w:hint="eastAsia" w:ascii="宋体" w:hAnsi="宋体" w:cs="宋体"/>
                <w:sz w:val="24"/>
              </w:rPr>
              <w:t>供应商（签章）：                         法定代表人（签字或盖章）：</w:t>
            </w:r>
          </w:p>
        </w:tc>
        <w:tc>
          <w:tcPr>
            <w:tcW w:w="1560" w:type="dxa"/>
            <w:gridSpan w:val="2"/>
            <w:tcBorders>
              <w:top w:val="nil"/>
              <w:left w:val="nil"/>
              <w:bottom w:val="nil"/>
              <w:right w:val="nil"/>
            </w:tcBorders>
            <w:vAlign w:val="center"/>
          </w:tcPr>
          <w:p>
            <w:pPr>
              <w:widowControl/>
              <w:ind w:left="120" w:hanging="120"/>
              <w:rPr>
                <w:rFonts w:ascii="宋体" w:hAnsi="宋体" w:cs="宋体"/>
                <w:sz w:val="24"/>
              </w:rPr>
            </w:pPr>
          </w:p>
        </w:tc>
      </w:tr>
    </w:tbl>
    <w:p>
      <w:pPr>
        <w:ind w:left="120" w:hanging="120"/>
        <w:rPr>
          <w:rFonts w:ascii="宋体" w:hAnsi="宋体" w:cs="宋体"/>
          <w:b/>
          <w:kern w:val="0"/>
          <w:sz w:val="24"/>
        </w:rPr>
      </w:pPr>
    </w:p>
    <w:p>
      <w:pPr>
        <w:ind w:left="120" w:hanging="120"/>
        <w:rPr>
          <w:rFonts w:ascii="宋体" w:hAnsi="宋体" w:cs="宋体"/>
          <w:b/>
          <w:kern w:val="0"/>
          <w:sz w:val="24"/>
        </w:rPr>
      </w:pPr>
    </w:p>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rPr>
        <w:t>7、</w:t>
      </w:r>
      <w:r>
        <w:rPr>
          <w:rFonts w:hint="eastAsia" w:ascii="宋体" w:hAnsi="宋体" w:cs="宋体"/>
          <w:b/>
          <w:bCs/>
          <w:sz w:val="24"/>
          <w:lang w:val="zh-CN"/>
        </w:rPr>
        <w:t>项目负责人简历表</w:t>
      </w:r>
    </w:p>
    <w:p>
      <w:pPr>
        <w:autoSpaceDE w:val="0"/>
        <w:autoSpaceDN w:val="0"/>
        <w:adjustRightInd w:val="0"/>
        <w:ind w:left="120" w:hanging="120"/>
        <w:jc w:val="center"/>
        <w:rPr>
          <w:rFonts w:ascii="宋体" w:hAnsi="宋体" w:cs="宋体"/>
          <w:sz w:val="24"/>
          <w:lang w:val="zh-CN"/>
        </w:rPr>
      </w:pPr>
    </w:p>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（1）项目负责人简历及业绩表</w:t>
      </w:r>
    </w:p>
    <w:p>
      <w:pPr>
        <w:autoSpaceDE w:val="0"/>
        <w:autoSpaceDN w:val="0"/>
        <w:adjustRightInd w:val="0"/>
        <w:ind w:left="120" w:hanging="120"/>
        <w:jc w:val="center"/>
        <w:rPr>
          <w:rFonts w:ascii="宋体" w:hAnsi="宋体" w:cs="宋体"/>
          <w:b/>
          <w:bCs/>
          <w:sz w:val="24"/>
          <w:lang w:val="zh-CN"/>
        </w:rPr>
      </w:pPr>
    </w:p>
    <w:p>
      <w:pPr>
        <w:autoSpaceDE w:val="0"/>
        <w:autoSpaceDN w:val="0"/>
        <w:adjustRightInd w:val="0"/>
        <w:ind w:left="120" w:hanging="120"/>
        <w:rPr>
          <w:rFonts w:ascii="宋体" w:hAnsi="宋体" w:cs="宋体"/>
          <w:sz w:val="24"/>
          <w:lang w:val="zh-CN"/>
        </w:rPr>
      </w:pPr>
      <w:r>
        <w:rPr>
          <w:rFonts w:hint="eastAsia" w:ascii="宋体" w:hAnsi="宋体" w:cs="宋体"/>
          <w:sz w:val="24"/>
          <w:lang w:val="zh-CN"/>
        </w:rPr>
        <w:t>1、项目负责人介绍应包括：姓名、性别、年龄、职称（</w:t>
      </w:r>
      <w:r>
        <w:rPr>
          <w:rFonts w:hint="eastAsia" w:ascii="宋体" w:hAnsi="宋体" w:cs="宋体"/>
          <w:sz w:val="24"/>
        </w:rPr>
        <w:t>如有</w:t>
      </w:r>
      <w:r>
        <w:rPr>
          <w:rFonts w:hint="eastAsia" w:ascii="宋体" w:hAnsi="宋体" w:cs="宋体"/>
          <w:sz w:val="24"/>
          <w:lang w:val="zh-CN"/>
        </w:rPr>
        <w:t>）、学历、参加工作时间、从</w:t>
      </w:r>
      <w:r>
        <w:rPr>
          <w:rFonts w:hint="eastAsia" w:ascii="宋体" w:hAnsi="宋体" w:cs="宋体"/>
          <w:sz w:val="24"/>
        </w:rPr>
        <w:t>业年限</w:t>
      </w:r>
      <w:r>
        <w:rPr>
          <w:rFonts w:hint="eastAsia" w:ascii="宋体" w:hAnsi="宋体" w:cs="宋体"/>
          <w:sz w:val="24"/>
          <w:lang w:val="zh-CN"/>
        </w:rPr>
        <w:t>、证书编号（</w:t>
      </w:r>
      <w:r>
        <w:rPr>
          <w:rFonts w:hint="eastAsia" w:ascii="宋体" w:hAnsi="宋体" w:cs="宋体"/>
          <w:sz w:val="24"/>
        </w:rPr>
        <w:t>如有</w:t>
      </w:r>
      <w:r>
        <w:rPr>
          <w:rFonts w:hint="eastAsia" w:ascii="宋体" w:hAnsi="宋体" w:cs="宋体"/>
          <w:sz w:val="24"/>
          <w:lang w:val="zh-CN"/>
        </w:rPr>
        <w:t>）以及其他内容。</w:t>
      </w:r>
    </w:p>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2、项目负责人近3年内类似</w:t>
      </w:r>
      <w:r>
        <w:rPr>
          <w:rFonts w:hint="eastAsia" w:ascii="宋体" w:hAnsi="宋体" w:cs="宋体"/>
          <w:sz w:val="24"/>
        </w:rPr>
        <w:t>从业</w:t>
      </w:r>
      <w:r>
        <w:rPr>
          <w:rFonts w:hint="eastAsia" w:ascii="宋体" w:hAnsi="宋体" w:cs="宋体"/>
          <w:sz w:val="24"/>
          <w:lang w:val="zh-CN"/>
        </w:rPr>
        <w:t>经历</w:t>
      </w:r>
      <w:r>
        <w:rPr>
          <w:rFonts w:hint="eastAsia" w:ascii="宋体" w:hAnsi="宋体" w:cs="宋体"/>
          <w:sz w:val="24"/>
        </w:rPr>
        <w:t>可参考</w:t>
      </w:r>
      <w:r>
        <w:rPr>
          <w:rFonts w:hint="eastAsia" w:ascii="宋体" w:hAnsi="宋体" w:cs="宋体"/>
          <w:sz w:val="24"/>
          <w:lang w:val="zh-CN"/>
        </w:rPr>
        <w:t>下表提供。</w:t>
      </w:r>
    </w:p>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项目负责人近3年内类似工作经历一览表（如有需填写）</w:t>
      </w:r>
    </w:p>
    <w:tbl>
      <w:tblPr>
        <w:tblStyle w:val="74"/>
        <w:tblW w:w="9162" w:type="dxa"/>
        <w:tblInd w:w="0" w:type="dxa"/>
        <w:tblLayout w:type="fixed"/>
        <w:tblCellMar>
          <w:top w:w="0" w:type="dxa"/>
          <w:left w:w="108" w:type="dxa"/>
          <w:bottom w:w="0" w:type="dxa"/>
          <w:right w:w="108" w:type="dxa"/>
        </w:tblCellMar>
      </w:tblPr>
      <w:tblGrid>
        <w:gridCol w:w="1472"/>
        <w:gridCol w:w="2510"/>
        <w:gridCol w:w="3238"/>
        <w:gridCol w:w="1942"/>
      </w:tblGrid>
      <w:tr>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rPr>
              <w:t>序号</w:t>
            </w:r>
          </w:p>
        </w:tc>
        <w:tc>
          <w:tcPr>
            <w:tcW w:w="251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lang w:val="zh-CN"/>
              </w:rPr>
              <w:t>项目名称</w:t>
            </w:r>
          </w:p>
        </w:tc>
        <w:tc>
          <w:tcPr>
            <w:tcW w:w="3238"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rPr>
              <w:t>委托单位/联系人/电话</w:t>
            </w:r>
          </w:p>
        </w:tc>
        <w:tc>
          <w:tcPr>
            <w:tcW w:w="1942"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lang w:val="zh-CN"/>
              </w:rPr>
              <w:t>备注</w:t>
            </w: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rPr>
              <w:t>1</w:t>
            </w:r>
          </w:p>
        </w:tc>
        <w:tc>
          <w:tcPr>
            <w:tcW w:w="25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rPr>
                <w:rFonts w:ascii="宋体" w:hAnsi="宋体" w:cs="宋体"/>
                <w:sz w:val="24"/>
              </w:rPr>
            </w:pPr>
          </w:p>
        </w:tc>
        <w:tc>
          <w:tcPr>
            <w:tcW w:w="32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rPr>
                <w:rFonts w:ascii="宋体" w:hAnsi="宋体" w:cs="宋体"/>
                <w:sz w:val="24"/>
              </w:rPr>
            </w:pPr>
          </w:p>
        </w:tc>
        <w:tc>
          <w:tcPr>
            <w:tcW w:w="1942"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left="120" w:hanging="120"/>
              <w:rPr>
                <w:rFonts w:ascii="宋体" w:hAnsi="宋体" w:cs="宋体"/>
                <w:sz w:val="24"/>
              </w:rPr>
            </w:pP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rPr>
              <w:t>...</w:t>
            </w:r>
          </w:p>
        </w:tc>
        <w:tc>
          <w:tcPr>
            <w:tcW w:w="251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ind w:left="120" w:hanging="120"/>
              <w:rPr>
                <w:rFonts w:ascii="宋体" w:hAnsi="宋体" w:cs="宋体"/>
                <w:sz w:val="24"/>
              </w:rPr>
            </w:pPr>
          </w:p>
        </w:tc>
        <w:tc>
          <w:tcPr>
            <w:tcW w:w="3238"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ind w:left="120" w:hanging="120"/>
              <w:rPr>
                <w:rFonts w:ascii="宋体" w:hAnsi="宋体" w:cs="宋体"/>
                <w:sz w:val="24"/>
              </w:rPr>
            </w:pPr>
          </w:p>
        </w:tc>
        <w:tc>
          <w:tcPr>
            <w:tcW w:w="1942"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ind w:left="120" w:hanging="120"/>
              <w:rPr>
                <w:rFonts w:ascii="宋体" w:hAnsi="宋体" w:cs="宋体"/>
                <w:sz w:val="24"/>
              </w:rPr>
            </w:pPr>
          </w:p>
        </w:tc>
      </w:tr>
    </w:tbl>
    <w:p>
      <w:pPr>
        <w:spacing w:line="480" w:lineRule="auto"/>
        <w:ind w:left="120" w:hanging="120"/>
        <w:rPr>
          <w:rFonts w:ascii="宋体" w:hAnsi="宋体" w:cs="宋体"/>
          <w:sz w:val="24"/>
          <w:lang w:val="zh-CN"/>
        </w:rPr>
      </w:pPr>
      <w:r>
        <w:rPr>
          <w:rFonts w:hint="eastAsia" w:ascii="宋体" w:hAnsi="宋体" w:cs="宋体"/>
          <w:sz w:val="24"/>
          <w:lang w:val="zh-CN"/>
        </w:rPr>
        <w:t>3、项目负责人简历中应附相关类似业绩（</w:t>
      </w:r>
      <w:r>
        <w:rPr>
          <w:rFonts w:hint="eastAsia" w:ascii="宋体" w:hAnsi="宋体" w:cs="宋体"/>
          <w:sz w:val="24"/>
        </w:rPr>
        <w:t>如有</w:t>
      </w:r>
      <w:r>
        <w:rPr>
          <w:rFonts w:hint="eastAsia" w:ascii="宋体" w:hAnsi="宋体" w:cs="宋体"/>
          <w:sz w:val="24"/>
          <w:lang w:val="zh-CN"/>
        </w:rPr>
        <w:t>）、本单位近</w:t>
      </w:r>
      <w:r>
        <w:rPr>
          <w:rFonts w:hint="eastAsia" w:ascii="宋体" w:hAnsi="宋体" w:cs="宋体"/>
          <w:sz w:val="24"/>
        </w:rPr>
        <w:t>三个月</w:t>
      </w:r>
      <w:r>
        <w:rPr>
          <w:rFonts w:hint="eastAsia" w:ascii="宋体" w:hAnsi="宋体" w:cs="宋体"/>
          <w:sz w:val="24"/>
          <w:lang w:val="zh-CN"/>
        </w:rPr>
        <w:t>（</w:t>
      </w:r>
      <w:r>
        <w:rPr>
          <w:rFonts w:hint="eastAsia" w:ascii="宋体" w:hAnsi="宋体" w:cs="宋体"/>
          <w:sz w:val="24"/>
        </w:rPr>
        <w:t>含</w:t>
      </w:r>
      <w:r>
        <w:rPr>
          <w:rFonts w:hint="eastAsia" w:ascii="宋体" w:hAnsi="宋体" w:cs="宋体"/>
          <w:sz w:val="24"/>
          <w:lang w:val="zh-CN"/>
        </w:rPr>
        <w:t>）以上社保</w:t>
      </w:r>
      <w:r>
        <w:rPr>
          <w:rFonts w:hint="eastAsia" w:ascii="宋体" w:hAnsi="宋体" w:cs="宋体"/>
          <w:sz w:val="24"/>
        </w:rPr>
        <w:t>缴纳</w:t>
      </w:r>
      <w:r>
        <w:rPr>
          <w:rFonts w:hint="eastAsia" w:ascii="宋体" w:hAnsi="宋体" w:cs="宋体"/>
          <w:sz w:val="24"/>
          <w:lang w:val="zh-CN"/>
        </w:rPr>
        <w:t>记录等相关证明材料复印件（</w:t>
      </w:r>
      <w:r>
        <w:rPr>
          <w:rFonts w:hint="eastAsia" w:ascii="宋体" w:hAnsi="宋体" w:cs="宋体"/>
          <w:sz w:val="24"/>
        </w:rPr>
        <w:t>新入职的人员需额外提供劳务合同复印件</w:t>
      </w:r>
      <w:r>
        <w:rPr>
          <w:rFonts w:hint="eastAsia" w:ascii="宋体" w:hAnsi="宋体" w:cs="宋体"/>
          <w:sz w:val="24"/>
          <w:lang w:val="zh-CN"/>
        </w:rPr>
        <w:t>）。</w:t>
      </w:r>
    </w:p>
    <w:p>
      <w:pPr>
        <w:spacing w:line="480" w:lineRule="auto"/>
        <w:ind w:left="120" w:hanging="120"/>
        <w:rPr>
          <w:rFonts w:ascii="宋体" w:hAnsi="宋体" w:cs="宋体"/>
          <w:sz w:val="24"/>
        </w:rPr>
      </w:pPr>
    </w:p>
    <w:p>
      <w:pPr>
        <w:spacing w:line="480" w:lineRule="auto"/>
        <w:ind w:left="120" w:hanging="120"/>
        <w:rPr>
          <w:rFonts w:ascii="宋体" w:hAnsi="宋体" w:cs="宋体"/>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r>
        <w:rPr>
          <w:rFonts w:hint="eastAsia" w:ascii="宋体" w:hAnsi="宋体" w:cs="宋体"/>
          <w:b/>
          <w:sz w:val="24"/>
        </w:rPr>
        <w:t>8、拟参加项目其他人员简历表</w:t>
      </w:r>
    </w:p>
    <w:p>
      <w:pPr>
        <w:ind w:left="120" w:hanging="120"/>
        <w:jc w:val="center"/>
        <w:rPr>
          <w:rFonts w:ascii="宋体" w:hAnsi="宋体" w:cs="宋体"/>
          <w:sz w:val="24"/>
        </w:rPr>
      </w:pPr>
    </w:p>
    <w:p>
      <w:pPr>
        <w:autoSpaceDE w:val="0"/>
        <w:autoSpaceDN w:val="0"/>
        <w:adjustRightInd w:val="0"/>
        <w:ind w:left="120" w:hanging="120"/>
        <w:jc w:val="center"/>
        <w:rPr>
          <w:rFonts w:ascii="宋体" w:hAnsi="宋体" w:cs="宋体"/>
          <w:sz w:val="24"/>
          <w:lang w:val="zh-CN"/>
        </w:rPr>
      </w:pPr>
    </w:p>
    <w:tbl>
      <w:tblPr>
        <w:tblStyle w:val="7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453"/>
        <w:gridCol w:w="1682"/>
        <w:gridCol w:w="152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序号</w:t>
            </w:r>
          </w:p>
        </w:tc>
        <w:tc>
          <w:tcPr>
            <w:tcW w:w="1790" w:type="dxa"/>
            <w:vAlign w:val="center"/>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姓名</w:t>
            </w:r>
          </w:p>
        </w:tc>
        <w:tc>
          <w:tcPr>
            <w:tcW w:w="1090" w:type="dxa"/>
            <w:vAlign w:val="center"/>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性别</w:t>
            </w:r>
          </w:p>
        </w:tc>
        <w:tc>
          <w:tcPr>
            <w:tcW w:w="1453" w:type="dxa"/>
            <w:vAlign w:val="center"/>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专业</w:t>
            </w:r>
          </w:p>
        </w:tc>
        <w:tc>
          <w:tcPr>
            <w:tcW w:w="1682" w:type="dxa"/>
            <w:vAlign w:val="center"/>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技术职称</w:t>
            </w:r>
          </w:p>
        </w:tc>
        <w:tc>
          <w:tcPr>
            <w:tcW w:w="1522" w:type="dxa"/>
            <w:vAlign w:val="center"/>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执业资格证书号</w:t>
            </w:r>
          </w:p>
        </w:tc>
        <w:tc>
          <w:tcPr>
            <w:tcW w:w="1463" w:type="dxa"/>
            <w:vAlign w:val="center"/>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7"/>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拟选派参加项目人员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1</w:t>
            </w:r>
          </w:p>
        </w:tc>
        <w:tc>
          <w:tcPr>
            <w:tcW w:w="1790" w:type="dxa"/>
          </w:tcPr>
          <w:p>
            <w:pPr>
              <w:autoSpaceDE w:val="0"/>
              <w:autoSpaceDN w:val="0"/>
              <w:adjustRightInd w:val="0"/>
              <w:ind w:left="120" w:hanging="120"/>
              <w:jc w:val="center"/>
              <w:rPr>
                <w:rFonts w:ascii="宋体" w:hAnsi="宋体" w:cs="宋体"/>
                <w:b/>
                <w:bCs/>
                <w:sz w:val="24"/>
                <w:lang w:val="zh-CN"/>
              </w:rPr>
            </w:pPr>
          </w:p>
        </w:tc>
        <w:tc>
          <w:tcPr>
            <w:tcW w:w="1090" w:type="dxa"/>
          </w:tcPr>
          <w:p>
            <w:pPr>
              <w:autoSpaceDE w:val="0"/>
              <w:autoSpaceDN w:val="0"/>
              <w:adjustRightInd w:val="0"/>
              <w:ind w:left="120" w:hanging="120"/>
              <w:jc w:val="center"/>
              <w:rPr>
                <w:rFonts w:ascii="宋体" w:hAnsi="宋体" w:cs="宋体"/>
                <w:b/>
                <w:bCs/>
                <w:sz w:val="24"/>
                <w:lang w:val="zh-CN"/>
              </w:rPr>
            </w:pPr>
          </w:p>
        </w:tc>
        <w:tc>
          <w:tcPr>
            <w:tcW w:w="1453" w:type="dxa"/>
          </w:tcPr>
          <w:p>
            <w:pPr>
              <w:autoSpaceDE w:val="0"/>
              <w:autoSpaceDN w:val="0"/>
              <w:adjustRightInd w:val="0"/>
              <w:ind w:left="120" w:hanging="120"/>
              <w:jc w:val="center"/>
              <w:rPr>
                <w:rFonts w:ascii="宋体" w:hAnsi="宋体" w:cs="宋体"/>
                <w:b/>
                <w:bCs/>
                <w:sz w:val="24"/>
                <w:lang w:val="zh-CN"/>
              </w:rPr>
            </w:pPr>
          </w:p>
        </w:tc>
        <w:tc>
          <w:tcPr>
            <w:tcW w:w="1682" w:type="dxa"/>
          </w:tcPr>
          <w:p>
            <w:pPr>
              <w:autoSpaceDE w:val="0"/>
              <w:autoSpaceDN w:val="0"/>
              <w:adjustRightInd w:val="0"/>
              <w:ind w:left="120" w:hanging="120"/>
              <w:jc w:val="center"/>
              <w:rPr>
                <w:rFonts w:ascii="宋体" w:hAnsi="宋体" w:cs="宋体"/>
                <w:b/>
                <w:bCs/>
                <w:sz w:val="24"/>
                <w:lang w:val="zh-CN"/>
              </w:rPr>
            </w:pPr>
          </w:p>
        </w:tc>
        <w:tc>
          <w:tcPr>
            <w:tcW w:w="1522" w:type="dxa"/>
          </w:tcPr>
          <w:p>
            <w:pPr>
              <w:autoSpaceDE w:val="0"/>
              <w:autoSpaceDN w:val="0"/>
              <w:adjustRightInd w:val="0"/>
              <w:ind w:left="120" w:hanging="120"/>
              <w:jc w:val="center"/>
              <w:rPr>
                <w:rFonts w:ascii="宋体" w:hAnsi="宋体" w:cs="宋体"/>
                <w:b/>
                <w:bCs/>
                <w:sz w:val="24"/>
                <w:lang w:val="zh-CN"/>
              </w:rPr>
            </w:pPr>
          </w:p>
        </w:tc>
        <w:tc>
          <w:tcPr>
            <w:tcW w:w="1463" w:type="dxa"/>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2</w:t>
            </w:r>
          </w:p>
        </w:tc>
        <w:tc>
          <w:tcPr>
            <w:tcW w:w="1790" w:type="dxa"/>
          </w:tcPr>
          <w:p>
            <w:pPr>
              <w:autoSpaceDE w:val="0"/>
              <w:autoSpaceDN w:val="0"/>
              <w:adjustRightInd w:val="0"/>
              <w:ind w:left="120" w:hanging="120"/>
              <w:jc w:val="center"/>
              <w:rPr>
                <w:rFonts w:ascii="宋体" w:hAnsi="宋体" w:cs="宋体"/>
                <w:b/>
                <w:bCs/>
                <w:sz w:val="24"/>
                <w:lang w:val="zh-CN"/>
              </w:rPr>
            </w:pPr>
          </w:p>
        </w:tc>
        <w:tc>
          <w:tcPr>
            <w:tcW w:w="1090" w:type="dxa"/>
          </w:tcPr>
          <w:p>
            <w:pPr>
              <w:autoSpaceDE w:val="0"/>
              <w:autoSpaceDN w:val="0"/>
              <w:adjustRightInd w:val="0"/>
              <w:ind w:left="120" w:hanging="120"/>
              <w:jc w:val="center"/>
              <w:rPr>
                <w:rFonts w:ascii="宋体" w:hAnsi="宋体" w:cs="宋体"/>
                <w:b/>
                <w:bCs/>
                <w:sz w:val="24"/>
                <w:lang w:val="zh-CN"/>
              </w:rPr>
            </w:pPr>
          </w:p>
        </w:tc>
        <w:tc>
          <w:tcPr>
            <w:tcW w:w="1453" w:type="dxa"/>
          </w:tcPr>
          <w:p>
            <w:pPr>
              <w:autoSpaceDE w:val="0"/>
              <w:autoSpaceDN w:val="0"/>
              <w:adjustRightInd w:val="0"/>
              <w:ind w:left="120" w:hanging="120"/>
              <w:jc w:val="center"/>
              <w:rPr>
                <w:rFonts w:ascii="宋体" w:hAnsi="宋体" w:cs="宋体"/>
                <w:b/>
                <w:bCs/>
                <w:sz w:val="24"/>
                <w:lang w:val="zh-CN"/>
              </w:rPr>
            </w:pPr>
          </w:p>
        </w:tc>
        <w:tc>
          <w:tcPr>
            <w:tcW w:w="1682" w:type="dxa"/>
          </w:tcPr>
          <w:p>
            <w:pPr>
              <w:autoSpaceDE w:val="0"/>
              <w:autoSpaceDN w:val="0"/>
              <w:adjustRightInd w:val="0"/>
              <w:ind w:left="120" w:hanging="120"/>
              <w:jc w:val="center"/>
              <w:rPr>
                <w:rFonts w:ascii="宋体" w:hAnsi="宋体" w:cs="宋体"/>
                <w:b/>
                <w:bCs/>
                <w:sz w:val="24"/>
                <w:lang w:val="zh-CN"/>
              </w:rPr>
            </w:pPr>
          </w:p>
        </w:tc>
        <w:tc>
          <w:tcPr>
            <w:tcW w:w="1522" w:type="dxa"/>
          </w:tcPr>
          <w:p>
            <w:pPr>
              <w:autoSpaceDE w:val="0"/>
              <w:autoSpaceDN w:val="0"/>
              <w:adjustRightInd w:val="0"/>
              <w:ind w:left="120" w:hanging="120"/>
              <w:jc w:val="center"/>
              <w:rPr>
                <w:rFonts w:ascii="宋体" w:hAnsi="宋体" w:cs="宋体"/>
                <w:b/>
                <w:bCs/>
                <w:sz w:val="24"/>
                <w:lang w:val="zh-CN"/>
              </w:rPr>
            </w:pPr>
          </w:p>
        </w:tc>
        <w:tc>
          <w:tcPr>
            <w:tcW w:w="1463" w:type="dxa"/>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3</w:t>
            </w:r>
          </w:p>
        </w:tc>
        <w:tc>
          <w:tcPr>
            <w:tcW w:w="1790" w:type="dxa"/>
          </w:tcPr>
          <w:p>
            <w:pPr>
              <w:autoSpaceDE w:val="0"/>
              <w:autoSpaceDN w:val="0"/>
              <w:adjustRightInd w:val="0"/>
              <w:ind w:left="120" w:hanging="120"/>
              <w:jc w:val="center"/>
              <w:rPr>
                <w:rFonts w:ascii="宋体" w:hAnsi="宋体" w:cs="宋体"/>
                <w:b/>
                <w:bCs/>
                <w:sz w:val="24"/>
                <w:lang w:val="zh-CN"/>
              </w:rPr>
            </w:pPr>
          </w:p>
        </w:tc>
        <w:tc>
          <w:tcPr>
            <w:tcW w:w="1090" w:type="dxa"/>
          </w:tcPr>
          <w:p>
            <w:pPr>
              <w:autoSpaceDE w:val="0"/>
              <w:autoSpaceDN w:val="0"/>
              <w:adjustRightInd w:val="0"/>
              <w:ind w:left="120" w:hanging="120"/>
              <w:jc w:val="center"/>
              <w:rPr>
                <w:rFonts w:ascii="宋体" w:hAnsi="宋体" w:cs="宋体"/>
                <w:b/>
                <w:bCs/>
                <w:sz w:val="24"/>
                <w:lang w:val="zh-CN"/>
              </w:rPr>
            </w:pPr>
          </w:p>
        </w:tc>
        <w:tc>
          <w:tcPr>
            <w:tcW w:w="1453" w:type="dxa"/>
          </w:tcPr>
          <w:p>
            <w:pPr>
              <w:autoSpaceDE w:val="0"/>
              <w:autoSpaceDN w:val="0"/>
              <w:adjustRightInd w:val="0"/>
              <w:ind w:left="120" w:hanging="120"/>
              <w:jc w:val="center"/>
              <w:rPr>
                <w:rFonts w:ascii="宋体" w:hAnsi="宋体" w:cs="宋体"/>
                <w:b/>
                <w:bCs/>
                <w:sz w:val="24"/>
                <w:lang w:val="zh-CN"/>
              </w:rPr>
            </w:pPr>
          </w:p>
        </w:tc>
        <w:tc>
          <w:tcPr>
            <w:tcW w:w="1682" w:type="dxa"/>
          </w:tcPr>
          <w:p>
            <w:pPr>
              <w:autoSpaceDE w:val="0"/>
              <w:autoSpaceDN w:val="0"/>
              <w:adjustRightInd w:val="0"/>
              <w:ind w:left="120" w:hanging="120"/>
              <w:jc w:val="center"/>
              <w:rPr>
                <w:rFonts w:ascii="宋体" w:hAnsi="宋体" w:cs="宋体"/>
                <w:b/>
                <w:bCs/>
                <w:sz w:val="24"/>
                <w:lang w:val="zh-CN"/>
              </w:rPr>
            </w:pPr>
          </w:p>
        </w:tc>
        <w:tc>
          <w:tcPr>
            <w:tcW w:w="1522" w:type="dxa"/>
          </w:tcPr>
          <w:p>
            <w:pPr>
              <w:autoSpaceDE w:val="0"/>
              <w:autoSpaceDN w:val="0"/>
              <w:adjustRightInd w:val="0"/>
              <w:ind w:left="120" w:hanging="120"/>
              <w:jc w:val="center"/>
              <w:rPr>
                <w:rFonts w:ascii="宋体" w:hAnsi="宋体" w:cs="宋体"/>
                <w:b/>
                <w:bCs/>
                <w:sz w:val="24"/>
                <w:lang w:val="zh-CN"/>
              </w:rPr>
            </w:pPr>
          </w:p>
        </w:tc>
        <w:tc>
          <w:tcPr>
            <w:tcW w:w="1463" w:type="dxa"/>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w:t>
            </w:r>
          </w:p>
        </w:tc>
        <w:tc>
          <w:tcPr>
            <w:tcW w:w="1790" w:type="dxa"/>
          </w:tcPr>
          <w:p>
            <w:pPr>
              <w:autoSpaceDE w:val="0"/>
              <w:autoSpaceDN w:val="0"/>
              <w:adjustRightInd w:val="0"/>
              <w:ind w:left="120" w:hanging="120"/>
              <w:jc w:val="center"/>
              <w:rPr>
                <w:rFonts w:ascii="宋体" w:hAnsi="宋体" w:cs="宋体"/>
                <w:b/>
                <w:bCs/>
                <w:sz w:val="24"/>
                <w:lang w:val="zh-CN"/>
              </w:rPr>
            </w:pPr>
          </w:p>
        </w:tc>
        <w:tc>
          <w:tcPr>
            <w:tcW w:w="1090" w:type="dxa"/>
          </w:tcPr>
          <w:p>
            <w:pPr>
              <w:autoSpaceDE w:val="0"/>
              <w:autoSpaceDN w:val="0"/>
              <w:adjustRightInd w:val="0"/>
              <w:ind w:left="120" w:hanging="120"/>
              <w:jc w:val="center"/>
              <w:rPr>
                <w:rFonts w:ascii="宋体" w:hAnsi="宋体" w:cs="宋体"/>
                <w:b/>
                <w:bCs/>
                <w:sz w:val="24"/>
                <w:lang w:val="zh-CN"/>
              </w:rPr>
            </w:pPr>
          </w:p>
        </w:tc>
        <w:tc>
          <w:tcPr>
            <w:tcW w:w="1453" w:type="dxa"/>
          </w:tcPr>
          <w:p>
            <w:pPr>
              <w:autoSpaceDE w:val="0"/>
              <w:autoSpaceDN w:val="0"/>
              <w:adjustRightInd w:val="0"/>
              <w:ind w:left="120" w:hanging="120"/>
              <w:jc w:val="center"/>
              <w:rPr>
                <w:rFonts w:ascii="宋体" w:hAnsi="宋体" w:cs="宋体"/>
                <w:b/>
                <w:bCs/>
                <w:sz w:val="24"/>
                <w:lang w:val="zh-CN"/>
              </w:rPr>
            </w:pPr>
          </w:p>
        </w:tc>
        <w:tc>
          <w:tcPr>
            <w:tcW w:w="1682" w:type="dxa"/>
          </w:tcPr>
          <w:p>
            <w:pPr>
              <w:autoSpaceDE w:val="0"/>
              <w:autoSpaceDN w:val="0"/>
              <w:adjustRightInd w:val="0"/>
              <w:ind w:left="120" w:hanging="120"/>
              <w:jc w:val="center"/>
              <w:rPr>
                <w:rFonts w:ascii="宋体" w:hAnsi="宋体" w:cs="宋体"/>
                <w:b/>
                <w:bCs/>
                <w:sz w:val="24"/>
                <w:lang w:val="zh-CN"/>
              </w:rPr>
            </w:pPr>
          </w:p>
        </w:tc>
        <w:tc>
          <w:tcPr>
            <w:tcW w:w="1522" w:type="dxa"/>
          </w:tcPr>
          <w:p>
            <w:pPr>
              <w:autoSpaceDE w:val="0"/>
              <w:autoSpaceDN w:val="0"/>
              <w:adjustRightInd w:val="0"/>
              <w:ind w:left="120" w:hanging="120"/>
              <w:jc w:val="center"/>
              <w:rPr>
                <w:rFonts w:ascii="宋体" w:hAnsi="宋体" w:cs="宋体"/>
                <w:b/>
                <w:bCs/>
                <w:sz w:val="24"/>
                <w:lang w:val="zh-CN"/>
              </w:rPr>
            </w:pPr>
          </w:p>
        </w:tc>
        <w:tc>
          <w:tcPr>
            <w:tcW w:w="1463" w:type="dxa"/>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sz w:val="24"/>
                <w:lang w:val="zh-CN"/>
              </w:rPr>
            </w:pPr>
          </w:p>
        </w:tc>
        <w:tc>
          <w:tcPr>
            <w:tcW w:w="1790" w:type="dxa"/>
          </w:tcPr>
          <w:p>
            <w:pPr>
              <w:autoSpaceDE w:val="0"/>
              <w:autoSpaceDN w:val="0"/>
              <w:adjustRightInd w:val="0"/>
              <w:ind w:left="120" w:hanging="120"/>
              <w:jc w:val="center"/>
              <w:rPr>
                <w:rFonts w:ascii="宋体" w:hAnsi="宋体" w:cs="宋体"/>
                <w:b/>
                <w:bCs/>
                <w:sz w:val="24"/>
                <w:lang w:val="zh-CN"/>
              </w:rPr>
            </w:pPr>
          </w:p>
        </w:tc>
        <w:tc>
          <w:tcPr>
            <w:tcW w:w="1090" w:type="dxa"/>
          </w:tcPr>
          <w:p>
            <w:pPr>
              <w:autoSpaceDE w:val="0"/>
              <w:autoSpaceDN w:val="0"/>
              <w:adjustRightInd w:val="0"/>
              <w:ind w:left="120" w:hanging="120"/>
              <w:jc w:val="center"/>
              <w:rPr>
                <w:rFonts w:ascii="宋体" w:hAnsi="宋体" w:cs="宋体"/>
                <w:b/>
                <w:bCs/>
                <w:sz w:val="24"/>
                <w:lang w:val="zh-CN"/>
              </w:rPr>
            </w:pPr>
          </w:p>
        </w:tc>
        <w:tc>
          <w:tcPr>
            <w:tcW w:w="1453" w:type="dxa"/>
          </w:tcPr>
          <w:p>
            <w:pPr>
              <w:autoSpaceDE w:val="0"/>
              <w:autoSpaceDN w:val="0"/>
              <w:adjustRightInd w:val="0"/>
              <w:ind w:left="120" w:hanging="120"/>
              <w:jc w:val="center"/>
              <w:rPr>
                <w:rFonts w:ascii="宋体" w:hAnsi="宋体" w:cs="宋体"/>
                <w:b/>
                <w:bCs/>
                <w:sz w:val="24"/>
                <w:lang w:val="zh-CN"/>
              </w:rPr>
            </w:pPr>
          </w:p>
        </w:tc>
        <w:tc>
          <w:tcPr>
            <w:tcW w:w="1682" w:type="dxa"/>
          </w:tcPr>
          <w:p>
            <w:pPr>
              <w:autoSpaceDE w:val="0"/>
              <w:autoSpaceDN w:val="0"/>
              <w:adjustRightInd w:val="0"/>
              <w:ind w:left="120" w:hanging="120"/>
              <w:jc w:val="center"/>
              <w:rPr>
                <w:rFonts w:ascii="宋体" w:hAnsi="宋体" w:cs="宋体"/>
                <w:b/>
                <w:bCs/>
                <w:sz w:val="24"/>
                <w:lang w:val="zh-CN"/>
              </w:rPr>
            </w:pPr>
          </w:p>
        </w:tc>
        <w:tc>
          <w:tcPr>
            <w:tcW w:w="1522" w:type="dxa"/>
          </w:tcPr>
          <w:p>
            <w:pPr>
              <w:autoSpaceDE w:val="0"/>
              <w:autoSpaceDN w:val="0"/>
              <w:adjustRightInd w:val="0"/>
              <w:ind w:left="120" w:hanging="120"/>
              <w:jc w:val="center"/>
              <w:rPr>
                <w:rFonts w:ascii="宋体" w:hAnsi="宋体" w:cs="宋体"/>
                <w:b/>
                <w:bCs/>
                <w:sz w:val="24"/>
                <w:lang w:val="zh-CN"/>
              </w:rPr>
            </w:pPr>
          </w:p>
        </w:tc>
        <w:tc>
          <w:tcPr>
            <w:tcW w:w="1463" w:type="dxa"/>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tcPr>
          <w:p>
            <w:pPr>
              <w:autoSpaceDE w:val="0"/>
              <w:autoSpaceDN w:val="0"/>
              <w:adjustRightInd w:val="0"/>
              <w:ind w:left="120" w:hanging="120"/>
              <w:jc w:val="center"/>
              <w:rPr>
                <w:rFonts w:ascii="宋体" w:hAnsi="宋体" w:cs="宋体"/>
                <w:b/>
                <w:bCs/>
                <w:sz w:val="24"/>
                <w:lang w:val="zh-CN"/>
              </w:rPr>
            </w:pPr>
          </w:p>
        </w:tc>
        <w:tc>
          <w:tcPr>
            <w:tcW w:w="1790" w:type="dxa"/>
          </w:tcPr>
          <w:p>
            <w:pPr>
              <w:autoSpaceDE w:val="0"/>
              <w:autoSpaceDN w:val="0"/>
              <w:adjustRightInd w:val="0"/>
              <w:ind w:left="120" w:hanging="120"/>
              <w:jc w:val="center"/>
              <w:rPr>
                <w:rFonts w:ascii="宋体" w:hAnsi="宋体" w:cs="宋体"/>
                <w:b/>
                <w:bCs/>
                <w:sz w:val="24"/>
                <w:lang w:val="zh-CN"/>
              </w:rPr>
            </w:pPr>
          </w:p>
        </w:tc>
        <w:tc>
          <w:tcPr>
            <w:tcW w:w="1090" w:type="dxa"/>
          </w:tcPr>
          <w:p>
            <w:pPr>
              <w:autoSpaceDE w:val="0"/>
              <w:autoSpaceDN w:val="0"/>
              <w:adjustRightInd w:val="0"/>
              <w:ind w:left="120" w:hanging="120"/>
              <w:jc w:val="center"/>
              <w:rPr>
                <w:rFonts w:ascii="宋体" w:hAnsi="宋体" w:cs="宋体"/>
                <w:b/>
                <w:bCs/>
                <w:sz w:val="24"/>
                <w:lang w:val="zh-CN"/>
              </w:rPr>
            </w:pPr>
          </w:p>
        </w:tc>
        <w:tc>
          <w:tcPr>
            <w:tcW w:w="1453" w:type="dxa"/>
          </w:tcPr>
          <w:p>
            <w:pPr>
              <w:autoSpaceDE w:val="0"/>
              <w:autoSpaceDN w:val="0"/>
              <w:adjustRightInd w:val="0"/>
              <w:ind w:left="120" w:hanging="120"/>
              <w:jc w:val="center"/>
              <w:rPr>
                <w:rFonts w:ascii="宋体" w:hAnsi="宋体" w:cs="宋体"/>
                <w:b/>
                <w:bCs/>
                <w:sz w:val="24"/>
                <w:lang w:val="zh-CN"/>
              </w:rPr>
            </w:pPr>
          </w:p>
        </w:tc>
        <w:tc>
          <w:tcPr>
            <w:tcW w:w="1682" w:type="dxa"/>
          </w:tcPr>
          <w:p>
            <w:pPr>
              <w:autoSpaceDE w:val="0"/>
              <w:autoSpaceDN w:val="0"/>
              <w:adjustRightInd w:val="0"/>
              <w:ind w:left="120" w:hanging="120"/>
              <w:jc w:val="center"/>
              <w:rPr>
                <w:rFonts w:ascii="宋体" w:hAnsi="宋体" w:cs="宋体"/>
                <w:b/>
                <w:bCs/>
                <w:sz w:val="24"/>
                <w:lang w:val="zh-CN"/>
              </w:rPr>
            </w:pPr>
          </w:p>
        </w:tc>
        <w:tc>
          <w:tcPr>
            <w:tcW w:w="1522" w:type="dxa"/>
          </w:tcPr>
          <w:p>
            <w:pPr>
              <w:autoSpaceDE w:val="0"/>
              <w:autoSpaceDN w:val="0"/>
              <w:adjustRightInd w:val="0"/>
              <w:ind w:left="120" w:hanging="120"/>
              <w:jc w:val="center"/>
              <w:rPr>
                <w:rFonts w:ascii="宋体" w:hAnsi="宋体" w:cs="宋体"/>
                <w:b/>
                <w:bCs/>
                <w:sz w:val="24"/>
                <w:lang w:val="zh-CN"/>
              </w:rPr>
            </w:pPr>
          </w:p>
        </w:tc>
        <w:tc>
          <w:tcPr>
            <w:tcW w:w="1463" w:type="dxa"/>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sz w:val="24"/>
                <w:lang w:val="zh-CN"/>
              </w:rPr>
            </w:pPr>
          </w:p>
        </w:tc>
        <w:tc>
          <w:tcPr>
            <w:tcW w:w="1790" w:type="dxa"/>
          </w:tcPr>
          <w:p>
            <w:pPr>
              <w:autoSpaceDE w:val="0"/>
              <w:autoSpaceDN w:val="0"/>
              <w:adjustRightInd w:val="0"/>
              <w:ind w:left="120" w:hanging="120"/>
              <w:jc w:val="center"/>
              <w:rPr>
                <w:rFonts w:ascii="宋体" w:hAnsi="宋体" w:cs="宋体"/>
                <w:b/>
                <w:bCs/>
                <w:sz w:val="24"/>
                <w:lang w:val="zh-CN"/>
              </w:rPr>
            </w:pPr>
          </w:p>
        </w:tc>
        <w:tc>
          <w:tcPr>
            <w:tcW w:w="1090" w:type="dxa"/>
          </w:tcPr>
          <w:p>
            <w:pPr>
              <w:autoSpaceDE w:val="0"/>
              <w:autoSpaceDN w:val="0"/>
              <w:adjustRightInd w:val="0"/>
              <w:ind w:left="120" w:hanging="120"/>
              <w:jc w:val="center"/>
              <w:rPr>
                <w:rFonts w:ascii="宋体" w:hAnsi="宋体" w:cs="宋体"/>
                <w:b/>
                <w:bCs/>
                <w:sz w:val="24"/>
                <w:lang w:val="zh-CN"/>
              </w:rPr>
            </w:pPr>
          </w:p>
        </w:tc>
        <w:tc>
          <w:tcPr>
            <w:tcW w:w="1453" w:type="dxa"/>
          </w:tcPr>
          <w:p>
            <w:pPr>
              <w:autoSpaceDE w:val="0"/>
              <w:autoSpaceDN w:val="0"/>
              <w:adjustRightInd w:val="0"/>
              <w:ind w:left="120" w:hanging="120"/>
              <w:jc w:val="center"/>
              <w:rPr>
                <w:rFonts w:ascii="宋体" w:hAnsi="宋体" w:cs="宋体"/>
                <w:b/>
                <w:bCs/>
                <w:sz w:val="24"/>
                <w:lang w:val="zh-CN"/>
              </w:rPr>
            </w:pPr>
          </w:p>
        </w:tc>
        <w:tc>
          <w:tcPr>
            <w:tcW w:w="1682" w:type="dxa"/>
          </w:tcPr>
          <w:p>
            <w:pPr>
              <w:autoSpaceDE w:val="0"/>
              <w:autoSpaceDN w:val="0"/>
              <w:adjustRightInd w:val="0"/>
              <w:ind w:left="120" w:hanging="120"/>
              <w:jc w:val="center"/>
              <w:rPr>
                <w:rFonts w:ascii="宋体" w:hAnsi="宋体" w:cs="宋体"/>
                <w:b/>
                <w:bCs/>
                <w:sz w:val="24"/>
                <w:lang w:val="zh-CN"/>
              </w:rPr>
            </w:pPr>
          </w:p>
        </w:tc>
        <w:tc>
          <w:tcPr>
            <w:tcW w:w="1522" w:type="dxa"/>
          </w:tcPr>
          <w:p>
            <w:pPr>
              <w:autoSpaceDE w:val="0"/>
              <w:autoSpaceDN w:val="0"/>
              <w:adjustRightInd w:val="0"/>
              <w:ind w:left="120" w:hanging="120"/>
              <w:jc w:val="center"/>
              <w:rPr>
                <w:rFonts w:ascii="宋体" w:hAnsi="宋体" w:cs="宋体"/>
                <w:b/>
                <w:bCs/>
                <w:sz w:val="24"/>
                <w:lang w:val="zh-CN"/>
              </w:rPr>
            </w:pPr>
          </w:p>
        </w:tc>
        <w:tc>
          <w:tcPr>
            <w:tcW w:w="1463" w:type="dxa"/>
          </w:tcPr>
          <w:p>
            <w:pPr>
              <w:autoSpaceDE w:val="0"/>
              <w:autoSpaceDN w:val="0"/>
              <w:adjustRightInd w:val="0"/>
              <w:ind w:left="120" w:hanging="120"/>
              <w:jc w:val="center"/>
              <w:rPr>
                <w:rFonts w:ascii="宋体" w:hAnsi="宋体" w:cs="宋体"/>
                <w:b/>
                <w:bCs/>
                <w:sz w:val="24"/>
                <w:lang w:val="zh-CN"/>
              </w:rPr>
            </w:pPr>
          </w:p>
        </w:tc>
      </w:tr>
    </w:tbl>
    <w:p>
      <w:pPr>
        <w:ind w:left="120" w:hanging="120"/>
        <w:rPr>
          <w:rFonts w:ascii="宋体" w:hAnsi="宋体" w:cs="宋体"/>
          <w:sz w:val="24"/>
        </w:rPr>
      </w:pPr>
    </w:p>
    <w:p>
      <w:pPr>
        <w:spacing w:line="640" w:lineRule="exact"/>
        <w:ind w:left="120" w:hanging="120"/>
        <w:rPr>
          <w:rFonts w:ascii="宋体" w:hAnsi="宋体" w:cs="宋体"/>
          <w:sz w:val="24"/>
        </w:rPr>
      </w:pPr>
      <w:r>
        <w:rPr>
          <w:rFonts w:hint="eastAsia" w:ascii="宋体" w:hAnsi="宋体" w:cs="宋体"/>
          <w:sz w:val="24"/>
        </w:rPr>
        <w:t>　  投标单位：(公章)：</w:t>
      </w:r>
    </w:p>
    <w:p>
      <w:pPr>
        <w:spacing w:line="640" w:lineRule="exact"/>
        <w:ind w:firstLine="240" w:firstLineChars="100"/>
        <w:rPr>
          <w:rFonts w:ascii="宋体" w:hAnsi="宋体" w:cs="宋体"/>
          <w:sz w:val="24"/>
          <w:u w:val="single"/>
        </w:rPr>
      </w:pPr>
      <w:r>
        <w:rPr>
          <w:rFonts w:hint="eastAsia" w:ascii="宋体" w:hAnsi="宋体" w:cs="宋体"/>
          <w:sz w:val="24"/>
        </w:rPr>
        <w:t>　法定代表人或授权代表人（签字或盖章）：</w:t>
      </w:r>
    </w:p>
    <w:p>
      <w:pPr>
        <w:spacing w:line="640" w:lineRule="exact"/>
        <w:ind w:left="120" w:hanging="120"/>
        <w:rPr>
          <w:rFonts w:ascii="宋体" w:hAnsi="宋体" w:cs="宋体"/>
          <w:sz w:val="24"/>
        </w:rPr>
      </w:pPr>
      <w:r>
        <w:rPr>
          <w:rFonts w:hint="eastAsia" w:ascii="宋体" w:hAnsi="宋体" w:cs="宋体"/>
          <w:sz w:val="24"/>
        </w:rPr>
        <w:t>　　日 期:</w:t>
      </w:r>
    </w:p>
    <w:p>
      <w:pPr>
        <w:ind w:left="120" w:hanging="120"/>
        <w:rPr>
          <w:rFonts w:ascii="宋体" w:hAnsi="宋体" w:cs="宋体"/>
          <w:sz w:val="24"/>
          <w:lang w:val="zh-CN"/>
        </w:rPr>
      </w:pPr>
      <w:r>
        <w:rPr>
          <w:rFonts w:hint="eastAsia" w:ascii="宋体" w:hAnsi="宋体" w:cs="宋体"/>
          <w:sz w:val="24"/>
        </w:rPr>
        <w:t>备注：1、</w:t>
      </w:r>
      <w:r>
        <w:rPr>
          <w:rFonts w:hint="eastAsia" w:ascii="宋体" w:hAnsi="宋体" w:cs="宋体"/>
          <w:sz w:val="24"/>
          <w:lang w:val="zh-CN"/>
        </w:rPr>
        <w:t>附相关证书（</w:t>
      </w:r>
      <w:r>
        <w:rPr>
          <w:rFonts w:hint="eastAsia" w:ascii="宋体" w:hAnsi="宋体" w:cs="宋体"/>
          <w:sz w:val="24"/>
        </w:rPr>
        <w:t>如有</w:t>
      </w:r>
      <w:r>
        <w:rPr>
          <w:rFonts w:hint="eastAsia" w:ascii="宋体" w:hAnsi="宋体" w:cs="宋体"/>
          <w:sz w:val="24"/>
          <w:lang w:val="zh-CN"/>
        </w:rPr>
        <w:t>）、专业技术职称证书（</w:t>
      </w:r>
      <w:r>
        <w:rPr>
          <w:rFonts w:hint="eastAsia" w:ascii="宋体" w:hAnsi="宋体" w:cs="宋体"/>
          <w:sz w:val="24"/>
        </w:rPr>
        <w:t>如有</w:t>
      </w:r>
      <w:r>
        <w:rPr>
          <w:rFonts w:hint="eastAsia" w:ascii="宋体" w:hAnsi="宋体" w:cs="宋体"/>
          <w:sz w:val="24"/>
          <w:lang w:val="zh-CN"/>
        </w:rPr>
        <w:t>）等复印件，加盖公章</w:t>
      </w:r>
      <w:r>
        <w:rPr>
          <w:rFonts w:hint="eastAsia" w:ascii="宋体" w:hAnsi="宋体" w:cs="宋体"/>
          <w:sz w:val="24"/>
        </w:rPr>
        <w:t>。</w:t>
      </w:r>
    </w:p>
    <w:p>
      <w:pPr>
        <w:numPr>
          <w:ilvl w:val="0"/>
          <w:numId w:val="13"/>
        </w:numPr>
        <w:ind w:left="120" w:hanging="120"/>
        <w:rPr>
          <w:rFonts w:ascii="宋体" w:hAnsi="宋体" w:cs="宋体"/>
          <w:sz w:val="24"/>
          <w:lang w:val="zh-CN"/>
        </w:rPr>
      </w:pPr>
      <w:r>
        <w:rPr>
          <w:rFonts w:hint="eastAsia" w:ascii="宋体" w:hAnsi="宋体" w:cs="宋体"/>
          <w:sz w:val="24"/>
          <w:lang w:val="zh-CN"/>
        </w:rPr>
        <w:t>需提供本单位近</w:t>
      </w:r>
      <w:r>
        <w:rPr>
          <w:rFonts w:hint="eastAsia" w:ascii="宋体" w:hAnsi="宋体" w:cs="宋体"/>
          <w:sz w:val="24"/>
        </w:rPr>
        <w:t>三个月</w:t>
      </w:r>
      <w:r>
        <w:rPr>
          <w:rFonts w:hint="eastAsia" w:ascii="宋体" w:hAnsi="宋体" w:cs="宋体"/>
          <w:sz w:val="24"/>
          <w:lang w:val="zh-CN"/>
        </w:rPr>
        <w:t>（含）以上社保缴纳记录等相关证明材料复印件（新入职人员需额外提供劳务合同证明）。</w:t>
      </w:r>
    </w:p>
    <w:p>
      <w:pPr>
        <w:pStyle w:val="5"/>
        <w:numPr>
          <w:ilvl w:val="0"/>
          <w:numId w:val="13"/>
        </w:numPr>
        <w:ind w:left="120" w:hanging="120" w:hangingChars="50"/>
        <w:rPr>
          <w:rFonts w:ascii="宋体" w:hAnsi="宋体" w:cs="宋体"/>
          <w:lang w:val="zh-CN"/>
        </w:rPr>
      </w:pPr>
      <w:r>
        <w:rPr>
          <w:rFonts w:hint="eastAsia" w:ascii="宋体" w:hAnsi="宋体" w:cs="宋体"/>
        </w:rPr>
        <w:t>本表格可根据实际情况适当进行调整。</w:t>
      </w:r>
    </w:p>
    <w:p>
      <w:pPr>
        <w:pStyle w:val="4"/>
        <w:spacing w:line="240" w:lineRule="auto"/>
        <w:ind w:left="120" w:hanging="120"/>
        <w:rPr>
          <w:rFonts w:ascii="宋体" w:hAnsi="宋体" w:cs="宋体"/>
          <w:sz w:val="24"/>
        </w:rPr>
      </w:pPr>
    </w:p>
    <w:p>
      <w:pPr>
        <w:ind w:left="105" w:hanging="105"/>
        <w:rPr>
          <w:rFonts w:ascii="宋体" w:hAnsi="宋体" w:cs="宋体"/>
        </w:rPr>
      </w:pPr>
    </w:p>
    <w:p>
      <w:pPr>
        <w:ind w:left="120" w:hanging="120"/>
        <w:jc w:val="center"/>
        <w:rPr>
          <w:rFonts w:ascii="宋体" w:hAnsi="宋体" w:cs="宋体"/>
          <w:b/>
          <w:sz w:val="24"/>
        </w:rPr>
      </w:pPr>
    </w:p>
    <w:p>
      <w:pPr>
        <w:ind w:left="120" w:hanging="120"/>
        <w:jc w:val="center"/>
        <w:rPr>
          <w:rFonts w:ascii="宋体" w:hAnsi="宋体" w:cs="宋体"/>
          <w:b/>
          <w:sz w:val="24"/>
        </w:rPr>
      </w:pPr>
      <w:r>
        <w:rPr>
          <w:rFonts w:hint="eastAsia" w:ascii="宋体" w:hAnsi="宋体" w:cs="宋体"/>
          <w:b/>
          <w:sz w:val="24"/>
        </w:rPr>
        <w:t>9、商务条款偏离表</w:t>
      </w:r>
    </w:p>
    <w:p>
      <w:pPr>
        <w:ind w:left="120" w:hanging="120"/>
        <w:rPr>
          <w:rFonts w:ascii="宋体" w:hAnsi="宋体" w:cs="宋体"/>
          <w:b/>
          <w:sz w:val="24"/>
        </w:rPr>
      </w:pPr>
    </w:p>
    <w:p>
      <w:pPr>
        <w:ind w:left="120" w:hanging="120"/>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w:t>
      </w:r>
    </w:p>
    <w:tbl>
      <w:tblPr>
        <w:tblStyle w:val="7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ind w:left="120" w:hanging="120"/>
              <w:jc w:val="center"/>
              <w:rPr>
                <w:rFonts w:ascii="宋体" w:hAnsi="宋体" w:cs="宋体"/>
                <w:sz w:val="24"/>
              </w:rPr>
            </w:pPr>
            <w:r>
              <w:rPr>
                <w:rFonts w:hint="eastAsia" w:ascii="宋体" w:hAnsi="宋体" w:cs="宋体"/>
                <w:sz w:val="24"/>
              </w:rPr>
              <w:t>序号</w:t>
            </w:r>
          </w:p>
        </w:tc>
        <w:tc>
          <w:tcPr>
            <w:tcW w:w="1398" w:type="dxa"/>
            <w:vAlign w:val="center"/>
          </w:tcPr>
          <w:p>
            <w:pPr>
              <w:ind w:left="120" w:hanging="120"/>
              <w:jc w:val="center"/>
              <w:rPr>
                <w:rFonts w:ascii="宋体" w:hAnsi="宋体" w:cs="宋体"/>
                <w:sz w:val="24"/>
              </w:rPr>
            </w:pPr>
            <w:r>
              <w:rPr>
                <w:rFonts w:hint="eastAsia" w:ascii="宋体" w:hAnsi="宋体" w:cs="宋体"/>
                <w:sz w:val="24"/>
              </w:rPr>
              <w:t>竞争性磋商文件</w:t>
            </w:r>
          </w:p>
          <w:p>
            <w:pPr>
              <w:ind w:left="120" w:hanging="120"/>
              <w:jc w:val="center"/>
              <w:rPr>
                <w:rFonts w:ascii="宋体" w:hAnsi="宋体" w:cs="宋体"/>
                <w:sz w:val="24"/>
              </w:rPr>
            </w:pPr>
            <w:r>
              <w:rPr>
                <w:rFonts w:hint="eastAsia" w:ascii="宋体" w:hAnsi="宋体" w:cs="宋体"/>
                <w:sz w:val="24"/>
              </w:rPr>
              <w:t>条目号</w:t>
            </w:r>
          </w:p>
        </w:tc>
        <w:tc>
          <w:tcPr>
            <w:tcW w:w="2277" w:type="dxa"/>
            <w:vAlign w:val="center"/>
          </w:tcPr>
          <w:p>
            <w:pPr>
              <w:ind w:left="120" w:hanging="120"/>
              <w:jc w:val="center"/>
              <w:rPr>
                <w:rFonts w:ascii="宋体" w:hAnsi="宋体" w:cs="宋体"/>
                <w:sz w:val="24"/>
              </w:rPr>
            </w:pPr>
            <w:r>
              <w:rPr>
                <w:rFonts w:hint="eastAsia" w:ascii="宋体" w:hAnsi="宋体" w:cs="宋体"/>
                <w:sz w:val="24"/>
              </w:rPr>
              <w:t>竞争性磋商文件的商务条款</w:t>
            </w:r>
          </w:p>
        </w:tc>
        <w:tc>
          <w:tcPr>
            <w:tcW w:w="2835" w:type="dxa"/>
            <w:vAlign w:val="center"/>
          </w:tcPr>
          <w:p>
            <w:pPr>
              <w:ind w:left="120" w:hanging="120"/>
              <w:jc w:val="center"/>
              <w:rPr>
                <w:rFonts w:ascii="宋体" w:hAnsi="宋体" w:cs="宋体"/>
                <w:sz w:val="24"/>
              </w:rPr>
            </w:pPr>
            <w:r>
              <w:rPr>
                <w:rFonts w:hint="eastAsia" w:ascii="宋体" w:hAnsi="宋体" w:cs="宋体"/>
                <w:sz w:val="24"/>
              </w:rPr>
              <w:t>响应文件的商务条款</w:t>
            </w:r>
          </w:p>
        </w:tc>
        <w:tc>
          <w:tcPr>
            <w:tcW w:w="1984" w:type="dxa"/>
            <w:vAlign w:val="center"/>
          </w:tcPr>
          <w:p>
            <w:pPr>
              <w:ind w:left="120" w:hanging="120"/>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sz w:val="24"/>
              </w:rPr>
            </w:pPr>
            <w:r>
              <w:rPr>
                <w:rFonts w:hint="eastAsia" w:ascii="宋体" w:hAnsi="宋体" w:cs="宋体"/>
                <w:sz w:val="24"/>
              </w:rPr>
              <w:t>1</w:t>
            </w:r>
          </w:p>
        </w:tc>
        <w:tc>
          <w:tcPr>
            <w:tcW w:w="1398" w:type="dxa"/>
          </w:tcPr>
          <w:p>
            <w:pPr>
              <w:ind w:left="120" w:hanging="120"/>
              <w:rPr>
                <w:rFonts w:ascii="宋体" w:hAnsi="宋体" w:cs="宋体"/>
                <w:sz w:val="24"/>
              </w:rPr>
            </w:pPr>
          </w:p>
        </w:tc>
        <w:tc>
          <w:tcPr>
            <w:tcW w:w="2277" w:type="dxa"/>
          </w:tcPr>
          <w:p>
            <w:pPr>
              <w:ind w:left="120" w:hanging="120"/>
              <w:rPr>
                <w:rFonts w:ascii="宋体" w:hAnsi="宋体" w:cs="宋体"/>
                <w:sz w:val="24"/>
              </w:rPr>
            </w:pPr>
          </w:p>
        </w:tc>
        <w:tc>
          <w:tcPr>
            <w:tcW w:w="2835" w:type="dxa"/>
          </w:tcPr>
          <w:p>
            <w:pPr>
              <w:ind w:left="120" w:hanging="120"/>
              <w:rPr>
                <w:rFonts w:ascii="宋体" w:hAnsi="宋体" w:cs="宋体"/>
                <w:sz w:val="24"/>
              </w:rPr>
            </w:pPr>
          </w:p>
        </w:tc>
        <w:tc>
          <w:tcPr>
            <w:tcW w:w="1984" w:type="dxa"/>
          </w:tcPr>
          <w:p>
            <w:pPr>
              <w:ind w:left="120" w:hanging="12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Pr>
          <w:p>
            <w:pPr>
              <w:ind w:left="120" w:hanging="120"/>
              <w:rPr>
                <w:rFonts w:ascii="宋体" w:hAnsi="宋体" w:cs="宋体"/>
                <w:sz w:val="24"/>
              </w:rPr>
            </w:pPr>
            <w:r>
              <w:rPr>
                <w:rFonts w:hint="eastAsia" w:ascii="宋体" w:hAnsi="宋体" w:cs="宋体"/>
                <w:sz w:val="24"/>
              </w:rPr>
              <w:t>2</w:t>
            </w:r>
          </w:p>
          <w:p>
            <w:pPr>
              <w:ind w:left="120" w:hanging="120"/>
              <w:rPr>
                <w:rFonts w:ascii="宋体" w:hAnsi="宋体" w:cs="宋体"/>
                <w:sz w:val="24"/>
              </w:rPr>
            </w:pPr>
          </w:p>
        </w:tc>
        <w:tc>
          <w:tcPr>
            <w:tcW w:w="1398" w:type="dxa"/>
          </w:tcPr>
          <w:p>
            <w:pPr>
              <w:widowControl/>
              <w:ind w:left="120" w:hanging="120"/>
              <w:jc w:val="left"/>
              <w:rPr>
                <w:rFonts w:ascii="宋体" w:hAnsi="宋体" w:cs="宋体"/>
                <w:sz w:val="24"/>
              </w:rPr>
            </w:pPr>
          </w:p>
          <w:p>
            <w:pPr>
              <w:ind w:left="120" w:hanging="120"/>
              <w:rPr>
                <w:rFonts w:ascii="宋体" w:hAnsi="宋体" w:cs="宋体"/>
                <w:sz w:val="24"/>
              </w:rPr>
            </w:pPr>
          </w:p>
        </w:tc>
        <w:tc>
          <w:tcPr>
            <w:tcW w:w="2277" w:type="dxa"/>
          </w:tcPr>
          <w:p>
            <w:pPr>
              <w:ind w:left="120" w:hanging="120"/>
              <w:rPr>
                <w:rFonts w:ascii="宋体" w:hAnsi="宋体" w:cs="宋体"/>
                <w:sz w:val="24"/>
              </w:rPr>
            </w:pPr>
          </w:p>
        </w:tc>
        <w:tc>
          <w:tcPr>
            <w:tcW w:w="2835" w:type="dxa"/>
          </w:tcPr>
          <w:p>
            <w:pPr>
              <w:ind w:left="120" w:hanging="120"/>
              <w:rPr>
                <w:rFonts w:ascii="宋体" w:hAnsi="宋体" w:cs="宋体"/>
                <w:sz w:val="24"/>
              </w:rPr>
            </w:pPr>
          </w:p>
        </w:tc>
        <w:tc>
          <w:tcPr>
            <w:tcW w:w="1984" w:type="dxa"/>
          </w:tcPr>
          <w:p>
            <w:pPr>
              <w:ind w:left="120" w:hanging="12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sz w:val="24"/>
              </w:rPr>
            </w:pPr>
            <w:r>
              <w:rPr>
                <w:rFonts w:hint="eastAsia" w:ascii="宋体" w:hAnsi="宋体" w:cs="宋体"/>
                <w:sz w:val="24"/>
              </w:rPr>
              <w:t>3</w:t>
            </w:r>
          </w:p>
          <w:p>
            <w:pPr>
              <w:ind w:left="120" w:hanging="120"/>
              <w:rPr>
                <w:rFonts w:ascii="宋体" w:hAnsi="宋体" w:cs="宋体"/>
                <w:sz w:val="24"/>
              </w:rPr>
            </w:pPr>
          </w:p>
        </w:tc>
        <w:tc>
          <w:tcPr>
            <w:tcW w:w="1398" w:type="dxa"/>
          </w:tcPr>
          <w:p>
            <w:pPr>
              <w:widowControl/>
              <w:ind w:left="120" w:hanging="120"/>
              <w:jc w:val="left"/>
              <w:rPr>
                <w:rFonts w:ascii="宋体" w:hAnsi="宋体" w:cs="宋体"/>
                <w:sz w:val="24"/>
              </w:rPr>
            </w:pPr>
          </w:p>
          <w:p>
            <w:pPr>
              <w:ind w:left="120" w:hanging="120"/>
              <w:rPr>
                <w:rFonts w:ascii="宋体" w:hAnsi="宋体" w:cs="宋体"/>
                <w:sz w:val="24"/>
              </w:rPr>
            </w:pPr>
          </w:p>
        </w:tc>
        <w:tc>
          <w:tcPr>
            <w:tcW w:w="2277" w:type="dxa"/>
          </w:tcPr>
          <w:p>
            <w:pPr>
              <w:ind w:left="120" w:hanging="120"/>
              <w:rPr>
                <w:rFonts w:ascii="宋体" w:hAnsi="宋体" w:cs="宋体"/>
                <w:sz w:val="24"/>
              </w:rPr>
            </w:pPr>
          </w:p>
        </w:tc>
        <w:tc>
          <w:tcPr>
            <w:tcW w:w="2835" w:type="dxa"/>
          </w:tcPr>
          <w:p>
            <w:pPr>
              <w:ind w:left="120" w:hanging="120"/>
              <w:rPr>
                <w:rFonts w:ascii="宋体" w:hAnsi="宋体" w:cs="宋体"/>
                <w:sz w:val="24"/>
              </w:rPr>
            </w:pPr>
          </w:p>
        </w:tc>
        <w:tc>
          <w:tcPr>
            <w:tcW w:w="1984" w:type="dxa"/>
          </w:tcPr>
          <w:p>
            <w:pPr>
              <w:ind w:left="120" w:hanging="12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sz w:val="24"/>
              </w:rPr>
            </w:pPr>
            <w:r>
              <w:rPr>
                <w:rFonts w:hint="eastAsia" w:ascii="宋体" w:hAnsi="宋体" w:cs="宋体"/>
                <w:sz w:val="24"/>
              </w:rPr>
              <w:t>…</w:t>
            </w:r>
          </w:p>
          <w:p>
            <w:pPr>
              <w:ind w:left="120" w:hanging="120"/>
              <w:rPr>
                <w:rFonts w:ascii="宋体" w:hAnsi="宋体" w:cs="宋体"/>
                <w:sz w:val="24"/>
              </w:rPr>
            </w:pPr>
          </w:p>
        </w:tc>
        <w:tc>
          <w:tcPr>
            <w:tcW w:w="1398" w:type="dxa"/>
          </w:tcPr>
          <w:p>
            <w:pPr>
              <w:widowControl/>
              <w:ind w:left="120" w:hanging="120"/>
              <w:jc w:val="left"/>
              <w:rPr>
                <w:rFonts w:ascii="宋体" w:hAnsi="宋体" w:cs="宋体"/>
                <w:sz w:val="24"/>
              </w:rPr>
            </w:pPr>
          </w:p>
          <w:p>
            <w:pPr>
              <w:ind w:left="120" w:hanging="120"/>
              <w:rPr>
                <w:rFonts w:ascii="宋体" w:hAnsi="宋体" w:cs="宋体"/>
                <w:sz w:val="24"/>
              </w:rPr>
            </w:pPr>
          </w:p>
        </w:tc>
        <w:tc>
          <w:tcPr>
            <w:tcW w:w="2277" w:type="dxa"/>
          </w:tcPr>
          <w:p>
            <w:pPr>
              <w:ind w:left="120" w:hanging="120"/>
              <w:rPr>
                <w:rFonts w:ascii="宋体" w:hAnsi="宋体" w:cs="宋体"/>
                <w:sz w:val="24"/>
              </w:rPr>
            </w:pPr>
          </w:p>
        </w:tc>
        <w:tc>
          <w:tcPr>
            <w:tcW w:w="2835" w:type="dxa"/>
          </w:tcPr>
          <w:p>
            <w:pPr>
              <w:ind w:left="120" w:hanging="120"/>
              <w:rPr>
                <w:rFonts w:ascii="宋体" w:hAnsi="宋体" w:cs="宋体"/>
                <w:sz w:val="24"/>
              </w:rPr>
            </w:pPr>
          </w:p>
        </w:tc>
        <w:tc>
          <w:tcPr>
            <w:tcW w:w="1984" w:type="dxa"/>
          </w:tcPr>
          <w:p>
            <w:pPr>
              <w:ind w:left="120" w:hanging="120"/>
              <w:rPr>
                <w:rFonts w:ascii="宋体" w:hAnsi="宋体" w:cs="宋体"/>
                <w:sz w:val="24"/>
              </w:rPr>
            </w:pPr>
          </w:p>
        </w:tc>
      </w:tr>
    </w:tbl>
    <w:p>
      <w:pPr>
        <w:ind w:left="120" w:hanging="120"/>
        <w:rPr>
          <w:rFonts w:ascii="宋体" w:hAnsi="宋体" w:cs="宋体"/>
          <w:sz w:val="24"/>
        </w:rPr>
      </w:pPr>
    </w:p>
    <w:p>
      <w:pPr>
        <w:ind w:left="120" w:hanging="120"/>
        <w:rPr>
          <w:rFonts w:ascii="宋体" w:hAnsi="宋体" w:cs="宋体"/>
          <w:sz w:val="24"/>
        </w:rPr>
      </w:pPr>
    </w:p>
    <w:p>
      <w:pPr>
        <w:spacing w:before="100" w:beforeAutospacing="1" w:after="100" w:afterAutospacing="1"/>
        <w:ind w:left="120" w:hanging="120"/>
        <w:rPr>
          <w:rFonts w:ascii="宋体" w:hAnsi="宋体" w:cs="宋体"/>
          <w:sz w:val="24"/>
          <w:u w:val="single"/>
        </w:rPr>
      </w:pPr>
      <w:r>
        <w:rPr>
          <w:rFonts w:hint="eastAsia" w:ascii="宋体" w:hAnsi="宋体" w:cs="宋体"/>
          <w:sz w:val="24"/>
        </w:rPr>
        <w:t xml:space="preserve">　投标单位： </w:t>
      </w:r>
      <w:r>
        <w:rPr>
          <w:rFonts w:hint="eastAsia" w:ascii="宋体" w:hAnsi="宋体" w:cs="宋体"/>
          <w:sz w:val="24"/>
          <w:u w:val="single"/>
        </w:rPr>
        <w:t xml:space="preserve">                       （公章）   </w:t>
      </w:r>
    </w:p>
    <w:p>
      <w:pPr>
        <w:ind w:left="120" w:hanging="120"/>
        <w:rPr>
          <w:rFonts w:ascii="宋体" w:hAnsi="宋体" w:cs="宋体"/>
          <w:sz w:val="24"/>
        </w:rPr>
      </w:pPr>
      <w:r>
        <w:rPr>
          <w:rFonts w:hint="eastAsia" w:ascii="宋体" w:hAnsi="宋体" w:cs="宋体"/>
          <w:sz w:val="24"/>
        </w:rPr>
        <w:t xml:space="preserve">  法定代表人或授权代表人（签字或盖章）：　</w:t>
      </w:r>
    </w:p>
    <w:p>
      <w:pPr>
        <w:ind w:left="120" w:hanging="120"/>
        <w:rPr>
          <w:rFonts w:ascii="宋体" w:hAnsi="宋体" w:cs="宋体"/>
          <w:sz w:val="24"/>
        </w:rPr>
      </w:pPr>
      <w:r>
        <w:rPr>
          <w:rFonts w:hint="eastAsia" w:ascii="宋体" w:hAnsi="宋体" w:cs="宋体"/>
          <w:sz w:val="24"/>
        </w:rPr>
        <w:t xml:space="preserve">      日期：   年   月   日</w:t>
      </w:r>
    </w:p>
    <w:p>
      <w:pPr>
        <w:pStyle w:val="4"/>
        <w:spacing w:line="240" w:lineRule="auto"/>
        <w:ind w:left="120" w:hanging="120"/>
        <w:rPr>
          <w:rFonts w:ascii="宋体" w:hAnsi="宋体" w:cs="宋体"/>
          <w:sz w:val="24"/>
        </w:rPr>
      </w:pPr>
    </w:p>
    <w:p>
      <w:pPr>
        <w:pStyle w:val="4"/>
        <w:spacing w:line="240" w:lineRule="auto"/>
        <w:ind w:left="120" w:hanging="120"/>
        <w:rPr>
          <w:rFonts w:ascii="宋体" w:hAnsi="宋体" w:cs="宋体"/>
          <w:sz w:val="24"/>
        </w:rPr>
      </w:pPr>
    </w:p>
    <w:p>
      <w:pPr>
        <w:pStyle w:val="4"/>
        <w:spacing w:line="240" w:lineRule="auto"/>
        <w:ind w:left="120" w:hanging="120"/>
        <w:rPr>
          <w:rFonts w:ascii="宋体" w:hAnsi="宋体" w:cs="宋体"/>
          <w:sz w:val="24"/>
        </w:rPr>
      </w:pPr>
    </w:p>
    <w:p>
      <w:pPr>
        <w:pStyle w:val="4"/>
        <w:spacing w:line="240" w:lineRule="auto"/>
        <w:ind w:left="120" w:hanging="120"/>
        <w:rPr>
          <w:rFonts w:ascii="宋体" w:hAnsi="宋体" w:cs="宋体"/>
          <w:sz w:val="24"/>
        </w:rPr>
      </w:pPr>
    </w:p>
    <w:p>
      <w:pPr>
        <w:pStyle w:val="4"/>
        <w:spacing w:line="240" w:lineRule="auto"/>
        <w:ind w:left="120" w:hanging="120"/>
        <w:rPr>
          <w:rFonts w:ascii="宋体" w:hAnsi="宋体" w:cs="宋体"/>
          <w:sz w:val="24"/>
        </w:rPr>
      </w:pPr>
    </w:p>
    <w:p>
      <w:pPr>
        <w:ind w:left="105" w:hanging="105"/>
        <w:rPr>
          <w:rFonts w:ascii="宋体" w:hAnsi="宋体" w:cs="宋体"/>
        </w:rPr>
      </w:pPr>
    </w:p>
    <w:p>
      <w:pPr>
        <w:ind w:left="105" w:hanging="105"/>
        <w:rPr>
          <w:rFonts w:ascii="宋体" w:hAnsi="宋体" w:cs="宋体"/>
        </w:rPr>
      </w:pPr>
    </w:p>
    <w:p>
      <w:pPr>
        <w:pStyle w:val="4"/>
        <w:spacing w:line="240" w:lineRule="auto"/>
        <w:ind w:left="120" w:hanging="120"/>
        <w:rPr>
          <w:rFonts w:ascii="宋体" w:hAnsi="宋体" w:cs="宋体"/>
          <w:sz w:val="24"/>
        </w:rPr>
      </w:pPr>
    </w:p>
    <w:p>
      <w:pPr>
        <w:pStyle w:val="4"/>
        <w:spacing w:line="240" w:lineRule="auto"/>
        <w:ind w:left="120" w:hanging="120"/>
        <w:rPr>
          <w:rFonts w:ascii="宋体" w:hAnsi="宋体" w:cs="宋体"/>
          <w:sz w:val="24"/>
        </w:rPr>
      </w:pPr>
      <w:bookmarkStart w:id="301" w:name="_Toc80113565"/>
      <w:r>
        <w:rPr>
          <w:rFonts w:hint="eastAsia" w:ascii="宋体" w:hAnsi="宋体" w:cs="宋体"/>
          <w:sz w:val="24"/>
        </w:rPr>
        <w:t>10、具有良好的商业信誉和健全的财务会计制度（近年度2021年度财务审计报告），或银行出具的资信证明（针对公司成立时间不足一年的情形）；</w:t>
      </w:r>
      <w:bookmarkEnd w:id="301"/>
    </w:p>
    <w:p>
      <w:pPr>
        <w:autoSpaceDE w:val="0"/>
        <w:autoSpaceDN w:val="0"/>
        <w:adjustRightInd w:val="0"/>
        <w:ind w:left="120" w:hanging="120"/>
        <w:jc w:val="center"/>
        <w:rPr>
          <w:rFonts w:ascii="宋体" w:hAnsi="宋体" w:cs="宋体"/>
          <w:b/>
          <w:sz w:val="24"/>
        </w:rPr>
      </w:pPr>
      <w:r>
        <w:rPr>
          <w:rFonts w:hint="eastAsia" w:ascii="宋体" w:hAnsi="宋体" w:cs="宋体"/>
          <w:b/>
          <w:sz w:val="24"/>
        </w:rPr>
        <w:t>（加盖公章）</w:t>
      </w:r>
    </w:p>
    <w:p>
      <w:pPr>
        <w:adjustRightInd w:val="0"/>
        <w:snapToGrid w:val="0"/>
        <w:ind w:left="116" w:leftChars="-2" w:right="-817" w:rightChars="-389" w:hanging="120"/>
        <w:rPr>
          <w:rFonts w:ascii="宋体" w:hAnsi="宋体" w:cs="宋体"/>
          <w:sz w:val="24"/>
        </w:rPr>
      </w:pPr>
    </w:p>
    <w:p>
      <w:pPr>
        <w:adjustRightInd w:val="0"/>
        <w:snapToGrid w:val="0"/>
        <w:ind w:left="116" w:leftChars="-2" w:right="-817" w:rightChars="-389" w:hanging="120"/>
        <w:rPr>
          <w:rFonts w:ascii="宋体" w:hAnsi="宋体" w:cs="宋体"/>
          <w:sz w:val="24"/>
        </w:rPr>
      </w:pPr>
    </w:p>
    <w:p>
      <w:pPr>
        <w:adjustRightInd w:val="0"/>
        <w:snapToGrid w:val="0"/>
        <w:ind w:left="116" w:leftChars="-2" w:right="-817" w:rightChars="-389" w:hanging="120"/>
        <w:rPr>
          <w:rFonts w:ascii="宋体" w:hAnsi="宋体" w:cs="宋体"/>
          <w:sz w:val="24"/>
        </w:rPr>
      </w:pPr>
    </w:p>
    <w:p>
      <w:pPr>
        <w:ind w:left="0" w:firstLine="0" w:firstLineChars="0"/>
        <w:rPr>
          <w:rFonts w:ascii="宋体" w:hAnsi="宋体" w:cs="宋体"/>
          <w:b/>
          <w:sz w:val="24"/>
        </w:rPr>
      </w:pPr>
      <w:r>
        <w:rPr>
          <w:rFonts w:hint="eastAsia" w:ascii="宋体" w:hAnsi="宋体" w:cs="宋体"/>
          <w:b/>
          <w:bCs/>
          <w:sz w:val="24"/>
          <w:szCs w:val="32"/>
        </w:rPr>
        <w:t xml:space="preserve">11、磋商保证金（磋商保证金银行汇款凭证）   </w:t>
      </w:r>
      <w:r>
        <w:rPr>
          <w:rFonts w:hint="eastAsia" w:ascii="宋体" w:hAnsi="宋体" w:cs="宋体"/>
          <w:b/>
          <w:sz w:val="24"/>
        </w:rPr>
        <w:t>（加盖公章）</w:t>
      </w: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rPr>
          <w:rFonts w:ascii="宋体" w:hAnsi="宋体" w:cs="宋体"/>
          <w:b/>
          <w:sz w:val="24"/>
        </w:rPr>
      </w:pPr>
      <w:r>
        <w:rPr>
          <w:rFonts w:hint="eastAsia" w:ascii="宋体" w:hAnsi="宋体" w:cs="宋体"/>
          <w:b/>
          <w:sz w:val="24"/>
        </w:rPr>
        <w:t>12、</w:t>
      </w:r>
      <w:r>
        <w:rPr>
          <w:rFonts w:hint="eastAsia" w:ascii="宋体" w:hAnsi="宋体" w:cs="宋体"/>
          <w:b/>
          <w:bCs/>
          <w:sz w:val="24"/>
        </w:rPr>
        <w:t xml:space="preserve">供应商企业信誉证明文件   </w:t>
      </w:r>
      <w:r>
        <w:rPr>
          <w:rFonts w:hint="eastAsia" w:ascii="宋体" w:hAnsi="宋体" w:cs="宋体"/>
          <w:b/>
          <w:sz w:val="24"/>
        </w:rPr>
        <w:t>（加盖公章）</w:t>
      </w:r>
    </w:p>
    <w:p>
      <w:pPr>
        <w:ind w:left="120" w:hanging="120"/>
        <w:jc w:val="center"/>
        <w:rPr>
          <w:rFonts w:ascii="宋体" w:hAnsi="宋体" w:cs="宋体"/>
          <w:b/>
          <w:sz w:val="24"/>
        </w:rPr>
      </w:pPr>
    </w:p>
    <w:p>
      <w:pPr>
        <w:ind w:left="120" w:hanging="120"/>
        <w:jc w:val="center"/>
        <w:rPr>
          <w:rFonts w:ascii="宋体" w:hAnsi="宋体" w:cs="宋体"/>
          <w:b/>
          <w:sz w:val="24"/>
        </w:rPr>
      </w:pPr>
    </w:p>
    <w:p>
      <w:pPr>
        <w:pStyle w:val="5"/>
        <w:ind w:firstLine="480"/>
        <w:rPr>
          <w:rFonts w:ascii="宋体" w:hAnsi="宋体" w:cs="宋体"/>
        </w:rPr>
      </w:pPr>
    </w:p>
    <w:p>
      <w:pPr>
        <w:ind w:left="120" w:hanging="120"/>
        <w:jc w:val="center"/>
        <w:rPr>
          <w:rFonts w:ascii="宋体" w:hAnsi="宋体" w:cs="宋体"/>
          <w:b/>
          <w:sz w:val="24"/>
        </w:rPr>
      </w:pPr>
    </w:p>
    <w:p>
      <w:pPr>
        <w:ind w:left="120" w:hanging="120"/>
        <w:rPr>
          <w:rFonts w:ascii="宋体" w:hAnsi="宋体" w:cs="宋体"/>
          <w:b/>
          <w:sz w:val="24"/>
        </w:rPr>
      </w:pPr>
      <w:r>
        <w:rPr>
          <w:rFonts w:hint="eastAsia" w:ascii="宋体" w:hAnsi="宋体" w:cs="宋体"/>
          <w:b/>
          <w:bCs/>
          <w:sz w:val="24"/>
        </w:rPr>
        <w:t xml:space="preserve">13、供应商证明投标资格合格的相关证件证明的复印件   </w:t>
      </w:r>
      <w:r>
        <w:rPr>
          <w:rFonts w:hint="eastAsia" w:ascii="宋体" w:hAnsi="宋体" w:cs="宋体"/>
          <w:b/>
          <w:sz w:val="24"/>
        </w:rPr>
        <w:t>（加盖公章）</w:t>
      </w:r>
    </w:p>
    <w:p>
      <w:pPr>
        <w:ind w:left="120" w:hanging="120"/>
        <w:jc w:val="center"/>
        <w:rPr>
          <w:rFonts w:ascii="宋体" w:hAnsi="宋体" w:cs="宋体"/>
          <w:b/>
          <w:sz w:val="24"/>
        </w:rPr>
      </w:pPr>
    </w:p>
    <w:p>
      <w:pPr>
        <w:pStyle w:val="5"/>
        <w:ind w:firstLine="480"/>
        <w:rPr>
          <w:rFonts w:ascii="宋体" w:hAnsi="宋体" w:cs="宋体"/>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sz w:val="24"/>
        </w:rPr>
      </w:pPr>
      <w:bookmarkStart w:id="302" w:name="_Toc80113566"/>
    </w:p>
    <w:p>
      <w:pPr>
        <w:ind w:left="120" w:hanging="120"/>
        <w:jc w:val="center"/>
        <w:rPr>
          <w:rFonts w:ascii="宋体" w:hAnsi="宋体" w:cs="宋体"/>
          <w:b/>
          <w:sz w:val="24"/>
        </w:rPr>
      </w:pPr>
      <w:r>
        <w:rPr>
          <w:rFonts w:hint="eastAsia" w:ascii="宋体" w:hAnsi="宋体" w:cs="宋体"/>
          <w:b/>
          <w:sz w:val="24"/>
        </w:rPr>
        <w:t>14、</w:t>
      </w:r>
      <w:bookmarkEnd w:id="302"/>
      <w:r>
        <w:rPr>
          <w:rFonts w:hint="eastAsia" w:ascii="宋体" w:hAnsi="宋体" w:cs="宋体"/>
          <w:b/>
          <w:sz w:val="24"/>
        </w:rPr>
        <w:t xml:space="preserve">  中小微企业声明函</w:t>
      </w:r>
    </w:p>
    <w:p>
      <w:pPr>
        <w:ind w:left="120" w:hanging="120"/>
        <w:jc w:val="center"/>
        <w:rPr>
          <w:rFonts w:ascii="宋体" w:hAnsi="宋体" w:cs="宋体"/>
          <w:sz w:val="24"/>
        </w:rPr>
      </w:pPr>
      <w:r>
        <w:rPr>
          <w:rFonts w:hint="eastAsia" w:ascii="宋体" w:hAnsi="宋体" w:cs="宋体"/>
          <w:sz w:val="24"/>
        </w:rPr>
        <w:t>中小微企业声明函（服务）</w:t>
      </w:r>
    </w:p>
    <w:p>
      <w:pPr>
        <w:ind w:left="120" w:hanging="120"/>
        <w:jc w:val="center"/>
        <w:rPr>
          <w:rFonts w:ascii="宋体" w:hAnsi="宋体" w:cs="宋体"/>
          <w:sz w:val="24"/>
        </w:rPr>
      </w:pPr>
    </w:p>
    <w:p>
      <w:pPr>
        <w:widowControl/>
        <w:ind w:firstLine="480" w:firstLineChars="200"/>
        <w:jc w:val="left"/>
        <w:rPr>
          <w:rFonts w:ascii="宋体" w:hAnsi="宋体" w:cs="宋体"/>
          <w:kern w:val="0"/>
          <w:sz w:val="24"/>
        </w:rPr>
      </w:pPr>
      <w:r>
        <w:rPr>
          <w:rFonts w:hint="eastAsia" w:ascii="宋体" w:hAnsi="宋体" w:cs="宋体"/>
          <w:kern w:val="0"/>
          <w:sz w:val="24"/>
        </w:rPr>
        <w:t>本公司郑重声明， 根据《政府采购促进中小企业发展管理办法》（财库﹝ 2020﹞ 46 号） 的规定， 本公司参加国家税务总局新疆维吾尔自治区税务局个人所得税系统运维项目采购活动， 工程的施工单位为符合政策要求的中小企业。企业的具体情况如下：</w:t>
      </w:r>
    </w:p>
    <w:p>
      <w:pPr>
        <w:widowControl/>
        <w:ind w:firstLine="480" w:firstLineChars="200"/>
        <w:jc w:val="left"/>
        <w:rPr>
          <w:rFonts w:ascii="宋体" w:hAnsi="宋体" w:cs="宋体"/>
          <w:kern w:val="0"/>
          <w:sz w:val="24"/>
        </w:rPr>
      </w:pPr>
      <w:r>
        <w:rPr>
          <w:rFonts w:hint="eastAsia" w:ascii="宋体" w:hAnsi="宋体" w:cs="宋体"/>
          <w:kern w:val="0"/>
          <w:sz w:val="24"/>
        </w:rPr>
        <w:t xml:space="preserve">1. </w:t>
      </w:r>
      <w:r>
        <w:rPr>
          <w:rFonts w:hint="eastAsia" w:ascii="宋体" w:hAnsi="宋体" w:cs="宋体"/>
          <w:kern w:val="0"/>
          <w:sz w:val="24"/>
          <w:u w:val="single"/>
        </w:rPr>
        <w:t>（标的名称）</w:t>
      </w:r>
      <w:r>
        <w:rPr>
          <w:rFonts w:hint="eastAsia" w:ascii="宋体" w:hAnsi="宋体" w:cs="宋体"/>
          <w:kern w:val="0"/>
          <w:sz w:val="24"/>
        </w:rPr>
        <w:t xml:space="preserve"> ， 属于</w:t>
      </w:r>
      <w:r>
        <w:rPr>
          <w:rFonts w:hint="eastAsia" w:ascii="宋体" w:hAnsi="宋体" w:cs="宋体"/>
          <w:kern w:val="0"/>
          <w:sz w:val="24"/>
          <w:u w:val="single"/>
        </w:rPr>
        <w:t>（采购文件中明确的所属行业）行业</w:t>
      </w:r>
      <w:r>
        <w:rPr>
          <w:rFonts w:hint="eastAsia" w:ascii="宋体" w:hAnsi="宋体" w:cs="宋体"/>
          <w:kern w:val="0"/>
          <w:sz w:val="24"/>
        </w:rPr>
        <w:t>； 承接企业为</w:t>
      </w:r>
      <w:r>
        <w:rPr>
          <w:rFonts w:hint="eastAsia" w:ascii="宋体" w:hAnsi="宋体" w:cs="宋体"/>
          <w:kern w:val="0"/>
          <w:sz w:val="24"/>
          <w:u w:val="single"/>
        </w:rPr>
        <w:t>（ 企业名称）</w:t>
      </w:r>
      <w:r>
        <w:rPr>
          <w:rFonts w:hint="eastAsia" w:ascii="宋体" w:hAnsi="宋体" w:cs="宋体"/>
          <w:kern w:val="0"/>
          <w:sz w:val="24"/>
        </w:rPr>
        <w:t>， 从业人员人， 营业收入为万元， 资产总额为万元</w:t>
      </w:r>
      <w:r>
        <w:rPr>
          <w:rFonts w:hint="eastAsia" w:ascii="宋体" w:hAnsi="宋体" w:cs="宋体"/>
          <w:kern w:val="0"/>
          <w:sz w:val="24"/>
          <w:vertAlign w:val="superscript"/>
        </w:rPr>
        <w:t>1</w:t>
      </w:r>
      <w:r>
        <w:rPr>
          <w:rFonts w:hint="eastAsia" w:ascii="宋体" w:hAnsi="宋体" w:cs="宋体"/>
          <w:kern w:val="0"/>
          <w:sz w:val="24"/>
        </w:rPr>
        <w:t>， 属于（</w:t>
      </w:r>
      <w:r>
        <w:rPr>
          <w:rFonts w:hint="eastAsia" w:ascii="宋体" w:hAnsi="宋体" w:cs="宋体"/>
          <w:kern w:val="0"/>
          <w:sz w:val="24"/>
          <w:u w:val="single"/>
        </w:rPr>
        <w:t>中型企业、 小型企业、 微型企业</w:t>
      </w:r>
      <w:r>
        <w:rPr>
          <w:rFonts w:hint="eastAsia" w:ascii="宋体" w:hAnsi="宋体" w:cs="宋体"/>
          <w:kern w:val="0"/>
          <w:sz w:val="24"/>
        </w:rPr>
        <w:t>）；</w:t>
      </w:r>
    </w:p>
    <w:p>
      <w:pPr>
        <w:widowControl/>
        <w:ind w:firstLine="480" w:firstLineChars="200"/>
        <w:jc w:val="left"/>
        <w:rPr>
          <w:rFonts w:ascii="宋体" w:hAnsi="宋体" w:cs="宋体"/>
          <w:kern w:val="0"/>
          <w:sz w:val="24"/>
        </w:rPr>
      </w:pPr>
      <w:r>
        <w:rPr>
          <w:rFonts w:hint="eastAsia" w:ascii="宋体" w:hAnsi="宋体" w:cs="宋体"/>
          <w:kern w:val="0"/>
          <w:sz w:val="24"/>
        </w:rPr>
        <w:t>以上企业， 不属于大企业的分支机构， 不存在控股股东为大企业的情形， 也不存在与大企业的负责人为同一人的情形。</w:t>
      </w:r>
    </w:p>
    <w:p>
      <w:pPr>
        <w:widowControl/>
        <w:ind w:firstLine="480" w:firstLineChars="200"/>
        <w:jc w:val="left"/>
        <w:rPr>
          <w:rFonts w:ascii="宋体" w:hAnsi="宋体" w:cs="宋体"/>
          <w:kern w:val="0"/>
          <w:sz w:val="24"/>
        </w:rPr>
      </w:pPr>
      <w:r>
        <w:rPr>
          <w:rFonts w:hint="eastAsia" w:ascii="宋体" w:hAnsi="宋体" w:cs="宋体"/>
          <w:kern w:val="0"/>
          <w:sz w:val="24"/>
        </w:rPr>
        <w:t>本企业对上述声明内容的真实性负责。 如有虚假，将依法承担相应责任。</w:t>
      </w:r>
    </w:p>
    <w:p>
      <w:pPr>
        <w:widowControl/>
        <w:wordWrap w:val="0"/>
        <w:ind w:firstLine="480" w:firstLineChars="200"/>
        <w:jc w:val="right"/>
        <w:rPr>
          <w:rFonts w:ascii="宋体" w:hAnsi="宋体" w:cs="宋体"/>
          <w:kern w:val="0"/>
          <w:sz w:val="24"/>
        </w:rPr>
      </w:pPr>
    </w:p>
    <w:p>
      <w:pPr>
        <w:widowControl/>
        <w:wordWrap w:val="0"/>
        <w:ind w:firstLine="480" w:firstLineChars="200"/>
        <w:jc w:val="right"/>
        <w:rPr>
          <w:rFonts w:ascii="宋体" w:hAnsi="宋体" w:cs="宋体"/>
          <w:kern w:val="0"/>
          <w:sz w:val="24"/>
        </w:rPr>
      </w:pPr>
      <w:r>
        <w:rPr>
          <w:rFonts w:hint="eastAsia" w:ascii="宋体" w:hAnsi="宋体" w:cs="宋体"/>
          <w:kern w:val="0"/>
          <w:sz w:val="24"/>
        </w:rPr>
        <w:t>企业名称（盖章）：</w:t>
      </w:r>
    </w:p>
    <w:p>
      <w:pPr>
        <w:widowControl/>
        <w:wordWrap w:val="0"/>
        <w:ind w:firstLine="480" w:firstLineChars="200"/>
        <w:jc w:val="center"/>
        <w:rPr>
          <w:rFonts w:ascii="宋体" w:hAnsi="宋体" w:cs="宋体"/>
          <w:kern w:val="0"/>
          <w:sz w:val="24"/>
        </w:rPr>
      </w:pPr>
      <w:r>
        <w:rPr>
          <w:rFonts w:hint="eastAsia" w:ascii="宋体" w:hAnsi="宋体" w:cs="宋体"/>
          <w:kern w:val="0"/>
          <w:sz w:val="24"/>
        </w:rPr>
        <w:t>日 期：</w:t>
      </w:r>
    </w:p>
    <w:p>
      <w:pPr>
        <w:ind w:firstLine="480" w:firstLineChars="200"/>
        <w:rPr>
          <w:rFonts w:ascii="宋体" w:hAnsi="宋体" w:cs="宋体"/>
          <w:kern w:val="0"/>
          <w:sz w:val="24"/>
        </w:rPr>
      </w:pPr>
      <w:r>
        <w:rPr>
          <w:rFonts w:hint="eastAsia" w:ascii="宋体" w:hAnsi="宋体" w:cs="宋体"/>
          <w:kern w:val="0"/>
          <w:sz w:val="24"/>
          <w:vertAlign w:val="superscript"/>
        </w:rPr>
        <w:t>1</w:t>
      </w:r>
      <w:r>
        <w:rPr>
          <w:rFonts w:hint="eastAsia" w:ascii="宋体" w:hAnsi="宋体" w:cs="宋体"/>
          <w:kern w:val="0"/>
          <w:sz w:val="24"/>
        </w:rPr>
        <w:t>从业人员、 营业收入、 资产总额填报上一年度数据， 无上一年度数据的新成立企业可不填报。</w:t>
      </w:r>
    </w:p>
    <w:p>
      <w:pPr>
        <w:widowControl/>
        <w:ind w:left="120" w:hanging="120"/>
        <w:jc w:val="left"/>
        <w:rPr>
          <w:rFonts w:ascii="宋体" w:hAnsi="宋体" w:cs="宋体"/>
          <w:b/>
          <w:sz w:val="24"/>
        </w:rPr>
      </w:pPr>
      <w:r>
        <w:rPr>
          <w:rFonts w:hint="eastAsia" w:ascii="宋体" w:hAnsi="宋体" w:cs="宋体"/>
          <w:b/>
          <w:sz w:val="24"/>
        </w:rPr>
        <w:br w:type="page"/>
      </w:r>
    </w:p>
    <w:p>
      <w:pPr>
        <w:ind w:left="120" w:hanging="120"/>
        <w:jc w:val="center"/>
        <w:rPr>
          <w:rFonts w:ascii="宋体" w:hAnsi="宋体" w:cs="宋体"/>
          <w:b/>
          <w:sz w:val="24"/>
        </w:rPr>
      </w:pPr>
      <w:r>
        <w:rPr>
          <w:rFonts w:hint="eastAsia" w:ascii="宋体" w:hAnsi="宋体" w:cs="宋体"/>
          <w:b/>
          <w:sz w:val="24"/>
        </w:rPr>
        <w:t>监狱企业声明函</w:t>
      </w:r>
    </w:p>
    <w:p>
      <w:pPr>
        <w:ind w:left="120" w:hanging="120"/>
        <w:jc w:val="center"/>
        <w:rPr>
          <w:rFonts w:ascii="宋体" w:hAnsi="宋体" w:cs="宋体"/>
          <w:kern w:val="0"/>
          <w:sz w:val="24"/>
        </w:rPr>
      </w:pPr>
      <w:r>
        <w:rPr>
          <w:rFonts w:hint="eastAsia" w:ascii="宋体" w:hAnsi="宋体" w:cs="宋体"/>
          <w:kern w:val="0"/>
          <w:sz w:val="24"/>
        </w:rPr>
        <w:t>（监狱企业适用）</w:t>
      </w:r>
    </w:p>
    <w:p>
      <w:pPr>
        <w:ind w:firstLine="540" w:firstLineChars="225"/>
        <w:rPr>
          <w:rFonts w:ascii="宋体" w:hAnsi="宋体" w:cs="宋体"/>
          <w:kern w:val="0"/>
          <w:sz w:val="24"/>
        </w:rPr>
      </w:pPr>
      <w:r>
        <w:rPr>
          <w:rFonts w:hint="eastAsia" w:ascii="宋体" w:hAnsi="宋体" w:cs="宋体"/>
          <w:kern w:val="0"/>
          <w:sz w:val="24"/>
        </w:rPr>
        <w:t>本公司郑重声明，根据《关于政府采购支持监狱企业发展有关问题的通知》（财库[2014]68号）的规定，本公司为监狱企业。</w:t>
      </w:r>
    </w:p>
    <w:p>
      <w:pPr>
        <w:ind w:firstLine="540" w:firstLineChars="225"/>
        <w:rPr>
          <w:rFonts w:ascii="宋体" w:hAnsi="宋体" w:cs="宋体"/>
          <w:kern w:val="0"/>
          <w:sz w:val="24"/>
        </w:rPr>
      </w:pPr>
      <w:r>
        <w:rPr>
          <w:rFonts w:hint="eastAsia" w:ascii="宋体" w:hAnsi="宋体" w:cs="宋体"/>
          <w:kern w:val="0"/>
          <w:sz w:val="24"/>
        </w:rPr>
        <w:t>本公司参加______单位的______项目采购活动，采购活动提供本企业（填写制造的货物，由本企业承担工程、提供服务）。</w:t>
      </w:r>
    </w:p>
    <w:p>
      <w:pPr>
        <w:ind w:firstLine="540" w:firstLineChars="225"/>
        <w:rPr>
          <w:rFonts w:ascii="宋体" w:hAnsi="宋体" w:cs="宋体"/>
          <w:kern w:val="0"/>
          <w:sz w:val="24"/>
        </w:rPr>
      </w:pPr>
      <w:r>
        <w:rPr>
          <w:rFonts w:hint="eastAsia" w:ascii="宋体" w:hAnsi="宋体" w:cs="宋体"/>
          <w:kern w:val="0"/>
          <w:sz w:val="24"/>
        </w:rPr>
        <w:t>本条所称货物不包括使用大型企业注册商标的货物和服务。</w:t>
      </w:r>
    </w:p>
    <w:p>
      <w:pPr>
        <w:ind w:firstLine="540" w:firstLineChars="225"/>
        <w:rPr>
          <w:rFonts w:ascii="宋体" w:hAnsi="宋体" w:cs="宋体"/>
          <w:kern w:val="0"/>
          <w:sz w:val="24"/>
        </w:rPr>
      </w:pPr>
      <w:r>
        <w:rPr>
          <w:rFonts w:hint="eastAsia" w:ascii="宋体" w:hAnsi="宋体" w:cs="宋体"/>
          <w:kern w:val="0"/>
          <w:sz w:val="24"/>
        </w:rPr>
        <w:t>本公司对上述声明的真实性负责。如有虚假，将依法承担相应责任。</w:t>
      </w:r>
    </w:p>
    <w:p>
      <w:pPr>
        <w:ind w:firstLine="4860" w:firstLineChars="2025"/>
        <w:rPr>
          <w:rFonts w:ascii="宋体" w:hAnsi="宋体" w:cs="宋体"/>
          <w:kern w:val="0"/>
          <w:sz w:val="24"/>
        </w:rPr>
      </w:pPr>
    </w:p>
    <w:p>
      <w:pPr>
        <w:ind w:firstLine="4860" w:firstLineChars="2025"/>
        <w:rPr>
          <w:rFonts w:ascii="宋体" w:hAnsi="宋体" w:cs="宋体"/>
          <w:kern w:val="0"/>
          <w:sz w:val="24"/>
        </w:rPr>
      </w:pPr>
      <w:r>
        <w:rPr>
          <w:rFonts w:hint="eastAsia" w:ascii="宋体" w:hAnsi="宋体" w:cs="宋体"/>
          <w:kern w:val="0"/>
          <w:sz w:val="24"/>
        </w:rPr>
        <w:t>企业名称（加盖公章）：</w:t>
      </w:r>
    </w:p>
    <w:p>
      <w:pPr>
        <w:ind w:firstLine="4860" w:firstLineChars="2025"/>
        <w:rPr>
          <w:rFonts w:ascii="宋体" w:hAnsi="宋体" w:cs="宋体"/>
          <w:kern w:val="0"/>
          <w:sz w:val="24"/>
        </w:rPr>
      </w:pPr>
      <w:r>
        <w:rPr>
          <w:rFonts w:hint="eastAsia" w:ascii="宋体" w:hAnsi="宋体" w:cs="宋体"/>
          <w:kern w:val="0"/>
          <w:sz w:val="24"/>
        </w:rPr>
        <w:t>法定代表人（负责人）或其授权代表(签字)：</w:t>
      </w:r>
    </w:p>
    <w:p>
      <w:pPr>
        <w:tabs>
          <w:tab w:val="left" w:pos="2880"/>
        </w:tabs>
        <w:spacing w:line="460" w:lineRule="atLeast"/>
        <w:ind w:firstLine="4800" w:firstLineChars="2000"/>
        <w:rPr>
          <w:rFonts w:ascii="宋体" w:hAnsi="宋体" w:cs="宋体"/>
          <w:sz w:val="24"/>
        </w:rPr>
      </w:pPr>
      <w:r>
        <w:rPr>
          <w:rFonts w:hint="eastAsia" w:ascii="宋体" w:hAnsi="宋体" w:cs="宋体"/>
          <w:kern w:val="0"/>
          <w:sz w:val="24"/>
        </w:rPr>
        <w:t>日期：</w:t>
      </w:r>
    </w:p>
    <w:p>
      <w:pPr>
        <w:ind w:firstLine="480" w:firstLineChars="200"/>
        <w:rPr>
          <w:rFonts w:ascii="宋体" w:hAnsi="宋体" w:cs="宋体"/>
          <w:kern w:val="0"/>
          <w:sz w:val="24"/>
        </w:rPr>
      </w:pPr>
      <w:r>
        <w:rPr>
          <w:rFonts w:hint="eastAsia" w:ascii="宋体" w:hAnsi="宋体" w:cs="宋体"/>
          <w:kern w:val="0"/>
          <w:sz w:val="24"/>
        </w:rPr>
        <w:t>注：后附监狱企业资格证明文件</w:t>
      </w:r>
    </w:p>
    <w:p>
      <w:pPr>
        <w:spacing w:line="440" w:lineRule="exact"/>
        <w:ind w:left="120" w:hanging="120"/>
        <w:rPr>
          <w:rFonts w:ascii="宋体" w:hAnsi="宋体" w:cs="宋体"/>
          <w:sz w:val="24"/>
        </w:rPr>
      </w:pPr>
      <w:r>
        <w:rPr>
          <w:rFonts w:hint="eastAsia" w:ascii="宋体" w:hAnsi="宋体" w:cs="宋体"/>
          <w:sz w:val="24"/>
        </w:rPr>
        <w:t>1.省级以上监狱管理局、戒毒管理局（含新疆生产建设兵团）出具的属于监狱企业的证明文件；</w:t>
      </w:r>
    </w:p>
    <w:p>
      <w:pPr>
        <w:tabs>
          <w:tab w:val="left" w:pos="2880"/>
        </w:tabs>
        <w:spacing w:line="460" w:lineRule="atLeast"/>
        <w:ind w:firstLine="566" w:firstLineChars="236"/>
        <w:jc w:val="left"/>
        <w:rPr>
          <w:rFonts w:ascii="宋体" w:hAnsi="宋体" w:cs="宋体"/>
          <w:b/>
          <w:kern w:val="0"/>
          <w:sz w:val="24"/>
        </w:rPr>
      </w:pPr>
      <w:r>
        <w:rPr>
          <w:rFonts w:hint="eastAsia" w:ascii="宋体" w:hAnsi="宋体" w:cs="宋体"/>
          <w:sz w:val="24"/>
        </w:rPr>
        <w:t>2.证明材料加盖供应商公章。</w:t>
      </w:r>
    </w:p>
    <w:p>
      <w:pPr>
        <w:ind w:left="120" w:hanging="120"/>
        <w:rPr>
          <w:rFonts w:ascii="宋体" w:hAnsi="宋体" w:cs="宋体"/>
          <w:kern w:val="0"/>
          <w:sz w:val="24"/>
        </w:rPr>
      </w:pPr>
      <w:r>
        <w:rPr>
          <w:rFonts w:hint="eastAsia" w:ascii="宋体" w:hAnsi="宋体" w:cs="宋体"/>
          <w:kern w:val="0"/>
          <w:sz w:val="24"/>
        </w:rPr>
        <w:t xml:space="preserve">（若响应性文件中无上述证明文件，则在评审时不考虑对该监狱企业的相关优惠。） </w:t>
      </w:r>
    </w:p>
    <w:p>
      <w:pPr>
        <w:widowControl/>
        <w:ind w:left="120" w:hanging="120"/>
        <w:jc w:val="left"/>
        <w:rPr>
          <w:rFonts w:ascii="宋体" w:hAnsi="宋体" w:cs="宋体"/>
          <w:b/>
          <w:sz w:val="24"/>
        </w:rPr>
      </w:pPr>
      <w:r>
        <w:rPr>
          <w:rFonts w:hint="eastAsia" w:ascii="宋体" w:hAnsi="宋体" w:cs="宋体"/>
          <w:b/>
          <w:sz w:val="24"/>
        </w:rPr>
        <w:br w:type="page"/>
      </w:r>
    </w:p>
    <w:p>
      <w:pPr>
        <w:ind w:left="120" w:hanging="120"/>
        <w:jc w:val="center"/>
        <w:rPr>
          <w:rFonts w:ascii="宋体" w:hAnsi="宋体" w:cs="宋体"/>
          <w:b/>
          <w:sz w:val="24"/>
        </w:rPr>
      </w:pPr>
      <w:r>
        <w:rPr>
          <w:rFonts w:hint="eastAsia" w:ascii="宋体" w:hAnsi="宋体" w:cs="宋体"/>
          <w:b/>
          <w:sz w:val="24"/>
        </w:rPr>
        <w:t>残疾人福利性单位声明函</w:t>
      </w:r>
    </w:p>
    <w:p>
      <w:pPr>
        <w:autoSpaceDE w:val="0"/>
        <w:autoSpaceDN w:val="0"/>
        <w:adjustRightInd w:val="0"/>
        <w:spacing w:line="440" w:lineRule="exact"/>
        <w:ind w:left="126" w:hanging="126"/>
        <w:rPr>
          <w:rFonts w:ascii="宋体" w:hAnsi="宋体" w:cs="宋体"/>
          <w:b/>
          <w:bCs/>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 xml:space="preserve">                                      日  期：</w:t>
      </w:r>
    </w:p>
    <w:p>
      <w:pPr>
        <w:spacing w:line="460" w:lineRule="atLeast"/>
        <w:ind w:left="151" w:hanging="151"/>
        <w:jc w:val="center"/>
        <w:rPr>
          <w:rFonts w:ascii="宋体" w:hAnsi="宋体" w:cs="宋体"/>
          <w:b/>
          <w:sz w:val="30"/>
          <w:szCs w:val="30"/>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05" w:leftChars="-50" w:firstLine="0" w:firstLineChars="0"/>
        <w:jc w:val="center"/>
        <w:rPr>
          <w:rFonts w:ascii="宋体" w:hAnsi="宋体" w:cs="宋体"/>
          <w:b/>
          <w:sz w:val="24"/>
        </w:rPr>
      </w:pPr>
      <w:r>
        <w:rPr>
          <w:rFonts w:hint="eastAsia" w:ascii="宋体" w:hAnsi="宋体" w:cs="宋体"/>
          <w:b/>
          <w:sz w:val="24"/>
        </w:rPr>
        <w:br w:type="page"/>
      </w:r>
    </w:p>
    <w:p>
      <w:pPr>
        <w:ind w:left="-105" w:leftChars="-50" w:firstLine="0" w:firstLineChars="0"/>
        <w:jc w:val="center"/>
        <w:rPr>
          <w:rFonts w:ascii="宋体" w:hAnsi="宋体" w:cs="宋体"/>
          <w:b/>
          <w:sz w:val="24"/>
        </w:rPr>
      </w:pPr>
      <w:r>
        <w:rPr>
          <w:rFonts w:hint="eastAsia" w:ascii="宋体" w:hAnsi="宋体" w:cs="宋体"/>
          <w:b/>
          <w:sz w:val="24"/>
        </w:rPr>
        <w:t>15、其他必要的材料及有利于投标的材料</w:t>
      </w:r>
    </w:p>
    <w:p>
      <w:pPr>
        <w:ind w:left="-105" w:leftChars="-50" w:firstLine="0" w:firstLineChars="0"/>
        <w:jc w:val="center"/>
        <w:rPr>
          <w:rFonts w:ascii="宋体" w:hAnsi="宋体" w:cs="宋体"/>
          <w:b/>
          <w:sz w:val="24"/>
        </w:rPr>
      </w:pPr>
    </w:p>
    <w:p>
      <w:pPr>
        <w:pStyle w:val="5"/>
        <w:ind w:firstLine="482"/>
        <w:rPr>
          <w:rFonts w:ascii="宋体" w:hAnsi="宋体" w:cs="宋体"/>
          <w:b/>
        </w:rPr>
      </w:pPr>
    </w:p>
    <w:p>
      <w:pPr>
        <w:ind w:left="120" w:hanging="120"/>
        <w:rPr>
          <w:rFonts w:ascii="宋体" w:hAnsi="宋体" w:cs="宋体"/>
          <w:b/>
          <w:sz w:val="24"/>
        </w:rPr>
      </w:pPr>
    </w:p>
    <w:p>
      <w:pPr>
        <w:pStyle w:val="5"/>
        <w:ind w:firstLine="482"/>
        <w:jc w:val="center"/>
        <w:rPr>
          <w:rFonts w:ascii="宋体" w:hAnsi="宋体" w:cs="宋体"/>
          <w:b/>
        </w:rPr>
      </w:pPr>
      <w:r>
        <w:rPr>
          <w:rFonts w:hint="eastAsia" w:ascii="宋体" w:hAnsi="宋体" w:cs="宋体"/>
          <w:b/>
        </w:rPr>
        <w:t>16、供应商反商业贿赂承诺书</w:t>
      </w:r>
    </w:p>
    <w:p>
      <w:pPr>
        <w:ind w:left="105" w:hanging="105"/>
        <w:rPr>
          <w:rFonts w:ascii="宋体" w:hAnsi="宋体" w:cs="宋体"/>
        </w:rPr>
      </w:pPr>
    </w:p>
    <w:p>
      <w:pPr>
        <w:pStyle w:val="5"/>
        <w:ind w:firstLine="480"/>
        <w:rPr>
          <w:rFonts w:ascii="宋体" w:hAnsi="宋体" w:cs="宋体"/>
        </w:rPr>
      </w:pPr>
    </w:p>
    <w:p>
      <w:pPr>
        <w:ind w:left="105" w:hanging="105"/>
        <w:rPr>
          <w:rFonts w:ascii="宋体" w:hAnsi="宋体" w:cs="宋体"/>
        </w:rPr>
      </w:pPr>
    </w:p>
    <w:p>
      <w:pPr>
        <w:ind w:left="0" w:firstLine="0" w:firstLineChars="0"/>
        <w:jc w:val="center"/>
        <w:rPr>
          <w:rFonts w:ascii="宋体" w:hAnsi="宋体" w:cs="宋体"/>
          <w:b/>
          <w:sz w:val="24"/>
        </w:rPr>
      </w:pPr>
      <w:r>
        <w:rPr>
          <w:rFonts w:hint="eastAsia" w:ascii="宋体" w:hAnsi="宋体" w:cs="宋体"/>
          <w:b/>
          <w:sz w:val="24"/>
        </w:rPr>
        <w:t>17、不参与围标串标承诺书</w:t>
      </w:r>
    </w:p>
    <w:p>
      <w:pPr>
        <w:ind w:left="120" w:hanging="120"/>
        <w:jc w:val="left"/>
        <w:rPr>
          <w:rFonts w:ascii="宋体" w:hAnsi="宋体" w:cs="宋体"/>
          <w:sz w:val="24"/>
        </w:rPr>
      </w:pPr>
      <w:r>
        <w:rPr>
          <w:rFonts w:hint="eastAsia" w:ascii="宋体" w:hAnsi="宋体" w:cs="宋体"/>
          <w:sz w:val="24"/>
        </w:rPr>
        <w:t xml:space="preserve">      我公司在参与项目招投标过程中，自觉遵守《中华人民共和国政府采购法》和《中华人民共和国政府采购实施条例》以及自治区、地、市、县招标投标管理的有关规定。就本次投标，我公司郑重承诺如下：</w:t>
      </w:r>
    </w:p>
    <w:p>
      <w:pPr>
        <w:ind w:left="120" w:hanging="120"/>
        <w:jc w:val="left"/>
        <w:rPr>
          <w:rFonts w:ascii="宋体" w:hAnsi="宋体" w:cs="宋体"/>
          <w:sz w:val="24"/>
        </w:rPr>
      </w:pPr>
      <w:r>
        <w:rPr>
          <w:rFonts w:hint="eastAsia" w:ascii="宋体" w:hAnsi="宋体" w:cs="宋体"/>
          <w:sz w:val="24"/>
        </w:rPr>
        <w:t>（一）不与其他供应商存在任何关联关系；</w:t>
      </w:r>
    </w:p>
    <w:p>
      <w:pPr>
        <w:ind w:left="120" w:hanging="120"/>
        <w:jc w:val="left"/>
        <w:rPr>
          <w:rFonts w:ascii="宋体" w:hAnsi="宋体" w:cs="宋体"/>
          <w:sz w:val="24"/>
        </w:rPr>
      </w:pPr>
      <w:r>
        <w:rPr>
          <w:rFonts w:hint="eastAsia" w:ascii="宋体" w:hAnsi="宋体" w:cs="宋体"/>
          <w:sz w:val="24"/>
        </w:rPr>
        <w:t>（二）不组织、不参与任何串通投标的行为；</w:t>
      </w:r>
    </w:p>
    <w:p>
      <w:pPr>
        <w:ind w:left="120" w:hanging="120"/>
        <w:jc w:val="left"/>
        <w:rPr>
          <w:rFonts w:ascii="宋体" w:hAnsi="宋体" w:cs="宋体"/>
          <w:sz w:val="24"/>
        </w:rPr>
      </w:pPr>
      <w:r>
        <w:rPr>
          <w:rFonts w:hint="eastAsia" w:ascii="宋体" w:hAnsi="宋体" w:cs="宋体"/>
          <w:sz w:val="24"/>
        </w:rPr>
        <w:t>（三）不以他人名义投标，不组织、不参与以其他弄虚作假的方式参加投标的行为；</w:t>
      </w:r>
    </w:p>
    <w:p>
      <w:pPr>
        <w:ind w:left="120" w:hanging="120"/>
        <w:jc w:val="left"/>
        <w:rPr>
          <w:rFonts w:ascii="宋体" w:hAnsi="宋体" w:cs="宋体"/>
          <w:sz w:val="24"/>
        </w:rPr>
      </w:pPr>
      <w:r>
        <w:rPr>
          <w:rFonts w:hint="eastAsia" w:ascii="宋体" w:hAnsi="宋体" w:cs="宋体"/>
          <w:sz w:val="24"/>
        </w:rPr>
        <w:t>（四）不出让或出租资格、资质证书参加投标，不组织、不参与类似违法违规行为。</w:t>
      </w:r>
    </w:p>
    <w:p>
      <w:pPr>
        <w:ind w:left="120" w:hanging="120"/>
        <w:jc w:val="left"/>
        <w:rPr>
          <w:rFonts w:ascii="宋体" w:hAnsi="宋体" w:cs="宋体"/>
          <w:sz w:val="24"/>
        </w:rPr>
      </w:pPr>
      <w:r>
        <w:rPr>
          <w:rFonts w:hint="eastAsia" w:ascii="宋体" w:hAnsi="宋体" w:cs="宋体"/>
          <w:sz w:val="24"/>
        </w:rPr>
        <w:t>（五）积极主动检举、揭发和配合相关部门调查串通投标等违法违规行为。</w:t>
      </w:r>
    </w:p>
    <w:p>
      <w:pPr>
        <w:ind w:left="120" w:hanging="120"/>
        <w:jc w:val="left"/>
        <w:rPr>
          <w:rFonts w:ascii="宋体" w:hAnsi="宋体" w:cs="宋体"/>
          <w:sz w:val="24"/>
        </w:rPr>
      </w:pPr>
      <w:r>
        <w:rPr>
          <w:rFonts w:hint="eastAsia" w:ascii="宋体" w:hAnsi="宋体" w:cs="宋体"/>
          <w:sz w:val="24"/>
        </w:rPr>
        <w:t>我公司对以上承诺内容的真实性和履约性负责，如有违诺，自愿承担一切违法违规后果。</w:t>
      </w:r>
    </w:p>
    <w:p>
      <w:pPr>
        <w:ind w:left="239" w:leftChars="114" w:firstLine="360" w:firstLineChars="150"/>
        <w:jc w:val="left"/>
        <w:rPr>
          <w:rFonts w:ascii="宋体" w:hAnsi="宋体" w:cs="宋体"/>
          <w:sz w:val="24"/>
        </w:rPr>
      </w:pPr>
      <w:r>
        <w:rPr>
          <w:rFonts w:hint="eastAsia" w:ascii="宋体" w:hAnsi="宋体" w:cs="宋体"/>
          <w:sz w:val="24"/>
        </w:rPr>
        <w:t>特此承诺。</w:t>
      </w:r>
    </w:p>
    <w:p>
      <w:pPr>
        <w:ind w:left="120" w:hanging="120"/>
        <w:jc w:val="right"/>
        <w:rPr>
          <w:rFonts w:ascii="宋体" w:hAnsi="宋体" w:cs="宋体"/>
          <w:sz w:val="24"/>
        </w:rPr>
      </w:pPr>
    </w:p>
    <w:p>
      <w:pPr>
        <w:ind w:left="120" w:hanging="120"/>
        <w:jc w:val="right"/>
        <w:rPr>
          <w:rFonts w:ascii="宋体" w:hAnsi="宋体" w:cs="宋体"/>
          <w:sz w:val="24"/>
        </w:rPr>
      </w:pPr>
    </w:p>
    <w:p>
      <w:pPr>
        <w:ind w:left="120" w:hanging="120"/>
        <w:jc w:val="right"/>
        <w:rPr>
          <w:rFonts w:ascii="宋体" w:hAnsi="宋体" w:cs="宋体"/>
          <w:sz w:val="24"/>
        </w:rPr>
      </w:pPr>
      <w:r>
        <w:rPr>
          <w:rFonts w:hint="eastAsia" w:ascii="宋体" w:hAnsi="宋体" w:cs="宋体"/>
          <w:sz w:val="24"/>
        </w:rPr>
        <w:t>供应商（公章）</w:t>
      </w:r>
    </w:p>
    <w:p>
      <w:pPr>
        <w:ind w:left="120" w:hanging="120"/>
        <w:jc w:val="right"/>
        <w:rPr>
          <w:rFonts w:ascii="宋体" w:hAnsi="宋体" w:cs="宋体"/>
          <w:sz w:val="24"/>
        </w:rPr>
      </w:pPr>
      <w:r>
        <w:rPr>
          <w:rFonts w:hint="eastAsia" w:ascii="宋体" w:hAnsi="宋体" w:cs="宋体"/>
          <w:sz w:val="24"/>
        </w:rPr>
        <w:t>法定代表人（签字或盖章）</w:t>
      </w:r>
    </w:p>
    <w:p>
      <w:pPr>
        <w:spacing w:line="640" w:lineRule="exact"/>
        <w:ind w:left="120" w:hanging="120"/>
        <w:jc w:val="center"/>
        <w:rPr>
          <w:rFonts w:ascii="宋体" w:hAnsi="宋体" w:cs="宋体"/>
          <w:sz w:val="24"/>
        </w:rPr>
      </w:pPr>
      <w:r>
        <w:rPr>
          <w:rFonts w:hint="eastAsia" w:ascii="宋体" w:hAnsi="宋体" w:cs="宋体"/>
          <w:sz w:val="24"/>
        </w:rPr>
        <w:t xml:space="preserve">                                                            日 期:  </w:t>
      </w: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p>
    <w:p>
      <w:pPr>
        <w:ind w:left="120" w:hanging="120"/>
        <w:jc w:val="center"/>
        <w:rPr>
          <w:rFonts w:ascii="宋体" w:hAnsi="宋体" w:cs="宋体"/>
          <w:b/>
          <w:sz w:val="24"/>
        </w:rPr>
      </w:pPr>
      <w:r>
        <w:rPr>
          <w:rFonts w:hint="eastAsia" w:ascii="宋体" w:hAnsi="宋体" w:cs="宋体"/>
          <w:b/>
          <w:sz w:val="24"/>
        </w:rPr>
        <w:t>18、提供材料真实性承诺书</w:t>
      </w:r>
    </w:p>
    <w:p>
      <w:pPr>
        <w:pStyle w:val="172"/>
        <w:spacing w:before="312"/>
        <w:jc w:val="both"/>
        <w:rPr>
          <w:rStyle w:val="173"/>
          <w:rFonts w:ascii="宋体" w:hAnsi="宋体" w:cs="宋体"/>
          <w:kern w:val="0"/>
        </w:rPr>
      </w:pPr>
      <w:r>
        <w:rPr>
          <w:rStyle w:val="173"/>
          <w:rFonts w:hint="eastAsia" w:ascii="宋体" w:hAnsi="宋体" w:cs="宋体"/>
          <w:kern w:val="0"/>
          <w:u w:val="single"/>
        </w:rPr>
        <w:t xml:space="preserve">         （采购人名称）         </w:t>
      </w:r>
      <w:r>
        <w:rPr>
          <w:rStyle w:val="173"/>
          <w:rFonts w:hint="eastAsia" w:ascii="宋体" w:hAnsi="宋体" w:cs="宋体"/>
          <w:kern w:val="0"/>
        </w:rPr>
        <w:t xml:space="preserve">: </w:t>
      </w:r>
    </w:p>
    <w:p>
      <w:pPr>
        <w:pStyle w:val="170"/>
        <w:autoSpaceDE w:val="0"/>
        <w:spacing w:line="440" w:lineRule="exact"/>
        <w:ind w:firstLine="420" w:firstLineChars="200"/>
        <w:rPr>
          <w:rStyle w:val="173"/>
          <w:rFonts w:ascii="宋体" w:hAnsi="宋体" w:cs="宋体"/>
          <w:kern w:val="0"/>
          <w:szCs w:val="22"/>
        </w:rPr>
      </w:pPr>
      <w:r>
        <w:rPr>
          <w:rStyle w:val="173"/>
          <w:rFonts w:hint="eastAsia" w:ascii="宋体" w:hAnsi="宋体" w:cs="宋体"/>
          <w:kern w:val="0"/>
        </w:rPr>
        <w:t>鉴于</w:t>
      </w:r>
      <w:r>
        <w:rPr>
          <w:rStyle w:val="173"/>
          <w:rFonts w:hint="eastAsia" w:ascii="宋体" w:hAnsi="宋体" w:cs="宋体"/>
          <w:kern w:val="0"/>
          <w:u w:val="single"/>
        </w:rPr>
        <w:t xml:space="preserve">        （供应商名称）          </w:t>
      </w:r>
      <w:r>
        <w:rPr>
          <w:rStyle w:val="173"/>
          <w:rFonts w:hint="eastAsia" w:ascii="宋体" w:hAnsi="宋体" w:cs="宋体"/>
          <w:kern w:val="0"/>
        </w:rPr>
        <w:t>（以下称“我方”）于年＿月＿日参加</w:t>
      </w:r>
      <w:r>
        <w:rPr>
          <w:rStyle w:val="173"/>
          <w:rFonts w:hint="eastAsia" w:ascii="宋体" w:hAnsi="宋体" w:cs="宋体"/>
          <w:kern w:val="0"/>
          <w:u w:val="single"/>
        </w:rPr>
        <w:t xml:space="preserve">           （项目名称）           </w:t>
      </w:r>
      <w:r>
        <w:rPr>
          <w:rStyle w:val="173"/>
          <w:rFonts w:hint="eastAsia" w:ascii="宋体" w:hAnsi="宋体" w:cs="宋体"/>
          <w:kern w:val="0"/>
        </w:rPr>
        <w:t>标段的投标，我方在响应文件中提供的企业资质、各类证书、业绩材料</w:t>
      </w:r>
      <w:r>
        <w:rPr>
          <w:rStyle w:val="173"/>
          <w:rFonts w:hint="eastAsia" w:ascii="宋体" w:hAnsi="宋体" w:cs="宋体"/>
          <w:kern w:val="0"/>
          <w:szCs w:val="22"/>
        </w:rPr>
        <w:t>、近年财务状况等资料的原件或复印件的真实性、合法性、有效性做保证，绝无弄虚作假。我方如被查实在本项目招标投标活动中提交的材料存在弄虚作假行为，本人承担直接责任人员法律责任，接受相应行政处罚和失信惩戒并同意将递交的磋商保证金没收。</w:t>
      </w:r>
    </w:p>
    <w:p>
      <w:pPr>
        <w:pStyle w:val="172"/>
        <w:adjustRightInd w:val="0"/>
        <w:spacing w:before="312"/>
        <w:ind w:firstLine="3755" w:firstLineChars="1700"/>
        <w:jc w:val="both"/>
        <w:textAlignment w:val="baseline"/>
        <w:rPr>
          <w:rStyle w:val="173"/>
          <w:rFonts w:ascii="宋体" w:hAnsi="宋体" w:cs="宋体"/>
          <w:sz w:val="22"/>
          <w:szCs w:val="22"/>
          <w:u w:val="single"/>
        </w:rPr>
      </w:pPr>
      <w:r>
        <w:rPr>
          <w:rStyle w:val="173"/>
          <w:rFonts w:hint="eastAsia" w:ascii="宋体" w:hAnsi="宋体" w:cs="宋体"/>
          <w:sz w:val="22"/>
          <w:szCs w:val="22"/>
        </w:rPr>
        <w:t>承诺人：（企业名称）</w:t>
      </w:r>
    </w:p>
    <w:p>
      <w:pPr>
        <w:pStyle w:val="172"/>
        <w:adjustRightInd w:val="0"/>
        <w:spacing w:before="312"/>
        <w:jc w:val="both"/>
        <w:textAlignment w:val="baseline"/>
        <w:rPr>
          <w:rStyle w:val="173"/>
          <w:rFonts w:ascii="宋体" w:hAnsi="宋体" w:cs="宋体"/>
          <w:sz w:val="22"/>
          <w:szCs w:val="22"/>
        </w:rPr>
      </w:pPr>
      <w:r>
        <w:rPr>
          <w:rStyle w:val="173"/>
          <w:rFonts w:hint="eastAsia" w:ascii="宋体" w:hAnsi="宋体" w:cs="宋体"/>
          <w:sz w:val="22"/>
          <w:szCs w:val="22"/>
        </w:rPr>
        <w:t xml:space="preserve">                                 法定代表人或授权委托人：（签字或盖章）</w:t>
      </w:r>
    </w:p>
    <w:p>
      <w:pPr>
        <w:pStyle w:val="172"/>
        <w:adjustRightInd w:val="0"/>
        <w:spacing w:before="312"/>
        <w:jc w:val="both"/>
        <w:textAlignment w:val="baseline"/>
        <w:rPr>
          <w:rStyle w:val="173"/>
          <w:rFonts w:ascii="宋体" w:hAnsi="宋体" w:cs="宋体"/>
          <w:sz w:val="22"/>
          <w:szCs w:val="22"/>
          <w:u w:val="single"/>
        </w:rPr>
      </w:pPr>
      <w:r>
        <w:rPr>
          <w:rStyle w:val="173"/>
          <w:rFonts w:hint="eastAsia" w:ascii="宋体" w:hAnsi="宋体" w:cs="宋体"/>
          <w:sz w:val="22"/>
          <w:szCs w:val="22"/>
        </w:rPr>
        <w:t xml:space="preserve">                                  联系电话：</w:t>
      </w:r>
    </w:p>
    <w:p>
      <w:pPr>
        <w:autoSpaceDE w:val="0"/>
        <w:autoSpaceDN w:val="0"/>
        <w:spacing w:line="440" w:lineRule="exact"/>
        <w:ind w:firstLine="880" w:firstLineChars="400"/>
        <w:jc w:val="right"/>
        <w:rPr>
          <w:rStyle w:val="173"/>
          <w:rFonts w:ascii="宋体" w:hAnsi="宋体" w:cs="宋体"/>
          <w:sz w:val="22"/>
          <w:szCs w:val="22"/>
        </w:rPr>
      </w:pPr>
      <w:r>
        <w:rPr>
          <w:rStyle w:val="173"/>
          <w:rFonts w:hint="eastAsia" w:ascii="宋体" w:hAnsi="宋体" w:cs="宋体"/>
          <w:sz w:val="22"/>
          <w:szCs w:val="22"/>
        </w:rPr>
        <w:t>年    月    日</w:t>
      </w:r>
    </w:p>
    <w:p>
      <w:pPr>
        <w:ind w:left="-105" w:leftChars="-50" w:firstLine="0" w:firstLineChars="0"/>
        <w:rPr>
          <w:rFonts w:ascii="宋体" w:hAnsi="宋体" w:cs="宋体"/>
          <w:b/>
          <w:sz w:val="24"/>
        </w:rPr>
      </w:pPr>
    </w:p>
    <w:p>
      <w:pPr>
        <w:ind w:left="-105" w:leftChars="-50" w:firstLine="0" w:firstLineChars="0"/>
        <w:rPr>
          <w:rFonts w:ascii="宋体" w:hAnsi="宋体" w:cs="宋体"/>
          <w:b/>
          <w:sz w:val="24"/>
        </w:rPr>
      </w:pPr>
    </w:p>
    <w:p>
      <w:pPr>
        <w:ind w:left="-105" w:leftChars="-50" w:firstLine="0" w:firstLineChars="0"/>
        <w:rPr>
          <w:rFonts w:ascii="宋体" w:hAnsi="宋体" w:cs="宋体"/>
          <w:b/>
          <w:sz w:val="24"/>
        </w:rPr>
      </w:pPr>
    </w:p>
    <w:p>
      <w:pPr>
        <w:pStyle w:val="5"/>
        <w:ind w:left="420" w:leftChars="200" w:firstLine="0" w:firstLineChars="0"/>
        <w:jc w:val="center"/>
        <w:rPr>
          <w:rFonts w:ascii="宋体" w:hAnsi="宋体" w:cs="宋体"/>
          <w:b/>
        </w:rPr>
      </w:pPr>
    </w:p>
    <w:p>
      <w:pPr>
        <w:ind w:left="105" w:hanging="105"/>
        <w:rPr>
          <w:rFonts w:ascii="宋体" w:hAnsi="宋体" w:cs="宋体"/>
          <w:b/>
        </w:rPr>
      </w:pPr>
    </w:p>
    <w:p>
      <w:pPr>
        <w:pStyle w:val="6"/>
        <w:ind w:left="161" w:hanging="161"/>
        <w:rPr>
          <w:rFonts w:ascii="宋体" w:hAnsi="宋体" w:cs="宋体"/>
        </w:rPr>
      </w:pPr>
    </w:p>
    <w:p>
      <w:pPr>
        <w:ind w:left="105" w:hanging="105"/>
        <w:rPr>
          <w:rFonts w:ascii="宋体" w:hAnsi="宋体" w:cs="宋体"/>
          <w:b/>
        </w:rPr>
      </w:pPr>
    </w:p>
    <w:p>
      <w:pPr>
        <w:pStyle w:val="6"/>
        <w:ind w:left="161" w:hanging="161"/>
        <w:rPr>
          <w:rFonts w:ascii="宋体" w:hAnsi="宋体" w:cs="宋体"/>
        </w:rPr>
      </w:pPr>
    </w:p>
    <w:p>
      <w:pPr>
        <w:ind w:left="105" w:hanging="105"/>
        <w:rPr>
          <w:rFonts w:ascii="宋体" w:hAnsi="宋体" w:cs="宋体"/>
          <w:b/>
        </w:rPr>
      </w:pPr>
    </w:p>
    <w:p>
      <w:pPr>
        <w:pStyle w:val="5"/>
        <w:ind w:left="0" w:firstLine="0" w:firstLineChars="0"/>
        <w:rPr>
          <w:rFonts w:ascii="宋体" w:hAnsi="宋体" w:cs="宋体"/>
          <w:b/>
        </w:rPr>
      </w:pPr>
    </w:p>
    <w:p>
      <w:pPr>
        <w:ind w:left="105" w:hanging="105"/>
        <w:rPr>
          <w:rFonts w:ascii="宋体" w:hAnsi="宋体" w:cs="宋体"/>
          <w:b/>
        </w:rPr>
      </w:pPr>
    </w:p>
    <w:p>
      <w:pPr>
        <w:pStyle w:val="6"/>
        <w:ind w:left="161" w:hanging="161"/>
        <w:rPr>
          <w:rFonts w:ascii="宋体" w:hAnsi="宋体" w:cs="宋体"/>
        </w:rPr>
      </w:pPr>
    </w:p>
    <w:p>
      <w:pPr>
        <w:pStyle w:val="5"/>
        <w:numPr>
          <w:ilvl w:val="0"/>
          <w:numId w:val="14"/>
        </w:numPr>
        <w:ind w:left="420" w:leftChars="200" w:firstLine="0" w:firstLineChars="0"/>
        <w:jc w:val="center"/>
        <w:rPr>
          <w:rFonts w:ascii="宋体" w:hAnsi="宋体" w:cs="宋体"/>
          <w:b/>
        </w:rPr>
      </w:pPr>
      <w:r>
        <w:rPr>
          <w:rFonts w:hint="eastAsia" w:ascii="宋体" w:hAnsi="宋体" w:cs="宋体"/>
          <w:b/>
        </w:rPr>
        <w:t>完税证明</w:t>
      </w:r>
    </w:p>
    <w:p>
      <w:pPr>
        <w:ind w:left="0" w:firstLine="420" w:firstLineChars="200"/>
        <w:rPr>
          <w:rFonts w:ascii="宋体" w:hAnsi="宋体" w:cs="宋体"/>
        </w:rPr>
      </w:pPr>
      <w:r>
        <w:rPr>
          <w:rFonts w:hint="eastAsia" w:ascii="宋体" w:hAnsi="宋体" w:cs="宋体"/>
        </w:rPr>
        <w:t>开标日前6个月内任意一月缴纳税收的凭证复印件（如果是新成立公司，按实际发生提供；按季度缴纳或按月缴纳，以实际发生提供；若无税款发生，则提供情况说明）；缴纳凭证须清晰可辨，并能显示出税种种类，单位代扣代缴的个人所得税不能作为单位纳税的凭证；依法免税的供应商，应提供相应文件证明其依法免税。</w:t>
      </w:r>
    </w:p>
    <w:p>
      <w:pPr>
        <w:pStyle w:val="6"/>
        <w:ind w:left="161" w:hanging="161"/>
        <w:rPr>
          <w:rFonts w:ascii="宋体" w:hAnsi="宋体" w:cs="宋体"/>
        </w:rPr>
      </w:pPr>
    </w:p>
    <w:p>
      <w:pPr>
        <w:widowControl/>
        <w:spacing w:line="240" w:lineRule="auto"/>
        <w:ind w:left="120" w:hanging="120"/>
        <w:jc w:val="center"/>
        <w:outlineLvl w:val="2"/>
        <w:rPr>
          <w:rFonts w:ascii="宋体" w:hAnsi="宋体" w:cs="宋体"/>
          <w:b/>
          <w:sz w:val="24"/>
        </w:rPr>
      </w:pPr>
      <w:r>
        <w:rPr>
          <w:rFonts w:hint="eastAsia" w:ascii="宋体" w:hAnsi="宋体" w:cs="宋体"/>
          <w:b/>
          <w:sz w:val="24"/>
        </w:rPr>
        <w:br w:type="page"/>
      </w:r>
    </w:p>
    <w:p>
      <w:pPr>
        <w:widowControl/>
        <w:spacing w:line="240" w:lineRule="auto"/>
        <w:ind w:left="120" w:hanging="120"/>
        <w:jc w:val="center"/>
        <w:outlineLvl w:val="2"/>
        <w:rPr>
          <w:rFonts w:ascii="宋体" w:hAnsi="宋体" w:cs="宋体"/>
          <w:b/>
          <w:bCs/>
          <w:kern w:val="0"/>
          <w:sz w:val="24"/>
        </w:rPr>
      </w:pPr>
      <w:bookmarkStart w:id="303" w:name="_Toc80113568"/>
      <w:r>
        <w:rPr>
          <w:rFonts w:hint="eastAsia" w:ascii="宋体" w:hAnsi="宋体" w:cs="宋体"/>
          <w:b/>
          <w:sz w:val="24"/>
        </w:rPr>
        <w:t>20、</w:t>
      </w:r>
      <w:bookmarkStart w:id="304" w:name="_Toc5017"/>
      <w:r>
        <w:rPr>
          <w:rFonts w:hint="eastAsia" w:ascii="宋体" w:hAnsi="宋体" w:cs="宋体"/>
          <w:b/>
          <w:bCs/>
          <w:kern w:val="0"/>
          <w:sz w:val="24"/>
        </w:rPr>
        <w:t xml:space="preserve"> 服务</w:t>
      </w:r>
      <w:bookmarkEnd w:id="304"/>
      <w:r>
        <w:rPr>
          <w:rFonts w:hint="eastAsia" w:ascii="宋体" w:hAnsi="宋体" w:cs="宋体"/>
          <w:b/>
          <w:bCs/>
          <w:kern w:val="0"/>
          <w:sz w:val="24"/>
        </w:rPr>
        <w:t>承诺书</w:t>
      </w:r>
      <w:bookmarkEnd w:id="303"/>
    </w:p>
    <w:p>
      <w:pPr>
        <w:ind w:left="120" w:hanging="120"/>
        <w:jc w:val="left"/>
        <w:rPr>
          <w:rFonts w:ascii="宋体" w:hAnsi="宋体" w:cs="宋体"/>
          <w:sz w:val="24"/>
        </w:rPr>
      </w:pPr>
    </w:p>
    <w:p>
      <w:pPr>
        <w:ind w:left="120" w:hanging="120"/>
        <w:jc w:val="left"/>
        <w:rPr>
          <w:rFonts w:ascii="宋体" w:hAnsi="宋体" w:cs="宋体"/>
          <w:sz w:val="24"/>
        </w:rPr>
      </w:pPr>
      <w:r>
        <w:rPr>
          <w:rFonts w:hint="eastAsia" w:ascii="宋体" w:hAnsi="宋体" w:cs="宋体"/>
          <w:sz w:val="24"/>
        </w:rPr>
        <w:t>致：</w:t>
      </w:r>
      <w:r>
        <w:rPr>
          <w:rFonts w:hint="eastAsia" w:ascii="宋体" w:hAnsi="宋体" w:cs="宋体"/>
          <w:sz w:val="24"/>
          <w:u w:val="single"/>
        </w:rPr>
        <w:t>（采购人）</w:t>
      </w:r>
    </w:p>
    <w:p>
      <w:pPr>
        <w:ind w:left="120" w:hanging="120"/>
        <w:jc w:val="left"/>
        <w:rPr>
          <w:rFonts w:ascii="宋体" w:hAnsi="宋体" w:cs="宋体"/>
        </w:rPr>
      </w:pPr>
      <w:r>
        <w:rPr>
          <w:rFonts w:hint="eastAsia" w:ascii="宋体" w:hAnsi="宋体" w:cs="宋体"/>
          <w:sz w:val="24"/>
        </w:rPr>
        <w:t xml:space="preserve">     我公司作为</w:t>
      </w:r>
      <w:r>
        <w:rPr>
          <w:rFonts w:hint="eastAsia" w:ascii="宋体" w:hAnsi="宋体" w:cs="宋体"/>
          <w:sz w:val="24"/>
          <w:u w:val="single"/>
        </w:rPr>
        <w:t xml:space="preserve">   （项目名称）    </w:t>
      </w:r>
      <w:r>
        <w:rPr>
          <w:rFonts w:hint="eastAsia" w:ascii="宋体" w:hAnsi="宋体" w:cs="宋体"/>
          <w:sz w:val="24"/>
        </w:rPr>
        <w:t>成交供应商，在此郑重承诺：如果在此次投标过程中或者在成交后，采购人或者有管辖权的行政监管机构发现并查实我公司在所填报的该项目响应文件中存在提供虚假或不真实的信息或者伪造数据、资料或证书等情况，不管采购人或有管辖权的监管机构是否有合法的处罚依据，我公司将无条件地自动放弃该项目的投标资格和成交资格；如我单位成为成交候选人，在项目执行过程中如我公司因名称、资质等级、企业法人、注册资金和性质、主管人员、供应商员、办公地点等情况发生变化，我公司会在发生变化后5日内以书面形式通知采购人或有管辖权的监管机构。在项目执行过程中如我公司被有关行政管理部门、行业协会、司法机构给予处理、处罚或追究法律责任，我公司成交资格自动解除且我公司无条件地承认：我公司所收到的成交通知书为无效文件，对采购人不具备任何法律约束力；如发生上述几种情况由此造成的任何后果和损失均由我公司承担。</w:t>
      </w:r>
    </w:p>
    <w:p>
      <w:pPr>
        <w:ind w:left="120" w:hanging="120"/>
        <w:jc w:val="left"/>
        <w:rPr>
          <w:rFonts w:ascii="宋体" w:hAnsi="宋体" w:cs="宋体"/>
          <w:sz w:val="24"/>
        </w:rPr>
      </w:pPr>
      <w:r>
        <w:rPr>
          <w:rFonts w:hint="eastAsia" w:ascii="宋体" w:hAnsi="宋体" w:cs="宋体"/>
          <w:sz w:val="24"/>
        </w:rPr>
        <w:t xml:space="preserve">      我公司郑重承诺：如我公司成为</w:t>
      </w:r>
      <w:r>
        <w:rPr>
          <w:rFonts w:hint="eastAsia" w:ascii="宋体" w:hAnsi="宋体" w:cs="宋体"/>
          <w:sz w:val="24"/>
          <w:u w:val="single"/>
        </w:rPr>
        <w:t xml:space="preserve">     （项目名称）    </w:t>
      </w:r>
      <w:r>
        <w:rPr>
          <w:rFonts w:hint="eastAsia" w:ascii="宋体" w:hAnsi="宋体" w:cs="宋体"/>
          <w:sz w:val="24"/>
        </w:rPr>
        <w:t xml:space="preserve">成交单位，将严格按照本项目的服务需求内容及响应文件内容开展后期工作。 </w:t>
      </w:r>
    </w:p>
    <w:p>
      <w:pPr>
        <w:ind w:left="239" w:leftChars="114" w:firstLine="360" w:firstLineChars="150"/>
        <w:jc w:val="left"/>
        <w:rPr>
          <w:rFonts w:ascii="宋体" w:hAnsi="宋体" w:cs="宋体"/>
          <w:sz w:val="24"/>
        </w:rPr>
      </w:pPr>
      <w:r>
        <w:rPr>
          <w:rFonts w:hint="eastAsia" w:ascii="宋体" w:hAnsi="宋体" w:cs="宋体"/>
          <w:sz w:val="24"/>
        </w:rPr>
        <w:t xml:space="preserve"> 以上承诺是我公司响应文件的有效组成内容，也是我公司在以后与采购人签订有关协议有效组成内容，是我公司真实意思表示，对我公司在该项目有关的任何行为中始终具有优先的法律约束力。</w:t>
      </w:r>
    </w:p>
    <w:p>
      <w:pPr>
        <w:ind w:left="120" w:hanging="120"/>
        <w:jc w:val="left"/>
        <w:rPr>
          <w:rFonts w:ascii="宋体" w:hAnsi="宋体" w:cs="宋体"/>
          <w:sz w:val="24"/>
        </w:rPr>
      </w:pPr>
      <w:r>
        <w:rPr>
          <w:rFonts w:hint="eastAsia" w:ascii="宋体" w:hAnsi="宋体" w:cs="宋体"/>
          <w:sz w:val="24"/>
        </w:rPr>
        <w:t xml:space="preserve">    如您们需要我们提供任何进一步资料，请与下述人员联系：</w:t>
      </w:r>
    </w:p>
    <w:p>
      <w:pPr>
        <w:ind w:left="120" w:hanging="120"/>
        <w:jc w:val="left"/>
        <w:rPr>
          <w:rFonts w:ascii="宋体" w:hAnsi="宋体" w:cs="宋体"/>
          <w:sz w:val="24"/>
        </w:rPr>
      </w:pPr>
      <w:r>
        <w:rPr>
          <w:rFonts w:hint="eastAsia" w:ascii="宋体" w:hAnsi="宋体" w:cs="宋体"/>
          <w:sz w:val="24"/>
        </w:rPr>
        <w:t>姓名：                                      职务：</w:t>
      </w:r>
    </w:p>
    <w:p>
      <w:pPr>
        <w:ind w:left="120" w:hanging="120"/>
        <w:jc w:val="left"/>
        <w:rPr>
          <w:rFonts w:ascii="宋体" w:hAnsi="宋体" w:cs="宋体"/>
          <w:sz w:val="24"/>
        </w:rPr>
      </w:pPr>
      <w:r>
        <w:rPr>
          <w:rFonts w:hint="eastAsia" w:ascii="宋体" w:hAnsi="宋体" w:cs="宋体"/>
          <w:sz w:val="24"/>
        </w:rPr>
        <w:t>联系电话和地址：</w:t>
      </w:r>
    </w:p>
    <w:p>
      <w:pPr>
        <w:ind w:left="120" w:hanging="120"/>
        <w:jc w:val="left"/>
        <w:rPr>
          <w:rFonts w:ascii="宋体" w:hAnsi="宋体" w:cs="宋体"/>
          <w:sz w:val="24"/>
        </w:rPr>
      </w:pPr>
    </w:p>
    <w:p>
      <w:pPr>
        <w:ind w:left="120" w:hanging="120"/>
        <w:jc w:val="left"/>
        <w:rPr>
          <w:rFonts w:ascii="宋体" w:hAnsi="宋体" w:cs="宋体"/>
          <w:sz w:val="24"/>
        </w:rPr>
      </w:pPr>
      <w:r>
        <w:rPr>
          <w:rFonts w:hint="eastAsia" w:ascii="宋体" w:hAnsi="宋体" w:cs="宋体"/>
          <w:sz w:val="24"/>
        </w:rPr>
        <w:t>供应商（公章）</w:t>
      </w:r>
    </w:p>
    <w:p>
      <w:pPr>
        <w:ind w:left="120" w:hanging="120"/>
        <w:jc w:val="left"/>
        <w:rPr>
          <w:rFonts w:ascii="宋体" w:hAnsi="宋体" w:cs="宋体"/>
          <w:sz w:val="24"/>
        </w:rPr>
      </w:pPr>
      <w:r>
        <w:rPr>
          <w:rFonts w:hint="eastAsia" w:ascii="宋体" w:hAnsi="宋体" w:cs="宋体"/>
          <w:sz w:val="24"/>
        </w:rPr>
        <w:t>法定代表人（签字或盖章）</w:t>
      </w:r>
    </w:p>
    <w:p>
      <w:pPr>
        <w:adjustRightInd w:val="0"/>
        <w:snapToGrid w:val="0"/>
        <w:ind w:firstLine="480" w:firstLineChars="200"/>
        <w:jc w:val="left"/>
        <w:rPr>
          <w:rFonts w:ascii="宋体" w:hAnsi="宋体" w:cs="宋体"/>
          <w:sz w:val="24"/>
        </w:rPr>
      </w:pPr>
      <w:r>
        <w:rPr>
          <w:rFonts w:hint="eastAsia" w:ascii="宋体" w:hAnsi="宋体" w:cs="宋体"/>
          <w:sz w:val="24"/>
        </w:rPr>
        <w:t xml:space="preserve">日 期:                     </w:t>
      </w:r>
    </w:p>
    <w:p>
      <w:pPr>
        <w:ind w:left="120" w:hanging="120"/>
        <w:jc w:val="center"/>
        <w:rPr>
          <w:rFonts w:ascii="宋体" w:hAnsi="宋体" w:cs="宋体"/>
          <w:sz w:val="24"/>
        </w:rPr>
      </w:pPr>
    </w:p>
    <w:p>
      <w:pPr>
        <w:ind w:left="120" w:hanging="120"/>
        <w:jc w:val="center"/>
        <w:rPr>
          <w:rFonts w:ascii="宋体" w:hAnsi="宋体" w:cs="宋体"/>
          <w:sz w:val="24"/>
        </w:rPr>
      </w:pPr>
    </w:p>
    <w:p>
      <w:pPr>
        <w:ind w:left="120" w:hanging="120"/>
        <w:jc w:val="center"/>
        <w:rPr>
          <w:rFonts w:ascii="宋体" w:hAnsi="宋体" w:cs="宋体"/>
          <w:sz w:val="24"/>
        </w:rPr>
      </w:pPr>
    </w:p>
    <w:p>
      <w:pPr>
        <w:ind w:left="120" w:hanging="120"/>
        <w:jc w:val="center"/>
        <w:rPr>
          <w:rFonts w:ascii="宋体" w:hAnsi="宋体" w:cs="宋体"/>
          <w:sz w:val="24"/>
        </w:rPr>
      </w:pPr>
    </w:p>
    <w:p>
      <w:pPr>
        <w:ind w:left="120" w:hanging="120"/>
        <w:jc w:val="center"/>
        <w:rPr>
          <w:rFonts w:ascii="宋体" w:hAnsi="宋体" w:cs="宋体"/>
          <w:sz w:val="24"/>
        </w:rPr>
      </w:pPr>
      <w:r>
        <w:rPr>
          <w:rFonts w:hint="eastAsia" w:ascii="宋体" w:hAnsi="宋体" w:cs="宋体"/>
          <w:sz w:val="24"/>
        </w:rPr>
        <w:t>承诺书</w:t>
      </w:r>
    </w:p>
    <w:p>
      <w:pPr>
        <w:ind w:left="120" w:hanging="120"/>
        <w:jc w:val="left"/>
        <w:rPr>
          <w:rFonts w:ascii="宋体" w:hAnsi="宋体" w:cs="宋体"/>
          <w:sz w:val="24"/>
        </w:rPr>
      </w:pPr>
      <w:r>
        <w:rPr>
          <w:rFonts w:hint="eastAsia" w:ascii="宋体" w:hAnsi="宋体" w:cs="宋体"/>
          <w:sz w:val="24"/>
        </w:rPr>
        <w:t>致采购人、招标代理机构：</w:t>
      </w:r>
    </w:p>
    <w:p>
      <w:pPr>
        <w:ind w:firstLine="480" w:firstLineChars="200"/>
        <w:jc w:val="left"/>
        <w:rPr>
          <w:rFonts w:ascii="宋体" w:hAnsi="宋体" w:cs="宋体"/>
          <w:sz w:val="24"/>
          <w:u w:val="single"/>
        </w:rPr>
      </w:pPr>
      <w:r>
        <w:rPr>
          <w:rFonts w:hint="eastAsia" w:ascii="宋体" w:hAnsi="宋体" w:cs="宋体"/>
          <w:sz w:val="24"/>
        </w:rPr>
        <w:t>我公司</w:t>
      </w:r>
      <w:r>
        <w:rPr>
          <w:rFonts w:hint="eastAsia" w:ascii="宋体" w:hAnsi="宋体" w:cs="宋体"/>
          <w:sz w:val="24"/>
          <w:u w:val="single"/>
        </w:rPr>
        <w:t xml:space="preserve"> ，</w:t>
      </w:r>
      <w:r>
        <w:rPr>
          <w:rFonts w:hint="eastAsia" w:ascii="宋体" w:hAnsi="宋体" w:cs="宋体"/>
          <w:sz w:val="24"/>
        </w:rPr>
        <w:t>注册地址为</w:t>
      </w:r>
      <w:r>
        <w:rPr>
          <w:rFonts w:hint="eastAsia" w:ascii="宋体" w:hAnsi="宋体" w:cs="宋体"/>
          <w:sz w:val="24"/>
          <w:u w:val="single"/>
        </w:rPr>
        <w:t>： ；参与贵单位组织的项目名称： （项目编号： ），现自愿郑重做出以下承诺：</w:t>
      </w:r>
    </w:p>
    <w:p>
      <w:pPr>
        <w:pStyle w:val="164"/>
        <w:numPr>
          <w:ilvl w:val="0"/>
          <w:numId w:val="15"/>
        </w:numPr>
        <w:ind w:firstLineChars="0"/>
        <w:jc w:val="left"/>
        <w:rPr>
          <w:rFonts w:ascii="宋体" w:hAnsi="宋体" w:cs="宋体"/>
          <w:sz w:val="24"/>
        </w:rPr>
      </w:pPr>
      <w:r>
        <w:rPr>
          <w:rFonts w:hint="eastAsia" w:ascii="宋体" w:hAnsi="宋体" w:cs="宋体"/>
          <w:sz w:val="24"/>
        </w:rPr>
        <w:t>公平参与本次招标活动，提供投标资料均真实有效，不以他人名义投标或者其他方式弄虚作假，骗取中标。</w:t>
      </w:r>
    </w:p>
    <w:p>
      <w:pPr>
        <w:pStyle w:val="164"/>
        <w:numPr>
          <w:ilvl w:val="0"/>
          <w:numId w:val="15"/>
        </w:numPr>
        <w:ind w:firstLineChars="0"/>
        <w:jc w:val="left"/>
        <w:rPr>
          <w:rFonts w:ascii="宋体" w:hAnsi="宋体" w:cs="宋体"/>
          <w:sz w:val="24"/>
        </w:rPr>
      </w:pPr>
      <w:r>
        <w:rPr>
          <w:rFonts w:hint="eastAsia" w:ascii="宋体" w:hAnsi="宋体" w:cs="宋体"/>
          <w:sz w:val="24"/>
        </w:rPr>
        <w:t>所投产品均为合法、正规的全新合格产品。</w:t>
      </w:r>
    </w:p>
    <w:p>
      <w:pPr>
        <w:pStyle w:val="164"/>
        <w:numPr>
          <w:ilvl w:val="0"/>
          <w:numId w:val="15"/>
        </w:numPr>
        <w:ind w:firstLineChars="0"/>
        <w:jc w:val="left"/>
        <w:rPr>
          <w:rFonts w:ascii="宋体" w:hAnsi="宋体" w:cs="宋体"/>
          <w:sz w:val="24"/>
        </w:rPr>
      </w:pPr>
      <w:r>
        <w:rPr>
          <w:rFonts w:hint="eastAsia" w:ascii="宋体" w:hAnsi="宋体" w:cs="宋体"/>
          <w:sz w:val="24"/>
        </w:rPr>
        <w:t>所投产品价格合理，投标价格不高于全国同产品的投标均价，同时保证所投产品价格不超过全国其他地区近两年（2021年和2022）同产品最低中标价格的</w:t>
      </w:r>
      <w:r>
        <w:rPr>
          <w:rFonts w:hint="eastAsia" w:ascii="宋体" w:hAnsi="宋体" w:cs="宋体"/>
          <w:sz w:val="24"/>
          <w:u w:val="single"/>
        </w:rPr>
        <w:t xml:space="preserve">     %</w:t>
      </w:r>
      <w:r>
        <w:rPr>
          <w:rFonts w:hint="eastAsia" w:ascii="宋体" w:hAnsi="宋体" w:cs="宋体"/>
          <w:sz w:val="24"/>
        </w:rPr>
        <w:t xml:space="preserve"> （不超过150%）。</w:t>
      </w:r>
    </w:p>
    <w:p>
      <w:pPr>
        <w:pStyle w:val="164"/>
        <w:numPr>
          <w:ilvl w:val="0"/>
          <w:numId w:val="15"/>
        </w:numPr>
        <w:ind w:firstLineChars="0"/>
        <w:jc w:val="left"/>
        <w:rPr>
          <w:rFonts w:ascii="宋体" w:hAnsi="宋体" w:cs="宋体"/>
          <w:sz w:val="24"/>
        </w:rPr>
      </w:pPr>
      <w:r>
        <w:rPr>
          <w:rFonts w:hint="eastAsia" w:ascii="宋体" w:hAnsi="宋体" w:cs="宋体"/>
          <w:sz w:val="24"/>
        </w:rPr>
        <w:t>杜绝任何形式的商业贿赂。不给予工作人员，评审专家及其亲属各种形式的商业贿赂(包括送礼金礼品、有价证券、购物卷、回扣、佣金、咨询费、劳务费、赞助费、宣传费、支付旅游费用、报销各种消费凭证、宴请、娱乐等)。</w:t>
      </w:r>
    </w:p>
    <w:p>
      <w:pPr>
        <w:ind w:firstLine="480" w:firstLineChars="200"/>
        <w:jc w:val="left"/>
        <w:rPr>
          <w:rFonts w:ascii="宋体" w:hAnsi="宋体" w:cs="宋体"/>
          <w:sz w:val="24"/>
        </w:rPr>
      </w:pPr>
      <w:r>
        <w:rPr>
          <w:rFonts w:hint="eastAsia" w:ascii="宋体" w:hAnsi="宋体" w:cs="宋体"/>
          <w:sz w:val="24"/>
        </w:rPr>
        <w:t>我单位如违反上述承诺行为，贵方有权终止合同、追究我单位违约责任并将我单位纳入黑名单供应商，由此引发的相关纠纷，由本单位独立承担。</w:t>
      </w:r>
    </w:p>
    <w:p>
      <w:pPr>
        <w:ind w:firstLine="480" w:firstLineChars="200"/>
        <w:jc w:val="left"/>
        <w:rPr>
          <w:rFonts w:ascii="宋体" w:hAnsi="宋体" w:cs="宋体"/>
          <w:sz w:val="24"/>
        </w:rPr>
      </w:pPr>
    </w:p>
    <w:p>
      <w:pPr>
        <w:ind w:firstLine="480" w:firstLineChars="200"/>
        <w:jc w:val="left"/>
        <w:rPr>
          <w:rFonts w:ascii="宋体" w:hAnsi="宋体" w:cs="宋体"/>
          <w:sz w:val="24"/>
        </w:rPr>
      </w:pPr>
    </w:p>
    <w:p>
      <w:pPr>
        <w:ind w:firstLine="480" w:firstLineChars="200"/>
        <w:jc w:val="left"/>
        <w:rPr>
          <w:rFonts w:ascii="宋体" w:hAnsi="宋体" w:cs="宋体"/>
          <w:sz w:val="24"/>
        </w:rPr>
      </w:pPr>
      <w:r>
        <w:rPr>
          <w:rFonts w:hint="eastAsia" w:ascii="宋体" w:hAnsi="宋体" w:cs="宋体"/>
          <w:sz w:val="24"/>
        </w:rPr>
        <w:t>特此承诺!</w:t>
      </w:r>
    </w:p>
    <w:p>
      <w:pPr>
        <w:ind w:firstLine="480" w:firstLineChars="200"/>
        <w:jc w:val="left"/>
        <w:rPr>
          <w:rFonts w:ascii="宋体" w:hAnsi="宋体" w:cs="宋体"/>
          <w:sz w:val="24"/>
        </w:rPr>
      </w:pPr>
      <w:r>
        <w:rPr>
          <w:rFonts w:hint="eastAsia" w:ascii="宋体" w:hAnsi="宋体" w:cs="宋体"/>
          <w:sz w:val="24"/>
        </w:rPr>
        <w:t>投标单位名称（盖章）：</w:t>
      </w:r>
    </w:p>
    <w:p>
      <w:pPr>
        <w:ind w:firstLine="480" w:firstLineChars="200"/>
        <w:jc w:val="left"/>
        <w:rPr>
          <w:rFonts w:ascii="宋体" w:hAnsi="宋体" w:cs="宋体"/>
          <w:sz w:val="24"/>
        </w:rPr>
      </w:pPr>
      <w:r>
        <w:rPr>
          <w:rFonts w:hint="eastAsia" w:ascii="宋体" w:hAnsi="宋体" w:cs="宋体"/>
          <w:sz w:val="24"/>
        </w:rPr>
        <w:t>法人或其授权代表（签字或盖章）：</w:t>
      </w:r>
    </w:p>
    <w:p>
      <w:pPr>
        <w:ind w:firstLine="480" w:firstLineChars="200"/>
        <w:jc w:val="left"/>
        <w:rPr>
          <w:rFonts w:ascii="宋体" w:hAnsi="宋体" w:cs="宋体"/>
          <w:sz w:val="24"/>
        </w:rPr>
      </w:pPr>
      <w:r>
        <w:rPr>
          <w:rFonts w:hint="eastAsia" w:ascii="宋体" w:hAnsi="宋体" w:cs="宋体"/>
          <w:sz w:val="24"/>
        </w:rPr>
        <w:t>日期：</w:t>
      </w:r>
    </w:p>
    <w:p>
      <w:pPr>
        <w:pStyle w:val="73"/>
        <w:rPr>
          <w:rFonts w:ascii="宋体" w:hAnsi="宋体" w:cs="宋体"/>
        </w:rPr>
      </w:pPr>
    </w:p>
    <w:p>
      <w:pPr>
        <w:ind w:left="120" w:hanging="120"/>
        <w:rPr>
          <w:rFonts w:ascii="宋体" w:hAnsi="宋体" w:cs="宋体"/>
          <w:b/>
          <w:sz w:val="24"/>
        </w:rPr>
      </w:pPr>
      <w:r>
        <w:rPr>
          <w:rFonts w:hint="eastAsia" w:ascii="宋体" w:hAnsi="宋体" w:cs="宋体"/>
          <w:b/>
          <w:sz w:val="24"/>
        </w:rPr>
        <w:br w:type="page"/>
      </w:r>
    </w:p>
    <w:p>
      <w:pPr>
        <w:pStyle w:val="61"/>
        <w:ind w:left="90" w:hanging="90"/>
        <w:rPr>
          <w:rFonts w:ascii="宋体" w:hAnsi="宋体" w:cs="宋体"/>
        </w:rPr>
      </w:pPr>
    </w:p>
    <w:p>
      <w:pPr>
        <w:ind w:left="241" w:hanging="241"/>
        <w:jc w:val="center"/>
        <w:rPr>
          <w:rFonts w:ascii="宋体" w:hAnsi="宋体" w:cs="宋体"/>
          <w:b/>
          <w:bCs/>
          <w:sz w:val="48"/>
          <w:szCs w:val="48"/>
        </w:rPr>
      </w:pPr>
      <w:r>
        <w:rPr>
          <w:rFonts w:hint="eastAsia" w:ascii="宋体" w:hAnsi="宋体" w:cs="宋体"/>
          <w:b/>
          <w:bCs/>
          <w:sz w:val="48"/>
          <w:szCs w:val="48"/>
        </w:rPr>
        <w:t>第三部分</w:t>
      </w:r>
    </w:p>
    <w:p>
      <w:pPr>
        <w:pStyle w:val="5"/>
        <w:ind w:firstLine="480"/>
        <w:rPr>
          <w:rFonts w:ascii="宋体" w:hAnsi="宋体" w:cs="宋体"/>
        </w:rPr>
      </w:pPr>
    </w:p>
    <w:p>
      <w:pPr>
        <w:ind w:left="161" w:hanging="161"/>
        <w:jc w:val="center"/>
        <w:rPr>
          <w:rFonts w:ascii="宋体" w:hAnsi="宋体" w:cs="宋体"/>
          <w:b/>
          <w:bCs/>
          <w:sz w:val="24"/>
        </w:rPr>
      </w:pPr>
      <w:r>
        <w:rPr>
          <w:rFonts w:hint="eastAsia" w:ascii="宋体" w:hAnsi="宋体" w:cs="宋体"/>
          <w:b/>
          <w:bCs/>
          <w:sz w:val="32"/>
          <w:szCs w:val="32"/>
        </w:rPr>
        <w:t>技术部分</w:t>
      </w:r>
    </w:p>
    <w:p>
      <w:pPr>
        <w:ind w:left="-105" w:leftChars="-50" w:firstLine="0" w:firstLineChars="0"/>
        <w:jc w:val="center"/>
        <w:rPr>
          <w:rFonts w:ascii="宋体" w:hAnsi="宋体" w:cs="宋体"/>
          <w:b/>
          <w:bCs/>
          <w:sz w:val="24"/>
        </w:rPr>
      </w:pPr>
    </w:p>
    <w:p>
      <w:pPr>
        <w:ind w:left="0" w:firstLine="480" w:firstLineChars="200"/>
        <w:rPr>
          <w:rFonts w:ascii="宋体" w:hAnsi="宋体" w:cs="宋体"/>
          <w:sz w:val="24"/>
        </w:rPr>
      </w:pPr>
      <w:r>
        <w:rPr>
          <w:rFonts w:hint="eastAsia" w:ascii="宋体" w:hAnsi="宋体" w:cs="宋体"/>
          <w:sz w:val="24"/>
        </w:rPr>
        <w:t>应包括保障完成本项目的全部任务和内容的实施方案等。</w:t>
      </w:r>
      <w:r>
        <w:rPr>
          <w:rFonts w:hint="eastAsia" w:ascii="宋体" w:hAnsi="宋体" w:cs="宋体"/>
          <w:kern w:val="0"/>
          <w:sz w:val="24"/>
        </w:rPr>
        <w:t>如：项目管理、资金管理等内容。</w:t>
      </w:r>
    </w:p>
    <w:p>
      <w:pPr>
        <w:spacing w:line="380" w:lineRule="exact"/>
        <w:ind w:firstLine="480" w:firstLineChars="200"/>
        <w:rPr>
          <w:rFonts w:ascii="宋体" w:hAnsi="宋体" w:cs="宋体"/>
          <w:sz w:val="24"/>
        </w:rPr>
      </w:pPr>
    </w:p>
    <w:p>
      <w:pPr>
        <w:spacing w:line="380" w:lineRule="exact"/>
        <w:ind w:firstLine="480" w:firstLineChars="200"/>
        <w:rPr>
          <w:rFonts w:ascii="宋体" w:hAnsi="宋体" w:cs="宋体"/>
          <w:sz w:val="24"/>
        </w:rPr>
      </w:pPr>
    </w:p>
    <w:p>
      <w:pPr>
        <w:spacing w:line="380" w:lineRule="exact"/>
        <w:ind w:left="120" w:hanging="120"/>
        <w:rPr>
          <w:rFonts w:ascii="宋体" w:hAnsi="宋体" w:cs="宋体"/>
          <w:sz w:val="24"/>
        </w:rPr>
      </w:pPr>
      <w:r>
        <w:rPr>
          <w:rFonts w:hint="eastAsia" w:ascii="宋体" w:hAnsi="宋体" w:cs="宋体"/>
          <w:sz w:val="24"/>
        </w:rPr>
        <w:t>注：以上内容中若需要表格请供应商自行编制</w:t>
      </w:r>
    </w:p>
    <w:p>
      <w:pPr>
        <w:spacing w:line="380" w:lineRule="exact"/>
        <w:ind w:left="0" w:firstLine="360" w:firstLineChars="150"/>
        <w:rPr>
          <w:rFonts w:ascii="宋体" w:hAnsi="宋体" w:cs="宋体"/>
          <w:sz w:val="24"/>
        </w:rPr>
      </w:pPr>
      <w:r>
        <w:rPr>
          <w:rFonts w:hint="eastAsia" w:ascii="宋体" w:hAnsi="宋体" w:cs="宋体"/>
          <w:sz w:val="24"/>
        </w:rPr>
        <w:t>以上内容为磋商文件要求，如供应商认为有与本投标项目相关的其他内容也可自行编制放入。</w:t>
      </w:r>
    </w:p>
    <w:p>
      <w:pPr>
        <w:spacing w:line="380" w:lineRule="exact"/>
        <w:ind w:left="239" w:leftChars="114" w:firstLine="360" w:firstLineChars="150"/>
        <w:rPr>
          <w:rFonts w:ascii="宋体" w:hAnsi="宋体" w:cs="宋体"/>
          <w:sz w:val="24"/>
        </w:rPr>
      </w:pPr>
    </w:p>
    <w:p>
      <w:pPr>
        <w:spacing w:line="440" w:lineRule="exact"/>
        <w:ind w:left="120" w:hanging="120"/>
        <w:rPr>
          <w:rFonts w:ascii="宋体" w:hAnsi="宋体" w:cs="宋体"/>
          <w:sz w:val="24"/>
        </w:rPr>
      </w:pPr>
    </w:p>
    <w:p>
      <w:pPr>
        <w:ind w:left="0" w:firstLine="0" w:firstLineChars="0"/>
        <w:rPr>
          <w:rFonts w:ascii="宋体" w:hAnsi="宋体" w:cs="宋体"/>
        </w:rPr>
      </w:pPr>
    </w:p>
    <w:p>
      <w:pPr>
        <w:ind w:left="120" w:hanging="120"/>
        <w:rPr>
          <w:rFonts w:ascii="宋体" w:hAnsi="宋体" w:cs="宋体"/>
          <w:b/>
          <w:sz w:val="24"/>
        </w:rPr>
      </w:pPr>
    </w:p>
    <w:p>
      <w:pPr>
        <w:pStyle w:val="5"/>
        <w:adjustRightInd w:val="0"/>
        <w:snapToGrid w:val="0"/>
        <w:ind w:left="0" w:right="0" w:firstLine="0" w:firstLineChars="0"/>
        <w:rPr>
          <w:rFonts w:ascii="宋体" w:hAnsi="宋体" w:cs="宋体"/>
          <w:b/>
          <w:szCs w:val="24"/>
        </w:rPr>
      </w:pPr>
    </w:p>
    <w:p>
      <w:pPr>
        <w:adjustRightInd w:val="0"/>
        <w:snapToGrid w:val="0"/>
        <w:ind w:left="0" w:right="0" w:firstLine="0" w:firstLineChars="0"/>
        <w:rPr>
          <w:rFonts w:ascii="宋体" w:hAnsi="宋体" w:cs="宋体"/>
          <w:b/>
          <w:sz w:val="24"/>
        </w:rPr>
      </w:pPr>
    </w:p>
    <w:p>
      <w:pPr>
        <w:pStyle w:val="5"/>
        <w:adjustRightInd w:val="0"/>
        <w:snapToGrid w:val="0"/>
        <w:ind w:left="0" w:right="0" w:firstLine="0" w:firstLineChars="0"/>
        <w:rPr>
          <w:rFonts w:ascii="宋体" w:hAnsi="宋体" w:cs="宋体"/>
          <w:b/>
          <w:szCs w:val="24"/>
        </w:rPr>
      </w:pPr>
    </w:p>
    <w:p>
      <w:pPr>
        <w:adjustRightInd w:val="0"/>
        <w:snapToGrid w:val="0"/>
        <w:ind w:left="0" w:right="0" w:firstLine="0" w:firstLineChars="0"/>
        <w:rPr>
          <w:rFonts w:ascii="宋体" w:hAnsi="宋体" w:cs="宋体"/>
          <w:b/>
          <w:sz w:val="24"/>
        </w:rPr>
      </w:pPr>
    </w:p>
    <w:p>
      <w:pPr>
        <w:pStyle w:val="5"/>
        <w:adjustRightInd w:val="0"/>
        <w:snapToGrid w:val="0"/>
        <w:ind w:left="0" w:right="0" w:firstLine="0" w:firstLineChars="0"/>
        <w:rPr>
          <w:rFonts w:ascii="宋体" w:hAnsi="宋体" w:cs="宋体"/>
          <w:b/>
          <w:szCs w:val="24"/>
        </w:rPr>
      </w:pPr>
    </w:p>
    <w:p>
      <w:pPr>
        <w:adjustRightInd w:val="0"/>
        <w:snapToGrid w:val="0"/>
        <w:ind w:left="0" w:right="0" w:firstLine="0" w:firstLineChars="0"/>
        <w:rPr>
          <w:rFonts w:ascii="宋体" w:hAnsi="宋体" w:cs="宋体"/>
          <w:b/>
          <w:sz w:val="24"/>
        </w:rPr>
      </w:pPr>
    </w:p>
    <w:p>
      <w:pPr>
        <w:pStyle w:val="5"/>
        <w:adjustRightInd w:val="0"/>
        <w:snapToGrid w:val="0"/>
        <w:ind w:left="0" w:right="0" w:firstLine="0" w:firstLineChars="0"/>
        <w:rPr>
          <w:rFonts w:ascii="宋体" w:hAnsi="宋体" w:cs="宋体"/>
          <w:b/>
          <w:szCs w:val="24"/>
        </w:rPr>
      </w:pPr>
    </w:p>
    <w:p>
      <w:pPr>
        <w:adjustRightInd w:val="0"/>
        <w:snapToGrid w:val="0"/>
        <w:ind w:left="0" w:right="0" w:firstLine="0" w:firstLineChars="0"/>
        <w:rPr>
          <w:rFonts w:ascii="宋体" w:hAnsi="宋体" w:cs="宋体"/>
          <w:b/>
          <w:sz w:val="24"/>
        </w:rPr>
      </w:pPr>
    </w:p>
    <w:p>
      <w:pPr>
        <w:pStyle w:val="5"/>
        <w:adjustRightInd w:val="0"/>
        <w:snapToGrid w:val="0"/>
        <w:ind w:left="0" w:right="0" w:firstLine="0" w:firstLineChars="0"/>
        <w:rPr>
          <w:rFonts w:ascii="宋体" w:hAnsi="宋体" w:cs="宋体"/>
          <w:b/>
          <w:szCs w:val="24"/>
        </w:rPr>
      </w:pPr>
    </w:p>
    <w:p>
      <w:pPr>
        <w:adjustRightInd w:val="0"/>
        <w:snapToGrid w:val="0"/>
        <w:ind w:left="0" w:right="0" w:firstLine="0" w:firstLineChars="0"/>
        <w:rPr>
          <w:rFonts w:ascii="宋体" w:hAnsi="宋体" w:cs="宋体"/>
          <w:b/>
          <w:sz w:val="24"/>
        </w:rPr>
      </w:pPr>
    </w:p>
    <w:p>
      <w:pPr>
        <w:pStyle w:val="5"/>
        <w:adjustRightInd w:val="0"/>
        <w:snapToGrid w:val="0"/>
        <w:ind w:left="0" w:right="0" w:firstLine="0" w:firstLineChars="0"/>
        <w:rPr>
          <w:rFonts w:ascii="宋体" w:hAnsi="宋体" w:cs="宋体"/>
          <w:b/>
          <w:szCs w:val="24"/>
        </w:rPr>
      </w:pPr>
    </w:p>
    <w:p>
      <w:pPr>
        <w:adjustRightInd w:val="0"/>
        <w:snapToGrid w:val="0"/>
        <w:ind w:left="0" w:right="0" w:firstLine="0" w:firstLineChars="0"/>
        <w:rPr>
          <w:rFonts w:ascii="宋体" w:hAnsi="宋体" w:cs="宋体"/>
          <w:b/>
          <w:sz w:val="24"/>
        </w:rPr>
      </w:pPr>
    </w:p>
    <w:p>
      <w:pPr>
        <w:pStyle w:val="5"/>
        <w:adjustRightInd w:val="0"/>
        <w:snapToGrid w:val="0"/>
        <w:ind w:left="0" w:right="0" w:firstLine="0" w:firstLineChars="0"/>
        <w:rPr>
          <w:rFonts w:ascii="宋体" w:hAnsi="宋体" w:cs="宋体"/>
          <w:b/>
          <w:szCs w:val="24"/>
        </w:rPr>
      </w:pPr>
    </w:p>
    <w:p>
      <w:pPr>
        <w:adjustRightInd w:val="0"/>
        <w:snapToGrid w:val="0"/>
        <w:ind w:left="0" w:right="0" w:firstLine="0" w:firstLineChars="0"/>
        <w:rPr>
          <w:rFonts w:ascii="宋体" w:hAnsi="宋体" w:cs="宋体"/>
          <w:b/>
          <w:sz w:val="24"/>
        </w:rPr>
      </w:pPr>
    </w:p>
    <w:p>
      <w:pPr>
        <w:pStyle w:val="5"/>
        <w:ind w:firstLine="482"/>
        <w:rPr>
          <w:rFonts w:ascii="宋体" w:hAnsi="宋体" w:cs="宋体"/>
          <w:b/>
          <w:szCs w:val="24"/>
        </w:rPr>
      </w:pPr>
    </w:p>
    <w:p>
      <w:pPr>
        <w:ind w:left="120" w:hanging="120"/>
        <w:rPr>
          <w:rFonts w:ascii="宋体" w:hAnsi="宋体" w:cs="宋体"/>
          <w:b/>
          <w:sz w:val="24"/>
        </w:rPr>
      </w:pPr>
    </w:p>
    <w:p>
      <w:pPr>
        <w:pStyle w:val="5"/>
        <w:ind w:firstLine="482"/>
        <w:rPr>
          <w:rFonts w:ascii="宋体" w:hAnsi="宋体" w:cs="宋体"/>
          <w:b/>
          <w:szCs w:val="24"/>
        </w:rPr>
      </w:pPr>
    </w:p>
    <w:p>
      <w:pPr>
        <w:ind w:left="120" w:hanging="120"/>
        <w:rPr>
          <w:rFonts w:ascii="宋体" w:hAnsi="宋体" w:cs="宋体"/>
          <w:b/>
          <w:sz w:val="24"/>
        </w:rPr>
      </w:pPr>
    </w:p>
    <w:p>
      <w:pPr>
        <w:pStyle w:val="5"/>
        <w:ind w:firstLine="480"/>
        <w:rPr>
          <w:rFonts w:ascii="宋体" w:hAnsi="宋体" w:cs="宋体"/>
        </w:rPr>
      </w:pPr>
    </w:p>
    <w:p>
      <w:pPr>
        <w:pStyle w:val="5"/>
        <w:ind w:left="0" w:firstLine="0" w:firstLineChars="0"/>
        <w:rPr>
          <w:rFonts w:ascii="宋体" w:hAnsi="宋体" w:cs="宋体"/>
          <w:b/>
          <w:bCs/>
          <w:sz w:val="22"/>
          <w:szCs w:val="18"/>
        </w:rPr>
      </w:pPr>
      <w:r>
        <w:rPr>
          <w:rFonts w:hint="eastAsia" w:ascii="宋体" w:hAnsi="宋体" w:cs="宋体"/>
          <w:b/>
          <w:bCs/>
          <w:sz w:val="22"/>
          <w:szCs w:val="18"/>
        </w:rPr>
        <w:t>特别注意：</w:t>
      </w:r>
    </w:p>
    <w:p>
      <w:pPr>
        <w:pStyle w:val="5"/>
        <w:ind w:firstLine="442"/>
        <w:jc w:val="left"/>
        <w:rPr>
          <w:rFonts w:ascii="宋体" w:hAnsi="宋体" w:cs="宋体"/>
          <w:b/>
          <w:bCs/>
          <w:sz w:val="22"/>
          <w:szCs w:val="18"/>
        </w:rPr>
      </w:pPr>
      <w:r>
        <w:rPr>
          <w:rFonts w:hint="eastAsia" w:ascii="宋体" w:hAnsi="宋体" w:cs="宋体"/>
          <w:b/>
          <w:bCs/>
          <w:sz w:val="22"/>
          <w:szCs w:val="18"/>
        </w:rPr>
        <w:t>请各供应商仔细阅读并理解磋商文件的相关说明，严格按照磋商文件要求制作响应文件，如未按要求提供相关材料及承诺，视为不响应竞争性磋商文件，做无效投标处理，</w:t>
      </w:r>
    </w:p>
    <w:p>
      <w:pPr>
        <w:pStyle w:val="5"/>
        <w:ind w:firstLine="442"/>
        <w:jc w:val="left"/>
        <w:rPr>
          <w:rFonts w:ascii="宋体" w:hAnsi="宋体" w:cs="宋体"/>
          <w:b/>
          <w:bCs/>
          <w:sz w:val="22"/>
          <w:szCs w:val="18"/>
        </w:rPr>
      </w:pPr>
      <w:r>
        <w:rPr>
          <w:rFonts w:hint="eastAsia" w:ascii="宋体" w:hAnsi="宋体" w:cs="宋体"/>
          <w:b/>
          <w:bCs/>
          <w:sz w:val="22"/>
          <w:szCs w:val="18"/>
        </w:rPr>
        <w:t>1、供应商对所附表格中要求的资料和询问应做出肯定的回答。</w:t>
      </w:r>
    </w:p>
    <w:p>
      <w:pPr>
        <w:pStyle w:val="5"/>
        <w:ind w:firstLine="442"/>
        <w:jc w:val="left"/>
        <w:rPr>
          <w:rFonts w:ascii="宋体" w:hAnsi="宋体" w:cs="宋体"/>
          <w:b/>
          <w:bCs/>
          <w:sz w:val="22"/>
          <w:szCs w:val="18"/>
        </w:rPr>
      </w:pPr>
      <w:r>
        <w:rPr>
          <w:rFonts w:hint="eastAsia" w:ascii="宋体" w:hAnsi="宋体" w:cs="宋体"/>
          <w:b/>
          <w:bCs/>
          <w:sz w:val="22"/>
          <w:szCs w:val="18"/>
        </w:rPr>
        <w:t>2、响应文件的签字人应保证他所做的声明及对一切问题的回答的真实性和准确性。</w:t>
      </w:r>
    </w:p>
    <w:p>
      <w:pPr>
        <w:pStyle w:val="5"/>
        <w:ind w:firstLine="442"/>
        <w:jc w:val="left"/>
        <w:rPr>
          <w:rFonts w:ascii="宋体" w:hAnsi="宋体" w:cs="宋体"/>
          <w:b/>
          <w:bCs/>
          <w:sz w:val="22"/>
          <w:szCs w:val="18"/>
        </w:rPr>
      </w:pPr>
      <w:r>
        <w:rPr>
          <w:rFonts w:hint="eastAsia" w:ascii="宋体" w:hAnsi="宋体" w:cs="宋体"/>
          <w:b/>
          <w:bCs/>
          <w:sz w:val="22"/>
          <w:szCs w:val="18"/>
        </w:rPr>
        <w:t>3、供应商提供的响应文件将由采购人使用，并据此进行评价和判断，确定供应商的能力。</w:t>
      </w:r>
    </w:p>
    <w:p>
      <w:pPr>
        <w:pStyle w:val="5"/>
        <w:ind w:firstLine="442"/>
        <w:jc w:val="left"/>
        <w:rPr>
          <w:rFonts w:ascii="宋体" w:hAnsi="宋体" w:cs="宋体"/>
          <w:b/>
          <w:bCs/>
          <w:sz w:val="22"/>
          <w:szCs w:val="18"/>
        </w:rPr>
      </w:pPr>
      <w:r>
        <w:rPr>
          <w:rFonts w:hint="eastAsia" w:ascii="宋体" w:hAnsi="宋体" w:cs="宋体"/>
          <w:b/>
          <w:bCs/>
          <w:sz w:val="22"/>
          <w:szCs w:val="18"/>
        </w:rPr>
        <w:t>4、供应商提交的文件将给予保密，但不退还。</w:t>
      </w:r>
    </w:p>
    <w:sectPr>
      <w:headerReference r:id="rId17" w:type="default"/>
      <w:footerReference r:id="rId18"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top w:val="single" w:color="auto" w:sz="4" w:space="1"/>
      </w:pBdr>
      <w:ind w:left="90" w:hanging="90"/>
    </w:pPr>
    <w:r>
      <w:pict>
        <v:shape id="_x0000_s2049" o:spid="_x0000_s204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joinstyle="miter"/>
          <v:imagedata o:title=""/>
          <o:lock v:ext="edit"/>
          <v:textbox inset="0mm,0mm,0mm,0mm" style="mso-fit-shape-to-text:t;">
            <w:txbxContent>
              <w:p>
                <w:pPr>
                  <w:pStyle w:val="53"/>
                  <w:ind w:left="120" w:hanging="1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w:r>
    <w:r>
      <w:rPr>
        <w:rFonts w:hint="eastAsia" w:ascii="宋体" w:hAnsi="宋体"/>
        <w:bCs/>
      </w:rPr>
      <w:t>新疆金玖恩项目管理咨询有限公司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top w:val="none" w:color="auto" w:sz="0" w:space="1"/>
      </w:pBdr>
      <w:ind w:left="90" w:hanging="90"/>
      <w:rPr>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hanging="9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92</w:t>
    </w:r>
    <w:r>
      <w:rPr>
        <w:rFonts w:ascii="宋体" w:hAnsi="宋体"/>
        <w:szCs w:val="21"/>
      </w:rPr>
      <w:fldChar w:fldCharType="end"/>
    </w:r>
    <w:r>
      <w:rPr>
        <w:rFonts w:ascii="宋体" w:hAns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90" w:hanging="90"/>
      <w:jc w:val="right"/>
      <w:rPr>
        <w:rFonts w:hint="eastAsia" w:eastAsia="宋体"/>
        <w:lang w:eastAsia="zh-CN"/>
      </w:rPr>
    </w:pPr>
    <w:r>
      <w:rPr>
        <w:rFonts w:hint="eastAsia"/>
        <w:lang w:eastAsia="zh-CN"/>
      </w:rPr>
      <w:t>2022年自治区应急广播机动应急平台运行维护项目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1"/>
      </w:pBdr>
      <w:ind w:left="105" w:hanging="105"/>
      <w:jc w:val="right"/>
      <w:rPr>
        <w:rFonts w:ascii="宋体" w:hAnsi="宋体"/>
        <w:i/>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90" w:hanging="90"/>
      <w:jc w:val="right"/>
      <w:rPr>
        <w:rFonts w:hint="eastAsia" w:eastAsia="宋体"/>
        <w:lang w:eastAsia="zh-CN"/>
      </w:rPr>
    </w:pPr>
    <w:r>
      <w:rPr>
        <w:rFonts w:hint="eastAsia"/>
        <w:lang w:eastAsia="zh-CN"/>
      </w:rPr>
      <w:t>2022年自治区应急广播机动应急平台运行维护项目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90" w:hanging="9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90" w:hanging="9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09FD638A"/>
    <w:multiLevelType w:val="multilevel"/>
    <w:tmpl w:val="09FD638A"/>
    <w:lvl w:ilvl="0" w:tentative="0">
      <w:start w:val="1"/>
      <w:numFmt w:val="japaneseCounting"/>
      <w:pStyle w:val="134"/>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0B4B67"/>
    <w:multiLevelType w:val="multilevel"/>
    <w:tmpl w:val="0F0B4B67"/>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3">
    <w:nsid w:val="1D2D113A"/>
    <w:multiLevelType w:val="multilevel"/>
    <w:tmpl w:val="1D2D113A"/>
    <w:lvl w:ilvl="0" w:tentative="0">
      <w:start w:val="1"/>
      <w:numFmt w:val="decimal"/>
      <w:lvlText w:val="%1、"/>
      <w:lvlJc w:val="left"/>
      <w:pPr>
        <w:ind w:left="450" w:hanging="450"/>
      </w:pPr>
      <w:rPr>
        <w:rFonts w:hint="default"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6F7EC7"/>
    <w:multiLevelType w:val="multilevel"/>
    <w:tmpl w:val="276F7EC7"/>
    <w:lvl w:ilvl="0" w:tentative="0">
      <w:start w:val="1"/>
      <w:numFmt w:val="decimal"/>
      <w:lvlText w:val="%1、"/>
      <w:lvlJc w:val="left"/>
      <w:pPr>
        <w:ind w:left="1540" w:hanging="9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2E8565BC"/>
    <w:multiLevelType w:val="multilevel"/>
    <w:tmpl w:val="2E8565B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7"/>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E4C90BC"/>
    <w:multiLevelType w:val="singleLevel"/>
    <w:tmpl w:val="4E4C90BC"/>
    <w:lvl w:ilvl="0" w:tentative="0">
      <w:start w:val="1"/>
      <w:numFmt w:val="chineseCounting"/>
      <w:suff w:val="nothing"/>
      <w:lvlText w:val="%1、"/>
      <w:lvlJc w:val="left"/>
      <w:rPr>
        <w:rFonts w:hint="eastAsia"/>
      </w:rPr>
    </w:lvl>
  </w:abstractNum>
  <w:abstractNum w:abstractNumId="9">
    <w:nsid w:val="5808D697"/>
    <w:multiLevelType w:val="singleLevel"/>
    <w:tmpl w:val="5808D697"/>
    <w:lvl w:ilvl="0" w:tentative="0">
      <w:start w:val="12"/>
      <w:numFmt w:val="decimal"/>
      <w:suff w:val="nothing"/>
      <w:lvlText w:val="%1、"/>
      <w:lvlJc w:val="left"/>
    </w:lvl>
  </w:abstractNum>
  <w:abstractNum w:abstractNumId="10">
    <w:nsid w:val="58B78C3E"/>
    <w:multiLevelType w:val="singleLevel"/>
    <w:tmpl w:val="58B78C3E"/>
    <w:lvl w:ilvl="0" w:tentative="0">
      <w:start w:val="3"/>
      <w:numFmt w:val="chineseCounting"/>
      <w:suff w:val="nothing"/>
      <w:lvlText w:val="%1、"/>
      <w:lvlJc w:val="left"/>
    </w:lvl>
  </w:abstractNum>
  <w:abstractNum w:abstractNumId="11">
    <w:nsid w:val="5A7175BC"/>
    <w:multiLevelType w:val="multilevel"/>
    <w:tmpl w:val="5A7175BC"/>
    <w:lvl w:ilvl="0" w:tentative="0">
      <w:start w:val="1"/>
      <w:numFmt w:val="japaneseCounting"/>
      <w:lvlText w:val="%1、"/>
      <w:lvlJc w:val="left"/>
      <w:pPr>
        <w:ind w:left="862" w:hanging="720"/>
      </w:pPr>
      <w:rPr>
        <w:rFonts w:hint="default"/>
      </w:rPr>
    </w:lvl>
    <w:lvl w:ilvl="1" w:tentative="0">
      <w:start w:val="1"/>
      <w:numFmt w:val="lowerLetter"/>
      <w:lvlText w:val="%2)"/>
      <w:lvlJc w:val="left"/>
      <w:pPr>
        <w:ind w:left="1836" w:hanging="420"/>
      </w:pPr>
    </w:lvl>
    <w:lvl w:ilvl="2" w:tentative="0">
      <w:start w:val="1"/>
      <w:numFmt w:val="lowerRoman"/>
      <w:lvlText w:val="%3."/>
      <w:lvlJc w:val="right"/>
      <w:pPr>
        <w:ind w:left="2256" w:hanging="420"/>
      </w:pPr>
    </w:lvl>
    <w:lvl w:ilvl="3" w:tentative="0">
      <w:start w:val="1"/>
      <w:numFmt w:val="decimal"/>
      <w:lvlText w:val="%4."/>
      <w:lvlJc w:val="left"/>
      <w:pPr>
        <w:ind w:left="2676" w:hanging="420"/>
      </w:pPr>
    </w:lvl>
    <w:lvl w:ilvl="4" w:tentative="0">
      <w:start w:val="1"/>
      <w:numFmt w:val="lowerLetter"/>
      <w:lvlText w:val="%5)"/>
      <w:lvlJc w:val="left"/>
      <w:pPr>
        <w:ind w:left="3096" w:hanging="420"/>
      </w:pPr>
    </w:lvl>
    <w:lvl w:ilvl="5" w:tentative="0">
      <w:start w:val="1"/>
      <w:numFmt w:val="lowerRoman"/>
      <w:lvlText w:val="%6."/>
      <w:lvlJc w:val="right"/>
      <w:pPr>
        <w:ind w:left="3516" w:hanging="420"/>
      </w:pPr>
    </w:lvl>
    <w:lvl w:ilvl="6" w:tentative="0">
      <w:start w:val="1"/>
      <w:numFmt w:val="decimal"/>
      <w:lvlText w:val="%7."/>
      <w:lvlJc w:val="left"/>
      <w:pPr>
        <w:ind w:left="3936" w:hanging="420"/>
      </w:pPr>
    </w:lvl>
    <w:lvl w:ilvl="7" w:tentative="0">
      <w:start w:val="1"/>
      <w:numFmt w:val="lowerLetter"/>
      <w:lvlText w:val="%8)"/>
      <w:lvlJc w:val="left"/>
      <w:pPr>
        <w:ind w:left="4356" w:hanging="420"/>
      </w:pPr>
    </w:lvl>
    <w:lvl w:ilvl="8" w:tentative="0">
      <w:start w:val="1"/>
      <w:numFmt w:val="lowerRoman"/>
      <w:lvlText w:val="%9."/>
      <w:lvlJc w:val="right"/>
      <w:pPr>
        <w:ind w:left="4776" w:hanging="420"/>
      </w:pPr>
    </w:lvl>
  </w:abstractNum>
  <w:abstractNum w:abstractNumId="12">
    <w:nsid w:val="5D8E03BE"/>
    <w:multiLevelType w:val="singleLevel"/>
    <w:tmpl w:val="5D8E03BE"/>
    <w:lvl w:ilvl="0" w:tentative="0">
      <w:start w:val="1"/>
      <w:numFmt w:val="decimal"/>
      <w:suff w:val="nothing"/>
      <w:lvlText w:val="%1、"/>
      <w:lvlJc w:val="left"/>
    </w:lvl>
  </w:abstractNum>
  <w:abstractNum w:abstractNumId="13">
    <w:nsid w:val="702A597F"/>
    <w:multiLevelType w:val="multilevel"/>
    <w:tmpl w:val="702A597F"/>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4">
    <w:nsid w:val="7F95FA91"/>
    <w:multiLevelType w:val="singleLevel"/>
    <w:tmpl w:val="7F95FA91"/>
    <w:lvl w:ilvl="0" w:tentative="0">
      <w:start w:val="19"/>
      <w:numFmt w:val="decimal"/>
      <w:suff w:val="nothing"/>
      <w:lvlText w:val="%1、"/>
      <w:lvlJc w:val="left"/>
    </w:lvl>
  </w:abstractNum>
  <w:num w:numId="1">
    <w:abstractNumId w:val="7"/>
  </w:num>
  <w:num w:numId="2">
    <w:abstractNumId w:val="6"/>
  </w:num>
  <w:num w:numId="3">
    <w:abstractNumId w:val="1"/>
  </w:num>
  <w:num w:numId="4">
    <w:abstractNumId w:val="10"/>
  </w:num>
  <w:num w:numId="5">
    <w:abstractNumId w:val="9"/>
  </w:num>
  <w:num w:numId="6">
    <w:abstractNumId w:val="12"/>
  </w:num>
  <w:num w:numId="7">
    <w:abstractNumId w:val="8"/>
  </w:num>
  <w:num w:numId="8">
    <w:abstractNumId w:val="5"/>
  </w:num>
  <w:num w:numId="9">
    <w:abstractNumId w:val="0"/>
  </w:num>
  <w:num w:numId="10">
    <w:abstractNumId w:val="11"/>
  </w:num>
  <w:num w:numId="11">
    <w:abstractNumId w:val="13"/>
  </w:num>
  <w:num w:numId="12">
    <w:abstractNumId w:val="3"/>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cyZGZjYmRjOWFhMDUxYTdlYTM0ZDk1ZjZlOTBmODAifQ=="/>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97C87"/>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120"/>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530B"/>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5F14"/>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02DA"/>
    <w:rsid w:val="00161000"/>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AF"/>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2370"/>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34C"/>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4A2"/>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031F"/>
    <w:rsid w:val="002B0A3D"/>
    <w:rsid w:val="002B143B"/>
    <w:rsid w:val="002B1871"/>
    <w:rsid w:val="002B2532"/>
    <w:rsid w:val="002B2E65"/>
    <w:rsid w:val="002B5BAB"/>
    <w:rsid w:val="002B6C2B"/>
    <w:rsid w:val="002B73DC"/>
    <w:rsid w:val="002C1816"/>
    <w:rsid w:val="002C24B1"/>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55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5AC5"/>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53F"/>
    <w:rsid w:val="003258EA"/>
    <w:rsid w:val="00325C18"/>
    <w:rsid w:val="00325E59"/>
    <w:rsid w:val="0032775D"/>
    <w:rsid w:val="00327CB1"/>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26D2"/>
    <w:rsid w:val="003B37FF"/>
    <w:rsid w:val="003B3FE2"/>
    <w:rsid w:val="003B4338"/>
    <w:rsid w:val="003B47A6"/>
    <w:rsid w:val="003B4F6D"/>
    <w:rsid w:val="003B6148"/>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6828"/>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4C36"/>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657A"/>
    <w:rsid w:val="00487D25"/>
    <w:rsid w:val="00490B1A"/>
    <w:rsid w:val="00490B1E"/>
    <w:rsid w:val="00490DE6"/>
    <w:rsid w:val="004920AC"/>
    <w:rsid w:val="0049296C"/>
    <w:rsid w:val="00492B8C"/>
    <w:rsid w:val="00493748"/>
    <w:rsid w:val="00493EE0"/>
    <w:rsid w:val="00493F16"/>
    <w:rsid w:val="00494684"/>
    <w:rsid w:val="00494B2F"/>
    <w:rsid w:val="00495542"/>
    <w:rsid w:val="00495B0E"/>
    <w:rsid w:val="004A1116"/>
    <w:rsid w:val="004A1804"/>
    <w:rsid w:val="004A1B71"/>
    <w:rsid w:val="004A1BE7"/>
    <w:rsid w:val="004A364A"/>
    <w:rsid w:val="004A3D6D"/>
    <w:rsid w:val="004A4A28"/>
    <w:rsid w:val="004A4AC3"/>
    <w:rsid w:val="004A53EA"/>
    <w:rsid w:val="004A5953"/>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2CE7"/>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2F1"/>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2AF8"/>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048"/>
    <w:rsid w:val="0063510B"/>
    <w:rsid w:val="00635693"/>
    <w:rsid w:val="00635958"/>
    <w:rsid w:val="00636D1F"/>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578D2"/>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5DC"/>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64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E7FD1"/>
    <w:rsid w:val="006F07AD"/>
    <w:rsid w:val="006F08F2"/>
    <w:rsid w:val="006F0B1E"/>
    <w:rsid w:val="006F10AD"/>
    <w:rsid w:val="006F15A9"/>
    <w:rsid w:val="006F2B9B"/>
    <w:rsid w:val="006F3300"/>
    <w:rsid w:val="006F4521"/>
    <w:rsid w:val="006F502C"/>
    <w:rsid w:val="006F748E"/>
    <w:rsid w:val="00700231"/>
    <w:rsid w:val="00700F8C"/>
    <w:rsid w:val="0070117C"/>
    <w:rsid w:val="007021F6"/>
    <w:rsid w:val="00702D75"/>
    <w:rsid w:val="00704A0B"/>
    <w:rsid w:val="00704A6F"/>
    <w:rsid w:val="007056A8"/>
    <w:rsid w:val="007058FE"/>
    <w:rsid w:val="007067E5"/>
    <w:rsid w:val="007071BD"/>
    <w:rsid w:val="00707705"/>
    <w:rsid w:val="0071088C"/>
    <w:rsid w:val="00711F0B"/>
    <w:rsid w:val="0071232C"/>
    <w:rsid w:val="00713BB6"/>
    <w:rsid w:val="007143A0"/>
    <w:rsid w:val="007143B6"/>
    <w:rsid w:val="00714B62"/>
    <w:rsid w:val="00714DCF"/>
    <w:rsid w:val="007168E8"/>
    <w:rsid w:val="00717F50"/>
    <w:rsid w:val="00721232"/>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02D"/>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6666"/>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C7235"/>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49A7"/>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0ABD"/>
    <w:rsid w:val="008534B0"/>
    <w:rsid w:val="00853AE1"/>
    <w:rsid w:val="00853E03"/>
    <w:rsid w:val="00856F87"/>
    <w:rsid w:val="00856FFF"/>
    <w:rsid w:val="00857A01"/>
    <w:rsid w:val="00860995"/>
    <w:rsid w:val="008614A4"/>
    <w:rsid w:val="008626F5"/>
    <w:rsid w:val="008628E9"/>
    <w:rsid w:val="0086434A"/>
    <w:rsid w:val="0086445B"/>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1B2D"/>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85C"/>
    <w:rsid w:val="008F5B60"/>
    <w:rsid w:val="008F612E"/>
    <w:rsid w:val="008F6C07"/>
    <w:rsid w:val="008F731C"/>
    <w:rsid w:val="009019A2"/>
    <w:rsid w:val="00901AD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982"/>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021"/>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939"/>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2F38"/>
    <w:rsid w:val="009C32C2"/>
    <w:rsid w:val="009C4368"/>
    <w:rsid w:val="009C49F6"/>
    <w:rsid w:val="009C6E96"/>
    <w:rsid w:val="009C7782"/>
    <w:rsid w:val="009D08D3"/>
    <w:rsid w:val="009D0A76"/>
    <w:rsid w:val="009D0B4F"/>
    <w:rsid w:val="009D1D59"/>
    <w:rsid w:val="009D3198"/>
    <w:rsid w:val="009D3383"/>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4B05"/>
    <w:rsid w:val="009F556B"/>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366F"/>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2E71"/>
    <w:rsid w:val="00A73923"/>
    <w:rsid w:val="00A73CC3"/>
    <w:rsid w:val="00A74FFA"/>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18CE"/>
    <w:rsid w:val="00AB23E5"/>
    <w:rsid w:val="00AB5CB4"/>
    <w:rsid w:val="00AB6400"/>
    <w:rsid w:val="00AC0777"/>
    <w:rsid w:val="00AC086B"/>
    <w:rsid w:val="00AC1D9F"/>
    <w:rsid w:val="00AC1E2A"/>
    <w:rsid w:val="00AC1EDB"/>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532"/>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1F62"/>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2A8A"/>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55B"/>
    <w:rsid w:val="00B63748"/>
    <w:rsid w:val="00B6400F"/>
    <w:rsid w:val="00B64500"/>
    <w:rsid w:val="00B655B3"/>
    <w:rsid w:val="00B65896"/>
    <w:rsid w:val="00B665C5"/>
    <w:rsid w:val="00B6715B"/>
    <w:rsid w:val="00B678E0"/>
    <w:rsid w:val="00B70080"/>
    <w:rsid w:val="00B70782"/>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5D74"/>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C8B"/>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5C3"/>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37CF"/>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2C0D"/>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0B0"/>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17F"/>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9A3"/>
    <w:rsid w:val="00D31AAF"/>
    <w:rsid w:val="00D32056"/>
    <w:rsid w:val="00D32835"/>
    <w:rsid w:val="00D32F67"/>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0ECF"/>
    <w:rsid w:val="00D824A4"/>
    <w:rsid w:val="00D840F8"/>
    <w:rsid w:val="00D8414B"/>
    <w:rsid w:val="00D84317"/>
    <w:rsid w:val="00D85256"/>
    <w:rsid w:val="00D85A95"/>
    <w:rsid w:val="00D870F4"/>
    <w:rsid w:val="00D87761"/>
    <w:rsid w:val="00D87955"/>
    <w:rsid w:val="00D87ECF"/>
    <w:rsid w:val="00D91407"/>
    <w:rsid w:val="00D91FAF"/>
    <w:rsid w:val="00D922C1"/>
    <w:rsid w:val="00D92B93"/>
    <w:rsid w:val="00D93263"/>
    <w:rsid w:val="00D938B7"/>
    <w:rsid w:val="00D944EF"/>
    <w:rsid w:val="00D946FF"/>
    <w:rsid w:val="00D94F98"/>
    <w:rsid w:val="00D956F0"/>
    <w:rsid w:val="00D95E37"/>
    <w:rsid w:val="00D9667D"/>
    <w:rsid w:val="00D9668F"/>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178"/>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1B33"/>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2B48"/>
    <w:rsid w:val="00E736BF"/>
    <w:rsid w:val="00E74259"/>
    <w:rsid w:val="00E7538B"/>
    <w:rsid w:val="00E75EEF"/>
    <w:rsid w:val="00E77586"/>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253"/>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6B4"/>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2FA9"/>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487"/>
    <w:rsid w:val="00F5182C"/>
    <w:rsid w:val="00F51E2F"/>
    <w:rsid w:val="00F5202D"/>
    <w:rsid w:val="00F522F6"/>
    <w:rsid w:val="00F52CDB"/>
    <w:rsid w:val="00F53169"/>
    <w:rsid w:val="00F53FAF"/>
    <w:rsid w:val="00F547EC"/>
    <w:rsid w:val="00F54D95"/>
    <w:rsid w:val="00F55773"/>
    <w:rsid w:val="00F5618B"/>
    <w:rsid w:val="00F61330"/>
    <w:rsid w:val="00F614AA"/>
    <w:rsid w:val="00F61938"/>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758C9"/>
    <w:rsid w:val="00F7734E"/>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00D6"/>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CAC"/>
    <w:rsid w:val="00FE5F60"/>
    <w:rsid w:val="00FE7E7D"/>
    <w:rsid w:val="00FF0BBE"/>
    <w:rsid w:val="00FF0CFE"/>
    <w:rsid w:val="00FF1CD6"/>
    <w:rsid w:val="00FF20B8"/>
    <w:rsid w:val="00FF2600"/>
    <w:rsid w:val="00FF293E"/>
    <w:rsid w:val="00FF425A"/>
    <w:rsid w:val="00FF52CA"/>
    <w:rsid w:val="00FF540E"/>
    <w:rsid w:val="00FF5AE5"/>
    <w:rsid w:val="00FF6187"/>
    <w:rsid w:val="00FF6695"/>
    <w:rsid w:val="00FF70E6"/>
    <w:rsid w:val="00FF7F37"/>
    <w:rsid w:val="01165161"/>
    <w:rsid w:val="011C5E01"/>
    <w:rsid w:val="012B6EB5"/>
    <w:rsid w:val="01430944"/>
    <w:rsid w:val="017E2C16"/>
    <w:rsid w:val="019E7055"/>
    <w:rsid w:val="01BD00BD"/>
    <w:rsid w:val="01D56FDB"/>
    <w:rsid w:val="01E77CE2"/>
    <w:rsid w:val="01FB575A"/>
    <w:rsid w:val="021D01EE"/>
    <w:rsid w:val="02447E56"/>
    <w:rsid w:val="02477318"/>
    <w:rsid w:val="02495FF5"/>
    <w:rsid w:val="026C7CFC"/>
    <w:rsid w:val="026D5A4E"/>
    <w:rsid w:val="02701670"/>
    <w:rsid w:val="02733F11"/>
    <w:rsid w:val="027F08F6"/>
    <w:rsid w:val="02A575F3"/>
    <w:rsid w:val="02AF35B9"/>
    <w:rsid w:val="02CA6B87"/>
    <w:rsid w:val="02D8377B"/>
    <w:rsid w:val="02DB5B22"/>
    <w:rsid w:val="02E2117E"/>
    <w:rsid w:val="02E37266"/>
    <w:rsid w:val="02E96F84"/>
    <w:rsid w:val="02EF31FC"/>
    <w:rsid w:val="02F93C10"/>
    <w:rsid w:val="03131A0A"/>
    <w:rsid w:val="0317045D"/>
    <w:rsid w:val="031D5029"/>
    <w:rsid w:val="032A7ED9"/>
    <w:rsid w:val="03423A5A"/>
    <w:rsid w:val="036F7C83"/>
    <w:rsid w:val="03745A07"/>
    <w:rsid w:val="03832E33"/>
    <w:rsid w:val="0385300A"/>
    <w:rsid w:val="038A7E04"/>
    <w:rsid w:val="039B2A8C"/>
    <w:rsid w:val="03CD7699"/>
    <w:rsid w:val="03CF7DB1"/>
    <w:rsid w:val="03D91762"/>
    <w:rsid w:val="042910EB"/>
    <w:rsid w:val="044C50BA"/>
    <w:rsid w:val="044D40BE"/>
    <w:rsid w:val="04795ECE"/>
    <w:rsid w:val="04912838"/>
    <w:rsid w:val="04C9400E"/>
    <w:rsid w:val="04D75C17"/>
    <w:rsid w:val="04E36947"/>
    <w:rsid w:val="04F67264"/>
    <w:rsid w:val="05057FD0"/>
    <w:rsid w:val="0512059A"/>
    <w:rsid w:val="05197751"/>
    <w:rsid w:val="052878D5"/>
    <w:rsid w:val="052C3DB0"/>
    <w:rsid w:val="0530678A"/>
    <w:rsid w:val="053754ED"/>
    <w:rsid w:val="05634040"/>
    <w:rsid w:val="056969C8"/>
    <w:rsid w:val="056D6A58"/>
    <w:rsid w:val="05850883"/>
    <w:rsid w:val="059A4766"/>
    <w:rsid w:val="05BA22D5"/>
    <w:rsid w:val="05CE11DF"/>
    <w:rsid w:val="05ED4B01"/>
    <w:rsid w:val="05FE5366"/>
    <w:rsid w:val="0620398B"/>
    <w:rsid w:val="06392EB9"/>
    <w:rsid w:val="063C1F1A"/>
    <w:rsid w:val="064918B1"/>
    <w:rsid w:val="065B1338"/>
    <w:rsid w:val="065E2E82"/>
    <w:rsid w:val="06851F98"/>
    <w:rsid w:val="068F508F"/>
    <w:rsid w:val="06A829F8"/>
    <w:rsid w:val="06A85FC7"/>
    <w:rsid w:val="06B16195"/>
    <w:rsid w:val="06BE7ABF"/>
    <w:rsid w:val="06C07B07"/>
    <w:rsid w:val="06E04923"/>
    <w:rsid w:val="06FB1F19"/>
    <w:rsid w:val="07171B8C"/>
    <w:rsid w:val="071B024A"/>
    <w:rsid w:val="07203BF4"/>
    <w:rsid w:val="0722036F"/>
    <w:rsid w:val="072714D5"/>
    <w:rsid w:val="07582623"/>
    <w:rsid w:val="075E4947"/>
    <w:rsid w:val="077B122A"/>
    <w:rsid w:val="078369E9"/>
    <w:rsid w:val="07996868"/>
    <w:rsid w:val="07E47DDF"/>
    <w:rsid w:val="07F465BE"/>
    <w:rsid w:val="081B6B7D"/>
    <w:rsid w:val="08275993"/>
    <w:rsid w:val="082B14F3"/>
    <w:rsid w:val="08473E2A"/>
    <w:rsid w:val="08493F55"/>
    <w:rsid w:val="08711F7A"/>
    <w:rsid w:val="08724C55"/>
    <w:rsid w:val="088D64EC"/>
    <w:rsid w:val="08980801"/>
    <w:rsid w:val="08AF3675"/>
    <w:rsid w:val="08BA4664"/>
    <w:rsid w:val="08D8516E"/>
    <w:rsid w:val="08E52935"/>
    <w:rsid w:val="09004BD2"/>
    <w:rsid w:val="090221EB"/>
    <w:rsid w:val="091360D6"/>
    <w:rsid w:val="09502829"/>
    <w:rsid w:val="09907149"/>
    <w:rsid w:val="099171BA"/>
    <w:rsid w:val="09920086"/>
    <w:rsid w:val="099A7417"/>
    <w:rsid w:val="09A1650A"/>
    <w:rsid w:val="09CE6E57"/>
    <w:rsid w:val="09ED2E9B"/>
    <w:rsid w:val="09FC6A4A"/>
    <w:rsid w:val="0A1C12EC"/>
    <w:rsid w:val="0A2C5771"/>
    <w:rsid w:val="0A317C71"/>
    <w:rsid w:val="0A3F353B"/>
    <w:rsid w:val="0A424F95"/>
    <w:rsid w:val="0A456833"/>
    <w:rsid w:val="0A646ED7"/>
    <w:rsid w:val="0A721C92"/>
    <w:rsid w:val="0A9F23E7"/>
    <w:rsid w:val="0AA50C50"/>
    <w:rsid w:val="0AA563E0"/>
    <w:rsid w:val="0AA70613"/>
    <w:rsid w:val="0AB53782"/>
    <w:rsid w:val="0AED734F"/>
    <w:rsid w:val="0AEE3238"/>
    <w:rsid w:val="0B05024F"/>
    <w:rsid w:val="0B061DC6"/>
    <w:rsid w:val="0B0B5829"/>
    <w:rsid w:val="0B153AD8"/>
    <w:rsid w:val="0B162392"/>
    <w:rsid w:val="0B1B678E"/>
    <w:rsid w:val="0B246449"/>
    <w:rsid w:val="0B2F4CFE"/>
    <w:rsid w:val="0B4D3435"/>
    <w:rsid w:val="0B62762E"/>
    <w:rsid w:val="0B693EFC"/>
    <w:rsid w:val="0B7D1AED"/>
    <w:rsid w:val="0BA26C47"/>
    <w:rsid w:val="0BB21CA6"/>
    <w:rsid w:val="0BD240F7"/>
    <w:rsid w:val="0BE36304"/>
    <w:rsid w:val="0BE51D6D"/>
    <w:rsid w:val="0BF15118"/>
    <w:rsid w:val="0C012DAD"/>
    <w:rsid w:val="0C322744"/>
    <w:rsid w:val="0C340E00"/>
    <w:rsid w:val="0C347E14"/>
    <w:rsid w:val="0C435325"/>
    <w:rsid w:val="0C4832F7"/>
    <w:rsid w:val="0C5B236B"/>
    <w:rsid w:val="0CA526DE"/>
    <w:rsid w:val="0CB2338B"/>
    <w:rsid w:val="0CC93BD0"/>
    <w:rsid w:val="0CDD0C63"/>
    <w:rsid w:val="0CDD402E"/>
    <w:rsid w:val="0CE60AAB"/>
    <w:rsid w:val="0CE770D5"/>
    <w:rsid w:val="0CFB26C2"/>
    <w:rsid w:val="0CFD1647"/>
    <w:rsid w:val="0CFD4CA2"/>
    <w:rsid w:val="0D153AB7"/>
    <w:rsid w:val="0D1D6ADC"/>
    <w:rsid w:val="0D322104"/>
    <w:rsid w:val="0D3C1AAA"/>
    <w:rsid w:val="0D4B6713"/>
    <w:rsid w:val="0D5175A5"/>
    <w:rsid w:val="0D680BE0"/>
    <w:rsid w:val="0D6F318F"/>
    <w:rsid w:val="0D9F7034"/>
    <w:rsid w:val="0DC04296"/>
    <w:rsid w:val="0DDE6EB8"/>
    <w:rsid w:val="0DE648AE"/>
    <w:rsid w:val="0DEE1F89"/>
    <w:rsid w:val="0DFF388F"/>
    <w:rsid w:val="0E010CC3"/>
    <w:rsid w:val="0E104017"/>
    <w:rsid w:val="0E232C28"/>
    <w:rsid w:val="0E2E129C"/>
    <w:rsid w:val="0E4E3286"/>
    <w:rsid w:val="0E574EDB"/>
    <w:rsid w:val="0E5C4985"/>
    <w:rsid w:val="0E6E4FA1"/>
    <w:rsid w:val="0E7A5896"/>
    <w:rsid w:val="0E826B26"/>
    <w:rsid w:val="0E8D0923"/>
    <w:rsid w:val="0E8F564D"/>
    <w:rsid w:val="0EBC177A"/>
    <w:rsid w:val="0EE54141"/>
    <w:rsid w:val="0EEB19CA"/>
    <w:rsid w:val="0EEF3B7C"/>
    <w:rsid w:val="0EF0287C"/>
    <w:rsid w:val="0F032819"/>
    <w:rsid w:val="0F0A41C8"/>
    <w:rsid w:val="0F131B91"/>
    <w:rsid w:val="0F202306"/>
    <w:rsid w:val="0F332C27"/>
    <w:rsid w:val="0F735BCE"/>
    <w:rsid w:val="0FC006B2"/>
    <w:rsid w:val="0FC60274"/>
    <w:rsid w:val="0FC8540D"/>
    <w:rsid w:val="0FCF5908"/>
    <w:rsid w:val="100123C9"/>
    <w:rsid w:val="1013007B"/>
    <w:rsid w:val="10306071"/>
    <w:rsid w:val="103938C2"/>
    <w:rsid w:val="10551C78"/>
    <w:rsid w:val="108143DB"/>
    <w:rsid w:val="10864047"/>
    <w:rsid w:val="10911D21"/>
    <w:rsid w:val="109A365F"/>
    <w:rsid w:val="10A864AF"/>
    <w:rsid w:val="10AA3894"/>
    <w:rsid w:val="10C74658"/>
    <w:rsid w:val="10CC3251"/>
    <w:rsid w:val="10EF29DA"/>
    <w:rsid w:val="11151D3C"/>
    <w:rsid w:val="112C25E8"/>
    <w:rsid w:val="1146222F"/>
    <w:rsid w:val="11490BBA"/>
    <w:rsid w:val="116A0622"/>
    <w:rsid w:val="119B231D"/>
    <w:rsid w:val="11A467AE"/>
    <w:rsid w:val="11AE1DC7"/>
    <w:rsid w:val="11CF6595"/>
    <w:rsid w:val="11D91672"/>
    <w:rsid w:val="11DB6C39"/>
    <w:rsid w:val="11F63850"/>
    <w:rsid w:val="120C08A7"/>
    <w:rsid w:val="12216125"/>
    <w:rsid w:val="12244723"/>
    <w:rsid w:val="1234148C"/>
    <w:rsid w:val="12371A06"/>
    <w:rsid w:val="124C0577"/>
    <w:rsid w:val="125A00A9"/>
    <w:rsid w:val="126252ED"/>
    <w:rsid w:val="128A016E"/>
    <w:rsid w:val="12967DAB"/>
    <w:rsid w:val="12A513A4"/>
    <w:rsid w:val="12B15C55"/>
    <w:rsid w:val="12B409FA"/>
    <w:rsid w:val="12B96996"/>
    <w:rsid w:val="12C10639"/>
    <w:rsid w:val="12C237D3"/>
    <w:rsid w:val="12C93B43"/>
    <w:rsid w:val="12D00AD1"/>
    <w:rsid w:val="12FA453F"/>
    <w:rsid w:val="13043E38"/>
    <w:rsid w:val="13061A78"/>
    <w:rsid w:val="131163D1"/>
    <w:rsid w:val="133E5AF2"/>
    <w:rsid w:val="1351613D"/>
    <w:rsid w:val="13685340"/>
    <w:rsid w:val="136B0663"/>
    <w:rsid w:val="13835A45"/>
    <w:rsid w:val="138A2CBA"/>
    <w:rsid w:val="13904FC3"/>
    <w:rsid w:val="13A358A6"/>
    <w:rsid w:val="13CB04C7"/>
    <w:rsid w:val="13D31E2D"/>
    <w:rsid w:val="13D76026"/>
    <w:rsid w:val="13D814DA"/>
    <w:rsid w:val="13D9596F"/>
    <w:rsid w:val="13EF559F"/>
    <w:rsid w:val="13F03563"/>
    <w:rsid w:val="13F5208D"/>
    <w:rsid w:val="144440B3"/>
    <w:rsid w:val="14487879"/>
    <w:rsid w:val="145F6743"/>
    <w:rsid w:val="14681A9C"/>
    <w:rsid w:val="14B7032D"/>
    <w:rsid w:val="14C52AB2"/>
    <w:rsid w:val="14C85754"/>
    <w:rsid w:val="14EA0703"/>
    <w:rsid w:val="14F22DE6"/>
    <w:rsid w:val="14F80B7B"/>
    <w:rsid w:val="14F9290D"/>
    <w:rsid w:val="14FD37CF"/>
    <w:rsid w:val="1501044D"/>
    <w:rsid w:val="153405A5"/>
    <w:rsid w:val="155639D6"/>
    <w:rsid w:val="157738A3"/>
    <w:rsid w:val="158445F0"/>
    <w:rsid w:val="158E2CDE"/>
    <w:rsid w:val="15902EED"/>
    <w:rsid w:val="15905885"/>
    <w:rsid w:val="15A83072"/>
    <w:rsid w:val="15B04686"/>
    <w:rsid w:val="15B30701"/>
    <w:rsid w:val="15C251A0"/>
    <w:rsid w:val="15D836BC"/>
    <w:rsid w:val="15D935F5"/>
    <w:rsid w:val="15E836FE"/>
    <w:rsid w:val="164A6478"/>
    <w:rsid w:val="1662251B"/>
    <w:rsid w:val="1666091F"/>
    <w:rsid w:val="1666200B"/>
    <w:rsid w:val="167F628F"/>
    <w:rsid w:val="16A13E61"/>
    <w:rsid w:val="16B04B81"/>
    <w:rsid w:val="16BA5EB3"/>
    <w:rsid w:val="16BB6C97"/>
    <w:rsid w:val="16CB3D75"/>
    <w:rsid w:val="16EB5590"/>
    <w:rsid w:val="17072183"/>
    <w:rsid w:val="17130D48"/>
    <w:rsid w:val="1720250A"/>
    <w:rsid w:val="17406865"/>
    <w:rsid w:val="174D65A7"/>
    <w:rsid w:val="17664E76"/>
    <w:rsid w:val="1768078A"/>
    <w:rsid w:val="177C7763"/>
    <w:rsid w:val="178A3FFB"/>
    <w:rsid w:val="17900032"/>
    <w:rsid w:val="179305C7"/>
    <w:rsid w:val="179947EE"/>
    <w:rsid w:val="17A10E21"/>
    <w:rsid w:val="17AA6B4F"/>
    <w:rsid w:val="17AB10F5"/>
    <w:rsid w:val="17B369C2"/>
    <w:rsid w:val="17C95176"/>
    <w:rsid w:val="17CA36C8"/>
    <w:rsid w:val="17D80701"/>
    <w:rsid w:val="17DD0B14"/>
    <w:rsid w:val="17FA3D5F"/>
    <w:rsid w:val="17FB5A34"/>
    <w:rsid w:val="181568AD"/>
    <w:rsid w:val="18215B17"/>
    <w:rsid w:val="184C2F49"/>
    <w:rsid w:val="184E7603"/>
    <w:rsid w:val="18664544"/>
    <w:rsid w:val="18816F02"/>
    <w:rsid w:val="189D479A"/>
    <w:rsid w:val="18BD7169"/>
    <w:rsid w:val="18E123A0"/>
    <w:rsid w:val="18EC1837"/>
    <w:rsid w:val="1908025D"/>
    <w:rsid w:val="192B22DB"/>
    <w:rsid w:val="19391700"/>
    <w:rsid w:val="19434886"/>
    <w:rsid w:val="19472612"/>
    <w:rsid w:val="194A7A7C"/>
    <w:rsid w:val="196C194B"/>
    <w:rsid w:val="197E6EE5"/>
    <w:rsid w:val="198A7DBF"/>
    <w:rsid w:val="19996254"/>
    <w:rsid w:val="19BC011C"/>
    <w:rsid w:val="19BF6B5B"/>
    <w:rsid w:val="19C04D2A"/>
    <w:rsid w:val="19C14980"/>
    <w:rsid w:val="19C674BA"/>
    <w:rsid w:val="19C854EB"/>
    <w:rsid w:val="19CF3C73"/>
    <w:rsid w:val="19D6028A"/>
    <w:rsid w:val="19E77C11"/>
    <w:rsid w:val="19EF6927"/>
    <w:rsid w:val="1A0924D1"/>
    <w:rsid w:val="1A1731A8"/>
    <w:rsid w:val="1A1C0AC8"/>
    <w:rsid w:val="1A415100"/>
    <w:rsid w:val="1A46691E"/>
    <w:rsid w:val="1A7245CC"/>
    <w:rsid w:val="1A7F1120"/>
    <w:rsid w:val="1A88384B"/>
    <w:rsid w:val="1A891855"/>
    <w:rsid w:val="1AA05AFA"/>
    <w:rsid w:val="1AC51CDB"/>
    <w:rsid w:val="1AD53D96"/>
    <w:rsid w:val="1AD872CD"/>
    <w:rsid w:val="1ADB700B"/>
    <w:rsid w:val="1AE70EEC"/>
    <w:rsid w:val="1AF83F05"/>
    <w:rsid w:val="1B0778B6"/>
    <w:rsid w:val="1B14076F"/>
    <w:rsid w:val="1B14460A"/>
    <w:rsid w:val="1B275F22"/>
    <w:rsid w:val="1B4D19EC"/>
    <w:rsid w:val="1B565609"/>
    <w:rsid w:val="1B897E08"/>
    <w:rsid w:val="1BA82F7A"/>
    <w:rsid w:val="1BB22A53"/>
    <w:rsid w:val="1BBC4571"/>
    <w:rsid w:val="1C4D14DD"/>
    <w:rsid w:val="1C577BEE"/>
    <w:rsid w:val="1C5A50D6"/>
    <w:rsid w:val="1C612B8E"/>
    <w:rsid w:val="1C9710E2"/>
    <w:rsid w:val="1C9C08CB"/>
    <w:rsid w:val="1CAB759B"/>
    <w:rsid w:val="1CCB363B"/>
    <w:rsid w:val="1CD97974"/>
    <w:rsid w:val="1CEA3806"/>
    <w:rsid w:val="1CFC2CF4"/>
    <w:rsid w:val="1D0E74D8"/>
    <w:rsid w:val="1D184E2E"/>
    <w:rsid w:val="1D1E4EA5"/>
    <w:rsid w:val="1D2E15CF"/>
    <w:rsid w:val="1D371D01"/>
    <w:rsid w:val="1D4E1989"/>
    <w:rsid w:val="1D4F4055"/>
    <w:rsid w:val="1D596426"/>
    <w:rsid w:val="1D5A784A"/>
    <w:rsid w:val="1D644DCB"/>
    <w:rsid w:val="1D692DBD"/>
    <w:rsid w:val="1D6C1B7F"/>
    <w:rsid w:val="1D8A7DED"/>
    <w:rsid w:val="1D9264D1"/>
    <w:rsid w:val="1DAE1A47"/>
    <w:rsid w:val="1DD6613D"/>
    <w:rsid w:val="1DE975C0"/>
    <w:rsid w:val="1DEF0280"/>
    <w:rsid w:val="1DF3679B"/>
    <w:rsid w:val="1DFB7351"/>
    <w:rsid w:val="1DFE4402"/>
    <w:rsid w:val="1E053C26"/>
    <w:rsid w:val="1E1777C7"/>
    <w:rsid w:val="1E185DD7"/>
    <w:rsid w:val="1E5054CA"/>
    <w:rsid w:val="1E5E6F4B"/>
    <w:rsid w:val="1E6F3A27"/>
    <w:rsid w:val="1E9165E6"/>
    <w:rsid w:val="1E9B0DC4"/>
    <w:rsid w:val="1F003141"/>
    <w:rsid w:val="1F0C32E7"/>
    <w:rsid w:val="1F195B87"/>
    <w:rsid w:val="1F1E6B30"/>
    <w:rsid w:val="1F43649D"/>
    <w:rsid w:val="1F497E0E"/>
    <w:rsid w:val="1F531EF5"/>
    <w:rsid w:val="1F545D4C"/>
    <w:rsid w:val="1F5E0C8E"/>
    <w:rsid w:val="1F7603E0"/>
    <w:rsid w:val="1F974EC1"/>
    <w:rsid w:val="1F9A7EF2"/>
    <w:rsid w:val="1FA53290"/>
    <w:rsid w:val="1FB25A11"/>
    <w:rsid w:val="1FBE682E"/>
    <w:rsid w:val="1FBF47A2"/>
    <w:rsid w:val="1FFE72CB"/>
    <w:rsid w:val="20113134"/>
    <w:rsid w:val="201A79C2"/>
    <w:rsid w:val="204F2A7D"/>
    <w:rsid w:val="207610AC"/>
    <w:rsid w:val="20925A0F"/>
    <w:rsid w:val="20947F07"/>
    <w:rsid w:val="20C027B7"/>
    <w:rsid w:val="20C133F8"/>
    <w:rsid w:val="20D76575"/>
    <w:rsid w:val="20EC75B1"/>
    <w:rsid w:val="20F54E29"/>
    <w:rsid w:val="20FC0FF3"/>
    <w:rsid w:val="210C1A01"/>
    <w:rsid w:val="212030D7"/>
    <w:rsid w:val="213825E2"/>
    <w:rsid w:val="213825F5"/>
    <w:rsid w:val="217E667A"/>
    <w:rsid w:val="2190686A"/>
    <w:rsid w:val="219A0BA6"/>
    <w:rsid w:val="21AC4B67"/>
    <w:rsid w:val="21AE4778"/>
    <w:rsid w:val="21BA7186"/>
    <w:rsid w:val="21DB55D0"/>
    <w:rsid w:val="21E14C3C"/>
    <w:rsid w:val="21F73F57"/>
    <w:rsid w:val="21F93FD6"/>
    <w:rsid w:val="220723E7"/>
    <w:rsid w:val="222D5020"/>
    <w:rsid w:val="22486578"/>
    <w:rsid w:val="2267047B"/>
    <w:rsid w:val="226D6C82"/>
    <w:rsid w:val="2279615B"/>
    <w:rsid w:val="2285440D"/>
    <w:rsid w:val="22854443"/>
    <w:rsid w:val="2289405A"/>
    <w:rsid w:val="22B737F0"/>
    <w:rsid w:val="22C165E2"/>
    <w:rsid w:val="22C37D20"/>
    <w:rsid w:val="22D13EE8"/>
    <w:rsid w:val="22E06CA1"/>
    <w:rsid w:val="22F6421F"/>
    <w:rsid w:val="232146BA"/>
    <w:rsid w:val="233A3B58"/>
    <w:rsid w:val="235D2862"/>
    <w:rsid w:val="23626CF2"/>
    <w:rsid w:val="23746AC9"/>
    <w:rsid w:val="238C6F54"/>
    <w:rsid w:val="239A3BC6"/>
    <w:rsid w:val="23D42997"/>
    <w:rsid w:val="23DB32E7"/>
    <w:rsid w:val="23E915D2"/>
    <w:rsid w:val="23EF0B3E"/>
    <w:rsid w:val="23F66812"/>
    <w:rsid w:val="23FE04C7"/>
    <w:rsid w:val="24064469"/>
    <w:rsid w:val="240820A0"/>
    <w:rsid w:val="240F3266"/>
    <w:rsid w:val="24150BCD"/>
    <w:rsid w:val="24166017"/>
    <w:rsid w:val="2428634B"/>
    <w:rsid w:val="24297BEC"/>
    <w:rsid w:val="242D4C10"/>
    <w:rsid w:val="24386260"/>
    <w:rsid w:val="24661BDD"/>
    <w:rsid w:val="248B2875"/>
    <w:rsid w:val="248E3FF4"/>
    <w:rsid w:val="248E7F69"/>
    <w:rsid w:val="24956FC5"/>
    <w:rsid w:val="24CE08C5"/>
    <w:rsid w:val="24D47B93"/>
    <w:rsid w:val="25063EE1"/>
    <w:rsid w:val="251F7508"/>
    <w:rsid w:val="252B59D4"/>
    <w:rsid w:val="25315EDA"/>
    <w:rsid w:val="253F57D4"/>
    <w:rsid w:val="25781413"/>
    <w:rsid w:val="25976551"/>
    <w:rsid w:val="259859CB"/>
    <w:rsid w:val="259A3A7F"/>
    <w:rsid w:val="259D4F13"/>
    <w:rsid w:val="25AA0354"/>
    <w:rsid w:val="25AA20E0"/>
    <w:rsid w:val="25B508B9"/>
    <w:rsid w:val="25CA1509"/>
    <w:rsid w:val="25D02C7B"/>
    <w:rsid w:val="25E370BD"/>
    <w:rsid w:val="25FE6464"/>
    <w:rsid w:val="2642598F"/>
    <w:rsid w:val="265D14F8"/>
    <w:rsid w:val="26605AAB"/>
    <w:rsid w:val="26606A77"/>
    <w:rsid w:val="268335FB"/>
    <w:rsid w:val="26840B3C"/>
    <w:rsid w:val="26890A2C"/>
    <w:rsid w:val="26964303"/>
    <w:rsid w:val="269F11DD"/>
    <w:rsid w:val="26A459E8"/>
    <w:rsid w:val="26B42FB8"/>
    <w:rsid w:val="26C64BDB"/>
    <w:rsid w:val="26C95113"/>
    <w:rsid w:val="26E13390"/>
    <w:rsid w:val="27011378"/>
    <w:rsid w:val="2728199F"/>
    <w:rsid w:val="273C6F37"/>
    <w:rsid w:val="275C15F5"/>
    <w:rsid w:val="27697725"/>
    <w:rsid w:val="277560DC"/>
    <w:rsid w:val="277A4090"/>
    <w:rsid w:val="27A209C9"/>
    <w:rsid w:val="27B55FAA"/>
    <w:rsid w:val="27C6290A"/>
    <w:rsid w:val="27DD63A2"/>
    <w:rsid w:val="27F80DF0"/>
    <w:rsid w:val="281D385C"/>
    <w:rsid w:val="284A53A5"/>
    <w:rsid w:val="2862723C"/>
    <w:rsid w:val="286A13F2"/>
    <w:rsid w:val="28762BDC"/>
    <w:rsid w:val="28773C04"/>
    <w:rsid w:val="287E3BC9"/>
    <w:rsid w:val="288764B6"/>
    <w:rsid w:val="28AF33CD"/>
    <w:rsid w:val="28B82DAB"/>
    <w:rsid w:val="28C566E4"/>
    <w:rsid w:val="28E72C72"/>
    <w:rsid w:val="28E926D5"/>
    <w:rsid w:val="28FA4E51"/>
    <w:rsid w:val="28FD5E9F"/>
    <w:rsid w:val="29037231"/>
    <w:rsid w:val="291F34CE"/>
    <w:rsid w:val="293323DE"/>
    <w:rsid w:val="29464914"/>
    <w:rsid w:val="295A2FA1"/>
    <w:rsid w:val="299626D2"/>
    <w:rsid w:val="29A46996"/>
    <w:rsid w:val="29B13F72"/>
    <w:rsid w:val="29EA6657"/>
    <w:rsid w:val="29F95C04"/>
    <w:rsid w:val="2A1A67A6"/>
    <w:rsid w:val="2A1C35E5"/>
    <w:rsid w:val="2A271DA3"/>
    <w:rsid w:val="2A312D88"/>
    <w:rsid w:val="2A3A42FE"/>
    <w:rsid w:val="2A584B86"/>
    <w:rsid w:val="2A5F796B"/>
    <w:rsid w:val="2A9713EC"/>
    <w:rsid w:val="2A97233B"/>
    <w:rsid w:val="2A992B8B"/>
    <w:rsid w:val="2AAD67A9"/>
    <w:rsid w:val="2AB06CE5"/>
    <w:rsid w:val="2AE21FC9"/>
    <w:rsid w:val="2AF83396"/>
    <w:rsid w:val="2AF9092B"/>
    <w:rsid w:val="2AF94DA4"/>
    <w:rsid w:val="2B1271EB"/>
    <w:rsid w:val="2B16701E"/>
    <w:rsid w:val="2B2D5F37"/>
    <w:rsid w:val="2B2E70E5"/>
    <w:rsid w:val="2B36182B"/>
    <w:rsid w:val="2B4D1531"/>
    <w:rsid w:val="2B4E499B"/>
    <w:rsid w:val="2B8873FA"/>
    <w:rsid w:val="2BA6382D"/>
    <w:rsid w:val="2BAE26FB"/>
    <w:rsid w:val="2BB126D6"/>
    <w:rsid w:val="2BBE7D9C"/>
    <w:rsid w:val="2BCB1DC0"/>
    <w:rsid w:val="2BF1382C"/>
    <w:rsid w:val="2C0660DC"/>
    <w:rsid w:val="2C2219F0"/>
    <w:rsid w:val="2C2514B1"/>
    <w:rsid w:val="2C2936B7"/>
    <w:rsid w:val="2C302725"/>
    <w:rsid w:val="2C3E2C4C"/>
    <w:rsid w:val="2C444745"/>
    <w:rsid w:val="2C4C53CB"/>
    <w:rsid w:val="2C5021B7"/>
    <w:rsid w:val="2C5C009E"/>
    <w:rsid w:val="2C8E561B"/>
    <w:rsid w:val="2C932C69"/>
    <w:rsid w:val="2CA3369C"/>
    <w:rsid w:val="2CB42E34"/>
    <w:rsid w:val="2CBF17C9"/>
    <w:rsid w:val="2D07067D"/>
    <w:rsid w:val="2D0A0F5E"/>
    <w:rsid w:val="2D176C9A"/>
    <w:rsid w:val="2D1D1C88"/>
    <w:rsid w:val="2D2845BC"/>
    <w:rsid w:val="2D2D50F1"/>
    <w:rsid w:val="2D656721"/>
    <w:rsid w:val="2D6C56FF"/>
    <w:rsid w:val="2D731F1D"/>
    <w:rsid w:val="2D747FB5"/>
    <w:rsid w:val="2D794CD3"/>
    <w:rsid w:val="2D840E0F"/>
    <w:rsid w:val="2D8606D8"/>
    <w:rsid w:val="2D8F19F0"/>
    <w:rsid w:val="2D956272"/>
    <w:rsid w:val="2DB72CF5"/>
    <w:rsid w:val="2DC34A81"/>
    <w:rsid w:val="2DC9733B"/>
    <w:rsid w:val="2DD747EE"/>
    <w:rsid w:val="2DE87358"/>
    <w:rsid w:val="2DF738A4"/>
    <w:rsid w:val="2E1A575D"/>
    <w:rsid w:val="2E244107"/>
    <w:rsid w:val="2E414B6D"/>
    <w:rsid w:val="2E510491"/>
    <w:rsid w:val="2E665884"/>
    <w:rsid w:val="2E7B263D"/>
    <w:rsid w:val="2E9960F1"/>
    <w:rsid w:val="2EA054F3"/>
    <w:rsid w:val="2EB01C1E"/>
    <w:rsid w:val="2EB7666B"/>
    <w:rsid w:val="2EDC78EF"/>
    <w:rsid w:val="2EEA36CA"/>
    <w:rsid w:val="2EEF0612"/>
    <w:rsid w:val="2EFD676C"/>
    <w:rsid w:val="2F0C08DA"/>
    <w:rsid w:val="2F195A15"/>
    <w:rsid w:val="2F1C0499"/>
    <w:rsid w:val="2F452865"/>
    <w:rsid w:val="2F6B678F"/>
    <w:rsid w:val="2F6C6066"/>
    <w:rsid w:val="2F7D0A81"/>
    <w:rsid w:val="2FA30E6B"/>
    <w:rsid w:val="2FBE605F"/>
    <w:rsid w:val="2FC54613"/>
    <w:rsid w:val="2FD70501"/>
    <w:rsid w:val="2FE37DD1"/>
    <w:rsid w:val="2FF6227A"/>
    <w:rsid w:val="30012126"/>
    <w:rsid w:val="30113FDB"/>
    <w:rsid w:val="301A5B1F"/>
    <w:rsid w:val="301C693A"/>
    <w:rsid w:val="303D703D"/>
    <w:rsid w:val="30412189"/>
    <w:rsid w:val="30484ACC"/>
    <w:rsid w:val="305212F6"/>
    <w:rsid w:val="308607DC"/>
    <w:rsid w:val="30913B7D"/>
    <w:rsid w:val="30914478"/>
    <w:rsid w:val="309779C4"/>
    <w:rsid w:val="30A641BF"/>
    <w:rsid w:val="30B26121"/>
    <w:rsid w:val="30DB62B6"/>
    <w:rsid w:val="30E52DA1"/>
    <w:rsid w:val="31067F47"/>
    <w:rsid w:val="31072A8D"/>
    <w:rsid w:val="311845E7"/>
    <w:rsid w:val="311878A1"/>
    <w:rsid w:val="313034EA"/>
    <w:rsid w:val="314C4999"/>
    <w:rsid w:val="3153267B"/>
    <w:rsid w:val="31594BFD"/>
    <w:rsid w:val="315A3AB1"/>
    <w:rsid w:val="315C3393"/>
    <w:rsid w:val="31637517"/>
    <w:rsid w:val="31692A60"/>
    <w:rsid w:val="31C66DE9"/>
    <w:rsid w:val="31DA06DC"/>
    <w:rsid w:val="31E11017"/>
    <w:rsid w:val="31ED2820"/>
    <w:rsid w:val="31FC7A51"/>
    <w:rsid w:val="32024F1D"/>
    <w:rsid w:val="32077B1D"/>
    <w:rsid w:val="320918AF"/>
    <w:rsid w:val="320B1D69"/>
    <w:rsid w:val="32215B30"/>
    <w:rsid w:val="325038E7"/>
    <w:rsid w:val="325A6A70"/>
    <w:rsid w:val="32690824"/>
    <w:rsid w:val="327C622D"/>
    <w:rsid w:val="327D25FE"/>
    <w:rsid w:val="3284589B"/>
    <w:rsid w:val="328525EA"/>
    <w:rsid w:val="32901CAE"/>
    <w:rsid w:val="32997221"/>
    <w:rsid w:val="32AF043E"/>
    <w:rsid w:val="32B567EB"/>
    <w:rsid w:val="32DE4DFA"/>
    <w:rsid w:val="32F74A96"/>
    <w:rsid w:val="32F83D6F"/>
    <w:rsid w:val="330758A5"/>
    <w:rsid w:val="330C2E0D"/>
    <w:rsid w:val="330D3491"/>
    <w:rsid w:val="3316539E"/>
    <w:rsid w:val="333421DC"/>
    <w:rsid w:val="333E78DD"/>
    <w:rsid w:val="334C5C22"/>
    <w:rsid w:val="33625EAA"/>
    <w:rsid w:val="33B421B0"/>
    <w:rsid w:val="33B43473"/>
    <w:rsid w:val="33CD75BA"/>
    <w:rsid w:val="33E33FAE"/>
    <w:rsid w:val="33FC001B"/>
    <w:rsid w:val="3418772C"/>
    <w:rsid w:val="341F3A85"/>
    <w:rsid w:val="341F7099"/>
    <w:rsid w:val="34476B80"/>
    <w:rsid w:val="344A2B14"/>
    <w:rsid w:val="344A5EEF"/>
    <w:rsid w:val="345C616D"/>
    <w:rsid w:val="34725629"/>
    <w:rsid w:val="34766D52"/>
    <w:rsid w:val="348707C4"/>
    <w:rsid w:val="34A246FE"/>
    <w:rsid w:val="34A43FD3"/>
    <w:rsid w:val="34B92A39"/>
    <w:rsid w:val="34CD487E"/>
    <w:rsid w:val="34D40EF1"/>
    <w:rsid w:val="34E0178E"/>
    <w:rsid w:val="34E872EB"/>
    <w:rsid w:val="35075E5A"/>
    <w:rsid w:val="354B460C"/>
    <w:rsid w:val="354E5853"/>
    <w:rsid w:val="355D6ED4"/>
    <w:rsid w:val="355E7062"/>
    <w:rsid w:val="35610790"/>
    <w:rsid w:val="35727C2D"/>
    <w:rsid w:val="35777939"/>
    <w:rsid w:val="357E2BF8"/>
    <w:rsid w:val="35887B8D"/>
    <w:rsid w:val="359A5EA0"/>
    <w:rsid w:val="35AF0E93"/>
    <w:rsid w:val="35B03D92"/>
    <w:rsid w:val="35CE11B2"/>
    <w:rsid w:val="35CE5F10"/>
    <w:rsid w:val="35D228B1"/>
    <w:rsid w:val="35E83553"/>
    <w:rsid w:val="35EB3D0E"/>
    <w:rsid w:val="35F63756"/>
    <w:rsid w:val="35F964B0"/>
    <w:rsid w:val="35FC73BA"/>
    <w:rsid w:val="3602360B"/>
    <w:rsid w:val="36252C67"/>
    <w:rsid w:val="36342D97"/>
    <w:rsid w:val="3635026F"/>
    <w:rsid w:val="36350EBF"/>
    <w:rsid w:val="363A5854"/>
    <w:rsid w:val="36653F63"/>
    <w:rsid w:val="366A2295"/>
    <w:rsid w:val="366F1F7D"/>
    <w:rsid w:val="36931491"/>
    <w:rsid w:val="369A739E"/>
    <w:rsid w:val="36AA422A"/>
    <w:rsid w:val="36AB0806"/>
    <w:rsid w:val="36AF62EF"/>
    <w:rsid w:val="36BC483B"/>
    <w:rsid w:val="36C50230"/>
    <w:rsid w:val="36C505C0"/>
    <w:rsid w:val="36E57E92"/>
    <w:rsid w:val="36FA637C"/>
    <w:rsid w:val="370F76FD"/>
    <w:rsid w:val="37147DA6"/>
    <w:rsid w:val="371850DA"/>
    <w:rsid w:val="37395321"/>
    <w:rsid w:val="374227A0"/>
    <w:rsid w:val="375B4FFA"/>
    <w:rsid w:val="375E3A24"/>
    <w:rsid w:val="3763256A"/>
    <w:rsid w:val="376C29B8"/>
    <w:rsid w:val="37805C9E"/>
    <w:rsid w:val="379E4C02"/>
    <w:rsid w:val="37A06EC5"/>
    <w:rsid w:val="37B7657A"/>
    <w:rsid w:val="37BF6BE8"/>
    <w:rsid w:val="37D813CF"/>
    <w:rsid w:val="37E578E8"/>
    <w:rsid w:val="37EC2EBB"/>
    <w:rsid w:val="380F5C07"/>
    <w:rsid w:val="38116C52"/>
    <w:rsid w:val="381D1ED6"/>
    <w:rsid w:val="3828285A"/>
    <w:rsid w:val="385820E8"/>
    <w:rsid w:val="386F5003"/>
    <w:rsid w:val="38772764"/>
    <w:rsid w:val="38851FED"/>
    <w:rsid w:val="38EF5CA5"/>
    <w:rsid w:val="38F94A57"/>
    <w:rsid w:val="392B2444"/>
    <w:rsid w:val="395846F2"/>
    <w:rsid w:val="3972617B"/>
    <w:rsid w:val="398C73CF"/>
    <w:rsid w:val="39902F57"/>
    <w:rsid w:val="39927E51"/>
    <w:rsid w:val="39BF7356"/>
    <w:rsid w:val="39C74071"/>
    <w:rsid w:val="39CE2EA9"/>
    <w:rsid w:val="39E130BC"/>
    <w:rsid w:val="39EB5279"/>
    <w:rsid w:val="39F351E2"/>
    <w:rsid w:val="3A0F6E53"/>
    <w:rsid w:val="3A1315C2"/>
    <w:rsid w:val="3A366AC7"/>
    <w:rsid w:val="3A4B78A6"/>
    <w:rsid w:val="3A617EEE"/>
    <w:rsid w:val="3A62732B"/>
    <w:rsid w:val="3A641B14"/>
    <w:rsid w:val="3A684643"/>
    <w:rsid w:val="3A77503B"/>
    <w:rsid w:val="3A79612C"/>
    <w:rsid w:val="3A7B57D6"/>
    <w:rsid w:val="3A8C1478"/>
    <w:rsid w:val="3A9D1CB5"/>
    <w:rsid w:val="3AAA5143"/>
    <w:rsid w:val="3ACC55C8"/>
    <w:rsid w:val="3AE34FD2"/>
    <w:rsid w:val="3AED70F0"/>
    <w:rsid w:val="3AF83A35"/>
    <w:rsid w:val="3AFC57FC"/>
    <w:rsid w:val="3B002E88"/>
    <w:rsid w:val="3B0C3412"/>
    <w:rsid w:val="3B181276"/>
    <w:rsid w:val="3B257775"/>
    <w:rsid w:val="3B472206"/>
    <w:rsid w:val="3B681EA8"/>
    <w:rsid w:val="3BA665CB"/>
    <w:rsid w:val="3BBC30A7"/>
    <w:rsid w:val="3BC20FF1"/>
    <w:rsid w:val="3BCF3311"/>
    <w:rsid w:val="3BDC7581"/>
    <w:rsid w:val="3C0C43AB"/>
    <w:rsid w:val="3C1E44DC"/>
    <w:rsid w:val="3C316E7F"/>
    <w:rsid w:val="3C6476E4"/>
    <w:rsid w:val="3C671A8F"/>
    <w:rsid w:val="3C7D6764"/>
    <w:rsid w:val="3CDD209D"/>
    <w:rsid w:val="3CF74455"/>
    <w:rsid w:val="3D244AC1"/>
    <w:rsid w:val="3D6E41DC"/>
    <w:rsid w:val="3DA30ACA"/>
    <w:rsid w:val="3DD20930"/>
    <w:rsid w:val="3DDF4C6A"/>
    <w:rsid w:val="3DEF68B4"/>
    <w:rsid w:val="3DF7185B"/>
    <w:rsid w:val="3E0457CC"/>
    <w:rsid w:val="3E0B4374"/>
    <w:rsid w:val="3E226F59"/>
    <w:rsid w:val="3E3C61C9"/>
    <w:rsid w:val="3E5842FE"/>
    <w:rsid w:val="3E61160D"/>
    <w:rsid w:val="3E6447D3"/>
    <w:rsid w:val="3E74048E"/>
    <w:rsid w:val="3E871CCD"/>
    <w:rsid w:val="3E895662"/>
    <w:rsid w:val="3E901109"/>
    <w:rsid w:val="3EAF50C1"/>
    <w:rsid w:val="3EB04CB3"/>
    <w:rsid w:val="3EC43702"/>
    <w:rsid w:val="3ED86F05"/>
    <w:rsid w:val="3EE37DED"/>
    <w:rsid w:val="3EFC1F8A"/>
    <w:rsid w:val="3F130518"/>
    <w:rsid w:val="3F2E38A2"/>
    <w:rsid w:val="3F3F08E9"/>
    <w:rsid w:val="3F460CAD"/>
    <w:rsid w:val="3F512AD4"/>
    <w:rsid w:val="3F551B15"/>
    <w:rsid w:val="3F724875"/>
    <w:rsid w:val="3F773689"/>
    <w:rsid w:val="3F776B38"/>
    <w:rsid w:val="3F894051"/>
    <w:rsid w:val="3F9045C1"/>
    <w:rsid w:val="3FD4739C"/>
    <w:rsid w:val="3FD573D1"/>
    <w:rsid w:val="3FDE44DC"/>
    <w:rsid w:val="3FDF3BC6"/>
    <w:rsid w:val="3FE931E1"/>
    <w:rsid w:val="400B7775"/>
    <w:rsid w:val="40100FB7"/>
    <w:rsid w:val="40291232"/>
    <w:rsid w:val="402D2B5B"/>
    <w:rsid w:val="402F03FC"/>
    <w:rsid w:val="4031316B"/>
    <w:rsid w:val="40371155"/>
    <w:rsid w:val="40381A73"/>
    <w:rsid w:val="40421A6A"/>
    <w:rsid w:val="4055293D"/>
    <w:rsid w:val="406F4023"/>
    <w:rsid w:val="408706D3"/>
    <w:rsid w:val="40C77298"/>
    <w:rsid w:val="40D05741"/>
    <w:rsid w:val="40DE7BB2"/>
    <w:rsid w:val="40ED1A8B"/>
    <w:rsid w:val="40FA7E49"/>
    <w:rsid w:val="410533B5"/>
    <w:rsid w:val="411E0439"/>
    <w:rsid w:val="41301CB3"/>
    <w:rsid w:val="414633AB"/>
    <w:rsid w:val="41514383"/>
    <w:rsid w:val="4153386B"/>
    <w:rsid w:val="41580D62"/>
    <w:rsid w:val="41612AEE"/>
    <w:rsid w:val="417003E4"/>
    <w:rsid w:val="417318BA"/>
    <w:rsid w:val="41771B49"/>
    <w:rsid w:val="4199312A"/>
    <w:rsid w:val="41C25E7D"/>
    <w:rsid w:val="41C85840"/>
    <w:rsid w:val="41D56691"/>
    <w:rsid w:val="41E411F0"/>
    <w:rsid w:val="41F36F6F"/>
    <w:rsid w:val="42102AC9"/>
    <w:rsid w:val="42144AFF"/>
    <w:rsid w:val="421A2073"/>
    <w:rsid w:val="423B22E2"/>
    <w:rsid w:val="426C2D13"/>
    <w:rsid w:val="429574BD"/>
    <w:rsid w:val="42AC4DBB"/>
    <w:rsid w:val="42B60A09"/>
    <w:rsid w:val="42C62DED"/>
    <w:rsid w:val="430E5AA7"/>
    <w:rsid w:val="434D6210"/>
    <w:rsid w:val="43507DFC"/>
    <w:rsid w:val="43A80BDF"/>
    <w:rsid w:val="43B76137"/>
    <w:rsid w:val="43C1218D"/>
    <w:rsid w:val="43D96CB3"/>
    <w:rsid w:val="43DB59FA"/>
    <w:rsid w:val="43E73EC0"/>
    <w:rsid w:val="43F039EF"/>
    <w:rsid w:val="44250BE4"/>
    <w:rsid w:val="442567B2"/>
    <w:rsid w:val="44484835"/>
    <w:rsid w:val="447B7CC7"/>
    <w:rsid w:val="44AF238D"/>
    <w:rsid w:val="44C97580"/>
    <w:rsid w:val="44D04950"/>
    <w:rsid w:val="450A4345"/>
    <w:rsid w:val="450E0F53"/>
    <w:rsid w:val="450F6263"/>
    <w:rsid w:val="4513485D"/>
    <w:rsid w:val="45135271"/>
    <w:rsid w:val="451633F6"/>
    <w:rsid w:val="45165432"/>
    <w:rsid w:val="45321A08"/>
    <w:rsid w:val="4540193A"/>
    <w:rsid w:val="457923B6"/>
    <w:rsid w:val="45800144"/>
    <w:rsid w:val="458834DA"/>
    <w:rsid w:val="45B31DBE"/>
    <w:rsid w:val="460042B5"/>
    <w:rsid w:val="46080375"/>
    <w:rsid w:val="461229A2"/>
    <w:rsid w:val="461D5993"/>
    <w:rsid w:val="463C49F7"/>
    <w:rsid w:val="465E2E9B"/>
    <w:rsid w:val="46857785"/>
    <w:rsid w:val="46887A7D"/>
    <w:rsid w:val="46A60392"/>
    <w:rsid w:val="46B262A3"/>
    <w:rsid w:val="46C6375A"/>
    <w:rsid w:val="46D07286"/>
    <w:rsid w:val="46D83FB0"/>
    <w:rsid w:val="46FD19D1"/>
    <w:rsid w:val="47104707"/>
    <w:rsid w:val="47116D9C"/>
    <w:rsid w:val="4715019B"/>
    <w:rsid w:val="4717429E"/>
    <w:rsid w:val="472001FD"/>
    <w:rsid w:val="472117E3"/>
    <w:rsid w:val="473467BC"/>
    <w:rsid w:val="47591FDB"/>
    <w:rsid w:val="477B4092"/>
    <w:rsid w:val="478F4549"/>
    <w:rsid w:val="47A65E5C"/>
    <w:rsid w:val="47BF795E"/>
    <w:rsid w:val="47DE562C"/>
    <w:rsid w:val="47E738CF"/>
    <w:rsid w:val="47E86474"/>
    <w:rsid w:val="47EF0DCA"/>
    <w:rsid w:val="48154AFC"/>
    <w:rsid w:val="48332E48"/>
    <w:rsid w:val="48442DE3"/>
    <w:rsid w:val="484A3064"/>
    <w:rsid w:val="48514EDE"/>
    <w:rsid w:val="485C4777"/>
    <w:rsid w:val="48606BCD"/>
    <w:rsid w:val="48A4239B"/>
    <w:rsid w:val="48C6145D"/>
    <w:rsid w:val="48D57A0A"/>
    <w:rsid w:val="48D616D5"/>
    <w:rsid w:val="48D83DF3"/>
    <w:rsid w:val="48E50DF1"/>
    <w:rsid w:val="48E5254F"/>
    <w:rsid w:val="48ED697C"/>
    <w:rsid w:val="48FC5653"/>
    <w:rsid w:val="48FE373D"/>
    <w:rsid w:val="4905660D"/>
    <w:rsid w:val="490B4AEA"/>
    <w:rsid w:val="493413F0"/>
    <w:rsid w:val="494F13D9"/>
    <w:rsid w:val="49524730"/>
    <w:rsid w:val="495821FF"/>
    <w:rsid w:val="49777AB0"/>
    <w:rsid w:val="4986084E"/>
    <w:rsid w:val="49926A82"/>
    <w:rsid w:val="4999472F"/>
    <w:rsid w:val="49A31818"/>
    <w:rsid w:val="49A37FEF"/>
    <w:rsid w:val="49B27967"/>
    <w:rsid w:val="49B53606"/>
    <w:rsid w:val="49B539C6"/>
    <w:rsid w:val="49D87443"/>
    <w:rsid w:val="49EB466E"/>
    <w:rsid w:val="49F20B01"/>
    <w:rsid w:val="49F45E35"/>
    <w:rsid w:val="4A2E596B"/>
    <w:rsid w:val="4A3314BD"/>
    <w:rsid w:val="4A397895"/>
    <w:rsid w:val="4A6B6139"/>
    <w:rsid w:val="4A6B6760"/>
    <w:rsid w:val="4AA15B55"/>
    <w:rsid w:val="4AAD66BD"/>
    <w:rsid w:val="4AB34B18"/>
    <w:rsid w:val="4AC24D5B"/>
    <w:rsid w:val="4ADD5148"/>
    <w:rsid w:val="4AE41E96"/>
    <w:rsid w:val="4AFE7877"/>
    <w:rsid w:val="4B062707"/>
    <w:rsid w:val="4B14423E"/>
    <w:rsid w:val="4B194195"/>
    <w:rsid w:val="4B2A1DB7"/>
    <w:rsid w:val="4B3A109F"/>
    <w:rsid w:val="4B56452D"/>
    <w:rsid w:val="4B6167BA"/>
    <w:rsid w:val="4B6B4193"/>
    <w:rsid w:val="4B7F53EA"/>
    <w:rsid w:val="4B872896"/>
    <w:rsid w:val="4B986CA8"/>
    <w:rsid w:val="4BAF43AF"/>
    <w:rsid w:val="4BB20856"/>
    <w:rsid w:val="4BB45627"/>
    <w:rsid w:val="4BD0108B"/>
    <w:rsid w:val="4BE776C6"/>
    <w:rsid w:val="4BF34462"/>
    <w:rsid w:val="4C003D8D"/>
    <w:rsid w:val="4C1D02BB"/>
    <w:rsid w:val="4C1D581B"/>
    <w:rsid w:val="4C2E073D"/>
    <w:rsid w:val="4C3B4E5C"/>
    <w:rsid w:val="4C585A0F"/>
    <w:rsid w:val="4C6B058C"/>
    <w:rsid w:val="4C915441"/>
    <w:rsid w:val="4C975E1A"/>
    <w:rsid w:val="4CA17BB8"/>
    <w:rsid w:val="4CD347F5"/>
    <w:rsid w:val="4CDA460A"/>
    <w:rsid w:val="4CDD31A2"/>
    <w:rsid w:val="4CE84DB8"/>
    <w:rsid w:val="4CF96382"/>
    <w:rsid w:val="4D04354D"/>
    <w:rsid w:val="4D0F7573"/>
    <w:rsid w:val="4D1356CB"/>
    <w:rsid w:val="4D224EB5"/>
    <w:rsid w:val="4D3C3A61"/>
    <w:rsid w:val="4D4E063D"/>
    <w:rsid w:val="4D5225FE"/>
    <w:rsid w:val="4D672D52"/>
    <w:rsid w:val="4D6B792C"/>
    <w:rsid w:val="4D795394"/>
    <w:rsid w:val="4D8073AD"/>
    <w:rsid w:val="4D987972"/>
    <w:rsid w:val="4DE04487"/>
    <w:rsid w:val="4DF36049"/>
    <w:rsid w:val="4E1261CA"/>
    <w:rsid w:val="4E232BE6"/>
    <w:rsid w:val="4E2E44B5"/>
    <w:rsid w:val="4E3D46A9"/>
    <w:rsid w:val="4E3D6478"/>
    <w:rsid w:val="4E420CE6"/>
    <w:rsid w:val="4E453216"/>
    <w:rsid w:val="4E453BAD"/>
    <w:rsid w:val="4E4B1CC0"/>
    <w:rsid w:val="4E4F2988"/>
    <w:rsid w:val="4E5F400D"/>
    <w:rsid w:val="4E6439D1"/>
    <w:rsid w:val="4E74281B"/>
    <w:rsid w:val="4E7900AD"/>
    <w:rsid w:val="4E8A5B90"/>
    <w:rsid w:val="4EC80390"/>
    <w:rsid w:val="4EFE422B"/>
    <w:rsid w:val="4F6C2129"/>
    <w:rsid w:val="4F7751AF"/>
    <w:rsid w:val="4F867C7A"/>
    <w:rsid w:val="4F8F0F57"/>
    <w:rsid w:val="4FC44444"/>
    <w:rsid w:val="4FD24CB6"/>
    <w:rsid w:val="4FD5108C"/>
    <w:rsid w:val="50017646"/>
    <w:rsid w:val="500C0BB7"/>
    <w:rsid w:val="502109A2"/>
    <w:rsid w:val="502A176A"/>
    <w:rsid w:val="502B04BF"/>
    <w:rsid w:val="50372D2A"/>
    <w:rsid w:val="503D1E96"/>
    <w:rsid w:val="5051291B"/>
    <w:rsid w:val="5057196B"/>
    <w:rsid w:val="5076286F"/>
    <w:rsid w:val="509859FF"/>
    <w:rsid w:val="50CA2BBB"/>
    <w:rsid w:val="50E40C87"/>
    <w:rsid w:val="51230246"/>
    <w:rsid w:val="512A430A"/>
    <w:rsid w:val="51396F42"/>
    <w:rsid w:val="51625574"/>
    <w:rsid w:val="516528E4"/>
    <w:rsid w:val="516E1BFA"/>
    <w:rsid w:val="5185703E"/>
    <w:rsid w:val="51982F8A"/>
    <w:rsid w:val="51A83122"/>
    <w:rsid w:val="51C32F8C"/>
    <w:rsid w:val="51C439CB"/>
    <w:rsid w:val="51E1016A"/>
    <w:rsid w:val="51E52715"/>
    <w:rsid w:val="520470E0"/>
    <w:rsid w:val="520B03DF"/>
    <w:rsid w:val="520E1F51"/>
    <w:rsid w:val="520F6A58"/>
    <w:rsid w:val="52107A7E"/>
    <w:rsid w:val="52332578"/>
    <w:rsid w:val="524625DD"/>
    <w:rsid w:val="525F2EBE"/>
    <w:rsid w:val="526632DD"/>
    <w:rsid w:val="526C7972"/>
    <w:rsid w:val="52AC42CD"/>
    <w:rsid w:val="52C35E78"/>
    <w:rsid w:val="52C72CFF"/>
    <w:rsid w:val="52FD1A50"/>
    <w:rsid w:val="530A4978"/>
    <w:rsid w:val="530B022B"/>
    <w:rsid w:val="531719BC"/>
    <w:rsid w:val="531D707B"/>
    <w:rsid w:val="53341DDA"/>
    <w:rsid w:val="53497F05"/>
    <w:rsid w:val="53665D49"/>
    <w:rsid w:val="53871202"/>
    <w:rsid w:val="53946066"/>
    <w:rsid w:val="53AC7C6E"/>
    <w:rsid w:val="53AD6024"/>
    <w:rsid w:val="53AF6DF2"/>
    <w:rsid w:val="53E55924"/>
    <w:rsid w:val="53EC0963"/>
    <w:rsid w:val="53F72718"/>
    <w:rsid w:val="54124D44"/>
    <w:rsid w:val="541C4E2F"/>
    <w:rsid w:val="542157DA"/>
    <w:rsid w:val="54230E32"/>
    <w:rsid w:val="54284764"/>
    <w:rsid w:val="546F7A0F"/>
    <w:rsid w:val="547A641F"/>
    <w:rsid w:val="54BF53DE"/>
    <w:rsid w:val="54C20873"/>
    <w:rsid w:val="54DC2F70"/>
    <w:rsid w:val="54DE744F"/>
    <w:rsid w:val="54E50447"/>
    <w:rsid w:val="554A39C5"/>
    <w:rsid w:val="556F1F83"/>
    <w:rsid w:val="55750D6B"/>
    <w:rsid w:val="55766DB8"/>
    <w:rsid w:val="557F7A10"/>
    <w:rsid w:val="55903A95"/>
    <w:rsid w:val="559116CE"/>
    <w:rsid w:val="55BA31FE"/>
    <w:rsid w:val="55BD5185"/>
    <w:rsid w:val="55FF5FDA"/>
    <w:rsid w:val="56017B32"/>
    <w:rsid w:val="560C4EB1"/>
    <w:rsid w:val="560E70A6"/>
    <w:rsid w:val="560F3BA0"/>
    <w:rsid w:val="561132A1"/>
    <w:rsid w:val="562C577E"/>
    <w:rsid w:val="562F7E7C"/>
    <w:rsid w:val="563F375A"/>
    <w:rsid w:val="565A678F"/>
    <w:rsid w:val="565C086B"/>
    <w:rsid w:val="566E1F3C"/>
    <w:rsid w:val="567C4BB7"/>
    <w:rsid w:val="567E091F"/>
    <w:rsid w:val="56837A94"/>
    <w:rsid w:val="56933E7B"/>
    <w:rsid w:val="569530A1"/>
    <w:rsid w:val="56B01E87"/>
    <w:rsid w:val="56B13B36"/>
    <w:rsid w:val="56CB0123"/>
    <w:rsid w:val="56CF6287"/>
    <w:rsid w:val="56E671FD"/>
    <w:rsid w:val="56F635E8"/>
    <w:rsid w:val="570777E1"/>
    <w:rsid w:val="573148E5"/>
    <w:rsid w:val="57477C64"/>
    <w:rsid w:val="577416FB"/>
    <w:rsid w:val="57751ACA"/>
    <w:rsid w:val="578043EF"/>
    <w:rsid w:val="5799313F"/>
    <w:rsid w:val="57A22507"/>
    <w:rsid w:val="57A7711F"/>
    <w:rsid w:val="57C670EF"/>
    <w:rsid w:val="57E861F6"/>
    <w:rsid w:val="57F40DD1"/>
    <w:rsid w:val="57FC26EC"/>
    <w:rsid w:val="58252A4F"/>
    <w:rsid w:val="5829098B"/>
    <w:rsid w:val="5865495A"/>
    <w:rsid w:val="587B5271"/>
    <w:rsid w:val="589D4F7D"/>
    <w:rsid w:val="58A90B50"/>
    <w:rsid w:val="58AE200F"/>
    <w:rsid w:val="58BF5C95"/>
    <w:rsid w:val="58DB0320"/>
    <w:rsid w:val="58DF4D2A"/>
    <w:rsid w:val="58EA3588"/>
    <w:rsid w:val="58F7298A"/>
    <w:rsid w:val="590667DC"/>
    <w:rsid w:val="5919663B"/>
    <w:rsid w:val="5925233C"/>
    <w:rsid w:val="592D018B"/>
    <w:rsid w:val="593E283E"/>
    <w:rsid w:val="595D33B1"/>
    <w:rsid w:val="596A5BEB"/>
    <w:rsid w:val="596B70C0"/>
    <w:rsid w:val="59812777"/>
    <w:rsid w:val="59890E6F"/>
    <w:rsid w:val="59A33FA9"/>
    <w:rsid w:val="59A97630"/>
    <w:rsid w:val="59D57F8A"/>
    <w:rsid w:val="59E30061"/>
    <w:rsid w:val="59FF561A"/>
    <w:rsid w:val="5A072945"/>
    <w:rsid w:val="5A072F99"/>
    <w:rsid w:val="5A285312"/>
    <w:rsid w:val="5A36713D"/>
    <w:rsid w:val="5A3D2804"/>
    <w:rsid w:val="5A4B4CC0"/>
    <w:rsid w:val="5A5E3D40"/>
    <w:rsid w:val="5A6F22C5"/>
    <w:rsid w:val="5A70455A"/>
    <w:rsid w:val="5A71640A"/>
    <w:rsid w:val="5A7D0D7E"/>
    <w:rsid w:val="5A8B2422"/>
    <w:rsid w:val="5A9C5D90"/>
    <w:rsid w:val="5ACA6B16"/>
    <w:rsid w:val="5AED5059"/>
    <w:rsid w:val="5AF70BB4"/>
    <w:rsid w:val="5B055EEB"/>
    <w:rsid w:val="5B0B6244"/>
    <w:rsid w:val="5B1253ED"/>
    <w:rsid w:val="5B2979FC"/>
    <w:rsid w:val="5B33514C"/>
    <w:rsid w:val="5B3D39D4"/>
    <w:rsid w:val="5B3E71C8"/>
    <w:rsid w:val="5B4964E4"/>
    <w:rsid w:val="5B530A51"/>
    <w:rsid w:val="5B532804"/>
    <w:rsid w:val="5B6F31F3"/>
    <w:rsid w:val="5B86369A"/>
    <w:rsid w:val="5B8B4EC5"/>
    <w:rsid w:val="5BBF12A7"/>
    <w:rsid w:val="5BD97D21"/>
    <w:rsid w:val="5C007169"/>
    <w:rsid w:val="5C065119"/>
    <w:rsid w:val="5C214C7E"/>
    <w:rsid w:val="5C3505BB"/>
    <w:rsid w:val="5C351572"/>
    <w:rsid w:val="5C4573A4"/>
    <w:rsid w:val="5C4B0B42"/>
    <w:rsid w:val="5C590673"/>
    <w:rsid w:val="5C594DF3"/>
    <w:rsid w:val="5C5D5374"/>
    <w:rsid w:val="5C6B2AB9"/>
    <w:rsid w:val="5C975A0D"/>
    <w:rsid w:val="5C992482"/>
    <w:rsid w:val="5CC73049"/>
    <w:rsid w:val="5CCA41B3"/>
    <w:rsid w:val="5CD77D14"/>
    <w:rsid w:val="5CEA7785"/>
    <w:rsid w:val="5CF24906"/>
    <w:rsid w:val="5CF406C4"/>
    <w:rsid w:val="5D01144B"/>
    <w:rsid w:val="5D02340C"/>
    <w:rsid w:val="5D4D7AD4"/>
    <w:rsid w:val="5D4E2D7A"/>
    <w:rsid w:val="5D4E7137"/>
    <w:rsid w:val="5D520751"/>
    <w:rsid w:val="5D704AEA"/>
    <w:rsid w:val="5DAB4786"/>
    <w:rsid w:val="5DC75C57"/>
    <w:rsid w:val="5DCC51F1"/>
    <w:rsid w:val="5DE338BE"/>
    <w:rsid w:val="5E036F3A"/>
    <w:rsid w:val="5E202EED"/>
    <w:rsid w:val="5E236935"/>
    <w:rsid w:val="5E25730A"/>
    <w:rsid w:val="5E303FD0"/>
    <w:rsid w:val="5E425C3D"/>
    <w:rsid w:val="5E5512AB"/>
    <w:rsid w:val="5E72027F"/>
    <w:rsid w:val="5E723EDF"/>
    <w:rsid w:val="5E9466FA"/>
    <w:rsid w:val="5E981D23"/>
    <w:rsid w:val="5E9B6BBD"/>
    <w:rsid w:val="5EA24574"/>
    <w:rsid w:val="5EC40E36"/>
    <w:rsid w:val="5ED3388F"/>
    <w:rsid w:val="5EDB1520"/>
    <w:rsid w:val="5EE0577F"/>
    <w:rsid w:val="5EED4F04"/>
    <w:rsid w:val="5EF36D0A"/>
    <w:rsid w:val="5F097333"/>
    <w:rsid w:val="5F1117B9"/>
    <w:rsid w:val="5F1D1AA2"/>
    <w:rsid w:val="5F1F0576"/>
    <w:rsid w:val="5F4743A6"/>
    <w:rsid w:val="5F4E5722"/>
    <w:rsid w:val="5F700105"/>
    <w:rsid w:val="5F9F14ED"/>
    <w:rsid w:val="5FF65DF2"/>
    <w:rsid w:val="5FFA0B2E"/>
    <w:rsid w:val="60390B97"/>
    <w:rsid w:val="604B1BBB"/>
    <w:rsid w:val="604E07DE"/>
    <w:rsid w:val="60553E18"/>
    <w:rsid w:val="60771CEC"/>
    <w:rsid w:val="60936ABB"/>
    <w:rsid w:val="609C7E58"/>
    <w:rsid w:val="60A87C24"/>
    <w:rsid w:val="60B13450"/>
    <w:rsid w:val="60B976A3"/>
    <w:rsid w:val="60D34072"/>
    <w:rsid w:val="60EA683A"/>
    <w:rsid w:val="60F274AE"/>
    <w:rsid w:val="60F50971"/>
    <w:rsid w:val="60F73907"/>
    <w:rsid w:val="60FC3BE1"/>
    <w:rsid w:val="61146E5A"/>
    <w:rsid w:val="612409D1"/>
    <w:rsid w:val="61347240"/>
    <w:rsid w:val="61371BA7"/>
    <w:rsid w:val="613D213C"/>
    <w:rsid w:val="614E6EF1"/>
    <w:rsid w:val="61785DA5"/>
    <w:rsid w:val="619C5124"/>
    <w:rsid w:val="61B839A7"/>
    <w:rsid w:val="61BC1125"/>
    <w:rsid w:val="61C06808"/>
    <w:rsid w:val="61C33D0A"/>
    <w:rsid w:val="62067E81"/>
    <w:rsid w:val="62102601"/>
    <w:rsid w:val="621041A6"/>
    <w:rsid w:val="622C3D4F"/>
    <w:rsid w:val="623419DD"/>
    <w:rsid w:val="62373E29"/>
    <w:rsid w:val="623D0ADD"/>
    <w:rsid w:val="62425918"/>
    <w:rsid w:val="62594DDD"/>
    <w:rsid w:val="626D5B23"/>
    <w:rsid w:val="6271555C"/>
    <w:rsid w:val="6272085F"/>
    <w:rsid w:val="62942B4A"/>
    <w:rsid w:val="62AB1EEE"/>
    <w:rsid w:val="62B84399"/>
    <w:rsid w:val="62CE432B"/>
    <w:rsid w:val="62E442D0"/>
    <w:rsid w:val="630F3DCB"/>
    <w:rsid w:val="63100901"/>
    <w:rsid w:val="63230F69"/>
    <w:rsid w:val="63293329"/>
    <w:rsid w:val="63366193"/>
    <w:rsid w:val="63422DF6"/>
    <w:rsid w:val="634368E1"/>
    <w:rsid w:val="634D36BE"/>
    <w:rsid w:val="63513C51"/>
    <w:rsid w:val="63624ED5"/>
    <w:rsid w:val="6365255F"/>
    <w:rsid w:val="6366469C"/>
    <w:rsid w:val="636E3E33"/>
    <w:rsid w:val="637412F7"/>
    <w:rsid w:val="638372C7"/>
    <w:rsid w:val="63B14AC4"/>
    <w:rsid w:val="63BB17B5"/>
    <w:rsid w:val="63CB0968"/>
    <w:rsid w:val="63D7141F"/>
    <w:rsid w:val="63E56AA5"/>
    <w:rsid w:val="63E91523"/>
    <w:rsid w:val="63EA414E"/>
    <w:rsid w:val="63F94140"/>
    <w:rsid w:val="63FA114B"/>
    <w:rsid w:val="64070593"/>
    <w:rsid w:val="640A08E6"/>
    <w:rsid w:val="640F0F63"/>
    <w:rsid w:val="6423281B"/>
    <w:rsid w:val="64233C55"/>
    <w:rsid w:val="64267E45"/>
    <w:rsid w:val="642E5450"/>
    <w:rsid w:val="64556823"/>
    <w:rsid w:val="645E05ED"/>
    <w:rsid w:val="645F37E3"/>
    <w:rsid w:val="64675A68"/>
    <w:rsid w:val="647A09D4"/>
    <w:rsid w:val="647B1063"/>
    <w:rsid w:val="64942E6C"/>
    <w:rsid w:val="64A81CBE"/>
    <w:rsid w:val="64AF6153"/>
    <w:rsid w:val="64BB664B"/>
    <w:rsid w:val="64BD6151"/>
    <w:rsid w:val="64C033A7"/>
    <w:rsid w:val="64CC0FC7"/>
    <w:rsid w:val="64E048BE"/>
    <w:rsid w:val="64E35139"/>
    <w:rsid w:val="64E93921"/>
    <w:rsid w:val="64EE4C72"/>
    <w:rsid w:val="64F0350E"/>
    <w:rsid w:val="64F972E3"/>
    <w:rsid w:val="65014830"/>
    <w:rsid w:val="650C3D46"/>
    <w:rsid w:val="651105E7"/>
    <w:rsid w:val="65111481"/>
    <w:rsid w:val="65156A3F"/>
    <w:rsid w:val="652351A4"/>
    <w:rsid w:val="652A3D62"/>
    <w:rsid w:val="652D00D9"/>
    <w:rsid w:val="653D206A"/>
    <w:rsid w:val="654E2E77"/>
    <w:rsid w:val="65507A6D"/>
    <w:rsid w:val="65812E0E"/>
    <w:rsid w:val="65870D4C"/>
    <w:rsid w:val="658906E2"/>
    <w:rsid w:val="659D2CCA"/>
    <w:rsid w:val="65AD6933"/>
    <w:rsid w:val="65BD1C83"/>
    <w:rsid w:val="65C53F2A"/>
    <w:rsid w:val="65F02759"/>
    <w:rsid w:val="66095129"/>
    <w:rsid w:val="66251B57"/>
    <w:rsid w:val="66266191"/>
    <w:rsid w:val="66360906"/>
    <w:rsid w:val="664B4A49"/>
    <w:rsid w:val="666530BD"/>
    <w:rsid w:val="667E5B82"/>
    <w:rsid w:val="668B7764"/>
    <w:rsid w:val="669A369C"/>
    <w:rsid w:val="66AD46B9"/>
    <w:rsid w:val="66BF5A64"/>
    <w:rsid w:val="66C9479A"/>
    <w:rsid w:val="6709231B"/>
    <w:rsid w:val="670A67B8"/>
    <w:rsid w:val="672016EA"/>
    <w:rsid w:val="673C6EDB"/>
    <w:rsid w:val="6750448C"/>
    <w:rsid w:val="67575A8D"/>
    <w:rsid w:val="675F607B"/>
    <w:rsid w:val="67615AF5"/>
    <w:rsid w:val="676527E4"/>
    <w:rsid w:val="677B726B"/>
    <w:rsid w:val="679F0B13"/>
    <w:rsid w:val="67B77C72"/>
    <w:rsid w:val="67CB7757"/>
    <w:rsid w:val="67DE26FC"/>
    <w:rsid w:val="67EC2C06"/>
    <w:rsid w:val="680434DE"/>
    <w:rsid w:val="68077DF9"/>
    <w:rsid w:val="68301B29"/>
    <w:rsid w:val="68382A0F"/>
    <w:rsid w:val="684D3774"/>
    <w:rsid w:val="684E33DB"/>
    <w:rsid w:val="6867292C"/>
    <w:rsid w:val="68780368"/>
    <w:rsid w:val="688B1D3B"/>
    <w:rsid w:val="688B6020"/>
    <w:rsid w:val="68A87990"/>
    <w:rsid w:val="68D913F2"/>
    <w:rsid w:val="68DB1949"/>
    <w:rsid w:val="68EB1DD2"/>
    <w:rsid w:val="690679A3"/>
    <w:rsid w:val="69181BD9"/>
    <w:rsid w:val="69231DD9"/>
    <w:rsid w:val="6938470E"/>
    <w:rsid w:val="694D394E"/>
    <w:rsid w:val="69594684"/>
    <w:rsid w:val="695F6E2D"/>
    <w:rsid w:val="696326E5"/>
    <w:rsid w:val="69992D2E"/>
    <w:rsid w:val="69992E1C"/>
    <w:rsid w:val="69A011F1"/>
    <w:rsid w:val="69A3370D"/>
    <w:rsid w:val="69CF5077"/>
    <w:rsid w:val="69D3012C"/>
    <w:rsid w:val="69F93FC7"/>
    <w:rsid w:val="6A012283"/>
    <w:rsid w:val="6A0903B1"/>
    <w:rsid w:val="6A2B7DCF"/>
    <w:rsid w:val="6A390672"/>
    <w:rsid w:val="6A47149D"/>
    <w:rsid w:val="6A505E2F"/>
    <w:rsid w:val="6A602BAB"/>
    <w:rsid w:val="6A6D72CF"/>
    <w:rsid w:val="6A894111"/>
    <w:rsid w:val="6A9461FF"/>
    <w:rsid w:val="6AAE1F9D"/>
    <w:rsid w:val="6ABF6769"/>
    <w:rsid w:val="6AD420B4"/>
    <w:rsid w:val="6ADC5C3C"/>
    <w:rsid w:val="6B014875"/>
    <w:rsid w:val="6B032407"/>
    <w:rsid w:val="6B155E6C"/>
    <w:rsid w:val="6B2502C2"/>
    <w:rsid w:val="6B2C40D9"/>
    <w:rsid w:val="6B31732C"/>
    <w:rsid w:val="6B866672"/>
    <w:rsid w:val="6B8B0EDA"/>
    <w:rsid w:val="6BAD2384"/>
    <w:rsid w:val="6BCA620D"/>
    <w:rsid w:val="6BDF3169"/>
    <w:rsid w:val="6BE66E3E"/>
    <w:rsid w:val="6BF42D98"/>
    <w:rsid w:val="6BF568E6"/>
    <w:rsid w:val="6C0C02AC"/>
    <w:rsid w:val="6C0F4DDC"/>
    <w:rsid w:val="6C29607D"/>
    <w:rsid w:val="6C400FCB"/>
    <w:rsid w:val="6C5C4BB7"/>
    <w:rsid w:val="6C696AEF"/>
    <w:rsid w:val="6C6A4304"/>
    <w:rsid w:val="6C9844DB"/>
    <w:rsid w:val="6C9A5C8A"/>
    <w:rsid w:val="6C9B5D7E"/>
    <w:rsid w:val="6C9C0C61"/>
    <w:rsid w:val="6CB54957"/>
    <w:rsid w:val="6CC2604B"/>
    <w:rsid w:val="6CD00A4A"/>
    <w:rsid w:val="6D081B4E"/>
    <w:rsid w:val="6D0C08C7"/>
    <w:rsid w:val="6D286848"/>
    <w:rsid w:val="6D2869AA"/>
    <w:rsid w:val="6D291777"/>
    <w:rsid w:val="6D317709"/>
    <w:rsid w:val="6D3C09BA"/>
    <w:rsid w:val="6D4E1456"/>
    <w:rsid w:val="6D7B106D"/>
    <w:rsid w:val="6D7B5BDC"/>
    <w:rsid w:val="6D9817A5"/>
    <w:rsid w:val="6DD0749B"/>
    <w:rsid w:val="6DFE5DF2"/>
    <w:rsid w:val="6E057DC8"/>
    <w:rsid w:val="6E171899"/>
    <w:rsid w:val="6E1F7DCD"/>
    <w:rsid w:val="6E25040D"/>
    <w:rsid w:val="6E331948"/>
    <w:rsid w:val="6E3D257F"/>
    <w:rsid w:val="6E43575D"/>
    <w:rsid w:val="6E4363CF"/>
    <w:rsid w:val="6E511DBA"/>
    <w:rsid w:val="6E657760"/>
    <w:rsid w:val="6E7C71C9"/>
    <w:rsid w:val="6EA73E9C"/>
    <w:rsid w:val="6EB72CA6"/>
    <w:rsid w:val="6EBF67E8"/>
    <w:rsid w:val="6ECC45EB"/>
    <w:rsid w:val="6EE5392C"/>
    <w:rsid w:val="6EE97800"/>
    <w:rsid w:val="6EF22672"/>
    <w:rsid w:val="6F0B1B3C"/>
    <w:rsid w:val="6F107196"/>
    <w:rsid w:val="6F2C70A5"/>
    <w:rsid w:val="6F3D7D52"/>
    <w:rsid w:val="6F613C82"/>
    <w:rsid w:val="6F8B2BA3"/>
    <w:rsid w:val="6F911B7F"/>
    <w:rsid w:val="6F95074B"/>
    <w:rsid w:val="6FA128E1"/>
    <w:rsid w:val="6FA32553"/>
    <w:rsid w:val="6FA808C0"/>
    <w:rsid w:val="6FAB69ED"/>
    <w:rsid w:val="6FB6416A"/>
    <w:rsid w:val="6FB8592F"/>
    <w:rsid w:val="6FD20CED"/>
    <w:rsid w:val="6FD31FDD"/>
    <w:rsid w:val="6FD41400"/>
    <w:rsid w:val="6FEE40E7"/>
    <w:rsid w:val="6FF11ABB"/>
    <w:rsid w:val="6FFF04A2"/>
    <w:rsid w:val="70141073"/>
    <w:rsid w:val="701E5BE7"/>
    <w:rsid w:val="70205EFC"/>
    <w:rsid w:val="702C20E6"/>
    <w:rsid w:val="7045735C"/>
    <w:rsid w:val="70512559"/>
    <w:rsid w:val="70572F65"/>
    <w:rsid w:val="705C2C84"/>
    <w:rsid w:val="70685A20"/>
    <w:rsid w:val="70985FC2"/>
    <w:rsid w:val="70A05AF7"/>
    <w:rsid w:val="70A65F37"/>
    <w:rsid w:val="70A873C2"/>
    <w:rsid w:val="70CF5820"/>
    <w:rsid w:val="70E604A7"/>
    <w:rsid w:val="70F74EAF"/>
    <w:rsid w:val="71227A52"/>
    <w:rsid w:val="712809D0"/>
    <w:rsid w:val="71375317"/>
    <w:rsid w:val="714A72CE"/>
    <w:rsid w:val="714D3A87"/>
    <w:rsid w:val="715B5221"/>
    <w:rsid w:val="71607375"/>
    <w:rsid w:val="716418D2"/>
    <w:rsid w:val="71830F74"/>
    <w:rsid w:val="7197501A"/>
    <w:rsid w:val="719D2C86"/>
    <w:rsid w:val="71F1782D"/>
    <w:rsid w:val="71F64981"/>
    <w:rsid w:val="72022CA3"/>
    <w:rsid w:val="72104BA7"/>
    <w:rsid w:val="721B2337"/>
    <w:rsid w:val="721E4A3F"/>
    <w:rsid w:val="722241AD"/>
    <w:rsid w:val="722C2936"/>
    <w:rsid w:val="72344FDF"/>
    <w:rsid w:val="723D2223"/>
    <w:rsid w:val="723F4D28"/>
    <w:rsid w:val="7247425F"/>
    <w:rsid w:val="72516958"/>
    <w:rsid w:val="72781833"/>
    <w:rsid w:val="727E2569"/>
    <w:rsid w:val="727E5BD4"/>
    <w:rsid w:val="72892352"/>
    <w:rsid w:val="72AB6D58"/>
    <w:rsid w:val="72D212D1"/>
    <w:rsid w:val="72D6439D"/>
    <w:rsid w:val="73051BFB"/>
    <w:rsid w:val="731358A4"/>
    <w:rsid w:val="73380195"/>
    <w:rsid w:val="733E4653"/>
    <w:rsid w:val="73497518"/>
    <w:rsid w:val="734A71C2"/>
    <w:rsid w:val="737722D7"/>
    <w:rsid w:val="73867B1B"/>
    <w:rsid w:val="739E15E1"/>
    <w:rsid w:val="73A845C7"/>
    <w:rsid w:val="73D70FC8"/>
    <w:rsid w:val="73FA2A49"/>
    <w:rsid w:val="740D65E6"/>
    <w:rsid w:val="74102409"/>
    <w:rsid w:val="74296258"/>
    <w:rsid w:val="742D247D"/>
    <w:rsid w:val="74406A44"/>
    <w:rsid w:val="74A35687"/>
    <w:rsid w:val="74AC2B2F"/>
    <w:rsid w:val="74C14BE7"/>
    <w:rsid w:val="74C16645"/>
    <w:rsid w:val="74D25127"/>
    <w:rsid w:val="74D417CF"/>
    <w:rsid w:val="74DC11BE"/>
    <w:rsid w:val="74E35816"/>
    <w:rsid w:val="74FD4815"/>
    <w:rsid w:val="7512039D"/>
    <w:rsid w:val="75217CE0"/>
    <w:rsid w:val="752F25FD"/>
    <w:rsid w:val="75304D94"/>
    <w:rsid w:val="753B67D5"/>
    <w:rsid w:val="75472DE0"/>
    <w:rsid w:val="757C0194"/>
    <w:rsid w:val="75920E37"/>
    <w:rsid w:val="759B5A08"/>
    <w:rsid w:val="75A672E2"/>
    <w:rsid w:val="75B972F0"/>
    <w:rsid w:val="75CF6552"/>
    <w:rsid w:val="75E176F0"/>
    <w:rsid w:val="75E20940"/>
    <w:rsid w:val="75E42390"/>
    <w:rsid w:val="75ED4D92"/>
    <w:rsid w:val="760859F0"/>
    <w:rsid w:val="762027B2"/>
    <w:rsid w:val="76224544"/>
    <w:rsid w:val="76483F8A"/>
    <w:rsid w:val="76545372"/>
    <w:rsid w:val="765D01C7"/>
    <w:rsid w:val="76890547"/>
    <w:rsid w:val="76BB4582"/>
    <w:rsid w:val="76D11CFE"/>
    <w:rsid w:val="76D417EE"/>
    <w:rsid w:val="76D76E39"/>
    <w:rsid w:val="76DF1263"/>
    <w:rsid w:val="77077F72"/>
    <w:rsid w:val="772877DD"/>
    <w:rsid w:val="774D16E5"/>
    <w:rsid w:val="77552DEF"/>
    <w:rsid w:val="775F27D6"/>
    <w:rsid w:val="7761127E"/>
    <w:rsid w:val="77B349DE"/>
    <w:rsid w:val="77C316A6"/>
    <w:rsid w:val="77D954F7"/>
    <w:rsid w:val="77DD2CEB"/>
    <w:rsid w:val="77E43A52"/>
    <w:rsid w:val="77EA3305"/>
    <w:rsid w:val="77FD16FB"/>
    <w:rsid w:val="78237696"/>
    <w:rsid w:val="782F25C1"/>
    <w:rsid w:val="7835227A"/>
    <w:rsid w:val="78370287"/>
    <w:rsid w:val="783A38D3"/>
    <w:rsid w:val="784E2099"/>
    <w:rsid w:val="785D1817"/>
    <w:rsid w:val="786F6C4D"/>
    <w:rsid w:val="78721B06"/>
    <w:rsid w:val="787E60AE"/>
    <w:rsid w:val="787F7564"/>
    <w:rsid w:val="7880578A"/>
    <w:rsid w:val="78814BF5"/>
    <w:rsid w:val="7884123D"/>
    <w:rsid w:val="788D442C"/>
    <w:rsid w:val="78A85B3A"/>
    <w:rsid w:val="78BF4C03"/>
    <w:rsid w:val="78C1260E"/>
    <w:rsid w:val="78C3689E"/>
    <w:rsid w:val="78DA10FC"/>
    <w:rsid w:val="78E801F3"/>
    <w:rsid w:val="78EF2570"/>
    <w:rsid w:val="79111305"/>
    <w:rsid w:val="791D122B"/>
    <w:rsid w:val="792232B5"/>
    <w:rsid w:val="79233FE0"/>
    <w:rsid w:val="793346B0"/>
    <w:rsid w:val="79366BB7"/>
    <w:rsid w:val="7942294A"/>
    <w:rsid w:val="7953535B"/>
    <w:rsid w:val="797C5527"/>
    <w:rsid w:val="79864A5B"/>
    <w:rsid w:val="798D4448"/>
    <w:rsid w:val="79CA729C"/>
    <w:rsid w:val="7A192412"/>
    <w:rsid w:val="7A4E670A"/>
    <w:rsid w:val="7A70182E"/>
    <w:rsid w:val="7A753C18"/>
    <w:rsid w:val="7A827E61"/>
    <w:rsid w:val="7AA27F4E"/>
    <w:rsid w:val="7AA644B2"/>
    <w:rsid w:val="7AAA6C73"/>
    <w:rsid w:val="7AB60E23"/>
    <w:rsid w:val="7AC322A6"/>
    <w:rsid w:val="7ACA53E2"/>
    <w:rsid w:val="7B2C39A7"/>
    <w:rsid w:val="7B5B7318"/>
    <w:rsid w:val="7B6A65DD"/>
    <w:rsid w:val="7B942689"/>
    <w:rsid w:val="7B9F5615"/>
    <w:rsid w:val="7BA85AA8"/>
    <w:rsid w:val="7BAC190F"/>
    <w:rsid w:val="7BBB0A4F"/>
    <w:rsid w:val="7BC24A25"/>
    <w:rsid w:val="7BCF4C94"/>
    <w:rsid w:val="7BDE1F5D"/>
    <w:rsid w:val="7BEC3B24"/>
    <w:rsid w:val="7C260028"/>
    <w:rsid w:val="7C32636A"/>
    <w:rsid w:val="7C352C27"/>
    <w:rsid w:val="7C5956B4"/>
    <w:rsid w:val="7C612E52"/>
    <w:rsid w:val="7C6B79C1"/>
    <w:rsid w:val="7C727ADF"/>
    <w:rsid w:val="7CA419F6"/>
    <w:rsid w:val="7CAA1027"/>
    <w:rsid w:val="7CB1685A"/>
    <w:rsid w:val="7CBF4EBE"/>
    <w:rsid w:val="7CC2671A"/>
    <w:rsid w:val="7CC50B42"/>
    <w:rsid w:val="7CC740F8"/>
    <w:rsid w:val="7CCD6783"/>
    <w:rsid w:val="7CFD102D"/>
    <w:rsid w:val="7D0C7BFF"/>
    <w:rsid w:val="7D1D1878"/>
    <w:rsid w:val="7D2242D0"/>
    <w:rsid w:val="7D256FEE"/>
    <w:rsid w:val="7D2708CA"/>
    <w:rsid w:val="7D3672D2"/>
    <w:rsid w:val="7D436E30"/>
    <w:rsid w:val="7D53142B"/>
    <w:rsid w:val="7D605B8A"/>
    <w:rsid w:val="7D7B0C16"/>
    <w:rsid w:val="7D82359F"/>
    <w:rsid w:val="7D8446CF"/>
    <w:rsid w:val="7D856E27"/>
    <w:rsid w:val="7DA302E4"/>
    <w:rsid w:val="7DAB2734"/>
    <w:rsid w:val="7DC45CAC"/>
    <w:rsid w:val="7DDA305A"/>
    <w:rsid w:val="7DDB7472"/>
    <w:rsid w:val="7DE06ED6"/>
    <w:rsid w:val="7DEB371C"/>
    <w:rsid w:val="7DEE3D8E"/>
    <w:rsid w:val="7DF93D89"/>
    <w:rsid w:val="7E096221"/>
    <w:rsid w:val="7E127936"/>
    <w:rsid w:val="7E2232E8"/>
    <w:rsid w:val="7E2E0971"/>
    <w:rsid w:val="7E374363"/>
    <w:rsid w:val="7E3C4F87"/>
    <w:rsid w:val="7E4E1589"/>
    <w:rsid w:val="7E5C1D17"/>
    <w:rsid w:val="7E6855B4"/>
    <w:rsid w:val="7E730A0C"/>
    <w:rsid w:val="7EAF3F32"/>
    <w:rsid w:val="7EB6757A"/>
    <w:rsid w:val="7EB82B80"/>
    <w:rsid w:val="7EC249C5"/>
    <w:rsid w:val="7EC3172A"/>
    <w:rsid w:val="7ECC76CD"/>
    <w:rsid w:val="7ECE3578"/>
    <w:rsid w:val="7EE87CE2"/>
    <w:rsid w:val="7EF265F5"/>
    <w:rsid w:val="7EFB1D96"/>
    <w:rsid w:val="7F0B1E19"/>
    <w:rsid w:val="7F17496E"/>
    <w:rsid w:val="7F1D0D37"/>
    <w:rsid w:val="7F232E9C"/>
    <w:rsid w:val="7F3A2A76"/>
    <w:rsid w:val="7F4335F2"/>
    <w:rsid w:val="7F464F6B"/>
    <w:rsid w:val="7F6C1DC8"/>
    <w:rsid w:val="7F865669"/>
    <w:rsid w:val="7F8C0EB8"/>
    <w:rsid w:val="7F970D7E"/>
    <w:rsid w:val="7FB174AD"/>
    <w:rsid w:val="7FC655DB"/>
    <w:rsid w:val="7FC917F9"/>
    <w:rsid w:val="7FCB55F7"/>
    <w:rsid w:val="7FCB7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6"/>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5"/>
    <w:link w:val="186"/>
    <w:qFormat/>
    <w:uiPriority w:val="0"/>
    <w:pPr>
      <w:keepNext/>
      <w:keepLines/>
      <w:spacing w:before="260" w:after="260" w:line="800" w:lineRule="exact"/>
      <w:jc w:val="center"/>
      <w:outlineLvl w:val="1"/>
    </w:pPr>
    <w:rPr>
      <w:b/>
      <w:bCs/>
      <w:sz w:val="30"/>
      <w:szCs w:val="32"/>
    </w:rPr>
  </w:style>
  <w:style w:type="paragraph" w:styleId="6">
    <w:name w:val="heading 3"/>
    <w:basedOn w:val="1"/>
    <w:next w:val="1"/>
    <w:link w:val="176"/>
    <w:qFormat/>
    <w:uiPriority w:val="0"/>
    <w:pPr>
      <w:keepNext/>
      <w:keepLines/>
      <w:spacing w:before="260" w:after="260" w:line="416" w:lineRule="auto"/>
      <w:outlineLvl w:val="2"/>
    </w:pPr>
    <w:rPr>
      <w:b/>
      <w:bCs/>
      <w:sz w:val="32"/>
      <w:szCs w:val="32"/>
    </w:rPr>
  </w:style>
  <w:style w:type="paragraph" w:styleId="7">
    <w:name w:val="heading 4"/>
    <w:basedOn w:val="1"/>
    <w:next w:val="1"/>
    <w:link w:val="187"/>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8">
    <w:name w:val="heading 5"/>
    <w:basedOn w:val="9"/>
    <w:next w:val="10"/>
    <w:qFormat/>
    <w:uiPriority w:val="0"/>
    <w:pPr>
      <w:outlineLvl w:val="4"/>
    </w:pPr>
  </w:style>
  <w:style w:type="paragraph" w:styleId="11">
    <w:name w:val="heading 6"/>
    <w:basedOn w:val="9"/>
    <w:next w:val="10"/>
    <w:qFormat/>
    <w:uiPriority w:val="0"/>
    <w:pPr>
      <w:outlineLvl w:val="5"/>
    </w:pPr>
    <w:rPr>
      <w:i/>
    </w:rPr>
  </w:style>
  <w:style w:type="paragraph" w:styleId="12">
    <w:name w:val="heading 7"/>
    <w:basedOn w:val="9"/>
    <w:next w:val="10"/>
    <w:qFormat/>
    <w:uiPriority w:val="0"/>
    <w:pPr>
      <w:ind w:firstLine="360"/>
      <w:outlineLvl w:val="6"/>
    </w:pPr>
    <w:rPr>
      <w:smallCaps/>
      <w:sz w:val="23"/>
    </w:rPr>
  </w:style>
  <w:style w:type="paragraph" w:styleId="13">
    <w:name w:val="heading 8"/>
    <w:basedOn w:val="9"/>
    <w:next w:val="10"/>
    <w:qFormat/>
    <w:uiPriority w:val="0"/>
    <w:pPr>
      <w:ind w:firstLine="360"/>
      <w:outlineLvl w:val="7"/>
    </w:pPr>
    <w:rPr>
      <w:i/>
    </w:rPr>
  </w:style>
  <w:style w:type="paragraph" w:styleId="14">
    <w:name w:val="heading 9"/>
    <w:basedOn w:val="9"/>
    <w:next w:val="10"/>
    <w:qFormat/>
    <w:uiPriority w:val="0"/>
    <w:pPr>
      <w:outlineLvl w:val="8"/>
    </w:p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tabs>
        <w:tab w:val="left" w:pos="709"/>
      </w:tabs>
      <w:spacing w:line="240" w:lineRule="auto"/>
      <w:ind w:left="709" w:hanging="709"/>
    </w:pPr>
    <w:rPr>
      <w:rFonts w:ascii="宋体" w:hAnsi="宋体"/>
      <w:szCs w:val="21"/>
    </w:rPr>
  </w:style>
  <w:style w:type="paragraph" w:styleId="5">
    <w:name w:val="Normal Indent"/>
    <w:basedOn w:val="1"/>
    <w:next w:val="1"/>
    <w:link w:val="139"/>
    <w:qFormat/>
    <w:uiPriority w:val="0"/>
    <w:pPr>
      <w:ind w:firstLine="420" w:firstLineChars="200"/>
    </w:pPr>
    <w:rPr>
      <w:sz w:val="24"/>
      <w:szCs w:val="20"/>
    </w:rPr>
  </w:style>
  <w:style w:type="paragraph" w:customStyle="1" w:styleId="9">
    <w:name w:val="Heading Base"/>
    <w:basedOn w:val="10"/>
    <w:next w:val="10"/>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10">
    <w:name w:val="Body Text"/>
    <w:basedOn w:val="1"/>
    <w:next w:val="1"/>
    <w:qFormat/>
    <w:uiPriority w:val="0"/>
    <w:pPr>
      <w:adjustRightInd w:val="0"/>
      <w:spacing w:after="120" w:line="312" w:lineRule="atLeast"/>
    </w:pPr>
    <w:rPr>
      <w:kern w:val="0"/>
      <w:sz w:val="24"/>
      <w:szCs w:val="20"/>
    </w:rPr>
  </w:style>
  <w:style w:type="paragraph" w:styleId="15">
    <w:name w:val="List 3"/>
    <w:basedOn w:val="16"/>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6">
    <w:name w:val="List"/>
    <w:basedOn w:val="1"/>
    <w:qFormat/>
    <w:uiPriority w:val="0"/>
    <w:pPr>
      <w:adjustRightInd w:val="0"/>
      <w:spacing w:line="312" w:lineRule="atLeast"/>
      <w:ind w:left="420" w:hanging="420"/>
      <w:textAlignment w:val="baseline"/>
    </w:pPr>
    <w:rPr>
      <w:kern w:val="0"/>
      <w:szCs w:val="20"/>
    </w:rPr>
  </w:style>
  <w:style w:type="paragraph" w:styleId="17">
    <w:name w:val="List Number 2"/>
    <w:basedOn w:val="18"/>
    <w:qFormat/>
    <w:uiPriority w:val="0"/>
    <w:pPr>
      <w:ind w:left="1080"/>
    </w:pPr>
  </w:style>
  <w:style w:type="paragraph" w:styleId="18">
    <w:name w:val="List Number"/>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9">
    <w:name w:val="List Bullet 4"/>
    <w:basedOn w:val="20"/>
    <w:qFormat/>
    <w:uiPriority w:val="0"/>
    <w:pPr>
      <w:ind w:left="1800"/>
    </w:pPr>
  </w:style>
  <w:style w:type="paragraph" w:styleId="20">
    <w:name w:val="List Bullet"/>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1">
    <w:name w:val="caption"/>
    <w:basedOn w:val="1"/>
    <w:next w:val="1"/>
    <w:qFormat/>
    <w:uiPriority w:val="0"/>
    <w:rPr>
      <w:i/>
      <w:spacing w:val="5"/>
    </w:rPr>
  </w:style>
  <w:style w:type="paragraph" w:styleId="22">
    <w:name w:val="envelope address"/>
    <w:basedOn w:val="10"/>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3">
    <w:name w:val="Document Map"/>
    <w:basedOn w:val="1"/>
    <w:semiHidden/>
    <w:qFormat/>
    <w:uiPriority w:val="0"/>
    <w:pPr>
      <w:shd w:val="clear" w:color="auto" w:fill="000080"/>
    </w:pPr>
  </w:style>
  <w:style w:type="paragraph" w:styleId="24">
    <w:name w:val="toa heading"/>
    <w:basedOn w:val="1"/>
    <w:next w:val="1"/>
    <w:qFormat/>
    <w:uiPriority w:val="0"/>
    <w:pPr>
      <w:spacing w:before="120"/>
    </w:pPr>
    <w:rPr>
      <w:rFonts w:ascii="Arial" w:hAnsi="Arial"/>
      <w:sz w:val="24"/>
    </w:rPr>
  </w:style>
  <w:style w:type="paragraph" w:styleId="25">
    <w:name w:val="annotation text"/>
    <w:basedOn w:val="1"/>
    <w:link w:val="138"/>
    <w:qFormat/>
    <w:uiPriority w:val="0"/>
    <w:pPr>
      <w:jc w:val="left"/>
    </w:pPr>
  </w:style>
  <w:style w:type="paragraph" w:styleId="26">
    <w:name w:val="index 6"/>
    <w:basedOn w:val="1"/>
    <w:next w:val="1"/>
    <w:qFormat/>
    <w:uiPriority w:val="99"/>
    <w:pPr>
      <w:ind w:left="210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0"/>
    <w:next w:val="30"/>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30">
    <w:name w:val="Signature Company Name"/>
    <w:basedOn w:val="31"/>
    <w:next w:val="32"/>
    <w:qFormat/>
    <w:uiPriority w:val="0"/>
    <w:pPr>
      <w:spacing w:before="0"/>
    </w:pPr>
    <w:rPr>
      <w:caps/>
      <w:sz w:val="21"/>
    </w:rPr>
  </w:style>
  <w:style w:type="paragraph" w:styleId="31">
    <w:name w:val="Signature"/>
    <w:basedOn w:val="10"/>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2">
    <w:name w:val="Signature Name"/>
    <w:basedOn w:val="31"/>
    <w:next w:val="33"/>
    <w:qFormat/>
    <w:uiPriority w:val="0"/>
    <w:pPr>
      <w:spacing w:before="880"/>
    </w:pPr>
  </w:style>
  <w:style w:type="paragraph" w:customStyle="1" w:styleId="33">
    <w:name w:val="Signature Job Title"/>
    <w:basedOn w:val="31"/>
    <w:next w:val="34"/>
    <w:qFormat/>
    <w:uiPriority w:val="0"/>
    <w:pPr>
      <w:spacing w:before="0"/>
    </w:pPr>
  </w:style>
  <w:style w:type="paragraph" w:customStyle="1" w:styleId="34">
    <w:name w:val="Reference Initials"/>
    <w:basedOn w:val="10"/>
    <w:next w:val="35"/>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5">
    <w:name w:val="Enclosure"/>
    <w:basedOn w:val="10"/>
    <w:next w:val="36"/>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6">
    <w:name w:val="CC"/>
    <w:basedOn w:val="10"/>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7">
    <w:name w:val="List Bullet 3"/>
    <w:basedOn w:val="20"/>
    <w:qFormat/>
    <w:uiPriority w:val="0"/>
    <w:pPr>
      <w:ind w:left="1440"/>
    </w:pPr>
  </w:style>
  <w:style w:type="paragraph" w:styleId="38">
    <w:name w:val="Body Text Indent"/>
    <w:basedOn w:val="1"/>
    <w:link w:val="188"/>
    <w:qFormat/>
    <w:uiPriority w:val="0"/>
    <w:pPr>
      <w:spacing w:after="120"/>
      <w:ind w:left="420" w:leftChars="200"/>
    </w:pPr>
  </w:style>
  <w:style w:type="paragraph" w:styleId="39">
    <w:name w:val="List Number 3"/>
    <w:basedOn w:val="18"/>
    <w:qFormat/>
    <w:uiPriority w:val="0"/>
    <w:pPr>
      <w:ind w:left="1440"/>
    </w:pPr>
  </w:style>
  <w:style w:type="paragraph" w:styleId="40">
    <w:name w:val="List 2"/>
    <w:basedOn w:val="16"/>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1">
    <w:name w:val="List Continue"/>
    <w:basedOn w:val="16"/>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2">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3">
    <w:name w:val="List Bullet 2"/>
    <w:basedOn w:val="20"/>
    <w:qFormat/>
    <w:uiPriority w:val="0"/>
    <w:pPr>
      <w:ind w:left="1080"/>
    </w:pPr>
  </w:style>
  <w:style w:type="paragraph" w:styleId="44">
    <w:name w:val="toc 3"/>
    <w:basedOn w:val="1"/>
    <w:next w:val="1"/>
    <w:qFormat/>
    <w:uiPriority w:val="39"/>
    <w:pPr>
      <w:ind w:left="840" w:leftChars="400"/>
    </w:pPr>
  </w:style>
  <w:style w:type="paragraph" w:styleId="45">
    <w:name w:val="Plain Text"/>
    <w:basedOn w:val="1"/>
    <w:next w:val="46"/>
    <w:link w:val="146"/>
    <w:qFormat/>
    <w:uiPriority w:val="0"/>
    <w:rPr>
      <w:rFonts w:ascii="宋体" w:hAnsi="Courier New" w:cs="Courier New"/>
      <w:szCs w:val="21"/>
    </w:rPr>
  </w:style>
  <w:style w:type="paragraph" w:styleId="4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47">
    <w:name w:val="List Bullet 5"/>
    <w:basedOn w:val="20"/>
    <w:qFormat/>
    <w:uiPriority w:val="0"/>
    <w:pPr>
      <w:ind w:left="2160"/>
    </w:pPr>
  </w:style>
  <w:style w:type="paragraph" w:styleId="48">
    <w:name w:val="List Number 4"/>
    <w:basedOn w:val="18"/>
    <w:qFormat/>
    <w:uiPriority w:val="0"/>
    <w:pPr>
      <w:ind w:left="1800"/>
    </w:pPr>
  </w:style>
  <w:style w:type="paragraph" w:styleId="49">
    <w:name w:val="Date"/>
    <w:basedOn w:val="1"/>
    <w:next w:val="1"/>
    <w:link w:val="141"/>
    <w:qFormat/>
    <w:uiPriority w:val="0"/>
    <w:pPr>
      <w:ind w:left="100" w:leftChars="2500"/>
    </w:pPr>
    <w:rPr>
      <w:b/>
      <w:spacing w:val="40"/>
      <w:sz w:val="44"/>
      <w:szCs w:val="44"/>
    </w:rPr>
  </w:style>
  <w:style w:type="paragraph" w:styleId="50">
    <w:name w:val="Body Text Indent 2"/>
    <w:basedOn w:val="1"/>
    <w:qFormat/>
    <w:uiPriority w:val="0"/>
    <w:pPr>
      <w:spacing w:after="120" w:line="480" w:lineRule="auto"/>
      <w:ind w:left="420" w:leftChars="200"/>
    </w:pPr>
  </w:style>
  <w:style w:type="paragraph" w:styleId="51">
    <w:name w:val="List Continue 5"/>
    <w:basedOn w:val="41"/>
    <w:qFormat/>
    <w:uiPriority w:val="0"/>
    <w:pPr>
      <w:ind w:left="2160"/>
    </w:pPr>
  </w:style>
  <w:style w:type="paragraph" w:styleId="52">
    <w:name w:val="Balloon Text"/>
    <w:basedOn w:val="1"/>
    <w:semiHidden/>
    <w:qFormat/>
    <w:uiPriority w:val="0"/>
    <w:rPr>
      <w:sz w:val="18"/>
      <w:szCs w:val="18"/>
    </w:rPr>
  </w:style>
  <w:style w:type="paragraph" w:styleId="53">
    <w:name w:val="footer"/>
    <w:basedOn w:val="1"/>
    <w:link w:val="153"/>
    <w:qFormat/>
    <w:uiPriority w:val="0"/>
    <w:pPr>
      <w:tabs>
        <w:tab w:val="center" w:pos="4153"/>
        <w:tab w:val="right" w:pos="8306"/>
      </w:tabs>
      <w:snapToGrid w:val="0"/>
      <w:jc w:val="left"/>
    </w:pPr>
    <w:rPr>
      <w:sz w:val="18"/>
      <w:szCs w:val="18"/>
    </w:rPr>
  </w:style>
  <w:style w:type="paragraph" w:styleId="54">
    <w:name w:val="envelope return"/>
    <w:basedOn w:val="10"/>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5">
    <w:name w:val="header"/>
    <w:basedOn w:val="1"/>
    <w:link w:val="191"/>
    <w:qFormat/>
    <w:uiPriority w:val="0"/>
    <w:pPr>
      <w:pBdr>
        <w:bottom w:val="single" w:color="auto" w:sz="6" w:space="1"/>
      </w:pBdr>
      <w:tabs>
        <w:tab w:val="center" w:pos="4153"/>
        <w:tab w:val="right" w:pos="8306"/>
      </w:tabs>
      <w:snapToGrid w:val="0"/>
      <w:jc w:val="center"/>
    </w:pPr>
    <w:rPr>
      <w:sz w:val="18"/>
      <w:szCs w:val="18"/>
    </w:rPr>
  </w:style>
  <w:style w:type="paragraph" w:styleId="56">
    <w:name w:val="toc 1"/>
    <w:basedOn w:val="1"/>
    <w:next w:val="1"/>
    <w:qFormat/>
    <w:uiPriority w:val="39"/>
  </w:style>
  <w:style w:type="paragraph" w:styleId="57">
    <w:name w:val="List Continue 4"/>
    <w:basedOn w:val="41"/>
    <w:qFormat/>
    <w:uiPriority w:val="0"/>
    <w:pPr>
      <w:ind w:left="1800"/>
    </w:pPr>
  </w:style>
  <w:style w:type="paragraph" w:styleId="58">
    <w:name w:val="index heading"/>
    <w:basedOn w:val="1"/>
    <w:next w:val="59"/>
    <w:qFormat/>
    <w:uiPriority w:val="0"/>
  </w:style>
  <w:style w:type="paragraph" w:styleId="59">
    <w:name w:val="index 1"/>
    <w:basedOn w:val="1"/>
    <w:next w:val="1"/>
    <w:qFormat/>
    <w:uiPriority w:val="0"/>
    <w:pPr>
      <w:spacing w:line="240" w:lineRule="auto"/>
      <w:ind w:left="0" w:right="0" w:firstLine="0" w:firstLineChars="0"/>
    </w:pPr>
    <w:rPr>
      <w:rFonts w:ascii="Calibri" w:hAnsi="Calibri" w:cs="Calibri"/>
      <w:szCs w:val="21"/>
    </w:rPr>
  </w:style>
  <w:style w:type="paragraph" w:styleId="60">
    <w:name w:val="List Number 5"/>
    <w:basedOn w:val="18"/>
    <w:qFormat/>
    <w:uiPriority w:val="0"/>
    <w:pPr>
      <w:ind w:left="2160"/>
    </w:pPr>
  </w:style>
  <w:style w:type="paragraph" w:styleId="61">
    <w:name w:val="footnote text"/>
    <w:basedOn w:val="1"/>
    <w:qFormat/>
    <w:uiPriority w:val="0"/>
    <w:pPr>
      <w:adjustRightInd w:val="0"/>
      <w:spacing w:line="312" w:lineRule="atLeast"/>
      <w:jc w:val="left"/>
      <w:textAlignment w:val="baseline"/>
    </w:pPr>
    <w:rPr>
      <w:kern w:val="0"/>
      <w:sz w:val="18"/>
      <w:szCs w:val="20"/>
    </w:rPr>
  </w:style>
  <w:style w:type="paragraph" w:styleId="62">
    <w:name w:val="List 5"/>
    <w:basedOn w:val="16"/>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3">
    <w:name w:val="Body Text Indent 3"/>
    <w:basedOn w:val="1"/>
    <w:qFormat/>
    <w:uiPriority w:val="0"/>
    <w:pPr>
      <w:spacing w:after="120"/>
      <w:ind w:left="420" w:leftChars="200"/>
    </w:pPr>
    <w:rPr>
      <w:sz w:val="16"/>
      <w:szCs w:val="16"/>
    </w:rPr>
  </w:style>
  <w:style w:type="paragraph" w:styleId="64">
    <w:name w:val="toc 2"/>
    <w:basedOn w:val="1"/>
    <w:next w:val="1"/>
    <w:qFormat/>
    <w:uiPriority w:val="39"/>
    <w:pPr>
      <w:ind w:left="420" w:leftChars="200"/>
    </w:pPr>
  </w:style>
  <w:style w:type="paragraph" w:styleId="65">
    <w:name w:val="Body Text 2"/>
    <w:basedOn w:val="1"/>
    <w:qFormat/>
    <w:uiPriority w:val="0"/>
    <w:pPr>
      <w:spacing w:after="120" w:line="480" w:lineRule="auto"/>
    </w:pPr>
  </w:style>
  <w:style w:type="paragraph" w:styleId="66">
    <w:name w:val="List 4"/>
    <w:basedOn w:val="16"/>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7">
    <w:name w:val="List Continue 2"/>
    <w:basedOn w:val="41"/>
    <w:qFormat/>
    <w:uiPriority w:val="0"/>
    <w:pPr>
      <w:ind w:left="1080"/>
    </w:pPr>
  </w:style>
  <w:style w:type="paragraph" w:styleId="68">
    <w:name w:val="Normal (Web)"/>
    <w:basedOn w:val="1"/>
    <w:next w:val="69"/>
    <w:qFormat/>
    <w:uiPriority w:val="0"/>
    <w:pPr>
      <w:widowControl/>
      <w:spacing w:before="100" w:beforeAutospacing="1" w:after="100" w:afterAutospacing="1"/>
      <w:jc w:val="left"/>
    </w:pPr>
    <w:rPr>
      <w:rFonts w:ascii="宋体" w:hAnsi="宋体" w:cs="宋体"/>
      <w:kern w:val="0"/>
      <w:sz w:val="24"/>
    </w:rPr>
  </w:style>
  <w:style w:type="paragraph" w:customStyle="1" w:styleId="69">
    <w:name w:val="目录 41"/>
    <w:next w:val="1"/>
    <w:qFormat/>
    <w:uiPriority w:val="0"/>
    <w:pPr>
      <w:wordWrap w:val="0"/>
      <w:ind w:left="1275"/>
      <w:jc w:val="both"/>
    </w:pPr>
    <w:rPr>
      <w:rFonts w:ascii="Calibri" w:hAnsi="Calibri" w:eastAsia="宋体" w:cs="Times New Roman"/>
      <w:sz w:val="21"/>
      <w:lang w:val="en-US" w:eastAsia="zh-CN" w:bidi="ar-SA"/>
    </w:rPr>
  </w:style>
  <w:style w:type="paragraph" w:styleId="70">
    <w:name w:val="List Continue 3"/>
    <w:basedOn w:val="41"/>
    <w:qFormat/>
    <w:uiPriority w:val="0"/>
    <w:pPr>
      <w:ind w:left="1440"/>
    </w:pPr>
  </w:style>
  <w:style w:type="paragraph" w:styleId="71">
    <w:name w:val="annotation subject"/>
    <w:basedOn w:val="25"/>
    <w:next w:val="25"/>
    <w:link w:val="147"/>
    <w:qFormat/>
    <w:uiPriority w:val="0"/>
    <w:rPr>
      <w:b/>
      <w:bCs/>
    </w:rPr>
  </w:style>
  <w:style w:type="paragraph" w:styleId="72">
    <w:name w:val="Body Text First Indent"/>
    <w:basedOn w:val="10"/>
    <w:qFormat/>
    <w:uiPriority w:val="0"/>
    <w:pPr>
      <w:adjustRightInd/>
      <w:spacing w:line="240" w:lineRule="auto"/>
      <w:ind w:firstLine="420" w:firstLineChars="100"/>
    </w:pPr>
    <w:rPr>
      <w:kern w:val="2"/>
      <w:sz w:val="21"/>
      <w:szCs w:val="24"/>
    </w:rPr>
  </w:style>
  <w:style w:type="paragraph" w:styleId="73">
    <w:name w:val="Body Text First Indent 2"/>
    <w:basedOn w:val="38"/>
    <w:link w:val="189"/>
    <w:qFormat/>
    <w:uiPriority w:val="0"/>
    <w:pPr>
      <w:ind w:firstLine="420" w:firstLineChars="200"/>
    </w:p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7">
    <w:name w:val="Strong"/>
    <w:basedOn w:val="76"/>
    <w:qFormat/>
    <w:uiPriority w:val="0"/>
    <w:rPr>
      <w:b/>
    </w:rPr>
  </w:style>
  <w:style w:type="character" w:styleId="78">
    <w:name w:val="page number"/>
    <w:basedOn w:val="76"/>
    <w:qFormat/>
    <w:uiPriority w:val="0"/>
  </w:style>
  <w:style w:type="character" w:styleId="79">
    <w:name w:val="Emphasis"/>
    <w:basedOn w:val="76"/>
    <w:qFormat/>
    <w:uiPriority w:val="0"/>
    <w:rPr>
      <w:caps/>
      <w:sz w:val="18"/>
    </w:rPr>
  </w:style>
  <w:style w:type="character" w:styleId="80">
    <w:name w:val="line number"/>
    <w:qFormat/>
    <w:uiPriority w:val="0"/>
    <w:rPr>
      <w:rFonts w:ascii="Garamond" w:hAnsi="Garamond"/>
      <w:sz w:val="21"/>
    </w:rPr>
  </w:style>
  <w:style w:type="character" w:styleId="81">
    <w:name w:val="Hyperlink"/>
    <w:basedOn w:val="76"/>
    <w:qFormat/>
    <w:uiPriority w:val="0"/>
    <w:rPr>
      <w:color w:val="0000FF"/>
      <w:u w:val="single"/>
    </w:rPr>
  </w:style>
  <w:style w:type="character" w:styleId="82">
    <w:name w:val="annotation reference"/>
    <w:qFormat/>
    <w:uiPriority w:val="0"/>
    <w:rPr>
      <w:sz w:val="21"/>
      <w:szCs w:val="21"/>
    </w:rPr>
  </w:style>
  <w:style w:type="paragraph" w:customStyle="1" w:styleId="8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Char1 Char Char Char Char"/>
    <w:basedOn w:val="1"/>
    <w:qFormat/>
    <w:uiPriority w:val="0"/>
  </w:style>
  <w:style w:type="paragraph" w:customStyle="1" w:styleId="86">
    <w:name w:val="Picture"/>
    <w:basedOn w:val="1"/>
    <w:next w:val="21"/>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7">
    <w:name w:val="段"/>
    <w:link w:val="152"/>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8">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9">
    <w:name w:val="Header First"/>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0">
    <w:name w:val="列出段落21"/>
    <w:basedOn w:val="1"/>
    <w:qFormat/>
    <w:uiPriority w:val="0"/>
    <w:pPr>
      <w:spacing w:line="240" w:lineRule="auto"/>
      <w:ind w:left="0" w:right="0" w:firstLine="420" w:firstLineChars="200"/>
    </w:pPr>
    <w:rPr>
      <w:rFonts w:ascii="Calibri" w:hAnsi="Calibri"/>
      <w:szCs w:val="21"/>
    </w:rPr>
  </w:style>
  <w:style w:type="paragraph" w:customStyle="1" w:styleId="91">
    <w:name w:val="_Style 35"/>
    <w:basedOn w:val="1"/>
    <w:qFormat/>
    <w:uiPriority w:val="0"/>
    <w:pPr>
      <w:widowControl/>
      <w:spacing w:after="160" w:line="240" w:lineRule="exact"/>
      <w:jc w:val="left"/>
    </w:pPr>
    <w:rPr>
      <w:szCs w:val="20"/>
    </w:rPr>
  </w:style>
  <w:style w:type="paragraph" w:customStyle="1" w:styleId="9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Attention Line"/>
    <w:basedOn w:val="1"/>
    <w:next w:val="27"/>
    <w:qFormat/>
    <w:uiPriority w:val="0"/>
    <w:pPr>
      <w:widowControl/>
      <w:spacing w:before="220"/>
      <w:ind w:left="840" w:right="-360"/>
      <w:jc w:val="left"/>
    </w:pPr>
    <w:rPr>
      <w:rFonts w:eastAsia="Times New Roman"/>
      <w:kern w:val="0"/>
      <w:sz w:val="20"/>
      <w:szCs w:val="20"/>
      <w:lang w:eastAsia="en-US"/>
    </w:rPr>
  </w:style>
  <w:style w:type="paragraph" w:customStyle="1" w:styleId="95">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6">
    <w:name w:val="Block Quotation"/>
    <w:basedOn w:val="10"/>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7">
    <w:name w:val="默认段落字体 Para Char Char Char Char Char Char Char"/>
    <w:basedOn w:val="1"/>
    <w:qFormat/>
    <w:uiPriority w:val="0"/>
    <w:rPr>
      <w:rFonts w:ascii="Tahoma" w:hAnsi="Tahoma"/>
      <w:sz w:val="24"/>
      <w:szCs w:val="20"/>
    </w:rPr>
  </w:style>
  <w:style w:type="paragraph" w:customStyle="1" w:styleId="98">
    <w:name w:val="Company Name"/>
    <w:basedOn w:val="10"/>
    <w:next w:val="10"/>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9">
    <w:name w:val="Char1 Char Char Char Char2"/>
    <w:basedOn w:val="1"/>
    <w:qFormat/>
    <w:uiPriority w:val="0"/>
    <w:pPr>
      <w:spacing w:line="240" w:lineRule="auto"/>
      <w:ind w:left="0" w:right="0" w:firstLine="0" w:firstLineChars="0"/>
    </w:pPr>
    <w:rPr>
      <w:szCs w:val="20"/>
    </w:rPr>
  </w:style>
  <w:style w:type="paragraph" w:customStyle="1" w:styleId="100">
    <w:name w:val="Char Char3"/>
    <w:basedOn w:val="1"/>
    <w:qFormat/>
    <w:uiPriority w:val="0"/>
  </w:style>
  <w:style w:type="paragraph" w:customStyle="1" w:styleId="101">
    <w:name w:val="Char Char1 Char"/>
    <w:basedOn w:val="1"/>
    <w:qFormat/>
    <w:uiPriority w:val="0"/>
  </w:style>
  <w:style w:type="paragraph" w:customStyle="1" w:styleId="102">
    <w:name w:val="标题1"/>
    <w:basedOn w:val="1"/>
    <w:qFormat/>
    <w:uiPriority w:val="0"/>
    <w:pPr>
      <w:widowControl/>
      <w:jc w:val="center"/>
    </w:pPr>
    <w:rPr>
      <w:rFonts w:ascii="黑体" w:eastAsia="黑体"/>
      <w:b/>
      <w:kern w:val="0"/>
      <w:sz w:val="44"/>
      <w:szCs w:val="20"/>
    </w:rPr>
  </w:style>
  <w:style w:type="paragraph" w:customStyle="1" w:styleId="103">
    <w:name w:val="Char Char Char Char Char Char1"/>
    <w:basedOn w:val="1"/>
    <w:qFormat/>
    <w:uiPriority w:val="0"/>
    <w:rPr>
      <w:rFonts w:ascii="Tahoma" w:hAnsi="Tahoma"/>
      <w:sz w:val="24"/>
      <w:szCs w:val="20"/>
    </w:rPr>
  </w:style>
  <w:style w:type="paragraph" w:customStyle="1" w:styleId="104">
    <w:name w:val="Subject Line"/>
    <w:basedOn w:val="10"/>
    <w:next w:val="10"/>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05">
    <w:name w:val="xl31"/>
    <w:basedOn w:val="1"/>
    <w:qFormat/>
    <w:uiPriority w:val="0"/>
    <w:pPr>
      <w:widowControl/>
      <w:spacing w:before="100" w:beforeAutospacing="1" w:after="100" w:afterAutospacing="1"/>
      <w:jc w:val="center"/>
    </w:pPr>
    <w:rPr>
      <w:kern w:val="0"/>
      <w:sz w:val="36"/>
      <w:szCs w:val="36"/>
    </w:rPr>
  </w:style>
  <w:style w:type="paragraph" w:customStyle="1" w:styleId="106">
    <w:name w:val="Char Char Char"/>
    <w:basedOn w:val="1"/>
    <w:qFormat/>
    <w:uiPriority w:val="0"/>
    <w:rPr>
      <w:rFonts w:ascii="Tahoma" w:hAnsi="Tahoma"/>
      <w:sz w:val="24"/>
      <w:szCs w:val="20"/>
    </w:rPr>
  </w:style>
  <w:style w:type="paragraph" w:customStyle="1" w:styleId="107">
    <w:name w:val="Inside Address"/>
    <w:basedOn w:val="10"/>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8">
    <w:name w:val="Char Char15 Char Char"/>
    <w:basedOn w:val="1"/>
    <w:qFormat/>
    <w:uiPriority w:val="0"/>
    <w:pPr>
      <w:spacing w:line="240" w:lineRule="auto"/>
      <w:ind w:left="0" w:right="0" w:firstLine="0" w:firstLineChars="0"/>
    </w:pPr>
    <w:rPr>
      <w:szCs w:val="20"/>
    </w:rPr>
  </w:style>
  <w:style w:type="paragraph" w:customStyle="1" w:styleId="109">
    <w:name w:val="Char Char Char1"/>
    <w:basedOn w:val="1"/>
    <w:qFormat/>
    <w:uiPriority w:val="0"/>
    <w:rPr>
      <w:rFonts w:ascii="Tahoma" w:hAnsi="Tahoma"/>
      <w:sz w:val="24"/>
      <w:szCs w:val="20"/>
    </w:rPr>
  </w:style>
  <w:style w:type="paragraph" w:customStyle="1" w:styleId="110">
    <w:name w:val="Char Char1 Char Char Char Char Char Char Char Char Char Char"/>
    <w:basedOn w:val="1"/>
    <w:qFormat/>
    <w:uiPriority w:val="0"/>
    <w:rPr>
      <w:rFonts w:ascii="Tahoma" w:hAnsi="Tahoma"/>
      <w:sz w:val="24"/>
      <w:szCs w:val="20"/>
    </w:rPr>
  </w:style>
  <w:style w:type="paragraph" w:customStyle="1" w:styleId="111">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2">
    <w:name w:val="表格文字"/>
    <w:basedOn w:val="1"/>
    <w:qFormat/>
    <w:uiPriority w:val="0"/>
    <w:pPr>
      <w:spacing w:before="25" w:after="25" w:line="300" w:lineRule="auto"/>
    </w:pPr>
    <w:rPr>
      <w:rFonts w:ascii="Times" w:hAnsi="Times"/>
      <w:spacing w:val="10"/>
      <w:kern w:val="0"/>
      <w:sz w:val="24"/>
      <w:szCs w:val="20"/>
    </w:rPr>
  </w:style>
  <w:style w:type="paragraph" w:customStyle="1" w:styleId="113">
    <w:name w:val="Footnote Base"/>
    <w:basedOn w:val="10"/>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14">
    <w:name w:val="Char1 Char Char Char Char1"/>
    <w:basedOn w:val="1"/>
    <w:qFormat/>
    <w:uiPriority w:val="0"/>
    <w:pPr>
      <w:widowControl/>
      <w:spacing w:after="160" w:line="240" w:lineRule="exact"/>
      <w:jc w:val="left"/>
    </w:pPr>
    <w:rPr>
      <w:szCs w:val="20"/>
    </w:rPr>
  </w:style>
  <w:style w:type="paragraph" w:customStyle="1" w:styleId="115">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16">
    <w:name w:val="Char Char Char Char Char Char"/>
    <w:basedOn w:val="1"/>
    <w:qFormat/>
    <w:uiPriority w:val="0"/>
    <w:rPr>
      <w:rFonts w:ascii="Tahoma" w:hAnsi="Tahoma"/>
      <w:sz w:val="24"/>
      <w:szCs w:val="20"/>
    </w:rPr>
  </w:style>
  <w:style w:type="paragraph" w:customStyle="1" w:styleId="117">
    <w:name w:val="p0"/>
    <w:basedOn w:val="1"/>
    <w:qFormat/>
    <w:uiPriority w:val="0"/>
    <w:pPr>
      <w:widowControl/>
    </w:pPr>
    <w:rPr>
      <w:kern w:val="0"/>
      <w:szCs w:val="21"/>
    </w:rPr>
  </w:style>
  <w:style w:type="paragraph" w:customStyle="1" w:styleId="118">
    <w:name w:val="Char Char7"/>
    <w:basedOn w:val="1"/>
    <w:qFormat/>
    <w:uiPriority w:val="0"/>
    <w:pPr>
      <w:spacing w:line="240" w:lineRule="auto"/>
      <w:ind w:left="0" w:right="0" w:firstLine="0" w:firstLineChars="0"/>
    </w:pPr>
  </w:style>
  <w:style w:type="paragraph" w:customStyle="1" w:styleId="119">
    <w:name w:val="Char1 Char Char"/>
    <w:basedOn w:val="1"/>
    <w:qFormat/>
    <w:uiPriority w:val="0"/>
    <w:pPr>
      <w:widowControl/>
      <w:spacing w:after="160" w:line="240" w:lineRule="exact"/>
      <w:ind w:left="0" w:right="0" w:firstLine="0" w:firstLineChars="0"/>
      <w:jc w:val="left"/>
    </w:pPr>
    <w:rPr>
      <w:szCs w:val="20"/>
    </w:rPr>
  </w:style>
  <w:style w:type="paragraph" w:customStyle="1" w:styleId="120">
    <w:name w:val="Char Char Char Char"/>
    <w:basedOn w:val="1"/>
    <w:qFormat/>
    <w:uiPriority w:val="0"/>
    <w:rPr>
      <w:szCs w:val="20"/>
    </w:rPr>
  </w:style>
  <w:style w:type="paragraph" w:customStyle="1" w:styleId="121">
    <w:name w:val="Char1 Char Char Char Char3"/>
    <w:basedOn w:val="1"/>
    <w:qFormat/>
    <w:uiPriority w:val="0"/>
    <w:rPr>
      <w:szCs w:val="20"/>
    </w:rPr>
  </w:style>
  <w:style w:type="paragraph" w:customStyle="1" w:styleId="122">
    <w:name w:val="列出段落1"/>
    <w:basedOn w:val="1"/>
    <w:qFormat/>
    <w:uiPriority w:val="0"/>
    <w:pPr>
      <w:ind w:firstLine="420" w:firstLineChars="200"/>
    </w:pPr>
    <w:rPr>
      <w:rFonts w:ascii="Calibri" w:hAnsi="Calibri"/>
      <w:szCs w:val="22"/>
    </w:rPr>
  </w:style>
  <w:style w:type="paragraph" w:customStyle="1" w:styleId="123">
    <w:name w:val="Header Odd"/>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4">
    <w:name w:val="Char Char8 Char Char"/>
    <w:basedOn w:val="1"/>
    <w:qFormat/>
    <w:uiPriority w:val="0"/>
    <w:pPr>
      <w:widowControl/>
      <w:spacing w:after="160" w:line="240" w:lineRule="exact"/>
      <w:jc w:val="left"/>
    </w:pPr>
    <w:rPr>
      <w:szCs w:val="20"/>
    </w:rPr>
  </w:style>
  <w:style w:type="paragraph" w:customStyle="1" w:styleId="125">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26">
    <w:name w:val="Header Even"/>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8">
    <w:name w:val="Header Base"/>
    <w:basedOn w:val="10"/>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9">
    <w:name w:val="Body Text Keep"/>
    <w:basedOn w:val="10"/>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0">
    <w:name w:val="Char"/>
    <w:basedOn w:val="1"/>
    <w:qFormat/>
    <w:uiPriority w:val="0"/>
    <w:rPr>
      <w:rFonts w:ascii="Tahoma" w:hAnsi="Tahoma"/>
      <w:sz w:val="24"/>
      <w:szCs w:val="20"/>
    </w:rPr>
  </w:style>
  <w:style w:type="paragraph" w:customStyle="1" w:styleId="131">
    <w:name w:val="Char1"/>
    <w:basedOn w:val="1"/>
    <w:qFormat/>
    <w:uiPriority w:val="0"/>
    <w:rPr>
      <w:rFonts w:ascii="Tahoma" w:hAnsi="Tahoma"/>
      <w:sz w:val="24"/>
      <w:szCs w:val="20"/>
    </w:rPr>
  </w:style>
  <w:style w:type="paragraph" w:customStyle="1" w:styleId="132">
    <w:name w:val="正文格式"/>
    <w:basedOn w:val="1"/>
    <w:qFormat/>
    <w:uiPriority w:val="0"/>
    <w:pPr>
      <w:ind w:firstLine="420" w:firstLineChars="200"/>
    </w:pPr>
    <w:rPr>
      <w:sz w:val="28"/>
      <w:szCs w:val="20"/>
    </w:rPr>
  </w:style>
  <w:style w:type="paragraph" w:customStyle="1" w:styleId="133">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34">
    <w:name w:val="题注5"/>
    <w:basedOn w:val="1"/>
    <w:next w:val="21"/>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35">
    <w:name w:val="题注4"/>
    <w:basedOn w:val="1"/>
    <w:next w:val="21"/>
    <w:qFormat/>
    <w:uiPriority w:val="0"/>
    <w:pPr>
      <w:ind w:left="-132" w:leftChars="-64" w:right="-50" w:rightChars="-50" w:hanging="2"/>
      <w:jc w:val="center"/>
    </w:pPr>
    <w:rPr>
      <w:b/>
      <w:color w:val="FF0000"/>
    </w:rPr>
  </w:style>
  <w:style w:type="character" w:customStyle="1" w:styleId="136">
    <w:name w:val="Superscript"/>
    <w:qFormat/>
    <w:uiPriority w:val="0"/>
    <w:rPr>
      <w:vertAlign w:val="superscript"/>
    </w:rPr>
  </w:style>
  <w:style w:type="character" w:customStyle="1" w:styleId="137">
    <w:name w:val="font41"/>
    <w:qFormat/>
    <w:uiPriority w:val="0"/>
    <w:rPr>
      <w:rFonts w:hint="default" w:ascii="Times New Roman" w:hAnsi="Times New Roman" w:cs="Times New Roman"/>
      <w:color w:val="000000"/>
      <w:sz w:val="24"/>
      <w:szCs w:val="24"/>
      <w:u w:val="none"/>
    </w:rPr>
  </w:style>
  <w:style w:type="character" w:customStyle="1" w:styleId="138">
    <w:name w:val="批注文字 Char"/>
    <w:link w:val="25"/>
    <w:qFormat/>
    <w:uiPriority w:val="0"/>
    <w:rPr>
      <w:kern w:val="2"/>
      <w:sz w:val="21"/>
      <w:szCs w:val="24"/>
    </w:rPr>
  </w:style>
  <w:style w:type="character" w:customStyle="1" w:styleId="139">
    <w:name w:val="正文缩进 Char"/>
    <w:link w:val="5"/>
    <w:qFormat/>
    <w:locked/>
    <w:uiPriority w:val="99"/>
    <w:rPr>
      <w:rFonts w:eastAsia="宋体"/>
      <w:kern w:val="2"/>
      <w:sz w:val="24"/>
      <w:lang w:val="en-US" w:eastAsia="zh-CN" w:bidi="ar-SA"/>
    </w:rPr>
  </w:style>
  <w:style w:type="character" w:customStyle="1" w:styleId="140">
    <w:name w:val="font81"/>
    <w:qFormat/>
    <w:uiPriority w:val="0"/>
    <w:rPr>
      <w:rFonts w:hint="eastAsia" w:ascii="宋体" w:hAnsi="宋体" w:eastAsia="宋体"/>
      <w:color w:val="000000"/>
      <w:sz w:val="22"/>
      <w:szCs w:val="22"/>
      <w:u w:val="none"/>
    </w:rPr>
  </w:style>
  <w:style w:type="character" w:customStyle="1" w:styleId="141">
    <w:name w:val="日期 Char"/>
    <w:link w:val="49"/>
    <w:qFormat/>
    <w:uiPriority w:val="0"/>
    <w:rPr>
      <w:rFonts w:eastAsia="宋体"/>
      <w:b/>
      <w:spacing w:val="40"/>
      <w:kern w:val="2"/>
      <w:sz w:val="44"/>
      <w:szCs w:val="44"/>
      <w:lang w:val="en-US" w:eastAsia="zh-CN" w:bidi="ar-SA"/>
    </w:rPr>
  </w:style>
  <w:style w:type="character" w:customStyle="1" w:styleId="142">
    <w:name w:val="正文缩进1 Char1"/>
    <w:qFormat/>
    <w:locked/>
    <w:uiPriority w:val="0"/>
    <w:rPr>
      <w:rFonts w:eastAsia="宋体"/>
      <w:sz w:val="21"/>
      <w:lang w:val="en-US" w:eastAsia="zh-CN" w:bidi="ar-SA"/>
    </w:rPr>
  </w:style>
  <w:style w:type="character" w:customStyle="1" w:styleId="143">
    <w:name w:val="font61"/>
    <w:qFormat/>
    <w:uiPriority w:val="0"/>
    <w:rPr>
      <w:rFonts w:hint="eastAsia" w:ascii="宋体" w:hAnsi="宋体" w:eastAsia="宋体"/>
      <w:color w:val="000000"/>
      <w:sz w:val="18"/>
      <w:szCs w:val="18"/>
      <w:u w:val="none"/>
      <w:vertAlign w:val="superscript"/>
    </w:rPr>
  </w:style>
  <w:style w:type="character" w:customStyle="1" w:styleId="144">
    <w:name w:val="普通文字 Char1"/>
    <w:qFormat/>
    <w:uiPriority w:val="0"/>
    <w:rPr>
      <w:rFonts w:ascii="宋体" w:hAnsi="Courier New" w:eastAsia="宋体"/>
      <w:kern w:val="2"/>
      <w:sz w:val="21"/>
      <w:lang w:val="en-US" w:eastAsia="zh-CN" w:bidi="ar-SA"/>
    </w:rPr>
  </w:style>
  <w:style w:type="character" w:customStyle="1" w:styleId="145">
    <w:name w:val="普通文字 Char Char Char"/>
    <w:qFormat/>
    <w:uiPriority w:val="0"/>
    <w:rPr>
      <w:rFonts w:ascii="宋体" w:hAnsi="Courier New" w:eastAsia="宋体"/>
      <w:kern w:val="2"/>
      <w:sz w:val="21"/>
      <w:lang w:val="en-US" w:eastAsia="zh-CN" w:bidi="ar-SA"/>
    </w:rPr>
  </w:style>
  <w:style w:type="character" w:customStyle="1" w:styleId="146">
    <w:name w:val="纯文本 Char1"/>
    <w:link w:val="45"/>
    <w:qFormat/>
    <w:uiPriority w:val="0"/>
    <w:rPr>
      <w:rFonts w:ascii="宋体" w:hAnsi="Courier New" w:eastAsia="宋体" w:cs="Courier New"/>
      <w:kern w:val="2"/>
      <w:sz w:val="21"/>
      <w:szCs w:val="21"/>
      <w:lang w:val="en-US" w:eastAsia="zh-CN" w:bidi="ar-SA"/>
    </w:rPr>
  </w:style>
  <w:style w:type="character" w:customStyle="1" w:styleId="147">
    <w:name w:val="批注主题 Char"/>
    <w:link w:val="71"/>
    <w:qFormat/>
    <w:uiPriority w:val="0"/>
    <w:rPr>
      <w:b/>
      <w:bCs/>
      <w:kern w:val="2"/>
      <w:sz w:val="21"/>
      <w:szCs w:val="24"/>
    </w:rPr>
  </w:style>
  <w:style w:type="character" w:customStyle="1" w:styleId="148">
    <w:name w:val="font71"/>
    <w:qFormat/>
    <w:uiPriority w:val="0"/>
    <w:rPr>
      <w:rFonts w:hint="default" w:ascii="Times New Roman" w:hAnsi="Times New Roman" w:cs="Times New Roman"/>
      <w:color w:val="000000"/>
      <w:sz w:val="24"/>
      <w:szCs w:val="24"/>
      <w:u w:val="none"/>
    </w:rPr>
  </w:style>
  <w:style w:type="character" w:customStyle="1" w:styleId="149">
    <w:name w:val="纯文本 Char"/>
    <w:qFormat/>
    <w:uiPriority w:val="0"/>
    <w:rPr>
      <w:rFonts w:ascii="宋体" w:hAnsi="Courier New" w:eastAsia="宋体" w:cs="Courier New"/>
      <w:kern w:val="2"/>
      <w:sz w:val="21"/>
      <w:szCs w:val="21"/>
      <w:lang w:val="en-US" w:eastAsia="zh-CN" w:bidi="ar-SA"/>
    </w:rPr>
  </w:style>
  <w:style w:type="character" w:customStyle="1" w:styleId="150">
    <w:name w:val="Lead-in Emphasis"/>
    <w:qFormat/>
    <w:uiPriority w:val="0"/>
    <w:rPr>
      <w:caps/>
      <w:sz w:val="18"/>
    </w:rPr>
  </w:style>
  <w:style w:type="character" w:customStyle="1" w:styleId="151">
    <w:name w:val="纯文本 Char Char Char"/>
    <w:qFormat/>
    <w:uiPriority w:val="0"/>
    <w:rPr>
      <w:rFonts w:ascii="宋体" w:hAnsi="Courier New" w:eastAsia="仿宋_GB2312"/>
      <w:kern w:val="2"/>
      <w:sz w:val="30"/>
      <w:lang w:val="en-US" w:eastAsia="zh-CN" w:bidi="ar-SA"/>
    </w:rPr>
  </w:style>
  <w:style w:type="character" w:customStyle="1" w:styleId="152">
    <w:name w:val="段 Char"/>
    <w:link w:val="87"/>
    <w:qFormat/>
    <w:uiPriority w:val="0"/>
    <w:rPr>
      <w:rFonts w:ascii="宋体"/>
      <w:sz w:val="21"/>
      <w:lang w:val="en-US" w:eastAsia="zh-CN" w:bidi="ar-SA"/>
    </w:rPr>
  </w:style>
  <w:style w:type="character" w:customStyle="1" w:styleId="153">
    <w:name w:val="页脚 Char"/>
    <w:link w:val="53"/>
    <w:qFormat/>
    <w:uiPriority w:val="0"/>
    <w:rPr>
      <w:kern w:val="2"/>
      <w:sz w:val="18"/>
      <w:szCs w:val="18"/>
    </w:rPr>
  </w:style>
  <w:style w:type="character" w:customStyle="1" w:styleId="154">
    <w:name w:val="Slogan"/>
    <w:qFormat/>
    <w:uiPriority w:val="0"/>
    <w:rPr>
      <w:i/>
      <w:spacing w:val="70"/>
    </w:rPr>
  </w:style>
  <w:style w:type="character" w:customStyle="1" w:styleId="155">
    <w:name w:val="font21"/>
    <w:qFormat/>
    <w:uiPriority w:val="0"/>
    <w:rPr>
      <w:rFonts w:hint="eastAsia" w:ascii="宋体" w:hAnsi="宋体" w:eastAsia="宋体"/>
      <w:color w:val="000000"/>
      <w:sz w:val="24"/>
      <w:szCs w:val="24"/>
      <w:u w:val="none"/>
    </w:rPr>
  </w:style>
  <w:style w:type="character" w:customStyle="1" w:styleId="156">
    <w:name w:val="font91"/>
    <w:qFormat/>
    <w:uiPriority w:val="0"/>
    <w:rPr>
      <w:rFonts w:hint="eastAsia" w:ascii="宋体" w:hAnsi="宋体" w:eastAsia="宋体"/>
      <w:color w:val="000000"/>
      <w:sz w:val="18"/>
      <w:szCs w:val="18"/>
      <w:u w:val="none"/>
    </w:rPr>
  </w:style>
  <w:style w:type="character" w:customStyle="1" w:styleId="157">
    <w:name w:val="font01"/>
    <w:qFormat/>
    <w:uiPriority w:val="0"/>
    <w:rPr>
      <w:rFonts w:hint="eastAsia" w:ascii="宋体" w:hAnsi="宋体" w:eastAsia="宋体"/>
      <w:color w:val="000000"/>
      <w:sz w:val="24"/>
      <w:szCs w:val="24"/>
      <w:u w:val="none"/>
    </w:rPr>
  </w:style>
  <w:style w:type="character" w:customStyle="1" w:styleId="158">
    <w:name w:val="font51"/>
    <w:qFormat/>
    <w:uiPriority w:val="0"/>
    <w:rPr>
      <w:rFonts w:hint="eastAsia" w:ascii="宋体" w:hAnsi="宋体" w:eastAsia="宋体"/>
      <w:color w:val="000000"/>
      <w:sz w:val="18"/>
      <w:szCs w:val="18"/>
      <w:u w:val="none"/>
    </w:rPr>
  </w:style>
  <w:style w:type="character" w:customStyle="1" w:styleId="159">
    <w:name w:val="font11"/>
    <w:basedOn w:val="76"/>
    <w:qFormat/>
    <w:uiPriority w:val="0"/>
    <w:rPr>
      <w:rFonts w:hint="eastAsia" w:ascii="宋体" w:hAnsi="宋体" w:eastAsia="宋体" w:cs="宋体"/>
      <w:color w:val="000000"/>
      <w:sz w:val="20"/>
      <w:szCs w:val="20"/>
      <w:u w:val="none"/>
    </w:rPr>
  </w:style>
  <w:style w:type="paragraph" w:customStyle="1" w:styleId="160">
    <w:name w:val="Default Text"/>
    <w:link w:val="16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62">
    <w:name w:val="子标题"/>
    <w:basedOn w:val="1"/>
    <w:qFormat/>
    <w:uiPriority w:val="0"/>
    <w:pPr>
      <w:ind w:firstLine="200" w:firstLineChars="200"/>
      <w:jc w:val="center"/>
    </w:pPr>
    <w:rPr>
      <w:rFonts w:eastAsia="新宋体"/>
      <w:sz w:val="28"/>
    </w:rPr>
  </w:style>
  <w:style w:type="paragraph" w:customStyle="1" w:styleId="163">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4">
    <w:name w:val="List Paragraph"/>
    <w:basedOn w:val="1"/>
    <w:unhideWhenUsed/>
    <w:qFormat/>
    <w:uiPriority w:val="0"/>
    <w:pPr>
      <w:ind w:firstLine="420" w:firstLineChars="200"/>
    </w:pPr>
  </w:style>
  <w:style w:type="character" w:customStyle="1" w:styleId="165">
    <w:name w:val="Default Text Char Char"/>
    <w:link w:val="160"/>
    <w:qFormat/>
    <w:uiPriority w:val="0"/>
    <w:rPr>
      <w:rFonts w:ascii="Times New Roman" w:hAnsi="Times New Roman"/>
      <w:color w:val="000000"/>
      <w:sz w:val="24"/>
      <w:szCs w:val="24"/>
    </w:rPr>
  </w:style>
  <w:style w:type="character" w:customStyle="1" w:styleId="166">
    <w:name w:val="标题 1 Char"/>
    <w:link w:val="3"/>
    <w:qFormat/>
    <w:uiPriority w:val="0"/>
    <w:rPr>
      <w:rFonts w:ascii="Times New Roman" w:hAnsi="Times New Roman"/>
      <w:b/>
      <w:kern w:val="44"/>
      <w:sz w:val="32"/>
    </w:rPr>
  </w:style>
  <w:style w:type="paragraph" w:customStyle="1" w:styleId="167">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9">
    <w:name w:val="日期1"/>
    <w:basedOn w:val="1"/>
    <w:next w:val="1"/>
    <w:qFormat/>
    <w:uiPriority w:val="0"/>
    <w:pPr>
      <w:overflowPunct w:val="0"/>
      <w:autoSpaceDE w:val="0"/>
      <w:autoSpaceDN w:val="0"/>
      <w:adjustRightInd w:val="0"/>
    </w:pPr>
    <w:rPr>
      <w:rFonts w:ascii="宋体"/>
      <w:szCs w:val="20"/>
    </w:rPr>
  </w:style>
  <w:style w:type="paragraph" w:customStyle="1" w:styleId="170">
    <w:name w:val="正文_15_0"/>
    <w:basedOn w:val="171"/>
    <w:next w:val="172"/>
    <w:qFormat/>
    <w:uiPriority w:val="0"/>
    <w:rPr>
      <w:rFonts w:ascii="Times New Roman" w:hAnsi="Times New Roman"/>
      <w:szCs w:val="21"/>
    </w:rPr>
  </w:style>
  <w:style w:type="paragraph" w:customStyle="1" w:styleId="171">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列表_0"/>
    <w:basedOn w:val="170"/>
    <w:qFormat/>
    <w:uiPriority w:val="0"/>
    <w:pPr>
      <w:spacing w:beforeLines="100" w:after="100" w:afterAutospacing="1" w:line="360" w:lineRule="auto"/>
      <w:jc w:val="center"/>
    </w:pPr>
    <w:rPr>
      <w:rFonts w:ascii="宋体" w:hAnsi="宋体"/>
      <w:b/>
      <w:bCs/>
      <w:sz w:val="28"/>
      <w:szCs w:val="28"/>
    </w:rPr>
  </w:style>
  <w:style w:type="character" w:customStyle="1" w:styleId="173">
    <w:name w:val="10_0"/>
    <w:basedOn w:val="76"/>
    <w:qFormat/>
    <w:uiPriority w:val="0"/>
    <w:rPr>
      <w:rFonts w:hint="default" w:ascii="Times New Roman" w:hAnsi="Times New Roman" w:eastAsia="宋体" w:cs="Times New Roman"/>
    </w:rPr>
  </w:style>
  <w:style w:type="character" w:customStyle="1" w:styleId="174">
    <w:name w:val="font31"/>
    <w:basedOn w:val="76"/>
    <w:qFormat/>
    <w:uiPriority w:val="0"/>
    <w:rPr>
      <w:rFonts w:hint="eastAsia" w:ascii="宋体" w:hAnsi="宋体" w:eastAsia="宋体" w:cs="宋体"/>
      <w:color w:val="000000"/>
      <w:sz w:val="20"/>
      <w:szCs w:val="20"/>
      <w:u w:val="none"/>
    </w:rPr>
  </w:style>
  <w:style w:type="paragraph" w:customStyle="1" w:styleId="175">
    <w:name w:val="List Paragraph1"/>
    <w:basedOn w:val="1"/>
    <w:qFormat/>
    <w:uiPriority w:val="0"/>
    <w:pPr>
      <w:ind w:firstLine="420" w:firstLineChars="200"/>
    </w:pPr>
  </w:style>
  <w:style w:type="character" w:customStyle="1" w:styleId="176">
    <w:name w:val="标题 3 Char"/>
    <w:link w:val="6"/>
    <w:qFormat/>
    <w:uiPriority w:val="0"/>
    <w:rPr>
      <w:b/>
      <w:bCs/>
      <w:sz w:val="32"/>
      <w:szCs w:val="32"/>
    </w:rPr>
  </w:style>
  <w:style w:type="paragraph" w:styleId="177">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79">
    <w:name w:val="索引 11"/>
    <w:basedOn w:val="1"/>
    <w:next w:val="1"/>
    <w:qFormat/>
    <w:uiPriority w:val="0"/>
    <w:rPr>
      <w:rFonts w:ascii="仿宋_GB2312" w:eastAsia="仿宋_GB2312"/>
      <w:sz w:val="24"/>
      <w:szCs w:val="20"/>
    </w:rPr>
  </w:style>
  <w:style w:type="paragraph" w:customStyle="1" w:styleId="180">
    <w:name w:val="纯文本1"/>
    <w:basedOn w:val="1"/>
    <w:qFormat/>
    <w:uiPriority w:val="0"/>
    <w:rPr>
      <w:rFonts w:ascii="宋体" w:hAnsi="Courier New"/>
      <w:kern w:val="0"/>
      <w:sz w:val="20"/>
      <w:szCs w:val="20"/>
    </w:rPr>
  </w:style>
  <w:style w:type="paragraph" w:customStyle="1" w:styleId="181">
    <w:name w:val="TOC 标题1"/>
    <w:basedOn w:val="3"/>
    <w:next w:val="1"/>
    <w:unhideWhenUsed/>
    <w:qFormat/>
    <w:uiPriority w:val="39"/>
    <w:pPr>
      <w:pageBreakBefore w:val="0"/>
      <w:widowControl/>
      <w:numPr>
        <w:numId w:val="0"/>
      </w:numPr>
      <w:tabs>
        <w:tab w:val="clear" w:pos="3060"/>
      </w:tabs>
      <w:adjustRightInd/>
      <w:spacing w:before="240" w:after="0" w:line="259" w:lineRule="auto"/>
      <w:ind w:right="0"/>
      <w:jc w:val="left"/>
      <w:outlineLvl w:val="9"/>
    </w:pPr>
    <w:rPr>
      <w:rFonts w:asciiTheme="majorHAnsi" w:hAnsiTheme="majorHAnsi" w:eastAsiaTheme="majorEastAsia" w:cstheme="majorBidi"/>
      <w:b w:val="0"/>
      <w:color w:val="366091" w:themeColor="accent1" w:themeShade="BF"/>
      <w:kern w:val="0"/>
      <w:szCs w:val="32"/>
    </w:rPr>
  </w:style>
  <w:style w:type="character" w:customStyle="1" w:styleId="182">
    <w:name w:val="正文文本_"/>
    <w:basedOn w:val="76"/>
    <w:link w:val="183"/>
    <w:qFormat/>
    <w:uiPriority w:val="0"/>
    <w:rPr>
      <w:rFonts w:ascii="MingLiU" w:hAnsi="MingLiU" w:eastAsia="MingLiU" w:cs="MingLiU"/>
      <w:sz w:val="40"/>
      <w:szCs w:val="40"/>
      <w:shd w:val="clear" w:color="auto" w:fill="FFFFFF"/>
      <w:lang w:val="zh-CN" w:bidi="zh-CN"/>
    </w:rPr>
  </w:style>
  <w:style w:type="paragraph" w:customStyle="1" w:styleId="183">
    <w:name w:val="正文文本1"/>
    <w:basedOn w:val="1"/>
    <w:link w:val="182"/>
    <w:qFormat/>
    <w:uiPriority w:val="0"/>
    <w:pPr>
      <w:shd w:val="clear" w:color="auto" w:fill="FFFFFF"/>
      <w:spacing w:line="480" w:lineRule="auto"/>
      <w:ind w:left="0" w:right="0" w:firstLine="400" w:firstLineChars="0"/>
      <w:jc w:val="left"/>
    </w:pPr>
    <w:rPr>
      <w:rFonts w:ascii="MingLiU" w:hAnsi="MingLiU" w:eastAsia="MingLiU" w:cs="MingLiU"/>
      <w:kern w:val="0"/>
      <w:sz w:val="40"/>
      <w:szCs w:val="40"/>
      <w:lang w:val="zh-CN" w:bidi="zh-CN"/>
    </w:rPr>
  </w:style>
  <w:style w:type="paragraph" w:customStyle="1" w:styleId="184">
    <w:name w:val="Table Paragraph"/>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185">
    <w:name w:val="Char Char Char Char Char Char2 Char Char Char Char Char Char Char Char Char Char"/>
    <w:basedOn w:val="1"/>
    <w:qFormat/>
    <w:uiPriority w:val="0"/>
  </w:style>
  <w:style w:type="character" w:customStyle="1" w:styleId="186">
    <w:name w:val="标题 2 Char"/>
    <w:basedOn w:val="76"/>
    <w:link w:val="4"/>
    <w:qFormat/>
    <w:uiPriority w:val="0"/>
    <w:rPr>
      <w:b/>
      <w:bCs/>
      <w:kern w:val="2"/>
      <w:sz w:val="30"/>
      <w:szCs w:val="32"/>
    </w:rPr>
  </w:style>
  <w:style w:type="character" w:customStyle="1" w:styleId="187">
    <w:name w:val="标题 4 Char"/>
    <w:basedOn w:val="76"/>
    <w:link w:val="7"/>
    <w:qFormat/>
    <w:uiPriority w:val="0"/>
    <w:rPr>
      <w:rFonts w:ascii="Arial" w:hAnsi="Arial" w:eastAsia="黑体"/>
      <w:b/>
      <w:bCs/>
      <w:kern w:val="2"/>
      <w:sz w:val="28"/>
      <w:szCs w:val="28"/>
    </w:rPr>
  </w:style>
  <w:style w:type="character" w:customStyle="1" w:styleId="188">
    <w:name w:val="正文文本缩进 Char"/>
    <w:basedOn w:val="76"/>
    <w:link w:val="38"/>
    <w:qFormat/>
    <w:uiPriority w:val="0"/>
    <w:rPr>
      <w:kern w:val="2"/>
      <w:sz w:val="21"/>
      <w:szCs w:val="24"/>
    </w:rPr>
  </w:style>
  <w:style w:type="character" w:customStyle="1" w:styleId="189">
    <w:name w:val="正文首行缩进 2 Char"/>
    <w:basedOn w:val="188"/>
    <w:link w:val="73"/>
    <w:qFormat/>
    <w:uiPriority w:val="0"/>
  </w:style>
  <w:style w:type="paragraph" w:customStyle="1" w:styleId="190">
    <w:name w:val="*正文"/>
    <w:basedOn w:val="1"/>
    <w:qFormat/>
    <w:uiPriority w:val="0"/>
    <w:pPr>
      <w:spacing w:after="120"/>
      <w:ind w:left="0" w:right="0" w:firstLine="480" w:firstLineChars="200"/>
    </w:pPr>
    <w:rPr>
      <w:rFonts w:ascii="宋体" w:hAnsi="宋体"/>
      <w:kern w:val="0"/>
      <w:sz w:val="24"/>
      <w:szCs w:val="22"/>
      <w:lang w:val="zh-CN"/>
    </w:rPr>
  </w:style>
  <w:style w:type="character" w:customStyle="1" w:styleId="191">
    <w:name w:val="页眉 Char"/>
    <w:basedOn w:val="76"/>
    <w:link w:val="5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8C0BF-105E-4466-B09D-EB90F7A45D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30075</Words>
  <Characters>31935</Characters>
  <Lines>372</Lines>
  <Paragraphs>104</Paragraphs>
  <TotalTime>2</TotalTime>
  <ScaleCrop>false</ScaleCrop>
  <LinksUpToDate>false</LinksUpToDate>
  <CharactersWithSpaces>33706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x</cp:lastModifiedBy>
  <cp:lastPrinted>2021-08-18T04:37:00Z</cp:lastPrinted>
  <dcterms:modified xsi:type="dcterms:W3CDTF">2022-12-02T04:40:13Z</dcterms:modified>
  <dc:title>2017年中山市政府绩效管理咨询服务项目</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B2515640003A42C38E8DA04FED66D476</vt:lpwstr>
  </property>
</Properties>
</file>