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60"/>
          <w:tab w:val="left" w:pos="3480"/>
          <w:tab w:val="left" w:pos="4980"/>
        </w:tabs>
        <w:spacing w:line="0" w:lineRule="atLeast"/>
        <w:jc w:val="center"/>
        <w:outlineLvl w:val="0"/>
        <w:rPr>
          <w:rFonts w:hint="eastAsia" w:ascii="宋体" w:hAnsi="宋体" w:eastAsia="宋体"/>
          <w:b/>
          <w:sz w:val="52"/>
          <w:szCs w:val="22"/>
          <w:lang w:eastAsia="zh-CN"/>
        </w:rPr>
      </w:pPr>
      <w:r>
        <w:rPr>
          <w:rFonts w:hint="eastAsia" w:ascii="宋体" w:hAnsi="宋体"/>
          <w:b/>
          <w:sz w:val="52"/>
          <w:szCs w:val="22"/>
          <w:lang w:eastAsia="zh-CN"/>
        </w:rPr>
        <w:t>新疆维吾尔自治区疾病预防控制中心2022年度上半年第三批次实验室设备采购项目三次</w:t>
      </w:r>
    </w:p>
    <w:p>
      <w:pPr>
        <w:tabs>
          <w:tab w:val="left" w:pos="1960"/>
          <w:tab w:val="left" w:pos="3480"/>
          <w:tab w:val="left" w:pos="4980"/>
        </w:tabs>
        <w:spacing w:line="0" w:lineRule="atLeast"/>
        <w:jc w:val="center"/>
        <w:rPr>
          <w:rFonts w:ascii="宋体" w:hAnsi="宋体"/>
          <w:b/>
          <w:sz w:val="52"/>
          <w:szCs w:val="22"/>
        </w:rPr>
      </w:pPr>
    </w:p>
    <w:p>
      <w:pPr>
        <w:tabs>
          <w:tab w:val="left" w:pos="1960"/>
          <w:tab w:val="left" w:pos="3480"/>
          <w:tab w:val="left" w:pos="4980"/>
        </w:tabs>
        <w:spacing w:line="0" w:lineRule="atLeast"/>
        <w:jc w:val="center"/>
        <w:outlineLvl w:val="0"/>
        <w:rPr>
          <w:rFonts w:ascii="宋体" w:hAnsi="宋体"/>
          <w:b/>
          <w:sz w:val="72"/>
          <w:szCs w:val="18"/>
        </w:rPr>
      </w:pPr>
      <w:r>
        <w:rPr>
          <w:rFonts w:hint="eastAsia" w:ascii="宋体" w:hAnsi="宋体"/>
          <w:b/>
          <w:sz w:val="72"/>
          <w:szCs w:val="18"/>
        </w:rPr>
        <w:t>招标</w:t>
      </w:r>
      <w:r>
        <w:rPr>
          <w:rFonts w:ascii="宋体" w:hAnsi="宋体"/>
          <w:b/>
          <w:sz w:val="72"/>
          <w:szCs w:val="18"/>
        </w:rPr>
        <w:t>文件</w:t>
      </w:r>
    </w:p>
    <w:p>
      <w:pPr>
        <w:spacing w:line="200" w:lineRule="exact"/>
        <w:rPr>
          <w:sz w:val="24"/>
        </w:rPr>
      </w:pPr>
    </w:p>
    <w:p>
      <w:pPr>
        <w:spacing w:line="200" w:lineRule="exact"/>
        <w:rPr>
          <w:sz w:val="24"/>
        </w:rPr>
      </w:pPr>
    </w:p>
    <w:p>
      <w:pPr>
        <w:spacing w:line="200" w:lineRule="exact"/>
        <w:rPr>
          <w:sz w:val="24"/>
        </w:rPr>
      </w:pPr>
    </w:p>
    <w:p>
      <w:pPr>
        <w:spacing w:line="200" w:lineRule="exact"/>
        <w:rPr>
          <w:sz w:val="24"/>
        </w:rPr>
      </w:pPr>
    </w:p>
    <w:p>
      <w:pPr>
        <w:spacing w:line="200" w:lineRule="exact"/>
        <w:rPr>
          <w:sz w:val="24"/>
        </w:rPr>
      </w:pPr>
    </w:p>
    <w:p>
      <w:pPr>
        <w:spacing w:line="273" w:lineRule="exact"/>
        <w:rPr>
          <w:rFonts w:eastAsia="Times New Roman"/>
          <w:sz w:val="24"/>
        </w:rPr>
      </w:pPr>
    </w:p>
    <w:p>
      <w:pPr>
        <w:spacing w:line="720" w:lineRule="exact"/>
        <w:ind w:firstLine="2560" w:firstLineChars="800"/>
        <w:rPr>
          <w:rFonts w:hint="eastAsia" w:ascii="宋体" w:hAnsi="宋体" w:eastAsia="宋体"/>
          <w:b/>
          <w:bCs/>
          <w:sz w:val="32"/>
          <w:szCs w:val="32"/>
          <w:lang w:eastAsia="zh-CN"/>
        </w:rPr>
      </w:pPr>
      <w:r>
        <w:rPr>
          <w:rFonts w:ascii="宋体" w:hAnsi="宋体"/>
          <w:b/>
          <w:bCs/>
          <w:sz w:val="32"/>
          <w:szCs w:val="32"/>
        </w:rPr>
        <w:t>项目编号：</w:t>
      </w:r>
      <w:r>
        <w:rPr>
          <w:rFonts w:hint="eastAsia" w:ascii="宋体" w:hAnsi="宋体"/>
          <w:b/>
          <w:bCs/>
          <w:sz w:val="32"/>
          <w:szCs w:val="32"/>
          <w:lang w:eastAsia="zh-CN"/>
        </w:rPr>
        <w:t>HLY(CG)2022-017-003</w:t>
      </w:r>
    </w:p>
    <w:p>
      <w:pPr>
        <w:pStyle w:val="2"/>
      </w:pPr>
    </w:p>
    <w:p>
      <w:pPr>
        <w:spacing w:line="720" w:lineRule="exact"/>
        <w:rPr>
          <w:rFonts w:ascii="宋体" w:hAnsi="宋体"/>
          <w:sz w:val="28"/>
          <w:szCs w:val="28"/>
        </w:rPr>
      </w:pPr>
    </w:p>
    <w:p>
      <w:pPr>
        <w:pStyle w:val="159"/>
        <w:spacing w:line="600" w:lineRule="exact"/>
        <w:ind w:firstLine="838" w:firstLineChars="262"/>
        <w:outlineLvl w:val="0"/>
        <w:rPr>
          <w:rFonts w:ascii="宋体" w:hAnsi="宋体"/>
          <w:b/>
          <w:color w:val="auto"/>
          <w:kern w:val="2"/>
          <w:sz w:val="32"/>
          <w:szCs w:val="32"/>
        </w:rPr>
      </w:pPr>
      <w:r>
        <w:rPr>
          <w:rFonts w:hint="eastAsia" w:ascii="宋体" w:hAnsi="宋体"/>
          <w:b/>
          <w:color w:val="auto"/>
          <w:kern w:val="2"/>
          <w:sz w:val="32"/>
          <w:szCs w:val="32"/>
        </w:rPr>
        <w:t>采购人：新疆维吾尔自治区疾病预防控制中心</w:t>
      </w:r>
    </w:p>
    <w:p>
      <w:pPr>
        <w:pStyle w:val="159"/>
        <w:spacing w:line="600" w:lineRule="exact"/>
        <w:ind w:firstLine="838" w:firstLineChars="262"/>
        <w:rPr>
          <w:rFonts w:ascii="宋体" w:hAnsi="宋体"/>
          <w:b/>
          <w:color w:val="auto"/>
          <w:kern w:val="2"/>
          <w:sz w:val="32"/>
          <w:szCs w:val="32"/>
        </w:rPr>
      </w:pPr>
    </w:p>
    <w:p>
      <w:pPr>
        <w:pStyle w:val="159"/>
        <w:spacing w:line="600" w:lineRule="exact"/>
        <w:ind w:firstLine="838" w:firstLineChars="262"/>
        <w:rPr>
          <w:rFonts w:ascii="宋体" w:hAnsi="宋体"/>
          <w:b/>
          <w:color w:val="auto"/>
          <w:kern w:val="2"/>
          <w:sz w:val="32"/>
          <w:szCs w:val="32"/>
        </w:rPr>
      </w:pPr>
    </w:p>
    <w:p>
      <w:pPr>
        <w:pStyle w:val="159"/>
        <w:spacing w:line="600" w:lineRule="exact"/>
        <w:ind w:firstLine="838" w:firstLineChars="262"/>
        <w:outlineLvl w:val="0"/>
        <w:rPr>
          <w:rFonts w:ascii="宋体" w:hAnsi="宋体"/>
          <w:b/>
          <w:color w:val="auto"/>
          <w:kern w:val="2"/>
          <w:sz w:val="36"/>
          <w:szCs w:val="36"/>
        </w:rPr>
      </w:pPr>
      <w:r>
        <w:rPr>
          <w:rFonts w:hint="eastAsia" w:ascii="宋体" w:hAnsi="宋体"/>
          <w:b/>
          <w:color w:val="auto"/>
          <w:kern w:val="2"/>
          <w:sz w:val="32"/>
          <w:szCs w:val="32"/>
        </w:rPr>
        <w:t>招标代理机构：新疆宏力源工程项目管理有限公司</w:t>
      </w:r>
    </w:p>
    <w:p>
      <w:pPr>
        <w:spacing w:line="800" w:lineRule="exact"/>
        <w:jc w:val="center"/>
        <w:rPr>
          <w:rFonts w:ascii="宋体" w:hAnsi="宋体"/>
          <w:sz w:val="27"/>
        </w:rPr>
      </w:pPr>
    </w:p>
    <w:p>
      <w:pPr>
        <w:spacing w:line="800" w:lineRule="exact"/>
        <w:jc w:val="center"/>
        <w:rPr>
          <w:rFonts w:ascii="宋体" w:hAnsi="宋体"/>
          <w:sz w:val="32"/>
          <w:szCs w:val="32"/>
        </w:rPr>
      </w:pPr>
    </w:p>
    <w:p>
      <w:pPr>
        <w:spacing w:line="800" w:lineRule="exact"/>
        <w:jc w:val="center"/>
        <w:rPr>
          <w:rFonts w:ascii="宋体" w:hAnsi="宋体"/>
          <w:sz w:val="32"/>
          <w:szCs w:val="32"/>
        </w:rPr>
      </w:pPr>
    </w:p>
    <w:p>
      <w:pPr>
        <w:spacing w:line="0" w:lineRule="atLeast"/>
        <w:jc w:val="center"/>
        <w:rPr>
          <w:rFonts w:ascii="宋体" w:hAnsi="宋体"/>
          <w:sz w:val="32"/>
          <w:szCs w:val="32"/>
        </w:rPr>
      </w:pPr>
      <w:r>
        <w:rPr>
          <w:rFonts w:ascii="宋体" w:hAnsi="宋体"/>
          <w:sz w:val="32"/>
          <w:szCs w:val="32"/>
        </w:rPr>
        <w:t>二〇</w:t>
      </w:r>
      <w:r>
        <w:rPr>
          <w:rFonts w:hint="eastAsia" w:ascii="宋体" w:hAnsi="宋体"/>
          <w:sz w:val="32"/>
          <w:szCs w:val="32"/>
        </w:rPr>
        <w:t>二二</w:t>
      </w:r>
      <w:r>
        <w:rPr>
          <w:rFonts w:ascii="宋体" w:hAnsi="宋体"/>
          <w:sz w:val="32"/>
          <w:szCs w:val="32"/>
        </w:rPr>
        <w:t>年</w:t>
      </w:r>
      <w:r>
        <w:rPr>
          <w:rFonts w:hint="eastAsia" w:ascii="宋体" w:hAnsi="宋体"/>
          <w:sz w:val="32"/>
          <w:szCs w:val="32"/>
          <w:lang w:val="en-US" w:eastAsia="zh-CN"/>
        </w:rPr>
        <w:t>十一</w:t>
      </w:r>
      <w:r>
        <w:rPr>
          <w:rFonts w:ascii="宋体" w:hAnsi="宋体"/>
          <w:sz w:val="32"/>
          <w:szCs w:val="32"/>
        </w:rPr>
        <w:t>月</w:t>
      </w:r>
    </w:p>
    <w:p>
      <w:pPr>
        <w:spacing w:line="0" w:lineRule="atLeast"/>
        <w:jc w:val="center"/>
        <w:rPr>
          <w:rFonts w:ascii="宋体" w:hAnsi="宋体"/>
          <w:sz w:val="32"/>
          <w:szCs w:val="32"/>
        </w:rPr>
      </w:pPr>
    </w:p>
    <w:p>
      <w:pPr>
        <w:pStyle w:val="84"/>
        <w:spacing w:line="360" w:lineRule="auto"/>
        <w:jc w:val="center"/>
        <w:rPr>
          <w:rFonts w:ascii="宋体" w:hAnsi="宋体"/>
          <w:b/>
          <w:color w:val="auto"/>
          <w:sz w:val="36"/>
        </w:rPr>
        <w:sectPr>
          <w:footerReference r:id="rId3" w:type="first"/>
          <w:pgSz w:w="11906" w:h="16838"/>
          <w:pgMar w:top="1418" w:right="1134" w:bottom="1418" w:left="1418" w:header="851" w:footer="851" w:gutter="0"/>
          <w:pgNumType w:start="0"/>
          <w:cols w:space="720" w:num="1"/>
          <w:docGrid w:type="linesAndChars" w:linePitch="312" w:charSpace="0"/>
        </w:sectPr>
      </w:pPr>
    </w:p>
    <w:p>
      <w:pPr>
        <w:rPr>
          <w:rFonts w:ascii="宋体" w:hAnsi="宋体"/>
          <w:b/>
          <w:sz w:val="36"/>
        </w:rPr>
      </w:pPr>
      <w:r>
        <w:rPr>
          <w:rFonts w:hint="eastAsia" w:ascii="宋体" w:hAnsi="宋体"/>
          <w:b/>
          <w:sz w:val="36"/>
        </w:rPr>
        <w:br w:type="page"/>
      </w:r>
    </w:p>
    <w:p>
      <w:pPr>
        <w:pStyle w:val="84"/>
        <w:spacing w:line="360" w:lineRule="auto"/>
        <w:jc w:val="center"/>
        <w:outlineLvl w:val="0"/>
        <w:rPr>
          <w:rFonts w:ascii="宋体" w:hAnsi="宋体"/>
          <w:b/>
          <w:color w:val="auto"/>
          <w:sz w:val="36"/>
        </w:rPr>
      </w:pPr>
      <w:r>
        <w:rPr>
          <w:rFonts w:hint="eastAsia" w:ascii="宋体" w:hAnsi="宋体"/>
          <w:b/>
          <w:color w:val="auto"/>
          <w:sz w:val="36"/>
        </w:rPr>
        <w:t>目    录</w:t>
      </w:r>
    </w:p>
    <w:p>
      <w:pPr>
        <w:pStyle w:val="32"/>
        <w:tabs>
          <w:tab w:val="right" w:leader="dot" w:pos="9354"/>
        </w:tabs>
        <w:spacing w:line="500" w:lineRule="exact"/>
        <w:rPr>
          <w:rFonts w:asciiTheme="minorEastAsia" w:hAnsiTheme="minorEastAsia" w:eastAsiaTheme="minorEastAsia" w:cstheme="minorEastAsia"/>
          <w:sz w:val="24"/>
          <w:szCs w:val="24"/>
        </w:rPr>
      </w:pPr>
      <w:r>
        <w:rPr>
          <w:rFonts w:ascii="宋体" w:hAnsi="宋体"/>
          <w:b w:val="0"/>
          <w:sz w:val="28"/>
          <w:szCs w:val="28"/>
        </w:rPr>
        <w:fldChar w:fldCharType="begin"/>
      </w:r>
      <w:r>
        <w:rPr>
          <w:rFonts w:hint="eastAsia" w:ascii="宋体" w:hAnsi="宋体"/>
          <w:b w:val="0"/>
          <w:sz w:val="28"/>
          <w:szCs w:val="28"/>
        </w:rPr>
        <w:instrText xml:space="preserve">TOC \o "1-3" \h \z \u</w:instrText>
      </w:r>
      <w:r>
        <w:rPr>
          <w:rFonts w:ascii="宋体" w:hAnsi="宋体"/>
          <w:b w:val="0"/>
          <w:sz w:val="28"/>
          <w:szCs w:val="28"/>
        </w:rPr>
        <w:fldChar w:fldCharType="separate"/>
      </w:r>
      <w:r>
        <w:fldChar w:fldCharType="begin"/>
      </w:r>
      <w:r>
        <w:instrText xml:space="preserve"> HYPERLINK \l "_Toc28438" </w:instrText>
      </w:r>
      <w:r>
        <w:fldChar w:fldCharType="separate"/>
      </w:r>
      <w:r>
        <w:rPr>
          <w:rFonts w:hint="eastAsia" w:asciiTheme="minorEastAsia" w:hAnsiTheme="minorEastAsia" w:eastAsiaTheme="minorEastAsia" w:cstheme="minorEastAsia"/>
          <w:sz w:val="24"/>
          <w:szCs w:val="24"/>
        </w:rPr>
        <w:t>投标供应商须知前附表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_Toc28438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2"/>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"_Toc2189" </w:instrText>
      </w:r>
      <w:r>
        <w:fldChar w:fldCharType="separate"/>
      </w:r>
      <w:r>
        <w:rPr>
          <w:rFonts w:hint="eastAsia" w:asciiTheme="minorEastAsia" w:hAnsiTheme="minorEastAsia" w:eastAsiaTheme="minorEastAsia" w:cstheme="minorEastAsia"/>
          <w:sz w:val="24"/>
          <w:szCs w:val="24"/>
        </w:rPr>
        <w:t>第一章 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_Toc2189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2"/>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"_Toc6564" </w:instrText>
      </w:r>
      <w:r>
        <w:fldChar w:fldCharType="separate"/>
      </w:r>
      <w:r>
        <w:rPr>
          <w:rFonts w:hint="eastAsia" w:asciiTheme="minorEastAsia" w:hAnsiTheme="minorEastAsia" w:eastAsiaTheme="minorEastAsia" w:cstheme="minorEastAsia"/>
          <w:sz w:val="24"/>
          <w:szCs w:val="24"/>
        </w:rPr>
        <w:t>第二章 投标须知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_Toc6564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6"/>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"_Toc8533" </w:instrText>
      </w:r>
      <w:r>
        <w:fldChar w:fldCharType="separate"/>
      </w:r>
      <w:r>
        <w:rPr>
          <w:rFonts w:hint="eastAsia" w:asciiTheme="minorEastAsia" w:hAnsiTheme="minorEastAsia" w:eastAsiaTheme="minorEastAsia" w:cstheme="minorEastAsia"/>
          <w:sz w:val="24"/>
          <w:szCs w:val="24"/>
        </w:rPr>
        <w:t>一、总则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_Toc8533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6"/>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"_Toc7954" </w:instrText>
      </w:r>
      <w:r>
        <w:fldChar w:fldCharType="separate"/>
      </w:r>
      <w:r>
        <w:rPr>
          <w:rFonts w:hint="eastAsia" w:asciiTheme="minorEastAsia" w:hAnsiTheme="minorEastAsia" w:eastAsiaTheme="minorEastAsia" w:cstheme="minorEastAsia"/>
          <w:sz w:val="24"/>
          <w:szCs w:val="24"/>
        </w:rPr>
        <w:t>二、招标文件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_Toc7954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6"/>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"_Toc22109" </w:instrText>
      </w:r>
      <w:r>
        <w:fldChar w:fldCharType="separate"/>
      </w:r>
      <w:r>
        <w:rPr>
          <w:rFonts w:hint="eastAsia" w:asciiTheme="minorEastAsia" w:hAnsiTheme="minorEastAsia" w:eastAsiaTheme="minorEastAsia" w:cstheme="minorEastAsia"/>
          <w:sz w:val="24"/>
          <w:szCs w:val="24"/>
        </w:rPr>
        <w:t>三、投标文件的编制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_Toc22109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6"/>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"_Toc4643" </w:instrText>
      </w:r>
      <w:r>
        <w:fldChar w:fldCharType="separate"/>
      </w:r>
      <w:r>
        <w:rPr>
          <w:rFonts w:hint="eastAsia" w:asciiTheme="minorEastAsia" w:hAnsiTheme="minorEastAsia" w:eastAsiaTheme="minorEastAsia" w:cstheme="minorEastAsia"/>
          <w:sz w:val="24"/>
          <w:szCs w:val="24"/>
        </w:rPr>
        <w:t>四、投标文件的递交</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_Toc4643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6"/>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"_Toc8270" </w:instrText>
      </w:r>
      <w:r>
        <w:fldChar w:fldCharType="separate"/>
      </w:r>
      <w:r>
        <w:rPr>
          <w:rFonts w:hint="eastAsia" w:asciiTheme="minorEastAsia" w:hAnsiTheme="minorEastAsia" w:eastAsiaTheme="minorEastAsia" w:cstheme="minorEastAsia"/>
          <w:sz w:val="24"/>
          <w:szCs w:val="24"/>
        </w:rPr>
        <w:t>五、开标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_Toc8270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6"/>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"_Toc15882" </w:instrText>
      </w:r>
      <w:r>
        <w:fldChar w:fldCharType="separate"/>
      </w:r>
      <w:r>
        <w:rPr>
          <w:rFonts w:hint="eastAsia" w:asciiTheme="minorEastAsia" w:hAnsiTheme="minorEastAsia" w:eastAsiaTheme="minorEastAsia" w:cstheme="minorEastAsia"/>
          <w:sz w:val="24"/>
          <w:szCs w:val="24"/>
        </w:rPr>
        <w:t>六、评标、定标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_Toc15882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6"/>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"_Toc9740" </w:instrText>
      </w:r>
      <w:r>
        <w:fldChar w:fldCharType="separate"/>
      </w:r>
      <w:r>
        <w:rPr>
          <w:rFonts w:hint="eastAsia" w:asciiTheme="minorEastAsia" w:hAnsiTheme="minorEastAsia" w:eastAsiaTheme="minorEastAsia" w:cstheme="minorEastAsia"/>
          <w:sz w:val="24"/>
          <w:szCs w:val="24"/>
        </w:rPr>
        <w:t>七、授予合同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_Toc9740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6"/>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"_Toc7315" </w:instrText>
      </w:r>
      <w:r>
        <w:fldChar w:fldCharType="separate"/>
      </w:r>
      <w:r>
        <w:rPr>
          <w:rFonts w:hint="eastAsia" w:asciiTheme="minorEastAsia" w:hAnsiTheme="minorEastAsia" w:eastAsiaTheme="minorEastAsia" w:cstheme="minorEastAsia"/>
          <w:sz w:val="24"/>
          <w:szCs w:val="24"/>
        </w:rPr>
        <w:t>八、买方授标时更改采购货物数量的权利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_Toc7315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6"/>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"_Toc5835" </w:instrText>
      </w:r>
      <w:r>
        <w:fldChar w:fldCharType="separate"/>
      </w:r>
      <w:r>
        <w:rPr>
          <w:rFonts w:hint="eastAsia" w:asciiTheme="minorEastAsia" w:hAnsiTheme="minorEastAsia" w:eastAsiaTheme="minorEastAsia" w:cstheme="minorEastAsia"/>
          <w:sz w:val="24"/>
          <w:szCs w:val="24"/>
        </w:rPr>
        <w:t>九、其他事项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_Toc5835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32"/>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"_Toc4714" </w:instrText>
      </w:r>
      <w:r>
        <w:fldChar w:fldCharType="separate"/>
      </w:r>
      <w:r>
        <w:rPr>
          <w:rFonts w:hint="eastAsia" w:asciiTheme="minorEastAsia" w:hAnsiTheme="minorEastAsia" w:eastAsiaTheme="minorEastAsia" w:cstheme="minorEastAsia"/>
          <w:sz w:val="24"/>
          <w:szCs w:val="24"/>
        </w:rPr>
        <w:t>第三章 设备技术参数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8</w:t>
      </w:r>
    </w:p>
    <w:p>
      <w:pPr>
        <w:pStyle w:val="32"/>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"_Toc5541" </w:instrText>
      </w:r>
      <w:r>
        <w:fldChar w:fldCharType="separate"/>
      </w:r>
      <w:r>
        <w:rPr>
          <w:rFonts w:hint="eastAsia" w:asciiTheme="minorEastAsia" w:hAnsiTheme="minorEastAsia" w:eastAsiaTheme="minorEastAsia" w:cstheme="minorEastAsia"/>
          <w:sz w:val="24"/>
          <w:szCs w:val="24"/>
        </w:rPr>
        <w:t>第四章 合同条款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6</w:t>
      </w:r>
    </w:p>
    <w:p>
      <w:pPr>
        <w:pStyle w:val="32"/>
        <w:tabs>
          <w:tab w:val="right" w:leader="dot" w:pos="9354"/>
        </w:tabs>
        <w:spacing w:line="500" w:lineRule="exact"/>
        <w:rPr>
          <w:rFonts w:asciiTheme="minorEastAsia" w:hAnsiTheme="minorEastAsia" w:eastAsiaTheme="minorEastAsia" w:cstheme="minorEastAsia"/>
          <w:sz w:val="24"/>
          <w:szCs w:val="24"/>
        </w:rPr>
      </w:pPr>
      <w:r>
        <w:fldChar w:fldCharType="begin"/>
      </w:r>
      <w:r>
        <w:instrText xml:space="preserve"> HYPERLINK \l "_Toc19169" </w:instrText>
      </w:r>
      <w:r>
        <w:fldChar w:fldCharType="separate"/>
      </w:r>
      <w:r>
        <w:rPr>
          <w:rFonts w:hint="eastAsia" w:asciiTheme="minorEastAsia" w:hAnsiTheme="minorEastAsia" w:eastAsiaTheme="minorEastAsia" w:cstheme="minorEastAsia"/>
          <w:sz w:val="24"/>
          <w:szCs w:val="24"/>
        </w:rPr>
        <w:t>第五章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6</w:t>
      </w:r>
    </w:p>
    <w:p>
      <w:pPr>
        <w:pStyle w:val="32"/>
        <w:tabs>
          <w:tab w:val="right" w:leader="dot" w:pos="9354"/>
        </w:tabs>
        <w:spacing w:line="500" w:lineRule="exact"/>
      </w:pPr>
    </w:p>
    <w:p>
      <w:pPr>
        <w:pStyle w:val="32"/>
        <w:tabs>
          <w:tab w:val="left" w:pos="5410"/>
        </w:tabs>
        <w:spacing w:line="500" w:lineRule="exact"/>
        <w:rPr>
          <w:rFonts w:ascii="宋体" w:hAnsi="宋体"/>
          <w:sz w:val="28"/>
          <w:szCs w:val="28"/>
        </w:rPr>
      </w:pPr>
      <w:r>
        <w:rPr>
          <w:rFonts w:ascii="宋体" w:hAnsi="宋体"/>
          <w:szCs w:val="28"/>
        </w:rPr>
        <w:fldChar w:fldCharType="end"/>
      </w:r>
      <w:r>
        <w:rPr>
          <w:rFonts w:hint="eastAsia" w:ascii="宋体" w:hAnsi="宋体"/>
          <w:szCs w:val="28"/>
        </w:rPr>
        <w:tab/>
      </w:r>
    </w:p>
    <w:p>
      <w:pPr>
        <w:spacing w:line="360" w:lineRule="auto"/>
        <w:jc w:val="center"/>
        <w:rPr>
          <w:rFonts w:ascii="宋体" w:hAnsi="宋体"/>
          <w:b/>
          <w:sz w:val="36"/>
        </w:rPr>
      </w:pPr>
    </w:p>
    <w:p>
      <w:pPr>
        <w:spacing w:line="360" w:lineRule="auto"/>
        <w:jc w:val="center"/>
        <w:rPr>
          <w:rFonts w:ascii="宋体" w:hAnsi="宋体"/>
          <w:b/>
          <w:sz w:val="36"/>
        </w:rPr>
        <w:sectPr>
          <w:footerReference r:id="rId4" w:type="default"/>
          <w:pgSz w:w="11906" w:h="16838"/>
          <w:pgMar w:top="1418" w:right="1134" w:bottom="1418" w:left="1418" w:header="851" w:footer="851" w:gutter="0"/>
          <w:pgNumType w:start="1"/>
          <w:cols w:space="720" w:num="1"/>
          <w:docGrid w:type="linesAndChars" w:linePitch="312" w:charSpace="0"/>
        </w:sectPr>
      </w:pPr>
    </w:p>
    <w:p>
      <w:pPr>
        <w:rPr>
          <w:rFonts w:ascii="宋体" w:hAnsi="宋体"/>
          <w:b/>
          <w:sz w:val="36"/>
        </w:rPr>
      </w:pPr>
      <w:bookmarkStart w:id="0" w:name="_Toc28438"/>
      <w:r>
        <w:rPr>
          <w:rFonts w:hint="eastAsia" w:ascii="宋体" w:hAnsi="宋体"/>
          <w:b/>
          <w:sz w:val="36"/>
        </w:rPr>
        <w:br w:type="page"/>
      </w:r>
    </w:p>
    <w:p>
      <w:pPr>
        <w:spacing w:line="500" w:lineRule="exact"/>
        <w:jc w:val="center"/>
        <w:outlineLvl w:val="0"/>
        <w:rPr>
          <w:rFonts w:ascii="宋体" w:hAnsi="宋体"/>
          <w:b/>
          <w:sz w:val="24"/>
          <w:szCs w:val="24"/>
        </w:rPr>
      </w:pPr>
      <w:r>
        <w:rPr>
          <w:rFonts w:hint="eastAsia" w:ascii="宋体" w:hAnsi="宋体"/>
          <w:b/>
          <w:sz w:val="36"/>
        </w:rPr>
        <w:t>投标供应商须知前附表</w:t>
      </w:r>
      <w:bookmarkEnd w:id="0"/>
    </w:p>
    <w:tbl>
      <w:tblPr>
        <w:tblStyle w:val="42"/>
        <w:tblW w:w="10720" w:type="dxa"/>
        <w:jc w:val="center"/>
        <w:tblLayout w:type="fixed"/>
        <w:tblCellMar>
          <w:top w:w="0" w:type="dxa"/>
          <w:left w:w="108" w:type="dxa"/>
          <w:bottom w:w="0" w:type="dxa"/>
          <w:right w:w="108" w:type="dxa"/>
        </w:tblCellMar>
      </w:tblPr>
      <w:tblGrid>
        <w:gridCol w:w="767"/>
        <w:gridCol w:w="9953"/>
      </w:tblGrid>
      <w:tr>
        <w:tblPrEx>
          <w:tblCellMar>
            <w:top w:w="0" w:type="dxa"/>
            <w:left w:w="108" w:type="dxa"/>
            <w:bottom w:w="0" w:type="dxa"/>
            <w:right w:w="108" w:type="dxa"/>
          </w:tblCellMar>
        </w:tblPrEx>
        <w:trPr>
          <w:trHeight w:val="46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序号</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内     容</w:t>
            </w:r>
          </w:p>
        </w:tc>
      </w:tr>
      <w:tr>
        <w:tblPrEx>
          <w:tblCellMar>
            <w:top w:w="0" w:type="dxa"/>
            <w:left w:w="108" w:type="dxa"/>
            <w:bottom w:w="0" w:type="dxa"/>
            <w:right w:w="108" w:type="dxa"/>
          </w:tblCellMar>
        </w:tblPrEx>
        <w:trPr>
          <w:trHeight w:val="2784"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ind w:left="1200" w:hanging="1200" w:hangingChars="500"/>
              <w:jc w:val="left"/>
              <w:rPr>
                <w:rFonts w:hint="eastAsia" w:ascii="宋体" w:hAnsi="宋体" w:eastAsia="宋体"/>
                <w:kern w:val="0"/>
                <w:sz w:val="24"/>
                <w:szCs w:val="24"/>
                <w:lang w:eastAsia="zh-CN"/>
              </w:rPr>
            </w:pPr>
            <w:r>
              <w:rPr>
                <w:rFonts w:hint="eastAsia" w:ascii="宋体" w:hAnsi="宋体"/>
                <w:kern w:val="0"/>
                <w:sz w:val="24"/>
                <w:szCs w:val="24"/>
              </w:rPr>
              <w:t>项目名称：</w:t>
            </w:r>
            <w:r>
              <w:rPr>
                <w:rFonts w:hint="eastAsia" w:ascii="宋体" w:hAnsi="宋体"/>
                <w:kern w:val="0"/>
                <w:sz w:val="24"/>
                <w:szCs w:val="24"/>
                <w:lang w:eastAsia="zh-CN"/>
              </w:rPr>
              <w:t>新疆维吾尔自治区疾病预防控制中心2022年度上半年第三批次实验室设备采购项目三次</w:t>
            </w:r>
            <w:r>
              <w:rPr>
                <w:rFonts w:hint="eastAsia" w:ascii="宋体" w:hAnsi="宋体"/>
                <w:kern w:val="0"/>
                <w:sz w:val="24"/>
                <w:szCs w:val="24"/>
              </w:rPr>
              <w:t>项目编号：</w:t>
            </w:r>
            <w:r>
              <w:rPr>
                <w:rFonts w:hint="eastAsia" w:ascii="宋体" w:hAnsi="宋体"/>
                <w:kern w:val="0"/>
                <w:sz w:val="24"/>
                <w:szCs w:val="24"/>
                <w:lang w:eastAsia="zh-CN"/>
              </w:rPr>
              <w:t>HLY(CG)2022-017-003</w:t>
            </w:r>
          </w:p>
          <w:p>
            <w:pPr>
              <w:widowControl/>
              <w:spacing w:line="440" w:lineRule="exact"/>
              <w:ind w:left="1200" w:hanging="1200" w:hangingChars="500"/>
              <w:jc w:val="left"/>
              <w:rPr>
                <w:rFonts w:ascii="宋体" w:hAnsi="宋体"/>
                <w:kern w:val="0"/>
                <w:sz w:val="24"/>
                <w:szCs w:val="24"/>
              </w:rPr>
            </w:pPr>
            <w:r>
              <w:rPr>
                <w:rFonts w:hint="eastAsia" w:ascii="宋体" w:hAnsi="宋体"/>
                <w:kern w:val="0"/>
                <w:sz w:val="24"/>
                <w:szCs w:val="24"/>
              </w:rPr>
              <w:t>计划投资额（万元）:</w:t>
            </w:r>
            <w:r>
              <w:rPr>
                <w:rFonts w:hint="eastAsia" w:ascii="宋体" w:hAnsi="宋体"/>
                <w:kern w:val="0"/>
                <w:sz w:val="24"/>
                <w:szCs w:val="24"/>
                <w:lang w:val="en-US" w:eastAsia="zh-CN"/>
              </w:rPr>
              <w:t>四标段</w:t>
            </w:r>
            <w:r>
              <w:rPr>
                <w:rFonts w:hint="eastAsia" w:ascii="宋体" w:hAnsi="宋体"/>
                <w:kern w:val="0"/>
                <w:sz w:val="24"/>
                <w:szCs w:val="24"/>
              </w:rPr>
              <w:t>：18万元;</w:t>
            </w:r>
          </w:p>
          <w:p>
            <w:pPr>
              <w:widowControl/>
              <w:spacing w:line="440" w:lineRule="exact"/>
              <w:jc w:val="left"/>
              <w:rPr>
                <w:rFonts w:ascii="宋体" w:hAnsi="宋体"/>
                <w:kern w:val="0"/>
                <w:sz w:val="24"/>
                <w:szCs w:val="24"/>
              </w:rPr>
            </w:pPr>
            <w:r>
              <w:rPr>
                <w:rFonts w:hint="eastAsia" w:ascii="宋体" w:hAnsi="宋体"/>
                <w:kern w:val="0"/>
                <w:sz w:val="24"/>
                <w:szCs w:val="24"/>
              </w:rPr>
              <w:t>招标方式：公开招标</w:t>
            </w:r>
          </w:p>
        </w:tc>
      </w:tr>
      <w:tr>
        <w:tblPrEx>
          <w:tblCellMar>
            <w:top w:w="0" w:type="dxa"/>
            <w:left w:w="108" w:type="dxa"/>
            <w:bottom w:w="0" w:type="dxa"/>
            <w:right w:w="108" w:type="dxa"/>
          </w:tblCellMar>
        </w:tblPrEx>
        <w:trPr>
          <w:trHeight w:val="643"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2</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招标代理机构：新疆宏力源工程项目管理有限公司</w:t>
            </w:r>
          </w:p>
        </w:tc>
      </w:tr>
      <w:tr>
        <w:tblPrEx>
          <w:tblCellMar>
            <w:top w:w="0" w:type="dxa"/>
            <w:left w:w="108" w:type="dxa"/>
            <w:bottom w:w="0" w:type="dxa"/>
            <w:right w:w="108" w:type="dxa"/>
          </w:tblCellMar>
        </w:tblPrEx>
        <w:trPr>
          <w:trHeight w:val="511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s="宋体"/>
                <w:color w:val="auto"/>
                <w:kern w:val="2"/>
              </w:rPr>
            </w:pPr>
            <w:r>
              <w:rPr>
                <w:rFonts w:hint="eastAsia" w:ascii="宋体" w:hAnsi="宋体" w:cs="宋体"/>
                <w:color w:val="auto"/>
                <w:kern w:val="2"/>
              </w:rPr>
              <w:t>3</w:t>
            </w:r>
          </w:p>
        </w:tc>
        <w:tc>
          <w:tcPr>
            <w:tcW w:w="9953" w:type="dxa"/>
            <w:tcBorders>
              <w:top w:val="single" w:color="auto" w:sz="12" w:space="0"/>
              <w:left w:val="single" w:color="auto" w:sz="12" w:space="0"/>
              <w:bottom w:val="single" w:color="auto" w:sz="12" w:space="0"/>
              <w:right w:val="single" w:color="auto" w:sz="12" w:space="0"/>
            </w:tcBorders>
            <w:vAlign w:val="center"/>
          </w:tcPr>
          <w:p>
            <w:pPr>
              <w:spacing w:before="15"/>
              <w:ind w:left="103" w:right="-20"/>
              <w:rPr>
                <w:rFonts w:ascii="宋体" w:hAnsi="宋体" w:cs="宋体"/>
                <w:sz w:val="24"/>
                <w:szCs w:val="24"/>
              </w:rPr>
            </w:pPr>
            <w:r>
              <w:rPr>
                <w:rFonts w:hint="eastAsia" w:ascii="宋体" w:hAnsi="宋体" w:cs="宋体"/>
                <w:sz w:val="24"/>
                <w:szCs w:val="24"/>
              </w:rPr>
              <w:t>投标保证金：</w:t>
            </w:r>
          </w:p>
          <w:p>
            <w:pPr>
              <w:spacing w:before="15"/>
              <w:ind w:left="103" w:right="-20"/>
              <w:rPr>
                <w:sz w:val="24"/>
                <w:szCs w:val="22"/>
              </w:rPr>
            </w:pPr>
            <w:r>
              <w:rPr>
                <w:rFonts w:hint="eastAsia"/>
                <w:sz w:val="24"/>
                <w:szCs w:val="22"/>
              </w:rPr>
              <w:t>标项</w:t>
            </w:r>
            <w:r>
              <w:rPr>
                <w:rFonts w:hint="eastAsia"/>
                <w:sz w:val="24"/>
                <w:szCs w:val="22"/>
                <w:lang w:val="en-US" w:eastAsia="zh-CN"/>
              </w:rPr>
              <w:t>4</w:t>
            </w:r>
            <w:r>
              <w:rPr>
                <w:rFonts w:hint="eastAsia"/>
                <w:sz w:val="24"/>
                <w:szCs w:val="22"/>
              </w:rPr>
              <w:t>：1800元；</w:t>
            </w:r>
          </w:p>
          <w:p>
            <w:pPr>
              <w:spacing w:before="15"/>
              <w:ind w:left="103" w:right="-20"/>
              <w:rPr>
                <w:rFonts w:ascii="宋体" w:hAnsi="宋体" w:cs="宋体"/>
                <w:sz w:val="24"/>
                <w:szCs w:val="24"/>
              </w:rPr>
            </w:pPr>
            <w:r>
              <w:rPr>
                <w:rFonts w:hint="eastAsia" w:ascii="宋体" w:hAnsi="宋体" w:cs="宋体"/>
                <w:sz w:val="24"/>
                <w:szCs w:val="24"/>
              </w:rPr>
              <w:t>保证金要求提供，数额不得超过采购项目预算金额的1%，提交方式为投标人基本账户以网银或银行电汇形式，在投标截止时间之前汇至本公司账户，否则其响应文件将被拒绝评审，投标人提交投标保证金应充分考虑资金在途时间。</w:t>
            </w:r>
          </w:p>
          <w:p>
            <w:pPr>
              <w:spacing w:line="240" w:lineRule="atLeast"/>
              <w:rPr>
                <w:rFonts w:ascii="宋体" w:hAnsi="宋体" w:cs="宋体"/>
                <w:sz w:val="24"/>
                <w:szCs w:val="24"/>
              </w:rPr>
            </w:pPr>
            <w:r>
              <w:rPr>
                <w:rFonts w:hint="eastAsia" w:ascii="宋体" w:hAnsi="宋体" w:cs="宋体"/>
                <w:sz w:val="24"/>
                <w:szCs w:val="24"/>
              </w:rPr>
              <w:t>账户信息：</w:t>
            </w:r>
          </w:p>
          <w:p>
            <w:pPr>
              <w:spacing w:line="240" w:lineRule="atLeast"/>
              <w:rPr>
                <w:rFonts w:ascii="宋体" w:hAnsi="宋体" w:cs="宋体"/>
                <w:sz w:val="24"/>
                <w:szCs w:val="24"/>
              </w:rPr>
            </w:pPr>
            <w:r>
              <w:rPr>
                <w:rFonts w:hint="eastAsia" w:ascii="宋体" w:hAnsi="宋体" w:cs="宋体"/>
                <w:sz w:val="24"/>
                <w:szCs w:val="24"/>
              </w:rPr>
              <w:t>采购代理机构名称：新疆宏力源工程项目管理有限公司</w:t>
            </w:r>
          </w:p>
          <w:p>
            <w:pPr>
              <w:spacing w:line="240" w:lineRule="atLeast"/>
              <w:rPr>
                <w:rFonts w:ascii="宋体" w:hAnsi="宋体" w:cs="宋体"/>
                <w:sz w:val="24"/>
                <w:szCs w:val="24"/>
              </w:rPr>
            </w:pPr>
            <w:r>
              <w:rPr>
                <w:rFonts w:hint="eastAsia" w:ascii="宋体" w:hAnsi="宋体" w:cs="宋体"/>
                <w:sz w:val="24"/>
                <w:szCs w:val="24"/>
              </w:rPr>
              <w:t>开户行：中国建设银行股份有限公司乌鲁木齐黄河路支行</w:t>
            </w:r>
          </w:p>
          <w:p>
            <w:pPr>
              <w:spacing w:line="240" w:lineRule="atLeast"/>
              <w:rPr>
                <w:rFonts w:ascii="宋体" w:hAnsi="宋体" w:cs="宋体"/>
                <w:sz w:val="24"/>
                <w:szCs w:val="24"/>
              </w:rPr>
            </w:pPr>
            <w:r>
              <w:rPr>
                <w:rFonts w:hint="eastAsia" w:ascii="宋体" w:hAnsi="宋体" w:cs="宋体"/>
                <w:sz w:val="24"/>
                <w:szCs w:val="24"/>
              </w:rPr>
              <w:t>开户行行号：105881000212</w:t>
            </w:r>
          </w:p>
          <w:p>
            <w:pPr>
              <w:spacing w:line="240" w:lineRule="atLeast"/>
              <w:rPr>
                <w:rFonts w:ascii="宋体" w:hAnsi="宋体" w:cs="宋体"/>
                <w:sz w:val="24"/>
                <w:szCs w:val="24"/>
              </w:rPr>
            </w:pPr>
            <w:r>
              <w:rPr>
                <w:rFonts w:hint="eastAsia" w:ascii="宋体" w:hAnsi="宋体" w:cs="宋体"/>
                <w:sz w:val="24"/>
                <w:szCs w:val="24"/>
              </w:rPr>
              <w:t>账号：65050161625000000586</w:t>
            </w:r>
          </w:p>
          <w:p>
            <w:pPr>
              <w:spacing w:line="440" w:lineRule="exact"/>
              <w:jc w:val="left"/>
              <w:rPr>
                <w:rFonts w:ascii="宋体" w:hAnsi="宋体" w:cs="宋体"/>
                <w:sz w:val="24"/>
                <w:szCs w:val="24"/>
              </w:rPr>
            </w:pPr>
            <w:r>
              <w:rPr>
                <w:rFonts w:hint="eastAsia" w:ascii="宋体" w:hAnsi="宋体" w:cs="宋体"/>
                <w:sz w:val="24"/>
                <w:szCs w:val="24"/>
              </w:rPr>
              <w:t>备注：在汇款附言（或银行摘要）中，标明项目编号、包号（如分包）。每个项目须按照分包分别提交投标保证金，由于未按要求注明信息而导致的一切后果由投标人承担。</w:t>
            </w:r>
          </w:p>
        </w:tc>
      </w:tr>
      <w:tr>
        <w:tblPrEx>
          <w:tblCellMar>
            <w:top w:w="0" w:type="dxa"/>
            <w:left w:w="108" w:type="dxa"/>
            <w:bottom w:w="0" w:type="dxa"/>
            <w:right w:w="108" w:type="dxa"/>
          </w:tblCellMar>
        </w:tblPrEx>
        <w:trPr>
          <w:trHeight w:val="551"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4</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投标有效期：</w:t>
            </w:r>
            <w:r>
              <w:rPr>
                <w:rFonts w:hint="eastAsia" w:ascii="宋体" w:hAnsi="宋体"/>
                <w:color w:val="auto"/>
                <w:u w:val="single"/>
              </w:rPr>
              <w:t>60</w:t>
            </w:r>
            <w:r>
              <w:rPr>
                <w:rFonts w:hint="eastAsia" w:ascii="宋体" w:hAnsi="宋体"/>
                <w:color w:val="auto"/>
              </w:rPr>
              <w:t>天</w:t>
            </w:r>
          </w:p>
        </w:tc>
      </w:tr>
      <w:tr>
        <w:tblPrEx>
          <w:tblCellMar>
            <w:top w:w="0" w:type="dxa"/>
            <w:left w:w="108" w:type="dxa"/>
            <w:bottom w:w="0" w:type="dxa"/>
            <w:right w:w="108" w:type="dxa"/>
          </w:tblCellMar>
        </w:tblPrEx>
        <w:trPr>
          <w:trHeight w:val="48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5</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投标截止时间：</w:t>
            </w:r>
            <w:r>
              <w:rPr>
                <w:rFonts w:hint="eastAsia" w:ascii="宋体" w:hAnsi="宋体"/>
                <w:color w:val="auto"/>
                <w:lang w:eastAsia="zh-CN"/>
              </w:rPr>
              <w:t>2022年12月16日</w:t>
            </w:r>
            <w:r>
              <w:rPr>
                <w:rFonts w:hint="eastAsia" w:ascii="宋体" w:hAnsi="宋体"/>
                <w:color w:val="auto"/>
              </w:rPr>
              <w:t xml:space="preserve"> 11:00:00（北京时间） </w:t>
            </w:r>
          </w:p>
        </w:tc>
      </w:tr>
      <w:tr>
        <w:tblPrEx>
          <w:tblCellMar>
            <w:top w:w="0" w:type="dxa"/>
            <w:left w:w="108" w:type="dxa"/>
            <w:bottom w:w="0" w:type="dxa"/>
            <w:right w:w="108" w:type="dxa"/>
          </w:tblCellMar>
        </w:tblPrEx>
        <w:trPr>
          <w:trHeight w:val="198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6</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投标文件的数量：正本1份、副本4份</w:t>
            </w:r>
            <w:bookmarkStart w:id="19" w:name="_GoBack"/>
            <w:bookmarkEnd w:id="19"/>
          </w:p>
          <w:p>
            <w:pPr>
              <w:pStyle w:val="84"/>
              <w:spacing w:line="440" w:lineRule="exact"/>
              <w:jc w:val="both"/>
              <w:rPr>
                <w:rFonts w:ascii="宋体" w:hAnsi="宋体"/>
                <w:color w:val="auto"/>
              </w:rPr>
            </w:pPr>
            <w:r>
              <w:rPr>
                <w:rFonts w:hint="eastAsia" w:ascii="宋体" w:hAnsi="宋体"/>
                <w:color w:val="auto"/>
              </w:rPr>
              <w:t>投标报价单的数量：1份（单独密封）</w:t>
            </w:r>
          </w:p>
          <w:p>
            <w:pPr>
              <w:pStyle w:val="84"/>
              <w:spacing w:line="440" w:lineRule="exact"/>
              <w:jc w:val="both"/>
              <w:rPr>
                <w:rFonts w:ascii="宋体" w:hAnsi="宋体"/>
                <w:color w:val="auto"/>
              </w:rPr>
            </w:pPr>
            <w:r>
              <w:rPr>
                <w:rFonts w:hint="eastAsia" w:ascii="宋体" w:hAnsi="宋体"/>
                <w:color w:val="auto"/>
              </w:rPr>
              <w:t>电子版投标文件：1份(</w:t>
            </w:r>
            <w:r>
              <w:rPr>
                <w:rFonts w:hint="eastAsia" w:ascii="宋体" w:hAnsi="宋体"/>
                <w:color w:val="auto"/>
              </w:rPr>
              <w:sym w:font="Wingdings 2" w:char="0052"/>
            </w:r>
            <w:r>
              <w:rPr>
                <w:rFonts w:hint="eastAsia" w:ascii="宋体" w:hAnsi="宋体"/>
                <w:color w:val="auto"/>
              </w:rPr>
              <w:t>正本盖章后的扫描件，以U盘形式提交，单独密封)</w:t>
            </w:r>
          </w:p>
          <w:p>
            <w:pPr>
              <w:pStyle w:val="84"/>
              <w:spacing w:line="440" w:lineRule="exact"/>
              <w:jc w:val="both"/>
              <w:rPr>
                <w:rFonts w:ascii="宋体" w:hAnsi="宋体"/>
                <w:color w:val="auto"/>
              </w:rPr>
            </w:pPr>
            <w:r>
              <w:rPr>
                <w:rFonts w:hint="eastAsia" w:ascii="宋体" w:hAnsi="宋体"/>
                <w:b/>
                <w:color w:val="auto"/>
              </w:rPr>
              <w:t>（注：装订形式：不得采用活页、拉杆等方式，必须采用胶装，否则按废标处理）</w:t>
            </w:r>
          </w:p>
        </w:tc>
      </w:tr>
      <w:tr>
        <w:tblPrEx>
          <w:tblCellMar>
            <w:top w:w="0" w:type="dxa"/>
            <w:left w:w="108" w:type="dxa"/>
            <w:bottom w:w="0" w:type="dxa"/>
            <w:right w:w="108" w:type="dxa"/>
          </w:tblCellMar>
        </w:tblPrEx>
        <w:trPr>
          <w:trHeight w:val="2892"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7</w:t>
            </w:r>
          </w:p>
        </w:tc>
        <w:tc>
          <w:tcPr>
            <w:tcW w:w="9953" w:type="dxa"/>
            <w:tcBorders>
              <w:top w:val="single" w:color="auto" w:sz="12" w:space="0"/>
              <w:left w:val="single" w:color="auto" w:sz="12" w:space="0"/>
              <w:bottom w:val="single" w:color="auto" w:sz="12" w:space="0"/>
              <w:right w:val="single" w:color="auto" w:sz="12" w:space="0"/>
            </w:tcBorders>
            <w:vAlign w:val="center"/>
          </w:tcPr>
          <w:p>
            <w:pPr>
              <w:spacing w:before="15"/>
              <w:ind w:right="-20"/>
              <w:rPr>
                <w:rFonts w:ascii="宋体" w:hAnsi="宋体"/>
                <w:kern w:val="0"/>
                <w:sz w:val="24"/>
                <w:szCs w:val="24"/>
              </w:rPr>
            </w:pPr>
            <w:r>
              <w:rPr>
                <w:rFonts w:hint="eastAsia" w:ascii="宋体" w:hAnsi="宋体"/>
                <w:kern w:val="0"/>
                <w:sz w:val="24"/>
                <w:szCs w:val="24"/>
              </w:rPr>
              <w:t>供货期：按甲方需求。</w:t>
            </w:r>
          </w:p>
          <w:p>
            <w:pPr>
              <w:spacing w:before="15"/>
              <w:ind w:right="-20"/>
              <w:rPr>
                <w:rFonts w:ascii="宋体" w:hAnsi="宋体"/>
                <w:kern w:val="0"/>
                <w:sz w:val="24"/>
                <w:szCs w:val="24"/>
              </w:rPr>
            </w:pPr>
            <w:r>
              <w:rPr>
                <w:rFonts w:hint="eastAsia" w:ascii="宋体" w:hAnsi="宋体"/>
                <w:kern w:val="0"/>
                <w:sz w:val="24"/>
                <w:szCs w:val="24"/>
              </w:rPr>
              <w:t>质保期：每包设备质保期不同，详见第三章设备技术参数。</w:t>
            </w:r>
          </w:p>
          <w:p>
            <w:pPr>
              <w:spacing w:before="15"/>
              <w:ind w:right="-20"/>
              <w:rPr>
                <w:rFonts w:ascii="宋体" w:hAnsi="宋体"/>
                <w:kern w:val="0"/>
                <w:sz w:val="24"/>
                <w:szCs w:val="24"/>
              </w:rPr>
            </w:pPr>
            <w:r>
              <w:rPr>
                <w:rFonts w:hint="eastAsia" w:ascii="宋体" w:hAnsi="宋体"/>
                <w:kern w:val="0"/>
                <w:sz w:val="24"/>
                <w:szCs w:val="24"/>
              </w:rPr>
              <w:t>付款方式：后期与甲方签订合同为准（合同签订后，乙方向甲方交纳合同金额的10%履约金后，乙方向甲方开具合同全额发票，甲方收到履约金和全额发票后向乙方支付全额货款。乙方按照甲方需求分批次供货，待所有货物调试安装验收合格（包含性能验证）后，甲方向乙方无息退款合同金额的5%履约金，质保期（含保修期）结束后，甲方向乙方无息退款合同金额的5%履约金）。</w:t>
            </w:r>
          </w:p>
          <w:p>
            <w:pPr>
              <w:spacing w:before="15"/>
              <w:ind w:right="-20"/>
              <w:rPr>
                <w:rFonts w:ascii="宋体" w:hAnsi="宋体"/>
              </w:rPr>
            </w:pPr>
            <w:r>
              <w:rPr>
                <w:rFonts w:hint="eastAsia" w:ascii="宋体" w:hAnsi="宋体"/>
                <w:kern w:val="0"/>
                <w:sz w:val="24"/>
                <w:szCs w:val="24"/>
              </w:rPr>
              <w:t>备注：本项目共分</w:t>
            </w:r>
            <w:r>
              <w:rPr>
                <w:rFonts w:hint="eastAsia" w:ascii="宋体" w:hAnsi="宋体"/>
                <w:kern w:val="0"/>
                <w:sz w:val="24"/>
                <w:szCs w:val="24"/>
                <w:lang w:val="en-US" w:eastAsia="zh-CN"/>
              </w:rPr>
              <w:t>4</w:t>
            </w:r>
            <w:r>
              <w:rPr>
                <w:rFonts w:hint="eastAsia" w:ascii="宋体" w:hAnsi="宋体"/>
                <w:kern w:val="0"/>
                <w:sz w:val="24"/>
                <w:szCs w:val="24"/>
              </w:rPr>
              <w:t xml:space="preserve">个标包。     </w:t>
            </w:r>
          </w:p>
        </w:tc>
      </w:tr>
      <w:tr>
        <w:tblPrEx>
          <w:tblCellMar>
            <w:top w:w="0" w:type="dxa"/>
            <w:left w:w="108" w:type="dxa"/>
            <w:bottom w:w="0" w:type="dxa"/>
            <w:right w:w="108" w:type="dxa"/>
          </w:tblCellMar>
        </w:tblPrEx>
        <w:trPr>
          <w:trHeight w:val="271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8</w:t>
            </w:r>
          </w:p>
        </w:tc>
        <w:tc>
          <w:tcPr>
            <w:tcW w:w="9953" w:type="dxa"/>
            <w:tcBorders>
              <w:top w:val="single" w:color="auto" w:sz="12"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kern w:val="0"/>
                <w:sz w:val="24"/>
                <w:szCs w:val="24"/>
              </w:rPr>
            </w:pPr>
            <w:r>
              <w:rPr>
                <w:rFonts w:hint="eastAsia" w:ascii="宋体" w:hAnsi="宋体"/>
                <w:kern w:val="0"/>
                <w:sz w:val="24"/>
                <w:szCs w:val="24"/>
              </w:rPr>
              <w:t>采购产品为最新《节能产品政府采购清单》内非标记★符号的节能产品及《环境标志产品政府采购清单》的产品：</w:t>
            </w:r>
          </w:p>
          <w:p>
            <w:pPr>
              <w:tabs>
                <w:tab w:val="center" w:pos="4422"/>
                <w:tab w:val="left" w:pos="7920"/>
              </w:tabs>
              <w:spacing w:line="440" w:lineRule="exact"/>
              <w:rPr>
                <w:rFonts w:ascii="宋体" w:hAnsi="宋体"/>
              </w:rPr>
            </w:pPr>
            <w:r>
              <w:rPr>
                <w:rFonts w:hint="eastAsia" w:ascii="宋体" w:hAnsi="宋体"/>
                <w:kern w:val="0"/>
                <w:sz w:val="24"/>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价格扣除。</w:t>
            </w:r>
          </w:p>
        </w:tc>
      </w:tr>
      <w:tr>
        <w:tblPrEx>
          <w:tblCellMar>
            <w:top w:w="0" w:type="dxa"/>
            <w:left w:w="108" w:type="dxa"/>
            <w:bottom w:w="0" w:type="dxa"/>
            <w:right w:w="108" w:type="dxa"/>
          </w:tblCellMar>
        </w:tblPrEx>
        <w:trPr>
          <w:trHeight w:val="936" w:hRule="exact"/>
          <w:jc w:val="center"/>
        </w:trPr>
        <w:tc>
          <w:tcPr>
            <w:tcW w:w="767" w:type="dxa"/>
            <w:vMerge w:val="restart"/>
            <w:tcBorders>
              <w:top w:val="single" w:color="auto" w:sz="12" w:space="0"/>
              <w:left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9</w:t>
            </w:r>
          </w:p>
        </w:tc>
        <w:tc>
          <w:tcPr>
            <w:tcW w:w="9953" w:type="dxa"/>
            <w:tcBorders>
              <w:top w:val="single" w:color="auto" w:sz="12" w:space="0"/>
              <w:left w:val="single" w:color="auto" w:sz="12" w:space="0"/>
              <w:bottom w:val="single" w:color="auto" w:sz="4" w:space="0"/>
              <w:right w:val="single" w:color="auto" w:sz="12" w:space="0"/>
            </w:tcBorders>
            <w:vAlign w:val="center"/>
          </w:tcPr>
          <w:p>
            <w:pPr>
              <w:tabs>
                <w:tab w:val="center" w:pos="4422"/>
                <w:tab w:val="left" w:pos="7920"/>
              </w:tabs>
              <w:spacing w:line="440" w:lineRule="exact"/>
              <w:rPr>
                <w:rFonts w:ascii="宋体" w:hAnsi="宋体"/>
                <w:kern w:val="0"/>
                <w:sz w:val="24"/>
                <w:szCs w:val="24"/>
              </w:rPr>
            </w:pPr>
            <w:r>
              <w:rPr>
                <w:rFonts w:hint="eastAsia" w:ascii="宋体" w:hAnsi="宋体"/>
                <w:kern w:val="0"/>
                <w:sz w:val="24"/>
                <w:szCs w:val="24"/>
              </w:rPr>
              <w:t>1、给予小型和微型企业产品的价格给予10%-20%的扣除，用扣除后的价格参与评审，本项目具体扣除比例为10%。</w:t>
            </w:r>
          </w:p>
        </w:tc>
      </w:tr>
      <w:tr>
        <w:tblPrEx>
          <w:tblCellMar>
            <w:top w:w="0" w:type="dxa"/>
            <w:left w:w="108" w:type="dxa"/>
            <w:bottom w:w="0" w:type="dxa"/>
            <w:right w:w="108" w:type="dxa"/>
          </w:tblCellMar>
        </w:tblPrEx>
        <w:trPr>
          <w:trHeight w:val="898" w:hRule="exact"/>
          <w:jc w:val="center"/>
        </w:trPr>
        <w:tc>
          <w:tcPr>
            <w:tcW w:w="767" w:type="dxa"/>
            <w:vMerge w:val="continue"/>
            <w:tcBorders>
              <w:left w:val="single" w:color="auto" w:sz="12" w:space="0"/>
              <w:right w:val="single" w:color="auto" w:sz="12" w:space="0"/>
            </w:tcBorders>
            <w:vAlign w:val="center"/>
          </w:tcPr>
          <w:p>
            <w:pPr>
              <w:pStyle w:val="84"/>
              <w:spacing w:line="500" w:lineRule="exact"/>
              <w:jc w:val="center"/>
              <w:rPr>
                <w:rFonts w:ascii="宋体" w:hAnsi="宋体"/>
                <w:color w:val="auto"/>
              </w:rPr>
            </w:pPr>
          </w:p>
        </w:tc>
        <w:tc>
          <w:tcPr>
            <w:tcW w:w="99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kern w:val="0"/>
                <w:sz w:val="24"/>
                <w:szCs w:val="24"/>
              </w:rPr>
            </w:pPr>
            <w:r>
              <w:rPr>
                <w:rFonts w:hint="eastAsia" w:ascii="宋体" w:hAnsi="宋体"/>
                <w:kern w:val="0"/>
                <w:sz w:val="24"/>
                <w:szCs w:val="24"/>
              </w:rPr>
              <w:t>2、中小企业在融资、投标保证、履约保证等方面有需求的，可查询当地政府采购管理部门相关政策，通过专业化的担保途径解决。</w:t>
            </w:r>
          </w:p>
        </w:tc>
      </w:tr>
      <w:tr>
        <w:tblPrEx>
          <w:tblCellMar>
            <w:top w:w="0" w:type="dxa"/>
            <w:left w:w="108" w:type="dxa"/>
            <w:bottom w:w="0" w:type="dxa"/>
            <w:right w:w="108" w:type="dxa"/>
          </w:tblCellMar>
        </w:tblPrEx>
        <w:trPr>
          <w:trHeight w:val="1424" w:hRule="exact"/>
          <w:jc w:val="center"/>
        </w:trPr>
        <w:tc>
          <w:tcPr>
            <w:tcW w:w="767" w:type="dxa"/>
            <w:vMerge w:val="continue"/>
            <w:tcBorders>
              <w:left w:val="single" w:color="auto" w:sz="12" w:space="0"/>
              <w:right w:val="single" w:color="auto" w:sz="12" w:space="0"/>
            </w:tcBorders>
            <w:vAlign w:val="center"/>
          </w:tcPr>
          <w:p>
            <w:pPr>
              <w:pStyle w:val="84"/>
              <w:spacing w:line="500" w:lineRule="exact"/>
              <w:jc w:val="center"/>
              <w:rPr>
                <w:rFonts w:ascii="宋体" w:hAnsi="宋体"/>
                <w:color w:val="auto"/>
              </w:rPr>
            </w:pPr>
          </w:p>
        </w:tc>
        <w:tc>
          <w:tcPr>
            <w:tcW w:w="99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kern w:val="0"/>
                <w:sz w:val="24"/>
                <w:szCs w:val="24"/>
              </w:rPr>
            </w:pPr>
            <w:r>
              <w:rPr>
                <w:rFonts w:hint="eastAsia" w:ascii="宋体" w:hAnsi="宋体"/>
                <w:kern w:val="0"/>
                <w:sz w:val="24"/>
                <w:szCs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968" w:hRule="exact"/>
          <w:jc w:val="center"/>
        </w:trPr>
        <w:tc>
          <w:tcPr>
            <w:tcW w:w="767" w:type="dxa"/>
            <w:vMerge w:val="continue"/>
            <w:tcBorders>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p>
        </w:tc>
        <w:tc>
          <w:tcPr>
            <w:tcW w:w="9953" w:type="dxa"/>
            <w:tcBorders>
              <w:top w:val="single" w:color="auto" w:sz="4" w:space="0"/>
              <w:left w:val="single" w:color="auto" w:sz="12" w:space="0"/>
              <w:bottom w:val="single" w:color="auto" w:sz="12" w:space="0"/>
              <w:right w:val="single" w:color="auto" w:sz="12" w:space="0"/>
            </w:tcBorders>
            <w:vAlign w:val="center"/>
          </w:tcPr>
          <w:p>
            <w:pPr>
              <w:tabs>
                <w:tab w:val="center" w:pos="4422"/>
                <w:tab w:val="left" w:pos="7920"/>
              </w:tabs>
              <w:spacing w:line="440" w:lineRule="exact"/>
              <w:rPr>
                <w:rFonts w:ascii="宋体" w:hAnsi="宋体"/>
                <w:kern w:val="0"/>
                <w:sz w:val="24"/>
                <w:szCs w:val="24"/>
              </w:rPr>
            </w:pPr>
            <w:r>
              <w:rPr>
                <w:rFonts w:hint="eastAsia" w:ascii="宋体" w:hAnsi="宋体"/>
                <w:kern w:val="0"/>
                <w:sz w:val="24"/>
                <w:szCs w:val="24"/>
              </w:rPr>
              <w:t>4、根据财政部、民政部、中国残疾人联合会《关于促进残疾人就业政府采购政策的通知》(财库[2017]141号)，在政府采购活动中,残疾人福利性单位视同小型、微型企业。</w:t>
            </w:r>
          </w:p>
        </w:tc>
      </w:tr>
      <w:tr>
        <w:tblPrEx>
          <w:tblCellMar>
            <w:top w:w="0" w:type="dxa"/>
            <w:left w:w="108" w:type="dxa"/>
            <w:bottom w:w="0" w:type="dxa"/>
            <w:right w:w="108" w:type="dxa"/>
          </w:tblCellMar>
        </w:tblPrEx>
        <w:trPr>
          <w:trHeight w:val="676"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10</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投标文件递交至：乌鲁木齐市新市区鲤鱼山南路835号院内二楼</w:t>
            </w:r>
          </w:p>
        </w:tc>
      </w:tr>
      <w:tr>
        <w:tblPrEx>
          <w:tblCellMar>
            <w:top w:w="0" w:type="dxa"/>
            <w:left w:w="108" w:type="dxa"/>
            <w:bottom w:w="0" w:type="dxa"/>
            <w:right w:w="108" w:type="dxa"/>
          </w:tblCellMar>
        </w:tblPrEx>
        <w:trPr>
          <w:trHeight w:val="526"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11</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开标时间:</w:t>
            </w:r>
            <w:r>
              <w:rPr>
                <w:rFonts w:hint="eastAsia" w:ascii="宋体" w:hAnsi="宋体"/>
                <w:color w:val="auto"/>
                <w:lang w:eastAsia="zh-CN"/>
              </w:rPr>
              <w:t>2022年12月16日</w:t>
            </w:r>
            <w:r>
              <w:rPr>
                <w:rFonts w:hint="eastAsia" w:ascii="宋体" w:hAnsi="宋体"/>
                <w:color w:val="auto"/>
              </w:rPr>
              <w:t xml:space="preserve"> 11:00:00（北京时间）</w:t>
            </w:r>
          </w:p>
        </w:tc>
      </w:tr>
      <w:tr>
        <w:tblPrEx>
          <w:tblCellMar>
            <w:top w:w="0" w:type="dxa"/>
            <w:left w:w="108" w:type="dxa"/>
            <w:bottom w:w="0" w:type="dxa"/>
            <w:right w:w="108" w:type="dxa"/>
          </w:tblCellMar>
        </w:tblPrEx>
        <w:trPr>
          <w:trHeight w:val="876"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12</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jc w:val="both"/>
              <w:rPr>
                <w:rFonts w:ascii="宋体" w:hAnsi="宋体"/>
                <w:color w:val="auto"/>
              </w:rPr>
            </w:pPr>
            <w:r>
              <w:rPr>
                <w:rFonts w:hint="eastAsia" w:ascii="宋体" w:hAnsi="宋体"/>
                <w:color w:val="auto"/>
              </w:rPr>
              <w:t>开标地点：乌鲁木齐市新市区鲤鱼山南路835号院内二楼。</w:t>
            </w:r>
          </w:p>
        </w:tc>
      </w:tr>
      <w:tr>
        <w:tblPrEx>
          <w:tblCellMar>
            <w:top w:w="0" w:type="dxa"/>
            <w:left w:w="108" w:type="dxa"/>
            <w:bottom w:w="0" w:type="dxa"/>
            <w:right w:w="108" w:type="dxa"/>
          </w:tblCellMar>
        </w:tblPrEx>
        <w:trPr>
          <w:trHeight w:val="616"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13</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ind w:left="1200" w:hanging="1200" w:hangingChars="500"/>
              <w:jc w:val="both"/>
              <w:rPr>
                <w:rFonts w:ascii="宋体" w:hAnsi="宋体"/>
                <w:color w:val="auto"/>
              </w:rPr>
            </w:pPr>
            <w:r>
              <w:rPr>
                <w:rFonts w:hint="eastAsia" w:ascii="宋体" w:hAnsi="宋体"/>
                <w:color w:val="auto"/>
              </w:rPr>
              <w:t>是否需要提供样品：不需要</w:t>
            </w:r>
          </w:p>
        </w:tc>
      </w:tr>
      <w:tr>
        <w:tblPrEx>
          <w:tblCellMar>
            <w:top w:w="0" w:type="dxa"/>
            <w:left w:w="108" w:type="dxa"/>
            <w:bottom w:w="0" w:type="dxa"/>
            <w:right w:w="108" w:type="dxa"/>
          </w:tblCellMar>
        </w:tblPrEx>
        <w:trPr>
          <w:trHeight w:val="88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jc w:val="center"/>
              <w:rPr>
                <w:rFonts w:ascii="宋体" w:hAnsi="宋体"/>
                <w:color w:val="auto"/>
              </w:rPr>
            </w:pPr>
            <w:r>
              <w:rPr>
                <w:rFonts w:hint="eastAsia" w:ascii="宋体" w:hAnsi="宋体"/>
                <w:color w:val="auto"/>
              </w:rPr>
              <w:t>14</w:t>
            </w:r>
          </w:p>
        </w:tc>
        <w:tc>
          <w:tcPr>
            <w:tcW w:w="9953" w:type="dxa"/>
            <w:tcBorders>
              <w:top w:val="single" w:color="auto" w:sz="12" w:space="0"/>
              <w:left w:val="single" w:color="auto" w:sz="12" w:space="0"/>
              <w:bottom w:val="single" w:color="auto" w:sz="12" w:space="0"/>
              <w:right w:val="single" w:color="auto" w:sz="12" w:space="0"/>
            </w:tcBorders>
            <w:vAlign w:val="center"/>
          </w:tcPr>
          <w:p>
            <w:pPr>
              <w:pStyle w:val="84"/>
              <w:spacing w:line="440" w:lineRule="exact"/>
              <w:ind w:left="1920" w:hanging="1920" w:hangingChars="800"/>
              <w:jc w:val="both"/>
              <w:rPr>
                <w:rFonts w:ascii="宋体" w:hAnsi="宋体"/>
                <w:color w:val="auto"/>
              </w:rPr>
            </w:pPr>
            <w:r>
              <w:rPr>
                <w:rFonts w:hint="eastAsia" w:ascii="宋体" w:hAnsi="宋体"/>
                <w:color w:val="auto"/>
              </w:rPr>
              <w:t>招标代理服务费：</w:t>
            </w:r>
            <w:r>
              <w:rPr>
                <w:rFonts w:hint="eastAsia" w:ascii="宋体" w:hAnsi="宋体" w:cs="宋体"/>
                <w:color w:val="auto"/>
              </w:rPr>
              <w:t>招标代理服务费由中标人支付。</w:t>
            </w:r>
          </w:p>
        </w:tc>
      </w:tr>
      <w:tr>
        <w:tblPrEx>
          <w:tblCellMar>
            <w:top w:w="0" w:type="dxa"/>
            <w:left w:w="108" w:type="dxa"/>
            <w:bottom w:w="0" w:type="dxa"/>
            <w:right w:w="108" w:type="dxa"/>
          </w:tblCellMar>
        </w:tblPrEx>
        <w:trPr>
          <w:trHeight w:val="1607"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pStyle w:val="84"/>
              <w:spacing w:line="500" w:lineRule="exact"/>
              <w:ind w:firstLine="120" w:firstLineChars="50"/>
              <w:rPr>
                <w:rFonts w:ascii="宋体" w:hAnsi="宋体" w:cs="宋体"/>
                <w:b/>
                <w:color w:val="auto"/>
                <w:kern w:val="2"/>
              </w:rPr>
            </w:pPr>
            <w:r>
              <w:rPr>
                <w:rFonts w:hint="eastAsia" w:ascii="宋体" w:hAnsi="宋体" w:cs="宋体"/>
                <w:b/>
                <w:color w:val="auto"/>
                <w:kern w:val="2"/>
              </w:rPr>
              <w:t xml:space="preserve"> 15</w:t>
            </w:r>
          </w:p>
        </w:tc>
        <w:tc>
          <w:tcPr>
            <w:tcW w:w="9953" w:type="dxa"/>
            <w:tcBorders>
              <w:top w:val="single" w:color="auto" w:sz="12" w:space="0"/>
              <w:left w:val="single" w:color="auto" w:sz="12" w:space="0"/>
              <w:bottom w:val="single" w:color="auto" w:sz="12" w:space="0"/>
              <w:right w:val="single" w:color="auto" w:sz="12" w:space="0"/>
            </w:tcBorders>
            <w:vAlign w:val="center"/>
          </w:tcPr>
          <w:p>
            <w:pPr>
              <w:widowControl/>
              <w:spacing w:line="440" w:lineRule="exact"/>
              <w:jc w:val="left"/>
              <w:rPr>
                <w:rFonts w:ascii="宋体" w:hAnsi="宋体" w:cs="宋体"/>
                <w:b/>
                <w:color w:val="0000FF"/>
                <w:sz w:val="24"/>
                <w:szCs w:val="24"/>
              </w:rPr>
            </w:pPr>
            <w:r>
              <w:rPr>
                <w:rFonts w:hint="eastAsia" w:ascii="宋体" w:hAnsi="宋体" w:cs="宋体"/>
                <w:b/>
                <w:color w:val="0000FF"/>
                <w:sz w:val="24"/>
                <w:szCs w:val="24"/>
              </w:rPr>
              <w:t>开标时须携带：</w:t>
            </w:r>
          </w:p>
          <w:p>
            <w:pPr>
              <w:widowControl/>
              <w:spacing w:line="440" w:lineRule="exact"/>
              <w:jc w:val="left"/>
              <w:rPr>
                <w:rFonts w:ascii="宋体" w:hAnsi="宋体" w:cs="宋体"/>
                <w:b/>
                <w:color w:val="0000FF"/>
                <w:sz w:val="24"/>
                <w:szCs w:val="24"/>
              </w:rPr>
            </w:pPr>
            <w:r>
              <w:rPr>
                <w:rFonts w:hint="eastAsia" w:ascii="宋体" w:hAnsi="宋体" w:cs="宋体"/>
                <w:b/>
                <w:color w:val="0000FF"/>
                <w:sz w:val="24"/>
                <w:szCs w:val="24"/>
              </w:rPr>
              <w:t>法定代表人参加时提供：身份证原件、法定代表人身份证明，或委托代理人参加时提供：身份证原件、授权委托书原件；</w:t>
            </w:r>
          </w:p>
          <w:p>
            <w:pPr>
              <w:widowControl/>
              <w:spacing w:line="440" w:lineRule="exact"/>
              <w:jc w:val="left"/>
              <w:rPr>
                <w:rFonts w:ascii="宋体" w:hAnsi="宋体" w:cs="宋体"/>
                <w:b/>
                <w:sz w:val="24"/>
                <w:szCs w:val="24"/>
              </w:rPr>
            </w:pPr>
          </w:p>
        </w:tc>
      </w:tr>
      <w:tr>
        <w:tblPrEx>
          <w:tblCellMar>
            <w:top w:w="0" w:type="dxa"/>
            <w:left w:w="108" w:type="dxa"/>
            <w:bottom w:w="0" w:type="dxa"/>
            <w:right w:w="108" w:type="dxa"/>
          </w:tblCellMar>
        </w:tblPrEx>
        <w:trPr>
          <w:trHeight w:val="5048"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overflowPunct w:val="0"/>
              <w:jc w:val="center"/>
              <w:rPr>
                <w:rFonts w:ascii="宋体" w:hAnsi="宋体"/>
                <w:kern w:val="0"/>
                <w:sz w:val="24"/>
                <w:szCs w:val="24"/>
              </w:rPr>
            </w:pPr>
            <w:r>
              <w:rPr>
                <w:rFonts w:hint="eastAsia" w:ascii="宋体" w:hAnsi="宋体"/>
                <w:kern w:val="0"/>
                <w:sz w:val="24"/>
                <w:szCs w:val="24"/>
              </w:rPr>
              <w:t>15</w:t>
            </w:r>
          </w:p>
        </w:tc>
        <w:tc>
          <w:tcPr>
            <w:tcW w:w="9953" w:type="dxa"/>
            <w:tcBorders>
              <w:top w:val="single" w:color="auto" w:sz="12" w:space="0"/>
              <w:left w:val="single" w:color="auto" w:sz="12" w:space="0"/>
              <w:bottom w:val="single" w:color="auto" w:sz="12" w:space="0"/>
              <w:right w:val="single" w:color="auto" w:sz="12" w:space="0"/>
            </w:tcBorders>
            <w:vAlign w:val="center"/>
          </w:tcPr>
          <w:p>
            <w:pPr>
              <w:overflowPunct w:val="0"/>
              <w:rPr>
                <w:rFonts w:ascii="宋体" w:hAnsi="宋体"/>
                <w:b/>
                <w:bCs/>
                <w:kern w:val="0"/>
                <w:sz w:val="24"/>
                <w:szCs w:val="24"/>
              </w:rPr>
            </w:pPr>
            <w:r>
              <w:rPr>
                <w:rFonts w:hint="eastAsia" w:ascii="宋体" w:hAnsi="宋体"/>
                <w:b/>
                <w:bCs/>
                <w:kern w:val="0"/>
                <w:sz w:val="24"/>
                <w:szCs w:val="24"/>
              </w:rPr>
              <w:t>低于成本价不正当竞争预防措施：</w:t>
            </w:r>
          </w:p>
          <w:p>
            <w:pPr>
              <w:overflowPunct w:val="0"/>
              <w:ind w:firstLine="480" w:firstLineChars="200"/>
              <w:rPr>
                <w:rFonts w:ascii="宋体" w:hAnsi="宋体"/>
                <w:kern w:val="0"/>
                <w:sz w:val="24"/>
                <w:szCs w:val="24"/>
              </w:rPr>
            </w:pPr>
            <w:r>
              <w:rPr>
                <w:rFonts w:hint="eastAsia" w:ascii="宋体" w:hAnsi="宋体"/>
                <w:kern w:val="0"/>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宋体" w:hAnsi="宋体"/>
                <w:kern w:val="0"/>
                <w:sz w:val="24"/>
                <w:szCs w:val="24"/>
              </w:rPr>
            </w:pPr>
            <w:r>
              <w:rPr>
                <w:rFonts w:hint="eastAsia" w:ascii="宋体" w:hAnsi="宋体"/>
                <w:kern w:val="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ind w:firstLine="480" w:firstLineChars="200"/>
              <w:rPr>
                <w:rFonts w:ascii="宋体" w:hAnsi="宋体"/>
                <w:kern w:val="0"/>
                <w:sz w:val="24"/>
                <w:szCs w:val="24"/>
              </w:rPr>
            </w:pPr>
            <w:r>
              <w:rPr>
                <w:rFonts w:hint="eastAsia" w:ascii="宋体" w:hAnsi="宋体"/>
                <w:kern w:val="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CellMar>
            <w:top w:w="0" w:type="dxa"/>
            <w:left w:w="108" w:type="dxa"/>
            <w:bottom w:w="0" w:type="dxa"/>
            <w:right w:w="108" w:type="dxa"/>
          </w:tblCellMar>
        </w:tblPrEx>
        <w:trPr>
          <w:trHeight w:val="3650"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overflowPunct w:val="0"/>
              <w:jc w:val="center"/>
              <w:rPr>
                <w:rFonts w:ascii="宋体" w:hAnsi="宋体"/>
                <w:kern w:val="0"/>
                <w:sz w:val="24"/>
                <w:szCs w:val="24"/>
              </w:rPr>
            </w:pPr>
            <w:bookmarkStart w:id="1" w:name="_Toc2189"/>
            <w:r>
              <w:rPr>
                <w:rFonts w:hint="eastAsia" w:ascii="宋体" w:hAnsi="宋体"/>
                <w:kern w:val="0"/>
                <w:sz w:val="24"/>
                <w:szCs w:val="24"/>
              </w:rPr>
              <w:t>信用信息查询：</w:t>
            </w:r>
          </w:p>
          <w:p>
            <w:pPr>
              <w:overflowPunct w:val="0"/>
              <w:jc w:val="center"/>
              <w:rPr>
                <w:rFonts w:ascii="宋体" w:hAnsi="宋体"/>
                <w:kern w:val="0"/>
                <w:sz w:val="24"/>
                <w:szCs w:val="24"/>
              </w:rPr>
            </w:pPr>
          </w:p>
        </w:tc>
        <w:tc>
          <w:tcPr>
            <w:tcW w:w="9953" w:type="dxa"/>
            <w:tcBorders>
              <w:top w:val="single" w:color="auto" w:sz="12" w:space="0"/>
              <w:left w:val="single" w:color="auto" w:sz="12" w:space="0"/>
              <w:bottom w:val="single" w:color="auto" w:sz="12" w:space="0"/>
              <w:right w:val="single" w:color="auto" w:sz="12" w:space="0"/>
            </w:tcBorders>
            <w:vAlign w:val="center"/>
          </w:tcPr>
          <w:p>
            <w:pPr>
              <w:spacing w:line="440" w:lineRule="exact"/>
              <w:ind w:firstLine="480" w:firstLineChars="200"/>
              <w:rPr>
                <w:rFonts w:ascii="宋体" w:hAnsi="宋体"/>
                <w:kern w:val="0"/>
                <w:sz w:val="24"/>
                <w:szCs w:val="24"/>
              </w:rPr>
            </w:pPr>
            <w:r>
              <w:rPr>
                <w:rFonts w:hint="eastAsia" w:ascii="宋体" w:hAnsi="宋体" w:cs="宋体"/>
                <w:sz w:val="24"/>
                <w:szCs w:val="24"/>
              </w:rPr>
              <w:t>根据《财政部关于在政府采购活动中查询及使用信用记录有关问题的通知》（财库〔2016〕125 号）规定，投标截止时间后，采购人或采购代理机构将通过“信用中国”网站(www.creditchina.gov.cn)、中国政府采购网(www.ccgp.gov.cn)，对供应商的信用记录进行审查，对列入失信被执行人、重大税收违法案件当事人名单、政府采购严重违法失信行为记录名单及其他不符合《中华人民共和国政府采购法》第二十二条规定条件的供应商，其投标将被拒绝。本项目信用记录查询截止时点为以投标截止当日，并在开标大会现场查询后由各供应商签字确认。本次查询的信用记录仅限于本项目使用，打印并经供应商签字确认的网页版将留存在采购档案中。</w:t>
            </w:r>
          </w:p>
        </w:tc>
      </w:tr>
      <w:tr>
        <w:tblPrEx>
          <w:tblCellMar>
            <w:top w:w="0" w:type="dxa"/>
            <w:left w:w="108" w:type="dxa"/>
            <w:bottom w:w="0" w:type="dxa"/>
            <w:right w:w="108" w:type="dxa"/>
          </w:tblCellMar>
        </w:tblPrEx>
        <w:trPr>
          <w:trHeight w:val="440" w:hRule="exact"/>
          <w:jc w:val="center"/>
        </w:trPr>
        <w:tc>
          <w:tcPr>
            <w:tcW w:w="767" w:type="dxa"/>
            <w:tcBorders>
              <w:top w:val="single" w:color="auto" w:sz="12" w:space="0"/>
              <w:left w:val="single" w:color="auto" w:sz="12" w:space="0"/>
              <w:bottom w:val="single" w:color="auto" w:sz="12" w:space="0"/>
              <w:right w:val="single" w:color="auto" w:sz="12" w:space="0"/>
            </w:tcBorders>
            <w:vAlign w:val="center"/>
          </w:tcPr>
          <w:p>
            <w:pPr>
              <w:overflowPunct w:val="0"/>
              <w:jc w:val="center"/>
              <w:rPr>
                <w:rFonts w:ascii="宋体" w:hAnsi="宋体"/>
                <w:kern w:val="0"/>
                <w:sz w:val="24"/>
                <w:szCs w:val="24"/>
              </w:rPr>
            </w:pPr>
            <w:r>
              <w:rPr>
                <w:rFonts w:hint="eastAsia" w:ascii="宋体" w:hAnsi="宋体"/>
                <w:kern w:val="0"/>
                <w:sz w:val="24"/>
                <w:szCs w:val="24"/>
              </w:rPr>
              <w:t>注</w:t>
            </w:r>
          </w:p>
        </w:tc>
        <w:tc>
          <w:tcPr>
            <w:tcW w:w="9953" w:type="dxa"/>
            <w:tcBorders>
              <w:top w:val="single" w:color="auto" w:sz="12" w:space="0"/>
              <w:left w:val="single" w:color="auto" w:sz="12" w:space="0"/>
              <w:bottom w:val="single" w:color="auto" w:sz="12" w:space="0"/>
              <w:right w:val="single" w:color="auto" w:sz="12" w:space="0"/>
            </w:tcBorders>
            <w:vAlign w:val="center"/>
          </w:tcPr>
          <w:p>
            <w:pPr>
              <w:spacing w:line="440" w:lineRule="exact"/>
              <w:rPr>
                <w:rFonts w:ascii="宋体" w:hAnsi="宋体" w:cs="宋体"/>
                <w:sz w:val="24"/>
                <w:szCs w:val="24"/>
              </w:rPr>
            </w:pPr>
            <w:r>
              <w:rPr>
                <w:rFonts w:hint="eastAsia" w:ascii="宋体" w:hAnsi="宋体" w:cs="宋体"/>
                <w:b/>
                <w:bCs/>
                <w:sz w:val="24"/>
                <w:szCs w:val="24"/>
              </w:rPr>
              <w:t>每标段需分别制作和递交响应文件。</w:t>
            </w:r>
          </w:p>
        </w:tc>
      </w:tr>
    </w:tbl>
    <w:p>
      <w:pPr>
        <w:pStyle w:val="84"/>
        <w:spacing w:line="500" w:lineRule="exact"/>
        <w:jc w:val="center"/>
        <w:outlineLvl w:val="9"/>
        <w:rPr>
          <w:rFonts w:ascii="宋体" w:hAnsi="宋体"/>
          <w:b/>
          <w:color w:val="auto"/>
          <w:sz w:val="30"/>
          <w:szCs w:val="30"/>
        </w:rPr>
      </w:pPr>
    </w:p>
    <w:p>
      <w:pPr>
        <w:pStyle w:val="84"/>
        <w:spacing w:line="500" w:lineRule="exact"/>
        <w:jc w:val="center"/>
        <w:outlineLvl w:val="9"/>
        <w:rPr>
          <w:rFonts w:ascii="宋体" w:hAnsi="宋体"/>
          <w:b/>
          <w:color w:val="auto"/>
          <w:sz w:val="30"/>
          <w:szCs w:val="30"/>
        </w:rPr>
      </w:pPr>
    </w:p>
    <w:p>
      <w:pPr>
        <w:pStyle w:val="84"/>
        <w:spacing w:line="500" w:lineRule="exact"/>
        <w:jc w:val="center"/>
        <w:outlineLvl w:val="9"/>
        <w:rPr>
          <w:rFonts w:ascii="宋体" w:hAnsi="宋体"/>
          <w:b/>
          <w:color w:val="auto"/>
          <w:sz w:val="30"/>
          <w:szCs w:val="30"/>
        </w:rPr>
      </w:pPr>
    </w:p>
    <w:p>
      <w:pPr>
        <w:pStyle w:val="84"/>
        <w:spacing w:line="500" w:lineRule="exact"/>
        <w:jc w:val="center"/>
        <w:outlineLvl w:val="9"/>
        <w:rPr>
          <w:rFonts w:ascii="宋体" w:hAnsi="宋体"/>
          <w:b/>
          <w:color w:val="auto"/>
          <w:sz w:val="30"/>
          <w:szCs w:val="30"/>
        </w:rPr>
      </w:pPr>
    </w:p>
    <w:p>
      <w:pPr>
        <w:pStyle w:val="84"/>
        <w:spacing w:line="500" w:lineRule="exact"/>
        <w:jc w:val="center"/>
        <w:outlineLvl w:val="9"/>
        <w:rPr>
          <w:rFonts w:ascii="宋体" w:hAnsi="宋体"/>
          <w:b/>
          <w:color w:val="auto"/>
          <w:sz w:val="30"/>
          <w:szCs w:val="30"/>
        </w:rPr>
      </w:pPr>
    </w:p>
    <w:p>
      <w:pPr>
        <w:pStyle w:val="84"/>
        <w:spacing w:line="500" w:lineRule="exact"/>
        <w:jc w:val="center"/>
        <w:outlineLvl w:val="9"/>
        <w:rPr>
          <w:rFonts w:ascii="宋体" w:hAnsi="宋体"/>
          <w:b/>
          <w:color w:val="auto"/>
          <w:sz w:val="30"/>
          <w:szCs w:val="30"/>
        </w:rPr>
      </w:pPr>
    </w:p>
    <w:p>
      <w:pPr>
        <w:pStyle w:val="84"/>
        <w:spacing w:line="500" w:lineRule="exact"/>
        <w:jc w:val="center"/>
        <w:outlineLvl w:val="0"/>
        <w:rPr>
          <w:rFonts w:ascii="宋体" w:hAnsi="宋体"/>
          <w:b/>
          <w:color w:val="auto"/>
          <w:sz w:val="30"/>
          <w:szCs w:val="30"/>
        </w:rPr>
      </w:pPr>
      <w:r>
        <w:rPr>
          <w:rFonts w:hint="eastAsia" w:ascii="宋体" w:hAnsi="宋体"/>
          <w:b/>
          <w:color w:val="auto"/>
          <w:sz w:val="30"/>
          <w:szCs w:val="30"/>
        </w:rPr>
        <w:t>第一章 招标公告</w:t>
      </w:r>
    </w:p>
    <w:p>
      <w:pPr>
        <w:pStyle w:val="39"/>
        <w:spacing w:before="255" w:beforeAutospacing="0" w:after="255" w:afterAutospacing="0" w:line="360" w:lineRule="exac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新疆维吾尔自治区疾病预防控制中心2022年度上半年第三批次实验室设备采购项目三次</w:t>
      </w:r>
    </w:p>
    <w:p>
      <w:pPr>
        <w:pStyle w:val="39"/>
        <w:spacing w:before="255" w:beforeAutospacing="0" w:after="255" w:afterAutospacing="0" w:line="360" w:lineRule="exact"/>
        <w:jc w:val="both"/>
        <w:outlineLvl w:val="1"/>
        <w:rPr>
          <w:rFonts w:ascii="黑体" w:eastAsia="黑体" w:cs="黑体"/>
          <w:sz w:val="27"/>
          <w:szCs w:val="27"/>
        </w:rPr>
      </w:pPr>
      <w:r>
        <w:rPr>
          <w:rStyle w:val="45"/>
          <w:rFonts w:ascii="黑体" w:eastAsia="黑体" w:cs="黑体"/>
          <w:sz w:val="27"/>
          <w:szCs w:val="27"/>
        </w:rPr>
        <w:t>一、</w:t>
      </w:r>
      <w:r>
        <w:rPr>
          <w:rStyle w:val="45"/>
          <w:rFonts w:hint="eastAsia" w:ascii="黑体" w:eastAsia="黑体" w:cs="黑体"/>
          <w:sz w:val="27"/>
          <w:szCs w:val="27"/>
        </w:rPr>
        <w:t>项目基本情况</w:t>
      </w:r>
    </w:p>
    <w:p>
      <w:pPr>
        <w:pStyle w:val="39"/>
        <w:spacing w:line="360" w:lineRule="exact"/>
        <w:ind w:firstLine="540" w:firstLineChars="200"/>
        <w:rPr>
          <w:rFonts w:hint="eastAsia" w:ascii="仿宋" w:hAnsi="仿宋" w:eastAsia="仿宋" w:cs="仿宋"/>
          <w:sz w:val="27"/>
          <w:szCs w:val="27"/>
          <w:lang w:eastAsia="zh-CN"/>
        </w:rPr>
      </w:pPr>
      <w:r>
        <w:rPr>
          <w:rFonts w:ascii="仿宋" w:hAnsi="仿宋" w:eastAsia="仿宋" w:cs="仿宋"/>
          <w:sz w:val="27"/>
          <w:szCs w:val="27"/>
        </w:rPr>
        <w:t>项目编号：</w:t>
      </w:r>
      <w:r>
        <w:rPr>
          <w:rFonts w:hint="eastAsia" w:ascii="仿宋" w:hAnsi="仿宋" w:eastAsia="仿宋" w:cs="仿宋"/>
          <w:sz w:val="27"/>
          <w:szCs w:val="27"/>
          <w:lang w:eastAsia="zh-CN"/>
        </w:rPr>
        <w:t>HLY(CG)2022-017-003</w:t>
      </w:r>
    </w:p>
    <w:p>
      <w:pPr>
        <w:pStyle w:val="39"/>
        <w:spacing w:line="360" w:lineRule="exact"/>
        <w:ind w:left="1887" w:leftChars="256" w:hanging="1350" w:hangingChars="500"/>
        <w:rPr>
          <w:rFonts w:hint="eastAsia" w:ascii="仿宋" w:hAnsi="仿宋" w:eastAsia="仿宋" w:cs="仿宋"/>
          <w:sz w:val="27"/>
          <w:szCs w:val="27"/>
          <w:lang w:eastAsia="zh-CN"/>
        </w:rPr>
      </w:pPr>
      <w:r>
        <w:rPr>
          <w:rFonts w:hint="eastAsia" w:ascii="仿宋" w:hAnsi="仿宋" w:eastAsia="仿宋" w:cs="仿宋"/>
          <w:sz w:val="27"/>
          <w:szCs w:val="27"/>
        </w:rPr>
        <w:t>项目名称：</w:t>
      </w:r>
      <w:r>
        <w:rPr>
          <w:rFonts w:hint="eastAsia" w:ascii="仿宋" w:hAnsi="仿宋" w:eastAsia="仿宋" w:cs="仿宋"/>
          <w:sz w:val="27"/>
          <w:szCs w:val="27"/>
          <w:lang w:eastAsia="zh-CN"/>
        </w:rPr>
        <w:t>新疆维吾尔自治区疾病预防控制中心2022年度上半年第三批次实验室设备采购项目三次</w:t>
      </w:r>
    </w:p>
    <w:p>
      <w:pPr>
        <w:pStyle w:val="39"/>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采购方式：公开招标</w:t>
      </w:r>
    </w:p>
    <w:p>
      <w:pPr>
        <w:pStyle w:val="39"/>
        <w:spacing w:line="360" w:lineRule="exact"/>
        <w:rPr>
          <w:rFonts w:eastAsia="仿宋"/>
        </w:rPr>
      </w:pPr>
      <w:r>
        <w:rPr>
          <w:rFonts w:hint="eastAsia" w:ascii="仿宋" w:hAnsi="仿宋" w:eastAsia="仿宋" w:cs="仿宋"/>
          <w:sz w:val="27"/>
          <w:szCs w:val="27"/>
        </w:rPr>
        <w:t>     预算金额（万元）：</w:t>
      </w:r>
      <w:r>
        <w:rPr>
          <w:rFonts w:hint="eastAsia" w:ascii="仿宋" w:hAnsi="仿宋" w:eastAsia="仿宋" w:cs="仿宋"/>
          <w:sz w:val="27"/>
          <w:szCs w:val="27"/>
          <w:lang w:val="en-US" w:eastAsia="zh-CN"/>
        </w:rPr>
        <w:t>四标段</w:t>
      </w:r>
      <w:r>
        <w:rPr>
          <w:rFonts w:hint="eastAsia" w:ascii="仿宋" w:hAnsi="仿宋" w:eastAsia="仿宋" w:cs="仿宋"/>
          <w:sz w:val="27"/>
          <w:szCs w:val="27"/>
        </w:rPr>
        <w:t>：18万元</w:t>
      </w:r>
    </w:p>
    <w:p>
      <w:pPr>
        <w:pStyle w:val="39"/>
        <w:spacing w:line="360" w:lineRule="exact"/>
        <w:ind w:left="2697" w:leftChars="256" w:hanging="2160" w:hangingChars="800"/>
        <w:rPr>
          <w:rFonts w:ascii="仿宋" w:hAnsi="仿宋" w:eastAsia="仿宋" w:cs="仿宋"/>
          <w:sz w:val="27"/>
          <w:szCs w:val="27"/>
        </w:rPr>
      </w:pPr>
      <w:r>
        <w:rPr>
          <w:rFonts w:hint="eastAsia" w:ascii="仿宋" w:hAnsi="仿宋" w:eastAsia="仿宋" w:cs="仿宋"/>
          <w:sz w:val="27"/>
          <w:szCs w:val="27"/>
        </w:rPr>
        <w:t>最高限价（万元）：</w:t>
      </w:r>
      <w:r>
        <w:rPr>
          <w:rFonts w:hint="eastAsia" w:ascii="仿宋" w:hAnsi="仿宋" w:eastAsia="仿宋" w:cs="仿宋"/>
          <w:sz w:val="27"/>
          <w:szCs w:val="27"/>
          <w:lang w:val="en-US" w:eastAsia="zh-CN"/>
        </w:rPr>
        <w:t>四标段</w:t>
      </w:r>
      <w:r>
        <w:rPr>
          <w:rFonts w:hint="eastAsia" w:ascii="仿宋" w:hAnsi="仿宋" w:eastAsia="仿宋" w:cs="仿宋"/>
          <w:sz w:val="27"/>
          <w:szCs w:val="27"/>
        </w:rPr>
        <w:t>：18万元</w:t>
      </w:r>
    </w:p>
    <w:p>
      <w:pPr>
        <w:pStyle w:val="39"/>
        <w:spacing w:line="360" w:lineRule="exact"/>
        <w:ind w:firstLine="540" w:firstLineChars="200"/>
      </w:pPr>
      <w:r>
        <w:rPr>
          <w:rFonts w:hint="eastAsia" w:ascii="仿宋" w:hAnsi="仿宋" w:eastAsia="仿宋" w:cs="仿宋"/>
          <w:sz w:val="27"/>
          <w:szCs w:val="27"/>
        </w:rPr>
        <w:t>采购需求：</w:t>
      </w:r>
    </w:p>
    <w:p>
      <w:pPr>
        <w:pStyle w:val="39"/>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w:t>
      </w:r>
      <w:r>
        <w:rPr>
          <w:rFonts w:hint="eastAsia" w:ascii="仿宋" w:hAnsi="仿宋" w:eastAsia="仿宋" w:cs="仿宋"/>
          <w:b/>
          <w:bCs/>
          <w:sz w:val="27"/>
          <w:szCs w:val="27"/>
        </w:rPr>
        <w:t xml:space="preserve">   </w:t>
      </w:r>
    </w:p>
    <w:p>
      <w:pPr>
        <w:pStyle w:val="39"/>
        <w:spacing w:line="360" w:lineRule="exact"/>
        <w:ind w:left="537" w:leftChars="256"/>
        <w:rPr>
          <w:rFonts w:ascii="仿宋" w:hAnsi="仿宋" w:eastAsia="仿宋" w:cs="仿宋"/>
          <w:b/>
          <w:bCs/>
          <w:sz w:val="27"/>
          <w:szCs w:val="27"/>
        </w:rPr>
      </w:pPr>
      <w:r>
        <w:rPr>
          <w:rFonts w:hint="eastAsia" w:ascii="仿宋" w:hAnsi="仿宋" w:eastAsia="仿宋" w:cs="仿宋"/>
          <w:b/>
          <w:bCs/>
          <w:sz w:val="27"/>
          <w:szCs w:val="27"/>
        </w:rPr>
        <w:t>标项</w:t>
      </w:r>
      <w:r>
        <w:rPr>
          <w:rFonts w:hint="eastAsia" w:ascii="仿宋" w:hAnsi="仿宋" w:eastAsia="仿宋" w:cs="仿宋"/>
          <w:b/>
          <w:bCs/>
          <w:sz w:val="27"/>
          <w:szCs w:val="27"/>
          <w:lang w:val="en-US" w:eastAsia="zh-CN"/>
        </w:rPr>
        <w:t>四</w:t>
      </w:r>
      <w:r>
        <w:rPr>
          <w:rFonts w:hint="eastAsia" w:ascii="仿宋" w:hAnsi="仿宋" w:eastAsia="仿宋" w:cs="仿宋"/>
          <w:b/>
          <w:bCs/>
          <w:sz w:val="27"/>
          <w:szCs w:val="27"/>
        </w:rPr>
        <w:t>:</w:t>
      </w:r>
    </w:p>
    <w:p>
      <w:pPr>
        <w:pStyle w:val="39"/>
        <w:spacing w:line="360" w:lineRule="exact"/>
        <w:ind w:left="537" w:leftChars="256"/>
        <w:rPr>
          <w:rFonts w:ascii="仿宋" w:hAnsi="仿宋" w:eastAsia="仿宋" w:cs="仿宋"/>
          <w:sz w:val="27"/>
          <w:szCs w:val="27"/>
        </w:rPr>
      </w:pPr>
      <w:r>
        <w:rPr>
          <w:rFonts w:hint="eastAsia" w:ascii="仿宋" w:hAnsi="仿宋" w:eastAsia="仿宋" w:cs="仿宋"/>
          <w:sz w:val="27"/>
          <w:szCs w:val="27"/>
        </w:rPr>
        <w:t>标项名称:</w:t>
      </w:r>
      <w:r>
        <w:rPr>
          <w:rFonts w:hint="eastAsia" w:ascii="仿宋" w:hAnsi="仿宋" w:eastAsia="仿宋" w:cs="仿宋"/>
          <w:sz w:val="27"/>
          <w:szCs w:val="27"/>
          <w:lang w:eastAsia="zh-CN"/>
        </w:rPr>
        <w:t>新疆维吾尔自治区疾病预防控制中心2022年度上半年第三批次实验室设备采购项目三次</w:t>
      </w:r>
      <w:r>
        <w:rPr>
          <w:rFonts w:hint="eastAsia" w:ascii="仿宋" w:hAnsi="仿宋" w:eastAsia="仿宋" w:cs="仿宋"/>
          <w:sz w:val="27"/>
          <w:szCs w:val="27"/>
        </w:rPr>
        <w:t>标项</w:t>
      </w:r>
      <w:r>
        <w:rPr>
          <w:rFonts w:hint="eastAsia" w:ascii="仿宋" w:hAnsi="仿宋" w:eastAsia="仿宋" w:cs="仿宋"/>
          <w:sz w:val="27"/>
          <w:szCs w:val="27"/>
          <w:lang w:val="en-US" w:eastAsia="zh-CN"/>
        </w:rPr>
        <w:t>4</w:t>
      </w:r>
      <w:r>
        <w:rPr>
          <w:rFonts w:hint="eastAsia" w:ascii="仿宋" w:hAnsi="仿宋" w:eastAsia="仿宋" w:cs="仿宋"/>
          <w:sz w:val="27"/>
          <w:szCs w:val="27"/>
        </w:rPr>
        <w:t xml:space="preserve">  </w:t>
      </w:r>
    </w:p>
    <w:p>
      <w:pPr>
        <w:pStyle w:val="39"/>
        <w:spacing w:line="360" w:lineRule="exact"/>
        <w:ind w:left="537" w:leftChars="256"/>
        <w:rPr>
          <w:rFonts w:ascii="仿宋" w:hAnsi="仿宋" w:eastAsia="仿宋" w:cs="仿宋"/>
          <w:sz w:val="27"/>
          <w:szCs w:val="27"/>
        </w:rPr>
      </w:pPr>
      <w:r>
        <w:rPr>
          <w:rFonts w:hint="eastAsia" w:ascii="仿宋" w:hAnsi="仿宋" w:eastAsia="仿宋" w:cs="仿宋"/>
          <w:sz w:val="27"/>
          <w:szCs w:val="27"/>
        </w:rPr>
        <w:t>数量:具体参数详见招标文件第三章设备技术参数</w:t>
      </w:r>
    </w:p>
    <w:p>
      <w:pPr>
        <w:pStyle w:val="39"/>
        <w:spacing w:line="360" w:lineRule="exact"/>
        <w:ind w:left="537" w:leftChars="256"/>
        <w:rPr>
          <w:rFonts w:ascii="仿宋" w:hAnsi="仿宋" w:eastAsia="仿宋" w:cs="仿宋"/>
          <w:sz w:val="27"/>
          <w:szCs w:val="27"/>
        </w:rPr>
      </w:pPr>
      <w:r>
        <w:rPr>
          <w:rFonts w:hint="eastAsia" w:ascii="仿宋" w:hAnsi="仿宋" w:eastAsia="仿宋" w:cs="仿宋"/>
          <w:sz w:val="27"/>
          <w:szCs w:val="27"/>
        </w:rPr>
        <w:t>预算金额（万元）:18万元</w:t>
      </w:r>
    </w:p>
    <w:p>
      <w:pPr>
        <w:pStyle w:val="39"/>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简要规格描述：致病菌分子分型数据处理终端的采购，具体参数详见招标文件第三章设备技术参数</w:t>
      </w:r>
    </w:p>
    <w:p>
      <w:pPr>
        <w:pStyle w:val="39"/>
        <w:spacing w:line="360" w:lineRule="exact"/>
        <w:ind w:left="537" w:leftChars="256"/>
        <w:rPr>
          <w:rFonts w:ascii="仿宋" w:hAnsi="仿宋" w:eastAsia="仿宋" w:cs="仿宋"/>
          <w:sz w:val="27"/>
          <w:szCs w:val="27"/>
        </w:rPr>
      </w:pPr>
      <w:r>
        <w:rPr>
          <w:rFonts w:hint="eastAsia" w:ascii="仿宋" w:hAnsi="仿宋" w:eastAsia="仿宋" w:cs="仿宋"/>
          <w:sz w:val="27"/>
          <w:szCs w:val="27"/>
        </w:rPr>
        <w:t>本项目（否）接受联合体投标。</w:t>
      </w:r>
    </w:p>
    <w:p>
      <w:pPr>
        <w:pStyle w:val="39"/>
        <w:spacing w:line="360" w:lineRule="exact"/>
        <w:outlineLvl w:val="1"/>
        <w:rPr>
          <w:rStyle w:val="45"/>
          <w:rFonts w:ascii="黑体" w:eastAsia="黑体" w:cs="黑体"/>
          <w:sz w:val="27"/>
          <w:szCs w:val="27"/>
        </w:rPr>
      </w:pPr>
      <w:r>
        <w:rPr>
          <w:rStyle w:val="45"/>
          <w:rFonts w:ascii="黑体" w:eastAsia="黑体" w:cs="黑体"/>
          <w:sz w:val="27"/>
          <w:szCs w:val="27"/>
        </w:rPr>
        <w:t>二、申请人的资格要求：</w:t>
      </w:r>
    </w:p>
    <w:p>
      <w:pPr>
        <w:ind w:firstLine="540" w:firstLineChars="200"/>
        <w:rPr>
          <w:rFonts w:ascii="仿宋" w:hAnsi="仿宋" w:eastAsia="仿宋" w:cs="仿宋"/>
          <w:kern w:val="0"/>
          <w:sz w:val="27"/>
          <w:szCs w:val="27"/>
        </w:rPr>
      </w:pPr>
      <w:r>
        <w:rPr>
          <w:rFonts w:hint="eastAsia" w:ascii="仿宋" w:hAnsi="仿宋" w:eastAsia="仿宋" w:cs="仿宋"/>
          <w:kern w:val="0"/>
          <w:sz w:val="27"/>
          <w:szCs w:val="27"/>
        </w:rPr>
        <w:t>1.满足《中华人民共和国政府采购法》第二十二条规定；</w:t>
      </w:r>
    </w:p>
    <w:p>
      <w:pPr>
        <w:pStyle w:val="39"/>
        <w:spacing w:before="75" w:beforeAutospacing="0" w:after="75" w:afterAutospacing="0"/>
        <w:ind w:firstLine="540" w:firstLineChars="200"/>
        <w:rPr>
          <w:rFonts w:ascii="仿宋" w:hAnsi="仿宋" w:eastAsia="仿宋" w:cs="仿宋"/>
          <w:sz w:val="27"/>
          <w:szCs w:val="27"/>
        </w:rPr>
      </w:pPr>
      <w:r>
        <w:rPr>
          <w:rFonts w:hint="eastAsia" w:ascii="仿宋" w:hAnsi="仿宋" w:eastAsia="仿宋" w:cs="仿宋"/>
          <w:sz w:val="27"/>
          <w:szCs w:val="27"/>
        </w:rPr>
        <w:t>2.落实政府采购政策需满足的资格要求：</w:t>
      </w:r>
    </w:p>
    <w:p>
      <w:pPr>
        <w:pStyle w:val="39"/>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xml:space="preserve">（一）根据财政部、工业和信息化部关于印发《政府采购促进中小企业发展暂行办法》的通知(财库[2020]46号)，按招标文件格式提供《中小企业声明函》。 </w:t>
      </w:r>
    </w:p>
    <w:p>
      <w:pPr>
        <w:pStyle w:val="39"/>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39"/>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39"/>
        <w:spacing w:line="360" w:lineRule="exact"/>
        <w:outlineLvl w:val="2"/>
        <w:rPr>
          <w:rFonts w:ascii="仿宋" w:hAnsi="仿宋" w:eastAsia="仿宋" w:cs="仿宋"/>
          <w:sz w:val="27"/>
          <w:szCs w:val="27"/>
        </w:rPr>
      </w:pPr>
      <w:r>
        <w:rPr>
          <w:rFonts w:hint="eastAsia" w:ascii="仿宋" w:hAnsi="仿宋" w:eastAsia="仿宋" w:cs="仿宋"/>
          <w:sz w:val="27"/>
          <w:szCs w:val="27"/>
        </w:rPr>
        <w:t>3.本项目的特定资格要求：</w:t>
      </w:r>
    </w:p>
    <w:p>
      <w:pPr>
        <w:pStyle w:val="39"/>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（一）满足《中华人民共和国政府采购法》第二十二条的相关规定；</w:t>
      </w:r>
    </w:p>
    <w:p>
      <w:pPr>
        <w:pStyle w:val="39"/>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（二）有效的“一证一码”或“三证合一”的营业执照；</w:t>
      </w:r>
    </w:p>
    <w:p>
      <w:pPr>
        <w:pStyle w:val="39"/>
        <w:spacing w:line="360" w:lineRule="exact"/>
        <w:ind w:firstLine="540" w:firstLineChars="200"/>
        <w:rPr>
          <w:rFonts w:ascii="仿宋" w:hAnsi="仿宋" w:eastAsia="仿宋" w:cs="仿宋"/>
          <w:sz w:val="27"/>
          <w:szCs w:val="27"/>
        </w:rPr>
      </w:pPr>
      <w:r>
        <w:rPr>
          <w:rFonts w:hint="eastAsia" w:ascii="仿宋" w:hAnsi="仿宋" w:eastAsia="仿宋" w:cs="仿宋"/>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加本次政府采购活动;</w:t>
      </w:r>
    </w:p>
    <w:p>
      <w:pPr>
        <w:pStyle w:val="39"/>
        <w:spacing w:line="360" w:lineRule="exact"/>
        <w:ind w:firstLine="540" w:firstLineChars="200"/>
        <w:outlineLvl w:val="3"/>
        <w:rPr>
          <w:rFonts w:ascii="仿宋" w:hAnsi="仿宋" w:eastAsia="仿宋" w:cs="仿宋"/>
          <w:sz w:val="27"/>
          <w:szCs w:val="27"/>
        </w:rPr>
      </w:pPr>
      <w:r>
        <w:rPr>
          <w:rFonts w:hint="eastAsia" w:ascii="仿宋" w:hAnsi="仿宋" w:eastAsia="仿宋" w:cs="仿宋"/>
          <w:sz w:val="27"/>
          <w:szCs w:val="27"/>
        </w:rPr>
        <w:t>（</w:t>
      </w:r>
      <w:r>
        <w:rPr>
          <w:rFonts w:hint="eastAsia" w:ascii="仿宋" w:hAnsi="仿宋" w:eastAsia="仿宋" w:cs="仿宋"/>
          <w:sz w:val="27"/>
          <w:szCs w:val="27"/>
          <w:lang w:val="en-US" w:eastAsia="zh-CN"/>
        </w:rPr>
        <w:t>四</w:t>
      </w:r>
      <w:r>
        <w:rPr>
          <w:rFonts w:hint="eastAsia" w:ascii="仿宋" w:hAnsi="仿宋" w:eastAsia="仿宋" w:cs="仿宋"/>
          <w:sz w:val="27"/>
          <w:szCs w:val="27"/>
        </w:rPr>
        <w:t>）本项目不接受联合体投标。</w:t>
      </w:r>
    </w:p>
    <w:p>
      <w:pPr>
        <w:pStyle w:val="39"/>
        <w:spacing w:before="255" w:beforeAutospacing="0" w:after="255" w:afterAutospacing="0" w:line="360" w:lineRule="exact"/>
        <w:outlineLvl w:val="1"/>
        <w:rPr>
          <w:rFonts w:ascii="仿宋" w:hAnsi="仿宋" w:eastAsia="仿宋" w:cs="仿宋"/>
          <w:sz w:val="27"/>
          <w:szCs w:val="27"/>
        </w:rPr>
      </w:pPr>
      <w:r>
        <w:rPr>
          <w:rStyle w:val="45"/>
          <w:rFonts w:ascii="黑体" w:eastAsia="黑体" w:cs="黑体"/>
          <w:sz w:val="27"/>
          <w:szCs w:val="27"/>
        </w:rPr>
        <w:t>三、获取招标文件</w:t>
      </w:r>
      <w:r>
        <w:rPr>
          <w:rFonts w:ascii="黑体" w:eastAsia="黑体" w:cs="黑体"/>
          <w:sz w:val="27"/>
          <w:szCs w:val="27"/>
        </w:rPr>
        <w:t> </w:t>
      </w:r>
      <w:r>
        <w:rPr>
          <w:rFonts w:hint="eastAsia" w:ascii="仿宋" w:hAnsi="仿宋" w:eastAsia="仿宋" w:cs="仿宋"/>
          <w:sz w:val="27"/>
          <w:szCs w:val="27"/>
        </w:rPr>
        <w:t xml:space="preserve">    </w:t>
      </w:r>
    </w:p>
    <w:p>
      <w:pPr>
        <w:pStyle w:val="39"/>
        <w:spacing w:before="255" w:beforeAutospacing="0" w:after="255" w:afterAutospacing="0" w:line="360" w:lineRule="exact"/>
        <w:ind w:firstLine="540" w:firstLineChars="200"/>
      </w:pPr>
      <w:r>
        <w:rPr>
          <w:rFonts w:hint="eastAsia" w:ascii="仿宋" w:hAnsi="仿宋" w:eastAsia="仿宋" w:cs="仿宋"/>
          <w:sz w:val="27"/>
          <w:szCs w:val="27"/>
        </w:rPr>
        <w:t>时间：</w:t>
      </w:r>
      <w:r>
        <w:rPr>
          <w:rFonts w:hint="eastAsia" w:ascii="仿宋" w:hAnsi="仿宋" w:eastAsia="仿宋" w:cs="仿宋"/>
          <w:sz w:val="27"/>
          <w:szCs w:val="27"/>
          <w:lang w:eastAsia="zh-CN"/>
        </w:rPr>
        <w:t>2022年11月2</w:t>
      </w:r>
      <w:r>
        <w:rPr>
          <w:rFonts w:hint="eastAsia" w:ascii="仿宋" w:hAnsi="仿宋" w:eastAsia="仿宋" w:cs="仿宋"/>
          <w:sz w:val="27"/>
          <w:szCs w:val="27"/>
          <w:lang w:val="en-US" w:eastAsia="zh-CN"/>
        </w:rPr>
        <w:t>5</w:t>
      </w:r>
      <w:r>
        <w:rPr>
          <w:rFonts w:hint="eastAsia" w:ascii="仿宋" w:hAnsi="仿宋" w:eastAsia="仿宋" w:cs="仿宋"/>
          <w:sz w:val="27"/>
          <w:szCs w:val="27"/>
          <w:lang w:eastAsia="zh-CN"/>
        </w:rPr>
        <w:t>日</w:t>
      </w:r>
      <w:r>
        <w:rPr>
          <w:rFonts w:hint="eastAsia" w:ascii="仿宋" w:hAnsi="仿宋" w:eastAsia="仿宋" w:cs="仿宋"/>
          <w:sz w:val="27"/>
          <w:szCs w:val="27"/>
        </w:rPr>
        <w:t>至2022年</w:t>
      </w:r>
      <w:r>
        <w:rPr>
          <w:rFonts w:hint="eastAsia" w:ascii="仿宋" w:hAnsi="仿宋" w:eastAsia="仿宋" w:cs="仿宋"/>
          <w:sz w:val="27"/>
          <w:szCs w:val="27"/>
          <w:lang w:val="en-US" w:eastAsia="zh-CN"/>
        </w:rPr>
        <w:t>12</w:t>
      </w:r>
      <w:r>
        <w:rPr>
          <w:rFonts w:hint="eastAsia" w:ascii="仿宋" w:hAnsi="仿宋" w:eastAsia="仿宋" w:cs="仿宋"/>
          <w:sz w:val="27"/>
          <w:szCs w:val="27"/>
        </w:rPr>
        <w:t>月</w:t>
      </w:r>
      <w:r>
        <w:rPr>
          <w:rFonts w:hint="eastAsia" w:ascii="仿宋" w:hAnsi="仿宋" w:eastAsia="仿宋" w:cs="仿宋"/>
          <w:sz w:val="27"/>
          <w:szCs w:val="27"/>
          <w:highlight w:val="none"/>
          <w:lang w:val="en-US" w:eastAsia="zh-CN"/>
        </w:rPr>
        <w:t>2</w:t>
      </w:r>
      <w:r>
        <w:rPr>
          <w:rFonts w:hint="eastAsia" w:ascii="仿宋" w:hAnsi="仿宋" w:eastAsia="仿宋" w:cs="仿宋"/>
          <w:sz w:val="27"/>
          <w:szCs w:val="27"/>
        </w:rPr>
        <w:t>日 ，每天上午10:00至14:00 ，下午15:30至19:30（北京时间，法定节假日除外）</w:t>
      </w:r>
    </w:p>
    <w:p>
      <w:pPr>
        <w:pStyle w:val="39"/>
        <w:spacing w:line="360" w:lineRule="exact"/>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：新疆宏力源工程项目管理有限公司（乌鲁木齐市新市区鲤鱼山南路835号院内二楼） </w:t>
      </w:r>
    </w:p>
    <w:p>
      <w:pPr>
        <w:pStyle w:val="39"/>
        <w:spacing w:line="360" w:lineRule="exact"/>
        <w:rPr>
          <w:rFonts w:eastAsia="仿宋"/>
          <w:color w:val="000000"/>
        </w:rPr>
      </w:pPr>
      <w:r>
        <w:rPr>
          <w:rFonts w:hint="eastAsia" w:ascii="仿宋" w:hAnsi="仿宋" w:eastAsia="仿宋" w:cs="仿宋"/>
          <w:color w:val="000000"/>
          <w:sz w:val="27"/>
          <w:szCs w:val="27"/>
        </w:rPr>
        <w:t>    方式：现场购买。 </w:t>
      </w:r>
    </w:p>
    <w:p>
      <w:pPr>
        <w:pStyle w:val="39"/>
        <w:spacing w:line="360" w:lineRule="exact"/>
        <w:rPr>
          <w:rFonts w:eastAsia="仿宋"/>
          <w:color w:val="000000"/>
        </w:rPr>
      </w:pPr>
      <w:r>
        <w:rPr>
          <w:rFonts w:hint="eastAsia" w:ascii="仿宋" w:hAnsi="仿宋" w:eastAsia="仿宋" w:cs="仿宋"/>
          <w:color w:val="000000"/>
          <w:sz w:val="27"/>
          <w:szCs w:val="27"/>
        </w:rPr>
        <w:t>    售价（元）：200 /标段</w:t>
      </w:r>
    </w:p>
    <w:p>
      <w:pPr>
        <w:pStyle w:val="39"/>
        <w:spacing w:before="255" w:beforeAutospacing="0" w:after="255" w:afterAutospacing="0" w:line="360" w:lineRule="exact"/>
        <w:outlineLvl w:val="1"/>
        <w:rPr>
          <w:rFonts w:ascii="黑体" w:eastAsia="黑体" w:cs="黑体"/>
          <w:color w:val="000000"/>
          <w:sz w:val="27"/>
          <w:szCs w:val="27"/>
        </w:rPr>
      </w:pPr>
      <w:r>
        <w:rPr>
          <w:rStyle w:val="45"/>
          <w:rFonts w:ascii="黑体" w:eastAsia="黑体" w:cs="黑体"/>
          <w:color w:val="000000"/>
          <w:sz w:val="27"/>
          <w:szCs w:val="27"/>
        </w:rPr>
        <w:t>四、提交投标文件截止时间、开标时间和地点</w:t>
      </w:r>
    </w:p>
    <w:p>
      <w:pPr>
        <w:pStyle w:val="39"/>
        <w:spacing w:line="360" w:lineRule="exact"/>
        <w:rPr>
          <w:color w:val="000000"/>
        </w:rPr>
      </w:pPr>
      <w:r>
        <w:rPr>
          <w:rFonts w:hint="eastAsia" w:ascii="仿宋" w:hAnsi="仿宋" w:eastAsia="仿宋" w:cs="仿宋"/>
          <w:color w:val="000000"/>
          <w:sz w:val="27"/>
          <w:szCs w:val="27"/>
        </w:rPr>
        <w:t>    提交投标文件截止时间：</w:t>
      </w:r>
      <w:r>
        <w:rPr>
          <w:rFonts w:hint="eastAsia" w:ascii="仿宋" w:hAnsi="仿宋" w:eastAsia="仿宋" w:cs="仿宋"/>
          <w:color w:val="000000"/>
          <w:sz w:val="27"/>
          <w:szCs w:val="27"/>
          <w:lang w:eastAsia="zh-CN"/>
        </w:rPr>
        <w:t>2022年12月16日</w:t>
      </w:r>
      <w:r>
        <w:rPr>
          <w:rFonts w:hint="eastAsia" w:ascii="仿宋" w:hAnsi="仿宋" w:eastAsia="仿宋" w:cs="仿宋"/>
          <w:color w:val="000000"/>
          <w:sz w:val="27"/>
          <w:szCs w:val="27"/>
        </w:rPr>
        <w:t xml:space="preserve"> 11:00（北京时间）</w:t>
      </w:r>
    </w:p>
    <w:p>
      <w:pPr>
        <w:pStyle w:val="39"/>
        <w:spacing w:line="360" w:lineRule="exact"/>
        <w:rPr>
          <w:rFonts w:ascii="仿宋" w:hAnsi="仿宋" w:eastAsia="仿宋" w:cs="仿宋"/>
          <w:sz w:val="27"/>
          <w:szCs w:val="27"/>
        </w:rPr>
      </w:pPr>
      <w:r>
        <w:rPr>
          <w:rFonts w:hint="eastAsia" w:ascii="仿宋" w:hAnsi="仿宋" w:eastAsia="仿宋" w:cs="仿宋"/>
          <w:color w:val="000000"/>
          <w:sz w:val="27"/>
          <w:szCs w:val="27"/>
        </w:rPr>
        <w:t>   </w:t>
      </w:r>
      <w:r>
        <w:rPr>
          <w:rFonts w:hint="eastAsia" w:ascii="仿宋" w:hAnsi="仿宋" w:eastAsia="仿宋" w:cs="仿宋"/>
          <w:sz w:val="27"/>
          <w:szCs w:val="27"/>
        </w:rPr>
        <w:t xml:space="preserve"> 投标地点：乌鲁木齐市新市区鲤鱼山南路835号院内二楼</w:t>
      </w:r>
    </w:p>
    <w:p>
      <w:pPr>
        <w:pStyle w:val="39"/>
        <w:spacing w:line="360" w:lineRule="exact"/>
        <w:ind w:firstLine="270" w:firstLineChars="100"/>
        <w:rPr>
          <w:rFonts w:ascii="仿宋" w:hAnsi="仿宋" w:eastAsia="仿宋" w:cs="仿宋"/>
          <w:sz w:val="27"/>
          <w:szCs w:val="27"/>
        </w:rPr>
      </w:pPr>
      <w:r>
        <w:rPr>
          <w:rFonts w:hint="eastAsia" w:ascii="仿宋" w:hAnsi="仿宋" w:eastAsia="仿宋" w:cs="仿宋"/>
          <w:sz w:val="27"/>
          <w:szCs w:val="27"/>
        </w:rPr>
        <w:t>开标时间：</w:t>
      </w:r>
      <w:r>
        <w:rPr>
          <w:rFonts w:hint="eastAsia" w:ascii="仿宋" w:hAnsi="仿宋" w:eastAsia="仿宋" w:cs="仿宋"/>
          <w:sz w:val="27"/>
          <w:szCs w:val="27"/>
          <w:lang w:eastAsia="zh-CN"/>
        </w:rPr>
        <w:t>2022年12月16日</w:t>
      </w:r>
      <w:r>
        <w:rPr>
          <w:rFonts w:hint="eastAsia" w:ascii="仿宋" w:hAnsi="仿宋" w:eastAsia="仿宋" w:cs="仿宋"/>
          <w:sz w:val="27"/>
          <w:szCs w:val="27"/>
        </w:rPr>
        <w:t xml:space="preserve"> 11:00（北京时间）</w:t>
      </w:r>
    </w:p>
    <w:p>
      <w:pPr>
        <w:pStyle w:val="39"/>
        <w:spacing w:line="360" w:lineRule="exact"/>
        <w:ind w:firstLine="270" w:firstLineChars="100"/>
        <w:rPr>
          <w:rFonts w:ascii="仿宋" w:hAnsi="仿宋" w:eastAsia="仿宋" w:cs="仿宋"/>
          <w:sz w:val="27"/>
          <w:szCs w:val="27"/>
        </w:rPr>
      </w:pPr>
      <w:r>
        <w:rPr>
          <w:rFonts w:hint="eastAsia" w:ascii="仿宋" w:hAnsi="仿宋" w:eastAsia="仿宋" w:cs="仿宋"/>
          <w:sz w:val="27"/>
          <w:szCs w:val="27"/>
        </w:rPr>
        <w:t>开标地点：乌鲁木齐市新市区鲤鱼山南路835号院内二楼</w:t>
      </w:r>
    </w:p>
    <w:p>
      <w:pPr>
        <w:pStyle w:val="39"/>
        <w:numPr>
          <w:ilvl w:val="0"/>
          <w:numId w:val="1"/>
        </w:numPr>
        <w:spacing w:before="255" w:beforeAutospacing="0" w:after="255" w:afterAutospacing="0" w:line="360" w:lineRule="exact"/>
        <w:outlineLvl w:val="1"/>
        <w:rPr>
          <w:rFonts w:ascii="黑体" w:eastAsia="黑体" w:cs="黑体"/>
          <w:sz w:val="31"/>
          <w:szCs w:val="31"/>
        </w:rPr>
      </w:pPr>
      <w:r>
        <w:rPr>
          <w:rStyle w:val="45"/>
          <w:rFonts w:ascii="黑体" w:eastAsia="黑体" w:cs="黑体"/>
          <w:sz w:val="27"/>
          <w:szCs w:val="27"/>
        </w:rPr>
        <w:t>公告期限</w:t>
      </w:r>
      <w:r>
        <w:rPr>
          <w:rFonts w:ascii="黑体" w:eastAsia="黑体" w:cs="黑体"/>
          <w:sz w:val="31"/>
          <w:szCs w:val="31"/>
        </w:rPr>
        <w:t> </w:t>
      </w:r>
    </w:p>
    <w:p>
      <w:pPr>
        <w:pStyle w:val="39"/>
        <w:spacing w:line="360" w:lineRule="exact"/>
      </w:pPr>
      <w:r>
        <w:rPr>
          <w:rFonts w:hint="eastAsia" w:ascii="仿宋" w:hAnsi="仿宋" w:eastAsia="仿宋" w:cs="仿宋"/>
          <w:sz w:val="27"/>
          <w:szCs w:val="27"/>
        </w:rPr>
        <w:t>    自本公告发布之日起5个工作日。</w:t>
      </w:r>
    </w:p>
    <w:p>
      <w:pPr>
        <w:pStyle w:val="39"/>
        <w:spacing w:before="255" w:beforeAutospacing="0" w:after="255" w:afterAutospacing="0" w:line="360" w:lineRule="exact"/>
        <w:outlineLvl w:val="1"/>
        <w:rPr>
          <w:rFonts w:ascii="黑体" w:eastAsia="黑体" w:cs="黑体"/>
          <w:sz w:val="27"/>
          <w:szCs w:val="27"/>
        </w:rPr>
      </w:pPr>
      <w:r>
        <w:rPr>
          <w:rStyle w:val="45"/>
          <w:rFonts w:ascii="黑体" w:eastAsia="黑体" w:cs="黑体"/>
          <w:sz w:val="27"/>
          <w:szCs w:val="27"/>
        </w:rPr>
        <w:t>六、其他补充事宜</w:t>
      </w:r>
    </w:p>
    <w:p>
      <w:pPr>
        <w:pStyle w:val="39"/>
        <w:spacing w:line="360" w:lineRule="exact"/>
        <w:ind w:firstLine="540" w:firstLineChars="200"/>
        <w:rPr>
          <w:rFonts w:ascii="仿宋" w:hAnsi="仿宋" w:eastAsia="仿宋" w:cs="仿宋"/>
          <w:b/>
          <w:bCs/>
          <w:color w:val="000000"/>
          <w:sz w:val="27"/>
          <w:szCs w:val="27"/>
        </w:rPr>
      </w:pPr>
      <w:r>
        <w:rPr>
          <w:rFonts w:hint="eastAsia" w:ascii="仿宋" w:hAnsi="仿宋" w:eastAsia="仿宋" w:cs="仿宋"/>
          <w:color w:val="000000"/>
          <w:sz w:val="27"/>
          <w:szCs w:val="27"/>
        </w:rPr>
        <w:t> 须提供的证明材料：法定代表人授权委托书、委托人身份证、营业执照及其他证明材料复印件一套加盖鲜红公章，原件备查，</w:t>
      </w:r>
      <w:r>
        <w:rPr>
          <w:rFonts w:hint="eastAsia" w:ascii="仿宋" w:hAnsi="仿宋" w:eastAsia="仿宋" w:cs="仿宋"/>
          <w:b/>
          <w:bCs/>
          <w:color w:val="000000"/>
          <w:sz w:val="27"/>
          <w:szCs w:val="27"/>
        </w:rPr>
        <w:t>资料不全不予购买。</w:t>
      </w:r>
    </w:p>
    <w:p>
      <w:pPr>
        <w:pStyle w:val="39"/>
        <w:spacing w:before="255" w:beforeAutospacing="0" w:after="255" w:afterAutospacing="0" w:line="360" w:lineRule="exact"/>
        <w:outlineLvl w:val="1"/>
        <w:rPr>
          <w:rFonts w:ascii="黑体" w:eastAsia="黑体" w:cs="黑体"/>
          <w:sz w:val="31"/>
          <w:szCs w:val="31"/>
        </w:rPr>
      </w:pPr>
      <w:r>
        <w:rPr>
          <w:rStyle w:val="45"/>
          <w:rFonts w:ascii="黑体" w:eastAsia="黑体" w:cs="黑体"/>
          <w:sz w:val="27"/>
          <w:szCs w:val="27"/>
        </w:rPr>
        <w:t>七、对本次采购提出询问，请按以下方式联系</w:t>
      </w:r>
    </w:p>
    <w:p>
      <w:pPr>
        <w:pStyle w:val="39"/>
        <w:spacing w:line="300" w:lineRule="exact"/>
        <w:outlineLvl w:val="2"/>
        <w:rPr>
          <w:rFonts w:ascii="仿宋" w:hAnsi="仿宋" w:eastAsia="仿宋" w:cs="仿宋"/>
          <w:sz w:val="27"/>
          <w:szCs w:val="27"/>
        </w:rPr>
      </w:pPr>
      <w:r>
        <w:rPr>
          <w:rFonts w:hint="eastAsia" w:ascii="仿宋" w:hAnsi="仿宋" w:eastAsia="仿宋" w:cs="仿宋"/>
          <w:sz w:val="27"/>
          <w:szCs w:val="27"/>
        </w:rPr>
        <w:t xml:space="preserve">   1.采购人信息</w:t>
      </w:r>
    </w:p>
    <w:p>
      <w:pPr>
        <w:pStyle w:val="39"/>
        <w:spacing w:line="300" w:lineRule="exact"/>
        <w:rPr>
          <w:rFonts w:ascii="仿宋" w:hAnsi="仿宋" w:eastAsia="仿宋" w:cs="仿宋"/>
          <w:sz w:val="27"/>
          <w:szCs w:val="27"/>
        </w:rPr>
      </w:pPr>
      <w:r>
        <w:rPr>
          <w:rFonts w:hint="eastAsia" w:ascii="仿宋" w:hAnsi="仿宋" w:eastAsia="仿宋" w:cs="仿宋"/>
          <w:sz w:val="27"/>
          <w:szCs w:val="27"/>
        </w:rPr>
        <w:t>    名    称：</w:t>
      </w:r>
      <w:r>
        <w:rPr>
          <w:rFonts w:ascii="仿宋" w:hAnsi="仿宋" w:eastAsia="仿宋" w:cs="仿宋"/>
          <w:color w:val="000000"/>
          <w:sz w:val="27"/>
          <w:szCs w:val="27"/>
        </w:rPr>
        <w:t>新疆维吾尔自治区疾病预防控制中心</w:t>
      </w:r>
    </w:p>
    <w:p>
      <w:pPr>
        <w:pStyle w:val="39"/>
        <w:spacing w:line="300" w:lineRule="exact"/>
        <w:ind w:firstLine="420"/>
        <w:rPr>
          <w:rFonts w:ascii="仿宋" w:hAnsi="仿宋" w:eastAsia="仿宋" w:cs="仿宋"/>
          <w:color w:val="000000"/>
          <w:sz w:val="27"/>
          <w:szCs w:val="27"/>
        </w:rPr>
      </w:pPr>
      <w:r>
        <w:rPr>
          <w:rFonts w:hint="eastAsia" w:ascii="仿宋" w:hAnsi="仿宋" w:eastAsia="仿宋" w:cs="仿宋"/>
          <w:sz w:val="27"/>
          <w:szCs w:val="27"/>
        </w:rPr>
        <w:t>地    址：</w:t>
      </w:r>
      <w:r>
        <w:rPr>
          <w:rFonts w:ascii="仿宋" w:hAnsi="仿宋" w:eastAsia="仿宋" w:cs="仿宋"/>
          <w:color w:val="000000"/>
          <w:sz w:val="27"/>
          <w:szCs w:val="27"/>
        </w:rPr>
        <w:t>乌鲁木齐市碱泉一街380号</w:t>
      </w:r>
    </w:p>
    <w:p>
      <w:pPr>
        <w:pStyle w:val="39"/>
        <w:spacing w:line="300" w:lineRule="exact"/>
        <w:ind w:firstLine="420"/>
        <w:rPr>
          <w:rFonts w:ascii="仿宋" w:hAnsi="仿宋" w:eastAsia="仿宋" w:cs="仿宋"/>
          <w:color w:val="000000"/>
          <w:sz w:val="27"/>
          <w:szCs w:val="27"/>
        </w:rPr>
      </w:pPr>
      <w:r>
        <w:rPr>
          <w:rFonts w:hint="eastAsia" w:ascii="仿宋" w:hAnsi="仿宋" w:eastAsia="仿宋" w:cs="仿宋"/>
          <w:sz w:val="27"/>
          <w:szCs w:val="27"/>
        </w:rPr>
        <w:t>项目联系人：陈老师 </w:t>
      </w:r>
    </w:p>
    <w:p>
      <w:pPr>
        <w:pStyle w:val="39"/>
        <w:spacing w:line="300" w:lineRule="exact"/>
        <w:ind w:firstLine="420"/>
        <w:rPr>
          <w:rFonts w:cs="宋体"/>
          <w:b/>
          <w:bCs/>
          <w:sz w:val="28"/>
          <w:szCs w:val="28"/>
        </w:rPr>
      </w:pPr>
      <w:r>
        <w:rPr>
          <w:rFonts w:hint="eastAsia" w:ascii="仿宋" w:hAnsi="仿宋" w:eastAsia="仿宋" w:cs="仿宋"/>
          <w:sz w:val="27"/>
          <w:szCs w:val="27"/>
        </w:rPr>
        <w:t>项目</w:t>
      </w:r>
      <w:r>
        <w:rPr>
          <w:rFonts w:hint="eastAsia" w:ascii="仿宋" w:hAnsi="仿宋" w:eastAsia="仿宋" w:cs="仿宋"/>
          <w:color w:val="000000"/>
          <w:sz w:val="27"/>
          <w:szCs w:val="27"/>
        </w:rPr>
        <w:t>联系方式：0991-2623010</w:t>
      </w:r>
    </w:p>
    <w:p>
      <w:pPr>
        <w:pStyle w:val="39"/>
        <w:spacing w:line="300" w:lineRule="exact"/>
        <w:ind w:firstLine="420"/>
        <w:outlineLvl w:val="2"/>
        <w:rPr>
          <w:rFonts w:ascii="仿宋" w:hAnsi="仿宋" w:eastAsia="仿宋" w:cs="仿宋"/>
          <w:sz w:val="27"/>
          <w:szCs w:val="27"/>
        </w:rPr>
      </w:pPr>
      <w:r>
        <w:rPr>
          <w:rFonts w:hint="eastAsia" w:ascii="仿宋" w:hAnsi="仿宋" w:eastAsia="仿宋" w:cs="仿宋"/>
          <w:sz w:val="27"/>
          <w:szCs w:val="27"/>
        </w:rPr>
        <w:t>2.采购代理机构信息            </w:t>
      </w:r>
    </w:p>
    <w:p>
      <w:pPr>
        <w:pStyle w:val="39"/>
        <w:spacing w:line="300" w:lineRule="exact"/>
        <w:ind w:firstLine="420"/>
        <w:rPr>
          <w:rFonts w:ascii="仿宋" w:hAnsi="仿宋" w:eastAsia="仿宋" w:cs="仿宋"/>
          <w:sz w:val="27"/>
          <w:szCs w:val="27"/>
        </w:rPr>
      </w:pPr>
      <w:r>
        <w:rPr>
          <w:rFonts w:hint="eastAsia" w:ascii="仿宋" w:hAnsi="仿宋" w:eastAsia="仿宋" w:cs="仿宋"/>
          <w:sz w:val="27"/>
          <w:szCs w:val="27"/>
        </w:rPr>
        <w:t>名    称：新疆宏力源工程项目管理有限公司           </w:t>
      </w:r>
    </w:p>
    <w:p>
      <w:pPr>
        <w:pStyle w:val="39"/>
        <w:spacing w:line="300" w:lineRule="exact"/>
        <w:ind w:firstLine="420"/>
        <w:rPr>
          <w:rFonts w:ascii="仿宋" w:hAnsi="仿宋" w:eastAsia="仿宋" w:cs="仿宋"/>
          <w:sz w:val="27"/>
          <w:szCs w:val="27"/>
        </w:rPr>
      </w:pPr>
      <w:r>
        <w:rPr>
          <w:rFonts w:hint="eastAsia" w:ascii="仿宋" w:hAnsi="仿宋" w:eastAsia="仿宋" w:cs="仿宋"/>
          <w:sz w:val="27"/>
          <w:szCs w:val="27"/>
        </w:rPr>
        <w:t>地    址：乌鲁木齐市新市区鲤鱼山南路835号院内二楼</w:t>
      </w:r>
    </w:p>
    <w:p>
      <w:pPr>
        <w:pStyle w:val="39"/>
        <w:spacing w:line="300" w:lineRule="exact"/>
        <w:ind w:firstLine="420"/>
        <w:rPr>
          <w:rFonts w:ascii="仿宋" w:hAnsi="仿宋" w:eastAsia="仿宋" w:cs="仿宋"/>
          <w:sz w:val="27"/>
          <w:szCs w:val="27"/>
        </w:rPr>
      </w:pPr>
      <w:r>
        <w:rPr>
          <w:rFonts w:hint="eastAsia" w:ascii="仿宋" w:hAnsi="仿宋" w:eastAsia="仿宋" w:cs="仿宋"/>
          <w:sz w:val="27"/>
          <w:szCs w:val="27"/>
        </w:rPr>
        <w:t>项目联系人：尚俊丽         </w:t>
      </w:r>
    </w:p>
    <w:p>
      <w:pPr>
        <w:pStyle w:val="39"/>
        <w:spacing w:line="300" w:lineRule="exact"/>
        <w:ind w:firstLine="420"/>
        <w:rPr>
          <w:rFonts w:ascii="仿宋" w:hAnsi="仿宋" w:eastAsia="仿宋" w:cs="仿宋"/>
          <w:sz w:val="27"/>
          <w:szCs w:val="27"/>
        </w:rPr>
      </w:pPr>
      <w:r>
        <w:rPr>
          <w:rFonts w:hint="eastAsia" w:ascii="仿宋" w:hAnsi="仿宋" w:eastAsia="仿宋" w:cs="仿宋"/>
          <w:sz w:val="27"/>
          <w:szCs w:val="27"/>
        </w:rPr>
        <w:t>项目联系方式：0991-3193331   15199450313</w:t>
      </w:r>
    </w:p>
    <w:p/>
    <w:p/>
    <w:p>
      <w:pPr>
        <w:pStyle w:val="2"/>
      </w:pPr>
    </w:p>
    <w:p>
      <w:pPr>
        <w:pStyle w:val="2"/>
      </w:pPr>
    </w:p>
    <w:bookmarkEnd w:id="1"/>
    <w:p>
      <w:pPr>
        <w:pStyle w:val="84"/>
        <w:spacing w:line="500" w:lineRule="exact"/>
        <w:jc w:val="center"/>
        <w:outlineLvl w:val="9"/>
        <w:rPr>
          <w:rFonts w:ascii="宋体" w:hAnsi="宋体"/>
          <w:b/>
          <w:bCs/>
          <w:color w:val="auto"/>
        </w:rPr>
      </w:pPr>
      <w:bookmarkStart w:id="2" w:name="_Toc6564"/>
    </w:p>
    <w:p>
      <w:pPr>
        <w:pStyle w:val="84"/>
        <w:spacing w:line="500" w:lineRule="exact"/>
        <w:jc w:val="center"/>
        <w:outlineLvl w:val="9"/>
        <w:rPr>
          <w:rFonts w:ascii="宋体" w:hAnsi="宋体"/>
          <w:b/>
          <w:bCs/>
          <w:color w:val="auto"/>
        </w:rPr>
      </w:pPr>
    </w:p>
    <w:p>
      <w:pPr>
        <w:pStyle w:val="84"/>
        <w:spacing w:line="500" w:lineRule="exact"/>
        <w:jc w:val="center"/>
        <w:outlineLvl w:val="0"/>
        <w:rPr>
          <w:rFonts w:ascii="宋体" w:hAnsi="宋体"/>
          <w:b/>
          <w:bCs/>
          <w:color w:val="auto"/>
        </w:rPr>
      </w:pPr>
      <w:r>
        <w:rPr>
          <w:rFonts w:hint="eastAsia" w:ascii="宋体" w:hAnsi="宋体"/>
          <w:b/>
          <w:bCs/>
          <w:color w:val="auto"/>
        </w:rPr>
        <w:t>第二章 投标须知</w:t>
      </w:r>
      <w:bookmarkEnd w:id="2"/>
    </w:p>
    <w:p>
      <w:pPr>
        <w:pStyle w:val="84"/>
        <w:spacing w:line="500" w:lineRule="exact"/>
        <w:jc w:val="center"/>
        <w:outlineLvl w:val="1"/>
        <w:rPr>
          <w:rFonts w:ascii="宋体" w:hAnsi="宋体"/>
          <w:color w:val="auto"/>
        </w:rPr>
      </w:pPr>
      <w:bookmarkStart w:id="3" w:name="_Toc8533"/>
      <w:r>
        <w:rPr>
          <w:rFonts w:hint="eastAsia" w:ascii="宋体" w:hAnsi="宋体"/>
          <w:color w:val="auto"/>
        </w:rPr>
        <w:t>一、总则</w:t>
      </w:r>
      <w:bookmarkEnd w:id="3"/>
    </w:p>
    <w:p>
      <w:pPr>
        <w:pStyle w:val="84"/>
        <w:spacing w:line="500" w:lineRule="exact"/>
        <w:ind w:firstLine="480" w:firstLineChars="200"/>
        <w:jc w:val="both"/>
        <w:outlineLvl w:val="2"/>
        <w:rPr>
          <w:rFonts w:ascii="宋体" w:hAnsi="宋体"/>
          <w:color w:val="auto"/>
        </w:rPr>
      </w:pPr>
      <w:r>
        <w:rPr>
          <w:rFonts w:hint="eastAsia" w:ascii="宋体" w:hAnsi="宋体"/>
          <w:color w:val="auto"/>
        </w:rPr>
        <w:t>1.合格的投标供应商：</w:t>
      </w:r>
    </w:p>
    <w:p>
      <w:pPr>
        <w:pStyle w:val="84"/>
        <w:spacing w:line="500" w:lineRule="exact"/>
        <w:ind w:firstLine="480" w:firstLineChars="200"/>
        <w:jc w:val="both"/>
        <w:rPr>
          <w:rFonts w:ascii="宋体" w:hAnsi="宋体"/>
          <w:color w:val="auto"/>
        </w:rPr>
      </w:pPr>
      <w:r>
        <w:rPr>
          <w:rFonts w:hint="eastAsia" w:ascii="宋体" w:hAnsi="宋体"/>
          <w:color w:val="auto"/>
        </w:rPr>
        <w:t>1.1 满足《中华人民共和国政府采购法》第二十二条的相关规定；</w:t>
      </w:r>
    </w:p>
    <w:p>
      <w:pPr>
        <w:pStyle w:val="84"/>
        <w:spacing w:line="500" w:lineRule="exact"/>
        <w:ind w:firstLine="480" w:firstLineChars="200"/>
        <w:jc w:val="both"/>
        <w:outlineLvl w:val="3"/>
        <w:rPr>
          <w:rFonts w:ascii="宋体" w:hAnsi="宋体"/>
          <w:color w:val="auto"/>
        </w:rPr>
      </w:pPr>
      <w:r>
        <w:rPr>
          <w:rFonts w:hint="eastAsia" w:ascii="宋体" w:hAnsi="宋体"/>
          <w:color w:val="auto"/>
        </w:rPr>
        <w:t>1.2 有效的“一证一码”或“三证合一”的营业执照；</w:t>
      </w:r>
    </w:p>
    <w:p>
      <w:pPr>
        <w:pStyle w:val="84"/>
        <w:spacing w:line="500" w:lineRule="exact"/>
        <w:ind w:firstLine="567"/>
        <w:jc w:val="both"/>
        <w:rPr>
          <w:rFonts w:ascii="宋体" w:hAnsi="宋体"/>
          <w:color w:val="auto"/>
          <w:highlight w:val="red"/>
        </w:rPr>
      </w:pPr>
      <w:r>
        <w:rPr>
          <w:rFonts w:hint="eastAsia" w:ascii="宋体" w:hAnsi="宋体"/>
          <w:color w:val="auto"/>
        </w:rPr>
        <w:t>1.3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p>
    <w:p>
      <w:pPr>
        <w:pStyle w:val="84"/>
        <w:spacing w:line="500" w:lineRule="exact"/>
        <w:ind w:firstLine="480" w:firstLineChars="200"/>
        <w:jc w:val="both"/>
        <w:rPr>
          <w:rFonts w:ascii="宋体" w:hAnsi="宋体"/>
          <w:color w:val="auto"/>
        </w:rPr>
      </w:pPr>
      <w:r>
        <w:rPr>
          <w:rFonts w:hint="eastAsia" w:ascii="宋体" w:hAnsi="宋体"/>
          <w:color w:val="auto"/>
        </w:rPr>
        <w:t>1.4 标项一供应商具有有效的行政主管部门颁发的医疗器械生产许可证或医疗器械经营许可证（或按照国家食品药品监督管理部门规定实行备案管理的，出具备案证明文件）；</w:t>
      </w:r>
    </w:p>
    <w:p>
      <w:pPr>
        <w:pStyle w:val="84"/>
        <w:spacing w:line="500" w:lineRule="exact"/>
        <w:ind w:firstLine="480" w:firstLineChars="200"/>
        <w:jc w:val="both"/>
        <w:outlineLvl w:val="3"/>
        <w:rPr>
          <w:rFonts w:ascii="宋体" w:hAnsi="宋体"/>
          <w:color w:val="auto"/>
        </w:rPr>
      </w:pPr>
      <w:r>
        <w:rPr>
          <w:rFonts w:hint="eastAsia" w:ascii="宋体" w:hAnsi="宋体"/>
          <w:color w:val="auto"/>
        </w:rPr>
        <w:t>1.5. 本项目不接受联合体投标。</w:t>
      </w:r>
    </w:p>
    <w:p>
      <w:pPr>
        <w:pStyle w:val="84"/>
        <w:spacing w:line="500" w:lineRule="exact"/>
        <w:ind w:firstLine="480" w:firstLineChars="200"/>
        <w:jc w:val="both"/>
        <w:outlineLvl w:val="2"/>
        <w:rPr>
          <w:rFonts w:ascii="宋体" w:hAnsi="宋体"/>
          <w:color w:val="auto"/>
        </w:rPr>
      </w:pPr>
      <w:r>
        <w:rPr>
          <w:rFonts w:hint="eastAsia" w:ascii="宋体" w:hAnsi="宋体"/>
          <w:color w:val="auto"/>
        </w:rPr>
        <w:t>2. 定义。</w:t>
      </w:r>
    </w:p>
    <w:p>
      <w:pPr>
        <w:pStyle w:val="84"/>
        <w:spacing w:line="500" w:lineRule="exact"/>
        <w:ind w:firstLine="567"/>
        <w:jc w:val="both"/>
        <w:rPr>
          <w:rFonts w:ascii="宋体" w:hAnsi="宋体"/>
          <w:color w:val="auto"/>
        </w:rPr>
      </w:pPr>
      <w:r>
        <w:rPr>
          <w:rFonts w:hint="eastAsia" w:ascii="宋体" w:hAnsi="宋体"/>
          <w:color w:val="auto"/>
        </w:rPr>
        <w:t>2.1  “招标代理机构”系指新疆宏力源工程项目管理有限公司。</w:t>
      </w:r>
    </w:p>
    <w:p>
      <w:pPr>
        <w:pStyle w:val="84"/>
        <w:spacing w:line="500" w:lineRule="exact"/>
        <w:ind w:firstLine="567"/>
        <w:jc w:val="both"/>
        <w:rPr>
          <w:rFonts w:ascii="宋体" w:hAnsi="宋体"/>
          <w:color w:val="auto"/>
        </w:rPr>
      </w:pPr>
      <w:r>
        <w:rPr>
          <w:rFonts w:hint="eastAsia" w:ascii="宋体" w:hAnsi="宋体"/>
          <w:color w:val="auto"/>
        </w:rPr>
        <w:t>2.2  “投标供应商”系指向招标代理机构提交投标文件的供应商。</w:t>
      </w:r>
    </w:p>
    <w:p>
      <w:pPr>
        <w:pStyle w:val="84"/>
        <w:spacing w:line="500" w:lineRule="exact"/>
        <w:ind w:firstLine="567"/>
        <w:jc w:val="both"/>
        <w:rPr>
          <w:rFonts w:ascii="宋体" w:hAnsi="宋体"/>
          <w:color w:val="auto"/>
        </w:rPr>
      </w:pPr>
      <w:r>
        <w:rPr>
          <w:rFonts w:hint="eastAsia" w:ascii="宋体" w:hAnsi="宋体"/>
          <w:color w:val="auto"/>
        </w:rPr>
        <w:t>2.3  “货物”系指卖方按合同要求，向买方提供的设备手册及其他技术资料。</w:t>
      </w:r>
    </w:p>
    <w:p>
      <w:pPr>
        <w:pStyle w:val="84"/>
        <w:spacing w:line="500" w:lineRule="exact"/>
        <w:ind w:firstLine="600" w:firstLineChars="250"/>
        <w:rPr>
          <w:rFonts w:ascii="宋体" w:hAnsi="宋体"/>
          <w:color w:val="auto"/>
        </w:rPr>
      </w:pPr>
      <w:r>
        <w:rPr>
          <w:rFonts w:hint="eastAsia" w:ascii="宋体" w:hAnsi="宋体"/>
          <w:color w:val="auto"/>
        </w:rPr>
        <w:t>2.4.“节能产品”或者“环保产品”是指财政部最新发布的《节能产品政府采购清单》或者《环境标志产品政府采购清单》的产品。</w:t>
      </w:r>
    </w:p>
    <w:p>
      <w:pPr>
        <w:pStyle w:val="84"/>
        <w:spacing w:line="500" w:lineRule="exact"/>
        <w:ind w:firstLine="567"/>
        <w:jc w:val="both"/>
        <w:rPr>
          <w:rFonts w:ascii="宋体" w:hAnsi="宋体"/>
          <w:color w:val="auto"/>
        </w:rPr>
      </w:pPr>
      <w:r>
        <w:rPr>
          <w:rFonts w:hint="eastAsia" w:ascii="宋体" w:hAnsi="宋体"/>
          <w:color w:val="auto"/>
        </w:rPr>
        <w:t>2.5  “服务”系指按合同规定卖方须承担的运输、装卸、技术协助和交付使用后保修期内应履行的义务及售后服务等其他类似的义务。</w:t>
      </w:r>
    </w:p>
    <w:p>
      <w:pPr>
        <w:pStyle w:val="84"/>
        <w:spacing w:line="500" w:lineRule="exact"/>
        <w:ind w:firstLine="567"/>
        <w:jc w:val="both"/>
        <w:rPr>
          <w:rFonts w:ascii="宋体" w:hAnsi="宋体"/>
          <w:color w:val="auto"/>
        </w:rPr>
      </w:pPr>
      <w:r>
        <w:rPr>
          <w:rFonts w:hint="eastAsia" w:ascii="宋体" w:hAnsi="宋体"/>
          <w:color w:val="auto"/>
        </w:rPr>
        <w:t>2.6  “卖方”系指提供合同货物和服务的经济实体。</w:t>
      </w:r>
    </w:p>
    <w:p>
      <w:pPr>
        <w:pStyle w:val="84"/>
        <w:spacing w:line="500" w:lineRule="exact"/>
        <w:ind w:firstLine="567"/>
        <w:jc w:val="both"/>
        <w:rPr>
          <w:rFonts w:ascii="宋体" w:hAnsi="宋体"/>
          <w:color w:val="auto"/>
        </w:rPr>
      </w:pPr>
      <w:r>
        <w:rPr>
          <w:rFonts w:hint="eastAsia" w:ascii="宋体" w:hAnsi="宋体"/>
          <w:color w:val="auto"/>
        </w:rPr>
        <w:t>2.7  “买方”系指购买货物和服务的单位。</w:t>
      </w:r>
    </w:p>
    <w:p>
      <w:pPr>
        <w:pStyle w:val="84"/>
        <w:spacing w:line="500" w:lineRule="exact"/>
        <w:ind w:firstLine="480" w:firstLineChars="200"/>
        <w:jc w:val="both"/>
        <w:outlineLvl w:val="2"/>
        <w:rPr>
          <w:rFonts w:ascii="宋体" w:hAnsi="宋体"/>
          <w:color w:val="auto"/>
        </w:rPr>
      </w:pPr>
      <w:r>
        <w:rPr>
          <w:rFonts w:hint="eastAsia" w:ascii="宋体" w:hAnsi="宋体"/>
          <w:color w:val="auto"/>
        </w:rPr>
        <w:t>3.  投标费用</w:t>
      </w:r>
    </w:p>
    <w:p>
      <w:pPr>
        <w:pStyle w:val="84"/>
        <w:spacing w:line="500" w:lineRule="exact"/>
        <w:ind w:firstLine="480" w:firstLineChars="200"/>
        <w:jc w:val="both"/>
        <w:rPr>
          <w:rFonts w:ascii="宋体" w:hAnsi="宋体"/>
          <w:color w:val="auto"/>
        </w:rPr>
      </w:pPr>
      <w:r>
        <w:rPr>
          <w:rFonts w:hint="eastAsia" w:ascii="宋体" w:hAnsi="宋体"/>
          <w:color w:val="auto"/>
        </w:rPr>
        <w:t>3.1  投标供应商在投标时应自行承担所有与编写和提交投标文件有关的费用。</w:t>
      </w:r>
    </w:p>
    <w:p>
      <w:pPr>
        <w:spacing w:line="500" w:lineRule="exact"/>
        <w:ind w:firstLine="480" w:firstLineChars="200"/>
        <w:jc w:val="left"/>
        <w:outlineLvl w:val="2"/>
        <w:rPr>
          <w:rFonts w:ascii="宋体" w:hAnsi="宋体"/>
          <w:b/>
          <w:sz w:val="24"/>
          <w:szCs w:val="24"/>
        </w:rPr>
      </w:pPr>
      <w:r>
        <w:rPr>
          <w:rFonts w:hint="eastAsia" w:ascii="宋体" w:hAnsi="宋体"/>
          <w:kern w:val="0"/>
          <w:sz w:val="24"/>
          <w:szCs w:val="24"/>
        </w:rPr>
        <w:t>4.本次项目不接受联合体投标。</w:t>
      </w:r>
    </w:p>
    <w:p>
      <w:pPr>
        <w:pStyle w:val="84"/>
        <w:spacing w:line="500" w:lineRule="exact"/>
        <w:ind w:left="567"/>
        <w:jc w:val="center"/>
        <w:outlineLvl w:val="1"/>
        <w:rPr>
          <w:rFonts w:ascii="宋体" w:hAnsi="宋体"/>
          <w:color w:val="auto"/>
        </w:rPr>
      </w:pPr>
      <w:bookmarkStart w:id="4" w:name="_Toc7954"/>
      <w:r>
        <w:rPr>
          <w:rFonts w:hint="eastAsia" w:ascii="宋体" w:hAnsi="宋体"/>
          <w:color w:val="auto"/>
        </w:rPr>
        <w:t>二、招标文件</w:t>
      </w:r>
      <w:bookmarkEnd w:id="4"/>
    </w:p>
    <w:p>
      <w:pPr>
        <w:pStyle w:val="84"/>
        <w:spacing w:line="500" w:lineRule="exact"/>
        <w:ind w:firstLine="480" w:firstLineChars="200"/>
        <w:jc w:val="both"/>
        <w:outlineLvl w:val="2"/>
        <w:rPr>
          <w:rFonts w:ascii="宋体" w:hAnsi="宋体"/>
          <w:color w:val="auto"/>
        </w:rPr>
      </w:pPr>
      <w:r>
        <w:rPr>
          <w:rFonts w:hint="eastAsia" w:ascii="宋体" w:hAnsi="宋体"/>
          <w:color w:val="auto"/>
        </w:rPr>
        <w:t>5.  招标文件</w:t>
      </w:r>
    </w:p>
    <w:p>
      <w:pPr>
        <w:pStyle w:val="84"/>
        <w:spacing w:line="500" w:lineRule="exact"/>
        <w:ind w:firstLine="480" w:firstLineChars="200"/>
        <w:jc w:val="both"/>
        <w:rPr>
          <w:rFonts w:ascii="宋体" w:hAnsi="宋体"/>
          <w:color w:val="auto"/>
        </w:rPr>
      </w:pPr>
      <w:r>
        <w:rPr>
          <w:rFonts w:hint="eastAsia" w:ascii="宋体" w:hAnsi="宋体"/>
          <w:color w:val="auto"/>
        </w:rPr>
        <w:t>5.1  招标文件用以阐明所需货物和服务、招标投标程序和商务合同主要条款，包括：</w:t>
      </w:r>
    </w:p>
    <w:p>
      <w:pPr>
        <w:pStyle w:val="84"/>
        <w:spacing w:line="500" w:lineRule="exact"/>
        <w:ind w:firstLine="480" w:firstLineChars="200"/>
        <w:jc w:val="both"/>
        <w:rPr>
          <w:rFonts w:ascii="宋体" w:hAnsi="宋体"/>
          <w:color w:val="auto"/>
        </w:rPr>
      </w:pPr>
      <w:r>
        <w:rPr>
          <w:rFonts w:hint="eastAsia" w:ascii="宋体" w:hAnsi="宋体"/>
          <w:color w:val="auto"/>
        </w:rPr>
        <w:t xml:space="preserve">5.1.1  招标书 </w:t>
      </w:r>
    </w:p>
    <w:p>
      <w:pPr>
        <w:pStyle w:val="84"/>
        <w:spacing w:line="500" w:lineRule="exact"/>
        <w:ind w:firstLine="480" w:firstLineChars="200"/>
        <w:jc w:val="both"/>
        <w:rPr>
          <w:rFonts w:ascii="宋体" w:hAnsi="宋体"/>
          <w:color w:val="auto"/>
        </w:rPr>
      </w:pPr>
      <w:r>
        <w:rPr>
          <w:rFonts w:hint="eastAsia" w:ascii="宋体" w:hAnsi="宋体"/>
          <w:color w:val="auto"/>
        </w:rPr>
        <w:t>5.1.2  投标须知</w:t>
      </w:r>
    </w:p>
    <w:p>
      <w:pPr>
        <w:pStyle w:val="84"/>
        <w:spacing w:line="500" w:lineRule="exact"/>
        <w:ind w:firstLine="480" w:firstLineChars="200"/>
        <w:jc w:val="both"/>
        <w:rPr>
          <w:rFonts w:ascii="宋体" w:hAnsi="宋体"/>
          <w:color w:val="auto"/>
        </w:rPr>
      </w:pPr>
      <w:r>
        <w:rPr>
          <w:rFonts w:hint="eastAsia" w:ascii="宋体" w:hAnsi="宋体"/>
          <w:color w:val="auto"/>
        </w:rPr>
        <w:t>5.1.3  招标货物需求一览表及技术规格要求</w:t>
      </w:r>
    </w:p>
    <w:p>
      <w:pPr>
        <w:pStyle w:val="84"/>
        <w:spacing w:line="500" w:lineRule="exact"/>
        <w:ind w:firstLine="480" w:firstLineChars="200"/>
        <w:jc w:val="both"/>
        <w:rPr>
          <w:rFonts w:ascii="宋体" w:hAnsi="宋体"/>
          <w:color w:val="auto"/>
        </w:rPr>
      </w:pPr>
      <w:r>
        <w:rPr>
          <w:rFonts w:hint="eastAsia" w:ascii="宋体" w:hAnsi="宋体"/>
          <w:color w:val="auto"/>
        </w:rPr>
        <w:t>5.1.4  商务合同主要条款</w:t>
      </w:r>
    </w:p>
    <w:p>
      <w:pPr>
        <w:pStyle w:val="84"/>
        <w:spacing w:line="500" w:lineRule="exact"/>
        <w:ind w:left="478" w:leftChars="228"/>
        <w:jc w:val="both"/>
        <w:rPr>
          <w:rFonts w:ascii="宋体" w:hAnsi="宋体"/>
          <w:color w:val="auto"/>
        </w:rPr>
      </w:pPr>
      <w:r>
        <w:rPr>
          <w:rFonts w:hint="eastAsia" w:ascii="宋体" w:hAnsi="宋体"/>
          <w:color w:val="auto"/>
        </w:rPr>
        <w:t>5.1.5　投标文件格式</w:t>
      </w:r>
    </w:p>
    <w:p>
      <w:pPr>
        <w:pStyle w:val="84"/>
        <w:spacing w:line="500" w:lineRule="exact"/>
        <w:ind w:left="478" w:leftChars="228"/>
        <w:jc w:val="both"/>
        <w:rPr>
          <w:rFonts w:ascii="宋体" w:hAnsi="宋体"/>
          <w:color w:val="auto"/>
        </w:rPr>
      </w:pPr>
      <w:r>
        <w:rPr>
          <w:rFonts w:hint="eastAsia" w:ascii="宋体" w:hAnsi="宋体"/>
          <w:color w:val="auto"/>
        </w:rPr>
        <w:t>5.1.6  其  他　</w:t>
      </w:r>
    </w:p>
    <w:p>
      <w:pPr>
        <w:pStyle w:val="84"/>
        <w:spacing w:line="500" w:lineRule="exact"/>
        <w:ind w:firstLine="480" w:firstLineChars="200"/>
        <w:jc w:val="both"/>
        <w:rPr>
          <w:rFonts w:ascii="宋体" w:hAnsi="宋体"/>
          <w:color w:val="auto"/>
        </w:rPr>
      </w:pPr>
      <w:r>
        <w:rPr>
          <w:rFonts w:hint="eastAsia" w:ascii="宋体" w:hAnsi="宋体"/>
          <w:color w:val="auto"/>
        </w:rPr>
        <w:t>5.2 投标供应商应认真阅读招标文件中所有的事项、格式、条款和规范等要求。如果没有按照招标文件要求提交全部资料或者投标文件没有对招标文件做出实质性响应，其投标文件可能被拒绝。</w:t>
      </w:r>
    </w:p>
    <w:p>
      <w:pPr>
        <w:pStyle w:val="84"/>
        <w:spacing w:line="500" w:lineRule="exact"/>
        <w:ind w:firstLine="480" w:firstLineChars="200"/>
        <w:jc w:val="both"/>
        <w:outlineLvl w:val="2"/>
        <w:rPr>
          <w:rFonts w:ascii="宋体" w:hAnsi="宋体"/>
          <w:color w:val="auto"/>
        </w:rPr>
      </w:pPr>
      <w:r>
        <w:rPr>
          <w:rFonts w:hint="eastAsia" w:ascii="宋体" w:hAnsi="宋体"/>
          <w:color w:val="auto"/>
        </w:rPr>
        <w:t>6.  招标文件的澄清</w:t>
      </w:r>
    </w:p>
    <w:p>
      <w:pPr>
        <w:pStyle w:val="84"/>
        <w:spacing w:line="500" w:lineRule="exact"/>
        <w:ind w:firstLine="480" w:firstLineChars="200"/>
        <w:jc w:val="both"/>
        <w:rPr>
          <w:rFonts w:ascii="宋体" w:hAnsi="宋体"/>
          <w:color w:val="auto"/>
        </w:rPr>
      </w:pPr>
      <w:r>
        <w:rPr>
          <w:rFonts w:hint="eastAsia" w:ascii="宋体" w:hAnsi="宋体"/>
          <w:color w:val="auto"/>
        </w:rPr>
        <w:t>6.1  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84"/>
        <w:spacing w:line="500" w:lineRule="exact"/>
        <w:ind w:firstLine="480" w:firstLineChars="200"/>
        <w:jc w:val="both"/>
        <w:outlineLvl w:val="2"/>
        <w:rPr>
          <w:rFonts w:ascii="宋体" w:hAnsi="宋体"/>
          <w:color w:val="auto"/>
        </w:rPr>
      </w:pPr>
      <w:r>
        <w:rPr>
          <w:rFonts w:hint="eastAsia" w:ascii="宋体" w:hAnsi="宋体"/>
          <w:color w:val="auto"/>
        </w:rPr>
        <w:t xml:space="preserve">7.  招标文件的澄清与修改 </w:t>
      </w:r>
    </w:p>
    <w:p>
      <w:pPr>
        <w:pStyle w:val="84"/>
        <w:spacing w:line="500" w:lineRule="exact"/>
        <w:ind w:firstLine="480" w:firstLineChars="200"/>
        <w:jc w:val="both"/>
        <w:rPr>
          <w:rFonts w:ascii="宋体" w:hAnsi="宋体"/>
          <w:color w:val="auto"/>
        </w:rPr>
      </w:pPr>
      <w:r>
        <w:rPr>
          <w:rFonts w:hint="eastAsia" w:ascii="宋体" w:hAnsi="宋体"/>
          <w:color w:val="auto"/>
        </w:rPr>
        <w:t>7.1 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84"/>
        <w:spacing w:line="500" w:lineRule="exact"/>
        <w:ind w:firstLine="480" w:firstLineChars="200"/>
        <w:jc w:val="both"/>
        <w:rPr>
          <w:rFonts w:ascii="宋体" w:hAnsi="宋体"/>
          <w:color w:val="auto"/>
        </w:rPr>
      </w:pPr>
      <w:r>
        <w:rPr>
          <w:rFonts w:hint="eastAsia" w:ascii="宋体" w:hAnsi="宋体"/>
          <w:color w:val="auto"/>
        </w:rPr>
        <w:t>7.2 采购代理机构必须以书面形式答复供应商要求澄清的问题，并将不包含问题来源的答复书面通知所有购买招标文件的供应商；除书面答复以外的其他澄清方式及澄清内容均无效。</w:t>
      </w:r>
    </w:p>
    <w:p>
      <w:pPr>
        <w:pStyle w:val="84"/>
        <w:spacing w:line="500" w:lineRule="exact"/>
        <w:ind w:firstLine="480" w:firstLineChars="200"/>
        <w:jc w:val="both"/>
        <w:rPr>
          <w:rFonts w:ascii="宋体" w:hAnsi="宋体"/>
          <w:color w:val="auto"/>
        </w:rPr>
      </w:pPr>
      <w:r>
        <w:rPr>
          <w:rFonts w:hint="eastAsia" w:ascii="宋体" w:hAnsi="宋体"/>
          <w:color w:val="auto"/>
        </w:rPr>
        <w:t>7.3 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84"/>
        <w:spacing w:line="500" w:lineRule="exact"/>
        <w:ind w:firstLine="480" w:firstLineChars="200"/>
        <w:jc w:val="both"/>
        <w:rPr>
          <w:rFonts w:ascii="宋体" w:hAnsi="宋体"/>
          <w:color w:val="auto"/>
        </w:rPr>
      </w:pPr>
      <w:r>
        <w:rPr>
          <w:rFonts w:hint="eastAsia" w:ascii="宋体" w:hAnsi="宋体"/>
          <w:color w:val="auto"/>
        </w:rPr>
        <w:t>7.4 招标文件澄清、答复、修改、补充的内容为招标文件的组成部分。当招标文件与招标文件的答复、澄清、修改、补充通知就同一内容的表述不一致时，以最后发出的书面文件为准。</w:t>
      </w:r>
    </w:p>
    <w:p>
      <w:pPr>
        <w:pStyle w:val="84"/>
        <w:spacing w:line="500" w:lineRule="exact"/>
        <w:ind w:firstLine="480" w:firstLineChars="200"/>
        <w:jc w:val="both"/>
        <w:rPr>
          <w:rFonts w:ascii="宋体" w:hAnsi="宋体"/>
          <w:color w:val="auto"/>
        </w:rPr>
      </w:pPr>
      <w:r>
        <w:rPr>
          <w:rFonts w:hint="eastAsia" w:ascii="宋体" w:hAnsi="宋体"/>
          <w:color w:val="auto"/>
        </w:rPr>
        <w:t>7.5 招标文件的澄清、答复、修改或补充都应该通过本代理机构以法定形式发布，采购人非通过本机构，不得擅自澄清、答复、修改或补充招标文件。</w:t>
      </w:r>
    </w:p>
    <w:p>
      <w:pPr>
        <w:pStyle w:val="84"/>
        <w:spacing w:line="500" w:lineRule="exact"/>
        <w:ind w:firstLine="480" w:firstLineChars="200"/>
        <w:jc w:val="both"/>
        <w:outlineLvl w:val="1"/>
        <w:rPr>
          <w:rFonts w:ascii="宋体" w:hAnsi="宋体"/>
          <w:color w:val="auto"/>
        </w:rPr>
      </w:pPr>
      <w:bookmarkStart w:id="5" w:name="_Toc22109"/>
      <w:r>
        <w:rPr>
          <w:rFonts w:hint="eastAsia" w:ascii="宋体" w:hAnsi="宋体"/>
          <w:color w:val="auto"/>
        </w:rPr>
        <w:t>三、投标文件的编制</w:t>
      </w:r>
      <w:bookmarkEnd w:id="5"/>
    </w:p>
    <w:p>
      <w:pPr>
        <w:pStyle w:val="84"/>
        <w:spacing w:line="500" w:lineRule="exact"/>
        <w:ind w:firstLine="480" w:firstLineChars="200"/>
        <w:jc w:val="both"/>
        <w:outlineLvl w:val="2"/>
        <w:rPr>
          <w:rFonts w:ascii="宋体" w:hAnsi="宋体"/>
          <w:color w:val="auto"/>
        </w:rPr>
      </w:pPr>
      <w:r>
        <w:rPr>
          <w:rFonts w:hint="eastAsia" w:ascii="宋体" w:hAnsi="宋体"/>
          <w:color w:val="auto"/>
        </w:rPr>
        <w:t>8.  投标文件的编写</w:t>
      </w:r>
    </w:p>
    <w:p>
      <w:pPr>
        <w:pStyle w:val="84"/>
        <w:spacing w:line="500" w:lineRule="exact"/>
        <w:ind w:firstLine="480" w:firstLineChars="200"/>
        <w:jc w:val="both"/>
        <w:rPr>
          <w:rFonts w:ascii="宋体" w:hAnsi="宋体"/>
          <w:color w:val="auto"/>
        </w:rPr>
      </w:pPr>
      <w:r>
        <w:rPr>
          <w:rFonts w:hint="eastAsia" w:ascii="宋体" w:hAnsi="宋体"/>
          <w:color w:val="auto"/>
        </w:rPr>
        <w:t>8.1  投标供应商应仔细阅读招标文件,了解招标文件的要求。在充分理解招标文件提出的货物规格型号、技术性能、技术参数、服务和商务条件后，制作投标文件。</w:t>
      </w:r>
    </w:p>
    <w:p>
      <w:pPr>
        <w:pStyle w:val="84"/>
        <w:spacing w:line="500" w:lineRule="exact"/>
        <w:ind w:firstLine="480" w:firstLineChars="200"/>
        <w:jc w:val="both"/>
        <w:outlineLvl w:val="2"/>
        <w:rPr>
          <w:rFonts w:ascii="宋体" w:hAnsi="宋体"/>
          <w:color w:val="auto"/>
        </w:rPr>
      </w:pPr>
      <w:r>
        <w:rPr>
          <w:rFonts w:hint="eastAsia" w:ascii="宋体" w:hAnsi="宋体"/>
          <w:color w:val="auto"/>
        </w:rPr>
        <w:t>9.  投标的语言及计量单位</w:t>
      </w:r>
    </w:p>
    <w:p>
      <w:pPr>
        <w:pStyle w:val="84"/>
        <w:spacing w:line="500" w:lineRule="exact"/>
        <w:ind w:firstLine="480" w:firstLineChars="200"/>
        <w:jc w:val="both"/>
        <w:rPr>
          <w:rFonts w:ascii="宋体" w:hAnsi="宋体"/>
          <w:color w:val="auto"/>
        </w:rPr>
      </w:pPr>
      <w:r>
        <w:rPr>
          <w:rFonts w:hint="eastAsia" w:ascii="宋体" w:hAnsi="宋体"/>
          <w:color w:val="auto"/>
        </w:rPr>
        <w:t>9.1  投标供应商的投标文件以及投标供应商与招标代理机构就有关招标活动的所有来往函电均应使用中文。如果投标文件或与投标有关的其它文件、信件及来往函电以其它语言书写，投标供应商应将其译成中文。</w:t>
      </w:r>
    </w:p>
    <w:p>
      <w:pPr>
        <w:pStyle w:val="84"/>
        <w:spacing w:line="500" w:lineRule="exact"/>
        <w:ind w:firstLine="480" w:firstLineChars="200"/>
        <w:jc w:val="both"/>
        <w:rPr>
          <w:rFonts w:ascii="宋体" w:hAnsi="宋体"/>
          <w:color w:val="auto"/>
        </w:rPr>
      </w:pPr>
      <w:r>
        <w:rPr>
          <w:rFonts w:hint="eastAsia" w:ascii="宋体" w:hAnsi="宋体"/>
          <w:color w:val="auto"/>
        </w:rPr>
        <w:t>9.2  投标文件中所使用的计量单位除招标文件中有特殊规定外，一律使用法定计量单位。</w:t>
      </w:r>
    </w:p>
    <w:p>
      <w:pPr>
        <w:pStyle w:val="84"/>
        <w:spacing w:line="500" w:lineRule="exact"/>
        <w:ind w:firstLine="480" w:firstLineChars="200"/>
        <w:jc w:val="both"/>
        <w:outlineLvl w:val="2"/>
        <w:rPr>
          <w:rFonts w:ascii="宋体" w:hAnsi="宋体"/>
          <w:color w:val="auto"/>
        </w:rPr>
      </w:pPr>
      <w:r>
        <w:rPr>
          <w:rFonts w:hint="eastAsia" w:ascii="宋体" w:hAnsi="宋体"/>
          <w:color w:val="auto"/>
        </w:rPr>
        <w:t>10.  投标文件构成</w:t>
      </w:r>
    </w:p>
    <w:p>
      <w:pPr>
        <w:pStyle w:val="84"/>
        <w:spacing w:line="500" w:lineRule="exact"/>
        <w:ind w:firstLine="480" w:firstLineChars="200"/>
        <w:jc w:val="both"/>
        <w:outlineLvl w:val="3"/>
        <w:rPr>
          <w:rFonts w:ascii="宋体" w:hAnsi="宋体"/>
          <w:color w:val="auto"/>
        </w:rPr>
      </w:pPr>
      <w:r>
        <w:rPr>
          <w:rFonts w:hint="eastAsia" w:ascii="宋体" w:hAnsi="宋体"/>
          <w:color w:val="auto"/>
        </w:rPr>
        <w:t>10.1  投标供应商编写的投标文件应按下列顺序及内容提供:</w:t>
      </w:r>
    </w:p>
    <w:p>
      <w:pPr>
        <w:pStyle w:val="84"/>
        <w:spacing w:line="500" w:lineRule="exact"/>
        <w:ind w:firstLine="480" w:firstLineChars="200"/>
        <w:jc w:val="both"/>
        <w:outlineLvl w:val="4"/>
        <w:rPr>
          <w:rFonts w:ascii="宋体" w:hAnsi="宋体"/>
          <w:bCs/>
          <w:color w:val="auto"/>
        </w:rPr>
      </w:pPr>
      <w:r>
        <w:rPr>
          <w:rFonts w:hint="eastAsia" w:ascii="宋体" w:hAnsi="宋体"/>
          <w:bCs/>
          <w:color w:val="auto"/>
        </w:rPr>
        <w:t>10.1.1  商务投标书;</w:t>
      </w:r>
    </w:p>
    <w:p>
      <w:pPr>
        <w:spacing w:line="50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(1)投标函(含法定代表人身份证明或授权委托书)；</w:t>
      </w:r>
    </w:p>
    <w:p>
      <w:pPr>
        <w:spacing w:line="50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(2)开标一览表；</w:t>
      </w:r>
    </w:p>
    <w:p>
      <w:pPr>
        <w:spacing w:line="50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(3)投标分项报价表；</w:t>
      </w:r>
    </w:p>
    <w:p>
      <w:pPr>
        <w:spacing w:line="50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(4)商务条款偏离表；</w:t>
      </w:r>
    </w:p>
    <w:p>
      <w:pPr>
        <w:spacing w:line="50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(5)投标保证金汇款凭证；</w:t>
      </w:r>
    </w:p>
    <w:p>
      <w:pPr>
        <w:spacing w:line="500" w:lineRule="exact"/>
        <w:ind w:firstLine="480" w:firstLineChars="200"/>
        <w:rPr>
          <w:rFonts w:ascii="宋体" w:hAnsi="宋体" w:cs="Arial"/>
          <w:b/>
          <w:sz w:val="24"/>
          <w:szCs w:val="24"/>
        </w:rPr>
      </w:pPr>
      <w:r>
        <w:rPr>
          <w:rFonts w:hint="eastAsia" w:asciiTheme="minorEastAsia" w:hAnsiTheme="minorEastAsia" w:eastAsiaTheme="minorEastAsia" w:cstheme="minorEastAsia"/>
          <w:b/>
          <w:bCs/>
          <w:sz w:val="24"/>
          <w:szCs w:val="24"/>
        </w:rPr>
        <w:t>(6)</w:t>
      </w:r>
      <w:r>
        <w:rPr>
          <w:rFonts w:hint="eastAsia" w:ascii="宋体" w:hAnsi="宋体" w:cs="Arial"/>
          <w:b/>
          <w:sz w:val="24"/>
          <w:szCs w:val="24"/>
        </w:rPr>
        <w:t>供应商符合投标人资格条件的证明文件</w:t>
      </w:r>
    </w:p>
    <w:p>
      <w:pPr>
        <w:spacing w:line="500" w:lineRule="exact"/>
        <w:ind w:firstLine="480" w:firstLineChars="200"/>
        <w:rPr>
          <w:rFonts w:ascii="宋体" w:hAnsi="宋体" w:cs="Arial"/>
          <w:sz w:val="24"/>
          <w:szCs w:val="24"/>
        </w:rPr>
      </w:pPr>
      <w:r>
        <w:rPr>
          <w:rFonts w:hint="eastAsia" w:asciiTheme="minorEastAsia" w:hAnsiTheme="minorEastAsia" w:eastAsiaTheme="minorEastAsia" w:cstheme="minorEastAsia"/>
          <w:sz w:val="24"/>
          <w:szCs w:val="24"/>
        </w:rPr>
        <w:t>(7)</w:t>
      </w:r>
      <w:r>
        <w:rPr>
          <w:rFonts w:hint="eastAsia" w:ascii="宋体" w:hAnsi="宋体" w:cs="Arial"/>
          <w:sz w:val="24"/>
          <w:szCs w:val="24"/>
        </w:rPr>
        <w:t>投标供应商需提供近两年（2020年01月01日至今）类似项目业绩表（附合同或中标通知书或成交通知书复印件）；</w:t>
      </w:r>
    </w:p>
    <w:p>
      <w:pPr>
        <w:pStyle w:val="20"/>
        <w:ind w:firstLine="480" w:firstLineChars="200"/>
        <w:rPr>
          <w:rFonts w:ascii="宋体" w:hAnsi="宋体"/>
          <w:sz w:val="24"/>
          <w:szCs w:val="24"/>
        </w:rPr>
      </w:pPr>
      <w:r>
        <w:rPr>
          <w:rFonts w:hint="eastAsia" w:asciiTheme="minorEastAsia" w:hAnsiTheme="minorEastAsia" w:eastAsiaTheme="minorEastAsia" w:cstheme="minorEastAsia"/>
          <w:sz w:val="24"/>
          <w:szCs w:val="24"/>
        </w:rPr>
        <w:t>(8)</w:t>
      </w:r>
      <w:r>
        <w:rPr>
          <w:rFonts w:hint="eastAsia" w:ascii="宋体" w:hAnsi="宋体"/>
          <w:sz w:val="24"/>
          <w:szCs w:val="24"/>
        </w:rPr>
        <w:t xml:space="preserve">符合政府采购政策的证明材料   </w:t>
      </w:r>
    </w:p>
    <w:p>
      <w:pPr>
        <w:pStyle w:val="20"/>
        <w:ind w:firstLine="480" w:firstLineChars="200"/>
        <w:rPr>
          <w:rFonts w:ascii="宋体" w:hAnsi="宋体"/>
          <w:sz w:val="24"/>
          <w:szCs w:val="24"/>
        </w:rPr>
      </w:pPr>
      <w:r>
        <w:rPr>
          <w:rFonts w:hint="eastAsia" w:asciiTheme="minorEastAsia" w:hAnsiTheme="minorEastAsia" w:eastAsiaTheme="minorEastAsia" w:cstheme="minorEastAsia"/>
          <w:sz w:val="24"/>
          <w:szCs w:val="24"/>
        </w:rPr>
        <w:t>(9)</w:t>
      </w:r>
      <w:r>
        <w:rPr>
          <w:rFonts w:hint="eastAsia"/>
          <w:sz w:val="24"/>
          <w:szCs w:val="24"/>
        </w:rPr>
        <w:t>试剂耗材清单及承诺书</w:t>
      </w:r>
    </w:p>
    <w:p>
      <w:pPr>
        <w:pStyle w:val="20"/>
        <w:ind w:firstLine="480" w:firstLineChars="200"/>
        <w:rPr>
          <w:rFonts w:ascii="宋体" w:hAnsi="宋体"/>
          <w:sz w:val="24"/>
          <w:szCs w:val="24"/>
        </w:rPr>
      </w:pPr>
      <w:r>
        <w:rPr>
          <w:rFonts w:hint="eastAsia" w:asciiTheme="minorEastAsia" w:hAnsiTheme="minorEastAsia" w:eastAsiaTheme="minorEastAsia" w:cstheme="minorEastAsia"/>
          <w:sz w:val="24"/>
          <w:szCs w:val="24"/>
        </w:rPr>
        <w:t>(10)</w:t>
      </w:r>
      <w:r>
        <w:rPr>
          <w:rFonts w:hint="eastAsia" w:ascii="宋体" w:hAnsi="宋体"/>
          <w:sz w:val="24"/>
          <w:szCs w:val="24"/>
        </w:rPr>
        <w:t>投标供应商认为有必要提供的声明及文件资料。</w:t>
      </w:r>
    </w:p>
    <w:p>
      <w:pPr>
        <w:spacing w:line="500" w:lineRule="exact"/>
        <w:ind w:firstLine="480" w:firstLineChars="200"/>
        <w:outlineLvl w:val="4"/>
        <w:rPr>
          <w:rFonts w:ascii="宋体" w:hAnsi="宋体"/>
          <w:bCs/>
          <w:sz w:val="24"/>
          <w:szCs w:val="24"/>
        </w:rPr>
      </w:pPr>
      <w:r>
        <w:rPr>
          <w:rFonts w:hint="eastAsia" w:ascii="宋体" w:hAnsi="宋体"/>
          <w:bCs/>
          <w:sz w:val="24"/>
          <w:szCs w:val="24"/>
        </w:rPr>
        <w:t>10.1.2  技术投标书</w:t>
      </w:r>
    </w:p>
    <w:p>
      <w:pPr>
        <w:spacing w:line="500" w:lineRule="exact"/>
        <w:ind w:firstLine="480" w:firstLineChars="200"/>
        <w:rPr>
          <w:rFonts w:ascii="宋体" w:hAnsi="宋体"/>
          <w:b/>
          <w:bCs/>
          <w:sz w:val="24"/>
          <w:szCs w:val="24"/>
        </w:rPr>
      </w:pPr>
      <w:r>
        <w:rPr>
          <w:rFonts w:hint="eastAsia" w:ascii="宋体" w:hAnsi="宋体"/>
          <w:b/>
          <w:bCs/>
          <w:sz w:val="24"/>
          <w:szCs w:val="24"/>
        </w:rPr>
        <w:t>(1) 项目实施方案、技术方案或服务方案；</w:t>
      </w:r>
    </w:p>
    <w:p>
      <w:pPr>
        <w:spacing w:line="500" w:lineRule="exact"/>
        <w:ind w:firstLine="480" w:firstLineChars="200"/>
        <w:rPr>
          <w:rFonts w:ascii="宋体" w:hAnsi="宋体"/>
          <w:b/>
          <w:bCs/>
          <w:sz w:val="24"/>
          <w:szCs w:val="24"/>
        </w:rPr>
      </w:pPr>
      <w:r>
        <w:rPr>
          <w:rFonts w:hint="eastAsia" w:ascii="宋体" w:hAnsi="宋体"/>
          <w:b/>
          <w:bCs/>
          <w:sz w:val="24"/>
          <w:szCs w:val="24"/>
        </w:rPr>
        <w:t>(2) 投标供应商必须提供投标设备的详细配置及参数说明；</w:t>
      </w:r>
    </w:p>
    <w:p>
      <w:pPr>
        <w:spacing w:line="500" w:lineRule="exact"/>
        <w:ind w:firstLine="480" w:firstLineChars="200"/>
        <w:rPr>
          <w:rFonts w:ascii="宋体" w:hAnsi="宋体"/>
          <w:b/>
          <w:bCs/>
          <w:sz w:val="24"/>
          <w:szCs w:val="24"/>
        </w:rPr>
      </w:pPr>
      <w:r>
        <w:rPr>
          <w:rFonts w:hint="eastAsia" w:ascii="宋体" w:hAnsi="宋体"/>
          <w:b/>
          <w:bCs/>
          <w:sz w:val="24"/>
          <w:szCs w:val="24"/>
        </w:rPr>
        <w:t>(3) 质量保证措施；</w:t>
      </w:r>
    </w:p>
    <w:p>
      <w:pPr>
        <w:spacing w:line="500" w:lineRule="exact"/>
        <w:ind w:firstLine="480" w:firstLineChars="200"/>
        <w:rPr>
          <w:rFonts w:ascii="宋体" w:hAnsi="宋体"/>
          <w:b/>
          <w:bCs/>
          <w:sz w:val="24"/>
          <w:szCs w:val="24"/>
        </w:rPr>
      </w:pPr>
      <w:r>
        <w:rPr>
          <w:rFonts w:hint="eastAsia" w:ascii="宋体" w:hAnsi="宋体"/>
          <w:b/>
          <w:bCs/>
          <w:sz w:val="24"/>
          <w:szCs w:val="24"/>
        </w:rPr>
        <w:t>(4) 针对本项目执行进度计划；</w:t>
      </w:r>
    </w:p>
    <w:p>
      <w:pPr>
        <w:spacing w:line="500" w:lineRule="exact"/>
        <w:ind w:firstLine="480" w:firstLineChars="200"/>
        <w:rPr>
          <w:rFonts w:ascii="宋体" w:hAnsi="宋体"/>
          <w:b/>
          <w:bCs/>
          <w:sz w:val="24"/>
          <w:szCs w:val="24"/>
        </w:rPr>
      </w:pPr>
      <w:r>
        <w:rPr>
          <w:rFonts w:hint="eastAsia" w:ascii="宋体" w:hAnsi="宋体"/>
          <w:b/>
          <w:bCs/>
          <w:sz w:val="24"/>
          <w:szCs w:val="24"/>
        </w:rPr>
        <w:t>(5) 技术条款偏离表；</w:t>
      </w:r>
    </w:p>
    <w:p>
      <w:pPr>
        <w:spacing w:line="500" w:lineRule="exact"/>
        <w:ind w:left="958" w:leftChars="228" w:hanging="480" w:hangingChars="200"/>
        <w:rPr>
          <w:rFonts w:ascii="宋体" w:hAnsi="宋体"/>
          <w:b/>
          <w:bCs/>
          <w:sz w:val="24"/>
          <w:szCs w:val="24"/>
        </w:rPr>
      </w:pPr>
      <w:r>
        <w:rPr>
          <w:rFonts w:hint="eastAsia" w:ascii="宋体" w:hAnsi="宋体"/>
          <w:b/>
          <w:bCs/>
          <w:sz w:val="24"/>
          <w:szCs w:val="24"/>
        </w:rPr>
        <w:t>(6) 有关的产品（包括但不限于检验报告、产品注册证、指标、产品技术性能详述、验收标准等）；</w:t>
      </w:r>
    </w:p>
    <w:p>
      <w:pPr>
        <w:spacing w:line="500" w:lineRule="exact"/>
        <w:ind w:firstLine="480" w:firstLineChars="200"/>
        <w:rPr>
          <w:rFonts w:ascii="宋体" w:hAnsi="宋体"/>
          <w:b/>
          <w:bCs/>
          <w:sz w:val="24"/>
          <w:szCs w:val="24"/>
        </w:rPr>
      </w:pPr>
      <w:r>
        <w:rPr>
          <w:rFonts w:hint="eastAsia" w:ascii="宋体" w:hAnsi="宋体"/>
          <w:b/>
          <w:bCs/>
          <w:sz w:val="24"/>
          <w:szCs w:val="24"/>
        </w:rPr>
        <w:t>(7) 投标人售后服务承诺；</w:t>
      </w:r>
    </w:p>
    <w:p>
      <w:pPr>
        <w:spacing w:line="500" w:lineRule="exact"/>
        <w:ind w:firstLine="480" w:firstLineChars="200"/>
        <w:rPr>
          <w:rFonts w:ascii="宋体" w:hAnsi="宋体"/>
          <w:b/>
          <w:bCs/>
          <w:sz w:val="24"/>
          <w:szCs w:val="24"/>
        </w:rPr>
      </w:pPr>
      <w:r>
        <w:rPr>
          <w:rFonts w:hint="eastAsia" w:ascii="宋体" w:hAnsi="宋体"/>
          <w:sz w:val="24"/>
          <w:szCs w:val="24"/>
        </w:rPr>
        <w:t>(8) 投标供应商认为有必要提供的声明及文件资料。</w:t>
      </w:r>
    </w:p>
    <w:p>
      <w:pPr>
        <w:pStyle w:val="84"/>
        <w:spacing w:line="500" w:lineRule="exact"/>
        <w:ind w:firstLine="480" w:firstLineChars="200"/>
        <w:jc w:val="both"/>
        <w:rPr>
          <w:rFonts w:ascii="宋体" w:hAnsi="宋体"/>
          <w:color w:val="auto"/>
          <w:kern w:val="2"/>
        </w:rPr>
      </w:pPr>
      <w:r>
        <w:rPr>
          <w:rFonts w:hint="eastAsia" w:ascii="宋体" w:hAnsi="宋体"/>
          <w:color w:val="auto"/>
          <w:kern w:val="2"/>
        </w:rPr>
        <w:t>10.3 第10.1.1条中第(1)-(6)项、第10.1.2条中第(2)(5)(6)项为必备项，投标供应商必须提供。</w:t>
      </w:r>
    </w:p>
    <w:p>
      <w:pPr>
        <w:pStyle w:val="84"/>
        <w:spacing w:line="500" w:lineRule="exact"/>
        <w:ind w:firstLine="480" w:firstLineChars="200"/>
        <w:jc w:val="both"/>
        <w:outlineLvl w:val="2"/>
        <w:rPr>
          <w:rFonts w:ascii="宋体" w:hAnsi="宋体"/>
          <w:color w:val="auto"/>
        </w:rPr>
      </w:pPr>
      <w:r>
        <w:rPr>
          <w:rFonts w:hint="eastAsia" w:ascii="宋体" w:hAnsi="宋体"/>
          <w:color w:val="auto"/>
        </w:rPr>
        <w:t>11.  投标文件的格式</w:t>
      </w:r>
    </w:p>
    <w:p>
      <w:pPr>
        <w:spacing w:line="500" w:lineRule="exact"/>
        <w:ind w:firstLine="480" w:firstLineChars="200"/>
        <w:rPr>
          <w:rFonts w:ascii="宋体" w:hAnsi="宋体"/>
          <w:sz w:val="24"/>
          <w:szCs w:val="24"/>
        </w:rPr>
      </w:pPr>
      <w:r>
        <w:rPr>
          <w:rFonts w:hint="eastAsia" w:ascii="宋体" w:hAnsi="宋体"/>
          <w:sz w:val="24"/>
          <w:szCs w:val="24"/>
        </w:rPr>
        <w:t>11.1  招标文件附件及招标文件各章节提供了一部分用于编制投标文件时必要的格式，投标供应商应按此格式编制投标文件。</w:t>
      </w:r>
    </w:p>
    <w:p>
      <w:pPr>
        <w:pStyle w:val="84"/>
        <w:spacing w:line="500" w:lineRule="exact"/>
        <w:ind w:firstLine="480" w:firstLineChars="200"/>
        <w:jc w:val="both"/>
        <w:outlineLvl w:val="3"/>
        <w:rPr>
          <w:rFonts w:ascii="宋体" w:hAnsi="宋体"/>
          <w:color w:val="auto"/>
        </w:rPr>
      </w:pPr>
      <w:r>
        <w:rPr>
          <w:rFonts w:hint="eastAsia" w:ascii="宋体" w:hAnsi="宋体"/>
          <w:color w:val="auto"/>
        </w:rPr>
        <w:t>11.2  招标文件中未提供格式的部分由投标供应商自行编制。</w:t>
      </w:r>
    </w:p>
    <w:p>
      <w:pPr>
        <w:pStyle w:val="84"/>
        <w:spacing w:line="500" w:lineRule="exact"/>
        <w:ind w:firstLine="480" w:firstLineChars="200"/>
        <w:jc w:val="both"/>
        <w:outlineLvl w:val="2"/>
        <w:rPr>
          <w:rFonts w:ascii="宋体" w:hAnsi="宋体"/>
          <w:color w:val="auto"/>
        </w:rPr>
      </w:pPr>
      <w:r>
        <w:rPr>
          <w:rFonts w:hint="eastAsia" w:ascii="宋体" w:hAnsi="宋体"/>
          <w:color w:val="auto"/>
        </w:rPr>
        <w:t>12.  投标报价</w:t>
      </w:r>
    </w:p>
    <w:p>
      <w:pPr>
        <w:pStyle w:val="84"/>
        <w:spacing w:line="500" w:lineRule="exact"/>
        <w:ind w:firstLine="480" w:firstLineChars="200"/>
        <w:jc w:val="both"/>
        <w:rPr>
          <w:rFonts w:ascii="宋体" w:hAnsi="宋体"/>
          <w:b/>
          <w:bCs/>
          <w:color w:val="auto"/>
        </w:rPr>
      </w:pPr>
      <w:r>
        <w:rPr>
          <w:rFonts w:hint="eastAsia" w:ascii="宋体" w:hAnsi="宋体"/>
          <w:b/>
          <w:bCs/>
          <w:color w:val="auto"/>
        </w:rPr>
        <w:t>12.1除本招标文件另有规定外，投标供应商应按招标文件所附相应的开标一览表格式标明拟提供货物的单价和总价等内容；投标分项报价明细表中应按要求报设备明细、数量、单价及费用等内容（详见附件）。</w:t>
      </w:r>
    </w:p>
    <w:p>
      <w:pPr>
        <w:pStyle w:val="84"/>
        <w:spacing w:line="500" w:lineRule="exact"/>
        <w:ind w:firstLine="480" w:firstLineChars="200"/>
        <w:jc w:val="both"/>
        <w:rPr>
          <w:rFonts w:ascii="宋体" w:hAnsi="宋体"/>
          <w:b/>
          <w:bCs/>
          <w:color w:val="auto"/>
        </w:rPr>
      </w:pPr>
      <w:r>
        <w:rPr>
          <w:rFonts w:hint="eastAsia" w:ascii="宋体" w:hAnsi="宋体"/>
          <w:b/>
          <w:bCs/>
          <w:color w:val="auto"/>
        </w:rPr>
        <w:t>12.2  任何有选择性的报价将不予接受，每种货物只允许有一个报价。</w:t>
      </w:r>
    </w:p>
    <w:p>
      <w:pPr>
        <w:pStyle w:val="84"/>
        <w:spacing w:line="500" w:lineRule="exact"/>
        <w:ind w:firstLine="480" w:firstLineChars="200"/>
        <w:jc w:val="both"/>
        <w:rPr>
          <w:rFonts w:ascii="宋体" w:hAnsi="宋体"/>
          <w:color w:val="auto"/>
        </w:rPr>
      </w:pPr>
      <w:r>
        <w:rPr>
          <w:rFonts w:hint="eastAsia" w:ascii="宋体" w:hAnsi="宋体"/>
          <w:color w:val="auto"/>
        </w:rPr>
        <w:t>12.3  供应商须充分注意并重视第三章“招标货物需求一览表及技术规格要求”的内容，并严格按该章的有关内容做出实质性响应。</w:t>
      </w:r>
    </w:p>
    <w:p>
      <w:pPr>
        <w:pStyle w:val="84"/>
        <w:spacing w:line="500" w:lineRule="exact"/>
        <w:ind w:firstLine="480" w:firstLineChars="200"/>
        <w:jc w:val="both"/>
        <w:rPr>
          <w:rFonts w:ascii="宋体" w:hAnsi="宋体"/>
          <w:color w:val="auto"/>
        </w:rPr>
      </w:pPr>
      <w:r>
        <w:rPr>
          <w:rFonts w:hint="eastAsia" w:ascii="宋体" w:hAnsi="宋体"/>
          <w:color w:val="auto"/>
        </w:rPr>
        <w:t>12.4  投标供应商可按招标文件第三章“招标货物需求一览表及技术规格要求”的内容全部报价，投标报价应包括：</w:t>
      </w:r>
    </w:p>
    <w:p>
      <w:pPr>
        <w:pStyle w:val="84"/>
        <w:spacing w:line="500" w:lineRule="exact"/>
        <w:ind w:firstLine="480" w:firstLineChars="200"/>
        <w:jc w:val="both"/>
        <w:rPr>
          <w:rFonts w:ascii="宋体" w:hAnsi="宋体"/>
          <w:b/>
          <w:bCs/>
          <w:color w:val="auto"/>
        </w:rPr>
      </w:pPr>
      <w:r>
        <w:rPr>
          <w:rFonts w:hint="eastAsia" w:ascii="宋体" w:hAnsi="宋体"/>
          <w:b/>
          <w:bCs/>
          <w:color w:val="auto"/>
        </w:rPr>
        <w:t>12.4.1  设备价格、运费保险、安装调试费、含税费等费用。</w:t>
      </w:r>
    </w:p>
    <w:p>
      <w:pPr>
        <w:pStyle w:val="84"/>
        <w:spacing w:line="500" w:lineRule="exact"/>
        <w:ind w:firstLine="480" w:firstLineChars="200"/>
        <w:jc w:val="both"/>
        <w:rPr>
          <w:rFonts w:ascii="宋体" w:hAnsi="宋体"/>
          <w:color w:val="auto"/>
        </w:rPr>
      </w:pPr>
      <w:r>
        <w:rPr>
          <w:rFonts w:hint="eastAsia" w:ascii="宋体" w:hAnsi="宋体"/>
          <w:color w:val="auto"/>
        </w:rPr>
        <w:t>12.4.2  技术规格中特别要求的零、备件费用及售后服务费用。</w:t>
      </w:r>
    </w:p>
    <w:p>
      <w:pPr>
        <w:pStyle w:val="84"/>
        <w:spacing w:line="500" w:lineRule="exact"/>
        <w:ind w:firstLine="480" w:firstLineChars="200"/>
        <w:jc w:val="both"/>
        <w:outlineLvl w:val="2"/>
        <w:rPr>
          <w:rFonts w:ascii="宋体" w:hAnsi="宋体"/>
          <w:color w:val="auto"/>
        </w:rPr>
      </w:pPr>
      <w:r>
        <w:rPr>
          <w:rFonts w:hint="eastAsia" w:ascii="宋体" w:hAnsi="宋体"/>
          <w:color w:val="auto"/>
        </w:rPr>
        <w:t>13.   投标货币</w:t>
      </w:r>
    </w:p>
    <w:p>
      <w:pPr>
        <w:pStyle w:val="84"/>
        <w:spacing w:line="500" w:lineRule="exact"/>
        <w:ind w:firstLine="480" w:firstLineChars="200"/>
        <w:jc w:val="both"/>
        <w:outlineLvl w:val="3"/>
        <w:rPr>
          <w:rFonts w:ascii="宋体" w:hAnsi="宋体"/>
          <w:color w:val="auto"/>
        </w:rPr>
      </w:pPr>
      <w:r>
        <w:rPr>
          <w:rFonts w:hint="eastAsia" w:ascii="宋体" w:hAnsi="宋体"/>
          <w:color w:val="auto"/>
        </w:rPr>
        <w:t>13.1  投标以人民币报价。</w:t>
      </w:r>
    </w:p>
    <w:p>
      <w:pPr>
        <w:pStyle w:val="84"/>
        <w:spacing w:line="500" w:lineRule="exact"/>
        <w:ind w:firstLine="480" w:firstLineChars="200"/>
        <w:jc w:val="both"/>
        <w:outlineLvl w:val="2"/>
        <w:rPr>
          <w:rFonts w:ascii="宋体" w:hAnsi="宋体"/>
          <w:color w:val="auto"/>
        </w:rPr>
      </w:pPr>
      <w:r>
        <w:rPr>
          <w:rFonts w:hint="eastAsia" w:ascii="宋体" w:hAnsi="宋体"/>
          <w:color w:val="auto"/>
        </w:rPr>
        <w:t>14.   证明投标供应商合格和资格的文件。</w:t>
      </w:r>
    </w:p>
    <w:p>
      <w:pPr>
        <w:pStyle w:val="84"/>
        <w:spacing w:line="500" w:lineRule="exact"/>
        <w:ind w:firstLine="480" w:firstLineChars="200"/>
        <w:jc w:val="both"/>
        <w:rPr>
          <w:rFonts w:ascii="宋体" w:hAnsi="宋体"/>
          <w:color w:val="auto"/>
        </w:rPr>
      </w:pPr>
      <w:r>
        <w:rPr>
          <w:rFonts w:hint="eastAsia" w:ascii="宋体" w:hAnsi="宋体"/>
          <w:color w:val="auto"/>
        </w:rPr>
        <w:t>14.1  投标供应商应提交证明其有资格参加投标和有能力履行合同的文件，并作为其投标文件的一部分。</w:t>
      </w:r>
    </w:p>
    <w:p>
      <w:pPr>
        <w:pStyle w:val="84"/>
        <w:spacing w:line="500" w:lineRule="exact"/>
        <w:ind w:firstLine="480" w:firstLineChars="200"/>
        <w:jc w:val="both"/>
        <w:rPr>
          <w:rFonts w:ascii="宋体" w:hAnsi="宋体"/>
          <w:color w:val="auto"/>
        </w:rPr>
      </w:pPr>
      <w:r>
        <w:rPr>
          <w:rFonts w:hint="eastAsia" w:ascii="宋体" w:hAnsi="宋体"/>
          <w:color w:val="auto"/>
        </w:rPr>
        <w:t>14.2  投标供应商应填写并提交招标文件所要求的资格证明类文件。</w:t>
      </w:r>
    </w:p>
    <w:p>
      <w:pPr>
        <w:pStyle w:val="84"/>
        <w:spacing w:line="500" w:lineRule="exact"/>
        <w:ind w:firstLine="480" w:firstLineChars="200"/>
        <w:jc w:val="both"/>
        <w:outlineLvl w:val="2"/>
        <w:rPr>
          <w:rFonts w:ascii="宋体" w:hAnsi="宋体"/>
          <w:color w:val="auto"/>
        </w:rPr>
      </w:pPr>
      <w:r>
        <w:rPr>
          <w:rFonts w:hint="eastAsia" w:ascii="宋体" w:hAnsi="宋体"/>
          <w:color w:val="auto"/>
        </w:rPr>
        <w:t>15.   证明货物的合格性和符合招标文件规定的文件</w:t>
      </w:r>
    </w:p>
    <w:p>
      <w:pPr>
        <w:pStyle w:val="84"/>
        <w:spacing w:line="500" w:lineRule="exact"/>
        <w:ind w:firstLine="480" w:firstLineChars="200"/>
        <w:jc w:val="both"/>
        <w:rPr>
          <w:rFonts w:ascii="宋体" w:hAnsi="宋体"/>
          <w:color w:val="auto"/>
        </w:rPr>
      </w:pPr>
      <w:r>
        <w:rPr>
          <w:rFonts w:hint="eastAsia" w:ascii="宋体" w:hAnsi="宋体"/>
          <w:color w:val="auto"/>
        </w:rPr>
        <w:t>15.1  投标供应商应逐条对招标文件要求的技术规格进行评审，指出自己提供的货物和服务是否对招标文件做出实质性的响应，并认真填写招标文件所附的“商务条款偏离表（交货期、付款方式、质保期等）”、“技术规格偏离表”。</w:t>
      </w:r>
    </w:p>
    <w:p>
      <w:pPr>
        <w:pStyle w:val="84"/>
        <w:spacing w:line="500" w:lineRule="exact"/>
        <w:ind w:firstLine="480" w:firstLineChars="200"/>
        <w:jc w:val="both"/>
        <w:rPr>
          <w:rFonts w:ascii="宋体" w:hAnsi="宋体"/>
          <w:color w:val="auto"/>
        </w:rPr>
      </w:pPr>
      <w:r>
        <w:rPr>
          <w:rFonts w:hint="eastAsia" w:ascii="宋体" w:hAnsi="宋体"/>
          <w:color w:val="auto"/>
        </w:rPr>
        <w:t>15.2  证明货物的合格性和符合招标文件规定的文件应包括下列内容：</w:t>
      </w:r>
    </w:p>
    <w:p>
      <w:pPr>
        <w:pStyle w:val="84"/>
        <w:spacing w:line="500" w:lineRule="exact"/>
        <w:ind w:firstLine="480" w:firstLineChars="200"/>
        <w:jc w:val="both"/>
        <w:rPr>
          <w:rFonts w:ascii="宋体" w:hAnsi="宋体"/>
          <w:color w:val="auto"/>
        </w:rPr>
      </w:pPr>
      <w:r>
        <w:rPr>
          <w:rFonts w:hint="eastAsia" w:ascii="宋体" w:hAnsi="宋体"/>
          <w:color w:val="auto"/>
        </w:rPr>
        <w:t>15.2.1  执行的制造、验收标准；</w:t>
      </w:r>
    </w:p>
    <w:p>
      <w:pPr>
        <w:pStyle w:val="84"/>
        <w:spacing w:line="500" w:lineRule="exact"/>
        <w:ind w:firstLine="480" w:firstLineChars="200"/>
        <w:jc w:val="both"/>
        <w:rPr>
          <w:rFonts w:ascii="宋体" w:hAnsi="宋体"/>
          <w:color w:val="auto"/>
        </w:rPr>
      </w:pPr>
      <w:r>
        <w:rPr>
          <w:rFonts w:hint="eastAsia" w:ascii="宋体" w:hAnsi="宋体"/>
          <w:color w:val="auto"/>
        </w:rPr>
        <w:t>15.2.2  荣获国优、部优、省优荣誉证书（复印件）；</w:t>
      </w:r>
    </w:p>
    <w:p>
      <w:pPr>
        <w:pStyle w:val="84"/>
        <w:spacing w:line="500" w:lineRule="exact"/>
        <w:ind w:firstLine="480" w:firstLineChars="200"/>
        <w:jc w:val="both"/>
        <w:rPr>
          <w:rFonts w:ascii="宋体" w:hAnsi="宋体"/>
          <w:color w:val="auto"/>
        </w:rPr>
      </w:pPr>
      <w:r>
        <w:rPr>
          <w:rFonts w:hint="eastAsia" w:ascii="宋体" w:hAnsi="宋体"/>
          <w:color w:val="auto"/>
        </w:rPr>
        <w:t>15.2.3  有关产品样本、手册、图纸等资料；</w:t>
      </w:r>
    </w:p>
    <w:p>
      <w:pPr>
        <w:pStyle w:val="84"/>
        <w:spacing w:line="500" w:lineRule="exact"/>
        <w:ind w:firstLine="480" w:firstLineChars="200"/>
        <w:jc w:val="both"/>
        <w:rPr>
          <w:rFonts w:ascii="宋体" w:hAnsi="宋体"/>
          <w:color w:val="auto"/>
        </w:rPr>
      </w:pPr>
      <w:r>
        <w:rPr>
          <w:rFonts w:hint="eastAsia" w:ascii="宋体" w:hAnsi="宋体"/>
          <w:color w:val="auto"/>
        </w:rPr>
        <w:t>15.2.4  投标供应商认为有必要提供的其它证明文件。</w:t>
      </w:r>
    </w:p>
    <w:p>
      <w:pPr>
        <w:pStyle w:val="84"/>
        <w:spacing w:line="500" w:lineRule="exact"/>
        <w:ind w:firstLine="480" w:firstLineChars="200"/>
        <w:jc w:val="both"/>
        <w:outlineLvl w:val="2"/>
        <w:rPr>
          <w:rFonts w:ascii="宋体" w:hAnsi="宋体"/>
          <w:color w:val="auto"/>
        </w:rPr>
      </w:pPr>
      <w:r>
        <w:rPr>
          <w:rFonts w:hint="eastAsia" w:ascii="宋体" w:hAnsi="宋体"/>
          <w:color w:val="auto"/>
        </w:rPr>
        <w:t>16.  投标文件的有效期</w:t>
      </w:r>
    </w:p>
    <w:p>
      <w:pPr>
        <w:pStyle w:val="84"/>
        <w:spacing w:line="500" w:lineRule="exact"/>
        <w:ind w:firstLine="480" w:firstLineChars="200"/>
        <w:jc w:val="both"/>
        <w:outlineLvl w:val="3"/>
        <w:rPr>
          <w:rFonts w:ascii="宋体" w:hAnsi="宋体"/>
          <w:color w:val="auto"/>
        </w:rPr>
      </w:pPr>
      <w:r>
        <w:rPr>
          <w:rFonts w:hint="eastAsia" w:ascii="宋体" w:hAnsi="宋体"/>
          <w:color w:val="auto"/>
        </w:rPr>
        <w:t>16.1  投标文件从实际开标之日起</w:t>
      </w:r>
      <w:r>
        <w:rPr>
          <w:rFonts w:hint="eastAsia" w:ascii="宋体" w:hAnsi="宋体"/>
          <w:color w:val="auto"/>
          <w:u w:val="single"/>
        </w:rPr>
        <w:t>60天</w:t>
      </w:r>
      <w:r>
        <w:rPr>
          <w:rFonts w:hint="eastAsia" w:ascii="宋体" w:hAnsi="宋体"/>
          <w:color w:val="auto"/>
        </w:rPr>
        <w:t>内有效。</w:t>
      </w:r>
    </w:p>
    <w:p>
      <w:pPr>
        <w:pStyle w:val="84"/>
        <w:spacing w:line="500" w:lineRule="exact"/>
        <w:ind w:firstLine="480" w:firstLineChars="200"/>
        <w:jc w:val="both"/>
        <w:rPr>
          <w:rFonts w:ascii="宋体" w:hAnsi="宋体"/>
          <w:color w:val="auto"/>
        </w:rPr>
      </w:pPr>
      <w:r>
        <w:rPr>
          <w:rFonts w:hint="eastAsia" w:ascii="宋体" w:hAnsi="宋体"/>
          <w:color w:val="auto"/>
        </w:rPr>
        <w:t>16.2  在特殊情况下, 在原投标有效期届满之前，招标代理机构可与投标单位协商延长投标文件的有效期，并经投标方确认。</w:t>
      </w:r>
    </w:p>
    <w:p>
      <w:pPr>
        <w:pStyle w:val="84"/>
        <w:spacing w:line="500" w:lineRule="exact"/>
        <w:ind w:firstLine="480" w:firstLineChars="200"/>
        <w:jc w:val="both"/>
        <w:outlineLvl w:val="2"/>
        <w:rPr>
          <w:rFonts w:ascii="宋体" w:hAnsi="宋体"/>
          <w:color w:val="auto"/>
        </w:rPr>
      </w:pPr>
      <w:r>
        <w:rPr>
          <w:rFonts w:hint="eastAsia" w:ascii="宋体" w:hAnsi="宋体"/>
          <w:color w:val="auto"/>
        </w:rPr>
        <w:t>17.  投标文件的书写要求、签署、装订及数量。</w:t>
      </w:r>
    </w:p>
    <w:p>
      <w:pPr>
        <w:pStyle w:val="84"/>
        <w:spacing w:line="500" w:lineRule="exact"/>
        <w:ind w:firstLine="480" w:firstLineChars="200"/>
        <w:jc w:val="both"/>
        <w:outlineLvl w:val="3"/>
        <w:rPr>
          <w:rFonts w:ascii="宋体" w:hAnsi="宋体"/>
          <w:color w:val="auto"/>
        </w:rPr>
      </w:pPr>
      <w:r>
        <w:rPr>
          <w:rFonts w:hint="eastAsia" w:ascii="宋体" w:hAnsi="宋体"/>
          <w:color w:val="auto"/>
        </w:rPr>
        <w:t>17.1  投标文件正本须用不褪色的墨水笔书写或打印。</w:t>
      </w:r>
    </w:p>
    <w:p>
      <w:pPr>
        <w:spacing w:line="500" w:lineRule="exact"/>
        <w:ind w:firstLine="480" w:firstLineChars="200"/>
        <w:rPr>
          <w:rFonts w:ascii="宋体" w:hAnsi="宋体"/>
          <w:sz w:val="24"/>
          <w:szCs w:val="24"/>
        </w:rPr>
      </w:pPr>
      <w:r>
        <w:rPr>
          <w:rFonts w:hint="eastAsia" w:ascii="宋体" w:hAnsi="宋体"/>
          <w:sz w:val="24"/>
          <w:szCs w:val="24"/>
        </w:rPr>
        <w:t>17.2  投标文件的书写应清楚工整，修改处应由投标供应商全权代表签字或盖章。</w:t>
      </w:r>
    </w:p>
    <w:p>
      <w:pPr>
        <w:pStyle w:val="84"/>
        <w:spacing w:line="500" w:lineRule="exact"/>
        <w:ind w:firstLine="480" w:firstLineChars="200"/>
        <w:jc w:val="both"/>
        <w:outlineLvl w:val="3"/>
        <w:rPr>
          <w:rFonts w:ascii="宋体" w:hAnsi="宋体"/>
          <w:color w:val="auto"/>
        </w:rPr>
      </w:pPr>
      <w:r>
        <w:rPr>
          <w:rFonts w:hint="eastAsia" w:ascii="宋体" w:hAnsi="宋体"/>
          <w:color w:val="auto"/>
        </w:rPr>
        <w:t>17.3  未实质性响应招标文件的投标文件将被定为废标。</w:t>
      </w:r>
    </w:p>
    <w:p>
      <w:pPr>
        <w:pStyle w:val="84"/>
        <w:spacing w:line="500" w:lineRule="exact"/>
        <w:ind w:firstLine="480" w:firstLineChars="200"/>
        <w:jc w:val="both"/>
        <w:rPr>
          <w:rFonts w:ascii="宋体" w:hAnsi="宋体"/>
          <w:color w:val="auto"/>
        </w:rPr>
      </w:pPr>
      <w:r>
        <w:rPr>
          <w:rFonts w:hint="eastAsia" w:ascii="宋体" w:hAnsi="宋体"/>
          <w:color w:val="auto"/>
        </w:rPr>
        <w:t>17.4  投标文件应由投标供应商企业法人或法人授权代表在规定签章处逐一签署或加盖单位的公章。投标文件正本逐页加盖企业公章（鲜章），副本为正本复印件。</w:t>
      </w:r>
    </w:p>
    <w:p>
      <w:pPr>
        <w:pStyle w:val="84"/>
        <w:spacing w:line="500" w:lineRule="exact"/>
        <w:ind w:firstLine="480" w:firstLineChars="200"/>
        <w:jc w:val="both"/>
        <w:outlineLvl w:val="3"/>
        <w:rPr>
          <w:rFonts w:ascii="宋体" w:hAnsi="宋体"/>
          <w:color w:val="auto"/>
        </w:rPr>
      </w:pPr>
      <w:r>
        <w:rPr>
          <w:rFonts w:hint="eastAsia" w:ascii="宋体" w:hAnsi="宋体"/>
          <w:color w:val="auto"/>
        </w:rPr>
        <w:t>17.5 装订要求：</w:t>
      </w:r>
      <w:r>
        <w:rPr>
          <w:rFonts w:hint="eastAsia" w:ascii="宋体" w:hAnsi="宋体"/>
          <w:b/>
          <w:color w:val="auto"/>
        </w:rPr>
        <w:t>投标文件必须胶装</w:t>
      </w:r>
      <w:r>
        <w:rPr>
          <w:rFonts w:hint="eastAsia" w:ascii="宋体" w:hAnsi="宋体"/>
          <w:color w:val="auto"/>
        </w:rPr>
        <w:t xml:space="preserve">。 </w:t>
      </w:r>
    </w:p>
    <w:p>
      <w:pPr>
        <w:pStyle w:val="84"/>
        <w:spacing w:line="500" w:lineRule="exact"/>
        <w:ind w:firstLine="480" w:firstLineChars="200"/>
        <w:jc w:val="both"/>
        <w:rPr>
          <w:rFonts w:ascii="宋体" w:hAnsi="宋体"/>
          <w:color w:val="auto"/>
        </w:rPr>
      </w:pPr>
      <w:r>
        <w:rPr>
          <w:rFonts w:hint="eastAsia" w:ascii="宋体" w:hAnsi="宋体"/>
          <w:color w:val="auto"/>
        </w:rPr>
        <w:t>17.6  投标文件的数量：一式五份。正本１份, 副本4份，并在投标文件封面左上角注明“正本”、“副本”字样，一旦正本和副本不符，以正本为准。参考资料不限量。</w:t>
      </w:r>
    </w:p>
    <w:p>
      <w:pPr>
        <w:pStyle w:val="84"/>
        <w:spacing w:line="500" w:lineRule="exact"/>
        <w:ind w:firstLine="480" w:firstLineChars="200"/>
        <w:jc w:val="both"/>
        <w:rPr>
          <w:rFonts w:ascii="宋体" w:hAnsi="宋体"/>
          <w:color w:val="auto"/>
        </w:rPr>
      </w:pPr>
      <w:r>
        <w:rPr>
          <w:rFonts w:hint="eastAsia" w:ascii="宋体" w:hAnsi="宋体"/>
          <w:color w:val="auto"/>
        </w:rPr>
        <w:t>17.7 投标供应商可根据投标文件要求具体需要自行编制其它文件一式五份纳入投标书中。</w:t>
      </w:r>
    </w:p>
    <w:p>
      <w:pPr>
        <w:pStyle w:val="84"/>
        <w:spacing w:line="500" w:lineRule="exact"/>
        <w:ind w:firstLine="480" w:firstLineChars="200"/>
        <w:jc w:val="both"/>
        <w:outlineLvl w:val="2"/>
        <w:rPr>
          <w:rFonts w:ascii="宋体" w:hAnsi="宋体"/>
          <w:color w:val="auto"/>
        </w:rPr>
      </w:pPr>
      <w:r>
        <w:rPr>
          <w:rFonts w:hint="eastAsia" w:ascii="宋体" w:hAnsi="宋体"/>
          <w:color w:val="auto"/>
        </w:rPr>
        <w:t>18.  投标保证金</w:t>
      </w:r>
    </w:p>
    <w:p>
      <w:pPr>
        <w:pStyle w:val="84"/>
        <w:spacing w:line="500" w:lineRule="exact"/>
        <w:ind w:firstLine="480" w:firstLineChars="200"/>
        <w:jc w:val="both"/>
        <w:outlineLvl w:val="3"/>
        <w:rPr>
          <w:rFonts w:ascii="宋体" w:hAnsi="宋体"/>
          <w:b/>
          <w:color w:val="auto"/>
        </w:rPr>
      </w:pPr>
      <w:r>
        <w:rPr>
          <w:rFonts w:hint="eastAsia" w:ascii="宋体" w:hAnsi="宋体"/>
          <w:b/>
          <w:color w:val="auto"/>
        </w:rPr>
        <w:t>18.1  投标保证金金额为：详见投标须知</w:t>
      </w:r>
    </w:p>
    <w:p>
      <w:pPr>
        <w:pStyle w:val="84"/>
        <w:spacing w:line="500" w:lineRule="exact"/>
        <w:ind w:firstLine="480" w:firstLineChars="200"/>
        <w:jc w:val="both"/>
        <w:rPr>
          <w:rFonts w:ascii="宋体" w:hAnsi="宋体"/>
          <w:color w:val="auto"/>
        </w:rPr>
      </w:pPr>
      <w:r>
        <w:rPr>
          <w:rFonts w:hint="eastAsia" w:ascii="宋体" w:hAnsi="宋体"/>
          <w:color w:val="auto"/>
        </w:rPr>
        <w:t>18.2  投标保证金用于保护本次招标免受投标供应商的违规、违约行为而引起的风险。</w:t>
      </w:r>
    </w:p>
    <w:p>
      <w:pPr>
        <w:pStyle w:val="84"/>
        <w:spacing w:line="500" w:lineRule="exact"/>
        <w:ind w:firstLine="480" w:firstLineChars="200"/>
        <w:jc w:val="both"/>
        <w:rPr>
          <w:rFonts w:ascii="宋体" w:hAnsi="宋体"/>
          <w:color w:val="auto"/>
        </w:rPr>
      </w:pPr>
      <w:r>
        <w:rPr>
          <w:rFonts w:hint="eastAsia" w:ascii="宋体" w:hAnsi="宋体"/>
          <w:color w:val="auto"/>
        </w:rPr>
        <w:t>18.3  投标保证金用人民币，由投标供应商按《招标文件》中明确的银行账号，按18.1条要求的数额递交。</w:t>
      </w:r>
    </w:p>
    <w:p>
      <w:pPr>
        <w:pStyle w:val="84"/>
        <w:spacing w:line="500" w:lineRule="exact"/>
        <w:ind w:firstLine="480" w:firstLineChars="200"/>
        <w:jc w:val="both"/>
        <w:rPr>
          <w:rFonts w:ascii="宋体" w:hAnsi="宋体"/>
          <w:color w:val="auto"/>
        </w:rPr>
      </w:pPr>
      <w:r>
        <w:rPr>
          <w:rFonts w:hint="eastAsia" w:ascii="宋体" w:hAnsi="宋体"/>
          <w:color w:val="auto"/>
        </w:rPr>
        <w:t>18.4  投标保证金以网银或电汇形式提交。</w:t>
      </w:r>
    </w:p>
    <w:p>
      <w:pPr>
        <w:pStyle w:val="84"/>
        <w:spacing w:line="500" w:lineRule="exact"/>
        <w:ind w:firstLine="480" w:firstLineChars="200"/>
        <w:jc w:val="both"/>
        <w:rPr>
          <w:rFonts w:ascii="宋体" w:hAnsi="宋体"/>
          <w:color w:val="auto"/>
        </w:rPr>
      </w:pPr>
      <w:r>
        <w:rPr>
          <w:rFonts w:hint="eastAsia" w:ascii="宋体" w:hAnsi="宋体"/>
          <w:color w:val="auto"/>
        </w:rPr>
        <w:t>18.5  本次项目不接受联合体投标。</w:t>
      </w:r>
    </w:p>
    <w:p>
      <w:pPr>
        <w:pStyle w:val="84"/>
        <w:spacing w:line="500" w:lineRule="exact"/>
        <w:ind w:firstLine="480" w:firstLineChars="200"/>
        <w:jc w:val="both"/>
        <w:rPr>
          <w:rFonts w:ascii="宋体" w:hAnsi="宋体"/>
          <w:color w:val="auto"/>
        </w:rPr>
      </w:pPr>
      <w:r>
        <w:rPr>
          <w:rFonts w:hint="eastAsia" w:ascii="宋体" w:hAnsi="宋体"/>
          <w:color w:val="auto"/>
        </w:rPr>
        <w:t>18.6  未按时缴纳投标保证金的投标，将被拒绝。</w:t>
      </w:r>
    </w:p>
    <w:p>
      <w:pPr>
        <w:pStyle w:val="84"/>
        <w:spacing w:line="500" w:lineRule="exact"/>
        <w:ind w:firstLine="480" w:firstLineChars="200"/>
        <w:jc w:val="both"/>
        <w:rPr>
          <w:rFonts w:ascii="宋体" w:hAnsi="宋体"/>
          <w:color w:val="auto"/>
        </w:rPr>
      </w:pPr>
      <w:r>
        <w:rPr>
          <w:rFonts w:hint="eastAsia" w:ascii="宋体" w:hAnsi="宋体"/>
          <w:color w:val="auto"/>
        </w:rPr>
        <w:t>18.7  采购人或者采购代理机构应当自中标通知书发出之日起5个工作日内退还未中标人的投标保证金，自采购合同签订之日起5个工作日内退还中标人的投标保证金或者转为中标人的履约保证金。</w:t>
      </w:r>
    </w:p>
    <w:p>
      <w:pPr>
        <w:pStyle w:val="84"/>
        <w:spacing w:line="500" w:lineRule="exact"/>
        <w:ind w:firstLine="480" w:firstLineChars="200"/>
        <w:jc w:val="both"/>
        <w:outlineLvl w:val="3"/>
        <w:rPr>
          <w:rFonts w:ascii="宋体" w:hAnsi="宋体"/>
          <w:color w:val="auto"/>
        </w:rPr>
      </w:pPr>
      <w:r>
        <w:rPr>
          <w:rFonts w:hint="eastAsia" w:ascii="宋体" w:hAnsi="宋体"/>
          <w:color w:val="auto"/>
        </w:rPr>
        <w:t>18.8  发生以下情况投标保证金可能被没收：</w:t>
      </w:r>
    </w:p>
    <w:p>
      <w:pPr>
        <w:pStyle w:val="84"/>
        <w:spacing w:line="500" w:lineRule="exact"/>
        <w:ind w:firstLine="480" w:firstLineChars="200"/>
        <w:jc w:val="both"/>
        <w:outlineLvl w:val="4"/>
        <w:rPr>
          <w:rFonts w:ascii="宋体" w:hAnsi="宋体"/>
          <w:color w:val="auto"/>
        </w:rPr>
      </w:pPr>
      <w:r>
        <w:rPr>
          <w:rFonts w:hint="eastAsia" w:ascii="宋体" w:hAnsi="宋体"/>
          <w:color w:val="auto"/>
        </w:rPr>
        <w:t>18.8.1  如果投标供应商在投标有效期内撤回投标；</w:t>
      </w:r>
    </w:p>
    <w:p>
      <w:pPr>
        <w:pStyle w:val="84"/>
        <w:spacing w:line="500" w:lineRule="exact"/>
        <w:ind w:firstLine="480" w:firstLineChars="200"/>
        <w:jc w:val="both"/>
        <w:rPr>
          <w:rFonts w:ascii="宋体" w:hAnsi="宋体"/>
          <w:color w:val="auto"/>
        </w:rPr>
      </w:pPr>
      <w:r>
        <w:rPr>
          <w:rFonts w:hint="eastAsia" w:ascii="宋体" w:hAnsi="宋体"/>
          <w:color w:val="auto"/>
        </w:rPr>
        <w:t>18.8.2  如果中标供应商放弃中标项目的，无正当理由不与采购人签订合同的，在签订合同时向采购人提出附加条件或者更改合同实质性内容的，或者拒不提交所要求的履约保证金的。</w:t>
      </w:r>
    </w:p>
    <w:p>
      <w:pPr>
        <w:pStyle w:val="84"/>
        <w:spacing w:line="500" w:lineRule="exact"/>
        <w:jc w:val="center"/>
        <w:outlineLvl w:val="1"/>
        <w:rPr>
          <w:rFonts w:ascii="宋体" w:hAnsi="宋体"/>
          <w:color w:val="auto"/>
        </w:rPr>
      </w:pPr>
      <w:bookmarkStart w:id="6" w:name="_Toc4643"/>
      <w:r>
        <w:rPr>
          <w:rFonts w:hint="eastAsia" w:ascii="宋体" w:hAnsi="宋体"/>
          <w:color w:val="auto"/>
        </w:rPr>
        <w:t>四、投标文件的递交</w:t>
      </w:r>
      <w:bookmarkEnd w:id="6"/>
    </w:p>
    <w:p>
      <w:pPr>
        <w:pStyle w:val="84"/>
        <w:spacing w:line="500" w:lineRule="exact"/>
        <w:ind w:firstLine="480" w:firstLineChars="200"/>
        <w:jc w:val="both"/>
        <w:outlineLvl w:val="2"/>
        <w:rPr>
          <w:rFonts w:ascii="宋体" w:hAnsi="宋体"/>
          <w:color w:val="auto"/>
        </w:rPr>
      </w:pPr>
      <w:r>
        <w:rPr>
          <w:rFonts w:hint="eastAsia" w:ascii="宋体" w:hAnsi="宋体"/>
          <w:color w:val="auto"/>
        </w:rPr>
        <w:t>19.  投标文件的密封与标记</w:t>
      </w:r>
    </w:p>
    <w:p>
      <w:pPr>
        <w:pStyle w:val="84"/>
        <w:spacing w:line="500" w:lineRule="exact"/>
        <w:ind w:firstLine="480" w:firstLineChars="200"/>
        <w:jc w:val="both"/>
        <w:rPr>
          <w:rFonts w:ascii="宋体" w:hAnsi="宋体"/>
          <w:color w:val="auto"/>
        </w:rPr>
      </w:pPr>
      <w:r>
        <w:rPr>
          <w:rFonts w:hint="eastAsia" w:ascii="宋体" w:hAnsi="宋体"/>
          <w:color w:val="auto"/>
        </w:rPr>
        <w:t>19.1  投标供应商应将投标文件正本和副本分别装入信封内加以密封，分别在信封上标“正本”或“副本”，并在密封处压口加盖公章（或合同专用章），当正本和副本、电子版不一致时，以正本为准。</w:t>
      </w:r>
    </w:p>
    <w:p>
      <w:pPr>
        <w:pStyle w:val="84"/>
        <w:spacing w:line="500" w:lineRule="exact"/>
        <w:ind w:firstLine="567"/>
        <w:jc w:val="both"/>
        <w:rPr>
          <w:rFonts w:ascii="宋体" w:hAnsi="宋体"/>
          <w:color w:val="auto"/>
        </w:rPr>
      </w:pPr>
      <w:r>
        <w:rPr>
          <w:rFonts w:hint="eastAsia" w:ascii="宋体" w:hAnsi="宋体"/>
          <w:color w:val="auto"/>
        </w:rPr>
        <w:t>19.2  投标供应商还应将填好的</w:t>
      </w:r>
      <w:r>
        <w:rPr>
          <w:rFonts w:hint="eastAsia" w:ascii="宋体" w:hAnsi="宋体"/>
          <w:b/>
          <w:color w:val="auto"/>
        </w:rPr>
        <w:t>开标一览表</w:t>
      </w:r>
      <w:r>
        <w:rPr>
          <w:rFonts w:hint="eastAsia" w:ascii="宋体" w:hAnsi="宋体"/>
          <w:color w:val="auto"/>
        </w:rPr>
        <w:t>单独装入信封内加以密封，在密封处压口加盖公章（或合同专用章），并在信封上注明“开标一览表”字样，作为投标文件的一部分。</w:t>
      </w:r>
    </w:p>
    <w:p>
      <w:pPr>
        <w:pStyle w:val="84"/>
        <w:spacing w:line="500" w:lineRule="exact"/>
        <w:ind w:firstLine="567"/>
        <w:jc w:val="both"/>
        <w:rPr>
          <w:rFonts w:ascii="宋体" w:hAnsi="宋体"/>
          <w:color w:val="auto"/>
        </w:rPr>
      </w:pPr>
      <w:r>
        <w:rPr>
          <w:rFonts w:hint="eastAsia" w:ascii="宋体" w:hAnsi="宋体"/>
          <w:color w:val="auto"/>
        </w:rPr>
        <w:t>19.3  投标供应商还应将</w:t>
      </w:r>
      <w:r>
        <w:rPr>
          <w:rFonts w:hint="eastAsia" w:ascii="宋体" w:hAnsi="宋体"/>
          <w:b/>
          <w:bCs/>
          <w:color w:val="auto"/>
        </w:rPr>
        <w:t>电子版投标文件</w:t>
      </w:r>
      <w:r>
        <w:rPr>
          <w:rFonts w:hint="eastAsia" w:ascii="宋体" w:hAnsi="宋体"/>
          <w:color w:val="auto"/>
        </w:rPr>
        <w:t>单独装入信封内加以密封，在密封处压口加盖公章（或合同专用章），并在信封上注明“</w:t>
      </w:r>
      <w:r>
        <w:rPr>
          <w:rFonts w:hint="eastAsia" w:ascii="宋体" w:hAnsi="宋体"/>
          <w:b/>
          <w:bCs/>
          <w:color w:val="auto"/>
        </w:rPr>
        <w:t>电子版投标文件</w:t>
      </w:r>
      <w:r>
        <w:rPr>
          <w:rFonts w:hint="eastAsia" w:ascii="宋体" w:hAnsi="宋体"/>
          <w:color w:val="auto"/>
        </w:rPr>
        <w:t>”字样，作为投标文件的一部分。</w:t>
      </w:r>
    </w:p>
    <w:p>
      <w:pPr>
        <w:pStyle w:val="84"/>
        <w:spacing w:line="500" w:lineRule="exact"/>
        <w:ind w:firstLine="480" w:firstLineChars="200"/>
        <w:jc w:val="both"/>
        <w:outlineLvl w:val="3"/>
        <w:rPr>
          <w:rFonts w:ascii="宋体" w:hAnsi="宋体"/>
          <w:color w:val="auto"/>
        </w:rPr>
      </w:pPr>
      <w:r>
        <w:rPr>
          <w:rFonts w:hint="eastAsia" w:ascii="宋体" w:hAnsi="宋体"/>
          <w:color w:val="auto"/>
        </w:rPr>
        <w:t>19.4  所有投标文件信封上均应贴上封条,封条上应写明：</w:t>
      </w:r>
    </w:p>
    <w:p>
      <w:pPr>
        <w:pStyle w:val="84"/>
        <w:spacing w:line="500" w:lineRule="exact"/>
        <w:ind w:firstLine="567"/>
        <w:jc w:val="both"/>
        <w:rPr>
          <w:rFonts w:ascii="宋体" w:hAnsi="宋体"/>
          <w:color w:val="auto"/>
          <w:u w:val="single"/>
        </w:rPr>
      </w:pPr>
      <w:r>
        <w:rPr>
          <w:rFonts w:hint="eastAsia" w:ascii="宋体" w:hAnsi="宋体"/>
          <w:color w:val="auto"/>
        </w:rPr>
        <w:t>⑴ 招标单位：</w:t>
      </w:r>
    </w:p>
    <w:p>
      <w:pPr>
        <w:pStyle w:val="84"/>
        <w:spacing w:line="500" w:lineRule="exact"/>
        <w:ind w:firstLine="560"/>
        <w:jc w:val="both"/>
        <w:rPr>
          <w:rFonts w:ascii="宋体" w:hAnsi="宋体"/>
          <w:color w:val="auto"/>
          <w:w w:val="80"/>
          <w:u w:val="single"/>
        </w:rPr>
      </w:pPr>
      <w:r>
        <w:rPr>
          <w:rFonts w:hint="eastAsia" w:ascii="宋体" w:hAnsi="宋体"/>
          <w:color w:val="auto"/>
        </w:rPr>
        <w:t>⑵ 项目名称：</w:t>
      </w:r>
    </w:p>
    <w:p>
      <w:pPr>
        <w:pStyle w:val="84"/>
        <w:spacing w:line="500" w:lineRule="exact"/>
        <w:ind w:firstLine="560"/>
        <w:jc w:val="both"/>
        <w:rPr>
          <w:rFonts w:ascii="宋体" w:hAnsi="宋体"/>
          <w:color w:val="auto"/>
        </w:rPr>
      </w:pPr>
      <w:r>
        <w:rPr>
          <w:rFonts w:hint="eastAsia" w:ascii="宋体" w:hAnsi="宋体"/>
          <w:color w:val="auto"/>
        </w:rPr>
        <w:t xml:space="preserve">⑶ 招标编号： </w:t>
      </w:r>
    </w:p>
    <w:p>
      <w:pPr>
        <w:pStyle w:val="84"/>
        <w:spacing w:line="500" w:lineRule="exact"/>
        <w:ind w:firstLine="567"/>
        <w:jc w:val="both"/>
        <w:rPr>
          <w:rFonts w:ascii="宋体" w:hAnsi="宋体"/>
          <w:color w:val="auto"/>
        </w:rPr>
      </w:pPr>
      <w:r>
        <w:rPr>
          <w:rFonts w:hint="eastAsia" w:ascii="宋体" w:hAnsi="宋体"/>
          <w:color w:val="auto"/>
          <w:kern w:val="2"/>
        </w:rPr>
        <w:t xml:space="preserve">⑷ </w:t>
      </w:r>
      <w:r>
        <w:rPr>
          <w:rFonts w:hint="eastAsia" w:ascii="宋体" w:hAnsi="宋体"/>
          <w:color w:val="auto"/>
        </w:rPr>
        <w:t>投标企业名称和地址。</w:t>
      </w:r>
    </w:p>
    <w:p>
      <w:pPr>
        <w:pStyle w:val="84"/>
        <w:spacing w:line="500" w:lineRule="exact"/>
        <w:ind w:firstLine="567"/>
        <w:jc w:val="both"/>
        <w:rPr>
          <w:rFonts w:ascii="宋体" w:hAnsi="宋体"/>
          <w:color w:val="auto"/>
        </w:rPr>
      </w:pPr>
      <w:r>
        <w:rPr>
          <w:rFonts w:hint="eastAsia" w:ascii="宋体" w:hAnsi="宋体"/>
          <w:color w:val="auto"/>
        </w:rPr>
        <w:t>⑸ 注明“开标前不准启封”，“正本”、“副本”、“开标一览表”、“电子版投标文件”字样。</w:t>
      </w:r>
    </w:p>
    <w:p>
      <w:pPr>
        <w:pStyle w:val="84"/>
        <w:spacing w:line="500" w:lineRule="exact"/>
        <w:ind w:firstLine="567"/>
        <w:jc w:val="both"/>
        <w:rPr>
          <w:rFonts w:ascii="宋体" w:hAnsi="宋体"/>
          <w:color w:val="auto"/>
        </w:rPr>
      </w:pPr>
      <w:r>
        <w:rPr>
          <w:rFonts w:hint="eastAsia" w:ascii="宋体" w:hAnsi="宋体"/>
          <w:color w:val="auto"/>
        </w:rPr>
        <w:t>19.4  未按本须知要求密封、标记和投递的投标文件，招标代理机构不对其后果负责。</w:t>
      </w:r>
    </w:p>
    <w:p>
      <w:pPr>
        <w:pStyle w:val="84"/>
        <w:spacing w:line="500" w:lineRule="exact"/>
        <w:ind w:firstLine="480" w:firstLineChars="200"/>
        <w:jc w:val="both"/>
        <w:outlineLvl w:val="2"/>
        <w:rPr>
          <w:rFonts w:ascii="宋体" w:hAnsi="宋体"/>
          <w:color w:val="auto"/>
        </w:rPr>
      </w:pPr>
      <w:r>
        <w:rPr>
          <w:rFonts w:hint="eastAsia" w:ascii="宋体" w:hAnsi="宋体"/>
          <w:color w:val="auto"/>
        </w:rPr>
        <w:t>20.  投标文件递交的截止日期</w:t>
      </w:r>
    </w:p>
    <w:p>
      <w:pPr>
        <w:pStyle w:val="84"/>
        <w:spacing w:line="500" w:lineRule="exact"/>
        <w:ind w:firstLine="480" w:firstLineChars="200"/>
        <w:rPr>
          <w:rFonts w:ascii="宋体" w:hAnsi="宋体"/>
          <w:color w:val="auto"/>
          <w:u w:val="single"/>
        </w:rPr>
      </w:pPr>
      <w:r>
        <w:rPr>
          <w:rFonts w:hint="eastAsia" w:ascii="宋体" w:hAnsi="宋体"/>
          <w:color w:val="auto"/>
        </w:rPr>
        <w:t>20.1</w:t>
      </w:r>
      <w:r>
        <w:rPr>
          <w:rFonts w:hint="eastAsia" w:ascii="宋体" w:hAnsi="宋体"/>
          <w:b/>
          <w:color w:val="auto"/>
        </w:rPr>
        <w:t xml:space="preserve">  投标供应商必须在2022年月日11:00时（北京时间）前将投标文件送达到开标地点</w:t>
      </w:r>
      <w:r>
        <w:rPr>
          <w:rFonts w:hint="eastAsia" w:ascii="宋体" w:hAnsi="宋体"/>
          <w:color w:val="auto"/>
        </w:rPr>
        <w:t>。</w:t>
      </w:r>
    </w:p>
    <w:p>
      <w:pPr>
        <w:pStyle w:val="84"/>
        <w:spacing w:line="500" w:lineRule="exact"/>
        <w:ind w:firstLine="480" w:firstLineChars="200"/>
        <w:jc w:val="both"/>
        <w:rPr>
          <w:rFonts w:ascii="宋体" w:hAnsi="宋体"/>
          <w:color w:val="auto"/>
        </w:rPr>
      </w:pPr>
      <w:r>
        <w:rPr>
          <w:rFonts w:hint="eastAsia" w:ascii="宋体" w:hAnsi="宋体"/>
          <w:color w:val="auto"/>
        </w:rPr>
        <w:t>20.2  超过招标文件规定的投标截止时间送达的投标文件将不予接受。</w:t>
      </w:r>
    </w:p>
    <w:p>
      <w:pPr>
        <w:pStyle w:val="84"/>
        <w:spacing w:line="500" w:lineRule="exact"/>
        <w:ind w:firstLine="480" w:firstLineChars="200"/>
        <w:jc w:val="both"/>
        <w:outlineLvl w:val="2"/>
        <w:rPr>
          <w:rFonts w:ascii="宋体" w:hAnsi="宋体"/>
          <w:color w:val="auto"/>
        </w:rPr>
      </w:pPr>
      <w:r>
        <w:rPr>
          <w:rFonts w:hint="eastAsia" w:ascii="宋体" w:hAnsi="宋体"/>
          <w:color w:val="auto"/>
        </w:rPr>
        <w:t>21.  投标文件的修改和撤销</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21.1  投标供应商对其投标文件进行的修改或撤销应以书面形式并在招标文件规定的投标截止时间前送达招标代理机构。</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21.2  投标供应商对投标文件的修改或撤销应按第18和19条规定进行准备、密封、标注和递交。</w:t>
      </w:r>
    </w:p>
    <w:p>
      <w:pPr>
        <w:pStyle w:val="159"/>
        <w:spacing w:line="500" w:lineRule="exact"/>
        <w:ind w:firstLine="480" w:firstLineChars="200"/>
        <w:jc w:val="both"/>
        <w:outlineLvl w:val="3"/>
        <w:rPr>
          <w:rFonts w:ascii="宋体" w:hAnsi="宋体"/>
          <w:color w:val="auto"/>
          <w:sz w:val="24"/>
        </w:rPr>
      </w:pPr>
      <w:r>
        <w:rPr>
          <w:rFonts w:hint="eastAsia" w:ascii="宋体" w:hAnsi="宋体"/>
          <w:color w:val="auto"/>
          <w:sz w:val="24"/>
        </w:rPr>
        <w:t>21.3  投标截止时间后不得修改投标文件。</w:t>
      </w:r>
    </w:p>
    <w:p>
      <w:pPr>
        <w:pStyle w:val="159"/>
        <w:spacing w:line="500" w:lineRule="exact"/>
        <w:ind w:firstLine="480" w:firstLineChars="200"/>
        <w:jc w:val="both"/>
        <w:rPr>
          <w:rFonts w:ascii="宋体" w:hAnsi="宋体"/>
          <w:color w:val="auto"/>
          <w:sz w:val="24"/>
        </w:rPr>
      </w:pPr>
      <w:r>
        <w:rPr>
          <w:rFonts w:hint="eastAsia" w:ascii="宋体" w:hAnsi="宋体"/>
          <w:color w:val="auto"/>
          <w:sz w:val="24"/>
        </w:rPr>
        <w:t>21.4  投标供应商不得在投标截止时间起至投标文件有效期满前撤销投标文件，否则其投标保证金将不予退还。</w:t>
      </w:r>
    </w:p>
    <w:p>
      <w:pPr>
        <w:pStyle w:val="84"/>
        <w:spacing w:line="500" w:lineRule="exact"/>
        <w:jc w:val="center"/>
        <w:outlineLvl w:val="1"/>
        <w:rPr>
          <w:rFonts w:ascii="宋体" w:hAnsi="宋体"/>
          <w:color w:val="auto"/>
        </w:rPr>
      </w:pPr>
      <w:bookmarkStart w:id="7" w:name="_Toc8270"/>
      <w:r>
        <w:rPr>
          <w:rFonts w:hint="eastAsia" w:ascii="宋体" w:hAnsi="宋体"/>
          <w:color w:val="auto"/>
        </w:rPr>
        <w:t>五、开标</w:t>
      </w:r>
      <w:bookmarkEnd w:id="7"/>
    </w:p>
    <w:p>
      <w:pPr>
        <w:pStyle w:val="84"/>
        <w:spacing w:line="500" w:lineRule="exact"/>
        <w:ind w:firstLine="567"/>
        <w:jc w:val="both"/>
        <w:outlineLvl w:val="2"/>
        <w:rPr>
          <w:rFonts w:ascii="宋体" w:hAnsi="宋体"/>
          <w:color w:val="auto"/>
        </w:rPr>
      </w:pPr>
      <w:r>
        <w:rPr>
          <w:rFonts w:hint="eastAsia" w:ascii="宋体" w:hAnsi="宋体"/>
          <w:color w:val="auto"/>
        </w:rPr>
        <w:t>22.  开标</w:t>
      </w:r>
    </w:p>
    <w:p>
      <w:pPr>
        <w:spacing w:line="500" w:lineRule="exact"/>
        <w:ind w:left="1" w:firstLine="480" w:firstLineChars="200"/>
        <w:rPr>
          <w:rFonts w:ascii="宋体" w:hAnsi="宋体"/>
          <w:sz w:val="24"/>
          <w:szCs w:val="24"/>
        </w:rPr>
      </w:pPr>
      <w:r>
        <w:rPr>
          <w:rFonts w:hint="eastAsia" w:ascii="宋体" w:hAnsi="宋体"/>
          <w:sz w:val="24"/>
          <w:szCs w:val="24"/>
        </w:rPr>
        <w:t xml:space="preserve">22.1  </w:t>
      </w:r>
      <w:r>
        <w:rPr>
          <w:rFonts w:ascii="宋体" w:hAnsi="宋体"/>
          <w:sz w:val="24"/>
          <w:szCs w:val="24"/>
        </w:rPr>
        <w:t>开标应当在招标文件确定的提交投标文件截止时间的同一时间公开进行</w:t>
      </w:r>
      <w:r>
        <w:rPr>
          <w:rFonts w:hint="eastAsia" w:ascii="宋体" w:hAnsi="宋体"/>
          <w:sz w:val="24"/>
          <w:szCs w:val="24"/>
        </w:rPr>
        <w:t>，</w:t>
      </w:r>
      <w:r>
        <w:rPr>
          <w:rFonts w:ascii="宋体" w:hAnsi="宋体"/>
          <w:sz w:val="24"/>
          <w:szCs w:val="24"/>
        </w:rPr>
        <w:t>开标地点应当为招标文件中预先确定的地点。</w:t>
      </w:r>
    </w:p>
    <w:p>
      <w:pPr>
        <w:spacing w:line="500" w:lineRule="exact"/>
        <w:ind w:left="1" w:firstLine="480" w:firstLineChars="200"/>
        <w:rPr>
          <w:rFonts w:ascii="宋体" w:hAnsi="宋体"/>
          <w:sz w:val="24"/>
          <w:szCs w:val="24"/>
        </w:rPr>
      </w:pPr>
      <w:r>
        <w:rPr>
          <w:rFonts w:hint="eastAsia" w:ascii="宋体" w:hAnsi="宋体"/>
          <w:sz w:val="24"/>
          <w:szCs w:val="24"/>
        </w:rPr>
        <w:t>22.2  代理机构</w:t>
      </w:r>
      <w:r>
        <w:rPr>
          <w:rFonts w:ascii="宋体" w:hAnsi="宋体"/>
          <w:sz w:val="24"/>
          <w:szCs w:val="24"/>
        </w:rPr>
        <w:t>主持，采购人、投标供应商和有关方面代表参加。</w:t>
      </w:r>
    </w:p>
    <w:p>
      <w:pPr>
        <w:widowControl/>
        <w:spacing w:line="440" w:lineRule="exact"/>
        <w:ind w:firstLine="480" w:firstLineChars="200"/>
        <w:jc w:val="left"/>
        <w:rPr>
          <w:rFonts w:ascii="宋体" w:hAnsi="宋体"/>
          <w:sz w:val="24"/>
          <w:szCs w:val="24"/>
        </w:rPr>
      </w:pPr>
      <w:r>
        <w:rPr>
          <w:rFonts w:hint="eastAsia" w:ascii="宋体" w:hAnsi="宋体"/>
          <w:sz w:val="24"/>
          <w:szCs w:val="24"/>
        </w:rPr>
        <w:t>22.3  开标时，应当由投标供应商或者其推选的代表检查投标文件的密封情况，也可以由采购人委托的公证机构检查并公证；经确认无误后，由招标工作人员当众拆封，宣读投标供应商名称、投标价格、价格折扣和投标文件的其他主要内容。</w:t>
      </w:r>
    </w:p>
    <w:p>
      <w:pPr>
        <w:spacing w:line="500" w:lineRule="exact"/>
        <w:ind w:left="1" w:firstLine="480" w:firstLineChars="200"/>
        <w:rPr>
          <w:rFonts w:ascii="宋体" w:hAnsi="宋体"/>
          <w:sz w:val="24"/>
          <w:szCs w:val="24"/>
        </w:rPr>
      </w:pPr>
      <w:r>
        <w:rPr>
          <w:rFonts w:hint="eastAsia" w:ascii="宋体" w:hAnsi="宋体"/>
          <w:sz w:val="24"/>
          <w:szCs w:val="24"/>
        </w:rPr>
        <w:t>22.4</w:t>
      </w:r>
      <w:r>
        <w:rPr>
          <w:rFonts w:ascii="宋体" w:hAnsi="宋体"/>
          <w:sz w:val="24"/>
          <w:szCs w:val="24"/>
        </w:rPr>
        <w:t>未宣读的投标价格、价格折扣和</w:t>
      </w:r>
      <w:r>
        <w:rPr>
          <w:rFonts w:hint="eastAsia" w:ascii="宋体" w:hAnsi="宋体"/>
          <w:sz w:val="24"/>
          <w:szCs w:val="24"/>
        </w:rPr>
        <w:t>投标文件的其他主要</w:t>
      </w:r>
      <w:r>
        <w:rPr>
          <w:rFonts w:ascii="宋体" w:hAnsi="宋体"/>
          <w:sz w:val="24"/>
          <w:szCs w:val="24"/>
        </w:rPr>
        <w:t>内容，评标时不予承认。</w:t>
      </w:r>
    </w:p>
    <w:p>
      <w:pPr>
        <w:spacing w:line="500" w:lineRule="exact"/>
        <w:ind w:firstLine="480" w:firstLineChars="200"/>
        <w:rPr>
          <w:rFonts w:ascii="宋体" w:hAnsi="宋体"/>
          <w:sz w:val="24"/>
          <w:szCs w:val="24"/>
        </w:rPr>
      </w:pPr>
      <w:r>
        <w:rPr>
          <w:rFonts w:hint="eastAsia" w:ascii="宋体" w:hAnsi="宋体"/>
          <w:sz w:val="24"/>
          <w:szCs w:val="24"/>
        </w:rPr>
        <w:t>22.5  开标时，投标文件中开标一览表</w:t>
      </w:r>
      <w:r>
        <w:rPr>
          <w:rFonts w:ascii="宋体" w:hAnsi="宋体"/>
          <w:sz w:val="24"/>
          <w:szCs w:val="24"/>
        </w:rPr>
        <w:t>(报价表)内容与投标文件中明细表内容不一致的，以开标一览表(报价表)为准。</w:t>
      </w:r>
      <w:r>
        <w:rPr>
          <w:rFonts w:hint="eastAsia" w:ascii="宋体" w:hAnsi="宋体"/>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84"/>
        <w:spacing w:line="500" w:lineRule="exact"/>
        <w:ind w:firstLine="560"/>
        <w:jc w:val="both"/>
        <w:rPr>
          <w:rFonts w:ascii="宋体" w:hAnsi="宋体"/>
          <w:color w:val="auto"/>
        </w:rPr>
      </w:pPr>
      <w:r>
        <w:rPr>
          <w:rFonts w:hint="eastAsia" w:ascii="宋体" w:hAnsi="宋体"/>
          <w:color w:val="auto"/>
        </w:rPr>
        <w:t>22.6 对未按照本招标文件要求进行投标及资格审查不合格的投标供应商，其投标文件将被视为无效投标文件。</w:t>
      </w:r>
    </w:p>
    <w:p>
      <w:pPr>
        <w:spacing w:line="500" w:lineRule="exact"/>
        <w:ind w:firstLine="570"/>
        <w:rPr>
          <w:rFonts w:ascii="宋体" w:hAnsi="宋体"/>
          <w:sz w:val="24"/>
          <w:szCs w:val="24"/>
        </w:rPr>
      </w:pPr>
      <w:r>
        <w:rPr>
          <w:rFonts w:hint="eastAsia" w:ascii="宋体" w:hAnsi="宋体"/>
          <w:sz w:val="24"/>
          <w:szCs w:val="24"/>
        </w:rPr>
        <w:t>22.7 投标供应商之间不得相互串通投标报价，不得妨碍其他投标供应商的公平竞争，不得损害招标采购单位或者其他投标供应商的合法权益。</w:t>
      </w:r>
    </w:p>
    <w:p>
      <w:pPr>
        <w:spacing w:line="500" w:lineRule="exact"/>
        <w:rPr>
          <w:rFonts w:ascii="宋体" w:hAnsi="宋体"/>
          <w:sz w:val="24"/>
          <w:szCs w:val="24"/>
        </w:rPr>
      </w:pPr>
      <w:r>
        <w:rPr>
          <w:rFonts w:ascii="宋体" w:hAnsi="宋体"/>
          <w:sz w:val="24"/>
          <w:szCs w:val="24"/>
        </w:rPr>
        <w:tab/>
      </w:r>
      <w:r>
        <w:rPr>
          <w:rFonts w:hint="eastAsia" w:ascii="宋体" w:hAnsi="宋体"/>
          <w:sz w:val="24"/>
          <w:szCs w:val="24"/>
        </w:rPr>
        <w:t>22.8 投标供应商不得以向招标采购单位、评标委员会成员行贿或者采取其他不正当手段谋取中标。</w:t>
      </w:r>
    </w:p>
    <w:p>
      <w:pPr>
        <w:spacing w:line="500" w:lineRule="exact"/>
        <w:rPr>
          <w:rFonts w:ascii="宋体" w:hAnsi="宋体"/>
          <w:sz w:val="24"/>
          <w:szCs w:val="24"/>
        </w:rPr>
      </w:pPr>
    </w:p>
    <w:p>
      <w:pPr>
        <w:pStyle w:val="41"/>
      </w:pPr>
    </w:p>
    <w:p>
      <w:pPr>
        <w:pStyle w:val="84"/>
        <w:spacing w:line="500" w:lineRule="exact"/>
        <w:jc w:val="center"/>
        <w:outlineLvl w:val="1"/>
        <w:rPr>
          <w:rFonts w:ascii="宋体" w:hAnsi="宋体"/>
          <w:color w:val="auto"/>
        </w:rPr>
      </w:pPr>
      <w:bookmarkStart w:id="8" w:name="_Toc15882"/>
      <w:r>
        <w:rPr>
          <w:rFonts w:hint="eastAsia" w:ascii="宋体" w:hAnsi="宋体"/>
          <w:color w:val="auto"/>
        </w:rPr>
        <w:t>六、评标、定标</w:t>
      </w:r>
      <w:bookmarkEnd w:id="8"/>
    </w:p>
    <w:p>
      <w:pPr>
        <w:pStyle w:val="84"/>
        <w:spacing w:line="500" w:lineRule="exact"/>
        <w:ind w:left="567"/>
        <w:jc w:val="both"/>
        <w:outlineLvl w:val="2"/>
        <w:rPr>
          <w:rFonts w:ascii="宋体" w:hAnsi="宋体"/>
          <w:color w:val="auto"/>
        </w:rPr>
      </w:pPr>
      <w:bookmarkStart w:id="9" w:name="OLE_LINK1"/>
      <w:r>
        <w:rPr>
          <w:rFonts w:hint="eastAsia" w:ascii="宋体" w:hAnsi="宋体"/>
          <w:color w:val="auto"/>
        </w:rPr>
        <w:t>23.  评标</w:t>
      </w:r>
    </w:p>
    <w:p>
      <w:pPr>
        <w:spacing w:line="500" w:lineRule="exact"/>
        <w:ind w:firstLine="480" w:firstLineChars="200"/>
        <w:outlineLvl w:val="3"/>
        <w:rPr>
          <w:rFonts w:ascii="宋体" w:hAnsi="宋体"/>
          <w:sz w:val="24"/>
          <w:szCs w:val="24"/>
        </w:rPr>
      </w:pPr>
      <w:r>
        <w:rPr>
          <w:rFonts w:hint="eastAsia" w:ascii="宋体" w:hAnsi="宋体"/>
          <w:sz w:val="24"/>
          <w:szCs w:val="24"/>
        </w:rPr>
        <w:t>23.1  评标委员会</w:t>
      </w:r>
    </w:p>
    <w:p>
      <w:pPr>
        <w:spacing w:line="500" w:lineRule="exact"/>
        <w:ind w:firstLine="561"/>
        <w:rPr>
          <w:rFonts w:ascii="宋体" w:hAnsi="宋体"/>
          <w:sz w:val="24"/>
          <w:szCs w:val="24"/>
        </w:rPr>
      </w:pPr>
      <w:r>
        <w:rPr>
          <w:rFonts w:hint="eastAsia" w:ascii="宋体" w:hAnsi="宋体"/>
          <w:sz w:val="24"/>
          <w:szCs w:val="24"/>
        </w:rPr>
        <w:t>23.1.1 评标委员会由采购人代表和有关技术、经济等方面的专家组成，成员人数应当为七人。</w:t>
      </w:r>
    </w:p>
    <w:p>
      <w:pPr>
        <w:spacing w:line="500" w:lineRule="exact"/>
        <w:ind w:firstLine="480" w:firstLineChars="200"/>
        <w:rPr>
          <w:rFonts w:ascii="宋体" w:hAnsi="宋体"/>
          <w:sz w:val="24"/>
          <w:szCs w:val="24"/>
        </w:rPr>
      </w:pPr>
      <w:r>
        <w:rPr>
          <w:rFonts w:hint="eastAsia" w:ascii="宋体" w:hAnsi="宋体"/>
          <w:sz w:val="24"/>
          <w:szCs w:val="24"/>
        </w:rPr>
        <w:t>23.1.2 采购代理机构工作人员不得参加由本机构代理的政府采购项目的评标。</w:t>
      </w:r>
    </w:p>
    <w:p>
      <w:pPr>
        <w:pStyle w:val="84"/>
        <w:spacing w:line="500" w:lineRule="exact"/>
        <w:ind w:firstLine="480" w:firstLineChars="200"/>
        <w:jc w:val="both"/>
        <w:rPr>
          <w:rFonts w:ascii="宋体" w:hAnsi="宋体"/>
          <w:color w:val="auto"/>
        </w:rPr>
      </w:pPr>
      <w:r>
        <w:rPr>
          <w:rFonts w:hint="eastAsia" w:ascii="宋体" w:hAnsi="宋体"/>
          <w:color w:val="auto"/>
        </w:rPr>
        <w:t>23.1.3  评标人员应认真执行《中华人民共和国政府采购法》及相关法规规定，同时维护采购人和投标供应商的合法权益</w:t>
      </w:r>
    </w:p>
    <w:p>
      <w:pPr>
        <w:spacing w:line="500" w:lineRule="exact"/>
        <w:ind w:firstLine="480" w:firstLineChars="200"/>
        <w:outlineLvl w:val="4"/>
        <w:rPr>
          <w:rFonts w:ascii="宋体" w:hAnsi="宋体"/>
          <w:sz w:val="24"/>
          <w:szCs w:val="24"/>
        </w:rPr>
      </w:pPr>
      <w:r>
        <w:rPr>
          <w:rFonts w:hint="eastAsia" w:ascii="宋体" w:hAnsi="宋体"/>
          <w:sz w:val="24"/>
          <w:szCs w:val="24"/>
        </w:rPr>
        <w:t>23.1.4  评标的依据为招标文件和投标文件</w:t>
      </w:r>
    </w:p>
    <w:p>
      <w:pPr>
        <w:spacing w:line="500" w:lineRule="exact"/>
        <w:ind w:firstLine="480" w:firstLineChars="200"/>
        <w:rPr>
          <w:rFonts w:ascii="宋体" w:hAnsi="宋体"/>
          <w:sz w:val="24"/>
          <w:szCs w:val="24"/>
        </w:rPr>
      </w:pPr>
      <w:r>
        <w:rPr>
          <w:rFonts w:hint="eastAsia" w:ascii="宋体" w:hAnsi="宋体"/>
          <w:sz w:val="24"/>
          <w:szCs w:val="24"/>
        </w:rPr>
        <w:t>23.1.5  评标中各评委若发生意见分歧，通过书面表决形式，以少数服从多数为原则决定。</w:t>
      </w:r>
    </w:p>
    <w:p>
      <w:pPr>
        <w:pStyle w:val="84"/>
        <w:spacing w:line="500" w:lineRule="exact"/>
        <w:ind w:firstLine="567"/>
        <w:jc w:val="both"/>
        <w:outlineLvl w:val="3"/>
        <w:rPr>
          <w:rFonts w:ascii="宋体" w:hAnsi="宋体"/>
          <w:color w:val="auto"/>
        </w:rPr>
      </w:pPr>
      <w:r>
        <w:rPr>
          <w:rFonts w:hint="eastAsia" w:ascii="宋体" w:hAnsi="宋体"/>
          <w:color w:val="auto"/>
        </w:rPr>
        <w:t>23.2 评标纪律</w:t>
      </w:r>
    </w:p>
    <w:p>
      <w:pPr>
        <w:pStyle w:val="84"/>
        <w:spacing w:line="500" w:lineRule="exact"/>
        <w:ind w:firstLine="567"/>
        <w:jc w:val="both"/>
        <w:rPr>
          <w:rFonts w:ascii="宋体" w:hAnsi="宋体"/>
          <w:color w:val="auto"/>
        </w:rPr>
      </w:pPr>
      <w:r>
        <w:rPr>
          <w:rFonts w:hint="eastAsia" w:ascii="宋体" w:hAnsi="宋体"/>
          <w:color w:val="auto"/>
        </w:rPr>
        <w:t>（一）不徇私情，不得明招暗定，杜绝不正之风。</w:t>
      </w:r>
    </w:p>
    <w:p>
      <w:pPr>
        <w:pStyle w:val="84"/>
        <w:spacing w:line="500" w:lineRule="exact"/>
        <w:ind w:firstLine="567"/>
        <w:jc w:val="both"/>
        <w:rPr>
          <w:rFonts w:ascii="宋体" w:hAnsi="宋体"/>
          <w:color w:val="auto"/>
        </w:rPr>
      </w:pPr>
      <w:r>
        <w:rPr>
          <w:rFonts w:hint="eastAsia" w:ascii="宋体" w:hAnsi="宋体"/>
          <w:color w:val="auto"/>
        </w:rPr>
        <w:t>（二）评标人员不得私自泄露评标内容。</w:t>
      </w:r>
    </w:p>
    <w:p>
      <w:pPr>
        <w:spacing w:line="500" w:lineRule="exact"/>
        <w:ind w:firstLine="538"/>
        <w:rPr>
          <w:rFonts w:ascii="宋体" w:hAnsi="宋体"/>
          <w:sz w:val="24"/>
          <w:szCs w:val="24"/>
        </w:rPr>
      </w:pPr>
      <w:r>
        <w:rPr>
          <w:rFonts w:hint="eastAsia" w:ascii="宋体" w:hAnsi="宋体"/>
          <w:sz w:val="24"/>
          <w:szCs w:val="24"/>
        </w:rPr>
        <w:t>（三）评标过程应严格遵守保密制度。开标后,直到授予投标供应商合同止，凡是属于审查、澄清、评价和比较的有关资料以及授标建议等均不得向投标供应商或其他无关的人员透露。</w:t>
      </w:r>
    </w:p>
    <w:p>
      <w:pPr>
        <w:spacing w:line="500" w:lineRule="exact"/>
        <w:ind w:firstLine="538"/>
        <w:outlineLvl w:val="3"/>
        <w:rPr>
          <w:rFonts w:ascii="宋体" w:hAnsi="宋体"/>
          <w:sz w:val="24"/>
          <w:szCs w:val="24"/>
        </w:rPr>
      </w:pPr>
      <w:r>
        <w:rPr>
          <w:rFonts w:hint="eastAsia" w:ascii="宋体" w:hAnsi="宋体"/>
          <w:sz w:val="24"/>
          <w:szCs w:val="24"/>
        </w:rPr>
        <w:t>23.3 评标委员会成员应当履行的义务</w:t>
      </w:r>
    </w:p>
    <w:p>
      <w:pPr>
        <w:spacing w:line="500" w:lineRule="exact"/>
        <w:ind w:firstLine="538"/>
        <w:outlineLvl w:val="4"/>
        <w:rPr>
          <w:rFonts w:ascii="宋体" w:hAnsi="宋体"/>
          <w:sz w:val="24"/>
          <w:szCs w:val="24"/>
        </w:rPr>
      </w:pPr>
      <w:r>
        <w:rPr>
          <w:rFonts w:hint="eastAsia" w:ascii="宋体" w:hAnsi="宋体"/>
          <w:sz w:val="24"/>
          <w:szCs w:val="24"/>
        </w:rPr>
        <w:t>（一）遵纪守法，客观、公正、廉洁地履行职责；</w:t>
      </w:r>
    </w:p>
    <w:p>
      <w:pPr>
        <w:spacing w:line="500" w:lineRule="exact"/>
        <w:ind w:firstLine="538"/>
        <w:rPr>
          <w:rFonts w:ascii="宋体" w:hAnsi="宋体"/>
          <w:sz w:val="24"/>
          <w:szCs w:val="24"/>
        </w:rPr>
      </w:pPr>
      <w:r>
        <w:rPr>
          <w:rFonts w:hint="eastAsia" w:ascii="宋体" w:hAnsi="宋体"/>
          <w:sz w:val="24"/>
          <w:szCs w:val="24"/>
        </w:rPr>
        <w:t>（二）按照招标文件规定的评标方法和评标标准进行评标，对评审意见承担个人责任；</w:t>
      </w:r>
    </w:p>
    <w:p>
      <w:pPr>
        <w:spacing w:line="500" w:lineRule="exact"/>
        <w:ind w:firstLine="538"/>
        <w:rPr>
          <w:rFonts w:ascii="宋体" w:hAnsi="宋体"/>
          <w:sz w:val="24"/>
          <w:szCs w:val="24"/>
        </w:rPr>
      </w:pPr>
      <w:r>
        <w:rPr>
          <w:rFonts w:hint="eastAsia" w:ascii="宋体" w:hAnsi="宋体"/>
          <w:sz w:val="24"/>
          <w:szCs w:val="24"/>
        </w:rPr>
        <w:t>（三）对评标过程和结果，以及供应商的商业秘密保密；</w:t>
      </w:r>
    </w:p>
    <w:p>
      <w:pPr>
        <w:spacing w:line="500" w:lineRule="exact"/>
        <w:ind w:firstLine="538"/>
        <w:rPr>
          <w:rFonts w:ascii="宋体" w:hAnsi="宋体"/>
          <w:sz w:val="24"/>
          <w:szCs w:val="24"/>
        </w:rPr>
      </w:pPr>
      <w:r>
        <w:rPr>
          <w:rFonts w:hint="eastAsia" w:ascii="宋体" w:hAnsi="宋体"/>
          <w:sz w:val="24"/>
          <w:szCs w:val="24"/>
        </w:rPr>
        <w:t>（四）参与评标报告的起草；</w:t>
      </w:r>
    </w:p>
    <w:p>
      <w:pPr>
        <w:spacing w:line="500" w:lineRule="exact"/>
        <w:ind w:firstLine="538"/>
        <w:rPr>
          <w:rFonts w:ascii="宋体" w:hAnsi="宋体"/>
          <w:sz w:val="24"/>
          <w:szCs w:val="24"/>
        </w:rPr>
      </w:pPr>
      <w:r>
        <w:rPr>
          <w:rFonts w:hint="eastAsia" w:ascii="宋体" w:hAnsi="宋体"/>
          <w:sz w:val="24"/>
          <w:szCs w:val="24"/>
        </w:rPr>
        <w:t>（五）配合财政部门的投诉处理工作；</w:t>
      </w:r>
    </w:p>
    <w:p>
      <w:pPr>
        <w:spacing w:line="500" w:lineRule="exact"/>
        <w:ind w:firstLine="538"/>
        <w:rPr>
          <w:rFonts w:ascii="宋体" w:hAnsi="宋体"/>
          <w:sz w:val="24"/>
          <w:szCs w:val="24"/>
        </w:rPr>
      </w:pPr>
      <w:r>
        <w:rPr>
          <w:rFonts w:hint="eastAsia" w:ascii="宋体" w:hAnsi="宋体"/>
          <w:sz w:val="24"/>
          <w:szCs w:val="24"/>
        </w:rPr>
        <w:t>（六）配合招标采购单位答复投标供应商提出的质疑。</w:t>
      </w:r>
    </w:p>
    <w:p>
      <w:pPr>
        <w:spacing w:line="500" w:lineRule="exact"/>
        <w:ind w:firstLine="480" w:firstLineChars="200"/>
        <w:outlineLvl w:val="2"/>
        <w:rPr>
          <w:rFonts w:ascii="宋体" w:hAnsi="宋体"/>
          <w:sz w:val="24"/>
          <w:szCs w:val="24"/>
        </w:rPr>
      </w:pPr>
      <w:r>
        <w:rPr>
          <w:rFonts w:hint="eastAsia" w:ascii="宋体" w:hAnsi="宋体"/>
          <w:sz w:val="24"/>
          <w:szCs w:val="24"/>
        </w:rPr>
        <w:t>24.  评标原则</w:t>
      </w:r>
    </w:p>
    <w:p>
      <w:pPr>
        <w:spacing w:line="500" w:lineRule="exact"/>
        <w:ind w:firstLine="480" w:firstLineChars="200"/>
        <w:outlineLvl w:val="3"/>
        <w:rPr>
          <w:rFonts w:ascii="宋体" w:hAnsi="宋体"/>
          <w:sz w:val="24"/>
          <w:szCs w:val="24"/>
        </w:rPr>
      </w:pPr>
      <w:r>
        <w:rPr>
          <w:rFonts w:hint="eastAsia" w:ascii="宋体" w:hAnsi="宋体"/>
          <w:sz w:val="24"/>
          <w:szCs w:val="24"/>
        </w:rPr>
        <w:t>24.1  评标活动遵循公平、公正、科学和择优的原则。</w:t>
      </w:r>
    </w:p>
    <w:p>
      <w:pPr>
        <w:pStyle w:val="84"/>
        <w:spacing w:line="500" w:lineRule="exact"/>
        <w:ind w:firstLine="567"/>
        <w:jc w:val="both"/>
        <w:outlineLvl w:val="2"/>
        <w:rPr>
          <w:rFonts w:ascii="宋体" w:hAnsi="宋体"/>
          <w:color w:val="auto"/>
        </w:rPr>
      </w:pPr>
      <w:r>
        <w:rPr>
          <w:rFonts w:hint="eastAsia" w:ascii="宋体" w:hAnsi="宋体"/>
          <w:color w:val="auto"/>
        </w:rPr>
        <w:t>25.  评标方法</w:t>
      </w:r>
    </w:p>
    <w:p>
      <w:pPr>
        <w:pStyle w:val="159"/>
        <w:spacing w:line="500" w:lineRule="exact"/>
        <w:ind w:firstLine="567"/>
        <w:jc w:val="both"/>
        <w:rPr>
          <w:rFonts w:ascii="宋体" w:hAnsi="宋体"/>
          <w:color w:val="auto"/>
          <w:sz w:val="24"/>
        </w:rPr>
      </w:pPr>
      <w:r>
        <w:rPr>
          <w:rFonts w:hint="eastAsia" w:ascii="宋体" w:hAnsi="宋体"/>
          <w:color w:val="auto"/>
          <w:sz w:val="24"/>
        </w:rPr>
        <w:t>25.1  开标后评标委员会将审查投标文件是否完整、要求的保证金是否已提供、文件是否恰当签署、是否有计算错误,若投标供应商拒绝接受修正，其投标将可能被拒绝。</w:t>
      </w:r>
    </w:p>
    <w:p>
      <w:pPr>
        <w:pStyle w:val="159"/>
        <w:spacing w:line="500" w:lineRule="exact"/>
        <w:ind w:firstLine="567"/>
        <w:jc w:val="both"/>
        <w:rPr>
          <w:rFonts w:ascii="宋体" w:hAnsi="宋体"/>
          <w:color w:val="auto"/>
          <w:sz w:val="24"/>
        </w:rPr>
      </w:pPr>
      <w:r>
        <w:rPr>
          <w:rFonts w:hint="eastAsia" w:ascii="宋体" w:hAnsi="宋体"/>
          <w:color w:val="auto"/>
          <w:sz w:val="24"/>
        </w:rPr>
        <w:t xml:space="preserve">25.2  </w:t>
      </w:r>
      <w:r>
        <w:rPr>
          <w:rFonts w:hint="eastAsia" w:ascii="宋体" w:hAnsi="宋体"/>
          <w:color w:val="auto"/>
          <w:spacing w:val="-2"/>
          <w:sz w:val="24"/>
        </w:rPr>
        <w:t>在对投标文件进行详细评估之前，评标委员会将审查每一份投标文件是否对招标文件的要求做出了实质性的响应。实质性响应的投标应该是与招标文件的全部条款、条件和规格相符，而没有重大偏离。重大偏离系指影响到合同所有条款的供货范围、质量、性能和规格或在实质上与招标文件不一致，而且限制了买方的权力和投标供应商的义务。而纠正或承认这些偏离将会对该投标供应商和其它投标供应商合理的竞争地位产生不公正的影响</w:t>
      </w:r>
      <w:r>
        <w:rPr>
          <w:rFonts w:hint="eastAsia" w:ascii="宋体" w:hAnsi="宋体"/>
          <w:color w:val="auto"/>
          <w:sz w:val="24"/>
        </w:rPr>
        <w:t>。</w:t>
      </w:r>
    </w:p>
    <w:p>
      <w:pPr>
        <w:pStyle w:val="159"/>
        <w:spacing w:line="500" w:lineRule="exact"/>
        <w:ind w:firstLine="567"/>
        <w:jc w:val="both"/>
        <w:rPr>
          <w:rFonts w:ascii="宋体" w:hAnsi="宋体"/>
          <w:color w:val="auto"/>
          <w:sz w:val="24"/>
        </w:rPr>
      </w:pPr>
      <w:r>
        <w:rPr>
          <w:rFonts w:hint="eastAsia" w:ascii="宋体" w:hAnsi="宋体"/>
          <w:color w:val="auto"/>
          <w:sz w:val="24"/>
        </w:rPr>
        <w:t>25.3  评标委员会判断投标文件的响应性仅基于投标文件本身而不寻求外部证据。</w:t>
      </w:r>
    </w:p>
    <w:p>
      <w:pPr>
        <w:pStyle w:val="159"/>
        <w:spacing w:line="500" w:lineRule="exact"/>
        <w:ind w:firstLine="567"/>
        <w:jc w:val="both"/>
        <w:rPr>
          <w:rFonts w:ascii="宋体" w:hAnsi="宋体"/>
          <w:color w:val="auto"/>
          <w:sz w:val="24"/>
        </w:rPr>
      </w:pPr>
      <w:r>
        <w:rPr>
          <w:rFonts w:hint="eastAsia" w:ascii="宋体" w:hAnsi="宋体"/>
          <w:color w:val="auto"/>
          <w:sz w:val="24"/>
        </w:rPr>
        <w:t>25.4  对已被评标委员会确定为非响应性的投标，投标供应商不能通过修正或撤销不符之处而使其投标成为响应性投标。</w:t>
      </w:r>
    </w:p>
    <w:p>
      <w:pPr>
        <w:pStyle w:val="84"/>
        <w:spacing w:line="500" w:lineRule="exact"/>
        <w:ind w:firstLine="567"/>
        <w:jc w:val="both"/>
        <w:rPr>
          <w:rFonts w:ascii="宋体" w:hAnsi="宋体"/>
          <w:color w:val="auto"/>
        </w:rPr>
      </w:pPr>
      <w:r>
        <w:rPr>
          <w:rFonts w:hint="eastAsia" w:ascii="宋体" w:hAnsi="宋体"/>
          <w:color w:val="auto"/>
        </w:rPr>
        <w:t>25.5  评标委员会允许投标中有微小的不正规、不一致或不规则，而该微小之处不构成重大偏离。</w:t>
      </w:r>
    </w:p>
    <w:p>
      <w:pPr>
        <w:pStyle w:val="84"/>
        <w:spacing w:line="500" w:lineRule="exact"/>
        <w:ind w:firstLine="567"/>
        <w:jc w:val="both"/>
        <w:outlineLvl w:val="3"/>
        <w:rPr>
          <w:rFonts w:ascii="宋体" w:hAnsi="宋体"/>
          <w:b/>
          <w:color w:val="auto"/>
        </w:rPr>
      </w:pPr>
      <w:r>
        <w:rPr>
          <w:rFonts w:hint="eastAsia" w:ascii="宋体" w:hAnsi="宋体"/>
          <w:b/>
          <w:color w:val="auto"/>
        </w:rPr>
        <w:t>25.6  本项目将采用：综合评分法</w:t>
      </w:r>
    </w:p>
    <w:p>
      <w:pPr>
        <w:spacing w:line="500" w:lineRule="exact"/>
        <w:ind w:firstLine="480" w:firstLineChars="200"/>
        <w:rPr>
          <w:rFonts w:ascii="宋体" w:hAnsi="宋体"/>
          <w:b/>
          <w:bCs/>
          <w:kern w:val="0"/>
          <w:sz w:val="24"/>
          <w:szCs w:val="24"/>
        </w:rPr>
      </w:pPr>
      <w:r>
        <w:rPr>
          <w:rFonts w:hint="eastAsia" w:ascii="宋体" w:hAnsi="宋体"/>
          <w:b/>
          <w:bCs/>
          <w:kern w:val="0"/>
          <w:sz w:val="24"/>
          <w:szCs w:val="24"/>
        </w:rPr>
        <w:t>综合评分法的采购项目，提供相同品牌相同型号产品且通过资格审查、符合性审查的不同投标人参加同一合同项下投标的，按一家投标人计算，评审后得分最高的同品牌同型号投标人获得中标人推荐资格；评审得分相同的，报价最低的同品牌同型号投标人获得中标人推荐资格，招标文件未规定的采取随机抽取方式确定，其他同品牌同型号投标人不作为中标候选人。</w:t>
      </w:r>
    </w:p>
    <w:p>
      <w:pPr>
        <w:spacing w:line="500" w:lineRule="exact"/>
        <w:ind w:firstLine="480" w:firstLineChars="200"/>
        <w:rPr>
          <w:sz w:val="24"/>
          <w:szCs w:val="24"/>
        </w:rPr>
      </w:pPr>
      <w:r>
        <w:rPr>
          <w:rFonts w:hint="eastAsia" w:ascii="宋体" w:hAnsi="宋体"/>
          <w:kern w:val="0"/>
          <w:sz w:val="24"/>
          <w:szCs w:val="24"/>
        </w:rPr>
        <w:t>综合评分法：评标委员会将采用综合评分法对投标文件所载明的商务标、技术标等内容进行打分，依据得分从高到低的顺序最终确定中标供应商，最低报价不作为中标的唯一依据。采用百分制原则：满分为100分、经济部分占55%、技术商务标占45%（适用</w:t>
      </w:r>
      <w:r>
        <w:rPr>
          <w:rFonts w:hint="eastAsia"/>
          <w:sz w:val="24"/>
          <w:szCs w:val="24"/>
          <w:lang w:eastAsia="zh-CN"/>
        </w:rPr>
        <w:t>标项四</w:t>
      </w:r>
      <w:r>
        <w:rPr>
          <w:rFonts w:hint="eastAsia"/>
          <w:sz w:val="24"/>
          <w:szCs w:val="24"/>
        </w:rPr>
        <w:t>）</w:t>
      </w:r>
      <w:r>
        <w:rPr>
          <w:rFonts w:hint="eastAsia" w:ascii="宋体" w:hAnsi="宋体"/>
          <w:kern w:val="0"/>
          <w:sz w:val="24"/>
          <w:szCs w:val="24"/>
        </w:rPr>
        <w:t>。投标单位最终得分=经济部分得分+技术商务得分，具体评分标准如下：</w:t>
      </w:r>
    </w:p>
    <w:p>
      <w:pPr>
        <w:pStyle w:val="25"/>
        <w:snapToGrid w:val="0"/>
        <w:spacing w:line="440" w:lineRule="exact"/>
        <w:rPr>
          <w:sz w:val="24"/>
          <w:szCs w:val="24"/>
        </w:rPr>
      </w:pPr>
      <w:r>
        <w:rPr>
          <w:rFonts w:hint="eastAsia"/>
          <w:sz w:val="24"/>
          <w:szCs w:val="24"/>
        </w:rPr>
        <w:t>标项</w:t>
      </w:r>
      <w:r>
        <w:rPr>
          <w:rFonts w:hint="eastAsia"/>
          <w:sz w:val="24"/>
          <w:szCs w:val="24"/>
          <w:lang w:val="en-US" w:eastAsia="zh-CN"/>
        </w:rPr>
        <w:t>四</w:t>
      </w:r>
      <w:r>
        <w:rPr>
          <w:rFonts w:hint="eastAsia"/>
          <w:sz w:val="24"/>
          <w:szCs w:val="24"/>
        </w:rPr>
        <w:t>：</w:t>
      </w:r>
    </w:p>
    <w:tbl>
      <w:tblPr>
        <w:tblStyle w:val="42"/>
        <w:tblW w:w="9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2835"/>
        <w:gridCol w:w="1139"/>
        <w:gridCol w:w="49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评分内容</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1</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sz w:val="24"/>
                <w:szCs w:val="24"/>
              </w:rPr>
            </w:pPr>
            <w:r>
              <w:rPr>
                <w:rFonts w:hint="eastAsia" w:ascii="宋体" w:hAnsi="宋体" w:cs="仿宋_GB2312"/>
                <w:b/>
                <w:bCs/>
                <w:sz w:val="24"/>
                <w:szCs w:val="24"/>
              </w:rPr>
              <w:t>报价得分</w:t>
            </w:r>
          </w:p>
          <w:p>
            <w:pPr>
              <w:spacing w:line="440" w:lineRule="exact"/>
              <w:jc w:val="center"/>
              <w:rPr>
                <w:rFonts w:ascii="宋体" w:hAnsi="宋体"/>
                <w:sz w:val="24"/>
                <w:szCs w:val="24"/>
              </w:rPr>
            </w:pPr>
            <w:r>
              <w:rPr>
                <w:rFonts w:hint="eastAsia" w:ascii="宋体" w:hAnsi="宋体" w:cs="仿宋_GB2312"/>
                <w:b/>
                <w:bCs/>
                <w:sz w:val="24"/>
                <w:szCs w:val="24"/>
              </w:rPr>
              <w:t>55分</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报价得分=(评标基准价/投标报价)×55%×100</w:t>
            </w:r>
          </w:p>
          <w:p>
            <w:pPr>
              <w:adjustRightInd w:val="0"/>
              <w:snapToGrid w:val="0"/>
              <w:spacing w:line="440" w:lineRule="exact"/>
              <w:jc w:val="left"/>
              <w:rPr>
                <w:rFonts w:ascii="宋体" w:hAnsi="宋体"/>
                <w:sz w:val="24"/>
                <w:szCs w:val="24"/>
              </w:rPr>
            </w:pPr>
            <w:r>
              <w:rPr>
                <w:rFonts w:hint="eastAsia" w:ascii="宋体" w:hAnsi="宋体" w:cs="仿宋_GB2312"/>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cs="仿宋_GB2312"/>
                <w:b/>
                <w:bCs/>
                <w:sz w:val="24"/>
                <w:szCs w:val="24"/>
              </w:rPr>
              <w:t>属于中小企业评审优惠内容及价格扣除幅度</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pStyle w:val="25"/>
              <w:snapToGrid w:val="0"/>
              <w:spacing w:line="440" w:lineRule="exact"/>
              <w:rPr>
                <w:rFonts w:cs="仿宋_GB2312"/>
                <w:sz w:val="24"/>
                <w:szCs w:val="24"/>
              </w:rPr>
            </w:pPr>
            <w:r>
              <w:rPr>
                <w:rFonts w:hint="eastAsia" w:cs="仿宋_GB2312"/>
                <w:sz w:val="24"/>
                <w:szCs w:val="24"/>
              </w:rPr>
              <w:t>政府采购政策下的评审价计算：</w:t>
            </w:r>
          </w:p>
          <w:p>
            <w:pPr>
              <w:pStyle w:val="25"/>
              <w:snapToGrid w:val="0"/>
              <w:spacing w:line="440" w:lineRule="exact"/>
              <w:rPr>
                <w:rFonts w:cs="仿宋_GB2312"/>
                <w:sz w:val="24"/>
                <w:szCs w:val="24"/>
              </w:rPr>
            </w:pPr>
            <w:r>
              <w:rPr>
                <w:rFonts w:hint="eastAsia" w:cs="仿宋_GB2312"/>
                <w:sz w:val="24"/>
                <w:szCs w:val="24"/>
              </w:rPr>
              <w:t>1）投标供应商为小型或微型企业（包括成员全部为小型或微型企业的联合体）时，报价给予C1的价格扣除（C1的取值为10%），即：评审价＝核实价×(1－C1）；</w:t>
            </w:r>
          </w:p>
          <w:p>
            <w:pPr>
              <w:pStyle w:val="25"/>
              <w:snapToGrid w:val="0"/>
              <w:spacing w:line="440" w:lineRule="exact"/>
              <w:rPr>
                <w:rFonts w:cs="仿宋_GB2312"/>
                <w:sz w:val="24"/>
                <w:szCs w:val="24"/>
              </w:rPr>
            </w:pPr>
            <w:r>
              <w:rPr>
                <w:rFonts w:hint="eastAsia" w:cs="仿宋_GB2312"/>
                <w:sz w:val="24"/>
                <w:szCs w:val="24"/>
              </w:rPr>
              <w:t>2）投标供应商为大中型企业和其他自然人、法人或者其他组织与小型、微型企业组成的联合体，且联合体协议中约定小型、微型企业的协议合同金额（必须为本企业承担的服务）占到联合体协议合同总金额40%以上的，对联合体报价给予C2的价格扣除（C2的取值为4%），即：评审价＝核实价×(1－C2)；（本项目不适用）</w:t>
            </w:r>
          </w:p>
          <w:p>
            <w:pPr>
              <w:pStyle w:val="25"/>
              <w:snapToGrid w:val="0"/>
              <w:spacing w:line="440" w:lineRule="exact"/>
              <w:rPr>
                <w:rFonts w:cs="仿宋_GB2312"/>
                <w:sz w:val="24"/>
                <w:szCs w:val="24"/>
              </w:rPr>
            </w:pPr>
            <w:r>
              <w:rPr>
                <w:rFonts w:hint="eastAsia" w:cs="仿宋_GB2312"/>
                <w:sz w:val="24"/>
                <w:szCs w:val="24"/>
              </w:rPr>
              <w:t>3）本条款所称小型或微型企业应当符合以下条件：符合小型或微型企业划分标准，并且提供本企业承担的服务；</w:t>
            </w:r>
          </w:p>
          <w:p>
            <w:pPr>
              <w:pStyle w:val="25"/>
              <w:snapToGrid w:val="0"/>
              <w:spacing w:line="440" w:lineRule="exact"/>
              <w:rPr>
                <w:rFonts w:cs="仿宋_GB2312"/>
                <w:sz w:val="24"/>
                <w:szCs w:val="24"/>
              </w:rPr>
            </w:pPr>
            <w:r>
              <w:rPr>
                <w:rFonts w:hint="eastAsia" w:cs="仿宋_GB2312"/>
                <w:sz w:val="24"/>
                <w:szCs w:val="24"/>
              </w:rPr>
              <w:t>4）组成联合体的大中型企业和其他自然人、法人或者其他组织，与小型、微型企业之间不得存在投资关系；（本项目不适用）</w:t>
            </w:r>
          </w:p>
          <w:p>
            <w:pPr>
              <w:pStyle w:val="25"/>
              <w:snapToGrid w:val="0"/>
              <w:spacing w:line="440" w:lineRule="exact"/>
              <w:rPr>
                <w:rFonts w:cs="仿宋_GB2312"/>
                <w:sz w:val="24"/>
                <w:szCs w:val="24"/>
              </w:rPr>
            </w:pPr>
            <w:r>
              <w:rPr>
                <w:rFonts w:hint="eastAsia" w:cs="仿宋_GB2312"/>
                <w:sz w:val="24"/>
                <w:szCs w:val="24"/>
              </w:rPr>
              <w:t>5）供应商认为其为小型或微型企业的应提交《中小企业声明函》，并明确企业类型，并提供最近年度经审计的财务报表，否则评审时不能享受相应的价格扣除；</w:t>
            </w:r>
          </w:p>
          <w:p>
            <w:pPr>
              <w:pStyle w:val="25"/>
              <w:snapToGrid w:val="0"/>
              <w:spacing w:line="440" w:lineRule="exact"/>
              <w:rPr>
                <w:rFonts w:cs="仿宋_GB2312"/>
                <w:sz w:val="24"/>
                <w:szCs w:val="24"/>
              </w:rPr>
            </w:pPr>
            <w:r>
              <w:rPr>
                <w:rFonts w:hint="eastAsia" w:cs="仿宋_GB2312"/>
                <w:sz w:val="24"/>
                <w:szCs w:val="24"/>
              </w:rPr>
              <w:t>6）监狱企业视同小型、微型企业，享受评审中价格扣除的政府采购政策。监狱企业参加政府采购活动时，应当提供由省级以上监狱管理局、戒毒管理局(含新疆生产建设兵团)出具的属于监狱企业的证明文件；</w:t>
            </w:r>
          </w:p>
          <w:p>
            <w:pPr>
              <w:pStyle w:val="25"/>
              <w:snapToGrid w:val="0"/>
              <w:spacing w:line="440" w:lineRule="exact"/>
              <w:rPr>
                <w:sz w:val="24"/>
                <w:szCs w:val="24"/>
              </w:rPr>
            </w:pPr>
            <w:r>
              <w:rPr>
                <w:rFonts w:hint="eastAsia" w:cs="仿宋_GB2312"/>
                <w:sz w:val="24"/>
                <w:szCs w:val="24"/>
              </w:rPr>
              <w:t>7）残疾人福利单位视同小型、微型企业，享受评审中价格扣除的政府采购政策。残疾人福利单位参加政府采购活动时，应当提供《残疾人福利性单位声明函》。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2</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sz w:val="24"/>
                <w:szCs w:val="24"/>
              </w:rPr>
            </w:pPr>
            <w:r>
              <w:rPr>
                <w:rFonts w:hint="eastAsia" w:hAnsi="宋体"/>
                <w:b/>
                <w:sz w:val="24"/>
              </w:rPr>
              <w:t>节能、环境标志产品评审优惠内容及加分幅度</w:t>
            </w:r>
          </w:p>
        </w:tc>
        <w:tc>
          <w:tcPr>
            <w:tcW w:w="6079" w:type="dxa"/>
            <w:gridSpan w:val="2"/>
            <w:tcBorders>
              <w:top w:val="single" w:color="auto" w:sz="4" w:space="0"/>
              <w:left w:val="single" w:color="auto" w:sz="4" w:space="0"/>
              <w:bottom w:val="single" w:color="auto" w:sz="4" w:space="0"/>
              <w:right w:val="single" w:color="auto" w:sz="4" w:space="0"/>
            </w:tcBorders>
            <w:vAlign w:val="center"/>
          </w:tcPr>
          <w:p>
            <w:pPr>
              <w:pStyle w:val="25"/>
              <w:snapToGrid w:val="0"/>
              <w:spacing w:line="400" w:lineRule="exact"/>
              <w:rPr>
                <w:sz w:val="24"/>
                <w:szCs w:val="24"/>
              </w:rPr>
            </w:pPr>
            <w:r>
              <w:rPr>
                <w:rFonts w:hint="eastAsia"/>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ascii="宋体" w:hAnsi="宋体" w:cs="仿宋_GB2312"/>
                <w:sz w:val="24"/>
                <w:szCs w:val="24"/>
              </w:rPr>
            </w:pPr>
            <w:r>
              <w:rPr>
                <w:rFonts w:hint="eastAsia"/>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价格扣除。若节能、环境标志清单内的产品仅是构成投标产品的部件、组件或零件的，则该投标产品不予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620" w:type="dxa"/>
            <w:gridSpan w:val="4"/>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sz w:val="24"/>
                <w:szCs w:val="24"/>
              </w:rPr>
            </w:pPr>
            <w:r>
              <w:rPr>
                <w:rFonts w:hint="eastAsia"/>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sz w:val="24"/>
                <w:szCs w:val="24"/>
              </w:rPr>
            </w:pPr>
            <w:r>
              <w:rPr>
                <w:rFonts w:hint="eastAsia"/>
                <w:sz w:val="24"/>
                <w:szCs w:val="24"/>
              </w:rPr>
              <w:t>价格项</w:t>
            </w:r>
          </w:p>
        </w:tc>
        <w:tc>
          <w:tcPr>
            <w:tcW w:w="4940" w:type="dxa"/>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sz w:val="24"/>
                <w:szCs w:val="24"/>
              </w:rPr>
            </w:pPr>
            <w:r>
              <w:rPr>
                <w:rFonts w:hint="eastAsia"/>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sz w:val="24"/>
                <w:szCs w:val="24"/>
              </w:rPr>
            </w:pPr>
            <w:r>
              <w:rPr>
                <w:rFonts w:hint="eastAsia"/>
                <w:sz w:val="24"/>
                <w:szCs w:val="24"/>
              </w:rPr>
              <w:t>1、（节能清单部分产品的价格/投标报价）×1%×价格项满分值</w:t>
            </w:r>
          </w:p>
        </w:tc>
        <w:tc>
          <w:tcPr>
            <w:tcW w:w="4940" w:type="dxa"/>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sz w:val="24"/>
                <w:szCs w:val="24"/>
              </w:rPr>
            </w:pPr>
            <w:r>
              <w:rPr>
                <w:rFonts w:hint="eastAsia"/>
                <w:sz w:val="24"/>
                <w:szCs w:val="24"/>
              </w:rPr>
              <w:t>1、（节能清单部分产品的价格/投标报价）×1%×价格项满分值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80" w:type="dxa"/>
            <w:gridSpan w:val="3"/>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sz w:val="24"/>
                <w:szCs w:val="24"/>
              </w:rPr>
            </w:pPr>
            <w:r>
              <w:rPr>
                <w:rFonts w:hint="eastAsia"/>
                <w:sz w:val="24"/>
                <w:szCs w:val="24"/>
              </w:rPr>
              <w:t>2、（环境清单部分产品的价格/投标报价）×1%×价格项满分值</w:t>
            </w:r>
          </w:p>
        </w:tc>
        <w:tc>
          <w:tcPr>
            <w:tcW w:w="4940" w:type="dxa"/>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sz w:val="24"/>
                <w:szCs w:val="24"/>
              </w:rPr>
            </w:pPr>
            <w:r>
              <w:rPr>
                <w:rFonts w:hint="eastAsia"/>
                <w:sz w:val="24"/>
                <w:szCs w:val="24"/>
              </w:rPr>
              <w:t>2、（环境清单部分产品的价格/投标报价）×1%×价格项满分值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9620" w:type="dxa"/>
            <w:gridSpan w:val="4"/>
            <w:tcBorders>
              <w:top w:val="single" w:color="auto" w:sz="4" w:space="0"/>
              <w:left w:val="single" w:color="auto" w:sz="4" w:space="0"/>
              <w:bottom w:val="single" w:color="auto" w:sz="4" w:space="0"/>
              <w:right w:val="single" w:color="auto" w:sz="4" w:space="0"/>
            </w:tcBorders>
            <w:vAlign w:val="center"/>
          </w:tcPr>
          <w:p>
            <w:pPr>
              <w:pStyle w:val="25"/>
              <w:spacing w:line="440" w:lineRule="exact"/>
              <w:jc w:val="center"/>
              <w:rPr>
                <w:sz w:val="24"/>
                <w:szCs w:val="24"/>
              </w:rPr>
            </w:pPr>
            <w:r>
              <w:rPr>
                <w:rFonts w:hint="eastAsia"/>
                <w:sz w:val="24"/>
                <w:szCs w:val="24"/>
              </w:rPr>
              <w:t>注：1、提供最新《节能产品政府采购清单》关于投标产品当前页的打印件；</w:t>
            </w:r>
          </w:p>
          <w:p>
            <w:pPr>
              <w:pStyle w:val="25"/>
              <w:spacing w:line="440" w:lineRule="exact"/>
              <w:jc w:val="center"/>
              <w:rPr>
                <w:sz w:val="24"/>
                <w:szCs w:val="24"/>
              </w:rPr>
            </w:pPr>
            <w:r>
              <w:rPr>
                <w:rFonts w:hint="eastAsia"/>
                <w:sz w:val="24"/>
                <w:szCs w:val="24"/>
              </w:rPr>
              <w:t>2、提供最新《环境标志产品政府采购清单》关于投标产品当前页的打印件。</w:t>
            </w:r>
          </w:p>
        </w:tc>
      </w:tr>
    </w:tbl>
    <w:p>
      <w:pPr>
        <w:pStyle w:val="25"/>
        <w:snapToGrid w:val="0"/>
        <w:spacing w:line="440" w:lineRule="exact"/>
        <w:rPr>
          <w:sz w:val="24"/>
          <w:szCs w:val="24"/>
        </w:rPr>
      </w:pPr>
    </w:p>
    <w:p>
      <w:pPr>
        <w:pStyle w:val="25"/>
        <w:snapToGrid w:val="0"/>
        <w:spacing w:line="440" w:lineRule="exact"/>
        <w:rPr>
          <w:sz w:val="24"/>
          <w:szCs w:val="24"/>
        </w:rPr>
      </w:pPr>
      <w:r>
        <w:rPr>
          <w:rFonts w:hint="eastAsia"/>
          <w:sz w:val="24"/>
          <w:szCs w:val="24"/>
          <w:lang w:eastAsia="zh-CN"/>
        </w:rPr>
        <w:t>标项四</w:t>
      </w:r>
      <w:r>
        <w:rPr>
          <w:rFonts w:hint="eastAsia"/>
          <w:sz w:val="24"/>
          <w:szCs w:val="24"/>
        </w:rPr>
        <w:t>：</w:t>
      </w:r>
    </w:p>
    <w:p>
      <w:pPr>
        <w:pStyle w:val="25"/>
        <w:snapToGrid w:val="0"/>
        <w:spacing w:line="440" w:lineRule="exact"/>
        <w:rPr>
          <w:sz w:val="24"/>
          <w:szCs w:val="24"/>
        </w:rPr>
      </w:pPr>
      <w:r>
        <w:rPr>
          <w:rFonts w:hint="eastAsia"/>
          <w:sz w:val="24"/>
          <w:szCs w:val="24"/>
        </w:rPr>
        <w:t>商务、技术部分评分表</w:t>
      </w:r>
    </w:p>
    <w:p>
      <w:pPr>
        <w:pStyle w:val="25"/>
        <w:snapToGrid w:val="0"/>
        <w:spacing w:line="440" w:lineRule="exact"/>
        <w:rPr>
          <w:sz w:val="24"/>
          <w:szCs w:val="24"/>
        </w:rPr>
      </w:pPr>
    </w:p>
    <w:tbl>
      <w:tblPr>
        <w:tblStyle w:val="42"/>
        <w:tblW w:w="10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450"/>
        <w:gridCol w:w="816"/>
        <w:gridCol w:w="684"/>
        <w:gridCol w:w="7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7" w:hRule="atLeast"/>
          <w:jc w:val="center"/>
        </w:trPr>
        <w:tc>
          <w:tcPr>
            <w:tcW w:w="78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sz w:val="22"/>
                <w:szCs w:val="22"/>
              </w:rPr>
            </w:pPr>
            <w:r>
              <w:rPr>
                <w:rFonts w:hint="eastAsia" w:ascii="宋体" w:hAnsi="宋体" w:cs="仿宋_GB2312"/>
                <w:bCs/>
                <w:sz w:val="22"/>
                <w:szCs w:val="22"/>
              </w:rPr>
              <w:t>商务技术部分（45分）</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sz w:val="22"/>
                <w:szCs w:val="22"/>
              </w:rPr>
            </w:pPr>
            <w:r>
              <w:rPr>
                <w:rFonts w:hint="eastAsia" w:ascii="宋体" w:hAnsi="宋体" w:cs="仿宋_GB2312"/>
                <w:bCs/>
                <w:sz w:val="22"/>
                <w:szCs w:val="22"/>
              </w:rPr>
              <w:t>1</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sz w:val="22"/>
                <w:szCs w:val="22"/>
              </w:rPr>
            </w:pPr>
            <w:r>
              <w:rPr>
                <w:rFonts w:hint="eastAsia" w:ascii="宋体" w:hAnsi="宋体" w:cs="仿宋_GB2312"/>
                <w:bCs/>
                <w:sz w:val="22"/>
                <w:szCs w:val="22"/>
              </w:rPr>
              <w:t>技术符合性37分</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sz w:val="22"/>
                <w:szCs w:val="22"/>
              </w:rPr>
            </w:pPr>
            <w:r>
              <w:rPr>
                <w:rFonts w:hint="eastAsia" w:ascii="宋体" w:hAnsi="宋体" w:cs="仿宋_GB2312"/>
                <w:bCs/>
                <w:sz w:val="22"/>
                <w:szCs w:val="22"/>
              </w:rPr>
              <w:t>0-37</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sz w:val="22"/>
                <w:szCs w:val="22"/>
              </w:rPr>
            </w:pPr>
            <w:r>
              <w:rPr>
                <w:rFonts w:hint="eastAsia" w:ascii="宋体" w:hAnsi="宋体" w:cs="仿宋_GB2312"/>
                <w:bCs/>
                <w:sz w:val="22"/>
                <w:szCs w:val="22"/>
              </w:rPr>
              <w:t>技术参数全部符合的，得37分，除“★”条款以外，每出现一条负偏离的，扣1.8分，超过五条负偏离此项不得分（技术参数符合需提供相应证明材料，未提供证明材料不得分)；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3"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sz w:val="22"/>
                <w:szCs w:val="22"/>
              </w:rPr>
            </w:pPr>
            <w:r>
              <w:rPr>
                <w:rFonts w:hint="eastAsia" w:ascii="宋体" w:hAnsi="宋体" w:cs="仿宋_GB2312"/>
                <w:bCs/>
                <w:sz w:val="22"/>
                <w:szCs w:val="22"/>
              </w:rPr>
              <w:t>2</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sz w:val="22"/>
                <w:szCs w:val="22"/>
              </w:rPr>
            </w:pPr>
            <w:r>
              <w:rPr>
                <w:rFonts w:hint="eastAsia" w:ascii="宋体" w:hAnsi="宋体" w:cs="仿宋_GB2312"/>
                <w:bCs/>
                <w:sz w:val="22"/>
                <w:szCs w:val="22"/>
              </w:rPr>
              <w:t>售后服务1.5分</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sz w:val="22"/>
                <w:szCs w:val="22"/>
              </w:rPr>
            </w:pPr>
            <w:r>
              <w:rPr>
                <w:rFonts w:hint="eastAsia" w:ascii="宋体" w:hAnsi="宋体" w:cs="仿宋_GB2312"/>
                <w:bCs/>
                <w:sz w:val="22"/>
                <w:szCs w:val="22"/>
              </w:rPr>
              <w:t>0-1.5</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sz w:val="22"/>
                <w:szCs w:val="22"/>
              </w:rPr>
            </w:pPr>
            <w:r>
              <w:rPr>
                <w:rFonts w:hint="eastAsia" w:ascii="宋体" w:hAnsi="宋体" w:cs="仿宋_GB2312"/>
                <w:bCs/>
                <w:sz w:val="22"/>
                <w:szCs w:val="22"/>
              </w:rPr>
              <w:t>投标供应商针对所投标项的售后服务计划、服务方案承诺、售后人员配备等作出说明，每条满分0.5分，共1.5分。售后服务计划全面详实、服务方案承诺全面详实和售后人员配备齐全合的（需提供售后服务人员资质证书）的得1.5分；</w:t>
            </w:r>
          </w:p>
          <w:p>
            <w:pPr>
              <w:adjustRightInd w:val="0"/>
              <w:snapToGrid w:val="0"/>
              <w:spacing w:line="420" w:lineRule="exact"/>
              <w:jc w:val="left"/>
              <w:rPr>
                <w:rFonts w:ascii="宋体" w:hAnsi="宋体" w:cs="仿宋_GB2312"/>
                <w:bCs/>
                <w:sz w:val="22"/>
                <w:szCs w:val="22"/>
              </w:rPr>
            </w:pPr>
            <w:r>
              <w:rPr>
                <w:rFonts w:hint="eastAsia" w:ascii="宋体" w:hAnsi="宋体" w:cs="仿宋_GB2312"/>
                <w:bCs/>
                <w:sz w:val="22"/>
                <w:szCs w:val="22"/>
              </w:rPr>
              <w:t>售后服务计划较全面详实、服务方案承诺较全面详实和售后人员配备较齐全合理的（需提供售后服务人员资质证书）的得1分；</w:t>
            </w:r>
          </w:p>
          <w:p>
            <w:pPr>
              <w:adjustRightInd w:val="0"/>
              <w:snapToGrid w:val="0"/>
              <w:spacing w:line="420" w:lineRule="exact"/>
              <w:jc w:val="left"/>
              <w:rPr>
                <w:rFonts w:ascii="宋体" w:hAnsi="宋体" w:cs="仿宋_GB2312"/>
                <w:bCs/>
                <w:sz w:val="22"/>
                <w:szCs w:val="22"/>
              </w:rPr>
            </w:pPr>
            <w:r>
              <w:rPr>
                <w:rFonts w:hint="eastAsia" w:ascii="宋体" w:hAnsi="宋体" w:cs="仿宋_GB2312"/>
                <w:bCs/>
                <w:sz w:val="22"/>
                <w:szCs w:val="22"/>
              </w:rPr>
              <w:t>售后服务计划不全面、服务方案承诺不够全面和售后人员配备不合理的（或没有提供售后服务人员资质证书）得0.5。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58"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sz w:val="22"/>
                <w:szCs w:val="22"/>
              </w:rPr>
            </w:pPr>
            <w:bookmarkStart w:id="10" w:name="OLE_LINK2"/>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sz w:val="22"/>
                <w:szCs w:val="22"/>
              </w:rPr>
            </w:pPr>
            <w:r>
              <w:rPr>
                <w:rFonts w:hint="eastAsia" w:ascii="宋体" w:hAnsi="宋体" w:cs="仿宋_GB2312"/>
                <w:bCs/>
                <w:sz w:val="22"/>
                <w:szCs w:val="22"/>
              </w:rPr>
              <w:t>3</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sz w:val="22"/>
                <w:szCs w:val="22"/>
              </w:rPr>
            </w:pPr>
            <w:r>
              <w:rPr>
                <w:rFonts w:hint="eastAsia" w:ascii="宋体" w:hAnsi="宋体" w:cs="仿宋_GB2312"/>
                <w:bCs/>
                <w:sz w:val="22"/>
                <w:szCs w:val="22"/>
              </w:rPr>
              <w:t>项目实施方案2.5分</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sz w:val="22"/>
                <w:szCs w:val="22"/>
              </w:rPr>
            </w:pPr>
            <w:r>
              <w:rPr>
                <w:rFonts w:hint="eastAsia" w:ascii="宋体" w:hAnsi="宋体" w:cs="仿宋_GB2312"/>
                <w:bCs/>
                <w:sz w:val="22"/>
                <w:szCs w:val="22"/>
              </w:rPr>
              <w:t>0-2.5</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sz w:val="22"/>
                <w:szCs w:val="22"/>
              </w:rPr>
            </w:pPr>
            <w:r>
              <w:rPr>
                <w:rFonts w:hint="eastAsia" w:ascii="宋体" w:hAnsi="宋体" w:cs="仿宋_GB2312"/>
                <w:bCs/>
                <w:sz w:val="22"/>
                <w:szCs w:val="22"/>
              </w:rPr>
              <w:t>投标供应商针对所投标项的项目实施计划、培训方案、配送方案、验收方案、质量控制等方面进行说明，每条0.5分，共2.5分。项目实施计划、培训方案、配送方案、验收方案、质量控制等内容阐述全面详实且实时性强的得2.5分；</w:t>
            </w:r>
          </w:p>
          <w:p>
            <w:pPr>
              <w:adjustRightInd w:val="0"/>
              <w:snapToGrid w:val="0"/>
              <w:spacing w:line="420" w:lineRule="exact"/>
              <w:jc w:val="left"/>
              <w:rPr>
                <w:rFonts w:ascii="宋体" w:hAnsi="宋体" w:cs="仿宋_GB2312"/>
                <w:bCs/>
                <w:sz w:val="22"/>
                <w:szCs w:val="22"/>
              </w:rPr>
            </w:pPr>
            <w:r>
              <w:rPr>
                <w:rFonts w:hint="eastAsia" w:ascii="宋体" w:hAnsi="宋体" w:cs="仿宋_GB2312"/>
                <w:bCs/>
                <w:sz w:val="22"/>
                <w:szCs w:val="22"/>
              </w:rPr>
              <w:t>项目实施计划、培训方案、配送方案、验收方案、质量控制等内容阐述较全面详实且实时性较强的得1.5分；</w:t>
            </w:r>
          </w:p>
          <w:p>
            <w:pPr>
              <w:adjustRightInd w:val="0"/>
              <w:snapToGrid w:val="0"/>
              <w:spacing w:line="420" w:lineRule="exact"/>
              <w:jc w:val="left"/>
              <w:rPr>
                <w:sz w:val="20"/>
                <w:szCs w:val="18"/>
              </w:rPr>
            </w:pPr>
            <w:r>
              <w:rPr>
                <w:rFonts w:hint="eastAsia" w:ascii="宋体" w:hAnsi="宋体" w:cs="仿宋_GB2312"/>
                <w:bCs/>
                <w:sz w:val="22"/>
                <w:szCs w:val="22"/>
              </w:rPr>
              <w:t>项目实施计划、培训方案、配送方案、验收方案、质量控制等内容阐述不全面且实时性不强的得0.5分。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6"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sz w:val="22"/>
                <w:szCs w:val="22"/>
              </w:rPr>
            </w:pPr>
            <w:r>
              <w:rPr>
                <w:rFonts w:hint="eastAsia" w:ascii="宋体" w:hAnsi="宋体" w:cs="仿宋_GB2312"/>
                <w:bCs/>
                <w:sz w:val="22"/>
                <w:szCs w:val="22"/>
              </w:rPr>
              <w:t>4</w:t>
            </w:r>
          </w:p>
        </w:tc>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sz w:val="22"/>
                <w:szCs w:val="22"/>
              </w:rPr>
            </w:pPr>
            <w:r>
              <w:rPr>
                <w:rFonts w:hint="eastAsia" w:ascii="宋体" w:hAnsi="宋体" w:cs="仿宋_GB2312"/>
                <w:bCs/>
                <w:sz w:val="22"/>
                <w:szCs w:val="22"/>
              </w:rPr>
              <w:t>企业业绩2分</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sz w:val="22"/>
                <w:szCs w:val="22"/>
              </w:rPr>
            </w:pPr>
            <w:r>
              <w:rPr>
                <w:rFonts w:hint="eastAsia" w:ascii="宋体" w:hAnsi="宋体" w:cs="仿宋_GB2312"/>
                <w:bCs/>
                <w:sz w:val="22"/>
                <w:szCs w:val="22"/>
              </w:rPr>
              <w:t>0-2</w:t>
            </w:r>
          </w:p>
        </w:tc>
        <w:tc>
          <w:tcPr>
            <w:tcW w:w="7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sz w:val="22"/>
                <w:szCs w:val="22"/>
              </w:rPr>
            </w:pPr>
            <w:r>
              <w:rPr>
                <w:rFonts w:hint="eastAsia" w:ascii="宋体" w:hAnsi="宋体" w:cs="仿宋_GB2312"/>
                <w:bCs/>
                <w:sz w:val="22"/>
                <w:szCs w:val="22"/>
              </w:rPr>
              <w:t>投标供应商提供近两年（2020年01月01日至今）类似业绩（须提供合同和中标通知书或成交通知书复印件）。提供一个得1分，满分2分；不提供不得分。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3"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sz w:val="22"/>
                <w:szCs w:val="22"/>
                <w:lang w:eastAsia="zh-CN"/>
              </w:rPr>
            </w:pPr>
            <w:r>
              <w:rPr>
                <w:rFonts w:hint="eastAsia" w:ascii="宋体" w:hAnsi="宋体" w:cs="仿宋_GB2312"/>
                <w:bCs/>
                <w:sz w:val="22"/>
                <w:szCs w:val="22"/>
                <w:lang w:val="en-US" w:eastAsia="zh-CN"/>
              </w:rPr>
              <w:t>5</w:t>
            </w:r>
          </w:p>
        </w:tc>
        <w:tc>
          <w:tcPr>
            <w:tcW w:w="816" w:type="dxa"/>
            <w:tcBorders>
              <w:top w:val="single" w:color="auto" w:sz="4" w:space="0"/>
              <w:left w:val="single" w:color="auto" w:sz="4" w:space="0"/>
              <w:bottom w:val="single" w:color="auto" w:sz="4" w:space="0"/>
              <w:right w:val="single" w:color="auto" w:sz="4" w:space="0"/>
            </w:tcBorders>
            <w:vAlign w:val="center"/>
          </w:tcPr>
          <w:p>
            <w:pPr>
              <w:pStyle w:val="25"/>
              <w:snapToGrid w:val="0"/>
              <w:spacing w:line="420" w:lineRule="exact"/>
              <w:jc w:val="center"/>
              <w:rPr>
                <w:rFonts w:cs="仿宋_GB2312"/>
                <w:bCs/>
                <w:sz w:val="22"/>
                <w:szCs w:val="22"/>
              </w:rPr>
            </w:pPr>
            <w:r>
              <w:rPr>
                <w:rFonts w:hint="eastAsia" w:cs="仿宋_GB2312"/>
                <w:bCs/>
                <w:sz w:val="22"/>
                <w:szCs w:val="22"/>
              </w:rPr>
              <w:t>标函质量2分</w:t>
            </w:r>
          </w:p>
        </w:tc>
        <w:tc>
          <w:tcPr>
            <w:tcW w:w="6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sz w:val="22"/>
                <w:szCs w:val="22"/>
              </w:rPr>
            </w:pPr>
            <w:r>
              <w:rPr>
                <w:rFonts w:hint="eastAsia" w:ascii="宋体" w:hAnsi="宋体" w:cs="仿宋_GB2312"/>
                <w:bCs/>
                <w:sz w:val="22"/>
                <w:szCs w:val="22"/>
              </w:rPr>
              <w:t>0-2</w:t>
            </w:r>
          </w:p>
        </w:tc>
        <w:tc>
          <w:tcPr>
            <w:tcW w:w="7670" w:type="dxa"/>
            <w:tcBorders>
              <w:top w:val="single" w:color="auto" w:sz="4" w:space="0"/>
              <w:left w:val="single" w:color="auto" w:sz="4" w:space="0"/>
              <w:bottom w:val="single" w:color="auto" w:sz="4" w:space="0"/>
              <w:right w:val="single" w:color="auto" w:sz="4" w:space="0"/>
            </w:tcBorders>
            <w:vAlign w:val="center"/>
          </w:tcPr>
          <w:p>
            <w:pPr>
              <w:pStyle w:val="25"/>
              <w:snapToGrid w:val="0"/>
              <w:spacing w:line="420" w:lineRule="exact"/>
              <w:jc w:val="left"/>
              <w:rPr>
                <w:rFonts w:cs="仿宋_GB2312"/>
                <w:bCs/>
                <w:sz w:val="22"/>
                <w:szCs w:val="22"/>
              </w:rPr>
            </w:pPr>
            <w:r>
              <w:rPr>
                <w:rFonts w:hint="eastAsia" w:cs="仿宋_GB2312"/>
                <w:bCs/>
                <w:sz w:val="22"/>
                <w:szCs w:val="22"/>
              </w:rPr>
              <w:t>装订牢固，目录清楚，逐页编码，页码准确，完全响应招标文件要求提供相关资料，表格等，优得2分；</w:t>
            </w:r>
          </w:p>
          <w:p>
            <w:pPr>
              <w:pStyle w:val="25"/>
              <w:snapToGrid w:val="0"/>
              <w:spacing w:line="420" w:lineRule="exact"/>
              <w:jc w:val="left"/>
              <w:rPr>
                <w:rFonts w:cs="仿宋_GB2312"/>
                <w:bCs/>
                <w:sz w:val="22"/>
                <w:szCs w:val="22"/>
              </w:rPr>
            </w:pPr>
            <w:r>
              <w:rPr>
                <w:rFonts w:hint="eastAsia" w:cs="仿宋_GB2312"/>
                <w:bCs/>
                <w:sz w:val="22"/>
                <w:szCs w:val="22"/>
              </w:rPr>
              <w:t>装订较牢固，目录清楚，逐页编码，页码较准确，较完全响应招标文件要求提供相关资料，表格等一般得1分；</w:t>
            </w:r>
          </w:p>
          <w:p>
            <w:pPr>
              <w:pStyle w:val="25"/>
              <w:snapToGrid w:val="0"/>
              <w:spacing w:line="420" w:lineRule="exact"/>
              <w:jc w:val="left"/>
              <w:rPr>
                <w:rFonts w:cs="仿宋_GB2312"/>
                <w:bCs/>
                <w:sz w:val="22"/>
                <w:szCs w:val="22"/>
              </w:rPr>
            </w:pPr>
            <w:r>
              <w:rPr>
                <w:rFonts w:hint="eastAsia" w:cs="仿宋_GB2312"/>
                <w:bCs/>
                <w:sz w:val="22"/>
                <w:szCs w:val="22"/>
              </w:rPr>
              <w:t>装订不牢固，目录不清楚，有缺页编码，页码较准确，不能完全响应招标文件要求提供相关资料，表格等一般得0.5分。</w:t>
            </w:r>
          </w:p>
        </w:tc>
      </w:tr>
      <w:bookmarkEnd w:id="10"/>
    </w:tbl>
    <w:p>
      <w:pPr>
        <w:pStyle w:val="25"/>
        <w:snapToGrid w:val="0"/>
        <w:spacing w:line="440" w:lineRule="exact"/>
        <w:rPr>
          <w:sz w:val="24"/>
          <w:szCs w:val="24"/>
        </w:rPr>
      </w:pPr>
    </w:p>
    <w:p>
      <w:pPr>
        <w:pStyle w:val="25"/>
        <w:snapToGrid w:val="0"/>
        <w:spacing w:line="500" w:lineRule="exact"/>
        <w:ind w:firstLine="480" w:firstLineChars="200"/>
        <w:rPr>
          <w:sz w:val="24"/>
          <w:szCs w:val="24"/>
        </w:rPr>
      </w:pPr>
      <w:r>
        <w:rPr>
          <w:rFonts w:hint="eastAsia"/>
          <w:sz w:val="24"/>
          <w:szCs w:val="24"/>
        </w:rPr>
        <w:t>对于商务部分（投标报价）的评分，按以下方法进行：价格分统一采用低价优先法计算，即满足招标文件要求且投标价格最低的投标报价为评标基准价，其价格分为满分。其他投标人的价格分统一按照上述公式计算。</w:t>
      </w:r>
    </w:p>
    <w:p>
      <w:pPr>
        <w:pStyle w:val="25"/>
        <w:snapToGrid w:val="0"/>
        <w:spacing w:line="500" w:lineRule="exact"/>
        <w:ind w:left="228" w:firstLine="480" w:firstLineChars="200"/>
        <w:rPr>
          <w:sz w:val="24"/>
          <w:szCs w:val="24"/>
        </w:rPr>
      </w:pPr>
      <w:r>
        <w:rPr>
          <w:rFonts w:hint="eastAsia"/>
          <w:sz w:val="24"/>
          <w:szCs w:val="24"/>
        </w:rPr>
        <w:t>按照评标委员会成员评分结果汇总数的算术平均分计算，计算公式为：</w:t>
      </w:r>
    </w:p>
    <w:p>
      <w:pPr>
        <w:pStyle w:val="25"/>
        <w:snapToGrid w:val="0"/>
        <w:spacing w:line="500" w:lineRule="exact"/>
        <w:ind w:left="228" w:firstLine="480" w:firstLineChars="200"/>
        <w:rPr>
          <w:sz w:val="24"/>
          <w:szCs w:val="24"/>
        </w:rPr>
      </w:pPr>
      <w:r>
        <w:rPr>
          <w:rFonts w:hint="eastAsia"/>
          <w:sz w:val="24"/>
          <w:szCs w:val="24"/>
        </w:rPr>
        <w:t>投标得分=（评标委员会所有成员评分合计数）/（评标委员会组成人员数）</w:t>
      </w:r>
    </w:p>
    <w:p>
      <w:pPr>
        <w:pStyle w:val="84"/>
        <w:spacing w:line="500" w:lineRule="exact"/>
        <w:ind w:firstLine="567"/>
        <w:jc w:val="both"/>
        <w:outlineLvl w:val="2"/>
        <w:rPr>
          <w:rFonts w:ascii="宋体" w:hAnsi="宋体"/>
          <w:color w:val="auto"/>
        </w:rPr>
      </w:pPr>
      <w:r>
        <w:rPr>
          <w:rFonts w:hint="eastAsia" w:ascii="宋体" w:hAnsi="宋体"/>
          <w:color w:val="auto"/>
        </w:rPr>
        <w:t>26. 评标程序</w:t>
      </w:r>
    </w:p>
    <w:p>
      <w:pPr>
        <w:ind w:firstLine="240" w:firstLineChars="100"/>
        <w:outlineLvl w:val="3"/>
        <w:rPr>
          <w:rFonts w:ascii="宋体" w:hAnsi="宋体"/>
          <w:b/>
          <w:sz w:val="24"/>
        </w:rPr>
      </w:pPr>
      <w:r>
        <w:rPr>
          <w:rFonts w:hint="eastAsia" w:ascii="宋体" w:hAnsi="宋体"/>
          <w:sz w:val="24"/>
          <w:szCs w:val="24"/>
        </w:rPr>
        <w:t xml:space="preserve">26.1 </w:t>
      </w:r>
      <w:r>
        <w:rPr>
          <w:rFonts w:hint="eastAsia" w:ascii="宋体" w:hAnsi="宋体"/>
          <w:b/>
          <w:sz w:val="24"/>
        </w:rPr>
        <w:t>投标文件的初步评审为《资格审查》和《符合性评审》。</w:t>
      </w:r>
    </w:p>
    <w:p>
      <w:pPr>
        <w:ind w:firstLine="240" w:firstLineChars="100"/>
        <w:rPr>
          <w:rFonts w:ascii="宋体" w:hAnsi="宋体"/>
          <w:b/>
          <w:sz w:val="24"/>
        </w:rPr>
      </w:pPr>
      <w:r>
        <w:rPr>
          <w:rFonts w:hint="eastAsia" w:ascii="宋体" w:hAnsi="宋体"/>
          <w:sz w:val="24"/>
          <w:szCs w:val="24"/>
        </w:rPr>
        <w:t>26.</w:t>
      </w:r>
      <w:r>
        <w:rPr>
          <w:rFonts w:hint="eastAsia" w:ascii="宋体" w:hAnsi="宋体"/>
          <w:b/>
          <w:sz w:val="24"/>
        </w:rPr>
        <w:t>2.资格审查：招标代理机构将依法对投标人的资格进行审查，以确定投标人是否具备本项目要求的资格。</w:t>
      </w:r>
    </w:p>
    <w:p>
      <w:pPr>
        <w:rPr>
          <w:rFonts w:asciiTheme="minorEastAsia" w:hAnsiTheme="minorEastAsia" w:eastAsiaTheme="minorEastAsia"/>
          <w:b/>
          <w:sz w:val="24"/>
          <w:lang w:val="zh-CN"/>
        </w:rPr>
      </w:pPr>
      <w:r>
        <w:rPr>
          <w:rFonts w:hint="eastAsia" w:asciiTheme="minorEastAsia" w:hAnsiTheme="minorEastAsia" w:eastAsiaTheme="minorEastAsia"/>
          <w:b/>
          <w:sz w:val="24"/>
          <w:lang w:val="zh-CN"/>
        </w:rPr>
        <w:br w:type="page"/>
      </w:r>
    </w:p>
    <w:p>
      <w:pPr>
        <w:autoSpaceDE w:val="0"/>
        <w:autoSpaceDN w:val="0"/>
        <w:adjustRightInd w:val="0"/>
        <w:spacing w:line="460" w:lineRule="exact"/>
        <w:ind w:firstLine="480" w:firstLineChars="200"/>
        <w:jc w:val="center"/>
        <w:rPr>
          <w:rFonts w:asciiTheme="minorEastAsia" w:hAnsiTheme="minorEastAsia" w:eastAsiaTheme="minorEastAsia"/>
          <w:b/>
          <w:sz w:val="24"/>
          <w:lang w:val="zh-CN"/>
        </w:rPr>
      </w:pPr>
      <w:r>
        <w:rPr>
          <w:rFonts w:hint="eastAsia" w:asciiTheme="minorEastAsia" w:hAnsiTheme="minorEastAsia" w:eastAsiaTheme="minorEastAsia"/>
          <w:b/>
          <w:sz w:val="24"/>
          <w:lang w:val="zh-CN"/>
        </w:rPr>
        <w:t>资格审查</w:t>
      </w:r>
    </w:p>
    <w:tbl>
      <w:tblPr>
        <w:tblStyle w:val="4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58"/>
        <w:gridCol w:w="85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71" w:hRule="atLeast"/>
          <w:jc w:val="center"/>
        </w:trPr>
        <w:tc>
          <w:tcPr>
            <w:tcW w:w="558" w:type="dxa"/>
            <w:noWrap/>
            <w:tcMar>
              <w:top w:w="0" w:type="dxa"/>
              <w:left w:w="28" w:type="dxa"/>
              <w:bottom w:w="0" w:type="dxa"/>
              <w:right w:w="28" w:type="dxa"/>
            </w:tcMar>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8596" w:type="dxa"/>
            <w:noWrap/>
            <w:tcMar>
              <w:top w:w="0" w:type="dxa"/>
              <w:left w:w="28" w:type="dxa"/>
              <w:bottom w:w="0" w:type="dxa"/>
              <w:right w:w="28" w:type="dxa"/>
            </w:tcMar>
            <w:vAlign w:val="center"/>
          </w:tcPr>
          <w:p>
            <w:pPr>
              <w:spacing w:line="360" w:lineRule="auto"/>
              <w:jc w:val="center"/>
              <w:rPr>
                <w:rFonts w:ascii="宋体" w:hAnsi="宋体" w:cs="宋体"/>
                <w:sz w:val="24"/>
                <w:szCs w:val="24"/>
              </w:rPr>
            </w:pPr>
            <w:r>
              <w:rPr>
                <w:rFonts w:hint="eastAsia" w:ascii="宋体" w:hAnsi="宋体" w:cs="宋体"/>
                <w:sz w:val="24"/>
                <w:szCs w:val="24"/>
              </w:rPr>
              <w:t>审查标准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7" w:hRule="atLeast"/>
          <w:jc w:val="center"/>
        </w:trPr>
        <w:tc>
          <w:tcPr>
            <w:tcW w:w="558" w:type="dxa"/>
            <w:noWrap/>
            <w:tcMar>
              <w:top w:w="0" w:type="dxa"/>
              <w:left w:w="28" w:type="dxa"/>
              <w:bottom w:w="0" w:type="dxa"/>
              <w:right w:w="28" w:type="dxa"/>
            </w:tcMar>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8596" w:type="dxa"/>
            <w:noWrap/>
            <w:tcMar>
              <w:top w:w="0" w:type="dxa"/>
              <w:left w:w="28" w:type="dxa"/>
              <w:bottom w:w="0" w:type="dxa"/>
              <w:right w:w="28" w:type="dxa"/>
            </w:tcMar>
            <w:vAlign w:val="center"/>
          </w:tcPr>
          <w:p>
            <w:pPr>
              <w:jc w:val="center"/>
              <w:rPr>
                <w:rFonts w:ascii="宋体" w:hAnsi="宋体" w:cs="宋体"/>
                <w:sz w:val="24"/>
                <w:szCs w:val="24"/>
              </w:rPr>
            </w:pPr>
            <w:r>
              <w:rPr>
                <w:rFonts w:hint="eastAsia" w:ascii="宋体" w:hAnsi="宋体" w:cs="宋体"/>
                <w:sz w:val="24"/>
                <w:szCs w:val="24"/>
              </w:rPr>
              <w:t>营业执照副本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07" w:hRule="atLeast"/>
          <w:jc w:val="center"/>
        </w:trPr>
        <w:tc>
          <w:tcPr>
            <w:tcW w:w="558" w:type="dxa"/>
            <w:noWrap/>
            <w:tcMar>
              <w:top w:w="0" w:type="dxa"/>
              <w:left w:w="28" w:type="dxa"/>
              <w:bottom w:w="0" w:type="dxa"/>
              <w:right w:w="28" w:type="dxa"/>
            </w:tcMar>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8596" w:type="dxa"/>
            <w:noWrap/>
            <w:tcMar>
              <w:top w:w="0" w:type="dxa"/>
              <w:left w:w="28" w:type="dxa"/>
              <w:bottom w:w="0" w:type="dxa"/>
              <w:right w:w="28" w:type="dxa"/>
            </w:tcMar>
            <w:vAlign w:val="center"/>
          </w:tcPr>
          <w:p>
            <w:pPr>
              <w:jc w:val="center"/>
              <w:rPr>
                <w:rFonts w:ascii="宋体" w:hAnsi="宋体" w:cs="宋体"/>
                <w:sz w:val="24"/>
                <w:szCs w:val="24"/>
              </w:rPr>
            </w:pPr>
            <w:r>
              <w:rPr>
                <w:rFonts w:hint="eastAsia" w:ascii="宋体" w:hAnsi="宋体" w:cs="宋体"/>
                <w:sz w:val="24"/>
                <w:szCs w:val="24"/>
              </w:rPr>
              <w:t>法人身份证明书及法人身份证或法定代表人授权委托书及被授权人身份证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7" w:hRule="atLeast"/>
          <w:jc w:val="center"/>
        </w:trPr>
        <w:tc>
          <w:tcPr>
            <w:tcW w:w="558" w:type="dxa"/>
            <w:noWrap/>
            <w:tcMar>
              <w:top w:w="0" w:type="dxa"/>
              <w:left w:w="28" w:type="dxa"/>
              <w:bottom w:w="0" w:type="dxa"/>
              <w:right w:w="28" w:type="dxa"/>
            </w:tcMar>
            <w:vAlign w:val="center"/>
          </w:tcPr>
          <w:p>
            <w:pPr>
              <w:jc w:val="center"/>
              <w:rPr>
                <w:rFonts w:ascii="宋体" w:hAnsi="宋体" w:cs="宋体"/>
                <w:sz w:val="24"/>
                <w:szCs w:val="24"/>
              </w:rPr>
            </w:pPr>
            <w:r>
              <w:rPr>
                <w:rFonts w:hint="eastAsia" w:ascii="宋体" w:hAnsi="宋体" w:cs="宋体"/>
                <w:sz w:val="24"/>
                <w:szCs w:val="24"/>
              </w:rPr>
              <w:t>3</w:t>
            </w:r>
          </w:p>
        </w:tc>
        <w:tc>
          <w:tcPr>
            <w:tcW w:w="8596" w:type="dxa"/>
            <w:noWrap/>
            <w:tcMar>
              <w:top w:w="0" w:type="dxa"/>
              <w:left w:w="28" w:type="dxa"/>
              <w:bottom w:w="0" w:type="dxa"/>
              <w:right w:w="28" w:type="dxa"/>
            </w:tcMar>
            <w:vAlign w:val="center"/>
          </w:tcPr>
          <w:p>
            <w:pPr>
              <w:jc w:val="center"/>
              <w:rPr>
                <w:rFonts w:ascii="宋体" w:hAnsi="宋体" w:cs="宋体"/>
                <w:sz w:val="24"/>
                <w:szCs w:val="24"/>
              </w:rPr>
            </w:pPr>
            <w:r>
              <w:rPr>
                <w:rFonts w:hint="eastAsia" w:ascii="宋体" w:hAnsi="宋体" w:cs="宋体"/>
                <w:sz w:val="24"/>
                <w:szCs w:val="24"/>
              </w:rPr>
              <w:t>供应商如在“信用中国”网站（www.creditchina.gov.cn）被列入失信被执行人、重大税收违法案件当事人名单、中国政府采购网（www.ccgp.gov.cn）被列入政府采购严重违法失信行为记录名单的（尚在处罚期内的），将拒绝本次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27" w:hRule="atLeast"/>
          <w:jc w:val="center"/>
        </w:trPr>
        <w:tc>
          <w:tcPr>
            <w:tcW w:w="558" w:type="dxa"/>
            <w:noWrap/>
            <w:tcMar>
              <w:top w:w="0" w:type="dxa"/>
              <w:left w:w="28" w:type="dxa"/>
              <w:bottom w:w="0" w:type="dxa"/>
              <w:right w:w="28" w:type="dxa"/>
            </w:tcMar>
            <w:vAlign w:val="center"/>
          </w:tcPr>
          <w:p>
            <w:pPr>
              <w:jc w:val="center"/>
              <w:rPr>
                <w:rFonts w:ascii="宋体" w:hAnsi="宋体" w:cs="宋体"/>
                <w:sz w:val="24"/>
                <w:szCs w:val="24"/>
              </w:rPr>
            </w:pPr>
            <w:r>
              <w:rPr>
                <w:rFonts w:hint="eastAsia" w:ascii="宋体" w:hAnsi="宋体" w:cs="宋体"/>
                <w:sz w:val="24"/>
                <w:szCs w:val="24"/>
              </w:rPr>
              <w:t>4</w:t>
            </w:r>
          </w:p>
        </w:tc>
        <w:tc>
          <w:tcPr>
            <w:tcW w:w="8596" w:type="dxa"/>
            <w:noWrap/>
            <w:tcMar>
              <w:top w:w="0" w:type="dxa"/>
              <w:left w:w="28" w:type="dxa"/>
              <w:bottom w:w="0" w:type="dxa"/>
              <w:right w:w="28" w:type="dxa"/>
            </w:tcMar>
            <w:vAlign w:val="center"/>
          </w:tcPr>
          <w:p>
            <w:pPr>
              <w:jc w:val="center"/>
              <w:rPr>
                <w:rFonts w:ascii="宋体" w:hAnsi="宋体" w:cs="宋体"/>
                <w:sz w:val="24"/>
                <w:szCs w:val="24"/>
              </w:rPr>
            </w:pPr>
            <w:r>
              <w:rPr>
                <w:rFonts w:hint="eastAsia" w:ascii="宋体" w:hAnsi="宋体" w:cs="宋体"/>
                <w:sz w:val="24"/>
                <w:szCs w:val="24"/>
              </w:rPr>
              <w:t>投标保证金缴纳凭证；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93" w:hRule="atLeast"/>
          <w:jc w:val="center"/>
        </w:trPr>
        <w:tc>
          <w:tcPr>
            <w:tcW w:w="9154" w:type="dxa"/>
            <w:gridSpan w:val="2"/>
            <w:noWrap/>
            <w:tcMar>
              <w:top w:w="0" w:type="dxa"/>
              <w:left w:w="28" w:type="dxa"/>
              <w:bottom w:w="0" w:type="dxa"/>
              <w:right w:w="28" w:type="dxa"/>
            </w:tcMar>
            <w:vAlign w:val="center"/>
          </w:tcPr>
          <w:p>
            <w:pPr>
              <w:spacing w:line="360" w:lineRule="auto"/>
              <w:jc w:val="center"/>
              <w:rPr>
                <w:rFonts w:ascii="宋体" w:hAnsi="宋体" w:cs="宋体"/>
                <w:sz w:val="24"/>
                <w:szCs w:val="24"/>
              </w:rPr>
            </w:pPr>
            <w:r>
              <w:rPr>
                <w:rFonts w:hint="eastAsia" w:ascii="宋体" w:hAnsi="宋体" w:cs="宋体"/>
                <w:sz w:val="24"/>
                <w:szCs w:val="24"/>
              </w:rPr>
              <w:t>备注：如果资格审查中有一项不满足审查标准的，将认定该供应商不通过有效性审查，响应文件将被拒绝评审。</w:t>
            </w:r>
          </w:p>
        </w:tc>
      </w:tr>
    </w:tbl>
    <w:p>
      <w:pPr>
        <w:pStyle w:val="2"/>
        <w:rPr>
          <w:lang w:val="zh-CN"/>
        </w:rPr>
      </w:pPr>
    </w:p>
    <w:p>
      <w:pPr>
        <w:ind w:firstLine="240" w:firstLineChars="100"/>
        <w:rPr>
          <w:rFonts w:ascii="宋体" w:hAnsi="宋体"/>
          <w:b/>
          <w:sz w:val="24"/>
        </w:rPr>
      </w:pPr>
      <w:r>
        <w:rPr>
          <w:rFonts w:hint="eastAsia" w:ascii="宋体" w:hAnsi="宋体"/>
          <w:b/>
          <w:sz w:val="24"/>
        </w:rPr>
        <w:t>26.3.符合性审查：评标委员会依据招标文件，对投标文件的有效性、完整性和对招标文件的响应程度进行审查，以确定投标人是否对招标文件的实质性要求做出响应。</w:t>
      </w:r>
    </w:p>
    <w:p>
      <w:pPr>
        <w:autoSpaceDE w:val="0"/>
        <w:autoSpaceDN w:val="0"/>
        <w:adjustRightInd w:val="0"/>
        <w:spacing w:line="460" w:lineRule="exact"/>
        <w:ind w:firstLine="480" w:firstLineChars="200"/>
        <w:jc w:val="center"/>
        <w:rPr>
          <w:rFonts w:asciiTheme="minorEastAsia" w:hAnsiTheme="minorEastAsia" w:eastAsiaTheme="minorEastAsia"/>
          <w:b/>
          <w:sz w:val="24"/>
          <w:lang w:val="zh-CN"/>
        </w:rPr>
      </w:pPr>
      <w:r>
        <w:rPr>
          <w:rFonts w:hint="eastAsia" w:asciiTheme="minorEastAsia" w:hAnsiTheme="minorEastAsia" w:eastAsiaTheme="minorEastAsia"/>
          <w:b/>
          <w:sz w:val="24"/>
          <w:lang w:val="zh-CN"/>
        </w:rPr>
        <w:t>符合审查</w:t>
      </w:r>
    </w:p>
    <w:tbl>
      <w:tblPr>
        <w:tblStyle w:val="42"/>
        <w:tblW w:w="97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9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b/>
                <w:bCs/>
                <w:szCs w:val="21"/>
              </w:rPr>
            </w:pPr>
            <w:r>
              <w:rPr>
                <w:rFonts w:hint="eastAsia" w:ascii="宋体" w:hAnsi="宋体"/>
                <w:b/>
                <w:bCs/>
                <w:sz w:val="24"/>
                <w:szCs w:val="24"/>
              </w:rPr>
              <w:t>序号</w:t>
            </w:r>
          </w:p>
        </w:tc>
        <w:tc>
          <w:tcPr>
            <w:tcW w:w="9070" w:type="dxa"/>
            <w:vAlign w:val="center"/>
          </w:tcPr>
          <w:p>
            <w:pPr>
              <w:spacing w:line="440" w:lineRule="exact"/>
              <w:jc w:val="center"/>
              <w:rPr>
                <w:rFonts w:ascii="宋体" w:hAnsi="宋体"/>
                <w:b/>
                <w:bCs/>
                <w:szCs w:val="21"/>
              </w:rPr>
            </w:pPr>
            <w:r>
              <w:rPr>
                <w:rFonts w:hint="eastAsia" w:ascii="宋体" w:hAnsi="宋体"/>
                <w:b/>
                <w:bCs/>
                <w:sz w:val="24"/>
                <w:szCs w:val="24"/>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trPr>
        <w:tc>
          <w:tcPr>
            <w:tcW w:w="687" w:type="dxa"/>
            <w:vAlign w:val="center"/>
          </w:tcPr>
          <w:p>
            <w:pPr>
              <w:spacing w:line="440" w:lineRule="exact"/>
              <w:jc w:val="center"/>
              <w:rPr>
                <w:rFonts w:ascii="宋体" w:hAnsi="宋体"/>
                <w:szCs w:val="21"/>
              </w:rPr>
            </w:pPr>
            <w:r>
              <w:rPr>
                <w:rFonts w:hint="eastAsia" w:ascii="宋体" w:hAnsi="宋体"/>
                <w:szCs w:val="21"/>
              </w:rPr>
              <w:t>1</w:t>
            </w:r>
          </w:p>
        </w:tc>
        <w:tc>
          <w:tcPr>
            <w:tcW w:w="9070" w:type="dxa"/>
            <w:vAlign w:val="center"/>
          </w:tcPr>
          <w:p>
            <w:pPr>
              <w:jc w:val="center"/>
              <w:rPr>
                <w:rFonts w:ascii="宋体" w:hAnsi="宋体" w:cs="宋体"/>
                <w:sz w:val="24"/>
                <w:szCs w:val="24"/>
              </w:rPr>
            </w:pPr>
            <w:r>
              <w:rPr>
                <w:rFonts w:hint="eastAsia" w:ascii="宋体" w:hAnsi="宋体" w:cs="宋体"/>
                <w:sz w:val="24"/>
                <w:szCs w:val="24"/>
              </w:rPr>
              <w:t>投标文件是否按招标文件的要求加盖供应商单位公章、法定代表人或其委托代理人签字或盖章；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687" w:type="dxa"/>
            <w:vAlign w:val="center"/>
          </w:tcPr>
          <w:p>
            <w:pPr>
              <w:spacing w:line="440" w:lineRule="exact"/>
              <w:jc w:val="center"/>
              <w:rPr>
                <w:rFonts w:ascii="宋体" w:hAnsi="宋体"/>
                <w:szCs w:val="21"/>
              </w:rPr>
            </w:pPr>
            <w:r>
              <w:rPr>
                <w:rFonts w:hint="eastAsia" w:ascii="宋体" w:hAnsi="宋体"/>
                <w:szCs w:val="21"/>
              </w:rPr>
              <w:t>2</w:t>
            </w:r>
          </w:p>
        </w:tc>
        <w:tc>
          <w:tcPr>
            <w:tcW w:w="9070" w:type="dxa"/>
            <w:vAlign w:val="center"/>
          </w:tcPr>
          <w:p>
            <w:pPr>
              <w:jc w:val="center"/>
              <w:rPr>
                <w:rFonts w:ascii="宋体" w:hAnsi="宋体" w:cs="宋体"/>
                <w:sz w:val="24"/>
                <w:szCs w:val="24"/>
              </w:rPr>
            </w:pPr>
            <w:r>
              <w:rPr>
                <w:rFonts w:hint="eastAsia" w:ascii="宋体" w:hAnsi="宋体" w:cs="宋体"/>
                <w:sz w:val="24"/>
                <w:szCs w:val="24"/>
              </w:rPr>
              <w:t>供应商是否对同一采购项目做出两个以上报价而未明确效力；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szCs w:val="21"/>
              </w:rPr>
            </w:pPr>
            <w:r>
              <w:rPr>
                <w:rFonts w:hint="eastAsia" w:ascii="宋体" w:hAnsi="宋体"/>
                <w:szCs w:val="21"/>
              </w:rPr>
              <w:t>3</w:t>
            </w:r>
          </w:p>
        </w:tc>
        <w:tc>
          <w:tcPr>
            <w:tcW w:w="9070" w:type="dxa"/>
            <w:vAlign w:val="center"/>
          </w:tcPr>
          <w:p>
            <w:pPr>
              <w:jc w:val="center"/>
              <w:rPr>
                <w:rFonts w:ascii="宋体" w:hAnsi="宋体" w:cs="宋体"/>
                <w:sz w:val="24"/>
                <w:szCs w:val="24"/>
              </w:rPr>
            </w:pPr>
            <w:r>
              <w:rPr>
                <w:rFonts w:hint="eastAsia" w:ascii="宋体" w:hAnsi="宋体" w:cs="宋体"/>
                <w:sz w:val="24"/>
                <w:szCs w:val="24"/>
              </w:rPr>
              <w:t>投标文件的投标报价不得高于最高限价；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szCs w:val="21"/>
              </w:rPr>
            </w:pPr>
            <w:r>
              <w:rPr>
                <w:rFonts w:hint="eastAsia" w:ascii="宋体" w:hAnsi="宋体"/>
                <w:szCs w:val="21"/>
              </w:rPr>
              <w:t>4</w:t>
            </w:r>
          </w:p>
        </w:tc>
        <w:tc>
          <w:tcPr>
            <w:tcW w:w="9070" w:type="dxa"/>
            <w:vAlign w:val="center"/>
          </w:tcPr>
          <w:p>
            <w:pPr>
              <w:jc w:val="center"/>
              <w:rPr>
                <w:rFonts w:ascii="宋体" w:hAnsi="宋体" w:cs="宋体"/>
                <w:sz w:val="24"/>
                <w:szCs w:val="24"/>
              </w:rPr>
            </w:pPr>
            <w:r>
              <w:rPr>
                <w:rFonts w:hint="eastAsia" w:ascii="宋体" w:hAnsi="宋体" w:cs="宋体"/>
                <w:sz w:val="24"/>
                <w:szCs w:val="24"/>
              </w:rPr>
              <w:t>供应商是否按招标文件要求投标保证金；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rPr>
                <w:rFonts w:ascii="宋体" w:hAnsi="宋体"/>
                <w:szCs w:val="21"/>
              </w:rPr>
            </w:pPr>
            <w:r>
              <w:rPr>
                <w:rFonts w:hint="eastAsia" w:ascii="宋体" w:hAnsi="宋体"/>
                <w:szCs w:val="21"/>
              </w:rPr>
              <w:t>5</w:t>
            </w:r>
          </w:p>
        </w:tc>
        <w:tc>
          <w:tcPr>
            <w:tcW w:w="9070" w:type="dxa"/>
            <w:vAlign w:val="center"/>
          </w:tcPr>
          <w:p>
            <w:pPr>
              <w:jc w:val="center"/>
              <w:rPr>
                <w:rFonts w:ascii="宋体" w:hAnsi="宋体" w:cs="宋体"/>
                <w:sz w:val="24"/>
                <w:szCs w:val="24"/>
              </w:rPr>
            </w:pPr>
            <w:r>
              <w:rPr>
                <w:rFonts w:hint="eastAsia" w:ascii="宋体" w:hAnsi="宋体" w:cs="宋体"/>
                <w:sz w:val="24"/>
                <w:szCs w:val="24"/>
              </w:rPr>
              <w:t>投标文件与事实不符或提供虚假或失实资料的；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rPr>
                <w:rFonts w:ascii="宋体" w:hAnsi="宋体"/>
                <w:szCs w:val="21"/>
              </w:rPr>
            </w:pPr>
            <w:r>
              <w:rPr>
                <w:rFonts w:hint="eastAsia" w:ascii="宋体" w:hAnsi="宋体"/>
                <w:szCs w:val="21"/>
              </w:rPr>
              <w:t>6</w:t>
            </w:r>
          </w:p>
        </w:tc>
        <w:tc>
          <w:tcPr>
            <w:tcW w:w="9070" w:type="dxa"/>
            <w:vAlign w:val="center"/>
          </w:tcPr>
          <w:p>
            <w:pPr>
              <w:jc w:val="center"/>
              <w:rPr>
                <w:rFonts w:ascii="宋体" w:hAnsi="宋体" w:cs="宋体"/>
                <w:sz w:val="24"/>
                <w:szCs w:val="24"/>
              </w:rPr>
            </w:pPr>
            <w:r>
              <w:rPr>
                <w:rFonts w:hint="eastAsia" w:ascii="宋体" w:hAnsi="宋体" w:cs="宋体"/>
                <w:sz w:val="24"/>
                <w:szCs w:val="24"/>
              </w:rPr>
              <w:t>技术参数中“★”为实质性要求，“★”不满足的，予以废标处理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szCs w:val="21"/>
              </w:rPr>
            </w:pPr>
            <w:r>
              <w:rPr>
                <w:rFonts w:hint="eastAsia" w:ascii="宋体" w:hAnsi="宋体"/>
                <w:szCs w:val="21"/>
              </w:rPr>
              <w:t>7</w:t>
            </w:r>
          </w:p>
        </w:tc>
        <w:tc>
          <w:tcPr>
            <w:tcW w:w="9070" w:type="dxa"/>
            <w:vAlign w:val="center"/>
          </w:tcPr>
          <w:p>
            <w:pPr>
              <w:jc w:val="center"/>
              <w:rPr>
                <w:rFonts w:ascii="宋体" w:hAnsi="宋体" w:cs="宋体"/>
                <w:sz w:val="24"/>
                <w:szCs w:val="24"/>
              </w:rPr>
            </w:pPr>
            <w:r>
              <w:rPr>
                <w:rFonts w:hint="eastAsia" w:ascii="宋体" w:hAnsi="宋体" w:cs="宋体"/>
                <w:sz w:val="24"/>
                <w:szCs w:val="24"/>
              </w:rPr>
              <w:t>不符合法律、法规和招标文件中规定的其他要求，以及其他评委小组认为不能实质上满足招标文件要求的。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cs="宋体"/>
                <w:b/>
                <w:sz w:val="24"/>
                <w:lang w:val="zh-CN"/>
              </w:rPr>
            </w:pPr>
            <w:r>
              <w:rPr>
                <w:rFonts w:hint="eastAsia" w:ascii="宋体" w:hAnsi="宋体"/>
                <w:b/>
                <w:szCs w:val="21"/>
              </w:rPr>
              <w:t>备注</w:t>
            </w:r>
          </w:p>
        </w:tc>
        <w:tc>
          <w:tcPr>
            <w:tcW w:w="9070" w:type="dxa"/>
            <w:vAlign w:val="center"/>
          </w:tcPr>
          <w:p>
            <w:pPr>
              <w:jc w:val="center"/>
              <w:rPr>
                <w:rFonts w:ascii="宋体" w:hAnsi="宋体"/>
                <w:b/>
                <w:szCs w:val="21"/>
              </w:rPr>
            </w:pPr>
            <w:r>
              <w:rPr>
                <w:rFonts w:ascii="宋体" w:hAnsi="宋体"/>
                <w:b/>
                <w:szCs w:val="21"/>
              </w:rPr>
              <w:t>响应文件有上述符合性评审之一的，为未能对</w:t>
            </w:r>
            <w:r>
              <w:rPr>
                <w:rFonts w:hint="eastAsia" w:ascii="宋体" w:hAnsi="宋体"/>
                <w:b/>
                <w:szCs w:val="21"/>
              </w:rPr>
              <w:t>招标</w:t>
            </w:r>
            <w:r>
              <w:rPr>
                <w:rFonts w:ascii="宋体" w:hAnsi="宋体"/>
                <w:b/>
                <w:szCs w:val="21"/>
              </w:rPr>
              <w:t>文件做出实质性响应，作废标处理，不再进入以后的评标程序。</w:t>
            </w:r>
          </w:p>
        </w:tc>
      </w:tr>
    </w:tbl>
    <w:p>
      <w:pPr>
        <w:spacing w:line="500" w:lineRule="exact"/>
        <w:ind w:firstLine="560"/>
        <w:rPr>
          <w:rFonts w:ascii="宋体" w:hAnsi="宋体"/>
          <w:sz w:val="24"/>
          <w:szCs w:val="24"/>
        </w:rPr>
      </w:pPr>
    </w:p>
    <w:p>
      <w:pPr>
        <w:spacing w:line="500" w:lineRule="exact"/>
        <w:ind w:firstLine="480" w:firstLineChars="200"/>
        <w:rPr>
          <w:rFonts w:ascii="宋体" w:hAnsi="宋体"/>
          <w:b/>
          <w:bCs/>
          <w:kern w:val="0"/>
          <w:sz w:val="24"/>
          <w:szCs w:val="24"/>
        </w:rPr>
      </w:pPr>
      <w:r>
        <w:rPr>
          <w:rFonts w:hint="eastAsia" w:ascii="宋体" w:hAnsi="宋体"/>
          <w:b/>
          <w:sz w:val="24"/>
          <w:szCs w:val="24"/>
        </w:rPr>
        <w:t xml:space="preserve">26.6 </w:t>
      </w:r>
      <w:r>
        <w:rPr>
          <w:rFonts w:hint="eastAsia" w:ascii="宋体" w:hAnsi="宋体"/>
          <w:b/>
          <w:bCs/>
          <w:sz w:val="24"/>
          <w:szCs w:val="24"/>
        </w:rPr>
        <w:t>投标文件属下列情况之一的，应</w:t>
      </w:r>
      <w:r>
        <w:rPr>
          <w:rFonts w:hint="eastAsia" w:ascii="宋体" w:hAnsi="宋体"/>
          <w:b/>
          <w:bCs/>
          <w:kern w:val="0"/>
          <w:sz w:val="24"/>
          <w:szCs w:val="24"/>
        </w:rPr>
        <w:t>当在资格性检查时按照无效投标处理：</w:t>
      </w:r>
    </w:p>
    <w:p>
      <w:pPr>
        <w:spacing w:line="500" w:lineRule="exact"/>
        <w:ind w:firstLine="480" w:firstLineChars="200"/>
        <w:rPr>
          <w:rFonts w:ascii="宋体" w:hAnsi="宋体"/>
          <w:kern w:val="0"/>
          <w:sz w:val="24"/>
          <w:szCs w:val="24"/>
        </w:rPr>
      </w:pPr>
      <w:r>
        <w:rPr>
          <w:rFonts w:hint="eastAsia" w:ascii="宋体" w:hAnsi="宋体"/>
          <w:kern w:val="0"/>
          <w:sz w:val="24"/>
          <w:szCs w:val="24"/>
        </w:rPr>
        <w:t xml:space="preserve"> (一)不具备招标文件中规定的资格要求的;</w:t>
      </w:r>
    </w:p>
    <w:p>
      <w:pPr>
        <w:spacing w:line="500" w:lineRule="exact"/>
        <w:ind w:firstLine="720" w:firstLineChars="300"/>
        <w:rPr>
          <w:rFonts w:ascii="宋体" w:hAnsi="宋体"/>
          <w:kern w:val="0"/>
          <w:sz w:val="24"/>
          <w:szCs w:val="24"/>
        </w:rPr>
      </w:pPr>
      <w:r>
        <w:rPr>
          <w:rFonts w:hint="eastAsia" w:ascii="宋体" w:hAnsi="宋体"/>
          <w:kern w:val="0"/>
          <w:sz w:val="24"/>
          <w:szCs w:val="24"/>
        </w:rPr>
        <w:t>(二)法律、法规和招标文件规定的其他无效情形。</w:t>
      </w:r>
    </w:p>
    <w:p>
      <w:pPr>
        <w:spacing w:line="500" w:lineRule="exact"/>
        <w:ind w:firstLine="480" w:firstLineChars="200"/>
        <w:rPr>
          <w:rFonts w:ascii="宋体" w:hAnsi="宋体"/>
          <w:kern w:val="0"/>
          <w:sz w:val="24"/>
          <w:szCs w:val="24"/>
        </w:rPr>
      </w:pPr>
      <w:r>
        <w:rPr>
          <w:rFonts w:hint="eastAsia" w:ascii="宋体" w:hAnsi="宋体"/>
          <w:sz w:val="24"/>
          <w:szCs w:val="24"/>
        </w:rPr>
        <w:t>26.7</w:t>
      </w:r>
      <w:r>
        <w:rPr>
          <w:rFonts w:hint="eastAsia" w:ascii="宋体" w:hAnsi="宋体"/>
          <w:b/>
          <w:bCs/>
          <w:kern w:val="0"/>
          <w:sz w:val="24"/>
          <w:szCs w:val="24"/>
        </w:rPr>
        <w:t>在招标采购中，出现下列规定情形之一的，招标采购单位应当予以废标，并将废标理由通知所有投标供应商。</w:t>
      </w:r>
    </w:p>
    <w:p>
      <w:pPr>
        <w:spacing w:line="500" w:lineRule="exact"/>
        <w:ind w:firstLine="480" w:firstLineChars="200"/>
        <w:rPr>
          <w:rFonts w:ascii="宋体" w:hAnsi="宋体"/>
          <w:kern w:val="0"/>
          <w:sz w:val="24"/>
          <w:szCs w:val="24"/>
        </w:rPr>
      </w:pPr>
      <w:r>
        <w:rPr>
          <w:rFonts w:ascii="宋体" w:hAnsi="宋体"/>
          <w:kern w:val="0"/>
          <w:sz w:val="24"/>
          <w:szCs w:val="24"/>
        </w:rPr>
        <w:t>（一）符合专业条件的供应商或者对招标文件作实质响应的供应商不足三家的；</w:t>
      </w:r>
    </w:p>
    <w:p>
      <w:pPr>
        <w:spacing w:line="500" w:lineRule="exact"/>
        <w:outlineLvl w:val="4"/>
        <w:rPr>
          <w:rFonts w:ascii="宋体" w:hAnsi="宋体"/>
          <w:kern w:val="0"/>
          <w:sz w:val="24"/>
          <w:szCs w:val="24"/>
        </w:rPr>
      </w:pPr>
      <w:r>
        <w:rPr>
          <w:rFonts w:ascii="宋体" w:hAnsi="宋体"/>
          <w:kern w:val="0"/>
          <w:sz w:val="24"/>
          <w:szCs w:val="24"/>
        </w:rPr>
        <w:t>　　（二）出现影响采购公正的违法、违规行为的；</w:t>
      </w:r>
    </w:p>
    <w:p>
      <w:pPr>
        <w:spacing w:line="500" w:lineRule="exact"/>
        <w:rPr>
          <w:rFonts w:ascii="宋体" w:hAnsi="宋体"/>
          <w:kern w:val="0"/>
          <w:sz w:val="24"/>
          <w:szCs w:val="24"/>
        </w:rPr>
      </w:pPr>
      <w:r>
        <w:rPr>
          <w:rFonts w:ascii="宋体" w:hAnsi="宋体"/>
          <w:kern w:val="0"/>
          <w:sz w:val="24"/>
          <w:szCs w:val="24"/>
        </w:rPr>
        <w:t>　　（三）投标供应商的报价均超过了采购预算，采购人不能支付的；</w:t>
      </w:r>
    </w:p>
    <w:p>
      <w:pPr>
        <w:spacing w:line="500" w:lineRule="exact"/>
        <w:outlineLvl w:val="4"/>
        <w:rPr>
          <w:rFonts w:ascii="宋体" w:hAnsi="宋体"/>
          <w:kern w:val="0"/>
          <w:sz w:val="24"/>
          <w:szCs w:val="24"/>
        </w:rPr>
      </w:pPr>
      <w:r>
        <w:rPr>
          <w:rFonts w:ascii="宋体" w:hAnsi="宋体"/>
          <w:kern w:val="0"/>
          <w:sz w:val="24"/>
          <w:szCs w:val="24"/>
        </w:rPr>
        <w:t>　　（四）因重大变故，采购任务取消的。</w:t>
      </w:r>
    </w:p>
    <w:p>
      <w:pPr>
        <w:spacing w:line="500" w:lineRule="exact"/>
        <w:rPr>
          <w:rFonts w:ascii="宋体" w:hAnsi="宋体"/>
          <w:kern w:val="0"/>
          <w:sz w:val="24"/>
          <w:szCs w:val="24"/>
        </w:rPr>
      </w:pPr>
      <w:r>
        <w:rPr>
          <w:rFonts w:hint="eastAsia" w:ascii="宋体" w:hAnsi="宋体"/>
          <w:kern w:val="0"/>
          <w:sz w:val="24"/>
          <w:szCs w:val="24"/>
        </w:rPr>
        <w:t xml:space="preserve">    26.8 废标后，除采购任务取消情形外，招标采购单位应当重新组织招标。需要采取其他采购方式的，应当在采购活动开始前获得设区的市、自治州以上人民政府财政部门的批准。</w:t>
      </w:r>
    </w:p>
    <w:p>
      <w:pPr>
        <w:spacing w:line="500" w:lineRule="exact"/>
        <w:ind w:firstLine="480" w:firstLineChars="200"/>
        <w:outlineLvl w:val="2"/>
        <w:rPr>
          <w:rFonts w:ascii="宋体" w:hAnsi="宋体"/>
          <w:kern w:val="0"/>
          <w:sz w:val="24"/>
          <w:szCs w:val="24"/>
        </w:rPr>
      </w:pPr>
      <w:r>
        <w:rPr>
          <w:rFonts w:hint="eastAsia" w:ascii="宋体" w:hAnsi="宋体"/>
          <w:kern w:val="0"/>
          <w:sz w:val="24"/>
          <w:szCs w:val="24"/>
        </w:rPr>
        <w:t>27. 定标</w:t>
      </w:r>
    </w:p>
    <w:p>
      <w:pPr>
        <w:spacing w:line="500" w:lineRule="exact"/>
        <w:ind w:firstLine="480" w:firstLineChars="200"/>
        <w:rPr>
          <w:rFonts w:ascii="宋体" w:hAnsi="宋体"/>
          <w:kern w:val="0"/>
          <w:sz w:val="24"/>
          <w:szCs w:val="24"/>
        </w:rPr>
      </w:pPr>
      <w:r>
        <w:rPr>
          <w:rFonts w:hint="eastAsia" w:ascii="宋体" w:hAnsi="宋体"/>
          <w:kern w:val="0"/>
          <w:sz w:val="24"/>
          <w:szCs w:val="24"/>
        </w:rPr>
        <w:t>27.1</w:t>
      </w:r>
      <w:r>
        <w:rPr>
          <w:rFonts w:ascii="宋体" w:hAnsi="宋体"/>
          <w:kern w:val="0"/>
          <w:sz w:val="24"/>
          <w:szCs w:val="24"/>
        </w:rPr>
        <w:t>采用综合评分法的，按评审后得分由高到低顺序排列。得分相同的，按投标报价由低到高顺序排列。得分且投标报价相同的，按技术指标优劣顺序排列。</w:t>
      </w:r>
    </w:p>
    <w:p>
      <w:pPr>
        <w:spacing w:line="500" w:lineRule="exact"/>
        <w:ind w:firstLine="480" w:firstLineChars="200"/>
        <w:outlineLvl w:val="2"/>
        <w:rPr>
          <w:rFonts w:ascii="宋体" w:hAnsi="宋体"/>
          <w:kern w:val="0"/>
          <w:sz w:val="24"/>
          <w:szCs w:val="24"/>
        </w:rPr>
      </w:pPr>
      <w:r>
        <w:rPr>
          <w:rFonts w:hint="eastAsia" w:ascii="宋体" w:hAnsi="宋体"/>
          <w:kern w:val="0"/>
          <w:sz w:val="24"/>
          <w:szCs w:val="24"/>
        </w:rPr>
        <w:t>28. 中标供应商的确认</w:t>
      </w:r>
    </w:p>
    <w:p>
      <w:pPr>
        <w:spacing w:line="500" w:lineRule="exact"/>
        <w:ind w:firstLine="480" w:firstLineChars="200"/>
        <w:rPr>
          <w:rFonts w:ascii="宋体" w:hAnsi="宋体"/>
          <w:kern w:val="0"/>
          <w:sz w:val="24"/>
          <w:szCs w:val="24"/>
        </w:rPr>
      </w:pPr>
      <w:r>
        <w:rPr>
          <w:rFonts w:hint="eastAsia" w:ascii="宋体" w:hAnsi="宋体"/>
          <w:kern w:val="0"/>
          <w:sz w:val="24"/>
          <w:szCs w:val="24"/>
        </w:rPr>
        <w:t>28.1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pPr>
        <w:spacing w:line="500" w:lineRule="exact"/>
        <w:ind w:firstLine="480" w:firstLineChars="200"/>
        <w:rPr>
          <w:rFonts w:ascii="宋体" w:hAnsi="宋体"/>
          <w:sz w:val="24"/>
          <w:szCs w:val="24"/>
        </w:rPr>
      </w:pPr>
      <w:r>
        <w:rPr>
          <w:rFonts w:hint="eastAsia" w:ascii="宋体" w:hAnsi="宋体"/>
          <w:kern w:val="0"/>
          <w:sz w:val="24"/>
          <w:szCs w:val="24"/>
        </w:rPr>
        <w:t>28.2  使用国有资金投资或者国家融资的项目，采购人应当确定排名第</w:t>
      </w:r>
      <w:r>
        <w:rPr>
          <w:rFonts w:hint="eastAsia" w:ascii="宋体" w:hAnsi="宋体"/>
          <w:sz w:val="24"/>
          <w:szCs w:val="24"/>
        </w:rPr>
        <w:t>一的中标候选人为中标供应商。排名第一的中标候选人放弃中标、因不可抗力提出不能履行合同，或者招标文件规定应当提交履约保证金而在规定的期限内未能提交的，采购人可以确定排名第二的中标候选人为中标供应商。</w:t>
      </w:r>
    </w:p>
    <w:p>
      <w:pPr>
        <w:pStyle w:val="84"/>
        <w:spacing w:line="500" w:lineRule="exact"/>
        <w:ind w:firstLine="567"/>
        <w:jc w:val="both"/>
        <w:rPr>
          <w:rFonts w:ascii="宋体" w:hAnsi="宋体"/>
          <w:color w:val="auto"/>
        </w:rPr>
      </w:pPr>
      <w:r>
        <w:rPr>
          <w:rFonts w:hint="eastAsia" w:ascii="宋体" w:hAnsi="宋体"/>
          <w:color w:val="auto"/>
        </w:rPr>
        <w:t>排名第二的中标候选人因前款规定的同样原因不能签订合同的，采购人可以确定排名第三的中标候选人为中标供应商。</w:t>
      </w:r>
    </w:p>
    <w:p>
      <w:pPr>
        <w:pStyle w:val="84"/>
        <w:spacing w:line="500" w:lineRule="exact"/>
        <w:ind w:firstLine="567"/>
        <w:jc w:val="both"/>
        <w:rPr>
          <w:rFonts w:ascii="宋体" w:hAnsi="宋体"/>
          <w:color w:val="auto"/>
        </w:rPr>
      </w:pPr>
      <w:r>
        <w:rPr>
          <w:rFonts w:ascii="宋体" w:hAnsi="宋体"/>
          <w:color w:val="auto"/>
        </w:rPr>
        <w:t>2</w:t>
      </w:r>
      <w:r>
        <w:rPr>
          <w:rFonts w:hint="eastAsia" w:ascii="宋体" w:hAnsi="宋体"/>
          <w:color w:val="auto"/>
        </w:rPr>
        <w:t>8.3  采购代理机构应当在评标结束后2个工作日内将评标报告送采购人。采购人应当自收到评标报告之日起５个工作日内，在评标报告确定的中标候选人名单中按顺序确定中标人。</w:t>
      </w:r>
    </w:p>
    <w:p>
      <w:pPr>
        <w:pStyle w:val="84"/>
        <w:spacing w:line="500" w:lineRule="exact"/>
        <w:ind w:firstLine="567"/>
        <w:jc w:val="both"/>
        <w:rPr>
          <w:rFonts w:ascii="宋体" w:hAnsi="宋体"/>
          <w:color w:val="auto"/>
        </w:rPr>
      </w:pPr>
      <w:r>
        <w:rPr>
          <w:rFonts w:hint="eastAsia" w:ascii="宋体" w:hAnsi="宋体"/>
          <w:color w:val="auto"/>
        </w:rPr>
        <w:t>28.4 在确定中标供应商前，招标采购单位不得与投标供应商就投标价格、投标方案等实质性内容进行谈判。</w:t>
      </w:r>
    </w:p>
    <w:p>
      <w:pPr>
        <w:spacing w:line="500" w:lineRule="exact"/>
        <w:ind w:firstLine="480" w:firstLineChars="200"/>
        <w:outlineLvl w:val="2"/>
        <w:rPr>
          <w:rFonts w:ascii="宋体" w:hAnsi="宋体"/>
          <w:sz w:val="24"/>
          <w:szCs w:val="24"/>
        </w:rPr>
      </w:pPr>
      <w:r>
        <w:rPr>
          <w:rFonts w:hint="eastAsia" w:ascii="宋体" w:hAnsi="宋体"/>
          <w:sz w:val="24"/>
          <w:szCs w:val="24"/>
        </w:rPr>
        <w:t>29. 中标通知</w:t>
      </w:r>
    </w:p>
    <w:p>
      <w:pPr>
        <w:pStyle w:val="84"/>
        <w:spacing w:line="500" w:lineRule="exact"/>
        <w:ind w:firstLine="567"/>
        <w:jc w:val="both"/>
        <w:rPr>
          <w:rFonts w:ascii="宋体" w:hAnsi="宋体"/>
          <w:color w:val="auto"/>
        </w:rPr>
      </w:pPr>
      <w:r>
        <w:rPr>
          <w:rFonts w:hint="eastAsia" w:ascii="宋体" w:hAnsi="宋体"/>
          <w:color w:val="auto"/>
        </w:rPr>
        <w:t xml:space="preserve">29.1  </w:t>
      </w:r>
      <w:r>
        <w:rPr>
          <w:rFonts w:ascii="宋体" w:hAnsi="宋体"/>
          <w:color w:val="auto"/>
        </w:rPr>
        <w:t>中标供应商确定后，中标结果应当在财政部门指定的政府采购信息发布媒体上公告。</w:t>
      </w:r>
    </w:p>
    <w:p>
      <w:pPr>
        <w:pStyle w:val="84"/>
        <w:spacing w:line="500" w:lineRule="exact"/>
        <w:ind w:firstLine="567"/>
        <w:jc w:val="both"/>
        <w:rPr>
          <w:rFonts w:ascii="宋体" w:hAnsi="宋体"/>
          <w:color w:val="auto"/>
        </w:rPr>
      </w:pPr>
      <w:r>
        <w:rPr>
          <w:rFonts w:hint="eastAsia" w:ascii="宋体" w:hAnsi="宋体"/>
          <w:color w:val="auto"/>
        </w:rPr>
        <w:t xml:space="preserve">29.2  </w:t>
      </w:r>
      <w:r>
        <w:rPr>
          <w:rFonts w:ascii="宋体" w:hAnsi="宋体"/>
          <w:color w:val="auto"/>
        </w:rPr>
        <w:t>在发布公告的同时，招标</w:t>
      </w:r>
      <w:r>
        <w:rPr>
          <w:rFonts w:hint="eastAsia" w:ascii="宋体" w:hAnsi="宋体"/>
          <w:color w:val="auto"/>
        </w:rPr>
        <w:t>代理机构</w:t>
      </w:r>
      <w:r>
        <w:rPr>
          <w:rFonts w:ascii="宋体" w:hAnsi="宋体"/>
          <w:color w:val="auto"/>
        </w:rPr>
        <w:t>应当向中标供应商发出中标通知书，中标通知书对采购人和中标供应商具有同等法律效力</w:t>
      </w:r>
      <w:r>
        <w:rPr>
          <w:rFonts w:hint="eastAsia" w:ascii="宋体" w:hAnsi="宋体"/>
          <w:color w:val="auto"/>
        </w:rPr>
        <w:t>。</w:t>
      </w:r>
      <w:bookmarkEnd w:id="9"/>
    </w:p>
    <w:p>
      <w:pPr>
        <w:pStyle w:val="84"/>
        <w:spacing w:line="500" w:lineRule="exact"/>
        <w:jc w:val="center"/>
        <w:outlineLvl w:val="1"/>
        <w:rPr>
          <w:rFonts w:ascii="宋体" w:hAnsi="宋体"/>
          <w:color w:val="auto"/>
        </w:rPr>
      </w:pPr>
      <w:bookmarkStart w:id="11" w:name="_Toc9740"/>
      <w:r>
        <w:rPr>
          <w:rFonts w:hint="eastAsia" w:ascii="宋体" w:hAnsi="宋体"/>
          <w:color w:val="auto"/>
        </w:rPr>
        <w:t>七、授予合同</w:t>
      </w:r>
      <w:bookmarkEnd w:id="11"/>
    </w:p>
    <w:p>
      <w:pPr>
        <w:pStyle w:val="84"/>
        <w:spacing w:line="500" w:lineRule="exact"/>
        <w:ind w:firstLine="480" w:firstLineChars="200"/>
        <w:jc w:val="both"/>
        <w:outlineLvl w:val="2"/>
        <w:rPr>
          <w:rFonts w:ascii="宋体" w:hAnsi="宋体"/>
          <w:color w:val="auto"/>
        </w:rPr>
      </w:pPr>
      <w:r>
        <w:rPr>
          <w:rFonts w:hint="eastAsia" w:ascii="宋体" w:hAnsi="宋体"/>
          <w:color w:val="auto"/>
        </w:rPr>
        <w:t>31.  签订商务合同</w:t>
      </w:r>
    </w:p>
    <w:p>
      <w:pPr>
        <w:pStyle w:val="84"/>
        <w:spacing w:line="500" w:lineRule="exact"/>
        <w:ind w:firstLine="480" w:firstLineChars="200"/>
        <w:jc w:val="both"/>
        <w:rPr>
          <w:rFonts w:ascii="宋体" w:hAnsi="宋体"/>
          <w:color w:val="auto"/>
        </w:rPr>
      </w:pPr>
      <w:r>
        <w:rPr>
          <w:rFonts w:hint="eastAsia" w:ascii="宋体" w:hAnsi="宋体"/>
          <w:color w:val="auto"/>
        </w:rPr>
        <w:t>31.1  中标供应商应当在收到《中标通知书》后的30日内与采购人签订合同。</w:t>
      </w:r>
    </w:p>
    <w:p>
      <w:pPr>
        <w:pStyle w:val="84"/>
        <w:spacing w:line="500" w:lineRule="exact"/>
        <w:ind w:firstLine="480" w:firstLineChars="200"/>
        <w:jc w:val="both"/>
        <w:rPr>
          <w:rFonts w:ascii="宋体" w:hAnsi="宋体"/>
          <w:color w:val="auto"/>
        </w:rPr>
      </w:pPr>
      <w:r>
        <w:rPr>
          <w:rFonts w:hint="eastAsia" w:ascii="宋体" w:hAnsi="宋体"/>
          <w:color w:val="auto"/>
        </w:rPr>
        <w:t>31.2  中标合同不得转让。合同分包需在投标文件中予以说明，并需经买方同意。否则，买方有权取消中标供应商的中标资格。</w:t>
      </w:r>
    </w:p>
    <w:p>
      <w:pPr>
        <w:pStyle w:val="84"/>
        <w:spacing w:line="500" w:lineRule="exact"/>
        <w:ind w:firstLine="480" w:firstLineChars="200"/>
        <w:jc w:val="both"/>
        <w:rPr>
          <w:rFonts w:ascii="宋体" w:hAnsi="宋体"/>
          <w:color w:val="auto"/>
        </w:rPr>
      </w:pPr>
      <w:r>
        <w:rPr>
          <w:rFonts w:hint="eastAsia" w:ascii="宋体" w:hAnsi="宋体"/>
          <w:color w:val="auto"/>
        </w:rPr>
        <w:t>31.3  如中标供应商拒签合同, 招标代理机构可从评委推荐出的中标候选人中按推荐顺序重新选定中标供应商，并组织中标供应商和买方签订商务合同。</w:t>
      </w:r>
    </w:p>
    <w:p>
      <w:pPr>
        <w:pStyle w:val="84"/>
        <w:spacing w:line="500" w:lineRule="exact"/>
        <w:ind w:firstLine="480" w:firstLineChars="200"/>
        <w:jc w:val="both"/>
        <w:outlineLvl w:val="2"/>
        <w:rPr>
          <w:rFonts w:ascii="宋体" w:hAnsi="宋体"/>
          <w:color w:val="auto"/>
        </w:rPr>
      </w:pPr>
      <w:r>
        <w:rPr>
          <w:rFonts w:hint="eastAsia" w:ascii="宋体" w:hAnsi="宋体"/>
          <w:color w:val="auto"/>
        </w:rPr>
        <w:t xml:space="preserve">32.  商务合同的组成  </w:t>
      </w:r>
    </w:p>
    <w:p>
      <w:pPr>
        <w:pStyle w:val="84"/>
        <w:spacing w:line="500" w:lineRule="exact"/>
        <w:ind w:firstLine="480" w:firstLineChars="200"/>
        <w:jc w:val="both"/>
        <w:outlineLvl w:val="3"/>
        <w:rPr>
          <w:rFonts w:ascii="宋体" w:hAnsi="宋体"/>
          <w:color w:val="auto"/>
        </w:rPr>
      </w:pPr>
      <w:r>
        <w:rPr>
          <w:rFonts w:hint="eastAsia" w:ascii="宋体" w:hAnsi="宋体"/>
          <w:color w:val="auto"/>
        </w:rPr>
        <w:t>32.1  下列文件均为商务合同不可分割的组成部分：</w:t>
      </w:r>
    </w:p>
    <w:p>
      <w:pPr>
        <w:pStyle w:val="84"/>
        <w:spacing w:line="500" w:lineRule="exact"/>
        <w:ind w:firstLine="480" w:firstLineChars="200"/>
        <w:jc w:val="both"/>
        <w:rPr>
          <w:rFonts w:ascii="宋体" w:hAnsi="宋体"/>
          <w:color w:val="auto"/>
        </w:rPr>
      </w:pPr>
      <w:r>
        <w:rPr>
          <w:rFonts w:hint="eastAsia" w:ascii="宋体" w:hAnsi="宋体"/>
          <w:color w:val="auto"/>
        </w:rPr>
        <w:t>32.1.1  招标文件；</w:t>
      </w:r>
    </w:p>
    <w:p>
      <w:pPr>
        <w:pStyle w:val="84"/>
        <w:spacing w:line="500" w:lineRule="exact"/>
        <w:ind w:firstLine="480" w:firstLineChars="200"/>
        <w:jc w:val="both"/>
        <w:rPr>
          <w:rFonts w:ascii="宋体" w:hAnsi="宋体"/>
          <w:color w:val="auto"/>
        </w:rPr>
      </w:pPr>
      <w:r>
        <w:rPr>
          <w:rFonts w:hint="eastAsia" w:ascii="宋体" w:hAnsi="宋体"/>
          <w:color w:val="auto"/>
        </w:rPr>
        <w:t>32.1.2  卖方中标的投标文件；</w:t>
      </w:r>
    </w:p>
    <w:p>
      <w:pPr>
        <w:pStyle w:val="84"/>
        <w:spacing w:line="500" w:lineRule="exact"/>
        <w:ind w:firstLine="480" w:firstLineChars="200"/>
        <w:jc w:val="both"/>
        <w:rPr>
          <w:rFonts w:ascii="宋体" w:hAnsi="宋体"/>
          <w:color w:val="auto"/>
        </w:rPr>
      </w:pPr>
      <w:r>
        <w:rPr>
          <w:rFonts w:hint="eastAsia" w:ascii="宋体" w:hAnsi="宋体"/>
          <w:color w:val="auto"/>
        </w:rPr>
        <w:t>32.1.3  中标通知书；</w:t>
      </w:r>
    </w:p>
    <w:p>
      <w:pPr>
        <w:pStyle w:val="84"/>
        <w:spacing w:line="500" w:lineRule="exact"/>
        <w:ind w:firstLine="480" w:firstLineChars="200"/>
        <w:rPr>
          <w:rFonts w:ascii="宋体" w:hAnsi="宋体"/>
          <w:color w:val="auto"/>
        </w:rPr>
      </w:pPr>
      <w:r>
        <w:rPr>
          <w:rFonts w:hint="eastAsia" w:ascii="宋体" w:hAnsi="宋体"/>
          <w:color w:val="auto"/>
        </w:rPr>
        <w:t>32.1.4  投标供应商澄清、说明或补正文件。</w:t>
      </w:r>
      <w:bookmarkStart w:id="12" w:name="_Toc7315"/>
    </w:p>
    <w:bookmarkEnd w:id="12"/>
    <w:p>
      <w:pPr>
        <w:pStyle w:val="84"/>
        <w:spacing w:line="500" w:lineRule="exact"/>
        <w:jc w:val="center"/>
        <w:outlineLvl w:val="1"/>
        <w:rPr>
          <w:rFonts w:ascii="宋体" w:hAnsi="宋体"/>
          <w:color w:val="auto"/>
        </w:rPr>
      </w:pPr>
      <w:bookmarkStart w:id="13" w:name="_Toc5835"/>
      <w:r>
        <w:rPr>
          <w:rFonts w:hint="eastAsia" w:ascii="宋体" w:hAnsi="宋体"/>
          <w:color w:val="auto"/>
        </w:rPr>
        <w:t>八、其他事项</w:t>
      </w:r>
      <w:bookmarkEnd w:id="13"/>
    </w:p>
    <w:p>
      <w:pPr>
        <w:pStyle w:val="84"/>
        <w:spacing w:line="500" w:lineRule="exact"/>
        <w:ind w:firstLine="480" w:firstLineChars="200"/>
        <w:jc w:val="both"/>
        <w:outlineLvl w:val="2"/>
        <w:rPr>
          <w:rFonts w:ascii="宋体" w:hAnsi="宋体"/>
          <w:color w:val="auto"/>
        </w:rPr>
      </w:pPr>
      <w:r>
        <w:rPr>
          <w:rFonts w:hint="eastAsia" w:ascii="宋体" w:hAnsi="宋体"/>
          <w:color w:val="auto"/>
        </w:rPr>
        <w:t>34.  中标服务费</w:t>
      </w:r>
    </w:p>
    <w:p>
      <w:pPr>
        <w:pStyle w:val="84"/>
        <w:spacing w:line="500" w:lineRule="exact"/>
        <w:ind w:firstLine="480" w:firstLineChars="200"/>
        <w:jc w:val="both"/>
        <w:rPr>
          <w:rFonts w:ascii="宋体" w:hAnsi="宋体"/>
          <w:color w:val="auto"/>
        </w:rPr>
      </w:pPr>
      <w:r>
        <w:rPr>
          <w:rFonts w:hint="eastAsia" w:ascii="宋体" w:hAnsi="宋体"/>
          <w:color w:val="auto"/>
        </w:rPr>
        <w:t>34.1  《中标通知书》核发时中标方必须向招标代理机构一次性付清中标服务费。</w:t>
      </w:r>
    </w:p>
    <w:p>
      <w:pPr>
        <w:pStyle w:val="84"/>
        <w:spacing w:line="500" w:lineRule="exact"/>
        <w:ind w:firstLine="480" w:firstLineChars="200"/>
        <w:jc w:val="both"/>
        <w:rPr>
          <w:rFonts w:ascii="宋体" w:hAnsi="宋体"/>
          <w:color w:val="auto"/>
        </w:rPr>
      </w:pPr>
      <w:r>
        <w:rPr>
          <w:rFonts w:hint="eastAsia" w:ascii="宋体" w:hAnsi="宋体"/>
          <w:color w:val="auto"/>
        </w:rPr>
        <w:t>35.特别提示：退还投标保证金的供应商办理退款业务时需提供以下资料:</w:t>
      </w:r>
    </w:p>
    <w:p>
      <w:pPr>
        <w:pStyle w:val="84"/>
        <w:spacing w:line="500" w:lineRule="exact"/>
        <w:ind w:firstLine="480" w:firstLineChars="200"/>
        <w:jc w:val="both"/>
        <w:rPr>
          <w:rFonts w:ascii="宋体" w:hAnsi="宋体"/>
          <w:color w:val="auto"/>
        </w:rPr>
      </w:pPr>
      <w:r>
        <w:rPr>
          <w:rFonts w:hint="eastAsia" w:ascii="宋体" w:hAnsi="宋体"/>
          <w:color w:val="auto"/>
        </w:rPr>
        <w:t xml:space="preserve"> 供应商给代理机构开具的收款收据（收款单位开具并加盖收款单位财务章）。同时必须提供开户许可证复印件（加盖单位章）。</w:t>
      </w:r>
    </w:p>
    <w:p>
      <w:pPr>
        <w:pStyle w:val="84"/>
        <w:spacing w:line="500" w:lineRule="exact"/>
        <w:ind w:firstLine="480" w:firstLineChars="200"/>
        <w:jc w:val="both"/>
        <w:rPr>
          <w:rFonts w:ascii="宋体" w:hAnsi="宋体"/>
          <w:color w:val="auto"/>
        </w:rPr>
      </w:pPr>
      <w:r>
        <w:rPr>
          <w:rFonts w:hint="eastAsia" w:ascii="宋体" w:hAnsi="宋体"/>
          <w:color w:val="auto"/>
        </w:rPr>
        <w:t>36.本招标文件是根据《中华人民共和国政府采购法》的规定编制，解释权属新疆宏力源工程项目管理有限公司。</w:t>
      </w:r>
    </w:p>
    <w:p>
      <w:pPr>
        <w:pStyle w:val="159"/>
        <w:spacing w:line="500" w:lineRule="exact"/>
        <w:jc w:val="center"/>
        <w:outlineLvl w:val="9"/>
        <w:rPr>
          <w:rFonts w:ascii="宋体" w:hAnsi="宋体"/>
          <w:b/>
          <w:color w:val="auto"/>
          <w:sz w:val="24"/>
        </w:rPr>
      </w:pPr>
    </w:p>
    <w:p>
      <w:pPr>
        <w:pStyle w:val="159"/>
        <w:spacing w:line="500" w:lineRule="exact"/>
        <w:jc w:val="center"/>
        <w:outlineLvl w:val="9"/>
        <w:rPr>
          <w:rFonts w:ascii="宋体" w:hAnsi="宋体"/>
          <w:b/>
          <w:color w:val="auto"/>
          <w:sz w:val="24"/>
        </w:rPr>
      </w:pPr>
    </w:p>
    <w:p>
      <w:pPr>
        <w:pStyle w:val="159"/>
        <w:spacing w:line="500" w:lineRule="exact"/>
        <w:jc w:val="both"/>
        <w:outlineLvl w:val="9"/>
        <w:rPr>
          <w:rFonts w:ascii="宋体" w:hAnsi="宋体"/>
          <w:b/>
          <w:color w:val="auto"/>
          <w:sz w:val="24"/>
        </w:rPr>
      </w:pPr>
    </w:p>
    <w:p>
      <w:pPr>
        <w:pStyle w:val="159"/>
        <w:spacing w:line="500" w:lineRule="exact"/>
        <w:jc w:val="both"/>
        <w:outlineLvl w:val="9"/>
        <w:rPr>
          <w:rFonts w:ascii="宋体" w:hAnsi="宋体"/>
          <w:b/>
          <w:color w:val="auto"/>
          <w:sz w:val="24"/>
        </w:rPr>
        <w:sectPr>
          <w:headerReference r:id="rId5" w:type="default"/>
          <w:footerReference r:id="rId6" w:type="default"/>
          <w:pgSz w:w="11906" w:h="16838"/>
          <w:pgMar w:top="1418" w:right="1134" w:bottom="1418" w:left="1418" w:header="851" w:footer="851" w:gutter="0"/>
          <w:pgNumType w:start="1"/>
          <w:cols w:space="720" w:num="1"/>
          <w:docGrid w:type="linesAndChars" w:linePitch="312" w:charSpace="0"/>
        </w:sectPr>
      </w:pPr>
    </w:p>
    <w:p>
      <w:pPr>
        <w:numPr>
          <w:ilvl w:val="0"/>
          <w:numId w:val="2"/>
        </w:numPr>
        <w:jc w:val="center"/>
        <w:outlineLvl w:val="0"/>
        <w:rPr>
          <w:rFonts w:ascii="宋体" w:hAnsi="宋体"/>
          <w:b/>
          <w:sz w:val="24"/>
        </w:rPr>
      </w:pPr>
      <w:bookmarkStart w:id="14" w:name="_Toc5541"/>
      <w:r>
        <w:rPr>
          <w:rFonts w:hint="eastAsia" w:ascii="宋体" w:hAnsi="宋体"/>
          <w:b/>
          <w:sz w:val="24"/>
        </w:rPr>
        <w:t>设备技术参数</w:t>
      </w:r>
    </w:p>
    <w:p>
      <w:pPr>
        <w:rPr>
          <w:rFonts w:asciiTheme="minorEastAsia" w:hAnsiTheme="minorEastAsia" w:eastAsiaTheme="minorEastAsia" w:cstheme="minorEastAsia"/>
          <w:b/>
          <w:bCs/>
          <w:sz w:val="24"/>
          <w:szCs w:val="24"/>
        </w:rPr>
      </w:pPr>
      <w:r>
        <w:rPr>
          <w:rFonts w:hint="eastAsia" w:ascii="宋体" w:hAnsi="宋体" w:cs="宋体" w:eastAsiaTheme="minorEastAsia"/>
          <w:b/>
          <w:sz w:val="28"/>
          <w:szCs w:val="28"/>
          <w:lang w:eastAsia="zh-CN"/>
        </w:rPr>
        <w:t>标项四</w:t>
      </w:r>
      <w:r>
        <w:rPr>
          <w:rFonts w:hint="eastAsia" w:asciiTheme="minorEastAsia" w:hAnsiTheme="minorEastAsia" w:eastAsiaTheme="minorEastAsia" w:cstheme="minorEastAsia"/>
          <w:b/>
          <w:bCs/>
          <w:sz w:val="24"/>
          <w:szCs w:val="24"/>
        </w:rPr>
        <w:t>：</w:t>
      </w:r>
    </w:p>
    <w:p>
      <w:pPr>
        <w:pStyle w:val="166"/>
        <w:spacing w:line="440" w:lineRule="exact"/>
        <w:ind w:firstLine="480"/>
        <w:rPr>
          <w:rFonts w:ascii="宋体" w:hAnsi="宋体" w:cs="宋体"/>
          <w:bCs/>
          <w:sz w:val="24"/>
          <w:szCs w:val="24"/>
        </w:rPr>
      </w:pPr>
    </w:p>
    <w:tbl>
      <w:tblPr>
        <w:tblStyle w:val="43"/>
        <w:tblpPr w:leftFromText="180" w:rightFromText="180" w:vertAnchor="text" w:horzAnchor="page" w:tblpXSpec="center" w:tblpY="849"/>
        <w:tblOverlap w:val="never"/>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887"/>
        <w:gridCol w:w="983"/>
        <w:gridCol w:w="640"/>
        <w:gridCol w:w="400"/>
        <w:gridCol w:w="653"/>
        <w:gridCol w:w="774"/>
        <w:gridCol w:w="400"/>
        <w:gridCol w:w="1373"/>
        <w:gridCol w:w="893"/>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Align w:val="center"/>
          </w:tcPr>
          <w:p>
            <w:pPr>
              <w:jc w:val="center"/>
              <w:rPr>
                <w:rFonts w:ascii="宋体" w:hAnsi="宋体" w:cs="宋体"/>
                <w:color w:val="000000"/>
                <w:szCs w:val="21"/>
              </w:rPr>
            </w:pPr>
            <w:r>
              <w:rPr>
                <w:rFonts w:hint="eastAsia" w:ascii="宋体" w:hAnsi="宋体" w:cs="宋体"/>
                <w:color w:val="000000"/>
                <w:szCs w:val="21"/>
              </w:rPr>
              <w:t>序号</w:t>
            </w:r>
          </w:p>
        </w:tc>
        <w:tc>
          <w:tcPr>
            <w:tcW w:w="887" w:type="dxa"/>
            <w:vAlign w:val="center"/>
          </w:tcPr>
          <w:p>
            <w:pPr>
              <w:jc w:val="center"/>
              <w:rPr>
                <w:rFonts w:ascii="宋体" w:hAnsi="宋体" w:cs="宋体"/>
                <w:color w:val="000000"/>
                <w:szCs w:val="21"/>
              </w:rPr>
            </w:pPr>
            <w:r>
              <w:rPr>
                <w:rFonts w:hint="eastAsia" w:ascii="宋体" w:hAnsi="宋体" w:cs="宋体"/>
                <w:color w:val="000000"/>
                <w:szCs w:val="21"/>
              </w:rPr>
              <w:t>标的名称</w:t>
            </w:r>
          </w:p>
        </w:tc>
        <w:tc>
          <w:tcPr>
            <w:tcW w:w="983" w:type="dxa"/>
            <w:vAlign w:val="center"/>
          </w:tcPr>
          <w:p>
            <w:pPr>
              <w:jc w:val="center"/>
              <w:rPr>
                <w:rFonts w:ascii="宋体" w:hAnsi="宋体" w:cs="宋体"/>
                <w:color w:val="000000"/>
                <w:szCs w:val="21"/>
              </w:rPr>
            </w:pPr>
            <w:r>
              <w:rPr>
                <w:rFonts w:hint="eastAsia" w:ascii="宋体" w:hAnsi="宋体" w:cs="宋体"/>
                <w:color w:val="000000"/>
                <w:szCs w:val="21"/>
              </w:rPr>
              <w:t>品目分类编码</w:t>
            </w:r>
          </w:p>
        </w:tc>
        <w:tc>
          <w:tcPr>
            <w:tcW w:w="640" w:type="dxa"/>
            <w:vAlign w:val="center"/>
          </w:tcPr>
          <w:p>
            <w:pPr>
              <w:jc w:val="center"/>
              <w:rPr>
                <w:rFonts w:ascii="宋体" w:hAnsi="宋体" w:cs="宋体"/>
                <w:color w:val="000000"/>
                <w:szCs w:val="21"/>
              </w:rPr>
            </w:pPr>
            <w:r>
              <w:rPr>
                <w:rFonts w:hint="eastAsia" w:ascii="宋体" w:hAnsi="宋体" w:cs="宋体"/>
                <w:color w:val="000000"/>
                <w:szCs w:val="21"/>
              </w:rPr>
              <w:t>计量单位</w:t>
            </w:r>
          </w:p>
        </w:tc>
        <w:tc>
          <w:tcPr>
            <w:tcW w:w="400" w:type="dxa"/>
            <w:vAlign w:val="center"/>
          </w:tcPr>
          <w:p>
            <w:pPr>
              <w:jc w:val="center"/>
              <w:rPr>
                <w:rFonts w:ascii="宋体" w:hAnsi="宋体" w:cs="宋体"/>
                <w:color w:val="000000"/>
                <w:szCs w:val="21"/>
              </w:rPr>
            </w:pPr>
            <w:r>
              <w:rPr>
                <w:rFonts w:hint="eastAsia" w:ascii="宋体" w:hAnsi="宋体" w:cs="宋体"/>
                <w:color w:val="000000"/>
                <w:szCs w:val="21"/>
              </w:rPr>
              <w:t>数量</w:t>
            </w:r>
          </w:p>
        </w:tc>
        <w:tc>
          <w:tcPr>
            <w:tcW w:w="653" w:type="dxa"/>
            <w:vAlign w:val="center"/>
          </w:tcPr>
          <w:p>
            <w:pPr>
              <w:jc w:val="center"/>
              <w:rPr>
                <w:rFonts w:ascii="宋体" w:hAnsi="宋体" w:cs="宋体"/>
                <w:color w:val="000000"/>
                <w:szCs w:val="21"/>
              </w:rPr>
            </w:pPr>
            <w:r>
              <w:rPr>
                <w:rFonts w:hint="eastAsia" w:ascii="宋体" w:hAnsi="宋体" w:cs="宋体"/>
                <w:color w:val="000000"/>
                <w:szCs w:val="21"/>
              </w:rPr>
              <w:t>单价（万元）</w:t>
            </w:r>
          </w:p>
        </w:tc>
        <w:tc>
          <w:tcPr>
            <w:tcW w:w="774" w:type="dxa"/>
            <w:vAlign w:val="center"/>
          </w:tcPr>
          <w:p>
            <w:pPr>
              <w:jc w:val="center"/>
              <w:rPr>
                <w:rFonts w:ascii="宋体" w:hAnsi="宋体" w:cs="宋体"/>
                <w:color w:val="000000"/>
                <w:szCs w:val="21"/>
              </w:rPr>
            </w:pPr>
            <w:r>
              <w:rPr>
                <w:rFonts w:hint="eastAsia" w:ascii="宋体" w:hAnsi="宋体" w:cs="宋体"/>
                <w:color w:val="000000"/>
                <w:szCs w:val="21"/>
              </w:rPr>
              <w:t>小计（万元）</w:t>
            </w:r>
          </w:p>
        </w:tc>
        <w:tc>
          <w:tcPr>
            <w:tcW w:w="400" w:type="dxa"/>
            <w:vAlign w:val="center"/>
          </w:tcPr>
          <w:p>
            <w:pPr>
              <w:jc w:val="center"/>
              <w:rPr>
                <w:rFonts w:ascii="宋体" w:hAnsi="宋体" w:cs="宋体"/>
                <w:color w:val="000000"/>
                <w:szCs w:val="21"/>
              </w:rPr>
            </w:pPr>
            <w:r>
              <w:rPr>
                <w:rFonts w:hint="eastAsia" w:ascii="宋体" w:hAnsi="宋体" w:cs="宋体"/>
                <w:color w:val="000000"/>
                <w:szCs w:val="21"/>
              </w:rPr>
              <w:t>是否进口</w:t>
            </w:r>
          </w:p>
        </w:tc>
        <w:tc>
          <w:tcPr>
            <w:tcW w:w="1373" w:type="dxa"/>
            <w:vAlign w:val="center"/>
          </w:tcPr>
          <w:p>
            <w:pPr>
              <w:jc w:val="center"/>
              <w:rPr>
                <w:rFonts w:ascii="宋体" w:hAnsi="宋体" w:cs="宋体"/>
                <w:color w:val="000000"/>
                <w:szCs w:val="21"/>
              </w:rPr>
            </w:pPr>
            <w:r>
              <w:rPr>
                <w:rFonts w:hint="eastAsia" w:ascii="宋体" w:hAnsi="宋体" w:cs="宋体"/>
                <w:color w:val="000000"/>
                <w:szCs w:val="21"/>
              </w:rPr>
              <w:t>类别（试剂耗材需填写理化/生化/微生物/其他）</w:t>
            </w:r>
          </w:p>
        </w:tc>
        <w:tc>
          <w:tcPr>
            <w:tcW w:w="893" w:type="dxa"/>
            <w:vAlign w:val="center"/>
          </w:tcPr>
          <w:p>
            <w:pPr>
              <w:jc w:val="center"/>
              <w:rPr>
                <w:rFonts w:ascii="宋体" w:hAnsi="宋体" w:cs="宋体"/>
                <w:color w:val="000000"/>
                <w:szCs w:val="21"/>
              </w:rPr>
            </w:pPr>
            <w:r>
              <w:rPr>
                <w:rFonts w:hint="eastAsia" w:ascii="宋体" w:hAnsi="宋体" w:cs="宋体"/>
                <w:color w:val="000000"/>
                <w:szCs w:val="21"/>
              </w:rPr>
              <w:t>采购需求详细技术参数</w:t>
            </w:r>
          </w:p>
        </w:tc>
        <w:tc>
          <w:tcPr>
            <w:tcW w:w="1514" w:type="dxa"/>
            <w:vAlign w:val="center"/>
          </w:tcPr>
          <w:p>
            <w:pPr>
              <w:jc w:val="center"/>
              <w:rPr>
                <w:rFonts w:ascii="宋体" w:hAnsi="宋体" w:cs="宋体"/>
                <w:color w:val="000000"/>
                <w:szCs w:val="21"/>
              </w:rPr>
            </w:pPr>
            <w:r>
              <w:rPr>
                <w:rFonts w:hint="eastAsia" w:ascii="宋体" w:hAnsi="宋体" w:cs="宋体"/>
                <w:color w:val="000000"/>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887" w:type="dxa"/>
            <w:vAlign w:val="center"/>
          </w:tcPr>
          <w:p>
            <w:pPr>
              <w:jc w:val="center"/>
              <w:rPr>
                <w:rFonts w:ascii="宋体" w:hAnsi="宋体" w:cs="宋体"/>
                <w:color w:val="000000"/>
                <w:szCs w:val="21"/>
              </w:rPr>
            </w:pPr>
            <w:r>
              <w:rPr>
                <w:rFonts w:hint="eastAsia" w:ascii="宋体" w:hAnsi="宋体" w:cs="宋体"/>
              </w:rPr>
              <w:t>致病菌分子分型数据处理终端</w:t>
            </w:r>
          </w:p>
        </w:tc>
        <w:tc>
          <w:tcPr>
            <w:tcW w:w="983" w:type="dxa"/>
            <w:vAlign w:val="center"/>
          </w:tcPr>
          <w:p>
            <w:pPr>
              <w:jc w:val="center"/>
              <w:rPr>
                <w:rFonts w:ascii="宋体" w:hAnsi="宋体" w:cs="宋体"/>
                <w:color w:val="000000"/>
                <w:szCs w:val="21"/>
              </w:rPr>
            </w:pPr>
            <w:r>
              <w:rPr>
                <w:rFonts w:hint="eastAsia" w:ascii="宋体" w:hAnsi="宋体" w:cs="宋体"/>
                <w:color w:val="000000"/>
                <w:szCs w:val="21"/>
              </w:rPr>
              <w:t>A032017</w:t>
            </w:r>
          </w:p>
        </w:tc>
        <w:tc>
          <w:tcPr>
            <w:tcW w:w="640" w:type="dxa"/>
            <w:vAlign w:val="center"/>
          </w:tcPr>
          <w:p>
            <w:pPr>
              <w:jc w:val="center"/>
              <w:rPr>
                <w:rFonts w:ascii="宋体" w:hAnsi="宋体" w:cs="宋体"/>
                <w:color w:val="000000"/>
                <w:szCs w:val="21"/>
              </w:rPr>
            </w:pPr>
            <w:r>
              <w:rPr>
                <w:rFonts w:hint="eastAsia" w:ascii="宋体" w:hAnsi="宋体" w:cs="宋体"/>
                <w:color w:val="000000"/>
                <w:szCs w:val="21"/>
              </w:rPr>
              <w:t>台</w:t>
            </w:r>
          </w:p>
        </w:tc>
        <w:tc>
          <w:tcPr>
            <w:tcW w:w="400" w:type="dxa"/>
            <w:vAlign w:val="center"/>
          </w:tcPr>
          <w:p>
            <w:pPr>
              <w:jc w:val="center"/>
              <w:rPr>
                <w:rFonts w:ascii="宋体" w:hAnsi="宋体" w:cs="宋体"/>
                <w:color w:val="000000"/>
                <w:szCs w:val="21"/>
              </w:rPr>
            </w:pPr>
            <w:r>
              <w:rPr>
                <w:rFonts w:hint="eastAsia" w:ascii="宋体" w:hAnsi="宋体" w:cs="宋体"/>
                <w:color w:val="000000"/>
                <w:szCs w:val="21"/>
              </w:rPr>
              <w:t>6</w:t>
            </w:r>
          </w:p>
        </w:tc>
        <w:tc>
          <w:tcPr>
            <w:tcW w:w="653" w:type="dxa"/>
            <w:vAlign w:val="center"/>
          </w:tcPr>
          <w:p>
            <w:pPr>
              <w:rPr>
                <w:rFonts w:ascii="宋体" w:hAnsi="宋体" w:cs="宋体"/>
                <w:szCs w:val="22"/>
              </w:rPr>
            </w:pPr>
          </w:p>
        </w:tc>
        <w:tc>
          <w:tcPr>
            <w:tcW w:w="774" w:type="dxa"/>
            <w:vAlign w:val="center"/>
          </w:tcPr>
          <w:p>
            <w:pPr>
              <w:jc w:val="center"/>
              <w:rPr>
                <w:rFonts w:ascii="宋体" w:hAnsi="宋体" w:cs="宋体"/>
                <w:color w:val="000000"/>
                <w:szCs w:val="21"/>
              </w:rPr>
            </w:pPr>
          </w:p>
        </w:tc>
        <w:tc>
          <w:tcPr>
            <w:tcW w:w="400" w:type="dxa"/>
            <w:vAlign w:val="center"/>
          </w:tcPr>
          <w:p>
            <w:pPr>
              <w:jc w:val="center"/>
              <w:rPr>
                <w:rFonts w:ascii="宋体" w:hAnsi="宋体" w:cs="宋体"/>
                <w:color w:val="000000"/>
                <w:szCs w:val="21"/>
              </w:rPr>
            </w:pPr>
            <w:r>
              <w:rPr>
                <w:rFonts w:hint="eastAsia" w:ascii="宋体" w:hAnsi="宋体" w:cs="宋体"/>
                <w:color w:val="000000"/>
                <w:szCs w:val="21"/>
              </w:rPr>
              <w:t>否</w:t>
            </w:r>
          </w:p>
        </w:tc>
        <w:tc>
          <w:tcPr>
            <w:tcW w:w="1373" w:type="dxa"/>
            <w:vAlign w:val="center"/>
          </w:tcPr>
          <w:p>
            <w:pPr>
              <w:jc w:val="center"/>
              <w:rPr>
                <w:rFonts w:ascii="宋体" w:hAnsi="宋体" w:cs="宋体"/>
                <w:color w:val="000000"/>
                <w:szCs w:val="21"/>
              </w:rPr>
            </w:pPr>
            <w:r>
              <w:rPr>
                <w:rFonts w:hint="eastAsia" w:ascii="宋体" w:hAnsi="宋体" w:cs="宋体"/>
                <w:color w:val="000000"/>
                <w:szCs w:val="21"/>
              </w:rPr>
              <w:t>设备</w:t>
            </w:r>
          </w:p>
        </w:tc>
        <w:tc>
          <w:tcPr>
            <w:tcW w:w="893" w:type="dxa"/>
            <w:vAlign w:val="center"/>
          </w:tcPr>
          <w:p>
            <w:pPr>
              <w:jc w:val="center"/>
              <w:rPr>
                <w:rFonts w:ascii="宋体" w:hAnsi="宋体" w:cs="宋体"/>
                <w:color w:val="000000"/>
                <w:szCs w:val="21"/>
              </w:rPr>
            </w:pPr>
            <w:r>
              <w:rPr>
                <w:rFonts w:hint="eastAsia" w:ascii="宋体" w:hAnsi="宋体" w:cs="宋体"/>
                <w:color w:val="000000"/>
                <w:szCs w:val="21"/>
              </w:rPr>
              <w:t>详见附件</w:t>
            </w:r>
          </w:p>
        </w:tc>
        <w:tc>
          <w:tcPr>
            <w:tcW w:w="1514" w:type="dxa"/>
            <w:vAlign w:val="center"/>
          </w:tcPr>
          <w:p>
            <w:pPr>
              <w:pStyle w:val="9"/>
              <w:ind w:firstLine="0" w:firstLineChars="0"/>
            </w:pPr>
            <w:r>
              <w:rPr>
                <w:rFonts w:hint="eastAsia"/>
              </w:rPr>
              <w:t>根据甲方要求免费配发至地州并开展技术培训。质保期（含保修期）：主机及相关配套设备保修期3年，自设备验收合格之日起计算，保修期内提供免费保修、免费升级。</w:t>
            </w:r>
          </w:p>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1" w:type="dxa"/>
            <w:gridSpan w:val="6"/>
          </w:tcPr>
          <w:p>
            <w:pPr>
              <w:jc w:val="center"/>
              <w:rPr>
                <w:rFonts w:ascii="宋体" w:hAnsi="宋体" w:cs="宋体"/>
                <w:color w:val="000000"/>
                <w:szCs w:val="21"/>
              </w:rPr>
            </w:pPr>
            <w:r>
              <w:rPr>
                <w:rFonts w:hint="eastAsia" w:ascii="宋体" w:hAnsi="宋体" w:cs="宋体"/>
                <w:color w:val="000000"/>
                <w:szCs w:val="21"/>
              </w:rPr>
              <w:t>合计</w:t>
            </w:r>
          </w:p>
        </w:tc>
        <w:tc>
          <w:tcPr>
            <w:tcW w:w="774" w:type="dxa"/>
          </w:tcPr>
          <w:p>
            <w:pPr>
              <w:jc w:val="center"/>
              <w:rPr>
                <w:rFonts w:ascii="宋体" w:hAnsi="宋体" w:cs="宋体"/>
                <w:color w:val="000000"/>
                <w:szCs w:val="21"/>
              </w:rPr>
            </w:pPr>
          </w:p>
        </w:tc>
        <w:tc>
          <w:tcPr>
            <w:tcW w:w="4180" w:type="dxa"/>
            <w:gridSpan w:val="4"/>
          </w:tcPr>
          <w:p>
            <w:pPr>
              <w:jc w:val="center"/>
              <w:rPr>
                <w:rFonts w:ascii="宋体" w:hAnsi="宋体" w:cs="宋体"/>
                <w:color w:val="000000"/>
                <w:szCs w:val="21"/>
              </w:rPr>
            </w:pPr>
          </w:p>
        </w:tc>
      </w:tr>
    </w:tbl>
    <w:p>
      <w:pPr>
        <w:pStyle w:val="2"/>
        <w:spacing w:line="440" w:lineRule="exact"/>
        <w:ind w:firstLine="0" w:firstLineChars="0"/>
        <w:rPr>
          <w:rFonts w:ascii="宋体" w:hAnsi="宋体" w:cs="宋体"/>
          <w:b/>
          <w:sz w:val="24"/>
        </w:rPr>
      </w:pPr>
      <w:r>
        <w:rPr>
          <w:rFonts w:hint="eastAsia" w:ascii="宋体" w:hAnsi="宋体" w:cs="宋体"/>
          <w:b/>
          <w:sz w:val="28"/>
          <w:szCs w:val="28"/>
        </w:rPr>
        <w:t>致病菌分子分型数据处理终端（配发至和田、塔城、克州、哈密、克拉玛依、阿克苏6个地州） 拟订技术参数：</w:t>
      </w:r>
    </w:p>
    <w:p>
      <w:pPr>
        <w:spacing w:line="400" w:lineRule="exact"/>
        <w:ind w:firstLine="482" w:firstLineChars="200"/>
        <w:outlineLvl w:val="1"/>
        <w:rPr>
          <w:rFonts w:ascii="宋体" w:hAnsi="宋体" w:cs="宋体"/>
          <w:b/>
          <w:sz w:val="24"/>
          <w:szCs w:val="24"/>
        </w:rPr>
      </w:pPr>
      <w:r>
        <w:rPr>
          <w:rFonts w:hint="eastAsia" w:ascii="宋体" w:hAnsi="宋体" w:cs="宋体"/>
          <w:b/>
          <w:sz w:val="24"/>
          <w:szCs w:val="24"/>
        </w:rPr>
        <w:t>1、主要用途</w:t>
      </w:r>
    </w:p>
    <w:p>
      <w:pPr>
        <w:spacing w:line="400" w:lineRule="exact"/>
        <w:ind w:firstLine="480" w:firstLineChars="200"/>
        <w:rPr>
          <w:rFonts w:ascii="宋体" w:hAnsi="宋体" w:cs="宋体"/>
          <w:sz w:val="24"/>
          <w:szCs w:val="24"/>
        </w:rPr>
      </w:pPr>
      <w:r>
        <w:rPr>
          <w:rFonts w:hint="eastAsia" w:ascii="宋体" w:hAnsi="宋体" w:cs="宋体"/>
          <w:sz w:val="24"/>
          <w:szCs w:val="24"/>
        </w:rPr>
        <w:t>1.1信息安全：先进加密技术保障，数据隐私无忧；</w:t>
      </w:r>
    </w:p>
    <w:p>
      <w:pPr>
        <w:spacing w:line="400" w:lineRule="exact"/>
        <w:ind w:firstLine="480" w:firstLineChars="200"/>
        <w:rPr>
          <w:rFonts w:ascii="宋体" w:hAnsi="宋体" w:cs="宋体"/>
          <w:sz w:val="24"/>
          <w:szCs w:val="24"/>
        </w:rPr>
      </w:pPr>
      <w:r>
        <w:rPr>
          <w:rFonts w:hint="eastAsia" w:ascii="宋体" w:hAnsi="宋体" w:cs="宋体"/>
          <w:sz w:val="24"/>
          <w:szCs w:val="24"/>
        </w:rPr>
        <w:t>1.2报告定制：根据用户实际需求，个性化定制分析报告；</w:t>
      </w:r>
    </w:p>
    <w:p>
      <w:pPr>
        <w:spacing w:line="400" w:lineRule="exact"/>
        <w:ind w:firstLine="480" w:firstLineChars="200"/>
        <w:rPr>
          <w:rFonts w:ascii="宋体" w:hAnsi="宋体" w:cs="宋体"/>
          <w:sz w:val="24"/>
          <w:szCs w:val="24"/>
        </w:rPr>
      </w:pPr>
      <w:r>
        <w:rPr>
          <w:rFonts w:hint="eastAsia" w:ascii="宋体" w:hAnsi="宋体" w:cs="宋体"/>
          <w:sz w:val="24"/>
          <w:szCs w:val="24"/>
        </w:rPr>
        <w:t>1.3分析高效：多流程运行，支持并行处理，数据分析更快速、更高效；</w:t>
      </w:r>
    </w:p>
    <w:p>
      <w:pPr>
        <w:spacing w:line="400" w:lineRule="exact"/>
        <w:ind w:firstLine="480" w:firstLineChars="200"/>
        <w:rPr>
          <w:rFonts w:ascii="宋体" w:hAnsi="宋体" w:cs="宋体"/>
          <w:sz w:val="24"/>
          <w:szCs w:val="24"/>
        </w:rPr>
      </w:pPr>
      <w:r>
        <w:rPr>
          <w:rFonts w:hint="eastAsia" w:ascii="宋体" w:hAnsi="宋体" w:cs="宋体"/>
          <w:sz w:val="24"/>
          <w:szCs w:val="24"/>
        </w:rPr>
        <w:t>1.4操作便捷：一键操作，下机数据自动生成分析报告；</w:t>
      </w:r>
    </w:p>
    <w:p>
      <w:pPr>
        <w:spacing w:line="400" w:lineRule="exact"/>
        <w:ind w:firstLine="480" w:firstLineChars="200"/>
        <w:rPr>
          <w:rFonts w:ascii="宋体" w:hAnsi="宋体" w:cs="宋体"/>
          <w:sz w:val="24"/>
          <w:szCs w:val="24"/>
        </w:rPr>
      </w:pPr>
      <w:r>
        <w:rPr>
          <w:rFonts w:hint="eastAsia" w:ascii="宋体" w:hAnsi="宋体" w:cs="宋体"/>
          <w:sz w:val="24"/>
          <w:szCs w:val="24"/>
        </w:rPr>
        <w:t>1.5功能开发：根据用户需求，开发个性化的功能；</w:t>
      </w:r>
    </w:p>
    <w:p>
      <w:pPr>
        <w:spacing w:line="400" w:lineRule="exact"/>
        <w:ind w:firstLine="480" w:firstLineChars="200"/>
        <w:rPr>
          <w:rFonts w:ascii="宋体" w:hAnsi="宋体" w:cs="宋体"/>
          <w:bCs/>
          <w:sz w:val="24"/>
          <w:szCs w:val="24"/>
        </w:rPr>
      </w:pPr>
      <w:r>
        <w:rPr>
          <w:rFonts w:hint="eastAsia" w:ascii="宋体" w:hAnsi="宋体" w:cs="宋体"/>
          <w:sz w:val="24"/>
          <w:szCs w:val="24"/>
        </w:rPr>
        <w:t>1.6一站式服务：实现下机数据，分析，报告的无缝连接。</w:t>
      </w:r>
    </w:p>
    <w:p>
      <w:pPr>
        <w:spacing w:line="400" w:lineRule="exact"/>
        <w:ind w:firstLine="482" w:firstLineChars="200"/>
        <w:outlineLvl w:val="1"/>
        <w:rPr>
          <w:rFonts w:ascii="宋体" w:hAnsi="宋体" w:cs="宋体"/>
          <w:b/>
          <w:sz w:val="24"/>
          <w:szCs w:val="24"/>
        </w:rPr>
      </w:pPr>
      <w:r>
        <w:rPr>
          <w:rFonts w:hint="eastAsia" w:ascii="宋体" w:hAnsi="宋体" w:cs="宋体"/>
          <w:b/>
          <w:sz w:val="24"/>
          <w:szCs w:val="24"/>
        </w:rPr>
        <w:t>2、软件参数</w:t>
      </w:r>
    </w:p>
    <w:p>
      <w:pPr>
        <w:spacing w:line="400" w:lineRule="exact"/>
        <w:ind w:firstLine="480" w:firstLineChars="200"/>
        <w:outlineLvl w:val="2"/>
        <w:rPr>
          <w:rFonts w:ascii="宋体" w:hAnsi="宋体" w:cs="宋体"/>
          <w:sz w:val="24"/>
          <w:szCs w:val="24"/>
        </w:rPr>
      </w:pPr>
      <w:r>
        <w:rPr>
          <w:rFonts w:hint="eastAsia" w:ascii="宋体" w:hAnsi="宋体" w:cs="宋体"/>
          <w:sz w:val="24"/>
          <w:szCs w:val="24"/>
        </w:rPr>
        <w:t>2.1支持DNA指纹谱图分析；</w:t>
      </w:r>
    </w:p>
    <w:p>
      <w:pPr>
        <w:spacing w:line="400" w:lineRule="exact"/>
        <w:ind w:firstLine="480" w:firstLineChars="200"/>
        <w:rPr>
          <w:rFonts w:ascii="宋体" w:hAnsi="宋体" w:cs="宋体"/>
          <w:sz w:val="24"/>
          <w:szCs w:val="24"/>
        </w:rPr>
      </w:pPr>
      <w:r>
        <w:rPr>
          <w:rFonts w:hint="eastAsia" w:ascii="宋体" w:hAnsi="宋体" w:cs="宋体"/>
          <w:sz w:val="24"/>
          <w:szCs w:val="24"/>
        </w:rPr>
        <w:t>2.2支持基因组原始数据质控分析、支持基因组数据组装分析、支持基因组数据预测分析；</w:t>
      </w:r>
    </w:p>
    <w:p>
      <w:pPr>
        <w:spacing w:line="400" w:lineRule="exact"/>
        <w:ind w:firstLine="480" w:firstLineChars="200"/>
        <w:outlineLvl w:val="2"/>
        <w:rPr>
          <w:rFonts w:ascii="宋体" w:hAnsi="宋体" w:cs="宋体"/>
          <w:sz w:val="24"/>
          <w:szCs w:val="24"/>
        </w:rPr>
      </w:pPr>
      <w:r>
        <w:rPr>
          <w:rFonts w:hint="eastAsia" w:ascii="宋体" w:hAnsi="宋体" w:cs="宋体"/>
          <w:sz w:val="24"/>
          <w:szCs w:val="24"/>
        </w:rPr>
        <w:t>2.3支持16S rDNA菌株鉴定分析。</w:t>
      </w:r>
    </w:p>
    <w:p>
      <w:pPr>
        <w:spacing w:line="400" w:lineRule="exact"/>
        <w:ind w:firstLine="482" w:firstLineChars="200"/>
        <w:outlineLvl w:val="1"/>
        <w:rPr>
          <w:rFonts w:ascii="宋体" w:hAnsi="宋体" w:cs="宋体"/>
          <w:b/>
          <w:sz w:val="24"/>
          <w:szCs w:val="24"/>
        </w:rPr>
      </w:pPr>
      <w:r>
        <w:rPr>
          <w:rFonts w:hint="eastAsia" w:ascii="宋体" w:hAnsi="宋体" w:cs="宋体"/>
          <w:b/>
          <w:sz w:val="24"/>
          <w:szCs w:val="24"/>
        </w:rPr>
        <w:t>3、硬件参数</w:t>
      </w:r>
    </w:p>
    <w:p>
      <w:pPr>
        <w:adjustRightInd w:val="0"/>
        <w:snapToGrid w:val="0"/>
        <w:spacing w:line="400" w:lineRule="exact"/>
        <w:ind w:firstLine="480" w:firstLineChars="200"/>
        <w:outlineLvl w:val="2"/>
        <w:rPr>
          <w:rFonts w:ascii="宋体" w:hAnsi="宋体" w:cs="宋体"/>
          <w:bCs/>
          <w:sz w:val="24"/>
          <w:szCs w:val="24"/>
        </w:rPr>
      </w:pPr>
      <w:r>
        <w:rPr>
          <w:rFonts w:hint="eastAsia" w:ascii="宋体" w:hAnsi="宋体" w:cs="宋体"/>
          <w:bCs/>
          <w:sz w:val="24"/>
          <w:szCs w:val="24"/>
        </w:rPr>
        <w:t>3.1处理器</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CPU</w:t>
      </w:r>
      <w:r>
        <w:rPr>
          <w:rFonts w:hint="eastAsia" w:ascii="宋体" w:hAnsi="宋体" w:cs="宋体"/>
          <w:bCs/>
          <w:sz w:val="24"/>
          <w:szCs w:val="24"/>
        </w:rPr>
        <w:tab/>
      </w:r>
      <w:r>
        <w:rPr>
          <w:rFonts w:hint="eastAsia" w:ascii="宋体" w:hAnsi="宋体" w:cs="宋体"/>
          <w:bCs/>
          <w:sz w:val="24"/>
          <w:szCs w:val="24"/>
        </w:rPr>
        <w:t>Intel® 3th Core™ i5</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芯片组</w:t>
      </w:r>
      <w:r>
        <w:rPr>
          <w:rFonts w:hint="eastAsia" w:ascii="宋体" w:hAnsi="宋体" w:cs="宋体"/>
          <w:bCs/>
          <w:sz w:val="24"/>
          <w:szCs w:val="24"/>
        </w:rPr>
        <w:tab/>
      </w:r>
      <w:r>
        <w:rPr>
          <w:rFonts w:hint="eastAsia" w:ascii="宋体" w:hAnsi="宋体" w:cs="宋体"/>
          <w:bCs/>
          <w:sz w:val="24"/>
          <w:szCs w:val="24"/>
        </w:rPr>
        <w:t>Intel® B75</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BIOS</w:t>
      </w:r>
      <w:r>
        <w:rPr>
          <w:rFonts w:hint="eastAsia" w:ascii="宋体" w:hAnsi="宋体" w:cs="宋体"/>
          <w:bCs/>
          <w:sz w:val="24"/>
          <w:szCs w:val="24"/>
        </w:rPr>
        <w:tab/>
      </w:r>
      <w:r>
        <w:rPr>
          <w:rFonts w:hint="eastAsia" w:ascii="宋体" w:hAnsi="宋体" w:cs="宋体"/>
          <w:bCs/>
          <w:sz w:val="24"/>
          <w:szCs w:val="24"/>
        </w:rPr>
        <w:t>AMI BIOS支持高级电源管理ACPI，CPU温度、系统电压实时监控</w:t>
      </w:r>
    </w:p>
    <w:p>
      <w:pPr>
        <w:adjustRightInd w:val="0"/>
        <w:snapToGrid w:val="0"/>
        <w:spacing w:line="400" w:lineRule="exact"/>
        <w:ind w:firstLine="480" w:firstLineChars="200"/>
        <w:outlineLvl w:val="2"/>
        <w:rPr>
          <w:rFonts w:ascii="宋体" w:hAnsi="宋体" w:cs="宋体"/>
          <w:bCs/>
          <w:sz w:val="24"/>
          <w:szCs w:val="24"/>
        </w:rPr>
      </w:pPr>
      <w:r>
        <w:rPr>
          <w:rFonts w:hint="eastAsia" w:ascii="宋体" w:hAnsi="宋体" w:cs="宋体"/>
          <w:bCs/>
          <w:sz w:val="24"/>
          <w:szCs w:val="24"/>
        </w:rPr>
        <w:t>3.2内存</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接口</w:t>
      </w:r>
      <w:r>
        <w:rPr>
          <w:rFonts w:hint="eastAsia" w:ascii="宋体" w:hAnsi="宋体" w:cs="宋体"/>
          <w:bCs/>
          <w:sz w:val="24"/>
          <w:szCs w:val="24"/>
        </w:rPr>
        <w:tab/>
      </w:r>
      <w:r>
        <w:rPr>
          <w:rFonts w:hint="eastAsia" w:ascii="宋体" w:hAnsi="宋体" w:cs="宋体"/>
          <w:bCs/>
          <w:sz w:val="24"/>
          <w:szCs w:val="24"/>
        </w:rPr>
        <w:t>2 x DDR3/DDR3L SO-DIMM</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容量</w:t>
      </w:r>
      <w:r>
        <w:rPr>
          <w:rFonts w:hint="eastAsia" w:ascii="宋体" w:hAnsi="宋体" w:cs="宋体"/>
          <w:bCs/>
          <w:sz w:val="24"/>
          <w:szCs w:val="24"/>
        </w:rPr>
        <w:tab/>
      </w:r>
      <w:r>
        <w:rPr>
          <w:rFonts w:hint="eastAsia" w:ascii="宋体" w:hAnsi="宋体" w:cs="宋体"/>
          <w:bCs/>
          <w:sz w:val="24"/>
          <w:szCs w:val="24"/>
        </w:rPr>
        <w:t>16GB；</w:t>
      </w:r>
    </w:p>
    <w:p>
      <w:pPr>
        <w:adjustRightInd w:val="0"/>
        <w:snapToGrid w:val="0"/>
        <w:spacing w:line="400" w:lineRule="exact"/>
        <w:ind w:firstLine="480" w:firstLineChars="200"/>
        <w:outlineLvl w:val="2"/>
        <w:rPr>
          <w:rFonts w:ascii="宋体" w:hAnsi="宋体" w:cs="宋体"/>
          <w:bCs/>
          <w:sz w:val="24"/>
          <w:szCs w:val="24"/>
        </w:rPr>
      </w:pPr>
      <w:r>
        <w:rPr>
          <w:rFonts w:hint="eastAsia" w:ascii="宋体" w:hAnsi="宋体" w:cs="宋体"/>
          <w:bCs/>
          <w:sz w:val="24"/>
          <w:szCs w:val="24"/>
        </w:rPr>
        <w:t>3.3存储</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硬盘：内置SSD 500G及以上</w:t>
      </w:r>
    </w:p>
    <w:p>
      <w:pPr>
        <w:adjustRightInd w:val="0"/>
        <w:snapToGrid w:val="0"/>
        <w:spacing w:line="400" w:lineRule="exact"/>
        <w:ind w:firstLine="480" w:firstLineChars="200"/>
        <w:outlineLvl w:val="2"/>
        <w:rPr>
          <w:rFonts w:ascii="宋体" w:hAnsi="宋体" w:cs="宋体"/>
          <w:bCs/>
          <w:sz w:val="24"/>
          <w:szCs w:val="24"/>
        </w:rPr>
      </w:pPr>
      <w:r>
        <w:rPr>
          <w:rFonts w:hint="eastAsia" w:ascii="宋体" w:hAnsi="宋体" w:cs="宋体"/>
          <w:bCs/>
          <w:sz w:val="24"/>
          <w:szCs w:val="24"/>
        </w:rPr>
        <w:t>3.4显示</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芯片组</w:t>
      </w:r>
      <w:r>
        <w:rPr>
          <w:rFonts w:hint="eastAsia" w:ascii="宋体" w:hAnsi="宋体" w:cs="宋体"/>
          <w:bCs/>
          <w:sz w:val="24"/>
          <w:szCs w:val="24"/>
        </w:rPr>
        <w:tab/>
      </w:r>
      <w:r>
        <w:rPr>
          <w:rFonts w:hint="eastAsia" w:ascii="宋体" w:hAnsi="宋体" w:cs="宋体"/>
          <w:bCs/>
          <w:sz w:val="24"/>
          <w:szCs w:val="24"/>
        </w:rPr>
        <w:t>CPU集成Intel® HD Graphics，支持DirectX12</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输出</w:t>
      </w:r>
      <w:r>
        <w:rPr>
          <w:rFonts w:hint="eastAsia" w:ascii="宋体" w:hAnsi="宋体" w:cs="宋体"/>
          <w:bCs/>
          <w:sz w:val="24"/>
          <w:szCs w:val="24"/>
        </w:rPr>
        <w:tab/>
      </w:r>
      <w:r>
        <w:rPr>
          <w:rFonts w:hint="eastAsia" w:ascii="宋体" w:hAnsi="宋体" w:cs="宋体"/>
          <w:bCs/>
          <w:sz w:val="24"/>
          <w:szCs w:val="24"/>
        </w:rPr>
        <w:t>1 x HDMI（最大支持分辨率支持：1920x1200，@ 30Hz）</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1 x VGA（最大支持分辨率支持：2048x1536）</w:t>
      </w:r>
    </w:p>
    <w:p>
      <w:pPr>
        <w:adjustRightInd w:val="0"/>
        <w:snapToGrid w:val="0"/>
        <w:spacing w:line="400" w:lineRule="exact"/>
        <w:ind w:firstLine="480" w:firstLineChars="200"/>
        <w:outlineLvl w:val="2"/>
        <w:rPr>
          <w:rFonts w:ascii="宋体" w:hAnsi="宋体" w:cs="宋体"/>
          <w:bCs/>
          <w:sz w:val="24"/>
          <w:szCs w:val="24"/>
        </w:rPr>
      </w:pPr>
      <w:r>
        <w:rPr>
          <w:rFonts w:hint="eastAsia" w:ascii="宋体" w:hAnsi="宋体" w:cs="宋体"/>
          <w:bCs/>
          <w:sz w:val="24"/>
          <w:szCs w:val="24"/>
        </w:rPr>
        <w:t>3.5网络</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芯片</w:t>
      </w:r>
      <w:r>
        <w:rPr>
          <w:rFonts w:hint="eastAsia" w:ascii="宋体" w:hAnsi="宋体" w:cs="宋体"/>
          <w:bCs/>
          <w:sz w:val="24"/>
          <w:szCs w:val="24"/>
        </w:rPr>
        <w:tab/>
      </w:r>
      <w:r>
        <w:rPr>
          <w:rFonts w:hint="eastAsia" w:ascii="宋体" w:hAnsi="宋体" w:cs="宋体"/>
          <w:bCs/>
          <w:sz w:val="24"/>
          <w:szCs w:val="24"/>
        </w:rPr>
        <w:t>2 x Intel® 82574L Ethernet Connection</w:t>
      </w:r>
    </w:p>
    <w:p>
      <w:pPr>
        <w:adjustRightInd w:val="0"/>
        <w:snapToGrid w:val="0"/>
        <w:spacing w:line="400" w:lineRule="exact"/>
        <w:ind w:firstLine="480" w:firstLineChars="200"/>
        <w:outlineLvl w:val="2"/>
        <w:rPr>
          <w:rFonts w:ascii="宋体" w:hAnsi="宋体" w:cs="宋体"/>
          <w:bCs/>
          <w:sz w:val="24"/>
          <w:szCs w:val="24"/>
        </w:rPr>
      </w:pPr>
      <w:r>
        <w:rPr>
          <w:rFonts w:hint="eastAsia" w:ascii="宋体" w:hAnsi="宋体" w:cs="宋体"/>
          <w:bCs/>
          <w:sz w:val="24"/>
          <w:szCs w:val="24"/>
        </w:rPr>
        <w:t>3.6音频</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芯片</w:t>
      </w:r>
      <w:r>
        <w:rPr>
          <w:rFonts w:hint="eastAsia" w:ascii="宋体" w:hAnsi="宋体" w:cs="宋体"/>
          <w:bCs/>
          <w:sz w:val="24"/>
          <w:szCs w:val="24"/>
        </w:rPr>
        <w:tab/>
      </w:r>
      <w:r>
        <w:rPr>
          <w:rFonts w:hint="eastAsia" w:ascii="宋体" w:hAnsi="宋体" w:cs="宋体"/>
          <w:bCs/>
          <w:color w:val="000000"/>
          <w:sz w:val="24"/>
          <w:szCs w:val="24"/>
        </w:rPr>
        <w:t>Realtek ALC662VD</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接口</w:t>
      </w:r>
      <w:r>
        <w:rPr>
          <w:rFonts w:hint="eastAsia" w:ascii="宋体" w:hAnsi="宋体" w:cs="宋体"/>
          <w:bCs/>
          <w:sz w:val="24"/>
          <w:szCs w:val="24"/>
        </w:rPr>
        <w:tab/>
      </w:r>
      <w:r>
        <w:rPr>
          <w:rFonts w:hint="eastAsia" w:ascii="宋体" w:hAnsi="宋体" w:cs="宋体"/>
          <w:bCs/>
          <w:sz w:val="24"/>
          <w:szCs w:val="24"/>
        </w:rPr>
        <w:t>1 x Mic-in + 1 x Audio-out</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3.7电源类型：DC</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3.8开机：1×开机按钮（含状态LED）</w:t>
      </w:r>
    </w:p>
    <w:p>
      <w:pPr>
        <w:adjustRightInd w:val="0"/>
        <w:snapToGrid w:val="0"/>
        <w:spacing w:line="400" w:lineRule="exact"/>
        <w:ind w:firstLine="480" w:firstLineChars="200"/>
        <w:rPr>
          <w:rFonts w:ascii="宋体" w:hAnsi="宋体" w:cs="宋体"/>
          <w:b/>
          <w:sz w:val="24"/>
          <w:szCs w:val="24"/>
        </w:rPr>
      </w:pPr>
      <w:r>
        <w:rPr>
          <w:rFonts w:hint="eastAsia" w:ascii="宋体" w:hAnsi="宋体" w:cs="宋体"/>
          <w:bCs/>
          <w:sz w:val="24"/>
          <w:szCs w:val="24"/>
        </w:rPr>
        <w:t>3.9Linux操作系统</w:t>
      </w:r>
    </w:p>
    <w:p>
      <w:pPr>
        <w:spacing w:line="400" w:lineRule="exact"/>
        <w:ind w:firstLine="482" w:firstLineChars="200"/>
        <w:outlineLvl w:val="1"/>
        <w:rPr>
          <w:rFonts w:ascii="宋体" w:hAnsi="宋体" w:cs="宋体"/>
          <w:b/>
          <w:sz w:val="24"/>
          <w:szCs w:val="24"/>
        </w:rPr>
      </w:pPr>
      <w:r>
        <w:rPr>
          <w:rFonts w:hint="eastAsia" w:ascii="宋体" w:hAnsi="宋体" w:cs="宋体"/>
          <w:b/>
          <w:sz w:val="24"/>
          <w:szCs w:val="24"/>
        </w:rPr>
        <w:t>4、配置要求</w:t>
      </w:r>
    </w:p>
    <w:p>
      <w:pPr>
        <w:spacing w:line="400" w:lineRule="exact"/>
        <w:ind w:firstLine="480" w:firstLineChars="200"/>
        <w:rPr>
          <w:rFonts w:ascii="宋体" w:hAnsi="宋体" w:cs="宋体"/>
          <w:bCs/>
          <w:sz w:val="24"/>
          <w:szCs w:val="24"/>
        </w:rPr>
      </w:pPr>
      <w:r>
        <w:rPr>
          <w:rFonts w:hint="eastAsia" w:ascii="宋体" w:hAnsi="宋体" w:cs="宋体"/>
          <w:bCs/>
          <w:sz w:val="24"/>
          <w:szCs w:val="24"/>
        </w:rPr>
        <w:t>4.1主机硬件一套</w:t>
      </w:r>
    </w:p>
    <w:p>
      <w:pPr>
        <w:spacing w:line="400" w:lineRule="exact"/>
        <w:ind w:firstLine="480" w:firstLineChars="200"/>
        <w:rPr>
          <w:rFonts w:ascii="宋体" w:hAnsi="宋体" w:cs="宋体"/>
          <w:bCs/>
          <w:sz w:val="24"/>
          <w:szCs w:val="24"/>
        </w:rPr>
      </w:pPr>
      <w:r>
        <w:rPr>
          <w:rFonts w:hint="eastAsia" w:ascii="宋体" w:hAnsi="宋体" w:cs="宋体"/>
          <w:bCs/>
          <w:sz w:val="24"/>
          <w:szCs w:val="24"/>
        </w:rPr>
        <w:t>4.2软件一套</w:t>
      </w:r>
    </w:p>
    <w:p>
      <w:pPr>
        <w:pStyle w:val="166"/>
        <w:spacing w:line="440" w:lineRule="exact"/>
        <w:ind w:firstLine="482"/>
        <w:outlineLvl w:val="1"/>
        <w:rPr>
          <w:rFonts w:ascii="宋体" w:hAnsi="宋体" w:cs="宋体"/>
          <w:b/>
          <w:sz w:val="24"/>
          <w:szCs w:val="24"/>
        </w:rPr>
      </w:pPr>
      <w:r>
        <w:rPr>
          <w:rFonts w:hint="eastAsia" w:ascii="宋体" w:hAnsi="宋体" w:cs="宋体"/>
          <w:b/>
          <w:sz w:val="24"/>
          <w:szCs w:val="24"/>
        </w:rPr>
        <w:t>5、商务部分</w:t>
      </w:r>
    </w:p>
    <w:p>
      <w:pPr>
        <w:pStyle w:val="166"/>
        <w:spacing w:line="440" w:lineRule="exact"/>
        <w:ind w:firstLine="480"/>
        <w:rPr>
          <w:rFonts w:ascii="宋体" w:hAnsi="宋体" w:cs="宋体"/>
          <w:bCs/>
          <w:sz w:val="24"/>
          <w:szCs w:val="24"/>
        </w:rPr>
      </w:pPr>
      <w:r>
        <w:rPr>
          <w:rFonts w:hint="eastAsia" w:ascii="宋体" w:hAnsi="宋体" w:cs="宋体"/>
          <w:bCs/>
          <w:sz w:val="24"/>
          <w:szCs w:val="24"/>
        </w:rPr>
        <w:t>5.1投标人中标后应提供全套、完整的技术资料，包括仪器说明书、操作手册、维护保养说明等；</w:t>
      </w:r>
    </w:p>
    <w:p>
      <w:pPr>
        <w:pStyle w:val="166"/>
        <w:spacing w:line="440" w:lineRule="exact"/>
        <w:ind w:firstLine="480"/>
        <w:rPr>
          <w:rFonts w:ascii="宋体" w:hAnsi="宋体" w:cs="宋体"/>
          <w:bCs/>
          <w:sz w:val="24"/>
          <w:szCs w:val="24"/>
        </w:rPr>
      </w:pPr>
      <w:r>
        <w:rPr>
          <w:rFonts w:hint="eastAsia" w:ascii="宋体" w:hAnsi="宋体" w:cs="宋体"/>
          <w:bCs/>
          <w:sz w:val="24"/>
          <w:szCs w:val="24"/>
        </w:rPr>
        <w:t>5.2 仪器安装、调试和验收：仪器到达最终用户现场并且实验室条件合格后，在接到用户通知后需安排有经验的工程技术人员到用户现场安装、调试仪器，设备安装调试需在5日内完成。安装前，提供安装条件、用水、用电条件说明；免费移机不少于2次。</w:t>
      </w:r>
    </w:p>
    <w:p>
      <w:pPr>
        <w:pStyle w:val="166"/>
        <w:spacing w:line="440" w:lineRule="exact"/>
        <w:ind w:firstLine="480"/>
        <w:rPr>
          <w:rFonts w:ascii="宋体" w:hAnsi="宋体" w:cs="宋体"/>
          <w:bCs/>
          <w:sz w:val="24"/>
          <w:szCs w:val="24"/>
        </w:rPr>
      </w:pPr>
      <w:r>
        <w:rPr>
          <w:rFonts w:hint="eastAsia" w:ascii="宋体" w:hAnsi="宋体" w:cs="宋体"/>
          <w:bCs/>
          <w:sz w:val="24"/>
          <w:szCs w:val="24"/>
        </w:rPr>
        <w:t>5.3 培训要求：安装验收后，供应商在用户所在地对用户进行仪器操作和日常维护的现场培训，次数不少于3次。包括仪器原理、使用方法和维护方法等，需要提供培训证书；</w:t>
      </w:r>
    </w:p>
    <w:p>
      <w:pPr>
        <w:pStyle w:val="166"/>
        <w:spacing w:line="440" w:lineRule="exact"/>
        <w:ind w:firstLine="482"/>
        <w:outlineLvl w:val="1"/>
        <w:rPr>
          <w:rFonts w:ascii="宋体" w:hAnsi="宋体" w:cs="宋体"/>
          <w:b/>
          <w:sz w:val="24"/>
          <w:szCs w:val="24"/>
        </w:rPr>
      </w:pPr>
      <w:r>
        <w:rPr>
          <w:rFonts w:hint="eastAsia" w:ascii="宋体" w:hAnsi="宋体" w:cs="宋体"/>
          <w:b/>
          <w:sz w:val="24"/>
          <w:szCs w:val="24"/>
        </w:rPr>
        <w:t>6、质量保证</w:t>
      </w:r>
    </w:p>
    <w:p>
      <w:pPr>
        <w:pStyle w:val="166"/>
        <w:spacing w:line="440" w:lineRule="exact"/>
        <w:ind w:firstLine="480"/>
        <w:rPr>
          <w:rFonts w:ascii="宋体" w:hAnsi="宋体" w:cs="宋体"/>
          <w:bCs/>
          <w:sz w:val="24"/>
          <w:szCs w:val="24"/>
        </w:rPr>
      </w:pPr>
      <w:r>
        <w:rPr>
          <w:rFonts w:hint="eastAsia" w:ascii="宋体" w:hAnsi="宋体" w:cs="宋体"/>
          <w:bCs/>
          <w:sz w:val="24"/>
          <w:szCs w:val="24"/>
        </w:rPr>
        <w:t>6.1质保期（含保修期）：主机及相关配套设备保修期3年，自设备验收合格之日起计算，保修期内提供免费保修、免费升级。</w:t>
      </w:r>
    </w:p>
    <w:p>
      <w:pPr>
        <w:pStyle w:val="166"/>
        <w:spacing w:line="440" w:lineRule="exact"/>
        <w:ind w:left="479" w:leftChars="228" w:firstLine="0" w:firstLineChars="0"/>
        <w:outlineLvl w:val="1"/>
        <w:rPr>
          <w:rFonts w:ascii="宋体" w:hAnsi="宋体" w:cs="宋体"/>
          <w:b/>
          <w:sz w:val="24"/>
          <w:szCs w:val="24"/>
        </w:rPr>
      </w:pPr>
      <w:r>
        <w:rPr>
          <w:rFonts w:hint="eastAsia" w:ascii="宋体" w:hAnsi="宋体" w:cs="宋体"/>
          <w:b/>
          <w:sz w:val="24"/>
          <w:szCs w:val="24"/>
        </w:rPr>
        <w:t>7、供应商在国内的售后服务体系</w:t>
      </w:r>
    </w:p>
    <w:p>
      <w:pPr>
        <w:pStyle w:val="166"/>
        <w:spacing w:line="440" w:lineRule="exact"/>
        <w:ind w:left="479" w:leftChars="228" w:firstLine="0" w:firstLineChars="0"/>
        <w:rPr>
          <w:rFonts w:ascii="宋体" w:hAnsi="宋体" w:cs="宋体"/>
          <w:bCs/>
          <w:sz w:val="24"/>
          <w:szCs w:val="24"/>
        </w:rPr>
      </w:pPr>
      <w:r>
        <w:rPr>
          <w:rFonts w:hint="eastAsia" w:ascii="宋体" w:hAnsi="宋体" w:cs="宋体"/>
          <w:bCs/>
          <w:sz w:val="24"/>
          <w:szCs w:val="24"/>
        </w:rPr>
        <w:t>7.1 供应商提供快速的安装调试，操作指导和维修等方面的技术服务；</w:t>
      </w:r>
    </w:p>
    <w:p>
      <w:pPr>
        <w:pStyle w:val="166"/>
        <w:spacing w:line="440" w:lineRule="exact"/>
        <w:ind w:firstLine="480"/>
        <w:rPr>
          <w:rFonts w:ascii="宋体" w:hAnsi="宋体" w:cs="宋体"/>
          <w:bCs/>
          <w:sz w:val="24"/>
          <w:szCs w:val="24"/>
        </w:rPr>
      </w:pPr>
      <w:r>
        <w:rPr>
          <w:rFonts w:hint="eastAsia" w:ascii="宋体" w:hAnsi="宋体" w:cs="宋体"/>
          <w:bCs/>
          <w:sz w:val="24"/>
          <w:szCs w:val="24"/>
        </w:rPr>
        <w:t>7.2 在中国境内有属于自己的客户应用支持中心，为基层客户提供仪器使用和应用支持,为用户提供分析咨询演示分析和培训等服务；</w:t>
      </w:r>
    </w:p>
    <w:p>
      <w:pPr>
        <w:pStyle w:val="166"/>
        <w:spacing w:line="440" w:lineRule="exact"/>
        <w:ind w:firstLine="480"/>
        <w:rPr>
          <w:rFonts w:ascii="宋体" w:hAnsi="宋体" w:cs="宋体"/>
          <w:bCs/>
          <w:sz w:val="24"/>
          <w:szCs w:val="24"/>
        </w:rPr>
      </w:pPr>
      <w:r>
        <w:rPr>
          <w:rFonts w:hint="eastAsia" w:ascii="宋体" w:hAnsi="宋体" w:cs="宋体"/>
          <w:bCs/>
          <w:sz w:val="24"/>
          <w:szCs w:val="24"/>
        </w:rPr>
        <w:t>7.3 在中国境内应提供供应商自身的零备件供应体系，方便客户购买消耗品和零备件；</w:t>
      </w:r>
    </w:p>
    <w:p>
      <w:pPr>
        <w:pStyle w:val="166"/>
        <w:spacing w:line="440" w:lineRule="exact"/>
        <w:ind w:firstLine="480"/>
        <w:rPr>
          <w:rFonts w:ascii="宋体" w:hAnsi="宋体" w:cs="宋体"/>
          <w:bCs/>
          <w:sz w:val="24"/>
          <w:szCs w:val="24"/>
        </w:rPr>
      </w:pPr>
      <w:r>
        <w:rPr>
          <w:rFonts w:hint="eastAsia" w:ascii="宋体" w:hAnsi="宋体" w:cs="宋体"/>
          <w:bCs/>
          <w:sz w:val="24"/>
          <w:szCs w:val="24"/>
        </w:rPr>
        <w:t>7.4 供应商服务中心直接提供终身维修，维修响应时间为24小时内，48小时内到达现场。</w:t>
      </w:r>
    </w:p>
    <w:p>
      <w:pPr>
        <w:rPr>
          <w:rFonts w:ascii="宋体" w:hAnsi="宋体"/>
          <w:b/>
          <w:sz w:val="30"/>
          <w:szCs w:val="30"/>
        </w:rPr>
      </w:pPr>
    </w:p>
    <w:p>
      <w:pPr>
        <w:pStyle w:val="6"/>
        <w:outlineLvl w:val="9"/>
        <w:rPr>
          <w:rFonts w:ascii="宋体" w:hAnsi="宋体"/>
          <w:sz w:val="30"/>
          <w:szCs w:val="30"/>
        </w:rPr>
      </w:pPr>
    </w:p>
    <w:p>
      <w:pPr>
        <w:rPr>
          <w:rFonts w:ascii="宋体" w:hAnsi="宋体"/>
          <w:b/>
          <w:sz w:val="30"/>
          <w:szCs w:val="30"/>
        </w:rPr>
      </w:pPr>
    </w:p>
    <w:p>
      <w:pPr>
        <w:pStyle w:val="6"/>
        <w:outlineLvl w:val="9"/>
        <w:rPr>
          <w:rFonts w:ascii="宋体" w:hAnsi="宋体"/>
          <w:sz w:val="30"/>
          <w:szCs w:val="30"/>
        </w:rPr>
      </w:pPr>
    </w:p>
    <w:p>
      <w:pPr>
        <w:rPr>
          <w:rFonts w:ascii="宋体" w:hAnsi="宋体"/>
          <w:b/>
          <w:sz w:val="30"/>
          <w:szCs w:val="30"/>
        </w:rPr>
      </w:pPr>
    </w:p>
    <w:p>
      <w:pPr>
        <w:rPr>
          <w:rFonts w:ascii="宋体" w:hAnsi="宋体"/>
          <w:b/>
          <w:sz w:val="30"/>
          <w:szCs w:val="30"/>
        </w:rPr>
        <w:sectPr>
          <w:footerReference r:id="rId10" w:type="first"/>
          <w:headerReference r:id="rId7" w:type="default"/>
          <w:footerReference r:id="rId8" w:type="default"/>
          <w:footerReference r:id="rId9" w:type="even"/>
          <w:pgSz w:w="11906" w:h="16838"/>
          <w:pgMar w:top="1134" w:right="1106" w:bottom="1077" w:left="975" w:header="851" w:footer="992" w:gutter="0"/>
          <w:paperSrc w:first="7" w:other="7"/>
          <w:cols w:space="720" w:num="1"/>
          <w:docGrid w:type="lines" w:linePitch="312" w:charSpace="0"/>
        </w:sectPr>
      </w:pPr>
    </w:p>
    <w:p>
      <w:pPr>
        <w:pStyle w:val="2"/>
      </w:pPr>
    </w:p>
    <w:bookmarkEnd w:id="14"/>
    <w:p>
      <w:pPr>
        <w:spacing w:line="500" w:lineRule="exact"/>
        <w:jc w:val="center"/>
        <w:outlineLvl w:val="0"/>
        <w:rPr>
          <w:rFonts w:ascii="宋体" w:hAnsi="宋体"/>
          <w:b/>
          <w:sz w:val="30"/>
          <w:szCs w:val="30"/>
        </w:rPr>
      </w:pPr>
      <w:r>
        <w:rPr>
          <w:rFonts w:hint="eastAsia" w:ascii="宋体" w:hAnsi="宋体"/>
          <w:b/>
          <w:sz w:val="30"/>
          <w:szCs w:val="30"/>
        </w:rPr>
        <w:t>第四章 合同条款</w:t>
      </w:r>
    </w:p>
    <w:p>
      <w:pPr>
        <w:adjustRightInd w:val="0"/>
        <w:snapToGrid w:val="0"/>
        <w:spacing w:line="360" w:lineRule="auto"/>
        <w:rPr>
          <w:rFonts w:ascii="黑体"/>
          <w:szCs w:val="21"/>
        </w:rPr>
      </w:pPr>
    </w:p>
    <w:p>
      <w:pPr>
        <w:adjustRightInd w:val="0"/>
        <w:snapToGrid w:val="0"/>
        <w:spacing w:line="360" w:lineRule="auto"/>
        <w:jc w:val="center"/>
        <w:rPr>
          <w:rFonts w:ascii="黑体"/>
          <w:color w:val="FF0000"/>
          <w:szCs w:val="21"/>
        </w:rPr>
      </w:pPr>
    </w:p>
    <w:p>
      <w:pPr>
        <w:adjustRightInd w:val="0"/>
        <w:snapToGrid w:val="0"/>
        <w:spacing w:line="360" w:lineRule="auto"/>
        <w:jc w:val="center"/>
        <w:rPr>
          <w:rFonts w:ascii="黑体"/>
          <w:szCs w:val="21"/>
        </w:rPr>
      </w:pPr>
    </w:p>
    <w:p>
      <w:pPr>
        <w:adjustRightInd w:val="0"/>
        <w:snapToGrid w:val="0"/>
        <w:spacing w:line="360" w:lineRule="auto"/>
        <w:jc w:val="center"/>
        <w:outlineLvl w:val="1"/>
        <w:rPr>
          <w:rFonts w:ascii="黑体"/>
          <w:sz w:val="44"/>
          <w:szCs w:val="44"/>
        </w:rPr>
      </w:pPr>
      <w:r>
        <w:rPr>
          <w:rFonts w:hint="eastAsia" w:ascii="黑体"/>
          <w:sz w:val="44"/>
          <w:szCs w:val="44"/>
        </w:rPr>
        <w:t>新疆维吾尔自治区疾病预防控制中心</w:t>
      </w:r>
    </w:p>
    <w:p>
      <w:pPr>
        <w:tabs>
          <w:tab w:val="center" w:pos="4536"/>
          <w:tab w:val="left" w:pos="7560"/>
        </w:tabs>
        <w:adjustRightInd w:val="0"/>
        <w:snapToGrid w:val="0"/>
        <w:spacing w:line="360" w:lineRule="auto"/>
        <w:jc w:val="left"/>
        <w:rPr>
          <w:rFonts w:ascii="黑体"/>
          <w:sz w:val="30"/>
          <w:szCs w:val="30"/>
        </w:rPr>
      </w:pPr>
      <w:r>
        <w:rPr>
          <w:rFonts w:ascii="黑体"/>
          <w:w w:val="110"/>
          <w:sz w:val="44"/>
          <w:szCs w:val="44"/>
        </w:rPr>
        <w:tab/>
      </w:r>
      <w:r>
        <w:rPr>
          <w:rFonts w:hint="eastAsia" w:ascii="黑体"/>
          <w:w w:val="110"/>
          <w:sz w:val="44"/>
          <w:szCs w:val="44"/>
        </w:rPr>
        <w:t>采 购</w:t>
      </w:r>
      <w:r>
        <w:rPr>
          <w:rFonts w:hint="eastAsia" w:ascii="黑体"/>
          <w:sz w:val="44"/>
          <w:szCs w:val="44"/>
        </w:rPr>
        <w:t>合同</w:t>
      </w:r>
      <w:r>
        <w:rPr>
          <w:rFonts w:ascii="黑体"/>
          <w:sz w:val="30"/>
          <w:szCs w:val="30"/>
        </w:rPr>
        <w:tab/>
      </w:r>
    </w:p>
    <w:p>
      <w:pPr>
        <w:adjustRightInd w:val="0"/>
        <w:snapToGrid w:val="0"/>
        <w:spacing w:line="360" w:lineRule="auto"/>
        <w:ind w:firstLine="1050" w:firstLineChars="500"/>
        <w:rPr>
          <w:rFonts w:ascii="黑体"/>
          <w:szCs w:val="21"/>
        </w:rPr>
      </w:pPr>
    </w:p>
    <w:p>
      <w:pPr>
        <w:adjustRightInd w:val="0"/>
        <w:snapToGrid w:val="0"/>
        <w:spacing w:line="360" w:lineRule="auto"/>
        <w:ind w:firstLine="1500" w:firstLineChars="500"/>
        <w:rPr>
          <w:rFonts w:ascii="黑体"/>
          <w:b/>
          <w:bCs/>
          <w:color w:val="FF0000"/>
          <w:sz w:val="32"/>
          <w:szCs w:val="32"/>
        </w:rPr>
      </w:pPr>
      <w:r>
        <w:rPr>
          <w:rFonts w:hint="eastAsia" w:ascii="黑体"/>
          <w:sz w:val="30"/>
          <w:szCs w:val="30"/>
        </w:rPr>
        <w:t>项目编号</w:t>
      </w:r>
      <w:r>
        <w:rPr>
          <w:rFonts w:hint="eastAsia" w:ascii="黑体"/>
          <w:sz w:val="30"/>
          <w:szCs w:val="30"/>
          <w:highlight w:val="none"/>
        </w:rPr>
        <w:t>：此次投标项目编号</w:t>
      </w:r>
    </w:p>
    <w:p>
      <w:pPr>
        <w:adjustRightInd w:val="0"/>
        <w:snapToGrid w:val="0"/>
        <w:spacing w:line="360" w:lineRule="auto"/>
        <w:jc w:val="center"/>
        <w:rPr>
          <w:rFonts w:ascii="黑体"/>
          <w:sz w:val="30"/>
          <w:szCs w:val="30"/>
        </w:rPr>
      </w:pPr>
    </w:p>
    <w:p>
      <w:pPr>
        <w:adjustRightInd w:val="0"/>
        <w:snapToGrid w:val="0"/>
        <w:spacing w:line="360" w:lineRule="auto"/>
        <w:ind w:firstLine="3300" w:firstLineChars="1100"/>
        <w:rPr>
          <w:rFonts w:ascii="黑体" w:hAnsi="宋体"/>
          <w:color w:val="FF0000"/>
          <w:sz w:val="30"/>
          <w:szCs w:val="30"/>
        </w:rPr>
      </w:pPr>
      <w:r>
        <w:rPr>
          <w:rFonts w:hint="eastAsia" w:ascii="黑体"/>
          <w:sz w:val="30"/>
          <w:szCs w:val="30"/>
        </w:rPr>
        <w:t>（  2022 年度）</w:t>
      </w:r>
    </w:p>
    <w:p>
      <w:pPr>
        <w:widowControl/>
        <w:adjustRightInd w:val="0"/>
        <w:snapToGrid w:val="0"/>
        <w:spacing w:line="360" w:lineRule="auto"/>
        <w:jc w:val="center"/>
        <w:rPr>
          <w:rFonts w:ascii="黑体" w:cs="宋体"/>
          <w:kern w:val="0"/>
          <w:szCs w:val="21"/>
        </w:rPr>
      </w:pPr>
    </w:p>
    <w:p>
      <w:pPr>
        <w:adjustRightInd w:val="0"/>
        <w:snapToGrid w:val="0"/>
        <w:spacing w:line="360" w:lineRule="auto"/>
        <w:rPr>
          <w:rFonts w:ascii="楷体_GB2312"/>
          <w:color w:val="000000"/>
          <w:szCs w:val="21"/>
        </w:rPr>
      </w:pPr>
    </w:p>
    <w:p>
      <w:pPr>
        <w:adjustRightInd w:val="0"/>
        <w:snapToGrid w:val="0"/>
        <w:spacing w:line="360" w:lineRule="auto"/>
        <w:rPr>
          <w:rFonts w:ascii="楷体_GB2312"/>
          <w:color w:val="000000"/>
          <w:szCs w:val="21"/>
        </w:rPr>
      </w:pPr>
    </w:p>
    <w:p>
      <w:pPr>
        <w:adjustRightInd w:val="0"/>
        <w:snapToGrid w:val="0"/>
        <w:spacing w:line="360" w:lineRule="auto"/>
        <w:rPr>
          <w:rFonts w:ascii="楷体_GB2312"/>
          <w:color w:val="000000"/>
          <w:szCs w:val="21"/>
        </w:rPr>
      </w:pPr>
    </w:p>
    <w:p>
      <w:pPr>
        <w:adjustRightInd w:val="0"/>
        <w:snapToGrid w:val="0"/>
        <w:spacing w:line="360" w:lineRule="auto"/>
        <w:ind w:firstLine="966" w:firstLineChars="345"/>
        <w:rPr>
          <w:rFonts w:ascii="黑体"/>
          <w:color w:val="000000"/>
          <w:sz w:val="28"/>
          <w:szCs w:val="28"/>
        </w:rPr>
      </w:pPr>
      <w:r>
        <w:rPr>
          <w:rFonts w:hint="eastAsia" w:ascii="黑体"/>
          <w:color w:val="000000"/>
          <w:sz w:val="28"/>
          <w:szCs w:val="28"/>
        </w:rPr>
        <w:t>甲  方：新疆维吾尔自治区疾病预防控制中心</w:t>
      </w:r>
    </w:p>
    <w:p>
      <w:pPr>
        <w:adjustRightInd w:val="0"/>
        <w:snapToGrid w:val="0"/>
        <w:spacing w:line="360" w:lineRule="auto"/>
        <w:ind w:firstLine="966" w:firstLineChars="345"/>
        <w:rPr>
          <w:rFonts w:ascii="黑体" w:hAnsi="仿宋_GB2312"/>
          <w:sz w:val="28"/>
          <w:szCs w:val="28"/>
        </w:rPr>
      </w:pPr>
      <w:r>
        <w:rPr>
          <w:rFonts w:hint="eastAsia" w:ascii="黑体"/>
          <w:sz w:val="28"/>
          <w:szCs w:val="28"/>
        </w:rPr>
        <w:t>乙  方：</w:t>
      </w:r>
    </w:p>
    <w:p>
      <w:pPr>
        <w:adjustRightInd w:val="0"/>
        <w:snapToGrid w:val="0"/>
        <w:spacing w:line="360" w:lineRule="auto"/>
        <w:jc w:val="center"/>
        <w:rPr>
          <w:rFonts w:ascii="黑体"/>
          <w:color w:val="000000"/>
          <w:sz w:val="28"/>
          <w:szCs w:val="28"/>
        </w:rPr>
      </w:pPr>
    </w:p>
    <w:p>
      <w:pPr>
        <w:adjustRightInd w:val="0"/>
        <w:snapToGrid w:val="0"/>
        <w:spacing w:line="360" w:lineRule="auto"/>
        <w:jc w:val="center"/>
        <w:rPr>
          <w:rFonts w:ascii="楷体_GB2312"/>
          <w:szCs w:val="21"/>
        </w:rPr>
      </w:pPr>
    </w:p>
    <w:p>
      <w:pPr>
        <w:adjustRightInd w:val="0"/>
        <w:snapToGrid w:val="0"/>
        <w:spacing w:line="360" w:lineRule="auto"/>
        <w:jc w:val="center"/>
        <w:rPr>
          <w:rFonts w:ascii="楷体_GB2312"/>
          <w:szCs w:val="21"/>
        </w:rPr>
      </w:pPr>
    </w:p>
    <w:p>
      <w:pPr>
        <w:adjustRightInd w:val="0"/>
        <w:snapToGrid w:val="0"/>
        <w:spacing w:line="360" w:lineRule="auto"/>
        <w:jc w:val="center"/>
        <w:rPr>
          <w:rFonts w:ascii="楷体_GB2312"/>
          <w:szCs w:val="21"/>
        </w:rPr>
      </w:pPr>
    </w:p>
    <w:p>
      <w:pPr>
        <w:adjustRightInd w:val="0"/>
        <w:snapToGrid w:val="0"/>
        <w:spacing w:line="360" w:lineRule="auto"/>
        <w:jc w:val="center"/>
        <w:rPr>
          <w:rFonts w:ascii="楷体_GB2312"/>
          <w:szCs w:val="21"/>
        </w:rPr>
      </w:pPr>
    </w:p>
    <w:p>
      <w:pPr>
        <w:adjustRightInd w:val="0"/>
        <w:snapToGrid w:val="0"/>
        <w:spacing w:line="360" w:lineRule="auto"/>
        <w:jc w:val="center"/>
        <w:rPr>
          <w:rFonts w:ascii="楷体_GB2312"/>
          <w:szCs w:val="21"/>
        </w:rPr>
      </w:pPr>
    </w:p>
    <w:p>
      <w:pPr>
        <w:adjustRightInd w:val="0"/>
        <w:snapToGrid w:val="0"/>
        <w:spacing w:line="360" w:lineRule="auto"/>
        <w:jc w:val="center"/>
        <w:rPr>
          <w:rFonts w:ascii="楷体_GB2312"/>
          <w:szCs w:val="21"/>
        </w:rPr>
      </w:pPr>
    </w:p>
    <w:p>
      <w:pPr>
        <w:adjustRightInd w:val="0"/>
        <w:snapToGrid w:val="0"/>
        <w:spacing w:line="360" w:lineRule="auto"/>
        <w:ind w:firstLine="1120" w:firstLineChars="400"/>
        <w:rPr>
          <w:rFonts w:ascii="宋体"/>
          <w:sz w:val="28"/>
          <w:szCs w:val="28"/>
        </w:rPr>
      </w:pPr>
    </w:p>
    <w:p>
      <w:pPr>
        <w:adjustRightInd w:val="0"/>
        <w:snapToGrid w:val="0"/>
        <w:spacing w:line="360" w:lineRule="auto"/>
        <w:jc w:val="center"/>
        <w:rPr>
          <w:rFonts w:ascii="黑体"/>
          <w:sz w:val="28"/>
          <w:szCs w:val="28"/>
        </w:rPr>
      </w:pPr>
      <w:r>
        <w:rPr>
          <w:rFonts w:hint="eastAsia" w:ascii="黑体"/>
          <w:sz w:val="28"/>
          <w:szCs w:val="28"/>
        </w:rPr>
        <w:t>二O二</w:t>
      </w:r>
      <w:r>
        <w:rPr>
          <w:rFonts w:hint="eastAsia" w:ascii="黑体"/>
          <w:sz w:val="28"/>
          <w:szCs w:val="28"/>
          <w:u w:val="single"/>
        </w:rPr>
        <w:t xml:space="preserve">  二  </w:t>
      </w:r>
      <w:r>
        <w:rPr>
          <w:rFonts w:hint="eastAsia" w:ascii="黑体"/>
          <w:sz w:val="28"/>
          <w:szCs w:val="28"/>
        </w:rPr>
        <w:t>年月</w:t>
      </w:r>
    </w:p>
    <w:p>
      <w:pPr>
        <w:adjustRightInd w:val="0"/>
        <w:snapToGrid w:val="0"/>
        <w:spacing w:line="360" w:lineRule="auto"/>
        <w:jc w:val="center"/>
        <w:rPr>
          <w:rFonts w:ascii="宋体" w:hAnsi="宋体"/>
          <w:sz w:val="30"/>
          <w:szCs w:val="30"/>
        </w:rPr>
      </w:pPr>
      <w:r>
        <w:rPr>
          <w:rFonts w:hint="eastAsia" w:ascii="宋体" w:hAnsi="宋体"/>
          <w:sz w:val="30"/>
          <w:szCs w:val="30"/>
        </w:rPr>
        <w:t>采 购 （专 用）合同</w:t>
      </w:r>
    </w:p>
    <w:p>
      <w:pPr>
        <w:adjustRightInd w:val="0"/>
        <w:snapToGrid w:val="0"/>
        <w:spacing w:line="360" w:lineRule="auto"/>
        <w:rPr>
          <w:rFonts w:ascii="宋体" w:hAnsi="宋体"/>
          <w:szCs w:val="21"/>
        </w:rPr>
      </w:pPr>
      <w:r>
        <w:rPr>
          <w:rFonts w:hint="eastAsia" w:ascii="宋体" w:hAnsi="宋体"/>
          <w:szCs w:val="21"/>
        </w:rPr>
        <w:t>甲方：新疆维吾尔自治区疾病预防控制中心</w:t>
      </w:r>
    </w:p>
    <w:p>
      <w:pPr>
        <w:adjustRightInd w:val="0"/>
        <w:snapToGrid w:val="0"/>
        <w:spacing w:line="360" w:lineRule="auto"/>
        <w:rPr>
          <w:rFonts w:ascii="宋体" w:hAnsi="宋体"/>
          <w:szCs w:val="21"/>
        </w:rPr>
      </w:pPr>
      <w:r>
        <w:rPr>
          <w:rFonts w:hint="eastAsia" w:ascii="宋体" w:hAnsi="宋体"/>
          <w:szCs w:val="21"/>
        </w:rPr>
        <w:t xml:space="preserve">乙方：                      </w:t>
      </w:r>
    </w:p>
    <w:p>
      <w:pPr>
        <w:widowControl/>
        <w:adjustRightInd w:val="0"/>
        <w:snapToGrid w:val="0"/>
        <w:spacing w:after="150" w:line="520" w:lineRule="exact"/>
        <w:rPr>
          <w:rFonts w:ascii="宋体" w:hAnsi="宋体"/>
          <w:szCs w:val="21"/>
        </w:rPr>
      </w:pPr>
      <w:r>
        <w:rPr>
          <w:rFonts w:ascii="宋体" w:hAnsi="宋体" w:cs="Arial"/>
          <w:szCs w:val="21"/>
        </w:rPr>
        <w:t>新疆维吾尔自治区</w:t>
      </w:r>
      <w:r>
        <w:rPr>
          <w:rFonts w:hint="eastAsia" w:ascii="宋体" w:hAnsi="宋体"/>
          <w:szCs w:val="21"/>
        </w:rPr>
        <w:t>疾病预防控制中心（以下简称甲方）经 采购，选定</w:t>
      </w:r>
      <w:r>
        <w:rPr>
          <w:rFonts w:hint="eastAsia" w:ascii="宋体" w:hAnsi="宋体"/>
          <w:szCs w:val="21"/>
          <w:u w:val="single"/>
        </w:rPr>
        <w:t xml:space="preserve">                            （以下简称乙方）</w:t>
      </w:r>
      <w:r>
        <w:rPr>
          <w:rFonts w:hint="eastAsia" w:ascii="宋体" w:hAnsi="宋体"/>
          <w:szCs w:val="21"/>
        </w:rPr>
        <w:t>：为提供  产品的中标单位。依据《中华人民共和国民法典》、《中华人民共和国政府采购法》及相关法律、法规，经甲、乙双方共同协商，按下述条款签署本合同。</w:t>
      </w:r>
    </w:p>
    <w:p>
      <w:pPr>
        <w:widowControl/>
        <w:adjustRightInd w:val="0"/>
        <w:snapToGrid w:val="0"/>
        <w:spacing w:after="150" w:line="520" w:lineRule="exact"/>
        <w:ind w:firstLine="420" w:firstLineChars="200"/>
        <w:rPr>
          <w:rFonts w:ascii="宋体" w:hAnsi="宋体" w:cs="Helvetica"/>
          <w:b/>
          <w:bCs/>
          <w:kern w:val="0"/>
          <w:szCs w:val="21"/>
        </w:rPr>
      </w:pPr>
      <w:r>
        <w:rPr>
          <w:rFonts w:hint="eastAsia" w:ascii="宋体" w:hAnsi="宋体"/>
          <w:szCs w:val="21"/>
        </w:rPr>
        <w:t>对货物（产品）的验收由目的地收货人行使甲方的权利，按本合同第二条、第三条、第四条、第五条执行，</w:t>
      </w:r>
      <w:r>
        <w:rPr>
          <w:rFonts w:hint="eastAsia" w:ascii="宋体" w:hAnsi="宋体" w:cs="Helvetica"/>
          <w:bCs/>
          <w:kern w:val="0"/>
          <w:szCs w:val="21"/>
        </w:rPr>
        <w:t>保修与售后服务按本合同第九条执行。</w:t>
      </w:r>
    </w:p>
    <w:p>
      <w:pPr>
        <w:widowControl/>
        <w:adjustRightInd w:val="0"/>
        <w:snapToGrid w:val="0"/>
        <w:spacing w:line="360" w:lineRule="auto"/>
        <w:ind w:left="181" w:leftChars="86" w:firstLine="359" w:firstLineChars="171"/>
        <w:rPr>
          <w:rFonts w:ascii="宋体" w:hAnsi="宋体"/>
          <w:szCs w:val="21"/>
          <w:highlight w:val="none"/>
        </w:rPr>
      </w:pPr>
    </w:p>
    <w:p>
      <w:pPr>
        <w:widowControl/>
        <w:adjustRightInd w:val="0"/>
        <w:snapToGrid w:val="0"/>
        <w:spacing w:line="360" w:lineRule="auto"/>
        <w:outlineLvl w:val="1"/>
        <w:rPr>
          <w:rFonts w:ascii="宋体" w:hAnsi="宋体"/>
          <w:szCs w:val="21"/>
          <w:highlight w:val="none"/>
        </w:rPr>
      </w:pPr>
      <w:r>
        <w:rPr>
          <w:rFonts w:hint="eastAsia" w:ascii="宋体" w:hAnsi="宋体"/>
          <w:szCs w:val="21"/>
          <w:highlight w:val="none"/>
        </w:rPr>
        <w:t>一、合同标的、规格、数量、单价（附件需用EXCEL制作）</w:t>
      </w:r>
    </w:p>
    <w:tbl>
      <w:tblPr>
        <w:tblStyle w:val="42"/>
        <w:tblW w:w="0" w:type="auto"/>
        <w:tblInd w:w="0" w:type="dxa"/>
        <w:tblLayout w:type="fixed"/>
        <w:tblCellMar>
          <w:top w:w="0" w:type="dxa"/>
          <w:left w:w="108" w:type="dxa"/>
          <w:bottom w:w="0" w:type="dxa"/>
          <w:right w:w="108" w:type="dxa"/>
        </w:tblCellMar>
      </w:tblPr>
      <w:tblGrid>
        <w:gridCol w:w="1017"/>
        <w:gridCol w:w="1321"/>
        <w:gridCol w:w="655"/>
        <w:gridCol w:w="98"/>
        <w:gridCol w:w="655"/>
        <w:gridCol w:w="98"/>
        <w:gridCol w:w="823"/>
        <w:gridCol w:w="755"/>
        <w:gridCol w:w="1142"/>
        <w:gridCol w:w="656"/>
        <w:gridCol w:w="1281"/>
        <w:gridCol w:w="747"/>
        <w:gridCol w:w="741"/>
      </w:tblGrid>
      <w:tr>
        <w:tblPrEx>
          <w:tblCellMar>
            <w:top w:w="0" w:type="dxa"/>
            <w:left w:w="108" w:type="dxa"/>
            <w:bottom w:w="0" w:type="dxa"/>
            <w:right w:w="108" w:type="dxa"/>
          </w:tblCellMar>
        </w:tblPrEx>
        <w:trPr>
          <w:cantSplit/>
          <w:trHeight w:val="453" w:hRule="exact"/>
        </w:trPr>
        <w:tc>
          <w:tcPr>
            <w:tcW w:w="1017" w:type="dxa"/>
            <w:vMerge w:val="restart"/>
            <w:tcBorders>
              <w:top w:val="single" w:color="auto" w:sz="4" w:space="0"/>
              <w:left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项目序号</w:t>
            </w:r>
          </w:p>
        </w:tc>
        <w:tc>
          <w:tcPr>
            <w:tcW w:w="1320" w:type="dxa"/>
            <w:vMerge w:val="restart"/>
            <w:tcBorders>
              <w:top w:val="single" w:color="auto" w:sz="4" w:space="0"/>
              <w:left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名称</w:t>
            </w:r>
          </w:p>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（通用名）</w:t>
            </w:r>
          </w:p>
        </w:tc>
        <w:tc>
          <w:tcPr>
            <w:tcW w:w="655" w:type="dxa"/>
            <w:vMerge w:val="restart"/>
            <w:tcBorders>
              <w:top w:val="single" w:color="auto" w:sz="4" w:space="0"/>
              <w:left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产地</w:t>
            </w:r>
          </w:p>
        </w:tc>
        <w:tc>
          <w:tcPr>
            <w:tcW w:w="753" w:type="dxa"/>
            <w:gridSpan w:val="2"/>
            <w:tcBorders>
              <w:top w:val="single" w:color="auto" w:sz="4" w:space="0"/>
              <w:left w:val="single" w:color="auto" w:sz="4" w:space="0"/>
              <w:right w:val="single" w:color="auto" w:sz="4" w:space="0"/>
            </w:tcBorders>
            <w:noWrap/>
          </w:tcPr>
          <w:p>
            <w:pPr>
              <w:adjustRightInd w:val="0"/>
              <w:snapToGrid w:val="0"/>
              <w:spacing w:line="360" w:lineRule="auto"/>
              <w:rPr>
                <w:rFonts w:ascii="宋体" w:hAnsi="宋体"/>
                <w:sz w:val="15"/>
                <w:szCs w:val="15"/>
                <w:highlight w:val="none"/>
              </w:rPr>
            </w:pPr>
          </w:p>
        </w:tc>
        <w:tc>
          <w:tcPr>
            <w:tcW w:w="921" w:type="dxa"/>
            <w:gridSpan w:val="2"/>
            <w:vMerge w:val="restart"/>
            <w:tcBorders>
              <w:top w:val="single" w:color="auto" w:sz="4" w:space="0"/>
              <w:left w:val="single" w:color="auto" w:sz="4" w:space="0"/>
              <w:right w:val="single" w:color="auto" w:sz="4" w:space="0"/>
            </w:tcBorders>
            <w:noWrap/>
            <w:vAlign w:val="center"/>
          </w:tcPr>
          <w:p>
            <w:pPr>
              <w:adjustRightInd w:val="0"/>
              <w:snapToGrid w:val="0"/>
              <w:spacing w:line="360" w:lineRule="auto"/>
              <w:rPr>
                <w:rFonts w:ascii="宋体" w:hAnsi="宋体"/>
                <w:sz w:val="15"/>
                <w:szCs w:val="15"/>
                <w:highlight w:val="none"/>
              </w:rPr>
            </w:pPr>
            <w:r>
              <w:rPr>
                <w:rFonts w:ascii="宋体" w:hAnsi="宋体"/>
                <w:sz w:val="15"/>
                <w:szCs w:val="15"/>
                <w:highlight w:val="none"/>
              </w:rPr>
              <w:t>数量</w:t>
            </w:r>
          </w:p>
        </w:tc>
        <w:tc>
          <w:tcPr>
            <w:tcW w:w="755" w:type="dxa"/>
            <w:tcBorders>
              <w:top w:val="single" w:color="auto" w:sz="4" w:space="0"/>
              <w:left w:val="single" w:color="auto" w:sz="4" w:space="0"/>
              <w:right w:val="single" w:color="auto" w:sz="4" w:space="0"/>
            </w:tcBorders>
            <w:noWrap/>
          </w:tcPr>
          <w:p>
            <w:pPr>
              <w:adjustRightInd w:val="0"/>
              <w:snapToGrid w:val="0"/>
              <w:spacing w:line="360" w:lineRule="auto"/>
              <w:jc w:val="center"/>
              <w:rPr>
                <w:rFonts w:ascii="宋体" w:hAnsi="宋体"/>
                <w:sz w:val="15"/>
                <w:szCs w:val="15"/>
                <w:highlight w:val="none"/>
              </w:rPr>
            </w:pPr>
          </w:p>
        </w:tc>
        <w:tc>
          <w:tcPr>
            <w:tcW w:w="1142" w:type="dxa"/>
            <w:vMerge w:val="restart"/>
            <w:tcBorders>
              <w:top w:val="single" w:color="auto" w:sz="4" w:space="0"/>
              <w:left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单价（元）</w:t>
            </w:r>
          </w:p>
        </w:tc>
        <w:tc>
          <w:tcPr>
            <w:tcW w:w="656" w:type="dxa"/>
            <w:vMerge w:val="restart"/>
            <w:tcBorders>
              <w:top w:val="single" w:color="auto" w:sz="4" w:space="0"/>
              <w:left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ascii="宋体" w:hAnsi="宋体"/>
                <w:sz w:val="15"/>
                <w:szCs w:val="15"/>
                <w:highlight w:val="none"/>
              </w:rPr>
              <w:t>总价</w:t>
            </w:r>
            <w:r>
              <w:rPr>
                <w:rFonts w:hint="eastAsia" w:ascii="宋体" w:hAnsi="宋体"/>
                <w:sz w:val="15"/>
                <w:szCs w:val="15"/>
                <w:highlight w:val="none"/>
              </w:rPr>
              <w:t>（元）</w:t>
            </w:r>
          </w:p>
        </w:tc>
        <w:tc>
          <w:tcPr>
            <w:tcW w:w="1280" w:type="dxa"/>
            <w:vMerge w:val="restart"/>
            <w:tcBorders>
              <w:top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验收科室（乙方填写）</w:t>
            </w:r>
          </w:p>
        </w:tc>
        <w:tc>
          <w:tcPr>
            <w:tcW w:w="747" w:type="dxa"/>
            <w:vMerge w:val="restart"/>
            <w:tcBorders>
              <w:top w:val="single" w:color="auto" w:sz="4" w:space="0"/>
              <w:right w:val="single" w:color="auto" w:sz="4" w:space="0"/>
            </w:tcBorders>
            <w:noWrap/>
          </w:tcPr>
          <w:p>
            <w:pPr>
              <w:widowControl/>
              <w:adjustRightInd w:val="0"/>
              <w:snapToGrid w:val="0"/>
              <w:jc w:val="left"/>
              <w:rPr>
                <w:rFonts w:ascii="宋体" w:hAnsi="宋体"/>
                <w:sz w:val="15"/>
                <w:szCs w:val="15"/>
                <w:highlight w:val="none"/>
              </w:rPr>
            </w:pPr>
          </w:p>
          <w:p>
            <w:pPr>
              <w:widowControl/>
              <w:adjustRightInd w:val="0"/>
              <w:snapToGrid w:val="0"/>
              <w:jc w:val="center"/>
              <w:rPr>
                <w:rFonts w:ascii="宋体" w:hAnsi="宋体"/>
                <w:sz w:val="15"/>
                <w:szCs w:val="15"/>
                <w:highlight w:val="none"/>
              </w:rPr>
            </w:pPr>
            <w:r>
              <w:rPr>
                <w:rFonts w:hint="eastAsia" w:ascii="宋体" w:hAnsi="宋体"/>
                <w:sz w:val="15"/>
                <w:szCs w:val="15"/>
                <w:highlight w:val="none"/>
              </w:rPr>
              <w:t>收</w:t>
            </w:r>
            <w:r>
              <w:rPr>
                <w:rFonts w:ascii="宋体" w:hAnsi="宋体"/>
                <w:sz w:val="15"/>
                <w:szCs w:val="15"/>
                <w:highlight w:val="none"/>
              </w:rPr>
              <w:t>货人及电话</w:t>
            </w:r>
            <w:r>
              <w:rPr>
                <w:rFonts w:hint="eastAsia" w:ascii="宋体" w:hAnsi="宋体"/>
                <w:sz w:val="15"/>
                <w:szCs w:val="15"/>
                <w:highlight w:val="none"/>
              </w:rPr>
              <w:t>（甲方填写）</w:t>
            </w:r>
          </w:p>
          <w:p>
            <w:pPr>
              <w:widowControl/>
              <w:adjustRightInd w:val="0"/>
              <w:snapToGrid w:val="0"/>
              <w:jc w:val="left"/>
              <w:rPr>
                <w:rFonts w:ascii="宋体" w:hAnsi="宋体"/>
                <w:sz w:val="15"/>
                <w:szCs w:val="15"/>
                <w:highlight w:val="none"/>
              </w:rPr>
            </w:pPr>
          </w:p>
          <w:p>
            <w:pPr>
              <w:widowControl/>
              <w:adjustRightInd w:val="0"/>
              <w:snapToGrid w:val="0"/>
              <w:jc w:val="center"/>
              <w:rPr>
                <w:rFonts w:ascii="宋体" w:hAnsi="宋体"/>
                <w:sz w:val="15"/>
                <w:szCs w:val="15"/>
                <w:highlight w:val="none"/>
              </w:rPr>
            </w:pPr>
          </w:p>
        </w:tc>
        <w:tc>
          <w:tcPr>
            <w:tcW w:w="741" w:type="dxa"/>
            <w:vMerge w:val="restart"/>
            <w:tcBorders>
              <w:top w:val="single" w:color="auto" w:sz="4" w:space="0"/>
              <w:right w:val="single" w:color="auto" w:sz="4" w:space="0"/>
            </w:tcBorders>
            <w:noWrap/>
            <w:vAlign w:val="center"/>
          </w:tcPr>
          <w:p>
            <w:pPr>
              <w:widowControl/>
              <w:adjustRightInd w:val="0"/>
              <w:snapToGrid w:val="0"/>
              <w:jc w:val="center"/>
              <w:rPr>
                <w:rFonts w:ascii="Verdana" w:hAnsi="Verdana" w:cs="Verdana"/>
                <w:color w:val="000000"/>
                <w:sz w:val="16"/>
                <w:szCs w:val="16"/>
                <w:highlight w:val="none"/>
                <w:shd w:val="clear" w:color="auto" w:fill="FFFFFF"/>
              </w:rPr>
            </w:pPr>
            <w:r>
              <w:rPr>
                <w:rFonts w:ascii="Verdana" w:hAnsi="Verdana" w:cs="Verdana"/>
                <w:color w:val="000000"/>
                <w:sz w:val="16"/>
                <w:szCs w:val="16"/>
                <w:highlight w:val="none"/>
                <w:shd w:val="clear" w:color="auto" w:fill="FFFFFF"/>
              </w:rPr>
              <w:t>产品到货有效期</w:t>
            </w:r>
          </w:p>
        </w:tc>
      </w:tr>
      <w:tr>
        <w:tblPrEx>
          <w:tblCellMar>
            <w:top w:w="0" w:type="dxa"/>
            <w:left w:w="108" w:type="dxa"/>
            <w:bottom w:w="0" w:type="dxa"/>
            <w:right w:w="108" w:type="dxa"/>
          </w:tblCellMar>
        </w:tblPrEx>
        <w:trPr>
          <w:cantSplit/>
          <w:trHeight w:val="411" w:hRule="atLeast"/>
        </w:trPr>
        <w:tc>
          <w:tcPr>
            <w:tcW w:w="1017" w:type="dxa"/>
            <w:vMerge w:val="continue"/>
            <w:tcBorders>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p>
        </w:tc>
        <w:tc>
          <w:tcPr>
            <w:tcW w:w="1320" w:type="dxa"/>
            <w:vMerge w:val="continue"/>
            <w:tcBorders>
              <w:left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p>
        </w:tc>
        <w:tc>
          <w:tcPr>
            <w:tcW w:w="655" w:type="dxa"/>
            <w:vMerge w:val="continue"/>
            <w:tcBorders>
              <w:left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p>
        </w:tc>
        <w:tc>
          <w:tcPr>
            <w:tcW w:w="753" w:type="dxa"/>
            <w:gridSpan w:val="2"/>
            <w:tcBorders>
              <w:left w:val="single" w:color="auto" w:sz="4" w:space="0"/>
              <w:right w:val="single" w:color="auto" w:sz="4" w:space="0"/>
            </w:tcBorders>
            <w:noWrap/>
          </w:tcPr>
          <w:p>
            <w:pPr>
              <w:adjustRightInd w:val="0"/>
              <w:snapToGrid w:val="0"/>
              <w:spacing w:line="360" w:lineRule="auto"/>
              <w:rPr>
                <w:rFonts w:ascii="宋体" w:hAnsi="宋体"/>
                <w:sz w:val="15"/>
                <w:szCs w:val="15"/>
                <w:highlight w:val="none"/>
              </w:rPr>
            </w:pPr>
            <w:r>
              <w:rPr>
                <w:rFonts w:hint="eastAsia" w:ascii="宋体" w:hAnsi="宋体"/>
                <w:sz w:val="15"/>
                <w:szCs w:val="15"/>
                <w:highlight w:val="none"/>
              </w:rPr>
              <w:t>规格</w:t>
            </w:r>
            <w:r>
              <w:rPr>
                <w:rFonts w:ascii="宋体" w:hAnsi="宋体"/>
                <w:sz w:val="15"/>
                <w:szCs w:val="15"/>
                <w:highlight w:val="none"/>
              </w:rPr>
              <w:t>型号</w:t>
            </w:r>
          </w:p>
        </w:tc>
        <w:tc>
          <w:tcPr>
            <w:tcW w:w="921" w:type="dxa"/>
            <w:gridSpan w:val="2"/>
            <w:vMerge w:val="continue"/>
            <w:tcBorders>
              <w:left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p>
        </w:tc>
        <w:tc>
          <w:tcPr>
            <w:tcW w:w="755" w:type="dxa"/>
            <w:tcBorders>
              <w:left w:val="single" w:color="auto" w:sz="4" w:space="0"/>
              <w:right w:val="single" w:color="auto" w:sz="4" w:space="0"/>
            </w:tcBorders>
            <w:noWrap/>
          </w:tcPr>
          <w:p>
            <w:pPr>
              <w:adjustRightInd w:val="0"/>
              <w:snapToGrid w:val="0"/>
              <w:spacing w:line="360" w:lineRule="auto"/>
              <w:ind w:left="165"/>
              <w:jc w:val="center"/>
              <w:rPr>
                <w:rFonts w:ascii="宋体" w:hAnsi="宋体"/>
                <w:sz w:val="15"/>
                <w:szCs w:val="15"/>
                <w:highlight w:val="none"/>
              </w:rPr>
            </w:pPr>
            <w:r>
              <w:rPr>
                <w:rFonts w:hint="eastAsia" w:ascii="宋体" w:hAnsi="宋体"/>
                <w:sz w:val="15"/>
                <w:szCs w:val="15"/>
                <w:highlight w:val="none"/>
              </w:rPr>
              <w:t>单位</w:t>
            </w:r>
          </w:p>
        </w:tc>
        <w:tc>
          <w:tcPr>
            <w:tcW w:w="1142" w:type="dxa"/>
            <w:vMerge w:val="continue"/>
            <w:tcBorders>
              <w:left w:val="single" w:color="auto" w:sz="4" w:space="0"/>
              <w:right w:val="single" w:color="auto" w:sz="4" w:space="0"/>
            </w:tcBorders>
            <w:noWrap/>
          </w:tcPr>
          <w:p>
            <w:pPr>
              <w:adjustRightInd w:val="0"/>
              <w:snapToGrid w:val="0"/>
              <w:spacing w:line="360" w:lineRule="auto"/>
              <w:jc w:val="center"/>
              <w:rPr>
                <w:rFonts w:ascii="宋体" w:hAnsi="宋体"/>
                <w:sz w:val="15"/>
                <w:szCs w:val="15"/>
                <w:highlight w:val="none"/>
              </w:rPr>
            </w:pPr>
          </w:p>
        </w:tc>
        <w:tc>
          <w:tcPr>
            <w:tcW w:w="656" w:type="dxa"/>
            <w:vMerge w:val="continue"/>
            <w:tcBorders>
              <w:left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p>
        </w:tc>
        <w:tc>
          <w:tcPr>
            <w:tcW w:w="1280" w:type="dxa"/>
            <w:vMerge w:val="continue"/>
            <w:tcBorders>
              <w:bottom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p>
        </w:tc>
        <w:tc>
          <w:tcPr>
            <w:tcW w:w="747" w:type="dxa"/>
            <w:vMerge w:val="continue"/>
            <w:tcBorders>
              <w:bottom w:val="single" w:color="auto" w:sz="4" w:space="0"/>
              <w:right w:val="single" w:color="auto" w:sz="4" w:space="0"/>
            </w:tcBorders>
            <w:noWrap/>
          </w:tcPr>
          <w:p>
            <w:pPr>
              <w:widowControl/>
              <w:adjustRightInd w:val="0"/>
              <w:snapToGrid w:val="0"/>
              <w:jc w:val="center"/>
              <w:rPr>
                <w:rFonts w:ascii="宋体" w:hAnsi="宋体"/>
                <w:sz w:val="15"/>
                <w:szCs w:val="15"/>
                <w:highlight w:val="none"/>
              </w:rPr>
            </w:pPr>
          </w:p>
        </w:tc>
        <w:tc>
          <w:tcPr>
            <w:tcW w:w="741" w:type="dxa"/>
            <w:vMerge w:val="continue"/>
            <w:tcBorders>
              <w:bottom w:val="single" w:color="auto" w:sz="4" w:space="0"/>
              <w:right w:val="single" w:color="auto" w:sz="4" w:space="0"/>
            </w:tcBorders>
            <w:noWrap/>
          </w:tcPr>
          <w:p>
            <w:pPr>
              <w:widowControl/>
              <w:adjustRightInd w:val="0"/>
              <w:snapToGrid w:val="0"/>
              <w:rPr>
                <w:rFonts w:ascii="宋体" w:hAnsi="宋体"/>
                <w:sz w:val="15"/>
                <w:szCs w:val="15"/>
                <w:highlight w:val="none"/>
              </w:rPr>
            </w:pPr>
          </w:p>
        </w:tc>
      </w:tr>
      <w:tr>
        <w:tblPrEx>
          <w:tblCellMar>
            <w:top w:w="0" w:type="dxa"/>
            <w:left w:w="108" w:type="dxa"/>
            <w:bottom w:w="0" w:type="dxa"/>
            <w:right w:w="108" w:type="dxa"/>
          </w:tblCellMar>
        </w:tblPrEx>
        <w:trPr>
          <w:cantSplit/>
          <w:trHeight w:val="803" w:hRule="atLeast"/>
        </w:trPr>
        <w:tc>
          <w:tcPr>
            <w:tcW w:w="1017" w:type="dxa"/>
            <w:tcBorders>
              <w:top w:val="single" w:color="auto" w:sz="4" w:space="0"/>
              <w:left w:val="single" w:color="auto" w:sz="6" w:space="0"/>
              <w:bottom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1</w:t>
            </w:r>
          </w:p>
        </w:tc>
        <w:tc>
          <w:tcPr>
            <w:tcW w:w="1320" w:type="dxa"/>
            <w:tcBorders>
              <w:top w:val="single" w:color="auto" w:sz="6" w:space="0"/>
              <w:left w:val="single" w:color="auto" w:sz="4" w:space="0"/>
              <w:bottom w:val="single" w:color="auto" w:sz="6" w:space="0"/>
              <w:right w:val="single" w:color="auto" w:sz="6" w:space="0"/>
            </w:tcBorders>
            <w:noWrap/>
            <w:vAlign w:val="center"/>
          </w:tcPr>
          <w:p>
            <w:pPr>
              <w:widowControl/>
              <w:jc w:val="center"/>
              <w:textAlignment w:val="center"/>
              <w:rPr>
                <w:rFonts w:ascii="宋体" w:hAnsi="宋体"/>
                <w:sz w:val="15"/>
                <w:szCs w:val="15"/>
                <w:highlight w:val="none"/>
              </w:rPr>
            </w:pPr>
            <w:r>
              <w:rPr>
                <w:rFonts w:hint="eastAsia" w:ascii="宋体" w:hAnsi="宋体"/>
                <w:sz w:val="15"/>
                <w:szCs w:val="15"/>
                <w:highlight w:val="none"/>
              </w:rPr>
              <w:t>名称</w:t>
            </w:r>
          </w:p>
        </w:tc>
        <w:tc>
          <w:tcPr>
            <w:tcW w:w="65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见附件1</w:t>
            </w:r>
          </w:p>
        </w:tc>
        <w:tc>
          <w:tcPr>
            <w:tcW w:w="753" w:type="dxa"/>
            <w:gridSpan w:val="2"/>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见附件1</w:t>
            </w:r>
          </w:p>
        </w:tc>
        <w:tc>
          <w:tcPr>
            <w:tcW w:w="921" w:type="dxa"/>
            <w:gridSpan w:val="2"/>
            <w:tcBorders>
              <w:top w:val="single" w:color="auto" w:sz="4" w:space="0"/>
              <w:left w:val="single" w:color="auto" w:sz="6" w:space="0"/>
              <w:bottom w:val="single" w:color="auto" w:sz="4" w:space="0"/>
              <w:right w:val="single" w:color="auto" w:sz="4" w:space="0"/>
            </w:tcBorders>
            <w:noWrap/>
            <w:vAlign w:val="center"/>
          </w:tcPr>
          <w:p>
            <w:pPr>
              <w:widowControl/>
              <w:jc w:val="left"/>
              <w:textAlignment w:val="center"/>
              <w:rPr>
                <w:rFonts w:ascii="宋体" w:hAnsi="宋体"/>
                <w:sz w:val="15"/>
                <w:szCs w:val="15"/>
                <w:highlight w:val="none"/>
              </w:rPr>
            </w:pPr>
            <w:r>
              <w:rPr>
                <w:rFonts w:hint="eastAsia" w:ascii="宋体" w:hAnsi="宋体"/>
                <w:sz w:val="15"/>
                <w:szCs w:val="15"/>
                <w:highlight w:val="none"/>
              </w:rPr>
              <w:t>见附件1</w:t>
            </w:r>
          </w:p>
        </w:tc>
        <w:tc>
          <w:tcPr>
            <w:tcW w:w="7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szCs w:val="21"/>
                <w:highlight w:val="none"/>
              </w:rPr>
            </w:pPr>
            <w:r>
              <w:rPr>
                <w:rFonts w:hint="eastAsia" w:ascii="宋体" w:hAnsi="宋体"/>
                <w:sz w:val="15"/>
                <w:szCs w:val="15"/>
                <w:highlight w:val="none"/>
              </w:rPr>
              <w:t>见附件1</w:t>
            </w:r>
          </w:p>
        </w:tc>
        <w:tc>
          <w:tcPr>
            <w:tcW w:w="114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见附件1</w:t>
            </w:r>
          </w:p>
        </w:tc>
        <w:tc>
          <w:tcPr>
            <w:tcW w:w="656" w:type="dxa"/>
            <w:tcBorders>
              <w:top w:val="single" w:color="auto" w:sz="4" w:space="0"/>
              <w:left w:val="single" w:color="auto" w:sz="4" w:space="0"/>
              <w:bottom w:val="single" w:color="auto" w:sz="4" w:space="0"/>
              <w:right w:val="single" w:color="auto" w:sz="6"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见附件1</w:t>
            </w:r>
          </w:p>
        </w:tc>
        <w:tc>
          <w:tcPr>
            <w:tcW w:w="1280" w:type="dxa"/>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sz w:val="15"/>
                <w:szCs w:val="15"/>
                <w:highlight w:val="none"/>
              </w:rPr>
            </w:pPr>
            <w:r>
              <w:rPr>
                <w:rFonts w:hint="eastAsia" w:ascii="宋体" w:hAnsi="宋体"/>
                <w:sz w:val="15"/>
                <w:szCs w:val="15"/>
                <w:highlight w:val="none"/>
              </w:rPr>
              <w:t>见附件1</w:t>
            </w:r>
          </w:p>
        </w:tc>
        <w:tc>
          <w:tcPr>
            <w:tcW w:w="747" w:type="dxa"/>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sz w:val="15"/>
                <w:szCs w:val="15"/>
                <w:highlight w:val="none"/>
              </w:rPr>
            </w:pPr>
            <w:r>
              <w:rPr>
                <w:rFonts w:hint="eastAsia" w:ascii="宋体" w:hAnsi="宋体"/>
                <w:sz w:val="15"/>
                <w:szCs w:val="15"/>
                <w:highlight w:val="none"/>
              </w:rPr>
              <w:t>见附件1</w:t>
            </w:r>
          </w:p>
        </w:tc>
        <w:tc>
          <w:tcPr>
            <w:tcW w:w="741" w:type="dxa"/>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sz w:val="15"/>
                <w:szCs w:val="15"/>
                <w:highlight w:val="none"/>
              </w:rPr>
            </w:pPr>
            <w:r>
              <w:rPr>
                <w:rFonts w:hint="eastAsia" w:ascii="宋体" w:hAnsi="宋体"/>
                <w:sz w:val="15"/>
                <w:szCs w:val="15"/>
                <w:highlight w:val="none"/>
              </w:rPr>
              <w:t>见附件1</w:t>
            </w:r>
          </w:p>
        </w:tc>
      </w:tr>
      <w:tr>
        <w:tblPrEx>
          <w:tblCellMar>
            <w:top w:w="0" w:type="dxa"/>
            <w:left w:w="108" w:type="dxa"/>
            <w:bottom w:w="0" w:type="dxa"/>
            <w:right w:w="108" w:type="dxa"/>
          </w:tblCellMar>
        </w:tblPrEx>
        <w:trPr>
          <w:cantSplit/>
          <w:trHeight w:val="795" w:hRule="atLeast"/>
        </w:trPr>
        <w:tc>
          <w:tcPr>
            <w:tcW w:w="1017" w:type="dxa"/>
            <w:tcBorders>
              <w:top w:val="single" w:color="auto" w:sz="4" w:space="0"/>
              <w:left w:val="single" w:color="auto" w:sz="6" w:space="0"/>
              <w:bottom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2</w:t>
            </w:r>
          </w:p>
        </w:tc>
        <w:tc>
          <w:tcPr>
            <w:tcW w:w="1320" w:type="dxa"/>
            <w:tcBorders>
              <w:top w:val="single" w:color="auto" w:sz="6" w:space="0"/>
              <w:left w:val="single" w:color="auto" w:sz="4" w:space="0"/>
              <w:bottom w:val="single" w:color="auto" w:sz="6" w:space="0"/>
              <w:right w:val="single" w:color="auto" w:sz="6" w:space="0"/>
            </w:tcBorders>
            <w:noWrap/>
            <w:vAlign w:val="center"/>
          </w:tcPr>
          <w:p>
            <w:pPr>
              <w:widowControl/>
              <w:jc w:val="center"/>
              <w:textAlignment w:val="center"/>
              <w:rPr>
                <w:rFonts w:ascii="宋体" w:hAnsi="宋体"/>
                <w:sz w:val="15"/>
                <w:szCs w:val="15"/>
                <w:highlight w:val="none"/>
              </w:rPr>
            </w:pPr>
            <w:r>
              <w:rPr>
                <w:rFonts w:hint="eastAsia" w:ascii="宋体" w:hAnsi="宋体"/>
                <w:sz w:val="15"/>
                <w:szCs w:val="15"/>
                <w:highlight w:val="none"/>
              </w:rPr>
              <w:t>可删除</w:t>
            </w:r>
          </w:p>
        </w:tc>
        <w:tc>
          <w:tcPr>
            <w:tcW w:w="65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753" w:type="dxa"/>
            <w:gridSpan w:val="2"/>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921" w:type="dxa"/>
            <w:gridSpan w:val="2"/>
            <w:tcBorders>
              <w:top w:val="single" w:color="auto" w:sz="4" w:space="0"/>
              <w:left w:val="single" w:color="auto" w:sz="6" w:space="0"/>
              <w:bottom w:val="single" w:color="auto" w:sz="4" w:space="0"/>
              <w:right w:val="single" w:color="auto" w:sz="4" w:space="0"/>
            </w:tcBorders>
            <w:noWrap/>
            <w:vAlign w:val="center"/>
          </w:tcPr>
          <w:p>
            <w:pPr>
              <w:widowControl/>
              <w:jc w:val="left"/>
              <w:textAlignment w:val="center"/>
              <w:rPr>
                <w:rFonts w:ascii="宋体" w:hAnsi="宋体"/>
                <w:sz w:val="15"/>
                <w:szCs w:val="15"/>
                <w:highlight w:val="none"/>
              </w:rPr>
            </w:pPr>
            <w:r>
              <w:rPr>
                <w:rFonts w:hint="eastAsia" w:ascii="宋体" w:hAnsi="宋体"/>
                <w:sz w:val="15"/>
                <w:szCs w:val="15"/>
                <w:highlight w:val="none"/>
              </w:rPr>
              <w:t>可删除</w:t>
            </w:r>
          </w:p>
        </w:tc>
        <w:tc>
          <w:tcPr>
            <w:tcW w:w="7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szCs w:val="21"/>
                <w:highlight w:val="none"/>
              </w:rPr>
            </w:pPr>
            <w:r>
              <w:rPr>
                <w:rFonts w:hint="eastAsia" w:ascii="宋体" w:hAnsi="宋体"/>
                <w:sz w:val="15"/>
                <w:szCs w:val="15"/>
                <w:highlight w:val="none"/>
              </w:rPr>
              <w:t>可删除</w:t>
            </w:r>
          </w:p>
        </w:tc>
        <w:tc>
          <w:tcPr>
            <w:tcW w:w="114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656" w:type="dxa"/>
            <w:tcBorders>
              <w:top w:val="single" w:color="auto" w:sz="4" w:space="0"/>
              <w:left w:val="single" w:color="auto" w:sz="4" w:space="0"/>
              <w:bottom w:val="single" w:color="auto" w:sz="4" w:space="0"/>
              <w:right w:val="single" w:color="auto" w:sz="6"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1280"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7"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1"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r>
      <w:tr>
        <w:tblPrEx>
          <w:tblCellMar>
            <w:top w:w="0" w:type="dxa"/>
            <w:left w:w="108" w:type="dxa"/>
            <w:bottom w:w="0" w:type="dxa"/>
            <w:right w:w="108" w:type="dxa"/>
          </w:tblCellMar>
        </w:tblPrEx>
        <w:trPr>
          <w:cantSplit/>
          <w:trHeight w:val="803" w:hRule="atLeast"/>
        </w:trPr>
        <w:tc>
          <w:tcPr>
            <w:tcW w:w="1017" w:type="dxa"/>
            <w:tcBorders>
              <w:top w:val="single" w:color="auto" w:sz="4" w:space="0"/>
              <w:left w:val="single" w:color="auto" w:sz="6" w:space="0"/>
              <w:bottom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3</w:t>
            </w:r>
          </w:p>
        </w:tc>
        <w:tc>
          <w:tcPr>
            <w:tcW w:w="1320" w:type="dxa"/>
            <w:tcBorders>
              <w:top w:val="single" w:color="auto" w:sz="6" w:space="0"/>
              <w:left w:val="single" w:color="auto" w:sz="4" w:space="0"/>
              <w:bottom w:val="single" w:color="auto" w:sz="6" w:space="0"/>
              <w:right w:val="single" w:color="auto" w:sz="6" w:space="0"/>
            </w:tcBorders>
            <w:noWrap/>
            <w:vAlign w:val="center"/>
          </w:tcPr>
          <w:p>
            <w:pPr>
              <w:widowControl/>
              <w:jc w:val="center"/>
              <w:textAlignment w:val="center"/>
              <w:rPr>
                <w:rFonts w:ascii="宋体" w:hAnsi="宋体"/>
                <w:sz w:val="15"/>
                <w:szCs w:val="15"/>
                <w:highlight w:val="none"/>
              </w:rPr>
            </w:pPr>
            <w:r>
              <w:rPr>
                <w:rFonts w:hint="eastAsia" w:ascii="宋体" w:hAnsi="宋体"/>
                <w:sz w:val="15"/>
                <w:szCs w:val="15"/>
                <w:highlight w:val="none"/>
              </w:rPr>
              <w:t>可删除</w:t>
            </w:r>
          </w:p>
        </w:tc>
        <w:tc>
          <w:tcPr>
            <w:tcW w:w="65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753" w:type="dxa"/>
            <w:gridSpan w:val="2"/>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921" w:type="dxa"/>
            <w:gridSpan w:val="2"/>
            <w:tcBorders>
              <w:top w:val="single" w:color="auto" w:sz="4" w:space="0"/>
              <w:left w:val="single" w:color="auto" w:sz="6" w:space="0"/>
              <w:bottom w:val="single" w:color="auto" w:sz="4" w:space="0"/>
              <w:right w:val="single" w:color="auto" w:sz="4" w:space="0"/>
            </w:tcBorders>
            <w:noWrap/>
            <w:vAlign w:val="center"/>
          </w:tcPr>
          <w:p>
            <w:pPr>
              <w:widowControl/>
              <w:jc w:val="left"/>
              <w:textAlignment w:val="center"/>
              <w:rPr>
                <w:rFonts w:ascii="宋体" w:hAnsi="宋体"/>
                <w:sz w:val="15"/>
                <w:szCs w:val="15"/>
                <w:highlight w:val="none"/>
              </w:rPr>
            </w:pPr>
            <w:r>
              <w:rPr>
                <w:rFonts w:hint="eastAsia" w:ascii="宋体" w:hAnsi="宋体"/>
                <w:sz w:val="15"/>
                <w:szCs w:val="15"/>
                <w:highlight w:val="none"/>
              </w:rPr>
              <w:t>可删除</w:t>
            </w:r>
          </w:p>
        </w:tc>
        <w:tc>
          <w:tcPr>
            <w:tcW w:w="7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szCs w:val="21"/>
                <w:highlight w:val="none"/>
              </w:rPr>
            </w:pPr>
            <w:r>
              <w:rPr>
                <w:rFonts w:hint="eastAsia" w:ascii="宋体" w:hAnsi="宋体"/>
                <w:sz w:val="15"/>
                <w:szCs w:val="15"/>
                <w:highlight w:val="none"/>
              </w:rPr>
              <w:t>可删除</w:t>
            </w:r>
          </w:p>
        </w:tc>
        <w:tc>
          <w:tcPr>
            <w:tcW w:w="114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656" w:type="dxa"/>
            <w:tcBorders>
              <w:top w:val="single" w:color="auto" w:sz="4" w:space="0"/>
              <w:left w:val="single" w:color="auto" w:sz="4" w:space="0"/>
              <w:bottom w:val="single" w:color="auto" w:sz="4" w:space="0"/>
              <w:right w:val="single" w:color="auto" w:sz="6"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1280"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7"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1"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r>
      <w:tr>
        <w:tblPrEx>
          <w:tblCellMar>
            <w:top w:w="0" w:type="dxa"/>
            <w:left w:w="108" w:type="dxa"/>
            <w:bottom w:w="0" w:type="dxa"/>
            <w:right w:w="108" w:type="dxa"/>
          </w:tblCellMar>
        </w:tblPrEx>
        <w:trPr>
          <w:cantSplit/>
          <w:trHeight w:val="803" w:hRule="atLeast"/>
        </w:trPr>
        <w:tc>
          <w:tcPr>
            <w:tcW w:w="1017" w:type="dxa"/>
            <w:tcBorders>
              <w:top w:val="single" w:color="auto" w:sz="4" w:space="0"/>
              <w:left w:val="single" w:color="auto" w:sz="6" w:space="0"/>
              <w:bottom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4</w:t>
            </w:r>
          </w:p>
        </w:tc>
        <w:tc>
          <w:tcPr>
            <w:tcW w:w="1320" w:type="dxa"/>
            <w:tcBorders>
              <w:top w:val="single" w:color="auto" w:sz="6" w:space="0"/>
              <w:left w:val="single" w:color="auto" w:sz="4" w:space="0"/>
              <w:bottom w:val="single" w:color="auto" w:sz="6" w:space="0"/>
              <w:right w:val="single" w:color="auto" w:sz="6" w:space="0"/>
            </w:tcBorders>
            <w:noWrap/>
            <w:vAlign w:val="center"/>
          </w:tcPr>
          <w:p>
            <w:pPr>
              <w:widowControl/>
              <w:jc w:val="center"/>
              <w:textAlignment w:val="center"/>
              <w:rPr>
                <w:rFonts w:ascii="宋体" w:hAnsi="宋体"/>
                <w:sz w:val="15"/>
                <w:szCs w:val="15"/>
                <w:highlight w:val="none"/>
              </w:rPr>
            </w:pPr>
            <w:r>
              <w:rPr>
                <w:rFonts w:hint="eastAsia" w:ascii="宋体" w:hAnsi="宋体"/>
                <w:sz w:val="15"/>
                <w:szCs w:val="15"/>
                <w:highlight w:val="none"/>
              </w:rPr>
              <w:t>可删除</w:t>
            </w:r>
          </w:p>
        </w:tc>
        <w:tc>
          <w:tcPr>
            <w:tcW w:w="65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753" w:type="dxa"/>
            <w:gridSpan w:val="2"/>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921" w:type="dxa"/>
            <w:gridSpan w:val="2"/>
            <w:tcBorders>
              <w:top w:val="single" w:color="auto" w:sz="4" w:space="0"/>
              <w:left w:val="single" w:color="auto" w:sz="6" w:space="0"/>
              <w:bottom w:val="single" w:color="auto" w:sz="4" w:space="0"/>
              <w:right w:val="single" w:color="auto" w:sz="4" w:space="0"/>
            </w:tcBorders>
            <w:noWrap/>
            <w:vAlign w:val="center"/>
          </w:tcPr>
          <w:p>
            <w:pPr>
              <w:widowControl/>
              <w:jc w:val="left"/>
              <w:textAlignment w:val="center"/>
              <w:rPr>
                <w:rFonts w:ascii="宋体" w:hAnsi="宋体"/>
                <w:sz w:val="15"/>
                <w:szCs w:val="15"/>
                <w:highlight w:val="none"/>
              </w:rPr>
            </w:pPr>
            <w:r>
              <w:rPr>
                <w:rFonts w:hint="eastAsia" w:ascii="宋体" w:hAnsi="宋体"/>
                <w:sz w:val="15"/>
                <w:szCs w:val="15"/>
                <w:highlight w:val="none"/>
              </w:rPr>
              <w:t>可删除</w:t>
            </w:r>
          </w:p>
        </w:tc>
        <w:tc>
          <w:tcPr>
            <w:tcW w:w="7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szCs w:val="21"/>
                <w:highlight w:val="none"/>
              </w:rPr>
            </w:pPr>
            <w:r>
              <w:rPr>
                <w:rFonts w:hint="eastAsia" w:ascii="宋体" w:hAnsi="宋体"/>
                <w:sz w:val="15"/>
                <w:szCs w:val="15"/>
                <w:highlight w:val="none"/>
              </w:rPr>
              <w:t>可删除</w:t>
            </w:r>
          </w:p>
        </w:tc>
        <w:tc>
          <w:tcPr>
            <w:tcW w:w="114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656" w:type="dxa"/>
            <w:tcBorders>
              <w:top w:val="single" w:color="auto" w:sz="4" w:space="0"/>
              <w:left w:val="single" w:color="auto" w:sz="4" w:space="0"/>
              <w:bottom w:val="single" w:color="auto" w:sz="4" w:space="0"/>
              <w:right w:val="single" w:color="auto" w:sz="6"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1280"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7"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1"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r>
      <w:tr>
        <w:tblPrEx>
          <w:tblCellMar>
            <w:top w:w="0" w:type="dxa"/>
            <w:left w:w="108" w:type="dxa"/>
            <w:bottom w:w="0" w:type="dxa"/>
            <w:right w:w="108" w:type="dxa"/>
          </w:tblCellMar>
        </w:tblPrEx>
        <w:trPr>
          <w:cantSplit/>
          <w:trHeight w:val="803" w:hRule="atLeast"/>
        </w:trPr>
        <w:tc>
          <w:tcPr>
            <w:tcW w:w="1017" w:type="dxa"/>
            <w:tcBorders>
              <w:top w:val="single" w:color="auto" w:sz="4" w:space="0"/>
              <w:left w:val="single" w:color="auto" w:sz="6" w:space="0"/>
              <w:bottom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5</w:t>
            </w:r>
          </w:p>
        </w:tc>
        <w:tc>
          <w:tcPr>
            <w:tcW w:w="1320" w:type="dxa"/>
            <w:tcBorders>
              <w:top w:val="single" w:color="auto" w:sz="6" w:space="0"/>
              <w:left w:val="single" w:color="auto" w:sz="4" w:space="0"/>
              <w:bottom w:val="single" w:color="auto" w:sz="6" w:space="0"/>
              <w:right w:val="single" w:color="auto" w:sz="6" w:space="0"/>
            </w:tcBorders>
            <w:noWrap/>
            <w:vAlign w:val="center"/>
          </w:tcPr>
          <w:p>
            <w:pPr>
              <w:widowControl/>
              <w:jc w:val="center"/>
              <w:textAlignment w:val="center"/>
              <w:rPr>
                <w:rFonts w:ascii="宋体" w:hAnsi="宋体"/>
                <w:sz w:val="15"/>
                <w:szCs w:val="15"/>
                <w:highlight w:val="none"/>
              </w:rPr>
            </w:pPr>
            <w:r>
              <w:rPr>
                <w:rFonts w:hint="eastAsia" w:ascii="宋体" w:hAnsi="宋体"/>
                <w:sz w:val="15"/>
                <w:szCs w:val="15"/>
                <w:highlight w:val="none"/>
              </w:rPr>
              <w:t>可删除</w:t>
            </w:r>
          </w:p>
        </w:tc>
        <w:tc>
          <w:tcPr>
            <w:tcW w:w="65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753" w:type="dxa"/>
            <w:gridSpan w:val="2"/>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921" w:type="dxa"/>
            <w:gridSpan w:val="2"/>
            <w:tcBorders>
              <w:top w:val="single" w:color="auto" w:sz="4" w:space="0"/>
              <w:left w:val="single" w:color="auto" w:sz="6" w:space="0"/>
              <w:bottom w:val="single" w:color="auto" w:sz="4" w:space="0"/>
              <w:right w:val="single" w:color="auto" w:sz="4" w:space="0"/>
            </w:tcBorders>
            <w:noWrap/>
            <w:vAlign w:val="center"/>
          </w:tcPr>
          <w:p>
            <w:pPr>
              <w:widowControl/>
              <w:jc w:val="left"/>
              <w:textAlignment w:val="center"/>
              <w:rPr>
                <w:rFonts w:ascii="宋体" w:hAnsi="宋体"/>
                <w:sz w:val="15"/>
                <w:szCs w:val="15"/>
                <w:highlight w:val="none"/>
              </w:rPr>
            </w:pPr>
            <w:r>
              <w:rPr>
                <w:rFonts w:hint="eastAsia" w:ascii="宋体" w:hAnsi="宋体"/>
                <w:sz w:val="15"/>
                <w:szCs w:val="15"/>
                <w:highlight w:val="none"/>
              </w:rPr>
              <w:t>可删除</w:t>
            </w:r>
          </w:p>
        </w:tc>
        <w:tc>
          <w:tcPr>
            <w:tcW w:w="7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szCs w:val="21"/>
                <w:highlight w:val="none"/>
              </w:rPr>
            </w:pPr>
            <w:r>
              <w:rPr>
                <w:rFonts w:hint="eastAsia" w:ascii="宋体" w:hAnsi="宋体"/>
                <w:sz w:val="15"/>
                <w:szCs w:val="15"/>
                <w:highlight w:val="none"/>
              </w:rPr>
              <w:t>可删除</w:t>
            </w:r>
          </w:p>
        </w:tc>
        <w:tc>
          <w:tcPr>
            <w:tcW w:w="114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656" w:type="dxa"/>
            <w:tcBorders>
              <w:top w:val="single" w:color="auto" w:sz="4" w:space="0"/>
              <w:left w:val="single" w:color="auto" w:sz="4" w:space="0"/>
              <w:bottom w:val="single" w:color="auto" w:sz="4" w:space="0"/>
              <w:right w:val="single" w:color="auto" w:sz="6"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1280"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7"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1"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r>
      <w:tr>
        <w:tblPrEx>
          <w:tblCellMar>
            <w:top w:w="0" w:type="dxa"/>
            <w:left w:w="108" w:type="dxa"/>
            <w:bottom w:w="0" w:type="dxa"/>
            <w:right w:w="108" w:type="dxa"/>
          </w:tblCellMar>
        </w:tblPrEx>
        <w:trPr>
          <w:cantSplit/>
          <w:trHeight w:val="803" w:hRule="atLeast"/>
        </w:trPr>
        <w:tc>
          <w:tcPr>
            <w:tcW w:w="1017" w:type="dxa"/>
            <w:tcBorders>
              <w:top w:val="single" w:color="auto" w:sz="4" w:space="0"/>
              <w:left w:val="single" w:color="auto" w:sz="6" w:space="0"/>
              <w:bottom w:val="single" w:color="auto" w:sz="4" w:space="0"/>
              <w:right w:val="single" w:color="auto" w:sz="4"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6</w:t>
            </w:r>
          </w:p>
        </w:tc>
        <w:tc>
          <w:tcPr>
            <w:tcW w:w="1320" w:type="dxa"/>
            <w:tcBorders>
              <w:top w:val="single" w:color="auto" w:sz="6" w:space="0"/>
              <w:left w:val="single" w:color="auto" w:sz="4" w:space="0"/>
              <w:bottom w:val="single" w:color="auto" w:sz="6" w:space="0"/>
              <w:right w:val="single" w:color="auto" w:sz="6" w:space="0"/>
            </w:tcBorders>
            <w:noWrap/>
            <w:vAlign w:val="center"/>
          </w:tcPr>
          <w:p>
            <w:pPr>
              <w:widowControl/>
              <w:jc w:val="center"/>
              <w:textAlignment w:val="center"/>
              <w:rPr>
                <w:rFonts w:ascii="宋体" w:hAnsi="宋体"/>
                <w:sz w:val="15"/>
                <w:szCs w:val="15"/>
                <w:highlight w:val="none"/>
              </w:rPr>
            </w:pPr>
            <w:r>
              <w:rPr>
                <w:rFonts w:hint="eastAsia" w:ascii="宋体" w:hAnsi="宋体"/>
                <w:sz w:val="15"/>
                <w:szCs w:val="15"/>
                <w:highlight w:val="none"/>
              </w:rPr>
              <w:t>可删除</w:t>
            </w:r>
          </w:p>
        </w:tc>
        <w:tc>
          <w:tcPr>
            <w:tcW w:w="655" w:type="dxa"/>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753" w:type="dxa"/>
            <w:gridSpan w:val="2"/>
            <w:tcBorders>
              <w:top w:val="single" w:color="auto" w:sz="4" w:space="0"/>
              <w:left w:val="single" w:color="auto" w:sz="6" w:space="0"/>
              <w:bottom w:val="single" w:color="auto" w:sz="4" w:space="0"/>
              <w:right w:val="single" w:color="auto" w:sz="6" w:space="0"/>
            </w:tcBorders>
            <w:noWrap/>
            <w:vAlign w:val="center"/>
          </w:tcPr>
          <w:p>
            <w:pPr>
              <w:adjustRightInd w:val="0"/>
              <w:snapToGrid w:val="0"/>
              <w:spacing w:line="360" w:lineRule="auto"/>
              <w:jc w:val="center"/>
              <w:rPr>
                <w:rFonts w:ascii="宋体" w:hAnsi="宋体"/>
                <w:sz w:val="15"/>
                <w:szCs w:val="15"/>
                <w:highlight w:val="none"/>
              </w:rPr>
            </w:pPr>
            <w:r>
              <w:rPr>
                <w:rFonts w:hint="eastAsia" w:ascii="宋体" w:hAnsi="宋体"/>
                <w:sz w:val="15"/>
                <w:szCs w:val="15"/>
                <w:highlight w:val="none"/>
              </w:rPr>
              <w:t>可删除</w:t>
            </w:r>
          </w:p>
        </w:tc>
        <w:tc>
          <w:tcPr>
            <w:tcW w:w="921" w:type="dxa"/>
            <w:gridSpan w:val="2"/>
            <w:tcBorders>
              <w:top w:val="single" w:color="auto" w:sz="4" w:space="0"/>
              <w:left w:val="single" w:color="auto" w:sz="6" w:space="0"/>
              <w:bottom w:val="single" w:color="auto" w:sz="4" w:space="0"/>
              <w:right w:val="single" w:color="auto" w:sz="4" w:space="0"/>
            </w:tcBorders>
            <w:noWrap/>
            <w:vAlign w:val="center"/>
          </w:tcPr>
          <w:p>
            <w:pPr>
              <w:widowControl/>
              <w:jc w:val="left"/>
              <w:textAlignment w:val="center"/>
              <w:rPr>
                <w:rFonts w:ascii="宋体" w:hAnsi="宋体"/>
                <w:sz w:val="15"/>
                <w:szCs w:val="15"/>
                <w:highlight w:val="none"/>
              </w:rPr>
            </w:pPr>
            <w:r>
              <w:rPr>
                <w:rFonts w:hint="eastAsia" w:ascii="宋体" w:hAnsi="宋体"/>
                <w:sz w:val="15"/>
                <w:szCs w:val="15"/>
                <w:highlight w:val="none"/>
              </w:rPr>
              <w:t>可删除</w:t>
            </w:r>
          </w:p>
        </w:tc>
        <w:tc>
          <w:tcPr>
            <w:tcW w:w="75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szCs w:val="21"/>
                <w:highlight w:val="none"/>
              </w:rPr>
            </w:pPr>
            <w:r>
              <w:rPr>
                <w:rFonts w:hint="eastAsia" w:ascii="宋体" w:hAnsi="宋体"/>
                <w:sz w:val="15"/>
                <w:szCs w:val="15"/>
                <w:highlight w:val="none"/>
              </w:rPr>
              <w:t>可删除</w:t>
            </w:r>
          </w:p>
        </w:tc>
        <w:tc>
          <w:tcPr>
            <w:tcW w:w="114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656" w:type="dxa"/>
            <w:tcBorders>
              <w:top w:val="single" w:color="auto" w:sz="4" w:space="0"/>
              <w:left w:val="single" w:color="auto" w:sz="4" w:space="0"/>
              <w:bottom w:val="single" w:color="auto" w:sz="4" w:space="0"/>
              <w:right w:val="single" w:color="auto" w:sz="6" w:space="0"/>
            </w:tcBorders>
            <w:noWrap/>
            <w:vAlign w:val="center"/>
          </w:tcPr>
          <w:p>
            <w:pPr>
              <w:adjustRightInd w:val="0"/>
              <w:snapToGrid w:val="0"/>
              <w:spacing w:line="360" w:lineRule="auto"/>
              <w:jc w:val="center"/>
              <w:rPr>
                <w:rFonts w:ascii="宋体" w:hAnsi="宋体"/>
                <w:szCs w:val="21"/>
                <w:highlight w:val="none"/>
              </w:rPr>
            </w:pPr>
            <w:r>
              <w:rPr>
                <w:rFonts w:hint="eastAsia" w:ascii="宋体" w:hAnsi="宋体"/>
                <w:sz w:val="15"/>
                <w:szCs w:val="15"/>
                <w:highlight w:val="none"/>
              </w:rPr>
              <w:t>可删除</w:t>
            </w:r>
          </w:p>
        </w:tc>
        <w:tc>
          <w:tcPr>
            <w:tcW w:w="1280"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7"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c>
          <w:tcPr>
            <w:tcW w:w="741" w:type="dxa"/>
            <w:tcBorders>
              <w:top w:val="single" w:color="auto" w:sz="4" w:space="0"/>
              <w:left w:val="single" w:color="auto" w:sz="4" w:space="0"/>
              <w:right w:val="single" w:color="auto" w:sz="4" w:space="0"/>
            </w:tcBorders>
            <w:noWrap/>
            <w:vAlign w:val="center"/>
          </w:tcPr>
          <w:p>
            <w:pPr>
              <w:widowControl/>
              <w:adjustRightInd w:val="0"/>
              <w:snapToGrid w:val="0"/>
              <w:jc w:val="center"/>
              <w:rPr>
                <w:rFonts w:ascii="宋体" w:hAnsi="宋体"/>
                <w:sz w:val="15"/>
                <w:szCs w:val="15"/>
                <w:highlight w:val="none"/>
              </w:rPr>
            </w:pPr>
            <w:r>
              <w:rPr>
                <w:rFonts w:hint="eastAsia" w:ascii="宋体" w:hAnsi="宋体"/>
                <w:sz w:val="15"/>
                <w:szCs w:val="15"/>
                <w:highlight w:val="none"/>
              </w:rPr>
              <w:t>可删除</w:t>
            </w:r>
          </w:p>
        </w:tc>
      </w:tr>
      <w:tr>
        <w:tblPrEx>
          <w:tblCellMar>
            <w:top w:w="0" w:type="dxa"/>
            <w:left w:w="108" w:type="dxa"/>
            <w:bottom w:w="0" w:type="dxa"/>
            <w:right w:w="108" w:type="dxa"/>
          </w:tblCellMar>
        </w:tblPrEx>
        <w:trPr>
          <w:cantSplit/>
          <w:trHeight w:val="803" w:hRule="atLeast"/>
        </w:trPr>
        <w:tc>
          <w:tcPr>
            <w:tcW w:w="2338" w:type="dxa"/>
            <w:gridSpan w:val="2"/>
            <w:tcBorders>
              <w:top w:val="single" w:color="auto" w:sz="4" w:space="0"/>
              <w:left w:val="single" w:color="auto" w:sz="6" w:space="0"/>
              <w:bottom w:val="single" w:color="auto" w:sz="4" w:space="0"/>
              <w:right w:val="single" w:color="auto" w:sz="6" w:space="0"/>
            </w:tcBorders>
            <w:noWrap/>
            <w:vAlign w:val="center"/>
          </w:tcPr>
          <w:p>
            <w:pPr>
              <w:widowControl/>
              <w:jc w:val="center"/>
              <w:textAlignment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合计</w:t>
            </w:r>
          </w:p>
        </w:tc>
        <w:tc>
          <w:tcPr>
            <w:tcW w:w="6163" w:type="dxa"/>
            <w:gridSpan w:val="9"/>
            <w:tcBorders>
              <w:top w:val="single" w:color="auto" w:sz="4" w:space="0"/>
              <w:left w:val="single" w:color="auto" w:sz="6" w:space="0"/>
              <w:bottom w:val="single" w:color="auto" w:sz="4" w:space="0"/>
              <w:right w:val="single" w:color="auto" w:sz="4" w:space="0"/>
            </w:tcBorders>
            <w:noWrap/>
            <w:vAlign w:val="center"/>
          </w:tcPr>
          <w:p>
            <w:pPr>
              <w:widowControl/>
              <w:adjustRightInd w:val="0"/>
              <w:snapToGrid w:val="0"/>
              <w:rPr>
                <w:rFonts w:ascii="宋体" w:hAnsi="宋体"/>
                <w:sz w:val="24"/>
                <w:szCs w:val="24"/>
                <w:highlight w:val="none"/>
              </w:rPr>
            </w:pPr>
            <w:r>
              <w:rPr>
                <w:rFonts w:hint="eastAsia" w:ascii="宋体" w:hAnsi="宋体"/>
                <w:sz w:val="24"/>
                <w:szCs w:val="24"/>
                <w:highlight w:val="none"/>
              </w:rPr>
              <w:t>乙方填写</w:t>
            </w:r>
          </w:p>
        </w:tc>
        <w:tc>
          <w:tcPr>
            <w:tcW w:w="747" w:type="dxa"/>
            <w:tcBorders>
              <w:top w:val="single" w:color="auto" w:sz="4" w:space="0"/>
              <w:left w:val="single" w:color="auto" w:sz="6" w:space="0"/>
              <w:bottom w:val="single" w:color="auto" w:sz="4" w:space="0"/>
              <w:right w:val="single" w:color="auto" w:sz="4" w:space="0"/>
            </w:tcBorders>
            <w:noWrap/>
            <w:vAlign w:val="center"/>
          </w:tcPr>
          <w:p>
            <w:pPr>
              <w:widowControl/>
              <w:adjustRightInd w:val="0"/>
              <w:snapToGrid w:val="0"/>
              <w:rPr>
                <w:rFonts w:ascii="宋体" w:hAnsi="宋体"/>
                <w:sz w:val="24"/>
                <w:szCs w:val="24"/>
                <w:highlight w:val="none"/>
              </w:rPr>
            </w:pPr>
          </w:p>
        </w:tc>
        <w:tc>
          <w:tcPr>
            <w:tcW w:w="741" w:type="dxa"/>
            <w:tcBorders>
              <w:top w:val="single" w:color="auto" w:sz="4" w:space="0"/>
              <w:left w:val="single" w:color="auto" w:sz="6" w:space="0"/>
              <w:bottom w:val="single" w:color="auto" w:sz="4" w:space="0"/>
              <w:right w:val="single" w:color="auto" w:sz="4" w:space="0"/>
            </w:tcBorders>
            <w:noWrap/>
            <w:vAlign w:val="center"/>
          </w:tcPr>
          <w:p>
            <w:pPr>
              <w:widowControl/>
              <w:adjustRightInd w:val="0"/>
              <w:snapToGrid w:val="0"/>
              <w:rPr>
                <w:rFonts w:ascii="宋体" w:hAnsi="宋体"/>
                <w:sz w:val="24"/>
                <w:szCs w:val="24"/>
                <w:highlight w:val="none"/>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7"/>
          <w:wBefore w:w="3091" w:type="dxa"/>
          <w:wAfter w:w="259" w:type="dxa"/>
          <w:trHeight w:val="100" w:hRule="atLeast"/>
        </w:trPr>
        <w:tc>
          <w:tcPr>
            <w:tcW w:w="753" w:type="dxa"/>
            <w:gridSpan w:val="2"/>
            <w:tcBorders>
              <w:top w:val="single" w:color="auto" w:sz="4" w:space="0"/>
            </w:tcBorders>
            <w:noWrap/>
          </w:tcPr>
          <w:p>
            <w:pPr>
              <w:tabs>
                <w:tab w:val="left" w:pos="540"/>
              </w:tabs>
              <w:adjustRightInd w:val="0"/>
              <w:snapToGrid w:val="0"/>
              <w:spacing w:line="360" w:lineRule="auto"/>
              <w:rPr>
                <w:rFonts w:ascii="宋体" w:hAnsi="宋体"/>
                <w:color w:val="0000FF"/>
                <w:sz w:val="15"/>
                <w:szCs w:val="15"/>
              </w:rPr>
            </w:pPr>
          </w:p>
        </w:tc>
      </w:tr>
    </w:tbl>
    <w:p>
      <w:pPr>
        <w:adjustRightInd w:val="0"/>
        <w:snapToGrid w:val="0"/>
        <w:spacing w:line="360" w:lineRule="auto"/>
        <w:rPr>
          <w:rFonts w:ascii="宋体" w:hAnsi="宋体"/>
          <w:spacing w:val="-20"/>
          <w:szCs w:val="21"/>
        </w:rPr>
      </w:pPr>
    </w:p>
    <w:p>
      <w:pPr>
        <w:adjustRightInd w:val="0"/>
        <w:snapToGrid w:val="0"/>
        <w:spacing w:line="360" w:lineRule="auto"/>
        <w:rPr>
          <w:rFonts w:ascii="宋体" w:hAnsi="宋体"/>
          <w:spacing w:val="-20"/>
          <w:szCs w:val="21"/>
        </w:rPr>
      </w:pPr>
    </w:p>
    <w:p>
      <w:pPr>
        <w:adjustRightInd w:val="0"/>
        <w:snapToGrid w:val="0"/>
        <w:spacing w:line="360" w:lineRule="auto"/>
        <w:rPr>
          <w:rFonts w:ascii="宋体" w:hAnsi="宋体"/>
          <w:spacing w:val="-20"/>
          <w:szCs w:val="21"/>
        </w:rPr>
      </w:pPr>
    </w:p>
    <w:p>
      <w:pPr>
        <w:adjustRightInd w:val="0"/>
        <w:snapToGrid w:val="0"/>
        <w:spacing w:line="360" w:lineRule="auto"/>
        <w:rPr>
          <w:rFonts w:ascii="宋体" w:hAnsi="宋体"/>
          <w:spacing w:val="-20"/>
          <w:szCs w:val="21"/>
        </w:rPr>
      </w:pPr>
      <w:r>
        <w:rPr>
          <w:rFonts w:hint="eastAsia" w:ascii="宋体" w:hAnsi="宋体"/>
          <w:spacing w:val="-20"/>
          <w:szCs w:val="21"/>
        </w:rPr>
        <w:t>说明：</w:t>
      </w:r>
    </w:p>
    <w:p>
      <w:pPr>
        <w:adjustRightInd w:val="0"/>
        <w:snapToGrid w:val="0"/>
        <w:spacing w:line="360" w:lineRule="auto"/>
        <w:ind w:firstLine="420" w:firstLineChars="200"/>
        <w:rPr>
          <w:rFonts w:ascii="宋体" w:hAnsi="宋体"/>
          <w:szCs w:val="21"/>
        </w:rPr>
      </w:pPr>
      <w:r>
        <w:rPr>
          <w:rFonts w:hint="eastAsia" w:ascii="宋体" w:hAnsi="宋体"/>
          <w:szCs w:val="21"/>
        </w:rPr>
        <w:t>（一） 合同总价包含到达交货地点的运杂费、技术服务（相关技术指导）、运输费、保险费、培训及其他各项费用。</w:t>
      </w:r>
    </w:p>
    <w:p>
      <w:pPr>
        <w:adjustRightInd w:val="0"/>
        <w:snapToGrid w:val="0"/>
        <w:spacing w:line="360" w:lineRule="auto"/>
        <w:ind w:firstLine="420" w:firstLineChars="200"/>
        <w:rPr>
          <w:rFonts w:ascii="宋体" w:hAnsi="宋体"/>
          <w:szCs w:val="21"/>
        </w:rPr>
      </w:pPr>
      <w:r>
        <w:rPr>
          <w:rFonts w:hint="eastAsia" w:ascii="宋体" w:hAnsi="宋体"/>
          <w:szCs w:val="21"/>
        </w:rPr>
        <w:t>（二）合同总价包括乙方销售本合同产品，国家根据现行税法向乙方征收的与履行合同有关的一切税费。</w:t>
      </w:r>
    </w:p>
    <w:p>
      <w:pPr>
        <w:adjustRightInd w:val="0"/>
        <w:snapToGrid w:val="0"/>
        <w:spacing w:line="360" w:lineRule="auto"/>
        <w:ind w:firstLine="420" w:firstLineChars="200"/>
        <w:rPr>
          <w:rFonts w:ascii="宋体" w:hAnsi="宋体"/>
          <w:szCs w:val="21"/>
        </w:rPr>
      </w:pPr>
      <w:r>
        <w:rPr>
          <w:rFonts w:hint="eastAsia" w:ascii="宋体" w:hAnsi="宋体"/>
          <w:szCs w:val="21"/>
        </w:rPr>
        <w:t>（三） 合同总价一次包死，不受市场价格变化的影响，并作为结算的唯一依据。</w:t>
      </w:r>
    </w:p>
    <w:p>
      <w:pPr>
        <w:adjustRightInd w:val="0"/>
        <w:snapToGrid w:val="0"/>
        <w:spacing w:line="360" w:lineRule="auto"/>
        <w:ind w:firstLine="420" w:firstLineChars="200"/>
        <w:outlineLvl w:val="1"/>
        <w:rPr>
          <w:rFonts w:ascii="宋体" w:hAnsi="宋体"/>
          <w:szCs w:val="21"/>
        </w:rPr>
      </w:pPr>
      <w:r>
        <w:rPr>
          <w:rFonts w:hint="eastAsia" w:ascii="宋体" w:hAnsi="宋体"/>
          <w:szCs w:val="21"/>
        </w:rPr>
        <w:t>二、产品质量要求</w:t>
      </w:r>
    </w:p>
    <w:p>
      <w:pPr>
        <w:adjustRightInd w:val="0"/>
        <w:snapToGrid w:val="0"/>
        <w:spacing w:line="360" w:lineRule="auto"/>
        <w:ind w:firstLine="420" w:firstLineChars="200"/>
        <w:rPr>
          <w:rFonts w:ascii="宋体" w:hAnsi="宋体"/>
          <w:szCs w:val="21"/>
          <w:u w:val="single"/>
        </w:rPr>
      </w:pPr>
      <w:r>
        <w:rPr>
          <w:rFonts w:hint="eastAsia" w:ascii="宋体" w:hAnsi="宋体"/>
          <w:szCs w:val="21"/>
        </w:rPr>
        <w:t>（一） 国家标准：</w:t>
      </w:r>
      <w:r>
        <w:rPr>
          <w:rFonts w:hint="eastAsia" w:ascii="宋体" w:hAnsi="宋体"/>
          <w:szCs w:val="21"/>
          <w:u w:val="single"/>
        </w:rPr>
        <w:t xml:space="preserve">  符合国家标准          </w:t>
      </w:r>
    </w:p>
    <w:p>
      <w:pPr>
        <w:adjustRightInd w:val="0"/>
        <w:snapToGrid w:val="0"/>
        <w:spacing w:line="360" w:lineRule="auto"/>
        <w:ind w:firstLine="420" w:firstLineChars="200"/>
        <w:rPr>
          <w:rFonts w:ascii="宋体" w:hAnsi="宋体"/>
          <w:szCs w:val="21"/>
        </w:rPr>
      </w:pPr>
      <w:r>
        <w:rPr>
          <w:rFonts w:hint="eastAsia" w:ascii="宋体" w:hAnsi="宋体"/>
          <w:szCs w:val="21"/>
        </w:rPr>
        <w:t>（二）行业标准：</w:t>
      </w:r>
      <w:r>
        <w:rPr>
          <w:rFonts w:hint="eastAsia" w:ascii="宋体" w:hAnsi="宋体"/>
          <w:szCs w:val="21"/>
          <w:u w:val="single"/>
        </w:rPr>
        <w:t xml:space="preserve">    符合行业标准         </w:t>
      </w:r>
    </w:p>
    <w:p>
      <w:pPr>
        <w:adjustRightInd w:val="0"/>
        <w:snapToGrid w:val="0"/>
        <w:spacing w:line="360" w:lineRule="auto"/>
        <w:ind w:firstLine="420" w:firstLineChars="200"/>
        <w:rPr>
          <w:rFonts w:ascii="宋体" w:hAnsi="宋体"/>
          <w:szCs w:val="21"/>
          <w:u w:val="single"/>
        </w:rPr>
      </w:pPr>
      <w:r>
        <w:rPr>
          <w:rFonts w:hint="eastAsia" w:ascii="宋体" w:hAnsi="宋体"/>
          <w:szCs w:val="21"/>
        </w:rPr>
        <w:t>（三） 样品标准：</w:t>
      </w:r>
      <w:r>
        <w:rPr>
          <w:rFonts w:hint="eastAsia" w:ascii="宋体" w:hAnsi="宋体"/>
          <w:szCs w:val="21"/>
          <w:u w:val="single"/>
        </w:rPr>
        <w:t xml:space="preserve">  乙方按甲方要求制作样品，该样品由甲乙双方封样，由甲方保存 </w:t>
      </w:r>
    </w:p>
    <w:p>
      <w:pPr>
        <w:adjustRightInd w:val="0"/>
        <w:snapToGrid w:val="0"/>
        <w:spacing w:line="360" w:lineRule="auto"/>
        <w:ind w:firstLine="420" w:firstLineChars="200"/>
        <w:rPr>
          <w:rFonts w:ascii="宋体" w:hAnsi="宋体"/>
          <w:szCs w:val="21"/>
        </w:rPr>
      </w:pPr>
      <w:r>
        <w:rPr>
          <w:rFonts w:hint="eastAsia" w:ascii="宋体" w:hAnsi="宋体"/>
          <w:szCs w:val="21"/>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szCs w:val="21"/>
          <w:u w:val="single"/>
        </w:rPr>
        <w:t>7</w:t>
      </w:r>
      <w:r>
        <w:rPr>
          <w:rFonts w:hint="eastAsia" w:ascii="宋体" w:hAnsi="宋体"/>
          <w:szCs w:val="21"/>
        </w:rPr>
        <w:t>天内，免费负责更换新的产品。对造成的损失甲方保留索赔的权利。</w:t>
      </w:r>
    </w:p>
    <w:p>
      <w:pPr>
        <w:adjustRightInd w:val="0"/>
        <w:snapToGrid w:val="0"/>
        <w:spacing w:line="360" w:lineRule="auto"/>
        <w:ind w:firstLine="420" w:firstLineChars="200"/>
        <w:rPr>
          <w:rFonts w:ascii="宋体" w:hAnsi="宋体"/>
          <w:szCs w:val="21"/>
        </w:rPr>
      </w:pPr>
      <w:r>
        <w:rPr>
          <w:rFonts w:hint="eastAsia" w:ascii="宋体" w:hAnsi="宋体"/>
          <w:szCs w:val="21"/>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20" w:firstLineChars="200"/>
        <w:outlineLvl w:val="1"/>
        <w:rPr>
          <w:rFonts w:ascii="宋体" w:hAnsi="宋体"/>
          <w:szCs w:val="21"/>
        </w:rPr>
      </w:pPr>
      <w:r>
        <w:rPr>
          <w:rFonts w:hint="eastAsia" w:ascii="宋体" w:hAnsi="宋体"/>
          <w:szCs w:val="21"/>
        </w:rPr>
        <w:t>三、包装方式及包装品处理</w:t>
      </w:r>
    </w:p>
    <w:p>
      <w:pPr>
        <w:adjustRightInd w:val="0"/>
        <w:snapToGrid w:val="0"/>
        <w:spacing w:line="360" w:lineRule="auto"/>
        <w:ind w:firstLine="420" w:firstLineChars="200"/>
        <w:rPr>
          <w:rFonts w:ascii="宋体" w:hAnsi="宋体"/>
          <w:szCs w:val="21"/>
          <w:u w:val="single"/>
        </w:rPr>
      </w:pPr>
      <w:r>
        <w:rPr>
          <w:rFonts w:hint="eastAsia" w:ascii="宋体" w:hAnsi="宋体"/>
          <w:szCs w:val="21"/>
        </w:rPr>
        <w:t>（一）包装方式：</w:t>
      </w:r>
    </w:p>
    <w:p>
      <w:pPr>
        <w:adjustRightInd w:val="0"/>
        <w:snapToGrid w:val="0"/>
        <w:spacing w:line="360" w:lineRule="auto"/>
        <w:ind w:firstLine="420" w:firstLineChars="200"/>
        <w:rPr>
          <w:rFonts w:ascii="宋体" w:hAnsi="宋体"/>
          <w:szCs w:val="21"/>
          <w:u w:val="single"/>
        </w:rPr>
      </w:pPr>
      <w:r>
        <w:rPr>
          <w:rFonts w:hint="eastAsia" w:ascii="宋体" w:hAnsi="宋体"/>
          <w:szCs w:val="21"/>
        </w:rPr>
        <w:t>（二）包装品处理：</w:t>
      </w:r>
      <w:r>
        <w:rPr>
          <w:rFonts w:hint="eastAsia" w:ascii="宋体" w:hAnsi="宋体"/>
          <w:szCs w:val="21"/>
          <w:u w:val="single"/>
        </w:rPr>
        <w:t xml:space="preserve">   由甲方指定处理           </w:t>
      </w:r>
    </w:p>
    <w:p>
      <w:pPr>
        <w:numPr>
          <w:ilvl w:val="0"/>
          <w:numId w:val="3"/>
        </w:numPr>
        <w:adjustRightInd w:val="0"/>
        <w:snapToGrid w:val="0"/>
        <w:spacing w:line="360" w:lineRule="auto"/>
        <w:ind w:firstLine="420" w:firstLineChars="200"/>
        <w:outlineLvl w:val="1"/>
        <w:rPr>
          <w:rFonts w:ascii="宋体" w:hAnsi="宋体"/>
          <w:szCs w:val="21"/>
        </w:rPr>
      </w:pPr>
      <w:r>
        <w:rPr>
          <w:rFonts w:hint="eastAsia" w:ascii="宋体" w:hAnsi="宋体"/>
          <w:szCs w:val="21"/>
        </w:rPr>
        <w:t>交货方式</w:t>
      </w:r>
    </w:p>
    <w:p>
      <w:pPr>
        <w:numPr>
          <w:ilvl w:val="0"/>
          <w:numId w:val="4"/>
        </w:numPr>
        <w:adjustRightInd w:val="0"/>
        <w:snapToGrid w:val="0"/>
        <w:spacing w:line="360" w:lineRule="auto"/>
        <w:ind w:firstLine="420" w:firstLineChars="200"/>
        <w:rPr>
          <w:rFonts w:ascii="宋体" w:hAnsi="宋体"/>
          <w:szCs w:val="21"/>
          <w:u w:val="single"/>
        </w:rPr>
      </w:pPr>
      <w:r>
        <w:rPr>
          <w:rFonts w:hint="eastAsia" w:ascii="宋体" w:hAnsi="宋体"/>
          <w:szCs w:val="21"/>
        </w:rPr>
        <w:t>交货期限：</w:t>
      </w:r>
      <w:r>
        <w:rPr>
          <w:rFonts w:hint="eastAsia" w:ascii="宋体" w:hAnsi="宋体"/>
          <w:szCs w:val="21"/>
          <w:u w:val="single"/>
        </w:rPr>
        <w:t xml:space="preserve">   按甲方要求</w:t>
      </w:r>
    </w:p>
    <w:p>
      <w:pPr>
        <w:adjustRightInd w:val="0"/>
        <w:snapToGrid w:val="0"/>
        <w:spacing w:line="360" w:lineRule="auto"/>
        <w:ind w:firstLine="420" w:firstLineChars="200"/>
        <w:rPr>
          <w:rFonts w:ascii="宋体" w:hAnsi="宋体"/>
          <w:szCs w:val="21"/>
          <w:u w:val="single"/>
        </w:rPr>
      </w:pPr>
      <w:r>
        <w:rPr>
          <w:rFonts w:hint="eastAsia" w:ascii="宋体" w:hAnsi="宋体"/>
          <w:szCs w:val="21"/>
        </w:rPr>
        <w:t xml:space="preserve">（二）交货地点： </w:t>
      </w:r>
      <w:r>
        <w:rPr>
          <w:rFonts w:hint="eastAsia" w:ascii="宋体" w:hAnsi="宋体"/>
          <w:szCs w:val="21"/>
          <w:u w:val="single"/>
        </w:rPr>
        <w:t xml:space="preserve">  甲方</w:t>
      </w:r>
      <w:r>
        <w:rPr>
          <w:rFonts w:ascii="宋体" w:hAnsi="宋体"/>
          <w:szCs w:val="21"/>
          <w:u w:val="single"/>
        </w:rPr>
        <w:t>指定地点</w:t>
      </w:r>
    </w:p>
    <w:p>
      <w:pPr>
        <w:adjustRightInd w:val="0"/>
        <w:snapToGrid w:val="0"/>
        <w:spacing w:line="360" w:lineRule="auto"/>
        <w:ind w:firstLine="420" w:firstLineChars="200"/>
        <w:rPr>
          <w:rFonts w:ascii="宋体" w:hAnsi="宋体"/>
          <w:szCs w:val="21"/>
          <w:u w:val="single"/>
        </w:rPr>
      </w:pPr>
      <w:r>
        <w:rPr>
          <w:rFonts w:hint="eastAsia" w:ascii="宋体" w:hAnsi="宋体"/>
          <w:szCs w:val="21"/>
        </w:rPr>
        <w:t>（三）运输方式：</w:t>
      </w:r>
      <w:r>
        <w:rPr>
          <w:rFonts w:hint="eastAsia" w:ascii="宋体" w:hAnsi="宋体"/>
          <w:szCs w:val="21"/>
          <w:u w:val="single"/>
        </w:rPr>
        <w:t xml:space="preserve">  乙方</w:t>
      </w:r>
      <w:r>
        <w:rPr>
          <w:rFonts w:ascii="宋体" w:hAnsi="宋体"/>
          <w:szCs w:val="21"/>
          <w:u w:val="single"/>
        </w:rPr>
        <w:t>负责运输</w:t>
      </w:r>
      <w:r>
        <w:rPr>
          <w:rFonts w:hint="eastAsia" w:ascii="宋体" w:hAnsi="宋体"/>
          <w:szCs w:val="21"/>
          <w:u w:val="single"/>
        </w:rPr>
        <w:t>到</w:t>
      </w:r>
      <w:r>
        <w:rPr>
          <w:rFonts w:ascii="宋体" w:hAnsi="宋体"/>
          <w:szCs w:val="21"/>
          <w:u w:val="single"/>
        </w:rPr>
        <w:t>甲方</w:t>
      </w:r>
      <w:r>
        <w:rPr>
          <w:rFonts w:hint="eastAsia" w:ascii="宋体" w:hAnsi="宋体"/>
          <w:szCs w:val="21"/>
          <w:u w:val="single"/>
        </w:rPr>
        <w:t xml:space="preserve">指定地点     </w:t>
      </w:r>
    </w:p>
    <w:p>
      <w:pPr>
        <w:adjustRightInd w:val="0"/>
        <w:snapToGrid w:val="0"/>
        <w:spacing w:line="360" w:lineRule="auto"/>
        <w:ind w:firstLine="420" w:firstLineChars="200"/>
        <w:rPr>
          <w:rFonts w:ascii="宋体" w:hAnsi="宋体"/>
          <w:szCs w:val="21"/>
        </w:rPr>
      </w:pPr>
      <w:r>
        <w:rPr>
          <w:rFonts w:hint="eastAsia" w:ascii="宋体" w:hAnsi="宋体"/>
          <w:szCs w:val="21"/>
        </w:rPr>
        <w:t>根据国家相关部门规定，产品需特殊方式运输的，如冷链运输的，配送由</w:t>
      </w:r>
      <w:r>
        <w:rPr>
          <w:rFonts w:ascii="宋体" w:hAnsi="宋体"/>
          <w:szCs w:val="21"/>
        </w:rPr>
        <w:t>具备冷链储存、运输条件</w:t>
      </w:r>
      <w:r>
        <w:rPr>
          <w:rFonts w:hint="eastAsia" w:ascii="宋体" w:hAnsi="宋体"/>
          <w:szCs w:val="21"/>
        </w:rPr>
        <w:t>乙方或乙方</w:t>
      </w:r>
      <w:r>
        <w:rPr>
          <w:rFonts w:ascii="宋体" w:hAnsi="宋体"/>
          <w:szCs w:val="21"/>
        </w:rPr>
        <w:t>委托具备冷链储存、运输条件的企业</w:t>
      </w:r>
      <w:r>
        <w:rPr>
          <w:rFonts w:hint="eastAsia" w:ascii="宋体" w:hAnsi="宋体"/>
          <w:szCs w:val="21"/>
        </w:rPr>
        <w:t>负责</w:t>
      </w:r>
      <w:r>
        <w:rPr>
          <w:rFonts w:ascii="宋体" w:hAnsi="宋体"/>
          <w:szCs w:val="21"/>
        </w:rPr>
        <w:t>配送。</w:t>
      </w:r>
      <w:r>
        <w:rPr>
          <w:rFonts w:hint="eastAsia" w:ascii="宋体" w:hAnsi="宋体"/>
          <w:szCs w:val="21"/>
        </w:rPr>
        <w:t>配送要符合新修改条例及各级卫生主管部门和食品药品监督管理部门的相关规定，</w:t>
      </w:r>
      <w:r>
        <w:rPr>
          <w:rFonts w:ascii="宋体" w:hAnsi="宋体"/>
          <w:szCs w:val="21"/>
        </w:rPr>
        <w:t>遵守储存、运输管理规范，保证</w:t>
      </w:r>
      <w:r>
        <w:rPr>
          <w:rFonts w:hint="eastAsia" w:ascii="宋体" w:hAnsi="宋体"/>
          <w:szCs w:val="21"/>
        </w:rPr>
        <w:t>产品</w:t>
      </w:r>
      <w:r>
        <w:rPr>
          <w:rFonts w:ascii="宋体" w:hAnsi="宋体"/>
          <w:szCs w:val="21"/>
        </w:rPr>
        <w:t>质量。</w:t>
      </w:r>
      <w:r>
        <w:rPr>
          <w:rFonts w:hint="eastAsia" w:ascii="宋体" w:hAnsi="宋体"/>
          <w:szCs w:val="21"/>
        </w:rPr>
        <w:t>产品</w:t>
      </w:r>
      <w:r>
        <w:rPr>
          <w:rFonts w:ascii="宋体" w:hAnsi="宋体"/>
          <w:szCs w:val="21"/>
        </w:rPr>
        <w:t>储存、运输的全过程应当始终处于规定的温度环境，不得脱离冷链，</w:t>
      </w:r>
      <w:r>
        <w:rPr>
          <w:rFonts w:hint="eastAsia" w:ascii="宋体" w:hAnsi="宋体" w:cs="仿宋"/>
          <w:szCs w:val="21"/>
        </w:rPr>
        <w:t>每批货物需配备自动温度记录器，按要求做好全程温度记录，并能够现场读取。</w:t>
      </w:r>
    </w:p>
    <w:p>
      <w:pPr>
        <w:pStyle w:val="18"/>
        <w:adjustRightInd w:val="0"/>
        <w:snapToGrid w:val="0"/>
        <w:rPr>
          <w:rFonts w:ascii="宋体" w:hAnsi="宋体"/>
          <w:szCs w:val="21"/>
        </w:rPr>
      </w:pPr>
      <w:r>
        <w:rPr>
          <w:rFonts w:hint="eastAsia" w:ascii="宋体" w:hAnsi="宋体"/>
          <w:szCs w:val="21"/>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3"/>
        </w:numPr>
        <w:adjustRightInd w:val="0"/>
        <w:snapToGrid w:val="0"/>
        <w:spacing w:line="360" w:lineRule="auto"/>
        <w:ind w:firstLine="420" w:firstLineChars="200"/>
        <w:outlineLvl w:val="1"/>
        <w:rPr>
          <w:rFonts w:ascii="宋体" w:hAnsi="宋体"/>
          <w:szCs w:val="21"/>
        </w:rPr>
      </w:pPr>
      <w:r>
        <w:rPr>
          <w:rFonts w:hint="eastAsia" w:ascii="宋体" w:hAnsi="宋体"/>
          <w:szCs w:val="21"/>
        </w:rPr>
        <w:t>验收</w:t>
      </w:r>
    </w:p>
    <w:p>
      <w:pPr>
        <w:adjustRightInd w:val="0"/>
        <w:snapToGrid w:val="0"/>
        <w:spacing w:line="360" w:lineRule="auto"/>
        <w:ind w:left="420" w:leftChars="200"/>
        <w:rPr>
          <w:rFonts w:ascii="宋体" w:hAnsi="宋体"/>
          <w:szCs w:val="21"/>
          <w:u w:val="single"/>
        </w:rPr>
      </w:pPr>
      <w:r>
        <w:rPr>
          <w:rFonts w:hint="eastAsia" w:ascii="宋体" w:hAnsi="宋体"/>
          <w:szCs w:val="21"/>
        </w:rPr>
        <w:t xml:space="preserve"> （一）验收时间：</w:t>
      </w:r>
      <w:r>
        <w:rPr>
          <w:rFonts w:hint="eastAsia" w:ascii="宋体" w:hAnsi="宋体"/>
          <w:szCs w:val="21"/>
          <w:u w:val="single"/>
        </w:rPr>
        <w:t xml:space="preserve"> 货</w:t>
      </w:r>
      <w:r>
        <w:rPr>
          <w:rFonts w:ascii="宋体" w:hAnsi="宋体"/>
          <w:szCs w:val="21"/>
          <w:u w:val="single"/>
        </w:rPr>
        <w:t>到</w:t>
      </w:r>
      <w:r>
        <w:rPr>
          <w:rFonts w:hint="eastAsia" w:ascii="宋体" w:hAnsi="宋体"/>
          <w:szCs w:val="21"/>
          <w:u w:val="single"/>
        </w:rPr>
        <w:t xml:space="preserve">现场验收 。   </w:t>
      </w:r>
    </w:p>
    <w:p>
      <w:pPr>
        <w:adjustRightInd w:val="0"/>
        <w:snapToGrid w:val="0"/>
        <w:spacing w:line="360" w:lineRule="auto"/>
        <w:ind w:firstLine="420" w:firstLineChars="200"/>
        <w:rPr>
          <w:rFonts w:ascii="宋体" w:hAnsi="宋体"/>
          <w:szCs w:val="21"/>
        </w:rPr>
      </w:pPr>
      <w:r>
        <w:rPr>
          <w:rFonts w:hint="eastAsia" w:ascii="宋体" w:hAnsi="宋体"/>
          <w:szCs w:val="21"/>
        </w:rPr>
        <w:t>（二）验收方式：</w:t>
      </w:r>
    </w:p>
    <w:p>
      <w:pPr>
        <w:adjustRightInd w:val="0"/>
        <w:snapToGrid w:val="0"/>
        <w:spacing w:line="360" w:lineRule="auto"/>
        <w:ind w:firstLine="420" w:firstLineChars="200"/>
        <w:rPr>
          <w:rFonts w:ascii="宋体" w:hAnsi="宋体"/>
          <w:szCs w:val="21"/>
        </w:rPr>
      </w:pPr>
      <w:r>
        <w:rPr>
          <w:rFonts w:hint="eastAsia" w:ascii="宋体" w:hAnsi="宋体"/>
          <w:szCs w:val="21"/>
        </w:rPr>
        <w:t>验收按照下列要求验收，如一项不合格，视同产品不合格：</w:t>
      </w:r>
    </w:p>
    <w:p>
      <w:pPr>
        <w:adjustRightInd w:val="0"/>
        <w:snapToGrid w:val="0"/>
        <w:spacing w:line="360" w:lineRule="auto"/>
        <w:ind w:firstLine="644" w:firstLineChars="307"/>
        <w:rPr>
          <w:rFonts w:ascii="宋体" w:hAnsi="宋体"/>
          <w:szCs w:val="21"/>
        </w:rPr>
      </w:pPr>
      <w:r>
        <w:rPr>
          <w:rFonts w:ascii="宋体" w:hAnsi="宋体"/>
          <w:szCs w:val="21"/>
        </w:rPr>
        <w:fldChar w:fldCharType="begin"/>
      </w:r>
      <w:r>
        <w:rPr>
          <w:rFonts w:ascii="宋体" w:hAnsi="宋体"/>
          <w:szCs w:val="21"/>
        </w:rPr>
        <w:instrText xml:space="preserve"> = 1 \* GB2 </w:instrText>
      </w:r>
      <w:r>
        <w:rPr>
          <w:rFonts w:ascii="宋体" w:hAnsi="宋体"/>
          <w:szCs w:val="21"/>
        </w:rPr>
        <w:fldChar w:fldCharType="separate"/>
      </w:r>
      <w:r>
        <w:rPr>
          <w:rFonts w:hint="eastAsia" w:ascii="宋体" w:hAnsi="宋体"/>
          <w:szCs w:val="21"/>
        </w:rPr>
        <w:t>⑴</w:t>
      </w:r>
      <w:r>
        <w:rPr>
          <w:rFonts w:ascii="宋体" w:hAnsi="宋体"/>
          <w:szCs w:val="21"/>
        </w:rPr>
        <w:fldChar w:fldCharType="end"/>
      </w:r>
      <w:r>
        <w:rPr>
          <w:rFonts w:hint="eastAsia" w:ascii="宋体" w:hAnsi="宋体"/>
          <w:szCs w:val="21"/>
        </w:rPr>
        <w:t>资料验收：供方交货时应按合同规定的要求，提供相关的技术资料。</w:t>
      </w:r>
    </w:p>
    <w:p>
      <w:pPr>
        <w:adjustRightInd w:val="0"/>
        <w:snapToGrid w:val="0"/>
        <w:spacing w:line="360" w:lineRule="auto"/>
        <w:ind w:left="210" w:leftChars="100" w:firstLine="434" w:firstLineChars="207"/>
        <w:rPr>
          <w:rFonts w:ascii="宋体" w:hAnsi="宋体"/>
          <w:szCs w:val="21"/>
        </w:rPr>
      </w:pPr>
      <w:r>
        <w:rPr>
          <w:rFonts w:ascii="宋体" w:hAnsi="宋体"/>
          <w:szCs w:val="21"/>
        </w:rPr>
        <w:fldChar w:fldCharType="begin"/>
      </w:r>
      <w:r>
        <w:rPr>
          <w:rFonts w:ascii="宋体" w:hAnsi="宋体"/>
          <w:szCs w:val="21"/>
        </w:rPr>
        <w:instrText xml:space="preserve"> = 2 \* GB2 </w:instrText>
      </w:r>
      <w:r>
        <w:rPr>
          <w:rFonts w:ascii="宋体" w:hAnsi="宋体"/>
          <w:szCs w:val="21"/>
        </w:rPr>
        <w:fldChar w:fldCharType="separate"/>
      </w:r>
      <w:r>
        <w:rPr>
          <w:rFonts w:hint="eastAsia" w:ascii="宋体" w:hAnsi="宋体"/>
          <w:szCs w:val="21"/>
        </w:rPr>
        <w:t>⑵</w:t>
      </w:r>
      <w:r>
        <w:rPr>
          <w:rFonts w:ascii="宋体" w:hAnsi="宋体"/>
          <w:szCs w:val="21"/>
        </w:rPr>
        <w:fldChar w:fldCharType="end"/>
      </w:r>
      <w:r>
        <w:rPr>
          <w:rFonts w:hint="eastAsia" w:ascii="宋体" w:hAnsi="宋体"/>
          <w:szCs w:val="21"/>
        </w:rPr>
        <w:t xml:space="preserve">实物验收：包括产品名称、数量、规格和包装等外观形态。质保期剩余期限不得低于该产品限定质保期的 </w:t>
      </w:r>
      <w:r>
        <w:rPr>
          <w:rFonts w:hint="eastAsia" w:ascii="宋体" w:hAnsi="宋体"/>
          <w:szCs w:val="21"/>
          <w:u w:val="single"/>
        </w:rPr>
        <w:t xml:space="preserve">（按招标文件及中标文件约定执行） </w:t>
      </w:r>
      <w:r>
        <w:rPr>
          <w:rFonts w:hint="eastAsia" w:ascii="宋体" w:hAnsi="宋体"/>
          <w:szCs w:val="21"/>
        </w:rPr>
        <w:t>。</w:t>
      </w:r>
    </w:p>
    <w:p>
      <w:pPr>
        <w:adjustRightInd w:val="0"/>
        <w:snapToGrid w:val="0"/>
        <w:spacing w:line="360" w:lineRule="auto"/>
        <w:ind w:firstLine="644" w:firstLineChars="307"/>
        <w:rPr>
          <w:rFonts w:ascii="宋体" w:hAnsi="宋体"/>
          <w:szCs w:val="21"/>
        </w:rPr>
      </w:pPr>
      <w:r>
        <w:rPr>
          <w:rFonts w:ascii="宋体" w:hAnsi="宋体"/>
          <w:szCs w:val="21"/>
        </w:rPr>
        <w:fldChar w:fldCharType="begin"/>
      </w:r>
      <w:r>
        <w:rPr>
          <w:rFonts w:ascii="宋体" w:hAnsi="宋体"/>
          <w:szCs w:val="21"/>
        </w:rPr>
        <w:instrText xml:space="preserve"> = 3 \* GB2 </w:instrText>
      </w:r>
      <w:r>
        <w:rPr>
          <w:rFonts w:ascii="宋体" w:hAnsi="宋体"/>
          <w:szCs w:val="21"/>
        </w:rPr>
        <w:fldChar w:fldCharType="separate"/>
      </w:r>
      <w:r>
        <w:rPr>
          <w:rFonts w:hint="eastAsia" w:ascii="宋体" w:hAnsi="宋体"/>
          <w:szCs w:val="21"/>
        </w:rPr>
        <w:t>⑶</w:t>
      </w:r>
      <w:r>
        <w:rPr>
          <w:rFonts w:ascii="宋体" w:hAnsi="宋体"/>
          <w:szCs w:val="21"/>
        </w:rPr>
        <w:fldChar w:fldCharType="end"/>
      </w:r>
      <w:r>
        <w:rPr>
          <w:rFonts w:hint="eastAsia" w:ascii="宋体" w:hAnsi="宋体"/>
          <w:szCs w:val="21"/>
        </w:rPr>
        <w:t>产品质量抽检复核。</w:t>
      </w:r>
    </w:p>
    <w:p>
      <w:pPr>
        <w:adjustRightInd w:val="0"/>
        <w:snapToGrid w:val="0"/>
        <w:spacing w:line="360" w:lineRule="auto"/>
        <w:ind w:firstLine="630" w:firstLineChars="300"/>
        <w:rPr>
          <w:rFonts w:ascii="宋体" w:hAnsi="宋体"/>
          <w:szCs w:val="21"/>
        </w:rPr>
      </w:pPr>
      <w:r>
        <w:rPr>
          <w:rFonts w:hint="eastAsia" w:ascii="宋体" w:hAnsi="宋体"/>
          <w:szCs w:val="21"/>
        </w:rPr>
        <w:t>(4)验收人员可以包括使用部门人员、财务部门人员、乙方人员、代理机构。</w:t>
      </w:r>
    </w:p>
    <w:p>
      <w:pPr>
        <w:adjustRightInd w:val="0"/>
        <w:snapToGrid w:val="0"/>
        <w:spacing w:line="360" w:lineRule="auto"/>
        <w:ind w:firstLine="420" w:firstLineChars="200"/>
        <w:outlineLvl w:val="2"/>
        <w:rPr>
          <w:rFonts w:ascii="宋体" w:hAnsi="宋体"/>
          <w:szCs w:val="21"/>
        </w:rPr>
      </w:pPr>
      <w:r>
        <w:rPr>
          <w:rFonts w:hint="eastAsia" w:ascii="宋体" w:hAnsi="宋体"/>
          <w:szCs w:val="21"/>
        </w:rPr>
        <w:t>（三）安装验收：</w:t>
      </w:r>
    </w:p>
    <w:p>
      <w:pPr>
        <w:adjustRightInd w:val="0"/>
        <w:snapToGrid w:val="0"/>
        <w:spacing w:line="360" w:lineRule="auto"/>
        <w:ind w:firstLine="420" w:firstLineChars="200"/>
        <w:rPr>
          <w:rFonts w:ascii="宋体" w:hAnsi="宋体"/>
          <w:szCs w:val="21"/>
        </w:rPr>
      </w:pPr>
      <w:r>
        <w:rPr>
          <w:rFonts w:hint="eastAsia" w:ascii="宋体" w:hAnsi="宋体"/>
          <w:szCs w:val="21"/>
        </w:rPr>
        <w:t>产品如需安装验收，自设备正常运转</w:t>
      </w:r>
      <w:r>
        <w:rPr>
          <w:rFonts w:hint="eastAsia" w:ascii="宋体" w:hAnsi="宋体"/>
          <w:szCs w:val="21"/>
          <w:u w:val="single"/>
        </w:rPr>
        <w:t xml:space="preserve"> / </w:t>
      </w:r>
      <w:r>
        <w:rPr>
          <w:rFonts w:hint="eastAsia" w:ascii="宋体" w:hAnsi="宋体"/>
          <w:szCs w:val="21"/>
        </w:rPr>
        <w:t>天后，视为验收合格。</w:t>
      </w:r>
    </w:p>
    <w:p>
      <w:pPr>
        <w:adjustRightInd w:val="0"/>
        <w:snapToGrid w:val="0"/>
        <w:spacing w:line="360" w:lineRule="auto"/>
        <w:ind w:firstLine="420" w:firstLineChars="200"/>
        <w:rPr>
          <w:rFonts w:ascii="宋体" w:hAnsi="宋体"/>
          <w:szCs w:val="21"/>
        </w:rPr>
      </w:pPr>
      <w:r>
        <w:rPr>
          <w:rFonts w:hint="eastAsia" w:ascii="宋体" w:hAnsi="宋体"/>
          <w:szCs w:val="21"/>
        </w:rPr>
        <w:t>（四）特殊产品（指疫苗等生物产品）乙方交货</w:t>
      </w:r>
      <w:r>
        <w:rPr>
          <w:rFonts w:ascii="宋体" w:hAnsi="宋体"/>
          <w:szCs w:val="21"/>
        </w:rPr>
        <w:t>时，</w:t>
      </w:r>
      <w:r>
        <w:rPr>
          <w:rFonts w:hint="eastAsia" w:ascii="宋体" w:hAnsi="宋体"/>
          <w:szCs w:val="21"/>
        </w:rPr>
        <w:t>同时</w:t>
      </w:r>
      <w:r>
        <w:rPr>
          <w:rFonts w:ascii="宋体" w:hAnsi="宋体"/>
          <w:szCs w:val="21"/>
        </w:rPr>
        <w:t>应当提供</w:t>
      </w:r>
      <w:r>
        <w:rPr>
          <w:rFonts w:hint="eastAsia" w:ascii="宋体" w:hAnsi="宋体"/>
          <w:szCs w:val="21"/>
        </w:rPr>
        <w:t>该批产品</w:t>
      </w:r>
      <w:r>
        <w:rPr>
          <w:rFonts w:ascii="宋体" w:hAnsi="宋体"/>
          <w:szCs w:val="21"/>
        </w:rPr>
        <w:t>由药品检验机构依法签发的生物制品每批检验合格或者审核批准证明复印件，并加盖企业印章</w:t>
      </w:r>
      <w:r>
        <w:rPr>
          <w:rFonts w:hint="eastAsia" w:ascii="宋体" w:hAnsi="宋体"/>
          <w:szCs w:val="21"/>
        </w:rPr>
        <w:t>。</w:t>
      </w:r>
      <w:r>
        <w:rPr>
          <w:rFonts w:ascii="宋体" w:hAnsi="宋体"/>
          <w:szCs w:val="21"/>
        </w:rPr>
        <w:t>销售进口</w:t>
      </w:r>
      <w:r>
        <w:rPr>
          <w:rFonts w:hint="eastAsia" w:ascii="宋体" w:hAnsi="宋体"/>
          <w:szCs w:val="21"/>
        </w:rPr>
        <w:t>产品</w:t>
      </w:r>
      <w:r>
        <w:rPr>
          <w:rFonts w:ascii="宋体" w:hAnsi="宋体"/>
          <w:szCs w:val="21"/>
        </w:rPr>
        <w:t>的，还应当提供进口药品通关单复印件，并加盖企业印章。</w:t>
      </w:r>
      <w:r>
        <w:rPr>
          <w:rFonts w:hint="eastAsia" w:ascii="宋体" w:hAnsi="宋体"/>
          <w:szCs w:val="21"/>
        </w:rPr>
        <w:t>甲方在产品质量保证期内有权进行抽检复核，如发现产品质量问题，乙方应按照甲方要求及时予以退换。</w:t>
      </w:r>
    </w:p>
    <w:p>
      <w:pPr>
        <w:adjustRightInd w:val="0"/>
        <w:snapToGrid w:val="0"/>
        <w:spacing w:line="360" w:lineRule="auto"/>
        <w:rPr>
          <w:rFonts w:ascii="宋体" w:hAnsi="宋体"/>
          <w:szCs w:val="21"/>
        </w:rPr>
      </w:pPr>
      <w:r>
        <w:rPr>
          <w:rFonts w:hint="eastAsia" w:ascii="宋体" w:hAnsi="宋体"/>
          <w:szCs w:val="21"/>
        </w:rPr>
        <w:t xml:space="preserve">      （五）质量争议：对产品质量发生争议由</w:t>
      </w:r>
      <w:r>
        <w:rPr>
          <w:rFonts w:hint="eastAsia" w:ascii="宋体" w:hAnsi="宋体"/>
          <w:szCs w:val="21"/>
          <w:u w:val="single"/>
        </w:rPr>
        <w:t xml:space="preserve"> 具有</w:t>
      </w:r>
      <w:r>
        <w:rPr>
          <w:rFonts w:ascii="宋体" w:hAnsi="宋体"/>
          <w:szCs w:val="21"/>
          <w:u w:val="single"/>
        </w:rPr>
        <w:t>检验</w:t>
      </w:r>
      <w:r>
        <w:rPr>
          <w:rFonts w:hint="eastAsia" w:ascii="宋体" w:hAnsi="宋体"/>
          <w:szCs w:val="21"/>
          <w:u w:val="single"/>
        </w:rPr>
        <w:t>资质</w:t>
      </w:r>
      <w:r>
        <w:rPr>
          <w:rFonts w:ascii="宋体" w:hAnsi="宋体"/>
          <w:szCs w:val="21"/>
          <w:u w:val="single"/>
        </w:rPr>
        <w:t>的</w:t>
      </w:r>
      <w:r>
        <w:rPr>
          <w:rFonts w:hint="eastAsia" w:ascii="宋体" w:hAnsi="宋体"/>
          <w:szCs w:val="21"/>
          <w:u w:val="single"/>
        </w:rPr>
        <w:t xml:space="preserve">第三方 </w:t>
      </w:r>
      <w:r>
        <w:rPr>
          <w:rFonts w:hint="eastAsia" w:ascii="宋体" w:hAnsi="宋体"/>
          <w:szCs w:val="21"/>
        </w:rPr>
        <w:t>检验机构进行检验，检验费由</w:t>
      </w:r>
      <w:r>
        <w:rPr>
          <w:rFonts w:hint="eastAsia" w:ascii="宋体" w:hAnsi="宋体"/>
          <w:szCs w:val="21"/>
          <w:u w:val="single"/>
        </w:rPr>
        <w:t>乙方</w:t>
      </w:r>
      <w:r>
        <w:rPr>
          <w:rFonts w:hint="eastAsia" w:ascii="宋体" w:hAnsi="宋体"/>
          <w:szCs w:val="21"/>
        </w:rPr>
        <w:t xml:space="preserve">承担。  </w:t>
      </w:r>
    </w:p>
    <w:p>
      <w:pPr>
        <w:adjustRightInd w:val="0"/>
        <w:snapToGrid w:val="0"/>
        <w:spacing w:line="360" w:lineRule="auto"/>
        <w:ind w:firstLine="630" w:firstLineChars="300"/>
        <w:rPr>
          <w:rFonts w:ascii="宋体" w:hAnsi="宋体"/>
          <w:szCs w:val="21"/>
        </w:rPr>
      </w:pPr>
      <w:r>
        <w:rPr>
          <w:rFonts w:hint="eastAsia" w:ascii="宋体" w:hAnsi="宋体"/>
          <w:szCs w:val="21"/>
        </w:rPr>
        <w:t>（六）  乙方接到甲方对产品质量提出异议的通知后，3天内负责处理并通知甲方处理情况，否则即视为默认甲方提出的异议和处理意见。</w:t>
      </w:r>
    </w:p>
    <w:p>
      <w:pPr>
        <w:adjustRightInd w:val="0"/>
        <w:snapToGrid w:val="0"/>
        <w:spacing w:line="360" w:lineRule="auto"/>
        <w:ind w:firstLine="630" w:firstLineChars="300"/>
        <w:rPr>
          <w:rFonts w:ascii="宋体" w:hAnsi="宋体"/>
          <w:szCs w:val="21"/>
        </w:rPr>
      </w:pPr>
      <w:r>
        <w:rPr>
          <w:rFonts w:hint="eastAsia" w:ascii="宋体" w:hAnsi="宋体"/>
          <w:szCs w:val="21"/>
        </w:rPr>
        <w:t xml:space="preserve">（七）甲方因使用、保管、保养不善等造成产品质量下降的，不得提出异议。 </w:t>
      </w:r>
    </w:p>
    <w:p>
      <w:pPr>
        <w:adjustRightInd w:val="0"/>
        <w:snapToGrid w:val="0"/>
        <w:spacing w:line="360" w:lineRule="auto"/>
        <w:ind w:firstLine="630" w:firstLineChars="300"/>
        <w:rPr>
          <w:rFonts w:ascii="宋体" w:hAnsi="宋体"/>
          <w:szCs w:val="21"/>
        </w:rPr>
      </w:pPr>
      <w:r>
        <w:rPr>
          <w:rFonts w:hint="eastAsia" w:ascii="宋体" w:hAnsi="宋体" w:cs="Arial"/>
          <w:szCs w:val="21"/>
        </w:rPr>
        <w:t>（八）货物符合合同约定的技术规范要求和验收标准的，甲方签署验收合格证明</w:t>
      </w:r>
      <w:r>
        <w:rPr>
          <w:rFonts w:hint="eastAsia" w:ascii="宋体" w:hAnsi="宋体"/>
          <w:szCs w:val="21"/>
        </w:rPr>
        <w:t xml:space="preserve"> 。                    </w:t>
      </w:r>
    </w:p>
    <w:p>
      <w:pPr>
        <w:adjustRightInd w:val="0"/>
        <w:snapToGrid w:val="0"/>
        <w:spacing w:line="360" w:lineRule="auto"/>
        <w:ind w:firstLine="420" w:firstLineChars="200"/>
        <w:outlineLvl w:val="1"/>
        <w:rPr>
          <w:rFonts w:ascii="宋体" w:hAnsi="宋体" w:cs="宋体"/>
          <w:kern w:val="0"/>
          <w:szCs w:val="21"/>
        </w:rPr>
      </w:pPr>
      <w:r>
        <w:rPr>
          <w:rFonts w:hint="eastAsia" w:ascii="宋体" w:hAnsi="宋体" w:cs="宋体"/>
          <w:kern w:val="0"/>
          <w:szCs w:val="21"/>
        </w:rPr>
        <w:t>六、款项支付</w:t>
      </w:r>
    </w:p>
    <w:p>
      <w:pPr>
        <w:adjustRightInd w:val="0"/>
        <w:snapToGrid w:val="0"/>
        <w:spacing w:line="360" w:lineRule="auto"/>
        <w:ind w:firstLine="315" w:firstLineChars="150"/>
        <w:outlineLvl w:val="2"/>
        <w:rPr>
          <w:rFonts w:ascii="宋体" w:hAnsi="宋体"/>
          <w:szCs w:val="21"/>
        </w:rPr>
      </w:pPr>
      <w:r>
        <w:rPr>
          <w:rFonts w:hint="eastAsia" w:ascii="宋体" w:hAnsi="宋体"/>
          <w:szCs w:val="21"/>
        </w:rPr>
        <w:t>（一）履约保证金</w:t>
      </w:r>
    </w:p>
    <w:p>
      <w:pPr>
        <w:adjustRightInd w:val="0"/>
        <w:snapToGrid w:val="0"/>
        <w:spacing w:line="360" w:lineRule="auto"/>
        <w:ind w:firstLine="315" w:firstLineChars="150"/>
        <w:rPr>
          <w:rFonts w:ascii="宋体" w:hAnsi="宋体"/>
          <w:szCs w:val="21"/>
        </w:rPr>
      </w:pPr>
      <w:r>
        <w:rPr>
          <w:rFonts w:hint="eastAsia" w:ascii="宋体" w:hAnsi="宋体"/>
          <w:szCs w:val="21"/>
        </w:rPr>
        <w:t xml:space="preserve">   为保证乙方能够按合同履约，乙方应交付1</w:t>
      </w:r>
      <w:r>
        <w:rPr>
          <w:rFonts w:ascii="宋体" w:hAnsi="宋体"/>
          <w:szCs w:val="21"/>
        </w:rPr>
        <w:t>0%</w:t>
      </w:r>
      <w:r>
        <w:rPr>
          <w:rFonts w:hint="eastAsia" w:ascii="宋体" w:hAnsi="宋体"/>
          <w:szCs w:val="21"/>
        </w:rPr>
        <w:t>履约保证金</w:t>
      </w:r>
      <w:r>
        <w:rPr>
          <w:rFonts w:hint="eastAsia" w:ascii="宋体" w:hAnsi="宋体"/>
          <w:szCs w:val="21"/>
          <w:u w:val="single"/>
        </w:rPr>
        <w:t xml:space="preserve">    元。</w:t>
      </w:r>
      <w:r>
        <w:rPr>
          <w:rFonts w:hint="eastAsia" w:ascii="宋体" w:hAnsi="宋体"/>
          <w:szCs w:val="21"/>
        </w:rPr>
        <w:t>如物资为设备类，则该履约金自动转为质保金，保证金在质保</w:t>
      </w:r>
      <w:r>
        <w:rPr>
          <w:rFonts w:ascii="宋体" w:hAnsi="宋体"/>
          <w:szCs w:val="21"/>
        </w:rPr>
        <w:t>期开始计算时，</w:t>
      </w:r>
      <w:r>
        <w:rPr>
          <w:rFonts w:hint="eastAsia" w:ascii="宋体" w:hAnsi="宋体"/>
          <w:szCs w:val="21"/>
        </w:rPr>
        <w:t>转为</w:t>
      </w:r>
      <w:r>
        <w:rPr>
          <w:rFonts w:ascii="宋体" w:hAnsi="宋体"/>
          <w:szCs w:val="21"/>
        </w:rPr>
        <w:t>质保金，待质保期届满（无违约责任）</w:t>
      </w:r>
      <w:r>
        <w:rPr>
          <w:rFonts w:hint="eastAsia" w:ascii="宋体" w:hAnsi="宋体"/>
          <w:szCs w:val="21"/>
        </w:rPr>
        <w:t>后返还（无息）。如乙方有违约行为，甲方可用该保证金冲抵甲方的损失及乙方的违约金。</w:t>
      </w:r>
    </w:p>
    <w:p>
      <w:pPr>
        <w:adjustRightInd w:val="0"/>
        <w:snapToGrid w:val="0"/>
        <w:spacing w:line="360" w:lineRule="auto"/>
        <w:ind w:firstLine="315" w:firstLineChars="150"/>
        <w:outlineLvl w:val="2"/>
        <w:rPr>
          <w:rFonts w:ascii="宋体" w:hAnsi="宋体"/>
          <w:szCs w:val="21"/>
        </w:rPr>
      </w:pPr>
      <w:r>
        <w:rPr>
          <w:rFonts w:hint="eastAsia" w:ascii="宋体" w:hAnsi="宋体"/>
          <w:szCs w:val="21"/>
        </w:rPr>
        <w:t>（二）货款支付：</w:t>
      </w:r>
    </w:p>
    <w:p>
      <w:pPr>
        <w:adjustRightInd w:val="0"/>
        <w:snapToGrid w:val="0"/>
        <w:spacing w:line="360" w:lineRule="auto"/>
        <w:ind w:firstLine="315" w:firstLineChars="150"/>
        <w:rPr>
          <w:rFonts w:ascii="宋体" w:hAnsi="宋体"/>
          <w:szCs w:val="21"/>
          <w:u w:val="single"/>
        </w:rPr>
      </w:pPr>
      <w:r>
        <w:rPr>
          <w:rFonts w:hint="eastAsia" w:ascii="宋体" w:hAnsi="宋体"/>
          <w:szCs w:val="21"/>
        </w:rPr>
        <w:t>合同总价包含到达交货地点的运杂费、技术服务（相关技术指导）、运输费、保险费、培训、税费及其他各项费用(本合同按</w:t>
      </w:r>
      <w:r>
        <w:rPr>
          <w:rFonts w:hint="eastAsia" w:ascii="宋体" w:hAnsi="宋体"/>
          <w:szCs w:val="21"/>
          <w:u w:val="single"/>
        </w:rPr>
        <w:t xml:space="preserve">          执行)。</w:t>
      </w:r>
    </w:p>
    <w:p>
      <w:pPr>
        <w:numPr>
          <w:ilvl w:val="0"/>
          <w:numId w:val="5"/>
        </w:numPr>
        <w:adjustRightInd w:val="0"/>
        <w:snapToGrid w:val="0"/>
        <w:spacing w:line="360" w:lineRule="auto"/>
        <w:ind w:firstLine="315" w:firstLineChars="150"/>
        <w:rPr>
          <w:rFonts w:ascii="宋体" w:hAnsi="宋体"/>
          <w:szCs w:val="21"/>
        </w:rPr>
      </w:pPr>
      <w:r>
        <w:rPr>
          <w:rFonts w:hint="eastAsia" w:ascii="宋体" w:hAnsi="宋体"/>
          <w:szCs w:val="21"/>
        </w:rPr>
        <w:t>双方约定，合同签订后，乙方向甲方交纳10%履约金</w:t>
      </w:r>
      <w:r>
        <w:rPr>
          <w:rFonts w:hint="eastAsia" w:ascii="宋体" w:hAnsi="宋体"/>
          <w:szCs w:val="21"/>
          <w:u w:val="single"/>
        </w:rPr>
        <w:t xml:space="preserve">   / 元</w:t>
      </w:r>
      <w:r>
        <w:rPr>
          <w:rFonts w:hint="eastAsia" w:ascii="宋体" w:hAnsi="宋体"/>
          <w:szCs w:val="21"/>
        </w:rPr>
        <w:t>，并向甲方开具合同全额发票，甲方收到履约金和全额发票后向乙方支付全额货款。</w:t>
      </w:r>
    </w:p>
    <w:p>
      <w:pPr>
        <w:numPr>
          <w:ilvl w:val="0"/>
          <w:numId w:val="5"/>
        </w:numPr>
        <w:adjustRightInd w:val="0"/>
        <w:snapToGrid w:val="0"/>
        <w:spacing w:line="360" w:lineRule="auto"/>
        <w:ind w:firstLine="315" w:firstLineChars="150"/>
        <w:rPr>
          <w:rFonts w:ascii="宋体" w:hAnsi="宋体"/>
          <w:szCs w:val="21"/>
        </w:rPr>
      </w:pPr>
      <w:r>
        <w:rPr>
          <w:rFonts w:hint="eastAsia" w:ascii="宋体" w:hAnsi="宋体"/>
          <w:szCs w:val="21"/>
        </w:rPr>
        <w:t>乙方按</w:t>
      </w:r>
      <w:r>
        <w:rPr>
          <w:rFonts w:ascii="宋体" w:hAnsi="宋体"/>
          <w:szCs w:val="21"/>
        </w:rPr>
        <w:t>照甲方需求分批次供货，</w:t>
      </w:r>
      <w:r>
        <w:rPr>
          <w:rFonts w:hint="eastAsia" w:ascii="宋体" w:hAnsi="宋体"/>
          <w:szCs w:val="21"/>
        </w:rPr>
        <w:t>待</w:t>
      </w:r>
      <w:r>
        <w:rPr>
          <w:rFonts w:ascii="宋体" w:hAnsi="宋体"/>
          <w:szCs w:val="21"/>
        </w:rPr>
        <w:t>所有货物验收合格后，</w:t>
      </w:r>
      <w:r>
        <w:rPr>
          <w:rFonts w:hint="eastAsia" w:ascii="宋体" w:hAnsi="宋体"/>
          <w:szCs w:val="21"/>
        </w:rPr>
        <w:t>甲方向乙方无息退款10%履约保证金</w:t>
      </w:r>
      <w:r>
        <w:rPr>
          <w:rFonts w:hint="eastAsia" w:ascii="宋体" w:hAnsi="宋体"/>
          <w:szCs w:val="21"/>
          <w:u w:val="single"/>
        </w:rPr>
        <w:t xml:space="preserve">       /元    </w:t>
      </w:r>
    </w:p>
    <w:p>
      <w:pPr>
        <w:adjustRightInd w:val="0"/>
        <w:snapToGrid w:val="0"/>
        <w:spacing w:line="360" w:lineRule="auto"/>
        <w:ind w:firstLine="315" w:firstLineChars="1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）双方约定，合同签订后，乙方按照甲方需求一次性供货，所有货物验收合格后，乙方向甲方开具合同全额发票，甲方收到发票后向乙方支付货款</w:t>
      </w:r>
      <w:r>
        <w:rPr>
          <w:rFonts w:hint="eastAsia" w:ascii="宋体" w:hAnsi="宋体"/>
          <w:szCs w:val="21"/>
          <w:u w:val="single"/>
        </w:rPr>
        <w:t xml:space="preserve">    元  </w:t>
      </w:r>
      <w:r>
        <w:rPr>
          <w:rFonts w:hint="eastAsia" w:ascii="宋体" w:hAnsi="宋体"/>
          <w:szCs w:val="21"/>
        </w:rPr>
        <w:t>。</w:t>
      </w:r>
    </w:p>
    <w:p>
      <w:pPr>
        <w:adjustRightInd w:val="0"/>
        <w:snapToGrid w:val="0"/>
        <w:spacing w:line="360" w:lineRule="auto"/>
        <w:ind w:left="210" w:leftChars="100" w:firstLine="105" w:firstLineChars="50"/>
        <w:rPr>
          <w:rFonts w:ascii="宋体" w:hAnsi="宋体"/>
          <w:color w:val="FF0000"/>
          <w:szCs w:val="21"/>
        </w:rPr>
      </w:pPr>
      <w:r>
        <w:rPr>
          <w:rFonts w:hint="eastAsia" w:ascii="宋体" w:hAnsi="宋体"/>
          <w:szCs w:val="21"/>
        </w:rPr>
        <w:t>（</w:t>
      </w:r>
      <w:r>
        <w:rPr>
          <w:rFonts w:ascii="宋体" w:hAnsi="宋体"/>
          <w:szCs w:val="21"/>
        </w:rPr>
        <w:t>4）</w:t>
      </w:r>
      <w:r>
        <w:rPr>
          <w:rFonts w:hint="eastAsia" w:ascii="宋体" w:hAnsi="宋体"/>
          <w:szCs w:val="21"/>
        </w:rPr>
        <w:t>乙方按</w:t>
      </w:r>
      <w:r>
        <w:rPr>
          <w:rFonts w:ascii="宋体" w:hAnsi="宋体"/>
          <w:szCs w:val="21"/>
        </w:rPr>
        <w:t>照甲方需求</w:t>
      </w:r>
      <w:r>
        <w:rPr>
          <w:rFonts w:hint="eastAsia" w:ascii="宋体" w:hAnsi="宋体"/>
          <w:szCs w:val="21"/>
        </w:rPr>
        <w:t>完成</w:t>
      </w:r>
      <w:r>
        <w:rPr>
          <w:rFonts w:ascii="宋体" w:hAnsi="宋体"/>
          <w:szCs w:val="21"/>
        </w:rPr>
        <w:t>设备</w:t>
      </w:r>
      <w:r>
        <w:rPr>
          <w:rFonts w:hint="eastAsia" w:ascii="宋体" w:hAnsi="宋体"/>
          <w:szCs w:val="21"/>
        </w:rPr>
        <w:t>类供货，所有设备经甲方</w:t>
      </w:r>
      <w:r>
        <w:rPr>
          <w:rFonts w:ascii="宋体" w:hAnsi="宋体"/>
          <w:szCs w:val="21"/>
        </w:rPr>
        <w:t>验收合格后，</w:t>
      </w:r>
      <w:r>
        <w:rPr>
          <w:rFonts w:hint="eastAsia" w:ascii="宋体" w:hAnsi="宋体"/>
          <w:szCs w:val="21"/>
        </w:rPr>
        <w:t>退还</w:t>
      </w:r>
      <w:r>
        <w:rPr>
          <w:rFonts w:ascii="宋体" w:hAnsi="宋体"/>
          <w:szCs w:val="21"/>
        </w:rPr>
        <w:t>5%履约保证</w:t>
      </w:r>
      <w:r>
        <w:rPr>
          <w:rFonts w:hint="eastAsia" w:ascii="宋体" w:hAnsi="宋体"/>
          <w:szCs w:val="21"/>
        </w:rPr>
        <w:t>金</w:t>
      </w:r>
      <w:r>
        <w:rPr>
          <w:rFonts w:hint="eastAsia" w:ascii="宋体" w:hAnsi="宋体"/>
          <w:szCs w:val="21"/>
          <w:u w:val="single"/>
        </w:rPr>
        <w:t xml:space="preserve">              元   ，</w:t>
      </w:r>
      <w:r>
        <w:rPr>
          <w:rFonts w:hint="eastAsia" w:ascii="宋体" w:hAnsi="宋体"/>
          <w:szCs w:val="21"/>
        </w:rPr>
        <w:t>剩余</w:t>
      </w:r>
      <w:r>
        <w:rPr>
          <w:rFonts w:ascii="宋体" w:hAnsi="宋体"/>
          <w:szCs w:val="21"/>
        </w:rPr>
        <w:t>5%</w:t>
      </w:r>
      <w:r>
        <w:rPr>
          <w:rFonts w:hint="eastAsia" w:ascii="宋体" w:hAnsi="宋体"/>
          <w:szCs w:val="21"/>
        </w:rPr>
        <w:t xml:space="preserve">履约保证金 </w:t>
      </w:r>
      <w:r>
        <w:rPr>
          <w:rFonts w:hint="eastAsia" w:ascii="宋体" w:hAnsi="宋体"/>
          <w:szCs w:val="21"/>
          <w:u w:val="single"/>
        </w:rPr>
        <w:t xml:space="preserve">  /</w:t>
      </w:r>
      <w:r>
        <w:rPr>
          <w:rFonts w:hint="eastAsia" w:ascii="宋体" w:hAnsi="宋体"/>
          <w:szCs w:val="21"/>
        </w:rPr>
        <w:t xml:space="preserve"> 元</w:t>
      </w:r>
      <w:r>
        <w:rPr>
          <w:rFonts w:ascii="宋体" w:hAnsi="宋体"/>
          <w:szCs w:val="21"/>
        </w:rPr>
        <w:t>，到质保期</w:t>
      </w:r>
      <w:r>
        <w:rPr>
          <w:rFonts w:hint="eastAsia" w:ascii="宋体" w:hAnsi="宋体"/>
          <w:szCs w:val="21"/>
        </w:rPr>
        <w:t>届</w:t>
      </w:r>
      <w:r>
        <w:rPr>
          <w:rFonts w:ascii="宋体" w:hAnsi="宋体"/>
          <w:szCs w:val="21"/>
        </w:rPr>
        <w:t>满</w:t>
      </w:r>
      <w:r>
        <w:rPr>
          <w:rFonts w:hint="eastAsia" w:ascii="宋体" w:hAnsi="宋体"/>
          <w:szCs w:val="21"/>
        </w:rPr>
        <w:t>甲方</w:t>
      </w:r>
      <w:r>
        <w:rPr>
          <w:rFonts w:ascii="宋体" w:hAnsi="宋体"/>
          <w:szCs w:val="21"/>
        </w:rPr>
        <w:t>无异议于</w:t>
      </w:r>
      <w:r>
        <w:rPr>
          <w:rFonts w:hint="eastAsia" w:ascii="宋体" w:hAnsi="宋体"/>
          <w:szCs w:val="21"/>
          <w:u w:val="single"/>
        </w:rPr>
        <w:t xml:space="preserve">  / </w:t>
      </w:r>
      <w:r>
        <w:rPr>
          <w:rFonts w:hint="eastAsia" w:ascii="宋体" w:hAnsi="宋体"/>
          <w:szCs w:val="21"/>
        </w:rPr>
        <w:t>工作日</w:t>
      </w:r>
      <w:r>
        <w:rPr>
          <w:rFonts w:ascii="宋体" w:hAnsi="宋体"/>
          <w:szCs w:val="21"/>
        </w:rPr>
        <w:t>返回。</w:t>
      </w:r>
    </w:p>
    <w:p>
      <w:pPr>
        <w:adjustRightInd w:val="0"/>
        <w:snapToGrid w:val="0"/>
        <w:spacing w:line="360" w:lineRule="auto"/>
        <w:ind w:firstLine="315" w:firstLineChars="150"/>
        <w:rPr>
          <w:rFonts w:ascii="宋体" w:hAnsi="宋体" w:cs="宋体"/>
          <w:kern w:val="0"/>
          <w:szCs w:val="21"/>
        </w:rPr>
      </w:pPr>
      <w:r>
        <w:rPr>
          <w:rFonts w:hint="eastAsia" w:ascii="宋体" w:hAnsi="宋体"/>
          <w:szCs w:val="21"/>
        </w:rPr>
        <w:t>（</w:t>
      </w:r>
      <w:r>
        <w:rPr>
          <w:rFonts w:ascii="宋体" w:hAnsi="宋体"/>
          <w:szCs w:val="21"/>
        </w:rPr>
        <w:t>5</w:t>
      </w:r>
      <w:r>
        <w:rPr>
          <w:rFonts w:hint="eastAsia" w:ascii="宋体" w:hAnsi="宋体"/>
          <w:szCs w:val="21"/>
        </w:rPr>
        <w:t>）</w:t>
      </w:r>
      <w:r>
        <w:rPr>
          <w:rFonts w:hint="eastAsia" w:ascii="宋体" w:hAnsi="宋体" w:cs="宋体"/>
          <w:kern w:val="0"/>
          <w:szCs w:val="21"/>
        </w:rPr>
        <w:t>付款要求：甲方财务凭下列单据支付货款（按甲乙各方的义务提交）：</w:t>
      </w:r>
    </w:p>
    <w:p>
      <w:pPr>
        <w:widowControl/>
        <w:shd w:val="clear" w:color="auto" w:fill="FFFFFF"/>
        <w:adjustRightInd w:val="0"/>
        <w:snapToGrid w:val="0"/>
        <w:spacing w:line="360" w:lineRule="auto"/>
        <w:jc w:val="left"/>
        <w:rPr>
          <w:rFonts w:ascii="宋体" w:hAnsi="宋体" w:cs="宋体"/>
          <w:kern w:val="0"/>
          <w:szCs w:val="21"/>
        </w:rPr>
      </w:pPr>
      <w:r>
        <w:rPr>
          <w:rFonts w:hint="eastAsia" w:ascii="宋体" w:hAnsi="宋体" w:cs="宋体"/>
          <w:kern w:val="0"/>
          <w:szCs w:val="21"/>
        </w:rPr>
        <w:t>（a）全额发票（原件及复印件各1份）；（b）中标通知书复印件（1份）（</w:t>
      </w:r>
      <w:r>
        <w:rPr>
          <w:rFonts w:ascii="宋体" w:hAnsi="宋体" w:cs="宋体"/>
          <w:kern w:val="0"/>
          <w:szCs w:val="21"/>
        </w:rPr>
        <w:t>c</w:t>
      </w:r>
      <w:r>
        <w:rPr>
          <w:rFonts w:hint="eastAsia" w:ascii="宋体" w:hAnsi="宋体" w:cs="宋体"/>
          <w:kern w:val="0"/>
          <w:szCs w:val="21"/>
        </w:rPr>
        <w:t>）自治区疾控中心采购验收单；（d）乙方供货清单（盖章） ； （e）自治区疾控中心物资采购廉洁合同（见附件1）；（f）自治区疾控中心使用科室付款说明  ；（g）供应商评价表（见附件2需由使用科室签字确认）；因乙方提交单据不全导致甲方财务未能付款的，甲方不承担逾期付款责任。</w:t>
      </w:r>
    </w:p>
    <w:p>
      <w:pPr>
        <w:widowControl/>
        <w:shd w:val="clear" w:color="auto" w:fill="FFFFFF"/>
        <w:adjustRightInd w:val="0"/>
        <w:snapToGrid w:val="0"/>
        <w:spacing w:line="360" w:lineRule="auto"/>
        <w:jc w:val="left"/>
        <w:outlineLvl w:val="2"/>
        <w:rPr>
          <w:rFonts w:ascii="宋体" w:hAnsi="宋体" w:cs="宋体"/>
          <w:kern w:val="0"/>
          <w:szCs w:val="21"/>
        </w:rPr>
      </w:pPr>
      <w:r>
        <w:rPr>
          <w:rFonts w:hint="eastAsia" w:ascii="宋体" w:hAnsi="宋体" w:cs="宋体"/>
          <w:kern w:val="0"/>
          <w:szCs w:val="21"/>
        </w:rPr>
        <w:t xml:space="preserve">   （三）付款信息:</w:t>
      </w:r>
    </w:p>
    <w:p>
      <w:r>
        <w:rPr>
          <w:rFonts w:hint="eastAsia"/>
        </w:rPr>
        <w:t xml:space="preserve">甲方：税号：1265000074224934XX           乙方：税号：     </w:t>
      </w:r>
    </w:p>
    <w:p>
      <w:r>
        <w:rPr>
          <w:rFonts w:hint="eastAsia"/>
        </w:rPr>
        <w:t>开户行：招商银行乌鲁木齐新华北路支行    开户行：</w:t>
      </w:r>
    </w:p>
    <w:p>
      <w:r>
        <w:rPr>
          <w:rFonts w:hint="eastAsia"/>
        </w:rPr>
        <w:t>开户行号：308881029026                    开户行号：</w:t>
      </w:r>
    </w:p>
    <w:p>
      <w:r>
        <w:rPr>
          <w:rFonts w:hint="eastAsia"/>
        </w:rPr>
        <w:t>帐号: 991902334910906                   帐号：</w:t>
      </w:r>
    </w:p>
    <w:p>
      <w:pPr>
        <w:adjustRightInd w:val="0"/>
        <w:snapToGrid w:val="0"/>
        <w:spacing w:line="360" w:lineRule="auto"/>
        <w:rPr>
          <w:rFonts w:ascii="宋体" w:hAnsi="宋体"/>
          <w:szCs w:val="21"/>
        </w:rPr>
      </w:pPr>
    </w:p>
    <w:p>
      <w:pPr>
        <w:adjustRightInd w:val="0"/>
        <w:snapToGrid w:val="0"/>
        <w:spacing w:line="360" w:lineRule="auto"/>
        <w:outlineLvl w:val="1"/>
        <w:rPr>
          <w:rFonts w:ascii="宋体" w:hAnsi="宋体"/>
          <w:szCs w:val="21"/>
        </w:rPr>
      </w:pPr>
      <w:r>
        <w:rPr>
          <w:rFonts w:hint="eastAsia" w:ascii="宋体" w:hAnsi="宋体"/>
          <w:szCs w:val="21"/>
        </w:rPr>
        <w:t>七、延期交货与核定损失额</w:t>
      </w:r>
    </w:p>
    <w:p>
      <w:pPr>
        <w:adjustRightInd w:val="0"/>
        <w:snapToGrid w:val="0"/>
        <w:spacing w:line="360" w:lineRule="auto"/>
        <w:ind w:firstLine="420" w:firstLineChars="200"/>
        <w:rPr>
          <w:rFonts w:ascii="宋体" w:hAnsi="宋体"/>
          <w:szCs w:val="21"/>
        </w:rPr>
      </w:pPr>
      <w:r>
        <w:rPr>
          <w:rFonts w:hint="eastAsia" w:ascii="宋体" w:hAnsi="宋体"/>
          <w:szCs w:val="21"/>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szCs w:val="21"/>
          <w:u w:val="single"/>
        </w:rPr>
        <w:t xml:space="preserve"> /   %</w:t>
      </w:r>
      <w:r>
        <w:rPr>
          <w:rFonts w:hint="eastAsia" w:ascii="宋体" w:hAnsi="宋体"/>
          <w:szCs w:val="21"/>
        </w:rPr>
        <w:t xml:space="preserve">。如果乙方 </w:t>
      </w:r>
      <w:r>
        <w:rPr>
          <w:rFonts w:hint="eastAsia" w:ascii="宋体" w:hAnsi="宋体"/>
          <w:szCs w:val="21"/>
          <w:u w:val="single"/>
        </w:rPr>
        <w:t>7</w:t>
      </w:r>
      <w:r>
        <w:rPr>
          <w:rFonts w:hint="eastAsia" w:ascii="宋体" w:hAnsi="宋体"/>
          <w:szCs w:val="21"/>
        </w:rPr>
        <w:t>天后仍不能交货，甲方有权因乙方违约终止合同，而乙方仍有义务支付上述迟交核定损失金额。</w:t>
      </w:r>
    </w:p>
    <w:p>
      <w:pPr>
        <w:adjustRightInd w:val="0"/>
        <w:snapToGrid w:val="0"/>
        <w:spacing w:line="360" w:lineRule="auto"/>
        <w:ind w:firstLine="420" w:firstLineChars="200"/>
        <w:outlineLvl w:val="1"/>
        <w:rPr>
          <w:rFonts w:ascii="宋体" w:hAnsi="宋体"/>
          <w:szCs w:val="21"/>
        </w:rPr>
      </w:pPr>
      <w:r>
        <w:rPr>
          <w:rFonts w:hint="eastAsia" w:ascii="宋体" w:hAnsi="宋体"/>
          <w:szCs w:val="21"/>
        </w:rPr>
        <w:t>八、保密</w:t>
      </w:r>
    </w:p>
    <w:p>
      <w:pPr>
        <w:adjustRightInd w:val="0"/>
        <w:snapToGrid w:val="0"/>
        <w:spacing w:line="360" w:lineRule="auto"/>
        <w:ind w:firstLine="420" w:firstLineChars="200"/>
        <w:rPr>
          <w:rFonts w:ascii="宋体" w:hAnsi="宋体"/>
          <w:szCs w:val="21"/>
        </w:rPr>
      </w:pPr>
      <w:r>
        <w:rPr>
          <w:rFonts w:hint="eastAsia" w:ascii="宋体" w:hAnsi="宋体"/>
          <w:szCs w:val="21"/>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20" w:firstLineChars="200"/>
        <w:outlineLvl w:val="1"/>
        <w:rPr>
          <w:rFonts w:ascii="宋体" w:hAnsi="宋体"/>
          <w:szCs w:val="21"/>
        </w:rPr>
      </w:pPr>
      <w:r>
        <w:rPr>
          <w:rFonts w:hint="eastAsia" w:ascii="宋体" w:hAnsi="宋体"/>
          <w:szCs w:val="21"/>
        </w:rPr>
        <w:t>九、保修与售后服务</w:t>
      </w:r>
    </w:p>
    <w:p>
      <w:pPr>
        <w:adjustRightInd w:val="0"/>
        <w:snapToGrid w:val="0"/>
        <w:spacing w:line="360" w:lineRule="auto"/>
        <w:ind w:firstLine="420" w:firstLineChars="200"/>
        <w:rPr>
          <w:rFonts w:ascii="宋体" w:hAnsi="宋体"/>
          <w:szCs w:val="21"/>
        </w:rPr>
      </w:pPr>
      <w:r>
        <w:rPr>
          <w:rFonts w:hint="eastAsia" w:ascii="宋体" w:hAnsi="宋体"/>
          <w:szCs w:val="21"/>
        </w:rPr>
        <w:t>（一）、质保期为</w:t>
      </w:r>
      <w:r>
        <w:rPr>
          <w:rFonts w:hint="eastAsia" w:ascii="宋体" w:hAnsi="宋体"/>
          <w:szCs w:val="21"/>
          <w:u w:val="single"/>
        </w:rPr>
        <w:t xml:space="preserve"> / </w:t>
      </w:r>
      <w:r>
        <w:rPr>
          <w:rFonts w:hint="eastAsia" w:ascii="宋体" w:hAnsi="宋体"/>
          <w:szCs w:val="21"/>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20" w:firstLineChars="200"/>
        <w:rPr>
          <w:rFonts w:ascii="宋体" w:hAnsi="宋体"/>
          <w:szCs w:val="21"/>
        </w:rPr>
      </w:pPr>
      <w:r>
        <w:rPr>
          <w:rFonts w:hint="eastAsia" w:ascii="宋体" w:hAnsi="宋体"/>
          <w:szCs w:val="21"/>
        </w:rPr>
        <w:t>（二）、接到甲方通知，乙方应在</w:t>
      </w:r>
      <w:r>
        <w:rPr>
          <w:rFonts w:hint="eastAsia" w:ascii="宋体" w:hAnsi="宋体"/>
          <w:szCs w:val="21"/>
          <w:u w:val="single"/>
        </w:rPr>
        <w:t xml:space="preserve"> 24</w:t>
      </w:r>
      <w:r>
        <w:rPr>
          <w:rFonts w:hint="eastAsia" w:ascii="宋体" w:hAnsi="宋体"/>
          <w:szCs w:val="21"/>
        </w:rPr>
        <w:t>小时内派遣相关人员到达现场</w:t>
      </w:r>
      <w:r>
        <w:rPr>
          <w:rFonts w:hint="eastAsia" w:ascii="宋体" w:hAnsi="宋体"/>
          <w:szCs w:val="21"/>
          <w:u w:val="single"/>
        </w:rPr>
        <w:t xml:space="preserve">，12 </w:t>
      </w:r>
      <w:r>
        <w:rPr>
          <w:rFonts w:hint="eastAsia" w:ascii="宋体" w:hAnsi="宋体"/>
          <w:szCs w:val="21"/>
        </w:rPr>
        <w:t>小时内维修完毕；发生紧急抢修事故的，乙方应在接到甲方通知后立即赶往现场排除故障。乙方</w:t>
      </w:r>
      <w:r>
        <w:rPr>
          <w:rFonts w:ascii="宋体" w:hAnsi="宋体"/>
          <w:szCs w:val="21"/>
        </w:rPr>
        <w:t>未在约定时间到达现场，</w:t>
      </w:r>
      <w:r>
        <w:rPr>
          <w:rFonts w:hint="eastAsia" w:ascii="宋体" w:hAnsi="宋体"/>
          <w:szCs w:val="21"/>
        </w:rPr>
        <w:t>甲方可另选</w:t>
      </w:r>
      <w:r>
        <w:rPr>
          <w:rFonts w:ascii="宋体" w:hAnsi="宋体"/>
          <w:szCs w:val="21"/>
        </w:rPr>
        <w:t>第三方修复，相关费用由乙方承担。</w:t>
      </w:r>
      <w:r>
        <w:rPr>
          <w:rFonts w:hint="eastAsia" w:ascii="宋体" w:hAnsi="宋体"/>
          <w:szCs w:val="21"/>
        </w:rPr>
        <w:t>乙方未在约定时间内修复的或同一产品经</w:t>
      </w:r>
      <w:r>
        <w:rPr>
          <w:rFonts w:hint="eastAsia" w:ascii="宋体" w:hAnsi="宋体"/>
          <w:szCs w:val="21"/>
          <w:u w:val="single"/>
        </w:rPr>
        <w:t xml:space="preserve"> 3</w:t>
      </w:r>
      <w:r>
        <w:rPr>
          <w:rFonts w:hint="eastAsia" w:ascii="宋体" w:hAnsi="宋体"/>
          <w:szCs w:val="21"/>
        </w:rPr>
        <w:t xml:space="preserve"> 次维修后仍不能稳定、可靠运行的，甲方有权要求乙方免费更换。</w:t>
      </w:r>
      <w:r>
        <w:rPr>
          <w:rStyle w:val="169"/>
          <w:rFonts w:hint="eastAsia" w:ascii="宋体" w:hAnsi="宋体" w:cs="宋体"/>
          <w:szCs w:val="21"/>
        </w:rPr>
        <w:t>返修或更换部件后的产品保修期应重新计算。</w:t>
      </w:r>
    </w:p>
    <w:p>
      <w:pPr>
        <w:adjustRightInd w:val="0"/>
        <w:snapToGrid w:val="0"/>
        <w:spacing w:line="360" w:lineRule="auto"/>
        <w:ind w:firstLine="420" w:firstLineChars="200"/>
        <w:rPr>
          <w:rFonts w:ascii="宋体" w:hAnsi="宋体"/>
          <w:szCs w:val="21"/>
        </w:rPr>
      </w:pPr>
      <w:r>
        <w:rPr>
          <w:rFonts w:hint="eastAsia" w:ascii="宋体" w:hAnsi="宋体"/>
          <w:szCs w:val="21"/>
        </w:rPr>
        <w:t>（三）、在质保期内，乙方应对产品出现的质量及安全问题负责处理解决并承担一切费用。</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（四）、质保期届满后，乙方对本合同项下产品提供终身维修服务，且维修时只收取所需维修部件的成本费              </w:t>
      </w:r>
    </w:p>
    <w:p>
      <w:pPr>
        <w:adjustRightInd w:val="0"/>
        <w:snapToGrid w:val="0"/>
        <w:spacing w:line="360" w:lineRule="auto"/>
        <w:ind w:firstLine="308" w:firstLineChars="147"/>
        <w:outlineLvl w:val="1"/>
        <w:rPr>
          <w:rFonts w:ascii="宋体" w:hAnsi="宋体"/>
          <w:szCs w:val="21"/>
        </w:rPr>
      </w:pPr>
      <w:r>
        <w:rPr>
          <w:rFonts w:hint="eastAsia" w:ascii="宋体" w:hAnsi="宋体"/>
          <w:szCs w:val="21"/>
        </w:rPr>
        <w:t>十、不可抗力</w:t>
      </w:r>
    </w:p>
    <w:p>
      <w:pPr>
        <w:adjustRightInd w:val="0"/>
        <w:snapToGrid w:val="0"/>
        <w:spacing w:line="360" w:lineRule="auto"/>
        <w:ind w:firstLine="308" w:firstLineChars="147"/>
        <w:rPr>
          <w:rFonts w:ascii="宋体" w:hAnsi="宋体"/>
          <w:szCs w:val="21"/>
        </w:rPr>
      </w:pPr>
      <w:r>
        <w:rPr>
          <w:rFonts w:hint="eastAsia" w:ascii="宋体" w:hAnsi="宋体"/>
          <w:szCs w:val="21"/>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08" w:firstLineChars="147"/>
        <w:rPr>
          <w:rFonts w:ascii="宋体" w:hAnsi="宋体"/>
          <w:szCs w:val="21"/>
        </w:rPr>
      </w:pPr>
      <w:r>
        <w:rPr>
          <w:rFonts w:hint="eastAsia" w:ascii="宋体" w:hAnsi="宋体"/>
          <w:szCs w:val="21"/>
        </w:rPr>
        <w:t>如遇不可抗力事件的一方导致合同无法履行时，应立即将事故情况书面告知另一方，并在</w:t>
      </w:r>
      <w:r>
        <w:rPr>
          <w:rFonts w:hint="eastAsia" w:ascii="宋体" w:hAnsi="宋体"/>
          <w:szCs w:val="21"/>
          <w:u w:val="single"/>
        </w:rPr>
        <w:t>3</w:t>
      </w:r>
      <w:r>
        <w:rPr>
          <w:rFonts w:hint="eastAsia" w:ascii="宋体" w:hAnsi="宋体"/>
          <w:szCs w:val="21"/>
        </w:rPr>
        <w:t>天内，提供事故详情。</w:t>
      </w:r>
    </w:p>
    <w:p>
      <w:pPr>
        <w:adjustRightInd w:val="0"/>
        <w:snapToGrid w:val="0"/>
        <w:spacing w:line="360" w:lineRule="auto"/>
        <w:ind w:firstLine="308" w:firstLineChars="147"/>
        <w:outlineLvl w:val="1"/>
        <w:rPr>
          <w:rFonts w:ascii="宋体" w:hAnsi="宋体"/>
          <w:szCs w:val="21"/>
        </w:rPr>
      </w:pPr>
      <w:r>
        <w:rPr>
          <w:rFonts w:hint="eastAsia" w:ascii="宋体" w:hAnsi="宋体"/>
          <w:szCs w:val="21"/>
        </w:rPr>
        <w:t>十一、违约责任</w:t>
      </w:r>
    </w:p>
    <w:p>
      <w:pPr>
        <w:adjustRightInd w:val="0"/>
        <w:snapToGrid w:val="0"/>
        <w:spacing w:line="360" w:lineRule="auto"/>
        <w:ind w:firstLine="420" w:firstLineChars="200"/>
        <w:rPr>
          <w:rFonts w:ascii="宋体" w:hAnsi="宋体"/>
          <w:szCs w:val="21"/>
        </w:rPr>
      </w:pPr>
      <w:r>
        <w:rPr>
          <w:rFonts w:hint="eastAsia" w:ascii="宋体" w:hAnsi="宋体"/>
          <w:szCs w:val="21"/>
        </w:rPr>
        <w:t>（一）、在补救违约而采取的任何其他措施未能实现的情况下，即在乙方收到甲方发出的违约整改通知后</w:t>
      </w:r>
      <w:r>
        <w:rPr>
          <w:rFonts w:hint="eastAsia" w:ascii="宋体" w:hAnsi="宋体"/>
          <w:szCs w:val="21"/>
          <w:u w:val="single"/>
        </w:rPr>
        <w:t xml:space="preserve"> 3</w:t>
      </w:r>
      <w:r>
        <w:rPr>
          <w:rFonts w:hint="eastAsia" w:ascii="宋体" w:hAnsi="宋体"/>
          <w:szCs w:val="21"/>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20" w:firstLineChars="200"/>
        <w:rPr>
          <w:rFonts w:ascii="宋体" w:hAnsi="宋体"/>
          <w:szCs w:val="21"/>
        </w:rPr>
      </w:pPr>
      <w:r>
        <w:rPr>
          <w:rFonts w:hint="eastAsia" w:ascii="宋体" w:hAnsi="宋体"/>
          <w:szCs w:val="21"/>
        </w:rPr>
        <w:t>(1)如果乙方未能在合同规定的期限内或甲方准许的任何延期内交付部分或全部产品。</w:t>
      </w:r>
    </w:p>
    <w:p>
      <w:pPr>
        <w:adjustRightInd w:val="0"/>
        <w:snapToGrid w:val="0"/>
        <w:spacing w:line="360" w:lineRule="auto"/>
        <w:ind w:firstLine="105" w:firstLineChars="50"/>
        <w:outlineLvl w:val="2"/>
        <w:rPr>
          <w:rFonts w:ascii="宋体" w:hAnsi="宋体"/>
          <w:szCs w:val="21"/>
        </w:rPr>
      </w:pPr>
      <w:r>
        <w:rPr>
          <w:rFonts w:hint="eastAsia" w:ascii="宋体" w:hAnsi="宋体"/>
          <w:szCs w:val="21"/>
        </w:rPr>
        <w:t xml:space="preserve">   (2)乙方未能履行合同项下的其它义务。</w:t>
      </w:r>
    </w:p>
    <w:p>
      <w:pPr>
        <w:adjustRightInd w:val="0"/>
        <w:snapToGrid w:val="0"/>
        <w:spacing w:line="360" w:lineRule="auto"/>
        <w:ind w:firstLine="420" w:firstLineChars="200"/>
        <w:rPr>
          <w:rFonts w:ascii="宋体" w:hAnsi="宋体"/>
          <w:szCs w:val="21"/>
        </w:rPr>
      </w:pPr>
      <w:r>
        <w:rPr>
          <w:rFonts w:hint="eastAsia" w:ascii="宋体" w:hAnsi="宋体"/>
          <w:szCs w:val="21"/>
        </w:rPr>
        <w:t>（二）、因乙方违约致使甲方终止合同时，乙方除退还甲方已付全部货款及资金占用费外，应无条件承担合同总价30%的违约金。</w:t>
      </w:r>
    </w:p>
    <w:p>
      <w:pPr>
        <w:adjustRightInd w:val="0"/>
        <w:snapToGrid w:val="0"/>
        <w:spacing w:line="360" w:lineRule="auto"/>
        <w:ind w:firstLine="315" w:firstLineChars="150"/>
        <w:rPr>
          <w:rFonts w:ascii="宋体" w:hAnsi="宋体"/>
          <w:szCs w:val="21"/>
        </w:rPr>
      </w:pPr>
      <w:r>
        <w:rPr>
          <w:rFonts w:hint="eastAsia" w:ascii="宋体" w:hAnsi="宋体"/>
          <w:szCs w:val="21"/>
        </w:rPr>
        <w:t>（三）、严禁乙方转让合同，若乙方违约，则甲方有权终止合同，乙方承担合同总价30%的违约金。</w:t>
      </w:r>
    </w:p>
    <w:p>
      <w:pPr>
        <w:adjustRightInd w:val="0"/>
        <w:snapToGrid w:val="0"/>
        <w:spacing w:line="360" w:lineRule="auto"/>
        <w:ind w:firstLine="420" w:firstLineChars="200"/>
        <w:rPr>
          <w:rFonts w:ascii="宋体" w:hAnsi="宋体"/>
          <w:szCs w:val="21"/>
        </w:rPr>
      </w:pPr>
      <w:r>
        <w:rPr>
          <w:rFonts w:hint="eastAsia" w:ascii="宋体" w:hAnsi="宋体"/>
          <w:szCs w:val="21"/>
        </w:rPr>
        <w:t>（四）、任何一方违约应承担守约方因主张权利而支付的所有费用，包含且不限于误工费、差旅费、住宿费、交通费、律师费等。</w:t>
      </w:r>
    </w:p>
    <w:p>
      <w:pPr>
        <w:adjustRightInd w:val="0"/>
        <w:snapToGrid w:val="0"/>
        <w:spacing w:line="360" w:lineRule="auto"/>
        <w:outlineLvl w:val="1"/>
        <w:rPr>
          <w:rFonts w:ascii="宋体" w:hAnsi="宋体"/>
          <w:szCs w:val="21"/>
        </w:rPr>
      </w:pPr>
      <w:r>
        <w:rPr>
          <w:rFonts w:hint="eastAsia" w:ascii="宋体" w:hAnsi="宋体"/>
          <w:szCs w:val="21"/>
        </w:rPr>
        <w:t>十二、其它事项</w:t>
      </w:r>
    </w:p>
    <w:p>
      <w:pPr>
        <w:adjustRightInd w:val="0"/>
        <w:snapToGrid w:val="0"/>
        <w:spacing w:line="360" w:lineRule="auto"/>
        <w:ind w:firstLine="420" w:firstLineChars="200"/>
        <w:rPr>
          <w:rFonts w:ascii="宋体" w:hAnsi="宋体"/>
          <w:szCs w:val="21"/>
        </w:rPr>
      </w:pPr>
      <w:r>
        <w:rPr>
          <w:rFonts w:hint="eastAsia" w:ascii="宋体" w:hAnsi="宋体"/>
          <w:szCs w:val="21"/>
        </w:rPr>
        <w:t>（一）、招投标文件均作为合同不可分割的部分。解释顺序为招标文件、投标文件、合同、合同附件。</w:t>
      </w:r>
    </w:p>
    <w:p>
      <w:pPr>
        <w:adjustRightInd w:val="0"/>
        <w:snapToGrid w:val="0"/>
        <w:spacing w:line="360" w:lineRule="auto"/>
        <w:ind w:left="359" w:leftChars="171" w:firstLine="105" w:firstLineChars="50"/>
        <w:rPr>
          <w:rFonts w:ascii="宋体" w:hAnsi="宋体"/>
          <w:szCs w:val="21"/>
        </w:rPr>
      </w:pPr>
      <w:r>
        <w:rPr>
          <w:rFonts w:hint="eastAsia" w:ascii="宋体" w:hAnsi="宋体"/>
          <w:szCs w:val="21"/>
        </w:rPr>
        <w:t>（二）、合同未尽事宜，由甲、乙双方协商，作为合同的补充与原合同具有同等法律效力。</w:t>
      </w:r>
    </w:p>
    <w:p>
      <w:pPr>
        <w:adjustRightInd w:val="0"/>
        <w:snapToGrid w:val="0"/>
        <w:spacing w:line="360" w:lineRule="auto"/>
        <w:ind w:left="359" w:leftChars="171" w:firstLine="105" w:firstLineChars="50"/>
        <w:rPr>
          <w:rFonts w:ascii="宋体" w:hAnsi="宋体"/>
          <w:szCs w:val="21"/>
        </w:rPr>
      </w:pPr>
      <w:r>
        <w:rPr>
          <w:rFonts w:hint="eastAsia" w:ascii="宋体" w:hAnsi="宋体"/>
          <w:szCs w:val="21"/>
        </w:rPr>
        <w:t>（三）、双方如对履行合同发生争执，应友好协商解决，如协商不成，任何一方均可向甲方所在地法院提起诉讼。</w:t>
      </w:r>
    </w:p>
    <w:p>
      <w:pPr>
        <w:adjustRightInd w:val="0"/>
        <w:snapToGrid w:val="0"/>
        <w:spacing w:line="360" w:lineRule="auto"/>
        <w:outlineLvl w:val="1"/>
        <w:rPr>
          <w:rFonts w:ascii="宋体" w:hAnsi="宋体"/>
          <w:szCs w:val="21"/>
        </w:rPr>
      </w:pPr>
      <w:r>
        <w:rPr>
          <w:rFonts w:hint="eastAsia" w:ascii="宋体" w:hAnsi="宋体"/>
          <w:szCs w:val="21"/>
        </w:rPr>
        <w:t>十三、 通知和送达</w:t>
      </w:r>
    </w:p>
    <w:p>
      <w:pPr>
        <w:adjustRightInd w:val="0"/>
        <w:snapToGrid w:val="0"/>
        <w:spacing w:line="360" w:lineRule="auto"/>
        <w:rPr>
          <w:rFonts w:ascii="宋体" w:hAnsi="宋体"/>
          <w:szCs w:val="21"/>
        </w:rPr>
      </w:pPr>
      <w:r>
        <w:rPr>
          <w:rFonts w:hint="eastAsia" w:ascii="宋体" w:hAnsi="宋体"/>
          <w:szCs w:val="21"/>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ascii="宋体" w:hAnsi="宋体"/>
          <w:szCs w:val="21"/>
        </w:rPr>
      </w:pPr>
      <w:r>
        <w:rPr>
          <w:rFonts w:hint="eastAsia" w:ascii="宋体" w:hAnsi="宋体"/>
          <w:szCs w:val="21"/>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outlineLvl w:val="1"/>
        <w:rPr>
          <w:rFonts w:ascii="宋体" w:hAnsi="宋体"/>
          <w:szCs w:val="21"/>
        </w:rPr>
      </w:pPr>
      <w:r>
        <w:rPr>
          <w:rFonts w:hint="eastAsia" w:ascii="宋体" w:hAnsi="宋体"/>
          <w:szCs w:val="21"/>
        </w:rPr>
        <w:t>十四、本合同签订时间、地点、履行期限</w:t>
      </w:r>
    </w:p>
    <w:p>
      <w:pPr>
        <w:adjustRightInd w:val="0"/>
        <w:snapToGrid w:val="0"/>
        <w:spacing w:line="360" w:lineRule="auto"/>
        <w:rPr>
          <w:rFonts w:ascii="宋体" w:hAnsi="宋体"/>
          <w:szCs w:val="21"/>
          <w:u w:val="single"/>
        </w:rPr>
      </w:pPr>
      <w:r>
        <w:rPr>
          <w:rFonts w:hint="eastAsia" w:ascii="宋体" w:hAnsi="宋体"/>
          <w:szCs w:val="21"/>
        </w:rPr>
        <w:t xml:space="preserve">      （一）签订时间：</w:t>
      </w:r>
      <w:r>
        <w:rPr>
          <w:rFonts w:hint="eastAsia" w:ascii="宋体" w:hAnsi="宋体"/>
          <w:szCs w:val="21"/>
          <w:u w:val="single"/>
        </w:rPr>
        <w:t xml:space="preserve">   2022年    月    日      </w:t>
      </w:r>
    </w:p>
    <w:p>
      <w:pPr>
        <w:adjustRightInd w:val="0"/>
        <w:snapToGrid w:val="0"/>
        <w:spacing w:line="360" w:lineRule="auto"/>
        <w:outlineLvl w:val="2"/>
        <w:rPr>
          <w:rFonts w:ascii="宋体" w:hAnsi="宋体"/>
          <w:szCs w:val="21"/>
        </w:rPr>
      </w:pPr>
      <w:r>
        <w:rPr>
          <w:rFonts w:hint="eastAsia" w:ascii="宋体" w:hAnsi="宋体"/>
          <w:szCs w:val="21"/>
        </w:rPr>
        <w:t xml:space="preserve">      （二）签订地点：甲方所在地</w:t>
      </w:r>
      <w:r>
        <w:rPr>
          <w:rFonts w:ascii="宋体" w:hAnsi="宋体"/>
          <w:szCs w:val="21"/>
        </w:rPr>
        <w:t>。</w:t>
      </w:r>
    </w:p>
    <w:p>
      <w:pPr>
        <w:adjustRightInd w:val="0"/>
        <w:snapToGrid w:val="0"/>
        <w:spacing w:line="360" w:lineRule="auto"/>
        <w:rPr>
          <w:rFonts w:ascii="宋体" w:hAnsi="宋体"/>
          <w:szCs w:val="21"/>
        </w:rPr>
      </w:pPr>
      <w:r>
        <w:rPr>
          <w:rFonts w:hint="eastAsia" w:ascii="宋体" w:hAnsi="宋体"/>
          <w:szCs w:val="21"/>
        </w:rPr>
        <w:t>十五、合同签订及生效：本合同一式四份，本合同共页码，甲方执叁份、乙方执壹份，双方签字并盖章后生效。</w:t>
      </w:r>
    </w:p>
    <w:p>
      <w:pPr>
        <w:adjustRightInd w:val="0"/>
        <w:snapToGrid w:val="0"/>
        <w:spacing w:line="360" w:lineRule="auto"/>
        <w:rPr>
          <w:rFonts w:ascii="宋体" w:hAnsi="宋体"/>
          <w:szCs w:val="21"/>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4889" w:type="dxa"/>
            <w:noWrap/>
            <w:vAlign w:val="center"/>
          </w:tcPr>
          <w:p>
            <w:pPr>
              <w:adjustRightInd w:val="0"/>
              <w:snapToGrid w:val="0"/>
              <w:spacing w:line="360" w:lineRule="auto"/>
              <w:ind w:right="-506" w:rightChars="-241"/>
              <w:rPr>
                <w:rFonts w:ascii="宋体" w:hAnsi="宋体"/>
                <w:szCs w:val="21"/>
              </w:rPr>
            </w:pPr>
            <w:r>
              <w:rPr>
                <w:rFonts w:hint="eastAsia" w:ascii="宋体" w:hAnsi="宋体"/>
                <w:szCs w:val="21"/>
              </w:rPr>
              <w:t>甲方：新疆维吾尔自治区疾病预防控制中心（盖章）</w:t>
            </w:r>
          </w:p>
        </w:tc>
        <w:tc>
          <w:tcPr>
            <w:tcW w:w="4891" w:type="dxa"/>
            <w:noWrap/>
            <w:vAlign w:val="center"/>
          </w:tcPr>
          <w:p>
            <w:pPr>
              <w:adjustRightInd w:val="0"/>
              <w:snapToGrid w:val="0"/>
              <w:spacing w:line="360" w:lineRule="auto"/>
              <w:jc w:val="center"/>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 xml:space="preserve">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889" w:type="dxa"/>
            <w:noWrap/>
            <w:vAlign w:val="center"/>
          </w:tcPr>
          <w:p>
            <w:pPr>
              <w:adjustRightInd w:val="0"/>
              <w:snapToGrid w:val="0"/>
              <w:spacing w:line="360" w:lineRule="auto"/>
              <w:ind w:right="-506" w:rightChars="-241"/>
              <w:rPr>
                <w:rFonts w:ascii="宋体" w:hAnsi="宋体"/>
                <w:szCs w:val="21"/>
              </w:rPr>
            </w:pPr>
            <w:r>
              <w:rPr>
                <w:rFonts w:hint="eastAsia" w:ascii="宋体" w:hAnsi="宋体"/>
                <w:szCs w:val="21"/>
              </w:rPr>
              <w:t>地址：乌鲁木齐市碱泉街380号</w:t>
            </w:r>
          </w:p>
        </w:tc>
        <w:tc>
          <w:tcPr>
            <w:tcW w:w="4891" w:type="dxa"/>
            <w:noWrap/>
            <w:vAlign w:val="center"/>
          </w:tcPr>
          <w:p>
            <w:pPr>
              <w:adjustRightInd w:val="0"/>
              <w:snapToGrid w:val="0"/>
              <w:spacing w:line="360" w:lineRule="auto"/>
              <w:ind w:left="6075" w:leftChars="43" w:right="-506" w:rightChars="-241" w:hanging="5985" w:hangingChars="2850"/>
              <w:rPr>
                <w:rFonts w:ascii="宋体" w:hAnsi="宋体"/>
                <w:szCs w:val="21"/>
              </w:rPr>
            </w:pPr>
            <w:r>
              <w:rPr>
                <w:rFonts w:hint="eastAsia" w:ascii="宋体" w:hAnsi="宋体"/>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4889" w:type="dxa"/>
            <w:noWrap/>
            <w:vAlign w:val="center"/>
          </w:tcPr>
          <w:p>
            <w:pPr>
              <w:adjustRightInd w:val="0"/>
              <w:snapToGrid w:val="0"/>
              <w:spacing w:line="360" w:lineRule="auto"/>
              <w:ind w:right="-506" w:rightChars="-241"/>
              <w:rPr>
                <w:rFonts w:ascii="宋体" w:hAnsi="宋体"/>
                <w:szCs w:val="21"/>
              </w:rPr>
            </w:pPr>
            <w:r>
              <w:rPr>
                <w:rFonts w:hint="eastAsia" w:ascii="宋体" w:hAnsi="宋体"/>
                <w:szCs w:val="21"/>
              </w:rPr>
              <w:t>法定代表人：</w:t>
            </w:r>
          </w:p>
        </w:tc>
        <w:tc>
          <w:tcPr>
            <w:tcW w:w="4891" w:type="dxa"/>
            <w:noWrap/>
            <w:vAlign w:val="center"/>
          </w:tcPr>
          <w:p>
            <w:pPr>
              <w:adjustRightInd w:val="0"/>
              <w:snapToGrid w:val="0"/>
              <w:spacing w:line="360" w:lineRule="auto"/>
              <w:ind w:left="-359" w:leftChars="-171" w:right="-506" w:rightChars="-241" w:firstLine="420" w:firstLineChars="200"/>
              <w:rPr>
                <w:rFonts w:ascii="宋体" w:hAnsi="宋体"/>
                <w:szCs w:val="21"/>
              </w:rPr>
            </w:pPr>
            <w:r>
              <w:rPr>
                <w:rFonts w:hint="eastAsia" w:ascii="宋体" w:hAnsi="宋体"/>
                <w:szCs w:val="21"/>
              </w:rPr>
              <w:t>法定代表人（签字）：</w:t>
            </w:r>
          </w:p>
          <w:p>
            <w:pPr>
              <w:adjustRightInd w:val="0"/>
              <w:snapToGrid w:val="0"/>
              <w:spacing w:line="360" w:lineRule="auto"/>
              <w:ind w:right="-506" w:rightChars="-24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889" w:type="dxa"/>
            <w:noWrap/>
            <w:vAlign w:val="center"/>
          </w:tcPr>
          <w:p>
            <w:pPr>
              <w:adjustRightInd w:val="0"/>
              <w:snapToGrid w:val="0"/>
              <w:spacing w:line="360" w:lineRule="auto"/>
              <w:ind w:right="-506" w:rightChars="-241"/>
              <w:rPr>
                <w:rFonts w:ascii="宋体" w:hAnsi="宋体"/>
                <w:szCs w:val="21"/>
              </w:rPr>
            </w:pPr>
            <w:r>
              <w:rPr>
                <w:rFonts w:hint="eastAsia" w:ascii="宋体" w:hAnsi="宋体"/>
                <w:szCs w:val="21"/>
              </w:rPr>
              <w:t>代理人：</w:t>
            </w:r>
          </w:p>
        </w:tc>
        <w:tc>
          <w:tcPr>
            <w:tcW w:w="4891" w:type="dxa"/>
            <w:noWrap/>
            <w:vAlign w:val="center"/>
          </w:tcPr>
          <w:p>
            <w:pPr>
              <w:adjustRightInd w:val="0"/>
              <w:snapToGrid w:val="0"/>
              <w:spacing w:line="360" w:lineRule="auto"/>
              <w:ind w:left="-359" w:leftChars="-171" w:right="-506" w:rightChars="-241" w:firstLine="420" w:firstLineChars="200"/>
              <w:rPr>
                <w:rFonts w:ascii="宋体" w:hAnsi="宋体"/>
                <w:szCs w:val="21"/>
              </w:rPr>
            </w:pPr>
            <w:r>
              <w:rPr>
                <w:rFonts w:hint="eastAsia" w:ascii="宋体" w:hAnsi="宋体"/>
                <w:szCs w:val="21"/>
              </w:rPr>
              <w:t>代理人（签字）：</w:t>
            </w:r>
          </w:p>
          <w:p>
            <w:pPr>
              <w:adjustRightInd w:val="0"/>
              <w:snapToGrid w:val="0"/>
              <w:spacing w:line="360" w:lineRule="auto"/>
              <w:ind w:right="-506" w:rightChars="-24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4889" w:type="dxa"/>
            <w:noWrap/>
            <w:vAlign w:val="center"/>
          </w:tcPr>
          <w:p>
            <w:pPr>
              <w:adjustRightInd w:val="0"/>
              <w:snapToGrid w:val="0"/>
              <w:spacing w:line="360" w:lineRule="auto"/>
              <w:ind w:right="-506" w:rightChars="-241"/>
              <w:rPr>
                <w:rFonts w:ascii="宋体" w:hAnsi="宋体"/>
                <w:szCs w:val="21"/>
              </w:rPr>
            </w:pPr>
            <w:r>
              <w:rPr>
                <w:rFonts w:hint="eastAsia" w:ascii="宋体" w:hAnsi="宋体"/>
                <w:szCs w:val="21"/>
              </w:rPr>
              <w:t>联系电话：0991-2623010</w:t>
            </w:r>
          </w:p>
        </w:tc>
        <w:tc>
          <w:tcPr>
            <w:tcW w:w="4891" w:type="dxa"/>
            <w:noWrap/>
            <w:vAlign w:val="center"/>
          </w:tcPr>
          <w:p>
            <w:pPr>
              <w:adjustRightInd w:val="0"/>
              <w:snapToGrid w:val="0"/>
              <w:spacing w:line="360" w:lineRule="auto"/>
              <w:ind w:right="-506" w:rightChars="-241"/>
              <w:rPr>
                <w:rFonts w:ascii="宋体" w:hAnsi="宋体"/>
                <w:szCs w:val="21"/>
              </w:rPr>
            </w:pPr>
            <w:r>
              <w:rPr>
                <w:rFonts w:hint="eastAsia" w:ascii="宋体" w:hAnsi="宋体"/>
                <w:szCs w:val="21"/>
              </w:rPr>
              <w:t>联系电话：</w:t>
            </w:r>
          </w:p>
        </w:tc>
      </w:tr>
    </w:tbl>
    <w:p>
      <w:pPr>
        <w:adjustRightInd w:val="0"/>
        <w:snapToGrid w:val="0"/>
        <w:spacing w:line="360" w:lineRule="auto"/>
        <w:ind w:left="-359" w:leftChars="-171" w:right="-506" w:rightChars="-241" w:firstLine="6090" w:firstLineChars="2900"/>
        <w:rPr>
          <w:rFonts w:ascii="宋体" w:hAnsi="宋体"/>
          <w:szCs w:val="21"/>
        </w:rPr>
      </w:pPr>
    </w:p>
    <w:p>
      <w:pPr>
        <w:tabs>
          <w:tab w:val="left" w:pos="6720"/>
        </w:tabs>
        <w:adjustRightInd w:val="0"/>
        <w:snapToGrid w:val="0"/>
        <w:spacing w:line="360" w:lineRule="auto"/>
        <w:ind w:left="-359" w:leftChars="-171" w:right="-506" w:rightChars="-241" w:firstLine="2520" w:firstLineChars="1200"/>
        <w:rPr>
          <w:rFonts w:ascii="宋体" w:hAnsi="宋体" w:cs="Arial"/>
          <w:szCs w:val="21"/>
        </w:rPr>
      </w:pPr>
    </w:p>
    <w:p>
      <w:pPr>
        <w:adjustRightInd w:val="0"/>
        <w:snapToGrid w:val="0"/>
        <w:spacing w:line="360" w:lineRule="auto"/>
        <w:rPr>
          <w:rFonts w:ascii="宋体" w:hAnsi="宋体" w:cs="Helvetica"/>
          <w:kern w:val="0"/>
          <w:sz w:val="24"/>
          <w:szCs w:val="24"/>
        </w:rPr>
      </w:pPr>
    </w:p>
    <w:p>
      <w:pPr>
        <w:adjustRightInd w:val="0"/>
        <w:snapToGrid w:val="0"/>
        <w:spacing w:line="360" w:lineRule="auto"/>
        <w:rPr>
          <w:rFonts w:ascii="宋体" w:hAnsi="宋体" w:cs="Helvetica"/>
          <w:kern w:val="0"/>
          <w:sz w:val="24"/>
          <w:szCs w:val="24"/>
        </w:rPr>
      </w:pPr>
    </w:p>
    <w:p>
      <w:pPr>
        <w:adjustRightInd w:val="0"/>
        <w:snapToGrid w:val="0"/>
        <w:spacing w:line="360" w:lineRule="auto"/>
        <w:rPr>
          <w:rFonts w:ascii="宋体" w:hAnsi="宋体" w:cs="宋体"/>
          <w:bCs/>
          <w:szCs w:val="21"/>
        </w:rPr>
      </w:pPr>
    </w:p>
    <w:p>
      <w:pPr>
        <w:adjustRightInd w:val="0"/>
        <w:snapToGrid w:val="0"/>
        <w:spacing w:line="360" w:lineRule="auto"/>
        <w:rPr>
          <w:rFonts w:ascii="宋体" w:hAnsi="宋体" w:cs="宋体"/>
          <w:bCs/>
          <w:szCs w:val="21"/>
        </w:rPr>
      </w:pPr>
    </w:p>
    <w:p>
      <w:pPr>
        <w:adjustRightInd w:val="0"/>
        <w:snapToGrid w:val="0"/>
        <w:spacing w:line="360" w:lineRule="auto"/>
        <w:rPr>
          <w:rFonts w:ascii="宋体" w:hAnsi="宋体" w:cs="宋体"/>
          <w:bCs/>
          <w:szCs w:val="21"/>
        </w:rPr>
      </w:pPr>
      <w:r>
        <w:rPr>
          <w:rFonts w:hint="eastAsia" w:ascii="宋体" w:hAnsi="宋体" w:cs="宋体"/>
          <w:bCs/>
          <w:szCs w:val="21"/>
        </w:rPr>
        <w:t>技术参数和售后服务：</w:t>
      </w:r>
    </w:p>
    <w:p>
      <w:pPr>
        <w:adjustRightInd w:val="0"/>
        <w:snapToGrid w:val="0"/>
        <w:spacing w:line="360" w:lineRule="auto"/>
        <w:outlineLvl w:val="1"/>
        <w:rPr>
          <w:rFonts w:ascii="宋体"/>
          <w:szCs w:val="21"/>
        </w:rPr>
      </w:pPr>
      <w:r>
        <w:rPr>
          <w:rFonts w:hint="eastAsia" w:ascii="宋体" w:hAnsi="宋体"/>
          <w:szCs w:val="21"/>
        </w:rPr>
        <w:t>一、乙方承诺</w:t>
      </w:r>
    </w:p>
    <w:p>
      <w:pPr>
        <w:adjustRightInd w:val="0"/>
        <w:snapToGrid w:val="0"/>
        <w:spacing w:line="360" w:lineRule="auto"/>
        <w:ind w:firstLine="420" w:firstLineChars="200"/>
        <w:rPr>
          <w:rFonts w:ascii="宋体" w:hAnsi="宋体"/>
          <w:szCs w:val="21"/>
        </w:rPr>
      </w:pPr>
      <w:r>
        <w:rPr>
          <w:rFonts w:hint="eastAsia" w:ascii="宋体" w:hAnsi="宋体"/>
          <w:szCs w:val="21"/>
        </w:rPr>
        <w:t>鉴于国家</w:t>
      </w:r>
      <w:r>
        <w:rPr>
          <w:rFonts w:hint="eastAsia" w:ascii="宋体" w:hAnsi="宋体"/>
          <w:bCs/>
          <w:szCs w:val="21"/>
        </w:rPr>
        <w:t>、</w:t>
      </w:r>
      <w:r>
        <w:rPr>
          <w:rFonts w:hint="eastAsia" w:ascii="宋体" w:hAnsi="宋体"/>
          <w:szCs w:val="21"/>
        </w:rPr>
        <w:t>自治区、行业对产</w:t>
      </w:r>
      <w:r>
        <w:rPr>
          <w:rFonts w:hint="eastAsia" w:ascii="宋体" w:hAnsi="宋体"/>
          <w:szCs w:val="21"/>
          <w:u w:val="single"/>
        </w:rPr>
        <w:t>品</w:t>
      </w:r>
      <w:r>
        <w:rPr>
          <w:rFonts w:hint="eastAsia" w:ascii="宋体" w:hAnsi="宋体"/>
          <w:szCs w:val="21"/>
        </w:rPr>
        <w:t>的要求，乙方承诺按照要求标准组织供货，按时运到甲方指定的交货地点并确保所中标的产品各项指标符合招标技术要求；同时乙方根据产品的使用特性做好售后服务。</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outlineLvl w:val="1"/>
        <w:rPr>
          <w:rFonts w:ascii="宋体" w:hAnsi="宋体"/>
          <w:szCs w:val="21"/>
        </w:rPr>
      </w:pPr>
      <w:r>
        <w:rPr>
          <w:rFonts w:hint="eastAsia" w:ascii="宋体" w:hAnsi="宋体"/>
          <w:szCs w:val="21"/>
        </w:rPr>
        <w:t>二、详细技术参数（不仅限于投标文件中的技术参数和图片）</w:t>
      </w:r>
    </w:p>
    <w:p>
      <w:pPr>
        <w:adjustRightInd w:val="0"/>
        <w:snapToGrid w:val="0"/>
        <w:spacing w:line="360" w:lineRule="auto"/>
        <w:rPr>
          <w:rFonts w:ascii="宋体" w:hAnsi="宋体"/>
          <w:szCs w:val="21"/>
        </w:rPr>
      </w:pPr>
      <w:r>
        <w:rPr>
          <w:rFonts w:hint="eastAsia" w:ascii="宋体" w:hAnsi="宋体"/>
          <w:szCs w:val="21"/>
        </w:rPr>
        <w:t>（见附件）</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outlineLvl w:val="1"/>
        <w:rPr>
          <w:rFonts w:ascii="宋体" w:hAnsi="宋体"/>
          <w:szCs w:val="21"/>
        </w:rPr>
      </w:pPr>
      <w:r>
        <w:rPr>
          <w:rFonts w:hint="eastAsia" w:ascii="宋体" w:hAnsi="宋体"/>
          <w:szCs w:val="21"/>
        </w:rPr>
        <w:t>三、售后服务（不仅限于投标文件中的售后服务）</w:t>
      </w:r>
    </w:p>
    <w:p>
      <w:pPr>
        <w:adjustRightInd w:val="0"/>
        <w:snapToGrid w:val="0"/>
        <w:spacing w:line="360" w:lineRule="auto"/>
        <w:rPr>
          <w:rFonts w:ascii="Arial" w:hAnsi="Arial" w:cs="Arial"/>
          <w:szCs w:val="21"/>
        </w:rPr>
        <w:sectPr>
          <w:pgSz w:w="11906" w:h="16838"/>
          <w:pgMar w:top="1134" w:right="1106" w:bottom="1077" w:left="975" w:header="851" w:footer="992" w:gutter="0"/>
          <w:paperSrc w:first="7" w:other="7"/>
          <w:cols w:space="720" w:num="1"/>
          <w:docGrid w:type="lines" w:linePitch="312" w:charSpace="0"/>
        </w:sectPr>
      </w:pPr>
    </w:p>
    <w:p>
      <w:pPr>
        <w:spacing w:line="480" w:lineRule="auto"/>
        <w:rPr>
          <w:rFonts w:ascii="宋体" w:hAnsi="宋体"/>
          <w:b/>
          <w:bCs/>
          <w:szCs w:val="21"/>
        </w:rPr>
      </w:pPr>
      <w:r>
        <w:rPr>
          <w:rFonts w:hint="eastAsia" w:ascii="宋体" w:hAnsi="宋体"/>
          <w:b/>
          <w:bCs/>
          <w:szCs w:val="21"/>
        </w:rPr>
        <w:t xml:space="preserve">JL/CX06-3                                 </w:t>
      </w:r>
      <w:r>
        <w:rPr>
          <w:rFonts w:hint="eastAsia" w:eastAsia="楷体_GB2312"/>
          <w:b/>
          <w:spacing w:val="26"/>
          <w:sz w:val="30"/>
          <w:szCs w:val="30"/>
        </w:rPr>
        <w:t>新疆维吾尔自治区疾病预防控制中心</w:t>
      </w:r>
    </w:p>
    <w:p>
      <w:pPr>
        <w:spacing w:line="360" w:lineRule="auto"/>
        <w:jc w:val="center"/>
        <w:rPr>
          <w:rFonts w:ascii="Arial" w:hAnsi="Arial" w:cs="Arial"/>
          <w:b/>
          <w:sz w:val="32"/>
          <w:szCs w:val="32"/>
        </w:rPr>
      </w:pPr>
      <w:r>
        <w:rPr>
          <w:rFonts w:hint="eastAsia" w:ascii="Arial" w:hAnsi="Arial" w:cs="Arial"/>
          <w:b/>
          <w:sz w:val="32"/>
          <w:szCs w:val="32"/>
        </w:rPr>
        <w:t>供 应 商 评 价 表</w:t>
      </w:r>
    </w:p>
    <w:tbl>
      <w:tblPr>
        <w:tblStyle w:val="42"/>
        <w:tblW w:w="0" w:type="auto"/>
        <w:tblInd w:w="93" w:type="dxa"/>
        <w:tblLayout w:type="fixed"/>
        <w:tblCellMar>
          <w:top w:w="0" w:type="dxa"/>
          <w:left w:w="108" w:type="dxa"/>
          <w:bottom w:w="0" w:type="dxa"/>
          <w:right w:w="108" w:type="dxa"/>
        </w:tblCellMar>
      </w:tblPr>
      <w:tblGrid>
        <w:gridCol w:w="1095"/>
        <w:gridCol w:w="1047"/>
        <w:gridCol w:w="850"/>
        <w:gridCol w:w="1276"/>
        <w:gridCol w:w="850"/>
        <w:gridCol w:w="993"/>
        <w:gridCol w:w="1417"/>
        <w:gridCol w:w="1276"/>
        <w:gridCol w:w="1134"/>
        <w:gridCol w:w="1559"/>
        <w:gridCol w:w="1487"/>
        <w:gridCol w:w="1636"/>
        <w:gridCol w:w="15"/>
      </w:tblGrid>
      <w:tr>
        <w:tblPrEx>
          <w:tblCellMar>
            <w:top w:w="0" w:type="dxa"/>
            <w:left w:w="108" w:type="dxa"/>
            <w:bottom w:w="0" w:type="dxa"/>
            <w:right w:w="108" w:type="dxa"/>
          </w:tblCellMar>
        </w:tblPrEx>
        <w:trPr>
          <w:gridAfter w:val="1"/>
          <w:wAfter w:w="15" w:type="dxa"/>
          <w:trHeight w:val="1067" w:hRule="atLeast"/>
        </w:trPr>
        <w:tc>
          <w:tcPr>
            <w:tcW w:w="2992" w:type="dxa"/>
            <w:gridSpan w:val="3"/>
            <w:tcBorders>
              <w:top w:val="single" w:color="auto" w:sz="4" w:space="0"/>
              <w:left w:val="single" w:color="auto" w:sz="4" w:space="0"/>
              <w:bottom w:val="single" w:color="auto" w:sz="4" w:space="0"/>
              <w:right w:val="single" w:color="000000" w:sz="4" w:space="0"/>
            </w:tcBorders>
            <w:noWrap/>
            <w:vAlign w:val="center"/>
          </w:tcPr>
          <w:p>
            <w:pPr>
              <w:widowControl/>
              <w:ind w:firstLine="480"/>
              <w:jc w:val="center"/>
              <w:rPr>
                <w:rFonts w:ascii="宋体" w:hAnsi="宋体" w:cs="宋体"/>
                <w:bCs/>
                <w:kern w:val="0"/>
                <w:sz w:val="24"/>
                <w:szCs w:val="24"/>
              </w:rPr>
            </w:pPr>
            <w:r>
              <w:rPr>
                <w:rFonts w:hint="eastAsia" w:ascii="宋体" w:hAnsi="宋体" w:cs="宋体"/>
                <w:bCs/>
                <w:kern w:val="0"/>
                <w:sz w:val="24"/>
                <w:szCs w:val="24"/>
              </w:rPr>
              <w:t>中标单位名称</w:t>
            </w:r>
            <w:r>
              <w:rPr>
                <w:rFonts w:hint="eastAsia" w:ascii="宋体" w:hAnsi="宋体" w:cs="宋体"/>
                <w:bCs/>
                <w:kern w:val="0"/>
                <w:sz w:val="24"/>
                <w:szCs w:val="24"/>
              </w:rPr>
              <w:tab/>
            </w:r>
          </w:p>
        </w:tc>
        <w:tc>
          <w:tcPr>
            <w:tcW w:w="453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Cs/>
                <w:kern w:val="0"/>
                <w:sz w:val="24"/>
                <w:szCs w:val="24"/>
              </w:rPr>
            </w:pP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4"/>
                <w:szCs w:val="24"/>
              </w:rPr>
            </w:pPr>
            <w:r>
              <w:rPr>
                <w:rFonts w:hint="eastAsia" w:ascii="宋体" w:hAnsi="宋体" w:cs="宋体"/>
                <w:bCs/>
                <w:kern w:val="0"/>
                <w:sz w:val="24"/>
                <w:szCs w:val="24"/>
              </w:rPr>
              <w:t>中标单位联系人</w:t>
            </w:r>
          </w:p>
          <w:p>
            <w:pPr>
              <w:widowControl/>
              <w:jc w:val="center"/>
              <w:rPr>
                <w:rFonts w:ascii="宋体" w:hAnsi="宋体" w:cs="宋体"/>
                <w:bCs/>
                <w:kern w:val="0"/>
                <w:sz w:val="24"/>
                <w:szCs w:val="24"/>
              </w:rPr>
            </w:pPr>
            <w:r>
              <w:rPr>
                <w:rFonts w:hint="eastAsia" w:ascii="宋体" w:hAnsi="宋体" w:cs="宋体"/>
                <w:bCs/>
                <w:kern w:val="0"/>
                <w:sz w:val="24"/>
                <w:szCs w:val="24"/>
              </w:rPr>
              <w:t>及电话</w:t>
            </w:r>
          </w:p>
        </w:tc>
        <w:tc>
          <w:tcPr>
            <w:tcW w:w="468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4"/>
                <w:szCs w:val="24"/>
              </w:rPr>
            </w:pPr>
          </w:p>
        </w:tc>
      </w:tr>
      <w:tr>
        <w:tblPrEx>
          <w:tblCellMar>
            <w:top w:w="0" w:type="dxa"/>
            <w:left w:w="108" w:type="dxa"/>
            <w:bottom w:w="0" w:type="dxa"/>
            <w:right w:w="108" w:type="dxa"/>
          </w:tblCellMar>
        </w:tblPrEx>
        <w:trPr>
          <w:trHeight w:val="600" w:hRule="atLeast"/>
        </w:trPr>
        <w:tc>
          <w:tcPr>
            <w:tcW w:w="299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bCs/>
                <w:kern w:val="0"/>
                <w:sz w:val="24"/>
                <w:szCs w:val="24"/>
              </w:rPr>
            </w:pPr>
            <w:r>
              <w:rPr>
                <w:rFonts w:hint="eastAsia" w:ascii="宋体" w:hAnsi="宋体" w:cs="宋体"/>
                <w:bCs/>
                <w:kern w:val="0"/>
                <w:sz w:val="24"/>
                <w:szCs w:val="24"/>
              </w:rPr>
              <w:tab/>
            </w:r>
            <w:r>
              <w:rPr>
                <w:rFonts w:hint="eastAsia" w:ascii="宋体" w:hAnsi="宋体" w:cs="宋体"/>
                <w:bCs/>
                <w:kern w:val="0"/>
                <w:sz w:val="24"/>
                <w:szCs w:val="24"/>
              </w:rPr>
              <w:t>中标金额　</w:t>
            </w:r>
          </w:p>
        </w:tc>
        <w:tc>
          <w:tcPr>
            <w:tcW w:w="453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4"/>
                <w:szCs w:val="24"/>
              </w:rPr>
            </w:pPr>
          </w:p>
        </w:tc>
        <w:tc>
          <w:tcPr>
            <w:tcW w:w="241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4"/>
                <w:szCs w:val="24"/>
              </w:rPr>
            </w:pPr>
            <w:r>
              <w:rPr>
                <w:rFonts w:hint="eastAsia" w:ascii="宋体" w:hAnsi="宋体" w:cs="宋体"/>
                <w:bCs/>
                <w:kern w:val="0"/>
                <w:sz w:val="24"/>
                <w:szCs w:val="24"/>
              </w:rPr>
              <w:t>合  同  号</w:t>
            </w:r>
          </w:p>
        </w:tc>
        <w:tc>
          <w:tcPr>
            <w:tcW w:w="469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4"/>
                <w:szCs w:val="24"/>
              </w:rPr>
            </w:pPr>
          </w:p>
        </w:tc>
      </w:tr>
      <w:tr>
        <w:tblPrEx>
          <w:tblCellMar>
            <w:top w:w="0" w:type="dxa"/>
            <w:left w:w="108" w:type="dxa"/>
            <w:bottom w:w="0" w:type="dxa"/>
            <w:right w:w="108" w:type="dxa"/>
          </w:tblCellMar>
        </w:tblPrEx>
        <w:trPr>
          <w:trHeight w:val="630" w:hRule="atLeast"/>
        </w:trPr>
        <w:tc>
          <w:tcPr>
            <w:tcW w:w="10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申请/使用科室</w:t>
            </w:r>
          </w:p>
        </w:tc>
        <w:tc>
          <w:tcPr>
            <w:tcW w:w="1047"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供应货物名称</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数量</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合同签</w:t>
            </w:r>
          </w:p>
          <w:p>
            <w:pPr>
              <w:widowControl/>
              <w:jc w:val="center"/>
              <w:rPr>
                <w:rFonts w:ascii="宋体" w:hAnsi="宋体" w:cs="宋体"/>
                <w:bCs/>
                <w:kern w:val="0"/>
                <w:szCs w:val="21"/>
              </w:rPr>
            </w:pPr>
            <w:r>
              <w:rPr>
                <w:rFonts w:hint="eastAsia" w:ascii="宋体" w:hAnsi="宋体" w:cs="宋体"/>
                <w:bCs/>
                <w:kern w:val="0"/>
                <w:szCs w:val="21"/>
              </w:rPr>
              <w:t>订时间</w:t>
            </w: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到 货 时 间</w:t>
            </w: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供货是否及时</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回执单是否及时反馈科室并办理固定资产相关手续</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是否与合同/协议内容一致</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培训时间</w:t>
            </w: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售后服务（是否按照合同条款完成售后服务</w:t>
            </w:r>
          </w:p>
        </w:tc>
        <w:tc>
          <w:tcPr>
            <w:tcW w:w="1487"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服务态度</w:t>
            </w:r>
          </w:p>
          <w:p>
            <w:pPr>
              <w:widowControl/>
              <w:jc w:val="center"/>
              <w:rPr>
                <w:rFonts w:ascii="宋体" w:hAnsi="宋体" w:cs="宋体"/>
                <w:bCs/>
                <w:kern w:val="0"/>
                <w:szCs w:val="21"/>
              </w:rPr>
            </w:pPr>
            <w:r>
              <w:rPr>
                <w:rFonts w:hint="eastAsia" w:ascii="宋体" w:hAnsi="宋体" w:cs="宋体"/>
                <w:bCs/>
                <w:kern w:val="0"/>
                <w:szCs w:val="21"/>
              </w:rPr>
              <w:t>（优、良、中、差）</w:t>
            </w:r>
          </w:p>
        </w:tc>
        <w:tc>
          <w:tcPr>
            <w:tcW w:w="1651" w:type="dxa"/>
            <w:gridSpan w:val="2"/>
            <w:tcBorders>
              <w:top w:val="single" w:color="auto" w:sz="4" w:space="0"/>
              <w:left w:val="nil"/>
              <w:bottom w:val="nil"/>
              <w:right w:val="single" w:color="auto" w:sz="4" w:space="0"/>
            </w:tcBorders>
            <w:noWrap/>
            <w:vAlign w:val="center"/>
          </w:tcPr>
          <w:p>
            <w:pPr>
              <w:widowControl/>
              <w:jc w:val="center"/>
              <w:rPr>
                <w:rFonts w:ascii="宋体" w:hAnsi="宋体" w:cs="宋体"/>
                <w:bCs/>
                <w:kern w:val="0"/>
                <w:szCs w:val="21"/>
              </w:rPr>
            </w:pPr>
            <w:r>
              <w:rPr>
                <w:rFonts w:hint="eastAsia" w:ascii="宋体" w:hAnsi="宋体" w:cs="宋体"/>
                <w:bCs/>
                <w:kern w:val="0"/>
                <w:szCs w:val="21"/>
              </w:rPr>
              <w:t>供货质量</w:t>
            </w:r>
          </w:p>
          <w:p>
            <w:pPr>
              <w:widowControl/>
              <w:jc w:val="center"/>
              <w:rPr>
                <w:rFonts w:ascii="宋体" w:hAnsi="宋体" w:cs="宋体"/>
                <w:bCs/>
                <w:kern w:val="0"/>
                <w:szCs w:val="21"/>
              </w:rPr>
            </w:pPr>
            <w:r>
              <w:rPr>
                <w:rFonts w:hint="eastAsia" w:ascii="宋体" w:hAnsi="宋体" w:cs="宋体"/>
                <w:bCs/>
                <w:kern w:val="0"/>
                <w:szCs w:val="21"/>
              </w:rPr>
              <w:t>（优、良、中、差）</w:t>
            </w:r>
          </w:p>
        </w:tc>
      </w:tr>
      <w:tr>
        <w:tblPrEx>
          <w:tblCellMar>
            <w:top w:w="0" w:type="dxa"/>
            <w:left w:w="108" w:type="dxa"/>
            <w:bottom w:w="0" w:type="dxa"/>
            <w:right w:w="108" w:type="dxa"/>
          </w:tblCellMar>
        </w:tblPrEx>
        <w:trPr>
          <w:trHeight w:val="660" w:hRule="atLeast"/>
        </w:trPr>
        <w:tc>
          <w:tcPr>
            <w:tcW w:w="10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Cs/>
                <w:kern w:val="0"/>
                <w:sz w:val="20"/>
              </w:rPr>
            </w:pPr>
          </w:p>
        </w:tc>
        <w:tc>
          <w:tcPr>
            <w:tcW w:w="1047"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r>
              <w:rPr>
                <w:rFonts w:hint="eastAsia" w:ascii="宋体" w:hAnsi="宋体" w:cs="宋体"/>
                <w:bCs/>
                <w:kern w:val="0"/>
                <w:sz w:val="20"/>
              </w:rPr>
              <w:t>　</w:t>
            </w: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487" w:type="dxa"/>
            <w:tcBorders>
              <w:top w:val="nil"/>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65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r>
      <w:tr>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Cs/>
                <w:kern w:val="0"/>
                <w:sz w:val="20"/>
              </w:rPr>
            </w:pPr>
          </w:p>
        </w:tc>
        <w:tc>
          <w:tcPr>
            <w:tcW w:w="104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4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65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r>
      <w:tr>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Cs/>
                <w:kern w:val="0"/>
                <w:sz w:val="20"/>
              </w:rPr>
            </w:pPr>
          </w:p>
        </w:tc>
        <w:tc>
          <w:tcPr>
            <w:tcW w:w="104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4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c>
          <w:tcPr>
            <w:tcW w:w="165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kern w:val="0"/>
                <w:sz w:val="20"/>
              </w:rPr>
            </w:pPr>
          </w:p>
        </w:tc>
      </w:tr>
      <w:tr>
        <w:tblPrEx>
          <w:tblCellMar>
            <w:top w:w="0" w:type="dxa"/>
            <w:left w:w="108" w:type="dxa"/>
            <w:bottom w:w="0" w:type="dxa"/>
            <w:right w:w="108" w:type="dxa"/>
          </w:tblCellMar>
        </w:tblPrEx>
        <w:trPr>
          <w:trHeight w:val="1494" w:hRule="atLeast"/>
        </w:trPr>
        <w:tc>
          <w:tcPr>
            <w:tcW w:w="14635" w:type="dxa"/>
            <w:gridSpan w:val="13"/>
            <w:tcBorders>
              <w:top w:val="single" w:color="auto" w:sz="4" w:space="0"/>
              <w:left w:val="single" w:color="auto" w:sz="4" w:space="0"/>
              <w:bottom w:val="single" w:color="auto" w:sz="4" w:space="0"/>
              <w:right w:val="single" w:color="auto" w:sz="4" w:space="0"/>
            </w:tcBorders>
            <w:noWrap/>
          </w:tcPr>
          <w:p>
            <w:pPr>
              <w:widowControl/>
              <w:rPr>
                <w:rFonts w:ascii="宋体" w:hAnsi="宋体" w:cs="宋体"/>
                <w:bCs/>
                <w:kern w:val="0"/>
                <w:sz w:val="20"/>
              </w:rPr>
            </w:pPr>
            <w:r>
              <w:rPr>
                <w:rFonts w:hint="eastAsia" w:ascii="宋体" w:hAnsi="宋体" w:cs="宋体"/>
                <w:bCs/>
                <w:kern w:val="0"/>
                <w:szCs w:val="21"/>
              </w:rPr>
              <w:t>科室意见</w:t>
            </w:r>
            <w:r>
              <w:rPr>
                <w:rFonts w:hint="eastAsia" w:ascii="宋体" w:hAnsi="宋体" w:cs="宋体"/>
                <w:bCs/>
                <w:kern w:val="0"/>
                <w:sz w:val="20"/>
              </w:rPr>
              <w:t>：</w:t>
            </w:r>
          </w:p>
          <w:p>
            <w:pPr>
              <w:widowControl/>
              <w:rPr>
                <w:rFonts w:ascii="宋体" w:hAnsi="宋体" w:cs="宋体"/>
                <w:bCs/>
                <w:kern w:val="0"/>
                <w:sz w:val="20"/>
              </w:rPr>
            </w:pPr>
          </w:p>
          <w:p>
            <w:pPr>
              <w:widowControl/>
              <w:rPr>
                <w:rFonts w:ascii="宋体" w:hAnsi="宋体" w:cs="宋体"/>
                <w:bCs/>
                <w:kern w:val="0"/>
                <w:sz w:val="20"/>
              </w:rPr>
            </w:pPr>
          </w:p>
          <w:p>
            <w:pPr>
              <w:widowControl/>
              <w:rPr>
                <w:rFonts w:ascii="宋体" w:hAnsi="宋体" w:cs="宋体"/>
                <w:bCs/>
                <w:kern w:val="0"/>
                <w:sz w:val="20"/>
              </w:rPr>
            </w:pPr>
          </w:p>
          <w:p>
            <w:pPr>
              <w:widowControl/>
              <w:rPr>
                <w:rFonts w:ascii="宋体" w:hAnsi="宋体" w:cs="宋体"/>
                <w:bCs/>
                <w:kern w:val="0"/>
                <w:sz w:val="20"/>
              </w:rPr>
            </w:pPr>
            <w:r>
              <w:rPr>
                <w:rFonts w:hint="eastAsia" w:ascii="宋体" w:hAnsi="宋体" w:cs="宋体"/>
                <w:bCs/>
                <w:kern w:val="0"/>
                <w:szCs w:val="21"/>
              </w:rPr>
              <w:t xml:space="preserve">是否同意支付货款：                        </w:t>
            </w:r>
            <w:r>
              <w:rPr>
                <w:rFonts w:hint="eastAsia" w:ascii="宋体" w:hAnsi="宋体" w:cs="宋体"/>
                <w:bCs/>
                <w:kern w:val="0"/>
                <w:sz w:val="20"/>
              </w:rPr>
              <w:t xml:space="preserve">    经办人：                            科室主任：                日期                               </w:t>
            </w:r>
          </w:p>
        </w:tc>
      </w:tr>
    </w:tbl>
    <w:p>
      <w:pPr>
        <w:widowControl/>
        <w:adjustRightInd w:val="0"/>
        <w:snapToGrid w:val="0"/>
        <w:spacing w:after="150" w:line="520" w:lineRule="exact"/>
        <w:jc w:val="left"/>
        <w:rPr>
          <w:szCs w:val="24"/>
        </w:rPr>
        <w:sectPr>
          <w:pgSz w:w="16838" w:h="11906" w:orient="landscape"/>
          <w:pgMar w:top="1417" w:right="1417" w:bottom="1134" w:left="1417" w:header="851" w:footer="850" w:gutter="0"/>
          <w:cols w:space="0" w:num="1"/>
          <w:docGrid w:type="linesAndChars" w:linePitch="322" w:charSpace="535"/>
        </w:sectPr>
      </w:pPr>
      <w:r>
        <w:rPr>
          <w:rFonts w:hint="eastAsia"/>
          <w:szCs w:val="24"/>
        </w:rPr>
        <w:t>备注：请使用科室认真负责填写该表1、</w:t>
      </w:r>
      <w:r>
        <w:rPr>
          <w:rFonts w:hint="eastAsia" w:ascii="宋体" w:hAnsi="宋体" w:cs="宋体"/>
          <w:bCs/>
          <w:kern w:val="0"/>
          <w:sz w:val="20"/>
        </w:rPr>
        <w:t>培训时间：</w:t>
      </w:r>
      <w:r>
        <w:rPr>
          <w:rFonts w:hint="eastAsia"/>
          <w:szCs w:val="24"/>
        </w:rPr>
        <w:t>合同中如有培训项目，请注明具体培训时间及次数；2、本表作为支付质量保证金及履约保证金的证明资料，同时作为供应商评价记录。</w:t>
      </w:r>
    </w:p>
    <w:p>
      <w:pPr>
        <w:spacing w:line="500" w:lineRule="exact"/>
        <w:jc w:val="center"/>
        <w:outlineLvl w:val="0"/>
        <w:rPr>
          <w:rFonts w:ascii="宋体" w:hAnsi="宋体"/>
          <w:b/>
        </w:rPr>
      </w:pPr>
      <w:bookmarkStart w:id="15" w:name="_Toc19169"/>
      <w:r>
        <w:rPr>
          <w:rFonts w:hint="eastAsia" w:ascii="宋体" w:hAnsi="宋体"/>
          <w:b/>
          <w:sz w:val="30"/>
          <w:szCs w:val="30"/>
        </w:rPr>
        <w:t>第五章 投标文件格式</w:t>
      </w:r>
      <w:bookmarkEnd w:id="15"/>
    </w:p>
    <w:p>
      <w:pPr>
        <w:pStyle w:val="84"/>
        <w:spacing w:line="500" w:lineRule="exact"/>
        <w:ind w:firstLine="7986" w:firstLineChars="3300"/>
        <w:jc w:val="both"/>
        <w:outlineLvl w:val="1"/>
        <w:rPr>
          <w:rFonts w:ascii="宋体" w:hAnsi="宋体"/>
          <w:b/>
          <w:color w:val="auto"/>
        </w:rPr>
      </w:pPr>
      <w:r>
        <w:rPr>
          <w:rFonts w:hint="eastAsia" w:ascii="宋体" w:hAnsi="宋体"/>
          <w:b/>
          <w:color w:val="auto"/>
        </w:rPr>
        <w:t>正本/副本</w:t>
      </w: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b/>
          <w:color w:val="auto"/>
          <w:sz w:val="30"/>
          <w:szCs w:val="30"/>
        </w:rPr>
      </w:pPr>
    </w:p>
    <w:p>
      <w:pPr>
        <w:pStyle w:val="84"/>
        <w:spacing w:line="500" w:lineRule="exact"/>
        <w:jc w:val="center"/>
        <w:rPr>
          <w:rFonts w:ascii="宋体" w:hAnsi="宋体"/>
          <w:color w:val="auto"/>
          <w:sz w:val="44"/>
          <w:szCs w:val="44"/>
        </w:rPr>
      </w:pPr>
      <w:r>
        <w:rPr>
          <w:rFonts w:hint="eastAsia" w:ascii="宋体" w:hAnsi="宋体"/>
          <w:b/>
          <w:color w:val="auto"/>
          <w:sz w:val="44"/>
          <w:szCs w:val="44"/>
        </w:rPr>
        <w:t>投标文件</w:t>
      </w: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ind w:firstLine="567"/>
        <w:jc w:val="both"/>
        <w:rPr>
          <w:rFonts w:ascii="宋体" w:hAnsi="宋体"/>
          <w:color w:val="auto"/>
        </w:rPr>
      </w:pPr>
    </w:p>
    <w:p>
      <w:pPr>
        <w:spacing w:line="500" w:lineRule="exact"/>
        <w:ind w:firstLine="604" w:firstLineChars="200"/>
        <w:rPr>
          <w:rFonts w:ascii="宋体" w:hAnsi="宋体"/>
          <w:kern w:val="0"/>
          <w:sz w:val="30"/>
          <w:szCs w:val="30"/>
        </w:rPr>
      </w:pPr>
      <w:r>
        <w:rPr>
          <w:rFonts w:hint="eastAsia" w:ascii="宋体" w:hAnsi="宋体"/>
          <w:kern w:val="0"/>
          <w:sz w:val="30"/>
          <w:szCs w:val="30"/>
        </w:rPr>
        <w:t xml:space="preserve">招标项目名称：                        </w:t>
      </w:r>
    </w:p>
    <w:p>
      <w:pPr>
        <w:spacing w:line="500" w:lineRule="exact"/>
        <w:ind w:left="1680" w:hanging="1680"/>
        <w:jc w:val="center"/>
        <w:rPr>
          <w:rFonts w:ascii="宋体" w:hAnsi="宋体"/>
          <w:kern w:val="0"/>
          <w:sz w:val="30"/>
          <w:szCs w:val="30"/>
        </w:rPr>
      </w:pP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 xml:space="preserve">招标文件编号： </w:t>
      </w:r>
    </w:p>
    <w:p>
      <w:pPr>
        <w:pStyle w:val="84"/>
        <w:spacing w:line="500" w:lineRule="exact"/>
        <w:ind w:firstLine="567"/>
        <w:jc w:val="both"/>
        <w:rPr>
          <w:rFonts w:ascii="宋体" w:hAnsi="宋体"/>
          <w:color w:val="auto"/>
          <w:sz w:val="30"/>
          <w:szCs w:val="30"/>
        </w:rPr>
      </w:pP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投标单位名称（加盖公章） ：</w:t>
      </w:r>
    </w:p>
    <w:p>
      <w:pPr>
        <w:pStyle w:val="84"/>
        <w:spacing w:line="500" w:lineRule="exact"/>
        <w:ind w:firstLine="567"/>
        <w:jc w:val="both"/>
        <w:rPr>
          <w:rFonts w:ascii="宋体" w:hAnsi="宋体"/>
          <w:color w:val="auto"/>
          <w:sz w:val="30"/>
          <w:szCs w:val="30"/>
        </w:rPr>
      </w:pP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法定代表人（签字或盖章）：</w:t>
      </w:r>
    </w:p>
    <w:p>
      <w:pPr>
        <w:pStyle w:val="84"/>
        <w:spacing w:line="500" w:lineRule="exact"/>
        <w:ind w:firstLine="604" w:firstLineChars="200"/>
        <w:jc w:val="both"/>
        <w:rPr>
          <w:rFonts w:ascii="宋体" w:hAnsi="宋体"/>
          <w:color w:val="auto"/>
          <w:sz w:val="30"/>
          <w:szCs w:val="30"/>
        </w:rPr>
      </w:pP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项目联系人及联系方式：</w:t>
      </w:r>
    </w:p>
    <w:p>
      <w:pPr>
        <w:pStyle w:val="84"/>
        <w:spacing w:line="500" w:lineRule="exact"/>
        <w:jc w:val="both"/>
        <w:rPr>
          <w:rFonts w:ascii="宋体" w:hAnsi="宋体"/>
          <w:color w:val="auto"/>
        </w:rPr>
      </w:pPr>
    </w:p>
    <w:p>
      <w:pPr>
        <w:pStyle w:val="84"/>
        <w:spacing w:line="500" w:lineRule="exact"/>
        <w:ind w:firstLine="604" w:firstLineChars="200"/>
        <w:jc w:val="both"/>
        <w:rPr>
          <w:rFonts w:ascii="宋体" w:hAnsi="宋体"/>
          <w:color w:val="auto"/>
          <w:sz w:val="30"/>
          <w:szCs w:val="30"/>
        </w:rPr>
      </w:pPr>
      <w:r>
        <w:rPr>
          <w:rFonts w:hint="eastAsia" w:ascii="宋体" w:hAnsi="宋体"/>
          <w:color w:val="auto"/>
          <w:sz w:val="30"/>
          <w:szCs w:val="30"/>
        </w:rPr>
        <w:t>日   期：</w:t>
      </w:r>
    </w:p>
    <w:p>
      <w:pPr>
        <w:pStyle w:val="84"/>
        <w:spacing w:line="500" w:lineRule="exact"/>
        <w:jc w:val="both"/>
        <w:rPr>
          <w:rFonts w:ascii="宋体" w:hAnsi="宋体"/>
          <w:color w:val="auto"/>
        </w:rPr>
      </w:pPr>
    </w:p>
    <w:p>
      <w:pPr>
        <w:pStyle w:val="84"/>
        <w:spacing w:line="500" w:lineRule="exact"/>
        <w:jc w:val="both"/>
        <w:rPr>
          <w:rFonts w:ascii="宋体" w:hAnsi="宋体"/>
          <w:color w:val="auto"/>
        </w:rPr>
      </w:pPr>
    </w:p>
    <w:p>
      <w:pPr>
        <w:pStyle w:val="84"/>
        <w:spacing w:line="500" w:lineRule="exact"/>
        <w:jc w:val="center"/>
        <w:rPr>
          <w:rFonts w:ascii="宋体" w:hAnsi="宋体"/>
          <w:b/>
          <w:color w:val="auto"/>
        </w:rPr>
      </w:pPr>
      <w:r>
        <w:rPr>
          <w:rFonts w:hint="eastAsia" w:ascii="宋体" w:hAnsi="宋体"/>
          <w:b/>
          <w:color w:val="auto"/>
        </w:rPr>
        <w:t>目  录</w:t>
      </w:r>
    </w:p>
    <w:p>
      <w:pPr>
        <w:pStyle w:val="25"/>
        <w:numPr>
          <w:ilvl w:val="0"/>
          <w:numId w:val="6"/>
        </w:numPr>
        <w:spacing w:line="440" w:lineRule="exact"/>
        <w:ind w:firstLine="484" w:firstLineChars="200"/>
        <w:jc w:val="center"/>
        <w:outlineLvl w:val="1"/>
        <w:rPr>
          <w:rFonts w:ascii="Times New Roman" w:hAnsi="Times New Roman"/>
          <w:sz w:val="24"/>
          <w:szCs w:val="24"/>
        </w:rPr>
      </w:pPr>
      <w:r>
        <w:rPr>
          <w:rFonts w:hint="eastAsia" w:ascii="Times New Roman" w:hAnsi="Times New Roman"/>
          <w:sz w:val="24"/>
          <w:szCs w:val="24"/>
        </w:rPr>
        <w:t>商务部分</w:t>
      </w:r>
    </w:p>
    <w:p>
      <w:pPr>
        <w:pStyle w:val="25"/>
        <w:spacing w:line="440" w:lineRule="exact"/>
        <w:rPr>
          <w:rFonts w:ascii="Times New Roman" w:hAnsi="Times New Roman"/>
          <w:sz w:val="24"/>
          <w:szCs w:val="24"/>
        </w:rPr>
      </w:pPr>
    </w:p>
    <w:p>
      <w:pPr>
        <w:pStyle w:val="25"/>
        <w:spacing w:line="440" w:lineRule="exact"/>
        <w:ind w:firstLine="484" w:firstLineChars="200"/>
        <w:outlineLvl w:val="2"/>
        <w:rPr>
          <w:rFonts w:ascii="Times New Roman" w:hAnsi="Times New Roman" w:eastAsia="MingLiU_HKSCS"/>
          <w:sz w:val="24"/>
          <w:szCs w:val="24"/>
        </w:rPr>
      </w:pPr>
      <w:r>
        <w:rPr>
          <w:rFonts w:hint="eastAsia" w:ascii="Times New Roman" w:hAnsi="Times New Roman"/>
          <w:sz w:val="24"/>
          <w:szCs w:val="24"/>
        </w:rPr>
        <w:t>一、投标函</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5"/>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附件</w:t>
      </w:r>
      <w:r>
        <w:rPr>
          <w:rFonts w:ascii="Times New Roman" w:hAnsi="Times New Roman"/>
          <w:sz w:val="24"/>
          <w:szCs w:val="24"/>
        </w:rPr>
        <w:t>1</w:t>
      </w:r>
      <w:r>
        <w:rPr>
          <w:rFonts w:hint="eastAsia" w:ascii="Times New Roman" w:hAnsi="Times New Roman"/>
          <w:sz w:val="24"/>
          <w:szCs w:val="24"/>
        </w:rPr>
        <w:t>-1　法定代表人身份证明复印件</w:t>
      </w:r>
      <w:r>
        <w:rPr>
          <w:rFonts w:ascii="Times New Roman" w:hAnsi="Times New Roman"/>
          <w:sz w:val="24"/>
          <w:szCs w:val="24"/>
        </w:rPr>
        <w:t>(</w:t>
      </w:r>
      <w:r>
        <w:rPr>
          <w:rFonts w:hint="eastAsia" w:ascii="Times New Roman" w:hAnsi="Times New Roman"/>
          <w:sz w:val="24"/>
          <w:szCs w:val="24"/>
        </w:rPr>
        <w:t>法定代表人参加投标</w:t>
      </w:r>
      <w:r>
        <w:rPr>
          <w:rFonts w:ascii="Times New Roman" w:hAnsi="Times New Roman"/>
          <w:sz w:val="24"/>
          <w:szCs w:val="24"/>
        </w:rPr>
        <w:t>)</w:t>
      </w:r>
    </w:p>
    <w:p>
      <w:pPr>
        <w:pStyle w:val="25"/>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附件1-2　法定代表人授权书</w:t>
      </w:r>
      <w:r>
        <w:rPr>
          <w:rFonts w:ascii="Times New Roman" w:hAnsi="Times New Roman"/>
          <w:sz w:val="24"/>
          <w:szCs w:val="24"/>
        </w:rPr>
        <w:t>(</w:t>
      </w:r>
      <w:r>
        <w:rPr>
          <w:rFonts w:hint="eastAsia" w:ascii="Times New Roman" w:hAnsi="Times New Roman"/>
          <w:sz w:val="24"/>
          <w:szCs w:val="24"/>
        </w:rPr>
        <w:t>授权代表参加投标</w:t>
      </w:r>
      <w:r>
        <w:rPr>
          <w:rFonts w:ascii="Times New Roman" w:hAnsi="Times New Roman"/>
          <w:sz w:val="24"/>
          <w:szCs w:val="24"/>
        </w:rPr>
        <w:t>)</w:t>
      </w:r>
    </w:p>
    <w:p>
      <w:pPr>
        <w:pStyle w:val="25"/>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附件1-3　授权委托书</w:t>
      </w:r>
      <w:r>
        <w:rPr>
          <w:rFonts w:ascii="Times New Roman" w:hAnsi="Times New Roman"/>
          <w:sz w:val="24"/>
          <w:szCs w:val="24"/>
        </w:rPr>
        <w:t>(</w:t>
      </w:r>
      <w:r>
        <w:rPr>
          <w:rFonts w:hint="eastAsia" w:ascii="Times New Roman" w:hAnsi="Times New Roman"/>
          <w:sz w:val="24"/>
          <w:szCs w:val="24"/>
        </w:rPr>
        <w:t>格式二</w:t>
      </w:r>
      <w:r>
        <w:rPr>
          <w:rFonts w:ascii="Times New Roman" w:hAnsi="Times New Roman"/>
          <w:sz w:val="24"/>
          <w:szCs w:val="24"/>
        </w:rPr>
        <w:t>)(</w:t>
      </w:r>
      <w:r>
        <w:rPr>
          <w:rFonts w:hint="eastAsia" w:ascii="Times New Roman" w:hAnsi="Times New Roman"/>
          <w:sz w:val="24"/>
          <w:szCs w:val="24"/>
        </w:rPr>
        <w:t>适用于自然人委托投标</w:t>
      </w:r>
      <w:r>
        <w:rPr>
          <w:rFonts w:ascii="Times New Roman" w:hAnsi="Times New Roman"/>
          <w:sz w:val="24"/>
          <w:szCs w:val="24"/>
        </w:rPr>
        <w:t>)</w:t>
      </w:r>
    </w:p>
    <w:p>
      <w:pPr>
        <w:pStyle w:val="25"/>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二、开标一览表</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5"/>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三、分项价格表</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5"/>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四、商务条款偏离表</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5"/>
        <w:spacing w:line="440" w:lineRule="exact"/>
        <w:ind w:firstLine="484" w:firstLineChars="200"/>
        <w:rPr>
          <w:rFonts w:ascii="Times New Roman" w:hAnsi="Times New Roman"/>
          <w:sz w:val="24"/>
          <w:szCs w:val="24"/>
        </w:rPr>
      </w:pPr>
      <w:r>
        <w:rPr>
          <w:rFonts w:hint="eastAsia" w:ascii="Times New Roman" w:hAnsi="Times New Roman"/>
          <w:sz w:val="24"/>
          <w:szCs w:val="24"/>
        </w:rPr>
        <w:t>五、投标保证金汇款凭证</w:t>
      </w:r>
    </w:p>
    <w:p>
      <w:pPr>
        <w:pStyle w:val="25"/>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六、供应商的资格证明材料</w:t>
      </w:r>
    </w:p>
    <w:p>
      <w:pPr>
        <w:pStyle w:val="25"/>
        <w:spacing w:line="440" w:lineRule="exact"/>
        <w:ind w:firstLine="484" w:firstLineChars="200"/>
        <w:outlineLvl w:val="3"/>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一</w:t>
      </w:r>
      <w:r>
        <w:rPr>
          <w:rFonts w:ascii="Times New Roman" w:hAnsi="Times New Roman"/>
          <w:sz w:val="24"/>
          <w:szCs w:val="24"/>
        </w:rPr>
        <w:t>)</w:t>
      </w:r>
      <w:r>
        <w:rPr>
          <w:rFonts w:hint="eastAsia" w:ascii="Times New Roman" w:hAnsi="Times New Roman"/>
          <w:sz w:val="24"/>
          <w:szCs w:val="24"/>
        </w:rPr>
        <w:t>供应商基本情况表</w:t>
      </w:r>
    </w:p>
    <w:p>
      <w:pPr>
        <w:pStyle w:val="25"/>
        <w:spacing w:line="440" w:lineRule="exact"/>
        <w:ind w:firstLine="484" w:firstLineChars="200"/>
        <w:rPr>
          <w:rFonts w:ascii="Times New Roman" w:hAnsi="Times New Roman"/>
          <w:sz w:val="24"/>
          <w:szCs w:val="24"/>
        </w:rPr>
      </w:pPr>
      <w:r>
        <w:rPr>
          <w:rFonts w:hint="eastAsia" w:ascii="Times New Roman" w:hAnsi="Times New Roman"/>
          <w:sz w:val="24"/>
          <w:szCs w:val="24"/>
        </w:rPr>
        <w:t>附件2-1　法人或者其他组织的营业执照副本复印件或自然人的身份证明复印件</w:t>
      </w:r>
    </w:p>
    <w:p>
      <w:pPr>
        <w:pStyle w:val="25"/>
        <w:spacing w:line="440" w:lineRule="exact"/>
        <w:ind w:firstLine="484" w:firstLineChars="200"/>
        <w:rPr>
          <w:rFonts w:ascii="Times New Roman" w:hAnsi="Times New Roman"/>
          <w:sz w:val="24"/>
          <w:szCs w:val="24"/>
        </w:rPr>
      </w:pPr>
      <w:r>
        <w:rPr>
          <w:rFonts w:hint="eastAsia" w:ascii="Times New Roman" w:hAnsi="Times New Roman"/>
          <w:sz w:val="24"/>
          <w:szCs w:val="24"/>
        </w:rPr>
        <w:t>附件2-2　法人或者其他组织的税务登记证副本复印件(按规定可不进行税务登记的不提供)</w:t>
      </w:r>
    </w:p>
    <w:p>
      <w:pPr>
        <w:pStyle w:val="25"/>
        <w:spacing w:line="440" w:lineRule="exact"/>
        <w:ind w:firstLine="484" w:firstLineChars="200"/>
        <w:outlineLvl w:val="2"/>
        <w:rPr>
          <w:rFonts w:ascii="Times New Roman" w:hAnsi="Times New Roman"/>
          <w:sz w:val="24"/>
          <w:szCs w:val="24"/>
        </w:rPr>
      </w:pPr>
      <w:r>
        <w:rPr>
          <w:rFonts w:hint="eastAsia" w:ascii="Times New Roman" w:hAnsi="Times New Roman"/>
          <w:sz w:val="24"/>
          <w:szCs w:val="24"/>
        </w:rPr>
        <w:t>附件2-3　具备履行合同所必需的设备和专业技术能力的证明材料</w:t>
      </w:r>
    </w:p>
    <w:p>
      <w:pPr>
        <w:pStyle w:val="84"/>
        <w:spacing w:line="500" w:lineRule="exact"/>
        <w:ind w:firstLine="484" w:firstLineChars="200"/>
        <w:jc w:val="both"/>
        <w:outlineLvl w:val="2"/>
        <w:rPr>
          <w:color w:val="auto"/>
          <w:kern w:val="2"/>
        </w:rPr>
      </w:pPr>
      <w:bookmarkStart w:id="16" w:name="_Toc19159"/>
      <w:bookmarkStart w:id="17" w:name="_Toc1976"/>
      <w:bookmarkStart w:id="18" w:name="_Toc27448"/>
      <w:r>
        <w:rPr>
          <w:rFonts w:hint="eastAsia"/>
          <w:color w:val="auto"/>
          <w:kern w:val="2"/>
        </w:rPr>
        <w:t>七、项目业绩表</w:t>
      </w:r>
      <w:bookmarkEnd w:id="16"/>
      <w:bookmarkEnd w:id="17"/>
      <w:bookmarkEnd w:id="18"/>
    </w:p>
    <w:p>
      <w:pPr>
        <w:pStyle w:val="25"/>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八、提供符合政府采购政策的证明材料</w:t>
      </w:r>
    </w:p>
    <w:p>
      <w:pPr>
        <w:pStyle w:val="25"/>
        <w:spacing w:line="440" w:lineRule="exact"/>
        <w:ind w:firstLine="484" w:firstLineChars="200"/>
        <w:rPr>
          <w:rFonts w:ascii="Times New Roman" w:hAnsi="Times New Roman" w:eastAsia="MingLiU_HKSCS"/>
          <w:sz w:val="24"/>
          <w:szCs w:val="24"/>
        </w:rPr>
      </w:pPr>
      <w:r>
        <w:rPr>
          <w:rFonts w:hint="eastAsia" w:ascii="Times New Roman" w:hAnsi="Times New Roman"/>
          <w:sz w:val="24"/>
          <w:szCs w:val="24"/>
        </w:rPr>
        <w:t>附件3-1　中小企业声明函</w:t>
      </w:r>
      <w:r>
        <w:rPr>
          <w:rFonts w:ascii="Times New Roman" w:hAnsi="Times New Roman"/>
          <w:sz w:val="24"/>
          <w:szCs w:val="24"/>
        </w:rPr>
        <w:t>(</w:t>
      </w:r>
      <w:r>
        <w:rPr>
          <w:rFonts w:hint="eastAsia" w:ascii="Times New Roman" w:hAnsi="Times New Roman"/>
          <w:sz w:val="24"/>
          <w:szCs w:val="24"/>
        </w:rPr>
        <w:t>格式附后</w:t>
      </w:r>
      <w:r>
        <w:rPr>
          <w:rFonts w:ascii="Times New Roman" w:hAnsi="Times New Roman"/>
          <w:sz w:val="24"/>
          <w:szCs w:val="24"/>
        </w:rPr>
        <w:t>)</w:t>
      </w:r>
    </w:p>
    <w:p>
      <w:pPr>
        <w:pStyle w:val="25"/>
        <w:spacing w:line="440" w:lineRule="exact"/>
        <w:ind w:firstLine="484" w:firstLineChars="200"/>
        <w:rPr>
          <w:rFonts w:ascii="Times New Roman" w:hAnsi="Times New Roman"/>
          <w:sz w:val="24"/>
          <w:szCs w:val="24"/>
        </w:rPr>
      </w:pPr>
      <w:r>
        <w:rPr>
          <w:rFonts w:hint="eastAsia" w:ascii="Times New Roman" w:hAnsi="Times New Roman"/>
          <w:sz w:val="24"/>
          <w:szCs w:val="24"/>
        </w:rPr>
        <w:t>附件3-1　</w:t>
      </w:r>
      <w:r>
        <w:rPr>
          <w:rFonts w:hint="eastAsia"/>
          <w:sz w:val="24"/>
          <w:szCs w:val="24"/>
        </w:rPr>
        <w:t>“</w:t>
      </w:r>
      <w:r>
        <w:rPr>
          <w:rFonts w:hint="eastAsia" w:ascii="Times New Roman" w:hAnsi="Times New Roman"/>
          <w:sz w:val="24"/>
          <w:szCs w:val="24"/>
        </w:rPr>
        <w:t>节能产品</w:t>
      </w:r>
      <w:r>
        <w:rPr>
          <w:rFonts w:hint="eastAsia"/>
          <w:sz w:val="24"/>
          <w:szCs w:val="24"/>
        </w:rPr>
        <w:t>”“</w:t>
      </w:r>
      <w:r>
        <w:rPr>
          <w:rFonts w:hint="eastAsia" w:ascii="Times New Roman" w:hAnsi="Times New Roman"/>
          <w:sz w:val="24"/>
          <w:szCs w:val="24"/>
        </w:rPr>
        <w:t>环境标志产品</w:t>
      </w:r>
      <w:r>
        <w:rPr>
          <w:rFonts w:hint="eastAsia"/>
          <w:sz w:val="24"/>
          <w:szCs w:val="24"/>
        </w:rPr>
        <w:t>”</w:t>
      </w:r>
      <w:r>
        <w:rPr>
          <w:rFonts w:hint="eastAsia" w:ascii="Times New Roman" w:hAnsi="Times New Roman"/>
          <w:sz w:val="24"/>
          <w:szCs w:val="24"/>
        </w:rPr>
        <w:t>、信息安全认证产品等政府采购法律法规要求的其他证明材料</w:t>
      </w:r>
    </w:p>
    <w:p>
      <w:pPr>
        <w:spacing w:line="500" w:lineRule="exact"/>
        <w:ind w:firstLine="484" w:firstLineChars="200"/>
        <w:rPr>
          <w:sz w:val="24"/>
          <w:szCs w:val="24"/>
        </w:rPr>
      </w:pPr>
      <w:r>
        <w:rPr>
          <w:rFonts w:hint="eastAsia"/>
          <w:sz w:val="24"/>
          <w:szCs w:val="24"/>
        </w:rPr>
        <w:t>九、试剂耗材清单及承诺书；</w:t>
      </w:r>
    </w:p>
    <w:p>
      <w:pPr>
        <w:spacing w:line="500" w:lineRule="exact"/>
        <w:ind w:firstLine="484" w:firstLineChars="200"/>
        <w:rPr>
          <w:sz w:val="24"/>
          <w:szCs w:val="24"/>
        </w:rPr>
      </w:pPr>
      <w:r>
        <w:rPr>
          <w:rFonts w:hint="eastAsia"/>
          <w:sz w:val="24"/>
          <w:szCs w:val="24"/>
        </w:rPr>
        <w:t>十、投标供应商认为有必要提供的声明及文件资料。</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p>
    <w:p>
      <w:pPr>
        <w:spacing w:line="500" w:lineRule="exact"/>
        <w:ind w:firstLine="484" w:firstLineChars="200"/>
        <w:rPr>
          <w:rFonts w:ascii="宋体" w:hAnsi="宋体"/>
          <w:b/>
          <w:sz w:val="24"/>
          <w:szCs w:val="24"/>
        </w:rPr>
      </w:pPr>
    </w:p>
    <w:p>
      <w:pPr>
        <w:pStyle w:val="2"/>
        <w:ind w:left="425" w:firstLine="487"/>
        <w:rPr>
          <w:rFonts w:ascii="宋体" w:hAnsi="宋体"/>
          <w:b/>
          <w:sz w:val="24"/>
        </w:rPr>
      </w:pPr>
    </w:p>
    <w:p>
      <w:pPr>
        <w:pStyle w:val="2"/>
        <w:ind w:left="425" w:firstLine="487"/>
        <w:rPr>
          <w:rFonts w:ascii="宋体" w:hAnsi="宋体"/>
          <w:b/>
          <w:sz w:val="24"/>
        </w:rPr>
      </w:pPr>
    </w:p>
    <w:p>
      <w:pPr>
        <w:pStyle w:val="2"/>
        <w:ind w:left="425" w:firstLine="487"/>
        <w:rPr>
          <w:rFonts w:ascii="宋体" w:hAnsi="宋体"/>
          <w:b/>
          <w:sz w:val="24"/>
        </w:rPr>
      </w:pPr>
    </w:p>
    <w:p>
      <w:pPr>
        <w:spacing w:line="500" w:lineRule="exact"/>
        <w:jc w:val="center"/>
        <w:outlineLvl w:val="1"/>
        <w:rPr>
          <w:rFonts w:ascii="宋体" w:hAnsi="宋体"/>
          <w:b/>
          <w:sz w:val="24"/>
          <w:szCs w:val="24"/>
        </w:rPr>
      </w:pPr>
      <w:r>
        <w:rPr>
          <w:rFonts w:hint="eastAsia"/>
          <w:sz w:val="24"/>
          <w:szCs w:val="24"/>
        </w:rPr>
        <w:t>第二部分　技术部分</w:t>
      </w:r>
    </w:p>
    <w:p>
      <w:pPr>
        <w:spacing w:line="500" w:lineRule="exact"/>
        <w:ind w:firstLine="484" w:firstLineChars="200"/>
        <w:rPr>
          <w:rFonts w:ascii="宋体" w:hAnsi="宋体"/>
          <w:b/>
          <w:bCs/>
          <w:sz w:val="24"/>
          <w:szCs w:val="24"/>
        </w:rPr>
      </w:pPr>
      <w:r>
        <w:rPr>
          <w:rFonts w:hint="eastAsia" w:ascii="宋体" w:hAnsi="宋体"/>
          <w:b/>
          <w:bCs/>
          <w:sz w:val="24"/>
          <w:szCs w:val="24"/>
        </w:rPr>
        <w:t>(1) 项目实施方案、技术方案或服务方案；</w:t>
      </w:r>
    </w:p>
    <w:p>
      <w:pPr>
        <w:spacing w:line="500" w:lineRule="exact"/>
        <w:ind w:firstLine="484" w:firstLineChars="200"/>
        <w:rPr>
          <w:rFonts w:ascii="宋体" w:hAnsi="宋体"/>
          <w:b/>
          <w:bCs/>
          <w:sz w:val="24"/>
          <w:szCs w:val="24"/>
        </w:rPr>
      </w:pPr>
      <w:r>
        <w:rPr>
          <w:rFonts w:hint="eastAsia" w:ascii="宋体" w:hAnsi="宋体"/>
          <w:b/>
          <w:bCs/>
          <w:sz w:val="24"/>
          <w:szCs w:val="24"/>
        </w:rPr>
        <w:t>(2) 投标供应商必须提供投标设备的详细配置及参数说明；</w:t>
      </w:r>
    </w:p>
    <w:p>
      <w:pPr>
        <w:spacing w:line="500" w:lineRule="exact"/>
        <w:ind w:firstLine="484" w:firstLineChars="200"/>
        <w:rPr>
          <w:rFonts w:ascii="宋体" w:hAnsi="宋体"/>
          <w:b/>
          <w:bCs/>
          <w:sz w:val="24"/>
          <w:szCs w:val="24"/>
        </w:rPr>
      </w:pPr>
      <w:r>
        <w:rPr>
          <w:rFonts w:hint="eastAsia" w:ascii="宋体" w:hAnsi="宋体"/>
          <w:b/>
          <w:bCs/>
          <w:sz w:val="24"/>
          <w:szCs w:val="24"/>
        </w:rPr>
        <w:t>(3) 质量保证措施；</w:t>
      </w:r>
    </w:p>
    <w:p>
      <w:pPr>
        <w:spacing w:line="500" w:lineRule="exact"/>
        <w:ind w:firstLine="484" w:firstLineChars="200"/>
        <w:rPr>
          <w:rFonts w:ascii="宋体" w:hAnsi="宋体"/>
          <w:b/>
          <w:bCs/>
          <w:sz w:val="24"/>
          <w:szCs w:val="24"/>
        </w:rPr>
      </w:pPr>
      <w:r>
        <w:rPr>
          <w:rFonts w:hint="eastAsia" w:ascii="宋体" w:hAnsi="宋体"/>
          <w:b/>
          <w:bCs/>
          <w:sz w:val="24"/>
          <w:szCs w:val="24"/>
        </w:rPr>
        <w:t>(4) 针对本项目执行进度计划；</w:t>
      </w:r>
    </w:p>
    <w:p>
      <w:pPr>
        <w:spacing w:line="500" w:lineRule="exact"/>
        <w:ind w:firstLine="484" w:firstLineChars="200"/>
        <w:rPr>
          <w:rFonts w:ascii="宋体" w:hAnsi="宋体"/>
          <w:b/>
          <w:bCs/>
          <w:sz w:val="24"/>
          <w:szCs w:val="24"/>
        </w:rPr>
      </w:pPr>
      <w:r>
        <w:rPr>
          <w:rFonts w:hint="eastAsia" w:ascii="宋体" w:hAnsi="宋体"/>
          <w:b/>
          <w:bCs/>
          <w:sz w:val="24"/>
          <w:szCs w:val="24"/>
        </w:rPr>
        <w:t>(5) 技术条款偏离表；</w:t>
      </w:r>
    </w:p>
    <w:p>
      <w:pPr>
        <w:spacing w:line="500" w:lineRule="exact"/>
        <w:ind w:left="967" w:leftChars="228" w:hanging="484" w:hangingChars="200"/>
        <w:rPr>
          <w:rFonts w:ascii="宋体" w:hAnsi="宋体"/>
          <w:b/>
          <w:bCs/>
          <w:sz w:val="24"/>
          <w:szCs w:val="24"/>
        </w:rPr>
      </w:pPr>
      <w:r>
        <w:rPr>
          <w:rFonts w:hint="eastAsia" w:ascii="宋体" w:hAnsi="宋体"/>
          <w:b/>
          <w:bCs/>
          <w:sz w:val="24"/>
          <w:szCs w:val="24"/>
        </w:rPr>
        <w:t>(6) 有关的产品（包括但不限于检验报告、产品注册证、指标、产品技术性能详述、验收标准等）；</w:t>
      </w:r>
    </w:p>
    <w:p>
      <w:pPr>
        <w:spacing w:line="500" w:lineRule="exact"/>
        <w:ind w:firstLine="484" w:firstLineChars="200"/>
        <w:rPr>
          <w:rFonts w:ascii="宋体" w:hAnsi="宋体"/>
          <w:b/>
          <w:bCs/>
          <w:sz w:val="24"/>
          <w:szCs w:val="24"/>
        </w:rPr>
      </w:pPr>
      <w:r>
        <w:rPr>
          <w:rFonts w:hint="eastAsia" w:ascii="宋体" w:hAnsi="宋体"/>
          <w:b/>
          <w:bCs/>
          <w:sz w:val="24"/>
          <w:szCs w:val="24"/>
        </w:rPr>
        <w:t>(7) 投标人售后服务承诺；</w:t>
      </w:r>
    </w:p>
    <w:p>
      <w:pPr>
        <w:spacing w:line="500" w:lineRule="exact"/>
        <w:ind w:firstLine="484" w:firstLineChars="200"/>
        <w:rPr>
          <w:rFonts w:ascii="宋体" w:hAnsi="宋体"/>
          <w:b/>
          <w:bCs/>
          <w:sz w:val="24"/>
          <w:szCs w:val="24"/>
        </w:rPr>
      </w:pPr>
      <w:r>
        <w:rPr>
          <w:rFonts w:hint="eastAsia" w:ascii="宋体" w:hAnsi="宋体"/>
          <w:b/>
          <w:bCs/>
          <w:sz w:val="24"/>
          <w:szCs w:val="24"/>
        </w:rPr>
        <w:t>（8） 投标供应商认为有必要提供的声明及文件资料。</w:t>
      </w:r>
    </w:p>
    <w:p>
      <w:pPr>
        <w:spacing w:line="500" w:lineRule="exact"/>
        <w:ind w:firstLine="484" w:firstLineChars="200"/>
        <w:rPr>
          <w:rFonts w:ascii="宋体" w:hAnsi="宋体"/>
          <w:b/>
          <w:bCs/>
          <w:sz w:val="24"/>
          <w:szCs w:val="24"/>
        </w:rPr>
      </w:pPr>
      <w:r>
        <w:rPr>
          <w:rFonts w:hint="eastAsia" w:ascii="宋体" w:hAnsi="宋体"/>
          <w:b/>
          <w:bCs/>
          <w:sz w:val="24"/>
          <w:szCs w:val="24"/>
        </w:rPr>
        <w:br w:type="page"/>
      </w:r>
    </w:p>
    <w:p>
      <w:pPr>
        <w:pStyle w:val="25"/>
        <w:numPr>
          <w:ilvl w:val="0"/>
          <w:numId w:val="6"/>
        </w:numPr>
        <w:spacing w:line="440" w:lineRule="exact"/>
        <w:ind w:firstLine="484" w:firstLineChars="200"/>
        <w:jc w:val="center"/>
        <w:outlineLvl w:val="1"/>
        <w:rPr>
          <w:rFonts w:ascii="Times New Roman" w:hAnsi="Times New Roman"/>
          <w:sz w:val="24"/>
          <w:szCs w:val="24"/>
        </w:rPr>
      </w:pPr>
      <w:r>
        <w:rPr>
          <w:rFonts w:hint="eastAsia" w:ascii="Times New Roman" w:hAnsi="Times New Roman"/>
          <w:sz w:val="24"/>
          <w:szCs w:val="24"/>
        </w:rPr>
        <w:t>商务部分</w:t>
      </w:r>
    </w:p>
    <w:p>
      <w:pPr>
        <w:pStyle w:val="84"/>
        <w:spacing w:line="500" w:lineRule="exact"/>
        <w:jc w:val="center"/>
        <w:outlineLvl w:val="2"/>
        <w:rPr>
          <w:rFonts w:ascii="宋体" w:hAnsi="宋体"/>
          <w:b/>
          <w:color w:val="auto"/>
        </w:rPr>
      </w:pPr>
      <w:r>
        <w:rPr>
          <w:rFonts w:hint="eastAsia" w:ascii="宋体" w:hAnsi="宋体"/>
          <w:b/>
          <w:color w:val="auto"/>
        </w:rPr>
        <w:t>一、投标函</w:t>
      </w:r>
    </w:p>
    <w:p>
      <w:pPr>
        <w:pStyle w:val="84"/>
        <w:spacing w:line="500" w:lineRule="exact"/>
        <w:rPr>
          <w:rFonts w:ascii="宋体" w:hAnsi="宋体"/>
          <w:color w:val="auto"/>
        </w:rPr>
      </w:pPr>
      <w:r>
        <w:rPr>
          <w:rFonts w:hint="eastAsia" w:ascii="宋体" w:hAnsi="宋体"/>
          <w:color w:val="auto"/>
        </w:rPr>
        <w:t>新疆宏力源工程项目管理有限公司：</w:t>
      </w:r>
    </w:p>
    <w:p>
      <w:pPr>
        <w:pStyle w:val="84"/>
        <w:spacing w:line="500" w:lineRule="exact"/>
        <w:ind w:firstLine="567"/>
        <w:jc w:val="both"/>
        <w:rPr>
          <w:rFonts w:ascii="宋体" w:hAnsi="宋体"/>
          <w:color w:val="auto"/>
        </w:rPr>
      </w:pPr>
      <w:r>
        <w:rPr>
          <w:rFonts w:hint="eastAsia" w:ascii="宋体" w:hAnsi="宋体"/>
          <w:color w:val="auto"/>
        </w:rPr>
        <w:t>我们收到你们号招标文件，经认真研究，我们决定参加投标。</w:t>
      </w:r>
    </w:p>
    <w:p>
      <w:pPr>
        <w:pStyle w:val="84"/>
        <w:spacing w:line="500" w:lineRule="exact"/>
        <w:ind w:firstLine="567"/>
        <w:jc w:val="both"/>
        <w:rPr>
          <w:rFonts w:ascii="宋体" w:hAnsi="宋体"/>
          <w:color w:val="auto"/>
        </w:rPr>
      </w:pPr>
      <w:r>
        <w:rPr>
          <w:rFonts w:hint="eastAsia" w:ascii="宋体" w:hAnsi="宋体"/>
          <w:color w:val="auto"/>
        </w:rPr>
        <w:t>⒈按照招标文件中的一切要求，提供招标设备、安装及技术服务投标总价元（人民币大写）￥：元人民币。</w:t>
      </w:r>
    </w:p>
    <w:p>
      <w:pPr>
        <w:pStyle w:val="84"/>
        <w:spacing w:line="500" w:lineRule="exact"/>
        <w:ind w:firstLine="567"/>
        <w:jc w:val="both"/>
        <w:rPr>
          <w:rFonts w:ascii="宋体" w:hAnsi="宋体"/>
          <w:color w:val="auto"/>
        </w:rPr>
      </w:pPr>
      <w:r>
        <w:rPr>
          <w:rFonts w:hint="eastAsia" w:ascii="宋体" w:hAnsi="宋体"/>
          <w:color w:val="auto"/>
        </w:rPr>
        <w:t>⒉如果我们投标书被接受，我们将履行招标文件中规定的每一项要求，按期、按质、按量完成交货和完工任务。</w:t>
      </w:r>
    </w:p>
    <w:p>
      <w:pPr>
        <w:pStyle w:val="84"/>
        <w:spacing w:line="500" w:lineRule="exact"/>
        <w:ind w:firstLine="567"/>
        <w:jc w:val="both"/>
        <w:rPr>
          <w:rFonts w:ascii="宋体" w:hAnsi="宋体"/>
          <w:color w:val="auto"/>
        </w:rPr>
      </w:pPr>
      <w:r>
        <w:rPr>
          <w:rFonts w:hint="eastAsia" w:ascii="宋体" w:hAnsi="宋体"/>
          <w:color w:val="auto"/>
        </w:rPr>
        <w:t>⒊我们同意按招标文件的规定，本投标书的有效期为开标后</w:t>
      </w:r>
      <w:r>
        <w:rPr>
          <w:rFonts w:hint="eastAsia" w:ascii="宋体" w:hAnsi="宋体"/>
          <w:b/>
          <w:color w:val="auto"/>
          <w:u w:val="single"/>
        </w:rPr>
        <w:t>60</w:t>
      </w:r>
      <w:r>
        <w:rPr>
          <w:rFonts w:hint="eastAsia" w:ascii="宋体" w:hAnsi="宋体"/>
          <w:color w:val="auto"/>
        </w:rPr>
        <w:t xml:space="preserve"> 天。</w:t>
      </w:r>
    </w:p>
    <w:p>
      <w:pPr>
        <w:pStyle w:val="84"/>
        <w:spacing w:line="500" w:lineRule="exact"/>
        <w:ind w:firstLine="567"/>
        <w:jc w:val="both"/>
        <w:rPr>
          <w:rFonts w:ascii="宋体" w:hAnsi="宋体"/>
          <w:color w:val="auto"/>
        </w:rPr>
      </w:pPr>
      <w:r>
        <w:rPr>
          <w:rFonts w:hint="eastAsia" w:ascii="宋体" w:hAnsi="宋体"/>
          <w:color w:val="auto"/>
        </w:rPr>
        <w:t>⒋我们愿意提供招标人在招标文件中要求的所有资料。</w:t>
      </w:r>
    </w:p>
    <w:p>
      <w:pPr>
        <w:pStyle w:val="84"/>
        <w:spacing w:line="500" w:lineRule="exact"/>
        <w:ind w:firstLine="567"/>
        <w:jc w:val="both"/>
        <w:rPr>
          <w:rFonts w:ascii="宋体" w:hAnsi="宋体"/>
          <w:color w:val="auto"/>
        </w:rPr>
      </w:pPr>
      <w:r>
        <w:rPr>
          <w:rFonts w:hint="eastAsia" w:ascii="宋体" w:hAnsi="宋体"/>
          <w:color w:val="auto"/>
        </w:rPr>
        <w:t>⒌我们认为你们有选择或拒绝任何投标者中标的权力。我们理解，最低报价不是中标的唯一条件。</w:t>
      </w:r>
    </w:p>
    <w:p>
      <w:pPr>
        <w:pStyle w:val="84"/>
        <w:spacing w:line="500" w:lineRule="exact"/>
        <w:ind w:firstLine="567"/>
        <w:jc w:val="both"/>
        <w:rPr>
          <w:rFonts w:ascii="宋体" w:hAnsi="宋体"/>
          <w:color w:val="auto"/>
        </w:rPr>
      </w:pPr>
      <w:r>
        <w:rPr>
          <w:rFonts w:hint="eastAsia" w:ascii="宋体" w:hAnsi="宋体"/>
          <w:color w:val="auto"/>
        </w:rPr>
        <w:t>⒍我们愿按合同法履行自己的全部责任。</w:t>
      </w:r>
    </w:p>
    <w:p>
      <w:pPr>
        <w:pStyle w:val="84"/>
        <w:spacing w:line="500" w:lineRule="exact"/>
        <w:ind w:firstLine="567"/>
        <w:jc w:val="both"/>
        <w:rPr>
          <w:rFonts w:ascii="宋体" w:hAnsi="宋体"/>
          <w:color w:val="auto"/>
        </w:rPr>
      </w:pPr>
      <w:r>
        <w:rPr>
          <w:rFonts w:hint="eastAsia" w:ascii="宋体" w:hAnsi="宋体"/>
          <w:color w:val="auto"/>
        </w:rPr>
        <w:t>⒎我方愿意遵守国家有关规定及招标文件中规定的收费标准，承付中标服务费。</w:t>
      </w:r>
    </w:p>
    <w:p>
      <w:pPr>
        <w:pStyle w:val="84"/>
        <w:spacing w:line="500" w:lineRule="exact"/>
        <w:ind w:firstLine="567"/>
        <w:jc w:val="both"/>
        <w:rPr>
          <w:rFonts w:ascii="宋体" w:hAnsi="宋体"/>
          <w:color w:val="auto"/>
        </w:rPr>
      </w:pPr>
      <w:r>
        <w:rPr>
          <w:rFonts w:hint="eastAsia" w:ascii="宋体" w:hAnsi="宋体"/>
          <w:color w:val="auto"/>
        </w:rPr>
        <w:t>⒏该项投标在开标后的全过程中保持有效，不作任何更改和变动。</w:t>
      </w:r>
    </w:p>
    <w:p>
      <w:pPr>
        <w:pStyle w:val="84"/>
        <w:spacing w:line="500" w:lineRule="exact"/>
        <w:ind w:firstLine="567"/>
        <w:jc w:val="both"/>
        <w:rPr>
          <w:rFonts w:ascii="宋体" w:hAnsi="宋体"/>
          <w:color w:val="auto"/>
        </w:rPr>
      </w:pPr>
      <w:r>
        <w:rPr>
          <w:rFonts w:hint="eastAsia" w:ascii="宋体" w:hAnsi="宋体"/>
          <w:color w:val="auto"/>
        </w:rPr>
        <w:t>⒐我们同意按招标文件规定，交纳万元的投标保证金。</w:t>
      </w:r>
    </w:p>
    <w:p>
      <w:pPr>
        <w:pStyle w:val="84"/>
        <w:spacing w:line="500" w:lineRule="exact"/>
        <w:ind w:firstLine="567"/>
        <w:jc w:val="both"/>
        <w:rPr>
          <w:rFonts w:ascii="宋体" w:hAnsi="宋体"/>
          <w:color w:val="auto"/>
        </w:rPr>
      </w:pPr>
      <w:r>
        <w:rPr>
          <w:rFonts w:hint="eastAsia" w:ascii="宋体" w:hAnsi="宋体"/>
          <w:color w:val="auto"/>
        </w:rPr>
        <w:t>⒑综合说明：</w:t>
      </w:r>
    </w:p>
    <w:p>
      <w:pPr>
        <w:pStyle w:val="84"/>
        <w:spacing w:line="500" w:lineRule="exact"/>
        <w:ind w:firstLine="567"/>
        <w:jc w:val="both"/>
        <w:rPr>
          <w:rFonts w:ascii="宋体" w:hAnsi="宋体"/>
          <w:color w:val="auto"/>
        </w:rPr>
      </w:pPr>
      <w:r>
        <w:rPr>
          <w:rFonts w:hint="eastAsia" w:ascii="宋体" w:hAnsi="宋体"/>
          <w:color w:val="auto"/>
        </w:rPr>
        <w:t>（1）设备的详细技术参数、技术条件、技术标准、拟达到的质量标准和保险期限。</w:t>
      </w:r>
    </w:p>
    <w:p>
      <w:pPr>
        <w:pStyle w:val="84"/>
        <w:spacing w:line="500" w:lineRule="exact"/>
        <w:ind w:firstLine="567"/>
        <w:jc w:val="both"/>
        <w:rPr>
          <w:rFonts w:ascii="宋体" w:hAnsi="宋体"/>
          <w:color w:val="auto"/>
        </w:rPr>
      </w:pPr>
      <w:r>
        <w:rPr>
          <w:rFonts w:hint="eastAsia" w:ascii="宋体" w:hAnsi="宋体"/>
          <w:color w:val="auto"/>
        </w:rPr>
        <w:t>（2）易损件、备品备件、专用工具及供应方式。</w:t>
      </w:r>
    </w:p>
    <w:p>
      <w:pPr>
        <w:pStyle w:val="84"/>
        <w:spacing w:line="500" w:lineRule="exact"/>
        <w:ind w:firstLine="567"/>
        <w:jc w:val="both"/>
        <w:rPr>
          <w:rFonts w:ascii="宋体" w:hAnsi="宋体"/>
          <w:color w:val="auto"/>
        </w:rPr>
      </w:pPr>
      <w:r>
        <w:rPr>
          <w:rFonts w:hint="eastAsia" w:ascii="宋体" w:hAnsi="宋体"/>
          <w:color w:val="auto"/>
        </w:rPr>
        <w:t>（3）技术服务。</w:t>
      </w:r>
    </w:p>
    <w:p>
      <w:pPr>
        <w:pStyle w:val="84"/>
        <w:spacing w:line="500" w:lineRule="exact"/>
        <w:ind w:firstLine="567"/>
        <w:jc w:val="both"/>
        <w:rPr>
          <w:rFonts w:ascii="宋体" w:hAnsi="宋体"/>
          <w:color w:val="auto"/>
        </w:rPr>
      </w:pPr>
      <w:r>
        <w:rPr>
          <w:rFonts w:hint="eastAsia" w:ascii="宋体" w:hAnsi="宋体"/>
          <w:color w:val="auto"/>
        </w:rPr>
        <w:t>（4）运输方式。</w:t>
      </w:r>
    </w:p>
    <w:p>
      <w:pPr>
        <w:pStyle w:val="84"/>
        <w:spacing w:line="500" w:lineRule="exact"/>
        <w:ind w:firstLine="567"/>
        <w:jc w:val="both"/>
        <w:rPr>
          <w:rFonts w:ascii="宋体" w:hAnsi="宋体"/>
          <w:color w:val="auto"/>
        </w:rPr>
      </w:pPr>
      <w:r>
        <w:rPr>
          <w:rFonts w:hint="eastAsia" w:ascii="宋体" w:hAnsi="宋体"/>
          <w:color w:val="auto"/>
        </w:rPr>
        <w:t>（5）要求招标人提供的配合。</w:t>
      </w:r>
    </w:p>
    <w:p>
      <w:pPr>
        <w:pStyle w:val="84"/>
        <w:spacing w:line="500" w:lineRule="exact"/>
        <w:ind w:firstLine="567"/>
        <w:jc w:val="both"/>
        <w:rPr>
          <w:rFonts w:ascii="宋体" w:hAnsi="宋体"/>
          <w:color w:val="auto"/>
        </w:rPr>
      </w:pPr>
      <w:r>
        <w:rPr>
          <w:rFonts w:hint="eastAsia" w:ascii="宋体" w:hAnsi="宋体"/>
          <w:color w:val="auto"/>
        </w:rPr>
        <w:t>（6）对招标文件内容有不同意见的偏离说明。</w:t>
      </w:r>
    </w:p>
    <w:p>
      <w:pPr>
        <w:pStyle w:val="84"/>
        <w:spacing w:line="500" w:lineRule="exact"/>
        <w:ind w:firstLine="567"/>
        <w:jc w:val="both"/>
        <w:rPr>
          <w:rFonts w:ascii="宋体" w:hAnsi="宋体"/>
          <w:color w:val="auto"/>
        </w:rPr>
      </w:pPr>
      <w:r>
        <w:rPr>
          <w:rFonts w:hint="eastAsia" w:ascii="宋体" w:hAnsi="宋体"/>
          <w:color w:val="auto"/>
        </w:rPr>
        <w:t>（7）其它。</w:t>
      </w:r>
    </w:p>
    <w:p>
      <w:pPr>
        <w:spacing w:line="500" w:lineRule="exact"/>
        <w:outlineLvl w:val="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附件1－1：法定代表人身份证明复印件(法定代表人参加投标)</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附件1－2：法定代表人授权书(授权代表参加投标)</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附件1－3：授权委托书(自然人提供)</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投标人名称：____________投标人公章：____________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投标人地址：____________邮编：____________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电话：____________传真：____________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法定代表人或投标人代表(签字或盖章)：____________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日期：____________</w:t>
      </w: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pStyle w:val="84"/>
        <w:spacing w:line="500" w:lineRule="exact"/>
        <w:jc w:val="center"/>
        <w:rPr>
          <w:rFonts w:ascii="宋体" w:hAnsi="宋体"/>
          <w:b/>
          <w:bCs/>
          <w:color w:val="auto"/>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附件1－1　法定代表人身份证明复印件(法定代表人参加投标的)</w:t>
      </w:r>
    </w:p>
    <w:p>
      <w:pPr>
        <w:spacing w:line="500" w:lineRule="exact"/>
        <w:rPr>
          <w:rFonts w:asciiTheme="minorEastAsia" w:hAnsiTheme="minorEastAsia" w:eastAsiaTheme="minorEastAsia" w:cstheme="minorEastAsia"/>
          <w:sz w:val="24"/>
          <w:szCs w:val="24"/>
        </w:rPr>
      </w:pPr>
    </w:p>
    <w:tbl>
      <w:tblPr>
        <w:tblStyle w:val="42"/>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法定代表人身份证明复印件</w:t>
            </w:r>
          </w:p>
        </w:tc>
      </w:tr>
    </w:tbl>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附件1－2　法定代表人授权委托书(授权代表参加投标的)</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法定代表人授权委托书(格式一)(适用于法人投标)</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____________(投标人名称)的法定代表人________(姓名、职务)授权________(投标人代表姓名、职务)为本公司的投标人代表，就________(项目名称)投标及相关事务代表本公司处理与之有关的一切事务。</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本授权书于______年____月____日签字生效，特此声明。</w:t>
      </w:r>
    </w:p>
    <w:tbl>
      <w:tblPr>
        <w:tblStyle w:val="42"/>
        <w:tblpPr w:leftFromText="180" w:rightFromText="180" w:vertAnchor="text" w:horzAnchor="page" w:tblpX="6661" w:tblpY="414"/>
        <w:tblOverlap w:val="never"/>
        <w:tblW w:w="4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3" w:hRule="atLeast"/>
        </w:trPr>
        <w:tc>
          <w:tcPr>
            <w:tcW w:w="402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授权代表身份证明复印件</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（正反面）</w:t>
            </w:r>
          </w:p>
        </w:tc>
      </w:tr>
    </w:tbl>
    <w:tbl>
      <w:tblPr>
        <w:tblStyle w:val="42"/>
        <w:tblpPr w:leftFromText="180" w:rightFromText="180" w:vertAnchor="text" w:horzAnchor="page" w:tblpX="1969" w:tblpY="450"/>
        <w:tblOverlap w:val="never"/>
        <w:tblW w:w="41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4100" w:type="dxa"/>
            <w:tcBorders>
              <w:top w:val="single" w:color="auto" w:sz="4" w:space="0"/>
              <w:bottom w:val="single" w:color="auto" w:sz="4" w:space="0"/>
            </w:tcBorders>
            <w:vAlign w:val="center"/>
          </w:tcPr>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法定代表人身份证明复印件</w:t>
            </w:r>
          </w:p>
          <w:p>
            <w:pPr>
              <w:spacing w:line="5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（正反面）</w:t>
            </w:r>
          </w:p>
        </w:tc>
      </w:tr>
    </w:tbl>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法定代表人(签字或盖章)：____________________</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______年____月____日</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说明：授权用投标专用章的，与公章具有相同法律效力。</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　　附件1－3</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授权委托书(格式二)(适用于自然人投标)</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致：____________(采购人或采购代理机构)</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我________(姓名)系自然人，现授权委托____________(姓名)以本人名义参加____________(项目名称)的投标活动，并代表本人全权办理针对上述项目的投标、签约等具体事务和签署相关文件。</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本人对被授权人的签字事项负全部责任。</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授权委托代理期限：从　　　年　　月　　日起至　　　年　　月　　日止。</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代理人无转委托权，特此委托。</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我已在下面签字，以资证明。</w:t>
      </w:r>
    </w:p>
    <w:p>
      <w:pPr>
        <w:spacing w:line="500" w:lineRule="exact"/>
        <w:rPr>
          <w:rFonts w:asciiTheme="minorEastAsia" w:hAnsiTheme="minorEastAsia" w:eastAsiaTheme="minorEastAsia" w:cstheme="minorEastAsia"/>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自然人签字并在签名处加盖食指指印：　　　　年　　月　　日</w:t>
      </w:r>
    </w:p>
    <w:p>
      <w:pPr>
        <w:spacing w:line="500" w:lineRule="exact"/>
        <w:rPr>
          <w:rFonts w:ascii="宋体" w:hAnsi="宋体"/>
          <w:sz w:val="24"/>
          <w:szCs w:val="24"/>
        </w:rPr>
      </w:pPr>
    </w:p>
    <w:p>
      <w:pPr>
        <w:spacing w:line="500" w:lineRule="exact"/>
        <w:rPr>
          <w:rFonts w:ascii="宋体" w:hAnsi="宋体"/>
          <w:sz w:val="24"/>
          <w:szCs w:val="24"/>
        </w:rPr>
        <w:sectPr>
          <w:pgSz w:w="11906" w:h="16838"/>
          <w:pgMar w:top="1417" w:right="1134" w:bottom="1417" w:left="1417" w:header="851" w:footer="850" w:gutter="0"/>
          <w:cols w:space="0" w:num="1"/>
          <w:docGrid w:type="linesAndChars" w:linePitch="322" w:charSpace="535"/>
        </w:sectPr>
      </w:pPr>
    </w:p>
    <w:p>
      <w:pPr>
        <w:pStyle w:val="146"/>
        <w:spacing w:line="500" w:lineRule="exact"/>
        <w:jc w:val="center"/>
        <w:outlineLvl w:val="2"/>
        <w:rPr>
          <w:rFonts w:ascii="宋体" w:hAnsi="宋体"/>
          <w:b/>
          <w:bCs/>
          <w:szCs w:val="24"/>
        </w:rPr>
      </w:pPr>
      <w:r>
        <w:rPr>
          <w:rFonts w:hint="eastAsia" w:ascii="宋体" w:hAnsi="宋体"/>
          <w:b/>
          <w:bCs/>
          <w:szCs w:val="24"/>
        </w:rPr>
        <w:t>二、开标一览表</w:t>
      </w:r>
    </w:p>
    <w:p>
      <w:pPr>
        <w:pStyle w:val="25"/>
        <w:ind w:firstLine="420" w:firstLineChars="200"/>
        <w:jc w:val="center"/>
        <w:rPr>
          <w:rFonts w:ascii="Times New Roman" w:hAnsi="Times New Roman"/>
        </w:rPr>
      </w:pPr>
    </w:p>
    <w:tbl>
      <w:tblPr>
        <w:tblStyle w:val="42"/>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130"/>
        <w:gridCol w:w="3420"/>
        <w:gridCol w:w="1236"/>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52" w:type="dxa"/>
            <w:vAlign w:val="center"/>
          </w:tcPr>
          <w:p>
            <w:pPr>
              <w:pStyle w:val="25"/>
              <w:jc w:val="center"/>
              <w:rPr>
                <w:rFonts w:ascii="Times New Roman" w:hAnsi="Times New Roman"/>
                <w:sz w:val="24"/>
                <w:szCs w:val="24"/>
              </w:rPr>
            </w:pPr>
            <w:r>
              <w:rPr>
                <w:rFonts w:hint="eastAsia" w:ascii="Times New Roman" w:hAnsi="Times New Roman"/>
                <w:sz w:val="24"/>
                <w:szCs w:val="24"/>
              </w:rPr>
              <w:t>序号</w:t>
            </w:r>
          </w:p>
        </w:tc>
        <w:tc>
          <w:tcPr>
            <w:tcW w:w="2130" w:type="dxa"/>
            <w:vAlign w:val="center"/>
          </w:tcPr>
          <w:p>
            <w:pPr>
              <w:pStyle w:val="25"/>
              <w:jc w:val="center"/>
              <w:rPr>
                <w:rFonts w:ascii="Times New Roman" w:hAnsi="Times New Roman"/>
                <w:sz w:val="24"/>
                <w:szCs w:val="24"/>
              </w:rPr>
            </w:pPr>
            <w:r>
              <w:rPr>
                <w:rFonts w:hint="eastAsia" w:ascii="Times New Roman" w:hAnsi="Times New Roman"/>
                <w:sz w:val="24"/>
                <w:szCs w:val="24"/>
              </w:rPr>
              <w:t>项目名称</w:t>
            </w:r>
          </w:p>
        </w:tc>
        <w:tc>
          <w:tcPr>
            <w:tcW w:w="3420" w:type="dxa"/>
            <w:vAlign w:val="center"/>
          </w:tcPr>
          <w:p>
            <w:pPr>
              <w:pStyle w:val="25"/>
              <w:jc w:val="center"/>
              <w:rPr>
                <w:rFonts w:ascii="Times New Roman" w:hAnsi="Times New Roman"/>
                <w:sz w:val="24"/>
                <w:szCs w:val="24"/>
              </w:rPr>
            </w:pPr>
          </w:p>
        </w:tc>
        <w:tc>
          <w:tcPr>
            <w:tcW w:w="1236" w:type="dxa"/>
            <w:vAlign w:val="center"/>
          </w:tcPr>
          <w:p>
            <w:pPr>
              <w:pStyle w:val="25"/>
              <w:jc w:val="center"/>
              <w:rPr>
                <w:rFonts w:ascii="Times New Roman" w:hAnsi="Times New Roman"/>
                <w:sz w:val="24"/>
                <w:szCs w:val="24"/>
              </w:rPr>
            </w:pPr>
            <w:r>
              <w:rPr>
                <w:rFonts w:hint="eastAsia" w:ascii="Times New Roman" w:hAnsi="Times New Roman"/>
                <w:sz w:val="24"/>
                <w:szCs w:val="24"/>
              </w:rPr>
              <w:t>项目编号</w:t>
            </w:r>
          </w:p>
        </w:tc>
        <w:tc>
          <w:tcPr>
            <w:tcW w:w="1727" w:type="dxa"/>
            <w:vAlign w:val="center"/>
          </w:tcPr>
          <w:p>
            <w:pPr>
              <w:pStyle w:val="25"/>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52" w:type="dxa"/>
            <w:vAlign w:val="center"/>
          </w:tcPr>
          <w:p>
            <w:pPr>
              <w:pStyle w:val="25"/>
              <w:jc w:val="center"/>
              <w:rPr>
                <w:rFonts w:ascii="Times New Roman" w:hAnsi="Times New Roman"/>
                <w:sz w:val="24"/>
                <w:szCs w:val="24"/>
              </w:rPr>
            </w:pPr>
            <w:r>
              <w:rPr>
                <w:rFonts w:hint="eastAsia" w:ascii="Times New Roman" w:hAnsi="Times New Roman"/>
                <w:sz w:val="24"/>
                <w:szCs w:val="24"/>
              </w:rPr>
              <w:t>1</w:t>
            </w:r>
          </w:p>
        </w:tc>
        <w:tc>
          <w:tcPr>
            <w:tcW w:w="2130" w:type="dxa"/>
            <w:vAlign w:val="center"/>
          </w:tcPr>
          <w:p>
            <w:pPr>
              <w:pStyle w:val="25"/>
              <w:jc w:val="center"/>
              <w:rPr>
                <w:rFonts w:ascii="Times New Roman" w:hAnsi="Times New Roman"/>
                <w:sz w:val="24"/>
                <w:szCs w:val="24"/>
                <w:highlight w:val="red"/>
              </w:rPr>
            </w:pPr>
            <w:r>
              <w:rPr>
                <w:rFonts w:hint="eastAsia" w:ascii="Times New Roman" w:hAnsi="Times New Roman"/>
                <w:sz w:val="24"/>
                <w:szCs w:val="24"/>
              </w:rPr>
              <w:t>标段名称</w:t>
            </w:r>
          </w:p>
        </w:tc>
        <w:tc>
          <w:tcPr>
            <w:tcW w:w="6383" w:type="dxa"/>
            <w:gridSpan w:val="3"/>
            <w:vAlign w:val="center"/>
          </w:tcPr>
          <w:p>
            <w:pPr>
              <w:pStyle w:val="25"/>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52" w:type="dxa"/>
            <w:vAlign w:val="center"/>
          </w:tcPr>
          <w:p>
            <w:pPr>
              <w:pStyle w:val="25"/>
              <w:jc w:val="center"/>
              <w:rPr>
                <w:rFonts w:ascii="Times New Roman" w:hAnsi="Times New Roman"/>
                <w:sz w:val="24"/>
                <w:szCs w:val="24"/>
              </w:rPr>
            </w:pPr>
            <w:r>
              <w:rPr>
                <w:rFonts w:hint="eastAsia" w:ascii="Times New Roman" w:hAnsi="Times New Roman"/>
                <w:sz w:val="24"/>
                <w:szCs w:val="24"/>
              </w:rPr>
              <w:t>2</w:t>
            </w:r>
          </w:p>
        </w:tc>
        <w:tc>
          <w:tcPr>
            <w:tcW w:w="2130" w:type="dxa"/>
            <w:vAlign w:val="center"/>
          </w:tcPr>
          <w:p>
            <w:pPr>
              <w:pStyle w:val="25"/>
              <w:jc w:val="center"/>
              <w:rPr>
                <w:rFonts w:ascii="Times New Roman" w:hAnsi="Times New Roman"/>
                <w:sz w:val="24"/>
                <w:szCs w:val="24"/>
              </w:rPr>
            </w:pPr>
            <w:r>
              <w:rPr>
                <w:rFonts w:hint="eastAsia" w:ascii="Times New Roman" w:hAnsi="Times New Roman"/>
                <w:sz w:val="24"/>
                <w:szCs w:val="24"/>
              </w:rPr>
              <w:t>总报价人民币</w:t>
            </w:r>
          </w:p>
        </w:tc>
        <w:tc>
          <w:tcPr>
            <w:tcW w:w="6383" w:type="dxa"/>
            <w:gridSpan w:val="3"/>
            <w:vAlign w:val="center"/>
          </w:tcPr>
          <w:p>
            <w:pPr>
              <w:pStyle w:val="25"/>
              <w:jc w:val="left"/>
              <w:rPr>
                <w:rFonts w:ascii="Times New Roman" w:hAnsi="Times New Roman" w:eastAsia="MingLiU_HKSCS"/>
                <w:sz w:val="24"/>
                <w:szCs w:val="24"/>
              </w:rPr>
            </w:pPr>
            <w:r>
              <w:rPr>
                <w:rFonts w:hint="eastAsia" w:ascii="Times New Roman" w:hAnsi="Times New Roman"/>
                <w:sz w:val="24"/>
                <w:szCs w:val="24"/>
              </w:rPr>
              <w:t>大写：人民币</w:t>
            </w:r>
            <w:r>
              <w:rPr>
                <w:rFonts w:ascii="Times New Roman" w:hAnsi="Times New Roman"/>
                <w:sz w:val="24"/>
                <w:szCs w:val="24"/>
              </w:rPr>
              <w:t>______</w:t>
            </w:r>
            <w:r>
              <w:rPr>
                <w:rFonts w:hint="eastAsia" w:ascii="Times New Roman" w:hAnsi="Times New Roman"/>
                <w:sz w:val="24"/>
                <w:szCs w:val="24"/>
              </w:rPr>
              <w:t>元</w:t>
            </w:r>
          </w:p>
          <w:p>
            <w:pPr>
              <w:pStyle w:val="25"/>
              <w:jc w:val="left"/>
              <w:rPr>
                <w:rFonts w:ascii="Times New Roman" w:hAnsi="Times New Roman" w:eastAsia="MingLiU_HKSCS"/>
                <w:sz w:val="24"/>
                <w:szCs w:val="24"/>
              </w:rPr>
            </w:pPr>
            <w:r>
              <w:rPr>
                <w:rFonts w:hint="eastAsia" w:ascii="Times New Roman" w:hAnsi="Times New Roman"/>
                <w:sz w:val="24"/>
                <w:szCs w:val="24"/>
              </w:rPr>
              <w:t>小写：￥</w:t>
            </w:r>
            <w:r>
              <w:rPr>
                <w:rFonts w:ascii="Times New Roman" w:hAnsi="Times New Roman"/>
                <w:sz w:val="24"/>
                <w:szCs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52" w:type="dxa"/>
            <w:vAlign w:val="center"/>
          </w:tcPr>
          <w:p>
            <w:pPr>
              <w:pStyle w:val="25"/>
              <w:jc w:val="center"/>
              <w:rPr>
                <w:rFonts w:ascii="Times New Roman" w:hAnsi="Times New Roman"/>
                <w:sz w:val="24"/>
                <w:szCs w:val="24"/>
              </w:rPr>
            </w:pPr>
            <w:r>
              <w:rPr>
                <w:rFonts w:hint="eastAsia" w:ascii="Times New Roman" w:hAnsi="Times New Roman"/>
                <w:sz w:val="24"/>
                <w:szCs w:val="24"/>
              </w:rPr>
              <w:t>3</w:t>
            </w:r>
          </w:p>
        </w:tc>
        <w:tc>
          <w:tcPr>
            <w:tcW w:w="2130" w:type="dxa"/>
            <w:vAlign w:val="center"/>
          </w:tcPr>
          <w:p>
            <w:pPr>
              <w:pStyle w:val="25"/>
              <w:jc w:val="center"/>
              <w:rPr>
                <w:rFonts w:ascii="Times New Roman" w:hAnsi="Times New Roman"/>
                <w:sz w:val="24"/>
                <w:szCs w:val="24"/>
              </w:rPr>
            </w:pPr>
            <w:r>
              <w:rPr>
                <w:rFonts w:hint="eastAsia" w:ascii="Times New Roman" w:hAnsi="Times New Roman"/>
                <w:sz w:val="24"/>
                <w:szCs w:val="24"/>
              </w:rPr>
              <w:t>交货期</w:t>
            </w:r>
          </w:p>
        </w:tc>
        <w:tc>
          <w:tcPr>
            <w:tcW w:w="6383" w:type="dxa"/>
            <w:gridSpan w:val="3"/>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52" w:type="dxa"/>
            <w:vAlign w:val="center"/>
          </w:tcPr>
          <w:p>
            <w:pPr>
              <w:pStyle w:val="25"/>
              <w:jc w:val="center"/>
              <w:rPr>
                <w:rFonts w:ascii="Times New Roman" w:hAnsi="Times New Roman"/>
                <w:sz w:val="24"/>
                <w:szCs w:val="24"/>
              </w:rPr>
            </w:pPr>
            <w:r>
              <w:rPr>
                <w:rFonts w:hint="eastAsia" w:ascii="Times New Roman" w:hAnsi="Times New Roman"/>
                <w:sz w:val="24"/>
                <w:szCs w:val="24"/>
              </w:rPr>
              <w:t>4</w:t>
            </w:r>
          </w:p>
        </w:tc>
        <w:tc>
          <w:tcPr>
            <w:tcW w:w="2130" w:type="dxa"/>
            <w:vAlign w:val="center"/>
          </w:tcPr>
          <w:p>
            <w:pPr>
              <w:pStyle w:val="25"/>
              <w:jc w:val="center"/>
              <w:rPr>
                <w:rFonts w:ascii="Times New Roman" w:hAnsi="Times New Roman"/>
                <w:sz w:val="24"/>
                <w:szCs w:val="24"/>
              </w:rPr>
            </w:pPr>
            <w:r>
              <w:rPr>
                <w:rFonts w:hint="eastAsia" w:ascii="Times New Roman" w:hAnsi="Times New Roman"/>
                <w:sz w:val="24"/>
                <w:szCs w:val="24"/>
              </w:rPr>
              <w:t>质保期</w:t>
            </w:r>
          </w:p>
        </w:tc>
        <w:tc>
          <w:tcPr>
            <w:tcW w:w="6383" w:type="dxa"/>
            <w:gridSpan w:val="3"/>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2" w:type="dxa"/>
            <w:vAlign w:val="center"/>
          </w:tcPr>
          <w:p>
            <w:pPr>
              <w:pStyle w:val="25"/>
              <w:jc w:val="center"/>
              <w:rPr>
                <w:rFonts w:ascii="Times New Roman" w:hAnsi="Times New Roman"/>
                <w:sz w:val="24"/>
                <w:szCs w:val="24"/>
              </w:rPr>
            </w:pPr>
          </w:p>
        </w:tc>
        <w:tc>
          <w:tcPr>
            <w:tcW w:w="2130" w:type="dxa"/>
            <w:vAlign w:val="center"/>
          </w:tcPr>
          <w:p>
            <w:pPr>
              <w:pStyle w:val="25"/>
              <w:jc w:val="center"/>
              <w:rPr>
                <w:rFonts w:ascii="Times New Roman" w:hAnsi="Times New Roman"/>
                <w:sz w:val="24"/>
                <w:szCs w:val="24"/>
              </w:rPr>
            </w:pPr>
            <w:r>
              <w:rPr>
                <w:rFonts w:hint="eastAsia" w:ascii="Times New Roman" w:hAnsi="Times New Roman"/>
                <w:sz w:val="24"/>
                <w:szCs w:val="24"/>
              </w:rPr>
              <w:t>备注</w:t>
            </w:r>
          </w:p>
        </w:tc>
        <w:tc>
          <w:tcPr>
            <w:tcW w:w="6383" w:type="dxa"/>
            <w:gridSpan w:val="3"/>
            <w:vAlign w:val="center"/>
          </w:tcPr>
          <w:p>
            <w:pPr>
              <w:pStyle w:val="25"/>
              <w:jc w:val="center"/>
              <w:rPr>
                <w:rFonts w:ascii="Times New Roman" w:hAnsi="Times New Roman" w:eastAsia="MingLiU_HKSCS"/>
                <w:sz w:val="24"/>
                <w:szCs w:val="24"/>
              </w:rPr>
            </w:pPr>
          </w:p>
        </w:tc>
      </w:tr>
    </w:tbl>
    <w:p>
      <w:pPr>
        <w:pStyle w:val="146"/>
        <w:spacing w:line="500" w:lineRule="exact"/>
        <w:ind w:firstLine="482" w:firstLineChars="200"/>
        <w:outlineLvl w:val="3"/>
        <w:rPr>
          <w:rFonts w:ascii="宋体" w:hAnsi="宋体"/>
          <w:b/>
          <w:bCs/>
          <w:szCs w:val="24"/>
        </w:rPr>
      </w:pPr>
      <w:r>
        <w:rPr>
          <w:rFonts w:hint="eastAsia" w:ascii="宋体" w:hAnsi="宋体"/>
          <w:b/>
          <w:bCs/>
          <w:szCs w:val="24"/>
        </w:rPr>
        <w:t>注：1、请将本开标一览表单独密封一份</w:t>
      </w:r>
    </w:p>
    <w:p>
      <w:pPr>
        <w:pStyle w:val="146"/>
        <w:spacing w:line="500" w:lineRule="exact"/>
        <w:ind w:firstLine="964" w:firstLineChars="400"/>
        <w:outlineLvl w:val="3"/>
        <w:rPr>
          <w:rFonts w:ascii="宋体" w:hAnsi="宋体"/>
          <w:b/>
          <w:bCs/>
          <w:szCs w:val="24"/>
        </w:rPr>
      </w:pPr>
      <w:r>
        <w:rPr>
          <w:rFonts w:hint="eastAsia" w:ascii="宋体" w:hAnsi="宋体"/>
          <w:b/>
          <w:bCs/>
          <w:szCs w:val="24"/>
        </w:rPr>
        <w:t>2、以上条款请参考投标须知</w:t>
      </w:r>
    </w:p>
    <w:p>
      <w:pPr>
        <w:pStyle w:val="146"/>
        <w:spacing w:line="500" w:lineRule="exact"/>
        <w:ind w:firstLine="482" w:firstLineChars="200"/>
        <w:rPr>
          <w:rFonts w:ascii="宋体" w:hAnsi="宋体"/>
          <w:b/>
          <w:bCs/>
          <w:szCs w:val="24"/>
        </w:rPr>
      </w:pPr>
    </w:p>
    <w:p>
      <w:pPr>
        <w:pStyle w:val="146"/>
        <w:spacing w:line="500" w:lineRule="exact"/>
        <w:ind w:firstLine="482" w:firstLineChars="200"/>
        <w:rPr>
          <w:rFonts w:ascii="宋体" w:hAnsi="宋体"/>
          <w:b/>
          <w:bCs/>
          <w:szCs w:val="24"/>
        </w:rPr>
      </w:pPr>
    </w:p>
    <w:p>
      <w:pPr>
        <w:pStyle w:val="146"/>
        <w:spacing w:line="500" w:lineRule="exact"/>
        <w:ind w:firstLine="482" w:firstLineChars="200"/>
        <w:rPr>
          <w:rFonts w:ascii="宋体" w:hAnsi="宋体"/>
          <w:b/>
          <w:bCs/>
          <w:szCs w:val="24"/>
        </w:rPr>
      </w:pPr>
    </w:p>
    <w:p>
      <w:pPr>
        <w:pStyle w:val="146"/>
        <w:spacing w:line="500" w:lineRule="exact"/>
        <w:ind w:firstLine="482" w:firstLineChars="200"/>
        <w:rPr>
          <w:rFonts w:ascii="宋体" w:hAnsi="宋体"/>
          <w:b/>
          <w:bCs/>
          <w:szCs w:val="24"/>
        </w:rPr>
      </w:pPr>
    </w:p>
    <w:p>
      <w:pPr>
        <w:adjustRightInd w:val="0"/>
        <w:snapToGrid w:val="0"/>
        <w:spacing w:line="360" w:lineRule="auto"/>
        <w:ind w:firstLine="480"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79" w:leftChars="228" w:firstLine="9360" w:firstLineChars="3900"/>
        <w:rPr>
          <w:rFonts w:ascii="宋体" w:hAnsi="宋体"/>
          <w:sz w:val="24"/>
          <w:szCs w:val="21"/>
        </w:rPr>
      </w:pPr>
      <w:r>
        <w:rPr>
          <w:rFonts w:hint="eastAsia" w:ascii="宋体" w:hAnsi="宋体"/>
          <w:sz w:val="24"/>
          <w:szCs w:val="21"/>
        </w:rPr>
        <w:t>法定代表人或其委托代理人签字或盖章：</w:t>
      </w:r>
    </w:p>
    <w:p>
      <w:pPr>
        <w:adjustRightInd w:val="0"/>
        <w:snapToGrid w:val="0"/>
        <w:spacing w:line="360" w:lineRule="auto"/>
        <w:ind w:left="479" w:leftChars="228" w:right="24" w:firstLine="9360" w:firstLineChars="3900"/>
        <w:rPr>
          <w:rFonts w:ascii="宋体" w:hAnsi="宋体"/>
          <w:bCs/>
          <w:sz w:val="36"/>
          <w:szCs w:val="28"/>
        </w:rPr>
      </w:pPr>
      <w:r>
        <w:rPr>
          <w:rFonts w:hint="eastAsia" w:ascii="宋体" w:hAnsi="宋体"/>
          <w:sz w:val="24"/>
          <w:szCs w:val="21"/>
        </w:rPr>
        <w:t xml:space="preserve">  日期：年月日</w:t>
      </w:r>
    </w:p>
    <w:p>
      <w:pPr>
        <w:pStyle w:val="146"/>
        <w:spacing w:line="500" w:lineRule="exact"/>
        <w:ind w:firstLine="482" w:firstLineChars="200"/>
        <w:rPr>
          <w:rFonts w:ascii="宋体" w:hAnsi="宋体"/>
          <w:b/>
          <w:bCs/>
          <w:szCs w:val="24"/>
        </w:rPr>
      </w:pPr>
    </w:p>
    <w:p>
      <w:pPr>
        <w:pStyle w:val="146"/>
        <w:spacing w:line="500" w:lineRule="exact"/>
        <w:ind w:firstLine="482" w:firstLineChars="200"/>
        <w:rPr>
          <w:rFonts w:ascii="宋体" w:hAnsi="宋体"/>
          <w:b/>
          <w:bCs/>
          <w:szCs w:val="24"/>
        </w:rPr>
      </w:pPr>
    </w:p>
    <w:p>
      <w:pPr>
        <w:pStyle w:val="146"/>
        <w:spacing w:line="500" w:lineRule="exact"/>
        <w:ind w:firstLine="482" w:firstLineChars="200"/>
        <w:rPr>
          <w:rFonts w:ascii="宋体" w:hAnsi="宋体"/>
          <w:b/>
          <w:bCs/>
          <w:szCs w:val="24"/>
        </w:rPr>
      </w:pPr>
    </w:p>
    <w:p>
      <w:pPr>
        <w:pStyle w:val="146"/>
        <w:spacing w:line="500" w:lineRule="exact"/>
        <w:ind w:firstLine="482" w:firstLineChars="200"/>
        <w:rPr>
          <w:rFonts w:ascii="宋体" w:hAnsi="宋体"/>
          <w:b/>
          <w:bCs/>
          <w:szCs w:val="24"/>
        </w:rPr>
      </w:pPr>
    </w:p>
    <w:p>
      <w:pPr>
        <w:pStyle w:val="146"/>
        <w:spacing w:line="500" w:lineRule="exact"/>
        <w:rPr>
          <w:rFonts w:ascii="宋体" w:hAnsi="宋体"/>
          <w:b/>
          <w:bCs/>
          <w:szCs w:val="24"/>
        </w:rPr>
      </w:pPr>
    </w:p>
    <w:p>
      <w:pPr>
        <w:spacing w:line="500" w:lineRule="exact"/>
        <w:jc w:val="center"/>
        <w:outlineLvl w:val="2"/>
        <w:rPr>
          <w:rFonts w:ascii="宋体" w:hAnsi="宋体"/>
          <w:b/>
          <w:bCs/>
          <w:sz w:val="24"/>
          <w:szCs w:val="24"/>
        </w:rPr>
      </w:pPr>
      <w:r>
        <w:rPr>
          <w:rFonts w:hint="eastAsia" w:ascii="宋体" w:hAnsi="宋体"/>
          <w:b/>
          <w:bCs/>
          <w:sz w:val="24"/>
          <w:szCs w:val="24"/>
        </w:rPr>
        <w:t>三、投标分项报价明细表</w:t>
      </w:r>
    </w:p>
    <w:p>
      <w:pPr>
        <w:pStyle w:val="25"/>
        <w:ind w:firstLine="420" w:firstLineChars="200"/>
        <w:jc w:val="center"/>
        <w:rPr>
          <w:rFonts w:ascii="Times New Roman" w:hAnsi="Times New Roman"/>
        </w:rPr>
      </w:pPr>
    </w:p>
    <w:p>
      <w:pPr>
        <w:pStyle w:val="25"/>
        <w:ind w:firstLine="480" w:firstLineChars="200"/>
        <w:rPr>
          <w:rFonts w:ascii="Times New Roman" w:hAnsi="Times New Roman" w:eastAsia="MingLiU_HKSCS"/>
          <w:sz w:val="24"/>
          <w:szCs w:val="24"/>
        </w:rPr>
      </w:pPr>
      <w:r>
        <w:rPr>
          <w:rFonts w:hint="eastAsia" w:ascii="Times New Roman" w:hAnsi="Times New Roman"/>
          <w:sz w:val="24"/>
          <w:szCs w:val="24"/>
        </w:rPr>
        <w:t>　项目名称：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项目编号：　</w:t>
      </w:r>
    </w:p>
    <w:p>
      <w:pPr>
        <w:pStyle w:val="25"/>
        <w:ind w:firstLine="480" w:firstLineChars="200"/>
        <w:rPr>
          <w:rFonts w:ascii="Times New Roman" w:hAnsi="Times New Roman"/>
          <w:sz w:val="24"/>
          <w:szCs w:val="24"/>
        </w:rPr>
      </w:pPr>
      <w:r>
        <w:rPr>
          <w:rFonts w:hint="eastAsia" w:ascii="Times New Roman" w:hAnsi="Times New Roman"/>
          <w:sz w:val="24"/>
          <w:szCs w:val="24"/>
        </w:rPr>
        <w:t>　包号：</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金额单位：元</w:t>
      </w:r>
    </w:p>
    <w:tbl>
      <w:tblPr>
        <w:tblStyle w:val="4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2"/>
        <w:gridCol w:w="861"/>
        <w:gridCol w:w="862"/>
        <w:gridCol w:w="862"/>
        <w:gridCol w:w="195"/>
        <w:gridCol w:w="666"/>
        <w:gridCol w:w="326"/>
        <w:gridCol w:w="536"/>
        <w:gridCol w:w="861"/>
        <w:gridCol w:w="86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sz w:val="24"/>
                <w:szCs w:val="24"/>
              </w:rPr>
            </w:pPr>
            <w:r>
              <w:rPr>
                <w:rFonts w:hint="eastAsia" w:ascii="Times New Roman" w:hAnsi="Times New Roman"/>
                <w:sz w:val="24"/>
                <w:szCs w:val="24"/>
              </w:rPr>
              <w:t>序号</w:t>
            </w:r>
          </w:p>
        </w:tc>
        <w:tc>
          <w:tcPr>
            <w:tcW w:w="862" w:type="dxa"/>
            <w:vAlign w:val="center"/>
          </w:tcPr>
          <w:p>
            <w:pPr>
              <w:pStyle w:val="25"/>
              <w:jc w:val="center"/>
              <w:rPr>
                <w:rFonts w:ascii="Times New Roman" w:hAnsi="Times New Roman"/>
                <w:sz w:val="24"/>
                <w:szCs w:val="24"/>
              </w:rPr>
            </w:pPr>
            <w:r>
              <w:rPr>
                <w:rFonts w:hint="eastAsia" w:ascii="Times New Roman" w:hAnsi="Times New Roman"/>
                <w:sz w:val="24"/>
                <w:szCs w:val="24"/>
              </w:rPr>
              <w:t>货物</w:t>
            </w:r>
          </w:p>
          <w:p>
            <w:pPr>
              <w:pStyle w:val="25"/>
              <w:jc w:val="center"/>
              <w:rPr>
                <w:rFonts w:ascii="Times New Roman" w:hAnsi="Times New Roman" w:eastAsia="MingLiU_HKSCS"/>
                <w:sz w:val="24"/>
                <w:szCs w:val="24"/>
              </w:rPr>
            </w:pPr>
            <w:r>
              <w:rPr>
                <w:rFonts w:hint="eastAsia" w:ascii="Times New Roman" w:hAnsi="Times New Roman"/>
                <w:sz w:val="24"/>
                <w:szCs w:val="24"/>
              </w:rPr>
              <w:t>名称</w:t>
            </w:r>
          </w:p>
        </w:tc>
        <w:tc>
          <w:tcPr>
            <w:tcW w:w="861" w:type="dxa"/>
            <w:vAlign w:val="center"/>
          </w:tcPr>
          <w:p>
            <w:pPr>
              <w:pStyle w:val="25"/>
              <w:jc w:val="center"/>
              <w:rPr>
                <w:rFonts w:ascii="Times New Roman" w:hAnsi="Times New Roman"/>
                <w:sz w:val="24"/>
                <w:szCs w:val="24"/>
              </w:rPr>
            </w:pPr>
            <w:r>
              <w:rPr>
                <w:rFonts w:hint="eastAsia" w:ascii="Times New Roman" w:hAnsi="Times New Roman"/>
                <w:sz w:val="24"/>
                <w:szCs w:val="24"/>
              </w:rPr>
              <w:t>品牌</w:t>
            </w:r>
          </w:p>
        </w:tc>
        <w:tc>
          <w:tcPr>
            <w:tcW w:w="862" w:type="dxa"/>
            <w:vAlign w:val="center"/>
          </w:tcPr>
          <w:p>
            <w:pPr>
              <w:pStyle w:val="25"/>
              <w:jc w:val="center"/>
              <w:rPr>
                <w:rFonts w:ascii="Times New Roman" w:hAnsi="Times New Roman"/>
                <w:sz w:val="24"/>
                <w:szCs w:val="24"/>
              </w:rPr>
            </w:pPr>
            <w:r>
              <w:rPr>
                <w:rFonts w:hint="eastAsia" w:ascii="Times New Roman" w:hAnsi="Times New Roman"/>
                <w:sz w:val="24"/>
                <w:szCs w:val="24"/>
              </w:rPr>
              <w:t>生产</w:t>
            </w:r>
          </w:p>
          <w:p>
            <w:pPr>
              <w:pStyle w:val="25"/>
              <w:jc w:val="center"/>
              <w:rPr>
                <w:rFonts w:ascii="Times New Roman" w:hAnsi="Times New Roman"/>
                <w:sz w:val="24"/>
                <w:szCs w:val="24"/>
              </w:rPr>
            </w:pPr>
            <w:r>
              <w:rPr>
                <w:rFonts w:hint="eastAsia" w:ascii="Times New Roman" w:hAnsi="Times New Roman"/>
                <w:sz w:val="24"/>
                <w:szCs w:val="24"/>
              </w:rPr>
              <w:t>供应商</w:t>
            </w:r>
          </w:p>
        </w:tc>
        <w:tc>
          <w:tcPr>
            <w:tcW w:w="862" w:type="dxa"/>
            <w:vAlign w:val="center"/>
          </w:tcPr>
          <w:p>
            <w:pPr>
              <w:pStyle w:val="25"/>
              <w:jc w:val="center"/>
              <w:rPr>
                <w:rFonts w:ascii="Times New Roman" w:hAnsi="Times New Roman"/>
                <w:sz w:val="24"/>
                <w:szCs w:val="24"/>
              </w:rPr>
            </w:pPr>
            <w:r>
              <w:rPr>
                <w:rFonts w:hint="eastAsia" w:ascii="Times New Roman" w:hAnsi="Times New Roman"/>
                <w:sz w:val="24"/>
                <w:szCs w:val="24"/>
              </w:rPr>
              <w:t>规格</w:t>
            </w:r>
          </w:p>
          <w:p>
            <w:pPr>
              <w:pStyle w:val="25"/>
              <w:jc w:val="center"/>
              <w:rPr>
                <w:rFonts w:ascii="Times New Roman" w:hAnsi="Times New Roman" w:eastAsia="MingLiU_HKSCS"/>
                <w:sz w:val="24"/>
                <w:szCs w:val="24"/>
              </w:rPr>
            </w:pPr>
            <w:r>
              <w:rPr>
                <w:rFonts w:hint="eastAsia" w:ascii="Times New Roman" w:hAnsi="Times New Roman"/>
                <w:sz w:val="24"/>
                <w:szCs w:val="24"/>
              </w:rPr>
              <w:t>型号</w:t>
            </w:r>
          </w:p>
        </w:tc>
        <w:tc>
          <w:tcPr>
            <w:tcW w:w="861" w:type="dxa"/>
            <w:gridSpan w:val="2"/>
            <w:vAlign w:val="center"/>
          </w:tcPr>
          <w:p>
            <w:pPr>
              <w:pStyle w:val="25"/>
              <w:jc w:val="center"/>
              <w:rPr>
                <w:rFonts w:ascii="Times New Roman" w:hAnsi="Times New Roman"/>
                <w:sz w:val="24"/>
                <w:szCs w:val="24"/>
              </w:rPr>
            </w:pPr>
            <w:r>
              <w:rPr>
                <w:rFonts w:hint="eastAsia" w:ascii="Times New Roman" w:hAnsi="Times New Roman"/>
                <w:sz w:val="24"/>
                <w:szCs w:val="24"/>
              </w:rPr>
              <w:t>单价</w:t>
            </w:r>
          </w:p>
        </w:tc>
        <w:tc>
          <w:tcPr>
            <w:tcW w:w="862" w:type="dxa"/>
            <w:gridSpan w:val="2"/>
            <w:vAlign w:val="center"/>
          </w:tcPr>
          <w:p>
            <w:pPr>
              <w:pStyle w:val="25"/>
              <w:jc w:val="center"/>
              <w:rPr>
                <w:rFonts w:ascii="Times New Roman" w:hAnsi="Times New Roman"/>
                <w:sz w:val="24"/>
                <w:szCs w:val="24"/>
              </w:rPr>
            </w:pPr>
            <w:r>
              <w:rPr>
                <w:rFonts w:hint="eastAsia" w:ascii="Times New Roman" w:hAnsi="Times New Roman"/>
                <w:sz w:val="24"/>
                <w:szCs w:val="24"/>
              </w:rPr>
              <w:t>数量</w:t>
            </w:r>
          </w:p>
        </w:tc>
        <w:tc>
          <w:tcPr>
            <w:tcW w:w="861" w:type="dxa"/>
            <w:vAlign w:val="center"/>
          </w:tcPr>
          <w:p>
            <w:pPr>
              <w:pStyle w:val="25"/>
              <w:jc w:val="center"/>
              <w:rPr>
                <w:rFonts w:ascii="Times New Roman" w:hAnsi="Times New Roman"/>
                <w:sz w:val="24"/>
                <w:szCs w:val="24"/>
              </w:rPr>
            </w:pPr>
            <w:r>
              <w:rPr>
                <w:rFonts w:hint="eastAsia" w:ascii="Times New Roman" w:hAnsi="Times New Roman"/>
                <w:sz w:val="24"/>
                <w:szCs w:val="24"/>
              </w:rPr>
              <w:t>合计</w:t>
            </w:r>
          </w:p>
        </w:tc>
        <w:tc>
          <w:tcPr>
            <w:tcW w:w="862" w:type="dxa"/>
            <w:vAlign w:val="center"/>
          </w:tcPr>
          <w:p>
            <w:pPr>
              <w:pStyle w:val="25"/>
              <w:jc w:val="center"/>
              <w:rPr>
                <w:rFonts w:ascii="Times New Roman" w:hAnsi="Times New Roman"/>
                <w:sz w:val="24"/>
                <w:szCs w:val="24"/>
              </w:rPr>
            </w:pPr>
            <w:r>
              <w:rPr>
                <w:rFonts w:hint="eastAsia" w:ascii="Times New Roman" w:hAnsi="Times New Roman"/>
                <w:sz w:val="24"/>
                <w:szCs w:val="24"/>
              </w:rPr>
              <w:t>中小</w:t>
            </w:r>
          </w:p>
          <w:p>
            <w:pPr>
              <w:pStyle w:val="25"/>
              <w:jc w:val="center"/>
              <w:rPr>
                <w:rFonts w:ascii="Times New Roman" w:hAnsi="Times New Roman" w:eastAsia="MingLiU_HKSCS"/>
                <w:sz w:val="24"/>
                <w:szCs w:val="24"/>
              </w:rPr>
            </w:pPr>
            <w:r>
              <w:rPr>
                <w:rFonts w:hint="eastAsia" w:ascii="Times New Roman" w:hAnsi="Times New Roman"/>
                <w:sz w:val="24"/>
                <w:szCs w:val="24"/>
              </w:rPr>
              <w:t>企业</w:t>
            </w:r>
          </w:p>
        </w:tc>
        <w:tc>
          <w:tcPr>
            <w:tcW w:w="1154" w:type="dxa"/>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sz w:val="24"/>
                <w:szCs w:val="24"/>
              </w:rPr>
            </w:pPr>
            <w:r>
              <w:rPr>
                <w:rFonts w:ascii="Times New Roman" w:hAnsi="Times New Roman"/>
                <w:sz w:val="24"/>
                <w:szCs w:val="24"/>
              </w:rPr>
              <w:t>1</w:t>
            </w:r>
          </w:p>
        </w:tc>
        <w:tc>
          <w:tcPr>
            <w:tcW w:w="862" w:type="dxa"/>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1" w:type="dxa"/>
            <w:gridSpan w:val="2"/>
            <w:vAlign w:val="center"/>
          </w:tcPr>
          <w:p>
            <w:pPr>
              <w:pStyle w:val="25"/>
              <w:jc w:val="center"/>
              <w:rPr>
                <w:rFonts w:ascii="Times New Roman" w:hAnsi="Times New Roman"/>
                <w:sz w:val="24"/>
                <w:szCs w:val="24"/>
              </w:rPr>
            </w:pPr>
          </w:p>
        </w:tc>
        <w:tc>
          <w:tcPr>
            <w:tcW w:w="862" w:type="dxa"/>
            <w:gridSpan w:val="2"/>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1154" w:type="dxa"/>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sz w:val="24"/>
                <w:szCs w:val="24"/>
              </w:rPr>
            </w:pPr>
            <w:r>
              <w:rPr>
                <w:rFonts w:ascii="Times New Roman" w:hAnsi="Times New Roman"/>
                <w:sz w:val="24"/>
                <w:szCs w:val="24"/>
              </w:rPr>
              <w:t>2</w:t>
            </w:r>
          </w:p>
        </w:tc>
        <w:tc>
          <w:tcPr>
            <w:tcW w:w="862" w:type="dxa"/>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1" w:type="dxa"/>
            <w:gridSpan w:val="2"/>
            <w:vAlign w:val="center"/>
          </w:tcPr>
          <w:p>
            <w:pPr>
              <w:pStyle w:val="25"/>
              <w:jc w:val="center"/>
              <w:rPr>
                <w:rFonts w:ascii="Times New Roman" w:hAnsi="Times New Roman"/>
                <w:sz w:val="24"/>
                <w:szCs w:val="24"/>
              </w:rPr>
            </w:pPr>
          </w:p>
        </w:tc>
        <w:tc>
          <w:tcPr>
            <w:tcW w:w="862" w:type="dxa"/>
            <w:gridSpan w:val="2"/>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1154" w:type="dxa"/>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sz w:val="24"/>
                <w:szCs w:val="24"/>
              </w:rPr>
            </w:pPr>
            <w:r>
              <w:rPr>
                <w:rFonts w:ascii="Times New Roman" w:hAnsi="Times New Roman"/>
                <w:sz w:val="24"/>
                <w:szCs w:val="24"/>
              </w:rPr>
              <w:t>3</w:t>
            </w:r>
          </w:p>
        </w:tc>
        <w:tc>
          <w:tcPr>
            <w:tcW w:w="862" w:type="dxa"/>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1" w:type="dxa"/>
            <w:gridSpan w:val="2"/>
            <w:vAlign w:val="center"/>
          </w:tcPr>
          <w:p>
            <w:pPr>
              <w:pStyle w:val="25"/>
              <w:jc w:val="center"/>
              <w:rPr>
                <w:rFonts w:ascii="Times New Roman" w:hAnsi="Times New Roman"/>
                <w:sz w:val="24"/>
                <w:szCs w:val="24"/>
              </w:rPr>
            </w:pPr>
          </w:p>
        </w:tc>
        <w:tc>
          <w:tcPr>
            <w:tcW w:w="862" w:type="dxa"/>
            <w:gridSpan w:val="2"/>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1154" w:type="dxa"/>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25"/>
              <w:jc w:val="center"/>
              <w:rPr>
                <w:rFonts w:ascii="Times New Roman" w:hAnsi="Times New Roman"/>
                <w:sz w:val="24"/>
                <w:szCs w:val="24"/>
              </w:rPr>
            </w:pPr>
            <w:r>
              <w:rPr>
                <w:rFonts w:hint="eastAsia" w:ascii="MS Mincho" w:hAnsi="MS Mincho" w:eastAsia="MS Mincho" w:cs="MS Mincho"/>
                <w:sz w:val="24"/>
                <w:szCs w:val="24"/>
              </w:rPr>
              <w:t>⋮</w:t>
            </w:r>
          </w:p>
        </w:tc>
        <w:tc>
          <w:tcPr>
            <w:tcW w:w="862" w:type="dxa"/>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1" w:type="dxa"/>
            <w:gridSpan w:val="2"/>
            <w:vAlign w:val="center"/>
          </w:tcPr>
          <w:p>
            <w:pPr>
              <w:pStyle w:val="25"/>
              <w:jc w:val="center"/>
              <w:rPr>
                <w:rFonts w:ascii="Times New Roman" w:hAnsi="Times New Roman"/>
                <w:sz w:val="24"/>
                <w:szCs w:val="24"/>
              </w:rPr>
            </w:pPr>
          </w:p>
        </w:tc>
        <w:tc>
          <w:tcPr>
            <w:tcW w:w="862" w:type="dxa"/>
            <w:gridSpan w:val="2"/>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1154" w:type="dxa"/>
            <w:vAlign w:val="center"/>
          </w:tcPr>
          <w:p>
            <w:pPr>
              <w:pStyle w:val="25"/>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5"/>
              <w:jc w:val="center"/>
              <w:rPr>
                <w:rFonts w:ascii="Times New Roman" w:hAnsi="Times New Roman"/>
                <w:sz w:val="24"/>
                <w:szCs w:val="24"/>
              </w:rPr>
            </w:pPr>
            <w:r>
              <w:rPr>
                <w:rFonts w:hint="eastAsia" w:ascii="Times New Roman" w:hAnsi="Times New Roman"/>
                <w:sz w:val="24"/>
                <w:szCs w:val="24"/>
              </w:rPr>
              <w:t>备品备件</w:t>
            </w:r>
            <w:r>
              <w:rPr>
                <w:rFonts w:ascii="Times New Roman" w:hAnsi="Times New Roman"/>
                <w:sz w:val="24"/>
                <w:szCs w:val="24"/>
              </w:rPr>
              <w:t>(</w:t>
            </w:r>
            <w:r>
              <w:rPr>
                <w:rFonts w:hint="eastAsia" w:ascii="Times New Roman" w:hAnsi="Times New Roman"/>
                <w:sz w:val="24"/>
                <w:szCs w:val="24"/>
              </w:rPr>
              <w:t>包括专用工具等</w:t>
            </w:r>
            <w:r>
              <w:rPr>
                <w:rFonts w:ascii="Times New Roman" w:hAnsi="Times New Roman"/>
                <w:sz w:val="24"/>
                <w:szCs w:val="24"/>
              </w:rPr>
              <w:t>)</w:t>
            </w: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1" w:type="dxa"/>
            <w:gridSpan w:val="2"/>
            <w:vAlign w:val="center"/>
          </w:tcPr>
          <w:p>
            <w:pPr>
              <w:pStyle w:val="25"/>
              <w:jc w:val="center"/>
              <w:rPr>
                <w:rFonts w:ascii="Times New Roman" w:hAnsi="Times New Roman"/>
                <w:sz w:val="24"/>
                <w:szCs w:val="24"/>
              </w:rPr>
            </w:pPr>
          </w:p>
        </w:tc>
        <w:tc>
          <w:tcPr>
            <w:tcW w:w="862" w:type="dxa"/>
            <w:gridSpan w:val="2"/>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MingLiU_HKSCS" w:hAnsi="MingLiU_HKSCS" w:eastAsia="MingLiU_HKSCS" w:cs="MingLiU_HKSCS"/>
                <w:sz w:val="24"/>
                <w:szCs w:val="24"/>
              </w:rPr>
            </w:pPr>
          </w:p>
        </w:tc>
        <w:tc>
          <w:tcPr>
            <w:tcW w:w="1154" w:type="dxa"/>
            <w:vAlign w:val="center"/>
          </w:tcPr>
          <w:p>
            <w:pPr>
              <w:pStyle w:val="25"/>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5"/>
              <w:jc w:val="center"/>
              <w:rPr>
                <w:rFonts w:ascii="Times New Roman" w:hAnsi="Times New Roman"/>
                <w:sz w:val="24"/>
                <w:szCs w:val="24"/>
              </w:rPr>
            </w:pPr>
            <w:r>
              <w:rPr>
                <w:rFonts w:hint="eastAsia" w:ascii="Times New Roman" w:hAnsi="Times New Roman"/>
                <w:sz w:val="24"/>
                <w:szCs w:val="24"/>
              </w:rPr>
              <w:t>耗材</w:t>
            </w: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Times New Roman" w:hAnsi="Times New Roman"/>
                <w:sz w:val="24"/>
                <w:szCs w:val="24"/>
              </w:rPr>
            </w:pPr>
          </w:p>
        </w:tc>
        <w:tc>
          <w:tcPr>
            <w:tcW w:w="861" w:type="dxa"/>
            <w:gridSpan w:val="2"/>
            <w:vAlign w:val="center"/>
          </w:tcPr>
          <w:p>
            <w:pPr>
              <w:pStyle w:val="25"/>
              <w:jc w:val="center"/>
              <w:rPr>
                <w:rFonts w:ascii="Times New Roman" w:hAnsi="Times New Roman"/>
                <w:sz w:val="24"/>
                <w:szCs w:val="24"/>
              </w:rPr>
            </w:pPr>
          </w:p>
        </w:tc>
        <w:tc>
          <w:tcPr>
            <w:tcW w:w="862" w:type="dxa"/>
            <w:gridSpan w:val="2"/>
            <w:vAlign w:val="center"/>
          </w:tcPr>
          <w:p>
            <w:pPr>
              <w:pStyle w:val="25"/>
              <w:jc w:val="center"/>
              <w:rPr>
                <w:rFonts w:ascii="Times New Roman" w:hAnsi="Times New Roman"/>
                <w:sz w:val="24"/>
                <w:szCs w:val="24"/>
              </w:rPr>
            </w:pPr>
          </w:p>
        </w:tc>
        <w:tc>
          <w:tcPr>
            <w:tcW w:w="861" w:type="dxa"/>
            <w:vAlign w:val="center"/>
          </w:tcPr>
          <w:p>
            <w:pPr>
              <w:pStyle w:val="25"/>
              <w:jc w:val="center"/>
              <w:rPr>
                <w:rFonts w:ascii="Times New Roman" w:hAnsi="Times New Roman"/>
                <w:sz w:val="24"/>
                <w:szCs w:val="24"/>
              </w:rPr>
            </w:pPr>
          </w:p>
        </w:tc>
        <w:tc>
          <w:tcPr>
            <w:tcW w:w="862" w:type="dxa"/>
            <w:vAlign w:val="center"/>
          </w:tcPr>
          <w:p>
            <w:pPr>
              <w:pStyle w:val="25"/>
              <w:jc w:val="center"/>
              <w:rPr>
                <w:rFonts w:ascii="MingLiU_HKSCS" w:hAnsi="MingLiU_HKSCS" w:eastAsia="MingLiU_HKSCS" w:cs="MingLiU_HKSCS"/>
                <w:sz w:val="24"/>
                <w:szCs w:val="24"/>
              </w:rPr>
            </w:pPr>
          </w:p>
        </w:tc>
        <w:tc>
          <w:tcPr>
            <w:tcW w:w="1154" w:type="dxa"/>
            <w:vAlign w:val="center"/>
          </w:tcPr>
          <w:p>
            <w:pPr>
              <w:pStyle w:val="25"/>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gridSpan w:val="2"/>
            <w:vAlign w:val="center"/>
          </w:tcPr>
          <w:p>
            <w:pPr>
              <w:pStyle w:val="25"/>
              <w:jc w:val="center"/>
              <w:rPr>
                <w:rFonts w:ascii="MingLiU_HKSCS" w:hAnsi="MingLiU_HKSCS" w:eastAsia="MingLiU_HKSCS" w:cs="MingLiU_HKSCS"/>
                <w:sz w:val="24"/>
                <w:szCs w:val="24"/>
              </w:rPr>
            </w:pPr>
            <w:r>
              <w:rPr>
                <w:rFonts w:hint="eastAsia" w:ascii="Times New Roman" w:hAnsi="Times New Roman"/>
                <w:sz w:val="24"/>
                <w:szCs w:val="24"/>
              </w:rPr>
              <w:t>货物费合计</w:t>
            </w:r>
          </w:p>
        </w:tc>
        <w:tc>
          <w:tcPr>
            <w:tcW w:w="7185" w:type="dxa"/>
            <w:gridSpan w:val="10"/>
            <w:vAlign w:val="center"/>
          </w:tcPr>
          <w:p>
            <w:pPr>
              <w:pStyle w:val="25"/>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包装</w:t>
            </w:r>
          </w:p>
          <w:p>
            <w:pPr>
              <w:pStyle w:val="25"/>
              <w:jc w:val="center"/>
              <w:rPr>
                <w:rFonts w:ascii="Times New Roman" w:hAnsi="Times New Roman" w:eastAsia="MingLiU_HKSCS"/>
                <w:sz w:val="24"/>
                <w:szCs w:val="24"/>
              </w:rPr>
            </w:pPr>
            <w:r>
              <w:rPr>
                <w:rFonts w:hint="eastAsia" w:ascii="Times New Roman" w:hAnsi="Times New Roman"/>
                <w:sz w:val="24"/>
                <w:szCs w:val="24"/>
              </w:rPr>
              <w:t>运输</w:t>
            </w:r>
          </w:p>
          <w:p>
            <w:pPr>
              <w:pStyle w:val="25"/>
              <w:jc w:val="center"/>
              <w:rPr>
                <w:rFonts w:ascii="MingLiU_HKSCS" w:hAnsi="MingLiU_HKSCS" w:eastAsia="MingLiU_HKSCS" w:cs="MingLiU_HKSCS"/>
                <w:sz w:val="24"/>
                <w:szCs w:val="24"/>
              </w:rPr>
            </w:pPr>
            <w:r>
              <w:rPr>
                <w:rFonts w:hint="eastAsia" w:ascii="Times New Roman" w:hAnsi="Times New Roman"/>
                <w:sz w:val="24"/>
                <w:szCs w:val="24"/>
              </w:rPr>
              <w:t>费</w:t>
            </w:r>
          </w:p>
        </w:tc>
        <w:tc>
          <w:tcPr>
            <w:tcW w:w="1723" w:type="dxa"/>
            <w:gridSpan w:val="2"/>
            <w:vAlign w:val="center"/>
          </w:tcPr>
          <w:p>
            <w:pPr>
              <w:pStyle w:val="25"/>
              <w:jc w:val="center"/>
              <w:rPr>
                <w:rFonts w:ascii="MingLiU_HKSCS" w:hAnsi="MingLiU_HKSCS" w:eastAsia="MingLiU_HKSCS" w:cs="MingLiU_HKSCS"/>
                <w:sz w:val="24"/>
                <w:szCs w:val="24"/>
              </w:rPr>
            </w:pPr>
            <w:r>
              <w:rPr>
                <w:rFonts w:hint="eastAsia" w:ascii="Times New Roman" w:hAnsi="Times New Roman"/>
                <w:sz w:val="24"/>
                <w:szCs w:val="24"/>
              </w:rPr>
              <w:t>包装费</w:t>
            </w:r>
          </w:p>
        </w:tc>
        <w:tc>
          <w:tcPr>
            <w:tcW w:w="1919" w:type="dxa"/>
            <w:gridSpan w:val="3"/>
            <w:vAlign w:val="center"/>
          </w:tcPr>
          <w:p>
            <w:pPr>
              <w:pStyle w:val="25"/>
              <w:jc w:val="center"/>
              <w:rPr>
                <w:rFonts w:ascii="MingLiU_HKSCS" w:hAnsi="MingLiU_HKSCS" w:eastAsia="MingLiU_HKSCS" w:cs="MingLiU_HKSCS"/>
                <w:sz w:val="24"/>
                <w:szCs w:val="24"/>
              </w:rPr>
            </w:pPr>
          </w:p>
        </w:tc>
        <w:tc>
          <w:tcPr>
            <w:tcW w:w="992" w:type="dxa"/>
            <w:gridSpan w:val="2"/>
            <w:vMerge w:val="restart"/>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安装</w:t>
            </w:r>
          </w:p>
          <w:p>
            <w:pPr>
              <w:pStyle w:val="25"/>
              <w:jc w:val="center"/>
              <w:rPr>
                <w:rFonts w:ascii="Times New Roman" w:hAnsi="Times New Roman" w:eastAsia="MingLiU_HKSCS"/>
                <w:sz w:val="24"/>
                <w:szCs w:val="24"/>
              </w:rPr>
            </w:pPr>
            <w:r>
              <w:rPr>
                <w:rFonts w:hint="eastAsia" w:ascii="Times New Roman" w:hAnsi="Times New Roman"/>
                <w:sz w:val="24"/>
                <w:szCs w:val="24"/>
              </w:rPr>
              <w:t>调试费</w:t>
            </w:r>
          </w:p>
        </w:tc>
        <w:tc>
          <w:tcPr>
            <w:tcW w:w="1397" w:type="dxa"/>
            <w:gridSpan w:val="2"/>
            <w:vAlign w:val="center"/>
          </w:tcPr>
          <w:p>
            <w:pPr>
              <w:pStyle w:val="25"/>
              <w:jc w:val="center"/>
              <w:rPr>
                <w:rFonts w:ascii="MingLiU_HKSCS" w:hAnsi="MingLiU_HKSCS" w:eastAsia="MingLiU_HKSCS" w:cs="MingLiU_HKSCS"/>
                <w:sz w:val="24"/>
                <w:szCs w:val="24"/>
              </w:rPr>
            </w:pPr>
            <w:r>
              <w:rPr>
                <w:rFonts w:hint="eastAsia" w:ascii="Times New Roman" w:hAnsi="Times New Roman"/>
                <w:sz w:val="24"/>
                <w:szCs w:val="24"/>
              </w:rPr>
              <w:t>安装费</w:t>
            </w:r>
          </w:p>
        </w:tc>
        <w:tc>
          <w:tcPr>
            <w:tcW w:w="2016" w:type="dxa"/>
            <w:gridSpan w:val="2"/>
            <w:vAlign w:val="center"/>
          </w:tcPr>
          <w:p>
            <w:pPr>
              <w:pStyle w:val="25"/>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sz w:val="24"/>
                <w:szCs w:val="24"/>
              </w:rPr>
            </w:pPr>
          </w:p>
        </w:tc>
        <w:tc>
          <w:tcPr>
            <w:tcW w:w="1723" w:type="dxa"/>
            <w:gridSpan w:val="2"/>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运输费</w:t>
            </w:r>
          </w:p>
        </w:tc>
        <w:tc>
          <w:tcPr>
            <w:tcW w:w="1919" w:type="dxa"/>
            <w:gridSpan w:val="3"/>
            <w:vAlign w:val="center"/>
          </w:tcPr>
          <w:p>
            <w:pPr>
              <w:pStyle w:val="25"/>
              <w:jc w:val="center"/>
              <w:rPr>
                <w:rFonts w:ascii="Times New Roman" w:hAnsi="Times New Roman" w:eastAsia="MingLiU_HKSCS"/>
                <w:sz w:val="24"/>
                <w:szCs w:val="24"/>
              </w:rPr>
            </w:pPr>
          </w:p>
        </w:tc>
        <w:tc>
          <w:tcPr>
            <w:tcW w:w="992" w:type="dxa"/>
            <w:gridSpan w:val="2"/>
            <w:vMerge w:val="continue"/>
            <w:vAlign w:val="center"/>
          </w:tcPr>
          <w:p>
            <w:pPr>
              <w:pStyle w:val="25"/>
              <w:jc w:val="center"/>
              <w:rPr>
                <w:rFonts w:ascii="Times New Roman" w:hAnsi="Times New Roman"/>
                <w:sz w:val="24"/>
                <w:szCs w:val="24"/>
              </w:rPr>
            </w:pPr>
          </w:p>
        </w:tc>
        <w:tc>
          <w:tcPr>
            <w:tcW w:w="1397" w:type="dxa"/>
            <w:gridSpan w:val="2"/>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调试费</w:t>
            </w:r>
          </w:p>
        </w:tc>
        <w:tc>
          <w:tcPr>
            <w:tcW w:w="2016" w:type="dxa"/>
            <w:gridSpan w:val="2"/>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sz w:val="24"/>
                <w:szCs w:val="24"/>
              </w:rPr>
            </w:pPr>
          </w:p>
        </w:tc>
        <w:tc>
          <w:tcPr>
            <w:tcW w:w="1723" w:type="dxa"/>
            <w:gridSpan w:val="2"/>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装卸费</w:t>
            </w:r>
          </w:p>
        </w:tc>
        <w:tc>
          <w:tcPr>
            <w:tcW w:w="1919" w:type="dxa"/>
            <w:gridSpan w:val="3"/>
            <w:vAlign w:val="center"/>
          </w:tcPr>
          <w:p>
            <w:pPr>
              <w:pStyle w:val="25"/>
              <w:jc w:val="center"/>
              <w:rPr>
                <w:rFonts w:ascii="Times New Roman" w:hAnsi="Times New Roman" w:eastAsia="MingLiU_HKSCS"/>
                <w:sz w:val="24"/>
                <w:szCs w:val="24"/>
              </w:rPr>
            </w:pPr>
          </w:p>
        </w:tc>
        <w:tc>
          <w:tcPr>
            <w:tcW w:w="992" w:type="dxa"/>
            <w:gridSpan w:val="2"/>
            <w:vMerge w:val="continue"/>
            <w:vAlign w:val="center"/>
          </w:tcPr>
          <w:p>
            <w:pPr>
              <w:pStyle w:val="25"/>
              <w:jc w:val="center"/>
              <w:rPr>
                <w:rFonts w:ascii="Times New Roman" w:hAnsi="Times New Roman" w:eastAsia="MingLiU_HKSCS"/>
                <w:sz w:val="24"/>
                <w:szCs w:val="24"/>
              </w:rPr>
            </w:pPr>
          </w:p>
        </w:tc>
        <w:tc>
          <w:tcPr>
            <w:tcW w:w="1397" w:type="dxa"/>
            <w:gridSpan w:val="2"/>
            <w:vAlign w:val="center"/>
          </w:tcPr>
          <w:p>
            <w:pPr>
              <w:pStyle w:val="25"/>
              <w:jc w:val="center"/>
              <w:rPr>
                <w:rFonts w:ascii="Times New Roman" w:hAnsi="Times New Roman" w:eastAsia="MingLiU_HKSCS"/>
                <w:sz w:val="24"/>
                <w:szCs w:val="24"/>
              </w:rPr>
            </w:pPr>
            <w:r>
              <w:rPr>
                <w:rFonts w:hint="eastAsia"/>
                <w:sz w:val="24"/>
                <w:szCs w:val="24"/>
              </w:rPr>
              <w:t>…</w:t>
            </w:r>
          </w:p>
        </w:tc>
        <w:tc>
          <w:tcPr>
            <w:tcW w:w="2016" w:type="dxa"/>
            <w:gridSpan w:val="2"/>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sz w:val="24"/>
                <w:szCs w:val="24"/>
              </w:rPr>
            </w:pPr>
          </w:p>
        </w:tc>
        <w:tc>
          <w:tcPr>
            <w:tcW w:w="1723" w:type="dxa"/>
            <w:gridSpan w:val="2"/>
            <w:vAlign w:val="center"/>
          </w:tcPr>
          <w:p>
            <w:pPr>
              <w:pStyle w:val="25"/>
              <w:jc w:val="center"/>
              <w:rPr>
                <w:rFonts w:ascii="MingLiU_HKSCS" w:hAnsi="MingLiU_HKSCS" w:eastAsia="MingLiU_HKSCS" w:cs="MingLiU_HKSCS"/>
                <w:sz w:val="24"/>
                <w:szCs w:val="24"/>
              </w:rPr>
            </w:pPr>
            <w:r>
              <w:rPr>
                <w:rFonts w:hint="eastAsia" w:ascii="Times New Roman" w:hAnsi="Times New Roman"/>
                <w:sz w:val="24"/>
                <w:szCs w:val="24"/>
              </w:rPr>
              <w:t>保险费</w:t>
            </w:r>
          </w:p>
        </w:tc>
        <w:tc>
          <w:tcPr>
            <w:tcW w:w="1919" w:type="dxa"/>
            <w:gridSpan w:val="3"/>
            <w:vAlign w:val="center"/>
          </w:tcPr>
          <w:p>
            <w:pPr>
              <w:pStyle w:val="25"/>
              <w:jc w:val="center"/>
              <w:rPr>
                <w:rFonts w:ascii="MingLiU_HKSCS" w:hAnsi="MingLiU_HKSCS" w:eastAsia="MingLiU_HKSCS" w:cs="MingLiU_HKSCS"/>
                <w:sz w:val="24"/>
                <w:szCs w:val="24"/>
              </w:rPr>
            </w:pPr>
          </w:p>
        </w:tc>
        <w:tc>
          <w:tcPr>
            <w:tcW w:w="992" w:type="dxa"/>
            <w:gridSpan w:val="2"/>
            <w:vMerge w:val="continue"/>
            <w:vAlign w:val="center"/>
          </w:tcPr>
          <w:p>
            <w:pPr>
              <w:pStyle w:val="25"/>
              <w:jc w:val="center"/>
              <w:rPr>
                <w:rFonts w:ascii="MingLiU_HKSCS" w:hAnsi="MingLiU_HKSCS" w:eastAsia="MingLiU_HKSCS" w:cs="MingLiU_HKSCS"/>
                <w:sz w:val="24"/>
                <w:szCs w:val="24"/>
              </w:rPr>
            </w:pPr>
          </w:p>
        </w:tc>
        <w:tc>
          <w:tcPr>
            <w:tcW w:w="1397" w:type="dxa"/>
            <w:gridSpan w:val="2"/>
            <w:vAlign w:val="center"/>
          </w:tcPr>
          <w:p>
            <w:pPr>
              <w:pStyle w:val="25"/>
              <w:jc w:val="center"/>
              <w:rPr>
                <w:rFonts w:ascii="MingLiU_HKSCS" w:hAnsi="MingLiU_HKSCS" w:eastAsia="MingLiU_HKSCS" w:cs="MingLiU_HKSCS"/>
                <w:sz w:val="24"/>
                <w:szCs w:val="24"/>
              </w:rPr>
            </w:pPr>
            <w:r>
              <w:rPr>
                <w:rFonts w:hint="eastAsia" w:ascii="Times New Roman" w:hAnsi="Times New Roman"/>
                <w:sz w:val="24"/>
                <w:szCs w:val="24"/>
              </w:rPr>
              <w:t>小计</w:t>
            </w:r>
          </w:p>
        </w:tc>
        <w:tc>
          <w:tcPr>
            <w:tcW w:w="2016" w:type="dxa"/>
            <w:gridSpan w:val="2"/>
            <w:vAlign w:val="center"/>
          </w:tcPr>
          <w:p>
            <w:pPr>
              <w:pStyle w:val="25"/>
              <w:jc w:val="center"/>
              <w:rPr>
                <w:rFonts w:ascii="MingLiU_HKSCS" w:hAnsi="MingLiU_HKSCS" w:eastAsia="MingLiU_HKSCS" w:cs="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sz w:val="24"/>
                <w:szCs w:val="24"/>
              </w:rPr>
            </w:pPr>
          </w:p>
        </w:tc>
        <w:tc>
          <w:tcPr>
            <w:tcW w:w="1723" w:type="dxa"/>
            <w:gridSpan w:val="2"/>
            <w:vAlign w:val="center"/>
          </w:tcPr>
          <w:p>
            <w:pPr>
              <w:pStyle w:val="25"/>
              <w:jc w:val="center"/>
              <w:rPr>
                <w:rFonts w:ascii="Times New Roman" w:hAnsi="Times New Roman" w:eastAsia="MingLiU_HKSCS"/>
                <w:sz w:val="24"/>
                <w:szCs w:val="24"/>
              </w:rPr>
            </w:pPr>
            <w:r>
              <w:rPr>
                <w:rFonts w:hint="eastAsia"/>
                <w:sz w:val="24"/>
                <w:szCs w:val="24"/>
              </w:rPr>
              <w:t>…</w:t>
            </w:r>
          </w:p>
        </w:tc>
        <w:tc>
          <w:tcPr>
            <w:tcW w:w="1919" w:type="dxa"/>
            <w:gridSpan w:val="3"/>
            <w:vAlign w:val="center"/>
          </w:tcPr>
          <w:p>
            <w:pPr>
              <w:pStyle w:val="25"/>
              <w:jc w:val="center"/>
              <w:rPr>
                <w:rFonts w:ascii="Times New Roman" w:hAnsi="Times New Roman" w:eastAsia="MingLiU_HKSCS"/>
                <w:sz w:val="24"/>
                <w:szCs w:val="24"/>
              </w:rPr>
            </w:pPr>
          </w:p>
        </w:tc>
        <w:tc>
          <w:tcPr>
            <w:tcW w:w="992" w:type="dxa"/>
            <w:gridSpan w:val="2"/>
            <w:vMerge w:val="restart"/>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售后</w:t>
            </w:r>
          </w:p>
          <w:p>
            <w:pPr>
              <w:pStyle w:val="25"/>
              <w:jc w:val="center"/>
              <w:rPr>
                <w:rFonts w:ascii="Times New Roman" w:hAnsi="Times New Roman" w:eastAsia="MingLiU_HKSCS"/>
                <w:sz w:val="24"/>
                <w:szCs w:val="24"/>
              </w:rPr>
            </w:pPr>
            <w:r>
              <w:rPr>
                <w:rFonts w:hint="eastAsia" w:ascii="Times New Roman" w:hAnsi="Times New Roman"/>
                <w:sz w:val="24"/>
                <w:szCs w:val="24"/>
              </w:rPr>
              <w:t>服务费</w:t>
            </w:r>
          </w:p>
        </w:tc>
        <w:tc>
          <w:tcPr>
            <w:tcW w:w="1397" w:type="dxa"/>
            <w:gridSpan w:val="2"/>
            <w:vAlign w:val="center"/>
          </w:tcPr>
          <w:p>
            <w:pPr>
              <w:pStyle w:val="25"/>
              <w:jc w:val="center"/>
              <w:rPr>
                <w:rFonts w:ascii="Times New Roman" w:hAnsi="Times New Roman"/>
                <w:sz w:val="24"/>
                <w:szCs w:val="24"/>
              </w:rPr>
            </w:pPr>
            <w:r>
              <w:rPr>
                <w:rFonts w:hint="eastAsia" w:ascii="Times New Roman" w:hAnsi="Times New Roman"/>
                <w:sz w:val="24"/>
                <w:szCs w:val="24"/>
              </w:rPr>
              <w:t>培训费</w:t>
            </w:r>
          </w:p>
        </w:tc>
        <w:tc>
          <w:tcPr>
            <w:tcW w:w="2016" w:type="dxa"/>
            <w:gridSpan w:val="2"/>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sz w:val="24"/>
                <w:szCs w:val="24"/>
              </w:rPr>
            </w:pPr>
          </w:p>
        </w:tc>
        <w:tc>
          <w:tcPr>
            <w:tcW w:w="1723" w:type="dxa"/>
            <w:gridSpan w:val="2"/>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小计</w:t>
            </w:r>
          </w:p>
        </w:tc>
        <w:tc>
          <w:tcPr>
            <w:tcW w:w="1919" w:type="dxa"/>
            <w:gridSpan w:val="3"/>
            <w:vAlign w:val="center"/>
          </w:tcPr>
          <w:p>
            <w:pPr>
              <w:pStyle w:val="25"/>
              <w:jc w:val="center"/>
              <w:rPr>
                <w:rFonts w:ascii="Times New Roman" w:hAnsi="Times New Roman" w:eastAsia="MingLiU_HKSCS"/>
                <w:sz w:val="24"/>
                <w:szCs w:val="24"/>
              </w:rPr>
            </w:pPr>
          </w:p>
        </w:tc>
        <w:tc>
          <w:tcPr>
            <w:tcW w:w="992" w:type="dxa"/>
            <w:gridSpan w:val="2"/>
            <w:vMerge w:val="continue"/>
            <w:vAlign w:val="center"/>
          </w:tcPr>
          <w:p>
            <w:pPr>
              <w:pStyle w:val="25"/>
              <w:jc w:val="center"/>
              <w:rPr>
                <w:rFonts w:ascii="Times New Roman" w:hAnsi="Times New Roman"/>
                <w:sz w:val="24"/>
                <w:szCs w:val="24"/>
              </w:rPr>
            </w:pPr>
          </w:p>
        </w:tc>
        <w:tc>
          <w:tcPr>
            <w:tcW w:w="1397" w:type="dxa"/>
            <w:gridSpan w:val="2"/>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技术服务费</w:t>
            </w:r>
          </w:p>
        </w:tc>
        <w:tc>
          <w:tcPr>
            <w:tcW w:w="2016" w:type="dxa"/>
            <w:gridSpan w:val="2"/>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其他</w:t>
            </w:r>
          </w:p>
          <w:p>
            <w:pPr>
              <w:pStyle w:val="25"/>
              <w:jc w:val="center"/>
              <w:rPr>
                <w:rFonts w:ascii="Times New Roman" w:hAnsi="Times New Roman" w:eastAsia="MingLiU_HKSCS"/>
                <w:sz w:val="24"/>
                <w:szCs w:val="24"/>
              </w:rPr>
            </w:pPr>
            <w:r>
              <w:rPr>
                <w:rFonts w:hint="eastAsia" w:ascii="Times New Roman" w:hAnsi="Times New Roman"/>
                <w:sz w:val="24"/>
                <w:szCs w:val="24"/>
              </w:rPr>
              <w:t>费用</w:t>
            </w:r>
          </w:p>
        </w:tc>
        <w:tc>
          <w:tcPr>
            <w:tcW w:w="1723" w:type="dxa"/>
            <w:gridSpan w:val="2"/>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代理费</w:t>
            </w:r>
          </w:p>
        </w:tc>
        <w:tc>
          <w:tcPr>
            <w:tcW w:w="862" w:type="dxa"/>
            <w:vAlign w:val="center"/>
          </w:tcPr>
          <w:p>
            <w:pPr>
              <w:pStyle w:val="25"/>
              <w:jc w:val="center"/>
              <w:rPr>
                <w:rFonts w:ascii="Times New Roman" w:hAnsi="Times New Roman" w:eastAsia="MingLiU_HKSCS"/>
                <w:sz w:val="24"/>
                <w:szCs w:val="24"/>
              </w:rPr>
            </w:pPr>
          </w:p>
        </w:tc>
        <w:tc>
          <w:tcPr>
            <w:tcW w:w="1057" w:type="dxa"/>
            <w:gridSpan w:val="2"/>
            <w:vAlign w:val="center"/>
          </w:tcPr>
          <w:p>
            <w:pPr>
              <w:pStyle w:val="25"/>
              <w:jc w:val="center"/>
              <w:rPr>
                <w:rFonts w:ascii="Times New Roman" w:hAnsi="Times New Roman" w:eastAsia="MingLiU_HKSCS"/>
                <w:sz w:val="24"/>
                <w:szCs w:val="24"/>
              </w:rPr>
            </w:pPr>
          </w:p>
        </w:tc>
        <w:tc>
          <w:tcPr>
            <w:tcW w:w="992" w:type="dxa"/>
            <w:gridSpan w:val="2"/>
            <w:vMerge w:val="continue"/>
            <w:vAlign w:val="center"/>
          </w:tcPr>
          <w:p>
            <w:pPr>
              <w:pStyle w:val="25"/>
              <w:jc w:val="center"/>
              <w:rPr>
                <w:rFonts w:ascii="Times New Roman" w:hAnsi="Times New Roman" w:eastAsia="MingLiU_HKSCS"/>
                <w:sz w:val="24"/>
                <w:szCs w:val="24"/>
              </w:rPr>
            </w:pPr>
          </w:p>
        </w:tc>
        <w:tc>
          <w:tcPr>
            <w:tcW w:w="1397" w:type="dxa"/>
            <w:gridSpan w:val="2"/>
            <w:vAlign w:val="center"/>
          </w:tcPr>
          <w:p>
            <w:pPr>
              <w:pStyle w:val="25"/>
              <w:jc w:val="center"/>
              <w:rPr>
                <w:rFonts w:ascii="Times New Roman" w:hAnsi="Times New Roman" w:eastAsia="MingLiU_HKSCS"/>
                <w:sz w:val="24"/>
                <w:szCs w:val="24"/>
              </w:rPr>
            </w:pPr>
            <w:r>
              <w:rPr>
                <w:rFonts w:hint="eastAsia"/>
                <w:sz w:val="24"/>
                <w:szCs w:val="24"/>
              </w:rPr>
              <w:t>…</w:t>
            </w:r>
          </w:p>
        </w:tc>
        <w:tc>
          <w:tcPr>
            <w:tcW w:w="2016" w:type="dxa"/>
            <w:gridSpan w:val="2"/>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sz w:val="24"/>
                <w:szCs w:val="24"/>
              </w:rPr>
            </w:pPr>
          </w:p>
        </w:tc>
        <w:tc>
          <w:tcPr>
            <w:tcW w:w="1723" w:type="dxa"/>
            <w:gridSpan w:val="2"/>
            <w:vAlign w:val="center"/>
          </w:tcPr>
          <w:p>
            <w:pPr>
              <w:pStyle w:val="25"/>
              <w:jc w:val="center"/>
              <w:rPr>
                <w:rFonts w:ascii="Times New Roman" w:hAnsi="Times New Roman" w:eastAsia="MingLiU_HKSCS"/>
                <w:sz w:val="24"/>
                <w:szCs w:val="24"/>
              </w:rPr>
            </w:pPr>
            <w:r>
              <w:rPr>
                <w:rFonts w:hint="eastAsia"/>
                <w:sz w:val="24"/>
                <w:szCs w:val="24"/>
              </w:rPr>
              <w:t>…</w:t>
            </w:r>
          </w:p>
        </w:tc>
        <w:tc>
          <w:tcPr>
            <w:tcW w:w="862" w:type="dxa"/>
            <w:vAlign w:val="center"/>
          </w:tcPr>
          <w:p>
            <w:pPr>
              <w:pStyle w:val="25"/>
              <w:jc w:val="center"/>
              <w:rPr>
                <w:rFonts w:ascii="Times New Roman" w:hAnsi="Times New Roman" w:eastAsia="MingLiU_HKSCS"/>
                <w:sz w:val="24"/>
                <w:szCs w:val="24"/>
              </w:rPr>
            </w:pPr>
          </w:p>
        </w:tc>
        <w:tc>
          <w:tcPr>
            <w:tcW w:w="1057" w:type="dxa"/>
            <w:gridSpan w:val="2"/>
            <w:vAlign w:val="center"/>
          </w:tcPr>
          <w:p>
            <w:pPr>
              <w:pStyle w:val="25"/>
              <w:jc w:val="center"/>
              <w:rPr>
                <w:rFonts w:ascii="Times New Roman" w:hAnsi="Times New Roman" w:eastAsia="MingLiU_HKSCS"/>
                <w:sz w:val="24"/>
                <w:szCs w:val="24"/>
              </w:rPr>
            </w:pPr>
          </w:p>
        </w:tc>
        <w:tc>
          <w:tcPr>
            <w:tcW w:w="992" w:type="dxa"/>
            <w:gridSpan w:val="2"/>
            <w:vMerge w:val="continue"/>
            <w:vAlign w:val="center"/>
          </w:tcPr>
          <w:p>
            <w:pPr>
              <w:pStyle w:val="25"/>
              <w:jc w:val="center"/>
              <w:rPr>
                <w:rFonts w:ascii="Times New Roman" w:hAnsi="Times New Roman" w:eastAsia="MingLiU_HKSCS"/>
                <w:sz w:val="24"/>
                <w:szCs w:val="24"/>
              </w:rPr>
            </w:pPr>
          </w:p>
        </w:tc>
        <w:tc>
          <w:tcPr>
            <w:tcW w:w="1397" w:type="dxa"/>
            <w:gridSpan w:val="2"/>
            <w:vAlign w:val="center"/>
          </w:tcPr>
          <w:p>
            <w:pPr>
              <w:pStyle w:val="25"/>
              <w:jc w:val="center"/>
              <w:rPr>
                <w:rFonts w:ascii="Times New Roman" w:hAnsi="Times New Roman" w:eastAsia="MingLiU_HKSCS"/>
                <w:sz w:val="24"/>
                <w:szCs w:val="24"/>
              </w:rPr>
            </w:pPr>
          </w:p>
        </w:tc>
        <w:tc>
          <w:tcPr>
            <w:tcW w:w="2016" w:type="dxa"/>
            <w:gridSpan w:val="2"/>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25"/>
              <w:jc w:val="center"/>
              <w:rPr>
                <w:rFonts w:ascii="Times New Roman" w:hAnsi="Times New Roman" w:eastAsia="MingLiU_HKSCS"/>
                <w:sz w:val="24"/>
                <w:szCs w:val="24"/>
              </w:rPr>
            </w:pPr>
          </w:p>
        </w:tc>
        <w:tc>
          <w:tcPr>
            <w:tcW w:w="1723" w:type="dxa"/>
            <w:gridSpan w:val="2"/>
            <w:vAlign w:val="center"/>
          </w:tcPr>
          <w:p>
            <w:pPr>
              <w:pStyle w:val="25"/>
              <w:jc w:val="center"/>
              <w:rPr>
                <w:rFonts w:ascii="Times New Roman" w:hAnsi="Times New Roman"/>
                <w:sz w:val="24"/>
                <w:szCs w:val="24"/>
              </w:rPr>
            </w:pPr>
            <w:r>
              <w:rPr>
                <w:rFonts w:hint="eastAsia" w:ascii="Times New Roman" w:hAnsi="Times New Roman"/>
                <w:sz w:val="24"/>
                <w:szCs w:val="24"/>
              </w:rPr>
              <w:t>小计</w:t>
            </w:r>
          </w:p>
        </w:tc>
        <w:tc>
          <w:tcPr>
            <w:tcW w:w="862" w:type="dxa"/>
            <w:vAlign w:val="center"/>
          </w:tcPr>
          <w:p>
            <w:pPr>
              <w:pStyle w:val="25"/>
              <w:jc w:val="center"/>
              <w:rPr>
                <w:rFonts w:ascii="Times New Roman" w:hAnsi="Times New Roman" w:eastAsia="MingLiU_HKSCS"/>
                <w:sz w:val="24"/>
                <w:szCs w:val="24"/>
              </w:rPr>
            </w:pPr>
          </w:p>
        </w:tc>
        <w:tc>
          <w:tcPr>
            <w:tcW w:w="1057" w:type="dxa"/>
            <w:gridSpan w:val="2"/>
            <w:vAlign w:val="center"/>
          </w:tcPr>
          <w:p>
            <w:pPr>
              <w:pStyle w:val="25"/>
              <w:jc w:val="center"/>
              <w:rPr>
                <w:rFonts w:ascii="Times New Roman" w:hAnsi="Times New Roman" w:eastAsia="MingLiU_HKSCS"/>
                <w:sz w:val="24"/>
                <w:szCs w:val="24"/>
              </w:rPr>
            </w:pPr>
          </w:p>
        </w:tc>
        <w:tc>
          <w:tcPr>
            <w:tcW w:w="992" w:type="dxa"/>
            <w:gridSpan w:val="2"/>
            <w:vMerge w:val="continue"/>
            <w:vAlign w:val="center"/>
          </w:tcPr>
          <w:p>
            <w:pPr>
              <w:pStyle w:val="25"/>
              <w:jc w:val="center"/>
              <w:rPr>
                <w:rFonts w:ascii="Times New Roman" w:hAnsi="Times New Roman" w:eastAsia="MingLiU_HKSCS"/>
                <w:sz w:val="24"/>
                <w:szCs w:val="24"/>
              </w:rPr>
            </w:pPr>
          </w:p>
        </w:tc>
        <w:tc>
          <w:tcPr>
            <w:tcW w:w="1397" w:type="dxa"/>
            <w:gridSpan w:val="2"/>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小计</w:t>
            </w:r>
          </w:p>
        </w:tc>
        <w:tc>
          <w:tcPr>
            <w:tcW w:w="2016" w:type="dxa"/>
            <w:gridSpan w:val="2"/>
            <w:vAlign w:val="center"/>
          </w:tcPr>
          <w:p>
            <w:pPr>
              <w:pStyle w:val="25"/>
              <w:jc w:val="center"/>
              <w:rPr>
                <w:rFonts w:ascii="Times New Roman" w:hAnsi="Times New Roman" w:eastAsia="MingLiU_HKSCS"/>
                <w:sz w:val="24"/>
                <w:szCs w:val="24"/>
              </w:rPr>
            </w:pPr>
          </w:p>
        </w:tc>
      </w:tr>
    </w:tbl>
    <w:p>
      <w:pPr>
        <w:pStyle w:val="25"/>
        <w:ind w:firstLine="480" w:firstLineChars="200"/>
        <w:rPr>
          <w:rFonts w:ascii="Times New Roman" w:hAnsi="Times New Roman" w:eastAsia="MingLiU_HKSCS"/>
          <w:sz w:val="24"/>
          <w:szCs w:val="24"/>
        </w:rPr>
      </w:pPr>
      <w:r>
        <w:rPr>
          <w:rFonts w:hint="eastAsia" w:ascii="Times New Roman" w:hAnsi="Times New Roman"/>
          <w:sz w:val="24"/>
          <w:szCs w:val="24"/>
        </w:rPr>
        <w:t>说明：本表中的政策功能类型及编号是指产品在最新一期节能、环保清单内的编号。</w:t>
      </w:r>
    </w:p>
    <w:p>
      <w:pPr>
        <w:pStyle w:val="146"/>
        <w:spacing w:line="500" w:lineRule="exact"/>
        <w:ind w:firstLine="482" w:firstLineChars="200"/>
        <w:rPr>
          <w:rFonts w:ascii="宋体" w:hAnsi="宋体"/>
          <w:b/>
          <w:bCs/>
          <w:szCs w:val="24"/>
        </w:rPr>
      </w:pPr>
    </w:p>
    <w:p>
      <w:pPr>
        <w:pStyle w:val="146"/>
        <w:spacing w:line="500" w:lineRule="exact"/>
        <w:ind w:firstLine="482" w:firstLineChars="200"/>
        <w:rPr>
          <w:rFonts w:ascii="宋体" w:hAnsi="宋体"/>
          <w:b/>
          <w:bCs/>
          <w:szCs w:val="24"/>
        </w:rPr>
      </w:pPr>
    </w:p>
    <w:p>
      <w:pPr>
        <w:adjustRightInd w:val="0"/>
        <w:snapToGrid w:val="0"/>
        <w:spacing w:line="360" w:lineRule="auto"/>
        <w:ind w:firstLine="480"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79" w:leftChars="228" w:firstLine="9360" w:firstLineChars="3900"/>
        <w:rPr>
          <w:rFonts w:ascii="宋体" w:hAnsi="宋体"/>
          <w:sz w:val="24"/>
          <w:szCs w:val="21"/>
        </w:rPr>
      </w:pPr>
      <w:r>
        <w:rPr>
          <w:rFonts w:hint="eastAsia" w:ascii="宋体" w:hAnsi="宋体"/>
          <w:sz w:val="24"/>
          <w:szCs w:val="21"/>
        </w:rPr>
        <w:t>法定代表人或其委托代理人签字或盖章：</w:t>
      </w:r>
    </w:p>
    <w:p>
      <w:pPr>
        <w:adjustRightInd w:val="0"/>
        <w:snapToGrid w:val="0"/>
        <w:spacing w:line="360" w:lineRule="auto"/>
        <w:ind w:left="479" w:leftChars="228" w:right="24" w:firstLine="9360" w:firstLineChars="3900"/>
        <w:rPr>
          <w:rFonts w:ascii="宋体" w:hAnsi="宋体"/>
          <w:sz w:val="24"/>
          <w:szCs w:val="21"/>
        </w:rPr>
      </w:pPr>
      <w:r>
        <w:rPr>
          <w:rFonts w:hint="eastAsia" w:ascii="宋体" w:hAnsi="宋体"/>
          <w:sz w:val="24"/>
          <w:szCs w:val="21"/>
        </w:rPr>
        <w:t xml:space="preserve">  日期：年月日</w:t>
      </w:r>
    </w:p>
    <w:p>
      <w:pPr>
        <w:pStyle w:val="84"/>
        <w:spacing w:line="500" w:lineRule="exact"/>
        <w:jc w:val="center"/>
        <w:outlineLvl w:val="2"/>
        <w:rPr>
          <w:rFonts w:ascii="宋体" w:hAnsi="宋体"/>
          <w:b/>
          <w:color w:val="auto"/>
        </w:rPr>
      </w:pPr>
      <w:r>
        <w:rPr>
          <w:rFonts w:hint="eastAsia" w:ascii="宋体" w:hAnsi="宋体"/>
          <w:b/>
          <w:color w:val="auto"/>
        </w:rPr>
        <w:t>四、商务条款偏离表</w:t>
      </w:r>
    </w:p>
    <w:p>
      <w:pPr>
        <w:pStyle w:val="84"/>
        <w:spacing w:line="500" w:lineRule="exact"/>
        <w:jc w:val="center"/>
        <w:rPr>
          <w:rFonts w:ascii="宋体" w:hAnsi="宋体"/>
          <w:color w:val="auto"/>
        </w:rPr>
      </w:pPr>
    </w:p>
    <w:p>
      <w:pPr>
        <w:pStyle w:val="25"/>
        <w:ind w:firstLine="480" w:firstLineChars="200"/>
        <w:rPr>
          <w:rFonts w:ascii="Times New Roman" w:hAnsi="Times New Roman"/>
        </w:rPr>
      </w:pPr>
      <w:r>
        <w:rPr>
          <w:rFonts w:hint="eastAsia" w:ascii="Times New Roman" w:hAnsi="Times New Roman"/>
          <w:sz w:val="24"/>
          <w:szCs w:val="24"/>
        </w:rPr>
        <w:t>项目名称：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项目编号：　</w:t>
      </w:r>
    </w:p>
    <w:tbl>
      <w:tblPr>
        <w:tblStyle w:val="42"/>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00" w:type="dxa"/>
            <w:vAlign w:val="center"/>
          </w:tcPr>
          <w:p>
            <w:pPr>
              <w:pStyle w:val="25"/>
              <w:jc w:val="center"/>
              <w:rPr>
                <w:rFonts w:ascii="Times New Roman" w:hAnsi="Times New Roman"/>
                <w:sz w:val="24"/>
                <w:szCs w:val="24"/>
              </w:rPr>
            </w:pPr>
            <w:r>
              <w:rPr>
                <w:rFonts w:hint="eastAsia" w:ascii="Times New Roman" w:hAnsi="Times New Roman"/>
                <w:sz w:val="24"/>
                <w:szCs w:val="24"/>
              </w:rPr>
              <w:t>序号</w:t>
            </w:r>
          </w:p>
        </w:tc>
        <w:tc>
          <w:tcPr>
            <w:tcW w:w="1861" w:type="dxa"/>
            <w:vAlign w:val="center"/>
          </w:tcPr>
          <w:p>
            <w:pPr>
              <w:pStyle w:val="25"/>
              <w:jc w:val="center"/>
              <w:rPr>
                <w:rFonts w:ascii="Times New Roman" w:hAnsi="Times New Roman"/>
                <w:sz w:val="24"/>
                <w:szCs w:val="24"/>
              </w:rPr>
            </w:pPr>
            <w:r>
              <w:rPr>
                <w:rFonts w:hint="eastAsia" w:ascii="Times New Roman" w:hAnsi="Times New Roman"/>
                <w:sz w:val="24"/>
                <w:szCs w:val="24"/>
              </w:rPr>
              <w:t>招标文件条目号</w:t>
            </w:r>
          </w:p>
        </w:tc>
        <w:tc>
          <w:tcPr>
            <w:tcW w:w="1861" w:type="dxa"/>
            <w:vAlign w:val="center"/>
          </w:tcPr>
          <w:p>
            <w:pPr>
              <w:pStyle w:val="25"/>
              <w:jc w:val="center"/>
              <w:rPr>
                <w:rFonts w:ascii="Times New Roman" w:hAnsi="Times New Roman"/>
                <w:sz w:val="24"/>
                <w:szCs w:val="24"/>
              </w:rPr>
            </w:pPr>
            <w:r>
              <w:rPr>
                <w:rFonts w:hint="eastAsia" w:ascii="Times New Roman" w:hAnsi="Times New Roman"/>
                <w:sz w:val="24"/>
                <w:szCs w:val="24"/>
              </w:rPr>
              <w:t>招标文件的商务条款</w:t>
            </w:r>
          </w:p>
        </w:tc>
        <w:tc>
          <w:tcPr>
            <w:tcW w:w="1861" w:type="dxa"/>
            <w:vAlign w:val="center"/>
          </w:tcPr>
          <w:p>
            <w:pPr>
              <w:pStyle w:val="25"/>
              <w:jc w:val="center"/>
              <w:rPr>
                <w:rFonts w:ascii="Times New Roman" w:hAnsi="Times New Roman"/>
                <w:sz w:val="24"/>
                <w:szCs w:val="24"/>
              </w:rPr>
            </w:pPr>
            <w:r>
              <w:rPr>
                <w:rFonts w:hint="eastAsia" w:ascii="Times New Roman" w:hAnsi="Times New Roman"/>
                <w:sz w:val="24"/>
                <w:szCs w:val="24"/>
              </w:rPr>
              <w:t>投标文件的商务条款</w:t>
            </w:r>
          </w:p>
        </w:tc>
        <w:tc>
          <w:tcPr>
            <w:tcW w:w="816" w:type="dxa"/>
            <w:vAlign w:val="center"/>
          </w:tcPr>
          <w:p>
            <w:pPr>
              <w:pStyle w:val="25"/>
              <w:jc w:val="center"/>
              <w:rPr>
                <w:rFonts w:ascii="Times New Roman" w:hAnsi="Times New Roman"/>
                <w:sz w:val="24"/>
                <w:szCs w:val="24"/>
              </w:rPr>
            </w:pPr>
            <w:r>
              <w:rPr>
                <w:rFonts w:hint="eastAsia" w:ascii="Times New Roman" w:hAnsi="Times New Roman"/>
                <w:sz w:val="24"/>
                <w:szCs w:val="24"/>
              </w:rPr>
              <w:t>偏离</w:t>
            </w:r>
          </w:p>
        </w:tc>
        <w:tc>
          <w:tcPr>
            <w:tcW w:w="816" w:type="dxa"/>
            <w:vAlign w:val="center"/>
          </w:tcPr>
          <w:p>
            <w:pPr>
              <w:pStyle w:val="25"/>
              <w:jc w:val="center"/>
              <w:rPr>
                <w:rFonts w:ascii="Times New Roman" w:hAnsi="Times New Roman" w:eastAsia="MingLiU_HKSCS"/>
                <w:sz w:val="24"/>
                <w:szCs w:val="24"/>
              </w:rPr>
            </w:pPr>
            <w:r>
              <w:rPr>
                <w:rFonts w:hint="eastAsia" w:ascii="Times New Roman" w:hAnsi="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eastAsia="MingLiU_HKS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00"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1861"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sz w:val="24"/>
                <w:szCs w:val="24"/>
              </w:rPr>
            </w:pPr>
          </w:p>
        </w:tc>
        <w:tc>
          <w:tcPr>
            <w:tcW w:w="816" w:type="dxa"/>
            <w:vAlign w:val="center"/>
          </w:tcPr>
          <w:p>
            <w:pPr>
              <w:pStyle w:val="25"/>
              <w:jc w:val="center"/>
              <w:rPr>
                <w:rFonts w:ascii="Times New Roman" w:hAnsi="Times New Roman" w:eastAsia="MingLiU_HKSCS"/>
                <w:sz w:val="24"/>
                <w:szCs w:val="24"/>
              </w:rPr>
            </w:pPr>
          </w:p>
        </w:tc>
      </w:tr>
    </w:tbl>
    <w:p>
      <w:pPr>
        <w:pStyle w:val="84"/>
        <w:spacing w:line="500" w:lineRule="exact"/>
        <w:jc w:val="center"/>
        <w:rPr>
          <w:rFonts w:ascii="宋体" w:hAnsi="宋体"/>
          <w:color w:val="auto"/>
        </w:rPr>
      </w:pPr>
      <w:r>
        <w:rPr>
          <w:rFonts w:hint="eastAsia" w:ascii="宋体" w:hAnsi="宋体"/>
          <w:color w:val="auto"/>
        </w:rPr>
        <w:t xml:space="preserve">说明：如有偏离，则必须注明“偏离”；未注明偏离的，视为完全响应。                                               </w:t>
      </w:r>
    </w:p>
    <w:p>
      <w:pPr>
        <w:pStyle w:val="84"/>
        <w:spacing w:line="500" w:lineRule="exact"/>
        <w:jc w:val="center"/>
        <w:rPr>
          <w:rFonts w:ascii="宋体" w:hAnsi="宋体"/>
          <w:color w:val="auto"/>
        </w:rPr>
      </w:pPr>
    </w:p>
    <w:p>
      <w:pPr>
        <w:pStyle w:val="84"/>
        <w:spacing w:line="500" w:lineRule="exact"/>
        <w:jc w:val="center"/>
        <w:rPr>
          <w:rFonts w:ascii="宋体" w:hAnsi="宋体"/>
          <w:color w:val="auto"/>
        </w:rPr>
      </w:pPr>
    </w:p>
    <w:p>
      <w:pPr>
        <w:pStyle w:val="84"/>
        <w:spacing w:line="500" w:lineRule="exact"/>
        <w:jc w:val="center"/>
        <w:rPr>
          <w:rFonts w:ascii="宋体" w:hAnsi="宋体"/>
          <w:color w:val="auto"/>
        </w:rPr>
      </w:pPr>
    </w:p>
    <w:p>
      <w:pPr>
        <w:pStyle w:val="84"/>
        <w:spacing w:line="500" w:lineRule="exact"/>
        <w:jc w:val="center"/>
        <w:rPr>
          <w:rFonts w:ascii="宋体" w:hAnsi="宋体"/>
          <w:color w:val="auto"/>
        </w:rPr>
      </w:pPr>
    </w:p>
    <w:p>
      <w:pPr>
        <w:adjustRightInd w:val="0"/>
        <w:snapToGrid w:val="0"/>
        <w:spacing w:line="360" w:lineRule="auto"/>
        <w:ind w:firstLine="480"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79" w:leftChars="228" w:firstLine="9360" w:firstLineChars="3900"/>
        <w:rPr>
          <w:rFonts w:ascii="宋体" w:hAnsi="宋体"/>
          <w:sz w:val="24"/>
          <w:szCs w:val="21"/>
        </w:rPr>
      </w:pPr>
      <w:r>
        <w:rPr>
          <w:rFonts w:hint="eastAsia" w:ascii="宋体" w:hAnsi="宋体"/>
          <w:sz w:val="24"/>
          <w:szCs w:val="21"/>
        </w:rPr>
        <w:t>法定代表人或其委托代理人签字或盖章：</w:t>
      </w:r>
    </w:p>
    <w:p>
      <w:pPr>
        <w:adjustRightInd w:val="0"/>
        <w:snapToGrid w:val="0"/>
        <w:spacing w:line="360" w:lineRule="auto"/>
        <w:ind w:left="479" w:leftChars="228" w:right="24" w:firstLine="9360" w:firstLineChars="3900"/>
        <w:rPr>
          <w:rFonts w:ascii="宋体" w:hAnsi="宋体"/>
          <w:sz w:val="24"/>
          <w:szCs w:val="21"/>
        </w:rPr>
      </w:pPr>
      <w:r>
        <w:rPr>
          <w:rFonts w:hint="eastAsia" w:ascii="宋体" w:hAnsi="宋体"/>
          <w:sz w:val="24"/>
          <w:szCs w:val="21"/>
        </w:rPr>
        <w:t xml:space="preserve">  日期：年月日</w:t>
      </w:r>
    </w:p>
    <w:p>
      <w:pPr>
        <w:adjustRightInd w:val="0"/>
        <w:snapToGrid w:val="0"/>
        <w:spacing w:line="360" w:lineRule="auto"/>
        <w:ind w:left="479" w:leftChars="228" w:right="24" w:firstLine="9360" w:firstLineChars="3900"/>
        <w:rPr>
          <w:rFonts w:ascii="宋体" w:hAnsi="宋体"/>
          <w:sz w:val="24"/>
          <w:szCs w:val="21"/>
        </w:rPr>
      </w:pPr>
    </w:p>
    <w:p>
      <w:pPr>
        <w:adjustRightInd w:val="0"/>
        <w:snapToGrid w:val="0"/>
        <w:spacing w:line="360" w:lineRule="auto"/>
        <w:ind w:left="479" w:leftChars="228" w:right="24" w:firstLine="9360" w:firstLineChars="3900"/>
        <w:rPr>
          <w:rFonts w:ascii="宋体" w:hAnsi="宋体"/>
          <w:sz w:val="24"/>
          <w:szCs w:val="21"/>
        </w:rPr>
      </w:pPr>
    </w:p>
    <w:p>
      <w:pPr>
        <w:adjustRightInd w:val="0"/>
        <w:snapToGrid w:val="0"/>
        <w:spacing w:line="360" w:lineRule="auto"/>
        <w:ind w:left="479" w:leftChars="228" w:right="24" w:firstLine="9360" w:firstLineChars="3900"/>
        <w:rPr>
          <w:rFonts w:ascii="宋体" w:hAnsi="宋体"/>
          <w:sz w:val="24"/>
          <w:szCs w:val="21"/>
        </w:rPr>
      </w:pPr>
    </w:p>
    <w:p>
      <w:pPr>
        <w:adjustRightInd w:val="0"/>
        <w:snapToGrid w:val="0"/>
        <w:spacing w:line="360" w:lineRule="auto"/>
        <w:ind w:left="479" w:leftChars="228" w:right="24" w:firstLine="9360" w:firstLineChars="3900"/>
        <w:rPr>
          <w:rFonts w:ascii="宋体" w:hAnsi="宋体"/>
          <w:sz w:val="24"/>
          <w:szCs w:val="21"/>
        </w:rPr>
      </w:pPr>
    </w:p>
    <w:p>
      <w:pPr>
        <w:adjustRightInd w:val="0"/>
        <w:snapToGrid w:val="0"/>
        <w:spacing w:line="360" w:lineRule="auto"/>
        <w:ind w:left="479" w:leftChars="228" w:right="24" w:firstLine="9360" w:firstLineChars="3900"/>
        <w:rPr>
          <w:rFonts w:ascii="宋体" w:hAnsi="宋体"/>
          <w:sz w:val="24"/>
          <w:szCs w:val="21"/>
        </w:rPr>
      </w:pPr>
    </w:p>
    <w:p>
      <w:pPr>
        <w:pStyle w:val="25"/>
        <w:jc w:val="center"/>
        <w:outlineLvl w:val="2"/>
        <w:rPr>
          <w:rFonts w:ascii="Times New Roman" w:hAnsi="Times New Roman"/>
          <w:b/>
          <w:bCs/>
          <w:sz w:val="24"/>
          <w:szCs w:val="24"/>
        </w:rPr>
      </w:pPr>
      <w:r>
        <w:rPr>
          <w:rFonts w:hint="eastAsia" w:ascii="Times New Roman" w:hAnsi="Times New Roman"/>
          <w:b/>
          <w:bCs/>
          <w:sz w:val="24"/>
          <w:szCs w:val="24"/>
        </w:rPr>
        <w:t>五、投标保证金</w:t>
      </w:r>
    </w:p>
    <w:p>
      <w:pPr>
        <w:pStyle w:val="25"/>
        <w:rPr>
          <w:rFonts w:ascii="Times New Roman" w:hAnsi="Times New Roman"/>
          <w:b/>
          <w:bCs/>
          <w:sz w:val="24"/>
          <w:szCs w:val="24"/>
        </w:rPr>
      </w:pPr>
    </w:p>
    <w:p>
      <w:pPr>
        <w:tabs>
          <w:tab w:val="left" w:pos="814"/>
        </w:tabs>
        <w:jc w:val="center"/>
        <w:outlineLvl w:val="3"/>
        <w:rPr>
          <w:b/>
          <w:sz w:val="24"/>
          <w:szCs w:val="24"/>
        </w:rPr>
      </w:pPr>
      <w:r>
        <w:rPr>
          <w:rFonts w:hint="eastAsia"/>
          <w:b/>
          <w:sz w:val="24"/>
          <w:szCs w:val="24"/>
        </w:rPr>
        <w:t>保证金汇款声明函</w:t>
      </w:r>
      <w:r>
        <w:rPr>
          <w:b/>
          <w:sz w:val="24"/>
          <w:szCs w:val="24"/>
        </w:rPr>
        <w:t>(</w:t>
      </w:r>
      <w:r>
        <w:rPr>
          <w:rFonts w:hint="eastAsia"/>
          <w:b/>
          <w:sz w:val="24"/>
          <w:szCs w:val="24"/>
        </w:rPr>
        <w:t>适用银行转账</w:t>
      </w:r>
      <w:r>
        <w:rPr>
          <w:b/>
          <w:sz w:val="24"/>
          <w:szCs w:val="24"/>
        </w:rPr>
        <w:t>)</w:t>
      </w:r>
    </w:p>
    <w:p>
      <w:pPr>
        <w:pStyle w:val="25"/>
        <w:spacing w:line="500" w:lineRule="exact"/>
        <w:rPr>
          <w:rFonts w:ascii="Times New Roman" w:hAnsi="Times New Roman" w:eastAsia="MingLiU_HKSCS"/>
          <w:sz w:val="24"/>
          <w:szCs w:val="24"/>
        </w:rPr>
      </w:pPr>
      <w:r>
        <w:rPr>
          <w:rFonts w:hint="eastAsia" w:ascii="Times New Roman" w:hAnsi="Times New Roman"/>
          <w:sz w:val="24"/>
          <w:szCs w:val="24"/>
        </w:rPr>
        <w:t>致：</w:t>
      </w:r>
      <w:r>
        <w:rPr>
          <w:rFonts w:ascii="Times New Roman" w:hAnsi="Times New Roman"/>
          <w:sz w:val="24"/>
          <w:szCs w:val="24"/>
        </w:rPr>
        <w:t>____________(</w:t>
      </w:r>
      <w:r>
        <w:rPr>
          <w:rFonts w:hint="eastAsia" w:ascii="Times New Roman" w:hAnsi="Times New Roman"/>
          <w:sz w:val="24"/>
          <w:szCs w:val="24"/>
        </w:rPr>
        <w:t>采购人或采购代理机构</w:t>
      </w:r>
      <w:r>
        <w:rPr>
          <w:rFonts w:ascii="Times New Roman" w:hAnsi="Times New Roman"/>
          <w:sz w:val="24"/>
          <w:szCs w:val="24"/>
        </w:rPr>
        <w:t>)</w:t>
      </w:r>
    </w:p>
    <w:p>
      <w:pPr>
        <w:pStyle w:val="25"/>
        <w:spacing w:line="500" w:lineRule="exact"/>
        <w:ind w:firstLine="480" w:firstLineChars="200"/>
        <w:rPr>
          <w:rFonts w:ascii="Times New Roman" w:hAnsi="Times New Roman" w:eastAsia="MingLiU_HKSCS"/>
          <w:sz w:val="24"/>
          <w:szCs w:val="24"/>
        </w:rPr>
      </w:pPr>
      <w:r>
        <w:rPr>
          <w:rFonts w:hint="eastAsia" w:ascii="Times New Roman" w:hAnsi="Times New Roman"/>
          <w:sz w:val="24"/>
          <w:szCs w:val="24"/>
        </w:rPr>
        <w:t>我方为</w:t>
      </w:r>
      <w:r>
        <w:rPr>
          <w:rFonts w:ascii="Times New Roman" w:hAnsi="Times New Roman"/>
          <w:sz w:val="24"/>
          <w:szCs w:val="24"/>
        </w:rPr>
        <w:t>____________(</w:t>
      </w:r>
      <w:r>
        <w:rPr>
          <w:rFonts w:hint="eastAsia" w:ascii="Times New Roman" w:hAnsi="Times New Roman"/>
          <w:sz w:val="24"/>
          <w:szCs w:val="24"/>
        </w:rPr>
        <w:t>项目名称</w:t>
      </w:r>
      <w:r>
        <w:rPr>
          <w:rFonts w:ascii="Times New Roman" w:hAnsi="Times New Roman"/>
          <w:sz w:val="24"/>
          <w:szCs w:val="24"/>
        </w:rPr>
        <w:t>)(</w:t>
      </w:r>
      <w:r>
        <w:rPr>
          <w:rFonts w:hint="eastAsia" w:ascii="Times New Roman" w:hAnsi="Times New Roman"/>
          <w:sz w:val="24"/>
          <w:szCs w:val="24"/>
        </w:rPr>
        <w:t>项目编号：</w:t>
      </w:r>
      <w:r>
        <w:rPr>
          <w:rFonts w:ascii="Times New Roman" w:hAnsi="Times New Roman"/>
          <w:sz w:val="24"/>
          <w:szCs w:val="24"/>
        </w:rPr>
        <w:t>________)</w:t>
      </w:r>
      <w:r>
        <w:rPr>
          <w:rFonts w:hint="eastAsia" w:ascii="Times New Roman" w:hAnsi="Times New Roman"/>
          <w:sz w:val="24"/>
          <w:szCs w:val="24"/>
        </w:rPr>
        <w:t>递交保证金人民币</w:t>
      </w:r>
      <w:r>
        <w:rPr>
          <w:rFonts w:ascii="Times New Roman" w:hAnsi="Times New Roman"/>
          <w:sz w:val="24"/>
          <w:szCs w:val="24"/>
        </w:rPr>
        <w:t>________</w:t>
      </w:r>
      <w:r>
        <w:rPr>
          <w:rFonts w:hint="eastAsia" w:ascii="Times New Roman" w:hAnsi="Times New Roman"/>
          <w:sz w:val="24"/>
          <w:szCs w:val="24"/>
        </w:rPr>
        <w:t>元</w:t>
      </w:r>
      <w:r>
        <w:rPr>
          <w:rFonts w:ascii="Times New Roman" w:hAnsi="Times New Roman"/>
          <w:sz w:val="24"/>
          <w:szCs w:val="24"/>
        </w:rPr>
        <w:t>(</w:t>
      </w:r>
      <w:r>
        <w:rPr>
          <w:rFonts w:hint="eastAsia" w:ascii="Times New Roman" w:hAnsi="Times New Roman"/>
          <w:sz w:val="24"/>
          <w:szCs w:val="24"/>
        </w:rPr>
        <w:t>大写</w:t>
      </w:r>
      <w:r>
        <w:rPr>
          <w:rFonts w:ascii="Times New Roman" w:hAnsi="Times New Roman"/>
          <w:sz w:val="24"/>
          <w:szCs w:val="24"/>
        </w:rPr>
        <w:t>(</w:t>
      </w:r>
      <w:r>
        <w:rPr>
          <w:rFonts w:hint="eastAsia" w:ascii="Times New Roman" w:hAnsi="Times New Roman"/>
          <w:sz w:val="24"/>
          <w:szCs w:val="24"/>
        </w:rPr>
        <w:t>人民币　　元</w:t>
      </w:r>
      <w:r>
        <w:rPr>
          <w:rFonts w:ascii="Times New Roman" w:hAnsi="Times New Roman"/>
          <w:sz w:val="24"/>
          <w:szCs w:val="24"/>
        </w:rPr>
        <w:t>)</w:t>
      </w:r>
      <w:r>
        <w:rPr>
          <w:rFonts w:hint="eastAsia" w:ascii="Times New Roman" w:hAnsi="Times New Roman"/>
          <w:sz w:val="24"/>
          <w:szCs w:val="24"/>
        </w:rPr>
        <w:t>已于</w:t>
      </w:r>
      <w:r>
        <w:rPr>
          <w:rFonts w:ascii="Times New Roman" w:hAnsi="Times New Roman"/>
          <w:sz w:val="24"/>
          <w:szCs w:val="24"/>
        </w:rPr>
        <w:t>______</w:t>
      </w:r>
      <w:r>
        <w:rPr>
          <w:rFonts w:hint="eastAsia" w:ascii="Times New Roman" w:hAnsi="Times New Roman"/>
          <w:sz w:val="24"/>
          <w:szCs w:val="24"/>
        </w:rPr>
        <w:t>年</w:t>
      </w:r>
      <w:r>
        <w:rPr>
          <w:rFonts w:ascii="Times New Roman" w:hAnsi="Times New Roman"/>
          <w:sz w:val="24"/>
          <w:szCs w:val="24"/>
        </w:rPr>
        <w:t>____</w:t>
      </w:r>
      <w:r>
        <w:rPr>
          <w:rFonts w:hint="eastAsia" w:ascii="Times New Roman" w:hAnsi="Times New Roman"/>
          <w:sz w:val="24"/>
          <w:szCs w:val="24"/>
        </w:rPr>
        <w:t>月</w:t>
      </w:r>
      <w:r>
        <w:rPr>
          <w:rFonts w:ascii="Times New Roman" w:hAnsi="Times New Roman"/>
          <w:sz w:val="24"/>
          <w:szCs w:val="24"/>
        </w:rPr>
        <w:t>____</w:t>
      </w:r>
      <w:r>
        <w:rPr>
          <w:rFonts w:hint="eastAsia" w:ascii="Times New Roman" w:hAnsi="Times New Roman"/>
          <w:sz w:val="24"/>
          <w:szCs w:val="24"/>
        </w:rPr>
        <w:t>日以银行主动划账方式划入你方账户。</w:t>
      </w:r>
    </w:p>
    <w:p>
      <w:pPr>
        <w:pStyle w:val="25"/>
        <w:spacing w:line="500" w:lineRule="exact"/>
        <w:ind w:firstLine="480" w:firstLineChars="200"/>
        <w:rPr>
          <w:rFonts w:ascii="Times New Roman" w:hAnsi="Times New Roman" w:eastAsia="MingLiU_HKSCS"/>
          <w:sz w:val="24"/>
          <w:szCs w:val="24"/>
        </w:rPr>
      </w:pPr>
      <w:r>
        <w:rPr>
          <w:rFonts w:hint="eastAsia" w:ascii="Times New Roman" w:hAnsi="Times New Roman"/>
          <w:sz w:val="24"/>
          <w:szCs w:val="24"/>
        </w:rPr>
        <w:t>详见附件：投标保证金汇款凭证。</w:t>
      </w:r>
    </w:p>
    <w:p>
      <w:pPr>
        <w:pStyle w:val="25"/>
        <w:spacing w:line="500" w:lineRule="exact"/>
        <w:ind w:firstLine="480" w:firstLineChars="200"/>
        <w:rPr>
          <w:rFonts w:ascii="Times New Roman" w:hAnsi="Times New Roman" w:eastAsia="MingLiU_HKSCS"/>
          <w:sz w:val="24"/>
          <w:szCs w:val="24"/>
        </w:rPr>
      </w:pPr>
      <w:r>
        <w:rPr>
          <w:rFonts w:hint="eastAsia" w:ascii="Times New Roman" w:hAnsi="Times New Roman"/>
          <w:sz w:val="24"/>
          <w:szCs w:val="24"/>
        </w:rPr>
        <w:t>退还保证金时请按以下内容划入我方账户。若因内容不全、错误、字迹潦草模糊导致该项目保证金未能及时退还或退还过程中发生错误</w:t>
      </w:r>
      <w:r>
        <w:rPr>
          <w:rFonts w:hint="eastAsia" w:ascii="Times New Roman" w:hAnsi="Times New Roman" w:eastAsia="MingLiU_HKSCS"/>
          <w:sz w:val="24"/>
          <w:szCs w:val="24"/>
        </w:rPr>
        <w:t>，</w:t>
      </w:r>
      <w:r>
        <w:rPr>
          <w:rFonts w:hint="eastAsia" w:ascii="Times New Roman" w:hAnsi="Times New Roman"/>
          <w:sz w:val="24"/>
          <w:szCs w:val="24"/>
        </w:rPr>
        <w:t>我方将承担全部责任和损失。</w:t>
      </w:r>
    </w:p>
    <w:p>
      <w:pPr>
        <w:pStyle w:val="25"/>
        <w:spacing w:line="500" w:lineRule="exact"/>
        <w:ind w:firstLine="480" w:firstLineChars="200"/>
        <w:rPr>
          <w:rFonts w:ascii="Times New Roman" w:hAnsi="Times New Roman" w:eastAsia="MingLiU_HKSCS"/>
          <w:sz w:val="24"/>
          <w:szCs w:val="24"/>
        </w:rPr>
      </w:pPr>
      <w:r>
        <w:rPr>
          <w:rFonts w:hint="eastAsia" w:ascii="Times New Roman" w:hAnsi="Times New Roman"/>
          <w:sz w:val="24"/>
          <w:szCs w:val="24"/>
        </w:rPr>
        <w:t>单位全称：</w:t>
      </w:r>
    </w:p>
    <w:p>
      <w:pPr>
        <w:pStyle w:val="25"/>
        <w:spacing w:line="500" w:lineRule="exact"/>
        <w:ind w:firstLine="480" w:firstLineChars="200"/>
        <w:rPr>
          <w:rFonts w:ascii="Times New Roman" w:hAnsi="Times New Roman" w:eastAsia="MingLiU_HKSCS"/>
          <w:sz w:val="24"/>
          <w:szCs w:val="24"/>
        </w:rPr>
      </w:pPr>
      <w:r>
        <w:rPr>
          <w:rFonts w:hint="eastAsia" w:ascii="Times New Roman" w:hAnsi="Times New Roman"/>
          <w:sz w:val="24"/>
          <w:szCs w:val="24"/>
        </w:rPr>
        <w:t>开户银行：</w:t>
      </w:r>
    </w:p>
    <w:p>
      <w:pPr>
        <w:pStyle w:val="25"/>
        <w:spacing w:line="500" w:lineRule="exact"/>
        <w:ind w:firstLine="480" w:firstLineChars="200"/>
        <w:rPr>
          <w:rFonts w:ascii="Times New Roman" w:hAnsi="Times New Roman"/>
          <w:sz w:val="24"/>
          <w:szCs w:val="24"/>
        </w:rPr>
      </w:pPr>
      <w:r>
        <w:rPr>
          <w:rFonts w:hint="eastAsia" w:ascii="Times New Roman" w:hAnsi="Times New Roman"/>
          <w:sz w:val="24"/>
          <w:szCs w:val="24"/>
        </w:rPr>
        <w:t>开户账号：</w:t>
      </w:r>
    </w:p>
    <w:p>
      <w:pPr>
        <w:pStyle w:val="25"/>
        <w:spacing w:line="500" w:lineRule="exact"/>
        <w:ind w:firstLine="480" w:firstLineChars="200"/>
        <w:rPr>
          <w:rFonts w:ascii="Times New Roman" w:hAnsi="Times New Roman"/>
          <w:sz w:val="24"/>
          <w:szCs w:val="24"/>
        </w:rPr>
      </w:pPr>
    </w:p>
    <w:p>
      <w:pPr>
        <w:pStyle w:val="25"/>
        <w:spacing w:line="500" w:lineRule="exact"/>
        <w:ind w:firstLine="480" w:firstLineChars="200"/>
        <w:rPr>
          <w:rFonts w:ascii="Times New Roman" w:hAnsi="Times New Roman"/>
          <w:sz w:val="24"/>
          <w:szCs w:val="24"/>
        </w:rPr>
      </w:pPr>
    </w:p>
    <w:p>
      <w:pPr>
        <w:pStyle w:val="25"/>
        <w:spacing w:line="500" w:lineRule="exact"/>
        <w:ind w:firstLine="960" w:firstLineChars="400"/>
        <w:rPr>
          <w:rFonts w:ascii="Times New Roman" w:hAnsi="Times New Roman" w:eastAsia="MingLiU_HKSCS"/>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　</w:t>
      </w:r>
    </w:p>
    <w:p>
      <w:pPr>
        <w:pStyle w:val="25"/>
        <w:spacing w:line="500" w:lineRule="exact"/>
        <w:ind w:firstLine="960" w:firstLineChars="400"/>
        <w:rPr>
          <w:rFonts w:ascii="Times New Roman" w:hAnsi="Times New Roman" w:eastAsia="MingLiU_HKSCS"/>
          <w:sz w:val="24"/>
          <w:szCs w:val="24"/>
        </w:rPr>
      </w:pPr>
      <w:r>
        <w:rPr>
          <w:rFonts w:hint="eastAsia" w:ascii="Times New Roman" w:hAnsi="Times New Roman"/>
          <w:sz w:val="24"/>
          <w:szCs w:val="24"/>
        </w:rPr>
        <w:t>地址：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　</w:t>
      </w:r>
    </w:p>
    <w:p>
      <w:pPr>
        <w:pStyle w:val="25"/>
        <w:spacing w:line="500" w:lineRule="exact"/>
        <w:ind w:firstLine="960" w:firstLineChars="400"/>
        <w:rPr>
          <w:rFonts w:ascii="Times New Roman" w:hAnsi="Times New Roman" w:eastAsia="MingLiU_HKSCS"/>
          <w:sz w:val="24"/>
          <w:szCs w:val="24"/>
        </w:rPr>
      </w:pPr>
      <w:r>
        <w:rPr>
          <w:rFonts w:hint="eastAsia" w:ascii="Times New Roman" w:hAnsi="Times New Roman"/>
          <w:sz w:val="24"/>
          <w:szCs w:val="24"/>
        </w:rPr>
        <w:t>项目联系人：</w:t>
      </w:r>
      <w:r>
        <w:rPr>
          <w:rFonts w:ascii="Times New Roman" w:hAnsi="Times New Roman"/>
          <w:sz w:val="24"/>
          <w:szCs w:val="24"/>
        </w:rPr>
        <w:tab/>
      </w:r>
      <w:r>
        <w:rPr>
          <w:rFonts w:ascii="Times New Roman" w:hAnsi="Times New Roman"/>
          <w:sz w:val="24"/>
          <w:szCs w:val="24"/>
        </w:rPr>
        <w:tab/>
      </w:r>
      <w:r>
        <w:rPr>
          <w:rFonts w:hint="eastAsia" w:ascii="Times New Roman" w:hAnsi="Times New Roman"/>
          <w:sz w:val="24"/>
          <w:szCs w:val="24"/>
        </w:rPr>
        <w:t>　　</w:t>
      </w:r>
    </w:p>
    <w:p>
      <w:pPr>
        <w:pStyle w:val="25"/>
        <w:spacing w:line="500" w:lineRule="exact"/>
        <w:ind w:firstLine="960" w:firstLineChars="400"/>
        <w:rPr>
          <w:rFonts w:ascii="Times New Roman" w:hAnsi="Times New Roman" w:eastAsia="MingLiU_HKSCS"/>
          <w:sz w:val="24"/>
          <w:szCs w:val="24"/>
        </w:rPr>
      </w:pPr>
      <w:r>
        <w:rPr>
          <w:rFonts w:hint="eastAsia" w:ascii="Times New Roman" w:hAnsi="Times New Roman"/>
          <w:sz w:val="24"/>
          <w:szCs w:val="24"/>
        </w:rPr>
        <w:t>联系方式：　　</w:t>
      </w:r>
      <w:r>
        <w:rPr>
          <w:rFonts w:ascii="Times New Roman" w:hAnsi="Times New Roman"/>
          <w:sz w:val="24"/>
          <w:szCs w:val="24"/>
        </w:rPr>
        <w:tab/>
      </w:r>
      <w:r>
        <w:rPr>
          <w:rFonts w:ascii="Times New Roman" w:hAnsi="Times New Roman"/>
          <w:sz w:val="24"/>
          <w:szCs w:val="24"/>
        </w:rPr>
        <w:tab/>
      </w:r>
    </w:p>
    <w:p>
      <w:pPr>
        <w:pStyle w:val="25"/>
        <w:spacing w:line="500" w:lineRule="exact"/>
        <w:ind w:firstLine="480" w:firstLineChars="200"/>
        <w:rPr>
          <w:rFonts w:ascii="Times New Roman" w:hAnsi="Times New Roman" w:eastAsia="MingLiU_HKSCS"/>
          <w:sz w:val="24"/>
          <w:szCs w:val="24"/>
        </w:rPr>
      </w:pPr>
    </w:p>
    <w:tbl>
      <w:tblPr>
        <w:tblStyle w:val="42"/>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5"/>
              <w:spacing w:line="500" w:lineRule="exact"/>
              <w:jc w:val="center"/>
              <w:rPr>
                <w:rFonts w:ascii="Times New Roman" w:hAnsi="Times New Roman"/>
                <w:sz w:val="24"/>
                <w:szCs w:val="24"/>
              </w:rPr>
            </w:pPr>
            <w:r>
              <w:rPr>
                <w:rFonts w:hint="eastAsia" w:ascii="Times New Roman" w:hAnsi="Times New Roman"/>
                <w:sz w:val="24"/>
                <w:szCs w:val="24"/>
              </w:rPr>
              <w:t>投标保证金汇款凭证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bottom w:val="single" w:color="auto" w:sz="4" w:space="0"/>
            </w:tcBorders>
            <w:vAlign w:val="center"/>
          </w:tcPr>
          <w:p>
            <w:pPr>
              <w:pStyle w:val="25"/>
              <w:spacing w:line="500" w:lineRule="exact"/>
              <w:jc w:val="center"/>
              <w:rPr>
                <w:rFonts w:ascii="Times New Roman" w:hAnsi="Times New Roman"/>
                <w:sz w:val="24"/>
                <w:szCs w:val="24"/>
              </w:rPr>
            </w:pPr>
            <w:r>
              <w:rPr>
                <w:rFonts w:hint="eastAsia" w:ascii="Times New Roman" w:hAnsi="Times New Roman"/>
                <w:sz w:val="24"/>
                <w:szCs w:val="24"/>
              </w:rPr>
              <w:t>开户行许可证复印件</w:t>
            </w:r>
          </w:p>
        </w:tc>
      </w:tr>
    </w:tbl>
    <w:p>
      <w:pPr>
        <w:adjustRightInd w:val="0"/>
        <w:snapToGrid w:val="0"/>
        <w:spacing w:line="360" w:lineRule="auto"/>
        <w:ind w:right="24"/>
        <w:rPr>
          <w:rFonts w:ascii="宋体" w:hAnsi="宋体"/>
          <w:sz w:val="24"/>
          <w:szCs w:val="21"/>
        </w:rPr>
      </w:pPr>
    </w:p>
    <w:p>
      <w:pPr>
        <w:pStyle w:val="84"/>
        <w:spacing w:line="500" w:lineRule="exact"/>
        <w:jc w:val="center"/>
        <w:rPr>
          <w:rFonts w:ascii="宋体" w:hAnsi="宋体"/>
          <w:b/>
          <w:color w:val="auto"/>
        </w:rPr>
      </w:pPr>
    </w:p>
    <w:p>
      <w:pPr>
        <w:pStyle w:val="25"/>
        <w:ind w:firstLine="482" w:firstLineChars="200"/>
        <w:jc w:val="center"/>
        <w:rPr>
          <w:b/>
          <w:sz w:val="24"/>
          <w:szCs w:val="24"/>
        </w:rPr>
      </w:pPr>
    </w:p>
    <w:p>
      <w:pPr>
        <w:pStyle w:val="25"/>
        <w:ind w:firstLine="482" w:firstLineChars="200"/>
        <w:jc w:val="center"/>
        <w:outlineLvl w:val="2"/>
        <w:rPr>
          <w:b/>
          <w:sz w:val="24"/>
          <w:szCs w:val="24"/>
        </w:rPr>
      </w:pPr>
      <w:r>
        <w:rPr>
          <w:rFonts w:hint="eastAsia"/>
          <w:b/>
          <w:sz w:val="24"/>
          <w:szCs w:val="24"/>
        </w:rPr>
        <w:t>六、投标人具备投标资格的证明文件</w:t>
      </w:r>
    </w:p>
    <w:p>
      <w:pPr>
        <w:pStyle w:val="25"/>
        <w:ind w:firstLine="482" w:firstLineChars="200"/>
        <w:jc w:val="center"/>
        <w:outlineLvl w:val="3"/>
        <w:rPr>
          <w:b/>
          <w:sz w:val="24"/>
          <w:szCs w:val="24"/>
        </w:rPr>
      </w:pPr>
      <w:r>
        <w:rPr>
          <w:rFonts w:hint="eastAsia"/>
          <w:b/>
          <w:sz w:val="24"/>
          <w:szCs w:val="24"/>
        </w:rPr>
        <w:t>（一）供应商基本情况表</w:t>
      </w:r>
    </w:p>
    <w:p>
      <w:pPr>
        <w:pStyle w:val="25"/>
        <w:spacing w:line="440" w:lineRule="exact"/>
        <w:ind w:firstLine="420" w:firstLineChars="200"/>
        <w:rPr>
          <w:rFonts w:asciiTheme="minorEastAsia" w:hAnsiTheme="minorEastAsia" w:eastAsiaTheme="minorEastAsia" w:cstheme="minorEastAsia"/>
          <w:sz w:val="24"/>
          <w:szCs w:val="24"/>
        </w:rPr>
      </w:pPr>
      <w:r>
        <w:rPr>
          <w:rFonts w:hint="eastAsia" w:ascii="Times New Roman" w:hAnsi="Times New Roman"/>
        </w:rPr>
        <w:t>　</w:t>
      </w:r>
      <w:r>
        <w:rPr>
          <w:rFonts w:hint="eastAsia" w:asciiTheme="minorEastAsia" w:hAnsiTheme="minorEastAsia" w:eastAsiaTheme="minorEastAsia" w:cstheme="minorEastAsia"/>
          <w:sz w:val="24"/>
          <w:szCs w:val="24"/>
        </w:rPr>
        <w:t>投标人：(公章)</w:t>
      </w:r>
    </w:p>
    <w:tbl>
      <w:tblPr>
        <w:tblStyle w:val="4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w:t>
            </w: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上年营业收入</w:t>
            </w: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基本账户开户行及账号</w:t>
            </w: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税务登记机关</w:t>
            </w: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资质名称</w:t>
            </w: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w:t>
            </w: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发证机关</w:t>
            </w: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943" w:type="dxa"/>
            <w:vAlign w:val="center"/>
          </w:tcPr>
          <w:p>
            <w:pPr>
              <w:pStyle w:val="2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1991" w:type="dxa"/>
            <w:vAlign w:val="center"/>
          </w:tcPr>
          <w:p>
            <w:pPr>
              <w:pStyle w:val="25"/>
              <w:spacing w:line="440" w:lineRule="exact"/>
              <w:jc w:val="center"/>
              <w:rPr>
                <w:rFonts w:asciiTheme="minorEastAsia" w:hAnsiTheme="minorEastAsia" w:eastAsiaTheme="minorEastAsia" w:cstheme="minorEastAsia"/>
                <w:sz w:val="24"/>
                <w:szCs w:val="24"/>
              </w:rPr>
            </w:pPr>
          </w:p>
        </w:tc>
        <w:tc>
          <w:tcPr>
            <w:tcW w:w="2154" w:type="dxa"/>
            <w:vAlign w:val="center"/>
          </w:tcPr>
          <w:p>
            <w:pPr>
              <w:pStyle w:val="25"/>
              <w:spacing w:line="440" w:lineRule="exact"/>
              <w:jc w:val="center"/>
              <w:rPr>
                <w:rFonts w:asciiTheme="minorEastAsia" w:hAnsiTheme="minorEastAsia" w:eastAsiaTheme="minorEastAsia" w:cstheme="minorEastAsia"/>
                <w:sz w:val="24"/>
                <w:szCs w:val="24"/>
              </w:rPr>
            </w:pPr>
          </w:p>
        </w:tc>
        <w:tc>
          <w:tcPr>
            <w:tcW w:w="1528" w:type="dxa"/>
            <w:vAlign w:val="center"/>
          </w:tcPr>
          <w:p>
            <w:pPr>
              <w:pStyle w:val="25"/>
              <w:spacing w:line="440" w:lineRule="exact"/>
              <w:jc w:val="center"/>
              <w:rPr>
                <w:rFonts w:asciiTheme="minorEastAsia" w:hAnsiTheme="minorEastAsia" w:eastAsiaTheme="minorEastAsia" w:cstheme="minorEastAsia"/>
                <w:sz w:val="24"/>
                <w:szCs w:val="24"/>
              </w:rPr>
            </w:pPr>
          </w:p>
        </w:tc>
      </w:tr>
    </w:tbl>
    <w:p>
      <w:pPr>
        <w:pStyle w:val="25"/>
        <w:spacing w:line="440" w:lineRule="exact"/>
        <w:ind w:firstLine="480" w:firstLineChars="200"/>
        <w:rPr>
          <w:rFonts w:asciiTheme="minorEastAsia" w:hAnsiTheme="minorEastAsia" w:eastAsiaTheme="minorEastAsia" w:cstheme="minorEastAsia"/>
          <w:sz w:val="24"/>
          <w:szCs w:val="24"/>
        </w:rPr>
      </w:pPr>
    </w:p>
    <w:p>
      <w:pPr>
        <w:pStyle w:val="25"/>
        <w:spacing w:line="440" w:lineRule="exact"/>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附件2-1　法人或者其他组织的营业执照副本复印件或自然人的身份证明复印件</w:t>
      </w:r>
    </w:p>
    <w:p>
      <w:pPr>
        <w:pStyle w:val="25"/>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(示例略)</w:t>
      </w:r>
    </w:p>
    <w:p>
      <w:pPr>
        <w:pStyle w:val="25"/>
        <w:spacing w:line="440" w:lineRule="exact"/>
        <w:ind w:firstLine="480" w:firstLineChars="200"/>
        <w:rPr>
          <w:rFonts w:asciiTheme="minorEastAsia" w:hAnsiTheme="minorEastAsia" w:eastAsiaTheme="minorEastAsia" w:cstheme="minorEastAsia"/>
          <w:sz w:val="24"/>
          <w:szCs w:val="24"/>
        </w:rPr>
      </w:pPr>
    </w:p>
    <w:p>
      <w:pPr>
        <w:pStyle w:val="25"/>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附件2-2　法人或者其他组织的税务登记证副本复印件(按规定可不进行税务登记的不提供)</w:t>
      </w:r>
    </w:p>
    <w:p>
      <w:pPr>
        <w:pStyle w:val="25"/>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(示例略)</w:t>
      </w:r>
    </w:p>
    <w:p>
      <w:pPr>
        <w:pStyle w:val="25"/>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附件2-3具备履行合同所必需的设备和专业技术能力的证明材料(示例略)</w:t>
      </w:r>
    </w:p>
    <w:p>
      <w:pPr>
        <w:pStyle w:val="84"/>
        <w:spacing w:line="500" w:lineRule="exact"/>
        <w:jc w:val="center"/>
        <w:rPr>
          <w:rFonts w:ascii="宋体" w:hAnsi="宋体"/>
          <w:b/>
          <w:color w:val="auto"/>
        </w:rPr>
      </w:pPr>
      <w:r>
        <w:rPr>
          <w:color w:val="auto"/>
        </w:rPr>
        <w:br w:type="page"/>
      </w:r>
    </w:p>
    <w:p>
      <w:pPr>
        <w:pStyle w:val="84"/>
        <w:spacing w:line="500" w:lineRule="exact"/>
        <w:jc w:val="center"/>
        <w:outlineLvl w:val="2"/>
        <w:rPr>
          <w:rFonts w:ascii="宋体" w:hAnsi="宋体"/>
          <w:b/>
          <w:color w:val="auto"/>
          <w:kern w:val="2"/>
        </w:rPr>
      </w:pPr>
      <w:r>
        <w:rPr>
          <w:rFonts w:hint="eastAsia" w:ascii="宋体" w:hAnsi="宋体"/>
          <w:b/>
          <w:color w:val="auto"/>
          <w:kern w:val="2"/>
        </w:rPr>
        <w:t>七、项目业绩表（2020年01月01日至今）</w:t>
      </w:r>
    </w:p>
    <w:p>
      <w:pPr>
        <w:pStyle w:val="84"/>
        <w:spacing w:line="500" w:lineRule="exact"/>
        <w:jc w:val="center"/>
        <w:rPr>
          <w:rFonts w:ascii="宋体" w:hAnsi="宋体"/>
          <w:color w:val="auto"/>
        </w:rPr>
      </w:pPr>
    </w:p>
    <w:p>
      <w:pPr>
        <w:pStyle w:val="84"/>
        <w:spacing w:line="500" w:lineRule="exact"/>
        <w:ind w:hanging="23"/>
        <w:rPr>
          <w:rFonts w:ascii="宋体" w:hAnsi="宋体"/>
          <w:color w:val="auto"/>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　</w:t>
      </w:r>
    </w:p>
    <w:tbl>
      <w:tblPr>
        <w:tblStyle w:val="42"/>
        <w:tblW w:w="93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565"/>
        <w:gridCol w:w="1305"/>
        <w:gridCol w:w="1515"/>
        <w:gridCol w:w="16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2" w:type="dxa"/>
            <w:vAlign w:val="center"/>
          </w:tcPr>
          <w:p>
            <w:pPr>
              <w:pStyle w:val="84"/>
              <w:spacing w:line="360" w:lineRule="exact"/>
              <w:jc w:val="center"/>
              <w:rPr>
                <w:rFonts w:ascii="宋体" w:hAnsi="宋体"/>
                <w:color w:val="auto"/>
              </w:rPr>
            </w:pPr>
            <w:r>
              <w:rPr>
                <w:rFonts w:hint="eastAsia" w:ascii="宋体" w:hAnsi="宋体"/>
                <w:color w:val="auto"/>
              </w:rPr>
              <w:t>序号</w:t>
            </w:r>
          </w:p>
        </w:tc>
        <w:tc>
          <w:tcPr>
            <w:tcW w:w="2565" w:type="dxa"/>
            <w:vAlign w:val="center"/>
          </w:tcPr>
          <w:p>
            <w:pPr>
              <w:pStyle w:val="84"/>
              <w:spacing w:line="360" w:lineRule="exact"/>
              <w:jc w:val="center"/>
              <w:rPr>
                <w:rFonts w:ascii="宋体" w:hAnsi="宋体"/>
                <w:color w:val="auto"/>
              </w:rPr>
            </w:pPr>
            <w:r>
              <w:rPr>
                <w:rFonts w:hint="eastAsia" w:ascii="宋体" w:hAnsi="宋体"/>
                <w:color w:val="auto"/>
              </w:rPr>
              <w:t>项目名称</w:t>
            </w:r>
          </w:p>
        </w:tc>
        <w:tc>
          <w:tcPr>
            <w:tcW w:w="1305" w:type="dxa"/>
            <w:vAlign w:val="center"/>
          </w:tcPr>
          <w:p>
            <w:pPr>
              <w:pStyle w:val="84"/>
              <w:spacing w:line="360" w:lineRule="exact"/>
              <w:jc w:val="center"/>
              <w:rPr>
                <w:rFonts w:ascii="宋体" w:hAnsi="宋体"/>
                <w:color w:val="auto"/>
              </w:rPr>
            </w:pPr>
            <w:r>
              <w:rPr>
                <w:rFonts w:hint="eastAsia" w:ascii="宋体" w:hAnsi="宋体"/>
                <w:color w:val="auto"/>
              </w:rPr>
              <w:t>签订合同时间</w:t>
            </w:r>
          </w:p>
        </w:tc>
        <w:tc>
          <w:tcPr>
            <w:tcW w:w="1515" w:type="dxa"/>
            <w:vAlign w:val="center"/>
          </w:tcPr>
          <w:p>
            <w:pPr>
              <w:pStyle w:val="84"/>
              <w:spacing w:line="360" w:lineRule="exact"/>
              <w:jc w:val="center"/>
              <w:rPr>
                <w:rFonts w:ascii="宋体" w:hAnsi="宋体"/>
                <w:color w:val="auto"/>
              </w:rPr>
            </w:pPr>
            <w:r>
              <w:rPr>
                <w:rFonts w:hint="eastAsia" w:ascii="宋体" w:hAnsi="宋体"/>
                <w:color w:val="auto"/>
              </w:rPr>
              <w:t>合同金额（万元）</w:t>
            </w:r>
          </w:p>
        </w:tc>
        <w:tc>
          <w:tcPr>
            <w:tcW w:w="1635" w:type="dxa"/>
            <w:vAlign w:val="center"/>
          </w:tcPr>
          <w:p>
            <w:pPr>
              <w:pStyle w:val="84"/>
              <w:spacing w:line="360" w:lineRule="exact"/>
              <w:jc w:val="center"/>
              <w:rPr>
                <w:rFonts w:ascii="宋体" w:hAnsi="宋体"/>
                <w:color w:val="auto"/>
              </w:rPr>
            </w:pPr>
            <w:r>
              <w:rPr>
                <w:rFonts w:hint="eastAsia" w:ascii="宋体" w:hAnsi="宋体"/>
                <w:color w:val="auto"/>
              </w:rPr>
              <w:t>业绩证明材料所在页码</w:t>
            </w:r>
          </w:p>
        </w:tc>
        <w:tc>
          <w:tcPr>
            <w:tcW w:w="1590" w:type="dxa"/>
            <w:vAlign w:val="center"/>
          </w:tcPr>
          <w:p>
            <w:pPr>
              <w:pStyle w:val="84"/>
              <w:spacing w:line="36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2" w:type="dxa"/>
          </w:tcPr>
          <w:p>
            <w:pPr>
              <w:pStyle w:val="84"/>
              <w:spacing w:line="500" w:lineRule="exact"/>
              <w:rPr>
                <w:rFonts w:ascii="宋体" w:hAnsi="宋体"/>
                <w:color w:val="auto"/>
              </w:rPr>
            </w:pPr>
          </w:p>
        </w:tc>
        <w:tc>
          <w:tcPr>
            <w:tcW w:w="2565" w:type="dxa"/>
          </w:tcPr>
          <w:p>
            <w:pPr>
              <w:pStyle w:val="84"/>
              <w:spacing w:line="500" w:lineRule="exact"/>
              <w:rPr>
                <w:rFonts w:ascii="宋体" w:hAnsi="宋体"/>
                <w:color w:val="auto"/>
              </w:rPr>
            </w:pPr>
          </w:p>
        </w:tc>
        <w:tc>
          <w:tcPr>
            <w:tcW w:w="1305" w:type="dxa"/>
          </w:tcPr>
          <w:p>
            <w:pPr>
              <w:pStyle w:val="84"/>
              <w:spacing w:line="500" w:lineRule="exact"/>
              <w:rPr>
                <w:rFonts w:ascii="宋体" w:hAnsi="宋体"/>
                <w:color w:val="auto"/>
              </w:rPr>
            </w:pPr>
          </w:p>
        </w:tc>
        <w:tc>
          <w:tcPr>
            <w:tcW w:w="1515" w:type="dxa"/>
          </w:tcPr>
          <w:p>
            <w:pPr>
              <w:pStyle w:val="84"/>
              <w:spacing w:line="500" w:lineRule="exact"/>
              <w:rPr>
                <w:rFonts w:ascii="宋体" w:hAnsi="宋体"/>
                <w:color w:val="auto"/>
              </w:rPr>
            </w:pPr>
          </w:p>
        </w:tc>
        <w:tc>
          <w:tcPr>
            <w:tcW w:w="1635" w:type="dxa"/>
          </w:tcPr>
          <w:p>
            <w:pPr>
              <w:pStyle w:val="84"/>
              <w:spacing w:line="500" w:lineRule="exact"/>
              <w:rPr>
                <w:rFonts w:ascii="宋体" w:hAnsi="宋体"/>
                <w:color w:val="auto"/>
              </w:rPr>
            </w:pPr>
          </w:p>
        </w:tc>
        <w:tc>
          <w:tcPr>
            <w:tcW w:w="1590" w:type="dxa"/>
          </w:tcPr>
          <w:p>
            <w:pPr>
              <w:pStyle w:val="84"/>
              <w:spacing w:line="500" w:lineRule="exact"/>
              <w:rPr>
                <w:rFonts w:ascii="宋体" w:hAnsi="宋体"/>
                <w:color w:val="auto"/>
              </w:rPr>
            </w:pPr>
          </w:p>
        </w:tc>
      </w:tr>
    </w:tbl>
    <w:p>
      <w:pPr>
        <w:spacing w:line="500" w:lineRule="exact"/>
        <w:ind w:firstLine="480" w:firstLineChars="200"/>
        <w:rPr>
          <w:rFonts w:ascii="宋体" w:hAnsi="宋体"/>
          <w:sz w:val="24"/>
          <w:szCs w:val="24"/>
        </w:rPr>
      </w:pPr>
      <w:r>
        <w:rPr>
          <w:rFonts w:hint="eastAsia" w:ascii="宋体" w:hAnsi="宋体" w:cs="仿宋_GB2312"/>
          <w:sz w:val="24"/>
          <w:szCs w:val="24"/>
        </w:rPr>
        <w:t>注：</w:t>
      </w:r>
      <w:r>
        <w:rPr>
          <w:rFonts w:hint="eastAsia" w:ascii="宋体" w:hAnsi="宋体" w:cs="仿宋_GB2312"/>
          <w:b/>
          <w:bCs/>
          <w:sz w:val="24"/>
          <w:szCs w:val="24"/>
        </w:rPr>
        <w:t>近两年（</w:t>
      </w:r>
      <w:r>
        <w:rPr>
          <w:rFonts w:hint="eastAsia" w:ascii="宋体" w:hAnsi="宋体"/>
          <w:b/>
        </w:rPr>
        <w:t>2020年01月01日至今</w:t>
      </w:r>
      <w:r>
        <w:rPr>
          <w:rFonts w:hint="eastAsia" w:ascii="宋体" w:hAnsi="宋体" w:cs="仿宋_GB2312"/>
          <w:b/>
          <w:bCs/>
          <w:sz w:val="24"/>
          <w:szCs w:val="24"/>
        </w:rPr>
        <w:t>）类似项目（附合同或中标通知书或成交通知书）。</w:t>
      </w:r>
    </w:p>
    <w:p>
      <w:pPr>
        <w:adjustRightInd w:val="0"/>
        <w:snapToGrid w:val="0"/>
        <w:spacing w:line="360" w:lineRule="auto"/>
        <w:ind w:firstLine="480" w:firstLineChars="200"/>
        <w:rPr>
          <w:rFonts w:ascii="宋体" w:hAnsi="宋体"/>
          <w:sz w:val="24"/>
          <w:szCs w:val="21"/>
        </w:rPr>
      </w:pPr>
    </w:p>
    <w:p>
      <w:pPr>
        <w:adjustRightInd w:val="0"/>
        <w:snapToGrid w:val="0"/>
        <w:spacing w:line="360" w:lineRule="auto"/>
        <w:rPr>
          <w:rFonts w:ascii="宋体" w:hAnsi="宋体"/>
          <w:sz w:val="24"/>
          <w:szCs w:val="21"/>
        </w:rPr>
      </w:pPr>
    </w:p>
    <w:p>
      <w:pPr>
        <w:adjustRightInd w:val="0"/>
        <w:snapToGrid w:val="0"/>
        <w:spacing w:line="360" w:lineRule="auto"/>
        <w:ind w:firstLine="480" w:firstLineChars="200"/>
        <w:rPr>
          <w:rFonts w:ascii="宋体" w:hAnsi="宋体"/>
          <w:sz w:val="24"/>
          <w:szCs w:val="21"/>
        </w:rPr>
      </w:pPr>
    </w:p>
    <w:p>
      <w:pPr>
        <w:adjustRightInd w:val="0"/>
        <w:snapToGrid w:val="0"/>
        <w:spacing w:line="360" w:lineRule="auto"/>
        <w:ind w:firstLine="480"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79" w:leftChars="228" w:firstLine="9360" w:firstLineChars="3900"/>
        <w:rPr>
          <w:rFonts w:ascii="宋体" w:hAnsi="宋体"/>
          <w:sz w:val="24"/>
          <w:szCs w:val="21"/>
        </w:rPr>
      </w:pPr>
      <w:r>
        <w:rPr>
          <w:rFonts w:hint="eastAsia" w:ascii="宋体" w:hAnsi="宋体"/>
          <w:sz w:val="24"/>
          <w:szCs w:val="21"/>
        </w:rPr>
        <w:t>法定代表人或其委托代理人签字或盖章：</w:t>
      </w:r>
    </w:p>
    <w:p>
      <w:pPr>
        <w:adjustRightInd w:val="0"/>
        <w:snapToGrid w:val="0"/>
        <w:spacing w:line="360" w:lineRule="auto"/>
        <w:ind w:left="479" w:leftChars="228" w:right="24" w:firstLine="9360" w:firstLineChars="3900"/>
        <w:rPr>
          <w:rFonts w:ascii="宋体" w:hAnsi="宋体"/>
          <w:sz w:val="24"/>
          <w:szCs w:val="21"/>
        </w:rPr>
      </w:pPr>
      <w:r>
        <w:rPr>
          <w:rFonts w:hint="eastAsia" w:ascii="宋体" w:hAnsi="宋体"/>
          <w:sz w:val="24"/>
          <w:szCs w:val="21"/>
        </w:rPr>
        <w:t xml:space="preserve">  日期：年月日</w:t>
      </w:r>
    </w:p>
    <w:p>
      <w:pPr>
        <w:adjustRightInd w:val="0"/>
        <w:snapToGrid w:val="0"/>
        <w:spacing w:line="360" w:lineRule="auto"/>
        <w:ind w:left="479" w:leftChars="228" w:right="24" w:firstLine="9360" w:firstLineChars="3900"/>
        <w:rPr>
          <w:rFonts w:ascii="宋体" w:hAnsi="宋体"/>
          <w:sz w:val="24"/>
          <w:szCs w:val="21"/>
        </w:rPr>
      </w:pPr>
    </w:p>
    <w:p>
      <w:pPr>
        <w:spacing w:line="500" w:lineRule="exact"/>
        <w:rPr>
          <w:rFonts w:ascii="宋体" w:hAnsi="宋体"/>
          <w:sz w:val="24"/>
          <w:szCs w:val="24"/>
        </w:rPr>
      </w:pPr>
    </w:p>
    <w:p>
      <w:pPr>
        <w:pStyle w:val="20"/>
      </w:pPr>
    </w:p>
    <w:p>
      <w:pPr>
        <w:pStyle w:val="25"/>
        <w:ind w:firstLine="420" w:firstLineChars="200"/>
        <w:rPr>
          <w:szCs w:val="24"/>
        </w:rPr>
      </w:pPr>
    </w:p>
    <w:p>
      <w:pPr>
        <w:pStyle w:val="25"/>
        <w:jc w:val="center"/>
        <w:outlineLvl w:val="2"/>
        <w:rPr>
          <w:rFonts w:ascii="Times New Roman" w:hAnsi="Times New Roman" w:eastAsia="MingLiU_HKSCS"/>
          <w:b/>
          <w:bCs/>
          <w:sz w:val="24"/>
          <w:szCs w:val="24"/>
        </w:rPr>
      </w:pPr>
      <w:r>
        <w:rPr>
          <w:rFonts w:hint="eastAsia" w:ascii="Times New Roman" w:hAnsi="Times New Roman"/>
          <w:b/>
          <w:bCs/>
          <w:sz w:val="24"/>
          <w:szCs w:val="24"/>
        </w:rPr>
        <w:t>八、提供符合政府采购政策的证明材料</w:t>
      </w:r>
    </w:p>
    <w:p>
      <w:pPr>
        <w:widowControl/>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 (货物)</w:t>
      </w:r>
    </w:p>
    <w:p>
      <w:pPr>
        <w:spacing w:line="275" w:lineRule="auto"/>
        <w:rPr>
          <w:rFonts w:ascii="Arial"/>
        </w:rPr>
      </w:pPr>
    </w:p>
    <w:p>
      <w:pPr>
        <w:spacing w:line="275" w:lineRule="auto"/>
        <w:rPr>
          <w:rFonts w:ascii="Arial"/>
        </w:rPr>
      </w:pP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 (联合体) 郑重声明，根据《政府采购促进中小 企业发展管理办法》(财库 ﹝ 2020 ﹞ 46 号) 的规定，本公司 (联合体) 参加</w:t>
      </w:r>
      <w:r>
        <w:rPr>
          <w:rFonts w:hint="eastAsia" w:asciiTheme="minorEastAsia" w:hAnsiTheme="minorEastAsia" w:eastAsiaTheme="minorEastAsia" w:cstheme="minorEastAsia"/>
          <w:sz w:val="24"/>
          <w:szCs w:val="24"/>
          <w:u w:val="single"/>
        </w:rPr>
        <w:t xml:space="preserve"> (单位名称)  </w:t>
      </w:r>
      <w:r>
        <w:rPr>
          <w:rFonts w:hint="eastAsia" w:asciiTheme="minorEastAsia" w:hAnsiTheme="minorEastAsia" w:eastAsiaTheme="minorEastAsia" w:cstheme="minorEastAsia"/>
          <w:sz w:val="24"/>
          <w:szCs w:val="24"/>
        </w:rPr>
        <w:t xml:space="preserve">的 </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 xml:space="preserve"> 采购活动，提供的货物全部由符合政策要求的中小企业制造。相关企业 (含联合体中的中小企业、签订分包意向协议的中小企业) 的具体情况如下：</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 xml:space="preserve"> (采购文件中明确的所属行业)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 xml:space="preserve"> (企业名称)</w:t>
      </w:r>
      <w:r>
        <w:rPr>
          <w:rFonts w:hint="eastAsia" w:asciiTheme="minorEastAsia" w:hAnsiTheme="minorEastAsia" w:eastAsiaTheme="minorEastAsia" w:cstheme="minorEastAsia"/>
          <w:sz w:val="24"/>
          <w:szCs w:val="24"/>
        </w:rPr>
        <w:t xml:space="preserve">，从业人员 人，营业收入为万元，资产总额为万元 ，属于 </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(标的名称)</w:t>
      </w:r>
      <w:r>
        <w:rPr>
          <w:rFonts w:hint="eastAsia" w:asciiTheme="minorEastAsia" w:hAnsiTheme="minorEastAsia" w:eastAsiaTheme="minorEastAsia" w:cstheme="minorEastAsia"/>
          <w:sz w:val="24"/>
          <w:szCs w:val="24"/>
        </w:rPr>
        <w:t xml:space="preserve"> ，属于</w:t>
      </w:r>
      <w:r>
        <w:rPr>
          <w:rFonts w:hint="eastAsia" w:asciiTheme="minorEastAsia" w:hAnsiTheme="minorEastAsia" w:eastAsiaTheme="minorEastAsia" w:cstheme="minorEastAsia"/>
          <w:sz w:val="24"/>
          <w:szCs w:val="24"/>
          <w:u w:val="single"/>
        </w:rPr>
        <w:t xml:space="preserve"> (采购文件中明确的所属行业)</w:t>
      </w:r>
      <w:r>
        <w:rPr>
          <w:rFonts w:hint="eastAsia" w:asciiTheme="minorEastAsia" w:hAnsiTheme="minorEastAsia" w:eastAsiaTheme="minorEastAsia" w:cstheme="minorEastAsia"/>
          <w:sz w:val="24"/>
          <w:szCs w:val="24"/>
        </w:rPr>
        <w:t xml:space="preserve"> 行业；制造商为 </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，从业人员人，营业收入为万元，资产总额为万元，属于</w:t>
      </w:r>
      <w:r>
        <w:rPr>
          <w:rFonts w:hint="eastAsia" w:asciiTheme="minorEastAsia" w:hAnsiTheme="minorEastAsia" w:eastAsiaTheme="minorEastAsia" w:cstheme="minorEastAsia"/>
          <w:sz w:val="24"/>
          <w:szCs w:val="24"/>
          <w:u w:val="single"/>
        </w:rPr>
        <w:t xml:space="preserve"> (中型企业、小型 企业、微型企业)；</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 为大企业的情形，也不存在与大企业的负责人为同一人的情 形。</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 法承担相应责任。</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 (盖章)：</w:t>
      </w:r>
    </w:p>
    <w:p>
      <w:pPr>
        <w:spacing w:line="360" w:lineRule="auto"/>
        <w:ind w:firstLine="540" w:firstLineChars="225"/>
        <w:rPr>
          <w:rFonts w:ascii="宋体" w:hAnsi="宋体" w:cs="宋体"/>
          <w:sz w:val="28"/>
          <w:szCs w:val="28"/>
        </w:rPr>
      </w:pPr>
      <w:r>
        <w:rPr>
          <w:rFonts w:hint="eastAsia" w:asciiTheme="minorEastAsia" w:hAnsiTheme="minorEastAsia" w:eastAsiaTheme="minorEastAsia" w:cstheme="minorEastAsia"/>
          <w:sz w:val="24"/>
          <w:szCs w:val="24"/>
        </w:rPr>
        <w:t xml:space="preserve">日 期：    </w:t>
      </w:r>
    </w:p>
    <w:p>
      <w:pPr>
        <w:tabs>
          <w:tab w:val="left" w:pos="360"/>
          <w:tab w:val="left" w:pos="1800"/>
        </w:tabs>
        <w:spacing w:line="360" w:lineRule="auto"/>
        <w:jc w:val="center"/>
        <w:rPr>
          <w:rFonts w:asciiTheme="minorEastAsia" w:hAnsiTheme="minorEastAsia" w:eastAsiaTheme="minorEastAsia" w:cstheme="minorEastAsia"/>
          <w:sz w:val="24"/>
          <w:szCs w:val="24"/>
        </w:rPr>
      </w:pPr>
    </w:p>
    <w:p>
      <w:pPr>
        <w:widowControl/>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监狱企业声明函</w:t>
      </w:r>
    </w:p>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（监狱企业适用）</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本公司郑重声明，根据《关于政府采购支持监狱企业发展有关问题的通知》（财库[2014]68号）的规定，本公司为监狱企业。</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本公司参加______单位的______项目采购活动，采购活动提供本企业（填写制造的货物，由本企业承担工程、提供服务）。</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本条所称货物不包括使用大型企业注册商标的货物和服务。</w:t>
      </w:r>
    </w:p>
    <w:p>
      <w:pPr>
        <w:spacing w:line="360" w:lineRule="auto"/>
        <w:ind w:firstLine="540" w:firstLine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本公司对上述声明的真实性负责。如有虚假，将依法承担相应责任。</w:t>
      </w:r>
    </w:p>
    <w:p>
      <w:pPr>
        <w:spacing w:line="360" w:lineRule="auto"/>
        <w:ind w:firstLine="4860" w:firstLineChars="2025"/>
        <w:rPr>
          <w:rFonts w:asciiTheme="minorEastAsia" w:hAnsiTheme="minorEastAsia" w:eastAsiaTheme="minorEastAsia" w:cstheme="minorEastAsia"/>
          <w:sz w:val="24"/>
          <w:szCs w:val="24"/>
        </w:rPr>
      </w:pPr>
    </w:p>
    <w:p>
      <w:pPr>
        <w:spacing w:line="360" w:lineRule="auto"/>
        <w:ind w:firstLine="4860" w:firstLineChars="20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企业名称（加盖公章）：</w:t>
      </w:r>
    </w:p>
    <w:p>
      <w:pPr>
        <w:spacing w:line="360" w:lineRule="auto"/>
        <w:ind w:firstLine="4860" w:firstLineChars="20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法定代表人（负责人）或其授权代表(签字)：</w:t>
      </w:r>
    </w:p>
    <w:p>
      <w:pPr>
        <w:tabs>
          <w:tab w:val="left" w:pos="2880"/>
        </w:tabs>
        <w:spacing w:line="460" w:lineRule="atLeast"/>
        <w:ind w:firstLine="4800" w:firstLineChars="20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注：后附监狱企业资格证明文件</w:t>
      </w:r>
    </w:p>
    <w:p>
      <w:pPr>
        <w:spacing w:line="440" w:lineRule="exact"/>
        <w:ind w:firstLine="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省级以上监狱管理局、戒毒管理局（含新疆生产建设兵团）出具的属于监狱企业的证明文件；</w:t>
      </w:r>
    </w:p>
    <w:p>
      <w:pPr>
        <w:tabs>
          <w:tab w:val="left" w:pos="2880"/>
        </w:tabs>
        <w:spacing w:line="460" w:lineRule="atLeast"/>
        <w:ind w:firstLine="566" w:firstLineChars="236"/>
        <w:jc w:val="left"/>
        <w:outlineLvl w:val="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2.证明材料加盖供应商公章。</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（若响应性文件中无上述证明文件，则在评审时不考虑对该监狱企业的相关优惠。） </w:t>
      </w:r>
    </w:p>
    <w:p>
      <w:pPr>
        <w:topLinePunct/>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残疾人福利性单位声明函</w:t>
      </w:r>
    </w:p>
    <w:p>
      <w:pPr>
        <w:autoSpaceDE w:val="0"/>
        <w:autoSpaceDN w:val="0"/>
        <w:adjustRightInd w:val="0"/>
        <w:spacing w:line="440" w:lineRule="exact"/>
        <w:rPr>
          <w:rFonts w:asciiTheme="minorEastAsia" w:hAnsiTheme="minorEastAsia" w:eastAsiaTheme="minorEastAsia" w:cstheme="minorEastAsia"/>
          <w:sz w:val="24"/>
          <w:szCs w:val="24"/>
        </w:rPr>
      </w:pPr>
    </w:p>
    <w:p>
      <w:pPr>
        <w:widowControl/>
        <w:adjustRightInd w:val="0"/>
        <w:snapToGrid w:val="0"/>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本单位对上述声明的真实性负责。如有虚假，将依法承担相应责任。 </w:t>
      </w:r>
    </w:p>
    <w:p>
      <w:pPr>
        <w:widowControl/>
        <w:adjustRightInd w:val="0"/>
        <w:snapToGrid w:val="0"/>
        <w:spacing w:line="440" w:lineRule="exact"/>
        <w:ind w:firstLine="480" w:firstLineChars="200"/>
        <w:jc w:val="left"/>
        <w:rPr>
          <w:rFonts w:asciiTheme="minorEastAsia" w:hAnsiTheme="minorEastAsia" w:eastAsiaTheme="minorEastAsia" w:cstheme="minorEastAsia"/>
          <w:sz w:val="24"/>
          <w:szCs w:val="24"/>
        </w:rPr>
      </w:pPr>
    </w:p>
    <w:p>
      <w:pPr>
        <w:widowControl/>
        <w:adjustRightInd w:val="0"/>
        <w:snapToGrid w:val="0"/>
        <w:spacing w:line="440" w:lineRule="exact"/>
        <w:ind w:firstLine="5280" w:firstLineChars="2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pPr>
        <w:widowControl/>
        <w:adjustRightInd w:val="0"/>
        <w:snapToGrid w:val="0"/>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w:t>
      </w:r>
    </w:p>
    <w:p>
      <w:pPr>
        <w:spacing w:line="460" w:lineRule="atLeast"/>
        <w:jc w:val="center"/>
        <w:rPr>
          <w:rFonts w:asciiTheme="minorEastAsia" w:hAnsiTheme="minorEastAsia" w:eastAsiaTheme="minorEastAsia" w:cstheme="minorEastAsia"/>
          <w:sz w:val="24"/>
          <w:szCs w:val="24"/>
        </w:rPr>
      </w:pPr>
    </w:p>
    <w:p>
      <w:pPr>
        <w:spacing w:line="360" w:lineRule="auto"/>
        <w:ind w:firstLine="573"/>
        <w:jc w:val="center"/>
        <w:rPr>
          <w:rFonts w:asciiTheme="minorEastAsia" w:hAnsiTheme="minorEastAsia" w:eastAsiaTheme="minorEastAsia" w:cstheme="minorEastAsia"/>
          <w:sz w:val="24"/>
          <w:szCs w:val="24"/>
        </w:rPr>
        <w:sectPr>
          <w:pgSz w:w="11906" w:h="16838"/>
          <w:pgMar w:top="1440" w:right="1440" w:bottom="1440" w:left="1797" w:header="851" w:footer="992" w:gutter="0"/>
          <w:cols w:space="720" w:num="1"/>
          <w:docGrid w:type="lines" w:linePitch="312" w:charSpace="0"/>
        </w:sectPr>
      </w:pPr>
    </w:p>
    <w:p>
      <w:pPr>
        <w:pStyle w:val="25"/>
        <w:spacing w:line="440" w:lineRule="exact"/>
        <w:ind w:firstLine="48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附件3-2　“节能产品”“环境标志产品”、信息安全认证产品等政府采购法律法规规定的其他证明材料文件</w:t>
      </w:r>
    </w:p>
    <w:p>
      <w:pPr>
        <w:pStyle w:val="25"/>
        <w:spacing w:line="440" w:lineRule="exact"/>
        <w:ind w:firstLine="48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pPr>
        <w:pStyle w:val="25"/>
        <w:spacing w:line="440" w:lineRule="exact"/>
        <w:ind w:firstLine="48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1.供应商提供的产品属于《节能产品政府采购清单》内产品，应同时提供有效期内的节能产品证书及最新一期的节能产品政府采购清单首页及产品所在页的复印件(均需要加盖供应商公章)；</w:t>
      </w:r>
    </w:p>
    <w:p>
      <w:pPr>
        <w:pStyle w:val="25"/>
        <w:spacing w:line="440" w:lineRule="exact"/>
        <w:ind w:firstLine="48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2.供应商提供的产品属于《环境标志产品政府采购清单》内产品，应同时提供有效期内的环境标志产品证书及最新一期的环境标志产品政府采购清单首页及产品所在页的复印件(均需要加盖供应商公章)；</w:t>
      </w:r>
    </w:p>
    <w:p>
      <w:pPr>
        <w:pStyle w:val="25"/>
        <w:spacing w:line="440" w:lineRule="exact"/>
        <w:ind w:firstLine="48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3.供应商提供的产品属于信息安全认证产品的，应提供相关证明；</w:t>
      </w:r>
    </w:p>
    <w:p>
      <w:pPr>
        <w:pStyle w:val="25"/>
        <w:spacing w:line="440" w:lineRule="exact"/>
        <w:ind w:firstLine="48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4.未按上述要求提供、填写的，评标时不予以考虑。</w:t>
      </w:r>
    </w:p>
    <w:p>
      <w:pPr>
        <w:pStyle w:val="25"/>
        <w:spacing w:line="440" w:lineRule="exact"/>
        <w:ind w:firstLine="48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(示例略)</w:t>
      </w:r>
    </w:p>
    <w:p>
      <w:pPr>
        <w:pStyle w:val="146"/>
        <w:spacing w:line="500" w:lineRule="exact"/>
        <w:rPr>
          <w:rFonts w:ascii="宋体" w:hAnsi="宋体"/>
          <w:szCs w:val="24"/>
        </w:rPr>
      </w:pPr>
    </w:p>
    <w:p>
      <w:pPr>
        <w:spacing w:line="500" w:lineRule="exact"/>
        <w:rPr>
          <w:rFonts w:ascii="宋体" w:hAnsi="宋体"/>
          <w:sz w:val="24"/>
          <w:szCs w:val="24"/>
        </w:rPr>
      </w:pPr>
    </w:p>
    <w:p>
      <w:pPr>
        <w:pStyle w:val="84"/>
        <w:spacing w:line="500" w:lineRule="exact"/>
        <w:jc w:val="both"/>
        <w:rPr>
          <w:rFonts w:ascii="宋体" w:hAnsi="宋体"/>
          <w:b/>
          <w:color w:val="auto"/>
        </w:rPr>
      </w:pPr>
    </w:p>
    <w:p>
      <w:pPr>
        <w:pStyle w:val="84"/>
        <w:spacing w:line="500" w:lineRule="exact"/>
        <w:jc w:val="both"/>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tabs>
          <w:tab w:val="left" w:pos="6300"/>
        </w:tabs>
        <w:snapToGrid w:val="0"/>
        <w:spacing w:line="500" w:lineRule="exact"/>
        <w:jc w:val="center"/>
        <w:rPr>
          <w:rFonts w:ascii="仿宋_GB2312" w:eastAsia="仿宋_GB2312"/>
          <w:b/>
          <w:sz w:val="24"/>
        </w:rPr>
      </w:pPr>
    </w:p>
    <w:p>
      <w:pPr>
        <w:tabs>
          <w:tab w:val="left" w:pos="6300"/>
        </w:tabs>
        <w:snapToGrid w:val="0"/>
        <w:spacing w:line="500" w:lineRule="exact"/>
        <w:jc w:val="center"/>
        <w:outlineLvl w:val="2"/>
        <w:rPr>
          <w:rFonts w:ascii="仿宋_GB2312" w:eastAsia="仿宋_GB2312"/>
          <w:b/>
          <w:sz w:val="24"/>
        </w:rPr>
      </w:pPr>
      <w:r>
        <w:rPr>
          <w:rFonts w:hint="eastAsia" w:ascii="仿宋_GB2312" w:eastAsia="仿宋_GB2312"/>
          <w:b/>
          <w:sz w:val="24"/>
        </w:rPr>
        <w:t>九、</w:t>
      </w:r>
      <w:r>
        <w:rPr>
          <w:rFonts w:hint="eastAsia" w:ascii="宋体" w:hAnsi="宋体"/>
          <w:b/>
          <w:bCs/>
          <w:sz w:val="24"/>
          <w:szCs w:val="24"/>
        </w:rPr>
        <w:t>试剂耗材清单及承诺书</w:t>
      </w:r>
    </w:p>
    <w:tbl>
      <w:tblPr>
        <w:tblStyle w:val="42"/>
        <w:tblpPr w:leftFromText="180" w:rightFromText="180" w:vertAnchor="text" w:horzAnchor="page" w:tblpX="484" w:tblpY="195"/>
        <w:tblOverlap w:val="never"/>
        <w:tblW w:w="10852" w:type="dxa"/>
        <w:tblInd w:w="0" w:type="dxa"/>
        <w:tblLayout w:type="autofit"/>
        <w:tblCellMar>
          <w:top w:w="0" w:type="dxa"/>
          <w:left w:w="108" w:type="dxa"/>
          <w:bottom w:w="0" w:type="dxa"/>
          <w:right w:w="108" w:type="dxa"/>
        </w:tblCellMar>
      </w:tblPr>
      <w:tblGrid>
        <w:gridCol w:w="456"/>
        <w:gridCol w:w="1171"/>
        <w:gridCol w:w="4197"/>
        <w:gridCol w:w="645"/>
        <w:gridCol w:w="456"/>
        <w:gridCol w:w="1485"/>
        <w:gridCol w:w="1050"/>
        <w:gridCol w:w="696"/>
        <w:gridCol w:w="696"/>
      </w:tblGrid>
      <w:tr>
        <w:tblPrEx>
          <w:tblCellMar>
            <w:top w:w="0" w:type="dxa"/>
            <w:left w:w="108" w:type="dxa"/>
            <w:bottom w:w="0" w:type="dxa"/>
            <w:right w:w="108" w:type="dxa"/>
          </w:tblCellMar>
        </w:tblPrEx>
        <w:trPr>
          <w:trHeight w:val="900" w:hRule="atLeast"/>
        </w:trPr>
        <w:tc>
          <w:tcPr>
            <w:tcW w:w="10852" w:type="dxa"/>
            <w:gridSpan w:val="9"/>
            <w:tcBorders>
              <w:top w:val="nil"/>
              <w:left w:val="nil"/>
              <w:bottom w:val="nil"/>
              <w:right w:val="nil"/>
            </w:tcBorders>
            <w:shd w:val="clear" w:color="auto" w:fill="auto"/>
            <w:noWrap/>
            <w:vAlign w:val="center"/>
          </w:tcPr>
          <w:p>
            <w:pPr>
              <w:jc w:val="center"/>
              <w:rPr>
                <w:color w:val="000000"/>
                <w:sz w:val="24"/>
                <w:szCs w:val="24"/>
              </w:rPr>
            </w:pPr>
            <w:r>
              <w:rPr>
                <w:rFonts w:hint="eastAsia" w:ascii="宋体" w:hAnsi="宋体"/>
                <w:b/>
                <w:bCs/>
                <w:sz w:val="24"/>
                <w:szCs w:val="24"/>
              </w:rPr>
              <w:t>设备配套试剂耗材清单</w:t>
            </w:r>
          </w:p>
        </w:tc>
      </w:tr>
      <w:tr>
        <w:tblPrEx>
          <w:tblCellMar>
            <w:top w:w="0" w:type="dxa"/>
            <w:left w:w="108" w:type="dxa"/>
            <w:bottom w:w="0" w:type="dxa"/>
            <w:right w:w="108" w:type="dxa"/>
          </w:tblCellMar>
        </w:tblPrEx>
        <w:trPr>
          <w:trHeight w:val="1122" w:hRule="atLeast"/>
        </w:trPr>
        <w:tc>
          <w:tcPr>
            <w:tcW w:w="45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序号</w:t>
            </w:r>
          </w:p>
        </w:tc>
        <w:tc>
          <w:tcPr>
            <w:tcW w:w="117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 w:val="24"/>
                <w:szCs w:val="24"/>
              </w:rPr>
            </w:pPr>
            <w:r>
              <w:rPr>
                <w:rFonts w:hint="eastAsia" w:ascii="宋体" w:hAnsi="宋体" w:cs="宋体"/>
                <w:color w:val="000000"/>
                <w:kern w:val="0"/>
                <w:sz w:val="24"/>
                <w:szCs w:val="24"/>
              </w:rPr>
              <w:t>名称</w:t>
            </w: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详细技术参数(需满足的质量、安全、技术规格、物理特性等要求)</w:t>
            </w:r>
          </w:p>
        </w:tc>
        <w:tc>
          <w:tcPr>
            <w:tcW w:w="64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45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148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 w:val="24"/>
                <w:szCs w:val="24"/>
              </w:rPr>
            </w:pPr>
            <w:r>
              <w:rPr>
                <w:rFonts w:hint="eastAsia" w:ascii="宋体" w:hAnsi="宋体" w:cs="宋体"/>
                <w:color w:val="000000"/>
                <w:kern w:val="0"/>
                <w:sz w:val="24"/>
                <w:szCs w:val="24"/>
              </w:rPr>
              <w:t>单价（元）</w:t>
            </w:r>
          </w:p>
        </w:tc>
        <w:tc>
          <w:tcPr>
            <w:tcW w:w="105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金额（元）</w:t>
            </w:r>
          </w:p>
        </w:tc>
        <w:tc>
          <w:tcPr>
            <w:tcW w:w="69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国产/进口</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kern w:val="0"/>
                <w:sz w:val="24"/>
                <w:szCs w:val="24"/>
              </w:rPr>
              <w:t>7</w:t>
            </w:r>
          </w:p>
        </w:tc>
        <w:tc>
          <w:tcPr>
            <w:tcW w:w="5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p>
          <w:p>
            <w:pPr>
              <w:pStyle w:val="9"/>
              <w:ind w:firstLine="425"/>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900" w:hRule="atLeast"/>
        </w:trPr>
        <w:tc>
          <w:tcPr>
            <w:tcW w:w="10852" w:type="dxa"/>
            <w:gridSpan w:val="9"/>
            <w:tcBorders>
              <w:top w:val="nil"/>
              <w:left w:val="nil"/>
              <w:bottom w:val="nil"/>
              <w:right w:val="nil"/>
            </w:tcBorders>
            <w:shd w:val="clear" w:color="auto" w:fill="auto"/>
            <w:noWrap/>
            <w:vAlign w:val="center"/>
          </w:tcPr>
          <w:p>
            <w:pPr>
              <w:jc w:val="left"/>
              <w:rPr>
                <w:rFonts w:ascii="宋体" w:hAnsi="宋体"/>
                <w:b/>
                <w:bCs/>
                <w:sz w:val="24"/>
                <w:szCs w:val="24"/>
              </w:rPr>
            </w:pPr>
            <w:r>
              <w:rPr>
                <w:rFonts w:hint="eastAsia" w:ascii="宋体" w:hAnsi="宋体"/>
                <w:b/>
                <w:bCs/>
                <w:sz w:val="24"/>
                <w:szCs w:val="24"/>
              </w:rPr>
              <w:t>注：表格可根据自身需要增减。</w:t>
            </w:r>
          </w:p>
          <w:p>
            <w:pPr>
              <w:pStyle w:val="9"/>
              <w:ind w:firstLine="487"/>
              <w:rPr>
                <w:rFonts w:hint="default" w:ascii="宋体" w:hAnsi="宋体" w:eastAsia="宋体"/>
                <w:b/>
                <w:bCs/>
                <w:sz w:val="24"/>
                <w:lang w:val="en-US" w:eastAsia="zh-CN"/>
              </w:rPr>
            </w:pPr>
            <w:r>
              <w:rPr>
                <w:rFonts w:hint="eastAsia" w:ascii="宋体" w:hAnsi="宋体"/>
                <w:b/>
                <w:bCs/>
                <w:sz w:val="24"/>
                <w:lang w:val="en-US" w:eastAsia="zh-CN"/>
              </w:rPr>
              <w:t>（所投标项无此要求可不填写）</w:t>
            </w:r>
          </w:p>
          <w:p>
            <w:pPr>
              <w:rPr>
                <w:rFonts w:ascii="宋体" w:hAnsi="宋体"/>
                <w:b/>
                <w:bCs/>
                <w:sz w:val="24"/>
                <w:szCs w:val="24"/>
              </w:rPr>
            </w:pPr>
          </w:p>
          <w:p>
            <w:pPr>
              <w:pStyle w:val="9"/>
              <w:ind w:firstLine="487"/>
              <w:rPr>
                <w:rFonts w:ascii="宋体" w:hAnsi="宋体"/>
                <w:b/>
                <w:bCs/>
                <w:sz w:val="24"/>
              </w:rPr>
            </w:pPr>
          </w:p>
          <w:p>
            <w:pPr>
              <w:rPr>
                <w:rFonts w:ascii="宋体" w:hAnsi="宋体"/>
                <w:b/>
                <w:bCs/>
                <w:sz w:val="24"/>
                <w:szCs w:val="24"/>
              </w:rPr>
            </w:pPr>
          </w:p>
          <w:p>
            <w:pPr>
              <w:pStyle w:val="9"/>
              <w:ind w:firstLine="487"/>
              <w:rPr>
                <w:rFonts w:ascii="宋体" w:hAnsi="宋体"/>
                <w:b/>
                <w:bCs/>
                <w:sz w:val="24"/>
              </w:rPr>
            </w:pPr>
          </w:p>
          <w:p>
            <w:pPr>
              <w:rPr>
                <w:rFonts w:ascii="宋体" w:hAnsi="宋体"/>
                <w:b/>
                <w:bCs/>
                <w:sz w:val="24"/>
                <w:szCs w:val="24"/>
              </w:rPr>
            </w:pPr>
          </w:p>
          <w:p>
            <w:pPr>
              <w:pStyle w:val="9"/>
              <w:ind w:firstLine="487"/>
              <w:rPr>
                <w:rFonts w:ascii="宋体" w:hAnsi="宋体"/>
                <w:b/>
                <w:bCs/>
                <w:sz w:val="24"/>
              </w:rPr>
            </w:pPr>
          </w:p>
          <w:p>
            <w:pPr>
              <w:rPr>
                <w:rFonts w:ascii="宋体" w:hAnsi="宋体"/>
                <w:b/>
                <w:bCs/>
                <w:sz w:val="24"/>
                <w:szCs w:val="24"/>
              </w:rPr>
            </w:pPr>
          </w:p>
          <w:p>
            <w:pPr>
              <w:pStyle w:val="9"/>
              <w:ind w:firstLine="487"/>
              <w:rPr>
                <w:rFonts w:ascii="宋体" w:hAnsi="宋体"/>
                <w:b/>
                <w:bCs/>
                <w:sz w:val="24"/>
              </w:rPr>
            </w:pPr>
          </w:p>
          <w:p>
            <w:pPr>
              <w:rPr>
                <w:rFonts w:ascii="宋体" w:hAnsi="宋体"/>
                <w:b/>
                <w:bCs/>
                <w:sz w:val="24"/>
                <w:szCs w:val="24"/>
              </w:rPr>
            </w:pPr>
          </w:p>
          <w:p>
            <w:pPr>
              <w:pStyle w:val="9"/>
              <w:ind w:firstLine="487"/>
              <w:rPr>
                <w:rFonts w:ascii="宋体" w:hAnsi="宋体"/>
                <w:b/>
                <w:bCs/>
                <w:sz w:val="24"/>
              </w:rPr>
            </w:pPr>
          </w:p>
          <w:p>
            <w:pPr>
              <w:rPr>
                <w:rFonts w:ascii="宋体" w:hAnsi="宋体"/>
                <w:b/>
                <w:bCs/>
                <w:sz w:val="24"/>
                <w:szCs w:val="24"/>
              </w:rPr>
            </w:pPr>
          </w:p>
          <w:p>
            <w:pPr>
              <w:pStyle w:val="9"/>
              <w:ind w:firstLine="425"/>
            </w:pPr>
          </w:p>
          <w:p>
            <w:pPr>
              <w:jc w:val="center"/>
              <w:rPr>
                <w:color w:val="000000"/>
                <w:sz w:val="24"/>
                <w:szCs w:val="24"/>
              </w:rPr>
            </w:pPr>
            <w:r>
              <w:rPr>
                <w:rFonts w:hint="eastAsia" w:ascii="宋体" w:hAnsi="宋体"/>
                <w:b/>
                <w:bCs/>
                <w:sz w:val="24"/>
                <w:szCs w:val="24"/>
              </w:rPr>
              <w:t>1人份所需设备配套试剂耗材清单</w:t>
            </w:r>
          </w:p>
        </w:tc>
      </w:tr>
      <w:tr>
        <w:tblPrEx>
          <w:tblCellMar>
            <w:top w:w="0" w:type="dxa"/>
            <w:left w:w="108" w:type="dxa"/>
            <w:bottom w:w="0" w:type="dxa"/>
            <w:right w:w="108" w:type="dxa"/>
          </w:tblCellMar>
        </w:tblPrEx>
        <w:trPr>
          <w:trHeight w:val="1122" w:hRule="atLeast"/>
        </w:trPr>
        <w:tc>
          <w:tcPr>
            <w:tcW w:w="45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序号</w:t>
            </w:r>
          </w:p>
        </w:tc>
        <w:tc>
          <w:tcPr>
            <w:tcW w:w="117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 w:val="24"/>
                <w:szCs w:val="24"/>
              </w:rPr>
            </w:pPr>
            <w:r>
              <w:rPr>
                <w:rFonts w:hint="eastAsia" w:ascii="宋体" w:hAnsi="宋体" w:cs="宋体"/>
                <w:color w:val="000000"/>
                <w:kern w:val="0"/>
                <w:sz w:val="24"/>
                <w:szCs w:val="24"/>
              </w:rPr>
              <w:t>名称</w:t>
            </w: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详细技术参数(需满足的质量、安全、技术规格、物理特性等要求)</w:t>
            </w:r>
          </w:p>
        </w:tc>
        <w:tc>
          <w:tcPr>
            <w:tcW w:w="64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45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148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 w:val="24"/>
                <w:szCs w:val="24"/>
              </w:rPr>
            </w:pPr>
            <w:r>
              <w:rPr>
                <w:rFonts w:hint="eastAsia" w:ascii="宋体" w:hAnsi="宋体" w:cs="宋体"/>
                <w:color w:val="000000"/>
                <w:kern w:val="0"/>
                <w:sz w:val="24"/>
                <w:szCs w:val="24"/>
              </w:rPr>
              <w:t>单价（元）</w:t>
            </w:r>
          </w:p>
        </w:tc>
        <w:tc>
          <w:tcPr>
            <w:tcW w:w="105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金额（元）</w:t>
            </w:r>
          </w:p>
        </w:tc>
        <w:tc>
          <w:tcPr>
            <w:tcW w:w="69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国产/进口</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color w:val="000000"/>
                <w:kern w:val="0"/>
                <w:sz w:val="24"/>
                <w:szCs w:val="24"/>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color w:val="000000"/>
                <w:sz w:val="24"/>
                <w:szCs w:val="24"/>
              </w:rPr>
            </w:pPr>
          </w:p>
        </w:tc>
      </w:tr>
      <w:tr>
        <w:tblPrEx>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kern w:val="0"/>
                <w:sz w:val="24"/>
                <w:szCs w:val="24"/>
              </w:rPr>
              <w:t>7</w:t>
            </w:r>
          </w:p>
        </w:tc>
        <w:tc>
          <w:tcPr>
            <w:tcW w:w="5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p>
          <w:p>
            <w:pPr>
              <w:pStyle w:val="9"/>
              <w:ind w:firstLine="425"/>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szCs w:val="24"/>
              </w:rPr>
            </w:pPr>
          </w:p>
        </w:tc>
      </w:tr>
    </w:tbl>
    <w:p>
      <w:pPr>
        <w:pStyle w:val="9"/>
        <w:ind w:firstLine="487"/>
        <w:rPr>
          <w:rFonts w:ascii="仿宋_GB2312" w:eastAsia="仿宋_GB2312"/>
          <w:b/>
          <w:sz w:val="24"/>
        </w:rPr>
      </w:pPr>
    </w:p>
    <w:p>
      <w:pPr>
        <w:jc w:val="left"/>
        <w:rPr>
          <w:rFonts w:hint="eastAsia" w:ascii="宋体" w:hAnsi="宋体"/>
          <w:b/>
          <w:bCs/>
          <w:sz w:val="24"/>
          <w:szCs w:val="24"/>
        </w:rPr>
      </w:pPr>
      <w:r>
        <w:rPr>
          <w:rFonts w:hint="eastAsia" w:ascii="宋体" w:hAnsi="宋体"/>
          <w:b/>
          <w:bCs/>
          <w:sz w:val="24"/>
          <w:szCs w:val="24"/>
        </w:rPr>
        <w:t>注：表格可根据自身需要增减。</w:t>
      </w:r>
    </w:p>
    <w:p>
      <w:pPr>
        <w:pStyle w:val="9"/>
        <w:ind w:firstLine="487"/>
      </w:pPr>
      <w:r>
        <w:rPr>
          <w:rFonts w:hint="eastAsia" w:ascii="宋体" w:hAnsi="宋体"/>
          <w:b/>
          <w:bCs/>
          <w:sz w:val="24"/>
          <w:lang w:val="en-US" w:eastAsia="zh-CN"/>
        </w:rPr>
        <w:t>（所投标项无此要求可不填写）</w:t>
      </w: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left"/>
        <w:outlineLvl w:val="3"/>
        <w:rPr>
          <w:rFonts w:ascii="宋体" w:hAnsi="宋体"/>
          <w:b/>
          <w:kern w:val="0"/>
          <w:sz w:val="24"/>
        </w:rPr>
      </w:pPr>
      <w:r>
        <w:rPr>
          <w:rFonts w:hint="eastAsia" w:ascii="宋体" w:hAnsi="宋体"/>
          <w:b/>
          <w:kern w:val="0"/>
          <w:sz w:val="24"/>
        </w:rPr>
        <w:t>投标人认为需要提供的试剂耗材所需其他材料</w:t>
      </w: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p>
    <w:p>
      <w:pPr>
        <w:pStyle w:val="9"/>
        <w:ind w:firstLine="487"/>
        <w:jc w:val="center"/>
        <w:rPr>
          <w:rFonts w:ascii="宋体" w:hAnsi="宋体"/>
          <w:b/>
          <w:kern w:val="0"/>
          <w:sz w:val="24"/>
        </w:rPr>
      </w:pPr>
      <w:r>
        <w:rPr>
          <w:rFonts w:hint="eastAsia" w:ascii="宋体" w:hAnsi="宋体"/>
          <w:b/>
          <w:kern w:val="0"/>
          <w:sz w:val="24"/>
        </w:rPr>
        <w:t>承诺书</w:t>
      </w:r>
    </w:p>
    <w:p>
      <w:pPr>
        <w:pStyle w:val="9"/>
        <w:ind w:firstLine="487"/>
        <w:rPr>
          <w:rFonts w:ascii="宋体" w:hAnsi="宋体"/>
          <w:szCs w:val="21"/>
        </w:rPr>
      </w:pPr>
      <w:r>
        <w:rPr>
          <w:rFonts w:hint="eastAsia" w:ascii="宋体" w:hAnsi="宋体" w:cs="Arial"/>
          <w:bCs/>
          <w:szCs w:val="21"/>
        </w:rPr>
        <w:t>主要说明</w:t>
      </w:r>
      <w:r>
        <w:rPr>
          <w:rFonts w:hint="eastAsia" w:ascii="宋体" w:hAnsi="宋体"/>
          <w:bCs/>
          <w:szCs w:val="21"/>
        </w:rPr>
        <w:t>投标人针对本项目所提供的包含但不限于配套试剂耗材价格、品目、质保期内不涨价等详述进行承诺</w:t>
      </w:r>
      <w:r>
        <w:rPr>
          <w:rFonts w:hint="eastAsia" w:ascii="宋体" w:hAnsi="宋体"/>
          <w:szCs w:val="21"/>
        </w:rPr>
        <w:t>。（格式自拟</w:t>
      </w:r>
      <w:r>
        <w:rPr>
          <w:rFonts w:hint="eastAsia" w:ascii="宋体" w:hAnsi="宋体"/>
          <w:szCs w:val="21"/>
          <w:lang w:val="en-US" w:eastAsia="zh-CN"/>
        </w:rPr>
        <w:t>所投标项无此要求可不填写</w:t>
      </w:r>
      <w:r>
        <w:rPr>
          <w:rFonts w:hint="eastAsia" w:ascii="宋体" w:hAnsi="宋体"/>
          <w:szCs w:val="21"/>
        </w:rPr>
        <w:t>）</w:t>
      </w:r>
    </w:p>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rPr>
          <w:rFonts w:ascii="宋体" w:hAnsi="宋体"/>
          <w:b/>
          <w:kern w:val="0"/>
          <w:sz w:val="24"/>
          <w:szCs w:val="24"/>
        </w:rPr>
      </w:pPr>
    </w:p>
    <w:p>
      <w:pPr>
        <w:tabs>
          <w:tab w:val="left" w:pos="6300"/>
        </w:tabs>
        <w:snapToGrid w:val="0"/>
        <w:spacing w:line="500" w:lineRule="exact"/>
        <w:jc w:val="center"/>
        <w:outlineLvl w:val="2"/>
        <w:rPr>
          <w:rFonts w:ascii="宋体" w:hAnsi="宋体"/>
          <w:b/>
          <w:kern w:val="0"/>
          <w:sz w:val="24"/>
          <w:szCs w:val="24"/>
        </w:rPr>
      </w:pPr>
      <w:r>
        <w:rPr>
          <w:rFonts w:hint="eastAsia" w:ascii="宋体" w:hAnsi="宋体"/>
          <w:b/>
          <w:kern w:val="0"/>
          <w:sz w:val="24"/>
          <w:szCs w:val="24"/>
        </w:rPr>
        <w:t>十、投标人认为需要提供的其他材料</w:t>
      </w: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spacing w:line="500" w:lineRule="exact"/>
        <w:rPr>
          <w:rFonts w:ascii="宋体" w:hAnsi="宋体"/>
          <w:b/>
          <w:kern w:val="0"/>
          <w:sz w:val="24"/>
          <w:szCs w:val="24"/>
        </w:rPr>
      </w:pPr>
    </w:p>
    <w:p>
      <w:pPr>
        <w:spacing w:line="500" w:lineRule="exact"/>
        <w:ind w:left="424" w:leftChars="200"/>
        <w:jc w:val="center"/>
        <w:outlineLvl w:val="1"/>
        <w:rPr>
          <w:rFonts w:ascii="宋体" w:hAnsi="宋体"/>
          <w:b/>
          <w:kern w:val="0"/>
          <w:sz w:val="24"/>
          <w:szCs w:val="24"/>
        </w:rPr>
      </w:pPr>
      <w:r>
        <w:rPr>
          <w:rFonts w:hint="eastAsia" w:ascii="宋体" w:hAnsi="宋体"/>
          <w:b/>
          <w:kern w:val="0"/>
          <w:sz w:val="24"/>
          <w:szCs w:val="24"/>
        </w:rPr>
        <w:t>第二部分  技术部分</w:t>
      </w:r>
    </w:p>
    <w:p>
      <w:pPr>
        <w:spacing w:line="500" w:lineRule="exact"/>
        <w:ind w:firstLine="484" w:firstLineChars="200"/>
        <w:rPr>
          <w:rFonts w:ascii="宋体" w:hAnsi="宋体"/>
          <w:b/>
          <w:bCs/>
          <w:sz w:val="24"/>
          <w:szCs w:val="24"/>
        </w:rPr>
      </w:pPr>
      <w:r>
        <w:rPr>
          <w:rFonts w:hint="eastAsia" w:ascii="宋体" w:hAnsi="宋体"/>
          <w:b/>
          <w:bCs/>
          <w:sz w:val="24"/>
          <w:szCs w:val="24"/>
        </w:rPr>
        <w:t>(1) 项目实施方案、技术方案或服务方案；（格式自拟）</w:t>
      </w: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pStyle w:val="2"/>
        <w:ind w:left="425" w:firstLine="487"/>
        <w:rPr>
          <w:rFonts w:ascii="宋体" w:hAnsi="宋体"/>
          <w:b/>
          <w:bCs/>
          <w:sz w:val="24"/>
        </w:rPr>
      </w:pPr>
    </w:p>
    <w:p>
      <w:pPr>
        <w:spacing w:line="500" w:lineRule="exact"/>
        <w:ind w:firstLine="484" w:firstLineChars="200"/>
        <w:rPr>
          <w:rFonts w:ascii="宋体" w:hAnsi="宋体"/>
          <w:b/>
          <w:bCs/>
          <w:sz w:val="24"/>
          <w:szCs w:val="24"/>
        </w:rPr>
      </w:pPr>
      <w:r>
        <w:rPr>
          <w:rFonts w:hint="eastAsia" w:ascii="宋体" w:hAnsi="宋体"/>
          <w:b/>
          <w:bCs/>
          <w:sz w:val="24"/>
          <w:szCs w:val="24"/>
        </w:rPr>
        <w:t>(2) 投标供应商必须提供投标设备的详细配置及参数说明；</w:t>
      </w:r>
    </w:p>
    <w:p>
      <w:pPr>
        <w:rPr>
          <w:rFonts w:ascii="宋体" w:hAnsi="宋体"/>
          <w:b/>
          <w:bCs/>
          <w:sz w:val="24"/>
          <w:szCs w:val="24"/>
        </w:rPr>
      </w:pPr>
      <w:r>
        <w:rPr>
          <w:rFonts w:hint="eastAsia" w:ascii="宋体" w:hAnsi="宋体"/>
          <w:b/>
          <w:bCs/>
          <w:sz w:val="24"/>
          <w:szCs w:val="24"/>
        </w:rPr>
        <w:br w:type="page"/>
      </w:r>
    </w:p>
    <w:p>
      <w:pPr>
        <w:spacing w:line="500" w:lineRule="exact"/>
        <w:ind w:firstLine="484" w:firstLineChars="200"/>
        <w:rPr>
          <w:rFonts w:ascii="宋体" w:hAnsi="宋体"/>
          <w:b/>
          <w:bCs/>
          <w:sz w:val="24"/>
          <w:szCs w:val="24"/>
        </w:rPr>
      </w:pPr>
      <w:r>
        <w:rPr>
          <w:rFonts w:hint="eastAsia" w:ascii="宋体" w:hAnsi="宋体"/>
          <w:b/>
          <w:bCs/>
          <w:sz w:val="24"/>
          <w:szCs w:val="24"/>
        </w:rPr>
        <w:t>(3) 质量保证措施；</w:t>
      </w:r>
    </w:p>
    <w:p>
      <w:pPr>
        <w:rPr>
          <w:rFonts w:ascii="宋体" w:hAnsi="宋体"/>
          <w:b/>
          <w:bCs/>
          <w:sz w:val="24"/>
          <w:szCs w:val="24"/>
        </w:rPr>
      </w:pPr>
      <w:r>
        <w:rPr>
          <w:rFonts w:hint="eastAsia" w:ascii="宋体" w:hAnsi="宋体"/>
          <w:b/>
          <w:bCs/>
          <w:sz w:val="24"/>
          <w:szCs w:val="24"/>
        </w:rPr>
        <w:br w:type="page"/>
      </w:r>
    </w:p>
    <w:p>
      <w:pPr>
        <w:pStyle w:val="2"/>
        <w:ind w:left="0" w:leftChars="0" w:firstLine="487"/>
        <w:rPr>
          <w:rFonts w:ascii="宋体" w:hAnsi="宋体"/>
          <w:b/>
          <w:bCs/>
          <w:sz w:val="24"/>
        </w:rPr>
      </w:pPr>
      <w:r>
        <w:rPr>
          <w:rFonts w:hint="eastAsia" w:ascii="宋体" w:hAnsi="宋体"/>
          <w:b/>
          <w:bCs/>
          <w:sz w:val="24"/>
        </w:rPr>
        <w:t>(4) 针对本项目执行进度计划</w:t>
      </w:r>
    </w:p>
    <w:p>
      <w:pPr>
        <w:rPr>
          <w:rFonts w:ascii="宋体" w:hAnsi="宋体"/>
          <w:b/>
          <w:bCs/>
          <w:sz w:val="24"/>
          <w:szCs w:val="24"/>
        </w:rPr>
      </w:pPr>
      <w:r>
        <w:rPr>
          <w:rFonts w:hint="eastAsia" w:ascii="宋体" w:hAnsi="宋体"/>
          <w:b/>
          <w:bCs/>
          <w:sz w:val="24"/>
          <w:szCs w:val="24"/>
        </w:rPr>
        <w:br w:type="page"/>
      </w:r>
    </w:p>
    <w:p>
      <w:pPr>
        <w:pStyle w:val="84"/>
        <w:spacing w:line="500" w:lineRule="exact"/>
        <w:jc w:val="center"/>
        <w:rPr>
          <w:rFonts w:ascii="宋体" w:hAnsi="宋体"/>
          <w:b/>
          <w:color w:val="auto"/>
        </w:rPr>
      </w:pPr>
      <w:r>
        <w:rPr>
          <w:rFonts w:hint="eastAsia" w:ascii="宋体" w:hAnsi="宋体"/>
          <w:b/>
          <w:bCs/>
          <w:color w:val="auto"/>
        </w:rPr>
        <w:t xml:space="preserve">(5) </w:t>
      </w:r>
      <w:r>
        <w:rPr>
          <w:rFonts w:hint="eastAsia" w:ascii="宋体" w:hAnsi="宋体"/>
          <w:b/>
          <w:color w:val="auto"/>
        </w:rPr>
        <w:t>、技术条款偏离表</w:t>
      </w:r>
    </w:p>
    <w:p>
      <w:pPr>
        <w:pStyle w:val="84"/>
        <w:spacing w:line="500" w:lineRule="exact"/>
        <w:jc w:val="center"/>
        <w:rPr>
          <w:rFonts w:ascii="宋体" w:hAnsi="宋体"/>
          <w:color w:val="auto"/>
        </w:rPr>
      </w:pPr>
    </w:p>
    <w:p>
      <w:pPr>
        <w:pStyle w:val="84"/>
        <w:spacing w:line="500" w:lineRule="exact"/>
        <w:ind w:hanging="23"/>
        <w:rPr>
          <w:rFonts w:ascii="宋体" w:hAnsi="宋体"/>
          <w:color w:val="auto"/>
          <w:u w:val="single"/>
        </w:rPr>
      </w:pPr>
      <w:r>
        <w:rPr>
          <w:rFonts w:hint="eastAsia"/>
          <w:color w:val="auto"/>
        </w:rPr>
        <w:t>项目名称：</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rFonts w:hint="eastAsia"/>
          <w:color w:val="auto"/>
        </w:rPr>
        <w:t>项目编号：</w:t>
      </w:r>
    </w:p>
    <w:tbl>
      <w:tblPr>
        <w:tblStyle w:val="42"/>
        <w:tblW w:w="953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14"/>
        <w:gridCol w:w="1388"/>
        <w:gridCol w:w="1260"/>
        <w:gridCol w:w="129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pStyle w:val="84"/>
              <w:spacing w:line="500" w:lineRule="exact"/>
              <w:jc w:val="center"/>
              <w:rPr>
                <w:rFonts w:ascii="宋体" w:hAnsi="宋体"/>
                <w:color w:val="auto"/>
              </w:rPr>
            </w:pPr>
            <w:r>
              <w:rPr>
                <w:rFonts w:hint="eastAsia" w:ascii="宋体" w:hAnsi="宋体"/>
                <w:color w:val="auto"/>
              </w:rPr>
              <w:t>序号</w:t>
            </w:r>
          </w:p>
        </w:tc>
        <w:tc>
          <w:tcPr>
            <w:tcW w:w="3314" w:type="dxa"/>
            <w:vAlign w:val="center"/>
          </w:tcPr>
          <w:p>
            <w:pPr>
              <w:pStyle w:val="84"/>
              <w:spacing w:line="500" w:lineRule="exact"/>
              <w:jc w:val="center"/>
              <w:rPr>
                <w:rFonts w:ascii="宋体" w:hAnsi="宋体"/>
                <w:color w:val="auto"/>
              </w:rPr>
            </w:pPr>
            <w:r>
              <w:rPr>
                <w:rFonts w:hint="eastAsia" w:ascii="宋体" w:hAnsi="宋体"/>
                <w:color w:val="auto"/>
              </w:rPr>
              <w:t>货物名称</w:t>
            </w:r>
          </w:p>
        </w:tc>
        <w:tc>
          <w:tcPr>
            <w:tcW w:w="1388" w:type="dxa"/>
            <w:vAlign w:val="center"/>
          </w:tcPr>
          <w:p>
            <w:pPr>
              <w:pStyle w:val="84"/>
              <w:spacing w:line="500" w:lineRule="exact"/>
              <w:jc w:val="center"/>
              <w:rPr>
                <w:rFonts w:ascii="宋体" w:hAnsi="宋体"/>
                <w:color w:val="auto"/>
              </w:rPr>
            </w:pPr>
            <w:r>
              <w:rPr>
                <w:rFonts w:hint="eastAsia" w:ascii="宋体" w:hAnsi="宋体"/>
                <w:color w:val="auto"/>
              </w:rPr>
              <w:t>招标规格</w:t>
            </w:r>
          </w:p>
        </w:tc>
        <w:tc>
          <w:tcPr>
            <w:tcW w:w="1260" w:type="dxa"/>
            <w:vAlign w:val="center"/>
          </w:tcPr>
          <w:p>
            <w:pPr>
              <w:pStyle w:val="84"/>
              <w:spacing w:line="500" w:lineRule="exact"/>
              <w:jc w:val="center"/>
              <w:rPr>
                <w:rFonts w:ascii="宋体" w:hAnsi="宋体"/>
                <w:color w:val="auto"/>
              </w:rPr>
            </w:pPr>
            <w:r>
              <w:rPr>
                <w:rFonts w:hint="eastAsia" w:ascii="宋体" w:hAnsi="宋体"/>
                <w:color w:val="auto"/>
              </w:rPr>
              <w:t>投标规格</w:t>
            </w:r>
          </w:p>
        </w:tc>
        <w:tc>
          <w:tcPr>
            <w:tcW w:w="1290" w:type="dxa"/>
            <w:vAlign w:val="center"/>
          </w:tcPr>
          <w:p>
            <w:pPr>
              <w:pStyle w:val="84"/>
              <w:spacing w:line="500" w:lineRule="exact"/>
              <w:jc w:val="center"/>
              <w:rPr>
                <w:rFonts w:ascii="宋体" w:hAnsi="宋体"/>
                <w:color w:val="auto"/>
              </w:rPr>
            </w:pPr>
            <w:r>
              <w:rPr>
                <w:rFonts w:hint="eastAsia" w:ascii="宋体" w:hAnsi="宋体"/>
                <w:color w:val="auto"/>
              </w:rPr>
              <w:t>偏离</w:t>
            </w:r>
          </w:p>
        </w:tc>
        <w:tc>
          <w:tcPr>
            <w:tcW w:w="1440" w:type="dxa"/>
            <w:vAlign w:val="center"/>
          </w:tcPr>
          <w:p>
            <w:pPr>
              <w:pStyle w:val="84"/>
              <w:spacing w:line="500" w:lineRule="exact"/>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84"/>
              <w:spacing w:line="500" w:lineRule="exact"/>
              <w:rPr>
                <w:rFonts w:ascii="宋体" w:hAnsi="宋体"/>
                <w:color w:val="auto"/>
              </w:rPr>
            </w:pPr>
          </w:p>
        </w:tc>
        <w:tc>
          <w:tcPr>
            <w:tcW w:w="3314" w:type="dxa"/>
          </w:tcPr>
          <w:p>
            <w:pPr>
              <w:pStyle w:val="84"/>
              <w:spacing w:line="500" w:lineRule="exact"/>
              <w:rPr>
                <w:rFonts w:ascii="宋体" w:hAnsi="宋体"/>
                <w:color w:val="auto"/>
              </w:rPr>
            </w:pPr>
          </w:p>
        </w:tc>
        <w:tc>
          <w:tcPr>
            <w:tcW w:w="1388" w:type="dxa"/>
          </w:tcPr>
          <w:p>
            <w:pPr>
              <w:pStyle w:val="84"/>
              <w:spacing w:line="500" w:lineRule="exact"/>
              <w:rPr>
                <w:rFonts w:ascii="宋体" w:hAnsi="宋体"/>
                <w:color w:val="auto"/>
              </w:rPr>
            </w:pPr>
          </w:p>
        </w:tc>
        <w:tc>
          <w:tcPr>
            <w:tcW w:w="1260" w:type="dxa"/>
          </w:tcPr>
          <w:p>
            <w:pPr>
              <w:pStyle w:val="84"/>
              <w:spacing w:line="500" w:lineRule="exact"/>
              <w:rPr>
                <w:rFonts w:ascii="宋体" w:hAnsi="宋体"/>
                <w:color w:val="auto"/>
              </w:rPr>
            </w:pPr>
          </w:p>
        </w:tc>
        <w:tc>
          <w:tcPr>
            <w:tcW w:w="1290" w:type="dxa"/>
          </w:tcPr>
          <w:p>
            <w:pPr>
              <w:pStyle w:val="84"/>
              <w:spacing w:line="500" w:lineRule="exact"/>
              <w:rPr>
                <w:rFonts w:ascii="宋体" w:hAnsi="宋体"/>
                <w:color w:val="auto"/>
              </w:rPr>
            </w:pPr>
          </w:p>
        </w:tc>
        <w:tc>
          <w:tcPr>
            <w:tcW w:w="1440" w:type="dxa"/>
          </w:tcPr>
          <w:p>
            <w:pPr>
              <w:pStyle w:val="84"/>
              <w:spacing w:line="500" w:lineRule="exact"/>
              <w:rPr>
                <w:rFonts w:ascii="宋体" w:hAnsi="宋体"/>
                <w:color w:val="auto"/>
              </w:rPr>
            </w:pPr>
          </w:p>
        </w:tc>
      </w:tr>
    </w:tbl>
    <w:p>
      <w:pPr>
        <w:spacing w:line="500" w:lineRule="exact"/>
        <w:rPr>
          <w:rFonts w:ascii="宋体" w:hAnsi="宋体"/>
          <w:sz w:val="24"/>
          <w:szCs w:val="24"/>
        </w:rPr>
      </w:pPr>
    </w:p>
    <w:p>
      <w:pPr>
        <w:pStyle w:val="84"/>
        <w:spacing w:line="500" w:lineRule="exact"/>
        <w:rPr>
          <w:rFonts w:ascii="宋体" w:hAnsi="宋体"/>
          <w:color w:val="auto"/>
        </w:rPr>
      </w:pPr>
    </w:p>
    <w:p>
      <w:pPr>
        <w:pStyle w:val="84"/>
        <w:spacing w:line="500" w:lineRule="exact"/>
        <w:rPr>
          <w:rFonts w:ascii="宋体" w:hAnsi="宋体"/>
          <w:b/>
          <w:bCs/>
          <w:color w:val="auto"/>
        </w:rPr>
      </w:pPr>
      <w:r>
        <w:rPr>
          <w:rFonts w:hint="eastAsia" w:ascii="宋体" w:hAnsi="宋体"/>
          <w:b/>
          <w:bCs/>
          <w:color w:val="auto"/>
        </w:rPr>
        <w:t>注:若有偏离,请将具体偏离条款在</w:t>
      </w:r>
      <w:r>
        <w:rPr>
          <w:rFonts w:ascii="宋体" w:hAnsi="宋体"/>
          <w:b/>
          <w:bCs/>
          <w:color w:val="auto"/>
        </w:rPr>
        <w:t>”</w:t>
      </w:r>
      <w:r>
        <w:rPr>
          <w:rFonts w:hint="eastAsia" w:ascii="宋体" w:hAnsi="宋体"/>
          <w:b/>
          <w:bCs/>
          <w:color w:val="auto"/>
        </w:rPr>
        <w:t>偏离</w:t>
      </w:r>
      <w:r>
        <w:rPr>
          <w:rFonts w:ascii="宋体" w:hAnsi="宋体"/>
          <w:b/>
          <w:bCs/>
          <w:color w:val="auto"/>
        </w:rPr>
        <w:t>”</w:t>
      </w:r>
      <w:r>
        <w:rPr>
          <w:rFonts w:hint="eastAsia" w:ascii="宋体" w:hAnsi="宋体"/>
          <w:b/>
          <w:bCs/>
          <w:color w:val="auto"/>
        </w:rPr>
        <w:t>一栏中详细说明;若无偏离,请在</w:t>
      </w:r>
      <w:r>
        <w:rPr>
          <w:rFonts w:ascii="宋体" w:hAnsi="宋体"/>
          <w:b/>
          <w:bCs/>
          <w:color w:val="auto"/>
        </w:rPr>
        <w:t>”</w:t>
      </w:r>
      <w:r>
        <w:rPr>
          <w:rFonts w:hint="eastAsia" w:ascii="宋体" w:hAnsi="宋体"/>
          <w:b/>
          <w:bCs/>
          <w:color w:val="auto"/>
        </w:rPr>
        <w:t>偏离</w:t>
      </w:r>
      <w:r>
        <w:rPr>
          <w:rFonts w:ascii="宋体" w:hAnsi="宋体"/>
          <w:b/>
          <w:bCs/>
          <w:color w:val="auto"/>
        </w:rPr>
        <w:t>”</w:t>
      </w:r>
      <w:r>
        <w:rPr>
          <w:rFonts w:hint="eastAsia" w:ascii="宋体" w:hAnsi="宋体"/>
          <w:b/>
          <w:bCs/>
          <w:color w:val="auto"/>
        </w:rPr>
        <w:t>一栏中标注</w:t>
      </w:r>
      <w:r>
        <w:rPr>
          <w:rFonts w:ascii="宋体" w:hAnsi="宋体"/>
          <w:b/>
          <w:bCs/>
          <w:color w:val="auto"/>
        </w:rPr>
        <w:t>”</w:t>
      </w:r>
      <w:r>
        <w:rPr>
          <w:rFonts w:hint="eastAsia" w:ascii="宋体" w:hAnsi="宋体"/>
          <w:b/>
          <w:bCs/>
          <w:color w:val="auto"/>
        </w:rPr>
        <w:t>无</w:t>
      </w:r>
      <w:r>
        <w:rPr>
          <w:rFonts w:ascii="宋体" w:hAnsi="宋体"/>
          <w:b/>
          <w:bCs/>
          <w:color w:val="auto"/>
        </w:rPr>
        <w:t>”</w:t>
      </w:r>
      <w:r>
        <w:rPr>
          <w:rFonts w:hint="eastAsia" w:ascii="宋体" w:hAnsi="宋体"/>
          <w:b/>
          <w:bCs/>
          <w:color w:val="auto"/>
        </w:rPr>
        <w:t>字样且提供相应证明材料并标注页码（不得复制粘贴招标文件提供的技术参数，需提供投标单位自身技术参数相关数据）。</w:t>
      </w:r>
    </w:p>
    <w:p>
      <w:pPr>
        <w:pStyle w:val="84"/>
        <w:spacing w:line="500" w:lineRule="exact"/>
        <w:rPr>
          <w:rFonts w:ascii="宋体" w:hAnsi="宋体"/>
          <w:b/>
          <w:color w:val="auto"/>
        </w:rPr>
      </w:pPr>
    </w:p>
    <w:p>
      <w:pPr>
        <w:pStyle w:val="84"/>
        <w:spacing w:line="500" w:lineRule="exact"/>
        <w:rPr>
          <w:rFonts w:ascii="宋体" w:hAnsi="宋体"/>
          <w:b/>
          <w:color w:val="auto"/>
        </w:rPr>
      </w:pPr>
    </w:p>
    <w:p>
      <w:pPr>
        <w:adjustRightInd w:val="0"/>
        <w:snapToGrid w:val="0"/>
        <w:spacing w:line="360" w:lineRule="auto"/>
        <w:ind w:firstLine="484" w:firstLineChars="200"/>
        <w:rPr>
          <w:rFonts w:ascii="宋体" w:hAnsi="宋体"/>
          <w:sz w:val="24"/>
          <w:szCs w:val="21"/>
        </w:rPr>
      </w:pPr>
    </w:p>
    <w:p>
      <w:pPr>
        <w:adjustRightInd w:val="0"/>
        <w:snapToGrid w:val="0"/>
        <w:spacing w:line="360" w:lineRule="auto"/>
        <w:ind w:firstLine="484"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83" w:leftChars="228" w:firstLine="9438" w:firstLineChars="3900"/>
        <w:rPr>
          <w:rFonts w:hint="eastAsia" w:ascii="宋体" w:hAnsi="宋体"/>
          <w:sz w:val="24"/>
          <w:szCs w:val="21"/>
        </w:rPr>
      </w:pPr>
    </w:p>
    <w:p>
      <w:pPr>
        <w:adjustRightInd w:val="0"/>
        <w:snapToGrid w:val="0"/>
        <w:spacing w:line="360" w:lineRule="auto"/>
        <w:rPr>
          <w:rFonts w:ascii="宋体" w:hAnsi="宋体"/>
          <w:sz w:val="24"/>
          <w:szCs w:val="21"/>
        </w:rPr>
      </w:pPr>
      <w:r>
        <w:rPr>
          <w:rFonts w:hint="eastAsia" w:ascii="宋体" w:hAnsi="宋体"/>
          <w:sz w:val="24"/>
          <w:szCs w:val="21"/>
        </w:rPr>
        <w:t>法定代表人或其委托代理人签字或盖章：</w:t>
      </w:r>
    </w:p>
    <w:p>
      <w:pPr>
        <w:adjustRightInd w:val="0"/>
        <w:snapToGrid w:val="0"/>
        <w:spacing w:line="360" w:lineRule="auto"/>
        <w:ind w:left="483" w:leftChars="228" w:right="24" w:firstLine="9438" w:firstLineChars="3900"/>
        <w:rPr>
          <w:rFonts w:ascii="宋体" w:hAnsi="宋体"/>
          <w:bCs/>
          <w:sz w:val="36"/>
          <w:szCs w:val="28"/>
        </w:rPr>
      </w:pPr>
      <w:r>
        <w:rPr>
          <w:rFonts w:hint="eastAsia" w:ascii="宋体" w:hAnsi="宋体"/>
          <w:sz w:val="24"/>
          <w:szCs w:val="21"/>
        </w:rPr>
        <w:t xml:space="preserve">  日期：年月日</w:t>
      </w:r>
    </w:p>
    <w:p>
      <w:pPr>
        <w:pStyle w:val="84"/>
        <w:spacing w:line="500" w:lineRule="exact"/>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pStyle w:val="84"/>
        <w:spacing w:line="500" w:lineRule="exact"/>
        <w:jc w:val="center"/>
        <w:rPr>
          <w:rFonts w:ascii="宋体" w:hAnsi="宋体"/>
          <w:b/>
          <w:color w:val="auto"/>
        </w:rPr>
      </w:pPr>
    </w:p>
    <w:p>
      <w:pPr>
        <w:spacing w:line="500" w:lineRule="exact"/>
        <w:ind w:left="967" w:leftChars="228" w:hanging="484" w:hangingChars="200"/>
        <w:rPr>
          <w:rFonts w:ascii="宋体" w:hAnsi="宋体"/>
          <w:b/>
          <w:bCs/>
          <w:sz w:val="24"/>
          <w:szCs w:val="24"/>
        </w:rPr>
      </w:pPr>
      <w:r>
        <w:rPr>
          <w:rFonts w:hint="eastAsia" w:ascii="宋体" w:hAnsi="宋体"/>
          <w:b/>
          <w:bCs/>
          <w:sz w:val="24"/>
          <w:szCs w:val="24"/>
        </w:rPr>
        <w:t>(6) 有关的产品（包括但不限于检验报告、产品注册证、指标、产品技术性能详述、验收标准等）；</w:t>
      </w:r>
    </w:p>
    <w:p>
      <w:pPr>
        <w:pStyle w:val="84"/>
        <w:spacing w:line="500" w:lineRule="exact"/>
        <w:jc w:val="center"/>
        <w:rPr>
          <w:rFonts w:ascii="宋体" w:hAnsi="宋体"/>
          <w:b/>
          <w:color w:val="auto"/>
        </w:rPr>
      </w:pPr>
      <w:r>
        <w:rPr>
          <w:rFonts w:hint="eastAsia" w:ascii="宋体" w:hAnsi="宋体"/>
          <w:b/>
          <w:color w:val="auto"/>
        </w:rPr>
        <w:br w:type="page"/>
      </w:r>
    </w:p>
    <w:p>
      <w:pPr>
        <w:pStyle w:val="84"/>
        <w:spacing w:line="500" w:lineRule="exact"/>
        <w:jc w:val="center"/>
        <w:outlineLvl w:val="2"/>
        <w:rPr>
          <w:rFonts w:ascii="宋体" w:hAnsi="宋体"/>
          <w:b/>
          <w:color w:val="auto"/>
        </w:rPr>
      </w:pPr>
      <w:r>
        <w:rPr>
          <w:rFonts w:hint="eastAsia" w:ascii="宋体" w:hAnsi="宋体"/>
          <w:b/>
          <w:bCs/>
          <w:color w:val="auto"/>
        </w:rPr>
        <w:t xml:space="preserve">(7) </w:t>
      </w:r>
      <w:r>
        <w:rPr>
          <w:rFonts w:hint="eastAsia" w:ascii="宋体" w:hAnsi="宋体"/>
          <w:b/>
          <w:color w:val="auto"/>
        </w:rPr>
        <w:t>、售后服务承诺书</w:t>
      </w:r>
    </w:p>
    <w:p>
      <w:pPr>
        <w:pStyle w:val="84"/>
        <w:spacing w:line="500" w:lineRule="exact"/>
        <w:rPr>
          <w:rFonts w:ascii="宋体" w:hAnsi="宋体"/>
          <w:bCs/>
          <w:color w:val="auto"/>
        </w:rPr>
      </w:pPr>
      <w:r>
        <w:rPr>
          <w:rFonts w:hint="eastAsia" w:ascii="宋体" w:hAnsi="宋体"/>
          <w:bCs/>
          <w:color w:val="auto"/>
        </w:rPr>
        <w:t>该承诺书格式由投标商自行确定。</w:t>
      </w:r>
    </w:p>
    <w:p>
      <w:pPr>
        <w:tabs>
          <w:tab w:val="left" w:pos="6521"/>
        </w:tabs>
        <w:spacing w:line="500" w:lineRule="exact"/>
        <w:ind w:left="-53" w:leftChars="-171" w:hanging="309" w:hangingChars="128"/>
        <w:rPr>
          <w:rFonts w:ascii="宋体" w:hAnsi="宋体"/>
          <w:sz w:val="24"/>
          <w:szCs w:val="24"/>
        </w:rPr>
      </w:pPr>
      <w:r>
        <w:rPr>
          <w:rFonts w:hint="eastAsia" w:ascii="宋体" w:hAnsi="宋体"/>
          <w:sz w:val="24"/>
          <w:szCs w:val="24"/>
        </w:rPr>
        <w:t xml:space="preserve">       1、应提供配套设备的免费保修，质保期：质保期年，在新疆本地有售后服务网点（三包：包退、包换、包修）；</w:t>
      </w:r>
    </w:p>
    <w:p>
      <w:pPr>
        <w:spacing w:line="500" w:lineRule="exact"/>
        <w:ind w:left="-402" w:leftChars="-190" w:firstLine="48" w:firstLineChars="20"/>
        <w:rPr>
          <w:rFonts w:ascii="宋体" w:hAnsi="宋体"/>
          <w:sz w:val="24"/>
          <w:szCs w:val="24"/>
        </w:rPr>
      </w:pPr>
      <w:r>
        <w:rPr>
          <w:rFonts w:hint="eastAsia" w:ascii="宋体" w:hAnsi="宋体"/>
          <w:sz w:val="24"/>
          <w:szCs w:val="24"/>
        </w:rPr>
        <w:t xml:space="preserve">       2、售后服务：提供相关的技术培训和技术资料，包括安装、调试等，质保期限内免费维护。</w:t>
      </w:r>
    </w:p>
    <w:p>
      <w:pPr>
        <w:spacing w:line="500" w:lineRule="exact"/>
        <w:ind w:left="-53" w:leftChars="-171" w:hanging="309" w:hangingChars="128"/>
        <w:rPr>
          <w:rFonts w:ascii="宋体" w:hAnsi="宋体"/>
          <w:sz w:val="24"/>
          <w:szCs w:val="24"/>
        </w:rPr>
      </w:pPr>
      <w:r>
        <w:rPr>
          <w:rFonts w:hint="eastAsia" w:ascii="宋体" w:hAnsi="宋体"/>
          <w:sz w:val="24"/>
          <w:szCs w:val="24"/>
        </w:rPr>
        <w:t xml:space="preserve">       3、保修期内和保修期后，如设备出现故障，2小时售后响应，8小时问题解决，保修期内免费维修，保修期外只收取材料成本费，免人工费，主要零配件送达时间不超过3天，每超一天按日设备的检查费赔偿。</w:t>
      </w:r>
    </w:p>
    <w:p>
      <w:pPr>
        <w:spacing w:line="500" w:lineRule="exact"/>
        <w:ind w:left="-53" w:leftChars="-171" w:hanging="309" w:hangingChars="128"/>
        <w:outlineLvl w:val="3"/>
        <w:rPr>
          <w:rFonts w:ascii="宋体" w:hAnsi="宋体"/>
          <w:bCs/>
          <w:sz w:val="24"/>
          <w:szCs w:val="24"/>
        </w:rPr>
      </w:pPr>
      <w:r>
        <w:rPr>
          <w:rFonts w:hint="eastAsia" w:ascii="宋体" w:hAnsi="宋体"/>
          <w:sz w:val="24"/>
          <w:szCs w:val="24"/>
        </w:rPr>
        <w:t xml:space="preserve">       4、</w:t>
      </w:r>
      <w:r>
        <w:rPr>
          <w:rFonts w:hint="eastAsia" w:ascii="宋体" w:hAnsi="宋体"/>
          <w:bCs/>
          <w:sz w:val="24"/>
          <w:szCs w:val="24"/>
        </w:rPr>
        <w:t>请提供一份详细的售后服务承诺书和计划书。</w:t>
      </w:r>
    </w:p>
    <w:p>
      <w:pPr>
        <w:spacing w:line="500" w:lineRule="exact"/>
        <w:ind w:firstLine="484" w:firstLineChars="200"/>
        <w:outlineLvl w:val="4"/>
        <w:rPr>
          <w:rFonts w:ascii="宋体" w:hAnsi="宋体"/>
          <w:sz w:val="24"/>
          <w:szCs w:val="24"/>
        </w:rPr>
      </w:pPr>
      <w:r>
        <w:rPr>
          <w:rFonts w:hint="eastAsia" w:ascii="宋体" w:hAnsi="宋体"/>
          <w:bCs/>
          <w:sz w:val="24"/>
          <w:szCs w:val="24"/>
        </w:rPr>
        <w:t>（注：投标人可适当增加售后服务内容）</w:t>
      </w:r>
    </w:p>
    <w:p>
      <w:pPr>
        <w:pStyle w:val="84"/>
        <w:spacing w:line="500" w:lineRule="exact"/>
        <w:rPr>
          <w:rFonts w:ascii="宋体" w:hAnsi="宋体"/>
          <w:bCs/>
          <w:color w:val="auto"/>
        </w:rPr>
      </w:pPr>
    </w:p>
    <w:p>
      <w:pPr>
        <w:pStyle w:val="84"/>
        <w:spacing w:line="500" w:lineRule="exact"/>
        <w:rPr>
          <w:rFonts w:ascii="宋体" w:hAnsi="宋体"/>
          <w:color w:val="auto"/>
        </w:rPr>
      </w:pPr>
    </w:p>
    <w:p>
      <w:pPr>
        <w:pStyle w:val="84"/>
        <w:spacing w:line="500" w:lineRule="exact"/>
        <w:ind w:firstLine="4235" w:firstLineChars="1750"/>
        <w:rPr>
          <w:rFonts w:ascii="宋体" w:hAnsi="宋体"/>
          <w:color w:val="auto"/>
        </w:rPr>
      </w:pPr>
    </w:p>
    <w:p>
      <w:pPr>
        <w:adjustRightInd w:val="0"/>
        <w:snapToGrid w:val="0"/>
        <w:spacing w:line="360" w:lineRule="auto"/>
        <w:ind w:firstLine="484" w:firstLineChars="200"/>
        <w:rPr>
          <w:rFonts w:ascii="宋体" w:hAnsi="宋体"/>
          <w:sz w:val="24"/>
          <w:szCs w:val="21"/>
        </w:rPr>
      </w:pPr>
    </w:p>
    <w:p>
      <w:pPr>
        <w:adjustRightInd w:val="0"/>
        <w:snapToGrid w:val="0"/>
        <w:spacing w:line="360" w:lineRule="auto"/>
        <w:ind w:firstLine="484" w:firstLineChars="200"/>
        <w:rPr>
          <w:rFonts w:ascii="宋体" w:hAnsi="宋体"/>
          <w:sz w:val="24"/>
          <w:szCs w:val="21"/>
        </w:rPr>
      </w:pPr>
      <w:r>
        <w:rPr>
          <w:rFonts w:hint="eastAsia" w:ascii="宋体" w:hAnsi="宋体"/>
          <w:sz w:val="24"/>
          <w:szCs w:val="21"/>
        </w:rPr>
        <w:t>投标人（盖单位章）：</w:t>
      </w:r>
    </w:p>
    <w:p>
      <w:pPr>
        <w:adjustRightInd w:val="0"/>
        <w:snapToGrid w:val="0"/>
        <w:spacing w:line="360" w:lineRule="auto"/>
        <w:ind w:left="483" w:leftChars="228" w:firstLine="9438" w:firstLineChars="3900"/>
        <w:rPr>
          <w:rFonts w:ascii="宋体" w:hAnsi="宋体"/>
          <w:sz w:val="24"/>
          <w:szCs w:val="21"/>
        </w:rPr>
      </w:pPr>
      <w:r>
        <w:rPr>
          <w:rFonts w:hint="eastAsia" w:ascii="宋体" w:hAnsi="宋体"/>
          <w:sz w:val="24"/>
          <w:szCs w:val="21"/>
        </w:rPr>
        <w:t>法定代表人或其委托代理人签字或盖章：</w:t>
      </w:r>
    </w:p>
    <w:p>
      <w:pPr>
        <w:adjustRightInd w:val="0"/>
        <w:snapToGrid w:val="0"/>
        <w:spacing w:line="360" w:lineRule="auto"/>
        <w:ind w:left="483" w:leftChars="228" w:right="24" w:firstLine="9438" w:firstLineChars="3900"/>
        <w:rPr>
          <w:rFonts w:ascii="宋体" w:hAnsi="宋体"/>
          <w:bCs/>
          <w:sz w:val="36"/>
          <w:szCs w:val="28"/>
        </w:rPr>
      </w:pPr>
      <w:r>
        <w:rPr>
          <w:rFonts w:hint="eastAsia" w:ascii="宋体" w:hAnsi="宋体"/>
          <w:sz w:val="24"/>
          <w:szCs w:val="21"/>
        </w:rPr>
        <w:t xml:space="preserve">  日期：年月日</w:t>
      </w:r>
    </w:p>
    <w:p>
      <w:pPr>
        <w:pStyle w:val="84"/>
        <w:spacing w:line="500" w:lineRule="exact"/>
        <w:ind w:firstLine="8591" w:firstLineChars="3550"/>
        <w:rPr>
          <w:rFonts w:ascii="宋体" w:hAnsi="宋体"/>
          <w:color w:val="auto"/>
        </w:rPr>
      </w:pPr>
    </w:p>
    <w:p>
      <w:pPr>
        <w:rPr>
          <w:rFonts w:ascii="宋体" w:hAnsi="宋体"/>
        </w:rPr>
      </w:pPr>
    </w:p>
    <w:p>
      <w:pPr>
        <w:rPr>
          <w:rFonts w:ascii="宋体" w:hAnsi="宋体"/>
        </w:rPr>
      </w:pPr>
    </w:p>
    <w:p>
      <w:pPr>
        <w:rPr>
          <w:rFonts w:ascii="宋体" w:hAnsi="宋体"/>
        </w:rPr>
      </w:pPr>
    </w:p>
    <w:p>
      <w:pPr>
        <w:rPr>
          <w:rFonts w:ascii="宋体" w:hAnsi="宋体"/>
        </w:rPr>
      </w:pPr>
    </w:p>
    <w:p>
      <w:pPr>
        <w:tabs>
          <w:tab w:val="left" w:pos="6300"/>
        </w:tabs>
        <w:snapToGrid w:val="0"/>
        <w:spacing w:line="500" w:lineRule="exact"/>
        <w:jc w:val="center"/>
        <w:rPr>
          <w:rFonts w:ascii="仿宋_GB2312" w:eastAsia="仿宋_GB2312"/>
          <w:b/>
          <w:sz w:val="24"/>
        </w:rPr>
      </w:pPr>
    </w:p>
    <w:p>
      <w:pPr>
        <w:tabs>
          <w:tab w:val="left" w:pos="6300"/>
        </w:tabs>
        <w:snapToGrid w:val="0"/>
        <w:spacing w:line="500" w:lineRule="exact"/>
        <w:jc w:val="center"/>
        <w:rPr>
          <w:rFonts w:ascii="仿宋_GB2312" w:eastAsia="仿宋_GB2312"/>
          <w:b/>
          <w:sz w:val="24"/>
        </w:rPr>
      </w:pPr>
    </w:p>
    <w:p>
      <w:pPr>
        <w:tabs>
          <w:tab w:val="left" w:pos="6300"/>
        </w:tabs>
        <w:snapToGrid w:val="0"/>
        <w:spacing w:line="500" w:lineRule="exact"/>
        <w:jc w:val="center"/>
        <w:rPr>
          <w:rFonts w:ascii="仿宋_GB2312" w:eastAsia="仿宋_GB2312"/>
          <w:b/>
          <w:sz w:val="24"/>
        </w:rPr>
      </w:pPr>
    </w:p>
    <w:p>
      <w:pPr>
        <w:tabs>
          <w:tab w:val="left" w:pos="6300"/>
        </w:tabs>
        <w:snapToGrid w:val="0"/>
        <w:spacing w:line="500" w:lineRule="exact"/>
        <w:jc w:val="center"/>
        <w:rPr>
          <w:rFonts w:ascii="仿宋_GB2312" w:eastAsia="仿宋_GB2312"/>
          <w:b/>
          <w:sz w:val="24"/>
        </w:rPr>
      </w:pPr>
    </w:p>
    <w:p>
      <w:pPr>
        <w:tabs>
          <w:tab w:val="left" w:pos="6300"/>
        </w:tabs>
        <w:snapToGrid w:val="0"/>
        <w:spacing w:line="500" w:lineRule="exact"/>
        <w:jc w:val="center"/>
        <w:rPr>
          <w:rFonts w:ascii="宋体" w:hAnsi="宋体"/>
          <w:b/>
          <w:kern w:val="0"/>
          <w:sz w:val="24"/>
          <w:szCs w:val="24"/>
        </w:rPr>
      </w:pPr>
      <w:r>
        <w:rPr>
          <w:rFonts w:hint="eastAsia" w:ascii="宋体" w:hAnsi="宋体"/>
          <w:b/>
          <w:kern w:val="0"/>
          <w:sz w:val="24"/>
          <w:szCs w:val="24"/>
        </w:rPr>
        <w:t>承诺书</w:t>
      </w:r>
    </w:p>
    <w:p>
      <w:pPr>
        <w:pStyle w:val="2"/>
        <w:ind w:left="425" w:firstLine="425"/>
      </w:pPr>
    </w:p>
    <w:p>
      <w:pPr>
        <w:spacing w:line="360" w:lineRule="auto"/>
        <w:jc w:val="center"/>
        <w:rPr>
          <w:rFonts w:ascii="宋体" w:hAnsi="宋体"/>
          <w:sz w:val="24"/>
          <w:szCs w:val="24"/>
        </w:rPr>
      </w:pPr>
      <w:r>
        <w:rPr>
          <w:rFonts w:ascii="宋体" w:hAnsi="宋体"/>
          <w:sz w:val="24"/>
          <w:szCs w:val="24"/>
        </w:rPr>
        <w:t>承诺书</w:t>
      </w:r>
    </w:p>
    <w:p>
      <w:pPr>
        <w:spacing w:line="360" w:lineRule="auto"/>
        <w:jc w:val="left"/>
        <w:rPr>
          <w:rFonts w:ascii="宋体" w:hAnsi="宋体"/>
          <w:sz w:val="24"/>
          <w:szCs w:val="24"/>
        </w:rPr>
      </w:pPr>
      <w:r>
        <w:rPr>
          <w:rFonts w:hint="eastAsia" w:ascii="宋体" w:hAnsi="宋体"/>
          <w:sz w:val="24"/>
          <w:szCs w:val="24"/>
        </w:rPr>
        <w:t>致采购人、招标代理机构：</w:t>
      </w:r>
    </w:p>
    <w:p>
      <w:pPr>
        <w:spacing w:line="360" w:lineRule="auto"/>
        <w:ind w:firstLine="484" w:firstLineChars="200"/>
        <w:jc w:val="left"/>
        <w:rPr>
          <w:rFonts w:ascii="宋体" w:hAnsi="宋体"/>
          <w:sz w:val="24"/>
          <w:szCs w:val="24"/>
          <w:u w:val="single"/>
        </w:rPr>
      </w:pPr>
      <w:r>
        <w:rPr>
          <w:rFonts w:hint="eastAsia" w:ascii="宋体" w:hAnsi="宋体"/>
          <w:sz w:val="24"/>
          <w:szCs w:val="24"/>
        </w:rPr>
        <w:t>我公司</w:t>
      </w:r>
      <w:r>
        <w:rPr>
          <w:rFonts w:hint="eastAsia" w:ascii="宋体" w:hAnsi="宋体"/>
          <w:sz w:val="24"/>
          <w:szCs w:val="24"/>
          <w:u w:val="single"/>
        </w:rPr>
        <w:t xml:space="preserve"> ，</w:t>
      </w:r>
      <w:r>
        <w:rPr>
          <w:rFonts w:hint="eastAsia" w:ascii="宋体" w:hAnsi="宋体"/>
          <w:sz w:val="24"/>
          <w:szCs w:val="24"/>
        </w:rPr>
        <w:t>注册地址为</w:t>
      </w:r>
      <w:r>
        <w:rPr>
          <w:rFonts w:hint="eastAsia" w:ascii="宋体" w:hAnsi="宋体"/>
          <w:sz w:val="24"/>
          <w:szCs w:val="24"/>
          <w:u w:val="single"/>
        </w:rPr>
        <w:t>： ；参与贵单位组织的项目名称： （项目编号： ）（标段名称：），现自愿郑重做出以下承诺：</w:t>
      </w:r>
    </w:p>
    <w:p>
      <w:pPr>
        <w:pStyle w:val="166"/>
        <w:numPr>
          <w:ilvl w:val="0"/>
          <w:numId w:val="7"/>
        </w:numPr>
        <w:spacing w:line="360" w:lineRule="auto"/>
        <w:ind w:firstLineChars="0"/>
        <w:jc w:val="left"/>
        <w:rPr>
          <w:rFonts w:ascii="宋体" w:hAnsi="宋体"/>
          <w:sz w:val="24"/>
          <w:szCs w:val="24"/>
        </w:rPr>
      </w:pPr>
      <w:r>
        <w:rPr>
          <w:rFonts w:hint="eastAsia" w:ascii="宋体" w:hAnsi="宋体"/>
          <w:sz w:val="24"/>
          <w:szCs w:val="24"/>
        </w:rPr>
        <w:t>公平参与本次招标活动，提供投标资料均真实有效，不以他人名义投标或者其他方式弄虚作假，骗取中标。</w:t>
      </w:r>
    </w:p>
    <w:p>
      <w:pPr>
        <w:pStyle w:val="166"/>
        <w:numPr>
          <w:ilvl w:val="0"/>
          <w:numId w:val="7"/>
        </w:numPr>
        <w:spacing w:line="360" w:lineRule="auto"/>
        <w:ind w:firstLineChars="0"/>
        <w:jc w:val="left"/>
        <w:outlineLvl w:val="3"/>
        <w:rPr>
          <w:rFonts w:ascii="宋体" w:hAnsi="宋体"/>
          <w:sz w:val="24"/>
          <w:szCs w:val="24"/>
        </w:rPr>
      </w:pPr>
      <w:r>
        <w:rPr>
          <w:rFonts w:hint="eastAsia" w:ascii="宋体" w:hAnsi="宋体"/>
          <w:sz w:val="24"/>
          <w:szCs w:val="24"/>
        </w:rPr>
        <w:t>所投产品均为合法、正规的全新合格产品。</w:t>
      </w:r>
    </w:p>
    <w:p>
      <w:pPr>
        <w:pStyle w:val="166"/>
        <w:numPr>
          <w:ilvl w:val="0"/>
          <w:numId w:val="7"/>
        </w:numPr>
        <w:spacing w:line="360" w:lineRule="auto"/>
        <w:ind w:firstLineChars="0"/>
        <w:jc w:val="left"/>
        <w:rPr>
          <w:rFonts w:ascii="宋体" w:hAnsi="宋体"/>
          <w:sz w:val="24"/>
          <w:szCs w:val="24"/>
        </w:rPr>
      </w:pPr>
      <w:r>
        <w:rPr>
          <w:rFonts w:hint="eastAsia" w:ascii="宋体" w:hAnsi="宋体"/>
          <w:sz w:val="24"/>
          <w:szCs w:val="24"/>
        </w:rPr>
        <w:t>所投产品价格合理，投标价格不高于全国同产品的投标均价，同时保证所投产品价格不超过全国其他地区近两年（2021年和2022）同产品最低中标价格的</w:t>
      </w:r>
      <w:r>
        <w:rPr>
          <w:rFonts w:hint="eastAsia" w:ascii="宋体" w:hAnsi="宋体"/>
          <w:sz w:val="24"/>
          <w:szCs w:val="24"/>
          <w:u w:val="single"/>
        </w:rPr>
        <w:t xml:space="preserve">     %</w:t>
      </w:r>
      <w:r>
        <w:rPr>
          <w:rFonts w:hint="eastAsia" w:ascii="宋体" w:hAnsi="宋体"/>
          <w:sz w:val="24"/>
          <w:szCs w:val="24"/>
        </w:rPr>
        <w:t xml:space="preserve"> （不超过30%）。</w:t>
      </w:r>
    </w:p>
    <w:p>
      <w:pPr>
        <w:pStyle w:val="166"/>
        <w:numPr>
          <w:ilvl w:val="0"/>
          <w:numId w:val="7"/>
        </w:numPr>
        <w:spacing w:line="360" w:lineRule="auto"/>
        <w:ind w:firstLineChars="0"/>
        <w:jc w:val="left"/>
        <w:rPr>
          <w:rFonts w:ascii="宋体" w:hAnsi="宋体"/>
          <w:sz w:val="24"/>
          <w:szCs w:val="24"/>
        </w:rPr>
      </w:pPr>
      <w:r>
        <w:rPr>
          <w:rFonts w:hint="eastAsia" w:ascii="宋体" w:hAnsi="宋体"/>
          <w:sz w:val="24"/>
          <w:szCs w:val="24"/>
        </w:rPr>
        <w:t>杜绝任何形式的商业贿赂。不给予工作人员，评审专家及其亲属各种形式的商业贿赂(包括送礼金礼品、有价证券、购物卷、回扣、佣金、咨询费、劳务费、赞助费、宣传费、支付旅游费用、报销各种消费凭证、宴请、娱乐等)。</w:t>
      </w:r>
    </w:p>
    <w:p>
      <w:pPr>
        <w:spacing w:line="360" w:lineRule="auto"/>
        <w:ind w:firstLine="484" w:firstLineChars="200"/>
        <w:jc w:val="left"/>
        <w:rPr>
          <w:rFonts w:ascii="宋体" w:hAnsi="宋体"/>
          <w:sz w:val="24"/>
          <w:szCs w:val="24"/>
        </w:rPr>
      </w:pPr>
      <w:r>
        <w:rPr>
          <w:rFonts w:hint="eastAsia" w:ascii="宋体" w:hAnsi="宋体"/>
          <w:sz w:val="24"/>
          <w:szCs w:val="24"/>
        </w:rPr>
        <w:t>我单位如违反上述承诺行为，贵方有权终止合同、追究我单位违约责任并将我单位纳入黑名单供应商，由此引发的相关纠纷，由本单位独立承担。</w:t>
      </w:r>
    </w:p>
    <w:p>
      <w:pPr>
        <w:spacing w:line="360" w:lineRule="auto"/>
        <w:ind w:firstLine="484" w:firstLineChars="200"/>
        <w:jc w:val="left"/>
        <w:rPr>
          <w:rFonts w:ascii="宋体" w:hAnsi="宋体"/>
          <w:sz w:val="24"/>
          <w:szCs w:val="24"/>
        </w:rPr>
      </w:pPr>
    </w:p>
    <w:p>
      <w:pPr>
        <w:spacing w:line="360" w:lineRule="auto"/>
        <w:ind w:firstLine="484" w:firstLineChars="200"/>
        <w:jc w:val="left"/>
        <w:rPr>
          <w:rFonts w:ascii="宋体" w:hAnsi="宋体"/>
          <w:sz w:val="24"/>
          <w:szCs w:val="24"/>
        </w:rPr>
      </w:pPr>
    </w:p>
    <w:p>
      <w:pPr>
        <w:spacing w:line="360" w:lineRule="auto"/>
        <w:ind w:firstLine="484" w:firstLineChars="200"/>
        <w:jc w:val="left"/>
        <w:rPr>
          <w:rFonts w:ascii="宋体" w:hAnsi="宋体"/>
          <w:sz w:val="24"/>
          <w:szCs w:val="24"/>
        </w:rPr>
      </w:pPr>
      <w:r>
        <w:rPr>
          <w:rFonts w:hint="eastAsia" w:ascii="宋体" w:hAnsi="宋体"/>
          <w:sz w:val="24"/>
          <w:szCs w:val="24"/>
        </w:rPr>
        <w:t>特此承诺!</w:t>
      </w:r>
    </w:p>
    <w:p>
      <w:pPr>
        <w:spacing w:line="360" w:lineRule="auto"/>
        <w:ind w:firstLine="484" w:firstLineChars="200"/>
        <w:jc w:val="left"/>
        <w:rPr>
          <w:rFonts w:ascii="宋体" w:hAnsi="宋体"/>
          <w:sz w:val="24"/>
          <w:szCs w:val="24"/>
        </w:rPr>
      </w:pPr>
      <w:r>
        <w:rPr>
          <w:rFonts w:hint="eastAsia" w:ascii="宋体" w:hAnsi="宋体"/>
          <w:sz w:val="24"/>
          <w:szCs w:val="24"/>
        </w:rPr>
        <w:t>投标单位名称（盖章）：</w:t>
      </w:r>
    </w:p>
    <w:p>
      <w:pPr>
        <w:spacing w:line="360" w:lineRule="auto"/>
        <w:ind w:firstLine="484" w:firstLineChars="200"/>
        <w:jc w:val="left"/>
        <w:rPr>
          <w:rFonts w:ascii="宋体" w:hAnsi="宋体"/>
          <w:sz w:val="24"/>
          <w:szCs w:val="24"/>
        </w:rPr>
      </w:pPr>
      <w:r>
        <w:rPr>
          <w:rFonts w:hint="eastAsia" w:ascii="宋体" w:hAnsi="宋体"/>
          <w:sz w:val="24"/>
          <w:szCs w:val="24"/>
        </w:rPr>
        <w:t>法人或其授权代表（签字或盖章）：</w:t>
      </w:r>
    </w:p>
    <w:p>
      <w:pPr>
        <w:spacing w:line="360" w:lineRule="auto"/>
        <w:ind w:firstLine="484" w:firstLineChars="200"/>
        <w:jc w:val="left"/>
        <w:rPr>
          <w:rFonts w:ascii="宋体" w:hAnsi="宋体"/>
          <w:sz w:val="24"/>
          <w:szCs w:val="24"/>
        </w:rPr>
      </w:pPr>
      <w:r>
        <w:rPr>
          <w:rFonts w:hint="eastAsia" w:ascii="宋体" w:hAnsi="宋体"/>
          <w:sz w:val="24"/>
          <w:szCs w:val="24"/>
        </w:rPr>
        <w:t>日期：</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1"/>
        <w:rPr>
          <w:rFonts w:hAnsi="宋体"/>
        </w:rPr>
      </w:pPr>
    </w:p>
    <w:p>
      <w:pPr>
        <w:pStyle w:val="41"/>
        <w:rPr>
          <w:rFonts w:hAnsi="宋体"/>
        </w:rPr>
      </w:pPr>
    </w:p>
    <w:p>
      <w:pPr>
        <w:spacing w:line="500" w:lineRule="exact"/>
        <w:outlineLvl w:val="2"/>
        <w:rPr>
          <w:rFonts w:ascii="宋体" w:hAnsi="宋体"/>
          <w:b/>
          <w:bCs/>
          <w:sz w:val="24"/>
          <w:szCs w:val="24"/>
        </w:rPr>
      </w:pPr>
      <w:r>
        <w:rPr>
          <w:rFonts w:hint="eastAsia" w:ascii="宋体" w:hAnsi="宋体"/>
          <w:b/>
          <w:bCs/>
          <w:sz w:val="24"/>
          <w:szCs w:val="24"/>
        </w:rPr>
        <w:t>（8） 投标供应商认为有必要提供的声明及文件资料。</w:t>
      </w:r>
    </w:p>
    <w:p/>
    <w:sectPr>
      <w:headerReference r:id="rId11" w:type="first"/>
      <w:footerReference r:id="rId13" w:type="first"/>
      <w:footerReference r:id="rId12" w:type="default"/>
      <w:pgSz w:w="11906" w:h="16838"/>
      <w:pgMar w:top="1417" w:right="1134" w:bottom="1417" w:left="1417" w:header="851" w:footer="850" w:gutter="0"/>
      <w:cols w:space="0" w:num="1"/>
      <w:docGrid w:type="linesAndChars" w:linePitch="322" w:charSpace="5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EU-F1">
    <w:altName w:val="黑体"/>
    <w:panose1 w:val="00000000000000000000"/>
    <w:charset w:val="86"/>
    <w:family w:val="script"/>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&#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FFgEo2AEAALADAAAOAAAAAAAAAAEAIAAA&#10;AB4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3</w:t>
    </w:r>
    <w:r>
      <w:fldChar w:fldCharType="end"/>
    </w:r>
  </w:p>
  <w:p>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0"/>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dashDotStroked" w:color="auto" w:sz="24" w:space="1"/>
      </w:pBdr>
      <w:tabs>
        <w:tab w:val="left" w:pos="2528"/>
        <w:tab w:val="center" w:pos="4737"/>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dashDotStroked" w:color="auto" w:sz="24"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both"/>
      <w:rPr>
        <w:rFonts w:hint="eastAsia" w:eastAsia="宋体"/>
        <w:b/>
        <w:bCs/>
        <w:i/>
        <w:iCs/>
        <w:spacing w:val="6"/>
        <w:w w:val="90"/>
        <w:szCs w:val="22"/>
        <w:lang w:eastAsia="zh-CN"/>
      </w:rPr>
    </w:pPr>
    <w:r>
      <w:rPr>
        <w:rFonts w:hint="eastAsia"/>
        <w:b/>
        <w:bCs/>
        <w:i/>
        <w:iCs/>
        <w:spacing w:val="6"/>
        <w:w w:val="90"/>
        <w:szCs w:val="22"/>
        <w:lang w:eastAsia="zh-CN"/>
      </w:rPr>
      <w:t>新疆维吾尔自治区疾病预防控制中心2022年度上半年第三批次实验室设备采购项目三次</w:t>
    </w:r>
  </w:p>
  <w:p>
    <w:pPr>
      <w:pStyle w:val="31"/>
      <w:ind w:right="360"/>
      <w:jc w:val="both"/>
      <w:rPr>
        <w:rFonts w:hint="eastAsia" w:eastAsia="宋体"/>
        <w:b/>
        <w:bCs/>
        <w:i/>
        <w:iCs/>
        <w:spacing w:val="6"/>
        <w:w w:val="90"/>
        <w:szCs w:val="22"/>
        <w:lang w:eastAsia="zh-CN"/>
      </w:rPr>
    </w:pPr>
    <w:r>
      <w:rPr>
        <w:rFonts w:hint="eastAsia"/>
        <w:b/>
        <w:bCs/>
        <w:i/>
        <w:iCs/>
        <w:spacing w:val="6"/>
        <w:w w:val="90"/>
      </w:rPr>
      <w:t>项目编号</w:t>
    </w:r>
    <w:r>
      <w:rPr>
        <w:rFonts w:hint="eastAsia"/>
        <w:b/>
        <w:bCs/>
        <w:i/>
        <w:iCs/>
        <w:spacing w:val="6"/>
        <w:w w:val="90"/>
        <w:szCs w:val="22"/>
      </w:rPr>
      <w:t>：</w:t>
    </w:r>
    <w:r>
      <w:rPr>
        <w:rFonts w:hint="eastAsia"/>
        <w:b/>
        <w:bCs/>
        <w:i/>
        <w:iCs/>
        <w:spacing w:val="6"/>
        <w:w w:val="90"/>
        <w:szCs w:val="22"/>
        <w:lang w:eastAsia="zh-CN"/>
      </w:rPr>
      <w:t>HLY(CG)2022-017-003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dashDotStroked" w:color="auto" w:sz="24" w:space="1"/>
      </w:pBdr>
      <w:jc w:val="both"/>
    </w:pPr>
    <w:r>
      <w:rPr>
        <w:rFonts w:hint="eastAsia"/>
        <w:b/>
        <w:bCs/>
        <w:i/>
        <w:iCs/>
      </w:rPr>
      <w:t>新疆冠农天府果蔬食品有限责任公司饮料前处理设备招标文件                                                                                    编号0689-xtgj0412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C3A65"/>
    <w:multiLevelType w:val="singleLevel"/>
    <w:tmpl w:val="921C3A65"/>
    <w:lvl w:ilvl="0" w:tentative="0">
      <w:start w:val="3"/>
      <w:numFmt w:val="chineseCounting"/>
      <w:suff w:val="space"/>
      <w:lvlText w:val="第%1章"/>
      <w:lvlJc w:val="left"/>
      <w:rPr>
        <w:rFonts w:hint="eastAsia"/>
      </w:rPr>
    </w:lvl>
  </w:abstractNum>
  <w:abstractNum w:abstractNumId="1">
    <w:nsid w:val="A4A77EA1"/>
    <w:multiLevelType w:val="singleLevel"/>
    <w:tmpl w:val="A4A77EA1"/>
    <w:lvl w:ilvl="0" w:tentative="0">
      <w:start w:val="5"/>
      <w:numFmt w:val="chineseCounting"/>
      <w:suff w:val="nothing"/>
      <w:lvlText w:val="%1、"/>
      <w:lvlJc w:val="left"/>
      <w:rPr>
        <w:rFonts w:hint="eastAsia"/>
      </w:rPr>
    </w:lvl>
  </w:abstractNum>
  <w:abstractNum w:abstractNumId="2">
    <w:nsid w:val="BBCCB3CA"/>
    <w:multiLevelType w:val="singleLevel"/>
    <w:tmpl w:val="BBCCB3CA"/>
    <w:lvl w:ilvl="0" w:tentative="0">
      <w:start w:val="1"/>
      <w:numFmt w:val="decimal"/>
      <w:suff w:val="nothing"/>
      <w:lvlText w:val="（%1）"/>
      <w:lvlJc w:val="left"/>
    </w:lvl>
  </w:abstractNum>
  <w:abstractNum w:abstractNumId="3">
    <w:nsid w:val="C371B8C9"/>
    <w:multiLevelType w:val="singleLevel"/>
    <w:tmpl w:val="C371B8C9"/>
    <w:lvl w:ilvl="0" w:tentative="0">
      <w:start w:val="1"/>
      <w:numFmt w:val="chineseCounting"/>
      <w:suff w:val="nothing"/>
      <w:lvlText w:val="（%1）"/>
      <w:lvlJc w:val="left"/>
      <w:rPr>
        <w:rFonts w:hint="eastAsia"/>
      </w:rPr>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276F7EC7"/>
    <w:multiLevelType w:val="multilevel"/>
    <w:tmpl w:val="276F7EC7"/>
    <w:lvl w:ilvl="0" w:tentative="0">
      <w:start w:val="1"/>
      <w:numFmt w:val="decimal"/>
      <w:lvlText w:val="%1、"/>
      <w:lvlJc w:val="left"/>
      <w:pPr>
        <w:ind w:left="1540" w:hanging="9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75CC0A7A"/>
    <w:multiLevelType w:val="singleLevel"/>
    <w:tmpl w:val="75CC0A7A"/>
    <w:lvl w:ilvl="0" w:tentative="0">
      <w:start w:val="1"/>
      <w:numFmt w:val="chineseCounting"/>
      <w:suff w:val="nothing"/>
      <w:lvlText w:val="第%1部分　"/>
      <w:lvlJc w:val="left"/>
      <w:rPr>
        <w:rFonts w:hint="eastAsia"/>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06"/>
  <w:drawingGridVerticalSpacing w:val="16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MWIwMzQ4ZmYxMmEyODgxOTJlYjM4MTZkODUzNzYifQ=="/>
  </w:docVars>
  <w:rsids>
    <w:rsidRoot w:val="00172A27"/>
    <w:rsid w:val="00002958"/>
    <w:rsid w:val="0000410D"/>
    <w:rsid w:val="000042F6"/>
    <w:rsid w:val="00007CE3"/>
    <w:rsid w:val="00007D52"/>
    <w:rsid w:val="000118CC"/>
    <w:rsid w:val="0001428B"/>
    <w:rsid w:val="0001523B"/>
    <w:rsid w:val="0001575D"/>
    <w:rsid w:val="00017701"/>
    <w:rsid w:val="00021149"/>
    <w:rsid w:val="00023198"/>
    <w:rsid w:val="000245DA"/>
    <w:rsid w:val="00025131"/>
    <w:rsid w:val="000318F0"/>
    <w:rsid w:val="000320FE"/>
    <w:rsid w:val="0003438C"/>
    <w:rsid w:val="00036D18"/>
    <w:rsid w:val="000405FA"/>
    <w:rsid w:val="00046156"/>
    <w:rsid w:val="000465DD"/>
    <w:rsid w:val="000471D9"/>
    <w:rsid w:val="000608F0"/>
    <w:rsid w:val="00061477"/>
    <w:rsid w:val="00063AA6"/>
    <w:rsid w:val="00073CE3"/>
    <w:rsid w:val="000749FB"/>
    <w:rsid w:val="00076449"/>
    <w:rsid w:val="0008027B"/>
    <w:rsid w:val="00080555"/>
    <w:rsid w:val="00081C31"/>
    <w:rsid w:val="00082085"/>
    <w:rsid w:val="0008603D"/>
    <w:rsid w:val="0008632D"/>
    <w:rsid w:val="000863B7"/>
    <w:rsid w:val="000920A6"/>
    <w:rsid w:val="00092A0D"/>
    <w:rsid w:val="00094AF7"/>
    <w:rsid w:val="00095934"/>
    <w:rsid w:val="000A0CAB"/>
    <w:rsid w:val="000A1846"/>
    <w:rsid w:val="000A300B"/>
    <w:rsid w:val="000A32DB"/>
    <w:rsid w:val="000A61BA"/>
    <w:rsid w:val="000A64A5"/>
    <w:rsid w:val="000A6A6A"/>
    <w:rsid w:val="000A72BD"/>
    <w:rsid w:val="000A7A13"/>
    <w:rsid w:val="000B302C"/>
    <w:rsid w:val="000B5D99"/>
    <w:rsid w:val="000B772E"/>
    <w:rsid w:val="000C0E24"/>
    <w:rsid w:val="000C24E3"/>
    <w:rsid w:val="000C2EAA"/>
    <w:rsid w:val="000C48BF"/>
    <w:rsid w:val="000C730D"/>
    <w:rsid w:val="000C78C3"/>
    <w:rsid w:val="000D0119"/>
    <w:rsid w:val="000D29C5"/>
    <w:rsid w:val="000D509E"/>
    <w:rsid w:val="000D537D"/>
    <w:rsid w:val="000D61B9"/>
    <w:rsid w:val="000E0910"/>
    <w:rsid w:val="000E0AFE"/>
    <w:rsid w:val="000F29A1"/>
    <w:rsid w:val="000F50B5"/>
    <w:rsid w:val="000F6FBF"/>
    <w:rsid w:val="001027AB"/>
    <w:rsid w:val="00103B90"/>
    <w:rsid w:val="0010562A"/>
    <w:rsid w:val="00105EA4"/>
    <w:rsid w:val="001108EC"/>
    <w:rsid w:val="001120FA"/>
    <w:rsid w:val="00113306"/>
    <w:rsid w:val="00113E5B"/>
    <w:rsid w:val="001141AC"/>
    <w:rsid w:val="00117AED"/>
    <w:rsid w:val="00120412"/>
    <w:rsid w:val="00124834"/>
    <w:rsid w:val="00127434"/>
    <w:rsid w:val="0013377B"/>
    <w:rsid w:val="001402B6"/>
    <w:rsid w:val="00140C3B"/>
    <w:rsid w:val="00142AF8"/>
    <w:rsid w:val="00142E3A"/>
    <w:rsid w:val="001451DB"/>
    <w:rsid w:val="00145F67"/>
    <w:rsid w:val="0015628F"/>
    <w:rsid w:val="001577AB"/>
    <w:rsid w:val="00160456"/>
    <w:rsid w:val="00162456"/>
    <w:rsid w:val="00164095"/>
    <w:rsid w:val="00165FAF"/>
    <w:rsid w:val="00166CCC"/>
    <w:rsid w:val="0016700B"/>
    <w:rsid w:val="00171237"/>
    <w:rsid w:val="001724E7"/>
    <w:rsid w:val="00172A27"/>
    <w:rsid w:val="00181781"/>
    <w:rsid w:val="00181C36"/>
    <w:rsid w:val="0018269B"/>
    <w:rsid w:val="00182D78"/>
    <w:rsid w:val="00185787"/>
    <w:rsid w:val="0018666A"/>
    <w:rsid w:val="00192296"/>
    <w:rsid w:val="001928DD"/>
    <w:rsid w:val="00192E25"/>
    <w:rsid w:val="00193C1B"/>
    <w:rsid w:val="00195FB1"/>
    <w:rsid w:val="001A05A3"/>
    <w:rsid w:val="001B0376"/>
    <w:rsid w:val="001B1C83"/>
    <w:rsid w:val="001B1F50"/>
    <w:rsid w:val="001B3671"/>
    <w:rsid w:val="001B519C"/>
    <w:rsid w:val="001B7EF6"/>
    <w:rsid w:val="001C2A56"/>
    <w:rsid w:val="001C6975"/>
    <w:rsid w:val="001C69B7"/>
    <w:rsid w:val="001D2306"/>
    <w:rsid w:val="001D7DC7"/>
    <w:rsid w:val="001E02B1"/>
    <w:rsid w:val="001E3B6A"/>
    <w:rsid w:val="001E4C3B"/>
    <w:rsid w:val="001E7225"/>
    <w:rsid w:val="001E7300"/>
    <w:rsid w:val="001F05C3"/>
    <w:rsid w:val="001F2E69"/>
    <w:rsid w:val="001F3DC6"/>
    <w:rsid w:val="001F5BFF"/>
    <w:rsid w:val="001F6FD8"/>
    <w:rsid w:val="002006EA"/>
    <w:rsid w:val="002020EE"/>
    <w:rsid w:val="00206A0F"/>
    <w:rsid w:val="00207843"/>
    <w:rsid w:val="00213E21"/>
    <w:rsid w:val="00214900"/>
    <w:rsid w:val="0021591D"/>
    <w:rsid w:val="002166FD"/>
    <w:rsid w:val="00216D7B"/>
    <w:rsid w:val="0022016C"/>
    <w:rsid w:val="00221A9C"/>
    <w:rsid w:val="00223013"/>
    <w:rsid w:val="00224344"/>
    <w:rsid w:val="002244CA"/>
    <w:rsid w:val="00232FC0"/>
    <w:rsid w:val="002373C4"/>
    <w:rsid w:val="0024082E"/>
    <w:rsid w:val="00250352"/>
    <w:rsid w:val="002528CF"/>
    <w:rsid w:val="00253DC4"/>
    <w:rsid w:val="00255673"/>
    <w:rsid w:val="00260007"/>
    <w:rsid w:val="00263777"/>
    <w:rsid w:val="0026551E"/>
    <w:rsid w:val="00266FA8"/>
    <w:rsid w:val="0027115D"/>
    <w:rsid w:val="002715DA"/>
    <w:rsid w:val="00271660"/>
    <w:rsid w:val="00277DE0"/>
    <w:rsid w:val="002838A3"/>
    <w:rsid w:val="00284B15"/>
    <w:rsid w:val="00285D91"/>
    <w:rsid w:val="00290C67"/>
    <w:rsid w:val="002918EA"/>
    <w:rsid w:val="00295F8C"/>
    <w:rsid w:val="002A0DA4"/>
    <w:rsid w:val="002A1BAB"/>
    <w:rsid w:val="002A205D"/>
    <w:rsid w:val="002A2898"/>
    <w:rsid w:val="002A3B32"/>
    <w:rsid w:val="002A7458"/>
    <w:rsid w:val="002A7A07"/>
    <w:rsid w:val="002A7EE3"/>
    <w:rsid w:val="002B1BB1"/>
    <w:rsid w:val="002B4689"/>
    <w:rsid w:val="002B4824"/>
    <w:rsid w:val="002C3737"/>
    <w:rsid w:val="002C4C5C"/>
    <w:rsid w:val="002C7F21"/>
    <w:rsid w:val="002D07D0"/>
    <w:rsid w:val="002D20F2"/>
    <w:rsid w:val="002D443F"/>
    <w:rsid w:val="002D6424"/>
    <w:rsid w:val="002D6705"/>
    <w:rsid w:val="002E0100"/>
    <w:rsid w:val="002E3019"/>
    <w:rsid w:val="002E6E30"/>
    <w:rsid w:val="002E70C2"/>
    <w:rsid w:val="002F3FE4"/>
    <w:rsid w:val="002F60D5"/>
    <w:rsid w:val="00301266"/>
    <w:rsid w:val="003015FF"/>
    <w:rsid w:val="00303671"/>
    <w:rsid w:val="00303946"/>
    <w:rsid w:val="00304B12"/>
    <w:rsid w:val="00314C51"/>
    <w:rsid w:val="0031574C"/>
    <w:rsid w:val="00315823"/>
    <w:rsid w:val="00316FEF"/>
    <w:rsid w:val="003202EE"/>
    <w:rsid w:val="00320BB5"/>
    <w:rsid w:val="00321199"/>
    <w:rsid w:val="0032349B"/>
    <w:rsid w:val="003246E7"/>
    <w:rsid w:val="00324BDC"/>
    <w:rsid w:val="00333671"/>
    <w:rsid w:val="0033573D"/>
    <w:rsid w:val="00337C17"/>
    <w:rsid w:val="00340702"/>
    <w:rsid w:val="00353BD6"/>
    <w:rsid w:val="00355A49"/>
    <w:rsid w:val="00360DDF"/>
    <w:rsid w:val="00363538"/>
    <w:rsid w:val="00364DF6"/>
    <w:rsid w:val="003660CC"/>
    <w:rsid w:val="003662BF"/>
    <w:rsid w:val="00372A7A"/>
    <w:rsid w:val="00376E99"/>
    <w:rsid w:val="00377FD1"/>
    <w:rsid w:val="00380C6C"/>
    <w:rsid w:val="00385302"/>
    <w:rsid w:val="00385F32"/>
    <w:rsid w:val="003973BE"/>
    <w:rsid w:val="003976FC"/>
    <w:rsid w:val="003A1318"/>
    <w:rsid w:val="003A2818"/>
    <w:rsid w:val="003A5F34"/>
    <w:rsid w:val="003A6325"/>
    <w:rsid w:val="003A65C6"/>
    <w:rsid w:val="003B0365"/>
    <w:rsid w:val="003B4CCF"/>
    <w:rsid w:val="003B73FB"/>
    <w:rsid w:val="003C10C4"/>
    <w:rsid w:val="003C19A1"/>
    <w:rsid w:val="003C573C"/>
    <w:rsid w:val="003D09A9"/>
    <w:rsid w:val="003D372E"/>
    <w:rsid w:val="003D37EF"/>
    <w:rsid w:val="003D482A"/>
    <w:rsid w:val="003D4ACB"/>
    <w:rsid w:val="003D7C10"/>
    <w:rsid w:val="003D7D91"/>
    <w:rsid w:val="003E3345"/>
    <w:rsid w:val="003E68FB"/>
    <w:rsid w:val="003E6CAB"/>
    <w:rsid w:val="003F13BB"/>
    <w:rsid w:val="003F174E"/>
    <w:rsid w:val="003F6C62"/>
    <w:rsid w:val="003F76E7"/>
    <w:rsid w:val="00402216"/>
    <w:rsid w:val="004029F5"/>
    <w:rsid w:val="00402E92"/>
    <w:rsid w:val="004043CD"/>
    <w:rsid w:val="00405E6E"/>
    <w:rsid w:val="00405F7E"/>
    <w:rsid w:val="0040697E"/>
    <w:rsid w:val="00411E33"/>
    <w:rsid w:val="00413B0E"/>
    <w:rsid w:val="004162E8"/>
    <w:rsid w:val="004170D4"/>
    <w:rsid w:val="0042256D"/>
    <w:rsid w:val="00423AD4"/>
    <w:rsid w:val="00424084"/>
    <w:rsid w:val="0042591D"/>
    <w:rsid w:val="00425B1A"/>
    <w:rsid w:val="004262EE"/>
    <w:rsid w:val="004265A0"/>
    <w:rsid w:val="004266A7"/>
    <w:rsid w:val="00430BC9"/>
    <w:rsid w:val="00430C59"/>
    <w:rsid w:val="00431F2A"/>
    <w:rsid w:val="0043225A"/>
    <w:rsid w:val="00432383"/>
    <w:rsid w:val="00432721"/>
    <w:rsid w:val="004333F4"/>
    <w:rsid w:val="0043439A"/>
    <w:rsid w:val="00435312"/>
    <w:rsid w:val="00435A0E"/>
    <w:rsid w:val="0043788E"/>
    <w:rsid w:val="00441D83"/>
    <w:rsid w:val="00445107"/>
    <w:rsid w:val="0044662E"/>
    <w:rsid w:val="00446D16"/>
    <w:rsid w:val="0045001C"/>
    <w:rsid w:val="004513BB"/>
    <w:rsid w:val="004514AD"/>
    <w:rsid w:val="00453CB1"/>
    <w:rsid w:val="00454388"/>
    <w:rsid w:val="004565A9"/>
    <w:rsid w:val="00467897"/>
    <w:rsid w:val="00471055"/>
    <w:rsid w:val="00472863"/>
    <w:rsid w:val="00475608"/>
    <w:rsid w:val="004816CB"/>
    <w:rsid w:val="00482C3C"/>
    <w:rsid w:val="00483A2D"/>
    <w:rsid w:val="00483B56"/>
    <w:rsid w:val="004927A0"/>
    <w:rsid w:val="00494FFB"/>
    <w:rsid w:val="00496805"/>
    <w:rsid w:val="004A002E"/>
    <w:rsid w:val="004A21DE"/>
    <w:rsid w:val="004A489F"/>
    <w:rsid w:val="004A49FD"/>
    <w:rsid w:val="004A7FBF"/>
    <w:rsid w:val="004B3A67"/>
    <w:rsid w:val="004C1FFB"/>
    <w:rsid w:val="004C25E3"/>
    <w:rsid w:val="004C2B0C"/>
    <w:rsid w:val="004C35EA"/>
    <w:rsid w:val="004D102B"/>
    <w:rsid w:val="004D11C8"/>
    <w:rsid w:val="004D18A4"/>
    <w:rsid w:val="004D1EE8"/>
    <w:rsid w:val="004D47A9"/>
    <w:rsid w:val="004D5A53"/>
    <w:rsid w:val="004D5CDE"/>
    <w:rsid w:val="004E0305"/>
    <w:rsid w:val="004E411A"/>
    <w:rsid w:val="004F1A8B"/>
    <w:rsid w:val="004F37AB"/>
    <w:rsid w:val="004F4263"/>
    <w:rsid w:val="004F4A65"/>
    <w:rsid w:val="004F4F57"/>
    <w:rsid w:val="004F64B9"/>
    <w:rsid w:val="004F7B04"/>
    <w:rsid w:val="005006FD"/>
    <w:rsid w:val="00505211"/>
    <w:rsid w:val="0050785B"/>
    <w:rsid w:val="00513FF1"/>
    <w:rsid w:val="0052039E"/>
    <w:rsid w:val="005204A4"/>
    <w:rsid w:val="0052140B"/>
    <w:rsid w:val="00522AD3"/>
    <w:rsid w:val="00523D98"/>
    <w:rsid w:val="0052484C"/>
    <w:rsid w:val="0052732F"/>
    <w:rsid w:val="005277C0"/>
    <w:rsid w:val="0053134E"/>
    <w:rsid w:val="005326D9"/>
    <w:rsid w:val="0053688F"/>
    <w:rsid w:val="005378BF"/>
    <w:rsid w:val="00544C0F"/>
    <w:rsid w:val="00546A46"/>
    <w:rsid w:val="00547576"/>
    <w:rsid w:val="00550CFF"/>
    <w:rsid w:val="00553F62"/>
    <w:rsid w:val="00554F42"/>
    <w:rsid w:val="0055623C"/>
    <w:rsid w:val="00560388"/>
    <w:rsid w:val="00560EA2"/>
    <w:rsid w:val="0056297C"/>
    <w:rsid w:val="005641A0"/>
    <w:rsid w:val="00570279"/>
    <w:rsid w:val="005715CB"/>
    <w:rsid w:val="005723C3"/>
    <w:rsid w:val="00573B23"/>
    <w:rsid w:val="00576024"/>
    <w:rsid w:val="005765D9"/>
    <w:rsid w:val="005827C3"/>
    <w:rsid w:val="0059060E"/>
    <w:rsid w:val="0059062E"/>
    <w:rsid w:val="005907DC"/>
    <w:rsid w:val="0059584A"/>
    <w:rsid w:val="005963C3"/>
    <w:rsid w:val="00596A2C"/>
    <w:rsid w:val="005A015E"/>
    <w:rsid w:val="005A2423"/>
    <w:rsid w:val="005A384C"/>
    <w:rsid w:val="005A4A72"/>
    <w:rsid w:val="005A5861"/>
    <w:rsid w:val="005A5B6C"/>
    <w:rsid w:val="005A6783"/>
    <w:rsid w:val="005A7248"/>
    <w:rsid w:val="005A7679"/>
    <w:rsid w:val="005B0A35"/>
    <w:rsid w:val="005B1104"/>
    <w:rsid w:val="005B2616"/>
    <w:rsid w:val="005B6FBC"/>
    <w:rsid w:val="005C2070"/>
    <w:rsid w:val="005C3A3E"/>
    <w:rsid w:val="005C7F97"/>
    <w:rsid w:val="005D1C81"/>
    <w:rsid w:val="005D5667"/>
    <w:rsid w:val="005D6DD0"/>
    <w:rsid w:val="005E6E4F"/>
    <w:rsid w:val="005E7759"/>
    <w:rsid w:val="005F213D"/>
    <w:rsid w:val="005F420E"/>
    <w:rsid w:val="005F6D56"/>
    <w:rsid w:val="00600F89"/>
    <w:rsid w:val="00601596"/>
    <w:rsid w:val="00603CEF"/>
    <w:rsid w:val="00604351"/>
    <w:rsid w:val="00607102"/>
    <w:rsid w:val="0060784B"/>
    <w:rsid w:val="00613443"/>
    <w:rsid w:val="00620A37"/>
    <w:rsid w:val="00620B6E"/>
    <w:rsid w:val="00623135"/>
    <w:rsid w:val="006257E8"/>
    <w:rsid w:val="00625CD0"/>
    <w:rsid w:val="00635843"/>
    <w:rsid w:val="00636AE0"/>
    <w:rsid w:val="0063706C"/>
    <w:rsid w:val="00641AF0"/>
    <w:rsid w:val="00642940"/>
    <w:rsid w:val="00643E91"/>
    <w:rsid w:val="00644372"/>
    <w:rsid w:val="00644792"/>
    <w:rsid w:val="00645946"/>
    <w:rsid w:val="00647377"/>
    <w:rsid w:val="0064752B"/>
    <w:rsid w:val="00647948"/>
    <w:rsid w:val="00651E00"/>
    <w:rsid w:val="00655C12"/>
    <w:rsid w:val="00656A07"/>
    <w:rsid w:val="006665E5"/>
    <w:rsid w:val="00666936"/>
    <w:rsid w:val="00666EB8"/>
    <w:rsid w:val="00670293"/>
    <w:rsid w:val="00671396"/>
    <w:rsid w:val="00671D45"/>
    <w:rsid w:val="00674784"/>
    <w:rsid w:val="00680408"/>
    <w:rsid w:val="006841B0"/>
    <w:rsid w:val="00684C13"/>
    <w:rsid w:val="00684D7B"/>
    <w:rsid w:val="00685B64"/>
    <w:rsid w:val="006866CC"/>
    <w:rsid w:val="0069201A"/>
    <w:rsid w:val="00693EBF"/>
    <w:rsid w:val="00694F8C"/>
    <w:rsid w:val="006975E4"/>
    <w:rsid w:val="006A13AF"/>
    <w:rsid w:val="006A32C0"/>
    <w:rsid w:val="006A4628"/>
    <w:rsid w:val="006B0392"/>
    <w:rsid w:val="006B13FD"/>
    <w:rsid w:val="006B259F"/>
    <w:rsid w:val="006B3729"/>
    <w:rsid w:val="006B4184"/>
    <w:rsid w:val="006B498A"/>
    <w:rsid w:val="006B6090"/>
    <w:rsid w:val="006B6B2F"/>
    <w:rsid w:val="006B7FC7"/>
    <w:rsid w:val="006C3EF3"/>
    <w:rsid w:val="006C4F5D"/>
    <w:rsid w:val="006C5B29"/>
    <w:rsid w:val="006C767A"/>
    <w:rsid w:val="006D37E3"/>
    <w:rsid w:val="006D4382"/>
    <w:rsid w:val="006D5FCC"/>
    <w:rsid w:val="006E235E"/>
    <w:rsid w:val="006E35E6"/>
    <w:rsid w:val="006E7052"/>
    <w:rsid w:val="006F2BF1"/>
    <w:rsid w:val="006F534D"/>
    <w:rsid w:val="006F7C2A"/>
    <w:rsid w:val="006F7C4A"/>
    <w:rsid w:val="00702924"/>
    <w:rsid w:val="00703552"/>
    <w:rsid w:val="00704BE4"/>
    <w:rsid w:val="00705ACB"/>
    <w:rsid w:val="00705D75"/>
    <w:rsid w:val="007066CE"/>
    <w:rsid w:val="00707C19"/>
    <w:rsid w:val="0071057E"/>
    <w:rsid w:val="00713E92"/>
    <w:rsid w:val="007200F1"/>
    <w:rsid w:val="0072458B"/>
    <w:rsid w:val="007262AA"/>
    <w:rsid w:val="007265B7"/>
    <w:rsid w:val="007453AE"/>
    <w:rsid w:val="00745C76"/>
    <w:rsid w:val="007467D2"/>
    <w:rsid w:val="007500BE"/>
    <w:rsid w:val="0075154E"/>
    <w:rsid w:val="00752E69"/>
    <w:rsid w:val="007542C6"/>
    <w:rsid w:val="00755EAD"/>
    <w:rsid w:val="007560F5"/>
    <w:rsid w:val="00757496"/>
    <w:rsid w:val="007618E6"/>
    <w:rsid w:val="00767B9E"/>
    <w:rsid w:val="00770CEE"/>
    <w:rsid w:val="007809D6"/>
    <w:rsid w:val="0078380A"/>
    <w:rsid w:val="00784F30"/>
    <w:rsid w:val="00787D2D"/>
    <w:rsid w:val="00790F39"/>
    <w:rsid w:val="0079392E"/>
    <w:rsid w:val="00797FF8"/>
    <w:rsid w:val="007A05B0"/>
    <w:rsid w:val="007A1E9F"/>
    <w:rsid w:val="007A28F8"/>
    <w:rsid w:val="007A2DE2"/>
    <w:rsid w:val="007A3939"/>
    <w:rsid w:val="007A394A"/>
    <w:rsid w:val="007A576A"/>
    <w:rsid w:val="007A759D"/>
    <w:rsid w:val="007B4204"/>
    <w:rsid w:val="007B4F7F"/>
    <w:rsid w:val="007B5E38"/>
    <w:rsid w:val="007C0375"/>
    <w:rsid w:val="007C0610"/>
    <w:rsid w:val="007C28DA"/>
    <w:rsid w:val="007C2DD5"/>
    <w:rsid w:val="007C46B2"/>
    <w:rsid w:val="007C58F0"/>
    <w:rsid w:val="007C63C9"/>
    <w:rsid w:val="007D2289"/>
    <w:rsid w:val="007D2619"/>
    <w:rsid w:val="007D27C4"/>
    <w:rsid w:val="007D3970"/>
    <w:rsid w:val="007D5520"/>
    <w:rsid w:val="007E03EE"/>
    <w:rsid w:val="007E16D9"/>
    <w:rsid w:val="007F13E1"/>
    <w:rsid w:val="007F3C30"/>
    <w:rsid w:val="007F4062"/>
    <w:rsid w:val="007F4BC9"/>
    <w:rsid w:val="007F4C31"/>
    <w:rsid w:val="007F4CE4"/>
    <w:rsid w:val="007F777F"/>
    <w:rsid w:val="00801B9D"/>
    <w:rsid w:val="00804759"/>
    <w:rsid w:val="00810865"/>
    <w:rsid w:val="00814795"/>
    <w:rsid w:val="00814A80"/>
    <w:rsid w:val="00815DF6"/>
    <w:rsid w:val="00816826"/>
    <w:rsid w:val="008170CE"/>
    <w:rsid w:val="00820EEF"/>
    <w:rsid w:val="0082337C"/>
    <w:rsid w:val="00824912"/>
    <w:rsid w:val="00824D2A"/>
    <w:rsid w:val="008254B5"/>
    <w:rsid w:val="00830668"/>
    <w:rsid w:val="008322BB"/>
    <w:rsid w:val="008343AA"/>
    <w:rsid w:val="00837837"/>
    <w:rsid w:val="00841800"/>
    <w:rsid w:val="00843716"/>
    <w:rsid w:val="00843E22"/>
    <w:rsid w:val="00846D08"/>
    <w:rsid w:val="00855E5B"/>
    <w:rsid w:val="00857006"/>
    <w:rsid w:val="00857B79"/>
    <w:rsid w:val="00863D81"/>
    <w:rsid w:val="008664CF"/>
    <w:rsid w:val="0086787A"/>
    <w:rsid w:val="00871C6F"/>
    <w:rsid w:val="008723FF"/>
    <w:rsid w:val="0087691D"/>
    <w:rsid w:val="00877FA3"/>
    <w:rsid w:val="00880DC0"/>
    <w:rsid w:val="00882D6C"/>
    <w:rsid w:val="00885D84"/>
    <w:rsid w:val="00886341"/>
    <w:rsid w:val="008875FA"/>
    <w:rsid w:val="0089189B"/>
    <w:rsid w:val="00893F50"/>
    <w:rsid w:val="0089530C"/>
    <w:rsid w:val="00895410"/>
    <w:rsid w:val="008A1699"/>
    <w:rsid w:val="008A357E"/>
    <w:rsid w:val="008A76AE"/>
    <w:rsid w:val="008A7B56"/>
    <w:rsid w:val="008B0615"/>
    <w:rsid w:val="008B1747"/>
    <w:rsid w:val="008B22AA"/>
    <w:rsid w:val="008B2D9E"/>
    <w:rsid w:val="008B5614"/>
    <w:rsid w:val="008B67BC"/>
    <w:rsid w:val="008B78AF"/>
    <w:rsid w:val="008B7BE1"/>
    <w:rsid w:val="008C24B4"/>
    <w:rsid w:val="008C4292"/>
    <w:rsid w:val="008C784F"/>
    <w:rsid w:val="008D0491"/>
    <w:rsid w:val="008D06DC"/>
    <w:rsid w:val="008D083B"/>
    <w:rsid w:val="008D474F"/>
    <w:rsid w:val="008D7750"/>
    <w:rsid w:val="008E19CB"/>
    <w:rsid w:val="008E21D8"/>
    <w:rsid w:val="008E228B"/>
    <w:rsid w:val="008E5185"/>
    <w:rsid w:val="008E62DF"/>
    <w:rsid w:val="008E7C39"/>
    <w:rsid w:val="008F1E89"/>
    <w:rsid w:val="008F4299"/>
    <w:rsid w:val="008F5E1E"/>
    <w:rsid w:val="008F61E4"/>
    <w:rsid w:val="008F724A"/>
    <w:rsid w:val="009000FE"/>
    <w:rsid w:val="00901138"/>
    <w:rsid w:val="0090145A"/>
    <w:rsid w:val="009030CD"/>
    <w:rsid w:val="00903F1F"/>
    <w:rsid w:val="00904AE0"/>
    <w:rsid w:val="00906130"/>
    <w:rsid w:val="00916377"/>
    <w:rsid w:val="0092248D"/>
    <w:rsid w:val="009236B1"/>
    <w:rsid w:val="0092582A"/>
    <w:rsid w:val="009266CF"/>
    <w:rsid w:val="00930B24"/>
    <w:rsid w:val="00931AF3"/>
    <w:rsid w:val="009326B0"/>
    <w:rsid w:val="00937D91"/>
    <w:rsid w:val="009463D8"/>
    <w:rsid w:val="00947EF3"/>
    <w:rsid w:val="00947FFE"/>
    <w:rsid w:val="00951E2C"/>
    <w:rsid w:val="00954F43"/>
    <w:rsid w:val="009550EA"/>
    <w:rsid w:val="009566F7"/>
    <w:rsid w:val="009602DB"/>
    <w:rsid w:val="00961267"/>
    <w:rsid w:val="009619F3"/>
    <w:rsid w:val="009621E9"/>
    <w:rsid w:val="009643D2"/>
    <w:rsid w:val="009643DB"/>
    <w:rsid w:val="0096456B"/>
    <w:rsid w:val="00966329"/>
    <w:rsid w:val="00967280"/>
    <w:rsid w:val="00972303"/>
    <w:rsid w:val="0097352D"/>
    <w:rsid w:val="00974EBD"/>
    <w:rsid w:val="00976084"/>
    <w:rsid w:val="0097697E"/>
    <w:rsid w:val="00977E46"/>
    <w:rsid w:val="00987521"/>
    <w:rsid w:val="00992F46"/>
    <w:rsid w:val="00994532"/>
    <w:rsid w:val="00994CDA"/>
    <w:rsid w:val="00994E0A"/>
    <w:rsid w:val="00996C68"/>
    <w:rsid w:val="009A0C38"/>
    <w:rsid w:val="009A17AC"/>
    <w:rsid w:val="009A1B98"/>
    <w:rsid w:val="009A2243"/>
    <w:rsid w:val="009A2296"/>
    <w:rsid w:val="009A2D92"/>
    <w:rsid w:val="009A432A"/>
    <w:rsid w:val="009A48B8"/>
    <w:rsid w:val="009A66E4"/>
    <w:rsid w:val="009B1A25"/>
    <w:rsid w:val="009B4FE6"/>
    <w:rsid w:val="009B5C8C"/>
    <w:rsid w:val="009B6711"/>
    <w:rsid w:val="009B7FEC"/>
    <w:rsid w:val="009C1730"/>
    <w:rsid w:val="009C78C4"/>
    <w:rsid w:val="009D2C85"/>
    <w:rsid w:val="009D4669"/>
    <w:rsid w:val="009D57F3"/>
    <w:rsid w:val="009D64D2"/>
    <w:rsid w:val="009D76E1"/>
    <w:rsid w:val="009E0421"/>
    <w:rsid w:val="009E2088"/>
    <w:rsid w:val="009E339C"/>
    <w:rsid w:val="009E3DB4"/>
    <w:rsid w:val="009E49AD"/>
    <w:rsid w:val="009F1BA4"/>
    <w:rsid w:val="009F5310"/>
    <w:rsid w:val="00A02774"/>
    <w:rsid w:val="00A030FB"/>
    <w:rsid w:val="00A05023"/>
    <w:rsid w:val="00A064F0"/>
    <w:rsid w:val="00A10928"/>
    <w:rsid w:val="00A10993"/>
    <w:rsid w:val="00A128EB"/>
    <w:rsid w:val="00A13285"/>
    <w:rsid w:val="00A162EA"/>
    <w:rsid w:val="00A22374"/>
    <w:rsid w:val="00A250B0"/>
    <w:rsid w:val="00A26671"/>
    <w:rsid w:val="00A313E3"/>
    <w:rsid w:val="00A33B95"/>
    <w:rsid w:val="00A41E85"/>
    <w:rsid w:val="00A44EE4"/>
    <w:rsid w:val="00A45DD8"/>
    <w:rsid w:val="00A470F3"/>
    <w:rsid w:val="00A518EA"/>
    <w:rsid w:val="00A51E70"/>
    <w:rsid w:val="00A55B2D"/>
    <w:rsid w:val="00A622EA"/>
    <w:rsid w:val="00A63D48"/>
    <w:rsid w:val="00A660C9"/>
    <w:rsid w:val="00A66378"/>
    <w:rsid w:val="00A71415"/>
    <w:rsid w:val="00A771A9"/>
    <w:rsid w:val="00A84D99"/>
    <w:rsid w:val="00A9061C"/>
    <w:rsid w:val="00A91EDA"/>
    <w:rsid w:val="00A937B3"/>
    <w:rsid w:val="00A943F2"/>
    <w:rsid w:val="00A97848"/>
    <w:rsid w:val="00A979EF"/>
    <w:rsid w:val="00A97C1C"/>
    <w:rsid w:val="00AA29E2"/>
    <w:rsid w:val="00AB016F"/>
    <w:rsid w:val="00AB1AB9"/>
    <w:rsid w:val="00AB3429"/>
    <w:rsid w:val="00AB53EB"/>
    <w:rsid w:val="00AB5C80"/>
    <w:rsid w:val="00AB7A8A"/>
    <w:rsid w:val="00AC0190"/>
    <w:rsid w:val="00AC1036"/>
    <w:rsid w:val="00AC3FE6"/>
    <w:rsid w:val="00AC444A"/>
    <w:rsid w:val="00AD1838"/>
    <w:rsid w:val="00AD21F5"/>
    <w:rsid w:val="00AD3FF5"/>
    <w:rsid w:val="00AE05CB"/>
    <w:rsid w:val="00AE7A95"/>
    <w:rsid w:val="00AF0962"/>
    <w:rsid w:val="00AF1032"/>
    <w:rsid w:val="00AF2FB4"/>
    <w:rsid w:val="00B002BF"/>
    <w:rsid w:val="00B059AB"/>
    <w:rsid w:val="00B062A9"/>
    <w:rsid w:val="00B075DE"/>
    <w:rsid w:val="00B101C8"/>
    <w:rsid w:val="00B1079D"/>
    <w:rsid w:val="00B10B89"/>
    <w:rsid w:val="00B10C73"/>
    <w:rsid w:val="00B14BC7"/>
    <w:rsid w:val="00B1598F"/>
    <w:rsid w:val="00B1616E"/>
    <w:rsid w:val="00B17D91"/>
    <w:rsid w:val="00B219B8"/>
    <w:rsid w:val="00B23191"/>
    <w:rsid w:val="00B232BA"/>
    <w:rsid w:val="00B259BB"/>
    <w:rsid w:val="00B26686"/>
    <w:rsid w:val="00B26808"/>
    <w:rsid w:val="00B26947"/>
    <w:rsid w:val="00B305DF"/>
    <w:rsid w:val="00B3525C"/>
    <w:rsid w:val="00B356AD"/>
    <w:rsid w:val="00B36B0D"/>
    <w:rsid w:val="00B42D20"/>
    <w:rsid w:val="00B55FE0"/>
    <w:rsid w:val="00B56202"/>
    <w:rsid w:val="00B574B7"/>
    <w:rsid w:val="00B60B6A"/>
    <w:rsid w:val="00B62900"/>
    <w:rsid w:val="00B650F1"/>
    <w:rsid w:val="00B651A7"/>
    <w:rsid w:val="00B709DD"/>
    <w:rsid w:val="00B75ABB"/>
    <w:rsid w:val="00B811BE"/>
    <w:rsid w:val="00B81AF4"/>
    <w:rsid w:val="00B831CB"/>
    <w:rsid w:val="00B844A7"/>
    <w:rsid w:val="00B90B7A"/>
    <w:rsid w:val="00B92F53"/>
    <w:rsid w:val="00B9516C"/>
    <w:rsid w:val="00B95255"/>
    <w:rsid w:val="00B9542C"/>
    <w:rsid w:val="00B9636D"/>
    <w:rsid w:val="00B96641"/>
    <w:rsid w:val="00B9706C"/>
    <w:rsid w:val="00BA4351"/>
    <w:rsid w:val="00BB0C10"/>
    <w:rsid w:val="00BB1888"/>
    <w:rsid w:val="00BB1A3A"/>
    <w:rsid w:val="00BB4D14"/>
    <w:rsid w:val="00BB54E4"/>
    <w:rsid w:val="00BC3BC1"/>
    <w:rsid w:val="00BC5B7D"/>
    <w:rsid w:val="00BD121E"/>
    <w:rsid w:val="00BD256A"/>
    <w:rsid w:val="00BD2AD6"/>
    <w:rsid w:val="00BD2F3F"/>
    <w:rsid w:val="00BD358F"/>
    <w:rsid w:val="00BE030A"/>
    <w:rsid w:val="00BE0B3E"/>
    <w:rsid w:val="00BE258E"/>
    <w:rsid w:val="00BE48C9"/>
    <w:rsid w:val="00BE55D0"/>
    <w:rsid w:val="00BF13E9"/>
    <w:rsid w:val="00BF3447"/>
    <w:rsid w:val="00C016DF"/>
    <w:rsid w:val="00C037CC"/>
    <w:rsid w:val="00C03D15"/>
    <w:rsid w:val="00C05514"/>
    <w:rsid w:val="00C05A1F"/>
    <w:rsid w:val="00C1141F"/>
    <w:rsid w:val="00C151E7"/>
    <w:rsid w:val="00C15559"/>
    <w:rsid w:val="00C16720"/>
    <w:rsid w:val="00C17051"/>
    <w:rsid w:val="00C204CA"/>
    <w:rsid w:val="00C217FF"/>
    <w:rsid w:val="00C218B4"/>
    <w:rsid w:val="00C2217A"/>
    <w:rsid w:val="00C22903"/>
    <w:rsid w:val="00C22A2C"/>
    <w:rsid w:val="00C26D42"/>
    <w:rsid w:val="00C26E72"/>
    <w:rsid w:val="00C3192B"/>
    <w:rsid w:val="00C34E87"/>
    <w:rsid w:val="00C40AFC"/>
    <w:rsid w:val="00C42111"/>
    <w:rsid w:val="00C42D7D"/>
    <w:rsid w:val="00C42E1F"/>
    <w:rsid w:val="00C4464D"/>
    <w:rsid w:val="00C45366"/>
    <w:rsid w:val="00C50699"/>
    <w:rsid w:val="00C52B03"/>
    <w:rsid w:val="00C53276"/>
    <w:rsid w:val="00C53D3C"/>
    <w:rsid w:val="00C54DE6"/>
    <w:rsid w:val="00C61AD0"/>
    <w:rsid w:val="00C620DD"/>
    <w:rsid w:val="00C624A4"/>
    <w:rsid w:val="00C62743"/>
    <w:rsid w:val="00C62F75"/>
    <w:rsid w:val="00C6360A"/>
    <w:rsid w:val="00C66896"/>
    <w:rsid w:val="00C7058F"/>
    <w:rsid w:val="00C71DBF"/>
    <w:rsid w:val="00C742C8"/>
    <w:rsid w:val="00C77551"/>
    <w:rsid w:val="00C82252"/>
    <w:rsid w:val="00C825BB"/>
    <w:rsid w:val="00C91880"/>
    <w:rsid w:val="00C91892"/>
    <w:rsid w:val="00C93307"/>
    <w:rsid w:val="00C969F4"/>
    <w:rsid w:val="00C97A7F"/>
    <w:rsid w:val="00C97EAE"/>
    <w:rsid w:val="00CA092F"/>
    <w:rsid w:val="00CA2E37"/>
    <w:rsid w:val="00CA4AAC"/>
    <w:rsid w:val="00CA5E18"/>
    <w:rsid w:val="00CB0474"/>
    <w:rsid w:val="00CB6BD0"/>
    <w:rsid w:val="00CC2206"/>
    <w:rsid w:val="00CC3012"/>
    <w:rsid w:val="00CC62AA"/>
    <w:rsid w:val="00CD053C"/>
    <w:rsid w:val="00CE3149"/>
    <w:rsid w:val="00CE6CCA"/>
    <w:rsid w:val="00CE6D4B"/>
    <w:rsid w:val="00CE7F9D"/>
    <w:rsid w:val="00CF22A8"/>
    <w:rsid w:val="00CF253D"/>
    <w:rsid w:val="00CF4D62"/>
    <w:rsid w:val="00CF6A67"/>
    <w:rsid w:val="00D00368"/>
    <w:rsid w:val="00D03205"/>
    <w:rsid w:val="00D038AB"/>
    <w:rsid w:val="00D074CA"/>
    <w:rsid w:val="00D12260"/>
    <w:rsid w:val="00D13E5E"/>
    <w:rsid w:val="00D14689"/>
    <w:rsid w:val="00D15425"/>
    <w:rsid w:val="00D16E24"/>
    <w:rsid w:val="00D22F1F"/>
    <w:rsid w:val="00D23C82"/>
    <w:rsid w:val="00D261C7"/>
    <w:rsid w:val="00D26A95"/>
    <w:rsid w:val="00D3082C"/>
    <w:rsid w:val="00D31030"/>
    <w:rsid w:val="00D31123"/>
    <w:rsid w:val="00D34A82"/>
    <w:rsid w:val="00D36ED7"/>
    <w:rsid w:val="00D37A6B"/>
    <w:rsid w:val="00D407D8"/>
    <w:rsid w:val="00D45E3D"/>
    <w:rsid w:val="00D46D22"/>
    <w:rsid w:val="00D46F47"/>
    <w:rsid w:val="00D64594"/>
    <w:rsid w:val="00D64A1F"/>
    <w:rsid w:val="00D660F0"/>
    <w:rsid w:val="00D7089C"/>
    <w:rsid w:val="00D72D75"/>
    <w:rsid w:val="00D74045"/>
    <w:rsid w:val="00D74D13"/>
    <w:rsid w:val="00D77537"/>
    <w:rsid w:val="00D82311"/>
    <w:rsid w:val="00D82468"/>
    <w:rsid w:val="00D82809"/>
    <w:rsid w:val="00D848E6"/>
    <w:rsid w:val="00D93559"/>
    <w:rsid w:val="00D94AFC"/>
    <w:rsid w:val="00D94DF7"/>
    <w:rsid w:val="00D9589C"/>
    <w:rsid w:val="00D969D2"/>
    <w:rsid w:val="00D9778D"/>
    <w:rsid w:val="00D979FC"/>
    <w:rsid w:val="00DA311C"/>
    <w:rsid w:val="00DA50DC"/>
    <w:rsid w:val="00DA5F4A"/>
    <w:rsid w:val="00DA666D"/>
    <w:rsid w:val="00DB2B67"/>
    <w:rsid w:val="00DB41E4"/>
    <w:rsid w:val="00DB530C"/>
    <w:rsid w:val="00DB779C"/>
    <w:rsid w:val="00DC0156"/>
    <w:rsid w:val="00DC105F"/>
    <w:rsid w:val="00DC40CF"/>
    <w:rsid w:val="00DC4657"/>
    <w:rsid w:val="00DC4B25"/>
    <w:rsid w:val="00DC4C5D"/>
    <w:rsid w:val="00DC62E9"/>
    <w:rsid w:val="00DC6894"/>
    <w:rsid w:val="00DC7E9E"/>
    <w:rsid w:val="00DD10A3"/>
    <w:rsid w:val="00DD114F"/>
    <w:rsid w:val="00DD15C6"/>
    <w:rsid w:val="00DD2C7B"/>
    <w:rsid w:val="00DE015E"/>
    <w:rsid w:val="00DE1429"/>
    <w:rsid w:val="00DE79C1"/>
    <w:rsid w:val="00DF0C58"/>
    <w:rsid w:val="00DF2020"/>
    <w:rsid w:val="00DF399A"/>
    <w:rsid w:val="00DF4689"/>
    <w:rsid w:val="00DF52AF"/>
    <w:rsid w:val="00DF79E9"/>
    <w:rsid w:val="00E01AF6"/>
    <w:rsid w:val="00E02D0B"/>
    <w:rsid w:val="00E03F42"/>
    <w:rsid w:val="00E1115C"/>
    <w:rsid w:val="00E1307A"/>
    <w:rsid w:val="00E13249"/>
    <w:rsid w:val="00E171B9"/>
    <w:rsid w:val="00E17BA8"/>
    <w:rsid w:val="00E17F92"/>
    <w:rsid w:val="00E2006E"/>
    <w:rsid w:val="00E201EA"/>
    <w:rsid w:val="00E20C09"/>
    <w:rsid w:val="00E21CF1"/>
    <w:rsid w:val="00E31564"/>
    <w:rsid w:val="00E33BA4"/>
    <w:rsid w:val="00E33DD1"/>
    <w:rsid w:val="00E37E8E"/>
    <w:rsid w:val="00E4200D"/>
    <w:rsid w:val="00E4260B"/>
    <w:rsid w:val="00E5316B"/>
    <w:rsid w:val="00E555EC"/>
    <w:rsid w:val="00E62296"/>
    <w:rsid w:val="00E62992"/>
    <w:rsid w:val="00E653A9"/>
    <w:rsid w:val="00E67DA4"/>
    <w:rsid w:val="00E73AE3"/>
    <w:rsid w:val="00E74EA2"/>
    <w:rsid w:val="00E762A4"/>
    <w:rsid w:val="00E803D3"/>
    <w:rsid w:val="00E80792"/>
    <w:rsid w:val="00E843C1"/>
    <w:rsid w:val="00E852EE"/>
    <w:rsid w:val="00E8542C"/>
    <w:rsid w:val="00E865A3"/>
    <w:rsid w:val="00E868EA"/>
    <w:rsid w:val="00E90099"/>
    <w:rsid w:val="00E9092C"/>
    <w:rsid w:val="00E913E0"/>
    <w:rsid w:val="00E926D4"/>
    <w:rsid w:val="00E94095"/>
    <w:rsid w:val="00E95F4E"/>
    <w:rsid w:val="00EA0D02"/>
    <w:rsid w:val="00EA16FC"/>
    <w:rsid w:val="00EA204F"/>
    <w:rsid w:val="00EA3AD5"/>
    <w:rsid w:val="00EA6051"/>
    <w:rsid w:val="00EB19D9"/>
    <w:rsid w:val="00EB5840"/>
    <w:rsid w:val="00EC07C9"/>
    <w:rsid w:val="00EC2C6C"/>
    <w:rsid w:val="00EC4455"/>
    <w:rsid w:val="00EC5999"/>
    <w:rsid w:val="00EC739F"/>
    <w:rsid w:val="00ED0359"/>
    <w:rsid w:val="00ED09F2"/>
    <w:rsid w:val="00ED1B79"/>
    <w:rsid w:val="00ED4085"/>
    <w:rsid w:val="00ED426B"/>
    <w:rsid w:val="00EE02AA"/>
    <w:rsid w:val="00EE0685"/>
    <w:rsid w:val="00EE06AC"/>
    <w:rsid w:val="00EE0728"/>
    <w:rsid w:val="00EE4110"/>
    <w:rsid w:val="00EE57DB"/>
    <w:rsid w:val="00EE71FF"/>
    <w:rsid w:val="00EE7A00"/>
    <w:rsid w:val="00EF11C7"/>
    <w:rsid w:val="00EF248F"/>
    <w:rsid w:val="00EF2D58"/>
    <w:rsid w:val="00EF317F"/>
    <w:rsid w:val="00EF333B"/>
    <w:rsid w:val="00EF75EA"/>
    <w:rsid w:val="00F00B6E"/>
    <w:rsid w:val="00F01330"/>
    <w:rsid w:val="00F02295"/>
    <w:rsid w:val="00F07EF5"/>
    <w:rsid w:val="00F12A03"/>
    <w:rsid w:val="00F12DFE"/>
    <w:rsid w:val="00F1558E"/>
    <w:rsid w:val="00F212DE"/>
    <w:rsid w:val="00F21E04"/>
    <w:rsid w:val="00F23BC2"/>
    <w:rsid w:val="00F23E92"/>
    <w:rsid w:val="00F305C1"/>
    <w:rsid w:val="00F3604B"/>
    <w:rsid w:val="00F36174"/>
    <w:rsid w:val="00F421EC"/>
    <w:rsid w:val="00F42F44"/>
    <w:rsid w:val="00F4564A"/>
    <w:rsid w:val="00F4566B"/>
    <w:rsid w:val="00F46B06"/>
    <w:rsid w:val="00F51EEA"/>
    <w:rsid w:val="00F5388E"/>
    <w:rsid w:val="00F65767"/>
    <w:rsid w:val="00F71B5C"/>
    <w:rsid w:val="00F71EC8"/>
    <w:rsid w:val="00F766A5"/>
    <w:rsid w:val="00F77C25"/>
    <w:rsid w:val="00F80144"/>
    <w:rsid w:val="00FA109B"/>
    <w:rsid w:val="00FA5F06"/>
    <w:rsid w:val="00FA7F09"/>
    <w:rsid w:val="00FB4A85"/>
    <w:rsid w:val="00FB656E"/>
    <w:rsid w:val="00FB7BFB"/>
    <w:rsid w:val="00FC0936"/>
    <w:rsid w:val="00FC1740"/>
    <w:rsid w:val="00FC18C9"/>
    <w:rsid w:val="00FC4285"/>
    <w:rsid w:val="00FC4677"/>
    <w:rsid w:val="00FC4837"/>
    <w:rsid w:val="00FC4DD2"/>
    <w:rsid w:val="00FC5050"/>
    <w:rsid w:val="00FC59F8"/>
    <w:rsid w:val="00FD2899"/>
    <w:rsid w:val="00FE05B3"/>
    <w:rsid w:val="00FE288C"/>
    <w:rsid w:val="00FE2CFB"/>
    <w:rsid w:val="00FE4201"/>
    <w:rsid w:val="00FF253D"/>
    <w:rsid w:val="00FF3B09"/>
    <w:rsid w:val="00FF4DA6"/>
    <w:rsid w:val="01123FC7"/>
    <w:rsid w:val="011772BD"/>
    <w:rsid w:val="011B366C"/>
    <w:rsid w:val="01205FF5"/>
    <w:rsid w:val="01245970"/>
    <w:rsid w:val="01266B4E"/>
    <w:rsid w:val="012F0349"/>
    <w:rsid w:val="01300B7D"/>
    <w:rsid w:val="0134426E"/>
    <w:rsid w:val="01401F5A"/>
    <w:rsid w:val="01506F8E"/>
    <w:rsid w:val="015271C4"/>
    <w:rsid w:val="0160084E"/>
    <w:rsid w:val="01657C13"/>
    <w:rsid w:val="016E515C"/>
    <w:rsid w:val="018777BD"/>
    <w:rsid w:val="018B7181"/>
    <w:rsid w:val="019930A0"/>
    <w:rsid w:val="01A453C2"/>
    <w:rsid w:val="01A84E8C"/>
    <w:rsid w:val="01AE648D"/>
    <w:rsid w:val="01B47EAA"/>
    <w:rsid w:val="01C34939"/>
    <w:rsid w:val="01CA6801"/>
    <w:rsid w:val="01CE4CED"/>
    <w:rsid w:val="01CE74DB"/>
    <w:rsid w:val="01D674FD"/>
    <w:rsid w:val="01D74ABA"/>
    <w:rsid w:val="01DF420A"/>
    <w:rsid w:val="01FC178F"/>
    <w:rsid w:val="022E4F2E"/>
    <w:rsid w:val="02393605"/>
    <w:rsid w:val="023F6F47"/>
    <w:rsid w:val="024740A5"/>
    <w:rsid w:val="024A1648"/>
    <w:rsid w:val="025C45D7"/>
    <w:rsid w:val="02630DB5"/>
    <w:rsid w:val="0264487D"/>
    <w:rsid w:val="026C441F"/>
    <w:rsid w:val="02704714"/>
    <w:rsid w:val="02736862"/>
    <w:rsid w:val="02880D90"/>
    <w:rsid w:val="02936A01"/>
    <w:rsid w:val="02A84AA8"/>
    <w:rsid w:val="02AB1DCE"/>
    <w:rsid w:val="02AC03EA"/>
    <w:rsid w:val="02AD6AB8"/>
    <w:rsid w:val="02CD1F13"/>
    <w:rsid w:val="02DD1A3D"/>
    <w:rsid w:val="02E6582A"/>
    <w:rsid w:val="02E75A2B"/>
    <w:rsid w:val="02F2693F"/>
    <w:rsid w:val="02F510C4"/>
    <w:rsid w:val="02F603E3"/>
    <w:rsid w:val="02FC0103"/>
    <w:rsid w:val="02FF41F8"/>
    <w:rsid w:val="0308049B"/>
    <w:rsid w:val="030F0E37"/>
    <w:rsid w:val="03114264"/>
    <w:rsid w:val="031911C4"/>
    <w:rsid w:val="03247493"/>
    <w:rsid w:val="03363B55"/>
    <w:rsid w:val="03374508"/>
    <w:rsid w:val="033F247B"/>
    <w:rsid w:val="035B061A"/>
    <w:rsid w:val="036A1330"/>
    <w:rsid w:val="036D7457"/>
    <w:rsid w:val="037574B5"/>
    <w:rsid w:val="037C40D3"/>
    <w:rsid w:val="038010B6"/>
    <w:rsid w:val="038E1DE2"/>
    <w:rsid w:val="038F5DDA"/>
    <w:rsid w:val="03953513"/>
    <w:rsid w:val="03961D94"/>
    <w:rsid w:val="039A1F2C"/>
    <w:rsid w:val="03AE3AF3"/>
    <w:rsid w:val="03AF48E2"/>
    <w:rsid w:val="03B20DE8"/>
    <w:rsid w:val="03B30A19"/>
    <w:rsid w:val="03B452C8"/>
    <w:rsid w:val="03B86986"/>
    <w:rsid w:val="03C2759E"/>
    <w:rsid w:val="03C70711"/>
    <w:rsid w:val="03CC01FC"/>
    <w:rsid w:val="03DF69CC"/>
    <w:rsid w:val="03EA0C3C"/>
    <w:rsid w:val="03F25847"/>
    <w:rsid w:val="03F359AA"/>
    <w:rsid w:val="03F53995"/>
    <w:rsid w:val="04032DB5"/>
    <w:rsid w:val="04065355"/>
    <w:rsid w:val="040D0A86"/>
    <w:rsid w:val="040D2B24"/>
    <w:rsid w:val="040E4592"/>
    <w:rsid w:val="0410628C"/>
    <w:rsid w:val="04132705"/>
    <w:rsid w:val="042E6C5C"/>
    <w:rsid w:val="04307EBA"/>
    <w:rsid w:val="04376E6F"/>
    <w:rsid w:val="04394E96"/>
    <w:rsid w:val="043F5BE6"/>
    <w:rsid w:val="044B3888"/>
    <w:rsid w:val="044C38C9"/>
    <w:rsid w:val="044F5B43"/>
    <w:rsid w:val="045141F7"/>
    <w:rsid w:val="04606842"/>
    <w:rsid w:val="04676C57"/>
    <w:rsid w:val="046E585D"/>
    <w:rsid w:val="04912ACD"/>
    <w:rsid w:val="0495097F"/>
    <w:rsid w:val="049518DC"/>
    <w:rsid w:val="049936CB"/>
    <w:rsid w:val="04A835B0"/>
    <w:rsid w:val="04AA4B44"/>
    <w:rsid w:val="04B23BDE"/>
    <w:rsid w:val="04CD7F90"/>
    <w:rsid w:val="04D122B2"/>
    <w:rsid w:val="04D5567E"/>
    <w:rsid w:val="04E62562"/>
    <w:rsid w:val="04E92A67"/>
    <w:rsid w:val="04F13D23"/>
    <w:rsid w:val="04F60642"/>
    <w:rsid w:val="04FD30B1"/>
    <w:rsid w:val="05033D51"/>
    <w:rsid w:val="050976A7"/>
    <w:rsid w:val="05097AD0"/>
    <w:rsid w:val="052C1EE9"/>
    <w:rsid w:val="052D7277"/>
    <w:rsid w:val="052D76F7"/>
    <w:rsid w:val="053A25D2"/>
    <w:rsid w:val="054E3C79"/>
    <w:rsid w:val="056B36B2"/>
    <w:rsid w:val="0571302A"/>
    <w:rsid w:val="0571303E"/>
    <w:rsid w:val="05733EF8"/>
    <w:rsid w:val="05857E4A"/>
    <w:rsid w:val="058E18F0"/>
    <w:rsid w:val="0590643D"/>
    <w:rsid w:val="05A36B4E"/>
    <w:rsid w:val="05A37551"/>
    <w:rsid w:val="05A653A3"/>
    <w:rsid w:val="05B05288"/>
    <w:rsid w:val="05C32A8A"/>
    <w:rsid w:val="05CC560F"/>
    <w:rsid w:val="05E150FB"/>
    <w:rsid w:val="05E55CA3"/>
    <w:rsid w:val="05E9643F"/>
    <w:rsid w:val="05F60745"/>
    <w:rsid w:val="05F96A38"/>
    <w:rsid w:val="05FD161B"/>
    <w:rsid w:val="061B1FC9"/>
    <w:rsid w:val="0622051B"/>
    <w:rsid w:val="0622617E"/>
    <w:rsid w:val="062D43AF"/>
    <w:rsid w:val="062E616A"/>
    <w:rsid w:val="063A5FAD"/>
    <w:rsid w:val="06427797"/>
    <w:rsid w:val="06445058"/>
    <w:rsid w:val="064663E4"/>
    <w:rsid w:val="06483581"/>
    <w:rsid w:val="06576405"/>
    <w:rsid w:val="0667442D"/>
    <w:rsid w:val="066C6D88"/>
    <w:rsid w:val="066D4080"/>
    <w:rsid w:val="068544F4"/>
    <w:rsid w:val="0696400B"/>
    <w:rsid w:val="06972A29"/>
    <w:rsid w:val="06983857"/>
    <w:rsid w:val="06BB2D1A"/>
    <w:rsid w:val="06DF68AD"/>
    <w:rsid w:val="06E04994"/>
    <w:rsid w:val="06EE0A13"/>
    <w:rsid w:val="06F064CE"/>
    <w:rsid w:val="06FE3E1E"/>
    <w:rsid w:val="07053B29"/>
    <w:rsid w:val="07367AAB"/>
    <w:rsid w:val="074100DB"/>
    <w:rsid w:val="07415891"/>
    <w:rsid w:val="07467179"/>
    <w:rsid w:val="074A3B33"/>
    <w:rsid w:val="07605C36"/>
    <w:rsid w:val="076B78B2"/>
    <w:rsid w:val="07977450"/>
    <w:rsid w:val="07A5619C"/>
    <w:rsid w:val="07AB2B93"/>
    <w:rsid w:val="07AC4501"/>
    <w:rsid w:val="07BF0CE0"/>
    <w:rsid w:val="07D55B21"/>
    <w:rsid w:val="07E95BF8"/>
    <w:rsid w:val="07EC37C7"/>
    <w:rsid w:val="07EF3D0B"/>
    <w:rsid w:val="080B2B96"/>
    <w:rsid w:val="08110EF9"/>
    <w:rsid w:val="081A7EF0"/>
    <w:rsid w:val="08245628"/>
    <w:rsid w:val="08260274"/>
    <w:rsid w:val="08322769"/>
    <w:rsid w:val="08432814"/>
    <w:rsid w:val="08471A5B"/>
    <w:rsid w:val="084C78A5"/>
    <w:rsid w:val="084F1E39"/>
    <w:rsid w:val="0850247E"/>
    <w:rsid w:val="085F3A9E"/>
    <w:rsid w:val="086A3D60"/>
    <w:rsid w:val="086A4C7F"/>
    <w:rsid w:val="088B6196"/>
    <w:rsid w:val="088F0BC9"/>
    <w:rsid w:val="08943174"/>
    <w:rsid w:val="08A3063C"/>
    <w:rsid w:val="08AC5BF4"/>
    <w:rsid w:val="08B30855"/>
    <w:rsid w:val="08B66B1E"/>
    <w:rsid w:val="08B84D5E"/>
    <w:rsid w:val="08BC1E22"/>
    <w:rsid w:val="08BC424C"/>
    <w:rsid w:val="08CF0315"/>
    <w:rsid w:val="08D54F10"/>
    <w:rsid w:val="08D5519F"/>
    <w:rsid w:val="08D63091"/>
    <w:rsid w:val="08DB3479"/>
    <w:rsid w:val="08DF14FC"/>
    <w:rsid w:val="08E07916"/>
    <w:rsid w:val="08E6565D"/>
    <w:rsid w:val="08F75DD1"/>
    <w:rsid w:val="08FB6552"/>
    <w:rsid w:val="090573DB"/>
    <w:rsid w:val="09063119"/>
    <w:rsid w:val="090F2495"/>
    <w:rsid w:val="093C0E4B"/>
    <w:rsid w:val="09460146"/>
    <w:rsid w:val="0946032A"/>
    <w:rsid w:val="094A0B8A"/>
    <w:rsid w:val="094C1584"/>
    <w:rsid w:val="095173CE"/>
    <w:rsid w:val="09583A04"/>
    <w:rsid w:val="095B4567"/>
    <w:rsid w:val="09652EA6"/>
    <w:rsid w:val="096A1CE0"/>
    <w:rsid w:val="097849FC"/>
    <w:rsid w:val="09807C53"/>
    <w:rsid w:val="098370B5"/>
    <w:rsid w:val="09882AB7"/>
    <w:rsid w:val="09931E3A"/>
    <w:rsid w:val="09A339CE"/>
    <w:rsid w:val="09A41DAD"/>
    <w:rsid w:val="09B71528"/>
    <w:rsid w:val="09CC7A7D"/>
    <w:rsid w:val="09CD0F25"/>
    <w:rsid w:val="09D03841"/>
    <w:rsid w:val="09E65669"/>
    <w:rsid w:val="09E92ED1"/>
    <w:rsid w:val="09F2225F"/>
    <w:rsid w:val="09F91244"/>
    <w:rsid w:val="0A1E250D"/>
    <w:rsid w:val="0A1F15FB"/>
    <w:rsid w:val="0A2C071D"/>
    <w:rsid w:val="0A3502FF"/>
    <w:rsid w:val="0A3D4528"/>
    <w:rsid w:val="0A3D666E"/>
    <w:rsid w:val="0A4B1B7E"/>
    <w:rsid w:val="0A5243F9"/>
    <w:rsid w:val="0A710074"/>
    <w:rsid w:val="0A7F7F97"/>
    <w:rsid w:val="0A83621E"/>
    <w:rsid w:val="0A8A3A55"/>
    <w:rsid w:val="0A8E1F88"/>
    <w:rsid w:val="0A910579"/>
    <w:rsid w:val="0A9F4195"/>
    <w:rsid w:val="0AA471DC"/>
    <w:rsid w:val="0AA81586"/>
    <w:rsid w:val="0AAC6C2E"/>
    <w:rsid w:val="0ACB551D"/>
    <w:rsid w:val="0AD57AEE"/>
    <w:rsid w:val="0AE81BCD"/>
    <w:rsid w:val="0AF875BB"/>
    <w:rsid w:val="0B0D77B0"/>
    <w:rsid w:val="0B120BC0"/>
    <w:rsid w:val="0B134A06"/>
    <w:rsid w:val="0B1D1D5C"/>
    <w:rsid w:val="0B307B8E"/>
    <w:rsid w:val="0B391C3D"/>
    <w:rsid w:val="0B4171D8"/>
    <w:rsid w:val="0B521F72"/>
    <w:rsid w:val="0B574A70"/>
    <w:rsid w:val="0B7061D0"/>
    <w:rsid w:val="0B7A42BB"/>
    <w:rsid w:val="0B8D20DD"/>
    <w:rsid w:val="0BA32227"/>
    <w:rsid w:val="0BAE0408"/>
    <w:rsid w:val="0BB630C9"/>
    <w:rsid w:val="0BD03425"/>
    <w:rsid w:val="0BDF73C9"/>
    <w:rsid w:val="0BE53D69"/>
    <w:rsid w:val="0BE81B6C"/>
    <w:rsid w:val="0BED03D4"/>
    <w:rsid w:val="0BF24FCD"/>
    <w:rsid w:val="0BFD183B"/>
    <w:rsid w:val="0C022484"/>
    <w:rsid w:val="0C0715D5"/>
    <w:rsid w:val="0C0C004C"/>
    <w:rsid w:val="0C221140"/>
    <w:rsid w:val="0C2225A8"/>
    <w:rsid w:val="0C297D22"/>
    <w:rsid w:val="0C2A4341"/>
    <w:rsid w:val="0C363B3B"/>
    <w:rsid w:val="0C3721AC"/>
    <w:rsid w:val="0C4A05B3"/>
    <w:rsid w:val="0C4C47C1"/>
    <w:rsid w:val="0C560080"/>
    <w:rsid w:val="0C5739E5"/>
    <w:rsid w:val="0C8154F1"/>
    <w:rsid w:val="0C8A23DC"/>
    <w:rsid w:val="0C8D5EBA"/>
    <w:rsid w:val="0C995F25"/>
    <w:rsid w:val="0CA45752"/>
    <w:rsid w:val="0CA65117"/>
    <w:rsid w:val="0CAC2EDD"/>
    <w:rsid w:val="0CCB01B3"/>
    <w:rsid w:val="0CCE5C7E"/>
    <w:rsid w:val="0CD36E9B"/>
    <w:rsid w:val="0CD452D2"/>
    <w:rsid w:val="0CD856A2"/>
    <w:rsid w:val="0CE246D9"/>
    <w:rsid w:val="0CE86F0C"/>
    <w:rsid w:val="0CF008DF"/>
    <w:rsid w:val="0D085F86"/>
    <w:rsid w:val="0D114EFD"/>
    <w:rsid w:val="0D176F5D"/>
    <w:rsid w:val="0D444A4E"/>
    <w:rsid w:val="0D453CD6"/>
    <w:rsid w:val="0D472B2A"/>
    <w:rsid w:val="0D49488C"/>
    <w:rsid w:val="0D4A21BC"/>
    <w:rsid w:val="0D4E1C5B"/>
    <w:rsid w:val="0D507564"/>
    <w:rsid w:val="0D5C09C6"/>
    <w:rsid w:val="0D7B08D7"/>
    <w:rsid w:val="0D83258B"/>
    <w:rsid w:val="0D840A30"/>
    <w:rsid w:val="0D842EA4"/>
    <w:rsid w:val="0D8A5121"/>
    <w:rsid w:val="0D9F765C"/>
    <w:rsid w:val="0DAA67CC"/>
    <w:rsid w:val="0DAB3902"/>
    <w:rsid w:val="0DB56882"/>
    <w:rsid w:val="0DBB25E5"/>
    <w:rsid w:val="0DBB3DEE"/>
    <w:rsid w:val="0DBE05B5"/>
    <w:rsid w:val="0DC40C23"/>
    <w:rsid w:val="0DD87E3D"/>
    <w:rsid w:val="0DED43E2"/>
    <w:rsid w:val="0DF26CD2"/>
    <w:rsid w:val="0DF310F1"/>
    <w:rsid w:val="0DFC08E3"/>
    <w:rsid w:val="0E057540"/>
    <w:rsid w:val="0E064EAF"/>
    <w:rsid w:val="0E0F33E0"/>
    <w:rsid w:val="0E277C23"/>
    <w:rsid w:val="0E2F2E6C"/>
    <w:rsid w:val="0E3258EC"/>
    <w:rsid w:val="0E3B0F4C"/>
    <w:rsid w:val="0E407C9C"/>
    <w:rsid w:val="0E470BCF"/>
    <w:rsid w:val="0E501642"/>
    <w:rsid w:val="0E525A71"/>
    <w:rsid w:val="0E5E6115"/>
    <w:rsid w:val="0E72175C"/>
    <w:rsid w:val="0E7734FA"/>
    <w:rsid w:val="0E8063EE"/>
    <w:rsid w:val="0E96523D"/>
    <w:rsid w:val="0E9863C3"/>
    <w:rsid w:val="0E9C196B"/>
    <w:rsid w:val="0EB0743D"/>
    <w:rsid w:val="0EB3632D"/>
    <w:rsid w:val="0EC6347F"/>
    <w:rsid w:val="0ED91A92"/>
    <w:rsid w:val="0ED91C40"/>
    <w:rsid w:val="0EE1181F"/>
    <w:rsid w:val="0F06074C"/>
    <w:rsid w:val="0F07521C"/>
    <w:rsid w:val="0F0912BA"/>
    <w:rsid w:val="0F0B570A"/>
    <w:rsid w:val="0F1172EE"/>
    <w:rsid w:val="0F143830"/>
    <w:rsid w:val="0F171639"/>
    <w:rsid w:val="0F1B1B05"/>
    <w:rsid w:val="0F2A0640"/>
    <w:rsid w:val="0F336BE3"/>
    <w:rsid w:val="0F3477C4"/>
    <w:rsid w:val="0F43050A"/>
    <w:rsid w:val="0F4D7AA5"/>
    <w:rsid w:val="0F4E46B2"/>
    <w:rsid w:val="0F655282"/>
    <w:rsid w:val="0F69654D"/>
    <w:rsid w:val="0F6F5EDB"/>
    <w:rsid w:val="0F747DA4"/>
    <w:rsid w:val="0F7F5123"/>
    <w:rsid w:val="0F8019A8"/>
    <w:rsid w:val="0F802BF3"/>
    <w:rsid w:val="0F80674F"/>
    <w:rsid w:val="0F8417A6"/>
    <w:rsid w:val="0F9B01A2"/>
    <w:rsid w:val="0F9E22A6"/>
    <w:rsid w:val="0FA52931"/>
    <w:rsid w:val="0FA856AF"/>
    <w:rsid w:val="0FB00328"/>
    <w:rsid w:val="0FB40568"/>
    <w:rsid w:val="0FBF0E36"/>
    <w:rsid w:val="0FD138A0"/>
    <w:rsid w:val="0FD36B71"/>
    <w:rsid w:val="0FD54874"/>
    <w:rsid w:val="0FDD6E40"/>
    <w:rsid w:val="0FE23055"/>
    <w:rsid w:val="0FE7657C"/>
    <w:rsid w:val="0FEB270F"/>
    <w:rsid w:val="0FF60C5B"/>
    <w:rsid w:val="0FF95815"/>
    <w:rsid w:val="0FFD08B8"/>
    <w:rsid w:val="10013B1C"/>
    <w:rsid w:val="1007035A"/>
    <w:rsid w:val="10114703"/>
    <w:rsid w:val="1012342B"/>
    <w:rsid w:val="10146CC9"/>
    <w:rsid w:val="102C16E9"/>
    <w:rsid w:val="1032785A"/>
    <w:rsid w:val="1039465D"/>
    <w:rsid w:val="104A2F24"/>
    <w:rsid w:val="106377CF"/>
    <w:rsid w:val="10685029"/>
    <w:rsid w:val="10755FEF"/>
    <w:rsid w:val="108134D8"/>
    <w:rsid w:val="108452F1"/>
    <w:rsid w:val="10845425"/>
    <w:rsid w:val="10943EAD"/>
    <w:rsid w:val="10A31257"/>
    <w:rsid w:val="10AB0366"/>
    <w:rsid w:val="10B9444C"/>
    <w:rsid w:val="10C60B0F"/>
    <w:rsid w:val="10D57DA2"/>
    <w:rsid w:val="10D61B8B"/>
    <w:rsid w:val="10D82AB5"/>
    <w:rsid w:val="10E50428"/>
    <w:rsid w:val="10EF574B"/>
    <w:rsid w:val="10F954EA"/>
    <w:rsid w:val="10FD7157"/>
    <w:rsid w:val="110B2318"/>
    <w:rsid w:val="111607B1"/>
    <w:rsid w:val="111657CB"/>
    <w:rsid w:val="112F634C"/>
    <w:rsid w:val="11380EA0"/>
    <w:rsid w:val="114E47FD"/>
    <w:rsid w:val="115A7F93"/>
    <w:rsid w:val="1160385B"/>
    <w:rsid w:val="11732F7A"/>
    <w:rsid w:val="1176009D"/>
    <w:rsid w:val="117A10F4"/>
    <w:rsid w:val="117E2FF4"/>
    <w:rsid w:val="11856725"/>
    <w:rsid w:val="11891F31"/>
    <w:rsid w:val="118A5A46"/>
    <w:rsid w:val="118F505C"/>
    <w:rsid w:val="11A014A1"/>
    <w:rsid w:val="11AB6319"/>
    <w:rsid w:val="11C33CAB"/>
    <w:rsid w:val="11C47791"/>
    <w:rsid w:val="11C768FA"/>
    <w:rsid w:val="11D03251"/>
    <w:rsid w:val="11D36388"/>
    <w:rsid w:val="11E25779"/>
    <w:rsid w:val="11E2632F"/>
    <w:rsid w:val="11EB1098"/>
    <w:rsid w:val="11EF4C81"/>
    <w:rsid w:val="11F026A2"/>
    <w:rsid w:val="11F16F19"/>
    <w:rsid w:val="11F356CB"/>
    <w:rsid w:val="11F647C7"/>
    <w:rsid w:val="120D4A8F"/>
    <w:rsid w:val="120F04B7"/>
    <w:rsid w:val="12135059"/>
    <w:rsid w:val="122F7577"/>
    <w:rsid w:val="12337E9F"/>
    <w:rsid w:val="12347BAF"/>
    <w:rsid w:val="1235563B"/>
    <w:rsid w:val="123867BA"/>
    <w:rsid w:val="124654D2"/>
    <w:rsid w:val="12487613"/>
    <w:rsid w:val="124957CD"/>
    <w:rsid w:val="124B075F"/>
    <w:rsid w:val="124C25C7"/>
    <w:rsid w:val="125461B4"/>
    <w:rsid w:val="12572C7C"/>
    <w:rsid w:val="125A3098"/>
    <w:rsid w:val="12790101"/>
    <w:rsid w:val="127D0B06"/>
    <w:rsid w:val="127E79CB"/>
    <w:rsid w:val="12974270"/>
    <w:rsid w:val="1299567A"/>
    <w:rsid w:val="12A87D7A"/>
    <w:rsid w:val="12A90D86"/>
    <w:rsid w:val="12AC38F3"/>
    <w:rsid w:val="12AE3128"/>
    <w:rsid w:val="12AF6741"/>
    <w:rsid w:val="12B46304"/>
    <w:rsid w:val="12B72BC7"/>
    <w:rsid w:val="12C73C93"/>
    <w:rsid w:val="12D22C2E"/>
    <w:rsid w:val="12D54B23"/>
    <w:rsid w:val="12DC5C5D"/>
    <w:rsid w:val="12EC45E1"/>
    <w:rsid w:val="13074FAD"/>
    <w:rsid w:val="130D3566"/>
    <w:rsid w:val="130E4054"/>
    <w:rsid w:val="1310259A"/>
    <w:rsid w:val="1327213E"/>
    <w:rsid w:val="132F62D2"/>
    <w:rsid w:val="13304CCE"/>
    <w:rsid w:val="13321644"/>
    <w:rsid w:val="133E6F1C"/>
    <w:rsid w:val="13547EB8"/>
    <w:rsid w:val="136F5C41"/>
    <w:rsid w:val="137A6820"/>
    <w:rsid w:val="13880A27"/>
    <w:rsid w:val="13926B94"/>
    <w:rsid w:val="13AA7707"/>
    <w:rsid w:val="13BE015D"/>
    <w:rsid w:val="13BE05D9"/>
    <w:rsid w:val="13C572EE"/>
    <w:rsid w:val="13CA3C81"/>
    <w:rsid w:val="13DD40E1"/>
    <w:rsid w:val="13DE7D5C"/>
    <w:rsid w:val="13F45CBA"/>
    <w:rsid w:val="13FF4EF2"/>
    <w:rsid w:val="140718B9"/>
    <w:rsid w:val="14187D7A"/>
    <w:rsid w:val="142431B7"/>
    <w:rsid w:val="14276FAA"/>
    <w:rsid w:val="14287C10"/>
    <w:rsid w:val="142A5599"/>
    <w:rsid w:val="142E658A"/>
    <w:rsid w:val="144251E1"/>
    <w:rsid w:val="14547269"/>
    <w:rsid w:val="1471026F"/>
    <w:rsid w:val="147D18EF"/>
    <w:rsid w:val="148E47F4"/>
    <w:rsid w:val="14987EE4"/>
    <w:rsid w:val="149A7EB6"/>
    <w:rsid w:val="14A515D8"/>
    <w:rsid w:val="14A53B9A"/>
    <w:rsid w:val="14BD3DA4"/>
    <w:rsid w:val="14C0703A"/>
    <w:rsid w:val="14D61CA1"/>
    <w:rsid w:val="14E861CE"/>
    <w:rsid w:val="14EC071B"/>
    <w:rsid w:val="14F6748A"/>
    <w:rsid w:val="150A3C59"/>
    <w:rsid w:val="150D0141"/>
    <w:rsid w:val="15194058"/>
    <w:rsid w:val="151B555B"/>
    <w:rsid w:val="151C5314"/>
    <w:rsid w:val="152B7423"/>
    <w:rsid w:val="153772B0"/>
    <w:rsid w:val="153956D8"/>
    <w:rsid w:val="15517106"/>
    <w:rsid w:val="15537F35"/>
    <w:rsid w:val="15566B23"/>
    <w:rsid w:val="155B0D1A"/>
    <w:rsid w:val="156132B5"/>
    <w:rsid w:val="15713898"/>
    <w:rsid w:val="15915022"/>
    <w:rsid w:val="15940400"/>
    <w:rsid w:val="159D39C7"/>
    <w:rsid w:val="15A220E7"/>
    <w:rsid w:val="15AD307D"/>
    <w:rsid w:val="15B41340"/>
    <w:rsid w:val="15C26136"/>
    <w:rsid w:val="15C43646"/>
    <w:rsid w:val="15CC1BB7"/>
    <w:rsid w:val="15D87730"/>
    <w:rsid w:val="15E85BA5"/>
    <w:rsid w:val="15FB3FD4"/>
    <w:rsid w:val="16050D64"/>
    <w:rsid w:val="16105F47"/>
    <w:rsid w:val="16243A3C"/>
    <w:rsid w:val="162E7C61"/>
    <w:rsid w:val="16501FE8"/>
    <w:rsid w:val="165F5CC4"/>
    <w:rsid w:val="167254E4"/>
    <w:rsid w:val="167A324D"/>
    <w:rsid w:val="16807A7B"/>
    <w:rsid w:val="168B03F9"/>
    <w:rsid w:val="16993917"/>
    <w:rsid w:val="169B7883"/>
    <w:rsid w:val="16A40FF1"/>
    <w:rsid w:val="16A66FE5"/>
    <w:rsid w:val="16AA7C9E"/>
    <w:rsid w:val="16B8213B"/>
    <w:rsid w:val="16B903AA"/>
    <w:rsid w:val="16BC1C2B"/>
    <w:rsid w:val="16C60CFC"/>
    <w:rsid w:val="16D536AD"/>
    <w:rsid w:val="16EB42BE"/>
    <w:rsid w:val="16F317FF"/>
    <w:rsid w:val="16F61079"/>
    <w:rsid w:val="16FC40CC"/>
    <w:rsid w:val="170F28D0"/>
    <w:rsid w:val="17107819"/>
    <w:rsid w:val="1713592B"/>
    <w:rsid w:val="17160E3B"/>
    <w:rsid w:val="171724AF"/>
    <w:rsid w:val="172332DD"/>
    <w:rsid w:val="173A1167"/>
    <w:rsid w:val="174C3125"/>
    <w:rsid w:val="174D05AF"/>
    <w:rsid w:val="17582195"/>
    <w:rsid w:val="175A5E16"/>
    <w:rsid w:val="17712BED"/>
    <w:rsid w:val="177B792F"/>
    <w:rsid w:val="1783114D"/>
    <w:rsid w:val="179606CE"/>
    <w:rsid w:val="179D078F"/>
    <w:rsid w:val="17A56106"/>
    <w:rsid w:val="17B01689"/>
    <w:rsid w:val="17BA2651"/>
    <w:rsid w:val="17DC55DB"/>
    <w:rsid w:val="17DC74E7"/>
    <w:rsid w:val="17EA3022"/>
    <w:rsid w:val="17EC2D37"/>
    <w:rsid w:val="17FC197D"/>
    <w:rsid w:val="180E5BD0"/>
    <w:rsid w:val="181B6745"/>
    <w:rsid w:val="181E21FF"/>
    <w:rsid w:val="181F029A"/>
    <w:rsid w:val="182417F2"/>
    <w:rsid w:val="182A24B6"/>
    <w:rsid w:val="182A435C"/>
    <w:rsid w:val="182D1D34"/>
    <w:rsid w:val="18371EB1"/>
    <w:rsid w:val="183C74C7"/>
    <w:rsid w:val="183D704C"/>
    <w:rsid w:val="184A2FE7"/>
    <w:rsid w:val="184D2E9A"/>
    <w:rsid w:val="18506409"/>
    <w:rsid w:val="186C62F3"/>
    <w:rsid w:val="186D10E2"/>
    <w:rsid w:val="186F25AF"/>
    <w:rsid w:val="18736391"/>
    <w:rsid w:val="18750889"/>
    <w:rsid w:val="187F3982"/>
    <w:rsid w:val="18820C52"/>
    <w:rsid w:val="188B4496"/>
    <w:rsid w:val="188B49AE"/>
    <w:rsid w:val="18B07CBC"/>
    <w:rsid w:val="18B7047A"/>
    <w:rsid w:val="18DB3633"/>
    <w:rsid w:val="18DD40DB"/>
    <w:rsid w:val="18EF7E4E"/>
    <w:rsid w:val="190662EB"/>
    <w:rsid w:val="190B7106"/>
    <w:rsid w:val="19111349"/>
    <w:rsid w:val="19170735"/>
    <w:rsid w:val="191E61EF"/>
    <w:rsid w:val="19287D1F"/>
    <w:rsid w:val="19296872"/>
    <w:rsid w:val="193C6F70"/>
    <w:rsid w:val="19422035"/>
    <w:rsid w:val="194505FE"/>
    <w:rsid w:val="19452E4D"/>
    <w:rsid w:val="19576666"/>
    <w:rsid w:val="19614725"/>
    <w:rsid w:val="196E1445"/>
    <w:rsid w:val="196E7A74"/>
    <w:rsid w:val="197A4BF5"/>
    <w:rsid w:val="197E07F4"/>
    <w:rsid w:val="19874772"/>
    <w:rsid w:val="19995465"/>
    <w:rsid w:val="199A6F37"/>
    <w:rsid w:val="199B6470"/>
    <w:rsid w:val="199D3F96"/>
    <w:rsid w:val="19A1656E"/>
    <w:rsid w:val="19A4247C"/>
    <w:rsid w:val="19AC18DF"/>
    <w:rsid w:val="19B66E06"/>
    <w:rsid w:val="19CC156A"/>
    <w:rsid w:val="19D85932"/>
    <w:rsid w:val="19D92823"/>
    <w:rsid w:val="19EB2F56"/>
    <w:rsid w:val="19EF018C"/>
    <w:rsid w:val="19F87D26"/>
    <w:rsid w:val="19FE6746"/>
    <w:rsid w:val="1A00617B"/>
    <w:rsid w:val="1A0462C0"/>
    <w:rsid w:val="1A254109"/>
    <w:rsid w:val="1A2D5F17"/>
    <w:rsid w:val="1A3E7E25"/>
    <w:rsid w:val="1A3F1EAD"/>
    <w:rsid w:val="1A3F3896"/>
    <w:rsid w:val="1A426095"/>
    <w:rsid w:val="1A4557A6"/>
    <w:rsid w:val="1A530AF8"/>
    <w:rsid w:val="1A5522BE"/>
    <w:rsid w:val="1A5F7E3C"/>
    <w:rsid w:val="1A697B62"/>
    <w:rsid w:val="1A7A1400"/>
    <w:rsid w:val="1A932CD8"/>
    <w:rsid w:val="1A976890"/>
    <w:rsid w:val="1AA17EB7"/>
    <w:rsid w:val="1AB632B9"/>
    <w:rsid w:val="1AC07580"/>
    <w:rsid w:val="1AC4273F"/>
    <w:rsid w:val="1ACD092F"/>
    <w:rsid w:val="1ACF43A8"/>
    <w:rsid w:val="1AD911F0"/>
    <w:rsid w:val="1AE07500"/>
    <w:rsid w:val="1AE55E86"/>
    <w:rsid w:val="1B0D66A2"/>
    <w:rsid w:val="1B1B6C55"/>
    <w:rsid w:val="1B381D2F"/>
    <w:rsid w:val="1B4B40CA"/>
    <w:rsid w:val="1B4B554B"/>
    <w:rsid w:val="1B5C0E4C"/>
    <w:rsid w:val="1B6F68D0"/>
    <w:rsid w:val="1B7156EB"/>
    <w:rsid w:val="1B882CE4"/>
    <w:rsid w:val="1B967C32"/>
    <w:rsid w:val="1B9F706E"/>
    <w:rsid w:val="1BAF1FC9"/>
    <w:rsid w:val="1BC0081E"/>
    <w:rsid w:val="1BC8251B"/>
    <w:rsid w:val="1BC82E20"/>
    <w:rsid w:val="1BCC2910"/>
    <w:rsid w:val="1BD53889"/>
    <w:rsid w:val="1BD5544D"/>
    <w:rsid w:val="1BD81AB5"/>
    <w:rsid w:val="1BDB12A2"/>
    <w:rsid w:val="1BE41607"/>
    <w:rsid w:val="1BF10AEE"/>
    <w:rsid w:val="1BF52059"/>
    <w:rsid w:val="1C0605E3"/>
    <w:rsid w:val="1C080D97"/>
    <w:rsid w:val="1C1828C9"/>
    <w:rsid w:val="1C2C7853"/>
    <w:rsid w:val="1C3554F4"/>
    <w:rsid w:val="1C387D56"/>
    <w:rsid w:val="1C422E08"/>
    <w:rsid w:val="1C424981"/>
    <w:rsid w:val="1C4B290D"/>
    <w:rsid w:val="1C4D78D1"/>
    <w:rsid w:val="1C4E226E"/>
    <w:rsid w:val="1C557FDC"/>
    <w:rsid w:val="1C5E726F"/>
    <w:rsid w:val="1C62455E"/>
    <w:rsid w:val="1C6E1C1A"/>
    <w:rsid w:val="1C7134B8"/>
    <w:rsid w:val="1C731196"/>
    <w:rsid w:val="1C740E84"/>
    <w:rsid w:val="1C811A34"/>
    <w:rsid w:val="1C9348B3"/>
    <w:rsid w:val="1C972D31"/>
    <w:rsid w:val="1CA12014"/>
    <w:rsid w:val="1CA52F57"/>
    <w:rsid w:val="1CB112A1"/>
    <w:rsid w:val="1CC023A9"/>
    <w:rsid w:val="1CC95B0B"/>
    <w:rsid w:val="1CCA5AF2"/>
    <w:rsid w:val="1CED3BEF"/>
    <w:rsid w:val="1CF665ED"/>
    <w:rsid w:val="1D0B4491"/>
    <w:rsid w:val="1D0C0612"/>
    <w:rsid w:val="1D0E5989"/>
    <w:rsid w:val="1D141CEA"/>
    <w:rsid w:val="1D1B0A25"/>
    <w:rsid w:val="1D1F474E"/>
    <w:rsid w:val="1D231150"/>
    <w:rsid w:val="1D28469D"/>
    <w:rsid w:val="1D2D2DFB"/>
    <w:rsid w:val="1D3E5302"/>
    <w:rsid w:val="1D4410B0"/>
    <w:rsid w:val="1D4A617E"/>
    <w:rsid w:val="1D6A356E"/>
    <w:rsid w:val="1D7C32DA"/>
    <w:rsid w:val="1D8D0BE7"/>
    <w:rsid w:val="1D93284D"/>
    <w:rsid w:val="1DA1677D"/>
    <w:rsid w:val="1DB4365C"/>
    <w:rsid w:val="1DB530CD"/>
    <w:rsid w:val="1DCB6348"/>
    <w:rsid w:val="1DCC661D"/>
    <w:rsid w:val="1DD7276E"/>
    <w:rsid w:val="1DD95967"/>
    <w:rsid w:val="1DE4047F"/>
    <w:rsid w:val="1DE7405F"/>
    <w:rsid w:val="1DE845C4"/>
    <w:rsid w:val="1DFD20F4"/>
    <w:rsid w:val="1E026ABD"/>
    <w:rsid w:val="1E0803E8"/>
    <w:rsid w:val="1E496D32"/>
    <w:rsid w:val="1E4F56E2"/>
    <w:rsid w:val="1E534646"/>
    <w:rsid w:val="1E5E43F8"/>
    <w:rsid w:val="1E6E228D"/>
    <w:rsid w:val="1E715360"/>
    <w:rsid w:val="1E74359A"/>
    <w:rsid w:val="1E7E1EBC"/>
    <w:rsid w:val="1E7E617D"/>
    <w:rsid w:val="1E85569E"/>
    <w:rsid w:val="1E965458"/>
    <w:rsid w:val="1EB458DE"/>
    <w:rsid w:val="1EB51DA1"/>
    <w:rsid w:val="1EB95209"/>
    <w:rsid w:val="1EC304A0"/>
    <w:rsid w:val="1EC5769F"/>
    <w:rsid w:val="1ED07B38"/>
    <w:rsid w:val="1EEB092B"/>
    <w:rsid w:val="1EEC602D"/>
    <w:rsid w:val="1F05478A"/>
    <w:rsid w:val="1F1B7CA3"/>
    <w:rsid w:val="1F1E53CF"/>
    <w:rsid w:val="1F237967"/>
    <w:rsid w:val="1F254512"/>
    <w:rsid w:val="1F2627AC"/>
    <w:rsid w:val="1F290602"/>
    <w:rsid w:val="1F2D10E6"/>
    <w:rsid w:val="1F2F224F"/>
    <w:rsid w:val="1F395569"/>
    <w:rsid w:val="1F455659"/>
    <w:rsid w:val="1F4B5E7F"/>
    <w:rsid w:val="1F4C5B16"/>
    <w:rsid w:val="1F4C5BF7"/>
    <w:rsid w:val="1F5B28CE"/>
    <w:rsid w:val="1F5D4542"/>
    <w:rsid w:val="1F657D0C"/>
    <w:rsid w:val="1F6979B6"/>
    <w:rsid w:val="1F72556F"/>
    <w:rsid w:val="1FA06DAB"/>
    <w:rsid w:val="1FB738D7"/>
    <w:rsid w:val="1FC85AE5"/>
    <w:rsid w:val="1FCB6265"/>
    <w:rsid w:val="1FCB7383"/>
    <w:rsid w:val="1FD15B0F"/>
    <w:rsid w:val="1FE930FA"/>
    <w:rsid w:val="1FED1DBC"/>
    <w:rsid w:val="1FF04A0B"/>
    <w:rsid w:val="1FF9332B"/>
    <w:rsid w:val="200448C8"/>
    <w:rsid w:val="201C43CA"/>
    <w:rsid w:val="202A60EF"/>
    <w:rsid w:val="20366690"/>
    <w:rsid w:val="204607B7"/>
    <w:rsid w:val="20472CCB"/>
    <w:rsid w:val="20525641"/>
    <w:rsid w:val="20556B97"/>
    <w:rsid w:val="205763CF"/>
    <w:rsid w:val="2058435A"/>
    <w:rsid w:val="20654644"/>
    <w:rsid w:val="206A6B9C"/>
    <w:rsid w:val="20850246"/>
    <w:rsid w:val="20AD543D"/>
    <w:rsid w:val="20B25FCF"/>
    <w:rsid w:val="20BC0DBB"/>
    <w:rsid w:val="20BD35EE"/>
    <w:rsid w:val="20BD56CD"/>
    <w:rsid w:val="20C06125"/>
    <w:rsid w:val="20C77E55"/>
    <w:rsid w:val="20D04B8A"/>
    <w:rsid w:val="20D07B1A"/>
    <w:rsid w:val="20D43414"/>
    <w:rsid w:val="20D9527E"/>
    <w:rsid w:val="20EC60B5"/>
    <w:rsid w:val="20F2289B"/>
    <w:rsid w:val="20F8572B"/>
    <w:rsid w:val="20FF0F4A"/>
    <w:rsid w:val="211A2370"/>
    <w:rsid w:val="211E1D07"/>
    <w:rsid w:val="213A6900"/>
    <w:rsid w:val="214449C7"/>
    <w:rsid w:val="21445AFF"/>
    <w:rsid w:val="21447535"/>
    <w:rsid w:val="214724AD"/>
    <w:rsid w:val="21505030"/>
    <w:rsid w:val="215E5F39"/>
    <w:rsid w:val="2172200F"/>
    <w:rsid w:val="218B5D70"/>
    <w:rsid w:val="218E706D"/>
    <w:rsid w:val="21946FAC"/>
    <w:rsid w:val="21AB685E"/>
    <w:rsid w:val="21B17BA4"/>
    <w:rsid w:val="21BD140E"/>
    <w:rsid w:val="21C554DA"/>
    <w:rsid w:val="21C76528"/>
    <w:rsid w:val="21CA0299"/>
    <w:rsid w:val="21D35C1E"/>
    <w:rsid w:val="21D50405"/>
    <w:rsid w:val="21D62E26"/>
    <w:rsid w:val="21DC3C47"/>
    <w:rsid w:val="21E93B2B"/>
    <w:rsid w:val="21F72C8C"/>
    <w:rsid w:val="21FE77C8"/>
    <w:rsid w:val="22010E3A"/>
    <w:rsid w:val="220B31DB"/>
    <w:rsid w:val="221978DB"/>
    <w:rsid w:val="222D4209"/>
    <w:rsid w:val="22313E1D"/>
    <w:rsid w:val="2240670E"/>
    <w:rsid w:val="22441A02"/>
    <w:rsid w:val="22456F79"/>
    <w:rsid w:val="225418B2"/>
    <w:rsid w:val="225C011E"/>
    <w:rsid w:val="22761FFE"/>
    <w:rsid w:val="22780EDC"/>
    <w:rsid w:val="229B229A"/>
    <w:rsid w:val="22B81432"/>
    <w:rsid w:val="22DC7A41"/>
    <w:rsid w:val="22EB58EA"/>
    <w:rsid w:val="22F60FBA"/>
    <w:rsid w:val="22F84022"/>
    <w:rsid w:val="230020BE"/>
    <w:rsid w:val="23221FC8"/>
    <w:rsid w:val="23250B58"/>
    <w:rsid w:val="232526DB"/>
    <w:rsid w:val="233678D8"/>
    <w:rsid w:val="233B5A2D"/>
    <w:rsid w:val="233D5EA2"/>
    <w:rsid w:val="23407AD6"/>
    <w:rsid w:val="2343452F"/>
    <w:rsid w:val="23452FEB"/>
    <w:rsid w:val="23465E46"/>
    <w:rsid w:val="234879AD"/>
    <w:rsid w:val="234E7B58"/>
    <w:rsid w:val="235149BA"/>
    <w:rsid w:val="235407DD"/>
    <w:rsid w:val="23624275"/>
    <w:rsid w:val="23670E46"/>
    <w:rsid w:val="2368589E"/>
    <w:rsid w:val="236E0751"/>
    <w:rsid w:val="237A2F3D"/>
    <w:rsid w:val="23932D28"/>
    <w:rsid w:val="239957A6"/>
    <w:rsid w:val="239E052C"/>
    <w:rsid w:val="23A128D5"/>
    <w:rsid w:val="23D24643"/>
    <w:rsid w:val="23D510C2"/>
    <w:rsid w:val="24030090"/>
    <w:rsid w:val="24147FAA"/>
    <w:rsid w:val="242957FB"/>
    <w:rsid w:val="242C19C1"/>
    <w:rsid w:val="242E5C60"/>
    <w:rsid w:val="243B5E41"/>
    <w:rsid w:val="2441078A"/>
    <w:rsid w:val="24467834"/>
    <w:rsid w:val="24580723"/>
    <w:rsid w:val="24591836"/>
    <w:rsid w:val="24594F5D"/>
    <w:rsid w:val="24614A76"/>
    <w:rsid w:val="246D74A8"/>
    <w:rsid w:val="24810E42"/>
    <w:rsid w:val="248975D1"/>
    <w:rsid w:val="24975C9E"/>
    <w:rsid w:val="24996B92"/>
    <w:rsid w:val="249E2CA0"/>
    <w:rsid w:val="24A2111C"/>
    <w:rsid w:val="24A2688B"/>
    <w:rsid w:val="24B335BC"/>
    <w:rsid w:val="24B83E54"/>
    <w:rsid w:val="24BC1007"/>
    <w:rsid w:val="24C744E4"/>
    <w:rsid w:val="24D17B47"/>
    <w:rsid w:val="24D20D2B"/>
    <w:rsid w:val="24DB0068"/>
    <w:rsid w:val="24E7716E"/>
    <w:rsid w:val="24EC4AB5"/>
    <w:rsid w:val="24F161AD"/>
    <w:rsid w:val="24F626DF"/>
    <w:rsid w:val="24FD3FF8"/>
    <w:rsid w:val="250E24ED"/>
    <w:rsid w:val="251B67E8"/>
    <w:rsid w:val="251C0ED7"/>
    <w:rsid w:val="255F5E07"/>
    <w:rsid w:val="25694473"/>
    <w:rsid w:val="256E2074"/>
    <w:rsid w:val="256F2874"/>
    <w:rsid w:val="25873166"/>
    <w:rsid w:val="259A7305"/>
    <w:rsid w:val="259D3798"/>
    <w:rsid w:val="25A3369F"/>
    <w:rsid w:val="25AB7C58"/>
    <w:rsid w:val="25AF59D2"/>
    <w:rsid w:val="25C175AE"/>
    <w:rsid w:val="25C304B4"/>
    <w:rsid w:val="25C307CD"/>
    <w:rsid w:val="25C64226"/>
    <w:rsid w:val="25D43324"/>
    <w:rsid w:val="25DB6356"/>
    <w:rsid w:val="25EB4F45"/>
    <w:rsid w:val="25ED11AB"/>
    <w:rsid w:val="260239D9"/>
    <w:rsid w:val="262026BE"/>
    <w:rsid w:val="26293FFE"/>
    <w:rsid w:val="26300137"/>
    <w:rsid w:val="26305B4A"/>
    <w:rsid w:val="26307653"/>
    <w:rsid w:val="2634680F"/>
    <w:rsid w:val="263E440B"/>
    <w:rsid w:val="263E7FA4"/>
    <w:rsid w:val="264F36E6"/>
    <w:rsid w:val="266F6CBA"/>
    <w:rsid w:val="26846839"/>
    <w:rsid w:val="26A26BA6"/>
    <w:rsid w:val="26A7770A"/>
    <w:rsid w:val="26AD0AE1"/>
    <w:rsid w:val="26B224AD"/>
    <w:rsid w:val="26B631CE"/>
    <w:rsid w:val="26BB1F37"/>
    <w:rsid w:val="26D66D39"/>
    <w:rsid w:val="26E75683"/>
    <w:rsid w:val="26F706FA"/>
    <w:rsid w:val="26FC6EB6"/>
    <w:rsid w:val="2710523C"/>
    <w:rsid w:val="271F1575"/>
    <w:rsid w:val="27243460"/>
    <w:rsid w:val="272F5CFE"/>
    <w:rsid w:val="27354ACB"/>
    <w:rsid w:val="275E7EA3"/>
    <w:rsid w:val="27637EA1"/>
    <w:rsid w:val="27714682"/>
    <w:rsid w:val="27890553"/>
    <w:rsid w:val="278A3680"/>
    <w:rsid w:val="27932A0B"/>
    <w:rsid w:val="27983A3E"/>
    <w:rsid w:val="279853F4"/>
    <w:rsid w:val="279A534A"/>
    <w:rsid w:val="27A72A3C"/>
    <w:rsid w:val="27A8071A"/>
    <w:rsid w:val="27AB3BBB"/>
    <w:rsid w:val="27B23802"/>
    <w:rsid w:val="27B31E54"/>
    <w:rsid w:val="27B7684F"/>
    <w:rsid w:val="27C260B2"/>
    <w:rsid w:val="27D50E18"/>
    <w:rsid w:val="27D61CB2"/>
    <w:rsid w:val="27FF6A4F"/>
    <w:rsid w:val="28000201"/>
    <w:rsid w:val="2806428D"/>
    <w:rsid w:val="28086732"/>
    <w:rsid w:val="280F43F8"/>
    <w:rsid w:val="281A415C"/>
    <w:rsid w:val="281B6DFB"/>
    <w:rsid w:val="28232013"/>
    <w:rsid w:val="282D2989"/>
    <w:rsid w:val="28310424"/>
    <w:rsid w:val="28345755"/>
    <w:rsid w:val="28360D50"/>
    <w:rsid w:val="283B2E0A"/>
    <w:rsid w:val="28406DE8"/>
    <w:rsid w:val="2841649F"/>
    <w:rsid w:val="28436950"/>
    <w:rsid w:val="284A5995"/>
    <w:rsid w:val="28587717"/>
    <w:rsid w:val="285F4B0C"/>
    <w:rsid w:val="286C79F6"/>
    <w:rsid w:val="287577D2"/>
    <w:rsid w:val="288C0963"/>
    <w:rsid w:val="289360AC"/>
    <w:rsid w:val="28955BF8"/>
    <w:rsid w:val="28962ABE"/>
    <w:rsid w:val="28981C97"/>
    <w:rsid w:val="289D4161"/>
    <w:rsid w:val="28A22597"/>
    <w:rsid w:val="28AC2FF0"/>
    <w:rsid w:val="28B144AB"/>
    <w:rsid w:val="28BB24F3"/>
    <w:rsid w:val="28BC0562"/>
    <w:rsid w:val="28C0170D"/>
    <w:rsid w:val="28C46903"/>
    <w:rsid w:val="28C61AA0"/>
    <w:rsid w:val="28D95C23"/>
    <w:rsid w:val="28DB0637"/>
    <w:rsid w:val="28F35BAF"/>
    <w:rsid w:val="28F91D5E"/>
    <w:rsid w:val="28FB0863"/>
    <w:rsid w:val="29013C50"/>
    <w:rsid w:val="290B259E"/>
    <w:rsid w:val="29265AF3"/>
    <w:rsid w:val="292C6FCD"/>
    <w:rsid w:val="292D3977"/>
    <w:rsid w:val="292F5926"/>
    <w:rsid w:val="29337ADD"/>
    <w:rsid w:val="29363B54"/>
    <w:rsid w:val="294544E1"/>
    <w:rsid w:val="29485EE3"/>
    <w:rsid w:val="29557913"/>
    <w:rsid w:val="2959155B"/>
    <w:rsid w:val="295B52D4"/>
    <w:rsid w:val="295D2A0D"/>
    <w:rsid w:val="296B37FE"/>
    <w:rsid w:val="29742F43"/>
    <w:rsid w:val="297F174D"/>
    <w:rsid w:val="29824F56"/>
    <w:rsid w:val="298B171B"/>
    <w:rsid w:val="29974AB9"/>
    <w:rsid w:val="29A467A0"/>
    <w:rsid w:val="29B33362"/>
    <w:rsid w:val="29B821A4"/>
    <w:rsid w:val="29C20001"/>
    <w:rsid w:val="29C21BB6"/>
    <w:rsid w:val="29C5558D"/>
    <w:rsid w:val="29DB504D"/>
    <w:rsid w:val="29DB7423"/>
    <w:rsid w:val="29DF6AB6"/>
    <w:rsid w:val="29E66885"/>
    <w:rsid w:val="29FF28F3"/>
    <w:rsid w:val="2A1262DA"/>
    <w:rsid w:val="2A182CBF"/>
    <w:rsid w:val="2A1C138C"/>
    <w:rsid w:val="2A203B32"/>
    <w:rsid w:val="2A2B7E43"/>
    <w:rsid w:val="2A3A138D"/>
    <w:rsid w:val="2A47702F"/>
    <w:rsid w:val="2A4A53AF"/>
    <w:rsid w:val="2A5266D7"/>
    <w:rsid w:val="2A5E36F7"/>
    <w:rsid w:val="2A7C5E0E"/>
    <w:rsid w:val="2A7F6E86"/>
    <w:rsid w:val="2A8936CB"/>
    <w:rsid w:val="2A916E63"/>
    <w:rsid w:val="2A966435"/>
    <w:rsid w:val="2A97233B"/>
    <w:rsid w:val="2A9C639D"/>
    <w:rsid w:val="2AA51CE5"/>
    <w:rsid w:val="2ACD5534"/>
    <w:rsid w:val="2AD44A47"/>
    <w:rsid w:val="2AEA3D63"/>
    <w:rsid w:val="2AEB1B17"/>
    <w:rsid w:val="2AF9737E"/>
    <w:rsid w:val="2B000B26"/>
    <w:rsid w:val="2B1546BC"/>
    <w:rsid w:val="2B2C1460"/>
    <w:rsid w:val="2B4D50F0"/>
    <w:rsid w:val="2B5C1C06"/>
    <w:rsid w:val="2B626843"/>
    <w:rsid w:val="2B6515C0"/>
    <w:rsid w:val="2B67052B"/>
    <w:rsid w:val="2B6969D6"/>
    <w:rsid w:val="2B6A3EF4"/>
    <w:rsid w:val="2B7450EA"/>
    <w:rsid w:val="2B856DDE"/>
    <w:rsid w:val="2B8F2717"/>
    <w:rsid w:val="2B9343ED"/>
    <w:rsid w:val="2BA02A26"/>
    <w:rsid w:val="2BB16B38"/>
    <w:rsid w:val="2BD355F5"/>
    <w:rsid w:val="2BD47EA5"/>
    <w:rsid w:val="2BD61242"/>
    <w:rsid w:val="2BD6206E"/>
    <w:rsid w:val="2BD96AC1"/>
    <w:rsid w:val="2BE343B0"/>
    <w:rsid w:val="2BE81FA6"/>
    <w:rsid w:val="2BE912BD"/>
    <w:rsid w:val="2BEE4476"/>
    <w:rsid w:val="2BF07939"/>
    <w:rsid w:val="2BFB2586"/>
    <w:rsid w:val="2BFC0FF0"/>
    <w:rsid w:val="2BFF44E2"/>
    <w:rsid w:val="2C1A2B1C"/>
    <w:rsid w:val="2C230793"/>
    <w:rsid w:val="2C247BE0"/>
    <w:rsid w:val="2C286B04"/>
    <w:rsid w:val="2C2A7038"/>
    <w:rsid w:val="2C2E74E1"/>
    <w:rsid w:val="2C381966"/>
    <w:rsid w:val="2C385DA0"/>
    <w:rsid w:val="2C3F7BFB"/>
    <w:rsid w:val="2C5574FC"/>
    <w:rsid w:val="2C652E63"/>
    <w:rsid w:val="2C68554D"/>
    <w:rsid w:val="2C6F08A3"/>
    <w:rsid w:val="2C720665"/>
    <w:rsid w:val="2C7A32C7"/>
    <w:rsid w:val="2C89132F"/>
    <w:rsid w:val="2C963CF7"/>
    <w:rsid w:val="2CB43679"/>
    <w:rsid w:val="2CC2378F"/>
    <w:rsid w:val="2CC31523"/>
    <w:rsid w:val="2CC74419"/>
    <w:rsid w:val="2CCB2770"/>
    <w:rsid w:val="2CD5539D"/>
    <w:rsid w:val="2CD619DC"/>
    <w:rsid w:val="2CD6246C"/>
    <w:rsid w:val="2CDC3A44"/>
    <w:rsid w:val="2CE426E9"/>
    <w:rsid w:val="2CEE24B0"/>
    <w:rsid w:val="2CF128A6"/>
    <w:rsid w:val="2CF550EF"/>
    <w:rsid w:val="2CF74D82"/>
    <w:rsid w:val="2D0E4A50"/>
    <w:rsid w:val="2D274AC9"/>
    <w:rsid w:val="2D2D5590"/>
    <w:rsid w:val="2D3227EF"/>
    <w:rsid w:val="2D3375D6"/>
    <w:rsid w:val="2D3825BD"/>
    <w:rsid w:val="2D387214"/>
    <w:rsid w:val="2D3A4BC3"/>
    <w:rsid w:val="2D4D429A"/>
    <w:rsid w:val="2D527980"/>
    <w:rsid w:val="2D5359DD"/>
    <w:rsid w:val="2D54372E"/>
    <w:rsid w:val="2D553314"/>
    <w:rsid w:val="2D6C6708"/>
    <w:rsid w:val="2D731260"/>
    <w:rsid w:val="2D787F2E"/>
    <w:rsid w:val="2D835A04"/>
    <w:rsid w:val="2D8E07CC"/>
    <w:rsid w:val="2D9D35FD"/>
    <w:rsid w:val="2DA41C72"/>
    <w:rsid w:val="2DAA05D8"/>
    <w:rsid w:val="2DAE0945"/>
    <w:rsid w:val="2DAE631A"/>
    <w:rsid w:val="2DB24E94"/>
    <w:rsid w:val="2DC01F16"/>
    <w:rsid w:val="2DD1437F"/>
    <w:rsid w:val="2DD421FF"/>
    <w:rsid w:val="2DD72A4E"/>
    <w:rsid w:val="2DE57862"/>
    <w:rsid w:val="2DF76077"/>
    <w:rsid w:val="2E082B67"/>
    <w:rsid w:val="2E0D48AC"/>
    <w:rsid w:val="2E1143BA"/>
    <w:rsid w:val="2E1F2D74"/>
    <w:rsid w:val="2E2575E7"/>
    <w:rsid w:val="2E291C27"/>
    <w:rsid w:val="2E2E7088"/>
    <w:rsid w:val="2E3C0174"/>
    <w:rsid w:val="2E737F2B"/>
    <w:rsid w:val="2E782FA2"/>
    <w:rsid w:val="2E7D6E18"/>
    <w:rsid w:val="2E813A2E"/>
    <w:rsid w:val="2E951288"/>
    <w:rsid w:val="2E953974"/>
    <w:rsid w:val="2EB45BB2"/>
    <w:rsid w:val="2ECF0CC9"/>
    <w:rsid w:val="2EE60360"/>
    <w:rsid w:val="2EFD693F"/>
    <w:rsid w:val="2F192E4A"/>
    <w:rsid w:val="2F195A15"/>
    <w:rsid w:val="2F1F3D00"/>
    <w:rsid w:val="2F2A5380"/>
    <w:rsid w:val="2F2D4FF3"/>
    <w:rsid w:val="2F3D24BE"/>
    <w:rsid w:val="2F3D297D"/>
    <w:rsid w:val="2F460D1C"/>
    <w:rsid w:val="2F4D0354"/>
    <w:rsid w:val="2F762E56"/>
    <w:rsid w:val="2F8256D1"/>
    <w:rsid w:val="2FA01E86"/>
    <w:rsid w:val="2FA072AA"/>
    <w:rsid w:val="2FAD1C57"/>
    <w:rsid w:val="2FBB3CF9"/>
    <w:rsid w:val="2FCB2483"/>
    <w:rsid w:val="2FD138FC"/>
    <w:rsid w:val="2FD638AC"/>
    <w:rsid w:val="2FE05FBE"/>
    <w:rsid w:val="2FE43FDD"/>
    <w:rsid w:val="2FF90648"/>
    <w:rsid w:val="2FFF4A61"/>
    <w:rsid w:val="30040886"/>
    <w:rsid w:val="300513A1"/>
    <w:rsid w:val="300B0D6B"/>
    <w:rsid w:val="301601A6"/>
    <w:rsid w:val="302723B3"/>
    <w:rsid w:val="302763B8"/>
    <w:rsid w:val="30307871"/>
    <w:rsid w:val="303625F7"/>
    <w:rsid w:val="303E7862"/>
    <w:rsid w:val="304A4A74"/>
    <w:rsid w:val="3065616E"/>
    <w:rsid w:val="306C0D24"/>
    <w:rsid w:val="306C6018"/>
    <w:rsid w:val="30934FA3"/>
    <w:rsid w:val="30C32EBD"/>
    <w:rsid w:val="30C62949"/>
    <w:rsid w:val="30C742BB"/>
    <w:rsid w:val="30CE5F5B"/>
    <w:rsid w:val="30D140CD"/>
    <w:rsid w:val="30D54138"/>
    <w:rsid w:val="30DD499B"/>
    <w:rsid w:val="30DE0B6C"/>
    <w:rsid w:val="30E023AB"/>
    <w:rsid w:val="30F37032"/>
    <w:rsid w:val="30F54707"/>
    <w:rsid w:val="310B00EB"/>
    <w:rsid w:val="311450E7"/>
    <w:rsid w:val="311A32FA"/>
    <w:rsid w:val="31210218"/>
    <w:rsid w:val="312104A0"/>
    <w:rsid w:val="31251CFE"/>
    <w:rsid w:val="312C7CF3"/>
    <w:rsid w:val="313638D9"/>
    <w:rsid w:val="31595382"/>
    <w:rsid w:val="31624F0F"/>
    <w:rsid w:val="31655FD0"/>
    <w:rsid w:val="316D56E4"/>
    <w:rsid w:val="3179284B"/>
    <w:rsid w:val="31836236"/>
    <w:rsid w:val="31937477"/>
    <w:rsid w:val="31990777"/>
    <w:rsid w:val="31B42842"/>
    <w:rsid w:val="31B9528D"/>
    <w:rsid w:val="31C66CCC"/>
    <w:rsid w:val="31CC585F"/>
    <w:rsid w:val="31D15C10"/>
    <w:rsid w:val="31E91BBE"/>
    <w:rsid w:val="31ED0239"/>
    <w:rsid w:val="31F47D5A"/>
    <w:rsid w:val="32067218"/>
    <w:rsid w:val="320E69E9"/>
    <w:rsid w:val="32124296"/>
    <w:rsid w:val="32194C54"/>
    <w:rsid w:val="321A527E"/>
    <w:rsid w:val="321D4B72"/>
    <w:rsid w:val="322E16E2"/>
    <w:rsid w:val="32432DA9"/>
    <w:rsid w:val="324A05DB"/>
    <w:rsid w:val="324C0374"/>
    <w:rsid w:val="328420F5"/>
    <w:rsid w:val="328B7638"/>
    <w:rsid w:val="3295002D"/>
    <w:rsid w:val="32AA2E28"/>
    <w:rsid w:val="32AB33CF"/>
    <w:rsid w:val="32B42824"/>
    <w:rsid w:val="32C157C4"/>
    <w:rsid w:val="32C8363D"/>
    <w:rsid w:val="32D1329C"/>
    <w:rsid w:val="32FA78FD"/>
    <w:rsid w:val="3304078A"/>
    <w:rsid w:val="331D6AD4"/>
    <w:rsid w:val="332350B4"/>
    <w:rsid w:val="33240E2C"/>
    <w:rsid w:val="33282A71"/>
    <w:rsid w:val="332B3F69"/>
    <w:rsid w:val="33337F33"/>
    <w:rsid w:val="333F1D8B"/>
    <w:rsid w:val="33424FED"/>
    <w:rsid w:val="3343516C"/>
    <w:rsid w:val="33492E2E"/>
    <w:rsid w:val="33520138"/>
    <w:rsid w:val="33752EC1"/>
    <w:rsid w:val="338031C3"/>
    <w:rsid w:val="33812FD2"/>
    <w:rsid w:val="338D077F"/>
    <w:rsid w:val="338F7F6E"/>
    <w:rsid w:val="339B0475"/>
    <w:rsid w:val="339B79A9"/>
    <w:rsid w:val="33A71941"/>
    <w:rsid w:val="33AB6954"/>
    <w:rsid w:val="33AD188D"/>
    <w:rsid w:val="33B41CB1"/>
    <w:rsid w:val="33C934A7"/>
    <w:rsid w:val="33CD64EB"/>
    <w:rsid w:val="33D64316"/>
    <w:rsid w:val="33D90673"/>
    <w:rsid w:val="33EB5031"/>
    <w:rsid w:val="33EE2079"/>
    <w:rsid w:val="33F06083"/>
    <w:rsid w:val="33FC636A"/>
    <w:rsid w:val="34004AE8"/>
    <w:rsid w:val="34091779"/>
    <w:rsid w:val="340B78F6"/>
    <w:rsid w:val="341226A9"/>
    <w:rsid w:val="341E7629"/>
    <w:rsid w:val="342509B8"/>
    <w:rsid w:val="343859F7"/>
    <w:rsid w:val="34416B38"/>
    <w:rsid w:val="34420300"/>
    <w:rsid w:val="34433D47"/>
    <w:rsid w:val="344C6453"/>
    <w:rsid w:val="34524488"/>
    <w:rsid w:val="345A078A"/>
    <w:rsid w:val="345D1D21"/>
    <w:rsid w:val="345E115C"/>
    <w:rsid w:val="34615E02"/>
    <w:rsid w:val="34641E37"/>
    <w:rsid w:val="34673727"/>
    <w:rsid w:val="346B250E"/>
    <w:rsid w:val="346E5826"/>
    <w:rsid w:val="34726EBE"/>
    <w:rsid w:val="34767C37"/>
    <w:rsid w:val="347A51A8"/>
    <w:rsid w:val="347B0462"/>
    <w:rsid w:val="34871F5D"/>
    <w:rsid w:val="3488048C"/>
    <w:rsid w:val="349520FA"/>
    <w:rsid w:val="349624F8"/>
    <w:rsid w:val="349D0729"/>
    <w:rsid w:val="349E1D71"/>
    <w:rsid w:val="349E5729"/>
    <w:rsid w:val="34A8087C"/>
    <w:rsid w:val="34B46726"/>
    <w:rsid w:val="34BD6E42"/>
    <w:rsid w:val="34CF6B76"/>
    <w:rsid w:val="34E13019"/>
    <w:rsid w:val="34E14E55"/>
    <w:rsid w:val="34F93678"/>
    <w:rsid w:val="35020A53"/>
    <w:rsid w:val="351E7177"/>
    <w:rsid w:val="352C5D76"/>
    <w:rsid w:val="352D06BF"/>
    <w:rsid w:val="353E7904"/>
    <w:rsid w:val="354906C9"/>
    <w:rsid w:val="35523A2F"/>
    <w:rsid w:val="35531555"/>
    <w:rsid w:val="35560CBE"/>
    <w:rsid w:val="35594D77"/>
    <w:rsid w:val="356956F9"/>
    <w:rsid w:val="356D4CEA"/>
    <w:rsid w:val="357E44D0"/>
    <w:rsid w:val="35816261"/>
    <w:rsid w:val="359673B0"/>
    <w:rsid w:val="359B2417"/>
    <w:rsid w:val="359B39D9"/>
    <w:rsid w:val="35A126EE"/>
    <w:rsid w:val="35A23552"/>
    <w:rsid w:val="35A721BC"/>
    <w:rsid w:val="35AE22D4"/>
    <w:rsid w:val="35B07A0B"/>
    <w:rsid w:val="35CA1DAC"/>
    <w:rsid w:val="35DB3787"/>
    <w:rsid w:val="35DD572A"/>
    <w:rsid w:val="35E8325C"/>
    <w:rsid w:val="35FD708C"/>
    <w:rsid w:val="360063DF"/>
    <w:rsid w:val="36172F12"/>
    <w:rsid w:val="3636216A"/>
    <w:rsid w:val="364D57F4"/>
    <w:rsid w:val="36523428"/>
    <w:rsid w:val="366759D5"/>
    <w:rsid w:val="36773E7B"/>
    <w:rsid w:val="3683557F"/>
    <w:rsid w:val="36894CA2"/>
    <w:rsid w:val="369B7D61"/>
    <w:rsid w:val="36B546A7"/>
    <w:rsid w:val="36B72122"/>
    <w:rsid w:val="36C22E36"/>
    <w:rsid w:val="36D221CC"/>
    <w:rsid w:val="36D611EE"/>
    <w:rsid w:val="36D84055"/>
    <w:rsid w:val="36EA21BD"/>
    <w:rsid w:val="36EB5C9A"/>
    <w:rsid w:val="36EF7101"/>
    <w:rsid w:val="36F8450F"/>
    <w:rsid w:val="36FD05C8"/>
    <w:rsid w:val="370E6133"/>
    <w:rsid w:val="371B2276"/>
    <w:rsid w:val="37243354"/>
    <w:rsid w:val="37306DCD"/>
    <w:rsid w:val="373C022C"/>
    <w:rsid w:val="373F7FE3"/>
    <w:rsid w:val="37453A07"/>
    <w:rsid w:val="37550BD5"/>
    <w:rsid w:val="37717D56"/>
    <w:rsid w:val="37720AAC"/>
    <w:rsid w:val="377A5D21"/>
    <w:rsid w:val="377E5D1B"/>
    <w:rsid w:val="37885DF3"/>
    <w:rsid w:val="37937A11"/>
    <w:rsid w:val="37940457"/>
    <w:rsid w:val="379978CD"/>
    <w:rsid w:val="37A00097"/>
    <w:rsid w:val="37A11532"/>
    <w:rsid w:val="37C86F81"/>
    <w:rsid w:val="37C91D2F"/>
    <w:rsid w:val="380B0994"/>
    <w:rsid w:val="380E42B0"/>
    <w:rsid w:val="38123949"/>
    <w:rsid w:val="38261DB5"/>
    <w:rsid w:val="38303EBD"/>
    <w:rsid w:val="383B2B6D"/>
    <w:rsid w:val="384E0152"/>
    <w:rsid w:val="384E34A3"/>
    <w:rsid w:val="38517CB2"/>
    <w:rsid w:val="38697492"/>
    <w:rsid w:val="3873785F"/>
    <w:rsid w:val="38746667"/>
    <w:rsid w:val="387A5226"/>
    <w:rsid w:val="388115DF"/>
    <w:rsid w:val="388855EC"/>
    <w:rsid w:val="38A04AFF"/>
    <w:rsid w:val="38B11A0F"/>
    <w:rsid w:val="38C32BC4"/>
    <w:rsid w:val="38C63A25"/>
    <w:rsid w:val="38D92D8B"/>
    <w:rsid w:val="38F51AE2"/>
    <w:rsid w:val="38FA56BD"/>
    <w:rsid w:val="390941E9"/>
    <w:rsid w:val="390C2F8E"/>
    <w:rsid w:val="39284D56"/>
    <w:rsid w:val="392E2DB0"/>
    <w:rsid w:val="393D67A4"/>
    <w:rsid w:val="394057D1"/>
    <w:rsid w:val="394344EF"/>
    <w:rsid w:val="394814D7"/>
    <w:rsid w:val="394A4CF5"/>
    <w:rsid w:val="39555513"/>
    <w:rsid w:val="395E43DF"/>
    <w:rsid w:val="396B5369"/>
    <w:rsid w:val="396F0FDE"/>
    <w:rsid w:val="397420BD"/>
    <w:rsid w:val="39762868"/>
    <w:rsid w:val="39777B8D"/>
    <w:rsid w:val="397F6DBC"/>
    <w:rsid w:val="39806AA7"/>
    <w:rsid w:val="39976525"/>
    <w:rsid w:val="39A31E80"/>
    <w:rsid w:val="39A46139"/>
    <w:rsid w:val="39B220F3"/>
    <w:rsid w:val="39BE4CBE"/>
    <w:rsid w:val="39C422B0"/>
    <w:rsid w:val="39CA79D0"/>
    <w:rsid w:val="39D41981"/>
    <w:rsid w:val="39D43709"/>
    <w:rsid w:val="39EF3F36"/>
    <w:rsid w:val="39FA6443"/>
    <w:rsid w:val="39FE6259"/>
    <w:rsid w:val="3A1056BB"/>
    <w:rsid w:val="3A120B52"/>
    <w:rsid w:val="3A381C1A"/>
    <w:rsid w:val="3A485792"/>
    <w:rsid w:val="3A486BF6"/>
    <w:rsid w:val="3A4B5144"/>
    <w:rsid w:val="3A4D6517"/>
    <w:rsid w:val="3A571AE7"/>
    <w:rsid w:val="3A6064A7"/>
    <w:rsid w:val="3A6B241C"/>
    <w:rsid w:val="3A831D9E"/>
    <w:rsid w:val="3A8E57CC"/>
    <w:rsid w:val="3A9E2B7D"/>
    <w:rsid w:val="3AA128CC"/>
    <w:rsid w:val="3AA52853"/>
    <w:rsid w:val="3AB45C40"/>
    <w:rsid w:val="3ACA044A"/>
    <w:rsid w:val="3AE42B04"/>
    <w:rsid w:val="3AF063E4"/>
    <w:rsid w:val="3AFC7AC2"/>
    <w:rsid w:val="3B0D4798"/>
    <w:rsid w:val="3B131EB2"/>
    <w:rsid w:val="3B20012B"/>
    <w:rsid w:val="3B2A29CE"/>
    <w:rsid w:val="3B2D6176"/>
    <w:rsid w:val="3B31665B"/>
    <w:rsid w:val="3B3360B0"/>
    <w:rsid w:val="3B3B4F65"/>
    <w:rsid w:val="3B3C4528"/>
    <w:rsid w:val="3B483753"/>
    <w:rsid w:val="3B485E93"/>
    <w:rsid w:val="3B4A34A9"/>
    <w:rsid w:val="3B4A51A8"/>
    <w:rsid w:val="3B5D0B71"/>
    <w:rsid w:val="3B5F6672"/>
    <w:rsid w:val="3B712735"/>
    <w:rsid w:val="3B751044"/>
    <w:rsid w:val="3B7C1803"/>
    <w:rsid w:val="3B8A2526"/>
    <w:rsid w:val="3B8B2C2B"/>
    <w:rsid w:val="3B975C68"/>
    <w:rsid w:val="3BAD5852"/>
    <w:rsid w:val="3BC04CD1"/>
    <w:rsid w:val="3BCC0D1E"/>
    <w:rsid w:val="3BDA1099"/>
    <w:rsid w:val="3BDD7DCA"/>
    <w:rsid w:val="3BE36A67"/>
    <w:rsid w:val="3BF822AF"/>
    <w:rsid w:val="3BF82E56"/>
    <w:rsid w:val="3C0417FB"/>
    <w:rsid w:val="3C20565F"/>
    <w:rsid w:val="3C246F04"/>
    <w:rsid w:val="3C2765AA"/>
    <w:rsid w:val="3C370B71"/>
    <w:rsid w:val="3C545742"/>
    <w:rsid w:val="3C557D6A"/>
    <w:rsid w:val="3C58291C"/>
    <w:rsid w:val="3C607A16"/>
    <w:rsid w:val="3C936F7D"/>
    <w:rsid w:val="3CA0641A"/>
    <w:rsid w:val="3CA61D6B"/>
    <w:rsid w:val="3CA63327"/>
    <w:rsid w:val="3CAF0976"/>
    <w:rsid w:val="3CBD5E9D"/>
    <w:rsid w:val="3CC322ED"/>
    <w:rsid w:val="3CD028AA"/>
    <w:rsid w:val="3CE83C6A"/>
    <w:rsid w:val="3CED4B3C"/>
    <w:rsid w:val="3CEE438E"/>
    <w:rsid w:val="3CEF2D79"/>
    <w:rsid w:val="3CF11132"/>
    <w:rsid w:val="3CF41E98"/>
    <w:rsid w:val="3CF57F96"/>
    <w:rsid w:val="3CF712C9"/>
    <w:rsid w:val="3D067C6C"/>
    <w:rsid w:val="3D270F91"/>
    <w:rsid w:val="3D2A1CB4"/>
    <w:rsid w:val="3D2C4092"/>
    <w:rsid w:val="3D3326BE"/>
    <w:rsid w:val="3D3448D9"/>
    <w:rsid w:val="3D4347BD"/>
    <w:rsid w:val="3D657C53"/>
    <w:rsid w:val="3D6A1694"/>
    <w:rsid w:val="3D9B7F3D"/>
    <w:rsid w:val="3DA62A96"/>
    <w:rsid w:val="3DAF2BA2"/>
    <w:rsid w:val="3DB466B1"/>
    <w:rsid w:val="3DBA180E"/>
    <w:rsid w:val="3DCE510A"/>
    <w:rsid w:val="3DD73F9A"/>
    <w:rsid w:val="3DF312F2"/>
    <w:rsid w:val="3DF61187"/>
    <w:rsid w:val="3E001957"/>
    <w:rsid w:val="3E0B3241"/>
    <w:rsid w:val="3E17695C"/>
    <w:rsid w:val="3E194ECB"/>
    <w:rsid w:val="3E295B09"/>
    <w:rsid w:val="3E321F83"/>
    <w:rsid w:val="3E464C98"/>
    <w:rsid w:val="3E5C591E"/>
    <w:rsid w:val="3E5F3652"/>
    <w:rsid w:val="3E6E3C29"/>
    <w:rsid w:val="3E726EC0"/>
    <w:rsid w:val="3E7A605E"/>
    <w:rsid w:val="3E8030F8"/>
    <w:rsid w:val="3E872C28"/>
    <w:rsid w:val="3E8A78E1"/>
    <w:rsid w:val="3E8E57F8"/>
    <w:rsid w:val="3E8F7930"/>
    <w:rsid w:val="3E90225C"/>
    <w:rsid w:val="3E9055F2"/>
    <w:rsid w:val="3E925113"/>
    <w:rsid w:val="3E975990"/>
    <w:rsid w:val="3E9D5F8B"/>
    <w:rsid w:val="3E9E2A71"/>
    <w:rsid w:val="3EB07D40"/>
    <w:rsid w:val="3EC82099"/>
    <w:rsid w:val="3EDF02CD"/>
    <w:rsid w:val="3EE63847"/>
    <w:rsid w:val="3EF8213B"/>
    <w:rsid w:val="3EF9223C"/>
    <w:rsid w:val="3EFE1423"/>
    <w:rsid w:val="3F07345E"/>
    <w:rsid w:val="3F0B4C4E"/>
    <w:rsid w:val="3F1A76DA"/>
    <w:rsid w:val="3F207AF9"/>
    <w:rsid w:val="3F2B5E43"/>
    <w:rsid w:val="3F3D5750"/>
    <w:rsid w:val="3F3F07A3"/>
    <w:rsid w:val="3F4A4DFF"/>
    <w:rsid w:val="3F6902F3"/>
    <w:rsid w:val="3F693A6D"/>
    <w:rsid w:val="3F6A1924"/>
    <w:rsid w:val="3F6F6438"/>
    <w:rsid w:val="3F7F0835"/>
    <w:rsid w:val="3F865973"/>
    <w:rsid w:val="3F8F7B3E"/>
    <w:rsid w:val="3F9C7C9F"/>
    <w:rsid w:val="3F9E47AC"/>
    <w:rsid w:val="3FA3301A"/>
    <w:rsid w:val="3FC62C6D"/>
    <w:rsid w:val="3FC66711"/>
    <w:rsid w:val="3FC71DA6"/>
    <w:rsid w:val="3FDD2A8F"/>
    <w:rsid w:val="3FDF04E4"/>
    <w:rsid w:val="3FE15D89"/>
    <w:rsid w:val="3FEB1BF0"/>
    <w:rsid w:val="3FF2419E"/>
    <w:rsid w:val="3FF26BB5"/>
    <w:rsid w:val="3FF37730"/>
    <w:rsid w:val="3FF878C8"/>
    <w:rsid w:val="400D5F11"/>
    <w:rsid w:val="40135FB2"/>
    <w:rsid w:val="40174E86"/>
    <w:rsid w:val="4034301E"/>
    <w:rsid w:val="4041752B"/>
    <w:rsid w:val="40534D2D"/>
    <w:rsid w:val="406370F2"/>
    <w:rsid w:val="406A46F1"/>
    <w:rsid w:val="406F752F"/>
    <w:rsid w:val="407161AE"/>
    <w:rsid w:val="40721429"/>
    <w:rsid w:val="408F2DBD"/>
    <w:rsid w:val="40972C3D"/>
    <w:rsid w:val="409B77F7"/>
    <w:rsid w:val="40BD2ACD"/>
    <w:rsid w:val="40C3743E"/>
    <w:rsid w:val="40CD53CC"/>
    <w:rsid w:val="40D34543"/>
    <w:rsid w:val="410F3DEB"/>
    <w:rsid w:val="411370B7"/>
    <w:rsid w:val="411A3BBF"/>
    <w:rsid w:val="41200C93"/>
    <w:rsid w:val="41200E85"/>
    <w:rsid w:val="41207976"/>
    <w:rsid w:val="41273FE2"/>
    <w:rsid w:val="412D48C5"/>
    <w:rsid w:val="412E54F3"/>
    <w:rsid w:val="412F4A43"/>
    <w:rsid w:val="41303EB7"/>
    <w:rsid w:val="414D27D9"/>
    <w:rsid w:val="4152788F"/>
    <w:rsid w:val="4155508E"/>
    <w:rsid w:val="41594DB8"/>
    <w:rsid w:val="41884B1E"/>
    <w:rsid w:val="419114C7"/>
    <w:rsid w:val="419B1C9E"/>
    <w:rsid w:val="41A056EB"/>
    <w:rsid w:val="41C061A2"/>
    <w:rsid w:val="41CF73EE"/>
    <w:rsid w:val="41D27174"/>
    <w:rsid w:val="41DA3F5C"/>
    <w:rsid w:val="41DE19CE"/>
    <w:rsid w:val="41E70108"/>
    <w:rsid w:val="41EB4547"/>
    <w:rsid w:val="41F40CE9"/>
    <w:rsid w:val="41FD4D22"/>
    <w:rsid w:val="42035B30"/>
    <w:rsid w:val="42067020"/>
    <w:rsid w:val="42187AA2"/>
    <w:rsid w:val="42380450"/>
    <w:rsid w:val="423A41C8"/>
    <w:rsid w:val="425B38D2"/>
    <w:rsid w:val="426E50EB"/>
    <w:rsid w:val="42723962"/>
    <w:rsid w:val="42997CBC"/>
    <w:rsid w:val="42A15FF5"/>
    <w:rsid w:val="42AC49F7"/>
    <w:rsid w:val="42B64E5E"/>
    <w:rsid w:val="42C40F95"/>
    <w:rsid w:val="42C94BB5"/>
    <w:rsid w:val="42CF1347"/>
    <w:rsid w:val="42D56BB0"/>
    <w:rsid w:val="42D749AC"/>
    <w:rsid w:val="42DC1D2F"/>
    <w:rsid w:val="42E969F2"/>
    <w:rsid w:val="42F218FC"/>
    <w:rsid w:val="42F5786B"/>
    <w:rsid w:val="432804C5"/>
    <w:rsid w:val="432B3B11"/>
    <w:rsid w:val="43324307"/>
    <w:rsid w:val="4335673E"/>
    <w:rsid w:val="43357816"/>
    <w:rsid w:val="43397FDC"/>
    <w:rsid w:val="43432C09"/>
    <w:rsid w:val="434A0332"/>
    <w:rsid w:val="4351324E"/>
    <w:rsid w:val="43556D9A"/>
    <w:rsid w:val="435E2A71"/>
    <w:rsid w:val="43617533"/>
    <w:rsid w:val="4363434A"/>
    <w:rsid w:val="436A3904"/>
    <w:rsid w:val="436A666B"/>
    <w:rsid w:val="43707B1A"/>
    <w:rsid w:val="437E461B"/>
    <w:rsid w:val="43892E3C"/>
    <w:rsid w:val="438D20D6"/>
    <w:rsid w:val="43A06CB8"/>
    <w:rsid w:val="43A875FE"/>
    <w:rsid w:val="43B4386E"/>
    <w:rsid w:val="43C755E8"/>
    <w:rsid w:val="43E66D33"/>
    <w:rsid w:val="43F02F47"/>
    <w:rsid w:val="43F04F16"/>
    <w:rsid w:val="43FE45A6"/>
    <w:rsid w:val="44067905"/>
    <w:rsid w:val="440E2CE7"/>
    <w:rsid w:val="441D41E1"/>
    <w:rsid w:val="44271EB8"/>
    <w:rsid w:val="44276414"/>
    <w:rsid w:val="443943AE"/>
    <w:rsid w:val="443C0821"/>
    <w:rsid w:val="443F2F94"/>
    <w:rsid w:val="444877E1"/>
    <w:rsid w:val="44500060"/>
    <w:rsid w:val="445721C7"/>
    <w:rsid w:val="4469329D"/>
    <w:rsid w:val="446E3E4C"/>
    <w:rsid w:val="4470286F"/>
    <w:rsid w:val="4472012A"/>
    <w:rsid w:val="44746D67"/>
    <w:rsid w:val="447620BD"/>
    <w:rsid w:val="4491650B"/>
    <w:rsid w:val="449C4BB5"/>
    <w:rsid w:val="44A155A8"/>
    <w:rsid w:val="44A469B1"/>
    <w:rsid w:val="44AB3055"/>
    <w:rsid w:val="44AE2568"/>
    <w:rsid w:val="44B244EA"/>
    <w:rsid w:val="44C766DA"/>
    <w:rsid w:val="44C8452A"/>
    <w:rsid w:val="44CC031B"/>
    <w:rsid w:val="44E169D3"/>
    <w:rsid w:val="44E747E0"/>
    <w:rsid w:val="44EB3558"/>
    <w:rsid w:val="44EC4E72"/>
    <w:rsid w:val="44F638C4"/>
    <w:rsid w:val="45043259"/>
    <w:rsid w:val="450A759D"/>
    <w:rsid w:val="45221D38"/>
    <w:rsid w:val="452A38DA"/>
    <w:rsid w:val="452C28F2"/>
    <w:rsid w:val="453A5E0F"/>
    <w:rsid w:val="454164EB"/>
    <w:rsid w:val="45486209"/>
    <w:rsid w:val="4551720E"/>
    <w:rsid w:val="455235D7"/>
    <w:rsid w:val="455F113F"/>
    <w:rsid w:val="456B28EB"/>
    <w:rsid w:val="456E21BF"/>
    <w:rsid w:val="457F517E"/>
    <w:rsid w:val="45811B8B"/>
    <w:rsid w:val="4584018C"/>
    <w:rsid w:val="458C6959"/>
    <w:rsid w:val="45960C38"/>
    <w:rsid w:val="459B4F7E"/>
    <w:rsid w:val="459C2AA4"/>
    <w:rsid w:val="459D0C20"/>
    <w:rsid w:val="45B07E68"/>
    <w:rsid w:val="45B303DF"/>
    <w:rsid w:val="45B33DF3"/>
    <w:rsid w:val="45B66AA7"/>
    <w:rsid w:val="45D44BA8"/>
    <w:rsid w:val="45D536DA"/>
    <w:rsid w:val="45D8725E"/>
    <w:rsid w:val="45E745BD"/>
    <w:rsid w:val="45EC6A69"/>
    <w:rsid w:val="46001391"/>
    <w:rsid w:val="460A1468"/>
    <w:rsid w:val="460C3E5F"/>
    <w:rsid w:val="46140B19"/>
    <w:rsid w:val="46190BA3"/>
    <w:rsid w:val="462F3F4B"/>
    <w:rsid w:val="46334401"/>
    <w:rsid w:val="463D4287"/>
    <w:rsid w:val="46675B0E"/>
    <w:rsid w:val="468966C8"/>
    <w:rsid w:val="468E3036"/>
    <w:rsid w:val="469221D1"/>
    <w:rsid w:val="46941E42"/>
    <w:rsid w:val="46946234"/>
    <w:rsid w:val="469559DB"/>
    <w:rsid w:val="469A5235"/>
    <w:rsid w:val="469D0857"/>
    <w:rsid w:val="469F7EC4"/>
    <w:rsid w:val="46B27839"/>
    <w:rsid w:val="46BE512D"/>
    <w:rsid w:val="46C43D67"/>
    <w:rsid w:val="46C617E7"/>
    <w:rsid w:val="46D60070"/>
    <w:rsid w:val="46DC75FC"/>
    <w:rsid w:val="46E147D5"/>
    <w:rsid w:val="46F262C2"/>
    <w:rsid w:val="46F563A1"/>
    <w:rsid w:val="46FF4F29"/>
    <w:rsid w:val="46FF6323"/>
    <w:rsid w:val="470D1EAB"/>
    <w:rsid w:val="470D5EEE"/>
    <w:rsid w:val="47104C80"/>
    <w:rsid w:val="47170590"/>
    <w:rsid w:val="47234809"/>
    <w:rsid w:val="47256537"/>
    <w:rsid w:val="47317C79"/>
    <w:rsid w:val="473612F2"/>
    <w:rsid w:val="47386059"/>
    <w:rsid w:val="47386635"/>
    <w:rsid w:val="474B2F8B"/>
    <w:rsid w:val="475278BE"/>
    <w:rsid w:val="47536239"/>
    <w:rsid w:val="47551BB4"/>
    <w:rsid w:val="47584DB3"/>
    <w:rsid w:val="47675E80"/>
    <w:rsid w:val="47695EE3"/>
    <w:rsid w:val="476B795A"/>
    <w:rsid w:val="4772602C"/>
    <w:rsid w:val="47806BB6"/>
    <w:rsid w:val="4796680E"/>
    <w:rsid w:val="47A82237"/>
    <w:rsid w:val="47A842C3"/>
    <w:rsid w:val="47AC5D7E"/>
    <w:rsid w:val="47C41E50"/>
    <w:rsid w:val="47CA38F8"/>
    <w:rsid w:val="47CE1915"/>
    <w:rsid w:val="47D80EB1"/>
    <w:rsid w:val="47DB7DFA"/>
    <w:rsid w:val="47E03716"/>
    <w:rsid w:val="47E735E9"/>
    <w:rsid w:val="47E86474"/>
    <w:rsid w:val="47FC60BF"/>
    <w:rsid w:val="480F3A01"/>
    <w:rsid w:val="481D0645"/>
    <w:rsid w:val="4826706B"/>
    <w:rsid w:val="483A0930"/>
    <w:rsid w:val="484B1A3A"/>
    <w:rsid w:val="485129AB"/>
    <w:rsid w:val="48540C51"/>
    <w:rsid w:val="48553256"/>
    <w:rsid w:val="485D0FDA"/>
    <w:rsid w:val="485E2293"/>
    <w:rsid w:val="486130FE"/>
    <w:rsid w:val="486A72B7"/>
    <w:rsid w:val="486C0E54"/>
    <w:rsid w:val="48813C4B"/>
    <w:rsid w:val="4882569D"/>
    <w:rsid w:val="48847671"/>
    <w:rsid w:val="48966774"/>
    <w:rsid w:val="489D78CE"/>
    <w:rsid w:val="48AD1C90"/>
    <w:rsid w:val="48CD3E24"/>
    <w:rsid w:val="48D6001B"/>
    <w:rsid w:val="48E1519A"/>
    <w:rsid w:val="48E3068C"/>
    <w:rsid w:val="48FD385A"/>
    <w:rsid w:val="48FD5679"/>
    <w:rsid w:val="490F2780"/>
    <w:rsid w:val="491467FC"/>
    <w:rsid w:val="49210783"/>
    <w:rsid w:val="49210A17"/>
    <w:rsid w:val="49233B1C"/>
    <w:rsid w:val="49332A7A"/>
    <w:rsid w:val="49373210"/>
    <w:rsid w:val="49543DC1"/>
    <w:rsid w:val="496028F2"/>
    <w:rsid w:val="497271C5"/>
    <w:rsid w:val="498645B8"/>
    <w:rsid w:val="499146EC"/>
    <w:rsid w:val="49922BF2"/>
    <w:rsid w:val="49A02E0F"/>
    <w:rsid w:val="49A1768E"/>
    <w:rsid w:val="49A81A17"/>
    <w:rsid w:val="49A90122"/>
    <w:rsid w:val="49C53227"/>
    <w:rsid w:val="49CE0834"/>
    <w:rsid w:val="49D50502"/>
    <w:rsid w:val="49D76E11"/>
    <w:rsid w:val="49E86712"/>
    <w:rsid w:val="49F02562"/>
    <w:rsid w:val="4A09040C"/>
    <w:rsid w:val="4A1A0B16"/>
    <w:rsid w:val="4A216FD1"/>
    <w:rsid w:val="4A2A3D11"/>
    <w:rsid w:val="4A437992"/>
    <w:rsid w:val="4A4F4B7B"/>
    <w:rsid w:val="4A4F6CF7"/>
    <w:rsid w:val="4A523579"/>
    <w:rsid w:val="4A563B69"/>
    <w:rsid w:val="4A5F5002"/>
    <w:rsid w:val="4A606796"/>
    <w:rsid w:val="4A7E1120"/>
    <w:rsid w:val="4A8A21AA"/>
    <w:rsid w:val="4A943CA3"/>
    <w:rsid w:val="4A99001E"/>
    <w:rsid w:val="4AA21D5B"/>
    <w:rsid w:val="4AAC43A2"/>
    <w:rsid w:val="4AB17452"/>
    <w:rsid w:val="4AB8212E"/>
    <w:rsid w:val="4AC960E9"/>
    <w:rsid w:val="4AD11442"/>
    <w:rsid w:val="4AE85E21"/>
    <w:rsid w:val="4AEB40F3"/>
    <w:rsid w:val="4AF07944"/>
    <w:rsid w:val="4AF76DEF"/>
    <w:rsid w:val="4AFE1B6F"/>
    <w:rsid w:val="4B001C38"/>
    <w:rsid w:val="4B1012E5"/>
    <w:rsid w:val="4B1706C6"/>
    <w:rsid w:val="4B17659D"/>
    <w:rsid w:val="4B1D4687"/>
    <w:rsid w:val="4B1E6B8F"/>
    <w:rsid w:val="4B215F25"/>
    <w:rsid w:val="4B3B37FB"/>
    <w:rsid w:val="4B3D47E8"/>
    <w:rsid w:val="4B460D27"/>
    <w:rsid w:val="4B536E6B"/>
    <w:rsid w:val="4B69325F"/>
    <w:rsid w:val="4B6D116B"/>
    <w:rsid w:val="4B7C315C"/>
    <w:rsid w:val="4B7D1973"/>
    <w:rsid w:val="4B9009B5"/>
    <w:rsid w:val="4B93488B"/>
    <w:rsid w:val="4B981A31"/>
    <w:rsid w:val="4B994DBE"/>
    <w:rsid w:val="4BA0258E"/>
    <w:rsid w:val="4BB2316B"/>
    <w:rsid w:val="4BB306CD"/>
    <w:rsid w:val="4BB65BCF"/>
    <w:rsid w:val="4BC320E8"/>
    <w:rsid w:val="4BD036D8"/>
    <w:rsid w:val="4BD43621"/>
    <w:rsid w:val="4BD50ABE"/>
    <w:rsid w:val="4BE26C5B"/>
    <w:rsid w:val="4BEC1588"/>
    <w:rsid w:val="4BF45E87"/>
    <w:rsid w:val="4BF77C9F"/>
    <w:rsid w:val="4BFC7F1F"/>
    <w:rsid w:val="4C012D91"/>
    <w:rsid w:val="4C0718E5"/>
    <w:rsid w:val="4C085D9D"/>
    <w:rsid w:val="4C0B0443"/>
    <w:rsid w:val="4C150A11"/>
    <w:rsid w:val="4C1C0832"/>
    <w:rsid w:val="4C226976"/>
    <w:rsid w:val="4C2B7602"/>
    <w:rsid w:val="4C316C36"/>
    <w:rsid w:val="4C38343E"/>
    <w:rsid w:val="4C40062D"/>
    <w:rsid w:val="4C435E74"/>
    <w:rsid w:val="4C5032AD"/>
    <w:rsid w:val="4C565A0A"/>
    <w:rsid w:val="4C596AD0"/>
    <w:rsid w:val="4C5C17C8"/>
    <w:rsid w:val="4C66297A"/>
    <w:rsid w:val="4C6C1B85"/>
    <w:rsid w:val="4C6F1177"/>
    <w:rsid w:val="4C75474B"/>
    <w:rsid w:val="4C7E6538"/>
    <w:rsid w:val="4C800A2A"/>
    <w:rsid w:val="4C826841"/>
    <w:rsid w:val="4C844810"/>
    <w:rsid w:val="4C8D1398"/>
    <w:rsid w:val="4C8D79A0"/>
    <w:rsid w:val="4CA5376E"/>
    <w:rsid w:val="4CA842D0"/>
    <w:rsid w:val="4CB8649E"/>
    <w:rsid w:val="4CC34DBA"/>
    <w:rsid w:val="4CC4789C"/>
    <w:rsid w:val="4CC70B26"/>
    <w:rsid w:val="4CD94142"/>
    <w:rsid w:val="4CEE7CBD"/>
    <w:rsid w:val="4D010244"/>
    <w:rsid w:val="4D0938CE"/>
    <w:rsid w:val="4D0E16DC"/>
    <w:rsid w:val="4D1629D7"/>
    <w:rsid w:val="4D185CF0"/>
    <w:rsid w:val="4D1D271C"/>
    <w:rsid w:val="4D23402C"/>
    <w:rsid w:val="4D2635C1"/>
    <w:rsid w:val="4D332615"/>
    <w:rsid w:val="4D424D60"/>
    <w:rsid w:val="4D7351B8"/>
    <w:rsid w:val="4D7C38E7"/>
    <w:rsid w:val="4D853CCC"/>
    <w:rsid w:val="4DA11480"/>
    <w:rsid w:val="4DA36881"/>
    <w:rsid w:val="4DA83D11"/>
    <w:rsid w:val="4DAD3023"/>
    <w:rsid w:val="4DAF1A1F"/>
    <w:rsid w:val="4DB27309"/>
    <w:rsid w:val="4DCF517A"/>
    <w:rsid w:val="4DD50FD0"/>
    <w:rsid w:val="4DD60DA6"/>
    <w:rsid w:val="4DEF31E1"/>
    <w:rsid w:val="4DF7339D"/>
    <w:rsid w:val="4DFE6021"/>
    <w:rsid w:val="4E1260AC"/>
    <w:rsid w:val="4E161C46"/>
    <w:rsid w:val="4E1709C9"/>
    <w:rsid w:val="4E1753BE"/>
    <w:rsid w:val="4E194B83"/>
    <w:rsid w:val="4E1B1CC2"/>
    <w:rsid w:val="4E20258E"/>
    <w:rsid w:val="4E291D0A"/>
    <w:rsid w:val="4E3340E7"/>
    <w:rsid w:val="4E4559D2"/>
    <w:rsid w:val="4E6C2299"/>
    <w:rsid w:val="4E727A8C"/>
    <w:rsid w:val="4E8360FB"/>
    <w:rsid w:val="4E8D1622"/>
    <w:rsid w:val="4E964377"/>
    <w:rsid w:val="4E9B02DE"/>
    <w:rsid w:val="4EAC411F"/>
    <w:rsid w:val="4EC100A0"/>
    <w:rsid w:val="4EC541E9"/>
    <w:rsid w:val="4ECC44D8"/>
    <w:rsid w:val="4ED77886"/>
    <w:rsid w:val="4EF91D46"/>
    <w:rsid w:val="4EFA0F67"/>
    <w:rsid w:val="4EFD35A7"/>
    <w:rsid w:val="4F0170B5"/>
    <w:rsid w:val="4F076E5A"/>
    <w:rsid w:val="4F0F27B4"/>
    <w:rsid w:val="4F1C68CE"/>
    <w:rsid w:val="4F1F1982"/>
    <w:rsid w:val="4F2A77DD"/>
    <w:rsid w:val="4F2D1CE9"/>
    <w:rsid w:val="4F390741"/>
    <w:rsid w:val="4F4C2D5E"/>
    <w:rsid w:val="4F535C65"/>
    <w:rsid w:val="4F5E2DE9"/>
    <w:rsid w:val="4F686DC9"/>
    <w:rsid w:val="4F7B613D"/>
    <w:rsid w:val="4F974A08"/>
    <w:rsid w:val="4FA96C09"/>
    <w:rsid w:val="4FB05447"/>
    <w:rsid w:val="4FCA6F53"/>
    <w:rsid w:val="4FCB25A6"/>
    <w:rsid w:val="4FCE3078"/>
    <w:rsid w:val="4FCF5651"/>
    <w:rsid w:val="4FCF6FD8"/>
    <w:rsid w:val="4FD065A7"/>
    <w:rsid w:val="4FD632E7"/>
    <w:rsid w:val="4FE01C53"/>
    <w:rsid w:val="4FE319FB"/>
    <w:rsid w:val="4FE472F1"/>
    <w:rsid w:val="4FF87E24"/>
    <w:rsid w:val="4FFA09BB"/>
    <w:rsid w:val="4FFA4039"/>
    <w:rsid w:val="500A029D"/>
    <w:rsid w:val="501770A4"/>
    <w:rsid w:val="501871CB"/>
    <w:rsid w:val="501B7C8B"/>
    <w:rsid w:val="501F58A2"/>
    <w:rsid w:val="5024559D"/>
    <w:rsid w:val="502B6EFE"/>
    <w:rsid w:val="5033320F"/>
    <w:rsid w:val="50355C1D"/>
    <w:rsid w:val="504A7CCC"/>
    <w:rsid w:val="50720663"/>
    <w:rsid w:val="50723EEF"/>
    <w:rsid w:val="50757499"/>
    <w:rsid w:val="507730CF"/>
    <w:rsid w:val="507A5B57"/>
    <w:rsid w:val="508F329C"/>
    <w:rsid w:val="50966A6E"/>
    <w:rsid w:val="509C5355"/>
    <w:rsid w:val="509C56EB"/>
    <w:rsid w:val="50A775DC"/>
    <w:rsid w:val="50AF6E32"/>
    <w:rsid w:val="50B15DFA"/>
    <w:rsid w:val="50B212A6"/>
    <w:rsid w:val="50B4671B"/>
    <w:rsid w:val="50C877A3"/>
    <w:rsid w:val="50E41E23"/>
    <w:rsid w:val="50F1639A"/>
    <w:rsid w:val="50F637D0"/>
    <w:rsid w:val="50F85F1C"/>
    <w:rsid w:val="50FB7FFF"/>
    <w:rsid w:val="50FF0730"/>
    <w:rsid w:val="510F2A08"/>
    <w:rsid w:val="51102649"/>
    <w:rsid w:val="51152321"/>
    <w:rsid w:val="51274651"/>
    <w:rsid w:val="513079D4"/>
    <w:rsid w:val="51466253"/>
    <w:rsid w:val="514B3CFC"/>
    <w:rsid w:val="51540328"/>
    <w:rsid w:val="515A1873"/>
    <w:rsid w:val="5160707C"/>
    <w:rsid w:val="516131F7"/>
    <w:rsid w:val="51644DBE"/>
    <w:rsid w:val="516B54E5"/>
    <w:rsid w:val="516F53DB"/>
    <w:rsid w:val="5179382C"/>
    <w:rsid w:val="517A013D"/>
    <w:rsid w:val="517A638F"/>
    <w:rsid w:val="517B6B15"/>
    <w:rsid w:val="51986815"/>
    <w:rsid w:val="51A23352"/>
    <w:rsid w:val="51A915F0"/>
    <w:rsid w:val="51AD3067"/>
    <w:rsid w:val="51BC69A8"/>
    <w:rsid w:val="51C22F25"/>
    <w:rsid w:val="51D27F79"/>
    <w:rsid w:val="51DD247A"/>
    <w:rsid w:val="51E9393F"/>
    <w:rsid w:val="51F62504"/>
    <w:rsid w:val="51FA7515"/>
    <w:rsid w:val="52032B86"/>
    <w:rsid w:val="520772FC"/>
    <w:rsid w:val="520D2556"/>
    <w:rsid w:val="52124FB5"/>
    <w:rsid w:val="52175127"/>
    <w:rsid w:val="52176DF9"/>
    <w:rsid w:val="521A722A"/>
    <w:rsid w:val="521F2A93"/>
    <w:rsid w:val="524160F2"/>
    <w:rsid w:val="524D59E3"/>
    <w:rsid w:val="52576BB5"/>
    <w:rsid w:val="525F7267"/>
    <w:rsid w:val="5264385C"/>
    <w:rsid w:val="52825CD2"/>
    <w:rsid w:val="52894D63"/>
    <w:rsid w:val="528C6B95"/>
    <w:rsid w:val="52931516"/>
    <w:rsid w:val="529C2E17"/>
    <w:rsid w:val="52A026D1"/>
    <w:rsid w:val="52AC2850"/>
    <w:rsid w:val="52B60A7E"/>
    <w:rsid w:val="52C814FC"/>
    <w:rsid w:val="52D10231"/>
    <w:rsid w:val="52D23FF8"/>
    <w:rsid w:val="52EB4B12"/>
    <w:rsid w:val="52F83115"/>
    <w:rsid w:val="52FB3CB3"/>
    <w:rsid w:val="52FB52AE"/>
    <w:rsid w:val="52FC15B0"/>
    <w:rsid w:val="52FF3CE3"/>
    <w:rsid w:val="5310168D"/>
    <w:rsid w:val="53277B68"/>
    <w:rsid w:val="5334312B"/>
    <w:rsid w:val="534B3B64"/>
    <w:rsid w:val="535229C8"/>
    <w:rsid w:val="53624ED3"/>
    <w:rsid w:val="536D0EC6"/>
    <w:rsid w:val="538633E2"/>
    <w:rsid w:val="538A7D6F"/>
    <w:rsid w:val="538B2E1B"/>
    <w:rsid w:val="53911851"/>
    <w:rsid w:val="539207E2"/>
    <w:rsid w:val="53AA5EF0"/>
    <w:rsid w:val="53AE40CE"/>
    <w:rsid w:val="53AF3650"/>
    <w:rsid w:val="53C26FB9"/>
    <w:rsid w:val="53EE4E13"/>
    <w:rsid w:val="53F561A1"/>
    <w:rsid w:val="53F5691F"/>
    <w:rsid w:val="540131B4"/>
    <w:rsid w:val="54076F3B"/>
    <w:rsid w:val="540955B9"/>
    <w:rsid w:val="540A403B"/>
    <w:rsid w:val="542413B8"/>
    <w:rsid w:val="542B6261"/>
    <w:rsid w:val="54352A41"/>
    <w:rsid w:val="543C3DD0"/>
    <w:rsid w:val="54436D78"/>
    <w:rsid w:val="545C6276"/>
    <w:rsid w:val="54684BC5"/>
    <w:rsid w:val="546D155F"/>
    <w:rsid w:val="54780702"/>
    <w:rsid w:val="54807CDE"/>
    <w:rsid w:val="548C6217"/>
    <w:rsid w:val="548F36E9"/>
    <w:rsid w:val="5495554B"/>
    <w:rsid w:val="54A808F4"/>
    <w:rsid w:val="54A83213"/>
    <w:rsid w:val="54AF5485"/>
    <w:rsid w:val="54B209A9"/>
    <w:rsid w:val="54BA2E88"/>
    <w:rsid w:val="54C10053"/>
    <w:rsid w:val="54C33E9C"/>
    <w:rsid w:val="54CF254E"/>
    <w:rsid w:val="54D35E3C"/>
    <w:rsid w:val="54DB39E3"/>
    <w:rsid w:val="54F00716"/>
    <w:rsid w:val="54F2448F"/>
    <w:rsid w:val="54F7474B"/>
    <w:rsid w:val="550609FF"/>
    <w:rsid w:val="550D4E9A"/>
    <w:rsid w:val="55363303"/>
    <w:rsid w:val="55482300"/>
    <w:rsid w:val="55507827"/>
    <w:rsid w:val="555E6A91"/>
    <w:rsid w:val="556D0B9B"/>
    <w:rsid w:val="556D30E5"/>
    <w:rsid w:val="556E2EA2"/>
    <w:rsid w:val="556F6B09"/>
    <w:rsid w:val="55744B4C"/>
    <w:rsid w:val="557D0377"/>
    <w:rsid w:val="557F494F"/>
    <w:rsid w:val="558861C6"/>
    <w:rsid w:val="55900987"/>
    <w:rsid w:val="559A0CA6"/>
    <w:rsid w:val="55A41F7B"/>
    <w:rsid w:val="55AF15FA"/>
    <w:rsid w:val="55B30C6C"/>
    <w:rsid w:val="55B94FAC"/>
    <w:rsid w:val="55BD605A"/>
    <w:rsid w:val="55BF1296"/>
    <w:rsid w:val="55C004DB"/>
    <w:rsid w:val="55C45026"/>
    <w:rsid w:val="55C90095"/>
    <w:rsid w:val="55CA4F84"/>
    <w:rsid w:val="55D11B86"/>
    <w:rsid w:val="55E34DF9"/>
    <w:rsid w:val="55E830E8"/>
    <w:rsid w:val="55EB344B"/>
    <w:rsid w:val="55F52488"/>
    <w:rsid w:val="55F6566E"/>
    <w:rsid w:val="55F73A74"/>
    <w:rsid w:val="55FA184D"/>
    <w:rsid w:val="55FF0267"/>
    <w:rsid w:val="560E021D"/>
    <w:rsid w:val="561044A4"/>
    <w:rsid w:val="56222D71"/>
    <w:rsid w:val="56290707"/>
    <w:rsid w:val="562B6827"/>
    <w:rsid w:val="56353C8B"/>
    <w:rsid w:val="56373595"/>
    <w:rsid w:val="56401768"/>
    <w:rsid w:val="56617572"/>
    <w:rsid w:val="567575EF"/>
    <w:rsid w:val="56786DEA"/>
    <w:rsid w:val="567C1327"/>
    <w:rsid w:val="567D6C14"/>
    <w:rsid w:val="56802F05"/>
    <w:rsid w:val="56802F8F"/>
    <w:rsid w:val="568B6676"/>
    <w:rsid w:val="568F2D77"/>
    <w:rsid w:val="56937B21"/>
    <w:rsid w:val="56990FE0"/>
    <w:rsid w:val="56A01389"/>
    <w:rsid w:val="56A96DCF"/>
    <w:rsid w:val="56AB2C20"/>
    <w:rsid w:val="56B759E7"/>
    <w:rsid w:val="56BA2FF1"/>
    <w:rsid w:val="56DC5010"/>
    <w:rsid w:val="56E66275"/>
    <w:rsid w:val="56FC2967"/>
    <w:rsid w:val="56FD68E0"/>
    <w:rsid w:val="56FE6AC3"/>
    <w:rsid w:val="57114E1B"/>
    <w:rsid w:val="57120451"/>
    <w:rsid w:val="5718137B"/>
    <w:rsid w:val="571A4679"/>
    <w:rsid w:val="57287A09"/>
    <w:rsid w:val="572F19CA"/>
    <w:rsid w:val="574A2360"/>
    <w:rsid w:val="57561806"/>
    <w:rsid w:val="57697EE1"/>
    <w:rsid w:val="576B6B45"/>
    <w:rsid w:val="5778149D"/>
    <w:rsid w:val="577F04BC"/>
    <w:rsid w:val="578F19D2"/>
    <w:rsid w:val="579F1102"/>
    <w:rsid w:val="57A93BD0"/>
    <w:rsid w:val="57CB304A"/>
    <w:rsid w:val="57E11FA7"/>
    <w:rsid w:val="57E42FAA"/>
    <w:rsid w:val="57F16BA4"/>
    <w:rsid w:val="57F4390D"/>
    <w:rsid w:val="57F455FF"/>
    <w:rsid w:val="5801240D"/>
    <w:rsid w:val="58087F34"/>
    <w:rsid w:val="580E15DF"/>
    <w:rsid w:val="5820370A"/>
    <w:rsid w:val="582541F1"/>
    <w:rsid w:val="582F1E3C"/>
    <w:rsid w:val="583571E0"/>
    <w:rsid w:val="583627A6"/>
    <w:rsid w:val="58390F0E"/>
    <w:rsid w:val="58400123"/>
    <w:rsid w:val="58440226"/>
    <w:rsid w:val="585C0895"/>
    <w:rsid w:val="585D0745"/>
    <w:rsid w:val="58644DBD"/>
    <w:rsid w:val="58716193"/>
    <w:rsid w:val="58723D65"/>
    <w:rsid w:val="587F6039"/>
    <w:rsid w:val="58B06B3A"/>
    <w:rsid w:val="58B60814"/>
    <w:rsid w:val="58C66447"/>
    <w:rsid w:val="58CA7BFC"/>
    <w:rsid w:val="58D00F8B"/>
    <w:rsid w:val="58D04DBB"/>
    <w:rsid w:val="58D7629F"/>
    <w:rsid w:val="58DB3D1E"/>
    <w:rsid w:val="58E65065"/>
    <w:rsid w:val="58E75AA7"/>
    <w:rsid w:val="59093D20"/>
    <w:rsid w:val="590C7D7A"/>
    <w:rsid w:val="591232E6"/>
    <w:rsid w:val="59155E17"/>
    <w:rsid w:val="59157471"/>
    <w:rsid w:val="59205A6E"/>
    <w:rsid w:val="59276926"/>
    <w:rsid w:val="59322AC8"/>
    <w:rsid w:val="59512E2D"/>
    <w:rsid w:val="59612C38"/>
    <w:rsid w:val="59764914"/>
    <w:rsid w:val="597C3CFB"/>
    <w:rsid w:val="597F1EAB"/>
    <w:rsid w:val="5984227B"/>
    <w:rsid w:val="59845273"/>
    <w:rsid w:val="598900F2"/>
    <w:rsid w:val="59915784"/>
    <w:rsid w:val="59940683"/>
    <w:rsid w:val="599A0C21"/>
    <w:rsid w:val="599B0260"/>
    <w:rsid w:val="599E0097"/>
    <w:rsid w:val="59A4471C"/>
    <w:rsid w:val="59AC6429"/>
    <w:rsid w:val="59AD0CC7"/>
    <w:rsid w:val="59BE48EC"/>
    <w:rsid w:val="59CD712F"/>
    <w:rsid w:val="59D96759"/>
    <w:rsid w:val="59E016E9"/>
    <w:rsid w:val="59E23CCE"/>
    <w:rsid w:val="59E83C4C"/>
    <w:rsid w:val="59E97519"/>
    <w:rsid w:val="59EC78DE"/>
    <w:rsid w:val="59EF2932"/>
    <w:rsid w:val="59F44D84"/>
    <w:rsid w:val="5A035F33"/>
    <w:rsid w:val="5A0B7325"/>
    <w:rsid w:val="5A180D76"/>
    <w:rsid w:val="5A201A9E"/>
    <w:rsid w:val="5A292A0F"/>
    <w:rsid w:val="5A2B36D0"/>
    <w:rsid w:val="5A2E09AD"/>
    <w:rsid w:val="5A35195E"/>
    <w:rsid w:val="5A3F032C"/>
    <w:rsid w:val="5A3F29EA"/>
    <w:rsid w:val="5A51193F"/>
    <w:rsid w:val="5A514253"/>
    <w:rsid w:val="5A5B1CE8"/>
    <w:rsid w:val="5A5B6ECF"/>
    <w:rsid w:val="5A635DC8"/>
    <w:rsid w:val="5A6E1778"/>
    <w:rsid w:val="5A7F18BE"/>
    <w:rsid w:val="5A815912"/>
    <w:rsid w:val="5A82030A"/>
    <w:rsid w:val="5A86162E"/>
    <w:rsid w:val="5AAB5E7A"/>
    <w:rsid w:val="5AB53F94"/>
    <w:rsid w:val="5ABF359F"/>
    <w:rsid w:val="5ABF4DFE"/>
    <w:rsid w:val="5ADF31F6"/>
    <w:rsid w:val="5AEF3B8B"/>
    <w:rsid w:val="5AF43A2B"/>
    <w:rsid w:val="5AFA0840"/>
    <w:rsid w:val="5AFD2BEC"/>
    <w:rsid w:val="5B05538E"/>
    <w:rsid w:val="5B0E7B48"/>
    <w:rsid w:val="5B100F53"/>
    <w:rsid w:val="5B1C6E44"/>
    <w:rsid w:val="5B2939FC"/>
    <w:rsid w:val="5B2B479F"/>
    <w:rsid w:val="5B325496"/>
    <w:rsid w:val="5B395243"/>
    <w:rsid w:val="5B436212"/>
    <w:rsid w:val="5B446A62"/>
    <w:rsid w:val="5B495952"/>
    <w:rsid w:val="5B4B48F9"/>
    <w:rsid w:val="5B4F3B90"/>
    <w:rsid w:val="5B5E49C3"/>
    <w:rsid w:val="5B60722C"/>
    <w:rsid w:val="5B6A6D26"/>
    <w:rsid w:val="5B6F048D"/>
    <w:rsid w:val="5B742164"/>
    <w:rsid w:val="5B7C71A8"/>
    <w:rsid w:val="5B7D710A"/>
    <w:rsid w:val="5B7F0D2D"/>
    <w:rsid w:val="5B7F6B29"/>
    <w:rsid w:val="5B8A0FC1"/>
    <w:rsid w:val="5B8A3673"/>
    <w:rsid w:val="5B906452"/>
    <w:rsid w:val="5B956678"/>
    <w:rsid w:val="5B990BC9"/>
    <w:rsid w:val="5BAB1F40"/>
    <w:rsid w:val="5BBF1D5A"/>
    <w:rsid w:val="5BC02804"/>
    <w:rsid w:val="5BC13106"/>
    <w:rsid w:val="5BC55CE4"/>
    <w:rsid w:val="5BCC1FAB"/>
    <w:rsid w:val="5BD024A7"/>
    <w:rsid w:val="5BD448EE"/>
    <w:rsid w:val="5BD81899"/>
    <w:rsid w:val="5BE45401"/>
    <w:rsid w:val="5BEB756E"/>
    <w:rsid w:val="5BF40FAF"/>
    <w:rsid w:val="5BF43E93"/>
    <w:rsid w:val="5BF523E4"/>
    <w:rsid w:val="5BF97A8A"/>
    <w:rsid w:val="5C0E21A1"/>
    <w:rsid w:val="5C176756"/>
    <w:rsid w:val="5C2C0286"/>
    <w:rsid w:val="5C3B49CA"/>
    <w:rsid w:val="5C3F425E"/>
    <w:rsid w:val="5C631C5D"/>
    <w:rsid w:val="5C660E14"/>
    <w:rsid w:val="5C8859E5"/>
    <w:rsid w:val="5C8F1A04"/>
    <w:rsid w:val="5C9A5B38"/>
    <w:rsid w:val="5CA87772"/>
    <w:rsid w:val="5CBC1B8D"/>
    <w:rsid w:val="5CF238A5"/>
    <w:rsid w:val="5CF44CFF"/>
    <w:rsid w:val="5D013CB0"/>
    <w:rsid w:val="5D1217E6"/>
    <w:rsid w:val="5D12467D"/>
    <w:rsid w:val="5D156C17"/>
    <w:rsid w:val="5D2470E9"/>
    <w:rsid w:val="5D293818"/>
    <w:rsid w:val="5D357FC6"/>
    <w:rsid w:val="5D3C5929"/>
    <w:rsid w:val="5D554F4A"/>
    <w:rsid w:val="5D652BB1"/>
    <w:rsid w:val="5D6B3030"/>
    <w:rsid w:val="5D7446BE"/>
    <w:rsid w:val="5D7520AE"/>
    <w:rsid w:val="5D804D2D"/>
    <w:rsid w:val="5D894CFA"/>
    <w:rsid w:val="5D9273F9"/>
    <w:rsid w:val="5D997B9D"/>
    <w:rsid w:val="5D9A411F"/>
    <w:rsid w:val="5DAA2C02"/>
    <w:rsid w:val="5DB56DBB"/>
    <w:rsid w:val="5DC6379F"/>
    <w:rsid w:val="5DE81BC8"/>
    <w:rsid w:val="5DFD1F7A"/>
    <w:rsid w:val="5E140F8A"/>
    <w:rsid w:val="5E1760D3"/>
    <w:rsid w:val="5E366061"/>
    <w:rsid w:val="5E5A2D03"/>
    <w:rsid w:val="5E5F334D"/>
    <w:rsid w:val="5E691B20"/>
    <w:rsid w:val="5E6C4341"/>
    <w:rsid w:val="5E791FD3"/>
    <w:rsid w:val="5E7F39F9"/>
    <w:rsid w:val="5E802B1C"/>
    <w:rsid w:val="5E8D6CAE"/>
    <w:rsid w:val="5E9E4667"/>
    <w:rsid w:val="5EA0136A"/>
    <w:rsid w:val="5EB14C2C"/>
    <w:rsid w:val="5EB17168"/>
    <w:rsid w:val="5EB5427A"/>
    <w:rsid w:val="5EBC0FC5"/>
    <w:rsid w:val="5EC07ED9"/>
    <w:rsid w:val="5EC64FBB"/>
    <w:rsid w:val="5ECB5FFB"/>
    <w:rsid w:val="5ECE2404"/>
    <w:rsid w:val="5EE00A01"/>
    <w:rsid w:val="5EE50230"/>
    <w:rsid w:val="5EEA047C"/>
    <w:rsid w:val="5EEB718F"/>
    <w:rsid w:val="5EF5564C"/>
    <w:rsid w:val="5F1E5DA4"/>
    <w:rsid w:val="5F3B14BE"/>
    <w:rsid w:val="5F714F01"/>
    <w:rsid w:val="5F73333E"/>
    <w:rsid w:val="5F762716"/>
    <w:rsid w:val="5F813567"/>
    <w:rsid w:val="5F880892"/>
    <w:rsid w:val="5F9C28B8"/>
    <w:rsid w:val="5FA353FC"/>
    <w:rsid w:val="5FA726B3"/>
    <w:rsid w:val="5FAB3B83"/>
    <w:rsid w:val="5FB15182"/>
    <w:rsid w:val="5FBB437D"/>
    <w:rsid w:val="5FE570CA"/>
    <w:rsid w:val="5FE74671"/>
    <w:rsid w:val="5FEA44E3"/>
    <w:rsid w:val="5FEF1B4F"/>
    <w:rsid w:val="5FF82095"/>
    <w:rsid w:val="60003F04"/>
    <w:rsid w:val="601067FB"/>
    <w:rsid w:val="602A4188"/>
    <w:rsid w:val="602F645D"/>
    <w:rsid w:val="6031207D"/>
    <w:rsid w:val="603242D9"/>
    <w:rsid w:val="60332960"/>
    <w:rsid w:val="603B0068"/>
    <w:rsid w:val="603C7C71"/>
    <w:rsid w:val="604246A1"/>
    <w:rsid w:val="6043231B"/>
    <w:rsid w:val="6046279E"/>
    <w:rsid w:val="60467201"/>
    <w:rsid w:val="60474EF1"/>
    <w:rsid w:val="60495361"/>
    <w:rsid w:val="604F0623"/>
    <w:rsid w:val="605C2B4A"/>
    <w:rsid w:val="605C4B73"/>
    <w:rsid w:val="606B3C41"/>
    <w:rsid w:val="60764547"/>
    <w:rsid w:val="60774CDC"/>
    <w:rsid w:val="6080377A"/>
    <w:rsid w:val="608B378D"/>
    <w:rsid w:val="6099291C"/>
    <w:rsid w:val="609A04E4"/>
    <w:rsid w:val="60A54A0A"/>
    <w:rsid w:val="60B66ECA"/>
    <w:rsid w:val="60C33AFD"/>
    <w:rsid w:val="60CC1ED2"/>
    <w:rsid w:val="60ED17D8"/>
    <w:rsid w:val="60FC3F7F"/>
    <w:rsid w:val="60FE574C"/>
    <w:rsid w:val="610D25D9"/>
    <w:rsid w:val="61171DE2"/>
    <w:rsid w:val="611A0FF5"/>
    <w:rsid w:val="611D38CA"/>
    <w:rsid w:val="6120430C"/>
    <w:rsid w:val="612C552B"/>
    <w:rsid w:val="612F0C60"/>
    <w:rsid w:val="613970EB"/>
    <w:rsid w:val="61404BB1"/>
    <w:rsid w:val="61404F51"/>
    <w:rsid w:val="615838CB"/>
    <w:rsid w:val="616E4D09"/>
    <w:rsid w:val="617C2C23"/>
    <w:rsid w:val="618648DC"/>
    <w:rsid w:val="61882772"/>
    <w:rsid w:val="619252BD"/>
    <w:rsid w:val="6195017E"/>
    <w:rsid w:val="61A135DE"/>
    <w:rsid w:val="61C632E1"/>
    <w:rsid w:val="61C766A5"/>
    <w:rsid w:val="61CC6406"/>
    <w:rsid w:val="61DC62AA"/>
    <w:rsid w:val="61E35841"/>
    <w:rsid w:val="61E4597F"/>
    <w:rsid w:val="61E5290C"/>
    <w:rsid w:val="61E83367"/>
    <w:rsid w:val="61F10159"/>
    <w:rsid w:val="61F71603"/>
    <w:rsid w:val="61F7618C"/>
    <w:rsid w:val="620564CB"/>
    <w:rsid w:val="62070FF0"/>
    <w:rsid w:val="620D14E0"/>
    <w:rsid w:val="621903AA"/>
    <w:rsid w:val="621B5D6E"/>
    <w:rsid w:val="62211477"/>
    <w:rsid w:val="622613F6"/>
    <w:rsid w:val="622814F0"/>
    <w:rsid w:val="622B7232"/>
    <w:rsid w:val="622F72E9"/>
    <w:rsid w:val="62351230"/>
    <w:rsid w:val="625A5C80"/>
    <w:rsid w:val="62665FA0"/>
    <w:rsid w:val="62683332"/>
    <w:rsid w:val="626B6319"/>
    <w:rsid w:val="626C0D32"/>
    <w:rsid w:val="627F09D5"/>
    <w:rsid w:val="62843E3F"/>
    <w:rsid w:val="628A1E48"/>
    <w:rsid w:val="628C7CD0"/>
    <w:rsid w:val="628D6DC7"/>
    <w:rsid w:val="6290233B"/>
    <w:rsid w:val="6291082A"/>
    <w:rsid w:val="62966DA1"/>
    <w:rsid w:val="629927BD"/>
    <w:rsid w:val="62995886"/>
    <w:rsid w:val="62A14390"/>
    <w:rsid w:val="62A53AC8"/>
    <w:rsid w:val="62B852E2"/>
    <w:rsid w:val="62B96EC9"/>
    <w:rsid w:val="62BF00A6"/>
    <w:rsid w:val="62C4543C"/>
    <w:rsid w:val="62C716EC"/>
    <w:rsid w:val="62D4747B"/>
    <w:rsid w:val="62D92BA1"/>
    <w:rsid w:val="62DB4E72"/>
    <w:rsid w:val="62DD1F88"/>
    <w:rsid w:val="62DF6564"/>
    <w:rsid w:val="62F26276"/>
    <w:rsid w:val="62F44AB3"/>
    <w:rsid w:val="62FB45FC"/>
    <w:rsid w:val="62FB6644"/>
    <w:rsid w:val="630514E6"/>
    <w:rsid w:val="630D132B"/>
    <w:rsid w:val="63123D65"/>
    <w:rsid w:val="6315421A"/>
    <w:rsid w:val="631A699C"/>
    <w:rsid w:val="631C670E"/>
    <w:rsid w:val="633040F6"/>
    <w:rsid w:val="63380F4B"/>
    <w:rsid w:val="633E6C30"/>
    <w:rsid w:val="63412FE5"/>
    <w:rsid w:val="634251B1"/>
    <w:rsid w:val="6343256F"/>
    <w:rsid w:val="63473EBF"/>
    <w:rsid w:val="634A2CF1"/>
    <w:rsid w:val="634E2C8F"/>
    <w:rsid w:val="63656B83"/>
    <w:rsid w:val="636D06C1"/>
    <w:rsid w:val="638F4593"/>
    <w:rsid w:val="63AB23D8"/>
    <w:rsid w:val="63C90AB0"/>
    <w:rsid w:val="63D514ED"/>
    <w:rsid w:val="63DD1F53"/>
    <w:rsid w:val="63EB4D1E"/>
    <w:rsid w:val="641501F7"/>
    <w:rsid w:val="642B2D76"/>
    <w:rsid w:val="642D3A80"/>
    <w:rsid w:val="64375A8A"/>
    <w:rsid w:val="64465608"/>
    <w:rsid w:val="644D7933"/>
    <w:rsid w:val="644E5723"/>
    <w:rsid w:val="645A6786"/>
    <w:rsid w:val="64660429"/>
    <w:rsid w:val="6475153D"/>
    <w:rsid w:val="647864BE"/>
    <w:rsid w:val="647E5AB8"/>
    <w:rsid w:val="649724BF"/>
    <w:rsid w:val="64974714"/>
    <w:rsid w:val="64A5151D"/>
    <w:rsid w:val="64AC5249"/>
    <w:rsid w:val="64AE35E2"/>
    <w:rsid w:val="64C329DF"/>
    <w:rsid w:val="64D90683"/>
    <w:rsid w:val="64E95437"/>
    <w:rsid w:val="64EB6C33"/>
    <w:rsid w:val="64ED60C5"/>
    <w:rsid w:val="64ED6DEB"/>
    <w:rsid w:val="64EF7A69"/>
    <w:rsid w:val="64F7601B"/>
    <w:rsid w:val="64FB3214"/>
    <w:rsid w:val="64FE4D04"/>
    <w:rsid w:val="6505755D"/>
    <w:rsid w:val="650811EB"/>
    <w:rsid w:val="650A312E"/>
    <w:rsid w:val="650D7490"/>
    <w:rsid w:val="650E6F7F"/>
    <w:rsid w:val="651336EC"/>
    <w:rsid w:val="6513790E"/>
    <w:rsid w:val="65257F68"/>
    <w:rsid w:val="652C7203"/>
    <w:rsid w:val="652E0317"/>
    <w:rsid w:val="65347B47"/>
    <w:rsid w:val="65385601"/>
    <w:rsid w:val="65385CDF"/>
    <w:rsid w:val="653E7A92"/>
    <w:rsid w:val="6552631D"/>
    <w:rsid w:val="655306A8"/>
    <w:rsid w:val="65544BDF"/>
    <w:rsid w:val="6567306B"/>
    <w:rsid w:val="65681691"/>
    <w:rsid w:val="656E79B0"/>
    <w:rsid w:val="657A23A1"/>
    <w:rsid w:val="657B402C"/>
    <w:rsid w:val="658D425B"/>
    <w:rsid w:val="659E7863"/>
    <w:rsid w:val="65AA01B0"/>
    <w:rsid w:val="65AC66E3"/>
    <w:rsid w:val="65D72C8E"/>
    <w:rsid w:val="65F474F5"/>
    <w:rsid w:val="66134544"/>
    <w:rsid w:val="66156E52"/>
    <w:rsid w:val="6619117C"/>
    <w:rsid w:val="661F673C"/>
    <w:rsid w:val="663D15FE"/>
    <w:rsid w:val="665B4A5F"/>
    <w:rsid w:val="665C0012"/>
    <w:rsid w:val="66623D90"/>
    <w:rsid w:val="66763229"/>
    <w:rsid w:val="667E1DBF"/>
    <w:rsid w:val="667E3DD4"/>
    <w:rsid w:val="668431B0"/>
    <w:rsid w:val="66911D05"/>
    <w:rsid w:val="66916902"/>
    <w:rsid w:val="66982117"/>
    <w:rsid w:val="66A0022E"/>
    <w:rsid w:val="66B16E2F"/>
    <w:rsid w:val="66BF2566"/>
    <w:rsid w:val="66C10B73"/>
    <w:rsid w:val="66C2646B"/>
    <w:rsid w:val="66C71AE4"/>
    <w:rsid w:val="66CE3109"/>
    <w:rsid w:val="66D41651"/>
    <w:rsid w:val="66D63C10"/>
    <w:rsid w:val="66E225B5"/>
    <w:rsid w:val="66E75E1D"/>
    <w:rsid w:val="66EC6D9C"/>
    <w:rsid w:val="66FC36BD"/>
    <w:rsid w:val="66FD5911"/>
    <w:rsid w:val="67002889"/>
    <w:rsid w:val="67046310"/>
    <w:rsid w:val="6728641D"/>
    <w:rsid w:val="67383F87"/>
    <w:rsid w:val="673D14F8"/>
    <w:rsid w:val="674044B0"/>
    <w:rsid w:val="67440F1F"/>
    <w:rsid w:val="674B5238"/>
    <w:rsid w:val="676416E8"/>
    <w:rsid w:val="67675928"/>
    <w:rsid w:val="676A67D8"/>
    <w:rsid w:val="67705E13"/>
    <w:rsid w:val="677515A1"/>
    <w:rsid w:val="6776469B"/>
    <w:rsid w:val="67844AAC"/>
    <w:rsid w:val="678E3621"/>
    <w:rsid w:val="67956BF5"/>
    <w:rsid w:val="67A23FF6"/>
    <w:rsid w:val="67AE2DC6"/>
    <w:rsid w:val="67BD34F9"/>
    <w:rsid w:val="67CA603A"/>
    <w:rsid w:val="67D10DFC"/>
    <w:rsid w:val="67D143D7"/>
    <w:rsid w:val="67DC14ED"/>
    <w:rsid w:val="67E56176"/>
    <w:rsid w:val="67E72EAB"/>
    <w:rsid w:val="67EE5F39"/>
    <w:rsid w:val="67F33F59"/>
    <w:rsid w:val="67F6731C"/>
    <w:rsid w:val="67F72090"/>
    <w:rsid w:val="67F97CAE"/>
    <w:rsid w:val="6804655B"/>
    <w:rsid w:val="680F1873"/>
    <w:rsid w:val="68111B0F"/>
    <w:rsid w:val="68115C45"/>
    <w:rsid w:val="681A06B8"/>
    <w:rsid w:val="681B51C3"/>
    <w:rsid w:val="683A660B"/>
    <w:rsid w:val="6844164D"/>
    <w:rsid w:val="68445940"/>
    <w:rsid w:val="68481724"/>
    <w:rsid w:val="684D3DAF"/>
    <w:rsid w:val="684F6565"/>
    <w:rsid w:val="68506BBC"/>
    <w:rsid w:val="68713B28"/>
    <w:rsid w:val="6873156D"/>
    <w:rsid w:val="687731D1"/>
    <w:rsid w:val="68777FBA"/>
    <w:rsid w:val="68791FED"/>
    <w:rsid w:val="68792AA5"/>
    <w:rsid w:val="68830E6B"/>
    <w:rsid w:val="68886F71"/>
    <w:rsid w:val="68961B5E"/>
    <w:rsid w:val="68962E90"/>
    <w:rsid w:val="68970097"/>
    <w:rsid w:val="68A85850"/>
    <w:rsid w:val="68AB5E7B"/>
    <w:rsid w:val="68B158F3"/>
    <w:rsid w:val="68B269D6"/>
    <w:rsid w:val="68B40AA2"/>
    <w:rsid w:val="68B97018"/>
    <w:rsid w:val="68CF6068"/>
    <w:rsid w:val="68D14E37"/>
    <w:rsid w:val="68D275C3"/>
    <w:rsid w:val="69004942"/>
    <w:rsid w:val="69033EE2"/>
    <w:rsid w:val="691468AD"/>
    <w:rsid w:val="691A107E"/>
    <w:rsid w:val="692742E3"/>
    <w:rsid w:val="692A55BA"/>
    <w:rsid w:val="692A7B6B"/>
    <w:rsid w:val="693469CC"/>
    <w:rsid w:val="69466ADA"/>
    <w:rsid w:val="694F7E31"/>
    <w:rsid w:val="695709BC"/>
    <w:rsid w:val="695F613F"/>
    <w:rsid w:val="697105CC"/>
    <w:rsid w:val="69771EA1"/>
    <w:rsid w:val="6977705E"/>
    <w:rsid w:val="697B2163"/>
    <w:rsid w:val="69B04D25"/>
    <w:rsid w:val="69B61E8B"/>
    <w:rsid w:val="69C0329C"/>
    <w:rsid w:val="69D02825"/>
    <w:rsid w:val="69D471A4"/>
    <w:rsid w:val="69F05A5E"/>
    <w:rsid w:val="69F327C9"/>
    <w:rsid w:val="6A02263F"/>
    <w:rsid w:val="6A130D9F"/>
    <w:rsid w:val="6A135295"/>
    <w:rsid w:val="6A1F76A9"/>
    <w:rsid w:val="6A3015CC"/>
    <w:rsid w:val="6A322B62"/>
    <w:rsid w:val="6A3273AF"/>
    <w:rsid w:val="6A33097D"/>
    <w:rsid w:val="6A41741D"/>
    <w:rsid w:val="6A482D18"/>
    <w:rsid w:val="6A542BEC"/>
    <w:rsid w:val="6A5E6D62"/>
    <w:rsid w:val="6A675BC1"/>
    <w:rsid w:val="6A696BA3"/>
    <w:rsid w:val="6A734568"/>
    <w:rsid w:val="6A7B208B"/>
    <w:rsid w:val="6A7F0011"/>
    <w:rsid w:val="6A8B3041"/>
    <w:rsid w:val="6A966A3A"/>
    <w:rsid w:val="6AA0293B"/>
    <w:rsid w:val="6AD8341E"/>
    <w:rsid w:val="6AD95A7D"/>
    <w:rsid w:val="6AE516DD"/>
    <w:rsid w:val="6AE67B12"/>
    <w:rsid w:val="6AE8196C"/>
    <w:rsid w:val="6AEB57B0"/>
    <w:rsid w:val="6AEE465D"/>
    <w:rsid w:val="6AEE5A3A"/>
    <w:rsid w:val="6AEF52A0"/>
    <w:rsid w:val="6AFB2E71"/>
    <w:rsid w:val="6AFF538D"/>
    <w:rsid w:val="6B013226"/>
    <w:rsid w:val="6B104F61"/>
    <w:rsid w:val="6B193075"/>
    <w:rsid w:val="6B2519AD"/>
    <w:rsid w:val="6B314CF4"/>
    <w:rsid w:val="6B427D72"/>
    <w:rsid w:val="6B5553CE"/>
    <w:rsid w:val="6B5C045C"/>
    <w:rsid w:val="6B786056"/>
    <w:rsid w:val="6B7B2524"/>
    <w:rsid w:val="6B7D7900"/>
    <w:rsid w:val="6B8578FC"/>
    <w:rsid w:val="6B915FD8"/>
    <w:rsid w:val="6BB84CF1"/>
    <w:rsid w:val="6BB97D61"/>
    <w:rsid w:val="6BC0120C"/>
    <w:rsid w:val="6BC33FB9"/>
    <w:rsid w:val="6BCB4737"/>
    <w:rsid w:val="6BDC311E"/>
    <w:rsid w:val="6BE11C51"/>
    <w:rsid w:val="6BEA0D3C"/>
    <w:rsid w:val="6BF81B75"/>
    <w:rsid w:val="6BF84629"/>
    <w:rsid w:val="6BF85D14"/>
    <w:rsid w:val="6BFC7B95"/>
    <w:rsid w:val="6C015ED7"/>
    <w:rsid w:val="6C0F7FD7"/>
    <w:rsid w:val="6C2476C6"/>
    <w:rsid w:val="6C2D7208"/>
    <w:rsid w:val="6C3A3B68"/>
    <w:rsid w:val="6C4B56DE"/>
    <w:rsid w:val="6C501E0C"/>
    <w:rsid w:val="6C5125F5"/>
    <w:rsid w:val="6C5E1171"/>
    <w:rsid w:val="6C8B3E96"/>
    <w:rsid w:val="6C8C57E1"/>
    <w:rsid w:val="6C911C32"/>
    <w:rsid w:val="6C9500C9"/>
    <w:rsid w:val="6C967F53"/>
    <w:rsid w:val="6C9E126D"/>
    <w:rsid w:val="6CA27E38"/>
    <w:rsid w:val="6CA400AD"/>
    <w:rsid w:val="6CA43E69"/>
    <w:rsid w:val="6CAB55FC"/>
    <w:rsid w:val="6CB40BF1"/>
    <w:rsid w:val="6CB866BD"/>
    <w:rsid w:val="6CC23061"/>
    <w:rsid w:val="6CC96C3C"/>
    <w:rsid w:val="6CD1755F"/>
    <w:rsid w:val="6CD309ED"/>
    <w:rsid w:val="6CD67732"/>
    <w:rsid w:val="6CE819BE"/>
    <w:rsid w:val="6CEE5F30"/>
    <w:rsid w:val="6CFC184C"/>
    <w:rsid w:val="6D001D88"/>
    <w:rsid w:val="6D0E6B23"/>
    <w:rsid w:val="6D2732CD"/>
    <w:rsid w:val="6D30506C"/>
    <w:rsid w:val="6D3B4DF8"/>
    <w:rsid w:val="6D3C3DAA"/>
    <w:rsid w:val="6D525775"/>
    <w:rsid w:val="6D660DBD"/>
    <w:rsid w:val="6D766033"/>
    <w:rsid w:val="6D786F18"/>
    <w:rsid w:val="6D7A795F"/>
    <w:rsid w:val="6D7B72BF"/>
    <w:rsid w:val="6D987928"/>
    <w:rsid w:val="6DA2088E"/>
    <w:rsid w:val="6DA34120"/>
    <w:rsid w:val="6DBC0AC0"/>
    <w:rsid w:val="6DD32C57"/>
    <w:rsid w:val="6DDB0A42"/>
    <w:rsid w:val="6DDF7D57"/>
    <w:rsid w:val="6DE53F13"/>
    <w:rsid w:val="6DEF1CAC"/>
    <w:rsid w:val="6DF257F4"/>
    <w:rsid w:val="6E011473"/>
    <w:rsid w:val="6E09322F"/>
    <w:rsid w:val="6E0A2BFA"/>
    <w:rsid w:val="6E393DE4"/>
    <w:rsid w:val="6E394335"/>
    <w:rsid w:val="6E3A08D2"/>
    <w:rsid w:val="6E3D6A14"/>
    <w:rsid w:val="6E405E13"/>
    <w:rsid w:val="6E4D5CD6"/>
    <w:rsid w:val="6E554B13"/>
    <w:rsid w:val="6E556A51"/>
    <w:rsid w:val="6E565893"/>
    <w:rsid w:val="6E671CC6"/>
    <w:rsid w:val="6E8C1058"/>
    <w:rsid w:val="6E9014D2"/>
    <w:rsid w:val="6E921D81"/>
    <w:rsid w:val="6E9D3265"/>
    <w:rsid w:val="6E9F23A4"/>
    <w:rsid w:val="6E9F6FDD"/>
    <w:rsid w:val="6EA122FB"/>
    <w:rsid w:val="6EA74203"/>
    <w:rsid w:val="6EBC7B8F"/>
    <w:rsid w:val="6EBE6107"/>
    <w:rsid w:val="6EC369AC"/>
    <w:rsid w:val="6EC60514"/>
    <w:rsid w:val="6ED2525C"/>
    <w:rsid w:val="6ED64310"/>
    <w:rsid w:val="6EE921F2"/>
    <w:rsid w:val="6EFD371E"/>
    <w:rsid w:val="6F0C1BB5"/>
    <w:rsid w:val="6F307C36"/>
    <w:rsid w:val="6F324441"/>
    <w:rsid w:val="6F324CA9"/>
    <w:rsid w:val="6F3D48CB"/>
    <w:rsid w:val="6F3D5510"/>
    <w:rsid w:val="6F51798E"/>
    <w:rsid w:val="6F541F36"/>
    <w:rsid w:val="6F5659D5"/>
    <w:rsid w:val="6F623FAD"/>
    <w:rsid w:val="6F841F2F"/>
    <w:rsid w:val="6F9456EF"/>
    <w:rsid w:val="6F9A2847"/>
    <w:rsid w:val="6F9E3208"/>
    <w:rsid w:val="6FB056AF"/>
    <w:rsid w:val="6FB74F5D"/>
    <w:rsid w:val="6FC565D0"/>
    <w:rsid w:val="6FCC6FC4"/>
    <w:rsid w:val="6FCF7F5C"/>
    <w:rsid w:val="6FD40189"/>
    <w:rsid w:val="6FDC7A1D"/>
    <w:rsid w:val="6FE46C3D"/>
    <w:rsid w:val="6FE62187"/>
    <w:rsid w:val="6FE729DE"/>
    <w:rsid w:val="6FF67DDB"/>
    <w:rsid w:val="6FFC22A1"/>
    <w:rsid w:val="70001CFE"/>
    <w:rsid w:val="700233CF"/>
    <w:rsid w:val="700325D0"/>
    <w:rsid w:val="700C661A"/>
    <w:rsid w:val="70140608"/>
    <w:rsid w:val="701A7F9A"/>
    <w:rsid w:val="70277CF6"/>
    <w:rsid w:val="702A3D79"/>
    <w:rsid w:val="70372A3F"/>
    <w:rsid w:val="7054493A"/>
    <w:rsid w:val="706109EE"/>
    <w:rsid w:val="70696A0C"/>
    <w:rsid w:val="70726194"/>
    <w:rsid w:val="709A22EE"/>
    <w:rsid w:val="709F4A31"/>
    <w:rsid w:val="70B15A49"/>
    <w:rsid w:val="70B86957"/>
    <w:rsid w:val="70CF5B1C"/>
    <w:rsid w:val="70D24D17"/>
    <w:rsid w:val="70D3219F"/>
    <w:rsid w:val="70DE595D"/>
    <w:rsid w:val="70E678B6"/>
    <w:rsid w:val="70F00238"/>
    <w:rsid w:val="70FD0A4B"/>
    <w:rsid w:val="71017ADB"/>
    <w:rsid w:val="710B36C4"/>
    <w:rsid w:val="71153114"/>
    <w:rsid w:val="71193077"/>
    <w:rsid w:val="712B6906"/>
    <w:rsid w:val="712C5EEB"/>
    <w:rsid w:val="71630937"/>
    <w:rsid w:val="71667B17"/>
    <w:rsid w:val="718C6B5C"/>
    <w:rsid w:val="718E7510"/>
    <w:rsid w:val="71950224"/>
    <w:rsid w:val="719B73F7"/>
    <w:rsid w:val="719B7F30"/>
    <w:rsid w:val="719D2829"/>
    <w:rsid w:val="71A747E0"/>
    <w:rsid w:val="71C95A3C"/>
    <w:rsid w:val="71D6615E"/>
    <w:rsid w:val="71DE718A"/>
    <w:rsid w:val="71E870AE"/>
    <w:rsid w:val="71EA6A11"/>
    <w:rsid w:val="71ED4BF6"/>
    <w:rsid w:val="71F35DB6"/>
    <w:rsid w:val="71F72C8D"/>
    <w:rsid w:val="71FC2024"/>
    <w:rsid w:val="720D74F7"/>
    <w:rsid w:val="721128B4"/>
    <w:rsid w:val="721647A1"/>
    <w:rsid w:val="7225031D"/>
    <w:rsid w:val="72277621"/>
    <w:rsid w:val="7227794D"/>
    <w:rsid w:val="722855E6"/>
    <w:rsid w:val="722A48D5"/>
    <w:rsid w:val="722B6CE7"/>
    <w:rsid w:val="722E7BE2"/>
    <w:rsid w:val="72440D5F"/>
    <w:rsid w:val="72493F11"/>
    <w:rsid w:val="724A539C"/>
    <w:rsid w:val="724F72C2"/>
    <w:rsid w:val="72521445"/>
    <w:rsid w:val="7270283F"/>
    <w:rsid w:val="72706CB0"/>
    <w:rsid w:val="728269FA"/>
    <w:rsid w:val="729D55E2"/>
    <w:rsid w:val="72B017B9"/>
    <w:rsid w:val="72B20BEA"/>
    <w:rsid w:val="72BD17CE"/>
    <w:rsid w:val="72D4147D"/>
    <w:rsid w:val="72DC1B22"/>
    <w:rsid w:val="72E5521F"/>
    <w:rsid w:val="72E6431E"/>
    <w:rsid w:val="72F01BB6"/>
    <w:rsid w:val="72F90EAF"/>
    <w:rsid w:val="72FB736C"/>
    <w:rsid w:val="73060BC5"/>
    <w:rsid w:val="73072914"/>
    <w:rsid w:val="73073605"/>
    <w:rsid w:val="73107555"/>
    <w:rsid w:val="73212A30"/>
    <w:rsid w:val="73267C31"/>
    <w:rsid w:val="73313D56"/>
    <w:rsid w:val="73355D32"/>
    <w:rsid w:val="733E28E9"/>
    <w:rsid w:val="73455F30"/>
    <w:rsid w:val="73493241"/>
    <w:rsid w:val="7354063C"/>
    <w:rsid w:val="73574D9C"/>
    <w:rsid w:val="73616461"/>
    <w:rsid w:val="736E2ADE"/>
    <w:rsid w:val="737230F7"/>
    <w:rsid w:val="738F5EF3"/>
    <w:rsid w:val="739D5E41"/>
    <w:rsid w:val="73AC2E89"/>
    <w:rsid w:val="73B23CD3"/>
    <w:rsid w:val="73BC43BC"/>
    <w:rsid w:val="73BE274A"/>
    <w:rsid w:val="73BE4993"/>
    <w:rsid w:val="73C3039E"/>
    <w:rsid w:val="73DD49A4"/>
    <w:rsid w:val="73DF450F"/>
    <w:rsid w:val="73E20E9A"/>
    <w:rsid w:val="73E82D35"/>
    <w:rsid w:val="73EB5B00"/>
    <w:rsid w:val="73F22261"/>
    <w:rsid w:val="74035F8D"/>
    <w:rsid w:val="740720AB"/>
    <w:rsid w:val="740F205D"/>
    <w:rsid w:val="740F6E5C"/>
    <w:rsid w:val="742A03F4"/>
    <w:rsid w:val="743106D8"/>
    <w:rsid w:val="744F348F"/>
    <w:rsid w:val="74566FA0"/>
    <w:rsid w:val="74604B19"/>
    <w:rsid w:val="746073AD"/>
    <w:rsid w:val="74773604"/>
    <w:rsid w:val="74891D81"/>
    <w:rsid w:val="74991960"/>
    <w:rsid w:val="74A3711F"/>
    <w:rsid w:val="74B50818"/>
    <w:rsid w:val="74C04B3D"/>
    <w:rsid w:val="74FB047A"/>
    <w:rsid w:val="75005DD6"/>
    <w:rsid w:val="750B42BF"/>
    <w:rsid w:val="751B1B2A"/>
    <w:rsid w:val="75240CAC"/>
    <w:rsid w:val="75297601"/>
    <w:rsid w:val="75321CAB"/>
    <w:rsid w:val="75427AEF"/>
    <w:rsid w:val="75452B4A"/>
    <w:rsid w:val="755768E7"/>
    <w:rsid w:val="755B037B"/>
    <w:rsid w:val="756C2D18"/>
    <w:rsid w:val="757670C1"/>
    <w:rsid w:val="757C2B66"/>
    <w:rsid w:val="758F7900"/>
    <w:rsid w:val="759C56A8"/>
    <w:rsid w:val="75A629FF"/>
    <w:rsid w:val="75B56399"/>
    <w:rsid w:val="75BF4268"/>
    <w:rsid w:val="75C04D16"/>
    <w:rsid w:val="75C660AC"/>
    <w:rsid w:val="75CF09D8"/>
    <w:rsid w:val="75D33467"/>
    <w:rsid w:val="75D81513"/>
    <w:rsid w:val="75D84E20"/>
    <w:rsid w:val="75DA6B4D"/>
    <w:rsid w:val="75DE3EEB"/>
    <w:rsid w:val="75E64D79"/>
    <w:rsid w:val="75E66105"/>
    <w:rsid w:val="75F60623"/>
    <w:rsid w:val="75FD6180"/>
    <w:rsid w:val="75FE7097"/>
    <w:rsid w:val="760264E5"/>
    <w:rsid w:val="76046BB8"/>
    <w:rsid w:val="762E1882"/>
    <w:rsid w:val="763514A7"/>
    <w:rsid w:val="76403B59"/>
    <w:rsid w:val="76441786"/>
    <w:rsid w:val="764C2C22"/>
    <w:rsid w:val="76542DA3"/>
    <w:rsid w:val="76564B7F"/>
    <w:rsid w:val="765661D4"/>
    <w:rsid w:val="766A54E2"/>
    <w:rsid w:val="76735C47"/>
    <w:rsid w:val="76744A20"/>
    <w:rsid w:val="76804485"/>
    <w:rsid w:val="768F1385"/>
    <w:rsid w:val="76975B29"/>
    <w:rsid w:val="769F5BA4"/>
    <w:rsid w:val="76B32B8F"/>
    <w:rsid w:val="76B348A0"/>
    <w:rsid w:val="76C55568"/>
    <w:rsid w:val="76CE41ED"/>
    <w:rsid w:val="76D307E7"/>
    <w:rsid w:val="76DC65D6"/>
    <w:rsid w:val="76DD4874"/>
    <w:rsid w:val="76F10485"/>
    <w:rsid w:val="76F7542E"/>
    <w:rsid w:val="76FB66D3"/>
    <w:rsid w:val="77126311"/>
    <w:rsid w:val="77154C9B"/>
    <w:rsid w:val="771B77EF"/>
    <w:rsid w:val="77212C85"/>
    <w:rsid w:val="77297D8C"/>
    <w:rsid w:val="772D379C"/>
    <w:rsid w:val="77410F86"/>
    <w:rsid w:val="77514FC1"/>
    <w:rsid w:val="775253E0"/>
    <w:rsid w:val="77677682"/>
    <w:rsid w:val="776B062D"/>
    <w:rsid w:val="7772394D"/>
    <w:rsid w:val="77764ACB"/>
    <w:rsid w:val="777F348A"/>
    <w:rsid w:val="778D039E"/>
    <w:rsid w:val="77946031"/>
    <w:rsid w:val="779E10A6"/>
    <w:rsid w:val="779F19A7"/>
    <w:rsid w:val="77A57EFA"/>
    <w:rsid w:val="77AE073A"/>
    <w:rsid w:val="77AE74F4"/>
    <w:rsid w:val="77B92812"/>
    <w:rsid w:val="77BF10B8"/>
    <w:rsid w:val="77C43AB9"/>
    <w:rsid w:val="77E44246"/>
    <w:rsid w:val="780C2125"/>
    <w:rsid w:val="780F0D30"/>
    <w:rsid w:val="7816640F"/>
    <w:rsid w:val="78193547"/>
    <w:rsid w:val="781F48AE"/>
    <w:rsid w:val="7846296A"/>
    <w:rsid w:val="7847676A"/>
    <w:rsid w:val="78515273"/>
    <w:rsid w:val="786177F8"/>
    <w:rsid w:val="7864663C"/>
    <w:rsid w:val="78647A0B"/>
    <w:rsid w:val="788B3756"/>
    <w:rsid w:val="78A07F42"/>
    <w:rsid w:val="78A8025B"/>
    <w:rsid w:val="78B14041"/>
    <w:rsid w:val="78C65499"/>
    <w:rsid w:val="78CD05E3"/>
    <w:rsid w:val="78D76195"/>
    <w:rsid w:val="78EE61E1"/>
    <w:rsid w:val="78F478AC"/>
    <w:rsid w:val="78FA5D9B"/>
    <w:rsid w:val="78FB4B9C"/>
    <w:rsid w:val="78FD502C"/>
    <w:rsid w:val="79190BED"/>
    <w:rsid w:val="791E7A6C"/>
    <w:rsid w:val="792D106F"/>
    <w:rsid w:val="79307325"/>
    <w:rsid w:val="793F5CBB"/>
    <w:rsid w:val="795B3BEA"/>
    <w:rsid w:val="79673BFA"/>
    <w:rsid w:val="79740110"/>
    <w:rsid w:val="797943A3"/>
    <w:rsid w:val="79936ADF"/>
    <w:rsid w:val="799B49FF"/>
    <w:rsid w:val="799C2D4A"/>
    <w:rsid w:val="79A643BB"/>
    <w:rsid w:val="79AE27CB"/>
    <w:rsid w:val="79C468A7"/>
    <w:rsid w:val="79D0466A"/>
    <w:rsid w:val="79EC5E1F"/>
    <w:rsid w:val="79F34739"/>
    <w:rsid w:val="79F46411"/>
    <w:rsid w:val="7A046339"/>
    <w:rsid w:val="7A052323"/>
    <w:rsid w:val="7A053039"/>
    <w:rsid w:val="7A06674E"/>
    <w:rsid w:val="7A0A25B3"/>
    <w:rsid w:val="7A0D418F"/>
    <w:rsid w:val="7A0F730A"/>
    <w:rsid w:val="7A1E16FE"/>
    <w:rsid w:val="7A1F7EA5"/>
    <w:rsid w:val="7A29703D"/>
    <w:rsid w:val="7A2D1233"/>
    <w:rsid w:val="7A3E17A4"/>
    <w:rsid w:val="7A467D02"/>
    <w:rsid w:val="7A493C3E"/>
    <w:rsid w:val="7A691660"/>
    <w:rsid w:val="7A741211"/>
    <w:rsid w:val="7A7B5BFD"/>
    <w:rsid w:val="7A8239C6"/>
    <w:rsid w:val="7A9001BC"/>
    <w:rsid w:val="7A932C47"/>
    <w:rsid w:val="7AA57A83"/>
    <w:rsid w:val="7AB16F98"/>
    <w:rsid w:val="7AB325B1"/>
    <w:rsid w:val="7AC33222"/>
    <w:rsid w:val="7AD61FD9"/>
    <w:rsid w:val="7AD952CF"/>
    <w:rsid w:val="7AE53764"/>
    <w:rsid w:val="7AEA1B51"/>
    <w:rsid w:val="7AF904AF"/>
    <w:rsid w:val="7B0157FB"/>
    <w:rsid w:val="7B070AD2"/>
    <w:rsid w:val="7B071B55"/>
    <w:rsid w:val="7B121820"/>
    <w:rsid w:val="7B123A95"/>
    <w:rsid w:val="7B196B92"/>
    <w:rsid w:val="7B220D70"/>
    <w:rsid w:val="7B286290"/>
    <w:rsid w:val="7B400DFC"/>
    <w:rsid w:val="7B4A6717"/>
    <w:rsid w:val="7B501859"/>
    <w:rsid w:val="7B5B428C"/>
    <w:rsid w:val="7B65533B"/>
    <w:rsid w:val="7B781A47"/>
    <w:rsid w:val="7B877512"/>
    <w:rsid w:val="7B9928F4"/>
    <w:rsid w:val="7BA02487"/>
    <w:rsid w:val="7BA127A2"/>
    <w:rsid w:val="7BA437A2"/>
    <w:rsid w:val="7BB93A91"/>
    <w:rsid w:val="7BBB5869"/>
    <w:rsid w:val="7BC52AAB"/>
    <w:rsid w:val="7BD07879"/>
    <w:rsid w:val="7BD67FB8"/>
    <w:rsid w:val="7BE43F93"/>
    <w:rsid w:val="7BEA6337"/>
    <w:rsid w:val="7BEE55E0"/>
    <w:rsid w:val="7BF02562"/>
    <w:rsid w:val="7BF725FA"/>
    <w:rsid w:val="7BFA325A"/>
    <w:rsid w:val="7C0437E9"/>
    <w:rsid w:val="7C0B41AB"/>
    <w:rsid w:val="7C0C35CB"/>
    <w:rsid w:val="7C0E6711"/>
    <w:rsid w:val="7C1728A9"/>
    <w:rsid w:val="7C2421BF"/>
    <w:rsid w:val="7C2475EE"/>
    <w:rsid w:val="7C2C7E24"/>
    <w:rsid w:val="7C3A0345"/>
    <w:rsid w:val="7C3D13C0"/>
    <w:rsid w:val="7C406E4D"/>
    <w:rsid w:val="7C436FB5"/>
    <w:rsid w:val="7C470228"/>
    <w:rsid w:val="7C491B61"/>
    <w:rsid w:val="7C4F7C90"/>
    <w:rsid w:val="7C56049D"/>
    <w:rsid w:val="7C5A1B1A"/>
    <w:rsid w:val="7C5E74D4"/>
    <w:rsid w:val="7C600346"/>
    <w:rsid w:val="7C6D4836"/>
    <w:rsid w:val="7C726290"/>
    <w:rsid w:val="7C785D61"/>
    <w:rsid w:val="7C7E312D"/>
    <w:rsid w:val="7C885555"/>
    <w:rsid w:val="7C8B6589"/>
    <w:rsid w:val="7C943F81"/>
    <w:rsid w:val="7CA74703"/>
    <w:rsid w:val="7CAA54CB"/>
    <w:rsid w:val="7CAF0A53"/>
    <w:rsid w:val="7CB04182"/>
    <w:rsid w:val="7CC263A0"/>
    <w:rsid w:val="7CDB284A"/>
    <w:rsid w:val="7CE80CA4"/>
    <w:rsid w:val="7CEF7382"/>
    <w:rsid w:val="7CFD7BA7"/>
    <w:rsid w:val="7CFF4229"/>
    <w:rsid w:val="7D00333D"/>
    <w:rsid w:val="7D0504D4"/>
    <w:rsid w:val="7D0723CD"/>
    <w:rsid w:val="7D1D3EEF"/>
    <w:rsid w:val="7D1F288D"/>
    <w:rsid w:val="7D3C5E52"/>
    <w:rsid w:val="7D450D50"/>
    <w:rsid w:val="7D4F6D4A"/>
    <w:rsid w:val="7D537E31"/>
    <w:rsid w:val="7D586CD5"/>
    <w:rsid w:val="7D5E20AA"/>
    <w:rsid w:val="7D813024"/>
    <w:rsid w:val="7D840A2E"/>
    <w:rsid w:val="7D894363"/>
    <w:rsid w:val="7D8A71C7"/>
    <w:rsid w:val="7D8D0C22"/>
    <w:rsid w:val="7D923EDE"/>
    <w:rsid w:val="7D950212"/>
    <w:rsid w:val="7D966272"/>
    <w:rsid w:val="7DAC7021"/>
    <w:rsid w:val="7DB037D8"/>
    <w:rsid w:val="7DB41E43"/>
    <w:rsid w:val="7DB45696"/>
    <w:rsid w:val="7DC86F1A"/>
    <w:rsid w:val="7DCE0466"/>
    <w:rsid w:val="7DD24C4E"/>
    <w:rsid w:val="7DD5031E"/>
    <w:rsid w:val="7DDE2DFC"/>
    <w:rsid w:val="7DDF3881"/>
    <w:rsid w:val="7DF74740"/>
    <w:rsid w:val="7E016CEB"/>
    <w:rsid w:val="7E255954"/>
    <w:rsid w:val="7E2A2A0B"/>
    <w:rsid w:val="7E31473D"/>
    <w:rsid w:val="7E3B634F"/>
    <w:rsid w:val="7E46107D"/>
    <w:rsid w:val="7E461224"/>
    <w:rsid w:val="7E4F632A"/>
    <w:rsid w:val="7E681430"/>
    <w:rsid w:val="7E7602A3"/>
    <w:rsid w:val="7E7D104B"/>
    <w:rsid w:val="7E7D65C5"/>
    <w:rsid w:val="7E843DBB"/>
    <w:rsid w:val="7E87678E"/>
    <w:rsid w:val="7E922693"/>
    <w:rsid w:val="7E993972"/>
    <w:rsid w:val="7EA05A74"/>
    <w:rsid w:val="7EC957DF"/>
    <w:rsid w:val="7ED00DB9"/>
    <w:rsid w:val="7ED405DD"/>
    <w:rsid w:val="7EEB228E"/>
    <w:rsid w:val="7EEF460F"/>
    <w:rsid w:val="7EF22AF2"/>
    <w:rsid w:val="7EFE084F"/>
    <w:rsid w:val="7EFE1AFE"/>
    <w:rsid w:val="7F224474"/>
    <w:rsid w:val="7F2809F8"/>
    <w:rsid w:val="7F2D6654"/>
    <w:rsid w:val="7F3948E4"/>
    <w:rsid w:val="7F3F4CB2"/>
    <w:rsid w:val="7F480A89"/>
    <w:rsid w:val="7F4B3FCF"/>
    <w:rsid w:val="7F532D8A"/>
    <w:rsid w:val="7F572DEE"/>
    <w:rsid w:val="7F590EFE"/>
    <w:rsid w:val="7F6601A2"/>
    <w:rsid w:val="7F681A89"/>
    <w:rsid w:val="7F6B314D"/>
    <w:rsid w:val="7F743E69"/>
    <w:rsid w:val="7F7470C9"/>
    <w:rsid w:val="7F830204"/>
    <w:rsid w:val="7F873601"/>
    <w:rsid w:val="7F933C0F"/>
    <w:rsid w:val="7F940F7A"/>
    <w:rsid w:val="7F947515"/>
    <w:rsid w:val="7FA358BF"/>
    <w:rsid w:val="7FA7314A"/>
    <w:rsid w:val="7FB0031C"/>
    <w:rsid w:val="7FBD024B"/>
    <w:rsid w:val="7FC96B3D"/>
    <w:rsid w:val="7FD147E2"/>
    <w:rsid w:val="7FD165FD"/>
    <w:rsid w:val="7FD55929"/>
    <w:rsid w:val="7FE4455D"/>
    <w:rsid w:val="7FF3012C"/>
    <w:rsid w:val="7FF5418E"/>
    <w:rsid w:val="7FF64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2"/>
    <w:qFormat/>
    <w:uiPriority w:val="0"/>
    <w:pPr>
      <w:keepNext/>
      <w:jc w:val="center"/>
      <w:outlineLvl w:val="0"/>
    </w:pPr>
    <w:rPr>
      <w:rFonts w:ascii="仿宋_GB2312" w:eastAsia="仿宋_GB2312"/>
      <w:sz w:val="28"/>
    </w:rPr>
  </w:style>
  <w:style w:type="paragraph" w:styleId="6">
    <w:name w:val="heading 2"/>
    <w:basedOn w:val="1"/>
    <w:next w:val="1"/>
    <w:link w:val="55"/>
    <w:qFormat/>
    <w:uiPriority w:val="0"/>
    <w:pPr>
      <w:keepNext/>
      <w:tabs>
        <w:tab w:val="left" w:pos="420"/>
      </w:tabs>
      <w:spacing w:line="360" w:lineRule="auto"/>
      <w:ind w:left="420" w:hanging="330"/>
      <w:outlineLvl w:val="1"/>
    </w:pPr>
    <w:rPr>
      <w:b/>
      <w:sz w:val="24"/>
      <w:szCs w:val="24"/>
    </w:rPr>
  </w:style>
  <w:style w:type="paragraph" w:styleId="7">
    <w:name w:val="heading 3"/>
    <w:basedOn w:val="1"/>
    <w:next w:val="1"/>
    <w:link w:val="90"/>
    <w:qFormat/>
    <w:uiPriority w:val="0"/>
    <w:pPr>
      <w:keepNext/>
      <w:tabs>
        <w:tab w:val="left" w:pos="468"/>
      </w:tabs>
      <w:ind w:left="468" w:hanging="468"/>
      <w:outlineLvl w:val="2"/>
    </w:pPr>
    <w:rPr>
      <w:b/>
      <w:bCs/>
      <w:sz w:val="28"/>
      <w:szCs w:val="24"/>
    </w:rPr>
  </w:style>
  <w:style w:type="paragraph" w:styleId="4">
    <w:name w:val="heading 4"/>
    <w:basedOn w:val="1"/>
    <w:next w:val="1"/>
    <w:link w:val="74"/>
    <w:qFormat/>
    <w:uiPriority w:val="0"/>
    <w:pPr>
      <w:keepNext/>
      <w:tabs>
        <w:tab w:val="left" w:pos="435"/>
      </w:tabs>
      <w:ind w:left="435" w:hanging="435"/>
      <w:outlineLvl w:val="3"/>
    </w:pPr>
    <w:rPr>
      <w:b/>
      <w:color w:val="000000"/>
      <w:sz w:val="28"/>
      <w:szCs w:val="24"/>
      <w:u w:val="single"/>
    </w:rPr>
  </w:style>
  <w:style w:type="paragraph" w:styleId="8">
    <w:name w:val="heading 5"/>
    <w:basedOn w:val="1"/>
    <w:next w:val="9"/>
    <w:link w:val="59"/>
    <w:qFormat/>
    <w:uiPriority w:val="0"/>
    <w:pPr>
      <w:keepNext/>
      <w:adjustRightInd w:val="0"/>
      <w:spacing w:line="360" w:lineRule="auto"/>
      <w:jc w:val="left"/>
      <w:textAlignment w:val="baseline"/>
      <w:outlineLvl w:val="4"/>
    </w:pPr>
    <w:rPr>
      <w:rFonts w:ascii="宋体"/>
      <w:b/>
      <w:kern w:val="0"/>
      <w:sz w:val="28"/>
    </w:rPr>
  </w:style>
  <w:style w:type="paragraph" w:styleId="10">
    <w:name w:val="heading 6"/>
    <w:basedOn w:val="1"/>
    <w:next w:val="1"/>
    <w:link w:val="75"/>
    <w:qFormat/>
    <w:uiPriority w:val="0"/>
    <w:pPr>
      <w:tabs>
        <w:tab w:val="left" w:pos="814"/>
      </w:tabs>
      <w:spacing w:before="240" w:after="64" w:line="317" w:lineRule="auto"/>
      <w:ind w:left="454" w:firstLine="200" w:firstLineChars="200"/>
      <w:outlineLvl w:val="5"/>
    </w:pPr>
    <w:rPr>
      <w:bCs/>
      <w:sz w:val="28"/>
    </w:rPr>
  </w:style>
  <w:style w:type="paragraph" w:styleId="11">
    <w:name w:val="heading 7"/>
    <w:basedOn w:val="1"/>
    <w:next w:val="1"/>
    <w:link w:val="70"/>
    <w:qFormat/>
    <w:uiPriority w:val="0"/>
    <w:pPr>
      <w:keepNext/>
      <w:tabs>
        <w:tab w:val="left" w:pos="900"/>
      </w:tabs>
      <w:ind w:left="900" w:hanging="300"/>
      <w:outlineLvl w:val="6"/>
    </w:pPr>
    <w:rPr>
      <w:rFonts w:ascii="宋体" w:hAnsi="宋体"/>
      <w:b/>
      <w:sz w:val="28"/>
      <w:szCs w:val="24"/>
    </w:rPr>
  </w:style>
  <w:style w:type="paragraph" w:styleId="12">
    <w:name w:val="heading 8"/>
    <w:basedOn w:val="1"/>
    <w:next w:val="1"/>
    <w:link w:val="71"/>
    <w:qFormat/>
    <w:uiPriority w:val="0"/>
    <w:pPr>
      <w:keepNext/>
      <w:widowControl/>
      <w:tabs>
        <w:tab w:val="left" w:pos="1260"/>
        <w:tab w:val="left" w:pos="1995"/>
        <w:tab w:val="left" w:pos="2520"/>
        <w:tab w:val="left" w:pos="2730"/>
      </w:tabs>
      <w:spacing w:before="100" w:after="100" w:line="400" w:lineRule="exact"/>
      <w:ind w:left="600" w:hanging="600"/>
      <w:jc w:val="left"/>
      <w:outlineLvl w:val="7"/>
    </w:pPr>
    <w:rPr>
      <w:b/>
      <w:sz w:val="28"/>
      <w:szCs w:val="24"/>
      <w:u w:val="single"/>
    </w:rPr>
  </w:style>
  <w:style w:type="paragraph" w:styleId="13">
    <w:name w:val="heading 9"/>
    <w:basedOn w:val="1"/>
    <w:next w:val="1"/>
    <w:link w:val="81"/>
    <w:qFormat/>
    <w:uiPriority w:val="0"/>
    <w:pPr>
      <w:keepNext/>
      <w:keepLines/>
      <w:tabs>
        <w:tab w:val="left" w:pos="1584"/>
      </w:tabs>
      <w:spacing w:before="240" w:after="64" w:line="317" w:lineRule="auto"/>
      <w:ind w:left="1584" w:hanging="1584" w:firstLineChars="200"/>
      <w:outlineLvl w:val="8"/>
    </w:pPr>
    <w:rPr>
      <w:rFonts w:ascii="Arial" w:hAnsi="Arial" w:eastAsia="黑体"/>
      <w:sz w:val="24"/>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7"/>
    <w:qFormat/>
    <w:uiPriority w:val="0"/>
    <w:pPr>
      <w:spacing w:after="120" w:line="240" w:lineRule="auto"/>
      <w:ind w:left="420" w:leftChars="200" w:firstLine="420" w:firstLineChars="200"/>
    </w:pPr>
    <w:rPr>
      <w:rFonts w:eastAsia="宋体"/>
      <w:sz w:val="21"/>
      <w:szCs w:val="24"/>
    </w:rPr>
  </w:style>
  <w:style w:type="paragraph" w:styleId="3">
    <w:name w:val="Body Text Indent"/>
    <w:basedOn w:val="1"/>
    <w:next w:val="4"/>
    <w:link w:val="54"/>
    <w:qFormat/>
    <w:uiPriority w:val="0"/>
    <w:pPr>
      <w:spacing w:line="800" w:lineRule="exact"/>
      <w:ind w:left="315" w:leftChars="150" w:firstLine="664" w:firstLineChars="237"/>
    </w:pPr>
    <w:rPr>
      <w:rFonts w:ascii="仿宋_GB2312" w:eastAsia="仿宋_GB2312"/>
      <w:sz w:val="28"/>
    </w:rPr>
  </w:style>
  <w:style w:type="paragraph" w:styleId="9">
    <w:name w:val="Normal Indent"/>
    <w:basedOn w:val="1"/>
    <w:next w:val="1"/>
    <w:qFormat/>
    <w:uiPriority w:val="0"/>
    <w:pPr>
      <w:ind w:firstLine="420" w:firstLineChars="200"/>
    </w:pPr>
    <w:rPr>
      <w:szCs w:val="24"/>
    </w:rPr>
  </w:style>
  <w:style w:type="paragraph" w:styleId="14">
    <w:name w:val="toc 7"/>
    <w:basedOn w:val="1"/>
    <w:next w:val="1"/>
    <w:semiHidden/>
    <w:qFormat/>
    <w:uiPriority w:val="0"/>
    <w:pPr>
      <w:ind w:left="1260"/>
      <w:jc w:val="left"/>
    </w:pPr>
    <w:rPr>
      <w:sz w:val="18"/>
      <w:szCs w:val="18"/>
    </w:rPr>
  </w:style>
  <w:style w:type="paragraph" w:styleId="15">
    <w:name w:val="List Number"/>
    <w:basedOn w:val="1"/>
    <w:qFormat/>
    <w:uiPriority w:val="0"/>
    <w:pPr>
      <w:tabs>
        <w:tab w:val="left" w:pos="1890"/>
      </w:tabs>
      <w:ind w:hanging="420"/>
    </w:pPr>
    <w:rPr>
      <w:szCs w:val="24"/>
    </w:rPr>
  </w:style>
  <w:style w:type="paragraph" w:styleId="16">
    <w:name w:val="Document Map"/>
    <w:basedOn w:val="1"/>
    <w:semiHidden/>
    <w:qFormat/>
    <w:uiPriority w:val="0"/>
    <w:pPr>
      <w:shd w:val="clear" w:color="auto" w:fill="000080"/>
    </w:pPr>
  </w:style>
  <w:style w:type="paragraph" w:styleId="17">
    <w:name w:val="toa heading"/>
    <w:basedOn w:val="1"/>
    <w:next w:val="1"/>
    <w:qFormat/>
    <w:uiPriority w:val="0"/>
    <w:pPr>
      <w:spacing w:before="120"/>
    </w:pPr>
    <w:rPr>
      <w:rFonts w:ascii="Cambria" w:hAnsi="Cambria"/>
      <w:sz w:val="24"/>
      <w:szCs w:val="24"/>
    </w:rPr>
  </w:style>
  <w:style w:type="paragraph" w:styleId="18">
    <w:name w:val="annotation text"/>
    <w:basedOn w:val="1"/>
    <w:link w:val="91"/>
    <w:qFormat/>
    <w:uiPriority w:val="0"/>
    <w:pPr>
      <w:jc w:val="left"/>
    </w:pPr>
    <w:rPr>
      <w:szCs w:val="24"/>
    </w:rPr>
  </w:style>
  <w:style w:type="paragraph" w:styleId="19">
    <w:name w:val="Body Text 3"/>
    <w:basedOn w:val="1"/>
    <w:qFormat/>
    <w:uiPriority w:val="0"/>
    <w:pPr>
      <w:spacing w:after="120"/>
    </w:pPr>
    <w:rPr>
      <w:sz w:val="16"/>
      <w:szCs w:val="16"/>
    </w:rPr>
  </w:style>
  <w:style w:type="paragraph" w:styleId="20">
    <w:name w:val="Body Text"/>
    <w:basedOn w:val="1"/>
    <w:next w:val="21"/>
    <w:link w:val="95"/>
    <w:qFormat/>
    <w:uiPriority w:val="0"/>
    <w:pPr>
      <w:spacing w:after="120"/>
    </w:p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22">
    <w:name w:val="HTML Address"/>
    <w:basedOn w:val="1"/>
    <w:link w:val="73"/>
    <w:qFormat/>
    <w:uiPriority w:val="0"/>
    <w:rPr>
      <w:i/>
      <w:iCs/>
      <w:szCs w:val="24"/>
    </w:rPr>
  </w:style>
  <w:style w:type="paragraph" w:styleId="23">
    <w:name w:val="toc 5"/>
    <w:basedOn w:val="1"/>
    <w:next w:val="1"/>
    <w:semiHidden/>
    <w:qFormat/>
    <w:uiPriority w:val="0"/>
    <w:pPr>
      <w:ind w:left="840"/>
      <w:jc w:val="left"/>
    </w:pPr>
    <w:rPr>
      <w:sz w:val="18"/>
      <w:szCs w:val="18"/>
    </w:rPr>
  </w:style>
  <w:style w:type="paragraph" w:styleId="24">
    <w:name w:val="toc 3"/>
    <w:basedOn w:val="1"/>
    <w:next w:val="1"/>
    <w:qFormat/>
    <w:uiPriority w:val="0"/>
    <w:pPr>
      <w:ind w:left="420"/>
      <w:jc w:val="left"/>
    </w:pPr>
    <w:rPr>
      <w:i/>
      <w:iCs/>
      <w:sz w:val="20"/>
    </w:rPr>
  </w:style>
  <w:style w:type="paragraph" w:styleId="25">
    <w:name w:val="Plain Text"/>
    <w:basedOn w:val="1"/>
    <w:link w:val="92"/>
    <w:qFormat/>
    <w:uiPriority w:val="0"/>
    <w:rPr>
      <w:rFonts w:ascii="宋体" w:hAnsi="宋体"/>
    </w:rPr>
  </w:style>
  <w:style w:type="paragraph" w:styleId="26">
    <w:name w:val="toc 8"/>
    <w:basedOn w:val="1"/>
    <w:next w:val="1"/>
    <w:semiHidden/>
    <w:qFormat/>
    <w:uiPriority w:val="0"/>
    <w:pPr>
      <w:ind w:left="1470"/>
      <w:jc w:val="left"/>
    </w:pPr>
    <w:rPr>
      <w:sz w:val="18"/>
      <w:szCs w:val="18"/>
    </w:rPr>
  </w:style>
  <w:style w:type="paragraph" w:styleId="27">
    <w:name w:val="Date"/>
    <w:basedOn w:val="1"/>
    <w:next w:val="1"/>
    <w:link w:val="65"/>
    <w:qFormat/>
    <w:uiPriority w:val="0"/>
    <w:rPr>
      <w:color w:val="000000"/>
      <w:kern w:val="0"/>
      <w:sz w:val="30"/>
    </w:rPr>
  </w:style>
  <w:style w:type="paragraph" w:styleId="28">
    <w:name w:val="Body Text Indent 2"/>
    <w:basedOn w:val="1"/>
    <w:link w:val="60"/>
    <w:qFormat/>
    <w:uiPriority w:val="0"/>
    <w:pPr>
      <w:spacing w:line="360" w:lineRule="auto"/>
      <w:ind w:firstLine="555"/>
    </w:pPr>
    <w:rPr>
      <w:rFonts w:ascii="仿宋_GB2312" w:eastAsia="仿宋_GB2312"/>
      <w:sz w:val="28"/>
    </w:rPr>
  </w:style>
  <w:style w:type="paragraph" w:styleId="29">
    <w:name w:val="Balloon Text"/>
    <w:basedOn w:val="1"/>
    <w:link w:val="61"/>
    <w:qFormat/>
    <w:uiPriority w:val="0"/>
    <w:rPr>
      <w:sz w:val="18"/>
      <w:szCs w:val="18"/>
    </w:rPr>
  </w:style>
  <w:style w:type="paragraph" w:styleId="30">
    <w:name w:val="footer"/>
    <w:basedOn w:val="1"/>
    <w:link w:val="94"/>
    <w:qFormat/>
    <w:uiPriority w:val="0"/>
    <w:pPr>
      <w:tabs>
        <w:tab w:val="center" w:pos="4153"/>
        <w:tab w:val="right" w:pos="8306"/>
      </w:tabs>
      <w:snapToGrid w:val="0"/>
      <w:jc w:val="left"/>
    </w:pPr>
    <w:rPr>
      <w:sz w:val="18"/>
      <w:szCs w:val="18"/>
    </w:rPr>
  </w:style>
  <w:style w:type="paragraph" w:styleId="31">
    <w:name w:val="header"/>
    <w:basedOn w:val="1"/>
    <w:link w:val="85"/>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before="120" w:after="120"/>
      <w:jc w:val="left"/>
    </w:pPr>
    <w:rPr>
      <w:b/>
      <w:bCs/>
      <w:caps/>
      <w:sz w:val="20"/>
    </w:rPr>
  </w:style>
  <w:style w:type="paragraph" w:styleId="33">
    <w:name w:val="toc 4"/>
    <w:basedOn w:val="1"/>
    <w:next w:val="1"/>
    <w:semiHidden/>
    <w:qFormat/>
    <w:uiPriority w:val="0"/>
    <w:pPr>
      <w:ind w:left="630"/>
      <w:jc w:val="left"/>
    </w:pPr>
    <w:rPr>
      <w:sz w:val="18"/>
      <w:szCs w:val="18"/>
    </w:rPr>
  </w:style>
  <w:style w:type="paragraph" w:styleId="34">
    <w:name w:val="toc 6"/>
    <w:basedOn w:val="1"/>
    <w:next w:val="1"/>
    <w:semiHidden/>
    <w:qFormat/>
    <w:uiPriority w:val="0"/>
    <w:pPr>
      <w:ind w:left="1050"/>
      <w:jc w:val="left"/>
    </w:pPr>
    <w:rPr>
      <w:sz w:val="18"/>
      <w:szCs w:val="18"/>
    </w:rPr>
  </w:style>
  <w:style w:type="paragraph" w:styleId="35">
    <w:name w:val="Body Text Indent 3"/>
    <w:basedOn w:val="1"/>
    <w:link w:val="53"/>
    <w:qFormat/>
    <w:uiPriority w:val="0"/>
    <w:pPr>
      <w:spacing w:line="360" w:lineRule="auto"/>
      <w:ind w:firstLine="480" w:firstLineChars="200"/>
    </w:pPr>
    <w:rPr>
      <w:rFonts w:ascii="宋体"/>
      <w:sz w:val="24"/>
      <w:szCs w:val="24"/>
    </w:rPr>
  </w:style>
  <w:style w:type="paragraph" w:styleId="36">
    <w:name w:val="toc 2"/>
    <w:basedOn w:val="1"/>
    <w:next w:val="1"/>
    <w:qFormat/>
    <w:uiPriority w:val="39"/>
    <w:pPr>
      <w:ind w:left="210"/>
      <w:jc w:val="left"/>
    </w:pPr>
    <w:rPr>
      <w:smallCaps/>
      <w:sz w:val="20"/>
    </w:rPr>
  </w:style>
  <w:style w:type="paragraph" w:styleId="37">
    <w:name w:val="toc 9"/>
    <w:basedOn w:val="1"/>
    <w:next w:val="1"/>
    <w:semiHidden/>
    <w:qFormat/>
    <w:uiPriority w:val="0"/>
    <w:pPr>
      <w:ind w:left="1680"/>
      <w:jc w:val="left"/>
    </w:pPr>
    <w:rPr>
      <w:sz w:val="18"/>
      <w:szCs w:val="18"/>
    </w:rPr>
  </w:style>
  <w:style w:type="paragraph" w:styleId="38">
    <w:name w:val="Body Text 2"/>
    <w:basedOn w:val="1"/>
    <w:link w:val="58"/>
    <w:qFormat/>
    <w:uiPriority w:val="0"/>
    <w:pPr>
      <w:spacing w:after="120" w:line="480" w:lineRule="auto"/>
    </w:pPr>
    <w:rPr>
      <w:szCs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annotation subject"/>
    <w:basedOn w:val="18"/>
    <w:next w:val="18"/>
    <w:link w:val="78"/>
    <w:qFormat/>
    <w:uiPriority w:val="0"/>
    <w:rPr>
      <w:b/>
      <w:bCs/>
    </w:rPr>
  </w:style>
  <w:style w:type="paragraph" w:styleId="41">
    <w:name w:val="Body Text First Indent"/>
    <w:basedOn w:val="20"/>
    <w:link w:val="80"/>
    <w:qFormat/>
    <w:uiPriority w:val="0"/>
    <w:pPr>
      <w:autoSpaceDE w:val="0"/>
      <w:autoSpaceDN w:val="0"/>
      <w:adjustRightInd w:val="0"/>
      <w:spacing w:line="312" w:lineRule="atLeast"/>
      <w:ind w:firstLine="420"/>
    </w:pPr>
    <w:rPr>
      <w:rFonts w:ascii="宋体"/>
      <w:kern w:val="0"/>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22"/>
    <w:rPr>
      <w:b/>
      <w:bCs/>
    </w:rPr>
  </w:style>
  <w:style w:type="character" w:styleId="46">
    <w:name w:val="page number"/>
    <w:basedOn w:val="44"/>
    <w:qFormat/>
    <w:uiPriority w:val="0"/>
  </w:style>
  <w:style w:type="character" w:styleId="47">
    <w:name w:val="Hyperlink"/>
    <w:basedOn w:val="44"/>
    <w:qFormat/>
    <w:uiPriority w:val="99"/>
    <w:rPr>
      <w:color w:val="333333"/>
      <w:u w:val="none"/>
    </w:rPr>
  </w:style>
  <w:style w:type="character" w:styleId="48">
    <w:name w:val="annotation reference"/>
    <w:qFormat/>
    <w:uiPriority w:val="0"/>
    <w:rPr>
      <w:sz w:val="21"/>
      <w:szCs w:val="21"/>
    </w:rPr>
  </w:style>
  <w:style w:type="character" w:styleId="49">
    <w:name w:val="HTML Sample"/>
    <w:basedOn w:val="44"/>
    <w:qFormat/>
    <w:uiPriority w:val="0"/>
    <w:rPr>
      <w:rFonts w:ascii="Courier New" w:hAnsi="Courier New"/>
    </w:rPr>
  </w:style>
  <w:style w:type="paragraph" w:customStyle="1" w:styleId="50">
    <w:name w:val="NormalIndent"/>
    <w:basedOn w:val="1"/>
    <w:qFormat/>
    <w:uiPriority w:val="0"/>
    <w:pPr>
      <w:ind w:firstLine="420"/>
    </w:pPr>
  </w:style>
  <w:style w:type="character" w:customStyle="1" w:styleId="51">
    <w:name w:val="正文 + Arial Char"/>
    <w:qFormat/>
    <w:uiPriority w:val="0"/>
    <w:rPr>
      <w:rFonts w:ascii="Arial" w:hAnsi="Arial" w:eastAsia="宋体" w:cs="Arial"/>
      <w:kern w:val="2"/>
      <w:sz w:val="21"/>
      <w:szCs w:val="21"/>
      <w:lang w:val="en-US" w:eastAsia="zh-CN" w:bidi="ar-SA"/>
    </w:rPr>
  </w:style>
  <w:style w:type="character" w:customStyle="1" w:styleId="52">
    <w:name w:val="font51"/>
    <w:qFormat/>
    <w:uiPriority w:val="0"/>
    <w:rPr>
      <w:rFonts w:hint="eastAsia" w:ascii="宋体" w:hAnsi="宋体" w:eastAsia="宋体" w:cs="宋体"/>
      <w:color w:val="000000"/>
      <w:sz w:val="44"/>
      <w:szCs w:val="44"/>
      <w:u w:val="none"/>
    </w:rPr>
  </w:style>
  <w:style w:type="character" w:customStyle="1" w:styleId="53">
    <w:name w:val="正文文本缩进 3 Char"/>
    <w:link w:val="35"/>
    <w:qFormat/>
    <w:uiPriority w:val="0"/>
    <w:rPr>
      <w:rFonts w:ascii="宋体" w:eastAsia="宋体"/>
      <w:kern w:val="2"/>
      <w:sz w:val="24"/>
      <w:szCs w:val="24"/>
      <w:lang w:val="en-US" w:eastAsia="zh-CN" w:bidi="ar-SA"/>
    </w:rPr>
  </w:style>
  <w:style w:type="character" w:customStyle="1" w:styleId="54">
    <w:name w:val="正文文本缩进 Char"/>
    <w:link w:val="3"/>
    <w:qFormat/>
    <w:uiPriority w:val="0"/>
    <w:rPr>
      <w:rFonts w:ascii="仿宋_GB2312" w:eastAsia="仿宋_GB2312"/>
      <w:kern w:val="2"/>
      <w:sz w:val="28"/>
      <w:lang w:val="en-US" w:eastAsia="zh-CN" w:bidi="ar-SA"/>
    </w:rPr>
  </w:style>
  <w:style w:type="character" w:customStyle="1" w:styleId="55">
    <w:name w:val="标题 2 Char"/>
    <w:link w:val="6"/>
    <w:qFormat/>
    <w:uiPriority w:val="0"/>
    <w:rPr>
      <w:b/>
      <w:kern w:val="2"/>
      <w:sz w:val="24"/>
      <w:szCs w:val="24"/>
    </w:rPr>
  </w:style>
  <w:style w:type="character" w:customStyle="1" w:styleId="56">
    <w:name w:val="标题 3 Char Char"/>
    <w:qFormat/>
    <w:uiPriority w:val="0"/>
    <w:rPr>
      <w:b/>
      <w:bCs/>
      <w:sz w:val="32"/>
      <w:szCs w:val="32"/>
    </w:rPr>
  </w:style>
  <w:style w:type="character" w:customStyle="1" w:styleId="57">
    <w:name w:val="apple-converted-space"/>
    <w:qFormat/>
    <w:uiPriority w:val="0"/>
  </w:style>
  <w:style w:type="character" w:customStyle="1" w:styleId="58">
    <w:name w:val="正文文本 2 Char"/>
    <w:link w:val="38"/>
    <w:qFormat/>
    <w:uiPriority w:val="0"/>
    <w:rPr>
      <w:rFonts w:eastAsia="宋体"/>
      <w:kern w:val="2"/>
      <w:sz w:val="21"/>
      <w:szCs w:val="24"/>
      <w:lang w:val="en-US" w:eastAsia="zh-CN" w:bidi="ar-SA"/>
    </w:rPr>
  </w:style>
  <w:style w:type="character" w:customStyle="1" w:styleId="59">
    <w:name w:val="标题 5 Char"/>
    <w:link w:val="8"/>
    <w:qFormat/>
    <w:uiPriority w:val="0"/>
    <w:rPr>
      <w:rFonts w:ascii="宋体" w:eastAsia="宋体"/>
      <w:b/>
      <w:sz w:val="28"/>
      <w:lang w:val="en-US" w:eastAsia="zh-CN" w:bidi="ar-SA"/>
    </w:rPr>
  </w:style>
  <w:style w:type="character" w:customStyle="1" w:styleId="60">
    <w:name w:val="正文文本缩进 2 Char"/>
    <w:link w:val="28"/>
    <w:qFormat/>
    <w:uiPriority w:val="0"/>
    <w:rPr>
      <w:rFonts w:ascii="仿宋_GB2312" w:eastAsia="仿宋_GB2312"/>
      <w:kern w:val="2"/>
      <w:sz w:val="28"/>
      <w:lang w:val="en-US" w:eastAsia="zh-CN" w:bidi="ar-SA"/>
    </w:rPr>
  </w:style>
  <w:style w:type="character" w:customStyle="1" w:styleId="61">
    <w:name w:val="批注框文本 Char"/>
    <w:link w:val="29"/>
    <w:qFormat/>
    <w:uiPriority w:val="0"/>
    <w:rPr>
      <w:rFonts w:eastAsia="宋体"/>
      <w:kern w:val="2"/>
      <w:sz w:val="18"/>
      <w:szCs w:val="18"/>
      <w:lang w:val="en-US" w:eastAsia="zh-CN" w:bidi="ar-SA"/>
    </w:rPr>
  </w:style>
  <w:style w:type="character" w:customStyle="1" w:styleId="62">
    <w:name w:val="标题 1 Char"/>
    <w:link w:val="5"/>
    <w:qFormat/>
    <w:uiPriority w:val="0"/>
    <w:rPr>
      <w:rFonts w:ascii="仿宋_GB2312" w:eastAsia="仿宋_GB2312"/>
      <w:kern w:val="2"/>
      <w:sz w:val="28"/>
      <w:lang w:val="en-US" w:eastAsia="zh-CN" w:bidi="ar-SA"/>
    </w:rPr>
  </w:style>
  <w:style w:type="character" w:customStyle="1" w:styleId="63">
    <w:name w:val="访问过的超链接1"/>
    <w:qFormat/>
    <w:uiPriority w:val="0"/>
    <w:rPr>
      <w:color w:val="333333"/>
      <w:u w:val="none"/>
    </w:rPr>
  </w:style>
  <w:style w:type="character" w:customStyle="1" w:styleId="64">
    <w:name w:val="链接"/>
    <w:qFormat/>
    <w:uiPriority w:val="0"/>
    <w:rPr>
      <w:rFonts w:ascii="Times New Roman" w:eastAsia="宋体"/>
      <w:color w:val="0000FF"/>
      <w:sz w:val="21"/>
      <w:u w:val="single" w:color="0000FF"/>
      <w:vertAlign w:val="baseline"/>
      <w:lang w:val="en-US" w:eastAsia="zh-CN"/>
    </w:rPr>
  </w:style>
  <w:style w:type="character" w:customStyle="1" w:styleId="65">
    <w:name w:val="日期 Char"/>
    <w:link w:val="27"/>
    <w:qFormat/>
    <w:uiPriority w:val="0"/>
    <w:rPr>
      <w:rFonts w:eastAsia="宋体"/>
      <w:color w:val="000000"/>
      <w:sz w:val="30"/>
      <w:lang w:val="en-US" w:eastAsia="zh-CN" w:bidi="ar-SA"/>
    </w:rPr>
  </w:style>
  <w:style w:type="character" w:customStyle="1" w:styleId="66">
    <w:name w:val="b Char"/>
    <w:link w:val="67"/>
    <w:qFormat/>
    <w:uiPriority w:val="0"/>
    <w:rPr>
      <w:rFonts w:ascii="EU-F1" w:eastAsia="黑体"/>
      <w:sz w:val="21"/>
      <w:szCs w:val="21"/>
      <w:lang w:val="en-US" w:eastAsia="zh-CN" w:bidi="ar-SA"/>
    </w:rPr>
  </w:style>
  <w:style w:type="paragraph" w:customStyle="1" w:styleId="67">
    <w:name w:val="b"/>
    <w:basedOn w:val="1"/>
    <w:link w:val="66"/>
    <w:qFormat/>
    <w:uiPriority w:val="0"/>
    <w:pPr>
      <w:tabs>
        <w:tab w:val="center" w:pos="4706"/>
        <w:tab w:val="right" w:pos="9044"/>
      </w:tabs>
      <w:topLinePunct/>
      <w:spacing w:before="160" w:after="60" w:line="312" w:lineRule="exact"/>
      <w:jc w:val="center"/>
    </w:pPr>
    <w:rPr>
      <w:rFonts w:ascii="EU-F1" w:eastAsia="黑体"/>
      <w:kern w:val="0"/>
      <w:szCs w:val="21"/>
    </w:rPr>
  </w:style>
  <w:style w:type="character" w:customStyle="1" w:styleId="68">
    <w:name w:val="纯文本 Char Char"/>
    <w:qFormat/>
    <w:uiPriority w:val="0"/>
    <w:rPr>
      <w:rFonts w:ascii="宋体" w:hAnsi="Courier New" w:eastAsia="宋体" w:cs="Courier New"/>
      <w:szCs w:val="21"/>
    </w:rPr>
  </w:style>
  <w:style w:type="character" w:customStyle="1" w:styleId="69">
    <w:name w:val="font21"/>
    <w:basedOn w:val="44"/>
    <w:qFormat/>
    <w:uiPriority w:val="0"/>
    <w:rPr>
      <w:rFonts w:ascii="font-weight : 400" w:hAnsi="font-weight : 400" w:eastAsia="font-weight : 400" w:cs="font-weight : 400"/>
      <w:color w:val="000000"/>
      <w:sz w:val="22"/>
      <w:szCs w:val="22"/>
      <w:u w:val="none"/>
    </w:rPr>
  </w:style>
  <w:style w:type="character" w:customStyle="1" w:styleId="70">
    <w:name w:val="标题 7 Char"/>
    <w:link w:val="11"/>
    <w:qFormat/>
    <w:uiPriority w:val="0"/>
    <w:rPr>
      <w:rFonts w:ascii="宋体" w:hAnsi="宋体"/>
      <w:b/>
      <w:kern w:val="2"/>
      <w:sz w:val="28"/>
      <w:szCs w:val="24"/>
    </w:rPr>
  </w:style>
  <w:style w:type="character" w:customStyle="1" w:styleId="71">
    <w:name w:val="标题 8 Char"/>
    <w:link w:val="12"/>
    <w:qFormat/>
    <w:uiPriority w:val="0"/>
    <w:rPr>
      <w:b/>
      <w:kern w:val="2"/>
      <w:sz w:val="28"/>
      <w:szCs w:val="24"/>
      <w:u w:val="single"/>
    </w:rPr>
  </w:style>
  <w:style w:type="character" w:customStyle="1" w:styleId="72">
    <w:name w:val="Char Char Char"/>
    <w:qFormat/>
    <w:uiPriority w:val="0"/>
    <w:rPr>
      <w:rFonts w:ascii="Arial Black" w:hAnsi="Arial Black" w:eastAsia="黑体"/>
      <w:b/>
      <w:bCs/>
      <w:kern w:val="2"/>
      <w:sz w:val="32"/>
      <w:szCs w:val="32"/>
      <w:lang w:val="en-US" w:eastAsia="zh-CN" w:bidi="ar-SA"/>
    </w:rPr>
  </w:style>
  <w:style w:type="character" w:customStyle="1" w:styleId="73">
    <w:name w:val="HTML 地址 Char"/>
    <w:link w:val="22"/>
    <w:qFormat/>
    <w:uiPriority w:val="0"/>
    <w:rPr>
      <w:rFonts w:eastAsia="宋体"/>
      <w:i/>
      <w:iCs/>
      <w:kern w:val="2"/>
      <w:sz w:val="21"/>
      <w:szCs w:val="24"/>
      <w:lang w:val="en-US" w:eastAsia="zh-CN" w:bidi="ar-SA"/>
    </w:rPr>
  </w:style>
  <w:style w:type="character" w:customStyle="1" w:styleId="74">
    <w:name w:val="标题 4 Char"/>
    <w:link w:val="4"/>
    <w:qFormat/>
    <w:uiPriority w:val="0"/>
    <w:rPr>
      <w:b/>
      <w:color w:val="000000"/>
      <w:kern w:val="2"/>
      <w:sz w:val="28"/>
      <w:szCs w:val="24"/>
      <w:u w:val="single"/>
    </w:rPr>
  </w:style>
  <w:style w:type="character" w:customStyle="1" w:styleId="75">
    <w:name w:val="标题 6 Char"/>
    <w:link w:val="10"/>
    <w:qFormat/>
    <w:uiPriority w:val="0"/>
    <w:rPr>
      <w:rFonts w:eastAsia="宋体"/>
      <w:bCs/>
      <w:kern w:val="2"/>
      <w:sz w:val="28"/>
      <w:lang w:val="en-US" w:eastAsia="zh-CN" w:bidi="ar-SA"/>
    </w:rPr>
  </w:style>
  <w:style w:type="character" w:customStyle="1" w:styleId="76">
    <w:name w:val="default1"/>
    <w:qFormat/>
    <w:uiPriority w:val="0"/>
    <w:rPr>
      <w:rFonts w:hint="default" w:ascii="Arial" w:hAnsi="Arial" w:cs="Arial"/>
      <w:sz w:val="20"/>
      <w:szCs w:val="20"/>
    </w:rPr>
  </w:style>
  <w:style w:type="character" w:customStyle="1" w:styleId="77">
    <w:name w:val="正文首行缩进 2 Char"/>
    <w:link w:val="2"/>
    <w:qFormat/>
    <w:uiPriority w:val="0"/>
    <w:rPr>
      <w:rFonts w:ascii="仿宋_GB2312" w:eastAsia="宋体"/>
      <w:kern w:val="2"/>
      <w:sz w:val="21"/>
      <w:szCs w:val="24"/>
      <w:lang w:val="en-US" w:eastAsia="zh-CN" w:bidi="ar-SA"/>
    </w:rPr>
  </w:style>
  <w:style w:type="character" w:customStyle="1" w:styleId="78">
    <w:name w:val="批注主题 Char"/>
    <w:link w:val="40"/>
    <w:qFormat/>
    <w:uiPriority w:val="0"/>
    <w:rPr>
      <w:rFonts w:eastAsia="宋体"/>
      <w:b/>
      <w:bCs/>
      <w:kern w:val="2"/>
      <w:sz w:val="21"/>
      <w:szCs w:val="24"/>
      <w:lang w:val="en-US" w:eastAsia="zh-CN" w:bidi="ar-SA"/>
    </w:rPr>
  </w:style>
  <w:style w:type="character" w:customStyle="1" w:styleId="79">
    <w:name w:val="正文 + 行距: 1.5 倍行距 Char"/>
    <w:qFormat/>
    <w:uiPriority w:val="0"/>
    <w:rPr>
      <w:rFonts w:ascii="Arial" w:hAnsi="Arial" w:eastAsia="宋体" w:cs="Arial"/>
      <w:kern w:val="2"/>
      <w:sz w:val="21"/>
      <w:szCs w:val="21"/>
      <w:lang w:val="en-US" w:eastAsia="zh-CN" w:bidi="ar-SA"/>
    </w:rPr>
  </w:style>
  <w:style w:type="character" w:customStyle="1" w:styleId="80">
    <w:name w:val="正文首行缩进 Char"/>
    <w:link w:val="41"/>
    <w:qFormat/>
    <w:uiPriority w:val="0"/>
    <w:rPr>
      <w:rFonts w:ascii="宋体" w:eastAsia="宋体"/>
      <w:sz w:val="21"/>
      <w:lang w:val="en-US" w:eastAsia="zh-CN" w:bidi="ar-SA"/>
    </w:rPr>
  </w:style>
  <w:style w:type="character" w:customStyle="1" w:styleId="81">
    <w:name w:val="标题 9 Char"/>
    <w:link w:val="13"/>
    <w:qFormat/>
    <w:uiPriority w:val="0"/>
    <w:rPr>
      <w:rFonts w:ascii="Arial" w:hAnsi="Arial" w:eastAsia="黑体"/>
      <w:kern w:val="2"/>
      <w:sz w:val="24"/>
      <w:szCs w:val="21"/>
      <w:lang w:val="en-US" w:eastAsia="zh-CN" w:bidi="ar-SA"/>
    </w:rPr>
  </w:style>
  <w:style w:type="character" w:customStyle="1" w:styleId="82">
    <w:name w:val="Char Char6"/>
    <w:qFormat/>
    <w:uiPriority w:val="0"/>
    <w:rPr>
      <w:rFonts w:ascii="Times New Roman" w:hAnsi="Times New Roman"/>
      <w:b/>
      <w:bCs/>
      <w:kern w:val="2"/>
      <w:sz w:val="28"/>
      <w:szCs w:val="28"/>
    </w:rPr>
  </w:style>
  <w:style w:type="character" w:customStyle="1" w:styleId="83">
    <w:name w:val="Default Text Char"/>
    <w:link w:val="84"/>
    <w:qFormat/>
    <w:locked/>
    <w:uiPriority w:val="0"/>
    <w:rPr>
      <w:color w:val="000000"/>
      <w:sz w:val="24"/>
      <w:szCs w:val="24"/>
      <w:lang w:val="en-US" w:eastAsia="zh-CN" w:bidi="ar-SA"/>
    </w:rPr>
  </w:style>
  <w:style w:type="paragraph" w:customStyle="1" w:styleId="84">
    <w:name w:val="Default Text"/>
    <w:link w:val="8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5">
    <w:name w:val="页眉 Char"/>
    <w:link w:val="31"/>
    <w:qFormat/>
    <w:uiPriority w:val="0"/>
    <w:rPr>
      <w:rFonts w:eastAsia="宋体"/>
      <w:kern w:val="2"/>
      <w:sz w:val="18"/>
      <w:lang w:val="en-US" w:eastAsia="zh-CN" w:bidi="ar-SA"/>
    </w:rPr>
  </w:style>
  <w:style w:type="character" w:customStyle="1" w:styleId="86">
    <w:name w:val="font01"/>
    <w:qFormat/>
    <w:uiPriority w:val="0"/>
    <w:rPr>
      <w:rFonts w:hint="eastAsia" w:ascii="宋体" w:hAnsi="宋体" w:eastAsia="宋体" w:cs="宋体"/>
      <w:color w:val="000000"/>
      <w:sz w:val="24"/>
      <w:szCs w:val="24"/>
      <w:u w:val="none"/>
    </w:rPr>
  </w:style>
  <w:style w:type="character" w:customStyle="1" w:styleId="87">
    <w:name w:val="p21"/>
    <w:qFormat/>
    <w:uiPriority w:val="0"/>
    <w:rPr>
      <w:rFonts w:hint="default" w:ascii="Arial" w:hAnsi="Arial" w:cs="Arial"/>
      <w:color w:val="333333"/>
      <w:sz w:val="18"/>
      <w:szCs w:val="18"/>
      <w:u w:val="none"/>
    </w:rPr>
  </w:style>
  <w:style w:type="character" w:customStyle="1" w:styleId="88">
    <w:name w:val="H2 Char"/>
    <w:qFormat/>
    <w:uiPriority w:val="0"/>
    <w:rPr>
      <w:rFonts w:ascii="Arial" w:hAnsi="Arial" w:eastAsia="黑体" w:cs="Times New Roman"/>
      <w:b/>
      <w:bCs/>
      <w:kern w:val="0"/>
      <w:sz w:val="32"/>
      <w:szCs w:val="32"/>
    </w:rPr>
  </w:style>
  <w:style w:type="character" w:customStyle="1" w:styleId="89">
    <w:name w:val="Char Char4"/>
    <w:qFormat/>
    <w:uiPriority w:val="0"/>
    <w:rPr>
      <w:rFonts w:eastAsia="宋体"/>
      <w:kern w:val="2"/>
      <w:sz w:val="18"/>
      <w:szCs w:val="18"/>
      <w:lang w:val="en-US" w:eastAsia="zh-CN" w:bidi="ar-SA"/>
    </w:rPr>
  </w:style>
  <w:style w:type="character" w:customStyle="1" w:styleId="90">
    <w:name w:val="标题 3 Char"/>
    <w:link w:val="7"/>
    <w:qFormat/>
    <w:uiPriority w:val="0"/>
    <w:rPr>
      <w:b/>
      <w:bCs/>
      <w:kern w:val="2"/>
      <w:sz w:val="28"/>
      <w:szCs w:val="24"/>
    </w:rPr>
  </w:style>
  <w:style w:type="character" w:customStyle="1" w:styleId="91">
    <w:name w:val="批注文字 Char"/>
    <w:link w:val="18"/>
    <w:qFormat/>
    <w:uiPriority w:val="0"/>
    <w:rPr>
      <w:rFonts w:eastAsia="宋体"/>
      <w:kern w:val="2"/>
      <w:sz w:val="21"/>
      <w:szCs w:val="24"/>
      <w:lang w:val="en-US" w:eastAsia="zh-CN" w:bidi="ar-SA"/>
    </w:rPr>
  </w:style>
  <w:style w:type="character" w:customStyle="1" w:styleId="92">
    <w:name w:val="纯文本 Char"/>
    <w:link w:val="25"/>
    <w:qFormat/>
    <w:uiPriority w:val="0"/>
    <w:rPr>
      <w:rFonts w:ascii="宋体" w:hAnsi="宋体" w:eastAsia="宋体"/>
      <w:kern w:val="2"/>
      <w:sz w:val="21"/>
      <w:lang w:val="en-US" w:eastAsia="zh-CN" w:bidi="ar-SA"/>
    </w:rPr>
  </w:style>
  <w:style w:type="character" w:customStyle="1" w:styleId="93">
    <w:name w:val="small1"/>
    <w:qFormat/>
    <w:uiPriority w:val="0"/>
    <w:rPr>
      <w:rFonts w:hint="default" w:ascii="Arial" w:hAnsi="Arial" w:cs="Arial"/>
      <w:sz w:val="16"/>
      <w:szCs w:val="16"/>
    </w:rPr>
  </w:style>
  <w:style w:type="character" w:customStyle="1" w:styleId="94">
    <w:name w:val="页脚 Char"/>
    <w:link w:val="30"/>
    <w:qFormat/>
    <w:uiPriority w:val="0"/>
    <w:rPr>
      <w:rFonts w:eastAsia="宋体"/>
      <w:kern w:val="2"/>
      <w:sz w:val="18"/>
      <w:szCs w:val="18"/>
      <w:lang w:val="en-US" w:eastAsia="zh-CN" w:bidi="ar-SA"/>
    </w:rPr>
  </w:style>
  <w:style w:type="character" w:customStyle="1" w:styleId="95">
    <w:name w:val="正文文本 Char"/>
    <w:link w:val="20"/>
    <w:qFormat/>
    <w:uiPriority w:val="0"/>
    <w:rPr>
      <w:rFonts w:eastAsia="宋体"/>
      <w:kern w:val="2"/>
      <w:sz w:val="21"/>
      <w:lang w:val="en-US" w:eastAsia="zh-CN" w:bidi="ar-SA"/>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97">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9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99">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100">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01">
    <w:name w:val="List Paragraph1"/>
    <w:basedOn w:val="1"/>
    <w:qFormat/>
    <w:uiPriority w:val="0"/>
    <w:pPr>
      <w:ind w:firstLine="420" w:firstLineChars="200"/>
    </w:pPr>
    <w:rPr>
      <w:rFonts w:ascii="Calibri" w:hAnsi="Calibri" w:cs="Calibri"/>
      <w:szCs w:val="21"/>
    </w:rPr>
  </w:style>
  <w:style w:type="paragraph" w:customStyle="1" w:styleId="102">
    <w:name w:val="正文文本样式 加粗"/>
    <w:basedOn w:val="1"/>
    <w:qFormat/>
    <w:uiPriority w:val="0"/>
    <w:pPr>
      <w:spacing w:line="360" w:lineRule="auto"/>
      <w:ind w:firstLine="482"/>
    </w:pPr>
    <w:rPr>
      <w:b/>
      <w:kern w:val="0"/>
      <w:sz w:val="24"/>
    </w:rPr>
  </w:style>
  <w:style w:type="paragraph" w:customStyle="1" w:styleId="10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列表－视讯"/>
    <w:basedOn w:val="15"/>
    <w:qFormat/>
    <w:uiPriority w:val="0"/>
    <w:pPr>
      <w:tabs>
        <w:tab w:val="left" w:pos="360"/>
      </w:tabs>
      <w:adjustRightInd w:val="0"/>
      <w:spacing w:line="360" w:lineRule="atLeast"/>
      <w:ind w:left="360" w:hanging="360" w:hangingChars="200"/>
      <w:textAlignment w:val="baseline"/>
    </w:pPr>
    <w:rPr>
      <w:sz w:val="24"/>
    </w:rPr>
  </w:style>
  <w:style w:type="paragraph" w:customStyle="1" w:styleId="105">
    <w:name w:val="注明要点 Char Char"/>
    <w:basedOn w:val="1"/>
    <w:qFormat/>
    <w:uiPriority w:val="0"/>
    <w:pPr>
      <w:adjustRightInd w:val="0"/>
      <w:spacing w:beforeLines="50" w:afterLines="50" w:line="400" w:lineRule="exact"/>
      <w:textAlignment w:val="baseline"/>
    </w:pPr>
    <w:rPr>
      <w:b/>
      <w:sz w:val="24"/>
      <w:szCs w:val="24"/>
    </w:rPr>
  </w:style>
  <w:style w:type="paragraph" w:customStyle="1" w:styleId="106">
    <w:name w:val="默认段落字体 Para Char Char Char Char Char Char Char Char Char Char"/>
    <w:basedOn w:val="1"/>
    <w:qFormat/>
    <w:uiPriority w:val="0"/>
    <w:rPr>
      <w:rFonts w:ascii="Tahoma" w:hAnsi="Tahoma"/>
      <w:sz w:val="24"/>
    </w:rPr>
  </w:style>
  <w:style w:type="paragraph" w:customStyle="1" w:styleId="107">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08">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09">
    <w:name w:val="文档正文"/>
    <w:basedOn w:val="1"/>
    <w:qFormat/>
    <w:uiPriority w:val="0"/>
    <w:pPr>
      <w:adjustRightInd w:val="0"/>
      <w:spacing w:line="480" w:lineRule="atLeast"/>
      <w:ind w:firstLine="567"/>
      <w:textAlignment w:val="baseline"/>
    </w:pPr>
    <w:rPr>
      <w:rFonts w:eastAsia="楷体_GB2312"/>
      <w:kern w:val="0"/>
      <w:sz w:val="28"/>
    </w:rPr>
  </w:style>
  <w:style w:type="paragraph" w:customStyle="1" w:styleId="110">
    <w:name w:val="tableheading"/>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2">
    <w:name w:val="图"/>
    <w:basedOn w:val="1"/>
    <w:qFormat/>
    <w:uiPriority w:val="0"/>
    <w:pPr>
      <w:keepNext/>
      <w:adjustRightInd w:val="0"/>
      <w:snapToGrid w:val="0"/>
      <w:spacing w:before="60" w:after="60" w:line="300" w:lineRule="auto"/>
      <w:jc w:val="center"/>
    </w:pPr>
    <w:rPr>
      <w:spacing w:val="20"/>
      <w:kern w:val="0"/>
      <w:sz w:val="24"/>
    </w:rPr>
  </w:style>
  <w:style w:type="paragraph" w:customStyle="1" w:styleId="11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1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5">
    <w:name w:val="tabletex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16">
    <w:name w:val="标题 2.1"/>
    <w:basedOn w:val="6"/>
    <w:qFormat/>
    <w:uiPriority w:val="0"/>
    <w:pPr>
      <w:keepNext w:val="0"/>
      <w:autoSpaceDE w:val="0"/>
      <w:autoSpaceDN w:val="0"/>
      <w:adjustRightInd w:val="0"/>
      <w:spacing w:before="240" w:line="240" w:lineRule="auto"/>
      <w:ind w:left="0" w:firstLine="0"/>
      <w:jc w:val="center"/>
    </w:pPr>
    <w:rPr>
      <w:rFonts w:ascii="黑体" w:eastAsia="黑体"/>
      <w:b w:val="0"/>
      <w:kern w:val="0"/>
      <w:sz w:val="30"/>
      <w:szCs w:val="30"/>
    </w:rPr>
  </w:style>
  <w:style w:type="paragraph" w:customStyle="1" w:styleId="117">
    <w:name w:val="标题3。1"/>
    <w:basedOn w:val="21"/>
    <w:qFormat/>
    <w:uiPriority w:val="0"/>
    <w:rPr>
      <w:b/>
      <w:bCs/>
      <w:kern w:val="2"/>
      <w:sz w:val="28"/>
      <w:szCs w:val="24"/>
    </w:rPr>
  </w:style>
  <w:style w:type="paragraph" w:customStyle="1" w:styleId="11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19">
    <w:name w:val="Char1 Char Char Char"/>
    <w:basedOn w:val="1"/>
    <w:qFormat/>
    <w:uiPriority w:val="0"/>
    <w:rPr>
      <w:rFonts w:ascii="Tahoma" w:hAnsi="Tahoma"/>
      <w:sz w:val="24"/>
    </w:rPr>
  </w:style>
  <w:style w:type="paragraph" w:customStyle="1" w:styleId="120">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12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24">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25">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2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2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29">
    <w:name w:val="Item List in Table"/>
    <w:basedOn w:val="1"/>
    <w:qFormat/>
    <w:uiPriority w:val="0"/>
    <w:pPr>
      <w:widowControl/>
      <w:tabs>
        <w:tab w:val="left" w:pos="284"/>
      </w:tabs>
      <w:topLinePunct/>
      <w:adjustRightInd w:val="0"/>
      <w:snapToGrid w:val="0"/>
      <w:spacing w:before="80" w:after="80" w:line="240" w:lineRule="atLeast"/>
      <w:jc w:val="left"/>
    </w:pPr>
    <w:rPr>
      <w:rFonts w:cs="Arial"/>
      <w:kern w:val="0"/>
      <w:szCs w:val="21"/>
    </w:rPr>
  </w:style>
  <w:style w:type="paragraph" w:customStyle="1" w:styleId="130">
    <w:name w:val="标题 4。1"/>
    <w:basedOn w:val="4"/>
    <w:qFormat/>
    <w:uiPriority w:val="0"/>
    <w:pPr>
      <w:keepLines/>
      <w:tabs>
        <w:tab w:val="left" w:pos="864"/>
      </w:tabs>
      <w:spacing w:before="280" w:after="290" w:line="372" w:lineRule="auto"/>
      <w:ind w:left="567" w:hanging="567"/>
    </w:pPr>
    <w:rPr>
      <w:rFonts w:ascii="Arial" w:hAnsi="Arial" w:eastAsia="黑体"/>
      <w:bCs/>
      <w:color w:val="auto"/>
      <w:szCs w:val="28"/>
      <w:u w:val="none"/>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3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3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5">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37">
    <w:name w:val="默认段落字体 Para Char Char Char Char Char Char Char"/>
    <w:basedOn w:val="1"/>
    <w:qFormat/>
    <w:uiPriority w:val="0"/>
    <w:rPr>
      <w:rFonts w:ascii="Tahoma" w:hAnsi="Tahoma"/>
      <w:sz w:val="24"/>
    </w:rPr>
  </w:style>
  <w:style w:type="paragraph" w:customStyle="1" w:styleId="138">
    <w:name w:val="H-TextFormat"/>
    <w:qFormat/>
    <w:uiPriority w:val="0"/>
    <w:pPr>
      <w:autoSpaceDE w:val="0"/>
      <w:autoSpaceDN w:val="0"/>
      <w:adjustRightInd w:val="0"/>
    </w:pPr>
    <w:rPr>
      <w:rFonts w:ascii="Arial" w:hAnsi="Arial" w:eastAsia="宋体" w:cs="Arial"/>
      <w:sz w:val="22"/>
      <w:szCs w:val="22"/>
      <w:lang w:val="en-US" w:eastAsia="zh-CN" w:bidi="ar-SA"/>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40">
    <w:name w:val="文档正文 Char"/>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41">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Char Char Char1"/>
    <w:basedOn w:val="1"/>
    <w:qFormat/>
    <w:uiPriority w:val="0"/>
    <w:rPr>
      <w:rFonts w:ascii="Tahoma" w:hAnsi="Tahoma"/>
      <w:sz w:val="24"/>
    </w:rPr>
  </w:style>
  <w:style w:type="paragraph" w:customStyle="1" w:styleId="14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5">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46">
    <w:name w:val="È±Ê¡ÎÄ±¾"/>
    <w:basedOn w:val="1"/>
    <w:qFormat/>
    <w:uiPriority w:val="0"/>
    <w:pPr>
      <w:widowControl/>
      <w:overflowPunct w:val="0"/>
      <w:autoSpaceDE w:val="0"/>
      <w:autoSpaceDN w:val="0"/>
      <w:adjustRightInd w:val="0"/>
      <w:jc w:val="left"/>
    </w:pPr>
    <w:rPr>
      <w:kern w:val="0"/>
      <w:sz w:val="24"/>
    </w:rPr>
  </w:style>
  <w:style w:type="paragraph" w:customStyle="1" w:styleId="14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49">
    <w:name w:val="项目编号3"/>
    <w:basedOn w:val="1"/>
    <w:qFormat/>
    <w:uiPriority w:val="0"/>
    <w:pPr>
      <w:spacing w:line="360" w:lineRule="auto"/>
    </w:pPr>
    <w:rPr>
      <w:rFonts w:cs="宋体"/>
      <w:sz w:val="24"/>
    </w:rPr>
  </w:style>
  <w:style w:type="paragraph" w:customStyle="1" w:styleId="1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51">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53">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54">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56">
    <w:name w:val="列出段落1"/>
    <w:basedOn w:val="1"/>
    <w:qFormat/>
    <w:uiPriority w:val="34"/>
    <w:pPr>
      <w:ind w:firstLine="420" w:firstLineChars="200"/>
    </w:pPr>
    <w:rPr>
      <w:szCs w:val="24"/>
    </w:rPr>
  </w:style>
  <w:style w:type="paragraph" w:customStyle="1" w:styleId="15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5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61">
    <w:name w:val="font11"/>
    <w:basedOn w:val="1"/>
    <w:qFormat/>
    <w:uiPriority w:val="0"/>
    <w:pPr>
      <w:widowControl/>
      <w:spacing w:before="100" w:beforeAutospacing="1" w:after="100" w:afterAutospacing="1"/>
      <w:jc w:val="left"/>
    </w:pPr>
    <w:rPr>
      <w:kern w:val="0"/>
      <w:sz w:val="22"/>
      <w:szCs w:val="22"/>
    </w:rPr>
  </w:style>
  <w:style w:type="character" w:customStyle="1" w:styleId="162">
    <w:name w:val="font71"/>
    <w:basedOn w:val="44"/>
    <w:qFormat/>
    <w:uiPriority w:val="0"/>
    <w:rPr>
      <w:rFonts w:hint="eastAsia" w:ascii="仿宋" w:hAnsi="仿宋" w:eastAsia="仿宋" w:cs="仿宋"/>
      <w:color w:val="000000"/>
      <w:sz w:val="20"/>
      <w:szCs w:val="20"/>
      <w:u w:val="none"/>
    </w:rPr>
  </w:style>
  <w:style w:type="character" w:customStyle="1" w:styleId="163">
    <w:name w:val="font31"/>
    <w:basedOn w:val="44"/>
    <w:qFormat/>
    <w:uiPriority w:val="0"/>
    <w:rPr>
      <w:rFonts w:hint="eastAsia" w:ascii="仿宋" w:hAnsi="仿宋" w:eastAsia="仿宋" w:cs="仿宋"/>
      <w:color w:val="FF0000"/>
      <w:sz w:val="20"/>
      <w:szCs w:val="20"/>
      <w:u w:val="none"/>
    </w:rPr>
  </w:style>
  <w:style w:type="character" w:customStyle="1" w:styleId="164">
    <w:name w:val="font61"/>
    <w:basedOn w:val="44"/>
    <w:qFormat/>
    <w:uiPriority w:val="0"/>
    <w:rPr>
      <w:rFonts w:hint="eastAsia" w:ascii="宋体" w:hAnsi="宋体" w:eastAsia="宋体" w:cs="宋体"/>
      <w:color w:val="000000"/>
      <w:sz w:val="22"/>
      <w:szCs w:val="22"/>
      <w:u w:val="none"/>
    </w:rPr>
  </w:style>
  <w:style w:type="character" w:customStyle="1" w:styleId="165">
    <w:name w:val="font41"/>
    <w:basedOn w:val="44"/>
    <w:qFormat/>
    <w:uiPriority w:val="0"/>
    <w:rPr>
      <w:rFonts w:hint="default" w:ascii="仿宋_GB2312" w:eastAsia="仿宋_GB2312" w:cs="仿宋_GB2312"/>
      <w:color w:val="FF0000"/>
      <w:sz w:val="24"/>
      <w:szCs w:val="24"/>
      <w:u w:val="none"/>
    </w:rPr>
  </w:style>
  <w:style w:type="paragraph" w:styleId="166">
    <w:name w:val="List Paragraph"/>
    <w:basedOn w:val="1"/>
    <w:qFormat/>
    <w:uiPriority w:val="34"/>
    <w:pPr>
      <w:ind w:firstLine="420" w:firstLineChars="200"/>
    </w:pPr>
    <w:rPr>
      <w:rFonts w:ascii="Calibri" w:hAnsi="Calibri"/>
      <w:szCs w:val="22"/>
    </w:rPr>
  </w:style>
  <w:style w:type="paragraph" w:customStyle="1" w:styleId="167">
    <w:name w:val="ql-align-cent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8">
    <w:name w:val="bookmark-item"/>
    <w:basedOn w:val="44"/>
    <w:qFormat/>
    <w:uiPriority w:val="0"/>
  </w:style>
  <w:style w:type="character" w:customStyle="1" w:styleId="169">
    <w:name w:val="NormalCharacter"/>
    <w:semiHidden/>
    <w:qFormat/>
    <w:uiPriority w:val="0"/>
  </w:style>
  <w:style w:type="paragraph" w:customStyle="1" w:styleId="170">
    <w:name w:val="BodyText1I2"/>
    <w:basedOn w:val="171"/>
    <w:qFormat/>
    <w:uiPriority w:val="0"/>
    <w:pPr>
      <w:ind w:firstLine="420" w:firstLineChars="200"/>
    </w:pPr>
  </w:style>
  <w:style w:type="paragraph" w:customStyle="1" w:styleId="171">
    <w:name w:val="BodyTextIndent"/>
    <w:basedOn w:val="1"/>
    <w:qFormat/>
    <w:uiPriority w:val="0"/>
    <w:pPr>
      <w:ind w:firstLine="480"/>
      <w:textAlignment w:val="baseline"/>
    </w:pPr>
    <w:rPr>
      <w:rFonts w:ascii="宋体" w:hAnsi="宋体"/>
      <w:sz w:val="24"/>
    </w:rPr>
  </w:style>
  <w:style w:type="paragraph" w:customStyle="1" w:styleId="172">
    <w:name w:val="Table Paragraph"/>
    <w:basedOn w:val="1"/>
    <w:qFormat/>
    <w:uiPriority w:val="1"/>
    <w:rPr>
      <w:rFonts w:ascii="宋体" w:hAnsi="宋体" w:cs="宋体"/>
      <w:lang w:val="zh-CN" w:bidi="zh-CN"/>
    </w:rPr>
  </w:style>
  <w:style w:type="paragraph" w:customStyle="1" w:styleId="173">
    <w:name w:val="无间隔1"/>
    <w:qFormat/>
    <w:uiPriority w:val="1"/>
    <w:pPr>
      <w:widowControl w:val="0"/>
      <w:spacing w:beforeLines="50"/>
      <w:ind w:firstLine="200" w:firstLineChars="200"/>
      <w:jc w:val="both"/>
    </w:pPr>
    <w:rPr>
      <w:rFonts w:ascii="Calibri" w:hAnsi="Calibri" w:eastAsia="宋体" w:cs="Times New Roman"/>
      <w:kern w:val="2"/>
      <w:sz w:val="21"/>
      <w:szCs w:val="22"/>
      <w:lang w:val="en-US" w:eastAsia="zh-CN" w:bidi="ar-SA"/>
    </w:rPr>
  </w:style>
  <w:style w:type="character" w:customStyle="1" w:styleId="174">
    <w:name w:val="font121"/>
    <w:basedOn w:val="44"/>
    <w:qFormat/>
    <w:uiPriority w:val="0"/>
    <w:rPr>
      <w:rFonts w:hint="eastAsia" w:ascii="宋体" w:hAnsi="宋体" w:eastAsia="宋体" w:cs="宋体"/>
      <w:color w:val="000000"/>
      <w:sz w:val="20"/>
      <w:szCs w:val="20"/>
      <w:u w:val="none"/>
    </w:rPr>
  </w:style>
  <w:style w:type="character" w:customStyle="1" w:styleId="175">
    <w:name w:val="font81"/>
    <w:basedOn w:val="44"/>
    <w:qFormat/>
    <w:uiPriority w:val="0"/>
    <w:rPr>
      <w:rFonts w:ascii="Calibri" w:hAnsi="Calibri" w:cs="Calibri"/>
      <w:color w:val="000000"/>
      <w:sz w:val="20"/>
      <w:szCs w:val="20"/>
      <w:u w:val="none"/>
    </w:rPr>
  </w:style>
  <w:style w:type="character" w:customStyle="1" w:styleId="176">
    <w:name w:val="font131"/>
    <w:basedOn w:val="44"/>
    <w:qFormat/>
    <w:uiPriority w:val="0"/>
    <w:rPr>
      <w:rFonts w:ascii="Arial" w:hAnsi="Arial" w:cs="Arial"/>
      <w:color w:val="000000"/>
      <w:sz w:val="20"/>
      <w:szCs w:val="20"/>
      <w:u w:val="none"/>
    </w:rPr>
  </w:style>
  <w:style w:type="character" w:customStyle="1" w:styleId="177">
    <w:name w:val="font91"/>
    <w:basedOn w:val="44"/>
    <w:qFormat/>
    <w:uiPriority w:val="0"/>
    <w:rPr>
      <w:rFonts w:hint="eastAsia" w:ascii="宋体" w:hAnsi="宋体" w:eastAsia="宋体" w:cs="宋体"/>
      <w:color w:val="000000"/>
      <w:sz w:val="28"/>
      <w:szCs w:val="28"/>
      <w:u w:val="none"/>
    </w:rPr>
  </w:style>
  <w:style w:type="character" w:customStyle="1" w:styleId="178">
    <w:name w:val="font101"/>
    <w:basedOn w:val="44"/>
    <w:qFormat/>
    <w:uiPriority w:val="0"/>
    <w:rPr>
      <w:rFonts w:ascii="宋体" w:hAnsi="宋体" w:eastAsia="宋体" w:cs="宋体"/>
      <w:color w:val="000000"/>
      <w:sz w:val="22"/>
      <w:szCs w:val="22"/>
      <w:u w:val="none"/>
    </w:rPr>
  </w:style>
  <w:style w:type="character" w:customStyle="1" w:styleId="179">
    <w:name w:val="font112"/>
    <w:basedOn w:val="44"/>
    <w:qFormat/>
    <w:uiPriority w:val="0"/>
    <w:rPr>
      <w:rFonts w:hint="default" w:ascii="Times New Roman" w:hAnsi="Times New Roman" w:cs="Times New Roman"/>
      <w:color w:val="000000"/>
      <w:sz w:val="22"/>
      <w:szCs w:val="22"/>
      <w:u w:val="none"/>
    </w:rPr>
  </w:style>
  <w:style w:type="paragraph" w:customStyle="1" w:styleId="180">
    <w:name w:val="Normal Indent1"/>
    <w:basedOn w:val="1"/>
    <w:qFormat/>
    <w:uiPriority w:val="0"/>
    <w:pPr>
      <w:ind w:firstLine="200" w:firstLineChars="200"/>
    </w:pPr>
    <w:rPr>
      <w:rFonts w:eastAsia="Arial"/>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68</Pages>
  <Words>24649</Words>
  <Characters>26526</Characters>
  <Lines>335</Lines>
  <Paragraphs>94</Paragraphs>
  <TotalTime>4</TotalTime>
  <ScaleCrop>false</ScaleCrop>
  <LinksUpToDate>false</LinksUpToDate>
  <CharactersWithSpaces>27914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2017-10-17T09:12:00Z</dcterms:created>
  <dc:creator>User</dc:creator>
  <cp:lastModifiedBy>i万水沧桑总归田</cp:lastModifiedBy>
  <cp:lastPrinted>2022-08-05T03:30:00Z</cp:lastPrinted>
  <dcterms:modified xsi:type="dcterms:W3CDTF">2022-11-24T14:02:20Z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FC3907BC17D24435819A4565D6E306D3</vt:lpwstr>
  </property>
</Properties>
</file>