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0" w:lineRule="exact"/>
        <w:ind w:left="637"/>
        <w:rPr>
          <w:rFonts w:ascii="仿宋_GB2312"/>
          <w:sz w:val="2"/>
        </w:rPr>
      </w:pPr>
      <w:r>
        <w:rPr>
          <w:rFonts w:ascii="仿宋_GB2312"/>
          <w:sz w:val="2"/>
        </w:rPr>
        <mc:AlternateContent>
          <mc:Choice Requires="wpg">
            <w:drawing>
              <wp:inline distT="0" distB="0" distL="114300" distR="114300">
                <wp:extent cx="5685155" cy="9525"/>
                <wp:effectExtent l="0" t="0" r="0" b="0"/>
                <wp:docPr id="2" name="组合 3"/>
                <wp:cNvGraphicFramePr/>
                <a:graphic xmlns:a="http://schemas.openxmlformats.org/drawingml/2006/main">
                  <a:graphicData uri="http://schemas.microsoft.com/office/word/2010/wordprocessingGroup">
                    <wpg:wgp>
                      <wpg:cNvGrpSpPr/>
                      <wpg:grpSpPr>
                        <a:xfrm>
                          <a:off x="0" y="0"/>
                          <a:ext cx="5685155" cy="9525"/>
                          <a:chOff x="0" y="0"/>
                          <a:chExt cx="8953" cy="15"/>
                        </a:xfrm>
                        <a:effectLst/>
                      </wpg:grpSpPr>
                      <wps:wsp>
                        <wps:cNvPr id="1" name="直线 3"/>
                        <wps:cNvCnPr/>
                        <wps:spPr>
                          <a:xfrm>
                            <a:off x="0" y="7"/>
                            <a:ext cx="8953" cy="0"/>
                          </a:xfrm>
                          <a:prstGeom prst="line">
                            <a:avLst/>
                          </a:prstGeom>
                          <a:ln w="9144" cap="flat" cmpd="sng">
                            <a:solidFill>
                              <a:srgbClr val="000000"/>
                            </a:solidFill>
                            <a:prstDash val="solid"/>
                            <a:headEnd type="none" w="med" len="med"/>
                            <a:tailEnd type="none" w="med" len="med"/>
                          </a:ln>
                          <a:effectLst/>
                        </wps:spPr>
                        <wps:bodyPr upright="1"/>
                      </wps:wsp>
                    </wpg:wgp>
                  </a:graphicData>
                </a:graphic>
              </wp:inline>
            </w:drawing>
          </mc:Choice>
          <mc:Fallback>
            <w:pict>
              <v:group id="组合 3" o:spid="_x0000_s1026" o:spt="203" style="height:0.75pt;width:447.65pt;" coordsize="8953,15" o:gfxdata="UEsDBAoAAAAAAIdO4kAAAAAAAAAAAAAAAAAEAAAAZHJzL1BLAwQUAAAACACHTuJAZOQC4tQAAAAD&#10;AQAADwAAAGRycy9kb3ducmV2LnhtbE2PQUvDQBCF74L/YRnBm93EEqkxmyJFPRXBVhBv0+w0Cc3O&#10;huw2af+9o5d6eTC8x3vfFMuT69RIQ2g9G0hnCSjiytuWawOf29e7BagQkS12nsnAmQIsy+urAnPr&#10;J/6gcRNrJSUccjTQxNjnWoeqIYdh5nti8fZ+cBjlHGptB5yk3HX6PkketMOWZaHBnlYNVYfN0Rl4&#10;m3B6nqcv4/qwX52/t9n71zolY25v0uQJVKRTvIThF1/QoRSmnT+yDaozII/EPxVv8ZjNQe0klIEu&#10;C/2fvfwBUEsDBBQAAAAIAIdO4kA7QrLhUQIAABoFAAAOAAAAZHJzL2Uyb0RvYy54bWyllL1u2zAQ&#10;x/cCfQeCey3LiVJHsJwhTrwUbYC0D0CTlESAXyBpy947dOze1+jUDnmaIq/RIyXbqYMCQetB5sfd&#10;8f6/43F2tVUSbbjzwugK56MxRlxTw4RuKvzp4+2bKUY+EM2INJpXeMc9vpq/fjXrbMknpjWScYcg&#10;iPZlZyvchmDLLPO05Yr4kbFcw2ZtnCIBpq7JmCMdRFcym4zHF1lnHLPOUO49rC76TTxEdC8JaOpa&#10;UL4wdK24Dn1UxyUJIMm3wno8T9nWNafhQ117HpCsMCgN6QuHwHgVv9l8RsrGEdsKOqRAXpLCiSZF&#10;hIZDD6EWJBC0duJZKCWoM97UYUSNynohiQioyMcnbJbOrG3S0pRdYw/QoVAn1P85LH2/uXNIsApP&#10;MNJEQcEff37+9fULOotsOtuUYLJ09t7euWGh6WdR7rZ2Kv6DELRNVHcHqnwbEIXF4mJa5EWBEYW9&#10;y2JS9NBpC5V55kTbm8Ftelmc9T558siOp/FU2Hc+QEJZTPGQUWfhUvojKf9/pO5bYnkqgI8YBlL5&#10;gdS3748/Hvakksm1HjD50gOxvzJ620PYMzqKTVfyiVbrfFhyo1AcVFgKHRMiJdkM+km5N4nLUqMO&#10;KOfn58COQHvW0BYwVBZK7HWTfL2Rgt0KKaOHd83qWjq0IbFF0i/mBin8YRYPWRDf9nZpq5fQcsJu&#10;NENhZ+HyaHgzcExBcYaR5PDExBEEJGUgQr7EEo6WOjqc1HmPNBZ5ZdgOyrG2TjQtcMlTzkP5h1sB&#10;LZN0DO0de/LpPFkdn7T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TkAuLUAAAAAwEAAA8AAAAA&#10;AAAAAQAgAAAAIgAAAGRycy9kb3ducmV2LnhtbFBLAQIUABQAAAAIAIdO4kA7QrLhUQIAABoFAAAO&#10;AAAAAAAAAAEAIAAAACMBAABkcnMvZTJvRG9jLnhtbFBLBQYAAAAABgAGAFkBAADmBQAAAAA=&#10;">
                <o:lock v:ext="edit" aspectratio="f"/>
                <v:line id="直线 3" o:spid="_x0000_s1026" o:spt="20" style="position:absolute;left:0;top:7;height:0;width:8953;" filled="f" stroked="t" coordsize="21600,21600" o:gfxdata="UEsDBAoAAAAAAIdO4kAAAAAAAAAAAAAAAAAEAAAAZHJzL1BLAwQUAAAACACHTuJAH71KT7kAAADa&#10;AAAADwAAAGRycy9kb3ducmV2LnhtbEVPzWoCMRC+F3yHMEJvNWsPWrZGD7KFIj3o2gcYNtNN6Gay&#10;bKau+vRGKHgaPr7fWW3OoVMnGpKPbGA+K0ARN9F6bg18Hz9e3kAlQbbYRSYDF0qwWU+eVljaOPKB&#10;TrW0KodwKtGAE+lLrVPjKGCaxZ44cz9xCCgZDq22A445PHT6tSgWOqDn3OCwp62j5rf+Cwbq/de4&#10;2F2vY7WsPSYR76pqa8zzdF68gxI6y0P87/60eT7cX7lfvb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Sk+5AAAA2g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w10:wrap type="none"/>
                <w10:anchorlock/>
              </v:group>
            </w:pict>
          </mc:Fallback>
        </mc:AlternateContent>
      </w:r>
    </w:p>
    <w:p>
      <w:pPr>
        <w:pStyle w:val="11"/>
        <w:rPr>
          <w:rFonts w:ascii="仿宋_GB2312"/>
          <w:b/>
          <w:sz w:val="20"/>
        </w:rPr>
      </w:pPr>
    </w:p>
    <w:p>
      <w:pPr>
        <w:spacing w:before="168" w:line="480" w:lineRule="auto"/>
        <w:ind w:right="299"/>
        <w:jc w:val="center"/>
        <w:rPr>
          <w:rFonts w:ascii="黑体" w:hAnsi="黑体" w:eastAsia="黑体" w:cs="黑体"/>
          <w:b/>
          <w:bCs/>
          <w:sz w:val="44"/>
          <w:lang w:val="en-US"/>
        </w:rPr>
      </w:pPr>
    </w:p>
    <w:p>
      <w:pPr>
        <w:spacing w:before="168" w:line="480" w:lineRule="auto"/>
        <w:ind w:right="299"/>
        <w:jc w:val="center"/>
        <w:rPr>
          <w:rFonts w:hint="eastAsia" w:ascii="黑体" w:hAnsi="黑体" w:eastAsia="黑体" w:cs="黑体"/>
          <w:b/>
          <w:bCs/>
          <w:sz w:val="44"/>
          <w:lang w:val="en-US" w:eastAsia="zh-CN"/>
        </w:rPr>
      </w:pPr>
      <w:r>
        <w:rPr>
          <w:rFonts w:hint="eastAsia" w:ascii="黑体" w:hAnsi="黑体" w:eastAsia="黑体" w:cs="黑体"/>
          <w:b/>
          <w:bCs/>
          <w:sz w:val="44"/>
          <w:lang w:val="en-US" w:eastAsia="zh-CN"/>
        </w:rPr>
        <w:t>某单位学习用品、教育用品采购（三次）</w:t>
      </w:r>
    </w:p>
    <w:p>
      <w:pPr>
        <w:spacing w:before="168" w:line="480" w:lineRule="auto"/>
        <w:ind w:right="299"/>
        <w:jc w:val="center"/>
        <w:rPr>
          <w:sz w:val="72"/>
          <w:szCs w:val="36"/>
        </w:rPr>
      </w:pPr>
      <w:r>
        <w:rPr>
          <w:rFonts w:hint="eastAsia" w:ascii="黑体" w:hAnsi="黑体" w:eastAsia="黑体" w:cs="黑体"/>
          <w:b/>
          <w:bCs/>
          <w:sz w:val="44"/>
          <w:lang w:val="en-US"/>
        </w:rPr>
        <w:t>招标文件</w:t>
      </w:r>
    </w:p>
    <w:p>
      <w:pPr>
        <w:pStyle w:val="11"/>
        <w:spacing w:before="11"/>
        <w:rPr>
          <w:sz w:val="19"/>
        </w:rPr>
      </w:pPr>
    </w:p>
    <w:p>
      <w:pPr>
        <w:pStyle w:val="11"/>
        <w:rPr>
          <w:sz w:val="20"/>
        </w:rPr>
      </w:pPr>
    </w:p>
    <w:p>
      <w:pPr>
        <w:tabs>
          <w:tab w:val="left" w:pos="2590"/>
        </w:tabs>
        <w:spacing w:line="360" w:lineRule="auto"/>
        <w:ind w:right="294" w:firstLine="840" w:firstLineChars="300"/>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项目编号：DH(CG)2022-01</w:t>
      </w:r>
      <w:r>
        <w:rPr>
          <w:rFonts w:hint="eastAsia" w:ascii="仿宋" w:hAnsi="仿宋" w:eastAsia="仿宋" w:cs="Times New Roman"/>
          <w:kern w:val="2"/>
          <w:sz w:val="28"/>
          <w:szCs w:val="28"/>
          <w:lang w:val="en-US" w:eastAsia="zh-CN" w:bidi="ar-SA"/>
        </w:rPr>
        <w:t>9-03</w:t>
      </w:r>
    </w:p>
    <w:p>
      <w:pPr>
        <w:pStyle w:val="22"/>
        <w:ind w:left="440" w:firstLine="400"/>
      </w:pPr>
    </w:p>
    <w:p>
      <w:pPr>
        <w:autoSpaceDE/>
        <w:autoSpaceDN/>
        <w:spacing w:line="360" w:lineRule="auto"/>
        <w:ind w:firstLine="840" w:firstLineChars="300"/>
        <w:rPr>
          <w:rFonts w:ascii="仿宋" w:hAnsi="仿宋" w:eastAsia="仿宋"/>
          <w:sz w:val="28"/>
          <w:szCs w:val="28"/>
          <w:lang w:val="en-US"/>
        </w:rPr>
      </w:pPr>
      <w:r>
        <w:rPr>
          <w:rFonts w:hint="eastAsia" w:ascii="仿宋" w:hAnsi="仿宋" w:eastAsia="仿宋"/>
          <w:sz w:val="28"/>
          <w:szCs w:val="28"/>
        </w:rPr>
        <w:t>采购人：某单位</w:t>
      </w:r>
    </w:p>
    <w:p>
      <w:pPr>
        <w:autoSpaceDE/>
        <w:autoSpaceDN/>
        <w:spacing w:line="360" w:lineRule="auto"/>
        <w:ind w:firstLine="840" w:firstLineChars="300"/>
        <w:rPr>
          <w:rFonts w:hint="eastAsia" w:ascii="仿宋" w:hAnsi="仿宋" w:eastAsia="仿宋" w:cs="Times New Roman"/>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姬科长</w:t>
      </w:r>
    </w:p>
    <w:p>
      <w:pPr>
        <w:autoSpaceDE/>
        <w:autoSpaceDN/>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联系方式：</w:t>
      </w:r>
      <w:bookmarkStart w:id="0" w:name="_Toc28359086"/>
      <w:bookmarkStart w:id="1" w:name="_Toc28359009"/>
      <w:r>
        <w:rPr>
          <w:rFonts w:hint="eastAsia" w:ascii="仿宋" w:hAnsi="仿宋" w:eastAsia="仿宋"/>
          <w:sz w:val="28"/>
          <w:szCs w:val="28"/>
          <w:lang w:val="en-US" w:eastAsia="zh-CN"/>
        </w:rPr>
        <w:t>13579478199</w:t>
      </w:r>
    </w:p>
    <w:p>
      <w:pPr>
        <w:pStyle w:val="22"/>
        <w:ind w:left="440" w:firstLine="560"/>
        <w:rPr>
          <w:rFonts w:ascii="仿宋" w:hAnsi="仿宋" w:eastAsia="仿宋"/>
          <w:sz w:val="28"/>
          <w:szCs w:val="28"/>
          <w:u w:val="single"/>
        </w:rPr>
      </w:pPr>
    </w:p>
    <w:p>
      <w:pPr>
        <w:rPr>
          <w:rFonts w:ascii="仿宋" w:hAnsi="仿宋" w:eastAsia="仿宋"/>
          <w:sz w:val="28"/>
          <w:szCs w:val="28"/>
          <w:u w:val="single"/>
        </w:rPr>
      </w:pPr>
    </w:p>
    <w:p>
      <w:pPr>
        <w:pStyle w:val="22"/>
        <w:ind w:left="440" w:firstLine="400"/>
      </w:pPr>
    </w:p>
    <w:p>
      <w:pPr>
        <w:autoSpaceDE/>
        <w:autoSpaceDN/>
        <w:spacing w:line="360" w:lineRule="auto"/>
        <w:ind w:left="559" w:leftChars="254" w:firstLine="210" w:firstLineChars="75"/>
        <w:rPr>
          <w:rFonts w:ascii="仿宋" w:hAnsi="仿宋" w:eastAsia="仿宋"/>
          <w:sz w:val="28"/>
          <w:szCs w:val="28"/>
          <w:lang w:val="en-US"/>
        </w:rPr>
      </w:pPr>
      <w:r>
        <w:rPr>
          <w:rFonts w:hint="eastAsia" w:ascii="仿宋" w:hAnsi="仿宋" w:eastAsia="仿宋"/>
          <w:sz w:val="28"/>
          <w:szCs w:val="28"/>
        </w:rPr>
        <w:t>采购代理机构</w:t>
      </w:r>
      <w:bookmarkEnd w:id="0"/>
      <w:bookmarkEnd w:id="1"/>
      <w:r>
        <w:rPr>
          <w:rFonts w:hint="eastAsia" w:ascii="仿宋" w:hAnsi="仿宋" w:eastAsia="仿宋"/>
          <w:sz w:val="28"/>
          <w:szCs w:val="28"/>
          <w:lang w:val="en-US"/>
        </w:rPr>
        <w:t>：新疆德衡工程技术咨询有限公司</w:t>
      </w:r>
    </w:p>
    <w:p>
      <w:pPr>
        <w:autoSpaceDE/>
        <w:autoSpaceDN/>
        <w:spacing w:line="360" w:lineRule="auto"/>
        <w:ind w:left="559" w:leftChars="254" w:firstLine="210" w:firstLineChars="75"/>
        <w:rPr>
          <w:rFonts w:ascii="仿宋" w:hAnsi="仿宋" w:eastAsia="仿宋"/>
          <w:sz w:val="28"/>
          <w:szCs w:val="28"/>
          <w:lang w:val="en-US"/>
        </w:rPr>
      </w:pPr>
      <w:r>
        <w:rPr>
          <w:rFonts w:hint="eastAsia" w:ascii="仿宋" w:hAnsi="仿宋" w:eastAsia="仿宋"/>
          <w:sz w:val="28"/>
          <w:szCs w:val="28"/>
          <w:lang w:val="en-US"/>
        </w:rPr>
        <w:t>联系人：王燕燕、周娜</w:t>
      </w:r>
    </w:p>
    <w:p>
      <w:pPr>
        <w:autoSpaceDE/>
        <w:autoSpaceDN/>
        <w:spacing w:line="360" w:lineRule="auto"/>
        <w:ind w:left="559" w:leftChars="254" w:firstLine="210" w:firstLineChars="75"/>
        <w:rPr>
          <w:rFonts w:ascii="仿宋" w:hAnsi="仿宋" w:eastAsia="仿宋"/>
          <w:sz w:val="28"/>
          <w:szCs w:val="28"/>
          <w:lang w:val="en-US"/>
        </w:rPr>
      </w:pPr>
      <w:r>
        <w:rPr>
          <w:rFonts w:hint="eastAsia" w:ascii="仿宋" w:hAnsi="仿宋" w:eastAsia="仿宋"/>
          <w:sz w:val="28"/>
          <w:szCs w:val="28"/>
          <w:lang w:val="en-US"/>
        </w:rPr>
        <w:t>联系方式：0994-2336208</w:t>
      </w:r>
    </w:p>
    <w:p>
      <w:pPr>
        <w:pStyle w:val="11"/>
        <w:spacing w:before="10"/>
        <w:rPr>
          <w:sz w:val="20"/>
        </w:rPr>
      </w:pPr>
    </w:p>
    <w:p>
      <w:pPr>
        <w:pStyle w:val="11"/>
        <w:spacing w:before="10"/>
        <w:rPr>
          <w:sz w:val="20"/>
        </w:rPr>
      </w:pPr>
    </w:p>
    <w:p>
      <w:pPr>
        <w:pStyle w:val="11"/>
        <w:spacing w:before="10"/>
        <w:rPr>
          <w:sz w:val="20"/>
        </w:rPr>
      </w:pPr>
    </w:p>
    <w:p>
      <w:pPr>
        <w:pStyle w:val="11"/>
        <w:spacing w:before="10"/>
        <w:rPr>
          <w:sz w:val="20"/>
        </w:rPr>
      </w:pPr>
    </w:p>
    <w:p>
      <w:pPr>
        <w:pStyle w:val="11"/>
        <w:spacing w:before="10"/>
        <w:rPr>
          <w:sz w:val="20"/>
        </w:rPr>
      </w:pPr>
    </w:p>
    <w:p>
      <w:pPr>
        <w:tabs>
          <w:tab w:val="left" w:pos="3931"/>
          <w:tab w:val="left" w:pos="4946"/>
          <w:tab w:val="left" w:pos="5962"/>
        </w:tabs>
        <w:spacing w:before="62"/>
        <w:ind w:left="3197" w:firstLine="1120" w:firstLineChars="400"/>
        <w:jc w:val="both"/>
      </w:pPr>
      <w:r>
        <w:rPr>
          <w:rFonts w:hint="eastAsia"/>
          <w:sz w:val="28"/>
          <w:lang w:val="en-US"/>
        </w:rPr>
        <w:t>2022</w:t>
      </w:r>
      <w:r>
        <w:rPr>
          <w:sz w:val="28"/>
        </w:rPr>
        <w:t>年</w:t>
      </w:r>
    </w:p>
    <w:p>
      <w:pPr>
        <w:pStyle w:val="11"/>
        <w:rPr>
          <w:rFonts w:ascii="仿宋_GB2312"/>
          <w:b/>
          <w:sz w:val="20"/>
        </w:rPr>
      </w:pPr>
    </w:p>
    <w:p>
      <w:pPr>
        <w:pStyle w:val="11"/>
        <w:rPr>
          <w:rFonts w:ascii="仿宋_GB2312"/>
          <w:b/>
          <w:sz w:val="20"/>
        </w:rPr>
      </w:pPr>
    </w:p>
    <w:p>
      <w:pPr>
        <w:pStyle w:val="11"/>
        <w:rPr>
          <w:rFonts w:ascii="仿宋_GB2312"/>
          <w:b/>
          <w:sz w:val="20"/>
        </w:rPr>
      </w:pPr>
    </w:p>
    <w:p>
      <w:pPr>
        <w:pStyle w:val="11"/>
        <w:rPr>
          <w:rFonts w:ascii="仿宋_GB2312"/>
          <w:b/>
          <w:sz w:val="20"/>
        </w:rPr>
      </w:pPr>
    </w:p>
    <w:p>
      <w:pPr>
        <w:pStyle w:val="11"/>
        <w:rPr>
          <w:rFonts w:ascii="仿宋_GB2312"/>
          <w:b/>
          <w:sz w:val="20"/>
        </w:rPr>
      </w:pPr>
    </w:p>
    <w:p>
      <w:pPr>
        <w:pStyle w:val="11"/>
        <w:rPr>
          <w:rFonts w:ascii="仿宋_GB2312"/>
          <w:b/>
          <w:sz w:val="20"/>
        </w:rPr>
      </w:pPr>
    </w:p>
    <w:p>
      <w:pPr>
        <w:pStyle w:val="11"/>
        <w:rPr>
          <w:rFonts w:ascii="仿宋_GB2312"/>
          <w:b/>
          <w:sz w:val="20"/>
        </w:rPr>
      </w:pPr>
    </w:p>
    <w:p>
      <w:pPr>
        <w:pStyle w:val="11"/>
        <w:rPr>
          <w:rFonts w:ascii="仿宋_GB2312"/>
          <w:b/>
          <w:sz w:val="20"/>
        </w:rPr>
      </w:pPr>
    </w:p>
    <w:p>
      <w:pPr>
        <w:pStyle w:val="11"/>
        <w:rPr>
          <w:rFonts w:ascii="仿宋_GB2312"/>
          <w:b/>
          <w:sz w:val="20"/>
        </w:rPr>
      </w:pPr>
    </w:p>
    <w:p>
      <w:pPr>
        <w:pStyle w:val="11"/>
        <w:rPr>
          <w:rFonts w:ascii="仿宋_GB2312"/>
          <w:b/>
          <w:sz w:val="20"/>
        </w:rPr>
      </w:pPr>
    </w:p>
    <w:p>
      <w:pPr>
        <w:spacing w:before="37"/>
        <w:ind w:right="385"/>
        <w:jc w:val="center"/>
        <w:rPr>
          <w:sz w:val="44"/>
        </w:rPr>
      </w:pPr>
      <w:r>
        <w:rPr>
          <w:sz w:val="44"/>
        </w:rPr>
        <w:t>目录</w:t>
      </w:r>
    </w:p>
    <w:p>
      <w:pPr>
        <w:pStyle w:val="60"/>
        <w:tabs>
          <w:tab w:val="right" w:pos="2000"/>
          <w:tab w:val="right" w:leader="dot" w:pos="10630"/>
        </w:tabs>
        <w:spacing w:line="480" w:lineRule="auto"/>
        <w:jc w:val="center"/>
        <w:rPr>
          <w:sz w:val="21"/>
        </w:rPr>
      </w:pPr>
    </w:p>
    <w:sdt>
      <w:sdtPr>
        <w:rPr>
          <w:sz w:val="21"/>
        </w:rPr>
        <w:id w:val="147476178"/>
        <w:docPartObj>
          <w:docPartGallery w:val="Table of Contents"/>
          <w:docPartUnique/>
        </w:docPartObj>
      </w:sdtPr>
      <w:sdtEndPr>
        <w:rPr>
          <w:rFonts w:hAnsi="Courier New" w:cs="金山简魏碑"/>
          <w:sz w:val="22"/>
          <w:szCs w:val="21"/>
        </w:rPr>
      </w:sdtEndPr>
      <w:sdtContent>
        <w:p>
          <w:pPr>
            <w:pStyle w:val="60"/>
            <w:keepNext w:val="0"/>
            <w:keepLines w:val="0"/>
            <w:pageBreakBefore w:val="0"/>
            <w:widowControl/>
            <w:tabs>
              <w:tab w:val="right" w:pos="2000"/>
              <w:tab w:val="right" w:leader="dot" w:pos="10630"/>
            </w:tabs>
            <w:kinsoku/>
            <w:wordWrap/>
            <w:overflowPunct/>
            <w:topLinePunct w:val="0"/>
            <w:autoSpaceDE/>
            <w:autoSpaceDN/>
            <w:bidi w:val="0"/>
            <w:adjustRightInd/>
            <w:snapToGrid/>
            <w:spacing w:line="480" w:lineRule="auto"/>
            <w:ind w:firstLine="0" w:firstLineChars="0"/>
            <w:jc w:val="left"/>
            <w:textAlignment w:val="auto"/>
            <w:rPr>
              <w:sz w:val="28"/>
              <w:szCs w:val="28"/>
            </w:rPr>
          </w:pPr>
          <w:r>
            <w:rPr>
              <w:rFonts w:hint="eastAsia"/>
              <w:sz w:val="21"/>
              <w:lang w:val="en-US" w:eastAsia="zh-CN"/>
            </w:rPr>
            <w:t xml:space="preserve">      </w:t>
          </w: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"_Toc5628" </w:instrText>
          </w:r>
          <w:r>
            <w:fldChar w:fldCharType="separate"/>
          </w:r>
          <w:r>
            <w:rPr>
              <w:rFonts w:hint="eastAsia" w:ascii="宋体"/>
              <w:sz w:val="28"/>
              <w:szCs w:val="28"/>
            </w:rPr>
            <w:t>第一章</w:t>
          </w:r>
          <w:r>
            <w:rPr>
              <w:rFonts w:hint="eastAsia" w:ascii="宋体"/>
              <w:sz w:val="28"/>
              <w:szCs w:val="28"/>
            </w:rPr>
            <w:tab/>
          </w:r>
          <w:r>
            <w:rPr>
              <w:rFonts w:hint="eastAsia" w:ascii="宋体"/>
              <w:sz w:val="28"/>
              <w:szCs w:val="28"/>
              <w:lang w:val="en-US" w:eastAsia="zh-CN"/>
            </w:rPr>
            <w:t xml:space="preserve"> </w:t>
          </w:r>
          <w:r>
            <w:rPr>
              <w:rFonts w:hint="eastAsia" w:ascii="华文中宋" w:hAnsi="华文中宋" w:eastAsia="华文中宋"/>
              <w:sz w:val="28"/>
              <w:szCs w:val="28"/>
            </w:rPr>
            <w:t>招标公告</w:t>
          </w:r>
          <w:r>
            <w:rPr>
              <w:rFonts w:hint="eastAsia" w:ascii="宋体"/>
              <w:sz w:val="28"/>
              <w:szCs w:val="28"/>
            </w:rPr>
            <w:t>................................................</w:t>
          </w:r>
          <w:r>
            <w:rPr>
              <w:rFonts w:hint="eastAsia"/>
              <w:sz w:val="28"/>
              <w:szCs w:val="28"/>
              <w:lang w:val="en-US" w:eastAsia="zh-CN"/>
            </w:rPr>
            <w:t>3</w:t>
          </w:r>
          <w:r>
            <w:rPr>
              <w:sz w:val="28"/>
              <w:szCs w:val="28"/>
            </w:rPr>
            <w:fldChar w:fldCharType="end"/>
          </w:r>
        </w:p>
        <w:p>
          <w:pPr>
            <w:pStyle w:val="60"/>
            <w:tabs>
              <w:tab w:val="right" w:pos="2000"/>
              <w:tab w:val="right" w:leader="dot" w:pos="10630"/>
            </w:tabs>
            <w:spacing w:line="480" w:lineRule="auto"/>
            <w:jc w:val="center"/>
            <w:rPr>
              <w:rFonts w:hint="eastAsia" w:ascii="宋体"/>
              <w:sz w:val="28"/>
              <w:szCs w:val="28"/>
            </w:rPr>
          </w:pPr>
          <w:r>
            <w:rPr>
              <w:rFonts w:hint="eastAsia" w:ascii="宋体"/>
              <w:sz w:val="28"/>
              <w:szCs w:val="28"/>
            </w:rPr>
            <w:fldChar w:fldCharType="begin"/>
          </w:r>
          <w:r>
            <w:rPr>
              <w:rFonts w:hint="eastAsia" w:ascii="宋体"/>
              <w:sz w:val="28"/>
              <w:szCs w:val="28"/>
            </w:rPr>
            <w:instrText xml:space="preserve"> HYPERLINK \l "_Toc12277" </w:instrText>
          </w:r>
          <w:r>
            <w:rPr>
              <w:rFonts w:hint="eastAsia" w:ascii="宋体"/>
              <w:sz w:val="28"/>
              <w:szCs w:val="28"/>
            </w:rPr>
            <w:fldChar w:fldCharType="separate"/>
          </w:r>
          <w:r>
            <w:rPr>
              <w:rFonts w:hint="eastAsia" w:ascii="宋体"/>
              <w:sz w:val="28"/>
              <w:szCs w:val="28"/>
            </w:rPr>
            <w:t>第二章</w:t>
          </w:r>
          <w:r>
            <w:rPr>
              <w:rFonts w:hint="eastAsia" w:ascii="宋体"/>
              <w:sz w:val="28"/>
              <w:szCs w:val="28"/>
            </w:rPr>
            <w:tab/>
          </w:r>
          <w:r>
            <w:rPr>
              <w:rFonts w:hint="eastAsia" w:ascii="宋体"/>
              <w:sz w:val="28"/>
              <w:szCs w:val="28"/>
              <w:lang w:val="en-US" w:eastAsia="zh-CN"/>
            </w:rPr>
            <w:t xml:space="preserve"> </w:t>
          </w:r>
          <w:r>
            <w:rPr>
              <w:rFonts w:hint="eastAsia" w:ascii="宋体"/>
              <w:sz w:val="28"/>
              <w:szCs w:val="28"/>
            </w:rPr>
            <w:t>投标人须知</w:t>
          </w:r>
          <w:r>
            <w:rPr>
              <w:rFonts w:hint="eastAsia" w:ascii="宋体"/>
              <w:sz w:val="28"/>
              <w:szCs w:val="28"/>
              <w:lang w:eastAsia="zh-CN"/>
            </w:rPr>
            <w:t>前附表</w:t>
          </w:r>
          <w:r>
            <w:rPr>
              <w:rFonts w:hint="eastAsia" w:ascii="宋体"/>
              <w:sz w:val="28"/>
              <w:szCs w:val="28"/>
            </w:rPr>
            <w:t>........................................</w:t>
          </w:r>
          <w:r>
            <w:rPr>
              <w:rFonts w:hint="eastAsia" w:ascii="宋体"/>
              <w:sz w:val="28"/>
              <w:szCs w:val="28"/>
              <w:lang w:val="en-US" w:eastAsia="zh-CN"/>
            </w:rPr>
            <w:t>5</w:t>
          </w:r>
          <w:r>
            <w:rPr>
              <w:rFonts w:hint="eastAsia" w:ascii="宋体"/>
              <w:sz w:val="28"/>
              <w:szCs w:val="28"/>
            </w:rPr>
            <w:fldChar w:fldCharType="end"/>
          </w:r>
        </w:p>
        <w:p>
          <w:pPr>
            <w:pStyle w:val="60"/>
            <w:tabs>
              <w:tab w:val="right" w:pos="2000"/>
              <w:tab w:val="right" w:leader="dot" w:pos="10630"/>
            </w:tabs>
            <w:spacing w:line="480" w:lineRule="auto"/>
            <w:jc w:val="center"/>
            <w:rPr>
              <w:rFonts w:hint="eastAsia" w:ascii="宋体"/>
              <w:sz w:val="28"/>
              <w:szCs w:val="28"/>
            </w:rPr>
          </w:pPr>
          <w:r>
            <w:rPr>
              <w:rFonts w:hint="eastAsia" w:ascii="宋体"/>
              <w:sz w:val="28"/>
              <w:szCs w:val="28"/>
              <w:lang w:val="en-US" w:eastAsia="zh-CN"/>
            </w:rPr>
            <w:t xml:space="preserve">       </w:t>
          </w:r>
          <w:r>
            <w:rPr>
              <w:rFonts w:hint="eastAsia" w:ascii="宋体"/>
              <w:sz w:val="28"/>
              <w:szCs w:val="28"/>
            </w:rPr>
            <w:fldChar w:fldCharType="begin"/>
          </w:r>
          <w:r>
            <w:rPr>
              <w:rFonts w:hint="eastAsia" w:ascii="宋体"/>
              <w:sz w:val="28"/>
              <w:szCs w:val="28"/>
            </w:rPr>
            <w:instrText xml:space="preserve"> HYPERLINK \l "_Toc1409" </w:instrText>
          </w:r>
          <w:r>
            <w:rPr>
              <w:rFonts w:hint="eastAsia" w:ascii="宋体"/>
              <w:sz w:val="28"/>
              <w:szCs w:val="28"/>
            </w:rPr>
            <w:fldChar w:fldCharType="separate"/>
          </w:r>
          <w:r>
            <w:rPr>
              <w:rFonts w:hint="eastAsia" w:ascii="宋体"/>
              <w:sz w:val="28"/>
              <w:szCs w:val="28"/>
            </w:rPr>
            <w:t>投标人须知</w:t>
          </w:r>
          <w:r>
            <w:rPr>
              <w:rFonts w:hint="eastAsia" w:ascii="宋体"/>
              <w:sz w:val="28"/>
              <w:szCs w:val="28"/>
              <w:lang w:eastAsia="zh-CN"/>
            </w:rPr>
            <w:t>正文</w:t>
          </w:r>
          <w:r>
            <w:rPr>
              <w:rFonts w:hint="eastAsia" w:ascii="宋体"/>
              <w:sz w:val="28"/>
              <w:szCs w:val="28"/>
            </w:rPr>
            <w:t>..........................................</w:t>
          </w:r>
          <w:r>
            <w:rPr>
              <w:rFonts w:hint="eastAsia" w:ascii="宋体"/>
              <w:sz w:val="28"/>
              <w:szCs w:val="28"/>
              <w:lang w:val="en-US" w:eastAsia="zh-CN"/>
            </w:rPr>
            <w:t>8</w:t>
          </w:r>
          <w:r>
            <w:rPr>
              <w:rFonts w:hint="eastAsia" w:ascii="宋体"/>
              <w:sz w:val="28"/>
              <w:szCs w:val="28"/>
            </w:rPr>
            <w:fldChar w:fldCharType="end"/>
          </w:r>
        </w:p>
        <w:p>
          <w:pPr>
            <w:pStyle w:val="60"/>
            <w:tabs>
              <w:tab w:val="right" w:pos="2000"/>
              <w:tab w:val="right" w:leader="dot" w:pos="10630"/>
            </w:tabs>
            <w:spacing w:line="480" w:lineRule="auto"/>
            <w:jc w:val="center"/>
            <w:rPr>
              <w:rFonts w:hint="eastAsia" w:ascii="宋体" w:eastAsia="宋体"/>
              <w:sz w:val="28"/>
              <w:szCs w:val="28"/>
              <w:lang w:val="en-US" w:eastAsia="zh-CN"/>
            </w:rPr>
          </w:pPr>
          <w:r>
            <w:rPr>
              <w:rFonts w:hint="eastAsia" w:ascii="宋体"/>
              <w:sz w:val="28"/>
              <w:szCs w:val="28"/>
            </w:rPr>
            <w:fldChar w:fldCharType="begin"/>
          </w:r>
          <w:r>
            <w:rPr>
              <w:rFonts w:hint="eastAsia" w:ascii="宋体"/>
              <w:sz w:val="28"/>
              <w:szCs w:val="28"/>
            </w:rPr>
            <w:instrText xml:space="preserve"> HYPERLINK \l "_Toc5227" </w:instrText>
          </w:r>
          <w:r>
            <w:rPr>
              <w:rFonts w:hint="eastAsia" w:ascii="宋体"/>
              <w:sz w:val="28"/>
              <w:szCs w:val="28"/>
            </w:rPr>
            <w:fldChar w:fldCharType="separate"/>
          </w:r>
          <w:r>
            <w:rPr>
              <w:rFonts w:hint="eastAsia" w:ascii="宋体"/>
              <w:sz w:val="28"/>
              <w:szCs w:val="28"/>
            </w:rPr>
            <w:t>第</w:t>
          </w:r>
          <w:r>
            <w:rPr>
              <w:rFonts w:hint="eastAsia" w:ascii="宋体"/>
              <w:sz w:val="28"/>
              <w:szCs w:val="28"/>
              <w:lang w:eastAsia="zh-CN"/>
            </w:rPr>
            <w:t>三</w:t>
          </w:r>
          <w:r>
            <w:rPr>
              <w:rFonts w:hint="eastAsia" w:ascii="宋体"/>
              <w:sz w:val="28"/>
              <w:szCs w:val="28"/>
            </w:rPr>
            <w:t>章</w:t>
          </w:r>
          <w:r>
            <w:rPr>
              <w:rFonts w:hint="eastAsia" w:ascii="宋体"/>
              <w:sz w:val="28"/>
              <w:szCs w:val="28"/>
            </w:rPr>
            <w:tab/>
          </w:r>
          <w:r>
            <w:rPr>
              <w:rFonts w:hint="eastAsia" w:ascii="宋体"/>
              <w:sz w:val="28"/>
              <w:szCs w:val="28"/>
              <w:lang w:val="en-US" w:eastAsia="zh-CN"/>
            </w:rPr>
            <w:t xml:space="preserve"> </w:t>
          </w:r>
          <w:r>
            <w:rPr>
              <w:rFonts w:hint="eastAsia" w:ascii="宋体"/>
              <w:sz w:val="28"/>
              <w:szCs w:val="28"/>
            </w:rPr>
            <w:t>合同文本...............................................</w:t>
          </w:r>
          <w:r>
            <w:rPr>
              <w:rFonts w:hint="eastAsia" w:ascii="宋体"/>
              <w:sz w:val="28"/>
              <w:szCs w:val="28"/>
            </w:rPr>
            <w:fldChar w:fldCharType="end"/>
          </w:r>
          <w:r>
            <w:rPr>
              <w:rFonts w:hint="eastAsia" w:ascii="宋体"/>
              <w:sz w:val="28"/>
              <w:szCs w:val="28"/>
              <w:lang w:val="en-US" w:eastAsia="zh-CN"/>
            </w:rPr>
            <w:t>21</w:t>
          </w:r>
        </w:p>
        <w:p>
          <w:pPr>
            <w:pStyle w:val="60"/>
            <w:tabs>
              <w:tab w:val="right" w:pos="2000"/>
              <w:tab w:val="right" w:leader="dot" w:pos="10630"/>
            </w:tabs>
            <w:spacing w:line="480" w:lineRule="auto"/>
            <w:jc w:val="center"/>
            <w:rPr>
              <w:rFonts w:hint="eastAsia" w:ascii="宋体" w:eastAsia="宋体"/>
              <w:sz w:val="28"/>
              <w:szCs w:val="28"/>
              <w:lang w:val="en-US" w:eastAsia="zh-CN"/>
            </w:rPr>
          </w:pPr>
          <w:r>
            <w:rPr>
              <w:rFonts w:hint="eastAsia" w:ascii="宋体"/>
              <w:sz w:val="28"/>
              <w:szCs w:val="28"/>
            </w:rPr>
            <w:fldChar w:fldCharType="begin"/>
          </w:r>
          <w:r>
            <w:rPr>
              <w:rFonts w:hint="eastAsia" w:ascii="宋体"/>
              <w:sz w:val="28"/>
              <w:szCs w:val="28"/>
            </w:rPr>
            <w:instrText xml:space="preserve"> HYPERLINK \l "_Toc2863" </w:instrText>
          </w:r>
          <w:r>
            <w:rPr>
              <w:rFonts w:hint="eastAsia" w:ascii="宋体"/>
              <w:sz w:val="28"/>
              <w:szCs w:val="28"/>
            </w:rPr>
            <w:fldChar w:fldCharType="separate"/>
          </w:r>
          <w:r>
            <w:rPr>
              <w:rFonts w:hint="eastAsia" w:ascii="宋体"/>
              <w:sz w:val="28"/>
              <w:szCs w:val="28"/>
            </w:rPr>
            <w:t>第</w:t>
          </w:r>
          <w:r>
            <w:rPr>
              <w:rFonts w:hint="eastAsia" w:ascii="宋体"/>
              <w:sz w:val="28"/>
              <w:szCs w:val="28"/>
              <w:lang w:eastAsia="zh-CN"/>
            </w:rPr>
            <w:t>四</w:t>
          </w:r>
          <w:r>
            <w:rPr>
              <w:rFonts w:hint="eastAsia" w:ascii="宋体"/>
              <w:sz w:val="28"/>
              <w:szCs w:val="28"/>
            </w:rPr>
            <w:t>章 项目采购需求...........................................</w:t>
          </w:r>
          <w:r>
            <w:rPr>
              <w:rFonts w:hint="eastAsia" w:ascii="宋体"/>
              <w:sz w:val="28"/>
              <w:szCs w:val="28"/>
              <w:lang w:val="en-US" w:eastAsia="zh-CN"/>
            </w:rPr>
            <w:t>2</w:t>
          </w:r>
          <w:r>
            <w:rPr>
              <w:rFonts w:hint="eastAsia" w:ascii="宋体"/>
              <w:sz w:val="28"/>
              <w:szCs w:val="28"/>
            </w:rPr>
            <w:fldChar w:fldCharType="end"/>
          </w:r>
          <w:r>
            <w:rPr>
              <w:rFonts w:hint="eastAsia" w:ascii="宋体"/>
              <w:sz w:val="28"/>
              <w:szCs w:val="28"/>
              <w:lang w:val="en-US" w:eastAsia="zh-CN"/>
            </w:rPr>
            <w:t>5</w:t>
          </w:r>
        </w:p>
        <w:p>
          <w:pPr>
            <w:pStyle w:val="60"/>
            <w:tabs>
              <w:tab w:val="right" w:pos="2000"/>
              <w:tab w:val="right" w:leader="dot" w:pos="10630"/>
            </w:tabs>
            <w:spacing w:line="480" w:lineRule="auto"/>
            <w:jc w:val="center"/>
            <w:rPr>
              <w:rFonts w:hint="eastAsia" w:ascii="宋体" w:eastAsia="宋体"/>
              <w:sz w:val="28"/>
              <w:szCs w:val="28"/>
              <w:lang w:val="en-US" w:eastAsia="zh-CN"/>
            </w:rPr>
          </w:pPr>
          <w:r>
            <w:rPr>
              <w:rFonts w:hint="eastAsia" w:ascii="宋体"/>
              <w:sz w:val="28"/>
              <w:szCs w:val="28"/>
            </w:rPr>
            <w:fldChar w:fldCharType="begin"/>
          </w:r>
          <w:r>
            <w:rPr>
              <w:rFonts w:hint="eastAsia" w:ascii="宋体"/>
              <w:sz w:val="28"/>
              <w:szCs w:val="28"/>
            </w:rPr>
            <w:instrText xml:space="preserve"> HYPERLINK \l "_Toc1480" </w:instrText>
          </w:r>
          <w:r>
            <w:rPr>
              <w:rFonts w:hint="eastAsia" w:ascii="宋体"/>
              <w:sz w:val="28"/>
              <w:szCs w:val="28"/>
            </w:rPr>
            <w:fldChar w:fldCharType="separate"/>
          </w:r>
          <w:r>
            <w:rPr>
              <w:rFonts w:hint="eastAsia" w:ascii="宋体"/>
              <w:sz w:val="28"/>
              <w:szCs w:val="28"/>
            </w:rPr>
            <w:t>第</w:t>
          </w:r>
          <w:r>
            <w:rPr>
              <w:rFonts w:hint="eastAsia" w:ascii="宋体"/>
              <w:sz w:val="28"/>
              <w:szCs w:val="28"/>
              <w:lang w:eastAsia="zh-CN"/>
            </w:rPr>
            <w:t>五</w:t>
          </w:r>
          <w:r>
            <w:rPr>
              <w:rFonts w:hint="eastAsia" w:ascii="宋体"/>
              <w:sz w:val="28"/>
              <w:szCs w:val="28"/>
            </w:rPr>
            <w:t>章</w:t>
          </w:r>
          <w:r>
            <w:rPr>
              <w:rFonts w:hint="eastAsia" w:ascii="宋体"/>
              <w:sz w:val="28"/>
              <w:szCs w:val="28"/>
              <w:lang w:val="en-US" w:eastAsia="zh-CN"/>
            </w:rPr>
            <w:t xml:space="preserve"> </w:t>
          </w:r>
          <w:r>
            <w:rPr>
              <w:rFonts w:hint="eastAsia" w:ascii="宋体"/>
              <w:sz w:val="28"/>
              <w:szCs w:val="28"/>
            </w:rPr>
            <w:t>评标方法与评标标准.....................................</w:t>
          </w:r>
          <w:r>
            <w:rPr>
              <w:rFonts w:hint="eastAsia" w:ascii="宋体"/>
              <w:sz w:val="28"/>
              <w:szCs w:val="28"/>
              <w:lang w:val="en-US" w:eastAsia="zh-CN"/>
            </w:rPr>
            <w:t>3</w:t>
          </w:r>
          <w:r>
            <w:rPr>
              <w:rFonts w:hint="eastAsia" w:ascii="宋体"/>
              <w:sz w:val="28"/>
              <w:szCs w:val="28"/>
            </w:rPr>
            <w:fldChar w:fldCharType="end"/>
          </w:r>
          <w:r>
            <w:rPr>
              <w:rFonts w:hint="eastAsia" w:ascii="宋体"/>
              <w:sz w:val="28"/>
              <w:szCs w:val="28"/>
              <w:lang w:val="en-US" w:eastAsia="zh-CN"/>
            </w:rPr>
            <w:t>3</w:t>
          </w:r>
        </w:p>
        <w:p>
          <w:pPr>
            <w:pStyle w:val="60"/>
            <w:tabs>
              <w:tab w:val="right" w:pos="2000"/>
              <w:tab w:val="right" w:leader="dot" w:pos="10630"/>
            </w:tabs>
            <w:spacing w:line="480" w:lineRule="auto"/>
            <w:jc w:val="center"/>
            <w:rPr>
              <w:rFonts w:hint="eastAsia" w:ascii="宋体" w:eastAsia="宋体"/>
              <w:sz w:val="28"/>
              <w:szCs w:val="28"/>
              <w:lang w:val="en-US" w:eastAsia="zh-CN"/>
            </w:rPr>
          </w:pPr>
          <w:r>
            <w:rPr>
              <w:rFonts w:hint="eastAsia" w:ascii="宋体"/>
              <w:sz w:val="28"/>
              <w:szCs w:val="28"/>
            </w:rPr>
            <w:fldChar w:fldCharType="begin"/>
          </w:r>
          <w:r>
            <w:rPr>
              <w:rFonts w:hint="eastAsia" w:ascii="宋体"/>
              <w:sz w:val="28"/>
              <w:szCs w:val="28"/>
            </w:rPr>
            <w:instrText xml:space="preserve"> HYPERLINK \l "_Toc23807" </w:instrText>
          </w:r>
          <w:r>
            <w:rPr>
              <w:rFonts w:hint="eastAsia" w:ascii="宋体"/>
              <w:sz w:val="28"/>
              <w:szCs w:val="28"/>
            </w:rPr>
            <w:fldChar w:fldCharType="separate"/>
          </w:r>
          <w:r>
            <w:rPr>
              <w:rFonts w:hint="eastAsia" w:ascii="宋体"/>
              <w:sz w:val="28"/>
              <w:szCs w:val="28"/>
            </w:rPr>
            <w:t>第</w:t>
          </w:r>
          <w:r>
            <w:rPr>
              <w:rFonts w:hint="eastAsia" w:ascii="宋体"/>
              <w:sz w:val="28"/>
              <w:szCs w:val="28"/>
              <w:lang w:eastAsia="zh-CN"/>
            </w:rPr>
            <w:t>六</w:t>
          </w:r>
          <w:r>
            <w:rPr>
              <w:rFonts w:hint="eastAsia" w:ascii="宋体"/>
              <w:sz w:val="28"/>
              <w:szCs w:val="28"/>
            </w:rPr>
            <w:t>章</w:t>
          </w:r>
          <w:r>
            <w:rPr>
              <w:rFonts w:hint="eastAsia" w:ascii="宋体"/>
              <w:sz w:val="28"/>
              <w:szCs w:val="28"/>
              <w:lang w:val="en-US" w:eastAsia="zh-CN"/>
            </w:rPr>
            <w:t xml:space="preserve"> </w:t>
          </w:r>
          <w:r>
            <w:rPr>
              <w:rFonts w:hint="eastAsia" w:ascii="宋体"/>
              <w:sz w:val="28"/>
              <w:szCs w:val="28"/>
            </w:rPr>
            <w:t>投标文件格式...........................................</w:t>
          </w:r>
          <w:r>
            <w:rPr>
              <w:rFonts w:hint="eastAsia" w:ascii="宋体"/>
              <w:sz w:val="28"/>
              <w:szCs w:val="28"/>
              <w:lang w:val="en-US" w:eastAsia="zh-CN"/>
            </w:rPr>
            <w:t>3</w:t>
          </w:r>
          <w:r>
            <w:rPr>
              <w:rFonts w:hint="eastAsia" w:ascii="宋体"/>
              <w:sz w:val="28"/>
              <w:szCs w:val="28"/>
            </w:rPr>
            <w:fldChar w:fldCharType="end"/>
          </w:r>
          <w:r>
            <w:rPr>
              <w:rFonts w:hint="eastAsia" w:ascii="宋体"/>
              <w:sz w:val="28"/>
              <w:szCs w:val="28"/>
              <w:lang w:val="en-US" w:eastAsia="zh-CN"/>
            </w:rPr>
            <w:t>7</w:t>
          </w:r>
        </w:p>
        <w:p>
          <w:pPr>
            <w:pStyle w:val="14"/>
            <w:spacing w:line="480" w:lineRule="auto"/>
            <w:sectPr>
              <w:headerReference r:id="rId3" w:type="default"/>
              <w:footerReference r:id="rId4" w:type="default"/>
              <w:pgSz w:w="11910" w:h="16840"/>
              <w:pgMar w:top="1100" w:right="1134" w:bottom="1180" w:left="1134" w:header="878" w:footer="985" w:gutter="0"/>
              <w:pgNumType w:fmt="decimal" w:start="1"/>
              <w:cols w:space="720" w:num="1"/>
            </w:sectPr>
          </w:pPr>
          <w:r>
            <w:rPr>
              <w:sz w:val="36"/>
              <w:szCs w:val="32"/>
            </w:rPr>
            <w:fldChar w:fldCharType="end"/>
          </w:r>
        </w:p>
      </w:sdtContent>
    </w:sdt>
    <w:p>
      <w:pPr>
        <w:pStyle w:val="3"/>
        <w:keepNext w:val="0"/>
        <w:keepLines w:val="0"/>
        <w:pageBreakBefore w:val="0"/>
        <w:widowControl w:val="0"/>
        <w:tabs>
          <w:tab w:val="left" w:pos="1442"/>
        </w:tabs>
        <w:kinsoku/>
        <w:wordWrap/>
        <w:overflowPunct/>
        <w:topLinePunct w:val="0"/>
        <w:autoSpaceDE w:val="0"/>
        <w:autoSpaceDN w:val="0"/>
        <w:bidi w:val="0"/>
        <w:adjustRightInd/>
        <w:snapToGrid/>
        <w:spacing w:before="0"/>
        <w:ind w:right="0"/>
        <w:textAlignment w:val="auto"/>
        <w:rPr>
          <w:rFonts w:hint="eastAsia" w:ascii="华文中宋" w:hAnsi="华文中宋" w:eastAsia="华文中宋"/>
          <w:sz w:val="40"/>
          <w:szCs w:val="40"/>
        </w:rPr>
      </w:pPr>
      <w:bookmarkStart w:id="2" w:name="_Toc23034"/>
      <w:bookmarkStart w:id="3" w:name="_Toc5628"/>
      <w:r>
        <w:rPr>
          <w:rFonts w:hint="eastAsia" w:ascii="华文中宋" w:hAnsi="华文中宋" w:eastAsia="华文中宋"/>
          <w:sz w:val="40"/>
          <w:szCs w:val="40"/>
        </w:rPr>
        <w:t>第一章</w:t>
      </w:r>
      <w:r>
        <w:rPr>
          <w:rFonts w:hint="eastAsia" w:ascii="华文中宋" w:hAnsi="华文中宋" w:eastAsia="华文中宋"/>
          <w:sz w:val="40"/>
          <w:szCs w:val="40"/>
        </w:rPr>
        <w:tab/>
      </w:r>
      <w:bookmarkStart w:id="4" w:name="_Toc35393789"/>
      <w:bookmarkStart w:id="5" w:name="_Toc28359001"/>
      <w:r>
        <w:rPr>
          <w:rFonts w:hint="eastAsia" w:ascii="华文中宋" w:hAnsi="华文中宋" w:eastAsia="华文中宋"/>
          <w:sz w:val="40"/>
          <w:szCs w:val="40"/>
        </w:rPr>
        <w:t>招标公告</w:t>
      </w:r>
      <w:bookmarkEnd w:id="2"/>
      <w:bookmarkEnd w:id="3"/>
      <w:bookmarkEnd w:id="4"/>
      <w:bookmarkEnd w:id="5"/>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snapToGrid/>
        <w:spacing w:line="288"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snapToGrid/>
        <w:spacing w:line="288"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u w:val="single"/>
          <w:lang w:eastAsia="zh-CN"/>
        </w:rPr>
        <w:t>某单位学习用品、</w:t>
      </w:r>
      <w:r>
        <w:rPr>
          <w:rFonts w:hint="eastAsia" w:ascii="仿宋" w:hAnsi="仿宋" w:eastAsia="仿宋" w:cs="仿宋"/>
          <w:b/>
          <w:bCs/>
          <w:sz w:val="24"/>
          <w:szCs w:val="24"/>
          <w:u w:val="single"/>
          <w:lang w:val="en-US" w:eastAsia="zh-CN"/>
        </w:rPr>
        <w:t>教育</w:t>
      </w:r>
      <w:r>
        <w:rPr>
          <w:rFonts w:hint="eastAsia" w:ascii="仿宋" w:hAnsi="仿宋" w:eastAsia="仿宋" w:cs="仿宋"/>
          <w:b/>
          <w:bCs/>
          <w:sz w:val="24"/>
          <w:szCs w:val="24"/>
          <w:u w:val="single"/>
          <w:lang w:eastAsia="zh-CN"/>
        </w:rPr>
        <w:t>用品采购（三次）</w:t>
      </w:r>
      <w:r>
        <w:rPr>
          <w:rFonts w:hint="eastAsia" w:ascii="仿宋" w:hAnsi="仿宋" w:eastAsia="仿宋" w:cs="仿宋"/>
          <w:b/>
          <w:bCs/>
          <w:sz w:val="24"/>
          <w:szCs w:val="24"/>
        </w:rPr>
        <w:t>招标项目的潜在投标人应在</w:t>
      </w:r>
      <w:r>
        <w:rPr>
          <w:rFonts w:hint="eastAsia" w:ascii="仿宋" w:hAnsi="仿宋" w:eastAsia="仿宋" w:cs="仿宋"/>
          <w:b/>
          <w:bCs/>
          <w:sz w:val="24"/>
          <w:szCs w:val="24"/>
          <w:u w:val="single"/>
        </w:rPr>
        <w:t>昌吉市和谐玫瑰园A区A座11楼1106室（北京南路和塔城路交汇处）</w:t>
      </w:r>
      <w:r>
        <w:rPr>
          <w:rFonts w:hint="eastAsia" w:ascii="仿宋" w:hAnsi="仿宋" w:eastAsia="仿宋" w:cs="仿宋"/>
          <w:b/>
          <w:bCs/>
          <w:sz w:val="24"/>
          <w:szCs w:val="24"/>
        </w:rPr>
        <w:t>获取招标文件，并于</w:t>
      </w:r>
      <w:r>
        <w:rPr>
          <w:rFonts w:hint="eastAsia" w:ascii="仿宋" w:hAnsi="仿宋" w:eastAsia="仿宋" w:cs="仿宋"/>
          <w:b/>
          <w:bCs/>
          <w:sz w:val="24"/>
          <w:szCs w:val="24"/>
          <w:u w:val="single"/>
          <w:lang w:val="en-US"/>
        </w:rPr>
        <w:t>2022</w:t>
      </w:r>
      <w:r>
        <w:rPr>
          <w:rFonts w:hint="eastAsia" w:ascii="仿宋" w:hAnsi="仿宋" w:eastAsia="仿宋" w:cs="仿宋"/>
          <w:b/>
          <w:bCs/>
          <w:sz w:val="24"/>
          <w:szCs w:val="24"/>
          <w:u w:val="single"/>
        </w:rPr>
        <w:t>年</w:t>
      </w:r>
      <w:r>
        <w:rPr>
          <w:rFonts w:hint="eastAsia" w:ascii="仿宋" w:hAnsi="仿宋" w:eastAsia="仿宋" w:cs="仿宋"/>
          <w:b/>
          <w:bCs/>
          <w:sz w:val="24"/>
          <w:szCs w:val="24"/>
          <w:u w:val="single"/>
          <w:lang w:val="en-US" w:eastAsia="zh-CN"/>
        </w:rPr>
        <w:t>8</w:t>
      </w:r>
      <w:r>
        <w:rPr>
          <w:rFonts w:hint="eastAsia" w:ascii="仿宋" w:hAnsi="仿宋" w:eastAsia="仿宋" w:cs="仿宋"/>
          <w:b/>
          <w:bCs/>
          <w:sz w:val="24"/>
          <w:szCs w:val="24"/>
          <w:u w:val="single"/>
        </w:rPr>
        <w:t>月</w:t>
      </w:r>
      <w:r>
        <w:rPr>
          <w:rFonts w:hint="eastAsia" w:ascii="仿宋" w:hAnsi="仿宋" w:eastAsia="仿宋" w:cs="仿宋"/>
          <w:b/>
          <w:bCs/>
          <w:sz w:val="24"/>
          <w:szCs w:val="24"/>
          <w:u w:val="single"/>
          <w:lang w:val="en-US" w:eastAsia="zh-CN"/>
        </w:rPr>
        <w:t>11</w:t>
      </w:r>
      <w:r>
        <w:rPr>
          <w:rFonts w:hint="eastAsia" w:ascii="仿宋" w:hAnsi="仿宋" w:eastAsia="仿宋" w:cs="仿宋"/>
          <w:b/>
          <w:bCs/>
          <w:sz w:val="24"/>
          <w:szCs w:val="24"/>
          <w:u w:val="single"/>
        </w:rPr>
        <w:t>日</w:t>
      </w:r>
      <w:r>
        <w:rPr>
          <w:rFonts w:hint="eastAsia" w:ascii="仿宋" w:hAnsi="仿宋" w:eastAsia="仿宋" w:cs="仿宋"/>
          <w:b/>
          <w:bCs/>
          <w:sz w:val="24"/>
          <w:szCs w:val="24"/>
          <w:u w:val="single"/>
          <w:lang w:val="en-US"/>
        </w:rPr>
        <w:t>1</w:t>
      </w:r>
      <w:r>
        <w:rPr>
          <w:rFonts w:hint="eastAsia" w:ascii="仿宋" w:hAnsi="仿宋" w:eastAsia="仿宋" w:cs="仿宋"/>
          <w:b/>
          <w:bCs/>
          <w:sz w:val="24"/>
          <w:szCs w:val="24"/>
          <w:u w:val="single"/>
          <w:lang w:val="en-US" w:eastAsia="zh-CN"/>
        </w:rPr>
        <w:t>0</w:t>
      </w:r>
      <w:r>
        <w:rPr>
          <w:rFonts w:hint="eastAsia" w:ascii="仿宋" w:hAnsi="仿宋" w:eastAsia="仿宋" w:cs="仿宋"/>
          <w:b/>
          <w:bCs/>
          <w:sz w:val="24"/>
          <w:szCs w:val="24"/>
          <w:u w:val="single"/>
        </w:rPr>
        <w:t>点</w:t>
      </w:r>
      <w:r>
        <w:rPr>
          <w:rFonts w:hint="eastAsia" w:ascii="仿宋" w:hAnsi="仿宋" w:eastAsia="仿宋" w:cs="仿宋"/>
          <w:b/>
          <w:bCs/>
          <w:sz w:val="24"/>
          <w:szCs w:val="24"/>
          <w:u w:val="single"/>
          <w:lang w:val="en-US" w:eastAsia="zh-CN"/>
        </w:rPr>
        <w:t>3</w:t>
      </w:r>
      <w:r>
        <w:rPr>
          <w:rFonts w:hint="eastAsia" w:ascii="仿宋" w:hAnsi="仿宋" w:eastAsia="仿宋" w:cs="仿宋"/>
          <w:b/>
          <w:bCs/>
          <w:sz w:val="24"/>
          <w:szCs w:val="24"/>
          <w:u w:val="single"/>
          <w:lang w:val="en-US"/>
        </w:rPr>
        <w:t>0</w:t>
      </w:r>
      <w:r>
        <w:rPr>
          <w:rFonts w:hint="eastAsia" w:ascii="仿宋" w:hAnsi="仿宋" w:eastAsia="仿宋" w:cs="仿宋"/>
          <w:b/>
          <w:bCs/>
          <w:sz w:val="24"/>
          <w:szCs w:val="24"/>
          <w:u w:val="single"/>
        </w:rPr>
        <w:t>分（北京时间）</w:t>
      </w:r>
      <w:r>
        <w:rPr>
          <w:rFonts w:hint="eastAsia" w:ascii="仿宋" w:hAnsi="仿宋" w:eastAsia="仿宋" w:cs="仿宋"/>
          <w:b/>
          <w:bCs/>
          <w:sz w:val="24"/>
          <w:szCs w:val="24"/>
        </w:rPr>
        <w:t>前递交投标文件。</w:t>
      </w:r>
    </w:p>
    <w:p>
      <w:pPr>
        <w:pStyle w:val="5"/>
        <w:keepNext w:val="0"/>
        <w:keepLines w:val="0"/>
        <w:pageBreakBefore w:val="0"/>
        <w:kinsoku/>
        <w:wordWrap/>
        <w:overflowPunct/>
        <w:topLinePunct w:val="0"/>
        <w:autoSpaceDE w:val="0"/>
        <w:autoSpaceDN w:val="0"/>
        <w:bidi w:val="0"/>
        <w:adjustRightInd/>
        <w:spacing w:after="0" w:afterLines="50" w:line="360" w:lineRule="exact"/>
        <w:ind w:left="0" w:leftChars="0" w:firstLine="562" w:firstLineChars="200"/>
        <w:textAlignment w:val="auto"/>
        <w:rPr>
          <w:rFonts w:hint="eastAsia" w:ascii="宋体" w:hAnsi="宋体" w:eastAsia="宋体" w:cs="宋体"/>
          <w:b/>
          <w:bCs/>
          <w:sz w:val="28"/>
          <w:szCs w:val="28"/>
        </w:rPr>
      </w:pPr>
      <w:bookmarkStart w:id="6" w:name="_Toc35393790"/>
      <w:bookmarkStart w:id="7" w:name="_Toc28359079"/>
      <w:bookmarkStart w:id="8" w:name="_Toc35393621"/>
      <w:bookmarkStart w:id="9" w:name="_Toc28359002"/>
      <w:bookmarkStart w:id="10" w:name="_Hlk24379207"/>
      <w:r>
        <w:rPr>
          <w:rFonts w:hint="eastAsia" w:ascii="宋体" w:hAnsi="宋体" w:eastAsia="宋体" w:cs="宋体"/>
          <w:b/>
          <w:bCs/>
          <w:sz w:val="28"/>
          <w:szCs w:val="28"/>
        </w:rPr>
        <w:t>一、项目基本情况</w:t>
      </w:r>
      <w:bookmarkEnd w:id="6"/>
      <w:bookmarkEnd w:id="7"/>
      <w:bookmarkEnd w:id="8"/>
      <w:bookmarkEnd w:id="9"/>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default" w:ascii="仿宋" w:hAnsi="仿宋" w:eastAsia="仿宋" w:cs="仿宋"/>
          <w:color w:val="FF0000"/>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rPr>
        <w:t>DH(CG)2022-01</w:t>
      </w:r>
      <w:r>
        <w:rPr>
          <w:rFonts w:hint="eastAsia" w:ascii="仿宋" w:hAnsi="仿宋" w:eastAsia="仿宋" w:cs="仿宋"/>
          <w:sz w:val="24"/>
          <w:szCs w:val="24"/>
          <w:lang w:val="en-US" w:eastAsia="zh-CN"/>
        </w:rPr>
        <w:t>9-03</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某单位学习用品、教育用品采购（三次）</w:t>
      </w:r>
      <w:r>
        <w:rPr>
          <w:rFonts w:hint="eastAsia" w:ascii="仿宋" w:hAnsi="仿宋" w:eastAsia="仿宋" w:cs="仿宋"/>
          <w:sz w:val="24"/>
          <w:szCs w:val="24"/>
          <w:lang w:val="en-US"/>
        </w:rPr>
        <w:t xml:space="preserve"> </w:t>
      </w:r>
    </w:p>
    <w:bookmarkEnd w:id="10"/>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rPr>
        <w:t>最高限价（如有）：</w:t>
      </w:r>
      <w:r>
        <w:rPr>
          <w:rFonts w:hint="eastAsia" w:ascii="仿宋" w:hAnsi="仿宋" w:eastAsia="仿宋" w:cs="仿宋"/>
          <w:sz w:val="24"/>
          <w:szCs w:val="24"/>
          <w:lang w:val="en-US"/>
        </w:rPr>
        <w:t>/</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采购需求：</w:t>
      </w:r>
      <w:r>
        <w:rPr>
          <w:rFonts w:hint="eastAsia" w:ascii="仿宋" w:hAnsi="仿宋" w:eastAsia="仿宋" w:cs="仿宋"/>
          <w:sz w:val="24"/>
          <w:szCs w:val="24"/>
          <w:lang w:eastAsia="zh-CN"/>
        </w:rPr>
        <w:t>学习用品、</w:t>
      </w:r>
      <w:r>
        <w:rPr>
          <w:rFonts w:hint="eastAsia" w:ascii="仿宋" w:hAnsi="仿宋" w:eastAsia="仿宋" w:cs="仿宋"/>
          <w:sz w:val="24"/>
          <w:szCs w:val="24"/>
          <w:lang w:val="en-US" w:eastAsia="zh-CN"/>
        </w:rPr>
        <w:t>教育</w:t>
      </w:r>
      <w:r>
        <w:rPr>
          <w:rFonts w:hint="eastAsia" w:ascii="仿宋" w:hAnsi="仿宋" w:eastAsia="仿宋" w:cs="仿宋"/>
          <w:sz w:val="24"/>
          <w:szCs w:val="24"/>
          <w:lang w:eastAsia="zh-CN"/>
        </w:rPr>
        <w:t>用品等</w:t>
      </w:r>
      <w:r>
        <w:rPr>
          <w:rFonts w:hint="eastAsia" w:ascii="仿宋" w:hAnsi="仿宋" w:eastAsia="仿宋" w:cs="仿宋"/>
          <w:sz w:val="24"/>
          <w:szCs w:val="24"/>
          <w:lang w:val="en-US" w:eastAsia="zh-CN"/>
        </w:rPr>
        <w:t>采购（具体采购品种，数量以采购方实际需求为准）</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合同履行期</w:t>
      </w:r>
      <w:r>
        <w:rPr>
          <w:rFonts w:hint="eastAsia" w:ascii="仿宋" w:hAnsi="仿宋" w:eastAsia="仿宋" w:cs="仿宋"/>
          <w:sz w:val="24"/>
          <w:szCs w:val="24"/>
          <w:lang w:val="en-US"/>
        </w:rPr>
        <w:t>限：合同签订后一年</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u w:val="single"/>
        </w:rPr>
        <w:t>（否）</w:t>
      </w:r>
      <w:r>
        <w:rPr>
          <w:rFonts w:hint="eastAsia" w:ascii="仿宋" w:hAnsi="仿宋" w:eastAsia="仿宋" w:cs="仿宋"/>
          <w:sz w:val="24"/>
          <w:szCs w:val="24"/>
        </w:rPr>
        <w:t>接受联合体投标。</w:t>
      </w:r>
    </w:p>
    <w:p>
      <w:pPr>
        <w:pStyle w:val="5"/>
        <w:keepNext w:val="0"/>
        <w:keepLines w:val="0"/>
        <w:pageBreakBefore w:val="0"/>
        <w:kinsoku/>
        <w:wordWrap/>
        <w:overflowPunct/>
        <w:topLinePunct w:val="0"/>
        <w:autoSpaceDE w:val="0"/>
        <w:autoSpaceDN w:val="0"/>
        <w:bidi w:val="0"/>
        <w:adjustRightInd/>
        <w:spacing w:after="0" w:afterLines="50" w:line="360" w:lineRule="exact"/>
        <w:ind w:left="0" w:leftChars="0" w:firstLine="562" w:firstLineChars="200"/>
        <w:textAlignment w:val="auto"/>
        <w:rPr>
          <w:rFonts w:hint="eastAsia" w:ascii="宋体" w:hAnsi="宋体" w:eastAsia="宋体" w:cs="宋体"/>
          <w:b/>
          <w:bCs/>
          <w:sz w:val="28"/>
          <w:szCs w:val="28"/>
        </w:rPr>
      </w:pPr>
      <w:bookmarkStart w:id="11" w:name="_Toc35393622"/>
      <w:bookmarkStart w:id="12" w:name="_Toc28359003"/>
      <w:bookmarkStart w:id="13" w:name="_Toc28359080"/>
      <w:bookmarkStart w:id="14" w:name="_Toc35393791"/>
      <w:r>
        <w:rPr>
          <w:rFonts w:hint="eastAsia" w:ascii="宋体" w:hAnsi="宋体" w:eastAsia="宋体" w:cs="宋体"/>
          <w:b/>
          <w:bCs/>
          <w:sz w:val="28"/>
          <w:szCs w:val="28"/>
        </w:rPr>
        <w:t>二、申请人的资格要求：</w:t>
      </w:r>
      <w:bookmarkEnd w:id="11"/>
      <w:bookmarkEnd w:id="12"/>
      <w:bookmarkEnd w:id="13"/>
      <w:bookmarkEnd w:id="14"/>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eastAsia="zh-CN"/>
        </w:rPr>
      </w:pPr>
      <w:bookmarkStart w:id="15" w:name="_Toc28359081"/>
      <w:bookmarkStart w:id="16" w:name="_Toc28359004"/>
      <w:r>
        <w:rPr>
          <w:rFonts w:hint="eastAsia" w:ascii="仿宋" w:hAnsi="仿宋" w:eastAsia="仿宋" w:cs="仿宋"/>
          <w:sz w:val="24"/>
          <w:szCs w:val="24"/>
        </w:rPr>
        <w:t>2.落实政府采购政策需满足的资格要求：</w:t>
      </w:r>
      <w:r>
        <w:rPr>
          <w:rFonts w:hint="eastAsia" w:ascii="仿宋" w:hAnsi="仿宋" w:eastAsia="仿宋" w:cs="仿宋"/>
          <w:sz w:val="24"/>
          <w:szCs w:val="24"/>
          <w:lang w:val="en-US" w:eastAsia="zh-CN"/>
        </w:rPr>
        <w:t>无</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3.本项目的特定资格要求：</w:t>
      </w:r>
      <w:r>
        <w:rPr>
          <w:rFonts w:hint="eastAsia" w:ascii="仿宋" w:hAnsi="仿宋" w:eastAsia="仿宋" w:cs="仿宋"/>
          <w:sz w:val="24"/>
          <w:szCs w:val="24"/>
          <w:lang w:val="en-US"/>
        </w:rPr>
        <w:t>投标申请人应具有有效的营业执照</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未被</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信用中国</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 xml:space="preserve">网（ </w:t>
      </w:r>
      <w:r>
        <w:rPr>
          <w:rFonts w:hint="eastAsia" w:ascii="仿宋" w:hAnsi="仿宋" w:eastAsia="仿宋" w:cs="仿宋"/>
          <w:sz w:val="24"/>
          <w:szCs w:val="24"/>
          <w:lang w:val="en-US"/>
        </w:rPr>
        <w:fldChar w:fldCharType="begin"/>
      </w:r>
      <w:r>
        <w:rPr>
          <w:rFonts w:hint="eastAsia" w:ascii="仿宋" w:hAnsi="仿宋" w:eastAsia="仿宋" w:cs="仿宋"/>
          <w:sz w:val="24"/>
          <w:szCs w:val="24"/>
          <w:lang w:val="en-US"/>
        </w:rPr>
        <w:instrText xml:space="preserve"> HYPERLINK "http://www.creditchina.gov.cn）列入\“失信被执行人\”、\“税收违法黑名单\”；未被中国政府采购网（www.ccgp.gov.cn）列入\“政府采购严重违法失信行为记录名单\”、未被中国执行信息公开网（http:/zxgk.court.gov.cn/shixin/）列入\“失信被执行人名单\”。" </w:instrText>
      </w:r>
      <w:r>
        <w:rPr>
          <w:rFonts w:hint="eastAsia" w:ascii="仿宋" w:hAnsi="仿宋" w:eastAsia="仿宋" w:cs="仿宋"/>
          <w:sz w:val="24"/>
          <w:szCs w:val="24"/>
          <w:lang w:val="en-US"/>
        </w:rPr>
        <w:fldChar w:fldCharType="separate"/>
      </w:r>
      <w:r>
        <w:rPr>
          <w:rFonts w:hint="eastAsia" w:ascii="仿宋" w:hAnsi="仿宋" w:eastAsia="仿宋" w:cs="仿宋"/>
          <w:sz w:val="24"/>
          <w:szCs w:val="24"/>
          <w:lang w:val="en-US"/>
        </w:rPr>
        <w:t>www.creditchina.gov.cn）列入</w:t>
      </w:r>
      <w:r>
        <w:rPr>
          <w:rFonts w:hint="eastAsia" w:ascii="仿宋" w:hAnsi="仿宋" w:eastAsia="仿宋" w:cs="仿宋"/>
          <w:sz w:val="24"/>
          <w:szCs w:val="24"/>
          <w:lang w:val="en-US" w:eastAsia="zh-CN"/>
        </w:rPr>
        <w:t>“税收违法黑名单”</w:t>
      </w:r>
      <w:r>
        <w:rPr>
          <w:rFonts w:hint="eastAsia" w:ascii="仿宋" w:hAnsi="仿宋" w:eastAsia="仿宋" w:cs="仿宋"/>
          <w:sz w:val="24"/>
          <w:szCs w:val="24"/>
          <w:lang w:val="en-US"/>
        </w:rPr>
        <w:t>；未被中国政府采购网（www.ccgp.gov.cn）列入</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政府采购严重违法失信行为记录名单</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、未被中国执行信息公开网（http://zxgk.court.gov.cn/shixin/）列入</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失信被执行人名单</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fldChar w:fldCharType="end"/>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4.其他说明：①与采购人存在利害关系可能影响招标公正性的法人、其他组织或者个人，不得参加投标。②单位负责人为同一人或者存在直接控股、管理关系的不同供应商，不得参加同一合同项下的政府采购活动。违反前两款规定的，相关投标均无效。</w:t>
      </w:r>
    </w:p>
    <w:p>
      <w:pPr>
        <w:pStyle w:val="5"/>
        <w:keepNext w:val="0"/>
        <w:keepLines w:val="0"/>
        <w:pageBreakBefore w:val="0"/>
        <w:kinsoku/>
        <w:wordWrap/>
        <w:overflowPunct/>
        <w:topLinePunct w:val="0"/>
        <w:autoSpaceDE w:val="0"/>
        <w:autoSpaceDN w:val="0"/>
        <w:bidi w:val="0"/>
        <w:adjustRightInd/>
        <w:spacing w:after="0" w:afterLines="50" w:line="360" w:lineRule="exact"/>
        <w:ind w:left="0" w:leftChars="0" w:firstLine="562" w:firstLineChars="200"/>
        <w:textAlignment w:val="auto"/>
        <w:rPr>
          <w:rFonts w:hint="eastAsia" w:ascii="宋体" w:hAnsi="宋体" w:eastAsia="宋体" w:cs="宋体"/>
          <w:b/>
          <w:bCs/>
          <w:sz w:val="28"/>
          <w:szCs w:val="28"/>
        </w:rPr>
      </w:pPr>
      <w:bookmarkStart w:id="17" w:name="_Toc35393792"/>
      <w:bookmarkStart w:id="18" w:name="_Toc35393623"/>
      <w:r>
        <w:rPr>
          <w:rFonts w:hint="eastAsia" w:ascii="宋体" w:hAnsi="宋体" w:eastAsia="宋体" w:cs="宋体"/>
          <w:b/>
          <w:bCs/>
          <w:sz w:val="28"/>
          <w:szCs w:val="28"/>
        </w:rPr>
        <w:t>三、获取招标文件</w:t>
      </w:r>
      <w:bookmarkEnd w:id="15"/>
      <w:bookmarkEnd w:id="16"/>
      <w:bookmarkEnd w:id="17"/>
      <w:bookmarkEnd w:id="18"/>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rPr>
        <w:t>10:00</w:t>
      </w:r>
      <w:r>
        <w:rPr>
          <w:rFonts w:hint="eastAsia" w:ascii="仿宋" w:hAnsi="仿宋" w:eastAsia="仿宋" w:cs="仿宋"/>
          <w:sz w:val="24"/>
          <w:szCs w:val="24"/>
        </w:rPr>
        <w:t>至</w:t>
      </w:r>
      <w:r>
        <w:rPr>
          <w:rFonts w:hint="eastAsia" w:ascii="仿宋" w:hAnsi="仿宋" w:eastAsia="仿宋" w:cs="仿宋"/>
          <w:sz w:val="24"/>
          <w:szCs w:val="24"/>
          <w:u w:val="single"/>
          <w:lang w:val="en-US"/>
        </w:rPr>
        <w:t>14:00</w:t>
      </w:r>
      <w:r>
        <w:rPr>
          <w:rFonts w:hint="eastAsia" w:ascii="仿宋" w:hAnsi="仿宋" w:eastAsia="仿宋" w:cs="仿宋"/>
          <w:sz w:val="24"/>
          <w:szCs w:val="24"/>
        </w:rPr>
        <w:t>，下午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lang w:val="en-US"/>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lang w:val="en-US"/>
        </w:rPr>
        <w:t>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lang w:val="en-US"/>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lang w:val="en-US"/>
        </w:rPr>
        <w:t>0</w:t>
      </w:r>
      <w:r>
        <w:rPr>
          <w:rFonts w:hint="eastAsia" w:ascii="仿宋" w:hAnsi="仿宋" w:eastAsia="仿宋" w:cs="仿宋"/>
          <w:sz w:val="24"/>
          <w:szCs w:val="24"/>
        </w:rPr>
        <w:t>（北京时间，法定节假日除外）</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地点：昌吉市和谐玫瑰园A区A座11楼1106室（北京南路和塔城路交汇处） </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方式：</w:t>
      </w:r>
      <w:r>
        <w:rPr>
          <w:rFonts w:hint="eastAsia" w:ascii="仿宋" w:hAnsi="仿宋" w:eastAsia="仿宋" w:cs="仿宋"/>
          <w:sz w:val="24"/>
          <w:szCs w:val="24"/>
          <w:lang w:eastAsia="zh-CN"/>
        </w:rPr>
        <w:t>现场获取</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rPr>
        <w:t>售价：</w:t>
      </w:r>
      <w:r>
        <w:rPr>
          <w:rFonts w:hint="eastAsia" w:ascii="仿宋" w:hAnsi="仿宋" w:eastAsia="仿宋" w:cs="仿宋"/>
          <w:sz w:val="24"/>
          <w:szCs w:val="24"/>
          <w:lang w:val="en-US"/>
        </w:rPr>
        <w:t>300元</w:t>
      </w:r>
    </w:p>
    <w:p>
      <w:pPr>
        <w:pStyle w:val="5"/>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562" w:firstLineChars="200"/>
        <w:textAlignment w:val="auto"/>
        <w:rPr>
          <w:rFonts w:hint="eastAsia" w:ascii="宋体" w:hAnsi="宋体" w:eastAsia="宋体" w:cs="宋体"/>
          <w:b/>
          <w:bCs/>
          <w:sz w:val="28"/>
          <w:szCs w:val="28"/>
        </w:rPr>
      </w:pPr>
      <w:bookmarkStart w:id="19" w:name="_Toc28359082"/>
      <w:bookmarkStart w:id="20" w:name="_Toc28359005"/>
      <w:bookmarkStart w:id="21" w:name="_Toc35393624"/>
      <w:bookmarkStart w:id="22" w:name="_Toc35393793"/>
      <w:r>
        <w:rPr>
          <w:rFonts w:hint="eastAsia" w:ascii="宋体" w:hAnsi="宋体" w:eastAsia="宋体" w:cs="宋体"/>
          <w:b/>
          <w:bCs/>
          <w:sz w:val="28"/>
          <w:szCs w:val="28"/>
        </w:rPr>
        <w:t>四、提交投标文件</w:t>
      </w:r>
      <w:bookmarkEnd w:id="19"/>
      <w:bookmarkEnd w:id="20"/>
      <w:r>
        <w:rPr>
          <w:rFonts w:hint="eastAsia" w:ascii="宋体" w:hAnsi="宋体" w:eastAsia="宋体" w:cs="宋体"/>
          <w:b/>
          <w:bCs/>
          <w:sz w:val="28"/>
          <w:szCs w:val="28"/>
        </w:rPr>
        <w:t>截止时间、开标时间和地点</w:t>
      </w:r>
      <w:bookmarkEnd w:id="21"/>
      <w:bookmarkEnd w:id="22"/>
    </w:p>
    <w:p>
      <w:pPr>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bCs/>
          <w:sz w:val="24"/>
          <w:szCs w:val="24"/>
          <w:u w:val="single"/>
        </w:rPr>
      </w:pPr>
      <w:r>
        <w:rPr>
          <w:rFonts w:hint="eastAsia" w:ascii="仿宋" w:hAnsi="仿宋" w:eastAsia="仿宋" w:cs="仿宋"/>
          <w:sz w:val="24"/>
          <w:szCs w:val="24"/>
          <w:lang w:eastAsia="zh-CN"/>
        </w:rPr>
        <w:t>提交</w:t>
      </w:r>
      <w:r>
        <w:rPr>
          <w:rFonts w:hint="eastAsia" w:ascii="仿宋" w:hAnsi="仿宋" w:eastAsia="仿宋" w:cs="仿宋"/>
          <w:sz w:val="24"/>
          <w:szCs w:val="24"/>
        </w:rPr>
        <w:t>投标文件截止时间</w:t>
      </w:r>
      <w:r>
        <w:rPr>
          <w:rFonts w:hint="eastAsia" w:ascii="仿宋" w:hAnsi="仿宋" w:eastAsia="仿宋" w:cs="仿宋"/>
          <w:sz w:val="24"/>
          <w:szCs w:val="24"/>
          <w:lang w:val="en-US"/>
        </w:rPr>
        <w:t>:</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2022</w:t>
      </w:r>
      <w:r>
        <w:rPr>
          <w:rFonts w:hint="eastAsia" w:ascii="仿宋" w:hAnsi="仿宋" w:eastAsia="仿宋" w:cs="仿宋"/>
          <w:bCs/>
          <w:sz w:val="24"/>
          <w:szCs w:val="24"/>
        </w:rPr>
        <w:t>年</w:t>
      </w:r>
      <w:r>
        <w:rPr>
          <w:rFonts w:hint="eastAsia" w:ascii="仿宋" w:hAnsi="仿宋" w:eastAsia="仿宋" w:cs="仿宋"/>
          <w:bCs/>
          <w:sz w:val="24"/>
          <w:szCs w:val="24"/>
          <w:lang w:val="en-US" w:eastAsia="zh-CN"/>
        </w:rPr>
        <w:t>8</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11</w:t>
      </w:r>
      <w:r>
        <w:rPr>
          <w:rFonts w:hint="eastAsia" w:ascii="仿宋" w:hAnsi="仿宋" w:eastAsia="仿宋" w:cs="仿宋"/>
          <w:bCs/>
          <w:sz w:val="24"/>
          <w:szCs w:val="24"/>
        </w:rPr>
        <w:t>日</w:t>
      </w:r>
      <w:r>
        <w:rPr>
          <w:rFonts w:hint="eastAsia" w:ascii="仿宋" w:hAnsi="仿宋" w:eastAsia="仿宋" w:cs="仿宋"/>
          <w:bCs/>
          <w:sz w:val="24"/>
          <w:szCs w:val="24"/>
          <w:lang w:val="en-US"/>
        </w:rPr>
        <w:t>1</w:t>
      </w:r>
      <w:r>
        <w:rPr>
          <w:rFonts w:hint="eastAsia" w:ascii="仿宋" w:hAnsi="仿宋" w:eastAsia="仿宋" w:cs="仿宋"/>
          <w:bCs/>
          <w:sz w:val="24"/>
          <w:szCs w:val="24"/>
          <w:lang w:val="en-US" w:eastAsia="zh-CN"/>
        </w:rPr>
        <w:t>0</w:t>
      </w:r>
      <w:r>
        <w:rPr>
          <w:rFonts w:hint="eastAsia" w:ascii="仿宋" w:hAnsi="仿宋" w:eastAsia="仿宋" w:cs="仿宋"/>
          <w:bCs/>
          <w:sz w:val="24"/>
          <w:szCs w:val="24"/>
        </w:rPr>
        <w:t>点</w:t>
      </w:r>
      <w:r>
        <w:rPr>
          <w:rFonts w:hint="eastAsia" w:ascii="仿宋" w:hAnsi="仿宋" w:eastAsia="仿宋" w:cs="仿宋"/>
          <w:bCs/>
          <w:sz w:val="24"/>
          <w:szCs w:val="24"/>
          <w:lang w:val="en-US" w:eastAsia="zh-CN"/>
        </w:rPr>
        <w:t>3</w:t>
      </w:r>
      <w:r>
        <w:rPr>
          <w:rFonts w:hint="eastAsia" w:ascii="仿宋" w:hAnsi="仿宋" w:eastAsia="仿宋" w:cs="仿宋"/>
          <w:bCs/>
          <w:sz w:val="24"/>
          <w:szCs w:val="24"/>
          <w:lang w:val="en-US"/>
        </w:rPr>
        <w:t>0</w:t>
      </w:r>
      <w:r>
        <w:rPr>
          <w:rFonts w:hint="eastAsia" w:ascii="仿宋" w:hAnsi="仿宋" w:eastAsia="仿宋" w:cs="仿宋"/>
          <w:bCs/>
          <w:sz w:val="24"/>
          <w:szCs w:val="24"/>
        </w:rPr>
        <w:t>分</w:t>
      </w:r>
      <w:r>
        <w:rPr>
          <w:rFonts w:hint="eastAsia" w:ascii="仿宋" w:hAnsi="仿宋" w:eastAsia="仿宋" w:cs="仿宋"/>
          <w:bCs/>
          <w:sz w:val="24"/>
          <w:szCs w:val="24"/>
        </w:rPr>
        <w:t>（北京时间）</w:t>
      </w:r>
    </w:p>
    <w:p>
      <w:pPr>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bCs/>
          <w:sz w:val="24"/>
          <w:szCs w:val="24"/>
          <w:u w:val="single"/>
        </w:rPr>
      </w:pPr>
      <w:r>
        <w:rPr>
          <w:rFonts w:hint="eastAsia" w:ascii="仿宋" w:hAnsi="仿宋" w:eastAsia="仿宋" w:cs="仿宋"/>
          <w:sz w:val="24"/>
          <w:szCs w:val="24"/>
        </w:rPr>
        <w:t>地点：昌吉市和谐玫瑰园A区A座11</w:t>
      </w:r>
      <w:bookmarkStart w:id="152" w:name="_GoBack"/>
      <w:bookmarkEnd w:id="152"/>
      <w:r>
        <w:rPr>
          <w:rFonts w:hint="eastAsia" w:ascii="仿宋" w:hAnsi="仿宋" w:eastAsia="仿宋" w:cs="仿宋"/>
          <w:sz w:val="24"/>
          <w:szCs w:val="24"/>
        </w:rPr>
        <w:t>楼110</w:t>
      </w:r>
      <w:r>
        <w:rPr>
          <w:rFonts w:hint="eastAsia" w:ascii="仿宋" w:hAnsi="仿宋" w:eastAsia="仿宋" w:cs="仿宋"/>
          <w:sz w:val="24"/>
          <w:szCs w:val="24"/>
          <w:lang w:val="en-US"/>
        </w:rPr>
        <w:t>8</w:t>
      </w:r>
      <w:r>
        <w:rPr>
          <w:rFonts w:hint="eastAsia" w:ascii="仿宋" w:hAnsi="仿宋" w:eastAsia="仿宋" w:cs="仿宋"/>
          <w:sz w:val="24"/>
          <w:szCs w:val="24"/>
        </w:rPr>
        <w:t>室（北京南路和塔城路交汇处） </w:t>
      </w:r>
    </w:p>
    <w:p>
      <w:pPr>
        <w:pStyle w:val="5"/>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562" w:firstLineChars="200"/>
        <w:textAlignment w:val="auto"/>
        <w:rPr>
          <w:rFonts w:hint="eastAsia" w:ascii="宋体" w:hAnsi="宋体" w:eastAsia="宋体" w:cs="宋体"/>
          <w:b/>
          <w:bCs/>
          <w:sz w:val="28"/>
          <w:szCs w:val="28"/>
        </w:rPr>
      </w:pPr>
      <w:bookmarkStart w:id="23" w:name="_Toc28359007"/>
      <w:bookmarkStart w:id="24" w:name="_Toc28359084"/>
      <w:bookmarkStart w:id="25" w:name="_Toc35393625"/>
      <w:bookmarkStart w:id="26" w:name="_Toc35393794"/>
      <w:r>
        <w:rPr>
          <w:rFonts w:hint="eastAsia" w:ascii="宋体" w:hAnsi="宋体" w:eastAsia="宋体" w:cs="宋体"/>
          <w:b/>
          <w:bCs/>
          <w:sz w:val="28"/>
          <w:szCs w:val="28"/>
        </w:rPr>
        <w:t>五、公告期限</w:t>
      </w:r>
      <w:bookmarkEnd w:id="23"/>
      <w:bookmarkEnd w:id="24"/>
      <w:bookmarkEnd w:id="25"/>
      <w:bookmarkEnd w:id="26"/>
    </w:p>
    <w:p>
      <w:pPr>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pPr>
        <w:pStyle w:val="5"/>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562" w:firstLineChars="200"/>
        <w:textAlignment w:val="auto"/>
        <w:rPr>
          <w:rFonts w:hint="eastAsia" w:ascii="宋体" w:hAnsi="宋体" w:eastAsia="宋体" w:cs="宋体"/>
          <w:b/>
          <w:bCs/>
          <w:sz w:val="28"/>
          <w:szCs w:val="28"/>
        </w:rPr>
      </w:pPr>
      <w:bookmarkStart w:id="27" w:name="_Toc35393626"/>
      <w:bookmarkStart w:id="28" w:name="_Toc35393795"/>
      <w:r>
        <w:rPr>
          <w:rFonts w:hint="eastAsia" w:ascii="宋体" w:hAnsi="宋体" w:eastAsia="宋体" w:cs="宋体"/>
          <w:b/>
          <w:bCs/>
          <w:sz w:val="28"/>
          <w:szCs w:val="28"/>
        </w:rPr>
        <w:t>六、其他补充事宜</w:t>
      </w:r>
      <w:bookmarkEnd w:id="27"/>
      <w:bookmarkEnd w:id="28"/>
    </w:p>
    <w:p>
      <w:pPr>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lang w:val="en-US"/>
        </w:rPr>
      </w:pPr>
      <w:bookmarkStart w:id="29" w:name="_Toc28359008"/>
      <w:bookmarkStart w:id="30" w:name="_Toc35393627"/>
      <w:bookmarkStart w:id="31" w:name="_Toc28359085"/>
      <w:bookmarkStart w:id="32" w:name="_Toc35393796"/>
      <w:r>
        <w:rPr>
          <w:rFonts w:hint="eastAsia" w:ascii="仿宋" w:hAnsi="仿宋" w:eastAsia="仿宋" w:cs="仿宋"/>
          <w:sz w:val="24"/>
          <w:szCs w:val="24"/>
          <w:lang w:val="en-US"/>
        </w:rPr>
        <w:t>1、领取招标文件需携带的资料：①符合《中华人民共和国政府采购法》第二十二条规定的声明函；②提供法定代表人本人身份证明书原件</w:t>
      </w:r>
      <w:r>
        <w:rPr>
          <w:rFonts w:hint="eastAsia" w:ascii="仿宋" w:hAnsi="仿宋" w:eastAsia="仿宋" w:cs="仿宋"/>
          <w:sz w:val="24"/>
          <w:szCs w:val="24"/>
          <w:lang w:val="en-US" w:eastAsia="zh-CN"/>
        </w:rPr>
        <w:t>及</w:t>
      </w:r>
      <w:r>
        <w:rPr>
          <w:rFonts w:hint="eastAsia" w:ascii="仿宋" w:hAnsi="仿宋" w:eastAsia="仿宋" w:cs="仿宋"/>
          <w:sz w:val="24"/>
          <w:szCs w:val="24"/>
          <w:lang w:val="en-US"/>
        </w:rPr>
        <w:t>法定代表人本人身份证或委托代理人持法定代表人授权委托书原件及被委托人身份证；③营业执照</w:t>
      </w:r>
      <w:r>
        <w:rPr>
          <w:rFonts w:hint="eastAsia" w:ascii="仿宋" w:hAnsi="仿宋" w:eastAsia="仿宋" w:cs="仿宋"/>
          <w:sz w:val="24"/>
          <w:szCs w:val="24"/>
          <w:lang w:val="en-US" w:eastAsia="zh-CN"/>
        </w:rPr>
        <w:t>复印件</w:t>
      </w:r>
      <w:r>
        <w:rPr>
          <w:rFonts w:hint="eastAsia" w:ascii="仿宋" w:hAnsi="仿宋" w:eastAsia="仿宋" w:cs="仿宋"/>
          <w:sz w:val="24"/>
          <w:szCs w:val="24"/>
          <w:lang w:val="en-US"/>
        </w:rPr>
        <w:t>加盖供应商公章；④</w:t>
      </w:r>
      <w:r>
        <w:rPr>
          <w:rFonts w:hint="eastAsia" w:ascii="仿宋" w:hAnsi="仿宋" w:eastAsia="仿宋" w:cs="仿宋"/>
          <w:sz w:val="24"/>
          <w:szCs w:val="24"/>
          <w:lang w:val="en-US" w:eastAsia="zh-CN"/>
        </w:rPr>
        <w:t>未被</w:t>
      </w:r>
      <w:r>
        <w:rPr>
          <w:rFonts w:hint="eastAsia" w:ascii="仿宋" w:hAnsi="仿宋" w:eastAsia="仿宋" w:cs="仿宋"/>
          <w:sz w:val="24"/>
          <w:szCs w:val="24"/>
          <w:lang w:val="en-US"/>
        </w:rPr>
        <w:t>“信用中国”网</w:t>
      </w:r>
      <w:r>
        <w:rPr>
          <w:rFonts w:hint="eastAsia" w:ascii="仿宋" w:hAnsi="仿宋" w:eastAsia="仿宋" w:cs="仿宋"/>
          <w:sz w:val="24"/>
          <w:szCs w:val="24"/>
          <w:lang w:val="en-US" w:eastAsia="zh-CN"/>
        </w:rPr>
        <w:t>列入</w:t>
      </w:r>
      <w:r>
        <w:rPr>
          <w:rFonts w:hint="eastAsia" w:ascii="仿宋" w:hAnsi="仿宋" w:eastAsia="仿宋" w:cs="仿宋"/>
          <w:sz w:val="24"/>
          <w:szCs w:val="24"/>
          <w:lang w:val="en-US"/>
        </w:rPr>
        <w:t>“税收违法黑名单”</w:t>
      </w:r>
      <w:r>
        <w:rPr>
          <w:rFonts w:hint="eastAsia" w:ascii="仿宋" w:hAnsi="仿宋" w:eastAsia="仿宋" w:cs="仿宋"/>
          <w:sz w:val="24"/>
          <w:szCs w:val="24"/>
          <w:lang w:val="en-US" w:eastAsia="zh-CN"/>
        </w:rPr>
        <w:t>查询</w:t>
      </w:r>
      <w:r>
        <w:rPr>
          <w:rFonts w:hint="eastAsia" w:ascii="仿宋" w:hAnsi="仿宋" w:eastAsia="仿宋" w:cs="仿宋"/>
          <w:sz w:val="24"/>
          <w:szCs w:val="24"/>
          <w:lang w:val="en-US"/>
        </w:rPr>
        <w:t>截图加盖供应商公章、</w:t>
      </w:r>
      <w:r>
        <w:rPr>
          <w:rFonts w:hint="eastAsia" w:ascii="仿宋" w:hAnsi="仿宋" w:eastAsia="仿宋" w:cs="仿宋"/>
          <w:sz w:val="24"/>
          <w:szCs w:val="24"/>
          <w:lang w:val="en-US" w:eastAsia="zh-CN"/>
        </w:rPr>
        <w:t>未被</w:t>
      </w:r>
      <w:r>
        <w:rPr>
          <w:rFonts w:hint="eastAsia" w:ascii="仿宋" w:hAnsi="仿宋" w:eastAsia="仿宋" w:cs="仿宋"/>
          <w:sz w:val="24"/>
          <w:szCs w:val="24"/>
          <w:lang w:val="en-US"/>
        </w:rPr>
        <w:t>中国政府采购网</w:t>
      </w:r>
      <w:r>
        <w:rPr>
          <w:rFonts w:hint="eastAsia" w:ascii="仿宋" w:hAnsi="仿宋" w:eastAsia="仿宋" w:cs="仿宋"/>
          <w:sz w:val="24"/>
          <w:szCs w:val="24"/>
          <w:lang w:val="en-US" w:eastAsia="zh-CN"/>
        </w:rPr>
        <w:t>列入</w:t>
      </w:r>
      <w:r>
        <w:rPr>
          <w:rFonts w:hint="eastAsia" w:ascii="仿宋" w:hAnsi="仿宋" w:eastAsia="仿宋" w:cs="仿宋"/>
          <w:sz w:val="24"/>
          <w:szCs w:val="24"/>
          <w:lang w:val="en-US"/>
        </w:rPr>
        <w:t>“政府采购严重违法失信行为信息记录”查询截图加盖供应商公章（查询时间须在获取招标文件时间内）、</w:t>
      </w:r>
      <w:r>
        <w:rPr>
          <w:rFonts w:hint="eastAsia" w:ascii="仿宋" w:hAnsi="仿宋" w:eastAsia="仿宋" w:cs="仿宋"/>
          <w:sz w:val="24"/>
          <w:szCs w:val="24"/>
          <w:lang w:val="en-US" w:eastAsia="zh-CN"/>
        </w:rPr>
        <w:t>未被</w:t>
      </w:r>
      <w:r>
        <w:rPr>
          <w:rFonts w:hint="eastAsia" w:ascii="仿宋" w:hAnsi="仿宋" w:eastAsia="仿宋" w:cs="仿宋"/>
          <w:sz w:val="24"/>
          <w:szCs w:val="24"/>
          <w:lang w:val="en-US"/>
        </w:rPr>
        <w:t>中国执行信息公开网</w:t>
      </w:r>
      <w:r>
        <w:rPr>
          <w:rFonts w:hint="eastAsia" w:ascii="仿宋" w:hAnsi="仿宋" w:eastAsia="仿宋" w:cs="仿宋"/>
          <w:sz w:val="24"/>
          <w:szCs w:val="24"/>
          <w:lang w:val="en-US" w:eastAsia="zh-CN"/>
        </w:rPr>
        <w:t>列入</w:t>
      </w:r>
      <w:r>
        <w:rPr>
          <w:rFonts w:hint="eastAsia" w:ascii="仿宋" w:hAnsi="仿宋" w:eastAsia="仿宋" w:cs="仿宋"/>
          <w:sz w:val="24"/>
          <w:szCs w:val="24"/>
          <w:lang w:val="en-US"/>
        </w:rPr>
        <w:t>“失信被执行人名单库”查询截图加盖供应商公章。</w:t>
      </w:r>
    </w:p>
    <w:p>
      <w:pPr>
        <w:pStyle w:val="21"/>
        <w:keepNext w:val="0"/>
        <w:keepLines w:val="0"/>
        <w:widowControl/>
        <w:suppressLineNumbers w:val="0"/>
        <w:spacing w:before="60" w:beforeAutospacing="0" w:after="60" w:afterAutospacing="0"/>
        <w:ind w:left="0" w:right="0" w:firstLine="0"/>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rPr>
        <w:t>特别提示：</w:t>
      </w:r>
    </w:p>
    <w:p>
      <w:pPr>
        <w:pStyle w:val="21"/>
        <w:keepNext w:val="0"/>
        <w:keepLines w:val="0"/>
        <w:widowControl/>
        <w:suppressLineNumbers w:val="0"/>
        <w:spacing w:before="60" w:beforeAutospacing="0" w:after="60" w:afterAutospacing="0"/>
        <w:ind w:left="0" w:right="0" w:firstLine="0"/>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1"/>
        <w:keepNext w:val="0"/>
        <w:keepLines w:val="0"/>
        <w:widowControl/>
        <w:suppressLineNumbers w:val="0"/>
        <w:spacing w:before="60" w:beforeAutospacing="0" w:after="60" w:afterAutospacing="0"/>
        <w:ind w:left="0" w:right="0" w:firstLine="0"/>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0"/>
        <w:rPr>
          <w:rFonts w:hint="eastAsia"/>
          <w:lang w:val="en-US"/>
        </w:rPr>
      </w:pPr>
    </w:p>
    <w:p>
      <w:pPr>
        <w:pStyle w:val="5"/>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七、对本次招标提出询问，请按以下方式联系。</w:t>
      </w:r>
      <w:bookmarkEnd w:id="29"/>
      <w:bookmarkEnd w:id="30"/>
      <w:bookmarkEnd w:id="31"/>
      <w:bookmarkEnd w:id="32"/>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rPr>
        <w:t>某单位</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地址：昌吉　　　　　　　　　　　　</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13579478199</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 称：新疆德衡工程技术咨询有限公司</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　址：昌吉市和谐玫瑰园A区A座11楼110</w:t>
      </w:r>
      <w:r>
        <w:rPr>
          <w:rFonts w:hint="eastAsia" w:ascii="仿宋" w:hAnsi="仿宋" w:eastAsia="仿宋" w:cs="仿宋"/>
          <w:sz w:val="24"/>
          <w:szCs w:val="24"/>
          <w:lang w:val="en-US"/>
        </w:rPr>
        <w:t>6</w:t>
      </w:r>
      <w:r>
        <w:rPr>
          <w:rFonts w:hint="eastAsia" w:ascii="仿宋" w:hAnsi="仿宋" w:eastAsia="仿宋" w:cs="仿宋"/>
          <w:sz w:val="24"/>
          <w:szCs w:val="24"/>
        </w:rPr>
        <w:t>室（北京南路和塔城路交汇处）</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w:t>
      </w:r>
      <w:bookmarkStart w:id="33" w:name="_Toc28359010"/>
      <w:bookmarkStart w:id="34" w:name="_Toc28359087"/>
      <w:r>
        <w:rPr>
          <w:rFonts w:hint="eastAsia" w:ascii="仿宋" w:hAnsi="仿宋" w:eastAsia="仿宋" w:cs="仿宋"/>
          <w:sz w:val="24"/>
          <w:szCs w:val="24"/>
          <w:lang w:val="en-US"/>
        </w:rPr>
        <w:t>0994-2336208</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3.项目联系方式</w:t>
      </w:r>
      <w:bookmarkEnd w:id="33"/>
      <w:bookmarkEnd w:id="34"/>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项目联系人：王</w:t>
      </w:r>
      <w:r>
        <w:rPr>
          <w:rFonts w:hint="eastAsia" w:ascii="仿宋" w:hAnsi="仿宋" w:eastAsia="仿宋" w:cs="仿宋"/>
          <w:sz w:val="24"/>
          <w:szCs w:val="24"/>
          <w:lang w:val="en-US" w:eastAsia="zh-CN"/>
        </w:rPr>
        <w:t>女士</w:t>
      </w:r>
      <w:r>
        <w:rPr>
          <w:rFonts w:hint="eastAsia" w:ascii="仿宋" w:hAnsi="仿宋" w:eastAsia="仿宋" w:cs="仿宋"/>
          <w:sz w:val="24"/>
          <w:szCs w:val="24"/>
        </w:rPr>
        <w:t>、周</w:t>
      </w:r>
      <w:r>
        <w:rPr>
          <w:rFonts w:hint="eastAsia" w:ascii="仿宋" w:hAnsi="仿宋" w:eastAsia="仿宋" w:cs="仿宋"/>
          <w:sz w:val="24"/>
          <w:szCs w:val="24"/>
          <w:lang w:val="en-US" w:eastAsia="zh-CN"/>
        </w:rPr>
        <w:t>女士</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rPr>
        <w:t>电　话：</w:t>
      </w:r>
      <w:r>
        <w:rPr>
          <w:rFonts w:hint="eastAsia" w:ascii="仿宋" w:hAnsi="仿宋" w:eastAsia="仿宋" w:cs="仿宋"/>
          <w:sz w:val="24"/>
          <w:szCs w:val="24"/>
          <w:lang w:val="en-US"/>
        </w:rPr>
        <w:t>0994-2336208</w:t>
      </w:r>
    </w:p>
    <w:p>
      <w:pPr>
        <w:pStyle w:val="20"/>
        <w:rPr>
          <w:rFonts w:hint="eastAsia" w:ascii="仿宋" w:hAnsi="仿宋" w:eastAsia="仿宋" w:cs="仿宋"/>
          <w:sz w:val="28"/>
          <w:szCs w:val="28"/>
          <w:lang w:val="en-US"/>
        </w:rPr>
      </w:pPr>
    </w:p>
    <w:p>
      <w:pPr>
        <w:pStyle w:val="20"/>
        <w:rPr>
          <w:rFonts w:hint="eastAsia" w:ascii="仿宋" w:hAnsi="仿宋" w:eastAsia="仿宋" w:cs="仿宋"/>
          <w:sz w:val="28"/>
          <w:szCs w:val="28"/>
          <w:lang w:val="en-US"/>
        </w:rPr>
      </w:pPr>
    </w:p>
    <w:p>
      <w:pPr>
        <w:pStyle w:val="3"/>
        <w:keepNext w:val="0"/>
        <w:keepLines w:val="0"/>
        <w:pageBreakBefore w:val="0"/>
        <w:widowControl w:val="0"/>
        <w:tabs>
          <w:tab w:val="left" w:pos="1442"/>
        </w:tabs>
        <w:kinsoku/>
        <w:wordWrap/>
        <w:overflowPunct/>
        <w:topLinePunct w:val="0"/>
        <w:autoSpaceDE w:val="0"/>
        <w:autoSpaceDN w:val="0"/>
        <w:bidi w:val="0"/>
        <w:adjustRightInd/>
        <w:snapToGrid/>
        <w:spacing w:before="0"/>
        <w:ind w:right="0"/>
        <w:textAlignment w:val="auto"/>
        <w:rPr>
          <w:rFonts w:hint="eastAsia" w:ascii="华文中宋" w:hAnsi="华文中宋" w:eastAsia="华文中宋"/>
          <w:sz w:val="40"/>
          <w:szCs w:val="40"/>
        </w:rPr>
      </w:pPr>
      <w:bookmarkStart w:id="35" w:name="_bookmark0"/>
      <w:bookmarkEnd w:id="35"/>
      <w:bookmarkStart w:id="36" w:name="_Toc12277"/>
      <w:r>
        <w:rPr>
          <w:rFonts w:hint="eastAsia" w:ascii="华文中宋" w:hAnsi="华文中宋" w:eastAsia="华文中宋"/>
          <w:sz w:val="40"/>
          <w:szCs w:val="40"/>
          <w:lang w:val="en-US" w:eastAsia="zh-CN"/>
        </w:rPr>
        <w:t xml:space="preserve">第二章 </w:t>
      </w:r>
      <w:r>
        <w:rPr>
          <w:rFonts w:hint="eastAsia" w:ascii="华文中宋" w:hAnsi="华文中宋" w:eastAsia="华文中宋"/>
          <w:sz w:val="40"/>
          <w:szCs w:val="40"/>
        </w:rPr>
        <w:t>投标人须知</w:t>
      </w:r>
    </w:p>
    <w:p>
      <w:pPr>
        <w:pStyle w:val="3"/>
        <w:keepNext w:val="0"/>
        <w:keepLines w:val="0"/>
        <w:pageBreakBefore w:val="0"/>
        <w:widowControl w:val="0"/>
        <w:numPr>
          <w:ilvl w:val="0"/>
          <w:numId w:val="0"/>
        </w:numPr>
        <w:tabs>
          <w:tab w:val="left" w:pos="1442"/>
        </w:tabs>
        <w:kinsoku/>
        <w:wordWrap/>
        <w:overflowPunct/>
        <w:topLinePunct w:val="0"/>
        <w:autoSpaceDE w:val="0"/>
        <w:autoSpaceDN w:val="0"/>
        <w:bidi w:val="0"/>
        <w:adjustRightInd/>
        <w:snapToGrid/>
        <w:spacing w:before="0" w:after="0"/>
        <w:ind w:right="380" w:rightChars="0"/>
        <w:jc w:val="center"/>
        <w:textAlignment w:val="auto"/>
        <w:rPr>
          <w:rFonts w:hint="eastAsia" w:ascii="华文中宋" w:hAnsi="华文中宋" w:eastAsia="华文中宋"/>
          <w:sz w:val="32"/>
          <w:szCs w:val="32"/>
        </w:rPr>
      </w:pPr>
      <w:r>
        <w:rPr>
          <w:rFonts w:hint="eastAsia" w:ascii="华文中宋" w:hAnsi="华文中宋" w:eastAsia="华文中宋"/>
          <w:sz w:val="32"/>
          <w:szCs w:val="32"/>
          <w:lang w:eastAsia="zh-CN"/>
        </w:rPr>
        <w:t>投标人须知</w:t>
      </w:r>
      <w:r>
        <w:rPr>
          <w:rFonts w:hint="eastAsia" w:ascii="华文中宋" w:hAnsi="华文中宋" w:eastAsia="华文中宋"/>
          <w:sz w:val="32"/>
          <w:szCs w:val="32"/>
        </w:rPr>
        <w:t>前附表</w:t>
      </w:r>
      <w:bookmarkEnd w:id="36"/>
    </w:p>
    <w:tbl>
      <w:tblPr>
        <w:tblStyle w:val="23"/>
        <w:tblW w:w="9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993"/>
        <w:gridCol w:w="6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42" w:type="dxa"/>
            <w:noWrap/>
          </w:tcPr>
          <w:p>
            <w:pPr>
              <w:pStyle w:val="44"/>
              <w:spacing w:before="65"/>
              <w:ind w:right="114"/>
              <w:jc w:val="center"/>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序号</w:t>
            </w:r>
          </w:p>
        </w:tc>
        <w:tc>
          <w:tcPr>
            <w:tcW w:w="1993" w:type="dxa"/>
            <w:noWrap/>
          </w:tcPr>
          <w:p>
            <w:pPr>
              <w:pStyle w:val="44"/>
              <w:spacing w:before="65"/>
              <w:ind w:firstLine="241" w:firstLineChars="100"/>
              <w:rPr>
                <w:rFonts w:hint="eastAsia" w:ascii="仿宋" w:hAnsi="仿宋" w:eastAsia="仿宋" w:cs="仿宋"/>
                <w:b/>
                <w:bCs w:val="0"/>
                <w:sz w:val="24"/>
                <w:szCs w:val="24"/>
              </w:rPr>
            </w:pPr>
            <w:r>
              <w:rPr>
                <w:rFonts w:hint="eastAsia" w:ascii="仿宋" w:hAnsi="仿宋" w:eastAsia="仿宋" w:cs="仿宋"/>
                <w:b/>
                <w:bCs w:val="0"/>
                <w:sz w:val="24"/>
                <w:szCs w:val="24"/>
              </w:rPr>
              <w:t>条款名称</w:t>
            </w:r>
          </w:p>
        </w:tc>
        <w:tc>
          <w:tcPr>
            <w:tcW w:w="6795" w:type="dxa"/>
            <w:noWrap/>
          </w:tcPr>
          <w:p>
            <w:pPr>
              <w:pStyle w:val="44"/>
              <w:spacing w:before="65"/>
              <w:ind w:right="3038"/>
              <w:jc w:val="center"/>
              <w:rPr>
                <w:rFonts w:hint="eastAsia" w:ascii="仿宋" w:hAnsi="仿宋" w:eastAsia="仿宋" w:cs="仿宋"/>
                <w:b/>
                <w:bCs w:val="0"/>
                <w:sz w:val="24"/>
                <w:szCs w:val="24"/>
              </w:rPr>
            </w:pPr>
            <w:r>
              <w:rPr>
                <w:rFonts w:hint="eastAsia" w:ascii="仿宋" w:hAnsi="仿宋" w:eastAsia="仿宋" w:cs="仿宋"/>
                <w:b/>
                <w:bCs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642" w:type="dxa"/>
            <w:noWrap/>
            <w:vAlign w:val="center"/>
          </w:tcPr>
          <w:p>
            <w:pPr>
              <w:pStyle w:val="44"/>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1</w:t>
            </w:r>
          </w:p>
        </w:tc>
        <w:tc>
          <w:tcPr>
            <w:tcW w:w="1993" w:type="dxa"/>
            <w:noWrap/>
            <w:vAlign w:val="center"/>
          </w:tcPr>
          <w:p>
            <w:pPr>
              <w:pStyle w:val="44"/>
              <w:ind w:left="208" w:right="197"/>
              <w:jc w:val="center"/>
              <w:rPr>
                <w:rFonts w:hint="eastAsia" w:ascii="仿宋" w:hAnsi="仿宋" w:eastAsia="仿宋" w:cs="仿宋"/>
                <w:b/>
                <w:bCs w:val="0"/>
                <w:sz w:val="24"/>
                <w:szCs w:val="24"/>
              </w:rPr>
            </w:pPr>
            <w:r>
              <w:rPr>
                <w:rFonts w:hint="eastAsia" w:ascii="仿宋" w:hAnsi="仿宋" w:eastAsia="仿宋" w:cs="仿宋"/>
                <w:b/>
                <w:bCs w:val="0"/>
                <w:sz w:val="24"/>
                <w:szCs w:val="24"/>
              </w:rPr>
              <w:t>采购人</w:t>
            </w:r>
          </w:p>
        </w:tc>
        <w:tc>
          <w:tcPr>
            <w:tcW w:w="6795" w:type="dxa"/>
            <w:noWrap/>
            <w:vAlign w:val="center"/>
          </w:tcPr>
          <w:p>
            <w:pPr>
              <w:pStyle w:val="44"/>
              <w:spacing w:line="240" w:lineRule="auto"/>
              <w:ind w:right="197"/>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名  称：某单位</w:t>
            </w:r>
          </w:p>
          <w:p>
            <w:pPr>
              <w:pStyle w:val="44"/>
              <w:spacing w:line="240" w:lineRule="auto"/>
              <w:ind w:right="197"/>
              <w:rPr>
                <w:rFonts w:hint="eastAsia" w:ascii="仿宋" w:hAnsi="仿宋" w:eastAsia="仿宋" w:cs="仿宋"/>
                <w:b/>
                <w:bCs w:val="0"/>
                <w:sz w:val="24"/>
                <w:szCs w:val="24"/>
                <w:lang w:eastAsia="zh-CN"/>
              </w:rPr>
            </w:pPr>
            <w:r>
              <w:rPr>
                <w:rFonts w:hint="eastAsia" w:ascii="仿宋" w:hAnsi="仿宋" w:eastAsia="仿宋" w:cs="仿宋"/>
                <w:b/>
                <w:bCs w:val="0"/>
                <w:sz w:val="24"/>
                <w:szCs w:val="24"/>
              </w:rPr>
              <w:t>联系人：</w:t>
            </w:r>
            <w:r>
              <w:rPr>
                <w:rFonts w:hint="eastAsia" w:ascii="仿宋" w:hAnsi="仿宋" w:eastAsia="仿宋" w:cs="仿宋"/>
                <w:b/>
                <w:bCs w:val="0"/>
                <w:sz w:val="24"/>
                <w:szCs w:val="24"/>
                <w:lang w:eastAsia="zh-CN"/>
              </w:rPr>
              <w:t>姬科长</w:t>
            </w:r>
          </w:p>
          <w:p>
            <w:pPr>
              <w:pStyle w:val="44"/>
              <w:spacing w:line="240" w:lineRule="auto"/>
              <w:ind w:right="197"/>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电话：</w:t>
            </w:r>
            <w:r>
              <w:rPr>
                <w:rFonts w:hint="eastAsia" w:ascii="仿宋" w:hAnsi="仿宋" w:eastAsia="仿宋" w:cs="仿宋"/>
                <w:b/>
                <w:bCs w:val="0"/>
                <w:sz w:val="24"/>
                <w:szCs w:val="24"/>
                <w:lang w:val="en-US" w:eastAsia="zh-CN"/>
              </w:rPr>
              <w:t>13579478199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42" w:type="dxa"/>
            <w:noWrap/>
          </w:tcPr>
          <w:p>
            <w:pPr>
              <w:pStyle w:val="44"/>
              <w:rPr>
                <w:rFonts w:hint="eastAsia" w:ascii="仿宋" w:hAnsi="仿宋" w:eastAsia="仿宋" w:cs="仿宋"/>
                <w:b/>
                <w:bCs w:val="0"/>
                <w:sz w:val="24"/>
                <w:szCs w:val="24"/>
              </w:rPr>
            </w:pPr>
          </w:p>
          <w:p>
            <w:pPr>
              <w:pStyle w:val="44"/>
              <w:ind w:left="10"/>
              <w:jc w:val="center"/>
              <w:rPr>
                <w:rFonts w:hint="eastAsia" w:ascii="仿宋" w:hAnsi="仿宋" w:eastAsia="仿宋" w:cs="仿宋"/>
                <w:b/>
                <w:bCs w:val="0"/>
                <w:w w:val="98"/>
                <w:sz w:val="24"/>
                <w:szCs w:val="24"/>
              </w:rPr>
            </w:pPr>
          </w:p>
          <w:p>
            <w:pPr>
              <w:pStyle w:val="44"/>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2</w:t>
            </w:r>
          </w:p>
        </w:tc>
        <w:tc>
          <w:tcPr>
            <w:tcW w:w="1993" w:type="dxa"/>
            <w:noWrap/>
          </w:tcPr>
          <w:p>
            <w:pPr>
              <w:pStyle w:val="44"/>
              <w:rPr>
                <w:rFonts w:hint="eastAsia" w:ascii="仿宋" w:hAnsi="仿宋" w:eastAsia="仿宋" w:cs="仿宋"/>
                <w:b/>
                <w:bCs w:val="0"/>
                <w:sz w:val="24"/>
                <w:szCs w:val="24"/>
              </w:rPr>
            </w:pPr>
          </w:p>
          <w:p>
            <w:pPr>
              <w:pStyle w:val="44"/>
              <w:jc w:val="center"/>
              <w:rPr>
                <w:rFonts w:hint="eastAsia" w:ascii="仿宋" w:hAnsi="仿宋" w:eastAsia="仿宋" w:cs="仿宋"/>
                <w:b/>
                <w:bCs w:val="0"/>
                <w:sz w:val="24"/>
                <w:szCs w:val="24"/>
              </w:rPr>
            </w:pPr>
          </w:p>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采购代理机构</w:t>
            </w:r>
          </w:p>
        </w:tc>
        <w:tc>
          <w:tcPr>
            <w:tcW w:w="6795" w:type="dxa"/>
            <w:noWrap/>
            <w:vAlign w:val="center"/>
          </w:tcPr>
          <w:p>
            <w:pPr>
              <w:pStyle w:val="44"/>
              <w:spacing w:line="240" w:lineRule="auto"/>
              <w:ind w:right="197"/>
              <w:rPr>
                <w:rFonts w:hint="eastAsia" w:ascii="仿宋" w:hAnsi="仿宋" w:eastAsia="仿宋" w:cs="仿宋"/>
                <w:b/>
                <w:bCs w:val="0"/>
                <w:sz w:val="24"/>
                <w:szCs w:val="24"/>
              </w:rPr>
            </w:pPr>
            <w:r>
              <w:rPr>
                <w:rFonts w:hint="eastAsia" w:ascii="仿宋" w:hAnsi="仿宋" w:eastAsia="仿宋" w:cs="仿宋"/>
                <w:b/>
                <w:bCs w:val="0"/>
                <w:sz w:val="24"/>
                <w:szCs w:val="24"/>
              </w:rPr>
              <w:t>名 称：新疆德衡工程技术咨询有限公司</w:t>
            </w:r>
          </w:p>
          <w:p>
            <w:pPr>
              <w:pStyle w:val="44"/>
              <w:spacing w:line="240" w:lineRule="auto"/>
              <w:ind w:right="197"/>
              <w:rPr>
                <w:rFonts w:hint="eastAsia" w:ascii="仿宋" w:hAnsi="仿宋" w:eastAsia="仿宋" w:cs="仿宋"/>
                <w:b/>
                <w:bCs w:val="0"/>
                <w:sz w:val="24"/>
                <w:szCs w:val="24"/>
              </w:rPr>
            </w:pPr>
            <w:r>
              <w:rPr>
                <w:rFonts w:hint="eastAsia" w:ascii="仿宋" w:hAnsi="仿宋" w:eastAsia="仿宋" w:cs="仿宋"/>
                <w:b/>
                <w:bCs w:val="0"/>
                <w:sz w:val="24"/>
                <w:szCs w:val="24"/>
              </w:rPr>
              <w:t>联系人：王燕燕、周娜</w:t>
            </w:r>
          </w:p>
          <w:p>
            <w:pPr>
              <w:pStyle w:val="44"/>
              <w:spacing w:line="240" w:lineRule="auto"/>
              <w:ind w:right="197"/>
              <w:rPr>
                <w:rFonts w:hint="eastAsia" w:ascii="仿宋" w:hAnsi="仿宋" w:eastAsia="仿宋" w:cs="仿宋"/>
                <w:b/>
                <w:bCs w:val="0"/>
                <w:sz w:val="24"/>
                <w:szCs w:val="24"/>
                <w:lang w:val="en-US"/>
              </w:rPr>
            </w:pPr>
            <w:r>
              <w:rPr>
                <w:rFonts w:hint="eastAsia" w:ascii="仿宋" w:hAnsi="仿宋" w:eastAsia="仿宋" w:cs="仿宋"/>
                <w:b/>
                <w:bCs w:val="0"/>
                <w:sz w:val="24"/>
                <w:szCs w:val="24"/>
              </w:rPr>
              <w:t>电话：</w:t>
            </w:r>
            <w:r>
              <w:rPr>
                <w:rFonts w:hint="eastAsia" w:ascii="仿宋" w:hAnsi="仿宋" w:eastAsia="仿宋" w:cs="仿宋"/>
                <w:b/>
                <w:bCs w:val="0"/>
                <w:sz w:val="24"/>
                <w:szCs w:val="24"/>
                <w:lang w:val="en-US"/>
              </w:rPr>
              <w:t>0994-2336208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642" w:type="dxa"/>
            <w:vMerge w:val="restart"/>
            <w:noWrap/>
            <w:vAlign w:val="center"/>
          </w:tcPr>
          <w:p>
            <w:pPr>
              <w:pStyle w:val="44"/>
              <w:spacing w:before="64"/>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3</w:t>
            </w:r>
          </w:p>
        </w:tc>
        <w:tc>
          <w:tcPr>
            <w:tcW w:w="1993" w:type="dxa"/>
            <w:vMerge w:val="restart"/>
            <w:noWrap/>
            <w:vAlign w:val="center"/>
          </w:tcPr>
          <w:p>
            <w:pPr>
              <w:pStyle w:val="44"/>
              <w:spacing w:before="64"/>
              <w:jc w:val="center"/>
              <w:rPr>
                <w:rFonts w:hint="eastAsia" w:ascii="仿宋" w:hAnsi="仿宋" w:eastAsia="仿宋" w:cs="仿宋"/>
                <w:b/>
                <w:bCs w:val="0"/>
                <w:sz w:val="24"/>
                <w:szCs w:val="24"/>
              </w:rPr>
            </w:pPr>
            <w:r>
              <w:rPr>
                <w:rFonts w:hint="eastAsia" w:ascii="仿宋" w:hAnsi="仿宋" w:eastAsia="仿宋" w:cs="仿宋"/>
                <w:b/>
                <w:bCs w:val="0"/>
                <w:sz w:val="24"/>
                <w:szCs w:val="24"/>
              </w:rPr>
              <w:t>项目名称</w:t>
            </w:r>
          </w:p>
        </w:tc>
        <w:tc>
          <w:tcPr>
            <w:tcW w:w="6795" w:type="dxa"/>
            <w:tcBorders>
              <w:bottom w:val="single" w:color="auto" w:sz="4" w:space="0"/>
            </w:tcBorders>
            <w:noWrap/>
          </w:tcPr>
          <w:p>
            <w:pPr>
              <w:pStyle w:val="44"/>
              <w:spacing w:before="64"/>
              <w:rPr>
                <w:rFonts w:hint="eastAsia" w:ascii="仿宋" w:hAnsi="仿宋" w:eastAsia="仿宋" w:cs="仿宋"/>
                <w:b/>
                <w:bCs w:val="0"/>
                <w:sz w:val="24"/>
                <w:szCs w:val="24"/>
              </w:rPr>
            </w:pPr>
            <w:r>
              <w:rPr>
                <w:rFonts w:hint="eastAsia" w:ascii="仿宋" w:hAnsi="仿宋" w:eastAsia="仿宋" w:cs="仿宋"/>
                <w:b/>
                <w:bCs w:val="0"/>
                <w:sz w:val="24"/>
                <w:szCs w:val="24"/>
                <w:lang w:eastAsia="zh-CN"/>
              </w:rPr>
              <w:t>某单位学习用品、</w:t>
            </w:r>
            <w:r>
              <w:rPr>
                <w:rFonts w:hint="eastAsia" w:ascii="仿宋" w:hAnsi="仿宋" w:eastAsia="仿宋" w:cs="仿宋"/>
                <w:b/>
                <w:bCs w:val="0"/>
                <w:sz w:val="24"/>
                <w:szCs w:val="24"/>
                <w:lang w:val="en-US" w:eastAsia="zh-CN"/>
              </w:rPr>
              <w:t>教育</w:t>
            </w:r>
            <w:r>
              <w:rPr>
                <w:rFonts w:hint="eastAsia" w:ascii="仿宋" w:hAnsi="仿宋" w:eastAsia="仿宋" w:cs="仿宋"/>
                <w:b/>
                <w:bCs w:val="0"/>
                <w:sz w:val="24"/>
                <w:szCs w:val="24"/>
                <w:lang w:eastAsia="zh-CN"/>
              </w:rPr>
              <w:t>用品采购（三次）</w:t>
            </w:r>
            <w:r>
              <w:rPr>
                <w:rFonts w:hint="eastAsia" w:ascii="仿宋" w:hAnsi="仿宋" w:eastAsia="仿宋" w:cs="仿宋"/>
                <w:b/>
                <w:bCs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42" w:type="dxa"/>
            <w:vMerge w:val="continue"/>
            <w:noWrap/>
          </w:tcPr>
          <w:p>
            <w:pPr>
              <w:pStyle w:val="44"/>
              <w:spacing w:before="64"/>
              <w:ind w:left="10"/>
              <w:jc w:val="center"/>
              <w:rPr>
                <w:rFonts w:hint="eastAsia" w:ascii="仿宋" w:hAnsi="仿宋" w:eastAsia="仿宋" w:cs="仿宋"/>
                <w:b/>
                <w:bCs w:val="0"/>
                <w:w w:val="98"/>
                <w:sz w:val="24"/>
                <w:szCs w:val="24"/>
              </w:rPr>
            </w:pPr>
          </w:p>
        </w:tc>
        <w:tc>
          <w:tcPr>
            <w:tcW w:w="1993" w:type="dxa"/>
            <w:vMerge w:val="continue"/>
            <w:noWrap/>
          </w:tcPr>
          <w:p>
            <w:pPr>
              <w:pStyle w:val="44"/>
              <w:spacing w:before="64"/>
              <w:rPr>
                <w:rFonts w:hint="eastAsia" w:ascii="仿宋" w:hAnsi="仿宋" w:eastAsia="仿宋" w:cs="仿宋"/>
                <w:b/>
                <w:bCs w:val="0"/>
                <w:sz w:val="24"/>
                <w:szCs w:val="24"/>
              </w:rPr>
            </w:pPr>
          </w:p>
        </w:tc>
        <w:tc>
          <w:tcPr>
            <w:tcW w:w="6795" w:type="dxa"/>
            <w:tcBorders>
              <w:top w:val="single" w:color="auto" w:sz="4" w:space="0"/>
            </w:tcBorders>
            <w:noWrap/>
          </w:tcPr>
          <w:p>
            <w:pPr>
              <w:pStyle w:val="44"/>
              <w:spacing w:before="64"/>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rPr>
              <w:t>DH(CG)2022-01</w:t>
            </w:r>
            <w:r>
              <w:rPr>
                <w:rFonts w:hint="eastAsia" w:ascii="仿宋" w:hAnsi="仿宋" w:eastAsia="仿宋" w:cs="仿宋"/>
                <w:b/>
                <w:bCs w:val="0"/>
                <w:sz w:val="24"/>
                <w:szCs w:val="24"/>
                <w:lang w:val="en-US" w:eastAsia="zh-CN"/>
              </w:rPr>
              <w:t>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42" w:type="dxa"/>
            <w:noWrap/>
          </w:tcPr>
          <w:p>
            <w:pPr>
              <w:pStyle w:val="44"/>
              <w:spacing w:before="156"/>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4</w:t>
            </w:r>
          </w:p>
        </w:tc>
        <w:tc>
          <w:tcPr>
            <w:tcW w:w="1993" w:type="dxa"/>
            <w:noWrap/>
            <w:vAlign w:val="center"/>
          </w:tcPr>
          <w:p>
            <w:pPr>
              <w:pStyle w:val="44"/>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资金来源</w:t>
            </w:r>
          </w:p>
        </w:tc>
        <w:tc>
          <w:tcPr>
            <w:tcW w:w="6795" w:type="dxa"/>
            <w:noWrap/>
            <w:vAlign w:val="center"/>
          </w:tcPr>
          <w:p>
            <w:pPr>
              <w:pStyle w:val="44"/>
              <w:spacing w:before="6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财政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642" w:type="dxa"/>
            <w:noWrap/>
            <w:vAlign w:val="center"/>
          </w:tcPr>
          <w:p>
            <w:pPr>
              <w:pStyle w:val="44"/>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5</w:t>
            </w:r>
          </w:p>
        </w:tc>
        <w:tc>
          <w:tcPr>
            <w:tcW w:w="1993" w:type="dxa"/>
            <w:noWrap/>
            <w:vAlign w:val="center"/>
          </w:tcPr>
          <w:p>
            <w:pPr>
              <w:pStyle w:val="44"/>
              <w:spacing w:before="156"/>
              <w:jc w:val="center"/>
              <w:rPr>
                <w:rFonts w:hint="eastAsia" w:ascii="仿宋" w:hAnsi="仿宋" w:eastAsia="仿宋" w:cs="仿宋"/>
                <w:b/>
                <w:bCs w:val="0"/>
                <w:sz w:val="24"/>
                <w:szCs w:val="24"/>
              </w:rPr>
            </w:pPr>
            <w:r>
              <w:rPr>
                <w:rFonts w:hint="eastAsia" w:ascii="仿宋" w:hAnsi="仿宋" w:eastAsia="仿宋" w:cs="仿宋"/>
                <w:b/>
                <w:bCs w:val="0"/>
                <w:sz w:val="24"/>
                <w:szCs w:val="24"/>
              </w:rPr>
              <w:t>采购内容</w:t>
            </w:r>
          </w:p>
        </w:tc>
        <w:tc>
          <w:tcPr>
            <w:tcW w:w="6795" w:type="dxa"/>
            <w:noWrap/>
            <w:vAlign w:val="center"/>
          </w:tcPr>
          <w:p>
            <w:pPr>
              <w:rPr>
                <w:rFonts w:hint="eastAsia" w:ascii="仿宋" w:hAnsi="仿宋" w:eastAsia="仿宋" w:cs="仿宋"/>
                <w:b/>
                <w:bCs w:val="0"/>
                <w:sz w:val="24"/>
                <w:szCs w:val="24"/>
                <w:lang w:val="en-US" w:eastAsia="zh-CN" w:bidi="zh-CN"/>
              </w:rPr>
            </w:pPr>
            <w:r>
              <w:rPr>
                <w:rFonts w:hint="eastAsia" w:ascii="仿宋" w:hAnsi="仿宋" w:eastAsia="仿宋" w:cs="仿宋"/>
                <w:b/>
                <w:bCs w:val="0"/>
                <w:sz w:val="24"/>
                <w:szCs w:val="24"/>
                <w:lang w:val="en-US" w:eastAsia="zh-CN" w:bidi="zh-CN"/>
              </w:rPr>
              <w:t>学习用品、教育用品等采购（具体采购品种，数量以采购方实际需求为准）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2" w:type="dxa"/>
            <w:noWrap/>
          </w:tcPr>
          <w:p>
            <w:pPr>
              <w:pStyle w:val="44"/>
              <w:spacing w:before="82"/>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6</w:t>
            </w:r>
          </w:p>
        </w:tc>
        <w:tc>
          <w:tcPr>
            <w:tcW w:w="1993" w:type="dxa"/>
            <w:noWrap/>
          </w:tcPr>
          <w:p>
            <w:pPr>
              <w:pStyle w:val="44"/>
              <w:spacing w:before="156"/>
              <w:jc w:val="center"/>
              <w:rPr>
                <w:rFonts w:hint="eastAsia" w:ascii="仿宋" w:hAnsi="仿宋" w:eastAsia="仿宋" w:cs="仿宋"/>
                <w:b/>
                <w:bCs w:val="0"/>
                <w:sz w:val="24"/>
                <w:szCs w:val="24"/>
              </w:rPr>
            </w:pPr>
            <w:r>
              <w:rPr>
                <w:rFonts w:hint="eastAsia" w:ascii="仿宋" w:hAnsi="仿宋" w:eastAsia="仿宋" w:cs="仿宋"/>
                <w:b/>
                <w:bCs w:val="0"/>
                <w:sz w:val="24"/>
                <w:szCs w:val="24"/>
              </w:rPr>
              <w:t>合同履行期</w:t>
            </w:r>
            <w:r>
              <w:rPr>
                <w:rFonts w:hint="eastAsia" w:ascii="仿宋" w:hAnsi="仿宋" w:eastAsia="仿宋" w:cs="仿宋"/>
                <w:b/>
                <w:bCs w:val="0"/>
                <w:sz w:val="24"/>
                <w:szCs w:val="24"/>
                <w:lang w:val="en-US"/>
              </w:rPr>
              <w:t>限</w:t>
            </w:r>
          </w:p>
        </w:tc>
        <w:tc>
          <w:tcPr>
            <w:tcW w:w="6795" w:type="dxa"/>
            <w:noWrap/>
            <w:vAlign w:val="center"/>
          </w:tcPr>
          <w:p>
            <w:pPr>
              <w:pStyle w:val="44"/>
              <w:jc w:val="both"/>
              <w:rPr>
                <w:rFonts w:hint="eastAsia" w:ascii="仿宋" w:hAnsi="仿宋" w:eastAsia="仿宋" w:cs="仿宋"/>
                <w:b/>
                <w:bCs w:val="0"/>
                <w:sz w:val="24"/>
                <w:szCs w:val="24"/>
                <w:lang w:val="en-US" w:eastAsia="zh-CN" w:bidi="zh-CN"/>
              </w:rPr>
            </w:pPr>
            <w:r>
              <w:rPr>
                <w:rFonts w:hint="eastAsia" w:ascii="仿宋" w:hAnsi="仿宋" w:eastAsia="仿宋" w:cs="仿宋"/>
                <w:b/>
                <w:bCs w:val="0"/>
                <w:sz w:val="24"/>
                <w:szCs w:val="24"/>
                <w:lang w:val="en-US" w:eastAsia="zh-CN" w:bidi="zh-CN"/>
              </w:rPr>
              <w:t>合同签订后一年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42" w:type="dxa"/>
            <w:noWrap/>
          </w:tcPr>
          <w:p>
            <w:pPr>
              <w:pStyle w:val="44"/>
              <w:spacing w:before="64"/>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7</w:t>
            </w:r>
          </w:p>
        </w:tc>
        <w:tc>
          <w:tcPr>
            <w:tcW w:w="1993" w:type="dxa"/>
            <w:noWrap/>
            <w:vAlign w:val="center"/>
          </w:tcPr>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交货地点</w:t>
            </w:r>
          </w:p>
        </w:tc>
        <w:tc>
          <w:tcPr>
            <w:tcW w:w="6795" w:type="dxa"/>
            <w:noWrap/>
            <w:vAlign w:val="center"/>
          </w:tcPr>
          <w:p>
            <w:pPr>
              <w:pStyle w:val="44"/>
              <w:rPr>
                <w:rFonts w:hint="eastAsia" w:ascii="仿宋" w:hAnsi="仿宋" w:eastAsia="仿宋" w:cs="仿宋"/>
                <w:b/>
                <w:bCs w:val="0"/>
                <w:sz w:val="24"/>
                <w:szCs w:val="24"/>
              </w:rPr>
            </w:pPr>
            <w:r>
              <w:rPr>
                <w:rFonts w:hint="eastAsia" w:ascii="仿宋" w:hAnsi="仿宋" w:eastAsia="仿宋" w:cs="仿宋"/>
                <w:b/>
                <w:bCs w:val="0"/>
                <w:sz w:val="24"/>
                <w:szCs w:val="24"/>
              </w:rPr>
              <w:t>某单位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0" w:hRule="atLeast"/>
          <w:jc w:val="center"/>
        </w:trPr>
        <w:tc>
          <w:tcPr>
            <w:tcW w:w="642" w:type="dxa"/>
            <w:noWrap/>
            <w:vAlign w:val="center"/>
          </w:tcPr>
          <w:p>
            <w:pPr>
              <w:pStyle w:val="44"/>
              <w:spacing w:before="1"/>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8</w:t>
            </w:r>
          </w:p>
        </w:tc>
        <w:tc>
          <w:tcPr>
            <w:tcW w:w="1993" w:type="dxa"/>
            <w:noWrap/>
            <w:vAlign w:val="center"/>
          </w:tcPr>
          <w:p>
            <w:pPr>
              <w:pStyle w:val="44"/>
              <w:rPr>
                <w:rFonts w:hint="eastAsia" w:ascii="仿宋" w:hAnsi="仿宋" w:eastAsia="仿宋" w:cs="仿宋"/>
                <w:b/>
                <w:bCs w:val="0"/>
                <w:sz w:val="24"/>
                <w:szCs w:val="24"/>
              </w:rPr>
            </w:pPr>
            <w:r>
              <w:rPr>
                <w:rFonts w:hint="eastAsia" w:ascii="仿宋" w:hAnsi="仿宋" w:eastAsia="仿宋" w:cs="仿宋"/>
                <w:b/>
                <w:bCs w:val="0"/>
                <w:sz w:val="24"/>
                <w:szCs w:val="24"/>
              </w:rPr>
              <w:t>供应商资格、要求</w:t>
            </w:r>
          </w:p>
        </w:tc>
        <w:tc>
          <w:tcPr>
            <w:tcW w:w="6795" w:type="dxa"/>
            <w:noWrap/>
          </w:tcPr>
          <w:p>
            <w:pPr>
              <w:pStyle w:val="44"/>
              <w:spacing w:line="36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1、符合《政府采购法》第二十二条的规定：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1.1具有独立承担民事责任的能力；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1.2 具有良好的商业信誉和健全的财务会计制度；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1.3 具有履行合同所必需的设备和专业技术能力；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1.4 有依法缴纳税收和社会保障资金的良好记录；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1.5 参加政府采购活动前三年内，在经营活动中没有重大违法记录；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1.6 法律、行政法规规定的其他条件。</w:t>
            </w:r>
          </w:p>
          <w:p>
            <w:pPr>
              <w:pStyle w:val="44"/>
              <w:spacing w:line="36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2、投标申请人应具有有效的营业执照</w:t>
            </w:r>
          </w:p>
          <w:p>
            <w:pPr>
              <w:rPr>
                <w:rFonts w:hint="eastAsia" w:ascii="仿宋" w:hAnsi="仿宋" w:eastAsia="仿宋" w:cs="仿宋"/>
                <w:b/>
                <w:bCs w:val="0"/>
                <w:sz w:val="24"/>
                <w:szCs w:val="24"/>
              </w:rPr>
            </w:pPr>
            <w:r>
              <w:rPr>
                <w:rFonts w:hint="eastAsia" w:ascii="仿宋" w:hAnsi="仿宋" w:eastAsia="仿宋" w:cs="仿宋"/>
                <w:b/>
                <w:bCs w:val="0"/>
                <w:sz w:val="24"/>
                <w:szCs w:val="24"/>
                <w:lang w:val="en-US"/>
              </w:rPr>
              <w:t>3、投标人未被“信用中国”网站（ www.creditchina.gov.cn）列入</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lang w:val="en-US"/>
              </w:rPr>
              <w:t>失信被执行人</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lang w:val="en-US"/>
              </w:rPr>
              <w:t>、</w:t>
            </w:r>
            <w:r>
              <w:rPr>
                <w:rFonts w:hint="eastAsia" w:ascii="仿宋" w:hAnsi="仿宋" w:eastAsia="仿宋" w:cs="仿宋"/>
                <w:b/>
                <w:bCs w:val="0"/>
                <w:sz w:val="24"/>
                <w:szCs w:val="24"/>
                <w:lang w:val="en-US" w:eastAsia="zh-CN"/>
              </w:rPr>
              <w:t>“税收违法黑名单”</w:t>
            </w:r>
            <w:r>
              <w:rPr>
                <w:rFonts w:hint="eastAsia" w:ascii="仿宋" w:hAnsi="仿宋" w:eastAsia="仿宋" w:cs="仿宋"/>
                <w:b/>
                <w:bCs w:val="0"/>
                <w:sz w:val="24"/>
                <w:szCs w:val="24"/>
                <w:lang w:val="en-US"/>
              </w:rPr>
              <w:t>；未被中国政府采购网（www.ccgp.gov.cn）列入</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lang w:val="en-US"/>
              </w:rPr>
              <w:t>政府采购严重违法失信行为记录名单</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lang w:val="en-US"/>
              </w:rPr>
              <w:t>、未被中国执行信息公开网（http://zxgk.court.gov.cn/shixin/）列入</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lang w:val="en-US"/>
              </w:rPr>
              <w:t>失信被执行人名单</w:t>
            </w:r>
            <w:r>
              <w:rPr>
                <w:rFonts w:hint="eastAsia" w:ascii="仿宋" w:hAnsi="仿宋" w:eastAsia="仿宋" w:cs="仿宋"/>
                <w:b/>
                <w:bCs w:val="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2" w:type="dxa"/>
            <w:noWrap/>
          </w:tcPr>
          <w:p>
            <w:pPr>
              <w:pStyle w:val="44"/>
              <w:spacing w:before="65"/>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9</w:t>
            </w:r>
          </w:p>
        </w:tc>
        <w:tc>
          <w:tcPr>
            <w:tcW w:w="1993" w:type="dxa"/>
            <w:noWrap/>
          </w:tcPr>
          <w:p>
            <w:pPr>
              <w:pStyle w:val="44"/>
              <w:spacing w:before="65"/>
              <w:jc w:val="center"/>
              <w:rPr>
                <w:rFonts w:hint="eastAsia" w:ascii="仿宋" w:hAnsi="仿宋" w:eastAsia="仿宋" w:cs="仿宋"/>
                <w:b/>
                <w:bCs w:val="0"/>
                <w:sz w:val="24"/>
                <w:szCs w:val="24"/>
              </w:rPr>
            </w:pPr>
            <w:r>
              <w:rPr>
                <w:rFonts w:hint="eastAsia" w:ascii="仿宋" w:hAnsi="仿宋" w:eastAsia="仿宋" w:cs="仿宋"/>
                <w:b/>
                <w:bCs w:val="0"/>
                <w:sz w:val="24"/>
                <w:szCs w:val="24"/>
              </w:rPr>
              <w:t>是否接受联合体</w:t>
            </w:r>
          </w:p>
        </w:tc>
        <w:tc>
          <w:tcPr>
            <w:tcW w:w="6795" w:type="dxa"/>
            <w:noWrap/>
          </w:tcPr>
          <w:p>
            <w:pPr>
              <w:pStyle w:val="44"/>
              <w:spacing w:before="65"/>
              <w:rPr>
                <w:rFonts w:hint="eastAsia" w:ascii="仿宋" w:hAnsi="仿宋" w:eastAsia="仿宋" w:cs="仿宋"/>
                <w:b/>
                <w:bCs w:val="0"/>
                <w:sz w:val="24"/>
                <w:szCs w:val="24"/>
              </w:rPr>
            </w:pPr>
            <w:r>
              <w:rPr>
                <w:rFonts w:hint="eastAsia" w:ascii="仿宋" w:hAnsi="仿宋" w:eastAsia="仿宋" w:cs="仿宋"/>
                <w:b/>
                <w:bCs w:val="0"/>
                <w:sz w:val="24"/>
                <w:szCs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642" w:type="dxa"/>
            <w:noWrap/>
          </w:tcPr>
          <w:p>
            <w:pPr>
              <w:pStyle w:val="44"/>
              <w:spacing w:before="66"/>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10</w:t>
            </w:r>
          </w:p>
        </w:tc>
        <w:tc>
          <w:tcPr>
            <w:tcW w:w="1993" w:type="dxa"/>
            <w:noWrap/>
          </w:tcPr>
          <w:p>
            <w:pPr>
              <w:pStyle w:val="44"/>
              <w:spacing w:before="66"/>
              <w:ind w:right="197"/>
              <w:jc w:val="center"/>
              <w:rPr>
                <w:rFonts w:hint="eastAsia" w:ascii="仿宋" w:hAnsi="仿宋" w:eastAsia="仿宋" w:cs="仿宋"/>
                <w:b/>
                <w:bCs w:val="0"/>
                <w:sz w:val="24"/>
                <w:szCs w:val="24"/>
              </w:rPr>
            </w:pPr>
            <w:r>
              <w:rPr>
                <w:rFonts w:hint="eastAsia" w:ascii="仿宋" w:hAnsi="仿宋" w:eastAsia="仿宋" w:cs="仿宋"/>
                <w:b/>
                <w:bCs w:val="0"/>
                <w:sz w:val="24"/>
                <w:szCs w:val="24"/>
              </w:rPr>
              <w:t>分包、偏差</w:t>
            </w:r>
          </w:p>
        </w:tc>
        <w:tc>
          <w:tcPr>
            <w:tcW w:w="6795" w:type="dxa"/>
            <w:noWrap/>
          </w:tcPr>
          <w:p>
            <w:pPr>
              <w:pStyle w:val="44"/>
              <w:spacing w:before="80"/>
              <w:rPr>
                <w:rFonts w:hint="eastAsia" w:ascii="仿宋" w:hAnsi="仿宋" w:eastAsia="仿宋" w:cs="仿宋"/>
                <w:b/>
                <w:bCs w:val="0"/>
                <w:sz w:val="24"/>
                <w:szCs w:val="24"/>
              </w:rPr>
            </w:pPr>
            <w:r>
              <w:rPr>
                <w:rFonts w:hint="eastAsia" w:ascii="仿宋" w:hAnsi="仿宋" w:eastAsia="仿宋" w:cs="仿宋"/>
                <w:b/>
                <w:bCs w:val="0"/>
                <w:sz w:val="24"/>
                <w:szCs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642" w:type="dxa"/>
            <w:noWrap/>
            <w:vAlign w:val="center"/>
          </w:tcPr>
          <w:p>
            <w:pPr>
              <w:pStyle w:val="44"/>
              <w:spacing w:before="64"/>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11</w:t>
            </w:r>
          </w:p>
        </w:tc>
        <w:tc>
          <w:tcPr>
            <w:tcW w:w="1993" w:type="dxa"/>
            <w:noWrap/>
            <w:vAlign w:val="center"/>
          </w:tcPr>
          <w:p>
            <w:pPr>
              <w:pStyle w:val="44"/>
              <w:spacing w:before="66"/>
              <w:ind w:right="197"/>
              <w:jc w:val="center"/>
              <w:rPr>
                <w:rFonts w:hint="eastAsia" w:ascii="仿宋" w:hAnsi="仿宋" w:eastAsia="仿宋" w:cs="仿宋"/>
                <w:b/>
                <w:bCs w:val="0"/>
                <w:sz w:val="24"/>
                <w:szCs w:val="24"/>
              </w:rPr>
            </w:pPr>
            <w:r>
              <w:rPr>
                <w:rFonts w:hint="eastAsia" w:ascii="仿宋" w:hAnsi="仿宋" w:eastAsia="仿宋" w:cs="仿宋"/>
                <w:b/>
                <w:bCs w:val="0"/>
                <w:sz w:val="24"/>
                <w:szCs w:val="24"/>
              </w:rPr>
              <w:t>投标报价</w:t>
            </w:r>
          </w:p>
        </w:tc>
        <w:tc>
          <w:tcPr>
            <w:tcW w:w="6795" w:type="dxa"/>
            <w:noWrap/>
          </w:tcPr>
          <w:p>
            <w:pPr>
              <w:pStyle w:val="44"/>
              <w:spacing w:before="64"/>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综合单价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642" w:type="dxa"/>
            <w:noWrap/>
          </w:tcPr>
          <w:p>
            <w:pPr>
              <w:pStyle w:val="44"/>
              <w:spacing w:before="64"/>
              <w:ind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2</w:t>
            </w:r>
          </w:p>
        </w:tc>
        <w:tc>
          <w:tcPr>
            <w:tcW w:w="1993" w:type="dxa"/>
            <w:noWrap/>
            <w:vAlign w:val="center"/>
          </w:tcPr>
          <w:p>
            <w:pPr>
              <w:pStyle w:val="54"/>
              <w:jc w:val="center"/>
              <w:rPr>
                <w:rFonts w:hint="eastAsia" w:ascii="仿宋" w:hAnsi="仿宋" w:eastAsia="仿宋" w:cs="仿宋"/>
                <w:b/>
                <w:bCs w:val="0"/>
                <w:color w:val="auto"/>
                <w:sz w:val="24"/>
                <w:szCs w:val="24"/>
                <w:lang w:val="zh-CN" w:bidi="zh-CN"/>
              </w:rPr>
            </w:pPr>
            <w:r>
              <w:rPr>
                <w:rFonts w:hint="eastAsia" w:ascii="仿宋" w:hAnsi="仿宋" w:eastAsia="仿宋" w:cs="仿宋"/>
                <w:b/>
                <w:bCs w:val="0"/>
                <w:color w:val="auto"/>
                <w:sz w:val="24"/>
                <w:szCs w:val="24"/>
                <w:lang w:val="zh-CN" w:bidi="zh-CN"/>
              </w:rPr>
              <w:t>报价方式</w:t>
            </w:r>
          </w:p>
        </w:tc>
        <w:tc>
          <w:tcPr>
            <w:tcW w:w="6795" w:type="dxa"/>
            <w:noWrap/>
            <w:vAlign w:val="center"/>
          </w:tcPr>
          <w:p>
            <w:pPr>
              <w:pStyle w:val="54"/>
              <w:rPr>
                <w:rFonts w:hint="eastAsia" w:ascii="仿宋" w:hAnsi="仿宋" w:eastAsia="仿宋" w:cs="仿宋"/>
                <w:b/>
                <w:bCs w:val="0"/>
                <w:sz w:val="24"/>
                <w:szCs w:val="24"/>
              </w:rPr>
            </w:pPr>
            <w:r>
              <w:rPr>
                <w:rFonts w:hint="eastAsia" w:ascii="仿宋" w:hAnsi="仿宋" w:eastAsia="仿宋" w:cs="仿宋"/>
                <w:b/>
                <w:bCs w:val="0"/>
                <w:sz w:val="24"/>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642" w:type="dxa"/>
            <w:noWrap/>
          </w:tcPr>
          <w:p>
            <w:pPr>
              <w:pStyle w:val="44"/>
              <w:spacing w:before="64"/>
              <w:ind w:left="123" w:right="113"/>
              <w:jc w:val="center"/>
              <w:rPr>
                <w:rFonts w:hint="eastAsia" w:ascii="仿宋" w:hAnsi="仿宋" w:eastAsia="仿宋" w:cs="仿宋"/>
                <w:b/>
                <w:bCs w:val="0"/>
                <w:sz w:val="24"/>
                <w:szCs w:val="24"/>
                <w:lang w:val="en-US"/>
              </w:rPr>
            </w:pPr>
          </w:p>
          <w:p>
            <w:pPr>
              <w:pStyle w:val="44"/>
              <w:spacing w:before="64"/>
              <w:ind w:left="123"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13</w:t>
            </w:r>
          </w:p>
        </w:tc>
        <w:tc>
          <w:tcPr>
            <w:tcW w:w="1993" w:type="dxa"/>
            <w:noWrap/>
            <w:vAlign w:val="center"/>
          </w:tcPr>
          <w:p>
            <w:pPr>
              <w:pStyle w:val="44"/>
              <w:spacing w:before="69"/>
              <w:jc w:val="center"/>
              <w:rPr>
                <w:rFonts w:hint="eastAsia" w:ascii="仿宋" w:hAnsi="仿宋" w:eastAsia="仿宋" w:cs="仿宋"/>
                <w:b/>
                <w:bCs w:val="0"/>
                <w:sz w:val="24"/>
                <w:szCs w:val="24"/>
              </w:rPr>
            </w:pPr>
            <w:r>
              <w:rPr>
                <w:rFonts w:hint="eastAsia" w:ascii="仿宋" w:hAnsi="仿宋" w:eastAsia="仿宋" w:cs="仿宋"/>
                <w:b/>
                <w:bCs w:val="0"/>
                <w:sz w:val="24"/>
                <w:szCs w:val="24"/>
              </w:rPr>
              <w:t>付款方式</w:t>
            </w:r>
          </w:p>
        </w:tc>
        <w:tc>
          <w:tcPr>
            <w:tcW w:w="6795" w:type="dxa"/>
            <w:noWrap/>
          </w:tcPr>
          <w:p>
            <w:pPr>
              <w:overflowPunct w:val="0"/>
              <w:spacing w:line="280" w:lineRule="exact"/>
              <w:rPr>
                <w:rFonts w:hint="eastAsia" w:ascii="仿宋" w:hAnsi="仿宋" w:eastAsia="仿宋" w:cs="仿宋"/>
                <w:b/>
                <w:bCs w:val="0"/>
                <w:sz w:val="24"/>
                <w:szCs w:val="24"/>
              </w:rPr>
            </w:pPr>
            <w:r>
              <w:rPr>
                <w:rFonts w:hint="eastAsia" w:ascii="仿宋" w:hAnsi="仿宋" w:eastAsia="仿宋" w:cs="仿宋"/>
                <w:b/>
                <w:bCs w:val="0"/>
                <w:sz w:val="24"/>
                <w:szCs w:val="24"/>
              </w:rPr>
              <w:t>付款币种：本次招标所述的项目资金均以人民币支付。</w:t>
            </w:r>
          </w:p>
          <w:p>
            <w:pPr>
              <w:overflowPunct w:val="0"/>
              <w:spacing w:line="280" w:lineRule="exact"/>
              <w:rPr>
                <w:rFonts w:hint="eastAsia" w:ascii="仿宋" w:hAnsi="仿宋" w:eastAsia="仿宋" w:cs="仿宋"/>
                <w:b/>
                <w:bCs w:val="0"/>
                <w:sz w:val="24"/>
                <w:szCs w:val="24"/>
              </w:rPr>
            </w:pPr>
            <w:r>
              <w:rPr>
                <w:rFonts w:hint="eastAsia" w:ascii="仿宋" w:hAnsi="仿宋" w:eastAsia="仿宋" w:cs="仿宋"/>
                <w:b/>
                <w:bCs w:val="0"/>
                <w:sz w:val="24"/>
                <w:szCs w:val="24"/>
                <w:lang w:eastAsia="zh-CN"/>
              </w:rPr>
              <w:t>按季度转账方式</w:t>
            </w:r>
            <w:r>
              <w:rPr>
                <w:rFonts w:hint="eastAsia" w:ascii="仿宋" w:hAnsi="仿宋" w:eastAsia="仿宋" w:cs="仿宋"/>
                <w:b/>
                <w:bCs w:val="0"/>
                <w:sz w:val="24"/>
                <w:szCs w:val="24"/>
              </w:rPr>
              <w:t>（以签订合同为准）</w:t>
            </w:r>
          </w:p>
          <w:p>
            <w:pPr>
              <w:overflowPunct w:val="0"/>
              <w:spacing w:line="280" w:lineRule="exact"/>
              <w:rPr>
                <w:rFonts w:hint="eastAsia" w:ascii="仿宋" w:hAnsi="仿宋" w:eastAsia="仿宋" w:cs="仿宋"/>
                <w:b/>
                <w:bCs w:val="0"/>
                <w:sz w:val="24"/>
                <w:szCs w:val="24"/>
                <w:lang w:val="en-US"/>
              </w:rPr>
            </w:pPr>
            <w:r>
              <w:rPr>
                <w:rFonts w:hint="eastAsia" w:ascii="仿宋" w:hAnsi="仿宋" w:eastAsia="仿宋" w:cs="仿宋"/>
                <w:b/>
                <w:bCs w:val="0"/>
                <w:sz w:val="24"/>
                <w:szCs w:val="24"/>
              </w:rPr>
              <w:t>最终付款方式以和甲方单位签订合同为准。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642" w:type="dxa"/>
            <w:noWrap/>
            <w:vAlign w:val="center"/>
          </w:tcPr>
          <w:p>
            <w:pPr>
              <w:pStyle w:val="44"/>
              <w:spacing w:before="64"/>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4</w:t>
            </w:r>
          </w:p>
        </w:tc>
        <w:tc>
          <w:tcPr>
            <w:tcW w:w="1993" w:type="dxa"/>
            <w:noWrap/>
            <w:vAlign w:val="center"/>
          </w:tcPr>
          <w:p>
            <w:pPr>
              <w:pStyle w:val="44"/>
              <w:spacing w:before="69"/>
              <w:jc w:val="center"/>
              <w:rPr>
                <w:rFonts w:hint="eastAsia" w:ascii="仿宋" w:hAnsi="仿宋" w:eastAsia="仿宋" w:cs="仿宋"/>
                <w:b/>
                <w:bCs w:val="0"/>
                <w:sz w:val="24"/>
                <w:szCs w:val="24"/>
              </w:rPr>
            </w:pPr>
            <w:r>
              <w:rPr>
                <w:rFonts w:hint="eastAsia" w:ascii="仿宋" w:hAnsi="仿宋" w:eastAsia="仿宋" w:cs="仿宋"/>
                <w:b/>
                <w:bCs w:val="0"/>
                <w:sz w:val="24"/>
                <w:szCs w:val="24"/>
              </w:rPr>
              <w:t>投标有效期</w:t>
            </w:r>
          </w:p>
        </w:tc>
        <w:tc>
          <w:tcPr>
            <w:tcW w:w="6795" w:type="dxa"/>
            <w:noWrap/>
          </w:tcPr>
          <w:p>
            <w:pPr>
              <w:pStyle w:val="44"/>
              <w:spacing w:before="69"/>
              <w:jc w:val="both"/>
              <w:rPr>
                <w:rFonts w:hint="eastAsia" w:ascii="仿宋" w:hAnsi="仿宋" w:eastAsia="仿宋" w:cs="仿宋"/>
                <w:b/>
                <w:bCs w:val="0"/>
                <w:sz w:val="24"/>
                <w:szCs w:val="24"/>
                <w:lang w:val="en-US"/>
              </w:rPr>
            </w:pPr>
            <w:r>
              <w:rPr>
                <w:rFonts w:hint="eastAsia" w:ascii="仿宋" w:hAnsi="仿宋" w:eastAsia="仿宋" w:cs="仿宋"/>
                <w:b/>
                <w:bCs w:val="0"/>
                <w:sz w:val="24"/>
                <w:szCs w:val="24"/>
                <w:lang w:val="en-US" w:eastAsia="zh-CN"/>
              </w:rPr>
              <w:t>9</w:t>
            </w:r>
            <w:r>
              <w:rPr>
                <w:rFonts w:hint="eastAsia" w:ascii="仿宋" w:hAnsi="仿宋" w:eastAsia="仿宋" w:cs="仿宋"/>
                <w:b/>
                <w:bCs w:val="0"/>
                <w:sz w:val="24"/>
                <w:szCs w:val="24"/>
                <w:lang w:val="en-US"/>
              </w:rPr>
              <w:t>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642" w:type="dxa"/>
            <w:tcBorders>
              <w:bottom w:val="single" w:color="auto" w:sz="4" w:space="0"/>
            </w:tcBorders>
            <w:noWrap/>
            <w:vAlign w:val="center"/>
          </w:tcPr>
          <w:p>
            <w:pPr>
              <w:pStyle w:val="44"/>
              <w:spacing w:before="64"/>
              <w:ind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5</w:t>
            </w:r>
          </w:p>
        </w:tc>
        <w:tc>
          <w:tcPr>
            <w:tcW w:w="1993" w:type="dxa"/>
            <w:tcBorders>
              <w:bottom w:val="single" w:color="auto" w:sz="4" w:space="0"/>
            </w:tcBorders>
            <w:noWrap/>
            <w:vAlign w:val="center"/>
          </w:tcPr>
          <w:p>
            <w:pPr>
              <w:pStyle w:val="44"/>
              <w:keepNext w:val="0"/>
              <w:keepLines w:val="0"/>
              <w:pageBreakBefore w:val="0"/>
              <w:widowControl w:val="0"/>
              <w:kinsoku/>
              <w:wordWrap/>
              <w:overflowPunct/>
              <w:topLinePunct w:val="0"/>
              <w:autoSpaceDE w:val="0"/>
              <w:autoSpaceDN w:val="0"/>
              <w:bidi w:val="0"/>
              <w:adjustRightInd/>
              <w:snapToGrid/>
              <w:spacing w:line="300" w:lineRule="exact"/>
              <w:ind w:right="0"/>
              <w:jc w:val="center"/>
              <w:textAlignment w:val="auto"/>
              <w:rPr>
                <w:rFonts w:hint="eastAsia" w:ascii="仿宋" w:hAnsi="仿宋" w:eastAsia="仿宋" w:cs="仿宋"/>
                <w:b/>
                <w:bCs w:val="0"/>
                <w:w w:val="95"/>
                <w:sz w:val="24"/>
                <w:szCs w:val="24"/>
              </w:rPr>
            </w:pPr>
            <w:r>
              <w:rPr>
                <w:rFonts w:hint="eastAsia" w:ascii="仿宋" w:hAnsi="仿宋" w:eastAsia="仿宋" w:cs="仿宋"/>
                <w:b/>
                <w:bCs w:val="0"/>
                <w:sz w:val="24"/>
                <w:szCs w:val="24"/>
              </w:rPr>
              <w:t>投标保证金</w:t>
            </w:r>
          </w:p>
        </w:tc>
        <w:tc>
          <w:tcPr>
            <w:tcW w:w="6795" w:type="dxa"/>
            <w:tcBorders>
              <w:bottom w:val="single" w:color="auto" w:sz="4" w:space="0"/>
            </w:tcBorders>
            <w:noWrap/>
            <w:vAlign w:val="center"/>
          </w:tcPr>
          <w:p>
            <w:pPr>
              <w:pStyle w:val="44"/>
              <w:jc w:val="left"/>
              <w:rPr>
                <w:rFonts w:hint="eastAsia" w:ascii="仿宋" w:hAnsi="仿宋" w:eastAsia="仿宋" w:cs="仿宋"/>
                <w:b/>
                <w:bCs w:val="0"/>
                <w:sz w:val="24"/>
                <w:szCs w:val="24"/>
                <w:lang w:eastAsia="zh-CN"/>
              </w:rPr>
            </w:pPr>
            <w:r>
              <w:rPr>
                <w:rFonts w:hint="eastAsia" w:ascii="仿宋" w:hAnsi="仿宋" w:eastAsia="仿宋" w:cs="仿宋"/>
                <w:b/>
                <w:bCs w:val="0"/>
                <w:sz w:val="24"/>
                <w:szCs w:val="24"/>
                <w:lang w:val="en-US" w:eastAsia="zh-CN"/>
              </w:rPr>
              <w:t>本项目不收取投标保证金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2" w:type="dxa"/>
            <w:noWrap/>
          </w:tcPr>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6</w:t>
            </w:r>
          </w:p>
        </w:tc>
        <w:tc>
          <w:tcPr>
            <w:tcW w:w="1993" w:type="dxa"/>
            <w:noWrap/>
            <w:vAlign w:val="center"/>
          </w:tcPr>
          <w:p>
            <w:pPr>
              <w:pStyle w:val="44"/>
              <w:ind w:right="218"/>
              <w:jc w:val="center"/>
              <w:rPr>
                <w:rFonts w:hint="eastAsia" w:ascii="仿宋" w:hAnsi="仿宋" w:eastAsia="仿宋" w:cs="仿宋"/>
                <w:b/>
                <w:bCs w:val="0"/>
                <w:w w:val="95"/>
                <w:sz w:val="24"/>
                <w:szCs w:val="24"/>
              </w:rPr>
            </w:pPr>
            <w:r>
              <w:rPr>
                <w:rFonts w:hint="eastAsia" w:ascii="仿宋" w:hAnsi="仿宋" w:eastAsia="仿宋" w:cs="仿宋"/>
                <w:b/>
                <w:bCs w:val="0"/>
                <w:w w:val="95"/>
                <w:sz w:val="24"/>
                <w:szCs w:val="24"/>
              </w:rPr>
              <w:t>开标</w:t>
            </w:r>
          </w:p>
        </w:tc>
        <w:tc>
          <w:tcPr>
            <w:tcW w:w="6795" w:type="dxa"/>
            <w:noWrap/>
          </w:tcPr>
          <w:p>
            <w:pPr>
              <w:keepNext w:val="0"/>
              <w:keepLines w:val="0"/>
              <w:pageBreakBefore w:val="0"/>
              <w:widowControl/>
              <w:kinsoku w:val="0"/>
              <w:wordWrap/>
              <w:overflowPunct/>
              <w:topLinePunct w:val="0"/>
              <w:bidi w:val="0"/>
              <w:adjustRightInd w:val="0"/>
              <w:snapToGrid w:val="0"/>
              <w:spacing w:after="0" w:afterLines="50" w:line="360" w:lineRule="exact"/>
              <w:textAlignment w:val="baseline"/>
              <w:rPr>
                <w:rFonts w:hint="eastAsia" w:ascii="仿宋" w:hAnsi="仿宋" w:eastAsia="仿宋" w:cs="仿宋"/>
                <w:b/>
                <w:bCs w:val="0"/>
                <w:color w:val="0D0D0D"/>
                <w:spacing w:val="-1"/>
                <w:sz w:val="24"/>
                <w:szCs w:val="24"/>
              </w:rPr>
            </w:pPr>
            <w:r>
              <w:rPr>
                <w:rFonts w:hint="eastAsia" w:ascii="仿宋" w:hAnsi="仿宋" w:eastAsia="仿宋" w:cs="仿宋"/>
                <w:b/>
                <w:bCs w:val="0"/>
                <w:color w:val="0D0D0D"/>
                <w:spacing w:val="-1"/>
                <w:sz w:val="24"/>
                <w:szCs w:val="24"/>
              </w:rPr>
              <w:t>开标由采购代理机构主持，邀请所有投标人的法定代表人或其委托代理人准时参加。</w:t>
            </w:r>
          </w:p>
          <w:p>
            <w:pPr>
              <w:keepNext w:val="0"/>
              <w:keepLines w:val="0"/>
              <w:pageBreakBefore w:val="0"/>
              <w:widowControl/>
              <w:kinsoku w:val="0"/>
              <w:wordWrap/>
              <w:overflowPunct/>
              <w:topLinePunct w:val="0"/>
              <w:bidi w:val="0"/>
              <w:adjustRightInd w:val="0"/>
              <w:snapToGrid w:val="0"/>
              <w:spacing w:after="0" w:afterLines="50" w:line="360" w:lineRule="exact"/>
              <w:ind w:firstLine="7"/>
              <w:textAlignment w:val="baseline"/>
              <w:rPr>
                <w:rFonts w:hint="eastAsia" w:ascii="仿宋" w:hAnsi="仿宋" w:eastAsia="仿宋" w:cs="仿宋"/>
                <w:b/>
                <w:bCs w:val="0"/>
                <w:sz w:val="24"/>
                <w:szCs w:val="24"/>
              </w:rPr>
            </w:pPr>
            <w:r>
              <w:rPr>
                <w:rFonts w:hint="eastAsia" w:ascii="仿宋" w:hAnsi="仿宋" w:eastAsia="仿宋" w:cs="仿宋"/>
                <w:b/>
                <w:bCs w:val="0"/>
                <w:spacing w:val="-4"/>
                <w:sz w:val="24"/>
                <w:szCs w:val="24"/>
              </w:rPr>
              <w:t>（1）宣布项目名称及投标文件提交截止时间，终止一切投标文件的接收工作，并宣布开标</w:t>
            </w:r>
            <w:r>
              <w:rPr>
                <w:rFonts w:hint="eastAsia" w:ascii="仿宋" w:hAnsi="仿宋" w:eastAsia="仿宋" w:cs="仿宋"/>
                <w:b/>
                <w:bCs w:val="0"/>
                <w:spacing w:val="-2"/>
                <w:sz w:val="24"/>
                <w:szCs w:val="24"/>
              </w:rPr>
              <w:t>开始；</w:t>
            </w:r>
          </w:p>
          <w:p>
            <w:pPr>
              <w:keepNext w:val="0"/>
              <w:keepLines w:val="0"/>
              <w:pageBreakBefore w:val="0"/>
              <w:widowControl/>
              <w:kinsoku w:val="0"/>
              <w:wordWrap/>
              <w:overflowPunct/>
              <w:topLinePunct w:val="0"/>
              <w:bidi w:val="0"/>
              <w:adjustRightInd w:val="0"/>
              <w:snapToGrid w:val="0"/>
              <w:spacing w:after="0" w:afterLines="50" w:line="360" w:lineRule="exact"/>
              <w:ind w:firstLine="7"/>
              <w:textAlignment w:val="baseline"/>
              <w:rPr>
                <w:rFonts w:hint="eastAsia" w:ascii="仿宋" w:hAnsi="仿宋" w:eastAsia="仿宋" w:cs="仿宋"/>
                <w:b/>
                <w:bCs w:val="0"/>
                <w:sz w:val="24"/>
                <w:szCs w:val="24"/>
              </w:rPr>
            </w:pPr>
            <w:r>
              <w:rPr>
                <w:rFonts w:hint="eastAsia" w:ascii="仿宋" w:hAnsi="仿宋" w:eastAsia="仿宋" w:cs="仿宋"/>
                <w:b/>
                <w:bCs w:val="0"/>
                <w:spacing w:val="-10"/>
                <w:sz w:val="24"/>
                <w:szCs w:val="24"/>
              </w:rPr>
              <w:t>（2）宣布开标纪律；</w:t>
            </w:r>
          </w:p>
          <w:p>
            <w:pPr>
              <w:keepNext w:val="0"/>
              <w:keepLines w:val="0"/>
              <w:pageBreakBefore w:val="0"/>
              <w:widowControl/>
              <w:kinsoku w:val="0"/>
              <w:wordWrap/>
              <w:overflowPunct/>
              <w:topLinePunct w:val="0"/>
              <w:bidi w:val="0"/>
              <w:adjustRightInd w:val="0"/>
              <w:snapToGrid w:val="0"/>
              <w:spacing w:after="0" w:afterLines="50" w:line="360" w:lineRule="exact"/>
              <w:textAlignment w:val="baseline"/>
              <w:rPr>
                <w:rFonts w:hint="eastAsia" w:ascii="仿宋" w:hAnsi="仿宋" w:eastAsia="仿宋" w:cs="仿宋"/>
                <w:b/>
                <w:bCs w:val="0"/>
                <w:sz w:val="24"/>
                <w:szCs w:val="24"/>
              </w:rPr>
            </w:pPr>
            <w:r>
              <w:rPr>
                <w:rFonts w:hint="eastAsia" w:ascii="仿宋" w:hAnsi="仿宋" w:eastAsia="仿宋" w:cs="仿宋"/>
                <w:b/>
                <w:bCs w:val="0"/>
                <w:spacing w:val="-6"/>
                <w:sz w:val="24"/>
                <w:szCs w:val="24"/>
              </w:rPr>
              <w:t>（3）介绍采购人、采购代理机构、现场监督人员；</w:t>
            </w:r>
          </w:p>
          <w:p>
            <w:pPr>
              <w:keepNext w:val="0"/>
              <w:keepLines w:val="0"/>
              <w:pageBreakBefore w:val="0"/>
              <w:widowControl/>
              <w:kinsoku w:val="0"/>
              <w:wordWrap/>
              <w:overflowPunct/>
              <w:topLinePunct w:val="0"/>
              <w:bidi w:val="0"/>
              <w:adjustRightInd w:val="0"/>
              <w:snapToGrid w:val="0"/>
              <w:spacing w:after="0" w:afterLines="50" w:line="360" w:lineRule="exact"/>
              <w:textAlignment w:val="baseline"/>
              <w:rPr>
                <w:rFonts w:hint="eastAsia" w:ascii="仿宋" w:hAnsi="仿宋" w:eastAsia="仿宋" w:cs="仿宋"/>
                <w:b/>
                <w:bCs w:val="0"/>
                <w:sz w:val="24"/>
                <w:szCs w:val="24"/>
              </w:rPr>
            </w:pPr>
            <w:r>
              <w:rPr>
                <w:rFonts w:hint="eastAsia" w:ascii="仿宋" w:hAnsi="仿宋" w:eastAsia="仿宋" w:cs="仿宋"/>
                <w:b/>
                <w:bCs w:val="0"/>
                <w:spacing w:val="-4"/>
                <w:sz w:val="24"/>
                <w:szCs w:val="24"/>
              </w:rPr>
              <w:t>（4）公布在投标文件提交截止时间前递交投标文件的投标人名称，并点名确认投标人代表是</w:t>
            </w:r>
            <w:r>
              <w:rPr>
                <w:rFonts w:hint="eastAsia" w:ascii="仿宋" w:hAnsi="仿宋" w:eastAsia="仿宋" w:cs="仿宋"/>
                <w:b/>
                <w:bCs w:val="0"/>
                <w:spacing w:val="-5"/>
                <w:sz w:val="24"/>
                <w:szCs w:val="24"/>
              </w:rPr>
              <w:t>否到场；</w:t>
            </w:r>
          </w:p>
          <w:p>
            <w:pPr>
              <w:keepNext w:val="0"/>
              <w:keepLines w:val="0"/>
              <w:pageBreakBefore w:val="0"/>
              <w:widowControl/>
              <w:kinsoku w:val="0"/>
              <w:wordWrap/>
              <w:overflowPunct/>
              <w:topLinePunct w:val="0"/>
              <w:bidi w:val="0"/>
              <w:adjustRightInd w:val="0"/>
              <w:snapToGrid w:val="0"/>
              <w:spacing w:after="0" w:afterLines="50" w:line="360" w:lineRule="exact"/>
              <w:ind w:firstLine="25"/>
              <w:textAlignment w:val="baseline"/>
              <w:rPr>
                <w:rFonts w:hint="eastAsia" w:ascii="仿宋" w:hAnsi="仿宋" w:eastAsia="仿宋" w:cs="仿宋"/>
                <w:b/>
                <w:bCs w:val="0"/>
                <w:sz w:val="24"/>
                <w:szCs w:val="24"/>
                <w:lang w:val="en-US"/>
              </w:rPr>
            </w:pPr>
            <w:r>
              <w:rPr>
                <w:rFonts w:hint="eastAsia" w:ascii="仿宋" w:hAnsi="仿宋" w:eastAsia="仿宋" w:cs="仿宋"/>
                <w:b/>
                <w:bCs w:val="0"/>
                <w:spacing w:val="-8"/>
                <w:sz w:val="24"/>
                <w:szCs w:val="24"/>
              </w:rPr>
              <w:t>（5）投标人检查响应文件的密封情况；</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rPr>
            </w:pPr>
            <w:r>
              <w:rPr>
                <w:rFonts w:hint="eastAsia" w:ascii="仿宋" w:hAnsi="仿宋" w:eastAsia="仿宋" w:cs="仿宋"/>
                <w:b/>
                <w:bCs w:val="0"/>
                <w:spacing w:val="-9"/>
                <w:sz w:val="24"/>
                <w:szCs w:val="24"/>
              </w:rPr>
              <w:t>（6）采购人或采购代理机构工作人员当众拆封，宣布投标人名称、投标价格。</w:t>
            </w:r>
          </w:p>
          <w:p>
            <w:pPr>
              <w:pStyle w:val="20"/>
              <w:rPr>
                <w:rFonts w:hint="eastAsia"/>
              </w:rPr>
            </w:pPr>
            <w:r>
              <w:rPr>
                <w:rFonts w:hint="eastAsia" w:ascii="仿宋" w:hAnsi="仿宋" w:eastAsia="仿宋" w:cs="仿宋"/>
                <w:b/>
                <w:bCs w:val="0"/>
                <w:sz w:val="24"/>
                <w:szCs w:val="24"/>
                <w:lang w:eastAsia="zh-CN"/>
              </w:rPr>
              <w:t>注：</w:t>
            </w:r>
            <w:r>
              <w:rPr>
                <w:rFonts w:hint="eastAsia" w:ascii="仿宋" w:hAnsi="仿宋" w:eastAsia="仿宋" w:cs="仿宋"/>
                <w:b/>
                <w:bCs w:val="0"/>
                <w:sz w:val="24"/>
                <w:szCs w:val="24"/>
              </w:rPr>
              <w:t>由于</w:t>
            </w:r>
            <w:r>
              <w:rPr>
                <w:rFonts w:hint="eastAsia" w:ascii="仿宋" w:hAnsi="仿宋" w:eastAsia="仿宋" w:cs="仿宋"/>
                <w:b/>
                <w:bCs w:val="0"/>
                <w:sz w:val="24"/>
                <w:szCs w:val="24"/>
                <w:lang w:val="en-US" w:eastAsia="zh-CN"/>
              </w:rPr>
              <w:t>投标人</w:t>
            </w:r>
            <w:r>
              <w:rPr>
                <w:rFonts w:hint="eastAsia" w:ascii="仿宋" w:hAnsi="仿宋" w:eastAsia="仿宋" w:cs="仿宋"/>
                <w:b/>
                <w:bCs w:val="0"/>
                <w:sz w:val="24"/>
                <w:szCs w:val="24"/>
              </w:rPr>
              <w:t>不参加开标而造成的后果完全由</w:t>
            </w:r>
            <w:r>
              <w:rPr>
                <w:rFonts w:hint="eastAsia" w:ascii="仿宋" w:hAnsi="仿宋" w:eastAsia="仿宋" w:cs="仿宋"/>
                <w:b/>
                <w:bCs w:val="0"/>
                <w:sz w:val="24"/>
                <w:szCs w:val="24"/>
                <w:lang w:val="en-US" w:eastAsia="zh-CN"/>
              </w:rPr>
              <w:t>投标人</w:t>
            </w:r>
            <w:r>
              <w:rPr>
                <w:rFonts w:hint="eastAsia" w:ascii="仿宋" w:hAnsi="仿宋" w:eastAsia="仿宋" w:cs="仿宋"/>
                <w:b/>
                <w:bCs w:val="0"/>
                <w:sz w:val="24"/>
                <w:szCs w:val="24"/>
              </w:rPr>
              <w:t>自行承担。</w:t>
            </w:r>
            <w:r>
              <w:rPr>
                <w:rFonts w:hint="eastAsia" w:ascii="仿宋" w:hAnsi="仿宋" w:eastAsia="仿宋" w:cs="仿宋"/>
                <w:b/>
                <w:bCs w:val="0"/>
                <w:sz w:val="24"/>
                <w:szCs w:val="24"/>
                <w:lang w:val="en-US"/>
              </w:rPr>
              <w:t>疫情</w:t>
            </w:r>
            <w:r>
              <w:rPr>
                <w:rFonts w:hint="eastAsia" w:ascii="仿宋" w:hAnsi="仿宋" w:eastAsia="仿宋" w:cs="仿宋"/>
                <w:b/>
                <w:bCs w:val="0"/>
                <w:sz w:val="24"/>
                <w:szCs w:val="24"/>
              </w:rPr>
              <w:t>防控期间每个</w:t>
            </w:r>
            <w:r>
              <w:rPr>
                <w:rFonts w:hint="eastAsia" w:ascii="仿宋" w:hAnsi="仿宋" w:eastAsia="仿宋" w:cs="仿宋"/>
                <w:b/>
                <w:bCs w:val="0"/>
                <w:sz w:val="24"/>
                <w:szCs w:val="24"/>
                <w:lang w:val="en-US" w:eastAsia="zh-CN"/>
              </w:rPr>
              <w:t>投标人</w:t>
            </w:r>
            <w:r>
              <w:rPr>
                <w:rFonts w:hint="eastAsia" w:ascii="仿宋" w:hAnsi="仿宋" w:eastAsia="仿宋" w:cs="仿宋"/>
                <w:b/>
                <w:bCs w:val="0"/>
                <w:sz w:val="24"/>
                <w:szCs w:val="24"/>
              </w:rPr>
              <w:t>只允许一人到场参加投标活动</w:t>
            </w:r>
            <w:r>
              <w:rPr>
                <w:rFonts w:hint="eastAsia" w:ascii="仿宋" w:hAnsi="仿宋" w:eastAsia="仿宋" w:cs="仿宋"/>
                <w:b/>
                <w:bCs w:val="0"/>
                <w:sz w:val="24"/>
                <w:szCs w:val="24"/>
                <w:lang w:val="en-US"/>
              </w:rPr>
              <w:t>。</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rPr>
            </w:pPr>
            <w:r>
              <w:rPr>
                <w:rFonts w:hint="eastAsia" w:ascii="仿宋" w:hAnsi="仿宋" w:eastAsia="仿宋" w:cs="仿宋"/>
                <w:b/>
                <w:bCs w:val="0"/>
                <w:spacing w:val="-9"/>
                <w:sz w:val="24"/>
                <w:szCs w:val="24"/>
              </w:rPr>
              <w:t>（</w:t>
            </w:r>
            <w:r>
              <w:rPr>
                <w:rFonts w:hint="eastAsia" w:ascii="仿宋" w:hAnsi="仿宋" w:eastAsia="仿宋" w:cs="仿宋"/>
                <w:b/>
                <w:bCs w:val="0"/>
                <w:spacing w:val="-9"/>
                <w:sz w:val="24"/>
                <w:szCs w:val="24"/>
                <w:lang w:val="en-US"/>
              </w:rPr>
              <w:t>7</w:t>
            </w:r>
            <w:r>
              <w:rPr>
                <w:rFonts w:hint="eastAsia" w:ascii="仿宋" w:hAnsi="仿宋" w:eastAsia="仿宋" w:cs="仿宋"/>
                <w:b/>
                <w:bCs w:val="0"/>
                <w:spacing w:val="-9"/>
                <w:sz w:val="24"/>
                <w:szCs w:val="24"/>
              </w:rPr>
              <w:t>）采购人依法对投标人的资格进行审查：</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rPr>
            </w:pPr>
            <w:r>
              <w:rPr>
                <w:rFonts w:hint="eastAsia" w:ascii="仿宋" w:hAnsi="仿宋" w:eastAsia="仿宋" w:cs="仿宋"/>
                <w:b/>
                <w:bCs w:val="0"/>
                <w:spacing w:val="-1"/>
                <w:sz w:val="24"/>
                <w:szCs w:val="24"/>
              </w:rPr>
              <w:t>请</w:t>
            </w:r>
            <w:r>
              <w:rPr>
                <w:rFonts w:hint="eastAsia" w:ascii="仿宋" w:hAnsi="仿宋" w:eastAsia="仿宋" w:cs="仿宋"/>
                <w:b/>
                <w:bCs w:val="0"/>
                <w:spacing w:val="-9"/>
                <w:sz w:val="24"/>
                <w:szCs w:val="24"/>
              </w:rPr>
              <w:t>各投标人随身携带下列有效资格审查材料：</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rPr>
            </w:pPr>
            <w:r>
              <w:rPr>
                <w:rFonts w:hint="eastAsia" w:ascii="仿宋" w:hAnsi="仿宋" w:eastAsia="仿宋" w:cs="仿宋"/>
                <w:b/>
                <w:bCs w:val="0"/>
                <w:spacing w:val="-9"/>
                <w:sz w:val="24"/>
                <w:szCs w:val="24"/>
                <w:lang w:val="en-US"/>
              </w:rPr>
              <w:t>①</w:t>
            </w:r>
            <w:r>
              <w:rPr>
                <w:rFonts w:hint="eastAsia" w:ascii="仿宋" w:hAnsi="仿宋" w:eastAsia="仿宋" w:cs="仿宋"/>
                <w:b/>
                <w:bCs w:val="0"/>
                <w:spacing w:val="-9"/>
                <w:sz w:val="24"/>
                <w:szCs w:val="24"/>
                <w:lang w:val="en-US" w:eastAsia="zh-CN"/>
              </w:rPr>
              <w:t>《</w:t>
            </w:r>
            <w:r>
              <w:rPr>
                <w:rFonts w:hint="eastAsia" w:ascii="仿宋" w:hAnsi="仿宋" w:eastAsia="仿宋" w:cs="仿宋"/>
                <w:b/>
                <w:bCs w:val="0"/>
                <w:spacing w:val="-9"/>
                <w:sz w:val="24"/>
                <w:szCs w:val="24"/>
                <w:lang w:val="en-US"/>
              </w:rPr>
              <w:t>投标资格声明函</w:t>
            </w:r>
            <w:r>
              <w:rPr>
                <w:rFonts w:hint="eastAsia" w:ascii="仿宋" w:hAnsi="仿宋" w:eastAsia="仿宋" w:cs="仿宋"/>
                <w:b/>
                <w:bCs w:val="0"/>
                <w:spacing w:val="-9"/>
                <w:sz w:val="24"/>
                <w:szCs w:val="24"/>
                <w:lang w:val="en-US" w:eastAsia="zh-CN"/>
              </w:rPr>
              <w:t>》</w:t>
            </w:r>
            <w:r>
              <w:rPr>
                <w:rFonts w:hint="eastAsia" w:ascii="仿宋" w:hAnsi="仿宋" w:eastAsia="仿宋" w:cs="仿宋"/>
                <w:b/>
                <w:bCs w:val="0"/>
                <w:spacing w:val="-9"/>
                <w:sz w:val="24"/>
                <w:szCs w:val="24"/>
                <w:lang w:val="en-US"/>
              </w:rPr>
              <w:t>；</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rPr>
            </w:pPr>
            <w:r>
              <w:rPr>
                <w:rFonts w:hint="eastAsia" w:ascii="仿宋" w:hAnsi="仿宋" w:eastAsia="仿宋" w:cs="仿宋"/>
                <w:b/>
                <w:bCs w:val="0"/>
                <w:spacing w:val="-9"/>
                <w:sz w:val="24"/>
                <w:szCs w:val="24"/>
                <w:lang w:val="en-US"/>
              </w:rPr>
              <w:t>②提供法定代表人身份证明书原件和法定代表人本人身份证或委托代理人持法定代表人授权委托书原件及被委托人身份证；</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eastAsia="zh-CN"/>
              </w:rPr>
            </w:pPr>
            <w:r>
              <w:rPr>
                <w:rFonts w:hint="eastAsia" w:ascii="仿宋" w:hAnsi="仿宋" w:eastAsia="仿宋" w:cs="仿宋"/>
                <w:b/>
                <w:bCs w:val="0"/>
                <w:spacing w:val="-9"/>
                <w:sz w:val="24"/>
                <w:szCs w:val="24"/>
                <w:lang w:val="en-US"/>
              </w:rPr>
              <w:t>③营业执照</w:t>
            </w:r>
            <w:r>
              <w:rPr>
                <w:rFonts w:hint="eastAsia" w:ascii="仿宋" w:hAnsi="仿宋" w:eastAsia="仿宋" w:cs="仿宋"/>
                <w:b/>
                <w:bCs w:val="0"/>
                <w:spacing w:val="-9"/>
                <w:sz w:val="24"/>
                <w:szCs w:val="24"/>
                <w:lang w:val="en-US" w:eastAsia="zh-CN"/>
              </w:rPr>
              <w:t>原件或复印件加盖公章；</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eastAsia="zh-CN"/>
              </w:rPr>
            </w:pPr>
            <w:r>
              <w:rPr>
                <w:rFonts w:hint="eastAsia" w:ascii="仿宋" w:hAnsi="仿宋" w:eastAsia="仿宋" w:cs="仿宋"/>
                <w:b/>
                <w:bCs w:val="0"/>
                <w:spacing w:val="-9"/>
                <w:sz w:val="24"/>
                <w:szCs w:val="24"/>
                <w:lang w:val="en-US"/>
              </w:rPr>
              <w:t>④</w:t>
            </w:r>
            <w:r>
              <w:rPr>
                <w:rFonts w:hint="eastAsia" w:ascii="仿宋" w:hAnsi="仿宋" w:eastAsia="仿宋" w:cs="仿宋"/>
                <w:b/>
                <w:bCs w:val="0"/>
                <w:spacing w:val="-9"/>
                <w:sz w:val="24"/>
                <w:szCs w:val="24"/>
                <w:lang w:val="en-US" w:eastAsia="zh-CN"/>
              </w:rPr>
              <w:t>资格审查现场，采购人及采购代理机构查询递交响应文件的供应商是否被</w:t>
            </w:r>
            <w:r>
              <w:rPr>
                <w:rFonts w:hint="eastAsia" w:ascii="仿宋" w:hAnsi="仿宋" w:eastAsia="仿宋" w:cs="仿宋"/>
                <w:b/>
                <w:bCs w:val="0"/>
                <w:spacing w:val="-9"/>
                <w:sz w:val="24"/>
                <w:szCs w:val="24"/>
                <w:lang w:val="en-US"/>
              </w:rPr>
              <w:t>“信用</w:t>
            </w:r>
            <w:r>
              <w:rPr>
                <w:rFonts w:hint="eastAsia" w:ascii="仿宋" w:hAnsi="仿宋" w:eastAsia="仿宋" w:cs="仿宋"/>
                <w:b/>
                <w:bCs w:val="0"/>
                <w:spacing w:val="-9"/>
                <w:sz w:val="24"/>
                <w:szCs w:val="24"/>
                <w:lang w:val="en-US" w:eastAsia="zh-CN"/>
              </w:rPr>
              <w:t xml:space="preserve">中国”网站（ </w:t>
            </w:r>
            <w:r>
              <w:rPr>
                <w:rFonts w:hint="eastAsia" w:ascii="仿宋" w:hAnsi="仿宋" w:eastAsia="仿宋" w:cs="仿宋"/>
                <w:b/>
                <w:bCs w:val="0"/>
                <w:spacing w:val="-9"/>
                <w:sz w:val="24"/>
                <w:szCs w:val="24"/>
                <w:lang w:val="en-US" w:eastAsia="zh-CN"/>
              </w:rPr>
              <w:fldChar w:fldCharType="begin"/>
            </w:r>
            <w:r>
              <w:rPr>
                <w:rFonts w:hint="eastAsia" w:ascii="仿宋" w:hAnsi="仿宋" w:eastAsia="仿宋" w:cs="仿宋"/>
                <w:b/>
                <w:bCs w:val="0"/>
                <w:spacing w:val="-9"/>
                <w:sz w:val="24"/>
                <w:szCs w:val="24"/>
                <w:lang w:val="en-US" w:eastAsia="zh-CN"/>
              </w:rPr>
              <w:instrText xml:space="preserve"> HYPERLINK "http://www.creditchina.gov.cn）列入重大税收违法案件当事人名单；未被中国政府采购网（www.ccgp.gov.cn）列入政府采购严重违法失信行为记录名单、未被中国执行信息公开网（http:/zxgk.court.gov.cn/shixin/）列入失信被执行人名单。" </w:instrText>
            </w:r>
            <w:r>
              <w:rPr>
                <w:rFonts w:hint="eastAsia" w:ascii="仿宋" w:hAnsi="仿宋" w:eastAsia="仿宋" w:cs="仿宋"/>
                <w:b/>
                <w:bCs w:val="0"/>
                <w:spacing w:val="-9"/>
                <w:sz w:val="24"/>
                <w:szCs w:val="24"/>
                <w:lang w:val="en-US" w:eastAsia="zh-CN"/>
              </w:rPr>
              <w:fldChar w:fldCharType="separate"/>
            </w:r>
            <w:r>
              <w:rPr>
                <w:rFonts w:hint="eastAsia" w:ascii="仿宋" w:hAnsi="仿宋" w:eastAsia="仿宋" w:cs="仿宋"/>
                <w:b/>
                <w:bCs w:val="0"/>
                <w:spacing w:val="-9"/>
                <w:sz w:val="24"/>
                <w:szCs w:val="24"/>
                <w:lang w:val="en-US" w:eastAsia="zh-CN"/>
              </w:rPr>
              <w:t>www.creditchina.gov.cn）列入“税收违法黑名单”、是否被中国政府采购网（www.ccgp.gov.cn）列入“政府采购严重违法失信行为记录名单”、是否被中国执行信息公开网（http://zxgk.court.gov.cn/shixin/）列入“失信被执行人名单”。</w:t>
            </w:r>
            <w:r>
              <w:rPr>
                <w:rFonts w:hint="eastAsia" w:ascii="仿宋" w:hAnsi="仿宋" w:eastAsia="仿宋" w:cs="仿宋"/>
                <w:b/>
                <w:bCs w:val="0"/>
                <w:spacing w:val="-9"/>
                <w:sz w:val="24"/>
                <w:szCs w:val="24"/>
                <w:lang w:val="en-US" w:eastAsia="zh-CN"/>
              </w:rPr>
              <w:fldChar w:fldCharType="end"/>
            </w:r>
            <w:r>
              <w:rPr>
                <w:rFonts w:hint="eastAsia" w:ascii="仿宋" w:hAnsi="仿宋" w:eastAsia="仿宋" w:cs="仿宋"/>
                <w:b/>
                <w:bCs w:val="0"/>
                <w:spacing w:val="-9"/>
                <w:sz w:val="24"/>
                <w:szCs w:val="24"/>
                <w:lang w:val="en-US" w:eastAsia="zh-CN"/>
              </w:rPr>
              <w:t>供应商法定代表人或授权代理人对查询结果截图签字确认。被“信用中国”网列入“税收违法黑名单”、被中国政府采购网列入“政府采购严重违法失信行为信息记录”、被中国执行信息公开网列入“失信被执行人名单库”的供应商不得参与此项目。</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rPr>
            </w:pPr>
            <w:r>
              <w:rPr>
                <w:rFonts w:hint="eastAsia" w:ascii="仿宋" w:hAnsi="仿宋" w:eastAsia="仿宋" w:cs="仿宋"/>
                <w:b/>
                <w:bCs w:val="0"/>
                <w:spacing w:val="-9"/>
                <w:sz w:val="24"/>
                <w:szCs w:val="24"/>
                <w:lang w:val="en-US"/>
              </w:rPr>
              <w:t>上述资格审查通过的</w:t>
            </w:r>
            <w:r>
              <w:rPr>
                <w:rFonts w:hint="eastAsia" w:ascii="仿宋" w:hAnsi="仿宋" w:eastAsia="仿宋" w:cs="仿宋"/>
                <w:b/>
                <w:bCs w:val="0"/>
                <w:spacing w:val="-9"/>
                <w:sz w:val="24"/>
                <w:szCs w:val="24"/>
                <w:lang w:val="en-US" w:eastAsia="zh-CN"/>
              </w:rPr>
              <w:t>投标人</w:t>
            </w:r>
            <w:r>
              <w:rPr>
                <w:rFonts w:hint="eastAsia" w:ascii="仿宋" w:hAnsi="仿宋" w:eastAsia="仿宋" w:cs="仿宋"/>
                <w:b/>
                <w:bCs w:val="0"/>
                <w:spacing w:val="-9"/>
                <w:sz w:val="24"/>
                <w:szCs w:val="24"/>
                <w:lang w:val="en-US"/>
              </w:rPr>
              <w:t>为</w:t>
            </w:r>
            <w:r>
              <w:rPr>
                <w:rFonts w:hint="eastAsia" w:ascii="仿宋" w:hAnsi="仿宋" w:eastAsia="仿宋" w:cs="仿宋"/>
                <w:b/>
                <w:bCs w:val="0"/>
                <w:spacing w:val="-9"/>
                <w:sz w:val="24"/>
                <w:szCs w:val="24"/>
                <w:lang w:val="en-US" w:eastAsia="zh-CN"/>
              </w:rPr>
              <w:t>合格的投标人</w:t>
            </w:r>
            <w:r>
              <w:rPr>
                <w:rFonts w:hint="eastAsia" w:ascii="仿宋" w:hAnsi="仿宋" w:eastAsia="仿宋" w:cs="仿宋"/>
                <w:b/>
                <w:bCs w:val="0"/>
                <w:spacing w:val="-9"/>
                <w:sz w:val="24"/>
                <w:szCs w:val="24"/>
                <w:lang w:val="en-US"/>
              </w:rPr>
              <w:t>。</w:t>
            </w:r>
          </w:p>
          <w:p>
            <w:pPr>
              <w:pStyle w:val="44"/>
              <w:keepNext w:val="0"/>
              <w:keepLines w:val="0"/>
              <w:pageBreakBefore w:val="0"/>
              <w:wordWrap/>
              <w:overflowPunct/>
              <w:topLinePunct w:val="0"/>
              <w:autoSpaceDE/>
              <w:autoSpaceDN/>
              <w:bidi w:val="0"/>
              <w:spacing w:after="0" w:afterLines="50" w:line="360" w:lineRule="exact"/>
              <w:rPr>
                <w:rFonts w:hint="eastAsia" w:ascii="仿宋" w:hAnsi="仿宋" w:eastAsia="仿宋" w:cs="仿宋"/>
                <w:b/>
                <w:bCs w:val="0"/>
                <w:sz w:val="24"/>
                <w:szCs w:val="24"/>
              </w:rPr>
            </w:pPr>
            <w:r>
              <w:rPr>
                <w:rFonts w:hint="eastAsia" w:ascii="仿宋" w:hAnsi="仿宋" w:eastAsia="仿宋" w:cs="仿宋"/>
                <w:b/>
                <w:bCs w:val="0"/>
                <w:sz w:val="24"/>
                <w:szCs w:val="24"/>
              </w:rPr>
              <w:t>注：</w:t>
            </w:r>
            <w:r>
              <w:rPr>
                <w:rFonts w:hint="eastAsia" w:ascii="仿宋" w:hAnsi="仿宋" w:eastAsia="仿宋" w:cs="仿宋"/>
                <w:b/>
                <w:bCs w:val="0"/>
                <w:sz w:val="24"/>
                <w:szCs w:val="24"/>
                <w:lang w:val="en-US" w:eastAsia="zh-CN"/>
              </w:rPr>
              <w:t>投标人</w:t>
            </w:r>
            <w:r>
              <w:rPr>
                <w:rFonts w:hint="eastAsia" w:ascii="仿宋" w:hAnsi="仿宋" w:eastAsia="仿宋" w:cs="仿宋"/>
                <w:b/>
                <w:bCs w:val="0"/>
                <w:sz w:val="24"/>
                <w:szCs w:val="24"/>
              </w:rPr>
              <w:t>不能提供有效的资格审查材料则投标文件按无效投标处理。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642" w:type="dxa"/>
            <w:noWrap/>
          </w:tcPr>
          <w:p>
            <w:pPr>
              <w:pStyle w:val="44"/>
              <w:spacing w:before="65"/>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7</w:t>
            </w:r>
          </w:p>
        </w:tc>
        <w:tc>
          <w:tcPr>
            <w:tcW w:w="1993" w:type="dxa"/>
            <w:noWrap/>
          </w:tcPr>
          <w:p>
            <w:pPr>
              <w:pStyle w:val="44"/>
              <w:spacing w:before="65"/>
              <w:ind w:right="197"/>
              <w:jc w:val="center"/>
              <w:rPr>
                <w:rFonts w:hint="eastAsia" w:ascii="仿宋" w:hAnsi="仿宋" w:eastAsia="仿宋" w:cs="仿宋"/>
                <w:b/>
                <w:bCs w:val="0"/>
                <w:sz w:val="24"/>
                <w:szCs w:val="24"/>
              </w:rPr>
            </w:pPr>
            <w:r>
              <w:rPr>
                <w:rFonts w:hint="eastAsia" w:ascii="仿宋" w:hAnsi="仿宋" w:eastAsia="仿宋" w:cs="仿宋"/>
                <w:b/>
                <w:bCs w:val="0"/>
                <w:sz w:val="24"/>
                <w:szCs w:val="24"/>
              </w:rPr>
              <w:t>履约保证金</w:t>
            </w:r>
          </w:p>
        </w:tc>
        <w:tc>
          <w:tcPr>
            <w:tcW w:w="6795" w:type="dxa"/>
            <w:noWrap/>
          </w:tcPr>
          <w:p>
            <w:pPr>
              <w:pStyle w:val="44"/>
              <w:spacing w:before="11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jc w:val="center"/>
        </w:trPr>
        <w:tc>
          <w:tcPr>
            <w:tcW w:w="642" w:type="dxa"/>
            <w:noWrap/>
            <w:vAlign w:val="center"/>
          </w:tcPr>
          <w:p>
            <w:pPr>
              <w:pStyle w:val="44"/>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18</w:t>
            </w:r>
          </w:p>
        </w:tc>
        <w:tc>
          <w:tcPr>
            <w:tcW w:w="1993" w:type="dxa"/>
            <w:noWrap/>
            <w:vAlign w:val="center"/>
          </w:tcPr>
          <w:p>
            <w:pPr>
              <w:widowControl/>
              <w:kinsoku w:val="0"/>
              <w:adjustRightInd w:val="0"/>
              <w:snapToGrid w:val="0"/>
              <w:ind w:left="357" w:hanging="357"/>
              <w:jc w:val="center"/>
              <w:textAlignment w:val="baseline"/>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招标文件售价</w:t>
            </w:r>
          </w:p>
        </w:tc>
        <w:tc>
          <w:tcPr>
            <w:tcW w:w="6795" w:type="dxa"/>
            <w:noWrap/>
          </w:tcPr>
          <w:p>
            <w:pPr>
              <w:spacing w:before="131"/>
              <w:ind w:left="123" w:right="88"/>
              <w:rPr>
                <w:rFonts w:hint="eastAsia" w:ascii="仿宋" w:hAnsi="仿宋" w:eastAsia="仿宋" w:cs="仿宋"/>
                <w:b/>
                <w:bCs w:val="0"/>
                <w:spacing w:val="-4"/>
                <w:w w:val="95"/>
                <w:sz w:val="24"/>
                <w:szCs w:val="24"/>
              </w:rPr>
            </w:pPr>
            <w:r>
              <w:rPr>
                <w:rFonts w:hint="eastAsia" w:ascii="仿宋" w:hAnsi="仿宋" w:eastAsia="仿宋" w:cs="仿宋"/>
                <w:b/>
                <w:bCs w:val="0"/>
                <w:sz w:val="24"/>
                <w:szCs w:val="24"/>
                <w:lang w:val="en-US"/>
              </w:rPr>
              <w:t>招标文件每份300元，招标文件一经售出，不论供应商以何种原因不参与投标，招标文件费不予退还。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jc w:val="center"/>
        </w:trPr>
        <w:tc>
          <w:tcPr>
            <w:tcW w:w="642" w:type="dxa"/>
            <w:noWrap/>
            <w:vAlign w:val="center"/>
          </w:tcPr>
          <w:p>
            <w:pPr>
              <w:pStyle w:val="44"/>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19</w:t>
            </w:r>
          </w:p>
        </w:tc>
        <w:tc>
          <w:tcPr>
            <w:tcW w:w="1993" w:type="dxa"/>
            <w:noWrap/>
            <w:vAlign w:val="center"/>
          </w:tcPr>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投标文件份数、</w:t>
            </w:r>
          </w:p>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密封等要求</w:t>
            </w:r>
          </w:p>
        </w:tc>
        <w:tc>
          <w:tcPr>
            <w:tcW w:w="6795" w:type="dxa"/>
            <w:noWrap/>
          </w:tcPr>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1、投标文件正本壹份，副本贰份。</w:t>
            </w:r>
          </w:p>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2、供应商应将商务标的正本和副本装入同一个密封袋中，并在密封袋上相应注明“投标文件”字样，“开标一览表”另装一个密封袋中；</w:t>
            </w:r>
          </w:p>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3、投标文件密封和标记详见</w:t>
            </w:r>
            <w:r>
              <w:rPr>
                <w:rFonts w:hint="eastAsia" w:ascii="仿宋" w:hAnsi="仿宋" w:eastAsia="仿宋" w:cs="仿宋"/>
                <w:b/>
                <w:bCs w:val="0"/>
                <w:sz w:val="24"/>
                <w:szCs w:val="24"/>
                <w:lang w:val="en-US" w:eastAsia="zh-CN"/>
              </w:rPr>
              <w:t>“投标人须知正文”</w:t>
            </w:r>
            <w:r>
              <w:rPr>
                <w:rFonts w:hint="eastAsia" w:ascii="仿宋" w:hAnsi="仿宋" w:eastAsia="仿宋" w:cs="仿宋"/>
                <w:b/>
                <w:bCs w:val="0"/>
                <w:sz w:val="24"/>
                <w:szCs w:val="24"/>
                <w:lang w:val="en-US"/>
              </w:rPr>
              <w:t>第四节规定及要求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642" w:type="dxa"/>
            <w:noWrap/>
            <w:vAlign w:val="center"/>
          </w:tcPr>
          <w:p>
            <w:pPr>
              <w:pStyle w:val="44"/>
              <w:spacing w:before="65"/>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lang w:val="en-US"/>
              </w:rPr>
              <w:t>20</w:t>
            </w:r>
          </w:p>
        </w:tc>
        <w:tc>
          <w:tcPr>
            <w:tcW w:w="1993" w:type="dxa"/>
            <w:noWrap/>
            <w:vAlign w:val="center"/>
          </w:tcPr>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投标截止时间</w:t>
            </w:r>
          </w:p>
        </w:tc>
        <w:tc>
          <w:tcPr>
            <w:tcW w:w="6795" w:type="dxa"/>
            <w:noWrap/>
          </w:tcPr>
          <w:p>
            <w:pPr>
              <w:pStyle w:val="44"/>
              <w:spacing w:before="110"/>
              <w:ind w:left="107"/>
              <w:rPr>
                <w:rFonts w:hint="eastAsia" w:ascii="仿宋" w:hAnsi="仿宋" w:eastAsia="仿宋" w:cs="仿宋"/>
                <w:b/>
                <w:bCs w:val="0"/>
                <w:spacing w:val="-4"/>
                <w:w w:val="95"/>
                <w:sz w:val="24"/>
                <w:szCs w:val="24"/>
              </w:rPr>
            </w:pPr>
            <w:r>
              <w:rPr>
                <w:rFonts w:hint="eastAsia" w:ascii="仿宋" w:hAnsi="仿宋" w:eastAsia="仿宋" w:cs="仿宋"/>
                <w:b/>
                <w:bCs w:val="0"/>
                <w:color w:val="000000"/>
                <w:sz w:val="24"/>
                <w:szCs w:val="24"/>
                <w:lang w:val="en-US" w:eastAsia="zh-CN" w:bidi="zh-CN"/>
              </w:rPr>
              <w:t>2022</w:t>
            </w:r>
            <w:r>
              <w:rPr>
                <w:rFonts w:hint="eastAsia" w:ascii="仿宋" w:hAnsi="仿宋" w:eastAsia="仿宋" w:cs="仿宋"/>
                <w:b/>
                <w:bCs w:val="0"/>
                <w:color w:val="000000"/>
                <w:sz w:val="24"/>
                <w:szCs w:val="24"/>
                <w:lang w:val="zh-CN" w:eastAsia="zh-CN" w:bidi="zh-CN"/>
              </w:rPr>
              <w:t>年</w:t>
            </w:r>
            <w:r>
              <w:rPr>
                <w:rFonts w:hint="eastAsia" w:ascii="仿宋" w:hAnsi="仿宋" w:eastAsia="仿宋" w:cs="仿宋"/>
                <w:b/>
                <w:bCs w:val="0"/>
                <w:color w:val="000000"/>
                <w:sz w:val="24"/>
                <w:szCs w:val="24"/>
                <w:lang w:val="en-US" w:eastAsia="zh-CN" w:bidi="zh-CN"/>
              </w:rPr>
              <w:t>8</w:t>
            </w:r>
            <w:r>
              <w:rPr>
                <w:rFonts w:hint="eastAsia" w:ascii="仿宋" w:hAnsi="仿宋" w:eastAsia="仿宋" w:cs="仿宋"/>
                <w:b/>
                <w:bCs w:val="0"/>
                <w:color w:val="000000"/>
                <w:sz w:val="24"/>
                <w:szCs w:val="24"/>
                <w:lang w:val="zh-CN" w:eastAsia="zh-CN" w:bidi="zh-CN"/>
              </w:rPr>
              <w:t>月</w:t>
            </w:r>
            <w:r>
              <w:rPr>
                <w:rFonts w:hint="eastAsia" w:ascii="仿宋" w:hAnsi="仿宋" w:eastAsia="仿宋" w:cs="仿宋"/>
                <w:b/>
                <w:bCs w:val="0"/>
                <w:color w:val="000000"/>
                <w:sz w:val="24"/>
                <w:szCs w:val="24"/>
                <w:lang w:val="en-US" w:eastAsia="zh-CN" w:bidi="zh-CN"/>
              </w:rPr>
              <w:t>11</w:t>
            </w:r>
            <w:r>
              <w:rPr>
                <w:rFonts w:hint="eastAsia" w:ascii="仿宋" w:hAnsi="仿宋" w:eastAsia="仿宋" w:cs="仿宋"/>
                <w:b/>
                <w:bCs w:val="0"/>
                <w:color w:val="000000"/>
                <w:sz w:val="24"/>
                <w:szCs w:val="24"/>
                <w:lang w:val="zh-CN" w:eastAsia="zh-CN" w:bidi="zh-CN"/>
              </w:rPr>
              <w:t>日1</w:t>
            </w:r>
            <w:r>
              <w:rPr>
                <w:rFonts w:hint="eastAsia" w:ascii="仿宋" w:hAnsi="仿宋" w:eastAsia="仿宋" w:cs="仿宋"/>
                <w:b/>
                <w:bCs w:val="0"/>
                <w:color w:val="000000"/>
                <w:sz w:val="24"/>
                <w:szCs w:val="24"/>
                <w:lang w:val="en-US" w:eastAsia="zh-CN" w:bidi="zh-CN"/>
              </w:rPr>
              <w:t>0</w:t>
            </w:r>
            <w:r>
              <w:rPr>
                <w:rFonts w:hint="eastAsia" w:ascii="仿宋" w:hAnsi="仿宋" w:eastAsia="仿宋" w:cs="仿宋"/>
                <w:b/>
                <w:bCs w:val="0"/>
                <w:color w:val="000000"/>
                <w:sz w:val="24"/>
                <w:szCs w:val="24"/>
                <w:lang w:val="zh-CN" w:eastAsia="zh-CN" w:bidi="zh-CN"/>
              </w:rPr>
              <w:t>:</w:t>
            </w:r>
            <w:r>
              <w:rPr>
                <w:rFonts w:hint="eastAsia" w:ascii="仿宋" w:hAnsi="仿宋" w:eastAsia="仿宋" w:cs="仿宋"/>
                <w:b/>
                <w:bCs w:val="0"/>
                <w:color w:val="000000"/>
                <w:sz w:val="24"/>
                <w:szCs w:val="24"/>
                <w:lang w:val="en-US" w:eastAsia="zh-CN" w:bidi="zh-CN"/>
              </w:rPr>
              <w:t>3</w:t>
            </w:r>
            <w:r>
              <w:rPr>
                <w:rFonts w:hint="eastAsia" w:ascii="仿宋" w:hAnsi="仿宋" w:eastAsia="仿宋" w:cs="仿宋"/>
                <w:b/>
                <w:bCs w:val="0"/>
                <w:color w:val="000000"/>
                <w:sz w:val="24"/>
                <w:szCs w:val="24"/>
                <w:lang w:val="zh-CN" w:eastAsia="zh-CN" w:bidi="zh-CN"/>
              </w:rPr>
              <w:t xml:space="preserve">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642" w:type="dxa"/>
            <w:noWrap/>
            <w:vAlign w:val="center"/>
          </w:tcPr>
          <w:p>
            <w:pPr>
              <w:pStyle w:val="44"/>
              <w:spacing w:before="120"/>
              <w:ind w:left="123"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rPr>
              <w:t>2</w:t>
            </w:r>
            <w:r>
              <w:rPr>
                <w:rFonts w:hint="eastAsia" w:ascii="仿宋" w:hAnsi="仿宋" w:eastAsia="仿宋" w:cs="仿宋"/>
                <w:b/>
                <w:bCs w:val="0"/>
                <w:sz w:val="24"/>
                <w:szCs w:val="24"/>
                <w:lang w:val="en-US"/>
              </w:rPr>
              <w:t>1</w:t>
            </w:r>
          </w:p>
        </w:tc>
        <w:tc>
          <w:tcPr>
            <w:tcW w:w="1993" w:type="dxa"/>
            <w:noWrap/>
          </w:tcPr>
          <w:p>
            <w:pPr>
              <w:pStyle w:val="44"/>
              <w:spacing w:before="120"/>
              <w:jc w:val="center"/>
              <w:rPr>
                <w:rFonts w:hint="eastAsia" w:ascii="仿宋" w:hAnsi="仿宋" w:eastAsia="仿宋" w:cs="仿宋"/>
                <w:b/>
                <w:bCs w:val="0"/>
                <w:sz w:val="24"/>
                <w:szCs w:val="24"/>
              </w:rPr>
            </w:pPr>
            <w:r>
              <w:rPr>
                <w:rFonts w:hint="eastAsia" w:ascii="仿宋" w:hAnsi="仿宋" w:eastAsia="仿宋" w:cs="仿宋"/>
                <w:b/>
                <w:bCs w:val="0"/>
                <w:sz w:val="24"/>
                <w:szCs w:val="24"/>
              </w:rPr>
              <w:t>递交投标文件地点</w:t>
            </w:r>
          </w:p>
        </w:tc>
        <w:tc>
          <w:tcPr>
            <w:tcW w:w="6795" w:type="dxa"/>
            <w:noWrap/>
            <w:vAlign w:val="center"/>
          </w:tcPr>
          <w:p>
            <w:pPr>
              <w:pStyle w:val="21"/>
              <w:spacing w:beforeAutospacing="0" w:afterAutospacing="0"/>
              <w:jc w:val="both"/>
              <w:rPr>
                <w:rFonts w:hint="eastAsia" w:ascii="仿宋" w:hAnsi="仿宋" w:eastAsia="仿宋" w:cs="仿宋"/>
                <w:b/>
                <w:bCs w:val="0"/>
                <w:spacing w:val="-4"/>
                <w:w w:val="95"/>
                <w:sz w:val="24"/>
                <w:szCs w:val="24"/>
                <w:lang w:val="en-US"/>
              </w:rPr>
            </w:pPr>
            <w:r>
              <w:rPr>
                <w:rFonts w:hint="eastAsia" w:ascii="仿宋" w:hAnsi="仿宋" w:eastAsia="仿宋" w:cs="仿宋"/>
                <w:b/>
                <w:bCs w:val="0"/>
                <w:sz w:val="24"/>
                <w:szCs w:val="24"/>
              </w:rPr>
              <w:t>昌吉市和谐玫瑰园</w:t>
            </w:r>
            <w:r>
              <w:rPr>
                <w:rFonts w:hint="eastAsia" w:ascii="仿宋" w:hAnsi="仿宋" w:eastAsia="仿宋" w:cs="仿宋"/>
                <w:b/>
                <w:bCs w:val="0"/>
                <w:sz w:val="24"/>
                <w:szCs w:val="24"/>
                <w:lang w:val="en-US"/>
              </w:rPr>
              <w:t>A区A座11楼1108室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jc w:val="center"/>
        </w:trPr>
        <w:tc>
          <w:tcPr>
            <w:tcW w:w="642" w:type="dxa"/>
            <w:noWrap/>
            <w:vAlign w:val="center"/>
          </w:tcPr>
          <w:p>
            <w:pPr>
              <w:pStyle w:val="44"/>
              <w:spacing w:before="155"/>
              <w:ind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22</w:t>
            </w:r>
          </w:p>
        </w:tc>
        <w:tc>
          <w:tcPr>
            <w:tcW w:w="1993" w:type="dxa"/>
            <w:noWrap/>
            <w:vAlign w:val="center"/>
          </w:tcPr>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开标时间和地点</w:t>
            </w:r>
          </w:p>
        </w:tc>
        <w:tc>
          <w:tcPr>
            <w:tcW w:w="6795" w:type="dxa"/>
            <w:noWrap/>
            <w:vAlign w:val="center"/>
          </w:tcPr>
          <w:p>
            <w:pPr>
              <w:pStyle w:val="21"/>
              <w:spacing w:beforeAutospacing="0" w:afterAutospacing="0"/>
              <w:rPr>
                <w:rFonts w:hint="eastAsia"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rPr>
              <w:t>开标时间：2022年</w:t>
            </w:r>
            <w:r>
              <w:rPr>
                <w:rFonts w:hint="eastAsia" w:ascii="仿宋" w:hAnsi="仿宋" w:eastAsia="仿宋" w:cs="仿宋"/>
                <w:b/>
                <w:bCs w:val="0"/>
                <w:color w:val="auto"/>
                <w:sz w:val="24"/>
                <w:szCs w:val="24"/>
                <w:lang w:val="en-US" w:eastAsia="zh-CN"/>
              </w:rPr>
              <w:t>8</w:t>
            </w:r>
            <w:r>
              <w:rPr>
                <w:rFonts w:hint="eastAsia" w:ascii="仿宋" w:hAnsi="仿宋" w:eastAsia="仿宋" w:cs="仿宋"/>
                <w:b/>
                <w:bCs w:val="0"/>
                <w:color w:val="auto"/>
                <w:sz w:val="24"/>
                <w:szCs w:val="24"/>
                <w:lang w:val="en-US"/>
              </w:rPr>
              <w:t>月</w:t>
            </w:r>
            <w:r>
              <w:rPr>
                <w:rFonts w:hint="eastAsia" w:ascii="仿宋" w:hAnsi="仿宋" w:eastAsia="仿宋" w:cs="仿宋"/>
                <w:b/>
                <w:bCs w:val="0"/>
                <w:color w:val="auto"/>
                <w:sz w:val="24"/>
                <w:szCs w:val="24"/>
                <w:lang w:val="en-US" w:eastAsia="zh-CN"/>
              </w:rPr>
              <w:t>11</w:t>
            </w:r>
            <w:r>
              <w:rPr>
                <w:rFonts w:hint="eastAsia" w:ascii="仿宋" w:hAnsi="仿宋" w:eastAsia="仿宋" w:cs="仿宋"/>
                <w:b/>
                <w:bCs w:val="0"/>
                <w:color w:val="auto"/>
                <w:sz w:val="24"/>
                <w:szCs w:val="24"/>
                <w:lang w:val="en-US"/>
              </w:rPr>
              <w:t>日1</w:t>
            </w:r>
            <w:r>
              <w:rPr>
                <w:rFonts w:hint="eastAsia" w:ascii="仿宋" w:hAnsi="仿宋" w:eastAsia="仿宋" w:cs="仿宋"/>
                <w:b/>
                <w:bCs w:val="0"/>
                <w:color w:val="auto"/>
                <w:sz w:val="24"/>
                <w:szCs w:val="24"/>
                <w:lang w:val="en-US" w:eastAsia="zh-CN"/>
              </w:rPr>
              <w:t>0</w:t>
            </w:r>
            <w:r>
              <w:rPr>
                <w:rFonts w:hint="eastAsia" w:ascii="仿宋" w:hAnsi="仿宋" w:eastAsia="仿宋" w:cs="仿宋"/>
                <w:b/>
                <w:bCs w:val="0"/>
                <w:color w:val="auto"/>
                <w:sz w:val="24"/>
                <w:szCs w:val="24"/>
                <w:lang w:val="en-US"/>
              </w:rPr>
              <w:t>:</w:t>
            </w:r>
            <w:r>
              <w:rPr>
                <w:rFonts w:hint="eastAsia" w:ascii="仿宋" w:hAnsi="仿宋" w:eastAsia="仿宋" w:cs="仿宋"/>
                <w:b/>
                <w:bCs w:val="0"/>
                <w:color w:val="auto"/>
                <w:sz w:val="24"/>
                <w:szCs w:val="24"/>
                <w:lang w:val="en-US" w:eastAsia="zh-CN"/>
              </w:rPr>
              <w:t>3</w:t>
            </w:r>
            <w:r>
              <w:rPr>
                <w:rFonts w:hint="eastAsia" w:ascii="仿宋" w:hAnsi="仿宋" w:eastAsia="仿宋" w:cs="仿宋"/>
                <w:b/>
                <w:bCs w:val="0"/>
                <w:color w:val="auto"/>
                <w:sz w:val="24"/>
                <w:szCs w:val="24"/>
                <w:lang w:val="en-US"/>
              </w:rPr>
              <w:t>0</w:t>
            </w:r>
          </w:p>
          <w:p>
            <w:pPr>
              <w:pStyle w:val="21"/>
              <w:spacing w:beforeAutospacing="0" w:afterAutospacing="0"/>
              <w:rPr>
                <w:rFonts w:hint="eastAsia"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rPr>
              <w:t>详细地</w:t>
            </w:r>
            <w:r>
              <w:rPr>
                <w:rFonts w:hint="eastAsia" w:ascii="仿宋" w:hAnsi="仿宋" w:eastAsia="仿宋" w:cs="仿宋"/>
                <w:b/>
                <w:bCs w:val="0"/>
                <w:color w:val="auto"/>
                <w:sz w:val="24"/>
                <w:szCs w:val="24"/>
              </w:rPr>
              <w:t>址：</w:t>
            </w:r>
            <w:r>
              <w:rPr>
                <w:rFonts w:hint="eastAsia" w:ascii="仿宋" w:hAnsi="仿宋" w:eastAsia="仿宋" w:cs="仿宋"/>
                <w:b/>
                <w:bCs w:val="0"/>
                <w:color w:val="auto"/>
                <w:sz w:val="24"/>
                <w:szCs w:val="24"/>
                <w:lang w:val="en-US"/>
              </w:rPr>
              <w:t>昌吉市和谐玫瑰园A区A座11楼1108室（昌吉市北京南路和塔城路交汇东北角处）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642" w:type="dxa"/>
            <w:noWrap/>
            <w:vAlign w:val="center"/>
          </w:tcPr>
          <w:p>
            <w:pPr>
              <w:pStyle w:val="44"/>
              <w:spacing w:before="155"/>
              <w:ind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23</w:t>
            </w:r>
          </w:p>
        </w:tc>
        <w:tc>
          <w:tcPr>
            <w:tcW w:w="1993" w:type="dxa"/>
            <w:noWrap/>
            <w:vAlign w:val="center"/>
          </w:tcPr>
          <w:p>
            <w:pPr>
              <w:pStyle w:val="44"/>
              <w:spacing w:before="155"/>
              <w:jc w:val="center"/>
              <w:rPr>
                <w:rFonts w:hint="eastAsia" w:ascii="仿宋" w:hAnsi="仿宋" w:eastAsia="仿宋" w:cs="仿宋"/>
                <w:b/>
                <w:bCs w:val="0"/>
                <w:sz w:val="24"/>
                <w:szCs w:val="24"/>
              </w:rPr>
            </w:pPr>
            <w:r>
              <w:rPr>
                <w:rFonts w:hint="eastAsia" w:ascii="仿宋" w:hAnsi="仿宋" w:eastAsia="仿宋" w:cs="仿宋"/>
                <w:b/>
                <w:bCs w:val="0"/>
                <w:sz w:val="24"/>
                <w:szCs w:val="24"/>
              </w:rPr>
              <w:t>评标委员会的组建</w:t>
            </w:r>
          </w:p>
        </w:tc>
        <w:tc>
          <w:tcPr>
            <w:tcW w:w="6795" w:type="dxa"/>
            <w:noWrap/>
            <w:vAlign w:val="center"/>
          </w:tcPr>
          <w:p>
            <w:pPr>
              <w:pStyle w:val="44"/>
              <w:jc w:val="both"/>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评标委员会构成：5人 </w:t>
            </w:r>
          </w:p>
          <w:p>
            <w:pPr>
              <w:pStyle w:val="44"/>
              <w:jc w:val="both"/>
              <w:rPr>
                <w:rFonts w:hint="eastAsia" w:ascii="仿宋" w:hAnsi="仿宋" w:eastAsia="仿宋" w:cs="仿宋"/>
                <w:b/>
                <w:bCs w:val="0"/>
                <w:sz w:val="24"/>
                <w:szCs w:val="24"/>
              </w:rPr>
            </w:pPr>
            <w:r>
              <w:rPr>
                <w:rFonts w:hint="eastAsia" w:ascii="仿宋" w:hAnsi="仿宋" w:eastAsia="仿宋" w:cs="仿宋"/>
                <w:b/>
                <w:bCs w:val="0"/>
                <w:sz w:val="24"/>
                <w:szCs w:val="24"/>
                <w:lang w:val="en-US"/>
              </w:rPr>
              <w:t>评标专家确定方式：政府采购专家库中随机抽取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642" w:type="dxa"/>
            <w:noWrap/>
            <w:vAlign w:val="center"/>
          </w:tcPr>
          <w:p>
            <w:pPr>
              <w:pStyle w:val="44"/>
              <w:spacing w:before="155"/>
              <w:ind w:left="123"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24</w:t>
            </w:r>
          </w:p>
        </w:tc>
        <w:tc>
          <w:tcPr>
            <w:tcW w:w="1993" w:type="dxa"/>
            <w:noWrap/>
            <w:vAlign w:val="center"/>
          </w:tcPr>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评标委员会推荐中标候选人的人数</w:t>
            </w:r>
          </w:p>
        </w:tc>
        <w:tc>
          <w:tcPr>
            <w:tcW w:w="6795" w:type="dxa"/>
            <w:noWrap/>
            <w:vAlign w:val="center"/>
          </w:tcPr>
          <w:p>
            <w:pPr>
              <w:pStyle w:val="44"/>
              <w:jc w:val="both"/>
              <w:rPr>
                <w:rFonts w:hint="eastAsia" w:ascii="仿宋" w:hAnsi="仿宋" w:eastAsia="仿宋" w:cs="仿宋"/>
                <w:b/>
                <w:bCs w:val="0"/>
                <w:sz w:val="24"/>
                <w:szCs w:val="24"/>
              </w:rPr>
            </w:pPr>
            <w:r>
              <w:rPr>
                <w:rFonts w:hint="eastAsia" w:ascii="仿宋" w:hAnsi="仿宋" w:eastAsia="仿宋" w:cs="仿宋"/>
                <w:b/>
                <w:bCs w:val="0"/>
                <w:sz w:val="24"/>
                <w:szCs w:val="24"/>
                <w:lang w:val="en-US"/>
              </w:rPr>
              <w:t>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642" w:type="dxa"/>
            <w:noWrap/>
            <w:vAlign w:val="center"/>
          </w:tcPr>
          <w:p>
            <w:pPr>
              <w:pStyle w:val="44"/>
              <w:spacing w:before="155"/>
              <w:ind w:left="123"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25</w:t>
            </w:r>
          </w:p>
        </w:tc>
        <w:tc>
          <w:tcPr>
            <w:tcW w:w="1993" w:type="dxa"/>
            <w:noWrap/>
            <w:vAlign w:val="center"/>
          </w:tcPr>
          <w:p>
            <w:pPr>
              <w:pStyle w:val="44"/>
              <w:jc w:val="center"/>
              <w:rPr>
                <w:rFonts w:hint="eastAsia" w:ascii="仿宋" w:hAnsi="仿宋" w:eastAsia="仿宋" w:cs="仿宋"/>
                <w:b/>
                <w:bCs w:val="0"/>
                <w:color w:val="0000FF"/>
                <w:sz w:val="24"/>
                <w:szCs w:val="24"/>
              </w:rPr>
            </w:pPr>
            <w:r>
              <w:rPr>
                <w:rFonts w:hint="eastAsia" w:ascii="仿宋" w:hAnsi="仿宋" w:eastAsia="仿宋" w:cs="仿宋"/>
                <w:b/>
                <w:bCs w:val="0"/>
                <w:sz w:val="24"/>
                <w:szCs w:val="24"/>
              </w:rPr>
              <w:t>中标候选人公告</w:t>
            </w:r>
          </w:p>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媒介及期限</w:t>
            </w:r>
          </w:p>
        </w:tc>
        <w:tc>
          <w:tcPr>
            <w:tcW w:w="6795" w:type="dxa"/>
            <w:noWrap/>
            <w:vAlign w:val="center"/>
          </w:tcPr>
          <w:p>
            <w:pPr>
              <w:pStyle w:val="44"/>
              <w:jc w:val="left"/>
              <w:rPr>
                <w:rFonts w:hint="eastAsia" w:ascii="仿宋" w:hAnsi="仿宋" w:eastAsia="仿宋" w:cs="仿宋"/>
                <w:b/>
                <w:bCs w:val="0"/>
                <w:sz w:val="24"/>
                <w:szCs w:val="24"/>
              </w:rPr>
            </w:pPr>
            <w:r>
              <w:rPr>
                <w:rFonts w:hint="eastAsia" w:ascii="仿宋" w:hAnsi="仿宋" w:eastAsia="仿宋" w:cs="仿宋"/>
                <w:b/>
                <w:bCs w:val="0"/>
                <w:sz w:val="24"/>
                <w:szCs w:val="24"/>
              </w:rPr>
              <w:t>公告媒介：</w:t>
            </w:r>
            <w:r>
              <w:rPr>
                <w:rFonts w:hint="eastAsia" w:ascii="仿宋" w:hAnsi="仿宋" w:eastAsia="仿宋" w:cs="仿宋"/>
                <w:b/>
                <w:bCs w:val="0"/>
                <w:sz w:val="24"/>
                <w:szCs w:val="24"/>
                <w:lang w:val="en-US"/>
              </w:rPr>
              <w:t>新疆政府采购网</w:t>
            </w:r>
          </w:p>
          <w:p>
            <w:pPr>
              <w:pStyle w:val="44"/>
              <w:jc w:val="left"/>
              <w:rPr>
                <w:rFonts w:hint="eastAsia" w:ascii="仿宋" w:hAnsi="仿宋" w:eastAsia="仿宋" w:cs="仿宋"/>
                <w:b/>
                <w:bCs w:val="0"/>
                <w:sz w:val="24"/>
                <w:szCs w:val="24"/>
              </w:rPr>
            </w:pPr>
            <w:r>
              <w:rPr>
                <w:rFonts w:hint="eastAsia" w:ascii="仿宋" w:hAnsi="仿宋" w:eastAsia="仿宋" w:cs="仿宋"/>
                <w:b/>
                <w:bCs w:val="0"/>
                <w:sz w:val="24"/>
                <w:szCs w:val="24"/>
              </w:rPr>
              <w:t>公告期限：</w:t>
            </w:r>
            <w:r>
              <w:rPr>
                <w:rFonts w:hint="eastAsia" w:ascii="仿宋" w:hAnsi="仿宋" w:eastAsia="仿宋" w:cs="仿宋"/>
                <w:b/>
                <w:bCs w:val="0"/>
                <w:sz w:val="24"/>
                <w:szCs w:val="24"/>
                <w:lang w:val="en-US"/>
              </w:rPr>
              <w:t>1工作日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642" w:type="dxa"/>
            <w:noWrap/>
            <w:vAlign w:val="center"/>
          </w:tcPr>
          <w:p>
            <w:pPr>
              <w:pStyle w:val="44"/>
              <w:spacing w:before="155"/>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26</w:t>
            </w:r>
          </w:p>
        </w:tc>
        <w:tc>
          <w:tcPr>
            <w:tcW w:w="1993" w:type="dxa"/>
            <w:noWrap/>
            <w:vAlign w:val="center"/>
          </w:tcPr>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是否授权评标委员会确定中标人</w:t>
            </w:r>
          </w:p>
        </w:tc>
        <w:tc>
          <w:tcPr>
            <w:tcW w:w="6795" w:type="dxa"/>
            <w:noWrap/>
            <w:vAlign w:val="center"/>
          </w:tcPr>
          <w:p>
            <w:pPr>
              <w:pStyle w:val="44"/>
              <w:jc w:val="center"/>
              <w:rPr>
                <w:rFonts w:hint="eastAsia" w:ascii="仿宋" w:hAnsi="仿宋" w:eastAsia="仿宋" w:cs="仿宋"/>
                <w:b/>
                <w:bCs w:val="0"/>
                <w:sz w:val="24"/>
                <w:szCs w:val="24"/>
              </w:rPr>
            </w:pPr>
          </w:p>
          <w:p>
            <w:pPr>
              <w:pStyle w:val="44"/>
              <w:jc w:val="left"/>
              <w:rPr>
                <w:rFonts w:hint="eastAsia" w:ascii="仿宋" w:hAnsi="仿宋" w:eastAsia="仿宋" w:cs="仿宋"/>
                <w:b/>
                <w:bCs w:val="0"/>
                <w:sz w:val="24"/>
                <w:szCs w:val="24"/>
              </w:rPr>
            </w:pPr>
            <w:r>
              <w:rPr>
                <w:rFonts w:hint="eastAsia" w:ascii="仿宋" w:hAnsi="仿宋" w:eastAsia="仿宋" w:cs="仿宋"/>
                <w:b/>
                <w:bCs w:val="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jc w:val="center"/>
        </w:trPr>
        <w:tc>
          <w:tcPr>
            <w:tcW w:w="642" w:type="dxa"/>
            <w:noWrap/>
            <w:vAlign w:val="center"/>
          </w:tcPr>
          <w:p>
            <w:pPr>
              <w:pStyle w:val="44"/>
              <w:spacing w:before="155"/>
              <w:ind w:left="123" w:right="113"/>
              <w:jc w:val="center"/>
              <w:rPr>
                <w:rFonts w:hint="eastAsia" w:ascii="仿宋" w:hAnsi="仿宋" w:eastAsia="仿宋" w:cs="仿宋"/>
                <w:b/>
                <w:bCs w:val="0"/>
                <w:sz w:val="24"/>
                <w:szCs w:val="24"/>
                <w:lang w:val="en-US"/>
              </w:rPr>
            </w:pPr>
          </w:p>
          <w:p>
            <w:pPr>
              <w:pStyle w:val="44"/>
              <w:spacing w:before="155"/>
              <w:ind w:left="123"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27</w:t>
            </w:r>
          </w:p>
        </w:tc>
        <w:tc>
          <w:tcPr>
            <w:tcW w:w="1993" w:type="dxa"/>
            <w:noWrap/>
            <w:vAlign w:val="center"/>
          </w:tcPr>
          <w:p>
            <w:pPr>
              <w:pStyle w:val="44"/>
              <w:spacing w:before="11"/>
              <w:ind w:left="107"/>
              <w:jc w:val="center"/>
              <w:rPr>
                <w:rFonts w:hint="eastAsia" w:ascii="仿宋" w:hAnsi="仿宋" w:eastAsia="仿宋" w:cs="仿宋"/>
                <w:b/>
                <w:bCs w:val="0"/>
                <w:sz w:val="24"/>
                <w:szCs w:val="24"/>
              </w:rPr>
            </w:pPr>
            <w:r>
              <w:rPr>
                <w:rFonts w:hint="eastAsia" w:ascii="仿宋" w:hAnsi="仿宋" w:eastAsia="仿宋" w:cs="仿宋"/>
                <w:b/>
                <w:bCs w:val="0"/>
                <w:sz w:val="24"/>
                <w:szCs w:val="24"/>
                <w:lang w:val="en-US"/>
              </w:rPr>
              <w:t>★</w:t>
            </w:r>
            <w:r>
              <w:rPr>
                <w:rFonts w:hint="eastAsia" w:ascii="仿宋" w:hAnsi="仿宋" w:eastAsia="仿宋" w:cs="仿宋"/>
                <w:b/>
                <w:bCs w:val="0"/>
                <w:sz w:val="24"/>
                <w:szCs w:val="24"/>
              </w:rPr>
              <w:t>备注</w:t>
            </w:r>
            <w:r>
              <w:rPr>
                <w:rFonts w:hint="eastAsia" w:ascii="仿宋" w:hAnsi="仿宋" w:eastAsia="仿宋" w:cs="仿宋"/>
                <w:b/>
                <w:bCs w:val="0"/>
                <w:sz w:val="24"/>
                <w:szCs w:val="24"/>
                <w:lang w:val="en-US"/>
              </w:rPr>
              <w:t>★</w:t>
            </w:r>
          </w:p>
        </w:tc>
        <w:tc>
          <w:tcPr>
            <w:tcW w:w="6795" w:type="dxa"/>
            <w:noWrap/>
            <w:vAlign w:val="center"/>
          </w:tcPr>
          <w:p>
            <w:pPr>
              <w:pStyle w:val="21"/>
              <w:numPr>
                <w:ilvl w:val="0"/>
                <w:numId w:val="2"/>
              </w:numPr>
              <w:spacing w:beforeAutospacing="0" w:afterAutospacing="0"/>
              <w:rPr>
                <w:rFonts w:hint="eastAsia" w:ascii="仿宋" w:hAnsi="仿宋" w:eastAsia="仿宋" w:cs="仿宋"/>
                <w:b/>
                <w:bCs w:val="0"/>
                <w:snapToGrid w:val="0"/>
                <w:color w:val="auto"/>
                <w:spacing w:val="-3"/>
                <w:sz w:val="24"/>
                <w:szCs w:val="24"/>
              </w:rPr>
            </w:pPr>
            <w:r>
              <w:rPr>
                <w:rFonts w:hint="eastAsia" w:ascii="仿宋" w:hAnsi="仿宋" w:eastAsia="仿宋" w:cs="仿宋"/>
                <w:b/>
                <w:bCs w:val="0"/>
                <w:snapToGrid w:val="0"/>
                <w:color w:val="auto"/>
                <w:spacing w:val="-3"/>
                <w:sz w:val="24"/>
                <w:szCs w:val="24"/>
              </w:rPr>
              <w:t>本次招标由</w:t>
            </w:r>
            <w:r>
              <w:rPr>
                <w:rFonts w:hint="eastAsia" w:ascii="仿宋" w:hAnsi="仿宋" w:eastAsia="仿宋" w:cs="仿宋"/>
                <w:b/>
                <w:bCs w:val="0"/>
                <w:snapToGrid w:val="0"/>
                <w:color w:val="auto"/>
                <w:spacing w:val="-3"/>
                <w:sz w:val="24"/>
                <w:szCs w:val="24"/>
                <w:lang w:eastAsia="zh-CN"/>
              </w:rPr>
              <w:t>中标人在领取中标通知书前</w:t>
            </w:r>
            <w:r>
              <w:rPr>
                <w:rFonts w:hint="eastAsia" w:ascii="仿宋" w:hAnsi="仿宋" w:eastAsia="仿宋" w:cs="仿宋"/>
                <w:b/>
                <w:bCs w:val="0"/>
                <w:snapToGrid w:val="0"/>
                <w:color w:val="auto"/>
                <w:spacing w:val="-3"/>
                <w:sz w:val="24"/>
                <w:szCs w:val="24"/>
              </w:rPr>
              <w:t>一次性支付招标代理服务费</w:t>
            </w:r>
            <w:r>
              <w:rPr>
                <w:rFonts w:hint="eastAsia" w:ascii="仿宋" w:hAnsi="仿宋" w:eastAsia="仿宋" w:cs="仿宋"/>
                <w:b/>
                <w:bCs w:val="0"/>
                <w:snapToGrid w:val="0"/>
                <w:color w:val="auto"/>
                <w:spacing w:val="-3"/>
                <w:sz w:val="24"/>
                <w:szCs w:val="24"/>
                <w:lang w:val="en-US" w:eastAsia="zh-CN"/>
              </w:rPr>
              <w:t>及</w:t>
            </w:r>
            <w:r>
              <w:rPr>
                <w:rFonts w:hint="eastAsia" w:ascii="仿宋" w:hAnsi="仿宋" w:eastAsia="仿宋" w:cs="仿宋"/>
                <w:b/>
                <w:bCs w:val="0"/>
                <w:snapToGrid w:val="0"/>
                <w:color w:val="auto"/>
                <w:spacing w:val="-3"/>
                <w:sz w:val="24"/>
                <w:szCs w:val="24"/>
              </w:rPr>
              <w:t>专家评审费。</w:t>
            </w:r>
          </w:p>
          <w:p>
            <w:pPr>
              <w:pStyle w:val="21"/>
              <w:numPr>
                <w:ilvl w:val="0"/>
                <w:numId w:val="2"/>
              </w:numPr>
              <w:spacing w:beforeAutospacing="0" w:afterAutospacing="0"/>
              <w:rPr>
                <w:rFonts w:hint="eastAsia" w:ascii="仿宋" w:hAnsi="仿宋" w:eastAsia="仿宋" w:cs="仿宋"/>
                <w:b/>
                <w:bCs w:val="0"/>
                <w:color w:val="auto"/>
                <w:spacing w:val="-4"/>
                <w:w w:val="95"/>
                <w:sz w:val="24"/>
                <w:szCs w:val="24"/>
              </w:rPr>
            </w:pPr>
            <w:r>
              <w:rPr>
                <w:rFonts w:hint="eastAsia" w:ascii="仿宋" w:hAnsi="仿宋" w:eastAsia="仿宋" w:cs="仿宋"/>
                <w:b/>
                <w:bCs w:val="0"/>
                <w:snapToGrid w:val="0"/>
                <w:color w:val="auto"/>
                <w:spacing w:val="-3"/>
                <w:sz w:val="24"/>
                <w:szCs w:val="24"/>
              </w:rPr>
              <w:t>招标代理服务费</w:t>
            </w:r>
            <w:r>
              <w:rPr>
                <w:rFonts w:hint="eastAsia" w:ascii="仿宋" w:hAnsi="仿宋" w:eastAsia="仿宋" w:cs="仿宋"/>
                <w:b/>
                <w:bCs w:val="0"/>
                <w:snapToGrid w:val="0"/>
                <w:color w:val="auto"/>
                <w:spacing w:val="-3"/>
                <w:sz w:val="24"/>
                <w:szCs w:val="24"/>
                <w:lang w:eastAsia="zh-CN"/>
              </w:rPr>
              <w:t>依照采购人和采购代理机构签订的《招标代理合同》，</w:t>
            </w:r>
            <w:r>
              <w:rPr>
                <w:rFonts w:hint="eastAsia" w:ascii="仿宋" w:hAnsi="仿宋" w:eastAsia="仿宋" w:cs="仿宋"/>
                <w:b/>
                <w:bCs w:val="0"/>
                <w:snapToGrid w:val="0"/>
                <w:color w:val="auto"/>
                <w:spacing w:val="-3"/>
                <w:sz w:val="24"/>
                <w:szCs w:val="24"/>
                <w:lang w:val="en-US" w:eastAsia="zh-CN"/>
              </w:rPr>
              <w:t>本项目招标代理服务费为7875元。</w:t>
            </w:r>
          </w:p>
        </w:tc>
      </w:tr>
    </w:tbl>
    <w:p>
      <w:pPr>
        <w:spacing w:line="258" w:lineRule="exact"/>
        <w:rPr>
          <w:sz w:val="21"/>
        </w:rPr>
        <w:sectPr>
          <w:footerReference r:id="rId5" w:type="default"/>
          <w:pgSz w:w="11910" w:h="16840"/>
          <w:pgMar w:top="1134" w:right="1134" w:bottom="1180" w:left="1134" w:header="878" w:footer="985" w:gutter="0"/>
          <w:pgNumType w:fmt="decimal"/>
          <w:cols w:space="720" w:num="1"/>
        </w:sectPr>
      </w:pPr>
    </w:p>
    <w:p>
      <w:pPr>
        <w:pStyle w:val="3"/>
        <w:tabs>
          <w:tab w:val="left" w:pos="1442"/>
        </w:tabs>
        <w:spacing w:before="358"/>
        <w:rPr>
          <w:rFonts w:hint="eastAsia" w:ascii="华文中宋" w:hAnsi="华文中宋" w:eastAsia="华文中宋"/>
          <w:sz w:val="40"/>
          <w:szCs w:val="40"/>
          <w:lang w:eastAsia="zh-CN"/>
        </w:rPr>
      </w:pPr>
      <w:bookmarkStart w:id="37" w:name="_TOC_250000"/>
      <w:bookmarkEnd w:id="37"/>
      <w:bookmarkStart w:id="38" w:name="_Toc1409"/>
      <w:r>
        <w:rPr>
          <w:rFonts w:hint="eastAsia" w:ascii="华文中宋" w:hAnsi="华文中宋" w:eastAsia="华文中宋"/>
          <w:sz w:val="40"/>
          <w:szCs w:val="40"/>
        </w:rPr>
        <w:t>投标人须知</w:t>
      </w:r>
      <w:bookmarkEnd w:id="38"/>
      <w:r>
        <w:rPr>
          <w:rFonts w:hint="eastAsia" w:ascii="华文中宋" w:hAnsi="华文中宋" w:eastAsia="华文中宋"/>
          <w:sz w:val="40"/>
          <w:szCs w:val="40"/>
          <w:lang w:eastAsia="zh-CN"/>
        </w:rPr>
        <w:t>正文</w:t>
      </w:r>
    </w:p>
    <w:p>
      <w:pPr>
        <w:keepNext w:val="0"/>
        <w:keepLines w:val="0"/>
        <w:pageBreakBefore w:val="0"/>
        <w:overflowPunct/>
        <w:topLinePunct w:val="0"/>
        <w:bidi w:val="0"/>
        <w:spacing w:after="0" w:afterLines="50" w:line="400" w:lineRule="exact"/>
        <w:jc w:val="center"/>
        <w:rPr>
          <w:rFonts w:hint="eastAsia" w:ascii="仿宋" w:hAnsi="仿宋" w:eastAsia="仿宋" w:cs="仿宋"/>
          <w:b/>
          <w:sz w:val="32"/>
          <w:szCs w:val="32"/>
        </w:rPr>
      </w:pPr>
      <w:bookmarkStart w:id="39" w:name="一、总则"/>
      <w:bookmarkEnd w:id="39"/>
      <w:r>
        <w:rPr>
          <w:rFonts w:hint="eastAsia" w:ascii="仿宋" w:hAnsi="仿宋" w:eastAsia="仿宋" w:cs="仿宋"/>
          <w:b/>
          <w:sz w:val="32"/>
          <w:szCs w:val="32"/>
        </w:rPr>
        <w:t>一、总则</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0" w:name="1、招标方式"/>
      <w:bookmarkEnd w:id="40"/>
      <w:r>
        <w:rPr>
          <w:rFonts w:hint="eastAsia" w:ascii="宋体" w:hAnsi="宋体" w:eastAsia="宋体" w:cs="宋体"/>
          <w:b/>
          <w:bCs/>
          <w:sz w:val="28"/>
          <w:szCs w:val="28"/>
        </w:rPr>
        <w:t>1、招标方式</w:t>
      </w:r>
    </w:p>
    <w:p>
      <w:pPr>
        <w:pStyle w:val="11"/>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1.1 本次招标采取公开招标方式，本招标文件仅适用于招标公告中所述项目。</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1" w:name="2、合格的投标人"/>
      <w:bookmarkEnd w:id="41"/>
      <w:r>
        <w:rPr>
          <w:rFonts w:hint="eastAsia" w:ascii="宋体" w:hAnsi="宋体" w:eastAsia="宋体" w:cs="宋体"/>
          <w:b/>
          <w:bCs/>
          <w:sz w:val="28"/>
          <w:szCs w:val="28"/>
        </w:rPr>
        <w:t>2、合格的供应商</w:t>
      </w:r>
    </w:p>
    <w:p>
      <w:pPr>
        <w:pStyle w:val="45"/>
        <w:keepNext w:val="0"/>
        <w:keepLines w:val="0"/>
        <w:pageBreakBefore w:val="0"/>
        <w:tabs>
          <w:tab w:val="left" w:pos="1546"/>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lang w:val="en-US"/>
        </w:rPr>
        <w:t xml:space="preserve">2.1 </w:t>
      </w:r>
      <w:r>
        <w:rPr>
          <w:rFonts w:hint="eastAsia" w:ascii="宋体" w:hAnsi="宋体" w:eastAsia="宋体" w:cs="宋体"/>
          <w:sz w:val="24"/>
          <w:szCs w:val="24"/>
        </w:rPr>
        <w:t>满足招标文件中资格要求的规定。</w:t>
      </w:r>
    </w:p>
    <w:p>
      <w:pPr>
        <w:pStyle w:val="45"/>
        <w:keepNext w:val="0"/>
        <w:keepLines w:val="0"/>
        <w:pageBreakBefore w:val="0"/>
        <w:tabs>
          <w:tab w:val="left" w:pos="1606"/>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lang w:val="en-US"/>
        </w:rPr>
        <w:t xml:space="preserve">2.2 </w:t>
      </w:r>
      <w:r>
        <w:rPr>
          <w:rFonts w:hint="eastAsia" w:ascii="宋体" w:hAnsi="宋体" w:eastAsia="宋体" w:cs="宋体"/>
          <w:sz w:val="24"/>
          <w:szCs w:val="24"/>
        </w:rPr>
        <w:t>满足本文件实质性条款的规定。</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2" w:name="3、适用法律"/>
      <w:bookmarkEnd w:id="42"/>
      <w:r>
        <w:rPr>
          <w:rFonts w:hint="eastAsia" w:ascii="宋体" w:hAnsi="宋体" w:eastAsia="宋体" w:cs="宋体"/>
          <w:b/>
          <w:bCs/>
          <w:sz w:val="28"/>
          <w:szCs w:val="28"/>
        </w:rPr>
        <w:t>3、适用法律</w:t>
      </w:r>
    </w:p>
    <w:p>
      <w:pPr>
        <w:pStyle w:val="11"/>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3.1 本次招标及由此产生的合同受中华人民共和国有关的法律法规制约和保护。</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3" w:name="4、投标费用"/>
      <w:bookmarkEnd w:id="43"/>
      <w:r>
        <w:rPr>
          <w:rFonts w:hint="eastAsia" w:ascii="宋体" w:hAnsi="宋体" w:eastAsia="宋体" w:cs="宋体"/>
          <w:b/>
          <w:bCs/>
          <w:sz w:val="28"/>
          <w:szCs w:val="28"/>
        </w:rPr>
        <w:t>4、投标费用</w:t>
      </w:r>
    </w:p>
    <w:p>
      <w:pPr>
        <w:pStyle w:val="11"/>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4.1 供应商应自行承担所有与参加投标有关的费用，无论投标过程中的做法和结果如何，采购人及采购代理机构在任何情况下均无义务和责任承担这些费用。</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4" w:name="5、招标文件的约束力"/>
      <w:bookmarkEnd w:id="44"/>
      <w:r>
        <w:rPr>
          <w:rFonts w:hint="eastAsia" w:ascii="宋体" w:hAnsi="宋体" w:eastAsia="宋体" w:cs="宋体"/>
          <w:b/>
          <w:bCs/>
          <w:sz w:val="28"/>
          <w:szCs w:val="28"/>
        </w:rPr>
        <w:t>5、招标文件的约束力</w:t>
      </w:r>
    </w:p>
    <w:p>
      <w:pPr>
        <w:pStyle w:val="11"/>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5.1 供应商一旦参加本项目采购活动，即被认为接受了本招标文件的规定和约束。</w:t>
      </w:r>
    </w:p>
    <w:p>
      <w:pPr>
        <w:keepNext w:val="0"/>
        <w:keepLines w:val="0"/>
        <w:pageBreakBefore w:val="0"/>
        <w:overflowPunct/>
        <w:topLinePunct w:val="0"/>
        <w:bidi w:val="0"/>
        <w:spacing w:after="0" w:afterLines="50" w:line="400" w:lineRule="exact"/>
        <w:ind w:right="99"/>
        <w:jc w:val="center"/>
        <w:rPr>
          <w:rFonts w:hint="eastAsia" w:ascii="宋体" w:hAnsi="宋体" w:eastAsia="宋体" w:cs="宋体"/>
          <w:b/>
          <w:sz w:val="24"/>
          <w:szCs w:val="24"/>
        </w:rPr>
      </w:pPr>
      <w:bookmarkStart w:id="45" w:name="二、招标文件"/>
      <w:bookmarkEnd w:id="45"/>
    </w:p>
    <w:p>
      <w:pPr>
        <w:keepNext w:val="0"/>
        <w:keepLines w:val="0"/>
        <w:pageBreakBefore w:val="0"/>
        <w:overflowPunct/>
        <w:topLinePunct w:val="0"/>
        <w:bidi w:val="0"/>
        <w:spacing w:after="0" w:afterLines="50" w:line="400" w:lineRule="exact"/>
        <w:jc w:val="center"/>
        <w:rPr>
          <w:rFonts w:hint="eastAsia" w:ascii="宋体" w:hAnsi="宋体" w:eastAsia="宋体" w:cs="宋体"/>
          <w:b/>
          <w:sz w:val="32"/>
          <w:szCs w:val="32"/>
        </w:rPr>
      </w:pPr>
      <w:r>
        <w:rPr>
          <w:rFonts w:hint="eastAsia" w:ascii="宋体" w:hAnsi="宋体" w:eastAsia="宋体" w:cs="宋体"/>
          <w:b/>
          <w:sz w:val="32"/>
          <w:szCs w:val="32"/>
        </w:rPr>
        <w:t>二、招标文件</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46" w:name="6、招标文件构成"/>
      <w:bookmarkEnd w:id="46"/>
      <w:r>
        <w:rPr>
          <w:rFonts w:hint="eastAsia" w:ascii="宋体" w:hAnsi="宋体" w:eastAsia="宋体" w:cs="宋体"/>
          <w:b/>
          <w:bCs/>
          <w:sz w:val="28"/>
          <w:szCs w:val="28"/>
        </w:rPr>
        <w:t>6、招标文件构成</w:t>
      </w:r>
    </w:p>
    <w:p>
      <w:pPr>
        <w:pStyle w:val="45"/>
        <w:keepNext w:val="0"/>
        <w:keepLines w:val="0"/>
        <w:pageBreakBefore w:val="0"/>
        <w:tabs>
          <w:tab w:val="left" w:pos="1606"/>
        </w:tabs>
        <w:overflowPunct/>
        <w:topLinePunct w:val="0"/>
        <w:bidi w:val="0"/>
        <w:spacing w:after="0" w:afterLines="5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lang w:val="en-US"/>
        </w:rPr>
        <w:t xml:space="preserve">6.1 </w:t>
      </w:r>
      <w:r>
        <w:rPr>
          <w:rFonts w:hint="eastAsia" w:ascii="宋体" w:hAnsi="宋体" w:eastAsia="宋体" w:cs="宋体"/>
          <w:sz w:val="24"/>
          <w:szCs w:val="24"/>
        </w:rPr>
        <w:t>招标文件由以下部分组成：</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rPr>
        <w:t>1</w:t>
      </w:r>
      <w:r>
        <w:rPr>
          <w:rFonts w:hint="eastAsia" w:ascii="宋体" w:hAnsi="宋体" w:eastAsia="宋体" w:cs="宋体"/>
          <w:sz w:val="24"/>
          <w:szCs w:val="24"/>
        </w:rPr>
        <w:t>）</w:t>
      </w:r>
      <w:r>
        <w:rPr>
          <w:rFonts w:hint="eastAsia" w:ascii="宋体" w:hAnsi="宋体" w:eastAsia="宋体" w:cs="宋体"/>
          <w:sz w:val="24"/>
          <w:szCs w:val="24"/>
          <w:lang w:eastAsia="zh-CN"/>
        </w:rPr>
        <w:t>招标公告</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2</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须知</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3</w:t>
      </w:r>
      <w:r>
        <w:rPr>
          <w:rFonts w:hint="eastAsia" w:ascii="宋体" w:hAnsi="宋体" w:eastAsia="宋体" w:cs="宋体"/>
          <w:sz w:val="24"/>
          <w:szCs w:val="24"/>
        </w:rPr>
        <w:t>）合同条款及格式</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4</w:t>
      </w:r>
      <w:r>
        <w:rPr>
          <w:rFonts w:hint="eastAsia" w:ascii="宋体" w:hAnsi="宋体" w:eastAsia="宋体" w:cs="宋体"/>
          <w:sz w:val="24"/>
          <w:szCs w:val="24"/>
        </w:rPr>
        <w:t>）采购内容</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5</w:t>
      </w:r>
      <w:r>
        <w:rPr>
          <w:rFonts w:hint="eastAsia" w:ascii="宋体" w:hAnsi="宋体" w:eastAsia="宋体" w:cs="宋体"/>
          <w:sz w:val="24"/>
          <w:szCs w:val="24"/>
        </w:rPr>
        <w:t>）评标方法与评标标准</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6</w:t>
      </w:r>
      <w:r>
        <w:rPr>
          <w:rFonts w:hint="eastAsia" w:ascii="宋体" w:hAnsi="宋体" w:eastAsia="宋体" w:cs="宋体"/>
          <w:sz w:val="24"/>
          <w:szCs w:val="24"/>
        </w:rPr>
        <w:t>）投标文件格式</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lang w:eastAsia="zh-CN"/>
        </w:rPr>
      </w:pPr>
      <w:bookmarkStart w:id="47" w:name="7、招标文件的澄清"/>
      <w:bookmarkEnd w:id="47"/>
      <w:r>
        <w:rPr>
          <w:rFonts w:hint="eastAsia" w:ascii="宋体" w:hAnsi="宋体" w:eastAsia="宋体" w:cs="宋体"/>
          <w:b/>
          <w:bCs/>
          <w:sz w:val="28"/>
          <w:szCs w:val="28"/>
        </w:rPr>
        <w:t>7、招标文件</w:t>
      </w:r>
      <w:r>
        <w:rPr>
          <w:rFonts w:hint="eastAsia" w:ascii="宋体" w:hAnsi="宋体" w:eastAsia="宋体" w:cs="宋体"/>
          <w:b/>
          <w:bCs/>
          <w:sz w:val="28"/>
          <w:szCs w:val="28"/>
          <w:lang w:eastAsia="zh-CN"/>
        </w:rPr>
        <w:t>的内容</w:t>
      </w:r>
    </w:p>
    <w:p>
      <w:pPr>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7.1 请</w:t>
      </w:r>
      <w:r>
        <w:rPr>
          <w:rFonts w:hint="eastAsia" w:ascii="宋体" w:hAnsi="宋体" w:eastAsia="宋体" w:cs="宋体"/>
          <w:sz w:val="24"/>
          <w:szCs w:val="24"/>
          <w:lang w:eastAsia="zh-CN"/>
        </w:rPr>
        <w:t>供应商</w:t>
      </w:r>
      <w:r>
        <w:rPr>
          <w:rFonts w:hint="eastAsia" w:ascii="宋体" w:hAnsi="宋体" w:eastAsia="宋体" w:cs="宋体"/>
          <w:sz w:val="24"/>
          <w:szCs w:val="24"/>
        </w:rPr>
        <w:t>仔细检查招标文件是否齐全，如有缺漏请立即联系采购人及采购代理机构解决。</w:t>
      </w:r>
    </w:p>
    <w:p>
      <w:pPr>
        <w:pStyle w:val="45"/>
        <w:keepNext w:val="0"/>
        <w:keepLines w:val="0"/>
        <w:pageBreakBefore w:val="0"/>
        <w:tabs>
          <w:tab w:val="left" w:pos="1608"/>
        </w:tabs>
        <w:overflowPunct/>
        <w:topLinePunct w:val="0"/>
        <w:bidi w:val="0"/>
        <w:spacing w:after="0" w:afterLines="50" w:line="400" w:lineRule="exact"/>
        <w:ind w:left="0" w:firstLine="240" w:firstLineChars="100"/>
        <w:jc w:val="both"/>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48" w:name="8、招标文件的修改"/>
      <w:bookmarkEnd w:id="48"/>
      <w:r>
        <w:rPr>
          <w:rFonts w:hint="eastAsia" w:ascii="宋体" w:hAnsi="宋体" w:eastAsia="宋体" w:cs="宋体"/>
          <w:b/>
          <w:bCs/>
          <w:sz w:val="28"/>
          <w:szCs w:val="28"/>
        </w:rPr>
        <w:t>8、招标文件的</w:t>
      </w:r>
      <w:r>
        <w:rPr>
          <w:rFonts w:hint="eastAsia" w:ascii="宋体" w:hAnsi="宋体" w:eastAsia="宋体" w:cs="宋体"/>
          <w:b/>
          <w:bCs/>
          <w:sz w:val="28"/>
          <w:szCs w:val="28"/>
          <w:lang w:eastAsia="zh-CN"/>
        </w:rPr>
        <w:t>澄清、</w:t>
      </w:r>
      <w:r>
        <w:rPr>
          <w:rFonts w:hint="eastAsia" w:ascii="宋体" w:hAnsi="宋体" w:eastAsia="宋体" w:cs="宋体"/>
          <w:b/>
          <w:bCs/>
          <w:sz w:val="28"/>
          <w:szCs w:val="28"/>
        </w:rPr>
        <w:t>修改</w:t>
      </w:r>
    </w:p>
    <w:p>
      <w:pPr>
        <w:keepNext w:val="0"/>
        <w:keepLines w:val="0"/>
        <w:pageBreakBefore w:val="0"/>
        <w:widowControl/>
        <w:kinsoku w:val="0"/>
        <w:wordWrap/>
        <w:overflowPunct/>
        <w:topLinePunct w:val="0"/>
        <w:autoSpaceDE w:val="0"/>
        <w:autoSpaceDN w:val="0"/>
        <w:bidi w:val="0"/>
        <w:adjustRightInd w:val="0"/>
        <w:snapToGrid w:val="0"/>
        <w:spacing w:after="0" w:afterLines="50" w:line="400" w:lineRule="exact"/>
        <w:ind w:left="0" w:right="0" w:firstLine="499"/>
        <w:textAlignment w:val="baseline"/>
        <w:rPr>
          <w:rFonts w:hint="eastAsia" w:ascii="宋体" w:hAnsi="宋体" w:eastAsia="宋体" w:cs="宋体"/>
          <w:sz w:val="24"/>
          <w:szCs w:val="24"/>
        </w:rPr>
      </w:pPr>
      <w:r>
        <w:rPr>
          <w:rFonts w:hint="eastAsia" w:ascii="宋体" w:hAnsi="宋体" w:eastAsia="宋体" w:cs="宋体"/>
          <w:sz w:val="24"/>
          <w:szCs w:val="24"/>
          <w:lang w:val="en-US"/>
        </w:rPr>
        <w:t xml:space="preserve">8.1 </w:t>
      </w:r>
      <w:r>
        <w:rPr>
          <w:rFonts w:hint="eastAsia" w:ascii="宋体" w:hAnsi="宋体" w:eastAsia="宋体" w:cs="宋体"/>
          <w:sz w:val="24"/>
          <w:szCs w:val="24"/>
        </w:rPr>
        <w:t> 采购人或者采购代理机构</w:t>
      </w:r>
      <w:r>
        <w:rPr>
          <w:rFonts w:hint="eastAsia" w:ascii="宋体" w:hAnsi="宋体" w:eastAsia="宋体" w:cs="宋体"/>
          <w:sz w:val="24"/>
          <w:szCs w:val="24"/>
          <w:lang w:eastAsia="zh-CN"/>
        </w:rPr>
        <w:t>根据</w:t>
      </w:r>
      <w:r>
        <w:rPr>
          <w:rFonts w:hint="eastAsia" w:ascii="宋体" w:hAnsi="宋体" w:eastAsia="宋体" w:cs="宋体"/>
          <w:spacing w:val="-1"/>
          <w:sz w:val="24"/>
          <w:szCs w:val="24"/>
          <w:lang w:eastAsia="zh-CN"/>
        </w:rPr>
        <w:t>中华人民共和国财政部令第87号--《政府采购货物和服务招标投标管理办法》第二十七条的相关规定：</w:t>
      </w:r>
      <w:r>
        <w:rPr>
          <w:rFonts w:hint="eastAsia" w:ascii="宋体" w:hAnsi="宋体" w:eastAsia="宋体" w:cs="宋体"/>
          <w:sz w:val="24"/>
          <w:szCs w:val="24"/>
        </w:rPr>
        <w:t>可以对已发出的招标文件进行必要的澄清或者修改，但不得改变采购标的和资格条件。澄清或者修改应当在原公告发布媒体上发布澄清公告。澄清或者修改的内容为招标文件的组成部分。</w:t>
      </w:r>
    </w:p>
    <w:p>
      <w:pPr>
        <w:pStyle w:val="45"/>
        <w:keepNext w:val="0"/>
        <w:keepLines w:val="0"/>
        <w:pageBreakBefore w:val="0"/>
        <w:tabs>
          <w:tab w:val="left" w:pos="1608"/>
        </w:tabs>
        <w:overflowPunct/>
        <w:topLinePunct w:val="0"/>
        <w:bidi w:val="0"/>
        <w:spacing w:after="0" w:afterLines="50" w:line="400" w:lineRule="exact"/>
        <w:ind w:left="0" w:firstLine="240" w:firstLineChars="100"/>
        <w:jc w:val="both"/>
        <w:rPr>
          <w:rFonts w:hint="eastAsia" w:ascii="宋体" w:hAnsi="宋体" w:eastAsia="宋体" w:cs="宋体"/>
          <w:sz w:val="24"/>
          <w:szCs w:val="24"/>
        </w:rPr>
      </w:pPr>
      <w:r>
        <w:rPr>
          <w:rFonts w:hint="eastAsia" w:ascii="宋体" w:hAnsi="宋体" w:eastAsia="宋体" w:cs="宋体"/>
          <w:sz w:val="24"/>
          <w:szCs w:val="24"/>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45"/>
        <w:keepNext w:val="0"/>
        <w:keepLines w:val="0"/>
        <w:pageBreakBefore w:val="0"/>
        <w:tabs>
          <w:tab w:val="left" w:pos="1608"/>
        </w:tabs>
        <w:overflowPunct/>
        <w:topLinePunct w:val="0"/>
        <w:bidi w:val="0"/>
        <w:spacing w:after="0" w:afterLines="50" w:line="400" w:lineRule="exact"/>
        <w:ind w:left="0" w:firstLine="240" w:firstLineChars="100"/>
        <w:jc w:val="both"/>
        <w:rPr>
          <w:rFonts w:hint="eastAsia" w:ascii="宋体" w:hAnsi="宋体" w:eastAsia="宋体" w:cs="宋体"/>
          <w:sz w:val="24"/>
          <w:szCs w:val="24"/>
        </w:rPr>
      </w:pPr>
    </w:p>
    <w:p>
      <w:pPr>
        <w:keepNext w:val="0"/>
        <w:keepLines w:val="0"/>
        <w:pageBreakBefore w:val="0"/>
        <w:overflowPunct/>
        <w:topLinePunct w:val="0"/>
        <w:bidi w:val="0"/>
        <w:spacing w:after="0" w:afterLines="50" w:line="400" w:lineRule="exact"/>
        <w:jc w:val="center"/>
        <w:rPr>
          <w:rFonts w:hint="eastAsia" w:ascii="宋体" w:hAnsi="宋体" w:eastAsia="宋体" w:cs="宋体"/>
          <w:b/>
          <w:sz w:val="32"/>
          <w:szCs w:val="32"/>
        </w:rPr>
      </w:pPr>
      <w:bookmarkStart w:id="49" w:name="三、投标文件的编制"/>
      <w:bookmarkEnd w:id="49"/>
      <w:r>
        <w:rPr>
          <w:rFonts w:hint="eastAsia" w:ascii="宋体" w:hAnsi="宋体" w:eastAsia="宋体" w:cs="宋体"/>
          <w:b/>
          <w:sz w:val="32"/>
          <w:szCs w:val="32"/>
        </w:rPr>
        <w:t>三、投标文件的编制</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50" w:name="9、投标文件的语言及度量衡单位"/>
      <w:bookmarkEnd w:id="50"/>
      <w:r>
        <w:rPr>
          <w:rFonts w:hint="eastAsia" w:ascii="宋体" w:hAnsi="宋体" w:eastAsia="宋体" w:cs="宋体"/>
          <w:b/>
          <w:bCs/>
          <w:sz w:val="28"/>
          <w:szCs w:val="28"/>
        </w:rPr>
        <w:t>9、投标文件的语言及度量衡单位</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9.1 </w:t>
      </w:r>
      <w:r>
        <w:rPr>
          <w:rFonts w:hint="eastAsia" w:ascii="宋体" w:hAnsi="宋体" w:eastAsia="宋体" w:cs="宋体"/>
          <w:sz w:val="24"/>
          <w:szCs w:val="24"/>
        </w:rPr>
        <w:t>供应商提交的投标文件以及供应商与采购人及采购代理机构就有关投标的所有来往通知、函件和文件均应使用</w:t>
      </w:r>
      <w:r>
        <w:rPr>
          <w:rFonts w:hint="eastAsia" w:ascii="宋体" w:hAnsi="宋体" w:eastAsia="宋体" w:cs="宋体"/>
          <w:b/>
          <w:sz w:val="24"/>
          <w:szCs w:val="24"/>
          <w:u w:val="single"/>
        </w:rPr>
        <w:t>简体中文</w:t>
      </w:r>
      <w:r>
        <w:rPr>
          <w:rFonts w:hint="eastAsia" w:ascii="宋体" w:hAnsi="宋体" w:eastAsia="宋体" w:cs="宋体"/>
          <w:sz w:val="24"/>
          <w:szCs w:val="24"/>
        </w:rPr>
        <w:t>。</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9.2 </w:t>
      </w:r>
      <w:r>
        <w:rPr>
          <w:rFonts w:hint="eastAsia" w:ascii="宋体" w:hAnsi="宋体" w:eastAsia="宋体" w:cs="宋体"/>
          <w:sz w:val="24"/>
          <w:szCs w:val="24"/>
        </w:rPr>
        <w:t>除技术性能另有规定外，投标文件所使用的度量衡单位，均须采用国家法定计量单位。</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51" w:name="10、投标文件构成"/>
      <w:bookmarkEnd w:id="51"/>
      <w:r>
        <w:rPr>
          <w:rFonts w:hint="eastAsia" w:ascii="宋体" w:hAnsi="宋体" w:eastAsia="宋体" w:cs="宋体"/>
          <w:b/>
          <w:bCs/>
          <w:sz w:val="28"/>
          <w:szCs w:val="28"/>
        </w:rPr>
        <w:t>10、投标文件构成</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10.1 </w:t>
      </w:r>
      <w:r>
        <w:rPr>
          <w:rFonts w:hint="eastAsia" w:ascii="宋体" w:hAnsi="宋体" w:eastAsia="宋体" w:cs="宋体"/>
          <w:sz w:val="24"/>
          <w:szCs w:val="24"/>
          <w:lang w:eastAsia="zh-CN"/>
        </w:rPr>
        <w:t>根据中华人民共和国财政部令第87号--《政府采购货物和服务招标投标管理办法》第三十二条的规定：投</w:t>
      </w:r>
      <w:r>
        <w:rPr>
          <w:rFonts w:hint="eastAsia" w:ascii="宋体" w:hAnsi="宋体" w:eastAsia="宋体" w:cs="宋体"/>
          <w:sz w:val="24"/>
          <w:szCs w:val="24"/>
        </w:rPr>
        <w:t>标人应当按照招标文件的要求编制投标文件。投标文件应当对招标文件提出的要求和条件作出明确响应。</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val="en-US"/>
        </w:rPr>
        <w:t xml:space="preserve">10.2 </w:t>
      </w:r>
      <w:r>
        <w:rPr>
          <w:rFonts w:hint="eastAsia" w:ascii="宋体" w:hAnsi="宋体" w:eastAsia="宋体" w:cs="宋体"/>
          <w:spacing w:val="-1"/>
          <w:sz w:val="24"/>
          <w:szCs w:val="24"/>
        </w:rPr>
        <w:t>供应商应将投标文件按顺序装订成册，并编制投标文件资料目录。</w:t>
      </w:r>
      <w:bookmarkStart w:id="52" w:name="11、证明投标人资格及符合招标文件规定的文件"/>
      <w:bookmarkEnd w:id="52"/>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r>
        <w:rPr>
          <w:rFonts w:hint="eastAsia" w:ascii="宋体" w:hAnsi="宋体" w:eastAsia="宋体" w:cs="宋体"/>
          <w:b/>
          <w:bCs/>
          <w:sz w:val="28"/>
          <w:szCs w:val="28"/>
        </w:rPr>
        <w:t>11、证明供应商资格及符合招标文件规定的文件</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11.1 </w:t>
      </w:r>
      <w:bookmarkStart w:id="53" w:name="12、供货一览表和投标配置与分项报价表"/>
      <w:bookmarkEnd w:id="53"/>
      <w:r>
        <w:rPr>
          <w:rFonts w:hint="eastAsia" w:ascii="宋体" w:hAnsi="宋体" w:eastAsia="宋体" w:cs="宋体"/>
          <w:sz w:val="24"/>
          <w:szCs w:val="24"/>
          <w:lang w:val="en-US" w:eastAsia="zh-CN"/>
        </w:rPr>
        <w:t>根据《</w:t>
      </w:r>
      <w:r>
        <w:rPr>
          <w:rFonts w:hint="eastAsia" w:ascii="宋体" w:hAnsi="宋体" w:eastAsia="宋体" w:cs="宋体"/>
          <w:sz w:val="24"/>
          <w:szCs w:val="24"/>
        </w:rPr>
        <w:t>中华人民共和国政府采购法实施条例</w:t>
      </w:r>
      <w:r>
        <w:rPr>
          <w:rFonts w:hint="eastAsia" w:ascii="宋体" w:hAnsi="宋体" w:eastAsia="宋体" w:cs="宋体"/>
          <w:sz w:val="24"/>
          <w:szCs w:val="24"/>
          <w:lang w:val="en-US" w:eastAsia="zh-CN"/>
        </w:rPr>
        <w:t>》</w:t>
      </w:r>
      <w:r>
        <w:rPr>
          <w:rFonts w:hint="eastAsia" w:ascii="宋体" w:hAnsi="宋体" w:eastAsia="宋体" w:cs="宋体"/>
          <w:sz w:val="24"/>
          <w:szCs w:val="24"/>
        </w:rPr>
        <w:t>第十七条</w:t>
      </w:r>
      <w:r>
        <w:rPr>
          <w:rFonts w:hint="eastAsia" w:ascii="宋体" w:hAnsi="宋体" w:eastAsia="宋体" w:cs="宋体"/>
          <w:sz w:val="24"/>
          <w:szCs w:val="24"/>
          <w:lang w:eastAsia="zh-CN"/>
        </w:rPr>
        <w:t>的规定：</w:t>
      </w:r>
      <w:r>
        <w:rPr>
          <w:rFonts w:hint="eastAsia" w:ascii="宋体" w:hAnsi="宋体" w:eastAsia="宋体" w:cs="宋体"/>
          <w:sz w:val="24"/>
          <w:szCs w:val="24"/>
        </w:rPr>
        <w:t>参加政府采购活动的供应商应当具备政府采购法第二十二条第一款规定的条件，提供下列材料：</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（一）法人或者其他组织的营业执照等证明文件，自然人的身份证明；</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（二）财务状况报告，依法缴纳税收和社会保障资金的相关材料；</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（三）具备履行合同所必需的设备和专业技术能力的证明材料；</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（四）参加政府采购活动前3年内在经营活动中没有重大违法记录的书面声明；</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（五）具备法律、行政法规规定的其他条件的证明材料。</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采购项目有特殊要求的，供应商还应当提供其符合特殊要求的证明材料或者情况说明。</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 招标文件规定的文件，详见招标文件第六章“投标文件格式”。</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rPr>
      </w:pPr>
      <w:r>
        <w:rPr>
          <w:rFonts w:hint="eastAsia" w:ascii="宋体" w:hAnsi="宋体" w:eastAsia="宋体" w:cs="宋体"/>
          <w:b/>
          <w:bCs/>
          <w:sz w:val="28"/>
          <w:szCs w:val="28"/>
          <w:lang w:val="en-US"/>
        </w:rPr>
        <w:t>12、</w:t>
      </w:r>
      <w:r>
        <w:rPr>
          <w:rFonts w:hint="eastAsia" w:ascii="宋体" w:hAnsi="宋体" w:eastAsia="宋体" w:cs="宋体"/>
          <w:b/>
          <w:bCs/>
          <w:sz w:val="28"/>
          <w:szCs w:val="28"/>
        </w:rPr>
        <w:t>投标报价</w:t>
      </w:r>
      <w:bookmarkStart w:id="54" w:name="13、技术参数响应及偏离表、商务条款响应及偏离表及投标货物说明"/>
      <w:bookmarkEnd w:id="54"/>
    </w:p>
    <w:p>
      <w:pPr>
        <w:keepNext w:val="0"/>
        <w:keepLines w:val="0"/>
        <w:pageBreakBefore w:val="0"/>
        <w:overflowPunct/>
        <w:topLinePunct w:val="0"/>
        <w:bidi w:val="0"/>
        <w:spacing w:after="0" w:afterLines="50" w:line="400" w:lineRule="exact"/>
        <w:ind w:firstLine="476" w:firstLineChars="200"/>
        <w:rPr>
          <w:rFonts w:hint="eastAsia" w:ascii="宋体" w:hAnsi="宋体" w:eastAsia="宋体" w:cs="宋体"/>
          <w:spacing w:val="-1"/>
          <w:sz w:val="24"/>
          <w:szCs w:val="24"/>
          <w:lang w:val="en-US"/>
        </w:rPr>
      </w:pPr>
      <w:r>
        <w:rPr>
          <w:rFonts w:hint="eastAsia" w:ascii="宋体" w:hAnsi="宋体" w:eastAsia="宋体" w:cs="宋体"/>
          <w:spacing w:val="-1"/>
          <w:sz w:val="24"/>
          <w:szCs w:val="24"/>
          <w:lang w:val="en-US"/>
        </w:rPr>
        <w:t>12.1</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val="en-US"/>
        </w:rPr>
        <w:t>完成本项目所包括的所有成本、税费、利润、运输、装卸、各类劳保、保险、检测费等一切工作过程中的费用等。</w:t>
      </w:r>
    </w:p>
    <w:p>
      <w:pPr>
        <w:pStyle w:val="19"/>
        <w:keepNext w:val="0"/>
        <w:keepLines w:val="0"/>
        <w:pageBreakBefore w:val="0"/>
        <w:overflowPunct/>
        <w:topLinePunct w:val="0"/>
        <w:bidi w:val="0"/>
        <w:spacing w:before="0" w:after="0" w:afterLines="50" w:line="400" w:lineRule="exact"/>
        <w:ind w:left="0"/>
        <w:rPr>
          <w:rFonts w:hint="eastAsia" w:ascii="宋体" w:hAnsi="宋体" w:eastAsia="宋体" w:cs="宋体"/>
          <w:spacing w:val="-1"/>
          <w:sz w:val="24"/>
          <w:szCs w:val="24"/>
          <w:lang w:val="en-US"/>
        </w:rPr>
      </w:pPr>
      <w:r>
        <w:rPr>
          <w:rFonts w:hint="eastAsia" w:ascii="宋体" w:hAnsi="宋体" w:eastAsia="宋体" w:cs="宋体"/>
          <w:spacing w:val="-1"/>
          <w:sz w:val="24"/>
          <w:szCs w:val="24"/>
          <w:lang w:val="en-US"/>
        </w:rPr>
        <w:t>12.2</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val="en-US"/>
        </w:rPr>
        <w:t>报价方式</w:t>
      </w:r>
    </w:p>
    <w:p>
      <w:pPr>
        <w:keepNext w:val="0"/>
        <w:keepLines w:val="0"/>
        <w:pageBreakBefore w:val="0"/>
        <w:widowControl/>
        <w:overflowPunct/>
        <w:topLinePunct w:val="0"/>
        <w:bidi w:val="0"/>
        <w:spacing w:after="0" w:afterLines="50" w:line="400" w:lineRule="exact"/>
        <w:ind w:firstLine="482" w:firstLineChars="200"/>
        <w:rPr>
          <w:rFonts w:hint="eastAsia" w:ascii="宋体" w:hAnsi="宋体" w:eastAsia="宋体" w:cs="宋体"/>
          <w:b/>
          <w:bCs/>
          <w:sz w:val="24"/>
          <w:szCs w:val="24"/>
          <w:lang w:val="en-US"/>
        </w:rPr>
      </w:pPr>
      <w:r>
        <w:rPr>
          <w:rFonts w:hint="eastAsia" w:ascii="宋体" w:hAnsi="宋体" w:eastAsia="宋体" w:cs="宋体"/>
          <w:b/>
          <w:bCs/>
          <w:snapToGrid w:val="0"/>
          <w:color w:val="0000FF"/>
          <w:sz w:val="24"/>
          <w:szCs w:val="24"/>
          <w:lang w:val="en-US"/>
        </w:rPr>
        <w:t>供应商应按招标文件所附的《</w:t>
      </w:r>
      <w:r>
        <w:rPr>
          <w:rFonts w:hint="eastAsia" w:ascii="宋体" w:hAnsi="宋体" w:eastAsia="宋体" w:cs="宋体"/>
          <w:b/>
          <w:bCs/>
          <w:snapToGrid w:val="0"/>
          <w:color w:val="0000FF"/>
          <w:sz w:val="24"/>
          <w:szCs w:val="24"/>
          <w:lang w:val="en-US" w:eastAsia="zh-CN"/>
        </w:rPr>
        <w:t>开标</w:t>
      </w:r>
      <w:r>
        <w:rPr>
          <w:rFonts w:hint="eastAsia" w:ascii="宋体" w:hAnsi="宋体" w:eastAsia="宋体" w:cs="宋体"/>
          <w:b/>
          <w:bCs/>
          <w:snapToGrid w:val="0"/>
          <w:color w:val="0000FF"/>
          <w:sz w:val="24"/>
          <w:szCs w:val="24"/>
          <w:lang w:val="en-US"/>
        </w:rPr>
        <w:t>一览表》中的项目，标明拟提供货物的</w:t>
      </w:r>
      <w:r>
        <w:rPr>
          <w:rFonts w:hint="eastAsia" w:ascii="宋体" w:hAnsi="宋体" w:eastAsia="宋体" w:cs="宋体"/>
          <w:b/>
          <w:bCs/>
          <w:snapToGrid w:val="0"/>
          <w:color w:val="0000FF"/>
          <w:sz w:val="24"/>
          <w:szCs w:val="24"/>
          <w:lang w:val="en-US" w:eastAsia="zh-CN"/>
        </w:rPr>
        <w:t>综合</w:t>
      </w:r>
      <w:r>
        <w:rPr>
          <w:rFonts w:hint="eastAsia" w:ascii="宋体" w:hAnsi="宋体" w:eastAsia="宋体" w:cs="宋体"/>
          <w:b/>
          <w:bCs/>
          <w:snapToGrid w:val="0"/>
          <w:color w:val="0000FF"/>
          <w:sz w:val="24"/>
          <w:szCs w:val="24"/>
          <w:lang w:val="en-US"/>
        </w:rPr>
        <w:t>单价。</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r>
        <w:rPr>
          <w:rFonts w:hint="eastAsia" w:ascii="宋体" w:hAnsi="宋体" w:eastAsia="宋体" w:cs="宋体"/>
          <w:b/>
          <w:bCs/>
          <w:sz w:val="28"/>
          <w:szCs w:val="28"/>
        </w:rPr>
        <w:t>13、商务条款响应</w:t>
      </w:r>
    </w:p>
    <w:p>
      <w:pPr>
        <w:pStyle w:val="45"/>
        <w:keepNext w:val="0"/>
        <w:keepLines w:val="0"/>
        <w:pageBreakBefore w:val="0"/>
        <w:tabs>
          <w:tab w:val="left" w:pos="172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13.1 </w:t>
      </w:r>
      <w:r>
        <w:rPr>
          <w:rFonts w:hint="eastAsia" w:ascii="宋体" w:hAnsi="宋体" w:eastAsia="宋体" w:cs="宋体"/>
          <w:sz w:val="24"/>
          <w:szCs w:val="24"/>
        </w:rPr>
        <w:t>对招标文件中的商务条款要求逐项作出响应或偏离，并说明原因；</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55" w:name="14、服务承诺及售后服务机构、人员的情况介绍"/>
      <w:bookmarkEnd w:id="55"/>
      <w:r>
        <w:rPr>
          <w:rFonts w:hint="eastAsia" w:ascii="宋体" w:hAnsi="宋体" w:eastAsia="宋体" w:cs="宋体"/>
          <w:b/>
          <w:bCs/>
          <w:sz w:val="28"/>
          <w:szCs w:val="28"/>
        </w:rPr>
        <w:t>14、服务承诺及人员的情况介绍</w:t>
      </w:r>
    </w:p>
    <w:p>
      <w:pPr>
        <w:pStyle w:val="45"/>
        <w:keepNext w:val="0"/>
        <w:keepLines w:val="0"/>
        <w:pageBreakBefore w:val="0"/>
        <w:tabs>
          <w:tab w:val="left" w:pos="166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14.1 </w:t>
      </w:r>
      <w:r>
        <w:rPr>
          <w:rFonts w:hint="eastAsia" w:ascii="宋体" w:hAnsi="宋体" w:eastAsia="宋体" w:cs="宋体"/>
          <w:sz w:val="24"/>
          <w:szCs w:val="24"/>
        </w:rPr>
        <w:t>供应商的服务承诺应按不低于招标文件中商务要求的标准。</w:t>
      </w:r>
    </w:p>
    <w:p>
      <w:pPr>
        <w:pStyle w:val="45"/>
        <w:keepNext w:val="0"/>
        <w:keepLines w:val="0"/>
        <w:pageBreakBefore w:val="0"/>
        <w:tabs>
          <w:tab w:val="left" w:pos="1728"/>
        </w:tabs>
        <w:overflowPunct/>
        <w:topLinePunct w:val="0"/>
        <w:bidi w:val="0"/>
        <w:spacing w:after="0" w:afterLines="50" w:line="400" w:lineRule="exact"/>
        <w:ind w:left="0" w:firstLine="464" w:firstLineChars="200"/>
        <w:rPr>
          <w:rFonts w:hint="eastAsia" w:ascii="宋体" w:hAnsi="宋体" w:eastAsia="宋体" w:cs="宋体"/>
          <w:sz w:val="24"/>
          <w:szCs w:val="24"/>
        </w:rPr>
      </w:pPr>
      <w:r>
        <w:rPr>
          <w:rFonts w:hint="eastAsia" w:ascii="宋体" w:hAnsi="宋体" w:eastAsia="宋体" w:cs="宋体"/>
          <w:spacing w:val="-4"/>
          <w:sz w:val="24"/>
          <w:szCs w:val="24"/>
          <w:lang w:val="en-US"/>
        </w:rPr>
        <w:t xml:space="preserve">14.2 </w:t>
      </w:r>
      <w:r>
        <w:rPr>
          <w:rFonts w:hint="eastAsia" w:ascii="宋体" w:hAnsi="宋体" w:eastAsia="宋体" w:cs="宋体"/>
          <w:spacing w:val="-4"/>
          <w:sz w:val="24"/>
          <w:szCs w:val="24"/>
        </w:rPr>
        <w:t>提供供应商有关服务的管理制度、服务机构的分布情况、服务</w:t>
      </w:r>
      <w:r>
        <w:rPr>
          <w:rFonts w:hint="eastAsia" w:ascii="宋体" w:hAnsi="宋体" w:eastAsia="宋体" w:cs="宋体"/>
          <w:sz w:val="24"/>
          <w:szCs w:val="24"/>
        </w:rPr>
        <w:t>人员的数量、素质、技术水平及服务的反应能力。</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bookmarkStart w:id="56" w:name="15、商务标和开标一览表"/>
      <w:bookmarkEnd w:id="56"/>
      <w:r>
        <w:rPr>
          <w:rFonts w:hint="eastAsia" w:ascii="宋体" w:hAnsi="宋体" w:eastAsia="宋体" w:cs="宋体"/>
          <w:b/>
          <w:bCs/>
          <w:sz w:val="28"/>
          <w:szCs w:val="28"/>
        </w:rPr>
        <w:t>15、</w:t>
      </w:r>
      <w:r>
        <w:rPr>
          <w:rFonts w:hint="eastAsia" w:ascii="宋体" w:hAnsi="宋体" w:eastAsia="宋体" w:cs="宋体"/>
          <w:b/>
          <w:bCs/>
          <w:sz w:val="28"/>
          <w:szCs w:val="28"/>
          <w:lang w:eastAsia="zh-CN"/>
        </w:rPr>
        <w:t>投标文件</w:t>
      </w:r>
    </w:p>
    <w:p>
      <w:pPr>
        <w:pStyle w:val="45"/>
        <w:keepNext w:val="0"/>
        <w:keepLines w:val="0"/>
        <w:pageBreakBefore w:val="0"/>
        <w:tabs>
          <w:tab w:val="left" w:pos="1724"/>
        </w:tabs>
        <w:overflowPunct/>
        <w:topLinePunct w:val="0"/>
        <w:bidi w:val="0"/>
        <w:spacing w:after="0" w:afterLines="50" w:line="400" w:lineRule="exact"/>
        <w:ind w:left="0" w:right="1026"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15.1 </w:t>
      </w:r>
      <w:r>
        <w:rPr>
          <w:rFonts w:hint="eastAsia" w:ascii="宋体" w:hAnsi="宋体" w:eastAsia="宋体" w:cs="宋体"/>
          <w:sz w:val="24"/>
          <w:szCs w:val="24"/>
        </w:rPr>
        <w:t>供应商应按照招标文件中提供的格式完整、正确填写</w:t>
      </w:r>
      <w:r>
        <w:rPr>
          <w:rFonts w:hint="eastAsia" w:ascii="宋体" w:hAnsi="宋体" w:eastAsia="宋体" w:cs="宋体"/>
          <w:sz w:val="24"/>
          <w:szCs w:val="24"/>
          <w:lang w:eastAsia="zh-CN"/>
        </w:rPr>
        <w:t>投标文件</w:t>
      </w:r>
      <w:r>
        <w:rPr>
          <w:rFonts w:hint="eastAsia" w:ascii="宋体" w:hAnsi="宋体" w:eastAsia="宋体" w:cs="宋体"/>
          <w:sz w:val="24"/>
          <w:szCs w:val="24"/>
        </w:rPr>
        <w:t>。</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15.2 </w:t>
      </w:r>
      <w:r>
        <w:rPr>
          <w:rFonts w:hint="eastAsia" w:ascii="宋体" w:hAnsi="宋体" w:eastAsia="宋体" w:cs="宋体"/>
          <w:sz w:val="24"/>
          <w:szCs w:val="24"/>
        </w:rPr>
        <w:t>投标文件必须按照招标文件的规定要求进行编制，并在投标截止时间前递交，否则视为无效投标。</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bookmarkStart w:id="57" w:name="16、投标保证金"/>
      <w:bookmarkEnd w:id="57"/>
      <w:r>
        <w:rPr>
          <w:rFonts w:hint="eastAsia" w:ascii="宋体" w:hAnsi="宋体" w:eastAsia="宋体" w:cs="宋体"/>
          <w:b/>
          <w:bCs/>
          <w:sz w:val="28"/>
          <w:szCs w:val="28"/>
          <w:lang w:eastAsia="zh-CN"/>
        </w:rPr>
        <w:t>16、投标保证金</w:t>
      </w:r>
    </w:p>
    <w:p>
      <w:pPr>
        <w:pStyle w:val="45"/>
        <w:keepNext w:val="0"/>
        <w:keepLines w:val="0"/>
        <w:pageBreakBefore w:val="0"/>
        <w:tabs>
          <w:tab w:val="left" w:pos="1727"/>
        </w:tabs>
        <w:overflowPunct/>
        <w:topLinePunct w:val="0"/>
        <w:bidi w:val="0"/>
        <w:spacing w:after="0" w:afterLines="50" w:line="400" w:lineRule="exact"/>
        <w:ind w:left="0" w:firstLine="480" w:firstLineChars="200"/>
        <w:rPr>
          <w:rFonts w:hint="eastAsia" w:ascii="宋体" w:hAnsi="宋体" w:eastAsia="宋体" w:cs="宋体"/>
          <w:spacing w:val="-2"/>
          <w:sz w:val="24"/>
          <w:szCs w:val="24"/>
          <w:lang w:eastAsia="zh-CN"/>
        </w:rPr>
      </w:pPr>
      <w:r>
        <w:rPr>
          <w:rFonts w:hint="eastAsia" w:ascii="宋体" w:hAnsi="宋体" w:eastAsia="宋体" w:cs="宋体"/>
          <w:sz w:val="24"/>
          <w:szCs w:val="24"/>
          <w:lang w:val="en-US" w:eastAsia="zh-CN"/>
        </w:rPr>
        <w:t xml:space="preserve">16.1 </w:t>
      </w:r>
      <w:r>
        <w:rPr>
          <w:rFonts w:hint="eastAsia" w:ascii="宋体" w:hAnsi="宋体" w:eastAsia="宋体" w:cs="宋体"/>
          <w:spacing w:val="-1"/>
          <w:sz w:val="24"/>
          <w:szCs w:val="24"/>
          <w:lang w:eastAsia="zh-CN"/>
        </w:rPr>
        <w:t>本项目不收取投标保证金</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17、投标有效期</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17.1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根据中华人民共和国财政部令第87号--《政府采购货物和服务招标投标管理办法》第二十三条的规定：</w:t>
      </w:r>
      <w:r>
        <w:rPr>
          <w:rFonts w:hint="eastAsia" w:ascii="宋体" w:hAnsi="宋体" w:eastAsia="宋体" w:cs="宋体"/>
          <w:sz w:val="24"/>
          <w:szCs w:val="24"/>
        </w:rPr>
        <w:t>投标有效期从提交投标文件的截止之日起算。投标文件中承诺的投标有效期应当不少于招标文件中载明的投标有效期。投标有效期内投标人撤销投标文件的，采购人或者采购代理机构可以不退还投标保证金。</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58" w:name="18、投标文件份数和签署"/>
      <w:bookmarkEnd w:id="58"/>
      <w:r>
        <w:rPr>
          <w:rFonts w:hint="eastAsia" w:ascii="宋体" w:hAnsi="宋体" w:eastAsia="宋体" w:cs="宋体"/>
          <w:b/>
          <w:bCs/>
          <w:sz w:val="28"/>
          <w:szCs w:val="28"/>
          <w:lang w:eastAsia="zh-CN"/>
        </w:rPr>
        <w:t>18、投标文件份数和签署</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18.1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供应商应严格按照投标</w:t>
      </w:r>
      <w:r>
        <w:rPr>
          <w:rFonts w:hint="eastAsia" w:ascii="宋体" w:hAnsi="宋体" w:eastAsia="宋体" w:cs="宋体"/>
          <w:sz w:val="24"/>
          <w:szCs w:val="24"/>
          <w:lang w:eastAsia="zh-CN"/>
        </w:rPr>
        <w:t>人</w:t>
      </w:r>
      <w:r>
        <w:rPr>
          <w:rFonts w:hint="eastAsia" w:ascii="宋体" w:hAnsi="宋体" w:eastAsia="宋体" w:cs="宋体"/>
          <w:sz w:val="24"/>
          <w:szCs w:val="24"/>
        </w:rPr>
        <w:t>须知前附表要求的份数准备投标文件，每份投标文件须清楚地标明“正本”或“副本”字样。一旦正本和副本不符，以正本为准。</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18.2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除招标文件规定的可提交复印件外，其他文件均须提交原件，文字材料需打印或用不褪色墨水书写。投标文件的正本及副本须经法定代表人或授权代表签署和加盖供应商公章。本招标文件所表述（指定）的公章是指法定名称章， 不包括合同专用章、业务专用章等印章。</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18.3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除供应商对错处做必要修改外，投标文件不得行间插字、涂改或增删。如有修改错漏处，必须由投标文件签署人签字</w:t>
      </w:r>
      <w:r>
        <w:rPr>
          <w:rFonts w:hint="eastAsia" w:ascii="宋体" w:hAnsi="宋体" w:eastAsia="宋体" w:cs="宋体"/>
          <w:sz w:val="24"/>
          <w:szCs w:val="24"/>
          <w:lang w:eastAsia="zh-CN"/>
        </w:rPr>
        <w:t>并加</w:t>
      </w:r>
      <w:r>
        <w:rPr>
          <w:rFonts w:hint="eastAsia" w:ascii="宋体" w:hAnsi="宋体" w:eastAsia="宋体" w:cs="宋体"/>
          <w:sz w:val="24"/>
          <w:szCs w:val="24"/>
        </w:rPr>
        <w:t>盖</w:t>
      </w:r>
      <w:r>
        <w:rPr>
          <w:rFonts w:hint="eastAsia" w:ascii="宋体" w:hAnsi="宋体" w:eastAsia="宋体" w:cs="宋体"/>
          <w:sz w:val="24"/>
          <w:szCs w:val="24"/>
          <w:lang w:eastAsia="zh-CN"/>
        </w:rPr>
        <w:t>公</w:t>
      </w:r>
      <w:r>
        <w:rPr>
          <w:rFonts w:hint="eastAsia" w:ascii="宋体" w:hAnsi="宋体" w:eastAsia="宋体" w:cs="宋体"/>
          <w:sz w:val="24"/>
          <w:szCs w:val="24"/>
        </w:rPr>
        <w:t>章。</w:t>
      </w:r>
    </w:p>
    <w:p>
      <w:pPr>
        <w:keepNext w:val="0"/>
        <w:keepLines w:val="0"/>
        <w:pageBreakBefore w:val="0"/>
        <w:overflowPunct/>
        <w:topLinePunct w:val="0"/>
        <w:bidi w:val="0"/>
        <w:spacing w:after="0" w:afterLines="50" w:line="400" w:lineRule="exact"/>
        <w:jc w:val="center"/>
        <w:rPr>
          <w:rFonts w:hint="eastAsia" w:ascii="宋体" w:hAnsi="宋体" w:eastAsia="宋体" w:cs="宋体"/>
          <w:b/>
          <w:sz w:val="24"/>
          <w:szCs w:val="24"/>
        </w:rPr>
      </w:pPr>
      <w:bookmarkStart w:id="59" w:name="四、投标文件的递交"/>
      <w:bookmarkEnd w:id="59"/>
      <w:r>
        <w:rPr>
          <w:rFonts w:hint="eastAsia" w:ascii="宋体" w:hAnsi="宋体" w:eastAsia="宋体" w:cs="宋体"/>
          <w:b/>
          <w:sz w:val="32"/>
          <w:szCs w:val="32"/>
        </w:rPr>
        <w:t>四、投标文件的递交</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bookmarkStart w:id="60" w:name="19、投标文件的密封和标记"/>
      <w:bookmarkEnd w:id="60"/>
      <w:r>
        <w:rPr>
          <w:rFonts w:hint="eastAsia" w:ascii="宋体" w:hAnsi="宋体" w:eastAsia="宋体" w:cs="宋体"/>
          <w:b/>
          <w:bCs/>
          <w:sz w:val="28"/>
          <w:szCs w:val="28"/>
          <w:lang w:eastAsia="zh-CN"/>
        </w:rPr>
        <w:t>19、投标文件的密封和标记</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rPr>
        <w:t xml:space="preserve">19.1 </w:t>
      </w:r>
      <w:r>
        <w:rPr>
          <w:rFonts w:hint="eastAsia" w:ascii="宋体" w:hAnsi="宋体" w:eastAsia="宋体" w:cs="宋体"/>
          <w:spacing w:val="-1"/>
          <w:sz w:val="24"/>
          <w:szCs w:val="24"/>
        </w:rPr>
        <w:t>供应商应将投标文件按照“投标人须知前附表”中的要求密封</w:t>
      </w:r>
      <w:r>
        <w:rPr>
          <w:rFonts w:hint="eastAsia" w:ascii="宋体" w:hAnsi="宋体" w:eastAsia="宋体" w:cs="宋体"/>
          <w:sz w:val="24"/>
          <w:szCs w:val="24"/>
        </w:rPr>
        <w:t>递交，不论供应商中标与否，投标文件均不退回。</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val="en-US"/>
        </w:rPr>
        <w:t xml:space="preserve">19.2 </w:t>
      </w:r>
      <w:r>
        <w:rPr>
          <w:rFonts w:hint="eastAsia" w:ascii="宋体" w:hAnsi="宋体" w:eastAsia="宋体" w:cs="宋体"/>
          <w:spacing w:val="-1"/>
          <w:sz w:val="24"/>
          <w:szCs w:val="24"/>
        </w:rPr>
        <w:t>投标文件应按照“投标人须知前附表”中的要求密封递交，并在封套的封口处加盖供应商单位公章。投标文件封套上应写明的：</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采购项目名称：</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供应商名称（盖章）：</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法定代表人（签字或盖章）：</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供应商联系人：</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 xml:space="preserve">供应商联系电话： </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供应商地址：</w:t>
      </w:r>
    </w:p>
    <w:p>
      <w:pPr>
        <w:keepNext w:val="0"/>
        <w:keepLines w:val="0"/>
        <w:pageBreakBefore w:val="0"/>
        <w:tabs>
          <w:tab w:val="left" w:pos="1905"/>
        </w:tabs>
        <w:overflowPunct/>
        <w:topLinePunct w:val="0"/>
        <w:bidi w:val="0"/>
        <w:spacing w:after="0" w:afterLines="5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在</w:t>
      </w:r>
      <w:r>
        <w:rPr>
          <w:rFonts w:hint="eastAsia" w:ascii="宋体" w:hAnsi="宋体" w:eastAsia="宋体" w:cs="宋体"/>
          <w:b/>
          <w:sz w:val="24"/>
          <w:szCs w:val="24"/>
          <w:u w:val="single"/>
        </w:rPr>
        <w:tab/>
      </w:r>
      <w:r>
        <w:rPr>
          <w:rFonts w:hint="eastAsia" w:ascii="宋体" w:hAnsi="宋体" w:eastAsia="宋体" w:cs="宋体"/>
          <w:b/>
          <w:sz w:val="24"/>
          <w:szCs w:val="24"/>
        </w:rPr>
        <w:t>年</w:t>
      </w:r>
      <w:r>
        <w:rPr>
          <w:rFonts w:hint="eastAsia" w:ascii="宋体" w:hAnsi="宋体" w:eastAsia="宋体" w:cs="宋体"/>
          <w:b/>
          <w:sz w:val="24"/>
          <w:szCs w:val="24"/>
          <w:u w:val="single"/>
          <w:lang w:val="en-US" w:eastAsia="zh-CN"/>
        </w:rPr>
        <w:t xml:space="preserve">    </w:t>
      </w:r>
      <w:r>
        <w:rPr>
          <w:rFonts w:hint="eastAsia" w:ascii="宋体" w:hAnsi="宋体" w:eastAsia="宋体" w:cs="宋体"/>
          <w:b/>
          <w:spacing w:val="-6"/>
          <w:sz w:val="24"/>
          <w:szCs w:val="24"/>
        </w:rPr>
        <w:t>月</w:t>
      </w:r>
      <w:r>
        <w:rPr>
          <w:rFonts w:hint="eastAsia" w:ascii="宋体" w:hAnsi="宋体" w:eastAsia="宋体" w:cs="宋体"/>
          <w:b/>
          <w:spacing w:val="-6"/>
          <w:sz w:val="24"/>
          <w:szCs w:val="24"/>
          <w:u w:val="single"/>
          <w:lang w:val="en-US" w:eastAsia="zh-CN"/>
        </w:rPr>
        <w:t xml:space="preserve">    </w:t>
      </w:r>
      <w:r>
        <w:rPr>
          <w:rFonts w:hint="eastAsia" w:ascii="宋体" w:hAnsi="宋体" w:eastAsia="宋体" w:cs="宋体"/>
          <w:b/>
          <w:sz w:val="24"/>
          <w:szCs w:val="24"/>
        </w:rPr>
        <w:t>日</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时</w:t>
      </w:r>
      <w:r>
        <w:rPr>
          <w:rFonts w:hint="eastAsia" w:ascii="宋体" w:hAnsi="宋体" w:eastAsia="宋体" w:cs="宋体"/>
          <w:b/>
          <w:spacing w:val="-3"/>
          <w:sz w:val="24"/>
          <w:szCs w:val="24"/>
        </w:rPr>
        <w:t>前</w:t>
      </w:r>
      <w:r>
        <w:rPr>
          <w:rFonts w:hint="eastAsia" w:ascii="宋体" w:hAnsi="宋体" w:eastAsia="宋体" w:cs="宋体"/>
          <w:b/>
          <w:sz w:val="24"/>
          <w:szCs w:val="24"/>
        </w:rPr>
        <w:t>不</w:t>
      </w:r>
      <w:r>
        <w:rPr>
          <w:rFonts w:hint="eastAsia" w:ascii="宋体" w:hAnsi="宋体" w:eastAsia="宋体" w:cs="宋体"/>
          <w:b/>
          <w:spacing w:val="-5"/>
          <w:sz w:val="24"/>
          <w:szCs w:val="24"/>
        </w:rPr>
        <w:t>得</w:t>
      </w:r>
      <w:r>
        <w:rPr>
          <w:rFonts w:hint="eastAsia" w:ascii="宋体" w:hAnsi="宋体" w:eastAsia="宋体" w:cs="宋体"/>
          <w:b/>
          <w:sz w:val="24"/>
          <w:szCs w:val="24"/>
        </w:rPr>
        <w:t>开启</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val="en-US"/>
        </w:rPr>
        <w:t xml:space="preserve">19.3 </w:t>
      </w:r>
      <w:r>
        <w:rPr>
          <w:rFonts w:hint="eastAsia" w:ascii="宋体" w:hAnsi="宋体" w:eastAsia="宋体" w:cs="宋体"/>
          <w:spacing w:val="-1"/>
          <w:sz w:val="24"/>
          <w:szCs w:val="24"/>
          <w:lang w:eastAsia="zh-CN"/>
        </w:rPr>
        <w:t>根据中华人民共和国财政部令第87号--《政府采购货物和服务招标投标管理办法》第二十三条的规定：</w:t>
      </w:r>
      <w:r>
        <w:rPr>
          <w:rFonts w:hint="eastAsia" w:ascii="宋体" w:hAnsi="宋体" w:eastAsia="宋体" w:cs="宋体"/>
          <w:spacing w:val="-1"/>
          <w:sz w:val="24"/>
          <w:szCs w:val="24"/>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rPr>
        <w:t>逾期送达或者未按照招标文件要求密封的投标文件，采购人、采购代理机构应当拒收。</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61" w:name="20、投标截止日期"/>
      <w:bookmarkEnd w:id="61"/>
      <w:r>
        <w:rPr>
          <w:rFonts w:hint="eastAsia" w:ascii="宋体" w:hAnsi="宋体" w:eastAsia="宋体" w:cs="宋体"/>
          <w:b/>
          <w:bCs/>
          <w:sz w:val="28"/>
          <w:szCs w:val="28"/>
          <w:lang w:eastAsia="zh-CN"/>
        </w:rPr>
        <w:t>20、投标截止时间</w:t>
      </w:r>
    </w:p>
    <w:p>
      <w:pPr>
        <w:pStyle w:val="45"/>
        <w:keepNext w:val="0"/>
        <w:keepLines w:val="0"/>
        <w:pageBreakBefore w:val="0"/>
        <w:tabs>
          <w:tab w:val="left" w:pos="1731"/>
        </w:tabs>
        <w:overflowPunct/>
        <w:topLinePunct w:val="0"/>
        <w:bidi w:val="0"/>
        <w:spacing w:after="0" w:afterLines="50" w:line="400" w:lineRule="exact"/>
        <w:ind w:left="0"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rPr>
        <w:t xml:space="preserve">20.1 </w:t>
      </w:r>
      <w:r>
        <w:rPr>
          <w:rFonts w:hint="eastAsia" w:ascii="宋体" w:hAnsi="宋体" w:eastAsia="宋体" w:cs="宋体"/>
          <w:spacing w:val="3"/>
          <w:sz w:val="24"/>
          <w:szCs w:val="24"/>
          <w:lang w:val="en-US" w:eastAsia="zh-CN"/>
        </w:rPr>
        <w:t>详见投标人须知前附表。</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62" w:name="21、投标文件的递交"/>
      <w:bookmarkEnd w:id="62"/>
      <w:r>
        <w:rPr>
          <w:rFonts w:hint="eastAsia" w:ascii="宋体" w:hAnsi="宋体" w:eastAsia="宋体" w:cs="宋体"/>
          <w:b/>
          <w:bCs/>
          <w:sz w:val="28"/>
          <w:szCs w:val="28"/>
          <w:lang w:eastAsia="zh-CN"/>
        </w:rPr>
        <w:t>21、投标文件的递交</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21.1</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采购人</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采购代理机构拒收在</w:t>
      </w:r>
      <w:r>
        <w:rPr>
          <w:rFonts w:hint="eastAsia" w:ascii="宋体" w:hAnsi="宋体" w:eastAsia="宋体" w:cs="宋体"/>
          <w:spacing w:val="-1"/>
          <w:sz w:val="24"/>
          <w:szCs w:val="24"/>
          <w:lang w:eastAsia="zh-CN"/>
        </w:rPr>
        <w:t>招标文件</w:t>
      </w:r>
      <w:r>
        <w:rPr>
          <w:rFonts w:hint="eastAsia" w:ascii="宋体" w:hAnsi="宋体" w:eastAsia="宋体" w:cs="宋体"/>
          <w:spacing w:val="-1"/>
          <w:sz w:val="24"/>
          <w:szCs w:val="24"/>
        </w:rPr>
        <w:t>规定的投标截止时间后递交的任何投标文件或者未按照招标文件要求密封的投标文件。</w:t>
      </w:r>
      <w:bookmarkStart w:id="63" w:name="22、投标文件的修改和撤回"/>
      <w:bookmarkEnd w:id="63"/>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b/>
          <w:bCs/>
          <w:sz w:val="28"/>
          <w:szCs w:val="28"/>
          <w:lang w:val="en-US" w:eastAsia="zh-CN"/>
        </w:rPr>
      </w:pPr>
      <w:r>
        <w:rPr>
          <w:rFonts w:hint="eastAsia" w:ascii="宋体" w:hAnsi="宋体" w:eastAsia="宋体" w:cs="宋体"/>
          <w:spacing w:val="-1"/>
          <w:sz w:val="24"/>
          <w:szCs w:val="24"/>
          <w:lang w:val="en-US" w:eastAsia="zh-CN"/>
        </w:rPr>
        <w:t xml:space="preserve">21.2 </w:t>
      </w:r>
      <w:r>
        <w:rPr>
          <w:rFonts w:hint="eastAsia" w:ascii="宋体" w:hAnsi="宋体" w:eastAsia="宋体" w:cs="宋体"/>
          <w:spacing w:val="-1"/>
          <w:sz w:val="24"/>
          <w:szCs w:val="24"/>
          <w:lang w:eastAsia="zh-CN"/>
        </w:rPr>
        <w:t>根据中华人民共和国财政部令第87号--《政府采购货物和服务招标投标管理办法》第三十六条的规定：</w:t>
      </w:r>
      <w:r>
        <w:rPr>
          <w:rFonts w:hint="eastAsia" w:ascii="宋体" w:hAnsi="宋体" w:eastAsia="宋体" w:cs="宋体"/>
          <w:spacing w:val="-1"/>
          <w:sz w:val="24"/>
          <w:szCs w:val="24"/>
        </w:rPr>
        <w:t>投标人应当遵循公平竞争的原则，不得恶意串通，不得妨碍其他投标人的竞争行为，不得损害采购人或者其他投标人的合法权益。</w:t>
      </w:r>
    </w:p>
    <w:p>
      <w:pPr>
        <w:pStyle w:val="45"/>
        <w:keepNext w:val="0"/>
        <w:keepLines w:val="0"/>
        <w:pageBreakBefore w:val="0"/>
        <w:tabs>
          <w:tab w:val="left" w:pos="1666"/>
        </w:tabs>
        <w:overflowPunct/>
        <w:topLinePunct w:val="0"/>
        <w:bidi w:val="0"/>
        <w:spacing w:after="0" w:afterLines="50" w:line="400" w:lineRule="exact"/>
        <w:ind w:left="0" w:firstLine="562" w:firstLineChars="200"/>
        <w:jc w:val="both"/>
        <w:rPr>
          <w:rFonts w:hint="eastAsia" w:ascii="宋体" w:hAnsi="宋体" w:eastAsia="宋体" w:cs="宋体"/>
          <w:sz w:val="24"/>
          <w:szCs w:val="24"/>
        </w:rPr>
      </w:pPr>
      <w:r>
        <w:rPr>
          <w:rFonts w:hint="eastAsia" w:ascii="宋体" w:hAnsi="宋体" w:eastAsia="宋体" w:cs="宋体"/>
          <w:b/>
          <w:bCs/>
          <w:sz w:val="28"/>
          <w:szCs w:val="28"/>
          <w:lang w:eastAsia="zh-CN"/>
        </w:rPr>
        <w:t>22、投标文件的补充、修改或撤回</w:t>
      </w:r>
    </w:p>
    <w:p>
      <w:pPr>
        <w:pStyle w:val="45"/>
        <w:keepNext w:val="0"/>
        <w:keepLines w:val="0"/>
        <w:pageBreakBefore w:val="0"/>
        <w:tabs>
          <w:tab w:val="left" w:pos="1726"/>
        </w:tabs>
        <w:overflowPunct/>
        <w:topLinePunct w:val="0"/>
        <w:bidi w:val="0"/>
        <w:spacing w:after="0" w:afterLines="50" w:line="400" w:lineRule="exact"/>
        <w:ind w:left="0" w:firstLine="428" w:firstLineChars="200"/>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rPr>
        <w:t>22.1</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
          <w:sz w:val="24"/>
          <w:szCs w:val="24"/>
          <w:lang w:eastAsia="zh-CN"/>
        </w:rPr>
        <w:t>根据中华人民共和国财政部令第87号--《政府采购货物和服务招标投标管理办法》第三十四条的规定：投标人在投标截止时间前，可以对所递交的投标文件进行补充、修改或者撤回，并书面通知采购人或者采购代理机构。补充、修改的内容应当按照招标文件要求签署、盖章、密封后，作为投标文件的组成部分。</w:t>
      </w:r>
    </w:p>
    <w:p>
      <w:pPr>
        <w:pStyle w:val="45"/>
        <w:keepNext w:val="0"/>
        <w:keepLines w:val="0"/>
        <w:pageBreakBefore w:val="0"/>
        <w:tabs>
          <w:tab w:val="left" w:pos="172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22.2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的修改或撤回文件应按规定进行编制、密封、标记和发送，并应在封套上加注“修改”或“撤回”字样。上述补充或修改若涉及投标报价，必须注明“最后唯一报价”字样，否则将视为有选择的报价。修改文件必须在投标截止时间前送达招标文件规定的递交地点。</w:t>
      </w:r>
    </w:p>
    <w:p>
      <w:pPr>
        <w:pStyle w:val="45"/>
        <w:keepNext w:val="0"/>
        <w:keepLines w:val="0"/>
        <w:pageBreakBefore w:val="0"/>
        <w:tabs>
          <w:tab w:val="left" w:pos="172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22.4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在投标截止时间至招标文件中规定的投标有效期满之间的这段时间内，供应商不得撤回其投标。</w:t>
      </w:r>
      <w:bookmarkStart w:id="64" w:name="五、开标与评标"/>
      <w:bookmarkEnd w:id="64"/>
    </w:p>
    <w:p>
      <w:pPr>
        <w:pStyle w:val="45"/>
        <w:keepNext w:val="0"/>
        <w:keepLines w:val="0"/>
        <w:pageBreakBefore w:val="0"/>
        <w:tabs>
          <w:tab w:val="left" w:pos="1726"/>
        </w:tabs>
        <w:overflowPunct/>
        <w:topLinePunct w:val="0"/>
        <w:bidi w:val="0"/>
        <w:spacing w:after="0" w:afterLines="50" w:line="400" w:lineRule="exact"/>
        <w:ind w:left="0" w:firstLine="643" w:firstLineChars="200"/>
        <w:rPr>
          <w:rFonts w:hint="eastAsia" w:ascii="宋体" w:hAnsi="宋体" w:eastAsia="宋体" w:cs="宋体"/>
          <w:b/>
          <w:sz w:val="32"/>
          <w:szCs w:val="32"/>
        </w:rPr>
      </w:pPr>
    </w:p>
    <w:p>
      <w:pPr>
        <w:pStyle w:val="45"/>
        <w:keepNext w:val="0"/>
        <w:keepLines w:val="0"/>
        <w:pageBreakBefore w:val="0"/>
        <w:tabs>
          <w:tab w:val="left" w:pos="1726"/>
        </w:tabs>
        <w:overflowPunct/>
        <w:topLinePunct w:val="0"/>
        <w:bidi w:val="0"/>
        <w:spacing w:after="0" w:afterLines="50" w:line="400" w:lineRule="exact"/>
        <w:ind w:left="0"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五、开标与评标</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bookmarkStart w:id="65" w:name="23、开标"/>
      <w:bookmarkEnd w:id="65"/>
      <w:r>
        <w:rPr>
          <w:rFonts w:hint="eastAsia" w:ascii="宋体" w:hAnsi="宋体" w:eastAsia="宋体" w:cs="宋体"/>
          <w:b/>
          <w:bCs/>
          <w:sz w:val="28"/>
          <w:szCs w:val="28"/>
          <w:lang w:eastAsia="zh-CN"/>
        </w:rPr>
        <w:t>23、开标</w:t>
      </w:r>
    </w:p>
    <w:p>
      <w:pPr>
        <w:pStyle w:val="45"/>
        <w:keepNext w:val="0"/>
        <w:keepLines w:val="0"/>
        <w:pageBreakBefore w:val="0"/>
        <w:tabs>
          <w:tab w:val="left" w:pos="172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23.1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采购人及采购代理机构将在招标文件中规定的时间和地点组织公开开标。供应商应委派法定代表人或其授权代表准时参加，参加开标的授权代表需签名以证明其出席。</w:t>
      </w:r>
    </w:p>
    <w:p>
      <w:pPr>
        <w:pStyle w:val="45"/>
        <w:keepNext w:val="0"/>
        <w:keepLines w:val="0"/>
        <w:pageBreakBefore w:val="0"/>
        <w:tabs>
          <w:tab w:val="left" w:pos="172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23.2 </w:t>
      </w:r>
      <w:r>
        <w:rPr>
          <w:rFonts w:hint="eastAsia" w:ascii="宋体" w:hAnsi="宋体" w:eastAsia="宋体" w:cs="宋体"/>
          <w:sz w:val="24"/>
          <w:szCs w:val="24"/>
        </w:rPr>
        <w:t>开标仪式由采购人及采购代理机构组织，采购人代表、监管代表、供应商授权代表等参加。</w:t>
      </w:r>
    </w:p>
    <w:p>
      <w:pPr>
        <w:pStyle w:val="45"/>
        <w:keepNext w:val="0"/>
        <w:keepLines w:val="0"/>
        <w:pageBreakBefore w:val="0"/>
        <w:tabs>
          <w:tab w:val="left" w:pos="1726"/>
        </w:tabs>
        <w:overflowPunct/>
        <w:topLinePunct w:val="0"/>
        <w:bidi w:val="0"/>
        <w:spacing w:after="0" w:afterLines="50" w:line="400" w:lineRule="exact"/>
        <w:ind w:left="0"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rPr>
        <w:t xml:space="preserve">23.3 </w:t>
      </w:r>
      <w:r>
        <w:rPr>
          <w:rFonts w:hint="eastAsia" w:ascii="宋体" w:hAnsi="宋体" w:eastAsia="宋体" w:cs="宋体"/>
          <w:spacing w:val="-2"/>
          <w:sz w:val="24"/>
          <w:szCs w:val="24"/>
          <w:lang w:val="en-US" w:eastAsia="zh-CN"/>
        </w:rPr>
        <w:t>采购代理机构根据</w:t>
      </w:r>
      <w:r>
        <w:rPr>
          <w:rFonts w:hint="eastAsia" w:ascii="宋体" w:hAnsi="宋体" w:eastAsia="宋体" w:cs="宋体"/>
          <w:spacing w:val="-1"/>
          <w:sz w:val="24"/>
          <w:szCs w:val="24"/>
          <w:lang w:eastAsia="zh-CN"/>
        </w:rPr>
        <w:t>中华人民共和国财政部令第87号--《政府采购货物和服务招标投标管理办法》第三十六条的相关规定，对开标、评标现场活动进行全程录音录像。录音录像清晰可辨，音像资料作为采购文件一并存档。</w:t>
      </w:r>
    </w:p>
    <w:p>
      <w:pPr>
        <w:pStyle w:val="45"/>
        <w:keepNext w:val="0"/>
        <w:keepLines w:val="0"/>
        <w:pageBreakBefore w:val="0"/>
        <w:tabs>
          <w:tab w:val="left" w:pos="1726"/>
        </w:tabs>
        <w:overflowPunct/>
        <w:topLinePunct w:val="0"/>
        <w:bidi w:val="0"/>
        <w:spacing w:after="0" w:afterLines="50" w:line="400" w:lineRule="exact"/>
        <w:ind w:left="0" w:firstLine="472"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lang w:val="en-US"/>
        </w:rPr>
        <w:t xml:space="preserve">23.4 </w:t>
      </w:r>
      <w:r>
        <w:rPr>
          <w:rFonts w:hint="eastAsia" w:ascii="宋体" w:hAnsi="宋体" w:eastAsia="宋体" w:cs="宋体"/>
          <w:spacing w:val="-2"/>
          <w:sz w:val="24"/>
          <w:szCs w:val="24"/>
        </w:rPr>
        <w:t>开标由采购代理机构主持，邀请投标人参加。评标委员会成员不得参加开标活动。</w:t>
      </w:r>
    </w:p>
    <w:p>
      <w:pPr>
        <w:keepNext w:val="0"/>
        <w:keepLines w:val="0"/>
        <w:pageBreakBefore w:val="0"/>
        <w:widowControl/>
        <w:kinsoku w:val="0"/>
        <w:overflowPunct/>
        <w:topLinePunct w:val="0"/>
        <w:bidi w:val="0"/>
        <w:adjustRightInd w:val="0"/>
        <w:snapToGrid w:val="0"/>
        <w:spacing w:after="0" w:afterLines="50" w:line="400" w:lineRule="exact"/>
        <w:ind w:firstLine="7"/>
        <w:textAlignment w:val="baseline"/>
        <w:rPr>
          <w:rFonts w:hint="eastAsia" w:ascii="宋体" w:hAnsi="宋体" w:eastAsia="宋体" w:cs="宋体"/>
          <w:sz w:val="24"/>
          <w:szCs w:val="24"/>
        </w:rPr>
      </w:pPr>
      <w:r>
        <w:rPr>
          <w:rFonts w:hint="eastAsia" w:ascii="宋体" w:hAnsi="宋体" w:eastAsia="宋体" w:cs="宋体"/>
          <w:spacing w:val="-4"/>
          <w:sz w:val="24"/>
          <w:szCs w:val="24"/>
        </w:rPr>
        <w:t>（1）宣布项目名称及投标文件提交截止时间，终止一切投标文件的接收工作，并宣布开标</w:t>
      </w:r>
      <w:r>
        <w:rPr>
          <w:rFonts w:hint="eastAsia" w:ascii="宋体" w:hAnsi="宋体" w:eastAsia="宋体" w:cs="宋体"/>
          <w:spacing w:val="-2"/>
          <w:sz w:val="24"/>
          <w:szCs w:val="24"/>
        </w:rPr>
        <w:t>开始；</w:t>
      </w:r>
    </w:p>
    <w:p>
      <w:pPr>
        <w:keepNext w:val="0"/>
        <w:keepLines w:val="0"/>
        <w:pageBreakBefore w:val="0"/>
        <w:widowControl/>
        <w:kinsoku w:val="0"/>
        <w:overflowPunct/>
        <w:topLinePunct w:val="0"/>
        <w:bidi w:val="0"/>
        <w:adjustRightInd w:val="0"/>
        <w:snapToGrid w:val="0"/>
        <w:spacing w:after="0" w:afterLines="50" w:line="400" w:lineRule="exact"/>
        <w:ind w:firstLine="7"/>
        <w:textAlignment w:val="baseline"/>
        <w:rPr>
          <w:rFonts w:hint="eastAsia" w:ascii="宋体" w:hAnsi="宋体" w:eastAsia="宋体" w:cs="宋体"/>
          <w:sz w:val="24"/>
          <w:szCs w:val="24"/>
        </w:rPr>
      </w:pPr>
      <w:r>
        <w:rPr>
          <w:rFonts w:hint="eastAsia" w:ascii="宋体" w:hAnsi="宋体" w:eastAsia="宋体" w:cs="宋体"/>
          <w:spacing w:val="-10"/>
          <w:sz w:val="24"/>
          <w:szCs w:val="24"/>
        </w:rPr>
        <w:t>（2）宣布开标纪律；</w:t>
      </w:r>
    </w:p>
    <w:p>
      <w:pPr>
        <w:keepNext w:val="0"/>
        <w:keepLines w:val="0"/>
        <w:pageBreakBefore w:val="0"/>
        <w:widowControl/>
        <w:kinsoku w:val="0"/>
        <w:overflowPunct/>
        <w:topLinePunct w:val="0"/>
        <w:bidi w:val="0"/>
        <w:adjustRightInd w:val="0"/>
        <w:snapToGrid w:val="0"/>
        <w:spacing w:after="0" w:afterLines="50" w:line="400" w:lineRule="exact"/>
        <w:textAlignment w:val="baseline"/>
        <w:rPr>
          <w:rFonts w:hint="eastAsia" w:ascii="宋体" w:hAnsi="宋体" w:eastAsia="宋体" w:cs="宋体"/>
          <w:sz w:val="24"/>
          <w:szCs w:val="24"/>
        </w:rPr>
      </w:pPr>
      <w:r>
        <w:rPr>
          <w:rFonts w:hint="eastAsia" w:ascii="宋体" w:hAnsi="宋体" w:eastAsia="宋体" w:cs="宋体"/>
          <w:spacing w:val="-6"/>
          <w:sz w:val="24"/>
          <w:szCs w:val="24"/>
        </w:rPr>
        <w:t>（3）介绍采购人、采购代理机构、现场监督人员；</w:t>
      </w:r>
    </w:p>
    <w:p>
      <w:pPr>
        <w:keepNext w:val="0"/>
        <w:keepLines w:val="0"/>
        <w:pageBreakBefore w:val="0"/>
        <w:widowControl/>
        <w:kinsoku w:val="0"/>
        <w:overflowPunct/>
        <w:topLinePunct w:val="0"/>
        <w:bidi w:val="0"/>
        <w:adjustRightInd w:val="0"/>
        <w:snapToGrid w:val="0"/>
        <w:spacing w:after="0" w:afterLines="50" w:line="400" w:lineRule="exact"/>
        <w:textAlignment w:val="baseline"/>
        <w:rPr>
          <w:rFonts w:hint="eastAsia" w:ascii="宋体" w:hAnsi="宋体" w:eastAsia="宋体" w:cs="宋体"/>
          <w:sz w:val="24"/>
          <w:szCs w:val="24"/>
        </w:rPr>
      </w:pPr>
      <w:r>
        <w:rPr>
          <w:rFonts w:hint="eastAsia" w:ascii="宋体" w:hAnsi="宋体" w:eastAsia="宋体" w:cs="宋体"/>
          <w:spacing w:val="-4"/>
          <w:sz w:val="24"/>
          <w:szCs w:val="24"/>
        </w:rPr>
        <w:t>（4）公布在投标文件提交截止时间前递交投标文件的投标人名称，并点名确认投标人代表是</w:t>
      </w:r>
      <w:r>
        <w:rPr>
          <w:rFonts w:hint="eastAsia" w:ascii="宋体" w:hAnsi="宋体" w:eastAsia="宋体" w:cs="宋体"/>
          <w:spacing w:val="-5"/>
          <w:sz w:val="24"/>
          <w:szCs w:val="24"/>
        </w:rPr>
        <w:t>否到场；</w:t>
      </w:r>
    </w:p>
    <w:p>
      <w:pPr>
        <w:keepNext w:val="0"/>
        <w:keepLines w:val="0"/>
        <w:pageBreakBefore w:val="0"/>
        <w:widowControl/>
        <w:kinsoku w:val="0"/>
        <w:overflowPunct/>
        <w:topLinePunct w:val="0"/>
        <w:bidi w:val="0"/>
        <w:adjustRightInd w:val="0"/>
        <w:snapToGrid w:val="0"/>
        <w:spacing w:after="0" w:afterLines="50" w:line="400" w:lineRule="exact"/>
        <w:ind w:firstLine="25"/>
        <w:textAlignment w:val="baseline"/>
        <w:rPr>
          <w:rFonts w:hint="eastAsia" w:ascii="宋体" w:hAnsi="宋体" w:eastAsia="宋体" w:cs="宋体"/>
          <w:sz w:val="24"/>
          <w:szCs w:val="24"/>
          <w:lang w:val="en-US"/>
        </w:rPr>
      </w:pPr>
      <w:r>
        <w:rPr>
          <w:rFonts w:hint="eastAsia" w:ascii="宋体" w:hAnsi="宋体" w:eastAsia="宋体" w:cs="宋体"/>
          <w:spacing w:val="-8"/>
          <w:sz w:val="24"/>
          <w:szCs w:val="24"/>
        </w:rPr>
        <w:t>（5）投标人检查</w:t>
      </w:r>
      <w:r>
        <w:rPr>
          <w:rFonts w:hint="eastAsia" w:ascii="宋体" w:hAnsi="宋体" w:eastAsia="宋体" w:cs="宋体"/>
          <w:spacing w:val="-8"/>
          <w:sz w:val="24"/>
          <w:szCs w:val="24"/>
          <w:lang w:eastAsia="zh-CN"/>
        </w:rPr>
        <w:t>投标</w:t>
      </w:r>
      <w:r>
        <w:rPr>
          <w:rFonts w:hint="eastAsia" w:ascii="宋体" w:hAnsi="宋体" w:eastAsia="宋体" w:cs="宋体"/>
          <w:spacing w:val="-8"/>
          <w:sz w:val="24"/>
          <w:szCs w:val="24"/>
        </w:rPr>
        <w:t>文件的密封情况；</w:t>
      </w:r>
    </w:p>
    <w:p>
      <w:pPr>
        <w:keepNext w:val="0"/>
        <w:keepLines w:val="0"/>
        <w:pageBreakBefore w:val="0"/>
        <w:widowControl/>
        <w:kinsoku w:val="0"/>
        <w:overflowPunct/>
        <w:topLinePunct w:val="0"/>
        <w:bidi w:val="0"/>
        <w:adjustRightInd w:val="0"/>
        <w:snapToGrid w:val="0"/>
        <w:spacing w:after="0" w:afterLines="50" w:line="400" w:lineRule="exact"/>
        <w:ind w:firstLine="8"/>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（6）</w:t>
      </w:r>
      <w:r>
        <w:rPr>
          <w:rFonts w:hint="eastAsia" w:ascii="宋体" w:hAnsi="宋体" w:eastAsia="宋体" w:cs="宋体"/>
          <w:spacing w:val="-9"/>
          <w:sz w:val="24"/>
          <w:szCs w:val="24"/>
          <w:lang w:eastAsia="zh-CN"/>
        </w:rPr>
        <w:t>密封情况确认无误后，</w:t>
      </w:r>
      <w:r>
        <w:rPr>
          <w:rFonts w:hint="eastAsia" w:ascii="宋体" w:hAnsi="宋体" w:eastAsia="宋体" w:cs="宋体"/>
          <w:spacing w:val="-9"/>
          <w:sz w:val="24"/>
          <w:szCs w:val="24"/>
        </w:rPr>
        <w:t>采购人或采购代理机构工作人员当众拆封，宣布投标人名称、投标价格。</w:t>
      </w:r>
    </w:p>
    <w:p>
      <w:pPr>
        <w:pStyle w:val="45"/>
        <w:keepNext w:val="0"/>
        <w:keepLines w:val="0"/>
        <w:pageBreakBefore w:val="0"/>
        <w:tabs>
          <w:tab w:val="left" w:pos="1726"/>
        </w:tabs>
        <w:overflowPunct/>
        <w:topLinePunct w:val="0"/>
        <w:bidi w:val="0"/>
        <w:spacing w:after="0" w:afterLines="50" w:line="400" w:lineRule="exact"/>
        <w:ind w:left="0" w:firstLine="464" w:firstLineChars="200"/>
        <w:jc w:val="both"/>
        <w:rPr>
          <w:rFonts w:hint="eastAsia" w:ascii="宋体" w:hAnsi="宋体" w:eastAsia="宋体" w:cs="宋体"/>
          <w:spacing w:val="-4"/>
          <w:sz w:val="24"/>
          <w:szCs w:val="24"/>
        </w:rPr>
      </w:pPr>
      <w:r>
        <w:rPr>
          <w:rFonts w:hint="eastAsia" w:ascii="宋体" w:hAnsi="宋体" w:eastAsia="宋体" w:cs="宋体"/>
          <w:spacing w:val="-4"/>
          <w:sz w:val="24"/>
          <w:szCs w:val="24"/>
          <w:lang w:val="en-US"/>
        </w:rPr>
        <w:t xml:space="preserve">23.5 </w:t>
      </w:r>
      <w:r>
        <w:rPr>
          <w:rFonts w:hint="eastAsia" w:ascii="宋体" w:hAnsi="宋体" w:eastAsia="宋体" w:cs="宋体"/>
          <w:spacing w:val="-4"/>
          <w:sz w:val="24"/>
          <w:szCs w:val="24"/>
        </w:rPr>
        <w:t>采购人将指定专人负责开标记录并存档备查，各供应商需仔细核对开标记录相关内容并签字确认。</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23.6 根据</w:t>
      </w:r>
      <w:r>
        <w:rPr>
          <w:rFonts w:hint="eastAsia" w:ascii="宋体" w:hAnsi="宋体" w:eastAsia="宋体" w:cs="宋体"/>
          <w:spacing w:val="-1"/>
          <w:sz w:val="24"/>
          <w:szCs w:val="24"/>
          <w:lang w:eastAsia="zh-CN"/>
        </w:rPr>
        <w:t>中华人民共和国财政部令第87号--《政府采购货物和服务招标投标管理办法》第四十二条的规定：开标过程应当由采购人或者采购代理机构负责记录，由参加开标的各投标人代表和相关工作人员签字确认后随采购文件一并存档。</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4"/>
          <w:sz w:val="24"/>
          <w:szCs w:val="24"/>
          <w:lang w:val="en-US" w:eastAsia="zh-CN"/>
        </w:rPr>
      </w:pPr>
      <w:r>
        <w:rPr>
          <w:rFonts w:hint="eastAsia" w:ascii="宋体" w:hAnsi="宋体" w:eastAsia="宋体" w:cs="宋体"/>
          <w:spacing w:val="-1"/>
          <w:sz w:val="24"/>
          <w:szCs w:val="24"/>
          <w:lang w:eastAsia="zh-CN"/>
        </w:rPr>
        <w:t>投标人未参加开标的，视同认可开标结果。</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23.7 根据</w:t>
      </w:r>
      <w:r>
        <w:rPr>
          <w:rFonts w:hint="eastAsia" w:ascii="宋体" w:hAnsi="宋体" w:eastAsia="宋体" w:cs="宋体"/>
          <w:spacing w:val="-1"/>
          <w:sz w:val="24"/>
          <w:szCs w:val="24"/>
          <w:lang w:eastAsia="zh-CN"/>
        </w:rPr>
        <w:t>中华人民共和国财政部令第87号--《政府采购货物和服务招标投标管理办法》第四十四条的规定：公开招标采购项目开标结束后，采购人或者采购代理机构应当依法对投标人的资格进行审查。</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合格投标人不足3家的，不得评标。</w:t>
      </w:r>
    </w:p>
    <w:p>
      <w:pPr>
        <w:keepNext w:val="0"/>
        <w:keepLines w:val="0"/>
        <w:pageBreakBefore w:val="0"/>
        <w:widowControl/>
        <w:kinsoku w:val="0"/>
        <w:overflowPunct/>
        <w:topLinePunct w:val="0"/>
        <w:bidi w:val="0"/>
        <w:adjustRightInd w:val="0"/>
        <w:snapToGrid w:val="0"/>
        <w:spacing w:after="0" w:afterLines="50" w:line="400" w:lineRule="exact"/>
        <w:ind w:firstLine="444"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 xml:space="preserve">23.8 </w:t>
      </w:r>
      <w:r>
        <w:rPr>
          <w:rFonts w:hint="eastAsia" w:ascii="宋体" w:hAnsi="宋体" w:eastAsia="宋体" w:cs="宋体"/>
          <w:spacing w:val="-9"/>
          <w:sz w:val="24"/>
          <w:szCs w:val="24"/>
        </w:rPr>
        <w:t>采购人依法对投标人的资格进行审查：</w:t>
      </w:r>
    </w:p>
    <w:p>
      <w:pPr>
        <w:keepNext w:val="0"/>
        <w:keepLines w:val="0"/>
        <w:pageBreakBefore w:val="0"/>
        <w:widowControl/>
        <w:kinsoku w:val="0"/>
        <w:overflowPunct/>
        <w:topLinePunct w:val="0"/>
        <w:bidi w:val="0"/>
        <w:adjustRightInd w:val="0"/>
        <w:snapToGrid w:val="0"/>
        <w:spacing w:after="0" w:afterLines="50" w:line="400" w:lineRule="exact"/>
        <w:ind w:firstLine="8"/>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请各投标人</w:t>
      </w:r>
      <w:r>
        <w:rPr>
          <w:rFonts w:hint="eastAsia" w:ascii="宋体" w:hAnsi="宋体" w:eastAsia="宋体" w:cs="宋体"/>
          <w:spacing w:val="-1"/>
          <w:sz w:val="24"/>
          <w:szCs w:val="24"/>
          <w:lang w:eastAsia="zh-CN"/>
        </w:rPr>
        <w:t>代表</w:t>
      </w:r>
      <w:r>
        <w:rPr>
          <w:rFonts w:hint="eastAsia" w:ascii="宋体" w:hAnsi="宋体" w:eastAsia="宋体" w:cs="宋体"/>
          <w:spacing w:val="-1"/>
          <w:sz w:val="24"/>
          <w:szCs w:val="24"/>
        </w:rPr>
        <w:t>随身携带下列有效资格审查材料：</w:t>
      </w:r>
    </w:p>
    <w:p>
      <w:pPr>
        <w:keepNext w:val="0"/>
        <w:keepLines w:val="0"/>
        <w:pageBreakBefore w:val="0"/>
        <w:overflowPunct/>
        <w:topLinePunct w:val="0"/>
        <w:bidi w:val="0"/>
        <w:spacing w:after="0" w:afterLines="50" w:line="400" w:lineRule="exact"/>
        <w:rPr>
          <w:rFonts w:hint="eastAsia" w:ascii="宋体" w:hAnsi="宋体" w:eastAsia="宋体" w:cs="宋体"/>
          <w:b/>
          <w:sz w:val="24"/>
          <w:szCs w:val="24"/>
          <w:lang w:val="en-US"/>
        </w:rPr>
      </w:pPr>
      <w:r>
        <w:rPr>
          <w:rFonts w:hint="eastAsia" w:ascii="宋体" w:hAnsi="宋体" w:eastAsia="宋体" w:cs="宋体"/>
          <w:b/>
          <w:sz w:val="24"/>
          <w:szCs w:val="24"/>
          <w:lang w:val="en-US"/>
        </w:rPr>
        <w:t>①符合《中华人民共和国政府采购法》第二十二条规定的声明函；</w:t>
      </w:r>
    </w:p>
    <w:p>
      <w:pPr>
        <w:keepNext w:val="0"/>
        <w:keepLines w:val="0"/>
        <w:pageBreakBefore w:val="0"/>
        <w:overflowPunct/>
        <w:topLinePunct w:val="0"/>
        <w:bidi w:val="0"/>
        <w:spacing w:after="0" w:afterLines="50" w:line="400" w:lineRule="exact"/>
        <w:rPr>
          <w:rFonts w:hint="eastAsia" w:ascii="宋体" w:hAnsi="宋体" w:eastAsia="宋体" w:cs="宋体"/>
          <w:b/>
          <w:sz w:val="24"/>
          <w:szCs w:val="24"/>
          <w:lang w:val="en-US"/>
        </w:rPr>
      </w:pPr>
      <w:r>
        <w:rPr>
          <w:rFonts w:hint="eastAsia" w:ascii="宋体" w:hAnsi="宋体" w:eastAsia="宋体" w:cs="宋体"/>
          <w:b/>
          <w:sz w:val="24"/>
          <w:szCs w:val="24"/>
          <w:lang w:val="en-US"/>
        </w:rPr>
        <w:t>②提供法定代表人身份证明书原件和法定代表人本人身份证或委托代理人持法定代表人授权委托书原件及被委托人身份证；</w:t>
      </w:r>
    </w:p>
    <w:p>
      <w:pPr>
        <w:keepNext w:val="0"/>
        <w:keepLines w:val="0"/>
        <w:pageBreakBefore w:val="0"/>
        <w:overflowPunct/>
        <w:topLinePunct w:val="0"/>
        <w:bidi w:val="0"/>
        <w:spacing w:after="0" w:afterLines="50" w:line="400" w:lineRule="exact"/>
        <w:rPr>
          <w:rFonts w:hint="eastAsia" w:ascii="宋体" w:hAnsi="宋体" w:eastAsia="宋体" w:cs="宋体"/>
          <w:b/>
          <w:sz w:val="24"/>
          <w:szCs w:val="24"/>
          <w:lang w:val="en-US" w:eastAsia="zh-CN"/>
        </w:rPr>
      </w:pPr>
      <w:r>
        <w:rPr>
          <w:rFonts w:hint="eastAsia" w:ascii="宋体" w:hAnsi="宋体" w:eastAsia="宋体" w:cs="宋体"/>
          <w:b/>
          <w:sz w:val="24"/>
          <w:szCs w:val="24"/>
          <w:lang w:val="en-US"/>
        </w:rPr>
        <w:t>③营业执照</w:t>
      </w:r>
      <w:r>
        <w:rPr>
          <w:rFonts w:hint="eastAsia" w:ascii="宋体" w:hAnsi="宋体" w:eastAsia="宋体" w:cs="宋体"/>
          <w:b/>
          <w:sz w:val="24"/>
          <w:szCs w:val="24"/>
          <w:lang w:val="en-US" w:eastAsia="zh-CN"/>
        </w:rPr>
        <w:t>原件或复印件加盖公章；</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宋体" w:hAnsi="宋体" w:eastAsia="宋体" w:cs="宋体"/>
          <w:bCs/>
          <w:color w:val="000000"/>
          <w:sz w:val="24"/>
          <w:szCs w:val="24"/>
          <w:lang w:val="en-US"/>
        </w:rPr>
      </w:pPr>
      <w:r>
        <w:rPr>
          <w:rFonts w:hint="eastAsia" w:ascii="宋体" w:hAnsi="宋体" w:eastAsia="宋体" w:cs="宋体"/>
          <w:b/>
          <w:sz w:val="24"/>
          <w:szCs w:val="24"/>
          <w:lang w:val="en-US" w:eastAsia="zh-CN"/>
        </w:rPr>
        <w:t xml:space="preserve">④资格审查现场，采购人及采购代理机构查询递交响应文件的供应商是否被“信用中国”网站（ </w:t>
      </w:r>
      <w:r>
        <w:rPr>
          <w:rFonts w:hint="eastAsia" w:ascii="宋体" w:hAnsi="宋体" w:eastAsia="宋体" w:cs="宋体"/>
          <w:b/>
          <w:sz w:val="24"/>
          <w:szCs w:val="24"/>
          <w:lang w:val="en-US" w:eastAsia="zh-CN"/>
        </w:rPr>
        <w:fldChar w:fldCharType="begin"/>
      </w:r>
      <w:r>
        <w:rPr>
          <w:rFonts w:hint="eastAsia" w:ascii="宋体" w:hAnsi="宋体" w:eastAsia="宋体" w:cs="宋体"/>
          <w:b/>
          <w:sz w:val="24"/>
          <w:szCs w:val="24"/>
          <w:lang w:val="en-US" w:eastAsia="zh-CN"/>
        </w:rPr>
        <w:instrText xml:space="preserve"> HYPERLINK "http://www.creditchina.gov.cn）列入重大税收违法案件当事人名单；未被中国政府采购网（www.ccgp.gov.cn）列入政府采购严重违法失信行为记录名单、未被中国执行信息公开网（http:/zxgk.court.gov.cn/shixin/）列入失信被执行人名单。" </w:instrText>
      </w:r>
      <w:r>
        <w:rPr>
          <w:rFonts w:hint="eastAsia" w:ascii="宋体" w:hAnsi="宋体" w:eastAsia="宋体" w:cs="宋体"/>
          <w:b/>
          <w:sz w:val="24"/>
          <w:szCs w:val="24"/>
          <w:lang w:val="en-US" w:eastAsia="zh-CN"/>
        </w:rPr>
        <w:fldChar w:fldCharType="separate"/>
      </w:r>
      <w:r>
        <w:rPr>
          <w:rFonts w:hint="eastAsia" w:ascii="宋体" w:hAnsi="宋体" w:eastAsia="宋体" w:cs="宋体"/>
          <w:b/>
          <w:sz w:val="24"/>
          <w:szCs w:val="24"/>
          <w:lang w:val="en-US" w:eastAsia="zh-CN"/>
        </w:rPr>
        <w:t>www.creditchina.gov.cn）列入“税收违法黑名单”、是否被中国政府采购网（www.ccgp.gov.cn）列入“政府采购严重违法失信行为记录名单”、是否被中国执行信息公开网（http://zxgk.court.gov.cn/shixin/）列入“失信被执行人名单”。</w:t>
      </w:r>
      <w:r>
        <w:rPr>
          <w:rFonts w:hint="eastAsia" w:ascii="宋体" w:hAnsi="宋体" w:eastAsia="宋体" w:cs="宋体"/>
          <w:b/>
          <w:sz w:val="24"/>
          <w:szCs w:val="24"/>
          <w:lang w:val="en-US" w:eastAsia="zh-CN"/>
        </w:rPr>
        <w:fldChar w:fldCharType="end"/>
      </w:r>
      <w:r>
        <w:rPr>
          <w:rFonts w:hint="eastAsia" w:ascii="宋体" w:hAnsi="宋体" w:eastAsia="宋体" w:cs="宋体"/>
          <w:b/>
          <w:sz w:val="24"/>
          <w:szCs w:val="24"/>
          <w:lang w:val="en-US" w:eastAsia="zh-CN"/>
        </w:rPr>
        <w:t>供应商法定代表人或授权代理人对查询结果截图签字确认。被“信用中国”网列入“税收违法黑名单”、被中国政府采购网列入“政府采购严重违法失信行为信息记录”、被中国执行信息公开网列入“失信被执行人名单库”的供应商不得参与此项目。</w:t>
      </w:r>
    </w:p>
    <w:p>
      <w:pPr>
        <w:keepNext w:val="0"/>
        <w:keepLines w:val="0"/>
        <w:pageBreakBefore w:val="0"/>
        <w:overflowPunct/>
        <w:topLinePunct w:val="0"/>
        <w:bidi w:val="0"/>
        <w:spacing w:after="0" w:afterLines="50" w:line="400" w:lineRule="exact"/>
        <w:rPr>
          <w:rFonts w:hint="eastAsia" w:ascii="宋体" w:hAnsi="宋体" w:eastAsia="宋体" w:cs="宋体"/>
          <w:b/>
          <w:sz w:val="24"/>
          <w:szCs w:val="24"/>
          <w:lang w:val="en-US"/>
        </w:rPr>
      </w:pPr>
      <w:r>
        <w:rPr>
          <w:rFonts w:hint="eastAsia" w:ascii="宋体" w:hAnsi="宋体" w:eastAsia="宋体" w:cs="宋体"/>
          <w:b/>
          <w:sz w:val="24"/>
          <w:szCs w:val="24"/>
          <w:lang w:val="en-US"/>
        </w:rPr>
        <w:t>上述资格审查通过的</w:t>
      </w:r>
      <w:r>
        <w:rPr>
          <w:rFonts w:hint="eastAsia" w:ascii="宋体" w:hAnsi="宋体" w:eastAsia="宋体" w:cs="宋体"/>
          <w:b/>
          <w:sz w:val="24"/>
          <w:szCs w:val="24"/>
          <w:lang w:val="en-US" w:eastAsia="zh-CN"/>
        </w:rPr>
        <w:t>投标人</w:t>
      </w:r>
      <w:r>
        <w:rPr>
          <w:rFonts w:hint="eastAsia" w:ascii="宋体" w:hAnsi="宋体" w:eastAsia="宋体" w:cs="宋体"/>
          <w:b/>
          <w:sz w:val="24"/>
          <w:szCs w:val="24"/>
          <w:lang w:val="en-US"/>
        </w:rPr>
        <w:t>为</w:t>
      </w:r>
      <w:r>
        <w:rPr>
          <w:rFonts w:hint="eastAsia" w:ascii="宋体" w:hAnsi="宋体" w:eastAsia="宋体" w:cs="宋体"/>
          <w:b/>
          <w:sz w:val="24"/>
          <w:szCs w:val="24"/>
          <w:lang w:val="en-US" w:eastAsia="zh-CN"/>
        </w:rPr>
        <w:t>合格投标人</w:t>
      </w:r>
      <w:r>
        <w:rPr>
          <w:rFonts w:hint="eastAsia" w:ascii="宋体" w:hAnsi="宋体" w:eastAsia="宋体" w:cs="宋体"/>
          <w:b/>
          <w:sz w:val="24"/>
          <w:szCs w:val="24"/>
          <w:lang w:val="en-US"/>
        </w:rPr>
        <w:t>。</w:t>
      </w:r>
    </w:p>
    <w:p>
      <w:pPr>
        <w:pStyle w:val="45"/>
        <w:keepNext w:val="0"/>
        <w:keepLines w:val="0"/>
        <w:pageBreakBefore w:val="0"/>
        <w:tabs>
          <w:tab w:val="left" w:pos="1666"/>
        </w:tabs>
        <w:overflowPunct/>
        <w:topLinePunct w:val="0"/>
        <w:bidi w:val="0"/>
        <w:spacing w:after="0" w:afterLines="50" w:line="400" w:lineRule="exact"/>
        <w:ind w:left="0" w:firstLine="482" w:firstLineChars="200"/>
        <w:jc w:val="both"/>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b/>
          <w:sz w:val="24"/>
          <w:szCs w:val="24"/>
          <w:lang w:val="en-US" w:eastAsia="zh-CN"/>
        </w:rPr>
        <w:t>投标人</w:t>
      </w:r>
      <w:r>
        <w:rPr>
          <w:rFonts w:hint="eastAsia" w:ascii="宋体" w:hAnsi="宋体" w:eastAsia="宋体" w:cs="宋体"/>
          <w:b/>
          <w:sz w:val="24"/>
          <w:szCs w:val="24"/>
        </w:rPr>
        <w:t>不能提供有效的资格审查材料则投标文件按无效投标处理。由于</w:t>
      </w:r>
      <w:r>
        <w:rPr>
          <w:rFonts w:hint="eastAsia" w:ascii="宋体" w:hAnsi="宋体" w:eastAsia="宋体" w:cs="宋体"/>
          <w:b/>
          <w:sz w:val="24"/>
          <w:szCs w:val="24"/>
          <w:lang w:val="en-US" w:eastAsia="zh-CN"/>
        </w:rPr>
        <w:t>投标人</w:t>
      </w:r>
      <w:r>
        <w:rPr>
          <w:rFonts w:hint="eastAsia" w:ascii="宋体" w:hAnsi="宋体" w:eastAsia="宋体" w:cs="宋体"/>
          <w:b/>
          <w:sz w:val="24"/>
          <w:szCs w:val="24"/>
        </w:rPr>
        <w:t>不参加开标而造成的后果完全由供应商自行承担。</w:t>
      </w:r>
      <w:r>
        <w:rPr>
          <w:rFonts w:hint="eastAsia" w:ascii="宋体" w:hAnsi="宋体" w:eastAsia="宋体" w:cs="宋体"/>
          <w:b/>
          <w:sz w:val="24"/>
          <w:szCs w:val="24"/>
          <w:lang w:val="en-US"/>
        </w:rPr>
        <w:t>疫情</w:t>
      </w:r>
      <w:r>
        <w:rPr>
          <w:rFonts w:hint="eastAsia" w:ascii="宋体" w:hAnsi="宋体" w:eastAsia="宋体" w:cs="宋体"/>
          <w:b/>
          <w:sz w:val="24"/>
          <w:szCs w:val="24"/>
        </w:rPr>
        <w:t>防控期间每个</w:t>
      </w:r>
      <w:r>
        <w:rPr>
          <w:rFonts w:hint="eastAsia" w:ascii="宋体" w:hAnsi="宋体" w:eastAsia="宋体" w:cs="宋体"/>
          <w:b/>
          <w:sz w:val="24"/>
          <w:szCs w:val="24"/>
          <w:lang w:val="en-US" w:eastAsia="zh-CN"/>
        </w:rPr>
        <w:t>投标人</w:t>
      </w:r>
      <w:r>
        <w:rPr>
          <w:rFonts w:hint="eastAsia" w:ascii="宋体" w:hAnsi="宋体" w:eastAsia="宋体" w:cs="宋体"/>
          <w:b/>
          <w:sz w:val="24"/>
          <w:szCs w:val="24"/>
        </w:rPr>
        <w:t>只允许一人到场参加投标活动</w:t>
      </w:r>
      <w:r>
        <w:rPr>
          <w:rFonts w:hint="eastAsia" w:ascii="宋体" w:hAnsi="宋体" w:eastAsia="宋体" w:cs="宋体"/>
          <w:b/>
          <w:sz w:val="24"/>
          <w:szCs w:val="24"/>
          <w:lang w:val="en-US"/>
        </w:rPr>
        <w:t>。</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66" w:name="24、评标委员会"/>
      <w:bookmarkEnd w:id="66"/>
      <w:r>
        <w:rPr>
          <w:rFonts w:hint="eastAsia" w:ascii="宋体" w:hAnsi="宋体" w:eastAsia="宋体" w:cs="宋体"/>
          <w:b/>
          <w:bCs/>
          <w:sz w:val="28"/>
          <w:szCs w:val="28"/>
          <w:lang w:eastAsia="zh-CN"/>
        </w:rPr>
        <w:t>24、评标委员会</w:t>
      </w:r>
    </w:p>
    <w:p>
      <w:pPr>
        <w:pStyle w:val="45"/>
        <w:keepNext w:val="0"/>
        <w:keepLines w:val="0"/>
        <w:pageBreakBefore w:val="0"/>
        <w:tabs>
          <w:tab w:val="left" w:pos="1608"/>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24.1 </w:t>
      </w:r>
      <w:r>
        <w:rPr>
          <w:rFonts w:hint="eastAsia" w:ascii="宋体" w:hAnsi="宋体" w:eastAsia="宋体" w:cs="宋体"/>
          <w:sz w:val="24"/>
          <w:szCs w:val="24"/>
        </w:rPr>
        <w:t>评标委员会由采购人代表和评审专家组成，成员人数应当为5人以上单数，其中评审专家不得少于成员总数的三分之二。</w:t>
      </w:r>
    </w:p>
    <w:p>
      <w:pPr>
        <w:pStyle w:val="45"/>
        <w:keepNext w:val="0"/>
        <w:keepLines w:val="0"/>
        <w:pageBreakBefore w:val="0"/>
        <w:tabs>
          <w:tab w:val="left" w:pos="154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24.2 </w:t>
      </w:r>
      <w:r>
        <w:rPr>
          <w:rFonts w:hint="eastAsia" w:ascii="宋体" w:hAnsi="宋体" w:eastAsia="宋体" w:cs="宋体"/>
          <w:sz w:val="24"/>
          <w:szCs w:val="24"/>
        </w:rPr>
        <w:t>评委会独立工作，负责评审所有投标文件并确定中标侯选人。</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67" w:name="25．评标过程的保密与公正"/>
      <w:bookmarkEnd w:id="67"/>
      <w:r>
        <w:rPr>
          <w:rFonts w:hint="eastAsia" w:ascii="宋体" w:hAnsi="宋体" w:eastAsia="宋体" w:cs="宋体"/>
          <w:b/>
          <w:bCs/>
          <w:sz w:val="28"/>
          <w:szCs w:val="28"/>
          <w:lang w:val="en-US" w:eastAsia="zh-CN"/>
        </w:rPr>
        <w:t>25、</w:t>
      </w:r>
      <w:r>
        <w:rPr>
          <w:rFonts w:hint="eastAsia" w:ascii="宋体" w:hAnsi="宋体" w:eastAsia="宋体" w:cs="宋体"/>
          <w:b/>
          <w:bCs/>
          <w:sz w:val="28"/>
          <w:szCs w:val="28"/>
          <w:lang w:eastAsia="zh-CN"/>
        </w:rPr>
        <w:t>评标过程的保密与公正</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rPr>
        <w:t xml:space="preserve">25.1 </w:t>
      </w:r>
      <w:r>
        <w:rPr>
          <w:rFonts w:hint="eastAsia" w:ascii="宋体" w:hAnsi="宋体" w:eastAsia="宋体" w:cs="宋体"/>
          <w:spacing w:val="-1"/>
          <w:sz w:val="24"/>
          <w:szCs w:val="24"/>
        </w:rPr>
        <w:t>公开开标后，直至向中标的供应商授予合同时止，凡是与审查、澄清、评价</w:t>
      </w:r>
      <w:r>
        <w:rPr>
          <w:rFonts w:hint="eastAsia" w:ascii="宋体" w:hAnsi="宋体" w:eastAsia="宋体" w:cs="宋体"/>
          <w:sz w:val="24"/>
          <w:szCs w:val="24"/>
        </w:rPr>
        <w:t>和比较投标的有关资料以及授标建议等，采购人、评委、采购代理机构均不得向供应商或与评标无关的其他人员透露。</w:t>
      </w:r>
    </w:p>
    <w:p>
      <w:pPr>
        <w:pStyle w:val="45"/>
        <w:keepNext w:val="0"/>
        <w:keepLines w:val="0"/>
        <w:pageBreakBefore w:val="0"/>
        <w:tabs>
          <w:tab w:val="left" w:pos="1666"/>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25.2 </w:t>
      </w:r>
      <w:r>
        <w:rPr>
          <w:rFonts w:hint="eastAsia" w:ascii="宋体" w:hAnsi="宋体" w:eastAsia="宋体" w:cs="宋体"/>
          <w:sz w:val="24"/>
          <w:szCs w:val="24"/>
        </w:rPr>
        <w:t>在评标过程中，供应商不得以任何行为影响评标过程，否则其投标文件将被作为无效投标文件。</w:t>
      </w:r>
    </w:p>
    <w:p>
      <w:pPr>
        <w:pStyle w:val="45"/>
        <w:keepNext w:val="0"/>
        <w:keepLines w:val="0"/>
        <w:pageBreakBefore w:val="0"/>
        <w:tabs>
          <w:tab w:val="left" w:pos="1666"/>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25.3 </w:t>
      </w:r>
      <w:r>
        <w:rPr>
          <w:rFonts w:hint="eastAsia" w:ascii="宋体" w:hAnsi="宋体" w:eastAsia="宋体" w:cs="宋体"/>
          <w:sz w:val="24"/>
          <w:szCs w:val="24"/>
        </w:rPr>
        <w:t>在评标期间，采购人及采购代理机构将设专门人员与供应商联系。</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rPr>
        <w:t xml:space="preserve">25.4 </w:t>
      </w:r>
      <w:r>
        <w:rPr>
          <w:rFonts w:hint="eastAsia" w:ascii="宋体" w:hAnsi="宋体" w:eastAsia="宋体" w:cs="宋体"/>
          <w:spacing w:val="-1"/>
          <w:sz w:val="24"/>
          <w:szCs w:val="24"/>
        </w:rPr>
        <w:t>采购人及采购代理机构和评标委员会不向落标的供应商解释未中标原因，</w:t>
      </w:r>
      <w:r>
        <w:rPr>
          <w:rFonts w:hint="eastAsia" w:ascii="宋体" w:hAnsi="宋体" w:eastAsia="宋体" w:cs="宋体"/>
          <w:sz w:val="24"/>
          <w:szCs w:val="24"/>
        </w:rPr>
        <w:t>也不公布评标过程中的相关细节。</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bookmarkStart w:id="68" w:name="26．投标的澄清"/>
      <w:bookmarkEnd w:id="68"/>
      <w:r>
        <w:rPr>
          <w:rFonts w:hint="eastAsia" w:ascii="宋体" w:hAnsi="宋体" w:eastAsia="宋体" w:cs="宋体"/>
          <w:b/>
          <w:bCs/>
          <w:sz w:val="28"/>
          <w:szCs w:val="28"/>
          <w:lang w:val="en-US" w:eastAsia="zh-CN"/>
        </w:rPr>
        <w:t>26、投标的澄清</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rPr>
        <w:t xml:space="preserve">26.1 </w:t>
      </w:r>
      <w:r>
        <w:rPr>
          <w:rFonts w:hint="eastAsia" w:ascii="宋体" w:hAnsi="宋体" w:eastAsia="宋体" w:cs="宋体"/>
          <w:spacing w:val="-1"/>
          <w:sz w:val="24"/>
          <w:szCs w:val="24"/>
        </w:rPr>
        <w:t>评标期间，为有助于对投标文件的审查、评价和比较，评委会有权以书面形</w:t>
      </w:r>
      <w:r>
        <w:rPr>
          <w:rFonts w:hint="eastAsia" w:ascii="宋体" w:hAnsi="宋体" w:eastAsia="宋体" w:cs="宋体"/>
          <w:sz w:val="24"/>
          <w:szCs w:val="24"/>
        </w:rPr>
        <w:t>式要求供应商对其投标文件进行澄清，但并非对每个供应商都作澄清要求。</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rPr>
        <w:t xml:space="preserve">26.2 </w:t>
      </w:r>
      <w:r>
        <w:rPr>
          <w:rFonts w:hint="eastAsia" w:ascii="宋体" w:hAnsi="宋体" w:eastAsia="宋体" w:cs="宋体"/>
          <w:spacing w:val="-1"/>
          <w:sz w:val="24"/>
          <w:szCs w:val="24"/>
        </w:rPr>
        <w:t>接到评委会澄清要求的供应商应派人按评委会通知的时间和地点做出书面澄</w:t>
      </w:r>
      <w:r>
        <w:rPr>
          <w:rFonts w:hint="eastAsia" w:ascii="宋体" w:hAnsi="宋体" w:eastAsia="宋体" w:cs="宋体"/>
          <w:sz w:val="24"/>
          <w:szCs w:val="24"/>
        </w:rPr>
        <w:t>清，书面澄清的内容须由供应商法人或授权代表签署，并作为投标文件的补充部分，但投标的价格和实质性的内容不得做任何更改。</w:t>
      </w:r>
    </w:p>
    <w:p>
      <w:pPr>
        <w:pStyle w:val="45"/>
        <w:keepNext w:val="0"/>
        <w:keepLines w:val="0"/>
        <w:pageBreakBefore w:val="0"/>
        <w:tabs>
          <w:tab w:val="left" w:pos="1726"/>
        </w:tabs>
        <w:overflowPunct/>
        <w:topLinePunct w:val="0"/>
        <w:bidi w:val="0"/>
        <w:spacing w:after="0" w:afterLines="50" w:line="400" w:lineRule="exact"/>
        <w:ind w:left="0" w:firstLine="464" w:firstLineChars="200"/>
        <w:jc w:val="both"/>
        <w:rPr>
          <w:rFonts w:hint="eastAsia" w:ascii="宋体" w:hAnsi="宋体" w:eastAsia="宋体" w:cs="宋体"/>
          <w:sz w:val="24"/>
          <w:szCs w:val="24"/>
        </w:rPr>
      </w:pPr>
      <w:r>
        <w:rPr>
          <w:rFonts w:hint="eastAsia" w:ascii="宋体" w:hAnsi="宋体" w:eastAsia="宋体" w:cs="宋体"/>
          <w:spacing w:val="-4"/>
          <w:sz w:val="24"/>
          <w:szCs w:val="24"/>
          <w:lang w:val="en-US"/>
        </w:rPr>
        <w:t xml:space="preserve">26.3 </w:t>
      </w:r>
      <w:r>
        <w:rPr>
          <w:rFonts w:hint="eastAsia" w:ascii="宋体" w:hAnsi="宋体" w:eastAsia="宋体" w:cs="宋体"/>
          <w:spacing w:val="-4"/>
          <w:sz w:val="24"/>
          <w:szCs w:val="24"/>
        </w:rPr>
        <w:t>接到评委会澄清要求的供应商如未按规定做出澄清，其风险由供应商自行承</w:t>
      </w:r>
      <w:r>
        <w:rPr>
          <w:rFonts w:hint="eastAsia" w:ascii="宋体" w:hAnsi="宋体" w:eastAsia="宋体" w:cs="宋体"/>
          <w:sz w:val="24"/>
          <w:szCs w:val="24"/>
        </w:rPr>
        <w:t>担。</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bookmarkStart w:id="69" w:name="27、对投标文件的初审"/>
      <w:bookmarkEnd w:id="69"/>
      <w:r>
        <w:rPr>
          <w:rFonts w:hint="eastAsia" w:ascii="宋体" w:hAnsi="宋体" w:eastAsia="宋体" w:cs="宋体"/>
          <w:b/>
          <w:bCs/>
          <w:sz w:val="28"/>
          <w:szCs w:val="28"/>
          <w:lang w:val="en-US" w:eastAsia="zh-CN"/>
        </w:rPr>
        <w:t>27、对投标文件的审查</w:t>
      </w:r>
    </w:p>
    <w:p>
      <w:pPr>
        <w:pStyle w:val="45"/>
        <w:keepNext w:val="0"/>
        <w:keepLines w:val="0"/>
        <w:pageBreakBefore w:val="0"/>
        <w:tabs>
          <w:tab w:val="left" w:pos="1666"/>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27.1 </w:t>
      </w:r>
      <w:r>
        <w:rPr>
          <w:rFonts w:hint="eastAsia" w:ascii="宋体" w:hAnsi="宋体" w:eastAsia="宋体" w:cs="宋体"/>
          <w:sz w:val="24"/>
          <w:szCs w:val="24"/>
        </w:rPr>
        <w:t>投标文件符合性审查。</w:t>
      </w:r>
    </w:p>
    <w:p>
      <w:pPr>
        <w:pStyle w:val="45"/>
        <w:keepNext w:val="0"/>
        <w:keepLines w:val="0"/>
        <w:pageBreakBefore w:val="0"/>
        <w:tabs>
          <w:tab w:val="left" w:pos="1966"/>
        </w:tabs>
        <w:overflowPunct/>
        <w:topLinePunct w:val="0"/>
        <w:bidi w:val="0"/>
        <w:spacing w:after="0" w:afterLines="50" w:line="400" w:lineRule="exact"/>
        <w:ind w:left="0" w:firstLine="460" w:firstLineChars="200"/>
        <w:jc w:val="both"/>
        <w:rPr>
          <w:rFonts w:hint="eastAsia" w:ascii="宋体" w:hAnsi="宋体" w:eastAsia="宋体" w:cs="宋体"/>
          <w:sz w:val="24"/>
          <w:szCs w:val="24"/>
        </w:rPr>
      </w:pPr>
      <w:r>
        <w:rPr>
          <w:rFonts w:hint="eastAsia" w:ascii="宋体" w:hAnsi="宋体" w:eastAsia="宋体" w:cs="宋体"/>
          <w:spacing w:val="-5"/>
          <w:sz w:val="24"/>
          <w:szCs w:val="24"/>
          <w:lang w:val="en-US"/>
        </w:rPr>
        <w:t xml:space="preserve">27.2 </w:t>
      </w:r>
      <w:r>
        <w:rPr>
          <w:rFonts w:hint="eastAsia" w:ascii="宋体" w:hAnsi="宋体" w:eastAsia="宋体" w:cs="宋体"/>
          <w:spacing w:val="-5"/>
          <w:sz w:val="24"/>
          <w:szCs w:val="24"/>
        </w:rPr>
        <w:t>符合性审查：</w:t>
      </w:r>
      <w:r>
        <w:rPr>
          <w:rFonts w:hint="eastAsia" w:ascii="宋体" w:hAnsi="宋体" w:eastAsia="宋体" w:cs="宋体"/>
          <w:spacing w:val="-7"/>
          <w:sz w:val="24"/>
          <w:szCs w:val="24"/>
        </w:rPr>
        <w:t>依据法律法规和招标文件的规定，由采购人对投标文件中的资</w:t>
      </w:r>
      <w:r>
        <w:rPr>
          <w:rFonts w:hint="eastAsia" w:ascii="宋体" w:hAnsi="宋体" w:eastAsia="宋体" w:cs="宋体"/>
          <w:sz w:val="24"/>
          <w:szCs w:val="24"/>
        </w:rPr>
        <w:t>格证明文件进行审查。</w:t>
      </w:r>
      <w:r>
        <w:rPr>
          <w:rFonts w:hint="eastAsia" w:ascii="宋体" w:hAnsi="宋体" w:eastAsia="宋体" w:cs="宋体"/>
          <w:spacing w:val="-5"/>
          <w:sz w:val="24"/>
          <w:szCs w:val="24"/>
        </w:rPr>
        <w:t>依据招标文件的规定，由评委会从投标文件的有效性、完整</w:t>
      </w:r>
      <w:r>
        <w:rPr>
          <w:rFonts w:hint="eastAsia" w:ascii="宋体" w:hAnsi="宋体" w:eastAsia="宋体" w:cs="宋体"/>
          <w:spacing w:val="-9"/>
          <w:sz w:val="24"/>
          <w:szCs w:val="24"/>
        </w:rPr>
        <w:t>性和对招标文件的响应程度进行审查，以确定是否对招标文件的实质性要求作出响应。</w:t>
      </w:r>
    </w:p>
    <w:p>
      <w:pPr>
        <w:pStyle w:val="45"/>
        <w:keepNext w:val="0"/>
        <w:keepLines w:val="0"/>
        <w:pageBreakBefore w:val="0"/>
        <w:tabs>
          <w:tab w:val="left" w:pos="1966"/>
        </w:tabs>
        <w:overflowPunct/>
        <w:topLinePunct w:val="0"/>
        <w:bidi w:val="0"/>
        <w:spacing w:after="0" w:afterLines="50" w:line="400" w:lineRule="exact"/>
        <w:ind w:left="0" w:firstLine="464" w:firstLineChars="200"/>
        <w:jc w:val="both"/>
        <w:rPr>
          <w:rFonts w:hint="eastAsia" w:ascii="宋体" w:hAnsi="宋体" w:eastAsia="宋体" w:cs="宋体"/>
          <w:spacing w:val="-4"/>
          <w:sz w:val="24"/>
          <w:szCs w:val="24"/>
        </w:rPr>
      </w:pPr>
      <w:r>
        <w:rPr>
          <w:rFonts w:hint="eastAsia" w:ascii="宋体" w:hAnsi="宋体" w:eastAsia="宋体" w:cs="宋体"/>
          <w:spacing w:val="-4"/>
          <w:sz w:val="24"/>
          <w:szCs w:val="24"/>
          <w:lang w:val="en-US"/>
        </w:rPr>
        <w:t xml:space="preserve">27.3 </w:t>
      </w:r>
      <w:r>
        <w:rPr>
          <w:rFonts w:hint="eastAsia" w:ascii="宋体" w:hAnsi="宋体" w:eastAsia="宋体" w:cs="宋体"/>
          <w:spacing w:val="-4"/>
          <w:sz w:val="24"/>
          <w:szCs w:val="24"/>
        </w:rPr>
        <w:t>未通过符合性审查的供应商，采购人及采购代理机构将在评标现场向其授权代表告知未通过资格审查或符合性审查的原因，评审结束后，采购人及采购代理机构将不再告知未通过资格审查或符合性审查的原因。</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rPr>
        <w:t xml:space="preserve">27.4 </w:t>
      </w:r>
      <w:r>
        <w:rPr>
          <w:rFonts w:hint="eastAsia" w:ascii="宋体" w:hAnsi="宋体" w:eastAsia="宋体" w:cs="宋体"/>
          <w:spacing w:val="-1"/>
          <w:sz w:val="24"/>
          <w:szCs w:val="24"/>
        </w:rPr>
        <w:t>在详细评标之前，评委会将首先审查每份投标文件是否实质性响应了招标文件</w:t>
      </w:r>
      <w:r>
        <w:rPr>
          <w:rFonts w:hint="eastAsia" w:ascii="宋体" w:hAnsi="宋体" w:eastAsia="宋体" w:cs="宋体"/>
          <w:sz w:val="24"/>
          <w:szCs w:val="24"/>
        </w:rPr>
        <w:t>的要求。实质性响应的投标应该是与招标文件要求的全部条款、条件和规格相符， 没有重大偏离或保留的投标。</w:t>
      </w:r>
    </w:p>
    <w:p>
      <w:pPr>
        <w:pStyle w:val="11"/>
        <w:keepNext w:val="0"/>
        <w:keepLines w:val="0"/>
        <w:pageBreakBefore w:val="0"/>
        <w:overflowPunct/>
        <w:topLinePunct w:val="0"/>
        <w:bidi w:val="0"/>
        <w:spacing w:after="0" w:afterLines="50" w:line="400" w:lineRule="exact"/>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所谓重大偏离或保留是指与招标文件规定的实质性要求存在负偏离，或者在实质上与招标文件不一致，而且限制了合同中买方和见证方的权利或供应商的义务，纠正这些偏离或保留将会对其他实质性响应要求的供应商的竞争地位产生不公正的影响。</w:t>
      </w:r>
    </w:p>
    <w:p>
      <w:pPr>
        <w:pStyle w:val="11"/>
        <w:keepNext w:val="0"/>
        <w:keepLines w:val="0"/>
        <w:pageBreakBefore w:val="0"/>
        <w:overflowPunct/>
        <w:topLinePunct w:val="0"/>
        <w:bidi w:val="0"/>
        <w:spacing w:after="0" w:afterLines="50" w:line="400" w:lineRule="exact"/>
        <w:rPr>
          <w:rFonts w:hint="eastAsia" w:ascii="宋体" w:hAnsi="宋体" w:eastAsia="宋体" w:cs="宋体"/>
          <w:spacing w:val="-1"/>
          <w:sz w:val="24"/>
          <w:szCs w:val="24"/>
        </w:rPr>
      </w:pPr>
      <w:r>
        <w:rPr>
          <w:rFonts w:hint="eastAsia" w:ascii="宋体" w:hAnsi="宋体" w:eastAsia="宋体" w:cs="宋体"/>
          <w:spacing w:val="-1"/>
          <w:sz w:val="24"/>
          <w:szCs w:val="24"/>
        </w:rPr>
        <w:t>重大偏离的认定需经过评委会三分二及以上成员的认定。评委决定投标文件的响应性只根据投标文件本身的内容，而不寻求外部的证据。</w:t>
      </w:r>
    </w:p>
    <w:p>
      <w:pPr>
        <w:pStyle w:val="45"/>
        <w:keepNext w:val="0"/>
        <w:keepLines w:val="0"/>
        <w:pageBreakBefore w:val="0"/>
        <w:tabs>
          <w:tab w:val="left" w:pos="1666"/>
        </w:tabs>
        <w:overflowPunct/>
        <w:topLinePunct w:val="0"/>
        <w:bidi w:val="0"/>
        <w:spacing w:after="0" w:afterLines="50" w:line="400" w:lineRule="exact"/>
        <w:ind w:left="0" w:firstLine="476" w:firstLineChars="200"/>
        <w:rPr>
          <w:rFonts w:hint="eastAsia" w:ascii="宋体" w:hAnsi="宋体" w:eastAsia="宋体" w:cs="宋体"/>
          <w:sz w:val="24"/>
          <w:szCs w:val="24"/>
        </w:rPr>
      </w:pPr>
      <w:r>
        <w:rPr>
          <w:rFonts w:hint="eastAsia" w:ascii="宋体" w:hAnsi="宋体" w:eastAsia="宋体" w:cs="宋体"/>
          <w:spacing w:val="-1"/>
          <w:sz w:val="24"/>
          <w:szCs w:val="24"/>
          <w:lang w:val="en-US"/>
        </w:rPr>
        <w:t xml:space="preserve">27.5 </w:t>
      </w:r>
      <w:r>
        <w:rPr>
          <w:rFonts w:hint="eastAsia" w:ascii="宋体" w:hAnsi="宋体" w:eastAsia="宋体" w:cs="宋体"/>
          <w:spacing w:val="-1"/>
          <w:sz w:val="24"/>
          <w:szCs w:val="24"/>
        </w:rPr>
        <w:t>如果投标文件实质上没有响应招标文件的要求，评委会将予以拒绝，供应商</w:t>
      </w:r>
      <w:r>
        <w:rPr>
          <w:rFonts w:hint="eastAsia" w:ascii="宋体" w:hAnsi="宋体" w:eastAsia="宋体" w:cs="宋体"/>
          <w:sz w:val="24"/>
          <w:szCs w:val="24"/>
        </w:rPr>
        <w:t>不得通过修改或撤销不合要求的偏离或保留而使其投标成为实质性响应的投标。</w:t>
      </w:r>
    </w:p>
    <w:p>
      <w:pPr>
        <w:pStyle w:val="45"/>
        <w:keepNext w:val="0"/>
        <w:keepLines w:val="0"/>
        <w:pageBreakBefore w:val="0"/>
        <w:tabs>
          <w:tab w:val="left" w:pos="1666"/>
        </w:tabs>
        <w:overflowPunct/>
        <w:topLinePunct w:val="0"/>
        <w:bidi w:val="0"/>
        <w:spacing w:after="0" w:afterLines="50" w:line="400" w:lineRule="exact"/>
        <w:ind w:left="0" w:firstLine="476" w:firstLineChars="200"/>
        <w:rPr>
          <w:rFonts w:hint="eastAsia" w:ascii="宋体" w:hAnsi="宋体" w:eastAsia="宋体" w:cs="宋体"/>
          <w:sz w:val="24"/>
          <w:szCs w:val="24"/>
        </w:rPr>
      </w:pPr>
      <w:r>
        <w:rPr>
          <w:rFonts w:hint="eastAsia" w:ascii="宋体" w:hAnsi="宋体" w:eastAsia="宋体" w:cs="宋体"/>
          <w:spacing w:val="-1"/>
          <w:sz w:val="24"/>
          <w:szCs w:val="24"/>
          <w:lang w:val="en-US"/>
        </w:rPr>
        <w:t xml:space="preserve">27.6 </w:t>
      </w:r>
      <w:r>
        <w:rPr>
          <w:rFonts w:hint="eastAsia" w:ascii="宋体" w:hAnsi="宋体" w:eastAsia="宋体" w:cs="宋体"/>
          <w:spacing w:val="-1"/>
          <w:sz w:val="24"/>
          <w:szCs w:val="24"/>
        </w:rPr>
        <w:t>评委会将对确定为实质性响应的投标进行进一步审核，看其是否有计算上或</w:t>
      </w:r>
      <w:r>
        <w:rPr>
          <w:rFonts w:hint="eastAsia" w:ascii="宋体" w:hAnsi="宋体" w:eastAsia="宋体" w:cs="宋体"/>
          <w:sz w:val="24"/>
          <w:szCs w:val="24"/>
        </w:rPr>
        <w:t>累加上的算术错误，修正错误的原则如下：</w:t>
      </w:r>
    </w:p>
    <w:p>
      <w:pPr>
        <w:pStyle w:val="45"/>
        <w:keepNext w:val="0"/>
        <w:keepLines w:val="0"/>
        <w:pageBreakBefore w:val="0"/>
        <w:tabs>
          <w:tab w:val="left" w:pos="1727"/>
        </w:tabs>
        <w:overflowPunct/>
        <w:topLinePunct w:val="0"/>
        <w:bidi w:val="0"/>
        <w:spacing w:after="0" w:afterLines="50" w:line="400" w:lineRule="exact"/>
        <w:ind w:left="0" w:firstLine="476" w:firstLineChars="200"/>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rPr>
        <w:t>1</w:t>
      </w:r>
      <w:r>
        <w:rPr>
          <w:rFonts w:hint="eastAsia" w:ascii="宋体" w:hAnsi="宋体" w:eastAsia="宋体" w:cs="宋体"/>
          <w:spacing w:val="-1"/>
          <w:sz w:val="24"/>
          <w:szCs w:val="24"/>
        </w:rPr>
        <w:t>）投标文件中开标一览表内容与投标文件中相应内容不一致的，以开标一览</w:t>
      </w:r>
      <w:r>
        <w:rPr>
          <w:rFonts w:hint="eastAsia" w:ascii="宋体" w:hAnsi="宋体" w:eastAsia="宋体" w:cs="宋体"/>
          <w:spacing w:val="-5"/>
          <w:sz w:val="24"/>
          <w:szCs w:val="24"/>
        </w:rPr>
        <w:t>表为准。</w:t>
      </w:r>
    </w:p>
    <w:p>
      <w:pPr>
        <w:pStyle w:val="45"/>
        <w:keepNext w:val="0"/>
        <w:keepLines w:val="0"/>
        <w:pageBreakBefore w:val="0"/>
        <w:tabs>
          <w:tab w:val="left" w:pos="1727"/>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2</w:t>
      </w:r>
      <w:r>
        <w:rPr>
          <w:rFonts w:hint="eastAsia" w:ascii="宋体" w:hAnsi="宋体" w:eastAsia="宋体" w:cs="宋体"/>
          <w:sz w:val="24"/>
          <w:szCs w:val="24"/>
        </w:rPr>
        <w:t>）大写金额和小写金额不一致的，以大写金额为准。</w:t>
      </w:r>
    </w:p>
    <w:p>
      <w:pPr>
        <w:pStyle w:val="45"/>
        <w:keepNext w:val="0"/>
        <w:keepLines w:val="0"/>
        <w:pageBreakBefore w:val="0"/>
        <w:tabs>
          <w:tab w:val="left" w:pos="1727"/>
        </w:tabs>
        <w:overflowPunct/>
        <w:topLinePunct w:val="0"/>
        <w:bidi w:val="0"/>
        <w:spacing w:after="0" w:afterLines="50" w:line="400" w:lineRule="exact"/>
        <w:ind w:left="0" w:firstLine="468" w:firstLineChars="200"/>
        <w:rPr>
          <w:rFonts w:hint="eastAsia" w:ascii="宋体" w:hAnsi="宋体" w:eastAsia="宋体" w:cs="宋体"/>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rPr>
        <w:t>3</w:t>
      </w:r>
      <w:r>
        <w:rPr>
          <w:rFonts w:hint="eastAsia" w:ascii="宋体" w:hAnsi="宋体" w:eastAsia="宋体" w:cs="宋体"/>
          <w:spacing w:val="-3"/>
          <w:sz w:val="24"/>
          <w:szCs w:val="24"/>
        </w:rPr>
        <w:t>）单价金额小数点或者百分比有明显错位的，以开标一览表的总价为准，并修</w:t>
      </w:r>
      <w:r>
        <w:rPr>
          <w:rFonts w:hint="eastAsia" w:ascii="宋体" w:hAnsi="宋体" w:eastAsia="宋体" w:cs="宋体"/>
          <w:sz w:val="24"/>
          <w:szCs w:val="24"/>
        </w:rPr>
        <w:t>改单价。</w:t>
      </w:r>
    </w:p>
    <w:p>
      <w:pPr>
        <w:pStyle w:val="45"/>
        <w:keepNext w:val="0"/>
        <w:keepLines w:val="0"/>
        <w:pageBreakBefore w:val="0"/>
        <w:tabs>
          <w:tab w:val="left" w:pos="1727"/>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4</w:t>
      </w:r>
      <w:r>
        <w:rPr>
          <w:rFonts w:hint="eastAsia" w:ascii="宋体" w:hAnsi="宋体" w:eastAsia="宋体" w:cs="宋体"/>
          <w:sz w:val="24"/>
          <w:szCs w:val="24"/>
        </w:rPr>
        <w:t>）总价金额与按单价汇总金额不一致的，以单价金额计算结果为准。</w:t>
      </w:r>
    </w:p>
    <w:p>
      <w:pPr>
        <w:pStyle w:val="11"/>
        <w:keepNext w:val="0"/>
        <w:keepLines w:val="0"/>
        <w:pageBreakBefore w:val="0"/>
        <w:overflowPunct/>
        <w:topLinePunct w:val="0"/>
        <w:bidi w:val="0"/>
        <w:spacing w:after="0" w:afterLines="50"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同时出现两种以上错误的，按照前款规定的顺序修正。</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rPr>
        <w:t xml:space="preserve">27.7 </w:t>
      </w:r>
      <w:r>
        <w:rPr>
          <w:rFonts w:hint="eastAsia" w:ascii="宋体" w:hAnsi="宋体" w:eastAsia="宋体" w:cs="宋体"/>
          <w:spacing w:val="-1"/>
          <w:sz w:val="24"/>
          <w:szCs w:val="24"/>
        </w:rPr>
        <w:t>评委会将按上述修正错误的方法调整投标文件中的投标报价，调整后的价格</w:t>
      </w:r>
      <w:r>
        <w:rPr>
          <w:rFonts w:hint="eastAsia" w:ascii="宋体" w:hAnsi="宋体" w:eastAsia="宋体" w:cs="宋体"/>
          <w:sz w:val="24"/>
          <w:szCs w:val="24"/>
        </w:rPr>
        <w:t>应对供应商具有约束力。如果供应商不接受修正后的价格，则其投标将被拒绝，其投标保证金不予退还。</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rPr>
        <w:t xml:space="preserve">27.8 </w:t>
      </w:r>
      <w:r>
        <w:rPr>
          <w:rFonts w:hint="eastAsia" w:ascii="宋体" w:hAnsi="宋体" w:eastAsia="宋体" w:cs="宋体"/>
          <w:spacing w:val="-1"/>
          <w:sz w:val="24"/>
          <w:szCs w:val="24"/>
        </w:rPr>
        <w:t>评委会将允许修正投标文件中不构成重大偏离的、微小的、非正规的、不一</w:t>
      </w:r>
      <w:r>
        <w:rPr>
          <w:rFonts w:hint="eastAsia" w:ascii="宋体" w:hAnsi="宋体" w:eastAsia="宋体" w:cs="宋体"/>
          <w:sz w:val="24"/>
          <w:szCs w:val="24"/>
        </w:rPr>
        <w:t>致的或不规则的地方，但这些修改不能影响任何供应商相应的名次排列。</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bookmarkStart w:id="70" w:name="28、无效投标条款和废标条款"/>
      <w:bookmarkEnd w:id="70"/>
      <w:r>
        <w:rPr>
          <w:rFonts w:hint="eastAsia" w:ascii="宋体" w:hAnsi="宋体" w:eastAsia="宋体" w:cs="宋体"/>
          <w:b/>
          <w:bCs/>
          <w:sz w:val="28"/>
          <w:szCs w:val="28"/>
          <w:lang w:val="en-US" w:eastAsia="zh-CN"/>
        </w:rPr>
        <w:t>28、无效投标条款和废标条款</w:t>
      </w:r>
    </w:p>
    <w:p>
      <w:pPr>
        <w:pStyle w:val="45"/>
        <w:keepNext w:val="0"/>
        <w:keepLines w:val="0"/>
        <w:pageBreakBefore w:val="0"/>
        <w:numPr>
          <w:ilvl w:val="0"/>
          <w:numId w:val="0"/>
        </w:numPr>
        <w:tabs>
          <w:tab w:val="left" w:pos="1906"/>
        </w:tabs>
        <w:kinsoku/>
        <w:wordWrap/>
        <w:overflowPunct/>
        <w:topLinePunct w:val="0"/>
        <w:bidi w:val="0"/>
        <w:snapToGrid/>
        <w:spacing w:after="0" w:afterLines="50" w:line="400" w:lineRule="exact"/>
        <w:ind w:left="0" w:right="0" w:rightChars="0" w:firstLine="482" w:firstLineChars="200"/>
        <w:jc w:val="left"/>
        <w:textAlignment w:val="auto"/>
        <w:rPr>
          <w:rFonts w:hint="eastAsia" w:ascii="宋体" w:hAnsi="宋体" w:eastAsia="宋体" w:cs="宋体"/>
          <w:b/>
          <w:bCs/>
          <w:sz w:val="24"/>
          <w:szCs w:val="24"/>
        </w:rPr>
      </w:pPr>
      <w:bookmarkStart w:id="71" w:name="六、定标"/>
      <w:bookmarkEnd w:id="71"/>
      <w:r>
        <w:rPr>
          <w:rFonts w:hint="eastAsia" w:ascii="宋体" w:hAnsi="宋体" w:eastAsia="宋体" w:cs="宋体"/>
          <w:b/>
          <w:bCs/>
          <w:sz w:val="24"/>
          <w:szCs w:val="24"/>
          <w:lang w:val="en-US" w:eastAsia="zh-CN"/>
        </w:rPr>
        <w:t xml:space="preserve">28.1 </w:t>
      </w:r>
      <w:r>
        <w:rPr>
          <w:rFonts w:hint="eastAsia" w:cs="宋体"/>
          <w:b/>
          <w:bCs/>
          <w:sz w:val="24"/>
          <w:szCs w:val="24"/>
          <w:lang w:val="en-US" w:eastAsia="zh-CN"/>
        </w:rPr>
        <w:t>无效投标条款：</w:t>
      </w:r>
    </w:p>
    <w:p>
      <w:pPr>
        <w:pStyle w:val="45"/>
        <w:keepNext w:val="0"/>
        <w:keepLines w:val="0"/>
        <w:pageBreakBefore w:val="0"/>
        <w:numPr>
          <w:ilvl w:val="0"/>
          <w:numId w:val="0"/>
        </w:numPr>
        <w:tabs>
          <w:tab w:val="left" w:pos="1904"/>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28.1.1 </w:t>
      </w:r>
      <w:r>
        <w:rPr>
          <w:rFonts w:hint="eastAsia" w:ascii="宋体" w:hAnsi="宋体" w:eastAsia="宋体" w:cs="宋体"/>
          <w:sz w:val="24"/>
          <w:szCs w:val="24"/>
          <w:lang w:eastAsia="zh-CN"/>
        </w:rPr>
        <w:t>未按照招标文件的规定提交投标保证金的；</w:t>
      </w:r>
    </w:p>
    <w:p>
      <w:pPr>
        <w:pStyle w:val="45"/>
        <w:keepNext w:val="0"/>
        <w:keepLines w:val="0"/>
        <w:pageBreakBefore w:val="0"/>
        <w:numPr>
          <w:ilvl w:val="0"/>
          <w:numId w:val="0"/>
        </w:numPr>
        <w:tabs>
          <w:tab w:val="left" w:pos="1904"/>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28.1.2 </w:t>
      </w:r>
      <w:r>
        <w:rPr>
          <w:rFonts w:hint="eastAsia" w:ascii="宋体" w:hAnsi="宋体" w:eastAsia="宋体" w:cs="宋体"/>
          <w:sz w:val="24"/>
          <w:szCs w:val="24"/>
          <w:lang w:eastAsia="zh-CN"/>
        </w:rPr>
        <w:t>投标文件未按招标文件要求签署、盖章的；</w:t>
      </w:r>
    </w:p>
    <w:p>
      <w:pPr>
        <w:pStyle w:val="45"/>
        <w:keepNext w:val="0"/>
        <w:keepLines w:val="0"/>
        <w:pageBreakBefore w:val="0"/>
        <w:numPr>
          <w:ilvl w:val="0"/>
          <w:numId w:val="0"/>
        </w:numPr>
        <w:tabs>
          <w:tab w:val="left" w:pos="1904"/>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28.1.3 </w:t>
      </w:r>
      <w:r>
        <w:rPr>
          <w:rFonts w:hint="eastAsia" w:ascii="宋体" w:hAnsi="宋体" w:eastAsia="宋体" w:cs="宋体"/>
          <w:sz w:val="24"/>
          <w:szCs w:val="24"/>
          <w:lang w:eastAsia="zh-CN"/>
        </w:rPr>
        <w:t>供应商</w:t>
      </w:r>
      <w:r>
        <w:rPr>
          <w:rFonts w:hint="eastAsia" w:ascii="宋体" w:hAnsi="宋体" w:eastAsia="宋体" w:cs="宋体"/>
          <w:sz w:val="24"/>
          <w:szCs w:val="24"/>
        </w:rPr>
        <w:t>在报价时采用选择性报价的。</w:t>
      </w:r>
    </w:p>
    <w:p>
      <w:pPr>
        <w:pStyle w:val="45"/>
        <w:keepNext w:val="0"/>
        <w:keepLines w:val="0"/>
        <w:pageBreakBefore w:val="0"/>
        <w:numPr>
          <w:ilvl w:val="0"/>
          <w:numId w:val="0"/>
        </w:numPr>
        <w:tabs>
          <w:tab w:val="left" w:pos="1904"/>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28.1.4 </w:t>
      </w:r>
      <w:r>
        <w:rPr>
          <w:rFonts w:hint="eastAsia" w:ascii="宋体" w:hAnsi="宋体" w:eastAsia="宋体" w:cs="宋体"/>
          <w:sz w:val="24"/>
          <w:szCs w:val="24"/>
          <w:lang w:eastAsia="zh-CN"/>
        </w:rPr>
        <w:t>供应商</w:t>
      </w:r>
      <w:r>
        <w:rPr>
          <w:rFonts w:hint="eastAsia" w:ascii="宋体" w:hAnsi="宋体" w:eastAsia="宋体" w:cs="宋体"/>
          <w:sz w:val="24"/>
          <w:szCs w:val="24"/>
        </w:rPr>
        <w:t>不具备</w:t>
      </w:r>
      <w:r>
        <w:rPr>
          <w:rFonts w:hint="eastAsia" w:ascii="宋体" w:hAnsi="宋体" w:eastAsia="宋体" w:cs="宋体"/>
          <w:sz w:val="24"/>
          <w:szCs w:val="24"/>
          <w:lang w:eastAsia="zh-CN"/>
        </w:rPr>
        <w:t>招标文件</w:t>
      </w:r>
      <w:r>
        <w:rPr>
          <w:rFonts w:hint="eastAsia" w:ascii="宋体" w:hAnsi="宋体" w:eastAsia="宋体" w:cs="宋体"/>
          <w:sz w:val="24"/>
          <w:szCs w:val="24"/>
        </w:rPr>
        <w:t>中规定资格要求的。</w:t>
      </w:r>
    </w:p>
    <w:p>
      <w:pPr>
        <w:pStyle w:val="45"/>
        <w:keepNext w:val="0"/>
        <w:keepLines w:val="0"/>
        <w:pageBreakBefore w:val="0"/>
        <w:numPr>
          <w:ilvl w:val="0"/>
          <w:numId w:val="0"/>
        </w:numPr>
        <w:tabs>
          <w:tab w:val="left" w:pos="1906"/>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28.1.5 </w:t>
      </w:r>
      <w:r>
        <w:rPr>
          <w:rFonts w:hint="eastAsia" w:ascii="宋体" w:hAnsi="宋体" w:eastAsia="宋体" w:cs="宋体"/>
          <w:sz w:val="24"/>
          <w:szCs w:val="24"/>
          <w:lang w:eastAsia="zh-CN"/>
        </w:rPr>
        <w:t>供应商</w:t>
      </w:r>
      <w:r>
        <w:rPr>
          <w:rFonts w:hint="eastAsia" w:ascii="宋体" w:hAnsi="宋体" w:eastAsia="宋体" w:cs="宋体"/>
          <w:sz w:val="24"/>
          <w:szCs w:val="24"/>
        </w:rPr>
        <w:t>的报价超过了采购预算或最高限价的。</w:t>
      </w:r>
    </w:p>
    <w:p>
      <w:pPr>
        <w:pStyle w:val="45"/>
        <w:keepNext w:val="0"/>
        <w:keepLines w:val="0"/>
        <w:pageBreakBefore w:val="0"/>
        <w:numPr>
          <w:ilvl w:val="0"/>
          <w:numId w:val="0"/>
        </w:numPr>
        <w:tabs>
          <w:tab w:val="left" w:pos="1906"/>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28.1.6 </w:t>
      </w:r>
      <w:r>
        <w:rPr>
          <w:rFonts w:hint="eastAsia" w:ascii="宋体" w:hAnsi="宋体" w:eastAsia="宋体" w:cs="宋体"/>
          <w:sz w:val="24"/>
          <w:szCs w:val="24"/>
        </w:rPr>
        <w:t>未通过符合性检查的。</w:t>
      </w:r>
    </w:p>
    <w:p>
      <w:pPr>
        <w:pStyle w:val="45"/>
        <w:keepNext w:val="0"/>
        <w:keepLines w:val="0"/>
        <w:pageBreakBefore w:val="0"/>
        <w:numPr>
          <w:ilvl w:val="0"/>
          <w:numId w:val="0"/>
        </w:numPr>
        <w:tabs>
          <w:tab w:val="left" w:pos="1906"/>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i/>
          <w:sz w:val="24"/>
          <w:szCs w:val="24"/>
        </w:rPr>
      </w:pPr>
      <w:r>
        <w:rPr>
          <w:rFonts w:hint="eastAsia" w:ascii="宋体" w:hAnsi="宋体" w:eastAsia="宋体" w:cs="宋体"/>
          <w:sz w:val="24"/>
          <w:szCs w:val="24"/>
          <w:lang w:val="en-US" w:eastAsia="zh-CN"/>
        </w:rPr>
        <w:t xml:space="preserve">28.1.7 </w:t>
      </w:r>
      <w:r>
        <w:rPr>
          <w:rFonts w:hint="eastAsia" w:ascii="宋体" w:hAnsi="宋体" w:eastAsia="宋体" w:cs="宋体"/>
          <w:i w:val="0"/>
          <w:iCs w:val="0"/>
          <w:sz w:val="24"/>
          <w:szCs w:val="24"/>
        </w:rPr>
        <w:t>不符合</w:t>
      </w:r>
      <w:r>
        <w:rPr>
          <w:rFonts w:hint="eastAsia" w:ascii="宋体" w:hAnsi="宋体" w:eastAsia="宋体" w:cs="宋体"/>
          <w:i w:val="0"/>
          <w:iCs w:val="0"/>
          <w:sz w:val="24"/>
          <w:szCs w:val="24"/>
          <w:lang w:eastAsia="zh-CN"/>
        </w:rPr>
        <w:t>招标文件</w:t>
      </w:r>
      <w:r>
        <w:rPr>
          <w:rFonts w:hint="eastAsia" w:ascii="宋体" w:hAnsi="宋体" w:eastAsia="宋体" w:cs="宋体"/>
          <w:i w:val="0"/>
          <w:iCs w:val="0"/>
          <w:sz w:val="24"/>
          <w:szCs w:val="24"/>
        </w:rPr>
        <w:t>中规定的其他实</w:t>
      </w:r>
      <w:r>
        <w:rPr>
          <w:rFonts w:hint="eastAsia" w:ascii="宋体" w:hAnsi="宋体" w:eastAsia="宋体" w:cs="宋体"/>
          <w:sz w:val="24"/>
          <w:szCs w:val="24"/>
        </w:rPr>
        <w:t>质性要求和条件</w:t>
      </w:r>
      <w:r>
        <w:rPr>
          <w:rFonts w:hint="eastAsia" w:ascii="宋体" w:hAnsi="宋体" w:eastAsia="宋体" w:cs="宋体"/>
          <w:i/>
          <w:sz w:val="24"/>
          <w:szCs w:val="24"/>
          <w:u w:val="none"/>
        </w:rPr>
        <w:t>。</w:t>
      </w:r>
    </w:p>
    <w:p>
      <w:pPr>
        <w:pStyle w:val="45"/>
        <w:keepNext w:val="0"/>
        <w:keepLines w:val="0"/>
        <w:pageBreakBefore w:val="0"/>
        <w:numPr>
          <w:ilvl w:val="0"/>
          <w:numId w:val="0"/>
        </w:numPr>
        <w:tabs>
          <w:tab w:val="left" w:pos="1968"/>
        </w:tabs>
        <w:kinsoku/>
        <w:wordWrap/>
        <w:overflowPunct/>
        <w:topLinePunct w:val="0"/>
        <w:bidi w:val="0"/>
        <w:snapToGrid/>
        <w:spacing w:after="0" w:afterLines="50" w:line="40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28.1.8 </w:t>
      </w:r>
      <w:r>
        <w:rPr>
          <w:rFonts w:hint="eastAsia" w:ascii="宋体" w:hAnsi="宋体" w:eastAsia="宋体" w:cs="宋体"/>
          <w:spacing w:val="-6"/>
          <w:sz w:val="24"/>
          <w:szCs w:val="24"/>
          <w:lang w:eastAsia="zh-CN"/>
        </w:rPr>
        <w:t>供应商</w:t>
      </w:r>
      <w:r>
        <w:rPr>
          <w:rFonts w:hint="eastAsia" w:ascii="宋体" w:hAnsi="宋体" w:eastAsia="宋体" w:cs="宋体"/>
          <w:spacing w:val="-6"/>
          <w:sz w:val="24"/>
          <w:szCs w:val="24"/>
        </w:rPr>
        <w:t>被“信用中国”网、中国政府采购网列入失信被执行人</w:t>
      </w:r>
      <w:r>
        <w:rPr>
          <w:rFonts w:hint="eastAsia" w:ascii="宋体" w:hAnsi="宋体" w:eastAsia="宋体" w:cs="宋体"/>
          <w:spacing w:val="-6"/>
          <w:sz w:val="24"/>
          <w:szCs w:val="24"/>
          <w:lang w:eastAsia="zh-CN"/>
        </w:rPr>
        <w:t>、税收违法黑名单、</w:t>
      </w:r>
      <w:r>
        <w:rPr>
          <w:rFonts w:hint="eastAsia" w:ascii="宋体" w:hAnsi="宋体" w:eastAsia="宋体" w:cs="宋体"/>
          <w:spacing w:val="-6"/>
          <w:sz w:val="24"/>
          <w:szCs w:val="24"/>
        </w:rPr>
        <w:t>政府采购严重失信行为记录名单。</w:t>
      </w:r>
    </w:p>
    <w:p>
      <w:pPr>
        <w:pStyle w:val="45"/>
        <w:keepNext w:val="0"/>
        <w:keepLines w:val="0"/>
        <w:pageBreakBefore w:val="0"/>
        <w:numPr>
          <w:ilvl w:val="0"/>
          <w:numId w:val="0"/>
        </w:numPr>
        <w:tabs>
          <w:tab w:val="left" w:pos="2086"/>
        </w:tabs>
        <w:kinsoku/>
        <w:wordWrap/>
        <w:overflowPunct/>
        <w:topLinePunct w:val="0"/>
        <w:bidi w:val="0"/>
        <w:snapToGrid/>
        <w:spacing w:after="0" w:afterLines="50" w:line="40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28.1.9 </w:t>
      </w:r>
      <w:r>
        <w:rPr>
          <w:rFonts w:hint="eastAsia" w:ascii="宋体" w:hAnsi="宋体" w:eastAsia="宋体" w:cs="宋体"/>
          <w:sz w:val="24"/>
          <w:szCs w:val="24"/>
        </w:rPr>
        <w:t>投标文件含有采购人不能接受的附加条件的。</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80"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sz w:val="24"/>
          <w:szCs w:val="24"/>
          <w:lang w:val="en-US" w:eastAsia="zh-CN"/>
        </w:rPr>
        <w:t xml:space="preserve">28.1.10 </w:t>
      </w:r>
      <w:r>
        <w:rPr>
          <w:rFonts w:hint="eastAsia" w:ascii="宋体" w:hAnsi="宋体" w:eastAsia="宋体" w:cs="宋体"/>
          <w:b/>
          <w:bCs/>
          <w:sz w:val="24"/>
          <w:szCs w:val="24"/>
          <w:highlight w:val="none"/>
        </w:rPr>
        <w:t>评标委员会认为</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的报价明显低于其他通过符合性审查</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的报价，有可能影响质量或者不能诚信履约的，应当要求其在评标现场合理的时间内提供书面说明，必要时提交相关证明材料；</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不能证明其报价合理性的，评标委员会应当将其作为无效投标处理。</w:t>
      </w:r>
      <w:r>
        <w:rPr>
          <w:rFonts w:hint="eastAsia" w:cs="宋体"/>
          <w:b/>
          <w:bCs/>
          <w:sz w:val="24"/>
          <w:szCs w:val="24"/>
          <w:highlight w:val="none"/>
          <w:lang w:eastAsia="zh-CN"/>
        </w:rPr>
        <w:t>（根据</w:t>
      </w:r>
      <w:r>
        <w:rPr>
          <w:rFonts w:hint="eastAsia" w:ascii="宋体" w:hAnsi="宋体" w:eastAsia="宋体" w:cs="宋体"/>
          <w:b/>
          <w:bCs/>
          <w:spacing w:val="-1"/>
          <w:sz w:val="24"/>
          <w:szCs w:val="24"/>
          <w:highlight w:val="none"/>
          <w:lang w:eastAsia="zh-CN"/>
        </w:rPr>
        <w:t>中华人民共和国财政部令第87号--《政府采购货物和服务招标投标管理办法》第</w:t>
      </w:r>
      <w:r>
        <w:rPr>
          <w:rFonts w:hint="eastAsia" w:cs="宋体"/>
          <w:b/>
          <w:bCs/>
          <w:spacing w:val="-1"/>
          <w:sz w:val="24"/>
          <w:szCs w:val="24"/>
          <w:highlight w:val="none"/>
          <w:lang w:eastAsia="zh-CN"/>
        </w:rPr>
        <w:t>六十</w:t>
      </w:r>
      <w:r>
        <w:rPr>
          <w:rFonts w:hint="eastAsia" w:ascii="宋体" w:hAnsi="宋体" w:eastAsia="宋体" w:cs="宋体"/>
          <w:b/>
          <w:bCs/>
          <w:spacing w:val="-1"/>
          <w:sz w:val="24"/>
          <w:szCs w:val="24"/>
          <w:highlight w:val="none"/>
          <w:lang w:eastAsia="zh-CN"/>
        </w:rPr>
        <w:t>条的规定</w:t>
      </w:r>
      <w:r>
        <w:rPr>
          <w:rFonts w:hint="eastAsia" w:cs="宋体"/>
          <w:b/>
          <w:bCs/>
          <w:sz w:val="24"/>
          <w:szCs w:val="24"/>
          <w:highlight w:val="none"/>
          <w:lang w:eastAsia="zh-CN"/>
        </w:rPr>
        <w:t>）</w:t>
      </w:r>
    </w:p>
    <w:p>
      <w:pPr>
        <w:pStyle w:val="45"/>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28.1.11 </w:t>
      </w:r>
      <w:r>
        <w:rPr>
          <w:rFonts w:hint="eastAsia" w:ascii="宋体" w:hAnsi="宋体" w:eastAsia="宋体" w:cs="宋体"/>
          <w:sz w:val="24"/>
          <w:szCs w:val="24"/>
        </w:rPr>
        <w:t>其他法律、法规及本</w:t>
      </w:r>
      <w:r>
        <w:rPr>
          <w:rFonts w:hint="eastAsia" w:ascii="宋体" w:hAnsi="宋体" w:eastAsia="宋体" w:cs="宋体"/>
          <w:sz w:val="24"/>
          <w:szCs w:val="24"/>
          <w:lang w:eastAsia="zh-CN"/>
        </w:rPr>
        <w:t>招标文件</w:t>
      </w:r>
      <w:r>
        <w:rPr>
          <w:rFonts w:hint="eastAsia" w:ascii="宋体" w:hAnsi="宋体" w:eastAsia="宋体" w:cs="宋体"/>
          <w:sz w:val="24"/>
          <w:szCs w:val="24"/>
        </w:rPr>
        <w:t>规定的属无效投标的情形。</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28.2</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视为投标人串通投标，其投标无效</w:t>
      </w:r>
      <w:r>
        <w:rPr>
          <w:rFonts w:hint="eastAsia" w:cs="宋体"/>
          <w:b/>
          <w:bCs/>
          <w:sz w:val="24"/>
          <w:szCs w:val="24"/>
          <w:lang w:val="en-US" w:eastAsia="zh-CN"/>
        </w:rPr>
        <w:t>的情形：</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根据</w:t>
      </w:r>
      <w:r>
        <w:rPr>
          <w:rFonts w:hint="eastAsia" w:ascii="宋体" w:hAnsi="宋体" w:eastAsia="宋体" w:cs="宋体"/>
          <w:spacing w:val="-1"/>
          <w:sz w:val="24"/>
          <w:szCs w:val="24"/>
          <w:lang w:eastAsia="zh-CN"/>
        </w:rPr>
        <w:t>中华人民共和国财政部令第87号--《政府采购货物和服务招标投标管理办法》第三十七条的规定：</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有下列情形之一的，视为投标人串通投标，其投标无效：</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（一）不同投标人的投标文件由同一单位或者个人编制；</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（二）不同投标人委托同一单位或者个人办理投标事宜；</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（三）不同投标人的投标文件载明的项目管理成员或者联系人员为同一人；</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（四）不同投标人的投标文件异常一致或者投标报价呈规律性差异；</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（五）不同投标人的投标文件相互混装；</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00" w:lineRule="exact"/>
        <w:ind w:left="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（六）不同投标人的投标保证金从同一单位或者个人的账户转出。</w:t>
      </w:r>
    </w:p>
    <w:p>
      <w:pPr>
        <w:pStyle w:val="45"/>
        <w:keepNext w:val="0"/>
        <w:keepLines w:val="0"/>
        <w:pageBreakBefore w:val="0"/>
        <w:widowControl w:val="0"/>
        <w:numPr>
          <w:ilvl w:val="0"/>
          <w:numId w:val="0"/>
        </w:numPr>
        <w:tabs>
          <w:tab w:val="left" w:pos="1664"/>
        </w:tabs>
        <w:kinsoku/>
        <w:wordWrap/>
        <w:overflowPunct/>
        <w:topLinePunct w:val="0"/>
        <w:autoSpaceDE w:val="0"/>
        <w:autoSpaceDN w:val="0"/>
        <w:bidi w:val="0"/>
        <w:adjustRightInd/>
        <w:snapToGrid/>
        <w:spacing w:after="0" w:afterLines="50" w:line="400" w:lineRule="exact"/>
        <w:ind w:left="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28.3 </w:t>
      </w:r>
      <w:r>
        <w:rPr>
          <w:rFonts w:hint="eastAsia" w:ascii="宋体" w:hAnsi="宋体" w:eastAsia="宋体" w:cs="宋体"/>
          <w:b/>
          <w:bCs/>
          <w:sz w:val="24"/>
          <w:szCs w:val="24"/>
        </w:rPr>
        <w:t>废标条款：</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28.1.1 </w:t>
      </w:r>
      <w:r>
        <w:rPr>
          <w:rFonts w:hint="eastAsia" w:ascii="宋体" w:hAnsi="宋体" w:eastAsia="宋体" w:cs="宋体"/>
          <w:sz w:val="24"/>
          <w:szCs w:val="24"/>
        </w:rPr>
        <w:t>符合专业条件的供应商或者对</w:t>
      </w:r>
      <w:r>
        <w:rPr>
          <w:rFonts w:hint="eastAsia" w:ascii="宋体" w:hAnsi="宋体" w:eastAsia="宋体" w:cs="宋体"/>
          <w:sz w:val="24"/>
          <w:szCs w:val="24"/>
          <w:lang w:eastAsia="zh-CN"/>
        </w:rPr>
        <w:t>招标文件</w:t>
      </w:r>
      <w:r>
        <w:rPr>
          <w:rFonts w:hint="eastAsia" w:ascii="宋体" w:hAnsi="宋体" w:eastAsia="宋体" w:cs="宋体"/>
          <w:sz w:val="24"/>
          <w:szCs w:val="24"/>
        </w:rPr>
        <w:t>作实质响应的供应商不足三家的。</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28.1.2 </w:t>
      </w:r>
      <w:r>
        <w:rPr>
          <w:rFonts w:hint="eastAsia" w:ascii="宋体" w:hAnsi="宋体" w:eastAsia="宋体" w:cs="宋体"/>
          <w:sz w:val="24"/>
          <w:szCs w:val="24"/>
        </w:rPr>
        <w:t>出现影响采购公正的违法、违规行为的。</w:t>
      </w:r>
    </w:p>
    <w:p>
      <w:pPr>
        <w:pStyle w:val="45"/>
        <w:keepNext w:val="0"/>
        <w:keepLines w:val="0"/>
        <w:pageBreakBefore w:val="0"/>
        <w:numPr>
          <w:ilvl w:val="0"/>
          <w:numId w:val="0"/>
        </w:numPr>
        <w:tabs>
          <w:tab w:val="left" w:pos="1904"/>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28.1.3 </w:t>
      </w:r>
      <w:r>
        <w:rPr>
          <w:rFonts w:hint="eastAsia" w:ascii="宋体" w:hAnsi="宋体" w:eastAsia="宋体" w:cs="宋体"/>
          <w:sz w:val="24"/>
          <w:szCs w:val="24"/>
        </w:rPr>
        <w:t>因重大变故，采购任务取消的。</w:t>
      </w:r>
    </w:p>
    <w:p>
      <w:pPr>
        <w:pStyle w:val="45"/>
        <w:keepNext w:val="0"/>
        <w:keepLines w:val="0"/>
        <w:pageBreakBefore w:val="0"/>
        <w:numPr>
          <w:ilvl w:val="0"/>
          <w:numId w:val="0"/>
        </w:numPr>
        <w:tabs>
          <w:tab w:val="left" w:pos="1904"/>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28.1.4 </w:t>
      </w:r>
      <w:r>
        <w:rPr>
          <w:rFonts w:hint="eastAsia" w:ascii="宋体" w:hAnsi="宋体" w:eastAsia="宋体" w:cs="宋体"/>
          <w:sz w:val="24"/>
          <w:szCs w:val="24"/>
        </w:rPr>
        <w:t>评标委员会认定</w:t>
      </w:r>
      <w:r>
        <w:rPr>
          <w:rFonts w:hint="eastAsia" w:ascii="宋体" w:hAnsi="宋体" w:eastAsia="宋体" w:cs="宋体"/>
          <w:sz w:val="24"/>
          <w:szCs w:val="24"/>
          <w:lang w:eastAsia="zh-CN"/>
        </w:rPr>
        <w:t>招标文件</w:t>
      </w:r>
      <w:r>
        <w:rPr>
          <w:rFonts w:hint="eastAsia" w:ascii="宋体" w:hAnsi="宋体" w:eastAsia="宋体" w:cs="宋体"/>
          <w:sz w:val="24"/>
          <w:szCs w:val="24"/>
        </w:rPr>
        <w:t>存在歧义、重大缺陷导致评审工作无法进行。</w:t>
      </w:r>
    </w:p>
    <w:p>
      <w:pPr>
        <w:pStyle w:val="45"/>
        <w:keepNext w:val="0"/>
        <w:keepLines w:val="0"/>
        <w:pageBreakBefore w:val="0"/>
        <w:numPr>
          <w:ilvl w:val="0"/>
          <w:numId w:val="0"/>
        </w:numPr>
        <w:tabs>
          <w:tab w:val="left" w:pos="1724"/>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28.1.5 </w:t>
      </w:r>
      <w:r>
        <w:rPr>
          <w:rFonts w:hint="eastAsia" w:ascii="宋体" w:hAnsi="宋体" w:eastAsia="宋体" w:cs="宋体"/>
          <w:sz w:val="24"/>
          <w:szCs w:val="24"/>
        </w:rPr>
        <w:t>投标截止时间结束后参加投标的供应商不足三家的处理：</w:t>
      </w:r>
    </w:p>
    <w:p>
      <w:pPr>
        <w:keepNext w:val="0"/>
        <w:keepLines w:val="0"/>
        <w:pageBreakBefore w:val="0"/>
        <w:overflowPunct/>
        <w:topLinePunct w:val="0"/>
        <w:bidi w:val="0"/>
        <w:spacing w:after="0" w:afterLines="50" w:line="400" w:lineRule="exact"/>
        <w:ind w:left="450" w:right="356"/>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28.1.6 </w:t>
      </w:r>
      <w:r>
        <w:rPr>
          <w:rFonts w:hint="eastAsia" w:ascii="宋体" w:hAnsi="宋体" w:eastAsia="宋体" w:cs="宋体"/>
          <w:spacing w:val="-1"/>
          <w:sz w:val="24"/>
          <w:szCs w:val="24"/>
        </w:rPr>
        <w:t>如出现投标截止时间结束后参加投标的供应商或者在评标期间对</w:t>
      </w:r>
      <w:r>
        <w:rPr>
          <w:rFonts w:hint="eastAsia" w:ascii="宋体" w:hAnsi="宋体" w:eastAsia="宋体" w:cs="宋体"/>
          <w:spacing w:val="-1"/>
          <w:sz w:val="24"/>
          <w:szCs w:val="24"/>
          <w:lang w:eastAsia="zh-CN"/>
        </w:rPr>
        <w:t>招标文件</w:t>
      </w:r>
      <w:r>
        <w:rPr>
          <w:rFonts w:hint="eastAsia" w:ascii="宋体" w:hAnsi="宋体" w:eastAsia="宋体" w:cs="宋体"/>
          <w:sz w:val="24"/>
          <w:szCs w:val="24"/>
        </w:rPr>
        <w:t>做</w:t>
      </w:r>
    </w:p>
    <w:p>
      <w:pPr>
        <w:keepNext w:val="0"/>
        <w:keepLines w:val="0"/>
        <w:pageBreakBefore w:val="0"/>
        <w:overflowPunct/>
        <w:topLinePunct w:val="0"/>
        <w:bidi w:val="0"/>
        <w:spacing w:after="0" w:afterLines="50" w:line="400" w:lineRule="exact"/>
        <w:ind w:left="450" w:right="356"/>
        <w:jc w:val="both"/>
        <w:rPr>
          <w:rFonts w:hint="eastAsia" w:ascii="宋体" w:hAnsi="宋体" w:eastAsia="宋体" w:cs="宋体"/>
          <w:sz w:val="24"/>
          <w:szCs w:val="24"/>
        </w:rPr>
      </w:pPr>
      <w:r>
        <w:rPr>
          <w:rFonts w:hint="eastAsia" w:ascii="宋体" w:hAnsi="宋体" w:eastAsia="宋体" w:cs="宋体"/>
          <w:sz w:val="24"/>
          <w:szCs w:val="24"/>
        </w:rPr>
        <w:t>出实质响应的</w:t>
      </w:r>
      <w:r>
        <w:rPr>
          <w:rFonts w:hint="eastAsia" w:ascii="宋体" w:hAnsi="宋体" w:eastAsia="宋体" w:cs="宋体"/>
          <w:sz w:val="24"/>
          <w:szCs w:val="24"/>
          <w:lang w:eastAsia="zh-CN"/>
        </w:rPr>
        <w:t>供应商</w:t>
      </w:r>
      <w:r>
        <w:rPr>
          <w:rFonts w:hint="eastAsia" w:ascii="宋体" w:hAnsi="宋体" w:eastAsia="宋体" w:cs="宋体"/>
          <w:sz w:val="24"/>
          <w:szCs w:val="24"/>
        </w:rPr>
        <w:t>不足三家情况，按政府采购相关规定执行。</w:t>
      </w:r>
    </w:p>
    <w:p>
      <w:pPr>
        <w:pStyle w:val="20"/>
        <w:rPr>
          <w:rFonts w:hint="eastAsia" w:ascii="宋体" w:hAnsi="宋体" w:eastAsia="宋体" w:cs="宋体"/>
        </w:rPr>
      </w:pPr>
    </w:p>
    <w:p>
      <w:pPr>
        <w:keepNext w:val="0"/>
        <w:keepLines w:val="0"/>
        <w:pageBreakBefore w:val="0"/>
        <w:overflowPunct/>
        <w:topLinePunct w:val="0"/>
        <w:bidi w:val="0"/>
        <w:spacing w:after="0" w:afterLines="50" w:line="400" w:lineRule="exact"/>
        <w:jc w:val="center"/>
        <w:rPr>
          <w:rFonts w:hint="eastAsia" w:ascii="宋体" w:hAnsi="宋体" w:eastAsia="宋体" w:cs="宋体"/>
          <w:b/>
          <w:sz w:val="32"/>
          <w:szCs w:val="32"/>
        </w:rPr>
      </w:pPr>
      <w:r>
        <w:rPr>
          <w:rFonts w:hint="eastAsia" w:ascii="宋体" w:hAnsi="宋体" w:eastAsia="宋体" w:cs="宋体"/>
          <w:b/>
          <w:sz w:val="32"/>
          <w:szCs w:val="32"/>
        </w:rPr>
        <w:t>六、定标</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bookmarkStart w:id="72" w:name="29、确定中标单位"/>
      <w:bookmarkEnd w:id="72"/>
      <w:r>
        <w:rPr>
          <w:rFonts w:hint="eastAsia" w:ascii="宋体" w:hAnsi="宋体" w:eastAsia="宋体" w:cs="宋体"/>
          <w:b/>
          <w:bCs/>
          <w:sz w:val="28"/>
          <w:szCs w:val="28"/>
          <w:lang w:val="en-US" w:eastAsia="zh-CN"/>
        </w:rPr>
        <w:t>29、确定中标人</w:t>
      </w:r>
    </w:p>
    <w:p>
      <w:pPr>
        <w:pStyle w:val="45"/>
        <w:keepNext w:val="0"/>
        <w:keepLines w:val="0"/>
        <w:pageBreakBefore w:val="0"/>
        <w:tabs>
          <w:tab w:val="left" w:pos="1666"/>
        </w:tabs>
        <w:overflowPunct/>
        <w:topLinePunct w:val="0"/>
        <w:bidi w:val="0"/>
        <w:spacing w:after="0" w:afterLines="50" w:line="400" w:lineRule="exact"/>
        <w:ind w:left="0" w:firstLine="472" w:firstLineChars="200"/>
        <w:rPr>
          <w:rFonts w:hint="eastAsia" w:ascii="宋体" w:hAnsi="宋体" w:eastAsia="宋体" w:cs="宋体"/>
          <w:sz w:val="24"/>
          <w:szCs w:val="24"/>
        </w:rPr>
      </w:pPr>
      <w:r>
        <w:rPr>
          <w:rFonts w:hint="eastAsia" w:ascii="宋体" w:hAnsi="宋体" w:eastAsia="宋体" w:cs="宋体"/>
          <w:spacing w:val="-2"/>
          <w:sz w:val="24"/>
          <w:szCs w:val="24"/>
          <w:lang w:val="en-US"/>
        </w:rPr>
        <w:t xml:space="preserve">29.1 </w:t>
      </w:r>
      <w:r>
        <w:rPr>
          <w:rFonts w:hint="eastAsia" w:ascii="宋体" w:hAnsi="宋体" w:eastAsia="宋体" w:cs="宋体"/>
          <w:spacing w:val="-1"/>
          <w:sz w:val="24"/>
          <w:szCs w:val="24"/>
          <w:lang w:val="en-US" w:eastAsia="zh-CN"/>
        </w:rPr>
        <w:t>根据</w:t>
      </w:r>
      <w:r>
        <w:rPr>
          <w:rFonts w:hint="eastAsia" w:ascii="宋体" w:hAnsi="宋体" w:eastAsia="宋体" w:cs="宋体"/>
          <w:spacing w:val="-1"/>
          <w:sz w:val="24"/>
          <w:szCs w:val="24"/>
          <w:lang w:eastAsia="zh-CN"/>
        </w:rPr>
        <w:t>中华人民共和国财政部令第87号--《政府采购货物和服务招标投标管理办法》第五十七条的规定：</w:t>
      </w:r>
      <w:r>
        <w:rPr>
          <w:rFonts w:hint="eastAsia" w:ascii="宋体" w:hAnsi="宋体" w:eastAsia="宋体" w:cs="宋体"/>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29.2 </w:t>
      </w:r>
      <w:r>
        <w:rPr>
          <w:rFonts w:hint="eastAsia" w:ascii="宋体" w:hAnsi="宋体" w:eastAsia="宋体" w:cs="宋体"/>
          <w:sz w:val="24"/>
          <w:szCs w:val="24"/>
          <w:lang w:val="en-US" w:eastAsia="zh-CN"/>
        </w:rPr>
        <w:t>根据</w:t>
      </w:r>
      <w:r>
        <w:rPr>
          <w:rFonts w:hint="eastAsia" w:ascii="宋体" w:hAnsi="宋体" w:eastAsia="宋体" w:cs="宋体"/>
          <w:sz w:val="24"/>
          <w:szCs w:val="24"/>
          <w:lang w:eastAsia="zh-CN"/>
        </w:rPr>
        <w:t>中华人民共和国财政部令第87号--《政府采购货物和服务招标投标管理办法》第六十八条的规定：</w:t>
      </w:r>
      <w:r>
        <w:rPr>
          <w:rFonts w:hint="eastAsia" w:ascii="宋体" w:hAnsi="宋体" w:eastAsia="宋体" w:cs="宋体"/>
          <w:sz w:val="24"/>
          <w:szCs w:val="24"/>
        </w:rPr>
        <w:t>采购代理机构应当在评标结束后2个工作日内将评标报告送采购人。</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采购人自行组织招标的，应当在评标结束后5个工作日内确定中标人。</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采购人在收到评标报告5个工作日内未按评标报告推荐的中标候选人顺序确定中标人，又不能说明合法理由的，视同按评标报告推荐的顺序确定排名第一的中标候选人为中标人。</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29.3 </w:t>
      </w:r>
      <w:r>
        <w:rPr>
          <w:rFonts w:hint="eastAsia" w:ascii="宋体" w:hAnsi="宋体" w:eastAsia="宋体" w:cs="宋体"/>
          <w:sz w:val="24"/>
          <w:szCs w:val="24"/>
        </w:rPr>
        <w:t>采购人或者采购代理机构</w:t>
      </w:r>
      <w:r>
        <w:rPr>
          <w:rFonts w:hint="eastAsia" w:ascii="宋体" w:hAnsi="宋体" w:eastAsia="宋体" w:cs="宋体"/>
          <w:sz w:val="24"/>
          <w:szCs w:val="24"/>
          <w:lang w:val="en-US" w:eastAsia="zh-CN"/>
        </w:rPr>
        <w:t>根据</w:t>
      </w:r>
      <w:r>
        <w:rPr>
          <w:rFonts w:hint="eastAsia" w:ascii="宋体" w:hAnsi="宋体" w:eastAsia="宋体" w:cs="宋体"/>
          <w:sz w:val="24"/>
          <w:szCs w:val="24"/>
          <w:lang w:eastAsia="zh-CN"/>
        </w:rPr>
        <w:t>中华人民共和国财政部令第87号--《政府采购货物和服务招标投标管理办法》第六十九条的相关规定，</w:t>
      </w:r>
      <w:r>
        <w:rPr>
          <w:rFonts w:hint="eastAsia" w:ascii="宋体" w:hAnsi="宋体" w:eastAsia="宋体" w:cs="宋体"/>
          <w:sz w:val="24"/>
          <w:szCs w:val="24"/>
        </w:rPr>
        <w:t>自中标人确定之日起2个工作日内，在</w:t>
      </w:r>
      <w:r>
        <w:rPr>
          <w:rFonts w:hint="eastAsia" w:ascii="宋体" w:hAnsi="宋体" w:eastAsia="宋体" w:cs="宋体"/>
          <w:sz w:val="24"/>
          <w:szCs w:val="24"/>
          <w:lang w:eastAsia="zh-CN"/>
        </w:rPr>
        <w:t>新疆政府采购网</w:t>
      </w:r>
      <w:r>
        <w:rPr>
          <w:rFonts w:hint="eastAsia" w:ascii="宋体" w:hAnsi="宋体" w:eastAsia="宋体" w:cs="宋体"/>
          <w:sz w:val="24"/>
          <w:szCs w:val="24"/>
        </w:rPr>
        <w:t>上公告中标结果，招标文件随中标结果同时公告。</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sz w:val="24"/>
          <w:szCs w:val="24"/>
        </w:rPr>
        <w:t>在公告中标结果的同时，采购人或者采购代理机构应当向中标人发出中标通知书；对未通过资格审查的投标人，应当告知其未通过的原因；采用综合评分法评审的，还应当告知未中标人本人的评审得分与排序。</w:t>
      </w:r>
    </w:p>
    <w:p>
      <w:pPr>
        <w:pStyle w:val="45"/>
        <w:keepNext w:val="0"/>
        <w:keepLines w:val="0"/>
        <w:pageBreakBefore w:val="0"/>
        <w:tabs>
          <w:tab w:val="left" w:pos="1847"/>
          <w:tab w:val="left" w:pos="1848"/>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29.4 </w:t>
      </w:r>
      <w:r>
        <w:rPr>
          <w:rFonts w:hint="eastAsia" w:ascii="宋体" w:hAnsi="宋体" w:eastAsia="宋体" w:cs="宋体"/>
          <w:sz w:val="24"/>
          <w:szCs w:val="24"/>
        </w:rPr>
        <w:t>中标单位出现下列情况之一的，一经查实，将被取消中标资格</w:t>
      </w:r>
      <w:r>
        <w:rPr>
          <w:rFonts w:hint="eastAsia" w:cs="宋体"/>
          <w:sz w:val="24"/>
          <w:szCs w:val="24"/>
          <w:lang w:eastAsia="zh-CN"/>
        </w:rPr>
        <w:t>，并承担相应的法律责任（根据《中华人民共和国政府采购法》第七十七条的相关规定）</w:t>
      </w:r>
      <w:r>
        <w:rPr>
          <w:rFonts w:hint="eastAsia" w:ascii="宋体" w:hAnsi="宋体" w:eastAsia="宋体" w:cs="宋体"/>
          <w:sz w:val="24"/>
          <w:szCs w:val="24"/>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eastAsia="zh-CN"/>
        </w:rPr>
      </w:pPr>
      <w:r>
        <w:rPr>
          <w:rFonts w:hint="eastAsia" w:ascii="宋体" w:hAnsi="宋体" w:eastAsia="宋体" w:cs="宋体"/>
          <w:sz w:val="24"/>
          <w:szCs w:val="24"/>
          <w:lang w:val="en-US"/>
        </w:rPr>
        <w:t xml:space="preserve">29.4.1 </w:t>
      </w:r>
      <w:r>
        <w:rPr>
          <w:rFonts w:hint="eastAsia" w:ascii="宋体" w:hAnsi="宋体" w:eastAsia="宋体" w:cs="宋体"/>
          <w:sz w:val="24"/>
          <w:szCs w:val="24"/>
        </w:rPr>
        <w:t>提供虚假材料谋取中标</w:t>
      </w:r>
      <w:r>
        <w:rPr>
          <w:rFonts w:hint="eastAsia" w:cs="宋体"/>
          <w:sz w:val="24"/>
          <w:szCs w:val="24"/>
          <w:lang w:eastAsia="zh-CN"/>
        </w:rPr>
        <w:t>、</w:t>
      </w:r>
      <w:r>
        <w:rPr>
          <w:rFonts w:hint="eastAsia" w:ascii="宋体" w:hAnsi="宋体" w:eastAsia="宋体" w:cs="宋体"/>
          <w:sz w:val="24"/>
          <w:szCs w:val="24"/>
        </w:rPr>
        <w:t>成交的</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eastAsia="zh-CN"/>
        </w:rPr>
      </w:pPr>
      <w:r>
        <w:rPr>
          <w:rFonts w:hint="eastAsia" w:ascii="宋体" w:hAnsi="宋体" w:eastAsia="宋体" w:cs="宋体"/>
          <w:sz w:val="24"/>
          <w:szCs w:val="24"/>
          <w:lang w:val="en-US"/>
        </w:rPr>
        <w:t xml:space="preserve">29.4.2 </w:t>
      </w:r>
      <w:r>
        <w:rPr>
          <w:rFonts w:hint="eastAsia" w:ascii="宋体" w:hAnsi="宋体" w:eastAsia="宋体" w:cs="宋体"/>
          <w:sz w:val="24"/>
          <w:szCs w:val="24"/>
        </w:rPr>
        <w:t>采取不正当手段诋毁、排挤其他供应商的</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eastAsia="zh-CN"/>
        </w:rPr>
      </w:pPr>
      <w:r>
        <w:rPr>
          <w:rFonts w:hint="eastAsia" w:ascii="宋体" w:hAnsi="宋体" w:eastAsia="宋体" w:cs="宋体"/>
          <w:sz w:val="24"/>
          <w:szCs w:val="24"/>
          <w:lang w:val="en-US"/>
        </w:rPr>
        <w:t xml:space="preserve">29.4.3 </w:t>
      </w:r>
      <w:r>
        <w:rPr>
          <w:rFonts w:hint="eastAsia" w:ascii="宋体" w:hAnsi="宋体" w:eastAsia="宋体" w:cs="宋体"/>
          <w:sz w:val="24"/>
          <w:szCs w:val="24"/>
        </w:rPr>
        <w:t>与采购人</w:t>
      </w:r>
      <w:r>
        <w:rPr>
          <w:rFonts w:hint="eastAsia" w:cs="宋体"/>
          <w:sz w:val="24"/>
          <w:szCs w:val="24"/>
          <w:lang w:eastAsia="zh-CN"/>
        </w:rPr>
        <w:t>、</w:t>
      </w:r>
      <w:r>
        <w:rPr>
          <w:rFonts w:hint="eastAsia" w:ascii="宋体" w:hAnsi="宋体" w:eastAsia="宋体" w:cs="宋体"/>
          <w:sz w:val="24"/>
          <w:szCs w:val="24"/>
        </w:rPr>
        <w:t>其他供应商恶意串通的</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rPr>
        <w:t xml:space="preserve">29.4.4 </w:t>
      </w:r>
      <w:r>
        <w:rPr>
          <w:rFonts w:hint="eastAsia" w:ascii="宋体" w:hAnsi="宋体" w:eastAsia="宋体" w:cs="宋体"/>
          <w:sz w:val="24"/>
          <w:szCs w:val="24"/>
        </w:rPr>
        <w:t>向采购人</w:t>
      </w:r>
      <w:r>
        <w:rPr>
          <w:rFonts w:hint="eastAsia" w:ascii="宋体" w:hAnsi="宋体" w:eastAsia="宋体" w:cs="宋体"/>
          <w:sz w:val="24"/>
          <w:szCs w:val="24"/>
          <w:lang w:eastAsia="zh-CN"/>
        </w:rPr>
        <w:t>、</w:t>
      </w:r>
      <w:r>
        <w:rPr>
          <w:rFonts w:hint="eastAsia" w:ascii="宋体" w:hAnsi="宋体" w:eastAsia="宋体" w:cs="宋体"/>
          <w:sz w:val="24"/>
          <w:szCs w:val="24"/>
        </w:rPr>
        <w:t>采购代理机构行贿或者提供其他不正当利益的</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rPr>
        <w:t>29.4.5</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恶意竞争，投标总报价明显低于其自身合理成本且又无法提供证明的</w:t>
      </w:r>
      <w:r>
        <w:rPr>
          <w:rFonts w:hint="eastAsia" w:cs="宋体"/>
          <w:b/>
          <w:bCs/>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29.4.6 </w:t>
      </w:r>
      <w:r>
        <w:rPr>
          <w:rFonts w:hint="eastAsia" w:ascii="宋体" w:hAnsi="宋体" w:eastAsia="宋体" w:cs="宋体"/>
          <w:sz w:val="24"/>
          <w:szCs w:val="24"/>
        </w:rPr>
        <w:t>向评标委员会成员行贿或者提供其他不正当利益；</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29.4.7 </w:t>
      </w:r>
      <w:r>
        <w:rPr>
          <w:rFonts w:hint="eastAsia" w:ascii="宋体" w:hAnsi="宋体" w:eastAsia="宋体" w:cs="宋体"/>
          <w:sz w:val="24"/>
          <w:szCs w:val="24"/>
        </w:rPr>
        <w:t>中标或者成交后无正当理由拒不与采购人签订政府采购合同；</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29.4.8 </w:t>
      </w:r>
      <w:r>
        <w:rPr>
          <w:rFonts w:hint="eastAsia" w:ascii="宋体" w:hAnsi="宋体" w:eastAsia="宋体" w:cs="宋体"/>
          <w:sz w:val="24"/>
          <w:szCs w:val="24"/>
        </w:rPr>
        <w:t>未按照采购文件确定的事项签订政府采购合同；</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29.4.9 </w:t>
      </w:r>
      <w:r>
        <w:rPr>
          <w:rFonts w:hint="eastAsia" w:ascii="宋体" w:hAnsi="宋体" w:eastAsia="宋体" w:cs="宋体"/>
          <w:sz w:val="24"/>
          <w:szCs w:val="24"/>
        </w:rPr>
        <w:t>将政府采购合同转包；</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29.4.10 </w:t>
      </w:r>
      <w:r>
        <w:rPr>
          <w:rFonts w:hint="eastAsia" w:ascii="宋体" w:hAnsi="宋体" w:eastAsia="宋体" w:cs="宋体"/>
          <w:sz w:val="24"/>
          <w:szCs w:val="24"/>
        </w:rPr>
        <w:t>提供假冒伪劣产品；</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cs="宋体"/>
          <w:sz w:val="24"/>
          <w:szCs w:val="24"/>
          <w:lang w:eastAsia="zh-CN"/>
        </w:rPr>
      </w:pPr>
      <w:r>
        <w:rPr>
          <w:rFonts w:hint="eastAsia" w:ascii="宋体" w:hAnsi="宋体" w:eastAsia="宋体" w:cs="宋体"/>
          <w:sz w:val="24"/>
          <w:szCs w:val="24"/>
          <w:lang w:val="en-US" w:eastAsia="zh-CN"/>
        </w:rPr>
        <w:t xml:space="preserve">29.4.11 </w:t>
      </w:r>
      <w:r>
        <w:rPr>
          <w:rFonts w:hint="eastAsia" w:ascii="宋体" w:hAnsi="宋体" w:eastAsia="宋体" w:cs="宋体"/>
          <w:sz w:val="24"/>
          <w:szCs w:val="24"/>
        </w:rPr>
        <w:t>擅自变更、中止或者终止政府采购合同</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cs="宋体"/>
          <w:sz w:val="24"/>
          <w:szCs w:val="24"/>
          <w:lang w:val="en-US" w:eastAsia="zh-CN"/>
        </w:rPr>
        <w:t xml:space="preserve">29.4.12 </w:t>
      </w:r>
      <w:r>
        <w:rPr>
          <w:rFonts w:hint="eastAsia" w:ascii="宋体" w:hAnsi="宋体" w:eastAsia="宋体" w:cs="宋体"/>
          <w:sz w:val="24"/>
          <w:szCs w:val="24"/>
        </w:rPr>
        <w:t>供应商之间协商报价、技术方案等投标文件或者响应文件的实质性内容；</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29.4.13 </w:t>
      </w:r>
      <w:r>
        <w:rPr>
          <w:rFonts w:hint="eastAsia" w:ascii="宋体" w:hAnsi="宋体" w:eastAsia="宋体" w:cs="宋体"/>
          <w:sz w:val="24"/>
          <w:szCs w:val="24"/>
        </w:rPr>
        <w:t>属于同一集团、协会、商会等组织成员的供应商按照该组织要求协同参加政府采购活动；</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29.4.14 </w:t>
      </w:r>
      <w:r>
        <w:rPr>
          <w:rFonts w:hint="eastAsia" w:ascii="宋体" w:hAnsi="宋体" w:eastAsia="宋体" w:cs="宋体"/>
          <w:sz w:val="24"/>
          <w:szCs w:val="24"/>
        </w:rPr>
        <w:t>供应商之间事先约定由某一特定供应商中标、成交；</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29.4.15 </w:t>
      </w:r>
      <w:r>
        <w:rPr>
          <w:rFonts w:hint="eastAsia" w:ascii="宋体" w:hAnsi="宋体" w:eastAsia="宋体" w:cs="宋体"/>
          <w:sz w:val="24"/>
          <w:szCs w:val="24"/>
        </w:rPr>
        <w:t>供应商之间商定部分供应商放弃参加政府采购活动或者放弃中标、成交；</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29.4.16 </w:t>
      </w:r>
      <w:r>
        <w:rPr>
          <w:rFonts w:hint="eastAsia" w:ascii="宋体" w:hAnsi="宋体" w:eastAsia="宋体" w:cs="宋体"/>
          <w:sz w:val="24"/>
          <w:szCs w:val="24"/>
        </w:rPr>
        <w:t>供应商与采购人或者采购代理机构之间、供应商相互之间，为谋求特定供应商中标、成交或者排斥其他供应商的其他串通行为。</w:t>
      </w:r>
    </w:p>
    <w:p>
      <w:pPr>
        <w:pStyle w:val="45"/>
        <w:keepNext w:val="0"/>
        <w:keepLines w:val="0"/>
        <w:pageBreakBefore w:val="0"/>
        <w:tabs>
          <w:tab w:val="left" w:pos="1906"/>
        </w:tabs>
        <w:overflowPunct/>
        <w:topLinePunct w:val="0"/>
        <w:bidi w:val="0"/>
        <w:spacing w:after="0" w:afterLines="50" w:line="400" w:lineRule="exact"/>
        <w:ind w:left="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29.5 根据《中华人民共和国政府采购法实施条例》</w:t>
      </w:r>
      <w:r>
        <w:rPr>
          <w:rFonts w:hint="eastAsia" w:ascii="宋体" w:hAnsi="宋体" w:eastAsia="宋体" w:cs="宋体"/>
          <w:sz w:val="24"/>
          <w:szCs w:val="24"/>
        </w:rPr>
        <w:t>第七十三条</w:t>
      </w:r>
      <w:r>
        <w:rPr>
          <w:rFonts w:hint="eastAsia" w:cs="宋体"/>
          <w:sz w:val="24"/>
          <w:szCs w:val="24"/>
          <w:lang w:eastAsia="zh-CN"/>
        </w:rPr>
        <w:t>的规定：</w:t>
      </w:r>
      <w:r>
        <w:rPr>
          <w:rFonts w:hint="eastAsia" w:ascii="宋体" w:hAnsi="宋体" w:eastAsia="宋体" w:cs="宋体"/>
          <w:sz w:val="24"/>
          <w:szCs w:val="24"/>
        </w:rPr>
        <w:t>供应商捏造事实、提供虚假材料或者以非法手段取得证明材料进行投诉的，由财政部门列入不良行为记录名单，禁止其1至3年内参加政府采购活动。</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bookmarkStart w:id="73" w:name="30、质疑处理"/>
      <w:bookmarkEnd w:id="73"/>
      <w:r>
        <w:rPr>
          <w:rFonts w:hint="eastAsia" w:ascii="宋体" w:hAnsi="宋体" w:eastAsia="宋体" w:cs="宋体"/>
          <w:b/>
          <w:bCs/>
          <w:sz w:val="28"/>
          <w:szCs w:val="28"/>
          <w:lang w:val="en-US" w:eastAsia="zh-CN"/>
        </w:rPr>
        <w:t>30、质疑提出与答复</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bookmarkStart w:id="74" w:name="31、中标通知书"/>
      <w:bookmarkEnd w:id="74"/>
      <w:r>
        <w:rPr>
          <w:rFonts w:hint="eastAsia" w:ascii="宋体" w:hAnsi="宋体" w:eastAsia="宋体" w:cs="宋体"/>
          <w:color w:val="0D0D0D"/>
          <w:sz w:val="24"/>
          <w:szCs w:val="24"/>
          <w:lang w:val="en-US"/>
        </w:rPr>
        <w:t>30.1</w:t>
      </w:r>
      <w:r>
        <w:rPr>
          <w:rFonts w:hint="eastAsia" w:ascii="宋体" w:hAnsi="宋体" w:eastAsia="宋体" w:cs="宋体"/>
          <w:color w:val="0D0D0D"/>
          <w:sz w:val="24"/>
          <w:szCs w:val="24"/>
          <w:lang w:val="en-US" w:eastAsia="zh-CN"/>
        </w:rPr>
        <w:t xml:space="preserve"> </w:t>
      </w:r>
      <w:r>
        <w:rPr>
          <w:rFonts w:hint="eastAsia" w:ascii="宋体" w:hAnsi="宋体" w:eastAsia="宋体" w:cs="宋体"/>
          <w:sz w:val="24"/>
          <w:szCs w:val="24"/>
          <w:lang w:val="en-US"/>
        </w:rPr>
        <w:t xml:space="preserve">供应商认为招标文件、采购过程、中标或者成交结果使自己的权益受到损害的，可以在知道或者应知其权益受到损害之日起7个工作日内，以书面形式向采购人、采购代理机构提出质疑。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招标文件可以要求供应商在法定质疑期内一次性提出针对同一采购程序环节的质疑。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30.2 提出质疑的供应商（以下简称质疑供应商）应当是参与所质疑项目采购活动的供应商。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30.3 潜在供应商已依法获取其可质疑的招标文件的，可以对该文件提出质疑。对招标文件提出质疑的，应当在获取招标文件或者招标文件公告期限届满之日起7个工作日内提出。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b/>
          <w:bCs/>
          <w:sz w:val="24"/>
          <w:szCs w:val="24"/>
        </w:rPr>
      </w:pPr>
      <w:r>
        <w:rPr>
          <w:rFonts w:hint="eastAsia" w:ascii="宋体" w:hAnsi="宋体" w:eastAsia="宋体" w:cs="宋体"/>
          <w:sz w:val="24"/>
          <w:szCs w:val="24"/>
          <w:lang w:val="en-US"/>
        </w:rPr>
        <w:t>30.4</w:t>
      </w:r>
      <w:r>
        <w:rPr>
          <w:rFonts w:hint="eastAsia" w:ascii="宋体" w:hAnsi="宋体" w:eastAsia="宋体" w:cs="宋体"/>
          <w:b/>
          <w:bCs/>
          <w:sz w:val="24"/>
          <w:szCs w:val="24"/>
          <w:lang w:val="en-US"/>
        </w:rPr>
        <w:t xml:space="preserve"> 供应商提出质疑应当提交质疑函和必要的证明材料。质疑函格式详见招标文件附件3。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30.5 采购人、采购代理机构收到质疑供应商在法定质疑期内发出的质疑函，应当在收到质疑函后7个工作日内作出答复，并以书面形式通知质疑供应商和其他有关供应商。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30.6供应商对评审过程、中标或者成交结果提出质疑的，采购人、采购代理机构可以组织原评标委员会、竞争性谈判小组、询价小组或者竞争性磋商小组协助答复质疑。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30.7采购人、采购代理机构认为供应商质疑不成立，或者成立但未对中标、成交结果构成影响的，继续开展采购活动；认为供应商质疑成立且影响或者可能影响中标、成交结果的，按照下列情况处理：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（一）对招标文件提出的质疑，依法通过澄清或者修改可以继续开展采购活动的，澄清或者修改招标文件后继续开展采购活动； 否则应当修改招标文件后重新开展采购活动。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二）对采购过程、中标或者成交结果提出的质疑，合格供应商符合法定数量时，可以从合格的中标或者成交候选人中另行确定中标、成交供应商的，应当依法另行确定中标、成交供应商；否则应当重新开展采购活动。质疑答复导致中标、成交结果改变的，采购人或者采购代理机构应当将有关情况书面报告本级财政部门。</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31、中标通知书</w:t>
      </w:r>
    </w:p>
    <w:p>
      <w:pPr>
        <w:pStyle w:val="11"/>
        <w:keepNext w:val="0"/>
        <w:keepLines w:val="0"/>
        <w:pageBreakBefore w:val="0"/>
        <w:overflowPunct/>
        <w:topLinePunct w:val="0"/>
        <w:bidi w:val="0"/>
        <w:spacing w:after="0" w:afterLines="50"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31.l </w:t>
      </w:r>
      <w:r>
        <w:rPr>
          <w:rFonts w:hint="eastAsia" w:ascii="宋体" w:hAnsi="宋体" w:eastAsia="宋体" w:cs="宋体"/>
          <w:sz w:val="24"/>
          <w:szCs w:val="24"/>
          <w:lang w:eastAsia="zh-CN"/>
        </w:rPr>
        <w:t>在公告中标结果的同时</w:t>
      </w:r>
      <w:r>
        <w:rPr>
          <w:rFonts w:hint="eastAsia" w:ascii="宋体" w:hAnsi="宋体" w:eastAsia="宋体" w:cs="宋体"/>
          <w:sz w:val="24"/>
          <w:szCs w:val="24"/>
        </w:rPr>
        <w:t>，采购人向中标</w:t>
      </w:r>
      <w:r>
        <w:rPr>
          <w:rFonts w:hint="eastAsia" w:ascii="宋体" w:hAnsi="宋体" w:eastAsia="宋体" w:cs="宋体"/>
          <w:sz w:val="24"/>
          <w:szCs w:val="24"/>
          <w:lang w:eastAsia="zh-CN"/>
        </w:rPr>
        <w:t>人</w:t>
      </w:r>
      <w:r>
        <w:rPr>
          <w:rFonts w:hint="eastAsia" w:ascii="宋体" w:hAnsi="宋体" w:eastAsia="宋体" w:cs="宋体"/>
          <w:sz w:val="24"/>
          <w:szCs w:val="24"/>
        </w:rPr>
        <w:t>发出中标通知书。</w:t>
      </w:r>
    </w:p>
    <w:p>
      <w:pPr>
        <w:pStyle w:val="11"/>
        <w:keepNext w:val="0"/>
        <w:keepLines w:val="0"/>
        <w:pageBreakBefore w:val="0"/>
        <w:overflowPunct/>
        <w:topLinePunct w:val="0"/>
        <w:bidi w:val="0"/>
        <w:spacing w:after="0" w:afterLines="50" w:line="400" w:lineRule="exact"/>
        <w:ind w:firstLine="480" w:firstLineChars="200"/>
        <w:jc w:val="both"/>
        <w:rPr>
          <w:rFonts w:hint="eastAsia"/>
          <w:lang w:eastAsia="zh-CN"/>
        </w:rPr>
      </w:pPr>
      <w:r>
        <w:rPr>
          <w:rFonts w:hint="eastAsia" w:ascii="宋体" w:hAnsi="宋体" w:eastAsia="宋体" w:cs="宋体"/>
          <w:sz w:val="24"/>
          <w:szCs w:val="24"/>
          <w:lang w:val="en-US" w:eastAsia="zh-CN"/>
        </w:rPr>
        <w:t xml:space="preserve">31.2 </w:t>
      </w:r>
      <w:r>
        <w:rPr>
          <w:rFonts w:hint="eastAsia" w:ascii="宋体" w:hAnsi="宋体" w:eastAsia="宋体" w:cs="宋体"/>
          <w:sz w:val="24"/>
          <w:szCs w:val="24"/>
          <w:lang w:eastAsia="zh-CN"/>
        </w:rPr>
        <w:t>中标通知书将是合同的一个组成部分。对采购人和中标单位均具有法律效力。中标通知书发出后，采购人改变中标结果的，或者中标单位放弃中标项目的， 应当依法承担法律责任。</w:t>
      </w:r>
    </w:p>
    <w:p>
      <w:pPr>
        <w:keepNext w:val="0"/>
        <w:keepLines w:val="0"/>
        <w:pageBreakBefore w:val="0"/>
        <w:overflowPunct/>
        <w:topLinePunct w:val="0"/>
        <w:bidi w:val="0"/>
        <w:spacing w:after="0" w:afterLines="50" w:line="400" w:lineRule="exact"/>
        <w:ind w:right="385"/>
        <w:jc w:val="center"/>
        <w:rPr>
          <w:rFonts w:hint="eastAsia" w:ascii="宋体" w:hAnsi="宋体" w:eastAsia="宋体" w:cs="宋体"/>
          <w:b/>
          <w:sz w:val="32"/>
          <w:szCs w:val="32"/>
        </w:rPr>
      </w:pPr>
      <w:bookmarkStart w:id="75" w:name="七、授予合同"/>
      <w:bookmarkEnd w:id="75"/>
      <w:r>
        <w:rPr>
          <w:rFonts w:hint="eastAsia" w:ascii="宋体" w:hAnsi="宋体" w:eastAsia="宋体" w:cs="宋体"/>
          <w:b/>
          <w:sz w:val="32"/>
          <w:szCs w:val="32"/>
        </w:rPr>
        <w:t>七、授予合同</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bookmarkStart w:id="76" w:name="32._签订合同"/>
      <w:bookmarkEnd w:id="76"/>
      <w:r>
        <w:rPr>
          <w:rFonts w:hint="eastAsia" w:ascii="宋体" w:hAnsi="宋体" w:eastAsia="宋体" w:cs="宋体"/>
          <w:b/>
          <w:bCs/>
          <w:sz w:val="28"/>
          <w:szCs w:val="28"/>
          <w:lang w:val="en-US" w:eastAsia="zh-CN"/>
        </w:rPr>
        <w:t>32、签订合同</w:t>
      </w:r>
    </w:p>
    <w:p>
      <w:pPr>
        <w:pStyle w:val="45"/>
        <w:keepNext w:val="0"/>
        <w:keepLines w:val="0"/>
        <w:pageBreakBefore w:val="0"/>
        <w:numPr>
          <w:ilvl w:val="0"/>
          <w:numId w:val="0"/>
        </w:numPr>
        <w:tabs>
          <w:tab w:val="left" w:pos="1906"/>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32.l 根据中华人民共和国财政部令第87号--《政府采购货物和服务招标投标管理办法》第七十一条的规定： </w:t>
      </w:r>
    </w:p>
    <w:p>
      <w:pPr>
        <w:pStyle w:val="45"/>
        <w:keepNext w:val="0"/>
        <w:keepLines w:val="0"/>
        <w:pageBreakBefore w:val="0"/>
        <w:numPr>
          <w:ilvl w:val="0"/>
          <w:numId w:val="0"/>
        </w:numPr>
        <w:tabs>
          <w:tab w:val="left" w:pos="1906"/>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采购人应当自中标通知书发出之日起30日内，按照招标文件和中标人投标文件的规定，与中标人签订书面合同。所签订的合同不得对招标文件确定的事项和中标人投标文件作实质性修改。</w:t>
      </w:r>
    </w:p>
    <w:p>
      <w:pPr>
        <w:pStyle w:val="45"/>
        <w:keepNext w:val="0"/>
        <w:keepLines w:val="0"/>
        <w:pageBreakBefore w:val="0"/>
        <w:numPr>
          <w:ilvl w:val="0"/>
          <w:numId w:val="0"/>
        </w:numPr>
        <w:tabs>
          <w:tab w:val="left" w:pos="1906"/>
        </w:tabs>
        <w:kinsoku/>
        <w:wordWrap/>
        <w:overflowPunct/>
        <w:topLinePunct w:val="0"/>
        <w:bidi w:val="0"/>
        <w:snapToGrid/>
        <w:spacing w:after="0" w:afterLines="50" w:line="400" w:lineRule="exact"/>
        <w:ind w:left="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采购人不得向中标人提出任何不合理的要求作为签订合同的条件。</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32.2  根据《中华人民共和国政府采购法实施条例》 第四十九条的规定： </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中标供应商拒绝与采购人签订合同的，采购人可以按照评审报告推荐的中标候选人名单排序，确定下一候选人为中标成交供应商，也可以重新开展政府采购活动。 </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32.3 根据《中华人民共和国政府采购法》 第四十九条的规定： </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政府采购合同履行中，采购人需追加与合同标的相同的货物、工程或者服务的，在不改变合同其他条款的前提下，可以与供应商协商签订补充合同，但所有补充合同的采购金额不得超过原合同采购金额的百分之十。 </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32.4 根据《中华人民共和国政府采购法》 第五十条的规定： </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政府采购合同的双方当事人不得擅自变更、中止或者终止合同。 </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政府采购合同继续履行将损害国家利益和社会公共利益的，双方当事人应当变更、中止或者终止合同。有过错的一方应当承担赔偿责任，双方都有过错的，各自承担相应的责任。 </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32.5 招标文件、中标人的投标文件及评标过程中有关澄清、承诺文件均应作为合同附件。 </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32.6 签订合同后，中标人不得将项目进行转包。未经采购人同意，中标人也不得采用分包的形式履行合同，否则采购人有权终止合同，转包或分包造成采购人损失的，成交供应商应承担相应赔偿责任。</w:t>
      </w:r>
    </w:p>
    <w:p>
      <w:pPr>
        <w:pStyle w:val="2"/>
        <w:rPr>
          <w:rFonts w:hint="eastAsia"/>
          <w:lang w:val="en-US" w:eastAsia="zh-CN"/>
        </w:rPr>
      </w:pPr>
    </w:p>
    <w:p>
      <w:pPr>
        <w:pStyle w:val="20"/>
        <w:rPr>
          <w:rFonts w:hint="eastAsia"/>
          <w:lang w:val="zh-CN" w:eastAsia="zh-CN"/>
        </w:rPr>
      </w:pPr>
    </w:p>
    <w:p>
      <w:pPr>
        <w:keepNext w:val="0"/>
        <w:keepLines w:val="0"/>
        <w:pageBreakBefore w:val="0"/>
        <w:overflowPunct/>
        <w:topLinePunct w:val="0"/>
        <w:bidi w:val="0"/>
        <w:spacing w:after="0" w:afterLines="50" w:line="400" w:lineRule="exact"/>
        <w:ind w:right="385"/>
        <w:jc w:val="center"/>
        <w:rPr>
          <w:rFonts w:hint="eastAsia" w:ascii="宋体" w:hAnsi="宋体" w:eastAsia="宋体" w:cs="宋体"/>
          <w:b/>
          <w:sz w:val="32"/>
          <w:szCs w:val="32"/>
        </w:rPr>
      </w:pPr>
      <w:bookmarkStart w:id="77" w:name="八、其他"/>
      <w:bookmarkEnd w:id="77"/>
      <w:r>
        <w:rPr>
          <w:rFonts w:hint="eastAsia" w:ascii="宋体" w:hAnsi="宋体" w:eastAsia="宋体" w:cs="宋体"/>
          <w:b/>
          <w:sz w:val="32"/>
          <w:szCs w:val="32"/>
          <w:lang w:eastAsia="zh-CN"/>
        </w:rPr>
        <w:t>八、</w:t>
      </w:r>
      <w:r>
        <w:rPr>
          <w:rFonts w:hint="eastAsia" w:ascii="宋体" w:hAnsi="宋体" w:eastAsia="宋体" w:cs="宋体"/>
          <w:b/>
          <w:sz w:val="32"/>
          <w:szCs w:val="32"/>
        </w:rPr>
        <w:t>其他</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33、其他费用</w:t>
      </w:r>
    </w:p>
    <w:p>
      <w:pPr>
        <w:keepNext w:val="0"/>
        <w:keepLines w:val="0"/>
        <w:pageBreakBefore w:val="0"/>
        <w:widowControl/>
        <w:suppressLineNumbers w:val="0"/>
        <w:kinsoku/>
        <w:wordWrap/>
        <w:overflowPunct/>
        <w:topLinePunct w:val="0"/>
        <w:bidi w:val="0"/>
        <w:snapToGrid/>
        <w:spacing w:after="0" w:afterLines="50" w:line="400" w:lineRule="exact"/>
        <w:ind w:left="0" w:right="0" w:firstLine="448" w:firstLineChars="200"/>
        <w:jc w:val="left"/>
        <w:textAlignment w:val="auto"/>
        <w:rPr>
          <w:rFonts w:hint="eastAsia" w:cs="宋体"/>
          <w:spacing w:val="-8"/>
          <w:sz w:val="24"/>
          <w:szCs w:val="24"/>
          <w:lang w:val="en-US" w:eastAsia="zh-CN" w:bidi="zh-CN"/>
        </w:rPr>
      </w:pPr>
      <w:r>
        <w:rPr>
          <w:rFonts w:hint="eastAsia" w:ascii="宋体" w:hAnsi="宋体" w:eastAsia="宋体" w:cs="宋体"/>
          <w:spacing w:val="-8"/>
          <w:sz w:val="24"/>
          <w:szCs w:val="24"/>
          <w:lang w:val="en-US" w:eastAsia="zh-CN" w:bidi="zh-CN"/>
        </w:rPr>
        <w:t xml:space="preserve">33.1 </w:t>
      </w:r>
      <w:r>
        <w:rPr>
          <w:rFonts w:hint="eastAsia" w:cs="宋体"/>
          <w:spacing w:val="-8"/>
          <w:sz w:val="24"/>
          <w:szCs w:val="24"/>
          <w:lang w:val="en-US" w:eastAsia="zh-CN" w:bidi="zh-CN"/>
        </w:rPr>
        <w:t>详见投标人须知前附表。</w:t>
      </w: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20"/>
        <w:rPr>
          <w:rFonts w:hint="eastAsia" w:cs="宋体"/>
          <w:spacing w:val="-8"/>
          <w:sz w:val="24"/>
          <w:szCs w:val="24"/>
          <w:lang w:val="en-US" w:eastAsia="zh-CN" w:bidi="zh-CN"/>
        </w:rPr>
      </w:pPr>
    </w:p>
    <w:p>
      <w:pPr>
        <w:pStyle w:val="3"/>
        <w:tabs>
          <w:tab w:val="left" w:pos="1442"/>
        </w:tabs>
        <w:spacing w:before="358"/>
        <w:rPr>
          <w:rFonts w:hint="eastAsia" w:ascii="宋体" w:hAnsi="宋体" w:eastAsia="宋体" w:cs="宋体"/>
          <w:sz w:val="40"/>
          <w:szCs w:val="40"/>
          <w:lang w:val="en-US"/>
        </w:rPr>
      </w:pPr>
      <w:bookmarkStart w:id="78" w:name="35、样品"/>
      <w:bookmarkEnd w:id="78"/>
      <w:bookmarkStart w:id="79" w:name="_bookmark1"/>
      <w:bookmarkEnd w:id="79"/>
      <w:bookmarkStart w:id="80" w:name="_Toc5227"/>
      <w:r>
        <w:rPr>
          <w:rFonts w:hint="eastAsia" w:ascii="宋体" w:hAnsi="宋体" w:eastAsia="宋体" w:cs="宋体"/>
          <w:sz w:val="40"/>
          <w:szCs w:val="40"/>
        </w:rPr>
        <w:t>第</w:t>
      </w:r>
      <w:r>
        <w:rPr>
          <w:rFonts w:hint="eastAsia" w:ascii="宋体" w:hAnsi="宋体" w:eastAsia="宋体" w:cs="宋体"/>
          <w:sz w:val="40"/>
          <w:szCs w:val="40"/>
          <w:lang w:eastAsia="zh-CN"/>
        </w:rPr>
        <w:t>三</w:t>
      </w:r>
      <w:r>
        <w:rPr>
          <w:rFonts w:hint="eastAsia" w:ascii="宋体" w:hAnsi="宋体" w:eastAsia="宋体" w:cs="宋体"/>
          <w:sz w:val="40"/>
          <w:szCs w:val="40"/>
        </w:rPr>
        <w:t>章</w:t>
      </w:r>
      <w:r>
        <w:rPr>
          <w:rFonts w:hint="eastAsia" w:ascii="宋体" w:hAnsi="宋体" w:eastAsia="宋体" w:cs="宋体"/>
          <w:sz w:val="40"/>
          <w:szCs w:val="40"/>
          <w:lang w:val="en-US" w:eastAsia="zh-CN"/>
        </w:rPr>
        <w:t xml:space="preserve">  </w:t>
      </w:r>
      <w:r>
        <w:rPr>
          <w:rFonts w:hint="eastAsia" w:ascii="宋体" w:hAnsi="宋体" w:eastAsia="宋体" w:cs="宋体"/>
          <w:sz w:val="40"/>
          <w:szCs w:val="40"/>
        </w:rPr>
        <w:t>合同文本</w:t>
      </w:r>
      <w:bookmarkEnd w:id="80"/>
    </w:p>
    <w:p>
      <w:pPr>
        <w:spacing w:line="360" w:lineRule="auto"/>
        <w:jc w:val="center"/>
        <w:rPr>
          <w:rFonts w:hint="eastAsia" w:ascii="宋体" w:hAnsi="宋体" w:eastAsia="宋体" w:cs="宋体"/>
          <w:bCs/>
          <w:color w:val="000000"/>
          <w:sz w:val="40"/>
          <w:szCs w:val="40"/>
        </w:rPr>
      </w:pPr>
      <w:r>
        <w:rPr>
          <w:rFonts w:hint="eastAsia" w:ascii="宋体" w:hAnsi="宋体" w:eastAsia="宋体" w:cs="宋体"/>
          <w:bCs/>
          <w:color w:val="000000"/>
          <w:sz w:val="40"/>
          <w:szCs w:val="40"/>
        </w:rPr>
        <w:t>政府采购合同参考范本</w:t>
      </w:r>
    </w:p>
    <w:p>
      <w:pPr>
        <w:spacing w:line="360" w:lineRule="auto"/>
        <w:jc w:val="center"/>
        <w:rPr>
          <w:rFonts w:hint="eastAsia" w:ascii="宋体" w:hAnsi="宋体" w:eastAsia="宋体" w:cs="宋体"/>
          <w:b/>
          <w:color w:val="000000"/>
          <w:sz w:val="44"/>
          <w:szCs w:val="44"/>
        </w:rPr>
      </w:pPr>
      <w:r>
        <w:rPr>
          <w:rFonts w:hint="eastAsia" w:ascii="宋体" w:hAnsi="宋体" w:eastAsia="宋体" w:cs="宋体"/>
        </w:rPr>
        <w:t>本合同为参考，最终以甲乙双方协商签订的为准</w:t>
      </w:r>
    </w:p>
    <w:p>
      <w:pPr>
        <w:kinsoku w:val="0"/>
        <w:overflowPunct w:val="0"/>
        <w:spacing w:line="480" w:lineRule="auto"/>
        <w:jc w:val="center"/>
        <w:rPr>
          <w:rFonts w:hint="eastAsia" w:ascii="宋体" w:hAnsi="宋体" w:eastAsia="宋体" w:cs="宋体"/>
          <w:color w:val="000000"/>
          <w:szCs w:val="24"/>
        </w:rPr>
      </w:pPr>
      <w:r>
        <w:rPr>
          <w:rFonts w:hint="eastAsia" w:ascii="宋体" w:hAnsi="宋体" w:eastAsia="宋体" w:cs="宋体"/>
          <w:b/>
          <w:color w:val="000000"/>
          <w:sz w:val="24"/>
        </w:rPr>
        <w:t>（货物类）</w:t>
      </w:r>
    </w:p>
    <w:p>
      <w:pPr>
        <w:pStyle w:val="56"/>
        <w:kinsoku w:val="0"/>
        <w:overflowPunct w:val="0"/>
        <w:ind w:firstLine="0"/>
        <w:jc w:val="center"/>
        <w:rPr>
          <w:rFonts w:hint="eastAsia" w:ascii="宋体" w:hAnsi="宋体" w:eastAsia="宋体" w:cs="宋体"/>
          <w:b/>
          <w:color w:val="000000"/>
          <w:szCs w:val="24"/>
        </w:rPr>
      </w:pPr>
      <w:r>
        <w:rPr>
          <w:rFonts w:hint="eastAsia" w:ascii="宋体" w:hAnsi="宋体" w:eastAsia="宋体" w:cs="宋体"/>
          <w:b/>
          <w:color w:val="000000"/>
          <w:szCs w:val="24"/>
        </w:rPr>
        <w:t>第一部分 合同书</w:t>
      </w:r>
    </w:p>
    <w:p>
      <w:pPr>
        <w:kinsoku w:val="0"/>
        <w:overflowPunct w:val="0"/>
        <w:spacing w:before="120" w:line="22" w:lineRule="atLeast"/>
        <w:rPr>
          <w:rFonts w:hint="eastAsia" w:ascii="宋体" w:hAnsi="宋体" w:eastAsia="宋体" w:cs="宋体"/>
          <w:color w:val="000000"/>
          <w:sz w:val="24"/>
        </w:rPr>
      </w:pPr>
    </w:p>
    <w:p>
      <w:pPr>
        <w:kinsoku w:val="0"/>
        <w:overflowPunct w:val="0"/>
        <w:spacing w:before="120" w:line="22" w:lineRule="atLeast"/>
        <w:ind w:left="960"/>
        <w:rPr>
          <w:rFonts w:hint="eastAsia" w:ascii="宋体" w:hAnsi="宋体" w:eastAsia="宋体" w:cs="宋体"/>
          <w:color w:val="000000"/>
          <w:sz w:val="24"/>
        </w:rPr>
      </w:pPr>
      <w:r>
        <w:rPr>
          <w:rFonts w:hint="eastAsia" w:ascii="宋体" w:hAnsi="宋体" w:eastAsia="宋体" w:cs="宋体"/>
          <w:color w:val="000000"/>
          <w:sz w:val="24"/>
        </w:rPr>
        <w:t>项目名称：</w:t>
      </w:r>
    </w:p>
    <w:p>
      <w:pPr>
        <w:kinsoku w:val="0"/>
        <w:overflowPunct w:val="0"/>
        <w:rPr>
          <w:rFonts w:hint="eastAsia" w:ascii="宋体" w:hAnsi="宋体" w:eastAsia="宋体" w:cs="宋体"/>
          <w:color w:val="000000"/>
          <w:sz w:val="24"/>
        </w:rPr>
      </w:pPr>
    </w:p>
    <w:p>
      <w:pPr>
        <w:kinsoku w:val="0"/>
        <w:overflowPunct w:val="0"/>
        <w:spacing w:before="120" w:line="22" w:lineRule="atLeast"/>
        <w:ind w:left="960"/>
        <w:rPr>
          <w:rFonts w:hint="eastAsia" w:ascii="宋体" w:hAnsi="宋体" w:eastAsia="宋体" w:cs="宋体"/>
          <w:color w:val="000000"/>
          <w:sz w:val="24"/>
          <w:u w:val="single"/>
        </w:rPr>
      </w:pPr>
      <w:r>
        <w:rPr>
          <w:rFonts w:hint="eastAsia" w:ascii="宋体" w:hAnsi="宋体" w:eastAsia="宋体" w:cs="宋体"/>
          <w:color w:val="000000"/>
          <w:sz w:val="24"/>
        </w:rPr>
        <w:t>甲方：</w:t>
      </w:r>
    </w:p>
    <w:p>
      <w:pPr>
        <w:kinsoku w:val="0"/>
        <w:overflowPunct w:val="0"/>
        <w:spacing w:before="120" w:line="22" w:lineRule="atLeast"/>
        <w:rPr>
          <w:rFonts w:hint="eastAsia" w:ascii="宋体" w:hAnsi="宋体" w:eastAsia="宋体" w:cs="宋体"/>
          <w:color w:val="000000"/>
          <w:sz w:val="24"/>
        </w:rPr>
      </w:pPr>
    </w:p>
    <w:p>
      <w:pPr>
        <w:kinsoku w:val="0"/>
        <w:overflowPunct w:val="0"/>
        <w:spacing w:before="120" w:line="22" w:lineRule="atLeast"/>
        <w:ind w:left="960"/>
        <w:rPr>
          <w:rFonts w:hint="eastAsia" w:ascii="宋体" w:hAnsi="宋体" w:eastAsia="宋体" w:cs="宋体"/>
          <w:color w:val="000000"/>
          <w:sz w:val="24"/>
          <w:u w:val="single"/>
        </w:rPr>
      </w:pPr>
      <w:r>
        <w:rPr>
          <w:rFonts w:hint="eastAsia" w:ascii="宋体" w:hAnsi="宋体" w:eastAsia="宋体" w:cs="宋体"/>
          <w:color w:val="000000"/>
          <w:sz w:val="24"/>
        </w:rPr>
        <w:t>乙方：</w:t>
      </w:r>
    </w:p>
    <w:p>
      <w:pPr>
        <w:kinsoku w:val="0"/>
        <w:overflowPunct w:val="0"/>
        <w:spacing w:before="120" w:line="22" w:lineRule="atLeast"/>
        <w:rPr>
          <w:rFonts w:hint="eastAsia" w:ascii="宋体" w:hAnsi="宋体" w:eastAsia="宋体" w:cs="宋体"/>
          <w:color w:val="000000"/>
          <w:sz w:val="24"/>
        </w:rPr>
      </w:pPr>
    </w:p>
    <w:p>
      <w:pPr>
        <w:kinsoku w:val="0"/>
        <w:overflowPunct w:val="0"/>
        <w:spacing w:before="120" w:line="22" w:lineRule="atLeast"/>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签订地：</w:t>
      </w:r>
    </w:p>
    <w:p>
      <w:pPr>
        <w:kinsoku w:val="0"/>
        <w:overflowPunct w:val="0"/>
        <w:spacing w:before="120" w:line="22" w:lineRule="atLeast"/>
        <w:rPr>
          <w:rFonts w:hint="eastAsia" w:ascii="宋体" w:hAnsi="宋体" w:eastAsia="宋体" w:cs="宋体"/>
          <w:color w:val="000000"/>
          <w:sz w:val="24"/>
        </w:rPr>
      </w:pPr>
    </w:p>
    <w:p>
      <w:pPr>
        <w:kinsoku w:val="0"/>
        <w:overflowPunct w:val="0"/>
        <w:spacing w:line="560" w:lineRule="exact"/>
        <w:ind w:firstLine="720" w:firstLineChars="300"/>
        <w:rPr>
          <w:rFonts w:hint="eastAsia" w:ascii="宋体" w:hAnsi="宋体" w:eastAsia="宋体" w:cs="宋体"/>
          <w:color w:val="000000"/>
          <w:sz w:val="24"/>
        </w:rPr>
      </w:pPr>
      <w:r>
        <w:rPr>
          <w:rFonts w:hint="eastAsia" w:ascii="宋体" w:hAnsi="宋体" w:eastAsia="宋体" w:cs="宋体"/>
          <w:color w:val="000000"/>
          <w:sz w:val="24"/>
        </w:rPr>
        <w:t>签订日期：年月日，</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rPr>
        <w:t>以</w:t>
      </w:r>
      <w:r>
        <w:rPr>
          <w:rFonts w:hint="eastAsia" w:ascii="宋体" w:hAnsi="宋体" w:eastAsia="宋体" w:cs="宋体"/>
          <w:color w:val="000000"/>
          <w:sz w:val="24"/>
          <w:u w:val="single"/>
        </w:rPr>
        <w:t xml:space="preserve">   （政府采购方式）  </w:t>
      </w:r>
      <w:r>
        <w:rPr>
          <w:rFonts w:hint="eastAsia" w:ascii="宋体" w:hAnsi="宋体" w:eastAsia="宋体" w:cs="宋体"/>
          <w:color w:val="000000"/>
          <w:sz w:val="24"/>
        </w:rPr>
        <w:t>对</w:t>
      </w:r>
      <w:r>
        <w:rPr>
          <w:rFonts w:hint="eastAsia" w:ascii="宋体" w:hAnsi="宋体" w:eastAsia="宋体" w:cs="宋体"/>
          <w:color w:val="000000"/>
          <w:sz w:val="24"/>
          <w:u w:val="single"/>
        </w:rPr>
        <w:t xml:space="preserve">   （项目名称）   </w:t>
      </w:r>
      <w:r>
        <w:rPr>
          <w:rFonts w:hint="eastAsia" w:ascii="宋体" w:hAnsi="宋体" w:eastAsia="宋体" w:cs="宋体"/>
          <w:color w:val="000000"/>
          <w:sz w:val="24"/>
        </w:rPr>
        <w:t>项目进行了采购。经</w:t>
      </w:r>
      <w:r>
        <w:rPr>
          <w:rFonts w:hint="eastAsia" w:ascii="宋体" w:hAnsi="宋体" w:eastAsia="宋体" w:cs="宋体"/>
          <w:color w:val="000000"/>
          <w:sz w:val="24"/>
          <w:u w:val="single"/>
        </w:rPr>
        <w:t xml:space="preserve">   （相关评定主体名称）   </w:t>
      </w:r>
      <w:r>
        <w:rPr>
          <w:rFonts w:hint="eastAsia" w:ascii="宋体" w:hAnsi="宋体" w:eastAsia="宋体" w:cs="宋体"/>
          <w:color w:val="000000"/>
          <w:sz w:val="24"/>
        </w:rPr>
        <w:t>评定，</w:t>
      </w:r>
      <w:r>
        <w:rPr>
          <w:rFonts w:hint="eastAsia" w:ascii="宋体" w:hAnsi="宋体" w:eastAsia="宋体" w:cs="宋体"/>
          <w:color w:val="000000"/>
          <w:sz w:val="24"/>
          <w:u w:val="single"/>
        </w:rPr>
        <w:t xml:space="preserve">   （中标供应商名称）</w:t>
      </w:r>
      <w:r>
        <w:rPr>
          <w:rFonts w:hint="eastAsia" w:ascii="宋体" w:hAnsi="宋体" w:eastAsia="宋体" w:cs="宋体"/>
          <w:color w:val="000000"/>
          <w:sz w:val="24"/>
        </w:rPr>
        <w:t>为该项目中标供应商。现于中标通知书发出之日起三十日内，按照招标文件确定的事项签订本合同。</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根据《中华人民共和国合同法》、《中华人民共和国政府采购法》等相关法律法规之规定，按照平等、自愿、公平和诚实信用的原则，经</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rPr>
        <w:t>(以下简称：甲方)和</w:t>
      </w:r>
      <w:r>
        <w:rPr>
          <w:rFonts w:hint="eastAsia" w:ascii="宋体" w:hAnsi="宋体" w:eastAsia="宋体" w:cs="宋体"/>
          <w:color w:val="000000"/>
          <w:sz w:val="24"/>
          <w:u w:val="single"/>
        </w:rPr>
        <w:t xml:space="preserve">   （中标供应商名称）   </w:t>
      </w:r>
      <w:r>
        <w:rPr>
          <w:rFonts w:hint="eastAsia" w:ascii="宋体" w:hAnsi="宋体" w:eastAsia="宋体" w:cs="宋体"/>
          <w:color w:val="000000"/>
          <w:sz w:val="24"/>
        </w:rPr>
        <w:t>(以下简称：乙方)协商一致，约定以下合同条款，以兹共同遵守、全面履行。</w:t>
      </w:r>
    </w:p>
    <w:p>
      <w:pPr>
        <w:kinsoku w:val="0"/>
        <w:overflowPunct w:val="0"/>
        <w:spacing w:line="560" w:lineRule="exact"/>
        <w:ind w:firstLine="482" w:firstLineChars="200"/>
        <w:rPr>
          <w:rFonts w:hint="eastAsia" w:ascii="宋体" w:hAnsi="宋体" w:eastAsia="宋体" w:cs="宋体"/>
          <w:b/>
          <w:color w:val="000000"/>
          <w:sz w:val="24"/>
        </w:rPr>
      </w:pPr>
      <w:bookmarkStart w:id="81" w:name="_Toc2232"/>
      <w:bookmarkStart w:id="82" w:name="_Toc24059"/>
      <w:bookmarkStart w:id="83" w:name="_Toc3029"/>
      <w:bookmarkStart w:id="84" w:name="_Toc7115"/>
      <w:r>
        <w:rPr>
          <w:rFonts w:hint="eastAsia" w:ascii="宋体" w:hAnsi="宋体" w:eastAsia="宋体" w:cs="宋体"/>
          <w:b/>
          <w:color w:val="000000"/>
          <w:sz w:val="24"/>
        </w:rPr>
        <w:t>1、合同组成部分</w:t>
      </w:r>
      <w:bookmarkEnd w:id="81"/>
      <w:bookmarkEnd w:id="82"/>
      <w:bookmarkEnd w:id="83"/>
      <w:bookmarkEnd w:id="84"/>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下列文件为本合同的组成部分，并构成一个整体，需综合解释、相互补充。如果下列文件内容出现不一致的情形，那么在保证按照招标文件确定的事项的前提下，组成本合同的多个文件的优先适用顺序如下：</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1.1.1 本合同及其补充合同、变更协议；</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1.1.2 中标通知书；</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1.1.3 投标文件（含澄清或者说明文件）；</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1.1.4 招标文件（含澄清或者修改文件）；</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1.1.5 其他相关招标文件。</w:t>
      </w:r>
    </w:p>
    <w:p>
      <w:pPr>
        <w:kinsoku w:val="0"/>
        <w:overflowPunct w:val="0"/>
        <w:spacing w:line="560" w:lineRule="exact"/>
        <w:ind w:firstLine="482" w:firstLineChars="200"/>
        <w:rPr>
          <w:rFonts w:hint="eastAsia" w:ascii="宋体" w:hAnsi="宋体" w:eastAsia="宋体" w:cs="宋体"/>
          <w:b/>
          <w:color w:val="000000"/>
          <w:sz w:val="24"/>
        </w:rPr>
      </w:pPr>
      <w:bookmarkStart w:id="85" w:name="_Toc21295"/>
      <w:bookmarkStart w:id="86" w:name="_Toc6263"/>
      <w:bookmarkStart w:id="87" w:name="_Toc27126"/>
      <w:bookmarkStart w:id="88" w:name="_Toc24300"/>
      <w:r>
        <w:rPr>
          <w:rFonts w:hint="eastAsia" w:ascii="宋体" w:hAnsi="宋体" w:eastAsia="宋体" w:cs="宋体"/>
          <w:b/>
          <w:color w:val="000000"/>
          <w:sz w:val="24"/>
        </w:rPr>
        <w:t>2、 货物</w:t>
      </w:r>
      <w:bookmarkEnd w:id="85"/>
      <w:bookmarkEnd w:id="86"/>
      <w:bookmarkEnd w:id="87"/>
      <w:bookmarkEnd w:id="88"/>
    </w:p>
    <w:p>
      <w:pPr>
        <w:kinsoku w:val="0"/>
        <w:overflowPunct w:val="0"/>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1.2.1 货物名称：；</w:t>
      </w:r>
    </w:p>
    <w:p>
      <w:pPr>
        <w:kinsoku w:val="0"/>
        <w:overflowPunct w:val="0"/>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1.2.2 货物数量：；</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1.2.3 货物质量：。</w:t>
      </w:r>
    </w:p>
    <w:p>
      <w:pPr>
        <w:kinsoku w:val="0"/>
        <w:overflowPunct w:val="0"/>
        <w:spacing w:line="560" w:lineRule="exact"/>
        <w:ind w:firstLine="482" w:firstLineChars="200"/>
        <w:rPr>
          <w:rFonts w:hint="eastAsia" w:ascii="宋体" w:hAnsi="宋体" w:eastAsia="宋体" w:cs="宋体"/>
          <w:b/>
          <w:color w:val="000000"/>
          <w:sz w:val="24"/>
        </w:rPr>
      </w:pPr>
      <w:bookmarkStart w:id="89" w:name="_Toc21631"/>
      <w:bookmarkStart w:id="90" w:name="_Toc23292"/>
      <w:bookmarkStart w:id="91" w:name="_Toc21551"/>
      <w:bookmarkStart w:id="92" w:name="_Toc14422"/>
      <w:r>
        <w:rPr>
          <w:rFonts w:hint="eastAsia" w:ascii="宋体" w:hAnsi="宋体" w:eastAsia="宋体" w:cs="宋体"/>
          <w:b/>
          <w:color w:val="000000"/>
          <w:sz w:val="24"/>
        </w:rPr>
        <w:t>3、 价款</w:t>
      </w:r>
      <w:bookmarkEnd w:id="89"/>
      <w:bookmarkEnd w:id="90"/>
      <w:bookmarkEnd w:id="91"/>
      <w:bookmarkEnd w:id="92"/>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本合同总价为：￥元（大写：元人民币）。</w:t>
      </w:r>
    </w:p>
    <w:p>
      <w:pPr>
        <w:kinsoku w:val="0"/>
        <w:overflowPunct w:val="0"/>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455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4553"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4553"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4553"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4553"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4553"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71" w:type="dxa"/>
            <w:gridSpan w:val="2"/>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bl>
    <w:p>
      <w:pPr>
        <w:kinsoku w:val="0"/>
        <w:overflowPunct w:val="0"/>
        <w:spacing w:line="560" w:lineRule="exact"/>
        <w:ind w:firstLine="482" w:firstLineChars="200"/>
        <w:rPr>
          <w:rFonts w:hint="eastAsia" w:ascii="宋体" w:hAnsi="宋体" w:eastAsia="宋体" w:cs="宋体"/>
          <w:b/>
          <w:color w:val="000000"/>
          <w:sz w:val="24"/>
        </w:rPr>
      </w:pPr>
      <w:bookmarkStart w:id="93" w:name="_Toc1814"/>
      <w:bookmarkStart w:id="94" w:name="_Toc22618"/>
      <w:bookmarkStart w:id="95" w:name="_Toc26691"/>
      <w:bookmarkStart w:id="96" w:name="_Toc10340"/>
      <w:r>
        <w:rPr>
          <w:rFonts w:hint="eastAsia" w:ascii="宋体" w:hAnsi="宋体" w:eastAsia="宋体" w:cs="宋体"/>
          <w:b/>
          <w:color w:val="000000"/>
          <w:sz w:val="24"/>
        </w:rPr>
        <w:t>4、 付款方式和发票开具方式</w:t>
      </w:r>
      <w:bookmarkEnd w:id="93"/>
      <w:bookmarkEnd w:id="94"/>
      <w:bookmarkEnd w:id="95"/>
      <w:bookmarkEnd w:id="96"/>
    </w:p>
    <w:p>
      <w:pPr>
        <w:pStyle w:val="8"/>
        <w:ind w:firstLine="440"/>
        <w:rPr>
          <w:rFonts w:hint="eastAsia" w:ascii="宋体" w:hAnsi="宋体" w:eastAsia="宋体" w:cs="宋体"/>
          <w:color w:val="000000"/>
          <w:szCs w:val="24"/>
        </w:rPr>
      </w:pPr>
      <w:r>
        <w:rPr>
          <w:rFonts w:hint="eastAsia" w:ascii="宋体" w:hAnsi="宋体" w:eastAsia="宋体" w:cs="宋体"/>
          <w:color w:val="000000"/>
          <w:szCs w:val="24"/>
        </w:rPr>
        <w:t>1.4.1 付款方式：</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分期付款，</w:t>
      </w:r>
      <w:r>
        <w:rPr>
          <w:rFonts w:hint="eastAsia" w:ascii="宋体" w:hAnsi="宋体" w:eastAsia="宋体" w:cs="宋体"/>
          <w:color w:val="000000"/>
          <w:sz w:val="24"/>
          <w:lang w:val="en-US"/>
        </w:rPr>
        <w:t>具体以实际情况为准</w:t>
      </w:r>
      <w:r>
        <w:rPr>
          <w:rFonts w:hint="eastAsia" w:ascii="宋体" w:hAnsi="宋体" w:eastAsia="宋体" w:cs="宋体"/>
          <w:color w:val="000000"/>
          <w:sz w:val="24"/>
        </w:rPr>
        <w:t>。由中标单位提供税务局正式发票，发票后附送货清单，清单上必须</w:t>
      </w:r>
      <w:r>
        <w:rPr>
          <w:rFonts w:hint="eastAsia" w:ascii="宋体" w:hAnsi="宋体" w:eastAsia="宋体" w:cs="宋体"/>
          <w:color w:val="000000"/>
          <w:sz w:val="24"/>
          <w:lang w:val="en-US"/>
        </w:rPr>
        <w:t>相关人员</w:t>
      </w:r>
      <w:r>
        <w:rPr>
          <w:rFonts w:hint="eastAsia" w:ascii="宋体" w:hAnsi="宋体" w:eastAsia="宋体" w:cs="宋体"/>
          <w:color w:val="000000"/>
          <w:sz w:val="24"/>
        </w:rPr>
        <w:t>签字。</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1.4.2 供货商提供电子发票、收据及送货明细单，收据及发货明细单加盖公章和供货商签字，凭以上票据和货物验收单结算。</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1.4.3 发票开具方式：。</w:t>
      </w:r>
    </w:p>
    <w:p>
      <w:pPr>
        <w:kinsoku w:val="0"/>
        <w:overflowPunct w:val="0"/>
        <w:spacing w:line="560" w:lineRule="exact"/>
        <w:ind w:firstLine="482" w:firstLineChars="200"/>
        <w:rPr>
          <w:rFonts w:hint="eastAsia" w:ascii="宋体" w:hAnsi="宋体" w:eastAsia="宋体" w:cs="宋体"/>
          <w:b/>
          <w:color w:val="000000"/>
          <w:sz w:val="24"/>
        </w:rPr>
      </w:pPr>
      <w:bookmarkStart w:id="97" w:name="_Toc19304"/>
      <w:bookmarkStart w:id="98" w:name="_Toc32071"/>
      <w:bookmarkStart w:id="99" w:name="_Toc2846"/>
      <w:bookmarkStart w:id="100" w:name="_Toc30289"/>
      <w:r>
        <w:rPr>
          <w:rFonts w:hint="eastAsia" w:ascii="宋体" w:hAnsi="宋体" w:eastAsia="宋体" w:cs="宋体"/>
          <w:b/>
          <w:color w:val="000000"/>
          <w:sz w:val="24"/>
        </w:rPr>
        <w:t>5、 货物交付期限、地点和方式</w:t>
      </w:r>
      <w:bookmarkEnd w:id="97"/>
      <w:bookmarkEnd w:id="98"/>
      <w:bookmarkEnd w:id="99"/>
      <w:r>
        <w:rPr>
          <w:rFonts w:hint="eastAsia" w:ascii="宋体" w:hAnsi="宋体" w:eastAsia="宋体" w:cs="宋体"/>
          <w:b/>
          <w:color w:val="000000"/>
          <w:sz w:val="24"/>
        </w:rPr>
        <w:t>：</w:t>
      </w:r>
      <w:bookmarkEnd w:id="100"/>
    </w:p>
    <w:p>
      <w:pPr>
        <w:kinsoku w:val="0"/>
        <w:overflowPunct w:val="0"/>
        <w:spacing w:line="560" w:lineRule="exact"/>
        <w:ind w:firstLine="482" w:firstLineChars="200"/>
        <w:rPr>
          <w:rFonts w:hint="eastAsia" w:ascii="宋体" w:hAnsi="宋体" w:eastAsia="宋体" w:cs="宋体"/>
          <w:b/>
          <w:color w:val="000000"/>
          <w:sz w:val="24"/>
          <w:u w:val="single"/>
          <w:lang w:val="en-US"/>
        </w:rPr>
      </w:pPr>
      <w:r>
        <w:rPr>
          <w:rFonts w:hint="eastAsia" w:ascii="宋体" w:hAnsi="宋体" w:eastAsia="宋体" w:cs="宋体"/>
          <w:b/>
          <w:color w:val="000000"/>
          <w:sz w:val="24"/>
        </w:rPr>
        <w:t>1.5.1 交付期限：</w:t>
      </w:r>
      <w:r>
        <w:rPr>
          <w:rFonts w:hint="eastAsia" w:ascii="宋体" w:hAnsi="宋体" w:eastAsia="宋体" w:cs="宋体"/>
          <w:b/>
          <w:color w:val="000000"/>
          <w:sz w:val="24"/>
          <w:lang w:val="en-US"/>
        </w:rPr>
        <w:t>合同中约定</w:t>
      </w:r>
    </w:p>
    <w:p>
      <w:pPr>
        <w:spacing w:line="240" w:lineRule="atLeast"/>
        <w:ind w:firstLine="482" w:firstLineChars="200"/>
        <w:rPr>
          <w:rFonts w:hint="eastAsia" w:ascii="宋体" w:hAnsi="宋体" w:eastAsia="宋体" w:cs="宋体"/>
          <w:sz w:val="24"/>
          <w:u w:val="single"/>
        </w:rPr>
      </w:pPr>
      <w:r>
        <w:rPr>
          <w:rFonts w:hint="eastAsia" w:ascii="宋体" w:hAnsi="宋体" w:eastAsia="宋体" w:cs="宋体"/>
          <w:b/>
          <w:color w:val="000000"/>
          <w:sz w:val="24"/>
        </w:rPr>
        <w:t>1.5.2 交付地点：</w:t>
      </w:r>
      <w:r>
        <w:rPr>
          <w:rFonts w:hint="eastAsia" w:ascii="宋体" w:hAnsi="宋体" w:eastAsia="宋体" w:cs="宋体"/>
          <w:b/>
          <w:color w:val="000000"/>
          <w:sz w:val="24"/>
          <w:lang w:val="en-US" w:eastAsia="zh-CN"/>
        </w:rPr>
        <w:t xml:space="preserve"> </w:t>
      </w:r>
    </w:p>
    <w:p>
      <w:pPr>
        <w:spacing w:line="240" w:lineRule="atLeast"/>
        <w:ind w:firstLine="482" w:firstLineChars="200"/>
        <w:rPr>
          <w:rFonts w:hint="eastAsia" w:ascii="宋体" w:hAnsi="宋体" w:eastAsia="宋体" w:cs="宋体"/>
          <w:bCs/>
          <w:color w:val="000000"/>
          <w:sz w:val="24"/>
          <w:u w:val="single"/>
        </w:rPr>
      </w:pPr>
      <w:r>
        <w:rPr>
          <w:rFonts w:hint="eastAsia" w:ascii="宋体" w:hAnsi="宋体" w:eastAsia="宋体" w:cs="宋体"/>
          <w:b/>
          <w:color w:val="000000"/>
          <w:sz w:val="24"/>
        </w:rPr>
        <w:t>1.5.3 交付方式：</w:t>
      </w:r>
      <w:r>
        <w:rPr>
          <w:rFonts w:hint="eastAsia" w:ascii="宋体" w:hAnsi="宋体" w:eastAsia="宋体" w:cs="宋体"/>
          <w:sz w:val="24"/>
          <w:u w:val="single"/>
        </w:rPr>
        <w:t xml:space="preserve">                                           。</w:t>
      </w:r>
    </w:p>
    <w:p>
      <w:pPr>
        <w:kinsoku w:val="0"/>
        <w:overflowPunct w:val="0"/>
        <w:spacing w:line="560" w:lineRule="exact"/>
        <w:ind w:firstLine="482" w:firstLineChars="200"/>
        <w:rPr>
          <w:rFonts w:hint="eastAsia" w:ascii="宋体" w:hAnsi="宋体" w:eastAsia="宋体" w:cs="宋体"/>
          <w:b/>
          <w:color w:val="000000"/>
          <w:sz w:val="24"/>
        </w:rPr>
      </w:pPr>
      <w:bookmarkStart w:id="101" w:name="_Toc19796"/>
      <w:bookmarkStart w:id="102" w:name="_Toc27250"/>
      <w:bookmarkStart w:id="103" w:name="_Toc19554"/>
      <w:bookmarkStart w:id="104" w:name="_Toc21423"/>
      <w:r>
        <w:rPr>
          <w:rFonts w:hint="eastAsia" w:ascii="宋体" w:hAnsi="宋体" w:eastAsia="宋体" w:cs="宋体"/>
          <w:b/>
          <w:color w:val="000000"/>
          <w:sz w:val="24"/>
        </w:rPr>
        <w:t>6、 违约责任</w:t>
      </w:r>
      <w:bookmarkEnd w:id="101"/>
      <w:bookmarkEnd w:id="102"/>
      <w:bookmarkEnd w:id="103"/>
      <w:bookmarkEnd w:id="104"/>
    </w:p>
    <w:p>
      <w:pPr>
        <w:kinsoku w:val="0"/>
        <w:overflowPunct w:val="0"/>
        <w:spacing w:line="560" w:lineRule="exact"/>
        <w:ind w:firstLine="480" w:firstLineChars="200"/>
        <w:rPr>
          <w:rFonts w:hint="eastAsia" w:ascii="宋体" w:hAnsi="宋体" w:eastAsia="宋体" w:cs="宋体"/>
          <w:color w:val="000000"/>
          <w:sz w:val="24"/>
        </w:rPr>
      </w:pPr>
      <w:bookmarkStart w:id="105" w:name="_Toc15583"/>
      <w:bookmarkStart w:id="106" w:name="_Toc28375"/>
      <w:bookmarkStart w:id="107" w:name="_Toc29882"/>
      <w:bookmarkStart w:id="108" w:name="_Toc16021"/>
      <w:r>
        <w:rPr>
          <w:rFonts w:hint="eastAsia" w:ascii="宋体" w:hAnsi="宋体" w:eastAsia="宋体" w:cs="宋体"/>
          <w:color w:val="000000"/>
          <w:sz w:val="24"/>
        </w:rPr>
        <w:t>1、乙方必须严格按照甲方规定的时间将所需物资送至甲方指定地点。</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2、漏单：如乙方漏单则须无偿补货，壹个月叁次以上甲方有权终止合同。</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、如所供货品不符合甲方要求，需退回换货或退货，由此产生的相关费用乙方承担。</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、杜绝缺斤少两，以次充好，如有故意隐瞒等欺诈行为，一经查证解除合同。</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、如在未经对方同意的情况下，因合同任何一方的故意违约行为而导致合同无法继续执行的，视为单方违约，违约方须向另一方偿付违约金。</w:t>
      </w:r>
    </w:p>
    <w:p>
      <w:pPr>
        <w:kinsoku w:val="0"/>
        <w:overflowPunct w:val="0"/>
        <w:spacing w:line="5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7、 合同争议的解决</w:t>
      </w:r>
      <w:bookmarkEnd w:id="105"/>
      <w:bookmarkEnd w:id="106"/>
      <w:bookmarkEnd w:id="107"/>
      <w:bookmarkEnd w:id="108"/>
    </w:p>
    <w:p>
      <w:pPr>
        <w:kinsoku w:val="0"/>
        <w:overflowPunct w:val="0"/>
        <w:spacing w:line="56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lang w:val="en-US"/>
        </w:rPr>
        <w:t>7.</w:t>
      </w:r>
      <w:r>
        <w:rPr>
          <w:rFonts w:hint="eastAsia" w:ascii="宋体" w:hAnsi="宋体" w:eastAsia="宋体" w:cs="宋体"/>
          <w:color w:val="000000"/>
          <w:sz w:val="24"/>
        </w:rPr>
        <w:t>1、</w:t>
      </w:r>
      <w:r>
        <w:rPr>
          <w:rFonts w:hint="eastAsia" w:ascii="宋体" w:hAnsi="宋体" w:eastAsia="宋体" w:cs="宋体"/>
          <w:color w:val="000000"/>
          <w:sz w:val="24"/>
          <w:lang w:val="en-US"/>
        </w:rPr>
        <w:t>在</w:t>
      </w:r>
      <w:r>
        <w:rPr>
          <w:rFonts w:hint="eastAsia" w:ascii="宋体" w:hAnsi="宋体" w:eastAsia="宋体" w:cs="宋体"/>
          <w:color w:val="000000"/>
          <w:sz w:val="24"/>
        </w:rPr>
        <w:t>履行的过程中发生的任何争议，若双方不能通过友好协商的方式加以解决，向甲方所在地人民法院提起诉讼。</w:t>
      </w:r>
    </w:p>
    <w:p>
      <w:pPr>
        <w:kinsoku w:val="0"/>
        <w:overflowPunct w:val="0"/>
        <w:spacing w:line="56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lang w:val="en-US"/>
        </w:rPr>
        <w:t>7.</w:t>
      </w:r>
      <w:r>
        <w:rPr>
          <w:rFonts w:hint="eastAsia" w:ascii="宋体" w:hAnsi="宋体" w:eastAsia="宋体" w:cs="宋体"/>
          <w:color w:val="000000"/>
          <w:sz w:val="24"/>
        </w:rPr>
        <w:t>2、在法院审理期间，除提交法院审理的事项外，本协议其它事项和条款仍继续执行。</w:t>
      </w:r>
    </w:p>
    <w:p>
      <w:pPr>
        <w:pStyle w:val="40"/>
        <w:spacing w:line="480" w:lineRule="exact"/>
        <w:ind w:firstLine="482" w:firstLineChars="200"/>
        <w:rPr>
          <w:rFonts w:hint="eastAsia" w:ascii="宋体" w:hAnsi="宋体" w:eastAsia="宋体" w:cs="宋体"/>
          <w:b/>
          <w:color w:val="000000"/>
        </w:rPr>
      </w:pPr>
      <w:bookmarkStart w:id="109" w:name="_Toc7245"/>
      <w:bookmarkStart w:id="110" w:name="_Toc10605"/>
      <w:bookmarkStart w:id="111" w:name="_Toc11173"/>
      <w:bookmarkStart w:id="112" w:name="_Toc15322"/>
      <w:r>
        <w:rPr>
          <w:rFonts w:hint="eastAsia" w:ascii="宋体" w:hAnsi="宋体" w:eastAsia="宋体" w:cs="宋体"/>
          <w:b/>
          <w:color w:val="000000"/>
          <w:lang w:val="en-US"/>
        </w:rPr>
        <w:t>8、</w:t>
      </w:r>
      <w:r>
        <w:rPr>
          <w:rFonts w:hint="eastAsia" w:ascii="宋体" w:hAnsi="宋体" w:eastAsia="宋体" w:cs="宋体"/>
          <w:b/>
          <w:color w:val="000000"/>
        </w:rPr>
        <w:t>其他约定事项</w:t>
      </w:r>
    </w:p>
    <w:p>
      <w:pPr>
        <w:kinsoku w:val="0"/>
        <w:overflowPunct w:val="0"/>
        <w:spacing w:line="560" w:lineRule="exact"/>
        <w:rPr>
          <w:rFonts w:hint="eastAsia" w:ascii="宋体" w:hAnsi="宋体" w:eastAsia="宋体" w:cs="宋体"/>
          <w:color w:val="000000"/>
          <w:sz w:val="24"/>
        </w:rPr>
      </w:pPr>
      <w:r>
        <w:rPr>
          <w:rFonts w:hint="eastAsia" w:ascii="宋体" w:hAnsi="宋体" w:eastAsia="宋体" w:cs="宋体"/>
          <w:color w:val="000000"/>
          <w:sz w:val="24"/>
          <w:lang w:val="en-US"/>
        </w:rPr>
        <w:t>8.</w:t>
      </w:r>
      <w:r>
        <w:rPr>
          <w:rFonts w:hint="eastAsia" w:ascii="宋体" w:hAnsi="宋体" w:eastAsia="宋体" w:cs="宋体"/>
          <w:color w:val="000000"/>
          <w:sz w:val="24"/>
        </w:rPr>
        <w:t>1、甲方联系人或授权代表在履行合同过程中，对乙方所作的任何要求、通知等，都对乙方具有约束力，具有不可撤销性。</w:t>
      </w:r>
    </w:p>
    <w:p>
      <w:pPr>
        <w:kinsoku w:val="0"/>
        <w:overflowPunct w:val="0"/>
        <w:spacing w:line="560" w:lineRule="exact"/>
        <w:rPr>
          <w:rFonts w:hint="eastAsia" w:ascii="宋体" w:hAnsi="宋体" w:eastAsia="宋体" w:cs="宋体"/>
          <w:color w:val="000000"/>
          <w:sz w:val="24"/>
        </w:rPr>
      </w:pPr>
      <w:r>
        <w:rPr>
          <w:rFonts w:hint="eastAsia" w:ascii="宋体" w:hAnsi="宋体" w:eastAsia="宋体" w:cs="宋体"/>
          <w:color w:val="000000"/>
          <w:sz w:val="24"/>
          <w:lang w:val="en-US"/>
        </w:rPr>
        <w:t>8.</w:t>
      </w:r>
      <w:r>
        <w:rPr>
          <w:rFonts w:hint="eastAsia" w:ascii="宋体" w:hAnsi="宋体" w:eastAsia="宋体" w:cs="宋体"/>
          <w:color w:val="000000"/>
          <w:sz w:val="24"/>
        </w:rPr>
        <w:t>2、签订或履行合同过程中，坚决拒绝索贿、行贿及其它不正当交易行为。乙方必须承诺，在本合同期内，其不会向甲方任何人员及其亲朋好友赠送礼品、小费、现金、样品、餐饮等任何形式的馈赠、回扣。乙方给甲方任何人员及其亲朋好友的个人借款，甲方单位均不承担任何法律责任。如有此类事件发生，甲方有权扣除质保金并立即终止合同。</w:t>
      </w:r>
    </w:p>
    <w:p>
      <w:pPr>
        <w:kinsoku w:val="0"/>
        <w:overflowPunct w:val="0"/>
        <w:spacing w:line="560" w:lineRule="exact"/>
        <w:rPr>
          <w:rFonts w:hint="eastAsia" w:ascii="宋体" w:hAnsi="宋体" w:eastAsia="宋体" w:cs="宋体"/>
          <w:color w:val="000000"/>
          <w:sz w:val="24"/>
        </w:rPr>
      </w:pPr>
      <w:r>
        <w:rPr>
          <w:rFonts w:hint="eastAsia" w:ascii="宋体" w:hAnsi="宋体" w:eastAsia="宋体" w:cs="宋体"/>
          <w:color w:val="000000"/>
          <w:sz w:val="24"/>
          <w:lang w:val="en-US"/>
        </w:rPr>
        <w:t>8.3</w:t>
      </w:r>
      <w:r>
        <w:rPr>
          <w:rFonts w:hint="eastAsia" w:ascii="宋体" w:hAnsi="宋体" w:eastAsia="宋体" w:cs="宋体"/>
          <w:color w:val="000000"/>
          <w:sz w:val="24"/>
        </w:rPr>
        <w:t>、根据招标要求及确保我方权益，乙方需要在签订合同前叁天必须缴纳履约保证金壹拾万元整，否则采购方有权拒签合同。</w:t>
      </w:r>
    </w:p>
    <w:p>
      <w:pPr>
        <w:tabs>
          <w:tab w:val="left" w:pos="1695"/>
        </w:tabs>
        <w:spacing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lang w:val="en-US"/>
        </w:rPr>
        <w:t>9</w:t>
      </w:r>
      <w:r>
        <w:rPr>
          <w:rFonts w:hint="eastAsia" w:ascii="宋体" w:hAnsi="宋体" w:eastAsia="宋体" w:cs="宋体"/>
          <w:b/>
          <w:color w:val="000000"/>
          <w:sz w:val="24"/>
        </w:rPr>
        <w:t>、保密事项：</w:t>
      </w:r>
    </w:p>
    <w:p>
      <w:pPr>
        <w:pStyle w:val="40"/>
        <w:spacing w:line="480" w:lineRule="exact"/>
        <w:rPr>
          <w:rFonts w:hint="eastAsia" w:ascii="宋体" w:hAnsi="宋体" w:eastAsia="宋体" w:cs="宋体"/>
          <w:color w:val="000000"/>
        </w:rPr>
      </w:pPr>
      <w:r>
        <w:rPr>
          <w:rFonts w:hint="eastAsia" w:ascii="宋体" w:hAnsi="宋体" w:eastAsia="宋体" w:cs="宋体"/>
          <w:color w:val="000000"/>
          <w:lang w:val="en-US"/>
        </w:rPr>
        <w:t>9.</w:t>
      </w:r>
      <w:r>
        <w:rPr>
          <w:rFonts w:hint="eastAsia" w:ascii="宋体" w:hAnsi="宋体" w:eastAsia="宋体" w:cs="宋体"/>
          <w:color w:val="000000"/>
        </w:rPr>
        <w:t>1、乙方在签订和履行本合同中知悉的甲方的全部信息（包括人员信息和经营信息等）均为甲方的秘密，乙方有义务保密。</w:t>
      </w:r>
    </w:p>
    <w:p>
      <w:pPr>
        <w:pStyle w:val="40"/>
        <w:spacing w:line="480" w:lineRule="exact"/>
        <w:rPr>
          <w:rFonts w:hint="eastAsia" w:ascii="宋体" w:hAnsi="宋体" w:eastAsia="宋体" w:cs="宋体"/>
          <w:color w:val="000000"/>
        </w:rPr>
      </w:pPr>
      <w:r>
        <w:rPr>
          <w:rFonts w:hint="eastAsia" w:ascii="宋体" w:hAnsi="宋体" w:eastAsia="宋体" w:cs="宋体"/>
          <w:color w:val="000000"/>
          <w:lang w:val="en-US"/>
        </w:rPr>
        <w:t>9.</w:t>
      </w:r>
      <w:r>
        <w:rPr>
          <w:rFonts w:hint="eastAsia" w:ascii="宋体" w:hAnsi="宋体" w:eastAsia="宋体" w:cs="宋体"/>
          <w:color w:val="000000"/>
        </w:rPr>
        <w:t>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10 %作为违约金。</w:t>
      </w:r>
    </w:p>
    <w:p>
      <w:pPr>
        <w:pStyle w:val="40"/>
        <w:spacing w:line="480" w:lineRule="exact"/>
        <w:rPr>
          <w:rFonts w:hint="eastAsia" w:ascii="宋体" w:hAnsi="宋体" w:eastAsia="宋体" w:cs="宋体"/>
          <w:color w:val="000000"/>
        </w:rPr>
      </w:pPr>
      <w:r>
        <w:rPr>
          <w:rFonts w:hint="eastAsia" w:ascii="宋体" w:hAnsi="宋体" w:eastAsia="宋体" w:cs="宋体"/>
          <w:color w:val="000000"/>
          <w:lang w:val="en-US"/>
        </w:rPr>
        <w:t>9.</w:t>
      </w:r>
      <w:r>
        <w:rPr>
          <w:rFonts w:hint="eastAsia" w:ascii="宋体" w:hAnsi="宋体" w:eastAsia="宋体" w:cs="宋体"/>
          <w:color w:val="000000"/>
        </w:rPr>
        <w:t>3、未经甲方许可，乙方来访人员不得擅自进入甲方的办公室及其他场所，不得向甲方的工作人员打听甲方的商业秘密等。</w:t>
      </w:r>
    </w:p>
    <w:p>
      <w:pPr>
        <w:pStyle w:val="40"/>
        <w:spacing w:line="480" w:lineRule="exact"/>
        <w:rPr>
          <w:rFonts w:hint="eastAsia" w:ascii="宋体" w:hAnsi="宋体" w:eastAsia="宋体" w:cs="宋体"/>
          <w:color w:val="000000"/>
        </w:rPr>
      </w:pPr>
      <w:r>
        <w:rPr>
          <w:rFonts w:hint="eastAsia" w:ascii="宋体" w:hAnsi="宋体" w:eastAsia="宋体" w:cs="宋体"/>
          <w:color w:val="000000"/>
          <w:lang w:val="en-US"/>
        </w:rPr>
        <w:t>9.</w:t>
      </w:r>
      <w:r>
        <w:rPr>
          <w:rFonts w:hint="eastAsia" w:ascii="宋体" w:hAnsi="宋体" w:eastAsia="宋体" w:cs="宋体"/>
          <w:color w:val="000000"/>
        </w:rPr>
        <w:t>4、由于甲方单位的性质特殊性，合同一经签订乙方必须无条件履行合同和相关需求，并按照保密要求签订《保密协议》。</w:t>
      </w:r>
    </w:p>
    <w:p>
      <w:pPr>
        <w:tabs>
          <w:tab w:val="left" w:pos="1695"/>
        </w:tabs>
        <w:spacing w:line="480" w:lineRule="exact"/>
        <w:ind w:firstLine="643" w:firstLineChars="200"/>
        <w:rPr>
          <w:rFonts w:hint="eastAsia" w:ascii="宋体" w:hAnsi="宋体" w:eastAsia="宋体" w:cs="宋体"/>
          <w:color w:val="000000"/>
          <w:sz w:val="32"/>
          <w:szCs w:val="32"/>
        </w:rPr>
      </w:pPr>
      <w:r>
        <w:rPr>
          <w:rFonts w:hint="eastAsia" w:ascii="宋体" w:hAnsi="宋体" w:eastAsia="宋体" w:cs="宋体"/>
          <w:b/>
          <w:bCs/>
          <w:color w:val="000000"/>
          <w:sz w:val="32"/>
          <w:szCs w:val="32"/>
          <w:lang w:val="en-US"/>
        </w:rPr>
        <w:t>10</w:t>
      </w:r>
      <w:r>
        <w:rPr>
          <w:rFonts w:hint="eastAsia" w:ascii="宋体" w:hAnsi="宋体" w:eastAsia="宋体" w:cs="宋体"/>
          <w:b/>
          <w:bCs/>
          <w:color w:val="000000"/>
          <w:sz w:val="32"/>
          <w:szCs w:val="32"/>
        </w:rPr>
        <w:t>、不可抗力：</w:t>
      </w:r>
    </w:p>
    <w:p>
      <w:pPr>
        <w:tabs>
          <w:tab w:val="left" w:pos="1695"/>
        </w:tabs>
        <w:spacing w:line="480" w:lineRule="exact"/>
        <w:rPr>
          <w:rFonts w:hint="eastAsia" w:ascii="宋体" w:hAnsi="宋体" w:eastAsia="宋体" w:cs="宋体"/>
          <w:color w:val="000000"/>
          <w:sz w:val="24"/>
        </w:rPr>
      </w:pPr>
      <w:r>
        <w:rPr>
          <w:rFonts w:hint="eastAsia" w:ascii="宋体" w:hAnsi="宋体" w:eastAsia="宋体" w:cs="宋体"/>
          <w:color w:val="000000"/>
          <w:sz w:val="24"/>
          <w:lang w:val="en-US"/>
        </w:rPr>
        <w:t>10.1</w:t>
      </w:r>
      <w:r>
        <w:rPr>
          <w:rFonts w:hint="eastAsia" w:ascii="宋体" w:hAnsi="宋体" w:eastAsia="宋体" w:cs="宋体"/>
          <w:color w:val="000000"/>
          <w:sz w:val="32"/>
          <w:szCs w:val="32"/>
        </w:rPr>
        <w:t>、</w:t>
      </w:r>
      <w:r>
        <w:rPr>
          <w:rFonts w:hint="eastAsia" w:ascii="宋体" w:hAnsi="宋体" w:eastAsia="宋体" w:cs="宋体"/>
          <w:color w:val="000000"/>
          <w:sz w:val="24"/>
        </w:rPr>
        <w:t>不可抗力是指不能预见、不能避免且不能克服的客观事件，包括但不限于战争、自然灾害、禁运、疫情等以及其他双方认可的情形。</w:t>
      </w:r>
    </w:p>
    <w:p>
      <w:pPr>
        <w:pStyle w:val="40"/>
        <w:spacing w:line="480" w:lineRule="exact"/>
        <w:ind w:firstLine="480" w:firstLineChars="200"/>
        <w:rPr>
          <w:rFonts w:hint="eastAsia" w:ascii="宋体" w:hAnsi="宋体" w:eastAsia="宋体" w:cs="宋体"/>
        </w:rPr>
      </w:pPr>
      <w:r>
        <w:rPr>
          <w:rFonts w:hint="eastAsia" w:ascii="宋体" w:hAnsi="宋体" w:eastAsia="宋体" w:cs="宋体"/>
          <w:color w:val="000000"/>
          <w:lang w:val="en-US"/>
        </w:rPr>
        <w:t xml:space="preserve">10.2 </w:t>
      </w:r>
      <w:r>
        <w:rPr>
          <w:rFonts w:hint="eastAsia" w:ascii="宋体" w:hAnsi="宋体" w:eastAsia="宋体" w:cs="宋体"/>
          <w:color w:val="000000"/>
        </w:rPr>
        <w:t>不可抗力事件发生后，不能履行合同的一方应当立即将不可抗力情况通知对方，若无法立即通知对方，按照抗力对合同的影响程度，由双方协商确定是否变更或解除合同。</w:t>
      </w:r>
    </w:p>
    <w:p>
      <w:pPr>
        <w:kinsoku w:val="0"/>
        <w:overflowPunct w:val="0"/>
        <w:spacing w:line="5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lang w:val="en-US"/>
        </w:rPr>
        <w:t>11、</w:t>
      </w:r>
      <w:r>
        <w:rPr>
          <w:rFonts w:hint="eastAsia" w:ascii="宋体" w:hAnsi="宋体" w:eastAsia="宋体" w:cs="宋体"/>
          <w:b/>
          <w:color w:val="000000"/>
          <w:sz w:val="24"/>
        </w:rPr>
        <w:t xml:space="preserve"> 合同生效</w:t>
      </w:r>
      <w:bookmarkEnd w:id="109"/>
      <w:bookmarkEnd w:id="110"/>
      <w:bookmarkEnd w:id="111"/>
      <w:bookmarkEnd w:id="112"/>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本合同自双方当事人盖章或者签字时生效。</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b/>
          <w:color w:val="000000"/>
          <w:sz w:val="24"/>
        </w:rPr>
        <w:t>甲方</w:t>
      </w:r>
      <w:r>
        <w:rPr>
          <w:rFonts w:hint="eastAsia" w:ascii="宋体" w:hAnsi="宋体" w:eastAsia="宋体" w:cs="宋体"/>
          <w:color w:val="000000"/>
          <w:sz w:val="24"/>
        </w:rPr>
        <w:t xml:space="preserve">：                             </w:t>
      </w:r>
      <w:r>
        <w:rPr>
          <w:rFonts w:hint="eastAsia" w:ascii="宋体" w:hAnsi="宋体" w:eastAsia="宋体" w:cs="宋体"/>
          <w:b/>
          <w:color w:val="000000"/>
          <w:sz w:val="24"/>
        </w:rPr>
        <w:t xml:space="preserve">      乙方</w:t>
      </w:r>
      <w:r>
        <w:rPr>
          <w:rFonts w:hint="eastAsia" w:ascii="宋体" w:hAnsi="宋体" w:eastAsia="宋体" w:cs="宋体"/>
          <w:color w:val="000000"/>
          <w:sz w:val="24"/>
        </w:rPr>
        <w:t>：</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统一社会信用代码：                        统一社会信用代码或身份证号码</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住所：                                   住所：</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法定代表人或                             法定代表人</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授权代表（签字）：                        或授权代表（签字）: </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联系人：                                 联系人：</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约定送达地址：                           约定送达地址：</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邮政编码：                               邮政编码：</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电话:                                    电话: </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传真:                                    传真:</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电子邮箱：                               电子邮箱：</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开户银行：                               开户银行： </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开户名称：                               开户名称： </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开户账号：</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开户账号：</w:t>
      </w:r>
      <w:bookmarkStart w:id="113" w:name="_Toc331685783"/>
    </w:p>
    <w:bookmarkEnd w:id="113"/>
    <w:p>
      <w:pPr>
        <w:pStyle w:val="3"/>
        <w:tabs>
          <w:tab w:val="left" w:pos="1442"/>
        </w:tabs>
        <w:spacing w:before="358"/>
        <w:rPr>
          <w:rFonts w:hint="eastAsia" w:ascii="宋体" w:hAnsi="宋体" w:eastAsia="宋体" w:cs="宋体"/>
          <w:sz w:val="40"/>
          <w:szCs w:val="40"/>
        </w:rPr>
      </w:pPr>
      <w:bookmarkStart w:id="114" w:name="_bookmark3"/>
      <w:bookmarkEnd w:id="114"/>
      <w:bookmarkStart w:id="115" w:name="第五章__评标方法与评标标准"/>
      <w:bookmarkEnd w:id="115"/>
      <w:bookmarkStart w:id="116" w:name="_Toc2863"/>
      <w:r>
        <w:rPr>
          <w:rFonts w:hint="eastAsia" w:ascii="宋体" w:hAnsi="宋体" w:eastAsia="宋体" w:cs="宋体"/>
          <w:sz w:val="40"/>
          <w:szCs w:val="40"/>
          <w:lang w:val="en-US"/>
        </w:rPr>
        <w:t>第</w:t>
      </w:r>
      <w:r>
        <w:rPr>
          <w:rFonts w:hint="eastAsia" w:ascii="宋体" w:hAnsi="宋体" w:eastAsia="宋体" w:cs="宋体"/>
          <w:sz w:val="40"/>
          <w:szCs w:val="40"/>
          <w:lang w:val="en-US" w:eastAsia="zh-CN"/>
        </w:rPr>
        <w:t>四</w:t>
      </w:r>
      <w:r>
        <w:rPr>
          <w:rFonts w:hint="eastAsia" w:ascii="宋体" w:hAnsi="宋体" w:eastAsia="宋体" w:cs="宋体"/>
          <w:sz w:val="40"/>
          <w:szCs w:val="40"/>
          <w:lang w:val="en-US"/>
        </w:rPr>
        <w:t xml:space="preserve">章  </w:t>
      </w:r>
      <w:r>
        <w:rPr>
          <w:rFonts w:hint="eastAsia" w:ascii="宋体" w:hAnsi="宋体" w:eastAsia="宋体" w:cs="宋体"/>
          <w:sz w:val="40"/>
          <w:szCs w:val="40"/>
        </w:rPr>
        <w:t>项目采购需求</w:t>
      </w:r>
      <w:bookmarkEnd w:id="116"/>
    </w:p>
    <w:p>
      <w:pP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采购内容包括学习用品、</w:t>
      </w:r>
      <w:r>
        <w:rPr>
          <w:rFonts w:hint="eastAsia" w:cs="宋体"/>
          <w:sz w:val="28"/>
          <w:szCs w:val="28"/>
          <w:lang w:val="en-US" w:eastAsia="zh-CN"/>
        </w:rPr>
        <w:t>教育</w:t>
      </w:r>
      <w:r>
        <w:rPr>
          <w:rFonts w:hint="eastAsia" w:ascii="宋体" w:hAnsi="宋体" w:eastAsia="宋体" w:cs="宋体"/>
          <w:sz w:val="28"/>
          <w:szCs w:val="28"/>
          <w:lang w:eastAsia="zh-CN"/>
        </w:rPr>
        <w:t>用品等，具体供货要求如下：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一、必须保证产品为原厂全新正品</w:t>
      </w:r>
      <w:r>
        <w:rPr>
          <w:rFonts w:hint="eastAsia" w:cs="宋体"/>
          <w:sz w:val="28"/>
          <w:szCs w:val="28"/>
          <w:lang w:val="en-US" w:eastAsia="zh-CN"/>
        </w:rPr>
        <w:t>的本国货物</w:t>
      </w:r>
      <w:r>
        <w:rPr>
          <w:rFonts w:hint="eastAsia" w:ascii="宋体" w:hAnsi="宋体" w:eastAsia="宋体" w:cs="宋体"/>
          <w:sz w:val="28"/>
          <w:szCs w:val="28"/>
          <w:lang w:eastAsia="zh-CN"/>
        </w:rPr>
        <w:t>，并符合国家标准、行业标准。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二、提供送货、安装、售后及退换等服务。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三、价格不得高于市场其他商户同类同质的物品价格。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w:t>
      </w:r>
      <w:r>
        <w:rPr>
          <w:rFonts w:hint="eastAsia" w:ascii="宋体" w:hAnsi="宋体" w:eastAsia="宋体" w:cs="宋体"/>
          <w:b/>
          <w:bCs/>
          <w:sz w:val="28"/>
          <w:szCs w:val="28"/>
          <w:lang w:eastAsia="zh-CN"/>
        </w:rPr>
        <w:t>所有所投产品按照市场价下浮</w:t>
      </w:r>
      <w:r>
        <w:rPr>
          <w:rFonts w:hint="eastAsia" w:ascii="宋体" w:hAnsi="宋体" w:eastAsia="宋体" w:cs="宋体"/>
          <w:b/>
          <w:bCs/>
          <w:sz w:val="28"/>
          <w:szCs w:val="28"/>
          <w:lang w:val="en-US" w:eastAsia="zh-CN"/>
        </w:rPr>
        <w:t>10%进行公开招标。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五、根据现行税法对卖方征收的与本合同有关的货款单价的一切税费均由供货商承担。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六、发货前，供货商对货物质量、规格、数量等进行准确全面的检验，并出具一份证明货物符合合同规定的证书。该证书作为提交付款单据的一部分。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七、</w:t>
      </w:r>
      <w:r>
        <w:rPr>
          <w:rFonts w:hint="eastAsia" w:ascii="宋体" w:hAnsi="宋体" w:eastAsia="宋体" w:cs="宋体"/>
          <w:b/>
          <w:bCs/>
          <w:sz w:val="28"/>
          <w:szCs w:val="28"/>
          <w:lang w:eastAsia="zh-CN"/>
        </w:rPr>
        <w:t>接到订单后，须在</w:t>
      </w:r>
      <w:r>
        <w:rPr>
          <w:rFonts w:hint="eastAsia" w:ascii="宋体" w:hAnsi="宋体" w:eastAsia="宋体" w:cs="宋体"/>
          <w:b/>
          <w:bCs/>
          <w:sz w:val="28"/>
          <w:szCs w:val="28"/>
          <w:lang w:val="en-US" w:eastAsia="zh-CN"/>
        </w:rPr>
        <w:t>2个工作日以内或指定送货日送到。如遇急用订单，必须在指定送货时间30分钟内将指定货物送到指定地点。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签订合同时，供货商需提供履约保证金4万元，如供货商毫无理由的拖延交货，将受到以下制裁：罚款（或）终止合同。在履行合同过程中，如供货商遇到不能按时交货和提供服务的情况，应及时以书面形式将不能交货的和提供服务的理由、延误时间予以及时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九、产品错发时，除承担由此多支付的一切费用外，核定损失额比率为每迟交两日，按迟交货物的0.5%计，不满2日按2日计。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十、</w:t>
      </w:r>
      <w:r>
        <w:rPr>
          <w:rFonts w:hint="eastAsia" w:ascii="宋体" w:hAnsi="宋体" w:eastAsia="宋体" w:cs="宋体"/>
          <w:sz w:val="28"/>
          <w:szCs w:val="28"/>
          <w:lang w:eastAsia="zh-CN"/>
        </w:rPr>
        <w:t>在执行合同过程中，如发现有任何遗漏和短缺，在发货清单中并未例入而且确实是卖方供货范围中应该有的，并且是满足相关所购物品的性能保证要求所必需的，均应由卖方负责将所缺的物品等补上，且不发生费用问题。</w:t>
      </w:r>
      <w:r>
        <w:rPr>
          <w:rFonts w:hint="eastAsia" w:ascii="宋体" w:hAnsi="宋体" w:eastAsia="宋体" w:cs="宋体"/>
          <w:sz w:val="28"/>
          <w:szCs w:val="28"/>
          <w:lang w:val="en-US" w:eastAsia="zh-CN"/>
        </w:rPr>
        <w:t>无论购买的物品大小、多少、均应无条件送货，不另加费用。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十一、提供的全部产品，均应按标准保护措施进行包装。该包装适应于远距离运输，防潮、防震、防锈和防粗暴装卸，有严禁倒置标识，以确保货物安全无损运抵现场。由于包装不善所引起的货物锈蚀、损坏和损失均由自行承担，并承担运保费及产品交付前的一切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十二、每次供货后，本部门或纪检监察部门将抽样调查供货价格是否高于市场零售价格，如果高于市场价格，将发送文字版整改通知书，整改通知不及时、不到位的将取消供货商资格停止合同。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十三、按季度转账方式支付。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十四、</w:t>
      </w:r>
      <w:r>
        <w:rPr>
          <w:rFonts w:hint="eastAsia" w:ascii="宋体" w:hAnsi="宋体" w:eastAsia="宋体" w:cs="宋体"/>
          <w:sz w:val="28"/>
          <w:szCs w:val="28"/>
          <w:lang w:eastAsia="zh-CN"/>
        </w:rPr>
        <w:t>在执行本合同中所发生的或与本合同有关的一切争端，双方应通过友好协商解决，如协商不能解决，任何一方则可以将争端提交给合同履行地的法院提出诉讼。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十五、</w:t>
      </w:r>
      <w:r>
        <w:rPr>
          <w:rFonts w:hint="eastAsia" w:ascii="宋体" w:hAnsi="宋体" w:eastAsia="宋体" w:cs="宋体"/>
          <w:sz w:val="28"/>
          <w:szCs w:val="28"/>
          <w:lang w:val="en-US" w:eastAsia="zh-CN"/>
        </w:rPr>
        <w:t>疫情防控政策如有变化的，以最新要求为准。</w:t>
      </w:r>
    </w:p>
    <w:p>
      <w:pPr>
        <w:numPr>
          <w:ilvl w:val="0"/>
          <w:numId w:val="0"/>
        </w:numPr>
        <w:kinsoku w:val="0"/>
        <w:overflowPunct w:val="0"/>
        <w:adjustRightInd w:val="0"/>
        <w:spacing w:line="360" w:lineRule="auto"/>
        <w:ind w:leftChars="0"/>
        <w:jc w:val="cente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采购清单</w:t>
      </w:r>
    </w:p>
    <w:tbl>
      <w:tblPr>
        <w:tblStyle w:val="23"/>
        <w:tblW w:w="96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122"/>
        <w:gridCol w:w="4707"/>
        <w:gridCol w:w="690"/>
        <w:gridCol w:w="680"/>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商品名称</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规格、材质</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中性笔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高密度黑色0.5mm 0.028kg/支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中性笔芯</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黑色0.5mm子弹头 0.003kg/支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铅笔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2B-六角木杆 0.004kg/支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水彩笔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三角可水洗-48色/盒 0.605kg/盒</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彩色铅笔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48色-原木六角杆-油性 0.3kg/盒</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毛笔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狼毫-大楷 0.02kg/支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排笔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扁头兼毫6支装 0.07kg/套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钢笔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商务钛金-明尖 0.1kg/支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钢笔墨水</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纯黑非碳素-50ml 0.087kg/瓶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蜡笔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六角盒装-36色 0.4kg/盒</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粉笔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无尘塑光六角彩色48支 0.164kg/盒</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转笔刀</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手摇可调经典拉盖 13㎝*9cm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翻页笔</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绿光100米控制无线 0.065kg/支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白板笔（水性）</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黑红蓝-单头-易擦 2.0mm 0.02kg/支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白板笔（墨水）</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黑红蓝 36ml/瓶 0.06kg/瓶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大号笔（油性）</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黑红蓝-单头-油性 2.0mm 0.02kg/支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练习本</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牛皮封面 16K-22页缝线本 185*260mm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作业本</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牛皮封面 16K-22页缝线本 185*261mm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生字本</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牛皮封面 16K-22页缝线本 185*262mm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日记本</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仿皮封面-B5-100页 17.5*25.5cm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日记本</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仿皮封面-B5-80页 250*175mm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教案本</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胶装-B5-100页 25.0*18.5cm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谈话记录本</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软皮A5加厚加厚带扣带笔插</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本 </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会议记录本</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仿皮封面-B5-100张 17.5*25.3cm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信封（带邮票）</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5号牛皮纸 23*11cm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信签纸</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单线-16K-20张 0.069kg/本</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卡纸</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A4-10色混装10张-210*297mm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彩纸</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A4-10色混装100张-210*298mm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红纸</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全开大张朱红 0.034kg/张</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张</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彩色皱纹纸</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手工10色-10张/包</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口取纸、标签纸</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自粘性不干胶60张/包 40枚/张 29*20mm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宣纸</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熟宣-四尺对开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临摹纸</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书法练习16K-80张/包</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素描纸</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4K/160g-20张/包不起毛 0.66kg/包</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订书机</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2-50页省力轻便-入纸深65mm 装订100枚 24/6/8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订书针</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12#-1000枚/盒 24/6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起钉器</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12#高效便捷带安全锁 起订24/6/8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回形针</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3#金属100枚/盒</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橡皮</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2B白色中号 高消字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直尺</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30cm塑料办公 0.004kg/件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把</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三角尺（大）</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大号磁性三角板一对 有效刻度50cm 0.024kg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剪刀</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210mm 不锈钢+ABS手柄 0.12kg/把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把</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美工刀</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ABS塑胶高碳钢螺旋锁式 刀片18*100mm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把</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长尾夹</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24只/盒-3#彩色金属燕尾-32mm/只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文件袋</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A4透明按扣0.027kg/个 34.5*23.5cm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固体胶</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35g/支 瞬间粘合快干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涂改液</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涂刷两用 18ml/瓶 便携式 0.05kg/瓶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拉杆夹</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A4-彩杆 抽干侧宽10mm 0.0275kg/个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双面胶</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宽20mm 高粘性棉纸 易撕易帖</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窄12mm 高粘性棉纸 易撕易帖</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档案盒（蓝色塑料）</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A4塑料加厚 侧宽35mm 0.8mm复合PP</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A4塑料加厚 侧宽55mm 0.8mm复合PP 0.225kg/个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透明胶带</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高透明60mm*48um*60Y</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高透明宽2.4mm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红色印泥</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油性耐水耐光印台透明壳 内径68mm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胶水</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高粘度适用多种纸张 125ml/瓶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计算器</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双电源12位显数大号金属面板 0.26kg/个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单夹</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A4蓝色金属强力夹 0.13kg/只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计算器</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语音型12位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墨汁</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500g书写流畅扩散均匀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广告色</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36色 12ml/支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油画颜料</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12色 12ml/支  保持时间久</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打码机</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9位数70*38*135mm 盖印清晰 0.49kg/个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64</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打印机墨盒</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适用于MP259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64</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打印机墨盒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65</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zh-CN" w:eastAsia="zh-CN" w:bidi="zh-CN"/>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适用于HP1020PLus</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65</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zh-CN" w:eastAsia="zh-CN" w:bidi="zh-CN"/>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66</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适用于HP1108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66</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67</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适用于HP1106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67</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68</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适用于ML1666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68</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打印机墨盒</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适用于 Canon PFI-103MBK</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复印机墨盒</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238T型号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4"/>
                <w:szCs w:val="24"/>
                <w:u w:val="none"/>
                <w:lang w:val="en-US" w:eastAsia="zh-CN" w:bidi="ar"/>
              </w:rPr>
              <w:t>71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速印机油墨</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DX3443型号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4"/>
                <w:szCs w:val="24"/>
                <w:u w:val="none"/>
                <w:lang w:val="en-US" w:eastAsia="zh-CN" w:bidi="ar"/>
              </w:rPr>
              <w:t>72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键盘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键鼠套装USB接口 0.48kg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4"/>
                <w:szCs w:val="24"/>
                <w:u w:val="none"/>
                <w:lang w:val="en-US" w:eastAsia="zh-CN" w:bidi="ar"/>
              </w:rPr>
              <w:t>73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扩音器</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无线便携4000mah/300s录音手柄折叠</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4"/>
                <w:szCs w:val="24"/>
                <w:u w:val="none"/>
                <w:lang w:val="en-US" w:eastAsia="zh-CN" w:bidi="ar"/>
              </w:rPr>
              <w:t>74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贺卡</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80*80mm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张</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书签</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金属书签85*170mm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奖状</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 加厚铜版纸 0.0081kg/张</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张</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聘书</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绒面 8K-250*175mm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4"/>
                <w:szCs w:val="24"/>
                <w:u w:val="none"/>
                <w:lang w:val="en-US" w:eastAsia="zh-CN" w:bidi="ar"/>
              </w:rPr>
              <w:t>78</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电池</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7#碱性 1.5v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节</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4"/>
                <w:szCs w:val="24"/>
                <w:u w:val="none"/>
                <w:lang w:val="en-US" w:eastAsia="zh-CN" w:bidi="ar"/>
              </w:rPr>
              <w:t>79</w:t>
            </w: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5#碱性1.5v</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节</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U盘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USB3.0读卡150MB/S- 128GB</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移动硬盘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商务便携 1TB-0.25kg-110.1*81.6*12.8mm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SD卡</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128GB-0.01kg 读卡100MB/S</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公文包</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大容量双层防水耐磨 390*300*80mm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电源线插排</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防过载线长4.8米10位总控 0.8kg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篮球</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7#   PV/橡胶 0.62kg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篮球气针</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 0.004kg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篮球网</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加粗网兜 聚酯纤维 0.06kg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羽毛球</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球头：复合软木.毛片.羽毛</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羽毛球架</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标准单打网架网柱含网便携式-5.1m 3.6kg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羽毛球拍</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超轻材料设计碳素一体手柄</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排球</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5#舒适高弹  pv聚氨酯 0.41kg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排球网</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聚乙烯尼龙绳抗日晒雨淋9.5m*1m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排球架</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国标升级网架移动铸铁 120kg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足球</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5#超纤革手缝 0.45kg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乒乓球</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无缝接弹性大直径40.0-40.5mm 77g/个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乒乓球拍</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纯木厚芯底板.双面反胶 0.34kg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乒乓球网</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聚乙烯机织1800*152.5  0.08kg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围棋（棋盘）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楠竹19路13路双面 44*47*1.8cm 2.21kg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象棋（棋盘）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全竹炭画线47*44*2cm  2.7kg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跳棋（棋盘）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木质棋盘 直径29㎝ 0.6kg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扑克牌</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耐磨不易变形57.87mm 0.86kg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沙包</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帆布柔软/稻谷壳 7cm*7cm  0.4kg</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跳绳</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手柄材质：硅胶.ABS 绳子材质PVC.钢 绳长3m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打气筒</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ABS树脂  迷你轻松便携打气不费力 长24cm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气球</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加厚彩色 100个/包</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接力棒</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ABS材质耐摔耐用 长30cm直径3cm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麦克风</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充电无线防啸叫无杂音 0.35kg/只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麦克风支架</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稳固三角 麦架落地钢管管体可伸缩 1.355kg/件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领夹无线麦克风</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智能降噪无杂音无电流稳定收音安卓Type-C接口</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小红旗</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8#-14*21cm 手摇式 0.02kg/个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快板</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音色清脆7板（大2片19.5*6.1cm 小5片12.5*4.3）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拉花</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彩色 1米/条 0.038kg/条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灯笼</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绒面100# 直径60cm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水杯</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透明双层玻璃 300ml/个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pStyle w:val="3"/>
        <w:tabs>
          <w:tab w:val="left" w:pos="1444"/>
        </w:tabs>
        <w:ind w:left="3080"/>
        <w:jc w:val="both"/>
        <w:rPr>
          <w:rFonts w:hint="eastAsia"/>
        </w:rPr>
      </w:pPr>
      <w:bookmarkStart w:id="117" w:name="_Toc1480"/>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tabs>
          <w:tab w:val="left" w:pos="1444"/>
        </w:tabs>
        <w:ind w:left="3080"/>
        <w:jc w:val="both"/>
        <w:rPr>
          <w:rFonts w:hint="eastAsia"/>
        </w:rPr>
      </w:pPr>
    </w:p>
    <w:p>
      <w:pPr>
        <w:pStyle w:val="3"/>
        <w:tabs>
          <w:tab w:val="left" w:pos="1444"/>
        </w:tabs>
        <w:ind w:left="3080"/>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3"/>
        <w:tabs>
          <w:tab w:val="left" w:pos="1442"/>
        </w:tabs>
        <w:spacing w:before="358" w:line="360" w:lineRule="auto"/>
        <w:rPr>
          <w:rFonts w:hint="eastAsia" w:ascii="华文中宋" w:hAnsi="华文中宋" w:eastAsia="华文中宋"/>
          <w:sz w:val="40"/>
          <w:szCs w:val="40"/>
          <w:lang w:val="en-US"/>
        </w:rPr>
      </w:pPr>
      <w:r>
        <w:rPr>
          <w:rFonts w:hint="eastAsia" w:ascii="华文中宋" w:hAnsi="华文中宋" w:eastAsia="华文中宋"/>
          <w:sz w:val="40"/>
          <w:szCs w:val="40"/>
          <w:lang w:val="en-US"/>
        </w:rPr>
        <w:t>第</w:t>
      </w:r>
      <w:r>
        <w:rPr>
          <w:rFonts w:hint="eastAsia" w:ascii="华文中宋" w:hAnsi="华文中宋" w:eastAsia="华文中宋"/>
          <w:sz w:val="40"/>
          <w:szCs w:val="40"/>
          <w:lang w:val="en-US" w:eastAsia="zh-CN"/>
        </w:rPr>
        <w:t>五</w:t>
      </w:r>
      <w:r>
        <w:rPr>
          <w:rFonts w:hint="eastAsia" w:ascii="华文中宋" w:hAnsi="华文中宋" w:eastAsia="华文中宋"/>
          <w:sz w:val="40"/>
          <w:szCs w:val="40"/>
          <w:lang w:val="en-US"/>
        </w:rPr>
        <w:t>章</w:t>
      </w:r>
      <w:r>
        <w:rPr>
          <w:rFonts w:hint="eastAsia" w:ascii="华文中宋" w:hAnsi="华文中宋" w:eastAsia="华文中宋"/>
          <w:sz w:val="40"/>
          <w:szCs w:val="40"/>
          <w:lang w:val="en-US" w:eastAsia="zh-CN"/>
        </w:rPr>
        <w:t xml:space="preserve">  </w:t>
      </w:r>
      <w:r>
        <w:rPr>
          <w:rFonts w:hint="eastAsia" w:ascii="华文中宋" w:hAnsi="华文中宋" w:eastAsia="华文中宋"/>
          <w:sz w:val="40"/>
          <w:szCs w:val="40"/>
          <w:lang w:val="en-US"/>
        </w:rPr>
        <w:t>评标方法与评标标准</w:t>
      </w:r>
      <w:bookmarkEnd w:id="117"/>
    </w:p>
    <w:p>
      <w:pPr>
        <w:keepNext w:val="0"/>
        <w:keepLines w:val="0"/>
        <w:pageBreakBefore w:val="0"/>
        <w:widowControl w:val="0"/>
        <w:kinsoku/>
        <w:wordWrap/>
        <w:overflowPunct/>
        <w:topLinePunct w:val="0"/>
        <w:autoSpaceDE w:val="0"/>
        <w:autoSpaceDN w:val="0"/>
        <w:bidi w:val="0"/>
        <w:adjustRightInd/>
        <w:snapToGrid/>
        <w:spacing w:after="0" w:afterLines="50" w:line="360" w:lineRule="auto"/>
        <w:rPr>
          <w:rFonts w:hint="eastAsia" w:ascii="宋体" w:hAnsi="宋体" w:eastAsia="宋体" w:cs="宋体"/>
          <w:b/>
          <w:color w:val="000000"/>
          <w:sz w:val="32"/>
          <w:szCs w:val="32"/>
        </w:rPr>
      </w:pPr>
      <w:r>
        <w:rPr>
          <w:rFonts w:hint="eastAsia" w:ascii="宋体" w:hAnsi="宋体" w:eastAsia="宋体" w:cs="宋体"/>
          <w:b/>
          <w:color w:val="000000"/>
          <w:sz w:val="32"/>
          <w:szCs w:val="32"/>
        </w:rPr>
        <w:t xml:space="preserve">（一）评审原则 </w:t>
      </w:r>
    </w:p>
    <w:p>
      <w:pPr>
        <w:keepNext w:val="0"/>
        <w:keepLines w:val="0"/>
        <w:pageBreakBefore w:val="0"/>
        <w:widowControl w:val="0"/>
        <w:kinsoku/>
        <w:wordWrap/>
        <w:overflowPunct/>
        <w:topLinePunct w:val="0"/>
        <w:autoSpaceDE w:val="0"/>
        <w:autoSpaceDN w:val="0"/>
        <w:bidi w:val="0"/>
        <w:adjustRightInd/>
        <w:snapToGrid/>
        <w:spacing w:after="0" w:afterLines="5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1、本政府采购项目遵循公开透明原则、公平竞争原则、公正原则和诚实信用原则。</w:t>
      </w:r>
    </w:p>
    <w:p>
      <w:pPr>
        <w:keepNext w:val="0"/>
        <w:keepLines w:val="0"/>
        <w:pageBreakBefore w:val="0"/>
        <w:widowControl w:val="0"/>
        <w:kinsoku/>
        <w:wordWrap/>
        <w:overflowPunct/>
        <w:topLinePunct w:val="0"/>
        <w:autoSpaceDE w:val="0"/>
        <w:autoSpaceDN w:val="0"/>
        <w:bidi w:val="0"/>
        <w:adjustRightInd/>
        <w:snapToGrid/>
        <w:spacing w:after="0" w:afterLines="5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2、评标委员会应当按照客观、公正、审慎的原则，根据采购文件规定的评审程序、评审方法和评审标准进行独立评审。</w:t>
      </w:r>
    </w:p>
    <w:p>
      <w:pPr>
        <w:keepNext w:val="0"/>
        <w:keepLines w:val="0"/>
        <w:pageBreakBefore w:val="0"/>
        <w:widowControl w:val="0"/>
        <w:kinsoku/>
        <w:wordWrap/>
        <w:overflowPunct/>
        <w:topLinePunct w:val="0"/>
        <w:autoSpaceDE w:val="0"/>
        <w:autoSpaceDN w:val="0"/>
        <w:bidi w:val="0"/>
        <w:adjustRightInd/>
        <w:snapToGrid/>
        <w:spacing w:after="0" w:afterLines="5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本项目采用综合评</w:t>
      </w:r>
      <w:r>
        <w:rPr>
          <w:rFonts w:hint="eastAsia" w:ascii="宋体" w:hAnsi="宋体" w:eastAsia="宋体" w:cs="宋体"/>
          <w:color w:val="000000"/>
          <w:sz w:val="24"/>
          <w:szCs w:val="24"/>
        </w:rPr>
        <w:t>分法，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keepNext w:val="0"/>
        <w:keepLines w:val="0"/>
        <w:pageBreakBefore w:val="0"/>
        <w:widowControl w:val="0"/>
        <w:kinsoku/>
        <w:wordWrap/>
        <w:overflowPunct/>
        <w:topLinePunct w:val="0"/>
        <w:autoSpaceDE w:val="0"/>
        <w:autoSpaceDN w:val="0"/>
        <w:bidi w:val="0"/>
        <w:adjustRightInd/>
        <w:snapToGrid/>
        <w:spacing w:after="0" w:afterLines="50" w:line="360" w:lineRule="auto"/>
        <w:rPr>
          <w:rFonts w:hint="eastAsia" w:ascii="宋体" w:hAnsi="宋体" w:eastAsia="宋体" w:cs="宋体"/>
          <w:b/>
          <w:color w:val="000000"/>
          <w:sz w:val="32"/>
          <w:szCs w:val="32"/>
        </w:rPr>
      </w:pPr>
      <w:r>
        <w:rPr>
          <w:rFonts w:hint="eastAsia" w:ascii="宋体" w:hAnsi="宋体" w:eastAsia="宋体" w:cs="宋体"/>
          <w:b/>
          <w:color w:val="000000"/>
          <w:sz w:val="32"/>
          <w:szCs w:val="32"/>
        </w:rPr>
        <w:t>（二）评审内容</w:t>
      </w:r>
    </w:p>
    <w:p>
      <w:pPr>
        <w:keepNext w:val="0"/>
        <w:keepLines w:val="0"/>
        <w:pageBreakBefore w:val="0"/>
        <w:widowControl w:val="0"/>
        <w:kinsoku/>
        <w:wordWrap/>
        <w:overflowPunct/>
        <w:topLinePunct w:val="0"/>
        <w:autoSpaceDE w:val="0"/>
        <w:autoSpaceDN w:val="0"/>
        <w:bidi w:val="0"/>
        <w:adjustRightInd/>
        <w:snapToGrid/>
        <w:spacing w:after="0" w:afterLines="50" w:line="288"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评标委员会</w:t>
      </w: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eastAsia="zh-CN"/>
        </w:rPr>
        <w:t>进行符合</w:t>
      </w:r>
      <w:r>
        <w:rPr>
          <w:rFonts w:hint="eastAsia" w:ascii="宋体" w:hAnsi="宋体" w:eastAsia="宋体" w:cs="宋体"/>
          <w:color w:val="000000"/>
          <w:sz w:val="24"/>
          <w:szCs w:val="24"/>
        </w:rPr>
        <w:t>性</w:t>
      </w:r>
      <w:r>
        <w:rPr>
          <w:rFonts w:hint="eastAsia" w:ascii="宋体" w:hAnsi="宋体" w:eastAsia="宋体" w:cs="宋体"/>
          <w:color w:val="000000"/>
          <w:sz w:val="24"/>
          <w:szCs w:val="24"/>
          <w:lang w:eastAsia="zh-CN"/>
        </w:rPr>
        <w:t>审查</w:t>
      </w:r>
      <w:r>
        <w:rPr>
          <w:rFonts w:hint="eastAsia" w:ascii="宋体" w:hAnsi="宋体" w:eastAsia="宋体" w:cs="宋体"/>
          <w:color w:val="000000"/>
          <w:sz w:val="24"/>
          <w:szCs w:val="24"/>
        </w:rPr>
        <w:t>, 评审结论分为“合格”与“不合格”。</w:t>
      </w:r>
      <w:r>
        <w:rPr>
          <w:rFonts w:hint="eastAsia" w:ascii="宋体" w:hAnsi="宋体" w:eastAsia="宋体" w:cs="宋体"/>
          <w:color w:val="000000"/>
          <w:sz w:val="24"/>
          <w:szCs w:val="24"/>
          <w:lang w:eastAsia="zh-CN"/>
        </w:rPr>
        <w:t>审查</w:t>
      </w:r>
      <w:r>
        <w:rPr>
          <w:rFonts w:hint="eastAsia" w:ascii="宋体" w:hAnsi="宋体" w:eastAsia="宋体" w:cs="宋体"/>
          <w:color w:val="000000"/>
          <w:sz w:val="24"/>
          <w:szCs w:val="24"/>
        </w:rPr>
        <w:t>不合格的</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文件不再进行后续评审。</w:t>
      </w:r>
    </w:p>
    <w:p>
      <w:pPr>
        <w:pStyle w:val="58"/>
        <w:keepNext w:val="0"/>
        <w:keepLines w:val="0"/>
        <w:pageBreakBefore w:val="0"/>
        <w:widowControl w:val="0"/>
        <w:kinsoku/>
        <w:wordWrap/>
        <w:overflowPunct/>
        <w:topLinePunct w:val="0"/>
        <w:autoSpaceDE w:val="0"/>
        <w:autoSpaceDN w:val="0"/>
        <w:bidi w:val="0"/>
        <w:adjustRightInd/>
        <w:snapToGrid/>
        <w:spacing w:after="0" w:afterLines="50" w:line="288"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不符合评审标准情形之一的，应做无效投标处理：</w:t>
      </w:r>
    </w:p>
    <w:p>
      <w:pPr>
        <w:pStyle w:val="58"/>
        <w:jc w:val="center"/>
        <w:rPr>
          <w:rFonts w:hint="eastAsia" w:ascii="宋体" w:hAnsi="宋体" w:eastAsia="宋体" w:cs="宋体"/>
          <w:b/>
          <w:bCs/>
          <w:sz w:val="32"/>
          <w:szCs w:val="32"/>
        </w:rPr>
      </w:pPr>
      <w:r>
        <w:rPr>
          <w:rFonts w:hint="eastAsia" w:ascii="宋体" w:hAnsi="宋体" w:eastAsia="宋体" w:cs="宋体"/>
          <w:b/>
          <w:bCs/>
          <w:color w:val="000000"/>
          <w:kern w:val="0"/>
          <w:sz w:val="32"/>
          <w:szCs w:val="32"/>
          <w:lang w:val="en-US" w:eastAsia="zh-CN"/>
        </w:rPr>
        <w:t>符合性</w:t>
      </w:r>
      <w:r>
        <w:rPr>
          <w:rFonts w:hint="eastAsia" w:ascii="宋体" w:hAnsi="宋体" w:eastAsia="宋体" w:cs="宋体"/>
          <w:b/>
          <w:bCs/>
          <w:color w:val="000000"/>
          <w:kern w:val="0"/>
          <w:sz w:val="32"/>
          <w:szCs w:val="32"/>
          <w:lang w:val="en-US"/>
        </w:rPr>
        <w:t>审查</w:t>
      </w:r>
    </w:p>
    <w:tbl>
      <w:tblPr>
        <w:tblStyle w:val="23"/>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41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tblPrEx>
          <w:tblCellMar>
            <w:top w:w="0" w:type="dxa"/>
            <w:left w:w="0" w:type="dxa"/>
            <w:bottom w:w="0" w:type="dxa"/>
            <w:right w:w="0" w:type="dxa"/>
          </w:tblCellMar>
        </w:tblPrEx>
        <w:trPr>
          <w:cantSplit/>
          <w:trHeight w:val="567" w:hRule="exac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投标文件按招标文件规定要求</w:t>
            </w:r>
            <w:r>
              <w:rPr>
                <w:rFonts w:hint="eastAsia" w:cs="宋体"/>
                <w:color w:val="000000" w:themeColor="text1"/>
                <w:sz w:val="24"/>
                <w:szCs w:val="24"/>
                <w:lang w:eastAsia="zh-CN"/>
                <w14:textFill>
                  <w14:solidFill>
                    <w14:schemeClr w14:val="tx1"/>
                  </w14:solidFill>
                </w14:textFill>
              </w:rPr>
              <w:t>签署、盖章的；</w:t>
            </w:r>
          </w:p>
        </w:tc>
      </w:tr>
      <w:tr>
        <w:tblPrEx>
          <w:tblCellMar>
            <w:top w:w="0" w:type="dxa"/>
            <w:left w:w="0" w:type="dxa"/>
            <w:bottom w:w="0" w:type="dxa"/>
            <w:right w:w="0" w:type="dxa"/>
          </w:tblCellMar>
        </w:tblPrEx>
        <w:trPr>
          <w:cantSplit/>
          <w:trHeight w:val="567" w:hRule="exac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投标人的资格证明材料符合招标文件要求；</w:t>
            </w:r>
          </w:p>
        </w:tc>
      </w:tr>
      <w:tr>
        <w:tblPrEx>
          <w:tblCellMar>
            <w:top w:w="0" w:type="dxa"/>
            <w:left w:w="0" w:type="dxa"/>
            <w:bottom w:w="0" w:type="dxa"/>
            <w:right w:w="0" w:type="dxa"/>
          </w:tblCellMar>
        </w:tblPrEx>
        <w:trPr>
          <w:cantSplit/>
          <w:trHeight w:val="567" w:hRule="exac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color w:val="000000"/>
                <w:sz w:val="24"/>
                <w:szCs w:val="24"/>
                <w:lang w:eastAsia="zh-CN"/>
              </w:rPr>
            </w:pPr>
            <w:r>
              <w:rPr>
                <w:rFonts w:hint="eastAsia" w:cs="宋体"/>
                <w:color w:val="000000"/>
                <w:sz w:val="24"/>
                <w:szCs w:val="24"/>
                <w:lang w:eastAsia="zh-CN"/>
              </w:rPr>
              <w:t>开标一览表投标报价符合项目采购需求；</w:t>
            </w:r>
          </w:p>
        </w:tc>
      </w:tr>
      <w:tr>
        <w:tblPrEx>
          <w:tblCellMar>
            <w:top w:w="0" w:type="dxa"/>
            <w:left w:w="0" w:type="dxa"/>
            <w:bottom w:w="0" w:type="dxa"/>
            <w:right w:w="0" w:type="dxa"/>
          </w:tblCellMar>
        </w:tblPrEx>
        <w:trPr>
          <w:cantSplit/>
          <w:trHeight w:val="567" w:hRule="exac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4</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符合招标文件中规定的其他实质性要求；</w:t>
            </w:r>
          </w:p>
        </w:tc>
      </w:tr>
      <w:tr>
        <w:tblPrEx>
          <w:tblCellMar>
            <w:top w:w="0" w:type="dxa"/>
            <w:left w:w="0" w:type="dxa"/>
            <w:bottom w:w="0" w:type="dxa"/>
            <w:right w:w="0" w:type="dxa"/>
          </w:tblCellMar>
        </w:tblPrEx>
        <w:trPr>
          <w:cantSplit/>
          <w:trHeight w:val="567" w:hRule="exact"/>
          <w:jc w:val="center"/>
        </w:trPr>
        <w:tc>
          <w:tcPr>
            <w:tcW w:w="9160" w:type="dxa"/>
            <w:gridSpan w:val="2"/>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结论：是否通过符合性审查（填写：“通过”或“不通过”）</w:t>
            </w:r>
          </w:p>
        </w:tc>
      </w:tr>
      <w:tr>
        <w:tblPrEx>
          <w:tblCellMar>
            <w:top w:w="0" w:type="dxa"/>
            <w:left w:w="0" w:type="dxa"/>
            <w:bottom w:w="0" w:type="dxa"/>
            <w:right w:w="0" w:type="dxa"/>
          </w:tblCellMar>
        </w:tblPrEx>
        <w:trPr>
          <w:cantSplit/>
          <w:trHeight w:val="1344" w:hRule="atLeast"/>
          <w:jc w:val="center"/>
        </w:trPr>
        <w:tc>
          <w:tcPr>
            <w:tcW w:w="916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备注：如果</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14:textFill>
                  <w14:solidFill>
                    <w14:schemeClr w14:val="tx1"/>
                  </w14:solidFill>
                </w14:textFill>
              </w:rPr>
              <w:t>评审中有一项不满足审查标准的，</w:t>
            </w:r>
            <w:r>
              <w:rPr>
                <w:rFonts w:hint="eastAsia" w:ascii="宋体" w:hAnsi="宋体" w:eastAsia="宋体" w:cs="宋体"/>
                <w:color w:val="000000" w:themeColor="text1"/>
                <w:sz w:val="24"/>
                <w:szCs w:val="24"/>
                <w:lang w:eastAsia="zh-CN"/>
                <w14:textFill>
                  <w14:solidFill>
                    <w14:schemeClr w14:val="tx1"/>
                  </w14:solidFill>
                </w14:textFill>
              </w:rPr>
              <w:t>评标委员会</w:t>
            </w:r>
            <w:r>
              <w:rPr>
                <w:rFonts w:hint="eastAsia" w:ascii="宋体" w:hAnsi="宋体" w:eastAsia="宋体" w:cs="宋体"/>
                <w:color w:val="000000" w:themeColor="text1"/>
                <w:sz w:val="24"/>
                <w:szCs w:val="24"/>
                <w14:textFill>
                  <w14:solidFill>
                    <w14:schemeClr w14:val="tx1"/>
                  </w14:solidFill>
                </w14:textFill>
              </w:rPr>
              <w:t>将认定该</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不通过</w:t>
            </w:r>
            <w:r>
              <w:rPr>
                <w:rFonts w:hint="eastAsia" w:ascii="宋体" w:hAnsi="宋体" w:eastAsia="宋体" w:cs="宋体"/>
                <w:color w:val="000000" w:themeColor="text1"/>
                <w:sz w:val="24"/>
                <w:szCs w:val="24"/>
                <w:lang w:eastAsia="zh-CN"/>
                <w14:textFill>
                  <w14:solidFill>
                    <w14:schemeClr w14:val="tx1"/>
                  </w14:solidFill>
                </w14:textFill>
              </w:rPr>
              <w:t>符合性审查</w:t>
            </w:r>
            <w:r>
              <w:rPr>
                <w:rFonts w:hint="eastAsia" w:ascii="宋体" w:hAnsi="宋体" w:eastAsia="宋体" w:cs="宋体"/>
                <w:color w:val="000000" w:themeColor="text1"/>
                <w:sz w:val="24"/>
                <w:szCs w:val="24"/>
                <w14:textFill>
                  <w14:solidFill>
                    <w14:schemeClr w14:val="tx1"/>
                  </w14:solidFill>
                </w14:textFill>
              </w:rPr>
              <w:t>，不得进入下一阶段评审。并且不允许</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通过修改或撤销其不符合要求的差异或保留，使之成为具有响应性的</w:t>
            </w: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lang w:val="en-US"/>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tc>
      </w:tr>
    </w:tbl>
    <w:p>
      <w:pPr>
        <w:keepNext w:val="0"/>
        <w:keepLines w:val="0"/>
        <w:pageBreakBefore w:val="0"/>
        <w:kinsoku/>
        <w:wordWrap/>
        <w:overflowPunct/>
        <w:topLinePunct w:val="0"/>
        <w:bidi w:val="0"/>
        <w:adjustRightInd/>
        <w:snapToGrid/>
        <w:spacing w:after="0" w:afterLines="50" w:line="400" w:lineRule="exact"/>
        <w:textAlignment w:val="auto"/>
        <w:rPr>
          <w:rFonts w:hint="eastAsia" w:ascii="宋体" w:hAnsi="宋体" w:eastAsia="宋体" w:cs="宋体"/>
          <w:b/>
          <w:sz w:val="24"/>
          <w:szCs w:val="24"/>
        </w:rPr>
      </w:pPr>
      <w:r>
        <w:rPr>
          <w:rFonts w:hint="eastAsia" w:ascii="宋体" w:hAnsi="宋体" w:eastAsia="宋体" w:cs="宋体"/>
          <w:b/>
          <w:color w:val="000000"/>
          <w:sz w:val="32"/>
          <w:szCs w:val="32"/>
        </w:rPr>
        <w:t>（三）评审标准</w:t>
      </w:r>
      <w:r>
        <w:rPr>
          <w:rFonts w:hint="eastAsia" w:ascii="宋体" w:hAnsi="宋体" w:eastAsia="宋体" w:cs="宋体"/>
          <w:sz w:val="24"/>
          <w:szCs w:val="24"/>
        </w:rPr>
        <w:t>（数值计算结果均保留两位小数，第三位四舍五入）</w:t>
      </w:r>
    </w:p>
    <w:p>
      <w:pPr>
        <w:keepNext w:val="0"/>
        <w:keepLines w:val="0"/>
        <w:pageBreakBefore w:val="0"/>
        <w:kinsoku/>
        <w:wordWrap/>
        <w:overflowPunct/>
        <w:topLinePunct w:val="0"/>
        <w:bidi w:val="0"/>
        <w:adjustRightInd/>
        <w:snapToGrid/>
        <w:spacing w:before="0" w:after="0" w:afterLines="50" w:line="400" w:lineRule="exact"/>
        <w:ind w:firstLine="602" w:firstLineChars="200"/>
        <w:textAlignment w:val="auto"/>
        <w:rPr>
          <w:rFonts w:hint="eastAsia" w:ascii="宋体" w:hAnsi="宋体" w:eastAsia="宋体" w:cs="宋体"/>
          <w:b/>
          <w:sz w:val="28"/>
          <w:szCs w:val="28"/>
          <w:lang w:val="en-US"/>
        </w:rPr>
      </w:pPr>
      <w:r>
        <w:rPr>
          <w:rFonts w:hint="eastAsia" w:ascii="宋体" w:hAnsi="宋体" w:eastAsia="宋体" w:cs="宋体"/>
          <w:b/>
          <w:sz w:val="30"/>
          <w:szCs w:val="30"/>
        </w:rPr>
        <w:t>1、评审分值分布(满分100分)，</w:t>
      </w:r>
      <w:r>
        <w:rPr>
          <w:rFonts w:hint="eastAsia" w:ascii="宋体" w:hAnsi="宋体" w:eastAsia="宋体" w:cs="宋体"/>
          <w:b/>
          <w:sz w:val="28"/>
          <w:szCs w:val="28"/>
        </w:rPr>
        <w:t>详见下表。</w:t>
      </w:r>
    </w:p>
    <w:p>
      <w:pPr>
        <w:keepNext w:val="0"/>
        <w:keepLines w:val="0"/>
        <w:pageBreakBefore w:val="0"/>
        <w:kinsoku/>
        <w:wordWrap/>
        <w:overflowPunct/>
        <w:topLinePunct w:val="0"/>
        <w:bidi w:val="0"/>
        <w:adjustRightInd/>
        <w:snapToGrid/>
        <w:spacing w:before="0" w:after="0" w:afterLines="50"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1.1报价（</w:t>
      </w:r>
      <w:r>
        <w:rPr>
          <w:rFonts w:hint="eastAsia" w:ascii="宋体" w:hAnsi="宋体" w:eastAsia="宋体" w:cs="宋体"/>
          <w:b/>
          <w:bCs/>
          <w:sz w:val="30"/>
          <w:szCs w:val="30"/>
          <w:lang w:val="en-US"/>
        </w:rPr>
        <w:t>40</w:t>
      </w:r>
      <w:r>
        <w:rPr>
          <w:rFonts w:hint="eastAsia" w:ascii="宋体" w:hAnsi="宋体" w:eastAsia="宋体" w:cs="宋体"/>
          <w:b/>
          <w:bCs/>
          <w:sz w:val="30"/>
          <w:szCs w:val="30"/>
        </w:rPr>
        <w:t>分）</w:t>
      </w:r>
    </w:p>
    <w:p>
      <w:pPr>
        <w:keepNext w:val="0"/>
        <w:keepLines w:val="0"/>
        <w:pageBreakBefore w:val="0"/>
        <w:widowControl/>
        <w:numPr>
          <w:ilvl w:val="2"/>
          <w:numId w:val="3"/>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宋体" w:hAnsi="宋体" w:eastAsia="宋体" w:cs="宋体"/>
          <w:sz w:val="24"/>
          <w:szCs w:val="24"/>
          <w:lang w:val="en-US"/>
        </w:rPr>
      </w:pPr>
      <w:r>
        <w:rPr>
          <w:rFonts w:hint="eastAsia" w:ascii="宋体" w:hAnsi="宋体" w:eastAsia="宋体" w:cs="宋体"/>
          <w:b/>
          <w:bCs/>
          <w:sz w:val="28"/>
          <w:szCs w:val="28"/>
          <w:lang w:val="en-US"/>
        </w:rPr>
        <w:t>综合评分法中的价格分统一采用低价优先法计算，即满足招标文件要求且投标价格最低的投标报价为评标基准价，其价格分为满分40分，其它投标报价得分=评标基准价/投标报价*40。</w:t>
      </w:r>
    </w:p>
    <w:p>
      <w:pPr>
        <w:keepNext w:val="0"/>
        <w:keepLines w:val="0"/>
        <w:pageBreakBefore w:val="0"/>
        <w:widowControl/>
        <w:numPr>
          <w:ilvl w:val="2"/>
          <w:numId w:val="3"/>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宋体" w:hAnsi="宋体" w:eastAsia="宋体" w:cs="宋体"/>
          <w:b/>
          <w:bCs/>
          <w:sz w:val="28"/>
          <w:szCs w:val="28"/>
          <w:lang w:val="en-US"/>
        </w:rPr>
      </w:pPr>
      <w:r>
        <w:rPr>
          <w:rFonts w:hint="eastAsia" w:ascii="宋体" w:hAnsi="宋体" w:eastAsia="宋体" w:cs="宋体"/>
          <w:b/>
          <w:bCs/>
          <w:sz w:val="28"/>
          <w:szCs w:val="28"/>
          <w:lang w:val="en-US"/>
        </w:rPr>
        <w:t xml:space="preserve"> 因落实政府采购政策进行价格调整的，以调整后的价格计算评标基准价和投标</w:t>
      </w:r>
      <w:r>
        <w:rPr>
          <w:rFonts w:hint="eastAsia" w:ascii="宋体" w:hAnsi="宋体" w:eastAsia="宋体" w:cs="宋体"/>
          <w:b/>
          <w:bCs/>
          <w:sz w:val="28"/>
          <w:szCs w:val="28"/>
          <w:lang w:val="en-US" w:eastAsia="zh-CN"/>
        </w:rPr>
        <w:t>报价</w:t>
      </w:r>
      <w:r>
        <w:rPr>
          <w:rFonts w:hint="eastAsia" w:ascii="宋体" w:hAnsi="宋体" w:eastAsia="宋体" w:cs="宋体"/>
          <w:b/>
          <w:bCs/>
          <w:sz w:val="28"/>
          <w:szCs w:val="28"/>
          <w:lang w:val="en-US"/>
        </w:rPr>
        <w:t>。</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宋体" w:hAnsi="宋体" w:eastAsia="宋体" w:cs="宋体"/>
          <w:b/>
          <w:bCs/>
          <w:sz w:val="28"/>
          <w:szCs w:val="28"/>
          <w:lang w:val="en-US" w:eastAsia="zh-CN" w:bidi="zh-CN"/>
        </w:rPr>
      </w:pPr>
      <w:r>
        <w:rPr>
          <w:rFonts w:hint="eastAsia" w:ascii="宋体" w:hAnsi="宋体" w:eastAsia="宋体" w:cs="宋体"/>
          <w:b/>
          <w:bCs/>
          <w:sz w:val="28"/>
          <w:szCs w:val="28"/>
          <w:lang w:val="en-US" w:eastAsia="zh-CN" w:bidi="zh-CN"/>
        </w:rPr>
        <w:t>1.1.2.1</w:t>
      </w:r>
      <w:r>
        <w:rPr>
          <w:rFonts w:hint="eastAsia" w:ascii="宋体" w:hAnsi="宋体" w:eastAsia="宋体" w:cs="宋体"/>
          <w:b/>
          <w:bCs/>
          <w:sz w:val="28"/>
          <w:szCs w:val="28"/>
          <w:lang w:val="en-US"/>
        </w:rPr>
        <w:t>本项目落实政府采购政策，具体价格扣除比例</w:t>
      </w:r>
      <w:r>
        <w:rPr>
          <w:rFonts w:hint="eastAsia" w:cs="宋体"/>
          <w:b/>
          <w:bCs/>
          <w:sz w:val="28"/>
          <w:szCs w:val="28"/>
          <w:lang w:val="en-US" w:eastAsia="zh-CN"/>
        </w:rPr>
        <w:t>10</w:t>
      </w:r>
      <w:r>
        <w:rPr>
          <w:rFonts w:hint="eastAsia" w:ascii="宋体" w:hAnsi="宋体" w:eastAsia="宋体" w:cs="宋体"/>
          <w:b/>
          <w:bCs/>
          <w:sz w:val="28"/>
          <w:szCs w:val="28"/>
          <w:lang w:val="en-US"/>
        </w:rPr>
        <w:t>%。</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bidi="zh-CN"/>
        </w:rPr>
        <w:t>根据《关于进一步加大政府采购支持中小企业力度的通知》（财库〔2022〕19号）、</w:t>
      </w:r>
      <w:r>
        <w:rPr>
          <w:rFonts w:hint="eastAsia" w:ascii="仿宋" w:hAnsi="仿宋" w:eastAsia="仿宋" w:cs="仿宋"/>
          <w:b w:val="0"/>
          <w:bCs w:val="0"/>
          <w:sz w:val="28"/>
          <w:szCs w:val="28"/>
          <w:lang w:val="en-US"/>
        </w:rPr>
        <w:t>《政府采购促进中小企业发展管理办法》（财库〔2020〕46号）</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rPr>
        <w:t>《新疆维吾尔自治区政府采购促进中小企业发展管理实施办法》（新财规[2021]6号）</w:t>
      </w:r>
      <w:r>
        <w:rPr>
          <w:rFonts w:hint="eastAsia" w:ascii="仿宋" w:hAnsi="仿宋" w:eastAsia="仿宋" w:cs="仿宋"/>
          <w:b w:val="0"/>
          <w:bCs w:val="0"/>
          <w:sz w:val="28"/>
          <w:szCs w:val="28"/>
          <w:lang w:val="en-US" w:eastAsia="zh-CN"/>
        </w:rPr>
        <w:t>的相关规定：</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0" w:firstLineChars="200"/>
        <w:textAlignment w:val="auto"/>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对于未预留份额专门面向中小企业的采购项目，以及预留份额项目中的非预留部分采购包，采购人、采购代理机构应当对符合规定的小微企业报价给予10%</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rPr>
        <w:t>20%（工程项目为6%</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rPr>
        <w:t>10%）的扣除，用扣除后的价格参加评审。</w:t>
      </w:r>
    </w:p>
    <w:p>
      <w:pPr>
        <w:keepNext w:val="0"/>
        <w:keepLines w:val="0"/>
        <w:pageBreakBefore w:val="0"/>
        <w:widowControl/>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在货物采购项目中，供应商提供的货物既有中小企业制作货物，也有大型企业制造货物的，不享受中小企业扶持政策。</w:t>
      </w:r>
    </w:p>
    <w:p>
      <w:pPr>
        <w:keepNext w:val="0"/>
        <w:keepLines w:val="0"/>
        <w:pageBreakBefore w:val="0"/>
        <w:widowControl/>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rPr>
      </w:pPr>
      <w:r>
        <w:rPr>
          <w:rFonts w:hint="eastAsia" w:ascii="仿宋" w:hAnsi="仿宋" w:eastAsia="仿宋" w:cs="仿宋"/>
          <w:b/>
          <w:bCs/>
          <w:sz w:val="28"/>
          <w:szCs w:val="28"/>
          <w:lang w:val="en-US"/>
        </w:rPr>
        <w:t>中小企业参加本项目，应当出具本</w:t>
      </w:r>
      <w:r>
        <w:rPr>
          <w:rFonts w:hint="eastAsia" w:ascii="仿宋" w:hAnsi="仿宋" w:eastAsia="仿宋" w:cs="仿宋"/>
          <w:b/>
          <w:bCs/>
          <w:sz w:val="28"/>
          <w:szCs w:val="28"/>
          <w:lang w:val="en-US" w:eastAsia="zh-CN"/>
        </w:rPr>
        <w:t>招标</w:t>
      </w:r>
      <w:r>
        <w:rPr>
          <w:rFonts w:hint="eastAsia" w:ascii="仿宋" w:hAnsi="仿宋" w:eastAsia="仿宋" w:cs="仿宋"/>
          <w:b/>
          <w:bCs/>
          <w:sz w:val="28"/>
          <w:szCs w:val="28"/>
          <w:lang w:val="en-US"/>
        </w:rPr>
        <w:t>文件规定的《中小企业声明函》，否则不得享受相关中小企业扶持政策。</w:t>
      </w:r>
      <w:r>
        <w:rPr>
          <w:rFonts w:hint="eastAsia" w:ascii="仿宋" w:hAnsi="仿宋" w:eastAsia="仿宋" w:cs="仿宋"/>
          <w:b/>
          <w:bCs/>
          <w:sz w:val="28"/>
          <w:szCs w:val="28"/>
          <w:lang w:val="en-US" w:eastAsia="zh-CN"/>
        </w:rPr>
        <w:t>评标委员会</w:t>
      </w:r>
      <w:r>
        <w:rPr>
          <w:rFonts w:hint="eastAsia" w:ascii="仿宋" w:hAnsi="仿宋" w:eastAsia="仿宋" w:cs="仿宋"/>
          <w:b/>
          <w:bCs/>
          <w:sz w:val="28"/>
          <w:szCs w:val="28"/>
          <w:lang w:val="en-US"/>
        </w:rPr>
        <w:t>不得要求供应商提供《中小企业声明函》之外的中小企业身份证明文件。中小企业应当对其出具的《中小企业声明函》真实性负责。</w:t>
      </w:r>
    </w:p>
    <w:p>
      <w:pPr>
        <w:keepNext w:val="0"/>
        <w:keepLines w:val="0"/>
        <w:pageBreakBefore w:val="0"/>
        <w:widowControl/>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根据财政部发布的《政府采购促进中小企业发展政策问答》：在货物采购项目中，货物由中小企业制造（货物由中小企业生产且使用该中小企业商号或者注册商标）的，可享受中小企业扶持政策。如果一个采购项目或采购包含有多个采购标的的，则每个采购标的均应由中小企业制造。在问题所述的采购项目或者采购包中，大型企业提供的所有采购标的均为小微企业制造的，可享受价格评审优惠政策。</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宋体" w:hAnsi="宋体" w:eastAsia="宋体" w:cs="宋体"/>
          <w:b/>
          <w:bCs/>
          <w:sz w:val="28"/>
          <w:szCs w:val="28"/>
          <w:lang w:val="en-US"/>
        </w:rPr>
      </w:pPr>
      <w:r>
        <w:rPr>
          <w:rFonts w:hint="eastAsia" w:ascii="宋体" w:hAnsi="宋体" w:eastAsia="宋体" w:cs="宋体"/>
          <w:b/>
          <w:bCs/>
          <w:sz w:val="28"/>
          <w:szCs w:val="28"/>
          <w:lang w:val="en-US" w:eastAsia="zh-CN"/>
        </w:rPr>
        <w:t xml:space="preserve">1.1.2.2 </w:t>
      </w:r>
      <w:r>
        <w:rPr>
          <w:rFonts w:hint="eastAsia" w:ascii="宋体" w:hAnsi="宋体" w:eastAsia="宋体" w:cs="宋体"/>
          <w:b/>
          <w:bCs/>
          <w:sz w:val="28"/>
          <w:szCs w:val="28"/>
          <w:lang w:val="en-US"/>
        </w:rPr>
        <w:t>根据（财库〔2014〕68号）的规定：</w:t>
      </w:r>
    </w:p>
    <w:p>
      <w:pPr>
        <w:keepNext w:val="0"/>
        <w:keepLines w:val="0"/>
        <w:pageBreakBefore w:val="0"/>
        <w:kinsoku/>
        <w:wordWrap/>
        <w:overflowPunct/>
        <w:topLinePunct w:val="0"/>
        <w:autoSpaceDE/>
        <w:autoSpaceDN/>
        <w:bidi w:val="0"/>
        <w:adjustRightInd/>
        <w:snapToGrid/>
        <w:spacing w:before="0" w:after="0" w:afterLines="5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监狱企业参加政府采购活动时，应当提供由省级以上监狱管理局、戒毒管理局(含新疆生产建设兵团)出具的属于监狱企业的证明文件。</w:t>
      </w:r>
    </w:p>
    <w:p>
      <w:pPr>
        <w:keepNext w:val="0"/>
        <w:keepLines w:val="0"/>
        <w:pageBreakBefore w:val="0"/>
        <w:kinsoku/>
        <w:wordWrap/>
        <w:overflowPunct/>
        <w:topLinePunct w:val="0"/>
        <w:autoSpaceDE/>
        <w:autoSpaceDN/>
        <w:bidi w:val="0"/>
        <w:adjustRightInd/>
        <w:snapToGrid/>
        <w:spacing w:before="0" w:after="0" w:afterLines="50"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在政府采购活动中，监狱企业视同小型、微型企业，享受预留份额、评审中价格扣除等政府采购促进中小企业发展的政府采购政策。向监狱企业采购的金额，计入面向中小企业采购的统计数据。</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1.1.2.3《财政部民政部中国残疾人联合会关于促进残疾人就业政府采购政策的通知》（财库〔2017〕141号）的规定：</w:t>
      </w:r>
    </w:p>
    <w:p>
      <w:pPr>
        <w:keepNext w:val="0"/>
        <w:keepLines w:val="0"/>
        <w:pageBreakBefore w:val="0"/>
        <w:kinsoku/>
        <w:wordWrap/>
        <w:overflowPunct/>
        <w:topLinePunct w:val="0"/>
        <w:autoSpaceDE/>
        <w:autoSpaceDN/>
        <w:bidi w:val="0"/>
        <w:adjustRightInd/>
        <w:snapToGrid/>
        <w:spacing w:before="0" w:after="0" w:afterLines="50"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keepNext w:val="0"/>
        <w:keepLines w:val="0"/>
        <w:pageBreakBefore w:val="0"/>
        <w:kinsoku/>
        <w:wordWrap/>
        <w:overflowPunct/>
        <w:topLinePunct w:val="0"/>
        <w:autoSpaceDE/>
        <w:autoSpaceDN/>
        <w:bidi w:val="0"/>
        <w:adjustRightInd/>
        <w:snapToGrid/>
        <w:spacing w:before="0" w:after="0" w:afterLines="50"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kinsoku/>
        <w:wordWrap/>
        <w:overflowPunct/>
        <w:topLinePunct w:val="0"/>
        <w:bidi w:val="0"/>
        <w:adjustRightInd/>
        <w:snapToGrid/>
        <w:spacing w:before="0" w:after="0" w:afterLines="50" w:line="400" w:lineRule="exact"/>
        <w:ind w:firstLine="562" w:firstLineChars="200"/>
        <w:textAlignment w:val="auto"/>
        <w:rPr>
          <w:rFonts w:hint="eastAsia"/>
        </w:rPr>
      </w:pPr>
      <w:r>
        <w:rPr>
          <w:rFonts w:hint="eastAsia" w:ascii="宋体" w:hAnsi="宋体" w:eastAsia="宋体" w:cs="宋体"/>
          <w:b/>
          <w:bCs/>
          <w:sz w:val="28"/>
          <w:szCs w:val="28"/>
        </w:rPr>
        <w:t>1.2商务、技术部分（</w:t>
      </w:r>
      <w:r>
        <w:rPr>
          <w:rFonts w:hint="eastAsia" w:ascii="宋体" w:hAnsi="宋体" w:eastAsia="宋体" w:cs="宋体"/>
          <w:b/>
          <w:bCs/>
          <w:sz w:val="28"/>
          <w:szCs w:val="28"/>
          <w:lang w:val="en-US"/>
        </w:rPr>
        <w:t>60</w:t>
      </w:r>
      <w:r>
        <w:rPr>
          <w:rFonts w:hint="eastAsia" w:ascii="宋体" w:hAnsi="宋体" w:eastAsia="宋体" w:cs="宋体"/>
          <w:b/>
          <w:bCs/>
          <w:sz w:val="28"/>
          <w:szCs w:val="28"/>
        </w:rPr>
        <w:t>分）</w:t>
      </w:r>
    </w:p>
    <w:tbl>
      <w:tblPr>
        <w:tblStyle w:val="23"/>
        <w:tblpPr w:leftFromText="180" w:rightFromText="180" w:vertAnchor="text" w:horzAnchor="page" w:tblpXSpec="center" w:tblpY="185"/>
        <w:tblOverlap w:val="never"/>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063"/>
        <w:gridCol w:w="702"/>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序号</w:t>
            </w:r>
          </w:p>
        </w:tc>
        <w:tc>
          <w:tcPr>
            <w:tcW w:w="2063"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评分因素</w:t>
            </w:r>
          </w:p>
        </w:tc>
        <w:tc>
          <w:tcPr>
            <w:tcW w:w="702"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分数</w:t>
            </w:r>
          </w:p>
        </w:tc>
        <w:tc>
          <w:tcPr>
            <w:tcW w:w="6748"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w:t>
            </w: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tc>
        <w:tc>
          <w:tcPr>
            <w:tcW w:w="702"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综合评分法中的价格分统一采用低价优先法计算，即满足招标文件要求且投标价格最低的投标报价为评标基准价，其价格分为满分40分，其它投标报价得分=评标基准价/投标报价*40。</w:t>
            </w:r>
          </w:p>
          <w:p>
            <w:pPr>
              <w:pStyle w:val="39"/>
              <w:jc w:val="left"/>
              <w:rPr>
                <w:rFonts w:hint="eastAsia" w:ascii="宋体" w:hAnsi="宋体" w:eastAsia="宋体" w:cs="宋体"/>
                <w:sz w:val="24"/>
                <w:szCs w:val="24"/>
                <w:lang w:val="en-US"/>
              </w:rPr>
            </w:pPr>
            <w:r>
              <w:rPr>
                <w:rFonts w:hint="eastAsia" w:ascii="宋体" w:hAnsi="宋体" w:eastAsia="宋体" w:cs="宋体"/>
                <w:color w:val="auto"/>
                <w:sz w:val="24"/>
                <w:szCs w:val="24"/>
                <w:lang w:val="en-US" w:eastAsia="zh-CN" w:bidi="zh-CN"/>
              </w:rPr>
              <w:t>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w:t>
            </w:r>
          </w:p>
        </w:tc>
        <w:tc>
          <w:tcPr>
            <w:tcW w:w="2063"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rPr>
              <w:t>企业</w:t>
            </w:r>
            <w:r>
              <w:rPr>
                <w:rFonts w:hint="eastAsia" w:cs="宋体"/>
                <w:color w:val="000000"/>
                <w:sz w:val="24"/>
                <w:szCs w:val="24"/>
                <w:lang w:val="en-US" w:eastAsia="zh-CN"/>
              </w:rPr>
              <w:t>业绩</w:t>
            </w:r>
          </w:p>
        </w:tc>
        <w:tc>
          <w:tcPr>
            <w:tcW w:w="702"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10</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供应商提供2019年1月1日</w:t>
            </w:r>
            <w:r>
              <w:rPr>
                <w:rFonts w:hint="eastAsia" w:ascii="宋体" w:hAnsi="宋体" w:eastAsia="宋体" w:cs="宋体"/>
                <w:sz w:val="24"/>
                <w:szCs w:val="24"/>
                <w:lang w:val="en-US" w:eastAsia="zh-CN"/>
              </w:rPr>
              <w:t>至</w:t>
            </w:r>
            <w:r>
              <w:rPr>
                <w:rFonts w:hint="eastAsia" w:ascii="宋体" w:hAnsi="宋体" w:eastAsia="宋体" w:cs="宋体"/>
                <w:sz w:val="24"/>
                <w:szCs w:val="24"/>
                <w:lang w:val="en-US"/>
              </w:rPr>
              <w:t>202</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年</w:t>
            </w:r>
            <w:r>
              <w:rPr>
                <w:rFonts w:hint="eastAsia" w:cs="宋体"/>
                <w:sz w:val="24"/>
                <w:szCs w:val="24"/>
                <w:lang w:val="en-US" w:eastAsia="zh-CN"/>
              </w:rPr>
              <w:t>6</w:t>
            </w:r>
            <w:r>
              <w:rPr>
                <w:rFonts w:hint="eastAsia" w:ascii="宋体" w:hAnsi="宋体" w:eastAsia="宋体" w:cs="宋体"/>
                <w:sz w:val="24"/>
                <w:szCs w:val="24"/>
                <w:lang w:val="en-US"/>
              </w:rPr>
              <w:t>月</w:t>
            </w:r>
            <w:r>
              <w:rPr>
                <w:rFonts w:hint="eastAsia" w:cs="宋体"/>
                <w:sz w:val="24"/>
                <w:szCs w:val="24"/>
                <w:lang w:val="en-US" w:eastAsia="zh-CN"/>
              </w:rPr>
              <w:t>30</w:t>
            </w:r>
            <w:r>
              <w:rPr>
                <w:rFonts w:hint="eastAsia" w:ascii="宋体" w:hAnsi="宋体" w:eastAsia="宋体" w:cs="宋体"/>
                <w:sz w:val="24"/>
                <w:szCs w:val="24"/>
                <w:lang w:val="en-US"/>
              </w:rPr>
              <w:t>日</w:t>
            </w:r>
            <w:r>
              <w:rPr>
                <w:rFonts w:hint="eastAsia" w:ascii="宋体" w:hAnsi="宋体" w:eastAsia="宋体" w:cs="宋体"/>
                <w:sz w:val="24"/>
                <w:szCs w:val="24"/>
                <w:lang w:val="en-US" w:eastAsia="zh-CN"/>
              </w:rPr>
              <w:t>与本项目</w:t>
            </w:r>
            <w:r>
              <w:rPr>
                <w:rFonts w:hint="eastAsia" w:ascii="宋体" w:hAnsi="宋体" w:eastAsia="宋体" w:cs="宋体"/>
                <w:sz w:val="24"/>
                <w:szCs w:val="24"/>
                <w:lang w:val="en-US"/>
              </w:rPr>
              <w:t>类似业绩，每提供一项业绩证明得2分，满分10分。</w:t>
            </w:r>
            <w:r>
              <w:rPr>
                <w:rFonts w:hint="eastAsia" w:cs="宋体"/>
                <w:sz w:val="24"/>
                <w:szCs w:val="24"/>
                <w:lang w:val="en-US" w:eastAsia="zh-CN"/>
              </w:rPr>
              <w:t>必须</w:t>
            </w:r>
            <w:r>
              <w:rPr>
                <w:rFonts w:hint="eastAsia" w:ascii="宋体" w:hAnsi="宋体" w:eastAsia="宋体" w:cs="宋体"/>
                <w:sz w:val="24"/>
                <w:szCs w:val="24"/>
                <w:lang w:val="en-US"/>
              </w:rPr>
              <w:t>提供中标</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rPr>
              <w:t>通知书</w:t>
            </w:r>
            <w:r>
              <w:rPr>
                <w:rFonts w:hint="eastAsia" w:ascii="宋体" w:hAnsi="宋体" w:eastAsia="宋体" w:cs="宋体"/>
                <w:sz w:val="24"/>
                <w:szCs w:val="24"/>
                <w:lang w:val="en-US" w:eastAsia="zh-CN"/>
              </w:rPr>
              <w:t>或</w:t>
            </w:r>
            <w:r>
              <w:rPr>
                <w:rFonts w:hint="eastAsia" w:ascii="宋体" w:hAnsi="宋体" w:eastAsia="宋体" w:cs="宋体"/>
                <w:sz w:val="24"/>
                <w:szCs w:val="24"/>
                <w:lang w:val="en-US"/>
              </w:rPr>
              <w:t>合同复印件，未提供不得分。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3</w:t>
            </w:r>
          </w:p>
        </w:tc>
        <w:tc>
          <w:tcPr>
            <w:tcW w:w="2063" w:type="dxa"/>
            <w:tcBorders>
              <w:top w:val="single" w:color="auto" w:sz="4" w:space="0"/>
              <w:left w:val="single" w:color="auto" w:sz="4" w:space="0"/>
              <w:right w:val="single" w:color="auto" w:sz="4" w:space="0"/>
            </w:tcBorders>
            <w:noWrap/>
            <w:vAlign w:val="center"/>
          </w:tcPr>
          <w:p>
            <w:pPr>
              <w:widowControl/>
              <w:autoSpaceDE/>
              <w:autoSpaceDN/>
              <w:ind w:firstLine="240" w:firstLineChars="100"/>
              <w:jc w:val="both"/>
              <w:rPr>
                <w:rFonts w:hint="default" w:ascii="宋体" w:hAnsi="宋体" w:eastAsia="宋体" w:cs="宋体"/>
                <w:color w:val="000000"/>
                <w:sz w:val="24"/>
                <w:szCs w:val="24"/>
                <w:lang w:val="en-US" w:eastAsia="zh-CN"/>
              </w:rPr>
            </w:pPr>
            <w:r>
              <w:rPr>
                <w:rFonts w:hint="eastAsia" w:cs="宋体"/>
                <w:color w:val="000000"/>
                <w:sz w:val="24"/>
                <w:szCs w:val="24"/>
                <w:lang w:val="en-US" w:eastAsia="zh-CN"/>
              </w:rPr>
              <w:t>项目人员配置</w:t>
            </w:r>
          </w:p>
        </w:tc>
        <w:tc>
          <w:tcPr>
            <w:tcW w:w="702"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5</w:t>
            </w:r>
          </w:p>
        </w:tc>
        <w:tc>
          <w:tcPr>
            <w:tcW w:w="6748" w:type="dxa"/>
            <w:tcBorders>
              <w:top w:val="single" w:color="auto" w:sz="4" w:space="0"/>
              <w:left w:val="single" w:color="auto" w:sz="4" w:space="0"/>
              <w:bottom w:val="single" w:color="auto" w:sz="4" w:space="0"/>
              <w:right w:val="single" w:color="auto" w:sz="4" w:space="0"/>
            </w:tcBorders>
            <w:noWrap/>
            <w:vAlign w:val="center"/>
          </w:tcPr>
          <w:p>
            <w:pPr>
              <w:pStyle w:val="18"/>
              <w:pBdr>
                <w:bottom w:val="none" w:color="auto" w:sz="0" w:space="0"/>
              </w:pBdr>
              <w:jc w:val="left"/>
              <w:rPr>
                <w:rFonts w:hint="eastAsia" w:ascii="宋体" w:eastAsia="宋体" w:cs="宋体"/>
                <w:color w:val="000000" w:themeColor="text1"/>
                <w:sz w:val="24"/>
                <w:szCs w:val="24"/>
                <w:lang w:eastAsia="zh-CN"/>
                <w14:textFill>
                  <w14:solidFill>
                    <w14:schemeClr w14:val="tx1"/>
                  </w14:solidFill>
                </w14:textFill>
              </w:rPr>
            </w:pPr>
            <w:r>
              <w:rPr>
                <w:rFonts w:hint="eastAsia" w:ascii="宋体" w:eastAsia="宋体" w:cs="宋体"/>
                <w:color w:val="000000" w:themeColor="text1"/>
                <w:sz w:val="24"/>
                <w:szCs w:val="24"/>
                <w:lang w:val="en-US" w:eastAsia="zh-CN"/>
                <w14:textFill>
                  <w14:solidFill>
                    <w14:schemeClr w14:val="tx1"/>
                  </w14:solidFill>
                </w14:textFill>
              </w:rPr>
              <w:t>科学合理配备人员</w:t>
            </w:r>
          </w:p>
          <w:p>
            <w:pPr>
              <w:pStyle w:val="18"/>
              <w:pBdr>
                <w:bottom w:val="none" w:color="auto" w:sz="0" w:space="0"/>
              </w:pBd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①项目负责人为投标单位的专职人员（应附投标单位2022年</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月至2022年</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月份给员工缴纳的社保证明）得2分；</w:t>
            </w:r>
            <w:r>
              <w:rPr>
                <w:rFonts w:hint="eastAsia" w:ascii="宋体" w:eastAsia="宋体" w:cs="宋体"/>
                <w:color w:val="000000"/>
                <w:sz w:val="24"/>
              </w:rPr>
              <w:t>②</w:t>
            </w:r>
            <w:r>
              <w:rPr>
                <w:rFonts w:hint="eastAsia" w:ascii="宋体" w:eastAsia="宋体" w:cs="宋体"/>
                <w:color w:val="000000"/>
                <w:sz w:val="24"/>
                <w:lang w:eastAsia="zh-CN"/>
              </w:rPr>
              <w:t>本项目专职岗位人员</w:t>
            </w:r>
            <w:r>
              <w:rPr>
                <w:rFonts w:hint="eastAsia" w:ascii="宋体" w:eastAsia="宋体" w:cs="宋体"/>
                <w:color w:val="000000" w:themeColor="text1"/>
                <w:sz w:val="24"/>
                <w:szCs w:val="24"/>
                <w:lang w:val="en-US" w:eastAsia="zh-CN"/>
                <w14:textFill>
                  <w14:solidFill>
                    <w14:schemeClr w14:val="tx1"/>
                  </w14:solidFill>
                </w14:textFill>
              </w:rPr>
              <w:t>配置科学合理，人员配备符合或优于本项目需求岗位的得3分。</w:t>
            </w:r>
          </w:p>
          <w:p>
            <w:pPr>
              <w:pStyle w:val="18"/>
              <w:pBdr>
                <w:bottom w:val="none" w:color="auto" w:sz="0" w:space="0"/>
              </w:pBdr>
              <w:jc w:val="left"/>
              <w:rPr>
                <w:rFonts w:hint="eastAsia" w:ascii="宋体" w:eastAsia="宋体" w:cs="宋体"/>
                <w:color w:val="000000"/>
                <w:sz w:val="24"/>
                <w:szCs w:val="24"/>
                <w:lang w:val="en-US" w:eastAsia="zh-CN"/>
              </w:rPr>
            </w:pPr>
            <w:r>
              <w:rPr>
                <w:rFonts w:hint="eastAsia" w:ascii="宋体" w:eastAsia="宋体" w:cs="宋体"/>
                <w:color w:val="000000"/>
                <w:sz w:val="24"/>
                <w:lang w:eastAsia="zh-CN"/>
              </w:rPr>
              <w:t>未提供</w:t>
            </w:r>
            <w:r>
              <w:rPr>
                <w:rFonts w:hint="eastAsia" w:ascii="宋体" w:eastAsia="宋体" w:cs="宋体"/>
                <w:color w:val="000000"/>
                <w:sz w:val="24"/>
                <w:szCs w:val="24"/>
                <w:lang w:eastAsia="zh-CN"/>
              </w:rPr>
              <w:t>则不得分</w:t>
            </w:r>
            <w:r>
              <w:rPr>
                <w:rFonts w:hint="eastAsia" w:asci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4</w:t>
            </w:r>
          </w:p>
        </w:tc>
        <w:tc>
          <w:tcPr>
            <w:tcW w:w="2063" w:type="dxa"/>
            <w:tcBorders>
              <w:top w:val="single" w:color="auto" w:sz="4" w:space="0"/>
              <w:left w:val="single" w:color="auto" w:sz="4" w:space="0"/>
              <w:right w:val="single" w:color="auto" w:sz="4" w:space="0"/>
            </w:tcBorders>
            <w:noWrap/>
            <w:vAlign w:val="center"/>
          </w:tcPr>
          <w:p>
            <w:pPr>
              <w:widowControl/>
              <w:autoSpaceDE/>
              <w:autoSpaceDN/>
              <w:ind w:firstLine="480" w:firstLineChars="200"/>
              <w:jc w:val="both"/>
              <w:rPr>
                <w:rFonts w:hint="eastAsia" w:cs="宋体"/>
                <w:color w:val="000000"/>
                <w:sz w:val="24"/>
                <w:szCs w:val="24"/>
                <w:lang w:val="en-US" w:eastAsia="zh-CN"/>
              </w:rPr>
            </w:pPr>
            <w:r>
              <w:rPr>
                <w:rFonts w:hint="eastAsia" w:cs="宋体"/>
                <w:color w:val="000000"/>
                <w:sz w:val="24"/>
                <w:szCs w:val="24"/>
                <w:lang w:val="en-US" w:eastAsia="zh-CN"/>
              </w:rPr>
              <w:t>配送车辆</w:t>
            </w:r>
          </w:p>
        </w:tc>
        <w:tc>
          <w:tcPr>
            <w:tcW w:w="702" w:type="dxa"/>
            <w:tcBorders>
              <w:top w:val="single" w:color="auto" w:sz="4" w:space="0"/>
              <w:left w:val="single" w:color="auto" w:sz="4" w:space="0"/>
              <w:right w:val="single" w:color="auto" w:sz="4" w:space="0"/>
            </w:tcBorders>
            <w:noWrap/>
            <w:vAlign w:val="center"/>
          </w:tcPr>
          <w:p>
            <w:pPr>
              <w:widowControl/>
              <w:autoSpaceDE/>
              <w:autoSpaceDN/>
              <w:jc w:val="center"/>
              <w:rPr>
                <w:rFonts w:hint="default" w:cs="宋体"/>
                <w:color w:val="000000"/>
                <w:sz w:val="24"/>
                <w:szCs w:val="24"/>
                <w:lang w:val="en-US" w:eastAsia="zh-CN"/>
              </w:rPr>
            </w:pPr>
            <w:r>
              <w:rPr>
                <w:rFonts w:hint="eastAsia" w:cs="宋体"/>
                <w:color w:val="000000"/>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eastAsia="宋体" w:cs="宋体"/>
                <w:color w:val="000000"/>
                <w:sz w:val="24"/>
              </w:rPr>
            </w:pPr>
            <w:r>
              <w:rPr>
                <w:rFonts w:hint="eastAsia" w:ascii="宋体" w:hAnsi="宋体" w:eastAsia="宋体" w:cs="宋体"/>
                <w:sz w:val="24"/>
                <w:szCs w:val="24"/>
                <w:lang w:val="en-US" w:eastAsia="zh-CN"/>
              </w:rPr>
              <w:t>供应商提供配送车辆，车辆为自有或租赁。必须提供车辆的行驶证或租赁协议。</w:t>
            </w:r>
            <w:r>
              <w:rPr>
                <w:rFonts w:hint="eastAsia" w:ascii="宋体" w:eastAsia="宋体" w:cs="宋体"/>
                <w:color w:val="000000"/>
                <w:sz w:val="24"/>
                <w:lang w:eastAsia="zh-CN"/>
              </w:rPr>
              <w:t>未提供</w:t>
            </w:r>
            <w:r>
              <w:rPr>
                <w:rFonts w:hint="eastAsia" w:ascii="宋体" w:eastAsia="宋体" w:cs="宋体"/>
                <w:color w:val="000000"/>
                <w:sz w:val="24"/>
                <w:szCs w:val="24"/>
                <w:lang w:eastAsia="zh-CN"/>
              </w:rPr>
              <w:t>则不得分</w:t>
            </w:r>
            <w:r>
              <w:rPr>
                <w:rFonts w:hint="eastAsia" w:asci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5</w:t>
            </w:r>
          </w:p>
        </w:tc>
        <w:tc>
          <w:tcPr>
            <w:tcW w:w="2063" w:type="dxa"/>
            <w:tcBorders>
              <w:top w:val="single" w:color="auto" w:sz="4" w:space="0"/>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rPr>
              <w:t>质量保障</w:t>
            </w: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bidi="zh-CN"/>
              </w:rPr>
            </w:pPr>
            <w:r>
              <w:rPr>
                <w:rFonts w:hint="eastAsia" w:cs="宋体"/>
                <w:color w:val="auto"/>
                <w:kern w:val="2"/>
                <w:sz w:val="24"/>
                <w:szCs w:val="24"/>
                <w:lang w:val="en-US" w:eastAsia="zh-CN"/>
              </w:rPr>
              <w:t>8</w:t>
            </w:r>
          </w:p>
        </w:tc>
        <w:tc>
          <w:tcPr>
            <w:tcW w:w="67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根据投标人针对本项目提供的货物的质量保障方案，质量控制</w:t>
            </w:r>
            <w:r>
              <w:rPr>
                <w:rFonts w:hint="eastAsia" w:ascii="宋体" w:hAnsi="宋体" w:eastAsia="宋体" w:cs="宋体"/>
                <w:kern w:val="0"/>
                <w:sz w:val="24"/>
                <w:szCs w:val="24"/>
              </w:rPr>
              <w:t>措施</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质量事故的处理</w:t>
            </w:r>
            <w:r>
              <w:rPr>
                <w:rFonts w:hint="eastAsia" w:ascii="宋体" w:hAnsi="宋体" w:eastAsia="宋体" w:cs="宋体"/>
                <w:kern w:val="0"/>
                <w:sz w:val="24"/>
                <w:szCs w:val="24"/>
                <w:lang w:eastAsia="zh-CN"/>
              </w:rPr>
              <w:t>（</w:t>
            </w:r>
            <w:r>
              <w:rPr>
                <w:rFonts w:hint="eastAsia"/>
                <w:color w:val="000000" w:themeColor="text1"/>
                <w:sz w:val="24"/>
                <w:lang w:eastAsia="zh-CN"/>
                <w14:textFill>
                  <w14:solidFill>
                    <w14:schemeClr w14:val="tx1"/>
                  </w14:solidFill>
                </w14:textFill>
              </w:rPr>
              <w:t>产品检测不合格的应对措施和经济处罚承诺</w:t>
            </w:r>
            <w:r>
              <w:rPr>
                <w:rFonts w:hint="eastAsia" w:ascii="宋体" w:hAnsi="宋体" w:eastAsia="宋体" w:cs="宋体"/>
                <w:kern w:val="0"/>
                <w:sz w:val="24"/>
                <w:szCs w:val="24"/>
                <w:lang w:eastAsia="zh-CN"/>
              </w:rPr>
              <w:t>），</w:t>
            </w:r>
            <w:r>
              <w:rPr>
                <w:rFonts w:hint="eastAsia" w:ascii="宋体" w:hAnsi="宋体" w:eastAsia="宋体" w:cs="宋体"/>
                <w:b w:val="0"/>
                <w:bCs w:val="0"/>
                <w:color w:val="auto"/>
                <w:sz w:val="24"/>
                <w:szCs w:val="24"/>
                <w:lang w:val="en-US" w:eastAsia="zh-CN" w:bidi="zh-CN"/>
              </w:rPr>
              <w:t>完整清晰明确且科学合理、可行性高具有针对性并满足采购需求的方面</w:t>
            </w:r>
            <w:r>
              <w:rPr>
                <w:rFonts w:hint="eastAsia" w:ascii="宋体" w:hAnsi="宋体" w:eastAsia="宋体" w:cs="宋体"/>
                <w:kern w:val="0"/>
                <w:sz w:val="24"/>
                <w:szCs w:val="24"/>
                <w:lang w:eastAsia="zh-CN"/>
              </w:rPr>
              <w:t>进行横向比较，</w:t>
            </w:r>
            <w:r>
              <w:rPr>
                <w:rFonts w:hint="eastAsia" w:ascii="宋体" w:hAnsi="宋体" w:eastAsia="宋体" w:cs="宋体"/>
                <w:kern w:val="0"/>
                <w:sz w:val="24"/>
                <w:szCs w:val="24"/>
              </w:rPr>
              <w:t>排名第一的得</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分，其余依次递减</w:t>
            </w:r>
            <w:r>
              <w:rPr>
                <w:rFonts w:hint="eastAsia" w:cs="宋体"/>
                <w:kern w:val="0"/>
                <w:sz w:val="24"/>
                <w:szCs w:val="24"/>
                <w:lang w:val="en-US" w:eastAsia="zh-CN"/>
              </w:rPr>
              <w:t>2</w:t>
            </w:r>
            <w:r>
              <w:rPr>
                <w:rFonts w:hint="eastAsia" w:ascii="宋体" w:hAnsi="宋体" w:eastAsia="宋体" w:cs="宋体"/>
                <w:kern w:val="0"/>
                <w:sz w:val="24"/>
                <w:szCs w:val="24"/>
              </w:rPr>
              <w:t>分，最低得0分</w:t>
            </w:r>
            <w:r>
              <w:rPr>
                <w:rFonts w:hint="eastAsia" w:ascii="宋体" w:hAnsi="宋体" w:eastAsia="宋体" w:cs="宋体"/>
                <w:kern w:val="0"/>
                <w:sz w:val="24"/>
                <w:szCs w:val="24"/>
                <w:lang w:eastAsia="zh-CN"/>
              </w:rPr>
              <w:t>，投标文件未提供质量保障方案得</w:t>
            </w:r>
            <w:r>
              <w:rPr>
                <w:rFonts w:hint="eastAsia" w:ascii="宋体" w:hAnsi="宋体" w:eastAsia="宋体" w:cs="宋体"/>
                <w:kern w:val="0"/>
                <w:sz w:val="24"/>
                <w:szCs w:val="24"/>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6</w:t>
            </w:r>
          </w:p>
        </w:tc>
        <w:tc>
          <w:tcPr>
            <w:tcW w:w="2063" w:type="dxa"/>
            <w:tcBorders>
              <w:top w:val="single" w:color="auto" w:sz="4" w:space="0"/>
              <w:left w:val="single" w:color="auto" w:sz="4" w:space="0"/>
              <w:right w:val="single" w:color="auto" w:sz="4" w:space="0"/>
            </w:tcBorders>
            <w:noWrap/>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000000"/>
                <w:kern w:val="0"/>
                <w:sz w:val="22"/>
                <w:szCs w:val="22"/>
                <w:lang w:val="en-US" w:eastAsia="zh-CN" w:bidi="ar"/>
              </w:rPr>
              <w:t>应急方案</w:t>
            </w: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rPr>
              <w:t>6</w:t>
            </w:r>
          </w:p>
        </w:tc>
        <w:tc>
          <w:tcPr>
            <w:tcW w:w="67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sz w:val="24"/>
                <w:szCs w:val="24"/>
                <w:lang w:val="en-US" w:eastAsia="zh-CN" w:bidi="zh-CN"/>
              </w:rPr>
            </w:pPr>
            <w:r>
              <w:rPr>
                <w:rFonts w:hint="eastAsia" w:cs="宋体"/>
                <w:sz w:val="24"/>
                <w:szCs w:val="24"/>
                <w:lang w:val="en-US" w:eastAsia="zh-CN"/>
              </w:rPr>
              <w:t>根据投标人</w:t>
            </w:r>
            <w:r>
              <w:rPr>
                <w:rFonts w:hint="eastAsia" w:ascii="宋体" w:hAnsi="宋体" w:eastAsia="宋体" w:cs="宋体"/>
                <w:sz w:val="24"/>
                <w:szCs w:val="24"/>
                <w:lang w:val="en-US" w:eastAsia="zh-CN"/>
              </w:rPr>
              <w:t>提供</w:t>
            </w:r>
            <w:r>
              <w:rPr>
                <w:rFonts w:hint="eastAsia" w:cs="宋体"/>
                <w:sz w:val="24"/>
                <w:szCs w:val="24"/>
                <w:lang w:val="en-US" w:eastAsia="zh-CN"/>
              </w:rPr>
              <w:t>的发生</w:t>
            </w:r>
            <w:r>
              <w:rPr>
                <w:rFonts w:hint="eastAsia" w:ascii="宋体" w:hAnsi="宋体" w:eastAsia="宋体" w:cs="宋体"/>
                <w:sz w:val="24"/>
                <w:szCs w:val="24"/>
                <w:lang w:val="en-US" w:eastAsia="zh-CN"/>
              </w:rPr>
              <w:t>配送超时</w:t>
            </w:r>
            <w:r>
              <w:rPr>
                <w:rFonts w:hint="eastAsia" w:cs="宋体"/>
                <w:sz w:val="24"/>
                <w:szCs w:val="24"/>
                <w:lang w:val="en-US" w:eastAsia="zh-CN"/>
              </w:rPr>
              <w:t>或遇到</w:t>
            </w:r>
            <w:r>
              <w:rPr>
                <w:rFonts w:hint="eastAsia" w:ascii="宋体" w:hAnsi="宋体" w:eastAsia="宋体" w:cs="宋体"/>
                <w:sz w:val="24"/>
                <w:szCs w:val="24"/>
                <w:lang w:val="en-US" w:eastAsia="zh-CN"/>
              </w:rPr>
              <w:t>突发情况时的应急</w:t>
            </w:r>
            <w:r>
              <w:rPr>
                <w:rFonts w:hint="eastAsia" w:cs="宋体"/>
                <w:sz w:val="24"/>
                <w:szCs w:val="24"/>
                <w:lang w:val="en-US" w:eastAsia="zh-CN"/>
              </w:rPr>
              <w:t>解决方案</w:t>
            </w:r>
            <w:r>
              <w:rPr>
                <w:rFonts w:hint="eastAsia"/>
                <w:color w:val="000000" w:themeColor="text1"/>
                <w:sz w:val="24"/>
                <w:lang w:eastAsia="zh-CN"/>
                <w14:textFill>
                  <w14:solidFill>
                    <w14:schemeClr w14:val="tx1"/>
                  </w14:solidFill>
                </w14:textFill>
              </w:rPr>
              <w:t>和经济处罚承诺</w:t>
            </w:r>
            <w:r>
              <w:rPr>
                <w:rFonts w:hint="eastAsia" w:ascii="宋体" w:hAnsi="宋体" w:eastAsia="宋体" w:cs="宋体"/>
                <w:b w:val="0"/>
                <w:bCs w:val="0"/>
                <w:color w:val="auto"/>
                <w:sz w:val="24"/>
                <w:szCs w:val="24"/>
                <w:lang w:val="en-US" w:eastAsia="zh-CN" w:bidi="zh-CN"/>
              </w:rPr>
              <w:t>完整清晰明确且科学合理、可行性高具有针对性并满足采购需求</w:t>
            </w:r>
            <w:r>
              <w:rPr>
                <w:rFonts w:hint="eastAsia" w:cs="宋体"/>
                <w:b w:val="0"/>
                <w:bCs w:val="0"/>
                <w:color w:val="auto"/>
                <w:sz w:val="24"/>
                <w:szCs w:val="24"/>
                <w:lang w:val="en-US" w:eastAsia="zh-CN" w:bidi="zh-CN"/>
              </w:rPr>
              <w:t>方面</w:t>
            </w:r>
            <w:r>
              <w:rPr>
                <w:rFonts w:hint="eastAsia" w:ascii="宋体" w:hAnsi="宋体" w:eastAsia="宋体" w:cs="宋体"/>
                <w:kern w:val="0"/>
                <w:sz w:val="24"/>
                <w:szCs w:val="24"/>
                <w:lang w:eastAsia="zh-CN"/>
              </w:rPr>
              <w:t>进行横向比较，</w:t>
            </w:r>
            <w:r>
              <w:rPr>
                <w:rFonts w:hint="eastAsia" w:ascii="宋体" w:hAnsi="宋体" w:eastAsia="宋体" w:cs="宋体"/>
                <w:kern w:val="0"/>
                <w:sz w:val="24"/>
                <w:szCs w:val="24"/>
              </w:rPr>
              <w:t>排名第一的得</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分，其余依次递减</w:t>
            </w:r>
            <w:r>
              <w:rPr>
                <w:rFonts w:hint="eastAsia" w:cs="宋体"/>
                <w:kern w:val="0"/>
                <w:sz w:val="24"/>
                <w:szCs w:val="24"/>
                <w:lang w:val="en-US" w:eastAsia="zh-CN"/>
              </w:rPr>
              <w:t>2</w:t>
            </w:r>
            <w:r>
              <w:rPr>
                <w:rFonts w:hint="eastAsia" w:ascii="宋体" w:hAnsi="宋体" w:eastAsia="宋体" w:cs="宋体"/>
                <w:kern w:val="0"/>
                <w:sz w:val="24"/>
                <w:szCs w:val="24"/>
              </w:rPr>
              <w:t>分，最低得0分</w:t>
            </w:r>
            <w:r>
              <w:rPr>
                <w:rFonts w:hint="eastAsia" w:ascii="宋体" w:hAnsi="宋体" w:eastAsia="宋体" w:cs="宋体"/>
                <w:kern w:val="0"/>
                <w:sz w:val="24"/>
                <w:szCs w:val="24"/>
                <w:lang w:eastAsia="zh-CN"/>
              </w:rPr>
              <w:t>，投标文件未提供应急方案得</w:t>
            </w:r>
            <w:r>
              <w:rPr>
                <w:rFonts w:hint="eastAsia" w:ascii="宋体" w:hAnsi="宋体" w:eastAsia="宋体" w:cs="宋体"/>
                <w:kern w:val="0"/>
                <w:sz w:val="24"/>
                <w:szCs w:val="24"/>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7</w:t>
            </w:r>
          </w:p>
        </w:tc>
        <w:tc>
          <w:tcPr>
            <w:tcW w:w="2063" w:type="dxa"/>
            <w:tcBorders>
              <w:top w:val="single" w:color="auto" w:sz="4" w:space="0"/>
              <w:left w:val="single" w:color="auto" w:sz="4" w:space="0"/>
              <w:right w:val="single" w:color="auto" w:sz="4" w:space="0"/>
            </w:tcBorders>
            <w:noWrap/>
            <w:vAlign w:val="center"/>
          </w:tcPr>
          <w:p>
            <w:pPr>
              <w:keepNext w:val="0"/>
              <w:keepLines w:val="0"/>
              <w:widowControl/>
              <w:suppressLineNumbers w:val="0"/>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服务响应时间</w:t>
            </w:r>
          </w:p>
        </w:tc>
        <w:tc>
          <w:tcPr>
            <w:tcW w:w="702" w:type="dxa"/>
            <w:tcBorders>
              <w:top w:val="single" w:color="auto" w:sz="4" w:space="0"/>
              <w:left w:val="single" w:color="auto" w:sz="4" w:space="0"/>
              <w:right w:val="single" w:color="auto" w:sz="4" w:space="0"/>
            </w:tcBorders>
            <w:noWrap/>
            <w:vAlign w:val="center"/>
          </w:tcPr>
          <w:p>
            <w:pPr>
              <w:keepNext w:val="0"/>
              <w:keepLines w:val="0"/>
              <w:widowControl/>
              <w:suppressLineNumbers w:val="0"/>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default" w:ascii="宋体" w:hAnsi="宋体" w:eastAsia="宋体" w:cs="宋体"/>
                <w:sz w:val="24"/>
                <w:szCs w:val="24"/>
                <w:lang w:val="en-US" w:eastAsia="zh-CN" w:bidi="zh-CN"/>
              </w:rPr>
            </w:pPr>
            <w:r>
              <w:rPr>
                <w:rFonts w:hint="eastAsia" w:ascii="宋体" w:hAnsi="宋体" w:eastAsia="宋体" w:cs="宋体"/>
                <w:b w:val="0"/>
                <w:bCs w:val="0"/>
                <w:color w:val="auto"/>
                <w:sz w:val="24"/>
                <w:szCs w:val="24"/>
                <w:lang w:val="en-US" w:eastAsia="zh-CN" w:bidi="zh-CN"/>
              </w:rPr>
              <w:t>投标人的服务响应时间承诺优于采购需求“接到订单后，须在2个工作日以内或指定送货日送到。如遇急用订单，必须在指定送货时间30分钟内将指定货物送到指定地点。”得2分。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67" w:type="dxa"/>
            <w:vMerge w:val="restart"/>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8</w:t>
            </w:r>
          </w:p>
        </w:tc>
        <w:tc>
          <w:tcPr>
            <w:tcW w:w="2063" w:type="dxa"/>
            <w:vMerge w:val="restart"/>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r>
              <w:rPr>
                <w:rFonts w:hint="eastAsia" w:cs="宋体"/>
                <w:color w:val="auto"/>
                <w:kern w:val="2"/>
                <w:sz w:val="24"/>
                <w:szCs w:val="24"/>
                <w:lang w:val="en-US" w:eastAsia="zh-CN"/>
              </w:rPr>
              <w:t>履约能力</w:t>
            </w:r>
          </w:p>
        </w:tc>
        <w:tc>
          <w:tcPr>
            <w:tcW w:w="702" w:type="dxa"/>
            <w:tcBorders>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①项目实施计划</w:t>
            </w:r>
            <w:r>
              <w:rPr>
                <w:rFonts w:hint="eastAsia" w:ascii="宋体" w:hAnsi="宋体" w:eastAsia="宋体" w:cs="宋体"/>
                <w:color w:val="auto"/>
                <w:kern w:val="2"/>
                <w:sz w:val="24"/>
                <w:szCs w:val="24"/>
              </w:rPr>
              <w:t>供货进度安排</w:t>
            </w:r>
            <w:r>
              <w:rPr>
                <w:rFonts w:hint="eastAsia" w:cs="宋体"/>
                <w:color w:val="auto"/>
                <w:kern w:val="2"/>
                <w:sz w:val="24"/>
                <w:szCs w:val="24"/>
                <w:lang w:eastAsia="zh-CN"/>
              </w:rPr>
              <w:t>：根据</w:t>
            </w:r>
            <w:r>
              <w:rPr>
                <w:rFonts w:hint="eastAsia" w:ascii="宋体" w:hAnsi="宋体" w:eastAsia="宋体" w:cs="宋体"/>
                <w:color w:val="auto"/>
                <w:kern w:val="2"/>
                <w:sz w:val="24"/>
                <w:szCs w:val="24"/>
              </w:rPr>
              <w:t>方案内容完整清晰明确且科学合理、可行性高并满足采购需求</w:t>
            </w:r>
            <w:r>
              <w:rPr>
                <w:rFonts w:hint="eastAsia" w:cs="宋体"/>
                <w:color w:val="auto"/>
                <w:kern w:val="2"/>
                <w:sz w:val="24"/>
                <w:szCs w:val="24"/>
                <w:lang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②</w:t>
            </w:r>
            <w:r>
              <w:rPr>
                <w:rFonts w:hint="eastAsia" w:ascii="宋体" w:hAnsi="宋体" w:eastAsia="宋体" w:cs="宋体"/>
                <w:color w:val="auto"/>
                <w:kern w:val="2"/>
                <w:sz w:val="24"/>
                <w:szCs w:val="24"/>
              </w:rPr>
              <w:t>项目管理方案</w:t>
            </w:r>
            <w:r>
              <w:rPr>
                <w:rFonts w:hint="eastAsia" w:cs="宋体"/>
                <w:color w:val="auto"/>
                <w:kern w:val="2"/>
                <w:sz w:val="24"/>
                <w:szCs w:val="24"/>
                <w:lang w:eastAsia="zh-CN"/>
              </w:rPr>
              <w:t>：根据</w:t>
            </w:r>
            <w:r>
              <w:rPr>
                <w:rFonts w:hint="eastAsia" w:ascii="宋体" w:hAnsi="宋体" w:eastAsia="宋体" w:cs="宋体"/>
                <w:color w:val="auto"/>
                <w:kern w:val="2"/>
                <w:sz w:val="24"/>
                <w:szCs w:val="24"/>
              </w:rPr>
              <w:t>方案内容完整清晰明确且科学合理、可行性高并满足采购需求</w:t>
            </w:r>
            <w:r>
              <w:rPr>
                <w:rFonts w:hint="eastAsia" w:cs="宋体"/>
                <w:color w:val="auto"/>
                <w:kern w:val="2"/>
                <w:sz w:val="24"/>
                <w:szCs w:val="24"/>
                <w:lang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3</w:t>
            </w:r>
          </w:p>
        </w:tc>
        <w:tc>
          <w:tcPr>
            <w:tcW w:w="6748"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③</w:t>
            </w:r>
            <w:r>
              <w:rPr>
                <w:rFonts w:hint="eastAsia" w:ascii="宋体" w:hAnsi="宋体" w:eastAsia="宋体" w:cs="宋体"/>
                <w:color w:val="auto"/>
                <w:kern w:val="2"/>
                <w:sz w:val="24"/>
                <w:szCs w:val="24"/>
              </w:rPr>
              <w:t>项目具体实施说明</w:t>
            </w:r>
            <w:r>
              <w:rPr>
                <w:rFonts w:hint="eastAsia" w:cs="宋体"/>
                <w:color w:val="auto"/>
                <w:kern w:val="2"/>
                <w:sz w:val="24"/>
                <w:szCs w:val="24"/>
                <w:lang w:eastAsia="zh-CN"/>
              </w:rPr>
              <w:t>：根据</w:t>
            </w:r>
            <w:r>
              <w:rPr>
                <w:rFonts w:hint="eastAsia" w:ascii="宋体" w:hAnsi="宋体" w:eastAsia="宋体" w:cs="宋体"/>
                <w:color w:val="auto"/>
                <w:kern w:val="2"/>
                <w:sz w:val="24"/>
                <w:szCs w:val="24"/>
              </w:rPr>
              <w:t>方案内容完整清晰明确且科学合理、可行性高具有针对性并满足采购需求</w:t>
            </w:r>
            <w:r>
              <w:rPr>
                <w:rFonts w:hint="eastAsia" w:cs="宋体"/>
                <w:color w:val="auto"/>
                <w:kern w:val="2"/>
                <w:sz w:val="24"/>
                <w:szCs w:val="24"/>
                <w:lang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3</w:t>
            </w:r>
          </w:p>
        </w:tc>
        <w:tc>
          <w:tcPr>
            <w:tcW w:w="6748"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④</w:t>
            </w:r>
            <w:r>
              <w:rPr>
                <w:rFonts w:hint="eastAsia" w:ascii="宋体" w:hAnsi="宋体" w:eastAsia="宋体" w:cs="宋体"/>
                <w:color w:val="auto"/>
                <w:kern w:val="2"/>
                <w:sz w:val="24"/>
                <w:szCs w:val="24"/>
              </w:rPr>
              <w:t>质量保障措施</w:t>
            </w:r>
            <w:r>
              <w:rPr>
                <w:rFonts w:hint="eastAsia" w:ascii="宋体" w:hAnsi="宋体" w:eastAsia="宋体" w:cs="宋体"/>
                <w:color w:val="auto"/>
                <w:kern w:val="2"/>
                <w:sz w:val="24"/>
                <w:szCs w:val="24"/>
                <w:lang w:eastAsia="zh-CN"/>
              </w:rPr>
              <w:t>；</w:t>
            </w:r>
            <w:r>
              <w:rPr>
                <w:rFonts w:hint="eastAsia" w:cs="宋体"/>
                <w:color w:val="auto"/>
                <w:kern w:val="2"/>
                <w:sz w:val="24"/>
                <w:szCs w:val="24"/>
                <w:lang w:eastAsia="zh-CN"/>
              </w:rPr>
              <w:t>根据</w:t>
            </w:r>
            <w:r>
              <w:rPr>
                <w:rFonts w:hint="eastAsia" w:ascii="宋体" w:hAnsi="宋体" w:eastAsia="宋体" w:cs="宋体"/>
                <w:color w:val="auto"/>
                <w:kern w:val="2"/>
                <w:sz w:val="24"/>
                <w:szCs w:val="24"/>
              </w:rPr>
              <w:t>方案内容完整清晰明确且科学合理、可行性高具有针对性并满足采购需求</w:t>
            </w:r>
            <w:r>
              <w:rPr>
                <w:rFonts w:hint="eastAsia" w:cs="宋体"/>
                <w:color w:val="auto"/>
                <w:kern w:val="2"/>
                <w:sz w:val="24"/>
                <w:szCs w:val="24"/>
                <w:lang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⑤监督制度等内容</w:t>
            </w:r>
            <w:r>
              <w:rPr>
                <w:rFonts w:hint="eastAsia" w:cs="宋体"/>
                <w:color w:val="auto"/>
                <w:kern w:val="2"/>
                <w:sz w:val="24"/>
                <w:szCs w:val="24"/>
                <w:lang w:val="en-US" w:eastAsia="zh-CN"/>
              </w:rPr>
              <w:t>：</w:t>
            </w:r>
            <w:r>
              <w:rPr>
                <w:rFonts w:hint="eastAsia" w:cs="宋体"/>
                <w:color w:val="auto"/>
                <w:kern w:val="2"/>
                <w:sz w:val="24"/>
                <w:szCs w:val="24"/>
                <w:lang w:eastAsia="zh-CN"/>
              </w:rPr>
              <w:t>根据</w:t>
            </w:r>
            <w:r>
              <w:rPr>
                <w:rFonts w:hint="eastAsia" w:ascii="宋体" w:hAnsi="宋体" w:eastAsia="宋体" w:cs="宋体"/>
                <w:color w:val="auto"/>
                <w:kern w:val="2"/>
                <w:sz w:val="24"/>
                <w:szCs w:val="24"/>
              </w:rPr>
              <w:t>方案内容完整清晰明确且科学合理、可行性高并满足采购需求</w:t>
            </w:r>
            <w:r>
              <w:rPr>
                <w:rFonts w:hint="eastAsia" w:cs="宋体"/>
                <w:color w:val="auto"/>
                <w:kern w:val="2"/>
                <w:sz w:val="24"/>
                <w:szCs w:val="24"/>
                <w:lang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7" w:type="dxa"/>
            <w:vMerge w:val="restart"/>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9</w:t>
            </w:r>
          </w:p>
        </w:tc>
        <w:tc>
          <w:tcPr>
            <w:tcW w:w="2063" w:type="dxa"/>
            <w:vMerge w:val="restart"/>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r>
              <w:rPr>
                <w:rFonts w:hint="eastAsia" w:cs="宋体"/>
                <w:color w:val="auto"/>
                <w:kern w:val="2"/>
                <w:sz w:val="24"/>
                <w:szCs w:val="24"/>
                <w:lang w:val="en-US" w:eastAsia="zh-CN"/>
              </w:rPr>
              <w:t>售后</w:t>
            </w:r>
            <w:r>
              <w:rPr>
                <w:rFonts w:hint="eastAsia" w:ascii="宋体" w:hAnsi="宋体" w:eastAsia="宋体" w:cs="宋体"/>
                <w:color w:val="auto"/>
                <w:kern w:val="2"/>
                <w:sz w:val="24"/>
                <w:szCs w:val="24"/>
                <w:lang w:val="en-US" w:eastAsia="zh-CN"/>
              </w:rPr>
              <w:t>服务</w:t>
            </w: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1</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rPr>
              <w:t>①售后服务承诺</w:t>
            </w:r>
            <w:r>
              <w:rPr>
                <w:rFonts w:hint="eastAsia" w:cs="宋体"/>
                <w:sz w:val="24"/>
                <w:szCs w:val="24"/>
                <w:lang w:val="en-US" w:eastAsia="zh-CN"/>
              </w:rPr>
              <w:t>：根据</w:t>
            </w:r>
            <w:r>
              <w:rPr>
                <w:rFonts w:hint="eastAsia" w:ascii="宋体" w:hAnsi="宋体" w:eastAsia="宋体" w:cs="宋体"/>
                <w:sz w:val="24"/>
                <w:szCs w:val="24"/>
                <w:lang w:val="en-US"/>
              </w:rPr>
              <w:t>方案内容完整清晰明确</w:t>
            </w:r>
            <w:r>
              <w:rPr>
                <w:rFonts w:hint="eastAsia" w:cs="宋体"/>
                <w:sz w:val="24"/>
                <w:szCs w:val="24"/>
                <w:lang w:val="en-US" w:eastAsia="zh-CN"/>
              </w:rPr>
              <w:t>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1</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②售后服务流程</w:t>
            </w:r>
            <w:r>
              <w:rPr>
                <w:rFonts w:hint="eastAsia" w:cs="宋体"/>
                <w:sz w:val="24"/>
                <w:szCs w:val="24"/>
                <w:lang w:val="en-US" w:eastAsia="zh-CN"/>
              </w:rPr>
              <w:t>：根据</w:t>
            </w:r>
            <w:r>
              <w:rPr>
                <w:rFonts w:hint="eastAsia" w:ascii="宋体" w:hAnsi="宋体" w:eastAsia="宋体" w:cs="宋体"/>
                <w:sz w:val="24"/>
                <w:szCs w:val="24"/>
                <w:lang w:val="en-US"/>
              </w:rPr>
              <w:t>方案内容完整清晰明确且科学合理、可行性高并满足采购需求</w:t>
            </w:r>
            <w:r>
              <w:rPr>
                <w:rFonts w:hint="eastAsia" w:cs="宋体"/>
                <w:sz w:val="24"/>
                <w:szCs w:val="24"/>
                <w:lang w:val="en-US"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3</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③售后服务保障</w:t>
            </w:r>
            <w:r>
              <w:rPr>
                <w:rFonts w:hint="eastAsia" w:cs="宋体"/>
                <w:sz w:val="24"/>
                <w:szCs w:val="24"/>
                <w:lang w:val="en-US" w:eastAsia="zh-CN"/>
              </w:rPr>
              <w:t>：根据</w:t>
            </w:r>
            <w:r>
              <w:rPr>
                <w:rFonts w:hint="eastAsia" w:ascii="宋体" w:hAnsi="宋体" w:eastAsia="宋体" w:cs="宋体"/>
                <w:sz w:val="24"/>
                <w:szCs w:val="24"/>
                <w:lang w:val="en-US"/>
              </w:rPr>
              <w:t>方案内容完整清晰明确且科学合理、可行性高具有针对性并满足采购需求</w:t>
            </w:r>
            <w:r>
              <w:rPr>
                <w:rFonts w:hint="eastAsia" w:cs="宋体"/>
                <w:sz w:val="24"/>
                <w:szCs w:val="24"/>
                <w:lang w:val="en-US"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3</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④定期回访及维护等内容</w:t>
            </w:r>
            <w:r>
              <w:rPr>
                <w:rFonts w:hint="eastAsia" w:cs="宋体"/>
                <w:sz w:val="24"/>
                <w:szCs w:val="24"/>
                <w:lang w:val="en-US" w:eastAsia="zh-CN"/>
              </w:rPr>
              <w:t>：根据</w:t>
            </w:r>
            <w:r>
              <w:rPr>
                <w:rFonts w:hint="eastAsia" w:ascii="宋体" w:hAnsi="宋体" w:eastAsia="宋体" w:cs="宋体"/>
                <w:sz w:val="24"/>
                <w:szCs w:val="24"/>
                <w:lang w:val="en-US"/>
              </w:rPr>
              <w:t>方案内容完整清晰明确且科学合理、可行性高具有针对性并满足采购需求</w:t>
            </w:r>
            <w:r>
              <w:rPr>
                <w:rFonts w:hint="eastAsia" w:cs="宋体"/>
                <w:sz w:val="24"/>
                <w:szCs w:val="24"/>
                <w:lang w:val="en-US"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67" w:type="dxa"/>
            <w:tcBorders>
              <w:left w:val="single" w:color="auto" w:sz="4" w:space="0"/>
              <w:right w:val="single" w:color="auto" w:sz="4" w:space="0"/>
            </w:tcBorders>
            <w:noWrap/>
            <w:vAlign w:val="center"/>
          </w:tcPr>
          <w:p>
            <w:pPr>
              <w:widowControl/>
              <w:autoSpaceDE/>
              <w:autoSpaceDN/>
              <w:jc w:val="center"/>
              <w:rPr>
                <w:rFonts w:hint="default" w:ascii="宋体" w:hAnsi="宋体" w:eastAsia="宋体" w:cs="宋体"/>
                <w:color w:val="000000"/>
                <w:sz w:val="24"/>
                <w:szCs w:val="24"/>
                <w:lang w:val="en-US" w:eastAsia="zh-CN"/>
              </w:rPr>
            </w:pPr>
            <w:r>
              <w:rPr>
                <w:rFonts w:hint="eastAsia" w:cs="宋体"/>
                <w:color w:val="000000"/>
                <w:sz w:val="24"/>
                <w:szCs w:val="24"/>
                <w:lang w:val="en-US" w:eastAsia="zh-CN"/>
              </w:rPr>
              <w:t>10</w:t>
            </w:r>
          </w:p>
        </w:tc>
        <w:tc>
          <w:tcPr>
            <w:tcW w:w="2063" w:type="dxa"/>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服务水平</w:t>
            </w: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cs="宋体"/>
                <w:color w:val="auto"/>
                <w:kern w:val="2"/>
                <w:sz w:val="24"/>
                <w:szCs w:val="24"/>
                <w:lang w:val="en-US" w:eastAsia="zh-CN"/>
              </w:rPr>
            </w:pPr>
            <w:r>
              <w:rPr>
                <w:rFonts w:hint="eastAsia" w:cs="宋体"/>
                <w:color w:val="auto"/>
                <w:kern w:val="2"/>
                <w:sz w:val="24"/>
                <w:szCs w:val="24"/>
                <w:lang w:val="en-US" w:eastAsia="zh-CN"/>
              </w:rPr>
              <w:t>3</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eastAsia="zh-CN"/>
              </w:rPr>
              <w:t>根据投标人</w:t>
            </w:r>
            <w:r>
              <w:rPr>
                <w:rFonts w:hint="eastAsia" w:ascii="宋体" w:hAnsi="宋体" w:eastAsia="宋体" w:cs="宋体"/>
                <w:sz w:val="24"/>
                <w:szCs w:val="24"/>
                <w:lang w:val="en-US"/>
              </w:rPr>
              <w:t>针对本项目提供的</w:t>
            </w:r>
            <w:r>
              <w:rPr>
                <w:rFonts w:hint="eastAsia" w:ascii="宋体" w:hAnsi="宋体" w:eastAsia="宋体" w:cs="宋体"/>
                <w:sz w:val="24"/>
                <w:szCs w:val="24"/>
                <w:lang w:val="en-US" w:eastAsia="zh-CN"/>
              </w:rPr>
              <w:t>配送</w:t>
            </w:r>
            <w:r>
              <w:rPr>
                <w:rFonts w:hint="eastAsia" w:ascii="宋体" w:hAnsi="宋体" w:eastAsia="宋体" w:cs="宋体"/>
                <w:sz w:val="24"/>
                <w:szCs w:val="24"/>
                <w:lang w:val="en-US"/>
              </w:rPr>
              <w:t>方案</w:t>
            </w:r>
            <w:r>
              <w:rPr>
                <w:rFonts w:hint="eastAsia" w:ascii="宋体" w:hAnsi="宋体" w:eastAsia="宋体" w:cs="宋体"/>
                <w:b w:val="0"/>
                <w:bCs w:val="0"/>
                <w:color w:val="auto"/>
                <w:sz w:val="24"/>
                <w:szCs w:val="24"/>
                <w:lang w:val="en-US" w:eastAsia="zh-CN" w:bidi="zh-CN"/>
              </w:rPr>
              <w:t>完整清晰明确且科学合理、可行性高具有针对性并满足采购需求方面综合打分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667" w:type="dxa"/>
            <w:tcBorders>
              <w:top w:val="single" w:color="auto" w:sz="4" w:space="0"/>
              <w:left w:val="single" w:color="auto" w:sz="4" w:space="0"/>
              <w:right w:val="single" w:color="auto" w:sz="4" w:space="0"/>
            </w:tcBorders>
            <w:noWrap/>
            <w:vAlign w:val="center"/>
          </w:tcPr>
          <w:p>
            <w:pPr>
              <w:autoSpaceDE/>
              <w:autoSpaceDN/>
              <w:jc w:val="center"/>
              <w:rPr>
                <w:rFonts w:hint="default" w:ascii="宋体" w:hAnsi="宋体" w:eastAsia="宋体" w:cs="宋体"/>
                <w:sz w:val="24"/>
                <w:szCs w:val="24"/>
                <w:lang w:val="en-US" w:eastAsia="zh-CN"/>
              </w:rPr>
            </w:pPr>
            <w:r>
              <w:rPr>
                <w:rFonts w:hint="eastAsia" w:cs="宋体"/>
                <w:sz w:val="24"/>
                <w:szCs w:val="24"/>
                <w:lang w:val="en-US" w:eastAsia="zh-CN"/>
              </w:rPr>
              <w:t>11</w:t>
            </w:r>
          </w:p>
        </w:tc>
        <w:tc>
          <w:tcPr>
            <w:tcW w:w="2063" w:type="dxa"/>
            <w:tcBorders>
              <w:top w:val="single" w:color="auto" w:sz="4" w:space="0"/>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货物备件</w:t>
            </w: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4</w:t>
            </w:r>
          </w:p>
        </w:tc>
        <w:tc>
          <w:tcPr>
            <w:tcW w:w="67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根据投标人提供备件范围、数量、品质、质保期满后易损件、备品备件长期供应和价格</w:t>
            </w:r>
            <w:r>
              <w:rPr>
                <w:rFonts w:hint="eastAsia" w:cs="宋体"/>
                <w:sz w:val="24"/>
                <w:szCs w:val="24"/>
                <w:lang w:val="en-US" w:eastAsia="zh-CN"/>
              </w:rPr>
              <w:t>方面是否</w:t>
            </w:r>
            <w:r>
              <w:rPr>
                <w:rFonts w:hint="eastAsia" w:ascii="宋体" w:hAnsi="宋体" w:eastAsia="宋体" w:cs="宋体"/>
                <w:b w:val="0"/>
                <w:bCs w:val="0"/>
                <w:color w:val="auto"/>
                <w:sz w:val="24"/>
                <w:szCs w:val="24"/>
                <w:lang w:val="en-US" w:eastAsia="zh-CN" w:bidi="zh-CN"/>
              </w:rPr>
              <w:t>完整清晰明确且科学合理、可行性高</w:t>
            </w:r>
            <w:r>
              <w:rPr>
                <w:rFonts w:hint="eastAsia" w:cs="宋体"/>
                <w:sz w:val="24"/>
                <w:szCs w:val="24"/>
                <w:lang w:val="en-US" w:eastAsia="zh-CN"/>
              </w:rPr>
              <w:t>进行</w:t>
            </w:r>
            <w:r>
              <w:rPr>
                <w:rFonts w:hint="eastAsia" w:ascii="宋体" w:hAnsi="宋体" w:eastAsia="宋体" w:cs="宋体"/>
                <w:b w:val="0"/>
                <w:bCs w:val="0"/>
                <w:color w:val="auto"/>
                <w:sz w:val="24"/>
                <w:szCs w:val="24"/>
                <w:lang w:val="en-US" w:eastAsia="zh-CN" w:bidi="zh-CN"/>
              </w:rPr>
              <w:t>综合打分</w:t>
            </w:r>
          </w:p>
        </w:tc>
      </w:tr>
    </w:tbl>
    <w:p>
      <w:pPr>
        <w:pStyle w:val="54"/>
        <w:spacing w:line="360" w:lineRule="auto"/>
        <w:ind w:firstLine="482" w:firstLineChars="200"/>
        <w:rPr>
          <w:b/>
          <w:bCs/>
          <w:color w:val="auto"/>
        </w:rPr>
      </w:pPr>
    </w:p>
    <w:p>
      <w:pPr>
        <w:pStyle w:val="54"/>
        <w:spacing w:line="360" w:lineRule="auto"/>
        <w:ind w:firstLine="482" w:firstLineChars="200"/>
        <w:rPr>
          <w:b/>
          <w:bCs/>
          <w:color w:val="auto"/>
        </w:rPr>
      </w:pPr>
    </w:p>
    <w:p>
      <w:pPr>
        <w:pStyle w:val="54"/>
        <w:spacing w:line="360" w:lineRule="auto"/>
        <w:ind w:firstLine="482" w:firstLineChars="200"/>
        <w:rPr>
          <w:b/>
          <w:bCs/>
          <w:color w:val="auto"/>
        </w:rPr>
      </w:pPr>
    </w:p>
    <w:p>
      <w:pPr>
        <w:pStyle w:val="54"/>
        <w:spacing w:line="360" w:lineRule="auto"/>
        <w:ind w:firstLine="482" w:firstLineChars="200"/>
        <w:rPr>
          <w:b/>
          <w:bCs/>
          <w:color w:val="auto"/>
        </w:rPr>
      </w:pPr>
    </w:p>
    <w:p>
      <w:pPr>
        <w:pStyle w:val="54"/>
        <w:spacing w:line="360" w:lineRule="auto"/>
        <w:ind w:firstLine="482" w:firstLineChars="200"/>
        <w:rPr>
          <w:b/>
          <w:bCs/>
          <w:color w:val="auto"/>
        </w:rPr>
      </w:pPr>
    </w:p>
    <w:p>
      <w:pPr>
        <w:pStyle w:val="3"/>
        <w:numPr>
          <w:ilvl w:val="0"/>
          <w:numId w:val="4"/>
        </w:numPr>
        <w:tabs>
          <w:tab w:val="left" w:pos="1442"/>
        </w:tabs>
        <w:spacing w:before="358"/>
        <w:rPr>
          <w:rFonts w:hint="eastAsia" w:ascii="华文中宋" w:hAnsi="华文中宋" w:eastAsia="华文中宋"/>
          <w:sz w:val="40"/>
          <w:szCs w:val="40"/>
          <w:lang w:val="en-US"/>
        </w:rPr>
      </w:pPr>
      <w:bookmarkStart w:id="118" w:name="_Toc23807"/>
      <w:r>
        <w:rPr>
          <w:rFonts w:hint="eastAsia" w:ascii="华文中宋" w:hAnsi="华文中宋" w:eastAsia="华文中宋"/>
          <w:sz w:val="40"/>
          <w:szCs w:val="40"/>
          <w:lang w:val="en-US"/>
        </w:rPr>
        <w:t>投</w:t>
      </w:r>
      <w:bookmarkStart w:id="119" w:name="_bookmark4"/>
      <w:bookmarkEnd w:id="119"/>
      <w:r>
        <w:rPr>
          <w:rFonts w:hint="eastAsia" w:ascii="华文中宋" w:hAnsi="华文中宋" w:eastAsia="华文中宋"/>
          <w:sz w:val="40"/>
          <w:szCs w:val="40"/>
          <w:lang w:val="en-US"/>
        </w:rPr>
        <w:t>标文件格式</w:t>
      </w:r>
      <w:bookmarkEnd w:id="118"/>
    </w:p>
    <w:p>
      <w:pPr>
        <w:numPr>
          <w:ilvl w:val="0"/>
          <w:numId w:val="0"/>
        </w:numPr>
        <w:rPr>
          <w:rFonts w:hint="eastAsia"/>
          <w:lang w:val="en-US"/>
        </w:rPr>
      </w:pPr>
    </w:p>
    <w:p>
      <w:pPr>
        <w:pStyle w:val="2"/>
        <w:rPr>
          <w:rFonts w:hint="eastAsia"/>
          <w:lang w:val="en-US"/>
        </w:rPr>
      </w:pPr>
    </w:p>
    <w:p>
      <w:pPr>
        <w:pStyle w:val="5"/>
        <w:tabs>
          <w:tab w:val="left" w:pos="5259"/>
          <w:tab w:val="left" w:pos="9859"/>
        </w:tabs>
        <w:spacing w:before="51"/>
        <w:ind w:left="0" w:leftChars="0" w:firstLine="2800" w:firstLineChars="1000"/>
      </w:pPr>
      <w:r>
        <w:rPr>
          <w:rFonts w:ascii="Times New Roman" w:eastAsia="Times New Roman"/>
          <w:u w:val="single"/>
        </w:rPr>
        <w:tab/>
      </w:r>
      <w:r>
        <w:rPr>
          <w:spacing w:val="-3"/>
          <w:u w:val="single"/>
        </w:rPr>
        <w:t>（项目</w:t>
      </w:r>
      <w:r>
        <w:rPr>
          <w:spacing w:val="-5"/>
          <w:u w:val="single"/>
        </w:rPr>
        <w:t>名</w:t>
      </w:r>
      <w:r>
        <w:rPr>
          <w:spacing w:val="-1"/>
          <w:u w:val="single"/>
        </w:rPr>
        <w:t>称</w:t>
      </w:r>
      <w:r>
        <w:rPr>
          <w:u w:val="single"/>
        </w:rPr>
        <w:t>）</w:t>
      </w:r>
    </w:p>
    <w:p>
      <w:pPr>
        <w:pStyle w:val="11"/>
        <w:rPr>
          <w:sz w:val="20"/>
        </w:rPr>
      </w:pPr>
    </w:p>
    <w:p>
      <w:pPr>
        <w:spacing w:before="216"/>
        <w:ind w:right="418"/>
        <w:jc w:val="center"/>
        <w:rPr>
          <w:sz w:val="44"/>
        </w:rPr>
      </w:pPr>
      <w:r>
        <w:rPr>
          <w:sz w:val="44"/>
        </w:rPr>
        <w:t>投 标 文 件</w:t>
      </w:r>
    </w:p>
    <w:p>
      <w:pPr>
        <w:pStyle w:val="11"/>
        <w:rPr>
          <w:sz w:val="44"/>
        </w:rPr>
      </w:pPr>
    </w:p>
    <w:p>
      <w:pPr>
        <w:pStyle w:val="11"/>
        <w:rPr>
          <w:sz w:val="44"/>
        </w:rPr>
      </w:pPr>
    </w:p>
    <w:p>
      <w:pPr>
        <w:pStyle w:val="11"/>
        <w:rPr>
          <w:sz w:val="44"/>
        </w:rPr>
      </w:pPr>
    </w:p>
    <w:p>
      <w:pPr>
        <w:pStyle w:val="11"/>
        <w:rPr>
          <w:sz w:val="44"/>
        </w:rPr>
      </w:pPr>
    </w:p>
    <w:p>
      <w:pPr>
        <w:pStyle w:val="11"/>
        <w:rPr>
          <w:sz w:val="44"/>
        </w:rPr>
      </w:pPr>
    </w:p>
    <w:p>
      <w:pPr>
        <w:pStyle w:val="11"/>
        <w:rPr>
          <w:sz w:val="44"/>
        </w:rPr>
      </w:pPr>
    </w:p>
    <w:p>
      <w:pPr>
        <w:pStyle w:val="11"/>
        <w:spacing w:before="8"/>
        <w:rPr>
          <w:sz w:val="58"/>
        </w:rPr>
      </w:pPr>
    </w:p>
    <w:p>
      <w:pPr>
        <w:tabs>
          <w:tab w:val="left" w:pos="4844"/>
        </w:tabs>
        <w:spacing w:line="480" w:lineRule="auto"/>
        <w:ind w:firstLine="420" w:firstLineChars="200"/>
        <w:outlineLvl w:val="0"/>
        <w:rPr>
          <w:sz w:val="27"/>
        </w:rPr>
      </w:pPr>
      <w:bookmarkStart w:id="120" w:name="_Toc5960"/>
      <w:r>
        <w:rPr>
          <w:rFonts w:hint="eastAsia"/>
          <w:sz w:val="21"/>
          <w:lang w:eastAsia="zh-CN"/>
        </w:rPr>
        <w:t>投标人</w:t>
      </w:r>
      <w:r>
        <w:rPr>
          <w:sz w:val="21"/>
        </w:rPr>
        <w:t>：</w:t>
      </w:r>
      <w:r>
        <w:rPr>
          <w:sz w:val="21"/>
          <w:u w:val="single"/>
        </w:rPr>
        <w:tab/>
      </w:r>
      <w:r>
        <w:rPr>
          <w:sz w:val="21"/>
        </w:rPr>
        <w:t>（盖</w:t>
      </w:r>
      <w:r>
        <w:rPr>
          <w:spacing w:val="-5"/>
          <w:sz w:val="21"/>
        </w:rPr>
        <w:t>单</w:t>
      </w:r>
      <w:r>
        <w:rPr>
          <w:sz w:val="21"/>
        </w:rPr>
        <w:t>位</w:t>
      </w:r>
      <w:r>
        <w:rPr>
          <w:spacing w:val="-5"/>
          <w:sz w:val="21"/>
        </w:rPr>
        <w:t>章</w:t>
      </w:r>
      <w:r>
        <w:rPr>
          <w:sz w:val="21"/>
        </w:rPr>
        <w:t>）</w:t>
      </w:r>
      <w:bookmarkEnd w:id="120"/>
    </w:p>
    <w:p>
      <w:pPr>
        <w:tabs>
          <w:tab w:val="left" w:pos="2423"/>
        </w:tabs>
        <w:spacing w:line="480" w:lineRule="auto"/>
        <w:ind w:firstLine="420" w:firstLineChars="200"/>
        <w:outlineLvl w:val="0"/>
        <w:rPr>
          <w:sz w:val="27"/>
        </w:rPr>
      </w:pPr>
      <w:bookmarkStart w:id="121" w:name="_Toc10705"/>
      <w:r>
        <w:rPr>
          <w:sz w:val="21"/>
        </w:rPr>
        <w:t>法定代</w:t>
      </w:r>
      <w:r>
        <w:rPr>
          <w:spacing w:val="-5"/>
          <w:sz w:val="21"/>
        </w:rPr>
        <w:t>表</w:t>
      </w:r>
      <w:r>
        <w:rPr>
          <w:sz w:val="21"/>
        </w:rPr>
        <w:t>人：</w:t>
      </w:r>
      <w:r>
        <w:rPr>
          <w:sz w:val="21"/>
          <w:u w:val="single"/>
        </w:rPr>
        <w:tab/>
      </w:r>
      <w:r>
        <w:rPr>
          <w:sz w:val="21"/>
        </w:rPr>
        <w:t>（盖章或</w:t>
      </w:r>
      <w:r>
        <w:rPr>
          <w:spacing w:val="-5"/>
          <w:sz w:val="21"/>
        </w:rPr>
        <w:t>签</w:t>
      </w:r>
      <w:r>
        <w:rPr>
          <w:sz w:val="21"/>
        </w:rPr>
        <w:t>字）</w:t>
      </w:r>
      <w:bookmarkEnd w:id="121"/>
    </w:p>
    <w:p>
      <w:pPr>
        <w:tabs>
          <w:tab w:val="left" w:pos="2418"/>
          <w:tab w:val="left" w:pos="2775"/>
          <w:tab w:val="left" w:pos="3179"/>
        </w:tabs>
        <w:spacing w:line="480" w:lineRule="auto"/>
        <w:ind w:firstLine="400" w:firstLineChars="200"/>
        <w:outlineLvl w:val="0"/>
        <w:rPr>
          <w:spacing w:val="-14"/>
          <w:sz w:val="21"/>
        </w:rPr>
      </w:pPr>
      <w:bookmarkStart w:id="122" w:name="_Toc27256"/>
      <w:r>
        <w:rPr>
          <w:spacing w:val="-5"/>
          <w:sz w:val="21"/>
        </w:rPr>
        <w:t>委托</w:t>
      </w:r>
      <w:r>
        <w:rPr>
          <w:sz w:val="21"/>
        </w:rPr>
        <w:t>代理人：</w:t>
      </w:r>
      <w:r>
        <w:rPr>
          <w:sz w:val="21"/>
          <w:u w:val="single"/>
        </w:rPr>
        <w:tab/>
      </w:r>
      <w:r>
        <w:rPr>
          <w:sz w:val="21"/>
        </w:rPr>
        <w:t>（盖章或</w:t>
      </w:r>
      <w:r>
        <w:rPr>
          <w:spacing w:val="-5"/>
          <w:sz w:val="21"/>
        </w:rPr>
        <w:t>签</w:t>
      </w:r>
      <w:r>
        <w:rPr>
          <w:sz w:val="21"/>
        </w:rPr>
        <w:t>字</w:t>
      </w:r>
      <w:r>
        <w:rPr>
          <w:spacing w:val="-14"/>
          <w:sz w:val="21"/>
        </w:rPr>
        <w:t>）</w:t>
      </w:r>
      <w:bookmarkEnd w:id="122"/>
    </w:p>
    <w:p>
      <w:pPr>
        <w:tabs>
          <w:tab w:val="left" w:pos="2418"/>
          <w:tab w:val="left" w:pos="2775"/>
          <w:tab w:val="left" w:pos="3179"/>
        </w:tabs>
        <w:spacing w:line="480" w:lineRule="auto"/>
        <w:ind w:firstLine="400" w:firstLineChars="200"/>
        <w:outlineLvl w:val="0"/>
        <w:rPr>
          <w:rFonts w:ascii="Times New Roman" w:eastAsia="Times New Roman"/>
          <w:sz w:val="21"/>
        </w:rPr>
      </w:pPr>
      <w:bookmarkStart w:id="123" w:name="_Toc19052"/>
      <w:r>
        <w:rPr>
          <w:spacing w:val="-5"/>
          <w:sz w:val="21"/>
        </w:rPr>
        <w:t>联系电</w:t>
      </w:r>
      <w:r>
        <w:rPr>
          <w:sz w:val="21"/>
        </w:rPr>
        <w:t>话：</w:t>
      </w:r>
      <w:bookmarkEnd w:id="123"/>
      <w:r>
        <w:rPr>
          <w:rFonts w:ascii="Times New Roman" w:eastAsia="Times New Roman"/>
          <w:sz w:val="21"/>
          <w:u w:val="single"/>
        </w:rPr>
        <w:tab/>
      </w:r>
      <w:r>
        <w:rPr>
          <w:rFonts w:ascii="Times New Roman" w:eastAsia="Times New Roman"/>
          <w:sz w:val="21"/>
          <w:u w:val="single"/>
        </w:rPr>
        <w:tab/>
      </w:r>
      <w:r>
        <w:rPr>
          <w:rFonts w:ascii="Times New Roman" w:eastAsia="Times New Roman"/>
          <w:sz w:val="21"/>
          <w:u w:val="single"/>
        </w:rPr>
        <w:tab/>
      </w:r>
    </w:p>
    <w:p>
      <w:pPr>
        <w:pStyle w:val="11"/>
        <w:rPr>
          <w:rFonts w:ascii="Times New Roman"/>
          <w:sz w:val="20"/>
        </w:rPr>
      </w:pPr>
    </w:p>
    <w:p>
      <w:pPr>
        <w:pStyle w:val="11"/>
        <w:spacing w:before="3"/>
        <w:rPr>
          <w:rFonts w:ascii="Times New Roman"/>
          <w:sz w:val="17"/>
        </w:rPr>
      </w:pPr>
    </w:p>
    <w:p>
      <w:pPr>
        <w:tabs>
          <w:tab w:val="left" w:pos="420"/>
        </w:tabs>
        <w:spacing w:before="70"/>
        <w:ind w:right="239"/>
        <w:jc w:val="center"/>
        <w:outlineLvl w:val="0"/>
        <w:rPr>
          <w:sz w:val="21"/>
        </w:rPr>
        <w:sectPr>
          <w:headerReference r:id="rId6" w:type="default"/>
          <w:footerReference r:id="rId7" w:type="default"/>
          <w:pgSz w:w="11911" w:h="16838"/>
          <w:pgMar w:top="1100" w:right="1134" w:bottom="1179" w:left="1134" w:header="879" w:footer="986" w:gutter="0"/>
          <w:pgNumType w:fmt="decimal"/>
          <w:cols w:space="0" w:num="1"/>
        </w:sectPr>
      </w:pPr>
      <w:r>
        <w:rPr>
          <w:rFonts w:ascii="Times New Roman" w:eastAsia="Times New Roman"/>
          <w:sz w:val="21"/>
          <w:u w:val="single"/>
        </w:rPr>
        <w:tab/>
      </w:r>
      <w:bookmarkStart w:id="124" w:name="_Toc25803"/>
      <w:r>
        <w:rPr>
          <w:sz w:val="21"/>
        </w:rPr>
        <w:t>年</w:t>
      </w:r>
      <w:r>
        <w:rPr>
          <w:rFonts w:hint="eastAsia"/>
          <w:sz w:val="21"/>
          <w:u w:val="single"/>
          <w:lang w:val="en-US" w:eastAsia="zh-CN"/>
        </w:rPr>
        <w:t xml:space="preserve">    </w:t>
      </w:r>
      <w:r>
        <w:rPr>
          <w:sz w:val="21"/>
        </w:rPr>
        <w:t>月</w:t>
      </w:r>
      <w:r>
        <w:rPr>
          <w:rFonts w:hint="eastAsia"/>
          <w:sz w:val="21"/>
          <w:u w:val="single"/>
          <w:lang w:val="en-US" w:eastAsia="zh-CN"/>
        </w:rPr>
        <w:t xml:space="preserve">   </w:t>
      </w:r>
      <w:r>
        <w:rPr>
          <w:sz w:val="21"/>
        </w:rPr>
        <w:t>日</w:t>
      </w:r>
      <w:bookmarkEnd w:id="124"/>
    </w:p>
    <w:p>
      <w:pPr>
        <w:spacing w:before="50"/>
        <w:ind w:right="120"/>
        <w:jc w:val="center"/>
        <w:outlineLvl w:val="0"/>
        <w:rPr>
          <w:b/>
          <w:sz w:val="32"/>
        </w:rPr>
      </w:pPr>
      <w:bookmarkStart w:id="125" w:name="一、投标文件"/>
      <w:bookmarkEnd w:id="125"/>
      <w:bookmarkStart w:id="126" w:name="_Toc18223"/>
      <w:r>
        <w:rPr>
          <w:b/>
          <w:sz w:val="32"/>
        </w:rPr>
        <w:t>投标文件目录</w:t>
      </w:r>
      <w:bookmarkEnd w:id="126"/>
    </w:p>
    <w:p>
      <w:pPr>
        <w:pStyle w:val="2"/>
        <w:spacing w:before="212"/>
        <w:ind w:left="0" w:right="103"/>
        <w:jc w:val="center"/>
      </w:pPr>
      <w:r>
        <w:t>（投标文件按以下顺序装订并编写页码）</w:t>
      </w:r>
    </w:p>
    <w:p>
      <w:pPr>
        <w:pStyle w:val="11"/>
        <w:rPr>
          <w:b/>
          <w:sz w:val="20"/>
        </w:rPr>
      </w:pPr>
    </w:p>
    <w:p>
      <w:pPr>
        <w:pStyle w:val="11"/>
        <w:spacing w:line="480" w:lineRule="auto"/>
        <w:rPr>
          <w:b/>
          <w:sz w:val="20"/>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539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bCs/>
                <w:sz w:val="24"/>
                <w:szCs w:val="24"/>
              </w:rPr>
            </w:pPr>
            <w:r>
              <w:rPr>
                <w:rFonts w:hint="eastAsia"/>
                <w:b/>
                <w:bCs/>
                <w:sz w:val="24"/>
                <w:szCs w:val="24"/>
              </w:rPr>
              <w:t>序号</w:t>
            </w:r>
          </w:p>
        </w:tc>
        <w:tc>
          <w:tcPr>
            <w:tcW w:w="5397" w:type="dxa"/>
          </w:tcPr>
          <w:p>
            <w:pPr>
              <w:spacing w:before="50"/>
              <w:ind w:right="115"/>
              <w:jc w:val="center"/>
              <w:rPr>
                <w:b/>
                <w:bCs/>
                <w:sz w:val="24"/>
                <w:szCs w:val="24"/>
              </w:rPr>
            </w:pPr>
            <w:r>
              <w:rPr>
                <w:rFonts w:hint="eastAsia"/>
                <w:b/>
                <w:bCs/>
                <w:sz w:val="24"/>
                <w:szCs w:val="24"/>
              </w:rPr>
              <w:t>文件名称</w:t>
            </w:r>
          </w:p>
        </w:tc>
        <w:tc>
          <w:tcPr>
            <w:tcW w:w="1843" w:type="dxa"/>
          </w:tcPr>
          <w:p>
            <w:pPr>
              <w:spacing w:before="50"/>
              <w:ind w:right="115"/>
              <w:jc w:val="both"/>
              <w:rPr>
                <w:b/>
                <w:bCs/>
                <w:sz w:val="24"/>
                <w:szCs w:val="24"/>
              </w:rPr>
            </w:pPr>
            <w:r>
              <w:rPr>
                <w:rFonts w:hint="eastAsia"/>
                <w:b/>
                <w:bCs/>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lang w:val="en-US"/>
              </w:rPr>
            </w:pPr>
            <w:r>
              <w:rPr>
                <w:rFonts w:hint="eastAsia"/>
                <w:b/>
                <w:sz w:val="32"/>
                <w:lang w:val="en-US"/>
              </w:rPr>
              <w:t>1</w:t>
            </w:r>
          </w:p>
        </w:tc>
        <w:tc>
          <w:tcPr>
            <w:tcW w:w="5397" w:type="dxa"/>
          </w:tcPr>
          <w:p>
            <w:pPr>
              <w:spacing w:before="50"/>
              <w:ind w:right="115"/>
              <w:jc w:val="center"/>
              <w:rPr>
                <w:rFonts w:hint="eastAsia" w:eastAsia="宋体"/>
                <w:b/>
                <w:sz w:val="32"/>
                <w:lang w:val="en-US" w:eastAsia="zh-CN"/>
              </w:rPr>
            </w:pPr>
            <w:r>
              <w:rPr>
                <w:rFonts w:hint="eastAsia"/>
                <w:b/>
                <w:bCs/>
                <w:sz w:val="24"/>
                <w:szCs w:val="24"/>
              </w:rPr>
              <w:t>投标</w:t>
            </w:r>
            <w:r>
              <w:rPr>
                <w:rFonts w:hint="eastAsia"/>
                <w:b/>
                <w:bCs/>
                <w:sz w:val="24"/>
                <w:szCs w:val="24"/>
                <w:lang w:val="en-US" w:eastAsia="zh-CN"/>
              </w:rPr>
              <w:t>函</w:t>
            </w: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lang w:val="en-US"/>
              </w:rPr>
            </w:pPr>
            <w:r>
              <w:rPr>
                <w:rFonts w:hint="eastAsia"/>
                <w:b/>
                <w:sz w:val="32"/>
                <w:lang w:val="en-US"/>
              </w:rPr>
              <w:t>2</w:t>
            </w:r>
          </w:p>
        </w:tc>
        <w:tc>
          <w:tcPr>
            <w:tcW w:w="5397" w:type="dxa"/>
          </w:tcPr>
          <w:p>
            <w:pPr>
              <w:shd w:val="clear" w:color="auto" w:fill="FFFFFF"/>
              <w:adjustRightInd w:val="0"/>
              <w:snapToGrid w:val="0"/>
              <w:spacing w:line="360" w:lineRule="auto"/>
              <w:jc w:val="center"/>
              <w:outlineLvl w:val="0"/>
              <w:rPr>
                <w:b/>
                <w:sz w:val="32"/>
              </w:rPr>
            </w:pPr>
            <w:bookmarkStart w:id="127" w:name="_Toc10990"/>
            <w:r>
              <w:rPr>
                <w:rFonts w:hint="eastAsia"/>
                <w:b/>
                <w:bCs/>
                <w:sz w:val="24"/>
                <w:szCs w:val="24"/>
              </w:rPr>
              <w:t>开标一览表</w:t>
            </w:r>
            <w:bookmarkEnd w:id="127"/>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lang w:val="en-US"/>
              </w:rPr>
            </w:pPr>
            <w:r>
              <w:rPr>
                <w:rFonts w:hint="eastAsia"/>
                <w:b/>
                <w:sz w:val="32"/>
                <w:lang w:val="en-US"/>
              </w:rPr>
              <w:t>....</w:t>
            </w:r>
          </w:p>
        </w:tc>
        <w:tc>
          <w:tcPr>
            <w:tcW w:w="5397" w:type="dxa"/>
          </w:tcPr>
          <w:p>
            <w:pPr>
              <w:spacing w:before="50"/>
              <w:ind w:right="115"/>
              <w:jc w:val="center"/>
              <w:rPr>
                <w:b/>
                <w:sz w:val="32"/>
                <w:lang w:val="en-US"/>
              </w:rPr>
            </w:pPr>
            <w:r>
              <w:rPr>
                <w:rFonts w:hint="eastAsia"/>
                <w:b/>
                <w:sz w:val="32"/>
                <w:lang w:val="en-US"/>
              </w:rPr>
              <w:t>.....</w:t>
            </w: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rPr>
            </w:pPr>
          </w:p>
        </w:tc>
        <w:tc>
          <w:tcPr>
            <w:tcW w:w="5397" w:type="dxa"/>
          </w:tcPr>
          <w:p>
            <w:pPr>
              <w:spacing w:before="50"/>
              <w:ind w:right="115"/>
              <w:jc w:val="center"/>
              <w:rPr>
                <w:b/>
                <w:sz w:val="32"/>
              </w:rPr>
            </w:pP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rPr>
            </w:pPr>
          </w:p>
        </w:tc>
        <w:tc>
          <w:tcPr>
            <w:tcW w:w="5397" w:type="dxa"/>
          </w:tcPr>
          <w:p>
            <w:pPr>
              <w:spacing w:before="50"/>
              <w:ind w:right="115"/>
              <w:jc w:val="center"/>
              <w:rPr>
                <w:b/>
                <w:sz w:val="32"/>
              </w:rPr>
            </w:pP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rPr>
            </w:pPr>
          </w:p>
        </w:tc>
        <w:tc>
          <w:tcPr>
            <w:tcW w:w="5397" w:type="dxa"/>
          </w:tcPr>
          <w:p>
            <w:pPr>
              <w:spacing w:before="50"/>
              <w:ind w:right="115"/>
              <w:jc w:val="center"/>
              <w:rPr>
                <w:b/>
                <w:sz w:val="32"/>
              </w:rPr>
            </w:pP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rPr>
            </w:pPr>
          </w:p>
        </w:tc>
        <w:tc>
          <w:tcPr>
            <w:tcW w:w="5397" w:type="dxa"/>
          </w:tcPr>
          <w:p>
            <w:pPr>
              <w:spacing w:before="50"/>
              <w:ind w:right="115"/>
              <w:jc w:val="center"/>
              <w:rPr>
                <w:b/>
                <w:sz w:val="32"/>
              </w:rPr>
            </w:pPr>
          </w:p>
        </w:tc>
        <w:tc>
          <w:tcPr>
            <w:tcW w:w="1843" w:type="dxa"/>
          </w:tcPr>
          <w:p>
            <w:pPr>
              <w:spacing w:before="50"/>
              <w:ind w:right="115"/>
              <w:jc w:val="center"/>
              <w:rPr>
                <w:b/>
                <w:sz w:val="32"/>
              </w:rPr>
            </w:pPr>
          </w:p>
        </w:tc>
      </w:tr>
    </w:tbl>
    <w:p>
      <w:pPr>
        <w:spacing w:before="50"/>
        <w:ind w:left="179" w:right="115"/>
        <w:rPr>
          <w:b/>
          <w:sz w:val="32"/>
        </w:rPr>
      </w:pPr>
    </w:p>
    <w:p>
      <w:pPr>
        <w:spacing w:before="50"/>
        <w:ind w:left="179" w:right="115"/>
        <w:jc w:val="center"/>
        <w:rPr>
          <w:b/>
          <w:sz w:val="32"/>
        </w:rPr>
      </w:pPr>
    </w:p>
    <w:p>
      <w:pPr>
        <w:spacing w:before="50"/>
        <w:ind w:left="179" w:right="115"/>
        <w:jc w:val="center"/>
        <w:rPr>
          <w:b/>
          <w:sz w:val="32"/>
        </w:rPr>
      </w:pPr>
    </w:p>
    <w:p>
      <w:pPr>
        <w:spacing w:before="50"/>
        <w:ind w:left="179" w:right="115"/>
        <w:jc w:val="center"/>
        <w:rPr>
          <w:b/>
          <w:sz w:val="32"/>
        </w:rPr>
      </w:pPr>
    </w:p>
    <w:p>
      <w:pPr>
        <w:spacing w:before="50"/>
        <w:ind w:left="179" w:right="115"/>
        <w:jc w:val="center"/>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spacing w:before="50"/>
        <w:ind w:left="179" w:right="115"/>
        <w:jc w:val="center"/>
        <w:rPr>
          <w:b/>
          <w:sz w:val="32"/>
        </w:rPr>
      </w:pPr>
    </w:p>
    <w:p>
      <w:pPr>
        <w:spacing w:before="50"/>
        <w:ind w:right="115"/>
        <w:jc w:val="both"/>
        <w:rPr>
          <w:b/>
          <w:sz w:val="32"/>
        </w:rPr>
      </w:pPr>
    </w:p>
    <w:p>
      <w:pPr>
        <w:spacing w:before="50"/>
        <w:ind w:left="179" w:right="115"/>
        <w:jc w:val="center"/>
        <w:outlineLvl w:val="0"/>
        <w:rPr>
          <w:rFonts w:hint="eastAsia" w:eastAsia="宋体"/>
          <w:b/>
          <w:sz w:val="40"/>
          <w:szCs w:val="28"/>
          <w:lang w:val="en-US" w:eastAsia="zh-CN"/>
        </w:rPr>
      </w:pPr>
      <w:bookmarkStart w:id="128" w:name="_Toc16539"/>
      <w:r>
        <w:rPr>
          <w:b/>
          <w:sz w:val="40"/>
          <w:szCs w:val="28"/>
        </w:rPr>
        <w:t>一、投标</w:t>
      </w:r>
      <w:bookmarkEnd w:id="128"/>
      <w:r>
        <w:rPr>
          <w:rFonts w:hint="eastAsia"/>
          <w:b/>
          <w:sz w:val="40"/>
          <w:szCs w:val="28"/>
          <w:lang w:val="en-US" w:eastAsia="zh-CN"/>
        </w:rPr>
        <w:t>函</w:t>
      </w:r>
    </w:p>
    <w:p>
      <w:pPr>
        <w:pStyle w:val="11"/>
        <w:keepNext w:val="0"/>
        <w:keepLines w:val="0"/>
        <w:pageBreakBefore w:val="0"/>
        <w:widowControl w:val="0"/>
        <w:kinsoku/>
        <w:wordWrap/>
        <w:overflowPunct/>
        <w:topLinePunct w:val="0"/>
        <w:autoSpaceDE w:val="0"/>
        <w:autoSpaceDN w:val="0"/>
        <w:bidi w:val="0"/>
        <w:adjustRightInd/>
        <w:snapToGrid/>
        <w:spacing w:line="360" w:lineRule="exact"/>
        <w:ind w:right="0"/>
        <w:textAlignment w:val="auto"/>
        <w:rPr>
          <w:sz w:val="21"/>
          <w:szCs w:val="21"/>
        </w:rPr>
      </w:pPr>
      <w:r>
        <w:rPr>
          <w:sz w:val="21"/>
          <w:szCs w:val="21"/>
        </w:rPr>
        <w:t>致：</w:t>
      </w:r>
      <w:r>
        <w:rPr>
          <w:rFonts w:hint="eastAsia" w:ascii="宋体" w:hAnsi="宋体" w:eastAsia="宋体" w:cs="宋体"/>
          <w:sz w:val="21"/>
          <w:szCs w:val="21"/>
          <w:lang w:val="zh-CN" w:eastAsia="zh-CN" w:bidi="zh-CN"/>
        </w:rPr>
        <w:t>（采购人）</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rFonts w:hint="eastAsia"/>
          <w:sz w:val="21"/>
          <w:szCs w:val="21"/>
        </w:rPr>
        <w:t>我</w:t>
      </w:r>
      <w:r>
        <w:rPr>
          <w:rFonts w:hint="eastAsia"/>
          <w:spacing w:val="-3"/>
          <w:sz w:val="21"/>
          <w:szCs w:val="21"/>
          <w:lang w:eastAsia="zh-CN"/>
        </w:rPr>
        <w:t>单位</w:t>
      </w:r>
      <w:r>
        <w:rPr>
          <w:rFonts w:hint="eastAsia"/>
          <w:sz w:val="21"/>
          <w:szCs w:val="21"/>
        </w:rPr>
        <w:t>已</w:t>
      </w:r>
      <w:r>
        <w:rPr>
          <w:rFonts w:hint="eastAsia"/>
          <w:spacing w:val="-3"/>
          <w:sz w:val="21"/>
          <w:szCs w:val="21"/>
        </w:rPr>
        <w:t>仔</w:t>
      </w:r>
      <w:r>
        <w:rPr>
          <w:rFonts w:hint="eastAsia"/>
          <w:sz w:val="21"/>
          <w:szCs w:val="21"/>
        </w:rPr>
        <w:t>细</w:t>
      </w:r>
      <w:r>
        <w:rPr>
          <w:rFonts w:hint="eastAsia"/>
          <w:spacing w:val="-3"/>
          <w:sz w:val="21"/>
          <w:szCs w:val="21"/>
        </w:rPr>
        <w:t>研</w:t>
      </w:r>
      <w:r>
        <w:rPr>
          <w:rFonts w:hint="eastAsia"/>
          <w:sz w:val="21"/>
          <w:szCs w:val="21"/>
        </w:rPr>
        <w:t>究了编号</w:t>
      </w:r>
      <w:r>
        <w:rPr>
          <w:rFonts w:hint="eastAsia"/>
          <w:sz w:val="21"/>
          <w:szCs w:val="21"/>
          <w:u w:val="single"/>
        </w:rPr>
        <w:tab/>
      </w:r>
      <w:r>
        <w:rPr>
          <w:rFonts w:hint="eastAsia"/>
          <w:sz w:val="21"/>
          <w:szCs w:val="21"/>
        </w:rPr>
        <w:t>的</w:t>
      </w:r>
      <w:r>
        <w:rPr>
          <w:rFonts w:hint="eastAsia"/>
          <w:sz w:val="21"/>
          <w:szCs w:val="21"/>
          <w:u w:val="single"/>
          <w:lang w:val="en-US"/>
        </w:rPr>
        <w:t xml:space="preserve">       （项目名称）      </w:t>
      </w:r>
      <w:r>
        <w:rPr>
          <w:rFonts w:hint="eastAsia"/>
          <w:sz w:val="21"/>
          <w:szCs w:val="21"/>
        </w:rPr>
        <w:t>招标文件的</w:t>
      </w:r>
      <w:r>
        <w:rPr>
          <w:rFonts w:hint="eastAsia"/>
          <w:spacing w:val="-3"/>
          <w:sz w:val="21"/>
          <w:szCs w:val="21"/>
        </w:rPr>
        <w:t>全</w:t>
      </w:r>
      <w:r>
        <w:rPr>
          <w:rFonts w:hint="eastAsia"/>
          <w:sz w:val="21"/>
          <w:szCs w:val="21"/>
        </w:rPr>
        <w:t>部内</w:t>
      </w:r>
      <w:r>
        <w:rPr>
          <w:rFonts w:hint="eastAsia"/>
          <w:spacing w:val="-3"/>
          <w:sz w:val="21"/>
          <w:szCs w:val="21"/>
        </w:rPr>
        <w:t>容，</w:t>
      </w:r>
      <w:r>
        <w:rPr>
          <w:sz w:val="21"/>
          <w:szCs w:val="21"/>
        </w:rPr>
        <w:t>我方</w:t>
      </w:r>
      <w:r>
        <w:rPr>
          <w:rFonts w:hint="eastAsia"/>
          <w:sz w:val="21"/>
          <w:szCs w:val="21"/>
          <w:lang w:val="en-US" w:eastAsia="zh-CN"/>
        </w:rPr>
        <w:t xml:space="preserve"> </w:t>
      </w:r>
      <w:r>
        <w:rPr>
          <w:sz w:val="21"/>
          <w:szCs w:val="21"/>
          <w:u w:val="single"/>
        </w:rPr>
        <w:t>（</w:t>
      </w:r>
      <w:r>
        <w:rPr>
          <w:rFonts w:hint="eastAsia"/>
          <w:sz w:val="21"/>
          <w:szCs w:val="21"/>
          <w:u w:val="single"/>
        </w:rPr>
        <w:t>供应商</w:t>
      </w:r>
      <w:r>
        <w:rPr>
          <w:sz w:val="21"/>
          <w:szCs w:val="21"/>
          <w:u w:val="single"/>
        </w:rPr>
        <w:t>名称）</w:t>
      </w:r>
      <w:r>
        <w:rPr>
          <w:rFonts w:hint="eastAsia"/>
          <w:sz w:val="21"/>
          <w:szCs w:val="21"/>
          <w:u w:val="single"/>
          <w:lang w:val="en-US" w:eastAsia="zh-CN"/>
        </w:rPr>
        <w:t xml:space="preserve">         </w:t>
      </w:r>
      <w:r>
        <w:rPr>
          <w:sz w:val="21"/>
          <w:szCs w:val="21"/>
        </w:rPr>
        <w:t>作为</w:t>
      </w:r>
      <w:r>
        <w:rPr>
          <w:rFonts w:hint="eastAsia"/>
          <w:sz w:val="21"/>
          <w:szCs w:val="21"/>
        </w:rPr>
        <w:t>供应商</w:t>
      </w:r>
      <w:r>
        <w:rPr>
          <w:sz w:val="21"/>
          <w:szCs w:val="21"/>
        </w:rPr>
        <w:t>正式授权</w:t>
      </w:r>
      <w:r>
        <w:rPr>
          <w:sz w:val="21"/>
          <w:szCs w:val="21"/>
          <w:u w:val="single"/>
        </w:rPr>
        <w:t>（授权代表姓名）</w:t>
      </w:r>
      <w:r>
        <w:rPr>
          <w:rFonts w:hint="eastAsia"/>
          <w:sz w:val="21"/>
          <w:szCs w:val="21"/>
          <w:u w:val="single"/>
          <w:lang w:val="en-US" w:eastAsia="zh-CN"/>
        </w:rPr>
        <w:t xml:space="preserve">           </w:t>
      </w:r>
      <w:r>
        <w:rPr>
          <w:sz w:val="21"/>
          <w:szCs w:val="21"/>
        </w:rPr>
        <w:t>我方代表</w:t>
      </w:r>
      <w:r>
        <w:rPr>
          <w:rFonts w:hint="eastAsia"/>
          <w:spacing w:val="-3"/>
          <w:sz w:val="21"/>
          <w:szCs w:val="21"/>
        </w:rPr>
        <w:t>，提</w:t>
      </w:r>
      <w:r>
        <w:rPr>
          <w:rFonts w:hint="eastAsia"/>
          <w:sz w:val="21"/>
          <w:szCs w:val="21"/>
        </w:rPr>
        <w:t>供</w:t>
      </w:r>
      <w:r>
        <w:rPr>
          <w:rFonts w:hint="eastAsia"/>
          <w:spacing w:val="-3"/>
          <w:sz w:val="21"/>
          <w:szCs w:val="21"/>
          <w:u w:val="single"/>
        </w:rPr>
        <w:t>（</w:t>
      </w:r>
      <w:r>
        <w:rPr>
          <w:rFonts w:hint="eastAsia"/>
          <w:sz w:val="21"/>
          <w:szCs w:val="21"/>
          <w:u w:val="single"/>
        </w:rPr>
        <w:t>项</w:t>
      </w:r>
      <w:r>
        <w:rPr>
          <w:rFonts w:hint="eastAsia"/>
          <w:spacing w:val="-3"/>
          <w:sz w:val="21"/>
          <w:szCs w:val="21"/>
          <w:u w:val="single"/>
        </w:rPr>
        <w:t>目名</w:t>
      </w:r>
      <w:r>
        <w:rPr>
          <w:rFonts w:hint="eastAsia"/>
          <w:sz w:val="21"/>
          <w:szCs w:val="21"/>
          <w:u w:val="single"/>
        </w:rPr>
        <w:t>称</w:t>
      </w:r>
      <w:r>
        <w:rPr>
          <w:rFonts w:hint="eastAsia"/>
          <w:spacing w:val="-27"/>
          <w:sz w:val="21"/>
          <w:szCs w:val="21"/>
          <w:u w:val="single"/>
        </w:rPr>
        <w:t>）</w:t>
      </w:r>
      <w:r>
        <w:rPr>
          <w:rFonts w:hint="eastAsia"/>
          <w:sz w:val="21"/>
          <w:szCs w:val="21"/>
          <w:u w:val="single"/>
        </w:rPr>
        <w:tab/>
      </w:r>
      <w:r>
        <w:rPr>
          <w:rFonts w:hint="eastAsia"/>
          <w:sz w:val="21"/>
          <w:szCs w:val="21"/>
        </w:rPr>
        <w:t>招标文件</w:t>
      </w:r>
      <w:r>
        <w:rPr>
          <w:rFonts w:hint="eastAsia"/>
          <w:spacing w:val="-3"/>
          <w:sz w:val="21"/>
          <w:szCs w:val="21"/>
        </w:rPr>
        <w:t>中要求的货物及</w:t>
      </w:r>
      <w:r>
        <w:rPr>
          <w:rFonts w:hint="eastAsia"/>
          <w:sz w:val="21"/>
          <w:szCs w:val="21"/>
        </w:rPr>
        <w:t>服</w:t>
      </w:r>
      <w:r>
        <w:rPr>
          <w:rFonts w:hint="eastAsia"/>
          <w:spacing w:val="-3"/>
          <w:sz w:val="21"/>
          <w:szCs w:val="21"/>
        </w:rPr>
        <w:t>务等全部内</w:t>
      </w:r>
      <w:r>
        <w:rPr>
          <w:rFonts w:hint="eastAsia"/>
          <w:sz w:val="21"/>
          <w:szCs w:val="21"/>
        </w:rPr>
        <w:t>容，并保证按招标文件中规定的供货时限要求内完成，</w:t>
      </w:r>
      <w:r>
        <w:rPr>
          <w:rFonts w:hint="eastAsia"/>
          <w:spacing w:val="-11"/>
          <w:sz w:val="21"/>
          <w:szCs w:val="21"/>
        </w:rPr>
        <w:t>同时</w:t>
      </w:r>
      <w:r>
        <w:rPr>
          <w:rFonts w:hint="eastAsia"/>
          <w:sz w:val="21"/>
          <w:szCs w:val="21"/>
        </w:rPr>
        <w:t>按合同约定履行义务。</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rPr>
        <w:t>据此函，</w:t>
      </w:r>
      <w:r>
        <w:rPr>
          <w:rFonts w:hint="eastAsia"/>
          <w:sz w:val="21"/>
          <w:szCs w:val="21"/>
          <w:lang w:eastAsia="zh-CN"/>
        </w:rPr>
        <w:t>我</w:t>
      </w:r>
      <w:r>
        <w:rPr>
          <w:rFonts w:hint="eastAsia"/>
          <w:sz w:val="21"/>
          <w:szCs w:val="21"/>
        </w:rPr>
        <w:t>单位宣布同意如下：</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1、我方同意自本项目招标文件规定的投标截止时间（开标时间）起遵循本投标函，并承诺在招标文件规定的投标有效期内不修改、撤销投标文件。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2、我方所递交的投标文件及有关资料都是内容完整、真实和准确的。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3、如本项目采购内容涉及须符合国家强制规定的，我方承诺我方本次投标（包括资格条件和所投产品）均符合国家有关强制规定。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lang w:val="en-US" w:eastAsia="zh-CN"/>
        </w:rPr>
      </w:pPr>
      <w:r>
        <w:rPr>
          <w:rFonts w:hint="eastAsia"/>
          <w:sz w:val="21"/>
          <w:szCs w:val="21"/>
          <w:lang w:val="en-US" w:eastAsia="zh-CN"/>
        </w:rPr>
        <w:t xml:space="preserve">4、如我方中标，我方承诺在收到中标通知书后，在中标通知书规定的期限内，根据招标文件、我方的投标文件及有关澄清承诺书的要求与采购人订立书面合同，并按照合同约定承担完成合同的责任和义务。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5、我方已详细审核招标文件，我方知道必须放弃提出含糊不清或误解问题的权利。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6、我方同意应贵方要求提供与本投标有关的任何数据或资料。若贵方需要，我方愿意提供我方作出的一切承诺的证明材料。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7、我方完全理解贵方不一定接受投标报价最低的投标人为中标供应商的行为。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8、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（1） 提供虚假材料谋取中标、成交的；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（2） 采取不正当手段诋毁、排挤其他供应商的；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（3） 与采购人、其他供应商或者采购代理机构恶意串通的；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（4） 向采购人、采购代理机构行贿或者提供其他不正当利益的；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（5） 在招标采购过程中与采购人进行协商谈判的；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（6） 拒绝有关部门监督检查或提供虚假情况的。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lang w:val="en-US" w:eastAsia="zh-CN"/>
        </w:rPr>
      </w:pPr>
      <w:r>
        <w:rPr>
          <w:rFonts w:hint="eastAsia"/>
          <w:sz w:val="21"/>
          <w:szCs w:val="21"/>
          <w:lang w:val="en-US" w:eastAsia="zh-CN"/>
        </w:rPr>
        <w:t xml:space="preserve">10、我方及由本人担任法定代表人的其他机构最近三年内被处罚的违法行为有：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11、以上事项如有虚假或隐瞒，我方愿意承担一切后果，并不再寻求任何旨在减轻或免除法律责任的辩解。</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rFonts w:hint="eastAsia"/>
          <w:sz w:val="21"/>
          <w:szCs w:val="21"/>
          <w:lang w:val="en-US" w:eastAsia="zh-CN"/>
        </w:rPr>
        <w:t>12、</w:t>
      </w:r>
      <w:r>
        <w:rPr>
          <w:rFonts w:hint="eastAsia"/>
          <w:sz w:val="21"/>
          <w:szCs w:val="21"/>
        </w:rPr>
        <w:t>与本投标有关的正式通讯地址为：</w:t>
      </w:r>
      <w:r>
        <w:rPr>
          <w:spacing w:val="-18"/>
          <w:sz w:val="21"/>
          <w:szCs w:val="21"/>
        </w:rPr>
        <w:t xml:space="preserve"> </w:t>
      </w:r>
    </w:p>
    <w:p>
      <w:pPr>
        <w:pStyle w:val="45"/>
        <w:keepNext w:val="0"/>
        <w:keepLines w:val="0"/>
        <w:pageBreakBefore w:val="0"/>
        <w:widowControl w:val="0"/>
        <w:tabs>
          <w:tab w:val="left" w:pos="785"/>
          <w:tab w:val="left" w:pos="2459"/>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sz w:val="21"/>
          <w:szCs w:val="21"/>
        </w:rPr>
        <w:t>地</w:t>
      </w:r>
      <w:r>
        <w:rPr>
          <w:sz w:val="21"/>
          <w:szCs w:val="21"/>
        </w:rPr>
        <w:tab/>
      </w:r>
      <w:r>
        <w:rPr>
          <w:sz w:val="21"/>
          <w:szCs w:val="21"/>
        </w:rPr>
        <w:t>址：</w:t>
      </w:r>
    </w:p>
    <w:p>
      <w:pPr>
        <w:pStyle w:val="11"/>
        <w:keepNext w:val="0"/>
        <w:keepLines w:val="0"/>
        <w:pageBreakBefore w:val="0"/>
        <w:widowControl w:val="0"/>
        <w:tabs>
          <w:tab w:val="left" w:pos="2459"/>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sz w:val="21"/>
          <w:szCs w:val="21"/>
        </w:rPr>
        <w:t>电话：</w:t>
      </w:r>
    </w:p>
    <w:p>
      <w:pPr>
        <w:pStyle w:val="11"/>
        <w:keepNext w:val="0"/>
        <w:keepLines w:val="0"/>
        <w:pageBreakBefore w:val="0"/>
        <w:widowControl w:val="0"/>
        <w:tabs>
          <w:tab w:val="left" w:pos="2459"/>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rFonts w:hint="eastAsia"/>
          <w:sz w:val="21"/>
          <w:szCs w:val="21"/>
          <w:lang w:eastAsia="zh-CN"/>
        </w:rPr>
        <w:t>投标人</w:t>
      </w:r>
      <w:r>
        <w:rPr>
          <w:sz w:val="21"/>
          <w:szCs w:val="21"/>
        </w:rPr>
        <w:t xml:space="preserve">开户行： </w:t>
      </w:r>
    </w:p>
    <w:p>
      <w:pPr>
        <w:pStyle w:val="11"/>
        <w:keepNext w:val="0"/>
        <w:keepLines w:val="0"/>
        <w:pageBreakBefore w:val="0"/>
        <w:widowControl w:val="0"/>
        <w:tabs>
          <w:tab w:val="left" w:pos="2459"/>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sz w:val="21"/>
          <w:szCs w:val="21"/>
        </w:rPr>
        <w:t>账户</w:t>
      </w:r>
      <w:r>
        <w:rPr>
          <w:spacing w:val="-17"/>
          <w:sz w:val="21"/>
          <w:szCs w:val="21"/>
        </w:rPr>
        <w:t>：</w:t>
      </w:r>
    </w:p>
    <w:p>
      <w:pPr>
        <w:pStyle w:val="11"/>
        <w:keepNext w:val="0"/>
        <w:keepLines w:val="0"/>
        <w:pageBreakBefore w:val="0"/>
        <w:widowControl w:val="0"/>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rFonts w:hint="eastAsia"/>
          <w:sz w:val="21"/>
          <w:szCs w:val="21"/>
          <w:lang w:eastAsia="zh-CN"/>
        </w:rPr>
        <w:t>投标人</w:t>
      </w:r>
      <w:r>
        <w:rPr>
          <w:sz w:val="21"/>
          <w:szCs w:val="21"/>
        </w:rPr>
        <w:t>名称（公章</w:t>
      </w:r>
      <w:r>
        <w:rPr>
          <w:spacing w:val="-120"/>
          <w:sz w:val="21"/>
          <w:szCs w:val="21"/>
        </w:rPr>
        <w:t>）</w:t>
      </w:r>
      <w:r>
        <w:rPr>
          <w:sz w:val="21"/>
          <w:szCs w:val="21"/>
        </w:rPr>
        <w:t>：</w:t>
      </w:r>
    </w:p>
    <w:p>
      <w:pPr>
        <w:pStyle w:val="11"/>
        <w:keepNext w:val="0"/>
        <w:keepLines w:val="0"/>
        <w:pageBreakBefore w:val="0"/>
        <w:widowControl w:val="0"/>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rPr>
        <w:t>法定代表人（签字或盖章）：</w:t>
      </w:r>
    </w:p>
    <w:p>
      <w:pPr>
        <w:pStyle w:val="11"/>
        <w:keepNext w:val="0"/>
        <w:keepLines w:val="0"/>
        <w:pageBreakBefore w:val="0"/>
        <w:widowControl w:val="0"/>
        <w:kinsoku/>
        <w:wordWrap/>
        <w:overflowPunct/>
        <w:topLinePunct w:val="0"/>
        <w:autoSpaceDE w:val="0"/>
        <w:autoSpaceDN w:val="0"/>
        <w:bidi w:val="0"/>
        <w:adjustRightInd/>
        <w:snapToGrid/>
        <w:spacing w:line="360" w:lineRule="exact"/>
        <w:ind w:left="0" w:right="0" w:firstLine="420" w:firstLineChars="200"/>
        <w:textAlignment w:val="auto"/>
        <w:rPr>
          <w:color w:val="FF0000"/>
          <w:sz w:val="21"/>
          <w:szCs w:val="21"/>
        </w:rPr>
      </w:pPr>
      <w:r>
        <w:rPr>
          <w:sz w:val="21"/>
          <w:szCs w:val="21"/>
        </w:rPr>
        <w:t>日期：</w:t>
      </w:r>
      <w:r>
        <w:rPr>
          <w:sz w:val="21"/>
          <w:szCs w:val="21"/>
          <w:u w:val="single"/>
        </w:rPr>
        <w:tab/>
      </w:r>
      <w:r>
        <w:rPr>
          <w:sz w:val="21"/>
          <w:szCs w:val="21"/>
        </w:rPr>
        <w:t>年</w:t>
      </w:r>
      <w:r>
        <w:rPr>
          <w:sz w:val="21"/>
          <w:szCs w:val="21"/>
          <w:u w:val="single"/>
        </w:rPr>
        <w:tab/>
      </w:r>
      <w:r>
        <w:rPr>
          <w:sz w:val="21"/>
          <w:szCs w:val="21"/>
        </w:rPr>
        <w:t>月</w:t>
      </w:r>
      <w:r>
        <w:rPr>
          <w:sz w:val="21"/>
          <w:szCs w:val="21"/>
          <w:u w:val="single"/>
        </w:rPr>
        <w:tab/>
      </w:r>
      <w:r>
        <w:rPr>
          <w:sz w:val="21"/>
          <w:szCs w:val="21"/>
        </w:rPr>
        <w:t>日</w:t>
      </w:r>
    </w:p>
    <w:p>
      <w:pPr>
        <w:rPr>
          <w:color w:val="FF0000"/>
          <w:sz w:val="21"/>
          <w:szCs w:val="21"/>
        </w:rPr>
        <w:sectPr>
          <w:pgSz w:w="11911" w:h="16838"/>
          <w:pgMar w:top="1100" w:right="1134" w:bottom="1179" w:left="1134" w:header="879" w:footer="986" w:gutter="0"/>
          <w:pgNumType w:fmt="decimal"/>
          <w:cols w:space="0" w:num="1"/>
        </w:sectPr>
      </w:pPr>
    </w:p>
    <w:p>
      <w:pPr>
        <w:spacing w:before="50"/>
        <w:ind w:left="179" w:right="115"/>
        <w:jc w:val="center"/>
        <w:outlineLvl w:val="0"/>
        <w:rPr>
          <w:b/>
          <w:sz w:val="40"/>
          <w:szCs w:val="28"/>
        </w:rPr>
      </w:pPr>
      <w:bookmarkStart w:id="129" w:name="二、法定代表人身份证明"/>
      <w:bookmarkEnd w:id="129"/>
      <w:bookmarkStart w:id="130" w:name="_Toc472844009"/>
      <w:bookmarkStart w:id="131" w:name="_Toc18645"/>
      <w:bookmarkStart w:id="132" w:name="_Toc19222"/>
      <w:bookmarkStart w:id="133" w:name="_Toc19529"/>
      <w:bookmarkStart w:id="134" w:name="_Toc821"/>
      <w:bookmarkStart w:id="135" w:name="_Toc22469"/>
      <w:bookmarkStart w:id="136" w:name="_Toc38636283"/>
      <w:r>
        <w:rPr>
          <w:rFonts w:hint="eastAsia"/>
          <w:b/>
          <w:sz w:val="40"/>
          <w:szCs w:val="28"/>
        </w:rPr>
        <w:t>二、</w:t>
      </w:r>
      <w:r>
        <w:rPr>
          <w:rFonts w:hint="eastAsia"/>
          <w:b/>
          <w:sz w:val="40"/>
          <w:szCs w:val="28"/>
          <w:lang w:eastAsia="zh-CN"/>
        </w:rPr>
        <w:t>开标</w:t>
      </w:r>
      <w:r>
        <w:rPr>
          <w:rFonts w:hint="eastAsia"/>
          <w:b/>
          <w:sz w:val="40"/>
          <w:szCs w:val="28"/>
        </w:rPr>
        <w:t>一览表</w:t>
      </w:r>
      <w:bookmarkEnd w:id="130"/>
      <w:bookmarkEnd w:id="131"/>
      <w:bookmarkEnd w:id="132"/>
      <w:bookmarkEnd w:id="133"/>
      <w:bookmarkEnd w:id="134"/>
      <w:bookmarkEnd w:id="135"/>
      <w:bookmarkEnd w:id="136"/>
    </w:p>
    <w:p>
      <w:pPr>
        <w:rPr>
          <w:sz w:val="24"/>
        </w:rPr>
      </w:pPr>
      <w:r>
        <w:rPr>
          <w:rFonts w:hint="eastAsia" w:cs="Times New Roman"/>
          <w:sz w:val="24"/>
          <w:lang w:val="en-US"/>
        </w:rPr>
        <w:t>项目名称：</w:t>
      </w:r>
    </w:p>
    <w:p>
      <w:pPr>
        <w:rPr>
          <w:rFonts w:hint="eastAsia"/>
          <w:sz w:val="24"/>
        </w:rPr>
      </w:pPr>
      <w:r>
        <w:rPr>
          <w:rFonts w:hint="eastAsia"/>
          <w:sz w:val="24"/>
        </w:rPr>
        <w:t>项目编号：</w:t>
      </w:r>
    </w:p>
    <w:tbl>
      <w:tblPr>
        <w:tblStyle w:val="23"/>
        <w:tblW w:w="100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729"/>
        <w:gridCol w:w="2815"/>
        <w:gridCol w:w="655"/>
        <w:gridCol w:w="741"/>
        <w:gridCol w:w="999"/>
        <w:gridCol w:w="697"/>
        <w:gridCol w:w="1088"/>
        <w:gridCol w:w="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商品名称</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cs="宋体"/>
                <w:i w:val="0"/>
                <w:color w:val="000000"/>
                <w:kern w:val="0"/>
                <w:sz w:val="21"/>
                <w:szCs w:val="21"/>
                <w:u w:val="none"/>
                <w:lang w:val="en-US" w:eastAsia="zh-CN" w:bidi="ar"/>
              </w:rPr>
              <w:t>投标规格型号</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w:t>
            </w:r>
          </w:p>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生产厂家或品牌</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中性笔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高密度黑色0.5mm 0.028kg/支</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中性笔芯</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黑色0.5mm</w:t>
            </w:r>
            <w:r>
              <w:rPr>
                <w:rFonts w:hint="eastAsia"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子弹头 0.003kg/支</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铅笔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2B-六角木杆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0.004kg/支</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水彩笔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三角可水洗-48色/盒 0.605kg/盒</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彩色铅笔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48色-原木六角杆-油性 0.3kg/盒</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毛笔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狼毫-大楷</w:t>
            </w:r>
            <w:r>
              <w:rPr>
                <w:rFonts w:hint="eastAsia"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0.02kg/支</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排笔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扁头兼毫6支装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0.07kg/套</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钢笔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商务钛金-明尖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0.1kg/支</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钢笔墨水</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纯黑非碳素-50ml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0.087kg/瓶</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蜡笔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六角盒装-36色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0.4kg/盒</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粉笔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无尘塑光六角彩色48支 0.164kg/盒</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转笔刀</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手摇可调经典拉盖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13㎝*9cm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翻页笔</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绿光100米控制无线 0.065kg/支</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白板笔（水性）</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黑红蓝-单头-易擦 2.0mm 0.02kg/支</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白板笔（墨水）</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黑红蓝 36ml/瓶 0.06kg/瓶</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大号笔（油性）</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黑红蓝-单头-油性 2.0mm 0.02kg/支</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练习本</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牛皮封面 16K-22页缝线本 185*260mm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作业本</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牛皮封面 16K-22页缝线本 185*261mm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生字本</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牛皮封面 16K-22页缝线本 185*262mm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日记本</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仿皮封面-B5-100页 17.5*25.5cm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日记本</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仿皮封面-B5-80页 250*175mm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教案本</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胶装-B5-100页 25.0*18.5cm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谈话记录本</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软皮A5加厚加厚带扣带笔插</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本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会议记录本</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仿皮封面-B5-100张 17.5*25.3cm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信封（带邮票）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5号牛皮纸 23*11cm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信签纸</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单线-16K-20张 0.069kg/本</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卡纸</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A4-10色混装10张-210*297mm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彩纸</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A4-10色混装100张-210*298mm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红纸</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全开大张朱红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0.034kg/张</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张</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彩色皱纹纸</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手工10色-10张/包</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口取纸、标签纸</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自粘性不干胶60张/包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40枚/张 29*20mm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宣纸</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熟宣-四尺对开</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临摹纸</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书法练习16K-80张/包</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素描纸</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4K/160g-20张/包不起毛 0.66kg/包</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订书机</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2-50页省力轻便-入纸深65mm 装订100枚 24/6/8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订书针</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12#-1000枚/盒 24/6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起钉器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12#高效便捷带安全锁 起订24/6/8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回形针</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3#金属100枚/盒</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橡皮</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2B白色中号 高消字</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块</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直尺</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30cm塑料办公 0.004kg/件</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三角尺（大）</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大号磁性三角板一对 有效刻度50cm 0.024kg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剪刀</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210mm 不锈钢+ABS手柄 0.12kg/把</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美工刀</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ABS塑胶高碳钢螺旋锁式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刀片18*100mm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长尾夹</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24只/盒-3#彩色金属燕尾-32mm/只</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盒</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文件袋</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A4透明按扣0.027kg/个 34.5*23.5cm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固体胶</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35g/支 瞬间粘合快干</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涂改液</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涂刷两用 18ml/瓶 便携式 0.05kg/瓶</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拉杆夹</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A4-彩杆 抽干侧宽10mm 0.0275kg/个</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双面胶</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宽20mm </w:t>
            </w:r>
            <w:r>
              <w:rPr>
                <w:rFonts w:hint="eastAsia"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高粘性棉纸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易撕易帖</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窄12mm 高粘性棉纸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易撕易帖</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档案盒（蓝色塑料）</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A4塑料加厚 侧宽35mm 0.8mm复合PP</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A4塑料加厚 侧宽55mm 0.8mm复合PP 0.225kg/个</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透明胶带</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高透明60mm*48um*60Y</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高透明宽2.4mm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红色印泥</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油性耐水耐光印台透明壳 内径68mm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胶水</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高粘度适用多种纸张 125ml/瓶</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计算器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双电源12位显数大号金属面板 0.26kg/个</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单夹</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A4蓝色金属强力夹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0.13kg/只</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计算器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语音型12位</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墨汁</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500g书写流畅扩散均匀</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广告色</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36色 12ml/支</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盒</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油画颜料</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12色 12ml/支  保持时间久</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盒</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打码机</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9位数70*38*135mm 盖印清晰 0.49kg/个</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64</w:t>
            </w:r>
          </w:p>
        </w:tc>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打印机墨盒</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适用于MP259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65</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zh-CN" w:eastAsia="zh-CN" w:bidi="zh-CN"/>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适用于HP1020PLus</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4"/>
                <w:szCs w:val="24"/>
                <w:u w:val="none"/>
                <w:lang w:val="en-US" w:eastAsia="zh-CN" w:bidi="ar"/>
              </w:rPr>
              <w:t>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zh-CN" w:eastAsia="zh-CN" w:bidi="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66</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适用于HP1108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67</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适用于HP1106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68</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适用于ML1666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4"/>
                <w:szCs w:val="24"/>
                <w:u w:val="none"/>
                <w:lang w:val="en-US" w:eastAsia="zh-CN" w:bidi="ar"/>
              </w:rPr>
              <w:t>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打印机墨盒</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适用于 Canon PFI-103MBK</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复印机墨盒</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238T型号</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速印机油墨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DX3443型号</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键盘</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键鼠套装USB接口 0.48kg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扩音器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无线便携4000mah/300s</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录音手柄折叠</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贺卡</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80*80mm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张</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书签</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金属书签85*170mm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奖状</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A4 加厚铜版纸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0.0081kg/张</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张</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聘书</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绒面 8K-250*175mm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78</w:t>
            </w:r>
          </w:p>
        </w:tc>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电池</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7#碱性 1.5v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节</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79</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5#碱性1.5v</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节</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U盘</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USB3.0读卡150MB/S- 128GB</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移动硬盘</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商务便携 1TB-0.25kg-110.1*81.6*12.8mm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SD卡</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128GB-0.01kg 读卡100MB/S</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公文包</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大容量双层防水耐磨 390*300*80mm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电源线插排</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防过载线长4.8米10位总控 0.8kg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篮球</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7#   PV/橡胶 0.62kg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篮球气针</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不锈钢 0.004kg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篮球网</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加粗网兜 聚酯纤维 0.06kg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羽毛球</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球头：复合软木.毛片.羽毛</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羽毛球架</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标准单打网架网柱含网便携式-5.1m 3.6kg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羽毛球拍</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超轻材料设计碳素一体手柄</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排球</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5#舒适高弹  pv聚氨酯 0.41kg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排球网</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聚乙烯尼龙绳抗日晒雨淋9.5m*1m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排球架</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国标升级网架移动铸铁 120kg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足球</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5#超纤革手缝 0.45kg</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乒乓球</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无缝接弹性大直径40.0-40.5mm 77g/个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乒乓球拍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纯木厚芯底板.双面反胶 0.34kg</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乒乓球网</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聚乙烯机织1800*152.5  0.08kg</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围棋（棋盘）</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楠竹19路13路双面 44*47*1.8cm 2.21kg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象棋（棋盘）</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全竹炭画线47*44*2cm  2.7kg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跳棋（棋盘）</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木质棋盘 直径29㎝ 0.6kg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扑克牌</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耐磨不易变形57.87mm 0.86kg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沙包</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帆布柔软/稻谷壳 7cm*7cm  0.4kg</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跳绳</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手柄材质：硅胶.ABS 绳子材质PVC.钢 绳长3m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打气筒</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ABS树脂  迷你轻松便携打气不费力 长24cm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气球</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加厚彩色 100个/包</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接力棒</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ABS材质耐摔耐用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长30cm直径3cm</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麦克风</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充电无线防啸叫无杂音 0.35kg/只</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麦克风支架</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稳固三角 麦架落地钢管管体可伸缩 1.355kg/件</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领夹无线麦克风</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智能降噪无杂音无电流稳定收音安卓Type-C接口</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小红旗</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8#-14*21cm 手摇式 0.02kg/个</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快板</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音色清脆7板（大2片19.5*6.1cm 小5片12.5*4.3）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拉花</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彩色 1米/条 0.038kg/条</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灯笼</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绒面100# 直径60cm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水杯</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透明双层玻璃 300ml/个</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合  计</w:t>
            </w:r>
          </w:p>
        </w:tc>
        <w:tc>
          <w:tcPr>
            <w:tcW w:w="764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大写：</w:t>
            </w:r>
            <w:r>
              <w:rPr>
                <w:rFonts w:hint="eastAsia" w:asciiTheme="minorEastAsia" w:hAnsiTheme="minorEastAsia" w:eastAsiaTheme="minorEastAsia" w:cstheme="minorEastAsia"/>
                <w:i w:val="0"/>
                <w:iCs w:val="0"/>
                <w:color w:val="000000"/>
                <w:sz w:val="28"/>
                <w:szCs w:val="28"/>
                <w:u w:val="single"/>
                <w:lang w:val="en-US" w:eastAsia="zh-CN"/>
              </w:rPr>
              <w:t xml:space="preserve">              </w:t>
            </w:r>
            <w:r>
              <w:rPr>
                <w:rFonts w:hint="eastAsia" w:asciiTheme="minorEastAsia" w:hAnsiTheme="minorEastAsia" w:eastAsiaTheme="minorEastAsia" w:cstheme="minorEastAsia"/>
                <w:i w:val="0"/>
                <w:iCs w:val="0"/>
                <w:color w:val="000000"/>
                <w:sz w:val="28"/>
                <w:szCs w:val="28"/>
                <w:u w:val="none"/>
                <w:lang w:val="en-US" w:eastAsia="zh-CN"/>
              </w:rPr>
              <w:t xml:space="preserve">       小写：</w:t>
            </w:r>
            <w:r>
              <w:rPr>
                <w:rFonts w:hint="eastAsia" w:asciiTheme="minorEastAsia" w:hAnsiTheme="minorEastAsia" w:eastAsiaTheme="minorEastAsia" w:cstheme="minorEastAsia"/>
                <w:i w:val="0"/>
                <w:iCs w:val="0"/>
                <w:color w:val="000000"/>
                <w:sz w:val="28"/>
                <w:szCs w:val="28"/>
                <w:u w:val="single"/>
                <w:lang w:val="en-US" w:eastAsia="zh-CN"/>
              </w:rPr>
              <w:t xml:space="preserve">       </w:t>
            </w:r>
            <w:r>
              <w:rPr>
                <w:rFonts w:hint="eastAsia" w:asciiTheme="minorEastAsia" w:hAnsiTheme="minorEastAsia" w:eastAsiaTheme="minorEastAsia" w:cstheme="minorEastAsia"/>
                <w:i w:val="0"/>
                <w:iCs w:val="0"/>
                <w:color w:val="000000"/>
                <w:sz w:val="28"/>
                <w:szCs w:val="28"/>
                <w:u w:val="none"/>
                <w:lang w:val="en-US" w:eastAsia="zh-CN"/>
              </w:rPr>
              <w:t>元</w:t>
            </w:r>
          </w:p>
        </w:tc>
      </w:tr>
    </w:tbl>
    <w:p>
      <w:pPr>
        <w:pStyle w:val="3"/>
        <w:keepNext w:val="0"/>
        <w:keepLines w:val="0"/>
        <w:pageBreakBefore w:val="0"/>
        <w:widowControl w:val="0"/>
        <w:tabs>
          <w:tab w:val="left" w:pos="1442"/>
        </w:tabs>
        <w:kinsoku/>
        <w:wordWrap/>
        <w:overflowPunct/>
        <w:topLinePunct w:val="0"/>
        <w:autoSpaceDE w:val="0"/>
        <w:autoSpaceDN w:val="0"/>
        <w:bidi w:val="0"/>
        <w:adjustRightInd/>
        <w:snapToGrid/>
        <w:spacing w:before="358"/>
        <w:ind w:right="0" w:firstLine="562" w:firstLineChars="200"/>
        <w:jc w:val="left"/>
        <w:textAlignment w:val="auto"/>
        <w:rPr>
          <w:rFonts w:hint="eastAsia"/>
          <w:b/>
          <w:bCs/>
          <w:color w:val="000000"/>
          <w:sz w:val="28"/>
          <w:szCs w:val="28"/>
          <w:u w:val="none"/>
          <w:lang w:val="en-US" w:eastAsia="zh-CN"/>
        </w:rPr>
      </w:pPr>
      <w:r>
        <w:rPr>
          <w:rFonts w:hint="eastAsia"/>
          <w:b/>
          <w:bCs/>
          <w:color w:val="000000"/>
          <w:sz w:val="28"/>
          <w:szCs w:val="28"/>
          <w:u w:val="none"/>
          <w:lang w:val="en-US" w:eastAsia="zh-CN"/>
        </w:rPr>
        <w:t>未包括本次采购清单内的货物，按照市场价下浮</w:t>
      </w:r>
      <w:r>
        <w:rPr>
          <w:rFonts w:hint="eastAsia"/>
          <w:b/>
          <w:bCs/>
          <w:color w:val="000000"/>
          <w:sz w:val="28"/>
          <w:szCs w:val="28"/>
          <w:u w:val="single"/>
          <w:lang w:val="en-US" w:eastAsia="zh-CN"/>
        </w:rPr>
        <w:t xml:space="preserve">   %</w:t>
      </w:r>
      <w:r>
        <w:rPr>
          <w:rFonts w:hint="eastAsia"/>
          <w:b/>
          <w:bCs/>
          <w:color w:val="000000"/>
          <w:sz w:val="28"/>
          <w:szCs w:val="28"/>
          <w:u w:val="none"/>
          <w:lang w:val="en-US" w:eastAsia="zh-CN"/>
        </w:rPr>
        <w:t>。</w:t>
      </w:r>
    </w:p>
    <w:p>
      <w:pPr>
        <w:pStyle w:val="3"/>
        <w:keepNext w:val="0"/>
        <w:keepLines w:val="0"/>
        <w:pageBreakBefore w:val="0"/>
        <w:widowControl w:val="0"/>
        <w:tabs>
          <w:tab w:val="left" w:pos="1442"/>
        </w:tabs>
        <w:kinsoku/>
        <w:wordWrap/>
        <w:overflowPunct/>
        <w:topLinePunct w:val="0"/>
        <w:autoSpaceDE w:val="0"/>
        <w:autoSpaceDN w:val="0"/>
        <w:bidi w:val="0"/>
        <w:adjustRightInd/>
        <w:snapToGrid/>
        <w:spacing w:before="358"/>
        <w:ind w:right="0" w:firstLine="562" w:firstLineChars="200"/>
        <w:jc w:val="left"/>
        <w:textAlignment w:val="auto"/>
        <w:rPr>
          <w:rFonts w:hint="eastAsia"/>
          <w:b/>
          <w:bCs/>
          <w:color w:val="000000"/>
          <w:sz w:val="28"/>
          <w:szCs w:val="28"/>
          <w:u w:val="none"/>
          <w:lang w:val="en-US" w:eastAsia="zh-CN"/>
        </w:rPr>
      </w:pPr>
      <w:r>
        <w:rPr>
          <w:rFonts w:hint="eastAsia"/>
          <w:b/>
          <w:bCs/>
          <w:color w:val="000000"/>
          <w:sz w:val="28"/>
          <w:szCs w:val="28"/>
          <w:u w:val="none"/>
          <w:lang w:val="en-US" w:eastAsia="zh-CN"/>
        </w:rPr>
        <w:t>我单位承诺：所报本采购清单综合单价均低于市场零售价的</w:t>
      </w:r>
      <w:r>
        <w:rPr>
          <w:rFonts w:hint="eastAsia"/>
          <w:b/>
          <w:bCs/>
          <w:color w:val="000000"/>
          <w:sz w:val="28"/>
          <w:szCs w:val="28"/>
          <w:u w:val="single"/>
          <w:lang w:val="en-US" w:eastAsia="zh-CN"/>
        </w:rPr>
        <w:t xml:space="preserve">   </w:t>
      </w:r>
      <w:r>
        <w:rPr>
          <w:rFonts w:hint="eastAsia"/>
          <w:b/>
          <w:bCs/>
          <w:color w:val="000000"/>
          <w:sz w:val="28"/>
          <w:szCs w:val="28"/>
          <w:u w:val="none"/>
          <w:lang w:val="en-US" w:eastAsia="zh-CN"/>
        </w:rPr>
        <w:t>%。且所提供的全部货物满足招标文件项目采购需求。</w:t>
      </w:r>
    </w:p>
    <w:p>
      <w:pPr>
        <w:pStyle w:val="20"/>
        <w:rPr>
          <w:rFonts w:hint="eastAsia"/>
          <w:lang w:eastAsia="zh-CN"/>
        </w:rPr>
      </w:pPr>
    </w:p>
    <w:p>
      <w:pPr>
        <w:snapToGrid w:val="0"/>
        <w:spacing w:line="360" w:lineRule="auto"/>
        <w:ind w:right="840"/>
        <w:rPr>
          <w:sz w:val="24"/>
        </w:rPr>
      </w:pPr>
    </w:p>
    <w:p>
      <w:pPr>
        <w:snapToGrid w:val="0"/>
        <w:spacing w:line="360" w:lineRule="auto"/>
        <w:ind w:right="840"/>
        <w:rPr>
          <w:sz w:val="24"/>
          <w:lang w:val="en-US"/>
        </w:rPr>
      </w:pPr>
      <w:r>
        <w:rPr>
          <w:rFonts w:hint="eastAsia"/>
          <w:sz w:val="24"/>
          <w:lang w:eastAsia="zh-CN"/>
        </w:rPr>
        <w:t>投标人</w:t>
      </w:r>
      <w:r>
        <w:rPr>
          <w:rFonts w:hint="eastAsia"/>
          <w:sz w:val="24"/>
        </w:rPr>
        <w:t>（公章）：</w:t>
      </w:r>
    </w:p>
    <w:p>
      <w:pPr>
        <w:snapToGrid w:val="0"/>
        <w:spacing w:line="360" w:lineRule="auto"/>
        <w:ind w:right="420"/>
        <w:rPr>
          <w:sz w:val="24"/>
        </w:rPr>
      </w:pPr>
      <w:r>
        <w:rPr>
          <w:rFonts w:hint="eastAsia"/>
          <w:sz w:val="24"/>
        </w:rPr>
        <w:t>法定代表人或授权代理人（签字或盖章）：</w:t>
      </w:r>
    </w:p>
    <w:p>
      <w:pPr>
        <w:adjustRightInd w:val="0"/>
        <w:snapToGrid w:val="0"/>
        <w:jc w:val="center"/>
        <w:rPr>
          <w:rFonts w:hint="eastAsia"/>
          <w:sz w:val="24"/>
        </w:rPr>
      </w:pPr>
      <w:r>
        <w:rPr>
          <w:rFonts w:hint="eastAsia"/>
          <w:sz w:val="24"/>
        </w:rPr>
        <w:t>日期：    年   月   日</w:t>
      </w:r>
    </w:p>
    <w:p/>
    <w:p>
      <w:pPr>
        <w:pStyle w:val="2"/>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rFonts w:hint="eastAsia"/>
          <w:b/>
          <w:bCs/>
          <w:sz w:val="28"/>
          <w:szCs w:val="28"/>
        </w:rPr>
      </w:pPr>
    </w:p>
    <w:p>
      <w:pPr>
        <w:spacing w:before="50"/>
        <w:rPr>
          <w:b/>
          <w:sz w:val="28"/>
          <w:szCs w:val="28"/>
        </w:rPr>
      </w:pPr>
      <w:r>
        <w:rPr>
          <w:rFonts w:hint="eastAsia"/>
          <w:b/>
          <w:bCs/>
          <w:sz w:val="28"/>
          <w:szCs w:val="28"/>
          <w:lang w:eastAsia="zh-CN"/>
        </w:rPr>
        <w:t>说明</w:t>
      </w:r>
      <w:r>
        <w:rPr>
          <w:rFonts w:hint="eastAsia"/>
          <w:b/>
          <w:bCs/>
          <w:sz w:val="28"/>
          <w:szCs w:val="28"/>
        </w:rPr>
        <w:t>：</w:t>
      </w:r>
    </w:p>
    <w:p>
      <w:pPr>
        <w:keepNext w:val="0"/>
        <w:keepLines w:val="0"/>
        <w:widowControl/>
        <w:numPr>
          <w:ilvl w:val="0"/>
          <w:numId w:val="5"/>
        </w:numPr>
        <w:suppressLineNumbers w:val="0"/>
        <w:ind w:left="425" w:leftChars="0" w:hanging="425" w:firstLineChars="0"/>
        <w:jc w:val="left"/>
        <w:rPr>
          <w:rFonts w:hint="eastAsia"/>
          <w:b/>
          <w:bCs/>
          <w:sz w:val="28"/>
          <w:szCs w:val="28"/>
          <w:lang w:val="en-US" w:eastAsia="zh-CN"/>
        </w:rPr>
      </w:pPr>
      <w:r>
        <w:rPr>
          <w:rFonts w:hint="eastAsia"/>
          <w:b/>
          <w:bCs/>
          <w:sz w:val="28"/>
          <w:szCs w:val="28"/>
          <w:lang w:val="en-US" w:eastAsia="zh-CN"/>
        </w:rPr>
        <w:t>投标人需按本表格式填写，不得自行更改，本表中的“投标规格型号”、“综合单价”、“生产厂家或品牌”不得留空, 且必须加盖投标人公章，否则其投标作无效标处理。</w:t>
      </w:r>
    </w:p>
    <w:p>
      <w:pPr>
        <w:keepNext w:val="0"/>
        <w:keepLines w:val="0"/>
        <w:widowControl/>
        <w:numPr>
          <w:ilvl w:val="0"/>
          <w:numId w:val="5"/>
        </w:numPr>
        <w:suppressLineNumbers w:val="0"/>
        <w:ind w:left="425" w:leftChars="0" w:hanging="425" w:firstLineChars="0"/>
        <w:jc w:val="left"/>
        <w:rPr>
          <w:rFonts w:hint="eastAsia"/>
          <w:b/>
          <w:bCs/>
          <w:sz w:val="28"/>
          <w:szCs w:val="28"/>
          <w:lang w:val="en-US" w:eastAsia="zh-CN"/>
        </w:rPr>
      </w:pPr>
      <w:r>
        <w:rPr>
          <w:rFonts w:hint="eastAsia"/>
          <w:b/>
          <w:bCs/>
          <w:sz w:val="28"/>
          <w:szCs w:val="28"/>
          <w:lang w:val="en-US" w:eastAsia="zh-CN"/>
        </w:rPr>
        <w:t>请将本开标一览表单独密封一份。</w:t>
      </w:r>
      <w:bookmarkStart w:id="137" w:name="_Toc30946"/>
    </w:p>
    <w:p>
      <w:pPr>
        <w:pStyle w:val="2"/>
        <w:rPr>
          <w:rFonts w:hint="eastAsia"/>
          <w:lang w:val="en-US" w:eastAsia="zh-CN"/>
        </w:rPr>
      </w:pPr>
    </w:p>
    <w:p>
      <w:pPr>
        <w:spacing w:before="50"/>
        <w:ind w:left="179" w:right="115"/>
        <w:jc w:val="center"/>
        <w:outlineLvl w:val="0"/>
        <w:rPr>
          <w:rFonts w:hint="eastAsia"/>
          <w:b/>
          <w:sz w:val="44"/>
          <w:szCs w:val="32"/>
        </w:rPr>
      </w:pPr>
      <w:r>
        <w:rPr>
          <w:rFonts w:hint="eastAsia"/>
          <w:b/>
          <w:sz w:val="44"/>
          <w:szCs w:val="32"/>
        </w:rPr>
        <w:t>三、法定代表人身份证明</w:t>
      </w:r>
      <w:bookmarkEnd w:id="137"/>
    </w:p>
    <w:p>
      <w:pPr>
        <w:pStyle w:val="11"/>
        <w:rPr>
          <w:b/>
          <w:sz w:val="32"/>
        </w:rPr>
      </w:pPr>
    </w:p>
    <w:p>
      <w:pPr>
        <w:pStyle w:val="11"/>
        <w:tabs>
          <w:tab w:val="left" w:pos="4407"/>
        </w:tabs>
        <w:ind w:left="520"/>
        <w:rPr>
          <w:rFonts w:ascii="Times New Roman" w:eastAsia="Times New Roman"/>
        </w:rPr>
      </w:pPr>
      <w:r>
        <w:rPr>
          <w:rFonts w:hint="eastAsia"/>
          <w:spacing w:val="-3"/>
          <w:lang w:eastAsia="zh-CN"/>
        </w:rPr>
        <w:t>投标人</w:t>
      </w:r>
      <w:r>
        <w:t>名</w:t>
      </w:r>
      <w:r>
        <w:rPr>
          <w:spacing w:val="-8"/>
        </w:rPr>
        <w:t>称</w:t>
      </w:r>
      <w:r>
        <w:t>：</w:t>
      </w:r>
      <w:r>
        <w:rPr>
          <w:rFonts w:ascii="Times New Roman" w:eastAsia="Times New Roman"/>
          <w:u w:val="single"/>
        </w:rPr>
        <w:tab/>
      </w:r>
    </w:p>
    <w:p>
      <w:pPr>
        <w:pStyle w:val="11"/>
        <w:tabs>
          <w:tab w:val="left" w:pos="2831"/>
          <w:tab w:val="left" w:pos="4302"/>
          <w:tab w:val="left" w:pos="5771"/>
          <w:tab w:val="left" w:pos="7347"/>
        </w:tabs>
        <w:spacing w:before="173"/>
        <w:ind w:left="520"/>
        <w:rPr>
          <w:rFonts w:ascii="Times New Roman" w:eastAsia="Times New Roman"/>
        </w:rPr>
      </w:pPr>
      <w:r>
        <w:t>姓名</w:t>
      </w:r>
      <w:r>
        <w:rPr>
          <w:spacing w:val="-8"/>
        </w:rPr>
        <w:t>：</w:t>
      </w:r>
      <w:r>
        <w:rPr>
          <w:spacing w:val="-8"/>
          <w:u w:val="single"/>
        </w:rPr>
        <w:tab/>
      </w:r>
      <w:r>
        <w:t>性别</w:t>
      </w:r>
      <w:r>
        <w:rPr>
          <w:spacing w:val="-6"/>
        </w:rPr>
        <w:t>：</w:t>
      </w:r>
      <w:r>
        <w:rPr>
          <w:spacing w:val="-6"/>
          <w:u w:val="single"/>
        </w:rPr>
        <w:tab/>
      </w:r>
      <w:r>
        <w:t>年</w:t>
      </w:r>
      <w:r>
        <w:rPr>
          <w:spacing w:val="-5"/>
        </w:rPr>
        <w:t>龄</w:t>
      </w:r>
      <w:r>
        <w:t>：</w:t>
      </w:r>
      <w:r>
        <w:rPr>
          <w:u w:val="single"/>
        </w:rPr>
        <w:tab/>
      </w:r>
      <w:r>
        <w:rPr>
          <w:spacing w:val="-3"/>
        </w:rPr>
        <w:t>职</w:t>
      </w:r>
      <w:r>
        <w:rPr>
          <w:spacing w:val="-5"/>
        </w:rPr>
        <w:t>务</w:t>
      </w:r>
      <w:r>
        <w:t>：</w:t>
      </w:r>
      <w:r>
        <w:rPr>
          <w:rFonts w:ascii="Times New Roman" w:eastAsia="Times New Roman"/>
          <w:u w:val="single"/>
        </w:rPr>
        <w:tab/>
      </w:r>
    </w:p>
    <w:p>
      <w:pPr>
        <w:pStyle w:val="11"/>
        <w:rPr>
          <w:rFonts w:ascii="Times New Roman"/>
          <w:sz w:val="9"/>
        </w:rPr>
      </w:pPr>
    </w:p>
    <w:p>
      <w:pPr>
        <w:pStyle w:val="11"/>
        <w:tabs>
          <w:tab w:val="left" w:pos="3251"/>
        </w:tabs>
        <w:spacing w:before="74" w:line="377" w:lineRule="auto"/>
        <w:ind w:left="941" w:hanging="420"/>
        <w:rPr>
          <w:spacing w:val="-14"/>
        </w:rPr>
      </w:pPr>
      <w:r>
        <w:t>系</w:t>
      </w:r>
      <w:r>
        <w:rPr>
          <w:u w:val="single"/>
        </w:rPr>
        <w:tab/>
      </w:r>
      <w:r>
        <w:rPr>
          <w:u w:val="single"/>
        </w:rPr>
        <w:tab/>
      </w:r>
      <w:r>
        <w:rPr>
          <w:spacing w:val="-5"/>
        </w:rPr>
        <w:t>（</w:t>
      </w:r>
      <w:r>
        <w:rPr>
          <w:rFonts w:hint="eastAsia"/>
        </w:rPr>
        <w:t>供应商</w:t>
      </w:r>
      <w:r>
        <w:rPr>
          <w:spacing w:val="-5"/>
        </w:rPr>
        <w:t>名</w:t>
      </w:r>
      <w:r>
        <w:t>称</w:t>
      </w:r>
      <w:r>
        <w:rPr>
          <w:spacing w:val="-8"/>
        </w:rPr>
        <w:t>）</w:t>
      </w:r>
      <w:r>
        <w:t>的</w:t>
      </w:r>
      <w:r>
        <w:rPr>
          <w:spacing w:val="-8"/>
        </w:rPr>
        <w:t>法</w:t>
      </w:r>
      <w:r>
        <w:rPr>
          <w:spacing w:val="-5"/>
        </w:rPr>
        <w:t>定</w:t>
      </w:r>
      <w:r>
        <w:t>代表</w:t>
      </w:r>
      <w:r>
        <w:rPr>
          <w:spacing w:val="-5"/>
        </w:rPr>
        <w:t>人</w:t>
      </w:r>
      <w:r>
        <w:rPr>
          <w:spacing w:val="-14"/>
        </w:rPr>
        <w:t>。</w:t>
      </w:r>
    </w:p>
    <w:p>
      <w:pPr>
        <w:pStyle w:val="11"/>
        <w:tabs>
          <w:tab w:val="left" w:pos="3251"/>
        </w:tabs>
        <w:spacing w:before="74" w:line="376" w:lineRule="auto"/>
        <w:ind w:left="940" w:right="3527" w:hanging="420"/>
      </w:pPr>
      <w:r>
        <w:t>特此证明。</w:t>
      </w:r>
    </w:p>
    <w:p>
      <w:pPr>
        <w:pStyle w:val="11"/>
        <w:spacing w:before="11"/>
        <w:rPr>
          <w:sz w:val="35"/>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809" w:type="dxa"/>
          </w:tcPr>
          <w:p>
            <w:pPr>
              <w:pStyle w:val="12"/>
              <w:jc w:val="center"/>
            </w:pPr>
            <w:r>
              <w:t>法定代表人身份证（正面及反面）复印件</w:t>
            </w:r>
          </w:p>
        </w:tc>
      </w:tr>
    </w:tbl>
    <w:p>
      <w:pPr>
        <w:pStyle w:val="12"/>
      </w:pPr>
    </w:p>
    <w:p>
      <w:pPr>
        <w:pStyle w:val="11"/>
      </w:pPr>
    </w:p>
    <w:p>
      <w:pPr>
        <w:pStyle w:val="11"/>
      </w:pPr>
    </w:p>
    <w:p>
      <w:pPr>
        <w:pStyle w:val="11"/>
      </w:pPr>
    </w:p>
    <w:p>
      <w:pPr>
        <w:pStyle w:val="11"/>
        <w:spacing w:before="1"/>
        <w:rPr>
          <w:sz w:val="26"/>
        </w:rPr>
      </w:pPr>
    </w:p>
    <w:p>
      <w:pPr>
        <w:pStyle w:val="11"/>
        <w:tabs>
          <w:tab w:val="left" w:pos="6939"/>
        </w:tabs>
        <w:ind w:left="4631"/>
      </w:pPr>
      <w:r>
        <w:rPr>
          <w:rFonts w:hint="eastAsia"/>
          <w:spacing w:val="-5"/>
          <w:lang w:eastAsia="zh-CN"/>
        </w:rPr>
        <w:t>投标人</w:t>
      </w:r>
      <w:r>
        <w:t>：</w:t>
      </w:r>
      <w:r>
        <w:rPr>
          <w:u w:val="single"/>
        </w:rPr>
        <w:tab/>
      </w:r>
      <w:r>
        <w:t>（单</w:t>
      </w:r>
      <w:r>
        <w:rPr>
          <w:spacing w:val="-5"/>
        </w:rPr>
        <w:t>位</w:t>
      </w:r>
      <w:r>
        <w:t>公</w:t>
      </w:r>
      <w:r>
        <w:rPr>
          <w:spacing w:val="-8"/>
        </w:rPr>
        <w:t>章</w:t>
      </w:r>
      <w:r>
        <w:t>）</w:t>
      </w:r>
    </w:p>
    <w:p>
      <w:pPr>
        <w:pStyle w:val="11"/>
        <w:rPr>
          <w:sz w:val="26"/>
        </w:rPr>
      </w:pPr>
    </w:p>
    <w:p>
      <w:pPr>
        <w:pStyle w:val="11"/>
        <w:rPr>
          <w:sz w:val="23"/>
        </w:rPr>
      </w:pPr>
    </w:p>
    <w:p>
      <w:pPr>
        <w:pStyle w:val="11"/>
        <w:tabs>
          <w:tab w:val="left" w:pos="8300"/>
        </w:tabs>
        <w:ind w:left="4679"/>
      </w:pPr>
      <w:r>
        <w:t>法定</w:t>
      </w:r>
      <w:r>
        <w:rPr>
          <w:spacing w:val="-5"/>
        </w:rPr>
        <w:t>代</w:t>
      </w:r>
      <w:r>
        <w:t>表</w:t>
      </w:r>
      <w:r>
        <w:rPr>
          <w:spacing w:val="-8"/>
        </w:rPr>
        <w:t>人</w:t>
      </w:r>
      <w:r>
        <w:rPr>
          <w:u w:val="single"/>
        </w:rPr>
        <w:t>：（</w:t>
      </w:r>
      <w:r>
        <w:t>签字或盖章）</w:t>
      </w:r>
    </w:p>
    <w:p>
      <w:pPr>
        <w:pStyle w:val="11"/>
        <w:rPr>
          <w:sz w:val="20"/>
        </w:rPr>
      </w:pPr>
    </w:p>
    <w:p>
      <w:pPr>
        <w:pStyle w:val="11"/>
        <w:spacing w:before="9"/>
        <w:rPr>
          <w:sz w:val="29"/>
        </w:rPr>
      </w:pPr>
    </w:p>
    <w:p>
      <w:pPr>
        <w:pStyle w:val="11"/>
        <w:tabs>
          <w:tab w:val="left" w:pos="5771"/>
          <w:tab w:val="left" w:pos="6611"/>
          <w:tab w:val="left" w:pos="7451"/>
        </w:tabs>
        <w:spacing w:before="67"/>
        <w:ind w:left="5140"/>
      </w:pPr>
      <w:r>
        <w:rPr>
          <w:rFonts w:ascii="Times New Roman" w:eastAsia="Times New Roman"/>
          <w:u w:val="single"/>
        </w:rPr>
        <w:tab/>
      </w:r>
      <w:r>
        <w:t>年</w:t>
      </w:r>
      <w:r>
        <w:rPr>
          <w:u w:val="single"/>
        </w:rPr>
        <w:tab/>
      </w:r>
      <w:r>
        <w:t>月</w:t>
      </w:r>
      <w:r>
        <w:rPr>
          <w:u w:val="single"/>
        </w:rPr>
        <w:tab/>
      </w:r>
      <w:r>
        <w:t>日</w:t>
      </w:r>
    </w:p>
    <w:p/>
    <w:p>
      <w:pPr>
        <w:pStyle w:val="19"/>
      </w:pPr>
    </w:p>
    <w:p/>
    <w:p>
      <w:pPr>
        <w:pStyle w:val="19"/>
      </w:pPr>
    </w:p>
    <w:p/>
    <w:p>
      <w:pPr>
        <w:pStyle w:val="2"/>
      </w:pPr>
    </w:p>
    <w:p/>
    <w:p>
      <w:pPr>
        <w:pStyle w:val="2"/>
      </w:pPr>
    </w:p>
    <w:p>
      <w:pPr>
        <w:rPr>
          <w:rFonts w:hint="eastAsia"/>
          <w:b/>
          <w:bCs/>
          <w:sz w:val="28"/>
          <w:szCs w:val="28"/>
          <w:lang w:eastAsia="zh-CN"/>
        </w:rPr>
      </w:pPr>
      <w:r>
        <w:rPr>
          <w:rFonts w:hint="eastAsia"/>
          <w:b/>
          <w:bCs/>
          <w:sz w:val="28"/>
          <w:szCs w:val="28"/>
          <w:lang w:eastAsia="zh-CN"/>
        </w:rPr>
        <w:t>说明：</w:t>
      </w:r>
    </w:p>
    <w:p>
      <w:pPr>
        <w:rPr>
          <w:sz w:val="28"/>
          <w:szCs w:val="28"/>
        </w:rPr>
        <w:sectPr>
          <w:pgSz w:w="11911" w:h="16838"/>
          <w:pgMar w:top="1100" w:right="1134" w:bottom="1179" w:left="1134" w:header="879" w:footer="986" w:gutter="0"/>
          <w:pgNumType w:fmt="decimal"/>
          <w:cols w:space="0" w:num="1"/>
        </w:sectPr>
      </w:pPr>
      <w:r>
        <w:rPr>
          <w:rFonts w:hint="eastAsia"/>
          <w:b/>
          <w:bCs/>
          <w:sz w:val="28"/>
          <w:szCs w:val="28"/>
        </w:rPr>
        <w:t>法定代表人本人前来参加投标的需提供此项证明文件及身份证原件，开标现场手持的应和投标文件中一致。</w:t>
      </w:r>
    </w:p>
    <w:p>
      <w:pPr>
        <w:spacing w:before="50"/>
        <w:ind w:left="179" w:right="115"/>
        <w:jc w:val="center"/>
        <w:outlineLvl w:val="0"/>
        <w:rPr>
          <w:rFonts w:hint="eastAsia"/>
          <w:b/>
          <w:sz w:val="44"/>
          <w:szCs w:val="32"/>
        </w:rPr>
      </w:pPr>
      <w:bookmarkStart w:id="138" w:name="_Toc21550"/>
      <w:r>
        <w:rPr>
          <w:rFonts w:hint="eastAsia"/>
          <w:b/>
          <w:sz w:val="44"/>
          <w:szCs w:val="32"/>
        </w:rPr>
        <w:t>法定代表人授权书</w:t>
      </w:r>
      <w:bookmarkEnd w:id="138"/>
    </w:p>
    <w:p>
      <w:pPr>
        <w:pStyle w:val="11"/>
        <w:spacing w:before="7"/>
        <w:rPr>
          <w:rFonts w:ascii="黑体"/>
          <w:b/>
          <w:sz w:val="28"/>
        </w:rPr>
      </w:pPr>
    </w:p>
    <w:p>
      <w:pPr>
        <w:pStyle w:val="11"/>
        <w:tabs>
          <w:tab w:val="left" w:pos="3371"/>
          <w:tab w:val="left" w:pos="6520"/>
        </w:tabs>
        <w:spacing w:line="451" w:lineRule="auto"/>
        <w:ind w:left="225" w:right="106" w:firstLine="480"/>
        <w:jc w:val="both"/>
      </w:pPr>
      <w:r>
        <w:t>本授权书声明：</w:t>
      </w:r>
      <w:r>
        <w:rPr>
          <w:u w:val="single"/>
        </w:rPr>
        <w:tab/>
      </w:r>
      <w:r>
        <w:t>（</w:t>
      </w:r>
      <w:r>
        <w:rPr>
          <w:rFonts w:hint="eastAsia"/>
        </w:rPr>
        <w:t>供应商</w:t>
      </w:r>
      <w:r>
        <w:t>名称）授权</w:t>
      </w:r>
      <w:r>
        <w:rPr>
          <w:u w:val="single"/>
        </w:rPr>
        <w:tab/>
      </w:r>
      <w:r>
        <w:t>（被授权人的姓名）为</w:t>
      </w:r>
      <w:r>
        <w:rPr>
          <w:spacing w:val="-14"/>
        </w:rPr>
        <w:t>我</w:t>
      </w:r>
      <w:r>
        <w:t>方就</w:t>
      </w:r>
      <w:r>
        <w:rPr>
          <w:u w:val="single"/>
        </w:rPr>
        <w:t>（项目编号）</w:t>
      </w:r>
      <w:r>
        <w:rPr>
          <w:rFonts w:hint="eastAsia"/>
          <w:u w:val="single"/>
          <w:lang w:val="en-US" w:eastAsia="zh-CN"/>
        </w:rPr>
        <w:t xml:space="preserve">     </w:t>
      </w:r>
      <w:r>
        <w:t>号</w:t>
      </w:r>
      <w:r>
        <w:rPr>
          <w:rFonts w:hint="eastAsia"/>
          <w:u w:val="single"/>
          <w:lang w:val="en-US" w:eastAsia="zh-CN"/>
        </w:rPr>
        <w:t xml:space="preserve"> （项目名称）                 </w:t>
      </w:r>
      <w:r>
        <w:t>项目采购活动的合法代理人</w:t>
      </w:r>
      <w:r>
        <w:rPr>
          <w:spacing w:val="-17"/>
        </w:rPr>
        <w:t>，</w:t>
      </w:r>
      <w:r>
        <w:t>以本单位名义全权处理一切</w:t>
      </w:r>
      <w:r>
        <w:rPr>
          <w:spacing w:val="-15"/>
        </w:rPr>
        <w:t>与</w:t>
      </w:r>
      <w:r>
        <w:t>该项目采购有关的事务。</w:t>
      </w:r>
    </w:p>
    <w:p>
      <w:pPr>
        <w:pStyle w:val="11"/>
        <w:tabs>
          <w:tab w:val="left" w:pos="2985"/>
          <w:tab w:val="left" w:pos="3945"/>
          <w:tab w:val="left" w:pos="5025"/>
        </w:tabs>
        <w:spacing w:before="150"/>
        <w:ind w:left="705"/>
      </w:pPr>
      <w:r>
        <w:t>本授权书于</w:t>
      </w:r>
      <w:r>
        <w:rPr>
          <w:u w:val="single"/>
        </w:rPr>
        <w:tab/>
      </w:r>
      <w:r>
        <w:t>年</w:t>
      </w:r>
      <w:r>
        <w:rPr>
          <w:u w:val="single"/>
        </w:rPr>
        <w:tab/>
      </w:r>
      <w:r>
        <w:t>月</w:t>
      </w:r>
      <w:r>
        <w:rPr>
          <w:u w:val="single"/>
        </w:rPr>
        <w:tab/>
      </w:r>
      <w:r>
        <w:t>日起生效，特此声明。</w:t>
      </w:r>
    </w:p>
    <w:p>
      <w:pPr>
        <w:pStyle w:val="11"/>
        <w:spacing w:before="7"/>
        <w:rPr>
          <w:sz w:val="32"/>
        </w:rPr>
      </w:pPr>
    </w:p>
    <w:p>
      <w:pPr>
        <w:pStyle w:val="11"/>
        <w:tabs>
          <w:tab w:val="left" w:pos="6643"/>
        </w:tabs>
        <w:ind w:left="104" w:firstLine="1428" w:firstLineChars="600"/>
        <w:jc w:val="both"/>
        <w:rPr>
          <w:rFonts w:ascii="Times New Roman" w:eastAsia="Times New Roman"/>
        </w:rPr>
      </w:pPr>
      <w:r>
        <w:rPr>
          <w:spacing w:val="-1"/>
        </w:rPr>
        <w:t>代</w:t>
      </w:r>
      <w:r>
        <w:t>理人（被授权人）签字：</w:t>
      </w:r>
      <w:r>
        <w:rPr>
          <w:rFonts w:ascii="Times New Roman" w:eastAsia="Times New Roman"/>
          <w:u w:val="single"/>
        </w:rPr>
        <w:tab/>
      </w:r>
    </w:p>
    <w:p>
      <w:pPr>
        <w:pStyle w:val="11"/>
        <w:rPr>
          <w:rFonts w:ascii="Times New Roman"/>
          <w:sz w:val="20"/>
        </w:rPr>
      </w:pPr>
    </w:p>
    <w:p>
      <w:pPr>
        <w:pStyle w:val="11"/>
        <w:tabs>
          <w:tab w:val="left" w:pos="6524"/>
        </w:tabs>
        <w:spacing w:before="190"/>
        <w:ind w:left="1425"/>
        <w:rPr>
          <w:rFonts w:ascii="Times New Roman" w:eastAsia="Times New Roman"/>
        </w:rPr>
      </w:pPr>
      <w:r>
        <w:rPr>
          <w:spacing w:val="-1"/>
        </w:rPr>
        <w:t>身</w:t>
      </w:r>
      <w:r>
        <w:t>份证号码：</w:t>
      </w:r>
      <w:r>
        <w:rPr>
          <w:rFonts w:ascii="Times New Roman" w:eastAsia="Times New Roman"/>
          <w:u w:val="single"/>
        </w:rPr>
        <w:tab/>
      </w:r>
    </w:p>
    <w:p>
      <w:pPr>
        <w:pStyle w:val="11"/>
        <w:spacing w:before="10"/>
        <w:rPr>
          <w:rFonts w:ascii="Times New Roman"/>
          <w:sz w:val="29"/>
        </w:rPr>
      </w:pPr>
    </w:p>
    <w:p>
      <w:pPr>
        <w:pStyle w:val="11"/>
        <w:tabs>
          <w:tab w:val="left" w:pos="6644"/>
        </w:tabs>
        <w:spacing w:before="74"/>
        <w:ind w:left="1425"/>
        <w:rPr>
          <w:rFonts w:ascii="Times New Roman" w:eastAsia="Times New Roman"/>
        </w:rPr>
      </w:pPr>
      <w:r>
        <w:t>联系电话</w:t>
      </w:r>
      <w:r>
        <w:rPr>
          <w:spacing w:val="-120"/>
        </w:rPr>
        <w:t>：</w:t>
      </w:r>
      <w:r>
        <w:t>（手机</w:t>
      </w:r>
      <w:r>
        <w:rPr>
          <w:spacing w:val="-1"/>
        </w:rPr>
        <w:t>）</w:t>
      </w:r>
      <w:r>
        <w:rPr>
          <w:rFonts w:ascii="Times New Roman" w:eastAsia="Times New Roman"/>
          <w:u w:val="single"/>
        </w:rPr>
        <w:tab/>
      </w:r>
    </w:p>
    <w:p>
      <w:pPr>
        <w:pStyle w:val="11"/>
        <w:spacing w:before="10"/>
        <w:rPr>
          <w:rFonts w:ascii="Times New Roman"/>
          <w:sz w:val="29"/>
        </w:rPr>
      </w:pPr>
    </w:p>
    <w:p>
      <w:pPr>
        <w:pStyle w:val="11"/>
        <w:tabs>
          <w:tab w:val="left" w:pos="6284"/>
        </w:tabs>
        <w:spacing w:before="74"/>
        <w:ind w:left="1425"/>
        <w:rPr>
          <w:rFonts w:ascii="Times New Roman" w:eastAsia="Times New Roman"/>
        </w:rPr>
      </w:pPr>
      <w:r>
        <w:rPr>
          <w:spacing w:val="-1"/>
        </w:rPr>
        <w:t>单</w:t>
      </w:r>
      <w:r>
        <w:t>位名称：</w:t>
      </w:r>
      <w:r>
        <w:rPr>
          <w:rFonts w:ascii="Times New Roman" w:eastAsia="Times New Roman"/>
          <w:u w:val="single"/>
        </w:rPr>
        <w:tab/>
      </w:r>
    </w:p>
    <w:p>
      <w:pPr>
        <w:pStyle w:val="11"/>
        <w:spacing w:before="10"/>
        <w:rPr>
          <w:rFonts w:ascii="Times New Roman"/>
          <w:sz w:val="29"/>
        </w:rPr>
      </w:pPr>
    </w:p>
    <w:p>
      <w:pPr>
        <w:pStyle w:val="11"/>
        <w:tabs>
          <w:tab w:val="left" w:pos="7124"/>
        </w:tabs>
        <w:spacing w:before="74"/>
        <w:ind w:left="1425"/>
        <w:rPr>
          <w:rFonts w:ascii="Times New Roman" w:eastAsia="Times New Roman"/>
        </w:rPr>
      </w:pPr>
      <w:r>
        <w:t>授权单位（公章</w:t>
      </w:r>
      <w:r>
        <w:rPr>
          <w:spacing w:val="-120"/>
        </w:rPr>
        <w:t>）</w:t>
      </w:r>
      <w:r>
        <w:rPr>
          <w:spacing w:val="-1"/>
        </w:rPr>
        <w:t>：</w:t>
      </w:r>
      <w:r>
        <w:rPr>
          <w:rFonts w:ascii="Times New Roman" w:eastAsia="Times New Roman"/>
          <w:u w:val="single"/>
        </w:rPr>
        <w:tab/>
      </w:r>
    </w:p>
    <w:p>
      <w:pPr>
        <w:pStyle w:val="11"/>
        <w:spacing w:before="9"/>
        <w:rPr>
          <w:rFonts w:ascii="Times New Roman"/>
          <w:sz w:val="29"/>
        </w:rPr>
      </w:pPr>
    </w:p>
    <w:p>
      <w:pPr>
        <w:pStyle w:val="11"/>
        <w:tabs>
          <w:tab w:val="left" w:pos="6179"/>
        </w:tabs>
        <w:spacing w:before="75"/>
        <w:ind w:right="253" w:firstLine="1428" w:firstLineChars="600"/>
        <w:jc w:val="both"/>
        <w:rPr>
          <w:rFonts w:ascii="Times New Roman" w:eastAsia="Times New Roman"/>
        </w:rPr>
      </w:pPr>
      <w:r>
        <w:rPr>
          <w:spacing w:val="-1"/>
        </w:rPr>
        <w:t>单</w:t>
      </w:r>
      <w:r>
        <w:t>位地址：</w:t>
      </w:r>
      <w:r>
        <w:rPr>
          <w:rFonts w:ascii="Times New Roman" w:eastAsia="Times New Roman"/>
          <w:u w:val="single"/>
        </w:rPr>
        <w:tab/>
      </w:r>
    </w:p>
    <w:p>
      <w:pPr>
        <w:pStyle w:val="11"/>
        <w:spacing w:before="9"/>
        <w:rPr>
          <w:rFonts w:ascii="Times New Roman"/>
          <w:sz w:val="29"/>
        </w:rPr>
      </w:pPr>
    </w:p>
    <w:p>
      <w:pPr>
        <w:pStyle w:val="11"/>
        <w:tabs>
          <w:tab w:val="left" w:pos="5444"/>
        </w:tabs>
        <w:spacing w:before="74"/>
        <w:ind w:firstLine="1428" w:firstLineChars="600"/>
        <w:rPr>
          <w:rFonts w:ascii="Times New Roman" w:eastAsia="Times New Roman"/>
        </w:rPr>
      </w:pPr>
      <w:r>
        <w:rPr>
          <w:spacing w:val="-1"/>
        </w:rPr>
        <w:t>日</w:t>
      </w:r>
      <w:r>
        <w:t>期：</w:t>
      </w:r>
      <w:r>
        <w:rPr>
          <w:rFonts w:ascii="Times New Roman" w:eastAsia="Times New Roman"/>
          <w:u w:val="single"/>
        </w:rPr>
        <w:tab/>
      </w:r>
    </w:p>
    <w:p>
      <w:pPr>
        <w:pStyle w:val="11"/>
        <w:rPr>
          <w:rFonts w:ascii="Times New Roman"/>
          <w:sz w:val="21"/>
        </w:rPr>
      </w:pPr>
    </w:p>
    <w:p>
      <w:pPr>
        <w:pStyle w:val="11"/>
        <w:rPr>
          <w:rFonts w:ascii="Times New Roman"/>
          <w:sz w:val="20"/>
        </w:rPr>
      </w:pPr>
    </w:p>
    <w:tbl>
      <w:tblPr>
        <w:tblStyle w:val="24"/>
        <w:tblpPr w:leftFromText="180" w:rightFromText="180" w:vertAnchor="text" w:horzAnchor="page" w:tblpXSpec="center" w:tblpY="1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261" w:type="dxa"/>
            <w:vAlign w:val="center"/>
          </w:tcPr>
          <w:p>
            <w:pPr>
              <w:pStyle w:val="11"/>
              <w:jc w:val="both"/>
              <w:rPr>
                <w:rFonts w:ascii="Times New Roman"/>
                <w:sz w:val="21"/>
              </w:rPr>
            </w:pPr>
            <w:r>
              <w:rPr>
                <w:rFonts w:hint="eastAsia" w:ascii="仿宋_GB2312" w:eastAsia="仿宋_GB2312"/>
                <w:b/>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7261" w:type="dxa"/>
            <w:vAlign w:val="center"/>
          </w:tcPr>
          <w:p>
            <w:pPr>
              <w:pStyle w:val="11"/>
              <w:jc w:val="both"/>
              <w:rPr>
                <w:rFonts w:ascii="Times New Roman"/>
                <w:sz w:val="21"/>
              </w:rPr>
            </w:pPr>
            <w:r>
              <w:rPr>
                <w:rFonts w:hint="eastAsia" w:ascii="仿宋_GB2312" w:eastAsia="仿宋_GB2312"/>
                <w:b/>
              </w:rPr>
              <w:t>授权人身份证复印件</w:t>
            </w:r>
          </w:p>
        </w:tc>
      </w:tr>
    </w:tbl>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8"/>
        <w:rPr>
          <w:rFonts w:ascii="Times New Roman"/>
          <w:sz w:val="19"/>
        </w:rPr>
      </w:pPr>
    </w:p>
    <w:p>
      <w:pPr>
        <w:pStyle w:val="11"/>
        <w:spacing w:before="6"/>
        <w:rPr>
          <w:sz w:val="25"/>
        </w:rPr>
      </w:pPr>
      <w:bookmarkStart w:id="139" w:name="四、资格性和符合性检查响应对照表"/>
      <w:bookmarkEnd w:id="139"/>
    </w:p>
    <w:p>
      <w:pPr>
        <w:pStyle w:val="12"/>
        <w:rPr>
          <w:sz w:val="25"/>
        </w:rPr>
      </w:pPr>
    </w:p>
    <w:p>
      <w:pPr>
        <w:pStyle w:val="12"/>
        <w:rPr>
          <w:sz w:val="25"/>
        </w:rPr>
      </w:pPr>
    </w:p>
    <w:p>
      <w:pPr>
        <w:spacing w:before="54"/>
        <w:ind w:left="1157" w:right="743"/>
        <w:jc w:val="center"/>
        <w:rPr>
          <w:b/>
          <w:sz w:val="32"/>
        </w:rPr>
      </w:pPr>
    </w:p>
    <w:p>
      <w:pPr>
        <w:spacing w:before="54"/>
        <w:ind w:left="1157" w:right="743"/>
        <w:jc w:val="center"/>
        <w:rPr>
          <w:b/>
          <w:sz w:val="32"/>
        </w:rPr>
      </w:pPr>
    </w:p>
    <w:p/>
    <w:p>
      <w:pPr>
        <w:rPr>
          <w:rFonts w:hint="eastAsia"/>
          <w:b/>
          <w:bCs/>
          <w:sz w:val="28"/>
          <w:szCs w:val="28"/>
          <w:lang w:eastAsia="zh-CN"/>
        </w:rPr>
      </w:pPr>
      <w:r>
        <w:rPr>
          <w:rFonts w:hint="eastAsia"/>
          <w:b/>
          <w:bCs/>
          <w:sz w:val="28"/>
          <w:szCs w:val="28"/>
          <w:lang w:eastAsia="zh-CN"/>
        </w:rPr>
        <w:t>说明：</w:t>
      </w:r>
    </w:p>
    <w:p>
      <w:pPr>
        <w:rPr>
          <w:rFonts w:hint="eastAsia"/>
          <w:b/>
          <w:bCs/>
          <w:sz w:val="28"/>
          <w:szCs w:val="28"/>
        </w:rPr>
        <w:sectPr>
          <w:pgSz w:w="11911" w:h="16838"/>
          <w:pgMar w:top="1100" w:right="1134" w:bottom="1179" w:left="1134" w:header="879" w:footer="986" w:gutter="0"/>
          <w:pgNumType w:fmt="decimal"/>
          <w:cols w:space="0" w:num="1"/>
        </w:sectPr>
      </w:pPr>
      <w:r>
        <w:rPr>
          <w:rFonts w:hint="eastAsia"/>
          <w:b/>
          <w:bCs/>
          <w:sz w:val="28"/>
          <w:szCs w:val="28"/>
        </w:rPr>
        <w:t>授权代理人前来参加投标的需提供此项证明文件及身份证原件，开标现场手持的应和投标文件中一致。</w:t>
      </w:r>
    </w:p>
    <w:p>
      <w:pPr>
        <w:spacing w:before="50"/>
        <w:ind w:left="179" w:right="115"/>
        <w:jc w:val="center"/>
        <w:outlineLvl w:val="0"/>
        <w:rPr>
          <w:rFonts w:hint="eastAsia"/>
          <w:b/>
          <w:sz w:val="44"/>
          <w:szCs w:val="32"/>
        </w:rPr>
      </w:pPr>
      <w:bookmarkStart w:id="140" w:name="_Toc28433"/>
      <w:r>
        <w:rPr>
          <w:rFonts w:hint="eastAsia"/>
          <w:b/>
          <w:sz w:val="44"/>
          <w:szCs w:val="32"/>
          <w:lang w:eastAsia="zh-CN"/>
        </w:rPr>
        <w:t>四</w:t>
      </w:r>
      <w:r>
        <w:rPr>
          <w:rFonts w:hint="eastAsia"/>
          <w:b/>
          <w:sz w:val="44"/>
          <w:szCs w:val="32"/>
        </w:rPr>
        <w:t>、</w:t>
      </w:r>
      <w:r>
        <w:rPr>
          <w:rFonts w:hint="eastAsia"/>
          <w:b/>
          <w:sz w:val="44"/>
          <w:szCs w:val="32"/>
          <w:lang w:eastAsia="zh-CN"/>
        </w:rPr>
        <w:t>投标人</w:t>
      </w:r>
      <w:r>
        <w:rPr>
          <w:rFonts w:hint="eastAsia"/>
          <w:b/>
          <w:sz w:val="44"/>
          <w:szCs w:val="32"/>
        </w:rPr>
        <w:t>基本情况</w:t>
      </w:r>
      <w:bookmarkEnd w:id="140"/>
    </w:p>
    <w:p>
      <w:pPr>
        <w:pStyle w:val="11"/>
        <w:spacing w:before="1"/>
        <w:rPr>
          <w:b/>
          <w:sz w:val="19"/>
        </w:rPr>
      </w:pPr>
    </w:p>
    <w:p>
      <w:pPr>
        <w:pStyle w:val="11"/>
        <w:spacing w:before="67"/>
        <w:ind w:left="528"/>
      </w:pPr>
      <w:r>
        <w:rPr>
          <w:rFonts w:hint="eastAsia"/>
          <w:lang w:eastAsia="zh-CN"/>
        </w:rPr>
        <w:t>投标人</w:t>
      </w:r>
      <w:r>
        <w:t>全称（加盖公章</w:t>
      </w:r>
      <w:r>
        <w:rPr>
          <w:spacing w:val="-120"/>
        </w:rPr>
        <w:t>）</w:t>
      </w:r>
      <w:r>
        <w:t>：</w:t>
      </w:r>
    </w:p>
    <w:p>
      <w:pPr>
        <w:pStyle w:val="11"/>
        <w:spacing w:before="6"/>
        <w:rPr>
          <w:sz w:val="25"/>
        </w:rPr>
      </w:pPr>
    </w:p>
    <w:tbl>
      <w:tblPr>
        <w:tblStyle w:val="23"/>
        <w:tblW w:w="0" w:type="auto"/>
        <w:tblInd w:w="3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3149"/>
        <w:gridCol w:w="1337"/>
        <w:gridCol w:w="2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174" w:type="dxa"/>
            <w:noWrap/>
          </w:tcPr>
          <w:p>
            <w:pPr>
              <w:pStyle w:val="44"/>
              <w:spacing w:before="7"/>
              <w:rPr>
                <w:sz w:val="21"/>
              </w:rPr>
            </w:pPr>
          </w:p>
          <w:p>
            <w:pPr>
              <w:pStyle w:val="44"/>
              <w:ind w:left="232" w:right="211"/>
              <w:jc w:val="center"/>
              <w:rPr>
                <w:sz w:val="21"/>
              </w:rPr>
            </w:pPr>
            <w:r>
              <w:rPr>
                <w:rFonts w:hint="eastAsia"/>
                <w:sz w:val="21"/>
                <w:lang w:eastAsia="zh-CN"/>
              </w:rPr>
              <w:t>投标人</w:t>
            </w:r>
            <w:r>
              <w:rPr>
                <w:sz w:val="21"/>
              </w:rPr>
              <w:t>名称</w:t>
            </w:r>
          </w:p>
        </w:tc>
        <w:tc>
          <w:tcPr>
            <w:tcW w:w="7164" w:type="dxa"/>
            <w:gridSpan w:val="3"/>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74" w:type="dxa"/>
            <w:noWrap/>
          </w:tcPr>
          <w:p>
            <w:pPr>
              <w:pStyle w:val="44"/>
              <w:spacing w:before="5"/>
              <w:rPr>
                <w:sz w:val="19"/>
              </w:rPr>
            </w:pPr>
          </w:p>
          <w:p>
            <w:pPr>
              <w:pStyle w:val="44"/>
              <w:ind w:left="227" w:right="211"/>
              <w:jc w:val="center"/>
              <w:rPr>
                <w:sz w:val="21"/>
              </w:rPr>
            </w:pPr>
            <w:r>
              <w:rPr>
                <w:sz w:val="21"/>
              </w:rPr>
              <w:t>注册资金</w:t>
            </w:r>
          </w:p>
        </w:tc>
        <w:tc>
          <w:tcPr>
            <w:tcW w:w="3149" w:type="dxa"/>
            <w:noWrap/>
          </w:tcPr>
          <w:p>
            <w:pPr>
              <w:pStyle w:val="44"/>
              <w:rPr>
                <w:rFonts w:ascii="Times New Roman"/>
                <w:sz w:val="20"/>
              </w:rPr>
            </w:pPr>
          </w:p>
        </w:tc>
        <w:tc>
          <w:tcPr>
            <w:tcW w:w="1337" w:type="dxa"/>
            <w:noWrap/>
          </w:tcPr>
          <w:p>
            <w:pPr>
              <w:pStyle w:val="44"/>
              <w:spacing w:before="5"/>
              <w:rPr>
                <w:sz w:val="19"/>
              </w:rPr>
            </w:pPr>
          </w:p>
          <w:p>
            <w:pPr>
              <w:pStyle w:val="44"/>
              <w:ind w:left="256"/>
              <w:rPr>
                <w:sz w:val="21"/>
              </w:rPr>
            </w:pPr>
            <w:r>
              <w:rPr>
                <w:sz w:val="21"/>
              </w:rPr>
              <w:t>成立时间</w:t>
            </w:r>
          </w:p>
        </w:tc>
        <w:tc>
          <w:tcPr>
            <w:tcW w:w="2678" w:type="dxa"/>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174" w:type="dxa"/>
            <w:noWrap/>
            <w:vAlign w:val="center"/>
          </w:tcPr>
          <w:p>
            <w:pPr>
              <w:pStyle w:val="44"/>
              <w:ind w:left="232" w:right="211"/>
              <w:jc w:val="center"/>
              <w:rPr>
                <w:sz w:val="21"/>
              </w:rPr>
            </w:pPr>
            <w:r>
              <w:rPr>
                <w:sz w:val="21"/>
              </w:rPr>
              <w:t>注册地址</w:t>
            </w:r>
          </w:p>
        </w:tc>
        <w:tc>
          <w:tcPr>
            <w:tcW w:w="7164" w:type="dxa"/>
            <w:gridSpan w:val="3"/>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174" w:type="dxa"/>
            <w:noWrap/>
            <w:vAlign w:val="center"/>
          </w:tcPr>
          <w:p>
            <w:pPr>
              <w:pStyle w:val="44"/>
              <w:ind w:left="232" w:right="211"/>
              <w:jc w:val="center"/>
              <w:rPr>
                <w:sz w:val="21"/>
              </w:rPr>
            </w:pPr>
            <w:r>
              <w:rPr>
                <w:sz w:val="21"/>
              </w:rPr>
              <w:t>法定代表人</w:t>
            </w:r>
          </w:p>
        </w:tc>
        <w:tc>
          <w:tcPr>
            <w:tcW w:w="7164" w:type="dxa"/>
            <w:gridSpan w:val="3"/>
            <w:noWrap/>
          </w:tcPr>
          <w:p>
            <w:pPr>
              <w:pStyle w:val="44"/>
              <w:ind w:left="232" w:right="211"/>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6" w:hRule="atLeast"/>
        </w:trPr>
        <w:tc>
          <w:tcPr>
            <w:tcW w:w="2174" w:type="dxa"/>
            <w:noWrap/>
            <w:vAlign w:val="center"/>
          </w:tcPr>
          <w:p>
            <w:pPr>
              <w:pStyle w:val="44"/>
              <w:ind w:left="217" w:right="211"/>
              <w:jc w:val="center"/>
              <w:rPr>
                <w:sz w:val="21"/>
              </w:rPr>
            </w:pPr>
            <w:r>
              <w:rPr>
                <w:rFonts w:hint="eastAsia"/>
              </w:rPr>
              <w:t>项目联系人</w:t>
            </w:r>
          </w:p>
        </w:tc>
        <w:tc>
          <w:tcPr>
            <w:tcW w:w="3149" w:type="dxa"/>
            <w:noWrap/>
            <w:vAlign w:val="center"/>
          </w:tcPr>
          <w:p>
            <w:pPr>
              <w:pStyle w:val="44"/>
              <w:jc w:val="center"/>
              <w:rPr>
                <w:rFonts w:ascii="Times New Roman"/>
                <w:sz w:val="20"/>
              </w:rPr>
            </w:pPr>
          </w:p>
        </w:tc>
        <w:tc>
          <w:tcPr>
            <w:tcW w:w="1337" w:type="dxa"/>
            <w:noWrap/>
            <w:vAlign w:val="center"/>
          </w:tcPr>
          <w:p>
            <w:pPr>
              <w:pStyle w:val="44"/>
              <w:jc w:val="center"/>
              <w:rPr>
                <w:sz w:val="21"/>
              </w:rPr>
            </w:pPr>
            <w:r>
              <w:rPr>
                <w:rFonts w:hint="eastAsia"/>
                <w:sz w:val="21"/>
              </w:rPr>
              <w:t>联系</w:t>
            </w:r>
            <w:r>
              <w:rPr>
                <w:sz w:val="21"/>
              </w:rPr>
              <w:t>电话</w:t>
            </w:r>
          </w:p>
        </w:tc>
        <w:tc>
          <w:tcPr>
            <w:tcW w:w="2678" w:type="dxa"/>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74" w:type="dxa"/>
            <w:noWrap/>
            <w:vAlign w:val="center"/>
          </w:tcPr>
          <w:p>
            <w:pPr>
              <w:pStyle w:val="44"/>
              <w:ind w:left="232" w:right="211"/>
              <w:jc w:val="center"/>
              <w:rPr>
                <w:sz w:val="21"/>
              </w:rPr>
            </w:pPr>
            <w:r>
              <w:rPr>
                <w:sz w:val="21"/>
              </w:rPr>
              <w:t>营业执照经营范围</w:t>
            </w:r>
          </w:p>
        </w:tc>
        <w:tc>
          <w:tcPr>
            <w:tcW w:w="7164" w:type="dxa"/>
            <w:gridSpan w:val="3"/>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2174" w:type="dxa"/>
            <w:noWrap/>
            <w:vAlign w:val="center"/>
          </w:tcPr>
          <w:p>
            <w:pPr>
              <w:pStyle w:val="44"/>
              <w:ind w:left="229" w:right="211"/>
              <w:jc w:val="center"/>
              <w:rPr>
                <w:sz w:val="21"/>
              </w:rPr>
            </w:pPr>
            <w:r>
              <w:rPr>
                <w:sz w:val="21"/>
              </w:rPr>
              <w:t>备注</w:t>
            </w:r>
          </w:p>
        </w:tc>
        <w:tc>
          <w:tcPr>
            <w:tcW w:w="7164" w:type="dxa"/>
            <w:gridSpan w:val="3"/>
            <w:noWrap/>
          </w:tcPr>
          <w:p>
            <w:pPr>
              <w:pStyle w:val="44"/>
              <w:rPr>
                <w:rFonts w:ascii="Times New Roman"/>
                <w:sz w:val="20"/>
              </w:rPr>
            </w:pPr>
          </w:p>
        </w:tc>
      </w:tr>
    </w:tbl>
    <w:p>
      <w:pPr>
        <w:pStyle w:val="41"/>
        <w:ind w:left="620"/>
        <w:rPr>
          <w:rFonts w:cs="仿宋_GB2312"/>
          <w:b/>
          <w:bCs/>
          <w:color w:val="FF0000"/>
          <w:sz w:val="24"/>
          <w:szCs w:val="24"/>
        </w:rPr>
      </w:pPr>
    </w:p>
    <w:p>
      <w:pPr>
        <w:spacing w:before="202"/>
        <w:ind w:left="0" w:right="331" w:firstLine="0"/>
        <w:jc w:val="center"/>
        <w:rPr>
          <w:b/>
          <w:sz w:val="32"/>
        </w:rPr>
      </w:pPr>
    </w:p>
    <w:p>
      <w:pPr>
        <w:numPr>
          <w:ilvl w:val="0"/>
          <w:numId w:val="0"/>
        </w:numPr>
        <w:spacing w:line="360" w:lineRule="auto"/>
        <w:ind w:leftChars="0" w:firstLine="482" w:firstLineChars="200"/>
        <w:rPr>
          <w:rFonts w:hint="eastAsia"/>
          <w:b/>
          <w:bCs/>
          <w:sz w:val="24"/>
          <w:szCs w:val="24"/>
          <w:lang w:val="en-US"/>
        </w:rPr>
      </w:pPr>
      <w:r>
        <w:rPr>
          <w:rFonts w:hint="eastAsia"/>
          <w:b/>
          <w:bCs/>
          <w:sz w:val="24"/>
          <w:szCs w:val="24"/>
          <w:lang w:val="en-US"/>
        </w:rPr>
        <w:t>若</w:t>
      </w:r>
      <w:r>
        <w:rPr>
          <w:rFonts w:hint="eastAsia"/>
          <w:b/>
          <w:bCs/>
          <w:sz w:val="24"/>
          <w:szCs w:val="24"/>
          <w:lang w:val="en-US" w:eastAsia="zh-CN"/>
        </w:rPr>
        <w:t>投标人所提供的产品全部由</w:t>
      </w:r>
      <w:r>
        <w:rPr>
          <w:rFonts w:hint="eastAsia"/>
          <w:b/>
          <w:bCs/>
          <w:sz w:val="24"/>
          <w:szCs w:val="24"/>
          <w:lang w:val="en-US"/>
        </w:rPr>
        <w:t>小微企业</w:t>
      </w:r>
      <w:r>
        <w:rPr>
          <w:rFonts w:hint="eastAsia"/>
          <w:b/>
          <w:bCs/>
          <w:sz w:val="24"/>
          <w:szCs w:val="24"/>
          <w:lang w:val="en-US" w:eastAsia="zh-CN"/>
        </w:rPr>
        <w:t>生产须</w:t>
      </w:r>
      <w:r>
        <w:rPr>
          <w:rFonts w:hint="eastAsia"/>
          <w:b/>
          <w:bCs/>
          <w:sz w:val="24"/>
          <w:szCs w:val="24"/>
          <w:lang w:val="en-US"/>
        </w:rPr>
        <w:t>提供《中小企业声明函》；如</w:t>
      </w:r>
      <w:r>
        <w:rPr>
          <w:rFonts w:hint="eastAsia"/>
          <w:b/>
          <w:bCs/>
          <w:sz w:val="24"/>
          <w:szCs w:val="24"/>
          <w:lang w:val="en-US" w:eastAsia="zh-CN"/>
        </w:rPr>
        <w:t>投标人所提供的产品全部由</w:t>
      </w:r>
      <w:r>
        <w:rPr>
          <w:rFonts w:hint="eastAsia"/>
          <w:b/>
          <w:bCs/>
          <w:sz w:val="24"/>
          <w:szCs w:val="24"/>
          <w:lang w:val="en-US"/>
        </w:rPr>
        <w:t>监狱企业</w:t>
      </w:r>
      <w:r>
        <w:rPr>
          <w:rFonts w:hint="eastAsia"/>
          <w:b/>
          <w:bCs/>
          <w:sz w:val="24"/>
          <w:szCs w:val="24"/>
          <w:lang w:val="en-US" w:eastAsia="zh-CN"/>
        </w:rPr>
        <w:t>生产</w:t>
      </w:r>
      <w:r>
        <w:rPr>
          <w:rFonts w:hint="eastAsia"/>
          <w:b/>
          <w:bCs/>
          <w:sz w:val="24"/>
          <w:szCs w:val="24"/>
          <w:lang w:val="en-US"/>
        </w:rPr>
        <w:t>，须提供省级以上监狱管理局、戒毒管理局（含新疆生产建设兵团）出具的属于监狱企业的证明文件；如</w:t>
      </w:r>
      <w:r>
        <w:rPr>
          <w:rFonts w:hint="eastAsia"/>
          <w:b/>
          <w:bCs/>
          <w:sz w:val="24"/>
          <w:szCs w:val="24"/>
          <w:lang w:val="en-US" w:eastAsia="zh-CN"/>
        </w:rPr>
        <w:t>投标人所提供的产品全部由</w:t>
      </w:r>
      <w:r>
        <w:rPr>
          <w:rFonts w:hint="eastAsia"/>
          <w:b/>
          <w:bCs/>
          <w:sz w:val="24"/>
          <w:szCs w:val="24"/>
          <w:lang w:val="en-US"/>
        </w:rPr>
        <w:t>残疾人福利性单位</w:t>
      </w:r>
      <w:r>
        <w:rPr>
          <w:rFonts w:hint="eastAsia"/>
          <w:b/>
          <w:bCs/>
          <w:sz w:val="24"/>
          <w:szCs w:val="24"/>
          <w:lang w:val="en-US" w:eastAsia="zh-CN"/>
        </w:rPr>
        <w:t>生产</w:t>
      </w:r>
      <w:r>
        <w:rPr>
          <w:rFonts w:hint="eastAsia"/>
          <w:b/>
          <w:bCs/>
          <w:sz w:val="24"/>
          <w:szCs w:val="24"/>
          <w:lang w:val="en-US"/>
        </w:rPr>
        <w:t>须提供《残疾人福利性单位声明函》。（未提供将视为不是此类企业）。</w:t>
      </w:r>
    </w:p>
    <w:p>
      <w:pPr>
        <w:spacing w:before="202"/>
        <w:ind w:left="0" w:right="331" w:firstLine="0"/>
        <w:jc w:val="center"/>
        <w:rPr>
          <w:b/>
          <w:sz w:val="32"/>
        </w:rPr>
      </w:pPr>
    </w:p>
    <w:p>
      <w:pPr>
        <w:spacing w:before="202"/>
        <w:ind w:left="0" w:right="331" w:firstLine="0"/>
        <w:jc w:val="center"/>
        <w:rPr>
          <w:b/>
          <w:sz w:val="32"/>
        </w:rPr>
      </w:pPr>
    </w:p>
    <w:p>
      <w:pPr>
        <w:spacing w:before="202"/>
        <w:ind w:left="0" w:right="331" w:firstLine="0"/>
        <w:jc w:val="center"/>
        <w:rPr>
          <w:b/>
          <w:sz w:val="32"/>
        </w:rPr>
      </w:pPr>
    </w:p>
    <w:p>
      <w:pPr>
        <w:spacing w:before="202"/>
        <w:ind w:left="0" w:right="331" w:firstLine="0"/>
        <w:jc w:val="center"/>
        <w:rPr>
          <w:b/>
          <w:sz w:val="32"/>
        </w:rPr>
      </w:pPr>
    </w:p>
    <w:p>
      <w:pPr>
        <w:spacing w:before="202"/>
        <w:ind w:left="0" w:right="331" w:firstLine="0"/>
        <w:jc w:val="center"/>
        <w:rPr>
          <w:b/>
          <w:sz w:val="32"/>
        </w:rPr>
      </w:pPr>
    </w:p>
    <w:p>
      <w:pPr>
        <w:spacing w:before="202"/>
        <w:ind w:left="0" w:right="331" w:firstLine="0"/>
        <w:jc w:val="center"/>
        <w:rPr>
          <w:b/>
          <w:sz w:val="32"/>
        </w:rPr>
      </w:pPr>
    </w:p>
    <w:p>
      <w:pPr>
        <w:spacing w:before="202"/>
        <w:ind w:left="0" w:right="331" w:firstLine="0"/>
        <w:jc w:val="both"/>
        <w:rPr>
          <w:b/>
          <w:sz w:val="32"/>
        </w:rPr>
      </w:pPr>
    </w:p>
    <w:p>
      <w:pPr>
        <w:spacing w:before="202" w:line="480" w:lineRule="auto"/>
        <w:ind w:left="0" w:right="331" w:firstLine="0"/>
        <w:jc w:val="center"/>
        <w:rPr>
          <w:b/>
          <w:bCs w:val="0"/>
          <w:sz w:val="32"/>
          <w:szCs w:val="32"/>
        </w:rPr>
      </w:pPr>
      <w:r>
        <w:rPr>
          <w:b/>
          <w:bCs w:val="0"/>
          <w:sz w:val="32"/>
          <w:szCs w:val="32"/>
        </w:rPr>
        <w:t>投标资格声明函</w:t>
      </w:r>
    </w:p>
    <w:p>
      <w:pPr>
        <w:numPr>
          <w:ilvl w:val="0"/>
          <w:numId w:val="0"/>
        </w:numPr>
        <w:spacing w:line="480" w:lineRule="auto"/>
        <w:ind w:leftChars="0"/>
        <w:rPr>
          <w:rFonts w:hint="eastAsia"/>
          <w:b w:val="0"/>
          <w:bCs/>
          <w:sz w:val="24"/>
          <w:szCs w:val="24"/>
          <w:lang w:val="en-US" w:eastAsia="zh-CN"/>
        </w:rPr>
      </w:pPr>
      <w:r>
        <w:rPr>
          <w:rFonts w:hint="eastAsia"/>
          <w:b w:val="0"/>
          <w:bCs/>
          <w:sz w:val="24"/>
          <w:szCs w:val="24"/>
          <w:lang w:val="en-US" w:eastAsia="zh-CN"/>
        </w:rPr>
        <w:t>致：[采购人]</w:t>
      </w:r>
    </w:p>
    <w:p>
      <w:pPr>
        <w:numPr>
          <w:ilvl w:val="0"/>
          <w:numId w:val="0"/>
        </w:numPr>
        <w:spacing w:line="480" w:lineRule="auto"/>
        <w:ind w:leftChars="0" w:firstLine="480" w:firstLineChars="200"/>
        <w:rPr>
          <w:rFonts w:hint="eastAsia"/>
          <w:b w:val="0"/>
          <w:bCs/>
          <w:sz w:val="24"/>
          <w:szCs w:val="24"/>
          <w:lang w:val="en-US" w:eastAsia="zh-CN"/>
        </w:rPr>
      </w:pPr>
      <w:r>
        <w:rPr>
          <w:rFonts w:hint="eastAsia"/>
          <w:b w:val="0"/>
          <w:bCs/>
          <w:sz w:val="24"/>
          <w:szCs w:val="24"/>
          <w:lang w:val="en-US" w:eastAsia="zh-CN"/>
        </w:rPr>
        <w:t>我方愿意参加贵方组织的</w:t>
      </w:r>
      <w:r>
        <w:rPr>
          <w:rFonts w:hint="eastAsia"/>
          <w:b w:val="0"/>
          <w:bCs/>
          <w:sz w:val="24"/>
          <w:szCs w:val="24"/>
          <w:u w:val="single"/>
          <w:lang w:val="en-US" w:eastAsia="zh-CN"/>
        </w:rPr>
        <w:t xml:space="preserve">[项目名称]         </w:t>
      </w:r>
      <w:r>
        <w:rPr>
          <w:rFonts w:hint="eastAsia"/>
          <w:b w:val="0"/>
          <w:bCs/>
          <w:sz w:val="24"/>
          <w:szCs w:val="24"/>
          <w:lang w:val="en-US" w:eastAsia="zh-CN"/>
        </w:rPr>
        <w:t>（项目编号：</w:t>
      </w:r>
      <w:r>
        <w:rPr>
          <w:rFonts w:hint="eastAsia"/>
          <w:b w:val="0"/>
          <w:bCs/>
          <w:sz w:val="24"/>
          <w:szCs w:val="24"/>
          <w:u w:val="single"/>
          <w:lang w:val="en-US" w:eastAsia="zh-CN"/>
        </w:rPr>
        <w:t xml:space="preserve">             </w:t>
      </w:r>
      <w:r>
        <w:rPr>
          <w:rFonts w:hint="eastAsia"/>
          <w:b w:val="0"/>
          <w:bCs/>
          <w:sz w:val="24"/>
          <w:szCs w:val="24"/>
          <w:lang w:val="en-US" w:eastAsia="zh-CN"/>
        </w:rPr>
        <w:t>）项目的投标，为便于贵方公正、择优地确定中标人，我方就本次投标有关事项郑重声明如下：</w:t>
      </w:r>
    </w:p>
    <w:p>
      <w:pPr>
        <w:numPr>
          <w:ilvl w:val="0"/>
          <w:numId w:val="6"/>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我方承诺已经具备《中华人民共和国政府采购法》第二十二条中规定的参加政府采购活动的供应商应当具备的条件并按本项目招标文件要求完整提供资格证明材料。</w:t>
      </w:r>
    </w:p>
    <w:p>
      <w:pPr>
        <w:numPr>
          <w:ilvl w:val="0"/>
          <w:numId w:val="6"/>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numPr>
          <w:ilvl w:val="0"/>
          <w:numId w:val="6"/>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经查询，在“信用中国”和“中国政府采购网”网站我方未被列入失信被执行人、重大税收违法案件当事人名单、政府采购严重违法失信行为记录名单。</w:t>
      </w:r>
    </w:p>
    <w:p>
      <w:pPr>
        <w:numPr>
          <w:ilvl w:val="0"/>
          <w:numId w:val="6"/>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以上事项如有虚假或隐瞒，我方愿意承担一切后果，并不再寻求任何旨在减轻或免除法律责任的辩解。</w:t>
      </w:r>
    </w:p>
    <w:p>
      <w:pPr>
        <w:numPr>
          <w:ilvl w:val="0"/>
          <w:numId w:val="0"/>
        </w:numPr>
        <w:spacing w:line="480" w:lineRule="auto"/>
        <w:ind w:leftChars="0"/>
        <w:rPr>
          <w:rFonts w:hint="eastAsia"/>
          <w:b w:val="0"/>
          <w:bCs/>
          <w:sz w:val="24"/>
          <w:szCs w:val="24"/>
          <w:lang w:val="en-US" w:eastAsia="zh-CN"/>
        </w:rPr>
      </w:pPr>
    </w:p>
    <w:p>
      <w:pPr>
        <w:pStyle w:val="11"/>
        <w:spacing w:line="480" w:lineRule="auto"/>
        <w:rPr>
          <w:b w:val="0"/>
          <w:bCs/>
          <w:sz w:val="24"/>
          <w:szCs w:val="24"/>
        </w:rPr>
      </w:pPr>
    </w:p>
    <w:p>
      <w:pPr>
        <w:pStyle w:val="11"/>
        <w:spacing w:before="10" w:line="480" w:lineRule="auto"/>
        <w:rPr>
          <w:b w:val="0"/>
          <w:bCs/>
          <w:sz w:val="24"/>
          <w:szCs w:val="24"/>
        </w:rPr>
      </w:pPr>
    </w:p>
    <w:p>
      <w:pPr>
        <w:spacing w:before="0" w:line="480" w:lineRule="auto"/>
        <w:ind w:left="5304" w:right="0" w:firstLine="0"/>
        <w:jc w:val="left"/>
        <w:rPr>
          <w:b w:val="0"/>
          <w:bCs/>
          <w:sz w:val="24"/>
          <w:szCs w:val="24"/>
        </w:rPr>
      </w:pPr>
      <w:r>
        <w:rPr>
          <w:b w:val="0"/>
          <w:bCs/>
          <w:sz w:val="24"/>
          <w:szCs w:val="24"/>
        </w:rPr>
        <w:t>投标人名称(</w:t>
      </w:r>
      <w:r>
        <w:rPr>
          <w:rFonts w:hint="eastAsia"/>
          <w:b w:val="0"/>
          <w:bCs/>
          <w:sz w:val="24"/>
          <w:szCs w:val="24"/>
          <w:lang w:eastAsia="zh-CN"/>
        </w:rPr>
        <w:t>公司公章</w:t>
      </w:r>
      <w:r>
        <w:rPr>
          <w:b w:val="0"/>
          <w:bCs/>
          <w:sz w:val="24"/>
          <w:szCs w:val="24"/>
        </w:rPr>
        <w:t>)：</w:t>
      </w:r>
    </w:p>
    <w:p>
      <w:pPr>
        <w:pStyle w:val="11"/>
        <w:tabs>
          <w:tab w:val="left" w:pos="8453"/>
          <w:tab w:val="left" w:pos="9083"/>
        </w:tabs>
        <w:spacing w:before="42" w:line="480" w:lineRule="auto"/>
        <w:ind w:left="7824"/>
        <w:rPr>
          <w:b w:val="0"/>
          <w:bCs/>
          <w:sz w:val="24"/>
          <w:szCs w:val="24"/>
        </w:rPr>
      </w:pPr>
      <w:r>
        <w:rPr>
          <w:b w:val="0"/>
          <w:bCs/>
          <w:sz w:val="24"/>
          <w:szCs w:val="24"/>
        </w:rPr>
        <w:t>年</w:t>
      </w:r>
      <w:r>
        <w:rPr>
          <w:b w:val="0"/>
          <w:bCs/>
          <w:sz w:val="24"/>
          <w:szCs w:val="24"/>
        </w:rPr>
        <w:tab/>
      </w:r>
      <w:r>
        <w:rPr>
          <w:b w:val="0"/>
          <w:bCs/>
          <w:sz w:val="24"/>
          <w:szCs w:val="24"/>
        </w:rPr>
        <w:t>月</w:t>
      </w:r>
      <w:r>
        <w:rPr>
          <w:b w:val="0"/>
          <w:bCs/>
          <w:sz w:val="24"/>
          <w:szCs w:val="24"/>
        </w:rPr>
        <w:tab/>
      </w:r>
      <w:r>
        <w:rPr>
          <w:b w:val="0"/>
          <w:bCs/>
          <w:sz w:val="24"/>
          <w:szCs w:val="24"/>
        </w:rPr>
        <w:t>日</w:t>
      </w:r>
    </w:p>
    <w:p>
      <w:pPr>
        <w:pStyle w:val="12"/>
        <w:rPr>
          <w:rFonts w:hint="eastAsia"/>
          <w:b/>
          <w:bCs/>
          <w:sz w:val="28"/>
          <w:szCs w:val="28"/>
          <w:lang w:eastAsia="zh-CN"/>
        </w:rPr>
      </w:pPr>
    </w:p>
    <w:p>
      <w:pPr>
        <w:pStyle w:val="12"/>
        <w:rPr>
          <w:rFonts w:hint="eastAsia"/>
          <w:b/>
          <w:bCs/>
          <w:sz w:val="28"/>
          <w:szCs w:val="28"/>
        </w:rPr>
        <w:sectPr>
          <w:pgSz w:w="11911" w:h="16838"/>
          <w:pgMar w:top="1100" w:right="1134" w:bottom="1179" w:left="1134" w:header="879" w:footer="986" w:gutter="0"/>
          <w:pgNumType w:fmt="decimal"/>
          <w:cols w:space="0" w:num="1"/>
        </w:sectPr>
      </w:pPr>
      <w:r>
        <w:rPr>
          <w:rFonts w:hint="eastAsia"/>
          <w:b/>
          <w:bCs/>
          <w:sz w:val="28"/>
          <w:szCs w:val="28"/>
          <w:lang w:eastAsia="zh-CN"/>
        </w:rPr>
        <w:t>说明：法定代表人或</w:t>
      </w:r>
      <w:r>
        <w:rPr>
          <w:rFonts w:hint="eastAsia"/>
          <w:b/>
          <w:bCs/>
          <w:sz w:val="28"/>
          <w:szCs w:val="28"/>
        </w:rPr>
        <w:t>授权代理人前来参加投标的需提供此</w:t>
      </w:r>
      <w:r>
        <w:rPr>
          <w:rFonts w:hint="eastAsia"/>
          <w:b/>
          <w:bCs/>
          <w:sz w:val="28"/>
          <w:szCs w:val="28"/>
          <w:lang w:eastAsia="zh-CN"/>
        </w:rPr>
        <w:t>《</w:t>
      </w:r>
      <w:r>
        <w:rPr>
          <w:rFonts w:hint="eastAsia"/>
          <w:b/>
          <w:bCs/>
          <w:sz w:val="28"/>
          <w:szCs w:val="28"/>
        </w:rPr>
        <w:t>投标资格声明函</w:t>
      </w:r>
      <w:r>
        <w:rPr>
          <w:rFonts w:hint="eastAsia"/>
          <w:b/>
          <w:bCs/>
          <w:sz w:val="28"/>
          <w:szCs w:val="28"/>
          <w:lang w:eastAsia="zh-CN"/>
        </w:rPr>
        <w:t>》</w:t>
      </w:r>
      <w:r>
        <w:rPr>
          <w:rFonts w:hint="eastAsia"/>
          <w:b/>
          <w:bCs/>
          <w:sz w:val="28"/>
          <w:szCs w:val="28"/>
        </w:rPr>
        <w:t>，开标现场手持的应和投标文件中一致。</w:t>
      </w:r>
    </w:p>
    <w:p>
      <w:pPr>
        <w:pStyle w:val="21"/>
        <w:snapToGrid w:val="0"/>
        <w:spacing w:before="360" w:beforeAutospacing="0" w:afterAutospacing="0"/>
        <w:jc w:val="both"/>
        <w:rPr>
          <w:rFonts w:ascii="方正小标宋_GBK" w:hAnsi="方正小标宋_GBK" w:eastAsia="方正小标宋_GBK" w:cs="方正小标宋_GBK"/>
          <w:szCs w:val="24"/>
        </w:rPr>
      </w:pPr>
      <w:r>
        <w:rPr>
          <w:rFonts w:hint="eastAsia"/>
          <w:b/>
          <w:bCs/>
          <w:sz w:val="28"/>
          <w:szCs w:val="28"/>
        </w:rPr>
        <w:t>中小企业声明函（小微企业适用，</w:t>
      </w:r>
      <w:r>
        <w:rPr>
          <w:rFonts w:hint="eastAsia"/>
          <w:b/>
          <w:bCs/>
          <w:spacing w:val="6"/>
          <w:sz w:val="28"/>
          <w:szCs w:val="28"/>
        </w:rPr>
        <w:t>不符合的无需提供</w:t>
      </w:r>
      <w:r>
        <w:rPr>
          <w:rFonts w:hint="eastAsia"/>
          <w:b/>
          <w:bCs/>
          <w:sz w:val="28"/>
          <w:szCs w:val="28"/>
        </w:rPr>
        <w:t>）</w:t>
      </w:r>
    </w:p>
    <w:p>
      <w:pPr>
        <w:pStyle w:val="21"/>
        <w:spacing w:before="50" w:beforeAutospacing="0" w:after="50" w:afterAutospacing="0" w:line="360" w:lineRule="atLeast"/>
        <w:jc w:val="center"/>
        <w:rPr>
          <w:rFonts w:ascii="sans-serif" w:hAnsi="sans-serif" w:eastAsia="sans-serif" w:cs="sans-serif"/>
          <w:sz w:val="32"/>
          <w:szCs w:val="32"/>
        </w:rPr>
      </w:pPr>
      <w:r>
        <w:rPr>
          <w:rFonts w:ascii="方正小标宋_GBK" w:hAnsi="方正小标宋_GBK" w:eastAsia="方正小标宋_GBK" w:cs="方正小标宋_GBK"/>
          <w:sz w:val="32"/>
          <w:szCs w:val="32"/>
        </w:rPr>
        <w:t>中小企业声明函（货物）</w:t>
      </w:r>
    </w:p>
    <w:p>
      <w:pPr>
        <w:pStyle w:val="21"/>
        <w:spacing w:before="50" w:beforeAutospacing="0" w:after="50" w:afterAutospacing="0" w:line="360" w:lineRule="atLeast"/>
        <w:ind w:left="850"/>
        <w:rPr>
          <w:rFonts w:ascii="sans-serif" w:hAnsi="sans-serif" w:eastAsia="sans-serif" w:cs="sans-serif"/>
          <w:szCs w:val="24"/>
        </w:rPr>
      </w:pPr>
      <w:r>
        <w:rPr>
          <w:rFonts w:ascii="仿宋_GB2312" w:hAnsi="sans-serif" w:eastAsia="仿宋_GB2312" w:cs="仿宋_GB2312"/>
          <w:szCs w:val="24"/>
        </w:rPr>
        <w:t> </w:t>
      </w:r>
    </w:p>
    <w:p>
      <w:pPr>
        <w:pStyle w:val="21"/>
        <w:spacing w:before="50" w:beforeAutospacing="0" w:after="50" w:afterAutospacing="0" w:line="360" w:lineRule="auto"/>
        <w:ind w:firstLine="430"/>
        <w:rPr>
          <w:rFonts w:ascii="sans-serif" w:hAnsi="sans-serif" w:eastAsia="sans-serif" w:cs="sans-serif"/>
          <w:szCs w:val="24"/>
        </w:rPr>
      </w:pPr>
      <w:r>
        <w:rPr>
          <w:rFonts w:ascii="仿宋_GB2312" w:hAnsi="sans-serif" w:eastAsia="仿宋_GB2312" w:cs="仿宋_GB2312"/>
          <w:szCs w:val="24"/>
        </w:rPr>
        <w:t>本公司（联合体）郑重声明，根据《政府采购促进中小企业发展管理办法》（财库〔2020〕46号）的规定，本公司参加</w:t>
      </w:r>
      <w:r>
        <w:rPr>
          <w:rStyle w:val="28"/>
          <w:rFonts w:ascii="仿宋_GB2312" w:hAnsi="sans-serif" w:eastAsia="仿宋_GB2312" w:cs="仿宋_GB2312"/>
          <w:i w:val="0"/>
          <w:szCs w:val="24"/>
          <w:u w:val="single"/>
        </w:rPr>
        <w:t>（单位名称）</w:t>
      </w:r>
      <w:r>
        <w:rPr>
          <w:rFonts w:ascii="仿宋_GB2312" w:hAnsi="sans-serif" w:eastAsia="仿宋_GB2312" w:cs="仿宋_GB2312"/>
          <w:szCs w:val="24"/>
        </w:rPr>
        <w:t>的</w:t>
      </w:r>
      <w:r>
        <w:rPr>
          <w:rStyle w:val="28"/>
          <w:rFonts w:ascii="仿宋_GB2312" w:hAnsi="sans-serif" w:eastAsia="仿宋_GB2312" w:cs="仿宋_GB2312"/>
          <w:i w:val="0"/>
          <w:szCs w:val="24"/>
          <w:u w:val="single"/>
        </w:rPr>
        <w:t>（项目名称）</w:t>
      </w:r>
      <w:r>
        <w:rPr>
          <w:rFonts w:ascii="仿宋_GB2312" w:hAnsi="sans-serif" w:eastAsia="仿宋_GB2312" w:cs="仿宋_GB2312"/>
          <w:szCs w:val="24"/>
        </w:rPr>
        <w:t>采购活动，提供的货物全部由符合政策要求的小</w:t>
      </w:r>
      <w:r>
        <w:rPr>
          <w:rFonts w:hint="eastAsia" w:ascii="仿宋_GB2312" w:hAnsi="sans-serif" w:eastAsia="仿宋_GB2312" w:cs="仿宋_GB2312"/>
          <w:szCs w:val="24"/>
          <w:lang w:eastAsia="zh-CN"/>
        </w:rPr>
        <w:t>微</w:t>
      </w:r>
      <w:r>
        <w:rPr>
          <w:rFonts w:ascii="仿宋_GB2312" w:hAnsi="sans-serif" w:eastAsia="仿宋_GB2312" w:cs="仿宋_GB2312"/>
          <w:szCs w:val="24"/>
        </w:rPr>
        <w:t>企业制造。相关企业（含联合体中的中小企业、签订分包意向协议的中小企业）的具体情况如下：</w:t>
      </w:r>
    </w:p>
    <w:p>
      <w:pPr>
        <w:pStyle w:val="21"/>
        <w:spacing w:before="50" w:beforeAutospacing="0" w:after="50" w:afterAutospacing="0" w:line="360" w:lineRule="auto"/>
        <w:ind w:firstLine="430"/>
        <w:rPr>
          <w:rFonts w:ascii="sans-serif" w:hAnsi="sans-serif" w:eastAsia="sans-serif" w:cs="sans-serif"/>
          <w:szCs w:val="24"/>
        </w:rPr>
      </w:pPr>
      <w:r>
        <w:rPr>
          <w:rFonts w:ascii="仿宋_GB2312" w:hAnsi="sans-serif" w:eastAsia="仿宋_GB2312" w:cs="仿宋_GB2312"/>
          <w:szCs w:val="24"/>
        </w:rPr>
        <w:t>1.</w:t>
      </w:r>
      <w:r>
        <w:rPr>
          <w:rStyle w:val="28"/>
          <w:rFonts w:ascii="仿宋_GB2312" w:hAnsi="sans-serif" w:eastAsia="仿宋_GB2312" w:cs="仿宋_GB2312"/>
          <w:i w:val="0"/>
          <w:szCs w:val="24"/>
          <w:u w:val="single"/>
        </w:rPr>
        <w:t>（标的名称）</w:t>
      </w:r>
      <w:r>
        <w:rPr>
          <w:rFonts w:ascii="仿宋_GB2312" w:hAnsi="sans-serif" w:eastAsia="仿宋_GB2312" w:cs="仿宋_GB2312"/>
          <w:szCs w:val="24"/>
        </w:rPr>
        <w:t>，属于</w:t>
      </w:r>
      <w:r>
        <w:rPr>
          <w:rStyle w:val="28"/>
          <w:rFonts w:ascii="仿宋_GB2312" w:hAnsi="sans-serif" w:eastAsia="仿宋_GB2312" w:cs="仿宋_GB2312"/>
          <w:i w:val="0"/>
          <w:szCs w:val="24"/>
          <w:u w:val="single"/>
        </w:rPr>
        <w:t>（采购文件中明确的所属行业）</w:t>
      </w:r>
      <w:r>
        <w:rPr>
          <w:rFonts w:ascii="仿宋_GB2312" w:hAnsi="sans-serif" w:eastAsia="仿宋_GB2312" w:cs="仿宋_GB2312"/>
          <w:szCs w:val="24"/>
        </w:rPr>
        <w:t>；制造商为</w:t>
      </w:r>
      <w:r>
        <w:rPr>
          <w:rStyle w:val="28"/>
          <w:rFonts w:ascii="仿宋_GB2312" w:hAnsi="sans-serif" w:eastAsia="仿宋_GB2312" w:cs="仿宋_GB2312"/>
          <w:i w:val="0"/>
          <w:szCs w:val="24"/>
          <w:u w:val="single"/>
        </w:rPr>
        <w:t>（企业名称）</w:t>
      </w:r>
      <w:r>
        <w:rPr>
          <w:rFonts w:ascii="仿宋_GB2312" w:hAnsi="sans-serif" w:eastAsia="仿宋_GB2312" w:cs="仿宋_GB2312"/>
          <w:szCs w:val="24"/>
        </w:rPr>
        <w:t>，从业人员</w:t>
      </w:r>
      <w:r>
        <w:rPr>
          <w:rFonts w:ascii="仿宋_GB2312" w:hAnsi="sans-serif" w:eastAsia="仿宋_GB2312" w:cs="仿宋_GB2312"/>
          <w:szCs w:val="24"/>
          <w:u w:val="single"/>
        </w:rPr>
        <w:t>  </w:t>
      </w:r>
      <w:r>
        <w:rPr>
          <w:rFonts w:ascii="仿宋_GB2312" w:hAnsi="sans-serif" w:eastAsia="仿宋_GB2312" w:cs="仿宋_GB2312"/>
          <w:szCs w:val="24"/>
        </w:rPr>
        <w:t>人，营业收入为</w:t>
      </w:r>
      <w:r>
        <w:rPr>
          <w:rFonts w:ascii="仿宋_GB2312" w:hAnsi="sans-serif" w:eastAsia="仿宋_GB2312" w:cs="仿宋_GB2312"/>
          <w:szCs w:val="24"/>
          <w:u w:val="single"/>
        </w:rPr>
        <w:t>  </w:t>
      </w:r>
      <w:r>
        <w:rPr>
          <w:rFonts w:ascii="仿宋_GB2312" w:hAnsi="sans-serif" w:eastAsia="仿宋_GB2312" w:cs="仿宋_GB2312"/>
          <w:szCs w:val="24"/>
        </w:rPr>
        <w:t>万元，资产总额为</w:t>
      </w:r>
      <w:r>
        <w:rPr>
          <w:rFonts w:ascii="仿宋_GB2312" w:hAnsi="sans-serif" w:eastAsia="仿宋_GB2312" w:cs="仿宋_GB2312"/>
          <w:szCs w:val="24"/>
          <w:u w:val="single"/>
        </w:rPr>
        <w:t>  </w:t>
      </w:r>
      <w:r>
        <w:rPr>
          <w:rFonts w:ascii="仿宋_GB2312" w:hAnsi="sans-serif" w:eastAsia="仿宋_GB2312" w:cs="仿宋_GB2312"/>
          <w:szCs w:val="24"/>
        </w:rPr>
        <w:t>万元，属于</w:t>
      </w:r>
      <w:r>
        <w:rPr>
          <w:rStyle w:val="28"/>
          <w:rFonts w:ascii="仿宋_GB2312" w:hAnsi="sans-serif" w:eastAsia="仿宋_GB2312" w:cs="仿宋_GB2312"/>
          <w:i w:val="0"/>
          <w:szCs w:val="24"/>
          <w:u w:val="single"/>
        </w:rPr>
        <w:t>（中型企业、小型企业、微型企业）</w:t>
      </w:r>
      <w:r>
        <w:rPr>
          <w:rFonts w:ascii="仿宋_GB2312" w:hAnsi="sans-serif" w:eastAsia="仿宋_GB2312" w:cs="仿宋_GB2312"/>
          <w:szCs w:val="24"/>
        </w:rPr>
        <w:t>；</w:t>
      </w:r>
    </w:p>
    <w:p>
      <w:pPr>
        <w:pStyle w:val="21"/>
        <w:spacing w:before="50" w:beforeAutospacing="0" w:after="50" w:afterAutospacing="0" w:line="360" w:lineRule="auto"/>
        <w:ind w:firstLine="430"/>
        <w:rPr>
          <w:rFonts w:ascii="sans-serif" w:hAnsi="sans-serif" w:eastAsia="sans-serif" w:cs="sans-serif"/>
          <w:szCs w:val="24"/>
        </w:rPr>
      </w:pPr>
      <w:r>
        <w:rPr>
          <w:rFonts w:ascii="仿宋_GB2312" w:hAnsi="sans-serif" w:eastAsia="仿宋_GB2312" w:cs="仿宋_GB2312"/>
          <w:szCs w:val="24"/>
        </w:rPr>
        <w:t>2. </w:t>
      </w:r>
      <w:r>
        <w:rPr>
          <w:rStyle w:val="28"/>
          <w:rFonts w:ascii="仿宋_GB2312" w:hAnsi="sans-serif" w:eastAsia="仿宋_GB2312" w:cs="仿宋_GB2312"/>
          <w:i w:val="0"/>
          <w:szCs w:val="24"/>
          <w:u w:val="single"/>
        </w:rPr>
        <w:t>（标的名称）</w:t>
      </w:r>
      <w:r>
        <w:rPr>
          <w:rFonts w:ascii="仿宋_GB2312" w:hAnsi="sans-serif" w:eastAsia="仿宋_GB2312" w:cs="仿宋_GB2312"/>
          <w:szCs w:val="24"/>
        </w:rPr>
        <w:t>，属于</w:t>
      </w:r>
      <w:r>
        <w:rPr>
          <w:rStyle w:val="28"/>
          <w:rFonts w:ascii="仿宋_GB2312" w:hAnsi="sans-serif" w:eastAsia="仿宋_GB2312" w:cs="仿宋_GB2312"/>
          <w:i w:val="0"/>
          <w:szCs w:val="24"/>
          <w:u w:val="single"/>
        </w:rPr>
        <w:t>（采购文件中明确的所属行业）</w:t>
      </w:r>
      <w:r>
        <w:rPr>
          <w:rFonts w:ascii="仿宋_GB2312" w:hAnsi="sans-serif" w:eastAsia="仿宋_GB2312" w:cs="仿宋_GB2312"/>
          <w:szCs w:val="24"/>
        </w:rPr>
        <w:t>；制造商为</w:t>
      </w:r>
      <w:r>
        <w:rPr>
          <w:rStyle w:val="28"/>
          <w:rFonts w:ascii="仿宋_GB2312" w:hAnsi="sans-serif" w:eastAsia="仿宋_GB2312" w:cs="仿宋_GB2312"/>
          <w:i w:val="0"/>
          <w:szCs w:val="24"/>
          <w:u w:val="single"/>
        </w:rPr>
        <w:t>（企业名称）</w:t>
      </w:r>
      <w:r>
        <w:rPr>
          <w:rFonts w:ascii="仿宋_GB2312" w:hAnsi="sans-serif" w:eastAsia="仿宋_GB2312" w:cs="仿宋_GB2312"/>
          <w:szCs w:val="24"/>
        </w:rPr>
        <w:t>，从业人员</w:t>
      </w:r>
      <w:r>
        <w:rPr>
          <w:rFonts w:ascii="仿宋_GB2312" w:hAnsi="sans-serif" w:eastAsia="仿宋_GB2312" w:cs="仿宋_GB2312"/>
          <w:szCs w:val="24"/>
          <w:u w:val="single"/>
        </w:rPr>
        <w:t>  </w:t>
      </w:r>
      <w:r>
        <w:rPr>
          <w:rFonts w:ascii="仿宋_GB2312" w:hAnsi="sans-serif" w:eastAsia="仿宋_GB2312" w:cs="仿宋_GB2312"/>
          <w:szCs w:val="24"/>
        </w:rPr>
        <w:t>人，营业收入为</w:t>
      </w:r>
      <w:r>
        <w:rPr>
          <w:rFonts w:ascii="仿宋_GB2312" w:hAnsi="sans-serif" w:eastAsia="仿宋_GB2312" w:cs="仿宋_GB2312"/>
          <w:szCs w:val="24"/>
          <w:u w:val="single"/>
        </w:rPr>
        <w:t>  </w:t>
      </w:r>
      <w:r>
        <w:rPr>
          <w:rFonts w:ascii="仿宋_GB2312" w:hAnsi="sans-serif" w:eastAsia="仿宋_GB2312" w:cs="仿宋_GB2312"/>
          <w:szCs w:val="24"/>
        </w:rPr>
        <w:t>万元，资产总额为</w:t>
      </w:r>
      <w:r>
        <w:rPr>
          <w:rFonts w:ascii="仿宋_GB2312" w:hAnsi="sans-serif" w:eastAsia="仿宋_GB2312" w:cs="仿宋_GB2312"/>
          <w:szCs w:val="24"/>
          <w:u w:val="single"/>
        </w:rPr>
        <w:t>  </w:t>
      </w:r>
      <w:r>
        <w:rPr>
          <w:rFonts w:ascii="仿宋_GB2312" w:hAnsi="sans-serif" w:eastAsia="仿宋_GB2312" w:cs="仿宋_GB2312"/>
          <w:szCs w:val="24"/>
        </w:rPr>
        <w:t>万元，属于</w:t>
      </w:r>
      <w:r>
        <w:rPr>
          <w:rStyle w:val="28"/>
          <w:rFonts w:ascii="仿宋_GB2312" w:hAnsi="sans-serif" w:eastAsia="仿宋_GB2312" w:cs="仿宋_GB2312"/>
          <w:i w:val="0"/>
          <w:szCs w:val="24"/>
          <w:u w:val="single"/>
        </w:rPr>
        <w:t>（中型企业、小型企业、微型企业）</w:t>
      </w:r>
      <w:r>
        <w:rPr>
          <w:rFonts w:ascii="仿宋_GB2312" w:hAnsi="sans-serif" w:eastAsia="仿宋_GB2312" w:cs="仿宋_GB2312"/>
          <w:szCs w:val="24"/>
        </w:rPr>
        <w:t>；</w:t>
      </w:r>
    </w:p>
    <w:p>
      <w:pPr>
        <w:pStyle w:val="21"/>
        <w:spacing w:before="50" w:beforeAutospacing="0" w:after="50" w:afterAutospacing="0" w:line="360" w:lineRule="auto"/>
        <w:ind w:firstLine="430"/>
        <w:rPr>
          <w:rFonts w:ascii="sans-serif" w:hAnsi="sans-serif" w:eastAsia="sans-serif" w:cs="sans-serif"/>
          <w:szCs w:val="24"/>
        </w:rPr>
      </w:pPr>
      <w:r>
        <w:rPr>
          <w:rFonts w:ascii="仿宋_GB2312" w:hAnsi="sans-serif" w:eastAsia="仿宋_GB2312" w:cs="仿宋_GB2312"/>
          <w:szCs w:val="24"/>
        </w:rPr>
        <w:t>……</w:t>
      </w:r>
    </w:p>
    <w:p>
      <w:pPr>
        <w:pStyle w:val="21"/>
        <w:spacing w:before="50" w:beforeAutospacing="0" w:after="50" w:afterAutospacing="0" w:line="360" w:lineRule="auto"/>
        <w:ind w:firstLine="430"/>
        <w:rPr>
          <w:rFonts w:ascii="sans-serif" w:hAnsi="sans-serif" w:eastAsia="sans-serif" w:cs="sans-serif"/>
          <w:szCs w:val="24"/>
        </w:rPr>
      </w:pPr>
      <w:r>
        <w:rPr>
          <w:rFonts w:ascii="仿宋_GB2312" w:hAnsi="sans-serif" w:eastAsia="仿宋_GB2312" w:cs="仿宋_GB2312"/>
          <w:szCs w:val="24"/>
        </w:rPr>
        <w:t>以上企业，不属于大企业的分支机构，不存在控股股东为大企业的情形，也不存在与大企业的负责人为同一人的情形。</w:t>
      </w:r>
    </w:p>
    <w:p>
      <w:pPr>
        <w:pStyle w:val="21"/>
        <w:spacing w:before="50" w:beforeAutospacing="0" w:after="50" w:afterAutospacing="0" w:line="360" w:lineRule="auto"/>
        <w:ind w:firstLine="430"/>
        <w:rPr>
          <w:rFonts w:ascii="sans-serif" w:hAnsi="sans-serif" w:eastAsia="sans-serif" w:cs="sans-serif"/>
          <w:szCs w:val="24"/>
        </w:rPr>
      </w:pPr>
      <w:r>
        <w:rPr>
          <w:rFonts w:ascii="仿宋_GB2312" w:hAnsi="sans-serif" w:eastAsia="仿宋_GB2312" w:cs="仿宋_GB2312"/>
          <w:szCs w:val="24"/>
        </w:rPr>
        <w:t>本企业对上述声明内容的真实性负责。如有虚假，将依法承担相应责任。</w:t>
      </w:r>
    </w:p>
    <w:p>
      <w:pPr>
        <w:pStyle w:val="21"/>
        <w:spacing w:before="50" w:beforeAutospacing="0" w:after="50" w:afterAutospacing="0" w:line="360" w:lineRule="auto"/>
        <w:ind w:firstLine="430"/>
        <w:rPr>
          <w:rFonts w:ascii="sans-serif" w:hAnsi="sans-serif" w:eastAsia="sans-serif" w:cs="sans-serif"/>
          <w:szCs w:val="24"/>
        </w:rPr>
      </w:pPr>
      <w:r>
        <w:rPr>
          <w:rFonts w:ascii="仿宋_GB2312" w:hAnsi="sans-serif" w:eastAsia="仿宋_GB2312" w:cs="仿宋_GB2312"/>
          <w:szCs w:val="24"/>
        </w:rPr>
        <w:t>                      企业名称（盖章）：</w:t>
      </w:r>
    </w:p>
    <w:p>
      <w:pPr>
        <w:pStyle w:val="21"/>
        <w:spacing w:before="50" w:beforeAutospacing="0" w:after="50" w:afterAutospacing="0" w:line="360" w:lineRule="auto"/>
        <w:ind w:firstLine="430"/>
        <w:rPr>
          <w:rFonts w:hint="eastAsia" w:ascii="仿宋_GB2312" w:hAnsi="sans-serif" w:eastAsia="仿宋_GB2312" w:cs="仿宋_GB2312"/>
          <w:szCs w:val="24"/>
        </w:rPr>
      </w:pPr>
      <w:r>
        <w:rPr>
          <w:rFonts w:ascii="仿宋_GB2312" w:hAnsi="sans-serif" w:eastAsia="仿宋_GB2312" w:cs="仿宋_GB2312"/>
          <w:szCs w:val="24"/>
        </w:rPr>
        <w:t>                      日期：</w:t>
      </w: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ascii="仿宋_GB2312" w:hAnsi="sans-serif" w:eastAsia="仿宋_GB2312" w:cs="仿宋_GB2312"/>
          <w:b/>
          <w:bCs/>
          <w:szCs w:val="24"/>
        </w:rPr>
      </w:pPr>
      <w:r>
        <w:rPr>
          <w:rFonts w:hint="eastAsia" w:ascii="仿宋_GB2312" w:hAnsi="sans-serif" w:eastAsia="仿宋_GB2312" w:cs="仿宋_GB2312"/>
          <w:b/>
          <w:bCs/>
          <w:szCs w:val="24"/>
          <w:lang w:val="en-US" w:eastAsia="zh-CN"/>
        </w:rPr>
        <w:t>注：</w:t>
      </w:r>
    </w:p>
    <w:p>
      <w:pPr>
        <w:pStyle w:val="21"/>
        <w:spacing w:before="50" w:beforeAutospacing="0" w:after="50" w:afterAutospacing="0" w:line="360" w:lineRule="atLeast"/>
        <w:ind w:firstLine="430"/>
        <w:rPr>
          <w:rFonts w:ascii="仿宋_GB2312" w:hAnsi="sans-serif" w:eastAsia="仿宋_GB2312" w:cs="仿宋_GB2312"/>
          <w:b/>
          <w:bCs/>
          <w:szCs w:val="24"/>
        </w:rPr>
      </w:pPr>
      <w:r>
        <w:rPr>
          <w:rFonts w:ascii="仿宋_GB2312" w:hAnsi="sans-serif" w:eastAsia="仿宋_GB2312" w:cs="仿宋_GB2312"/>
          <w:b/>
          <w:bCs/>
          <w:szCs w:val="24"/>
          <w:lang w:val="en-US" w:eastAsia="zh-CN"/>
        </w:rPr>
        <w:t>1</w:t>
      </w:r>
      <w:r>
        <w:rPr>
          <w:rFonts w:hint="eastAsia" w:ascii="仿宋_GB2312" w:hAnsi="sans-serif" w:eastAsia="仿宋_GB2312" w:cs="仿宋_GB2312"/>
          <w:b/>
          <w:bCs/>
          <w:szCs w:val="24"/>
          <w:lang w:val="en-US" w:eastAsia="zh-CN"/>
        </w:rPr>
        <w:t xml:space="preserve">、 从业人员、营业收入、资产总额填报上一年度数据，无上一年度数据的新成立企业可不填报。 </w:t>
      </w:r>
    </w:p>
    <w:p>
      <w:pPr>
        <w:pStyle w:val="21"/>
        <w:spacing w:before="50" w:beforeAutospacing="0" w:after="50" w:afterAutospacing="0" w:line="360" w:lineRule="atLeast"/>
        <w:ind w:firstLine="430"/>
        <w:rPr>
          <w:rFonts w:ascii="仿宋_GB2312" w:hAnsi="sans-serif" w:eastAsia="仿宋_GB2312" w:cs="仿宋_GB2312"/>
          <w:b/>
          <w:bCs/>
          <w:szCs w:val="24"/>
        </w:rPr>
      </w:pPr>
      <w:r>
        <w:rPr>
          <w:rFonts w:hint="default" w:ascii="仿宋_GB2312" w:hAnsi="sans-serif" w:eastAsia="仿宋_GB2312" w:cs="仿宋_GB2312"/>
          <w:b/>
          <w:bCs/>
          <w:szCs w:val="24"/>
          <w:lang w:val="en-US" w:eastAsia="zh-CN"/>
        </w:rPr>
        <w:t>2</w:t>
      </w:r>
      <w:r>
        <w:rPr>
          <w:rFonts w:hint="eastAsia" w:ascii="仿宋_GB2312" w:hAnsi="sans-serif" w:eastAsia="仿宋_GB2312" w:cs="仿宋_GB2312"/>
          <w:b/>
          <w:bCs/>
          <w:szCs w:val="24"/>
          <w:lang w:val="en-US" w:eastAsia="zh-CN"/>
        </w:rPr>
        <w:t>、请根据自己的真实情况出具《中小企业声明函》。依法享受中小企业优惠政策的，采购人或者采购代理机构在公告中标结果时，同时公告其《中小企业声明函》，接受社会监督。</w:t>
      </w: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61"/>
        <w:spacing w:line="360" w:lineRule="auto"/>
        <w:ind w:right="-97"/>
        <w:jc w:val="both"/>
      </w:pPr>
      <w:bookmarkStart w:id="141" w:name="OLE_LINK14"/>
      <w:bookmarkStart w:id="142" w:name="OLE_LINK13"/>
      <w:r>
        <w:rPr>
          <w:rFonts w:hint="eastAsia" w:ascii="宋体" w:hAnsi="宋体" w:cs="宋体"/>
          <w:b/>
          <w:spacing w:val="6"/>
          <w:sz w:val="28"/>
          <w:szCs w:val="28"/>
        </w:rPr>
        <w:t>残疾人福利性单位声明函（残疾人福利性单位适用，不符合的无需提供）</w:t>
      </w:r>
    </w:p>
    <w:p>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bookmarkEnd w:id="141"/>
    <w:bookmarkEnd w:id="142"/>
    <w:p>
      <w:pPr>
        <w:spacing w:line="588" w:lineRule="exact"/>
        <w:rPr>
          <w:rFonts w:ascii="仿宋_GB2312" w:eastAsia="仿宋_GB2312"/>
          <w:b/>
          <w:spacing w:val="6"/>
          <w:sz w:val="30"/>
          <w:szCs w:val="30"/>
        </w:rPr>
      </w:pPr>
    </w:p>
    <w:p>
      <w:pPr>
        <w:spacing w:line="588" w:lineRule="exact"/>
        <w:ind w:firstLine="504" w:firstLineChars="200"/>
        <w:rPr>
          <w:spacing w:val="6"/>
          <w:sz w:val="24"/>
          <w:szCs w:val="24"/>
        </w:rPr>
      </w:pPr>
      <w:r>
        <w:rPr>
          <w:rFonts w:hint="eastAsia"/>
          <w:spacing w:val="6"/>
          <w:sz w:val="24"/>
          <w:szCs w:val="24"/>
        </w:rPr>
        <w:t>本单位郑重声明，根据《财政部 民政部 中国残疾人联合会关于促进残疾人就业政府采购政策的通知》（财库</w:t>
      </w:r>
      <w:r>
        <w:rPr>
          <w:rFonts w:hint="eastAsia"/>
          <w:sz w:val="24"/>
          <w:szCs w:val="24"/>
        </w:rPr>
        <w:t>〔2017〕 141</w:t>
      </w:r>
      <w:r>
        <w:rPr>
          <w:rFonts w:hint="eastAsia"/>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spacing w:val="6"/>
          <w:sz w:val="24"/>
          <w:szCs w:val="24"/>
        </w:rPr>
      </w:pPr>
      <w:r>
        <w:rPr>
          <w:rFonts w:hint="eastAsia"/>
          <w:spacing w:val="6"/>
          <w:sz w:val="24"/>
          <w:szCs w:val="24"/>
        </w:rPr>
        <w:t>本单位对上述声明的真实性负责。如有虚假，将依法承担相应责任。</w:t>
      </w:r>
    </w:p>
    <w:p>
      <w:pPr>
        <w:spacing w:line="588" w:lineRule="exact"/>
        <w:ind w:firstLine="504" w:firstLineChars="200"/>
        <w:rPr>
          <w:spacing w:val="6"/>
          <w:sz w:val="24"/>
          <w:szCs w:val="24"/>
        </w:rPr>
      </w:pPr>
    </w:p>
    <w:p>
      <w:pPr>
        <w:pStyle w:val="3"/>
      </w:pPr>
    </w:p>
    <w:p>
      <w:pPr>
        <w:spacing w:line="588" w:lineRule="exact"/>
        <w:ind w:firstLine="504" w:firstLineChars="200"/>
        <w:rPr>
          <w:spacing w:val="6"/>
          <w:sz w:val="24"/>
          <w:szCs w:val="24"/>
        </w:rPr>
      </w:pPr>
    </w:p>
    <w:p>
      <w:pPr>
        <w:tabs>
          <w:tab w:val="left" w:pos="4860"/>
        </w:tabs>
        <w:spacing w:line="588" w:lineRule="exact"/>
        <w:ind w:right="1560" w:firstLine="504" w:firstLineChars="200"/>
        <w:jc w:val="right"/>
        <w:rPr>
          <w:spacing w:val="6"/>
          <w:sz w:val="24"/>
          <w:szCs w:val="24"/>
        </w:rPr>
      </w:pPr>
      <w:r>
        <w:rPr>
          <w:rFonts w:hint="eastAsia"/>
          <w:spacing w:val="6"/>
          <w:sz w:val="24"/>
          <w:szCs w:val="24"/>
        </w:rPr>
        <w:t>单位名称（盖章）：</w:t>
      </w:r>
    </w:p>
    <w:p>
      <w:pPr>
        <w:tabs>
          <w:tab w:val="left" w:pos="4860"/>
        </w:tabs>
        <w:spacing w:line="588" w:lineRule="exact"/>
        <w:ind w:right="1560" w:firstLine="504" w:firstLineChars="200"/>
        <w:jc w:val="right"/>
        <w:rPr>
          <w:rFonts w:ascii="仿宋_GB2312" w:eastAsia="仿宋_GB2312"/>
          <w:spacing w:val="6"/>
          <w:sz w:val="30"/>
          <w:szCs w:val="30"/>
        </w:rPr>
      </w:pPr>
      <w:r>
        <w:rPr>
          <w:rFonts w:hint="eastAsia"/>
          <w:spacing w:val="6"/>
          <w:sz w:val="24"/>
          <w:szCs w:val="24"/>
        </w:rPr>
        <w:t xml:space="preserve">       日  期：</w:t>
      </w: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spacing w:line="588" w:lineRule="exact"/>
        <w:jc w:val="center"/>
        <w:rPr>
          <w:b/>
          <w:sz w:val="28"/>
          <w:szCs w:val="28"/>
        </w:rPr>
      </w:pPr>
      <w:r>
        <w:rPr>
          <w:rFonts w:hint="eastAsia"/>
          <w:b/>
          <w:sz w:val="28"/>
          <w:szCs w:val="28"/>
          <w:lang w:val="en-US"/>
        </w:rPr>
        <w:t>监狱企业证明材料</w:t>
      </w:r>
      <w:r>
        <w:rPr>
          <w:rFonts w:hint="eastAsia"/>
          <w:b/>
          <w:sz w:val="28"/>
          <w:szCs w:val="28"/>
        </w:rPr>
        <w:t>（不符合的无需提供）</w:t>
      </w:r>
    </w:p>
    <w:p>
      <w:pPr>
        <w:pStyle w:val="22"/>
        <w:ind w:left="440" w:firstLine="400"/>
        <w:rPr>
          <w:lang w:val="en-US"/>
        </w:rPr>
      </w:pPr>
    </w:p>
    <w:p>
      <w:pPr>
        <w:spacing w:before="160" w:line="336" w:lineRule="auto"/>
        <w:ind w:left="2237" w:right="2487"/>
        <w:jc w:val="center"/>
      </w:pPr>
      <w:r>
        <w:rPr>
          <w:rFonts w:hint="eastAsia" w:ascii="仿宋" w:hAnsi="仿宋" w:eastAsia="仿宋" w:cs="仿宋"/>
          <w:b/>
          <w:sz w:val="32"/>
          <w:szCs w:val="32"/>
        </w:rPr>
        <w:t>监狱企业声明函</w:t>
      </w:r>
    </w:p>
    <w:p>
      <w:pPr>
        <w:widowControl/>
        <w:spacing w:line="480" w:lineRule="auto"/>
        <w:ind w:firstLine="420" w:firstLineChars="200"/>
        <w:rPr>
          <w:sz w:val="21"/>
          <w:szCs w:val="21"/>
        </w:rPr>
      </w:pPr>
      <w:r>
        <w:rPr>
          <w:rFonts w:hint="eastAsia"/>
          <w:sz w:val="21"/>
          <w:szCs w:val="21"/>
        </w:rPr>
        <w:t>本单位郑重声明，本单位在参加</w:t>
      </w:r>
      <w:r>
        <w:rPr>
          <w:rFonts w:hint="eastAsia"/>
          <w:sz w:val="21"/>
          <w:szCs w:val="21"/>
          <w:u w:val="single"/>
        </w:rPr>
        <w:t>（采购人名称）</w:t>
      </w:r>
      <w:r>
        <w:rPr>
          <w:rFonts w:hint="eastAsia"/>
          <w:sz w:val="21"/>
          <w:szCs w:val="21"/>
        </w:rPr>
        <w:t>的</w:t>
      </w:r>
      <w:r>
        <w:rPr>
          <w:rFonts w:hint="eastAsia"/>
          <w:sz w:val="21"/>
          <w:szCs w:val="21"/>
          <w:u w:val="single"/>
        </w:rPr>
        <w:t>（项目名称）</w:t>
      </w:r>
      <w:r>
        <w:rPr>
          <w:rFonts w:hint="eastAsia"/>
          <w:sz w:val="21"/>
          <w:szCs w:val="21"/>
        </w:rPr>
        <w:t>项目，</w:t>
      </w:r>
      <w:r>
        <w:rPr>
          <w:rFonts w:hint="eastAsia"/>
          <w:sz w:val="21"/>
          <w:szCs w:val="21"/>
          <w:lang w:val="en-US"/>
        </w:rPr>
        <w:t>本单位□是/□否属于</w:t>
      </w:r>
      <w:r>
        <w:rPr>
          <w:rFonts w:hint="eastAsia"/>
          <w:sz w:val="21"/>
          <w:szCs w:val="21"/>
        </w:rPr>
        <w:t>监狱企业，后附省级以上监狱管理局、戒毒管理局（含新疆生产建设兵团）出具的属于监狱企业的证明文件，采购活动提供以下监狱企业承担的工程，具体情况如下：（按照实际情况勾选或填空）</w:t>
      </w:r>
    </w:p>
    <w:p>
      <w:pPr>
        <w:widowControl/>
        <w:spacing w:line="480" w:lineRule="auto"/>
        <w:ind w:firstLine="315" w:firstLineChars="150"/>
        <w:rPr>
          <w:sz w:val="21"/>
          <w:szCs w:val="21"/>
        </w:rPr>
      </w:pPr>
      <w:r>
        <w:rPr>
          <w:rFonts w:hint="eastAsia"/>
          <w:sz w:val="21"/>
          <w:szCs w:val="21"/>
        </w:rPr>
        <w:t>（1）□</w:t>
      </w:r>
      <w:r>
        <w:rPr>
          <w:rFonts w:hint="eastAsia"/>
          <w:sz w:val="21"/>
          <w:szCs w:val="21"/>
          <w:u w:val="single"/>
        </w:rPr>
        <w:t>（单位名称）</w:t>
      </w:r>
      <w:r>
        <w:rPr>
          <w:rFonts w:hint="eastAsia"/>
          <w:sz w:val="21"/>
          <w:szCs w:val="21"/>
        </w:rPr>
        <w:t>属于监狱企业，后附省级以上监狱管理局、戒毒管理局（含新疆生产建设兵团）出具的属于监狱企业的证明文件。</w:t>
      </w:r>
    </w:p>
    <w:p>
      <w:pPr>
        <w:widowControl/>
        <w:spacing w:line="480" w:lineRule="auto"/>
        <w:ind w:firstLine="420"/>
        <w:rPr>
          <w:sz w:val="21"/>
          <w:szCs w:val="21"/>
        </w:rPr>
      </w:pPr>
      <w:r>
        <w:rPr>
          <w:rFonts w:hint="eastAsia"/>
          <w:sz w:val="21"/>
          <w:szCs w:val="21"/>
        </w:rPr>
        <w:t>（2）□</w:t>
      </w:r>
      <w:r>
        <w:rPr>
          <w:rFonts w:hint="eastAsia"/>
          <w:sz w:val="21"/>
          <w:szCs w:val="21"/>
          <w:u w:val="single"/>
        </w:rPr>
        <w:t>（单位名称）</w:t>
      </w:r>
      <w:r>
        <w:rPr>
          <w:rFonts w:hint="eastAsia"/>
          <w:sz w:val="21"/>
          <w:szCs w:val="21"/>
        </w:rPr>
        <w:t>属于监狱企业并作为联合体一方，其提供协议合同金额占到共同投标协议合同总金额的比例为。后附省级以上监狱管理局、戒毒管理局（含新疆生产建设兵团）出具的属于监狱企业的证明文件。</w:t>
      </w:r>
    </w:p>
    <w:p>
      <w:pPr>
        <w:widowControl/>
        <w:spacing w:line="480" w:lineRule="auto"/>
        <w:ind w:firstLine="420"/>
        <w:rPr>
          <w:sz w:val="21"/>
          <w:szCs w:val="21"/>
        </w:rPr>
      </w:pPr>
      <w:r>
        <w:rPr>
          <w:rFonts w:hint="eastAsia"/>
          <w:sz w:val="21"/>
          <w:szCs w:val="21"/>
        </w:rPr>
        <w:t>（3）□</w:t>
      </w:r>
      <w:r>
        <w:rPr>
          <w:rFonts w:hint="eastAsia"/>
          <w:sz w:val="21"/>
          <w:szCs w:val="21"/>
          <w:u w:val="single"/>
        </w:rPr>
        <w:t>（单位名称）</w:t>
      </w:r>
      <w:r>
        <w:rPr>
          <w:rFonts w:hint="eastAsia"/>
          <w:sz w:val="21"/>
          <w:szCs w:val="21"/>
        </w:rPr>
        <w:t>属于监狱企业并作为分包方，其提供协议合同金额占到分包意向协议合同总金额的比例为。后附省级以上监狱管理局、戒毒管理局（含新疆生产建设兵团）出具的属于监狱企业的证明文件。</w:t>
      </w:r>
    </w:p>
    <w:p>
      <w:pPr>
        <w:widowControl/>
        <w:spacing w:line="480" w:lineRule="auto"/>
        <w:rPr>
          <w:sz w:val="21"/>
          <w:szCs w:val="21"/>
        </w:rPr>
      </w:pPr>
      <w:r>
        <w:rPr>
          <w:rFonts w:hint="eastAsia"/>
          <w:sz w:val="21"/>
          <w:szCs w:val="21"/>
        </w:rPr>
        <w:t>　　本单位对上述声明的真实性负责。如有虚假，将依法承担相应责任。</w:t>
      </w:r>
    </w:p>
    <w:p>
      <w:pPr>
        <w:rPr>
          <w:sz w:val="21"/>
          <w:szCs w:val="21"/>
        </w:rPr>
      </w:pPr>
    </w:p>
    <w:p>
      <w:pPr>
        <w:rPr>
          <w:sz w:val="21"/>
          <w:szCs w:val="21"/>
        </w:rPr>
      </w:pPr>
    </w:p>
    <w:p>
      <w:pPr>
        <w:spacing w:line="360" w:lineRule="auto"/>
        <w:ind w:firstLine="3780" w:firstLineChars="1800"/>
        <w:jc w:val="right"/>
        <w:rPr>
          <w:sz w:val="21"/>
          <w:szCs w:val="21"/>
        </w:rPr>
      </w:pPr>
      <w:r>
        <w:rPr>
          <w:rFonts w:hint="eastAsia"/>
          <w:sz w:val="21"/>
          <w:szCs w:val="21"/>
        </w:rPr>
        <w:t>单位名称（盖章）：</w:t>
      </w:r>
    </w:p>
    <w:p>
      <w:pPr>
        <w:spacing w:line="360" w:lineRule="auto"/>
        <w:ind w:firstLine="3780" w:firstLineChars="1800"/>
        <w:jc w:val="right"/>
        <w:rPr>
          <w:sz w:val="21"/>
          <w:szCs w:val="21"/>
          <w:lang w:val="en-US"/>
        </w:rPr>
      </w:pPr>
      <w:r>
        <w:rPr>
          <w:rFonts w:hint="eastAsia"/>
          <w:sz w:val="21"/>
          <w:szCs w:val="21"/>
          <w:lang w:val="en-US"/>
        </w:rPr>
        <w:t xml:space="preserve"> 日期：</w:t>
      </w: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spacing w:before="50"/>
        <w:ind w:left="179" w:right="115"/>
        <w:jc w:val="center"/>
        <w:outlineLvl w:val="0"/>
        <w:rPr>
          <w:rFonts w:hint="eastAsia"/>
          <w:b/>
          <w:sz w:val="44"/>
          <w:szCs w:val="32"/>
          <w:lang w:val="en-US" w:eastAsia="zh-CN"/>
        </w:rPr>
      </w:pPr>
      <w:r>
        <w:rPr>
          <w:rFonts w:hint="eastAsia"/>
          <w:b/>
          <w:sz w:val="44"/>
          <w:szCs w:val="32"/>
          <w:lang w:val="en-US" w:eastAsia="zh-CN"/>
        </w:rPr>
        <w:t>五、资格审查材料</w:t>
      </w:r>
    </w:p>
    <w:p>
      <w:pPr>
        <w:pStyle w:val="2"/>
        <w:numPr>
          <w:ilvl w:val="0"/>
          <w:numId w:val="0"/>
        </w:numPr>
        <w:rPr>
          <w:rFonts w:hint="eastAsia"/>
          <w:lang w:val="en-US" w:eastAsia="zh-CN"/>
        </w:rPr>
      </w:pPr>
    </w:p>
    <w:p>
      <w:pPr>
        <w:spacing w:before="7" w:line="208" w:lineRule="auto"/>
        <w:ind w:left="2366" w:right="729" w:hanging="1970"/>
        <w:jc w:val="left"/>
        <w:rPr>
          <w:rFonts w:hint="eastAsia" w:ascii="微软雅黑" w:eastAsia="微软雅黑"/>
          <w:b/>
          <w:sz w:val="30"/>
        </w:rPr>
      </w:pPr>
      <w:r>
        <w:rPr>
          <w:rFonts w:hint="eastAsia" w:ascii="微软雅黑" w:eastAsia="微软雅黑"/>
          <w:b/>
          <w:sz w:val="32"/>
          <w:lang w:val="en-US" w:eastAsia="zh-CN"/>
        </w:rPr>
        <w:t>1</w:t>
      </w:r>
      <w:r>
        <w:rPr>
          <w:rFonts w:hint="eastAsia" w:ascii="微软雅黑" w:eastAsia="微软雅黑"/>
          <w:b/>
          <w:sz w:val="32"/>
        </w:rPr>
        <w:t>、</w:t>
      </w:r>
      <w:r>
        <w:rPr>
          <w:rFonts w:hint="eastAsia" w:ascii="微软雅黑" w:eastAsia="微软雅黑"/>
          <w:b/>
          <w:position w:val="1"/>
          <w:sz w:val="30"/>
        </w:rPr>
        <w:t>营业执照</w:t>
      </w:r>
    </w:p>
    <w:p>
      <w:pPr>
        <w:pStyle w:val="11"/>
        <w:spacing w:before="1" w:line="360" w:lineRule="auto"/>
        <w:rPr>
          <w:rFonts w:ascii="微软雅黑"/>
          <w:b w:val="0"/>
          <w:bCs w:val="0"/>
          <w:sz w:val="28"/>
          <w:szCs w:val="28"/>
        </w:rPr>
      </w:pPr>
      <w:r>
        <w:rPr>
          <w:rFonts w:hint="eastAsia" w:cs="仿宋_GB2312"/>
          <w:b w:val="0"/>
          <w:bCs w:val="0"/>
          <w:sz w:val="28"/>
          <w:szCs w:val="28"/>
          <w:lang w:eastAsia="zh-CN"/>
        </w:rPr>
        <w:t>营业执照</w:t>
      </w:r>
      <w:r>
        <w:rPr>
          <w:rFonts w:hint="eastAsia" w:cs="仿宋_GB2312"/>
          <w:b w:val="0"/>
          <w:bCs w:val="0"/>
          <w:sz w:val="28"/>
          <w:szCs w:val="28"/>
        </w:rPr>
        <w:t>复印件</w:t>
      </w:r>
      <w:r>
        <w:rPr>
          <w:rFonts w:hint="eastAsia" w:cs="仿宋_GB2312"/>
          <w:b w:val="0"/>
          <w:bCs w:val="0"/>
          <w:sz w:val="28"/>
          <w:szCs w:val="28"/>
          <w:lang w:eastAsia="zh-CN"/>
        </w:rPr>
        <w:t>必须</w:t>
      </w:r>
      <w:r>
        <w:rPr>
          <w:rFonts w:hint="eastAsia" w:cs="仿宋_GB2312"/>
          <w:b w:val="0"/>
          <w:bCs w:val="0"/>
          <w:sz w:val="28"/>
          <w:szCs w:val="28"/>
        </w:rPr>
        <w:t>应清晰有效，并加盖投标人公章。</w:t>
      </w:r>
      <w:r>
        <w:rPr>
          <w:b w:val="0"/>
          <w:bCs w:val="0"/>
          <w:sz w:val="28"/>
          <w:szCs w:val="28"/>
        </w:rPr>
        <w:t>（必须提供，否则作无效投标处理）</w:t>
      </w:r>
    </w:p>
    <w:p>
      <w:pPr>
        <w:pStyle w:val="11"/>
        <w:spacing w:before="1"/>
        <w:rPr>
          <w:sz w:val="29"/>
        </w:rPr>
      </w:pPr>
    </w:p>
    <w:p>
      <w:pPr>
        <w:pStyle w:val="12"/>
      </w:pPr>
    </w:p>
    <w:p>
      <w:pPr>
        <w:spacing w:before="0" w:line="535" w:lineRule="exact"/>
        <w:ind w:left="0" w:right="811" w:firstLine="0"/>
        <w:jc w:val="center"/>
        <w:rPr>
          <w:rFonts w:hint="eastAsia" w:ascii="微软雅黑" w:eastAsia="微软雅黑"/>
          <w:b/>
          <w:sz w:val="32"/>
        </w:rPr>
      </w:pPr>
      <w:r>
        <w:rPr>
          <w:rFonts w:hint="eastAsia" w:ascii="微软雅黑" w:eastAsia="微软雅黑"/>
          <w:b/>
          <w:sz w:val="30"/>
          <w:lang w:val="en-US" w:eastAsia="zh-CN"/>
        </w:rPr>
        <w:t>2</w:t>
      </w:r>
      <w:r>
        <w:rPr>
          <w:rFonts w:hint="eastAsia" w:ascii="微软雅黑" w:eastAsia="微软雅黑"/>
          <w:b/>
          <w:sz w:val="30"/>
        </w:rPr>
        <w:t>、</w:t>
      </w:r>
      <w:r>
        <w:rPr>
          <w:rFonts w:hint="eastAsia" w:ascii="微软雅黑" w:eastAsia="微软雅黑"/>
          <w:b/>
          <w:sz w:val="32"/>
        </w:rPr>
        <w:t>符合参与政府采购活动的资格条件依法缴纳税收方面的材料</w:t>
      </w:r>
    </w:p>
    <w:p>
      <w:pPr>
        <w:pStyle w:val="11"/>
        <w:spacing w:before="1" w:line="360" w:lineRule="auto"/>
        <w:rPr>
          <w:rFonts w:hint="eastAsia" w:cs="仿宋_GB2312"/>
          <w:b w:val="0"/>
          <w:bCs w:val="0"/>
          <w:sz w:val="28"/>
          <w:szCs w:val="28"/>
          <w:lang w:eastAsia="zh-CN"/>
        </w:rPr>
      </w:pPr>
      <w:r>
        <w:rPr>
          <w:rFonts w:hint="eastAsia" w:cs="仿宋_GB2312"/>
          <w:b w:val="0"/>
          <w:bCs w:val="0"/>
          <w:sz w:val="28"/>
          <w:szCs w:val="28"/>
          <w:lang w:eastAsia="zh-CN"/>
        </w:rPr>
        <w:t>投标人依法缴纳税收的相关材料</w:t>
      </w:r>
      <w:r>
        <w:rPr>
          <w:rFonts w:hint="eastAsia" w:cs="仿宋_GB2312"/>
          <w:b w:val="0"/>
          <w:bCs w:val="0"/>
          <w:sz w:val="28"/>
          <w:szCs w:val="28"/>
          <w:lang w:val="en-US" w:eastAsia="zh-CN"/>
        </w:rPr>
        <w:t>2021</w:t>
      </w:r>
      <w:r>
        <w:rPr>
          <w:rFonts w:hint="eastAsia" w:cs="仿宋_GB2312"/>
          <w:b w:val="0"/>
          <w:bCs w:val="0"/>
          <w:sz w:val="28"/>
          <w:szCs w:val="28"/>
          <w:lang w:eastAsia="zh-CN"/>
        </w:rPr>
        <w:t>年</w:t>
      </w:r>
      <w:r>
        <w:rPr>
          <w:rFonts w:hint="eastAsia" w:cs="仿宋_GB2312"/>
          <w:b w:val="0"/>
          <w:bCs w:val="0"/>
          <w:sz w:val="28"/>
          <w:szCs w:val="28"/>
          <w:lang w:val="en-US" w:eastAsia="zh-CN"/>
        </w:rPr>
        <w:t>1</w:t>
      </w:r>
      <w:r>
        <w:rPr>
          <w:rFonts w:hint="eastAsia" w:cs="仿宋_GB2312"/>
          <w:b w:val="0"/>
          <w:bCs w:val="0"/>
          <w:sz w:val="28"/>
          <w:szCs w:val="28"/>
          <w:lang w:eastAsia="zh-CN"/>
        </w:rPr>
        <w:t>月至</w:t>
      </w:r>
      <w:r>
        <w:rPr>
          <w:rFonts w:hint="eastAsia" w:cs="仿宋_GB2312"/>
          <w:b w:val="0"/>
          <w:bCs w:val="0"/>
          <w:sz w:val="28"/>
          <w:szCs w:val="28"/>
          <w:lang w:val="en-US" w:eastAsia="zh-CN"/>
        </w:rPr>
        <w:t>2022</w:t>
      </w:r>
      <w:r>
        <w:rPr>
          <w:rFonts w:hint="eastAsia" w:cs="仿宋_GB2312"/>
          <w:b w:val="0"/>
          <w:bCs w:val="0"/>
          <w:sz w:val="28"/>
          <w:szCs w:val="28"/>
          <w:lang w:eastAsia="zh-CN"/>
        </w:rPr>
        <w:t>年</w:t>
      </w:r>
      <w:r>
        <w:rPr>
          <w:rFonts w:hint="eastAsia" w:cs="仿宋_GB2312"/>
          <w:b w:val="0"/>
          <w:bCs w:val="0"/>
          <w:sz w:val="28"/>
          <w:szCs w:val="28"/>
          <w:lang w:val="en-US" w:eastAsia="zh-CN"/>
        </w:rPr>
        <w:t>6</w:t>
      </w:r>
      <w:r>
        <w:rPr>
          <w:rFonts w:hint="eastAsia" w:cs="仿宋_GB2312"/>
          <w:b w:val="0"/>
          <w:bCs w:val="0"/>
          <w:sz w:val="28"/>
          <w:szCs w:val="28"/>
          <w:lang w:eastAsia="zh-CN"/>
        </w:rPr>
        <w:t>月中任意连续</w:t>
      </w:r>
      <w:r>
        <w:rPr>
          <w:rFonts w:hint="eastAsia" w:cs="仿宋_GB2312"/>
          <w:b w:val="0"/>
          <w:bCs w:val="0"/>
          <w:sz w:val="28"/>
          <w:szCs w:val="28"/>
          <w:lang w:val="en-US" w:eastAsia="zh-CN"/>
        </w:rPr>
        <w:t>3</w:t>
      </w:r>
      <w:r>
        <w:rPr>
          <w:rFonts w:hint="eastAsia" w:cs="仿宋_GB2312"/>
          <w:b w:val="0"/>
          <w:bCs w:val="0"/>
          <w:sz w:val="28"/>
          <w:szCs w:val="28"/>
          <w:lang w:eastAsia="zh-CN"/>
        </w:rPr>
        <w:t>个月的依法缴纳税收的凭据复印件加盖投标人公章；依法免税的供应商，必须提供相应文件证明其依法免税。从取得营业执照时间起到投标文件提交截止时间为止不足要求月数的，只需提供从取得营业执照起的依法缴纳税收相应证明文件加盖投标人公章。（必须提供，否则作无效投标处理）</w:t>
      </w:r>
    </w:p>
    <w:p>
      <w:pPr>
        <w:pStyle w:val="44"/>
        <w:tabs>
          <w:tab w:val="left" w:pos="3838"/>
          <w:tab w:val="left" w:pos="4468"/>
          <w:tab w:val="left" w:pos="5308"/>
          <w:tab w:val="left" w:pos="5938"/>
          <w:tab w:val="left" w:pos="6988"/>
        </w:tabs>
        <w:spacing w:before="9"/>
        <w:ind w:left="109"/>
        <w:rPr>
          <w:rFonts w:ascii="微软雅黑"/>
          <w:b/>
          <w:sz w:val="39"/>
        </w:rPr>
      </w:pPr>
    </w:p>
    <w:p>
      <w:pPr>
        <w:pStyle w:val="2"/>
        <w:rPr>
          <w:sz w:val="24"/>
        </w:rPr>
      </w:pPr>
    </w:p>
    <w:p>
      <w:pPr>
        <w:rPr>
          <w:sz w:val="24"/>
        </w:rPr>
      </w:pPr>
    </w:p>
    <w:p>
      <w:pPr>
        <w:pStyle w:val="2"/>
        <w:rPr>
          <w:sz w:val="24"/>
        </w:rPr>
      </w:pPr>
    </w:p>
    <w:p>
      <w:pPr>
        <w:rPr>
          <w:sz w:val="24"/>
        </w:rPr>
      </w:pPr>
    </w:p>
    <w:p>
      <w:pPr>
        <w:numPr>
          <w:ilvl w:val="0"/>
          <w:numId w:val="0"/>
        </w:numPr>
        <w:spacing w:before="0" w:line="535" w:lineRule="exact"/>
        <w:ind w:leftChars="0" w:right="811" w:rightChars="0"/>
        <w:jc w:val="both"/>
        <w:rPr>
          <w:rFonts w:hint="eastAsia" w:ascii="微软雅黑" w:eastAsia="微软雅黑"/>
          <w:b/>
          <w:sz w:val="32"/>
        </w:rPr>
      </w:pPr>
      <w:r>
        <w:rPr>
          <w:rFonts w:hint="eastAsia" w:ascii="微软雅黑" w:eastAsia="微软雅黑"/>
          <w:b/>
          <w:sz w:val="32"/>
          <w:lang w:val="en-US" w:eastAsia="zh-CN"/>
        </w:rPr>
        <w:t>3、</w:t>
      </w:r>
      <w:r>
        <w:rPr>
          <w:rFonts w:hint="eastAsia" w:ascii="微软雅黑" w:eastAsia="微软雅黑"/>
          <w:b/>
          <w:sz w:val="32"/>
        </w:rPr>
        <w:t>符合参与政府采购活动的资格条件依法缴纳社会保障资金的材料</w:t>
      </w:r>
    </w:p>
    <w:p>
      <w:pPr>
        <w:pStyle w:val="2"/>
        <w:numPr>
          <w:ilvl w:val="0"/>
          <w:numId w:val="0"/>
        </w:numPr>
        <w:ind w:leftChars="0"/>
      </w:pPr>
    </w:p>
    <w:p>
      <w:pPr>
        <w:pStyle w:val="11"/>
        <w:spacing w:before="1" w:line="360" w:lineRule="auto"/>
        <w:rPr>
          <w:rFonts w:hint="eastAsia" w:cs="仿宋_GB2312"/>
          <w:b w:val="0"/>
          <w:bCs w:val="0"/>
          <w:sz w:val="28"/>
          <w:szCs w:val="28"/>
          <w:lang w:eastAsia="zh-CN"/>
        </w:rPr>
      </w:pPr>
      <w:r>
        <w:rPr>
          <w:rFonts w:hint="eastAsia" w:cs="仿宋_GB2312"/>
          <w:b w:val="0"/>
          <w:bCs w:val="0"/>
          <w:sz w:val="28"/>
          <w:szCs w:val="28"/>
          <w:lang w:eastAsia="zh-CN"/>
        </w:rPr>
        <w:t xml:space="preserve">投标人依法缴纳社会保障资金的相关材料 </w:t>
      </w:r>
      <w:r>
        <w:rPr>
          <w:rFonts w:hint="eastAsia" w:cs="仿宋_GB2312"/>
          <w:b w:val="0"/>
          <w:bCs w:val="0"/>
          <w:sz w:val="28"/>
          <w:szCs w:val="28"/>
          <w:lang w:val="en-US" w:eastAsia="zh-CN"/>
        </w:rPr>
        <w:t>2022</w:t>
      </w:r>
      <w:r>
        <w:rPr>
          <w:rFonts w:hint="eastAsia" w:cs="仿宋_GB2312"/>
          <w:b w:val="0"/>
          <w:bCs w:val="0"/>
          <w:sz w:val="28"/>
          <w:szCs w:val="28"/>
          <w:lang w:eastAsia="zh-CN"/>
        </w:rPr>
        <w:t>年</w:t>
      </w:r>
      <w:r>
        <w:rPr>
          <w:rFonts w:hint="eastAsia" w:cs="仿宋_GB2312"/>
          <w:b w:val="0"/>
          <w:bCs w:val="0"/>
          <w:sz w:val="28"/>
          <w:szCs w:val="28"/>
          <w:lang w:val="en-US" w:eastAsia="zh-CN"/>
        </w:rPr>
        <w:t>4</w:t>
      </w:r>
      <w:r>
        <w:rPr>
          <w:rFonts w:hint="eastAsia" w:cs="仿宋_GB2312"/>
          <w:b w:val="0"/>
          <w:bCs w:val="0"/>
          <w:sz w:val="28"/>
          <w:szCs w:val="28"/>
          <w:lang w:eastAsia="zh-CN"/>
        </w:rPr>
        <w:t>月至</w:t>
      </w:r>
      <w:r>
        <w:rPr>
          <w:rFonts w:hint="eastAsia" w:cs="仿宋_GB2312"/>
          <w:b w:val="0"/>
          <w:bCs w:val="0"/>
          <w:sz w:val="28"/>
          <w:szCs w:val="28"/>
          <w:lang w:val="en-US" w:eastAsia="zh-CN"/>
        </w:rPr>
        <w:t>2022</w:t>
      </w:r>
      <w:r>
        <w:rPr>
          <w:rFonts w:hint="eastAsia" w:cs="仿宋_GB2312"/>
          <w:b w:val="0"/>
          <w:bCs w:val="0"/>
          <w:sz w:val="28"/>
          <w:szCs w:val="28"/>
          <w:lang w:eastAsia="zh-CN"/>
        </w:rPr>
        <w:t>年</w:t>
      </w:r>
      <w:r>
        <w:rPr>
          <w:rFonts w:hint="eastAsia" w:cs="仿宋_GB2312"/>
          <w:b w:val="0"/>
          <w:bCs w:val="0"/>
          <w:sz w:val="28"/>
          <w:szCs w:val="28"/>
          <w:lang w:val="en-US" w:eastAsia="zh-CN"/>
        </w:rPr>
        <w:t>6</w:t>
      </w:r>
      <w:r>
        <w:rPr>
          <w:rFonts w:hint="eastAsia" w:cs="仿宋_GB2312"/>
          <w:b w:val="0"/>
          <w:bCs w:val="0"/>
          <w:sz w:val="28"/>
          <w:szCs w:val="28"/>
          <w:lang w:eastAsia="zh-CN"/>
        </w:rPr>
        <w:t>月连续</w:t>
      </w:r>
      <w:r>
        <w:rPr>
          <w:rFonts w:hint="eastAsia" w:cs="仿宋_GB2312"/>
          <w:b w:val="0"/>
          <w:bCs w:val="0"/>
          <w:sz w:val="28"/>
          <w:szCs w:val="28"/>
          <w:lang w:val="en-US" w:eastAsia="zh-CN"/>
        </w:rPr>
        <w:t>3</w:t>
      </w:r>
      <w:r>
        <w:rPr>
          <w:rFonts w:hint="eastAsia" w:cs="仿宋_GB2312"/>
          <w:b w:val="0"/>
          <w:bCs w:val="0"/>
          <w:sz w:val="28"/>
          <w:szCs w:val="28"/>
          <w:lang w:eastAsia="zh-CN"/>
        </w:rPr>
        <w:t>个月的依法缴纳社会保障资金的缴费凭证（专用收据或者社会保险缴纳清单）复印件加盖投标人公章。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加盖投标人公章。（必须提供，否则作无效投标处理）</w:t>
      </w:r>
    </w:p>
    <w:p>
      <w:pPr>
        <w:spacing w:before="0" w:line="476" w:lineRule="exact"/>
        <w:ind w:left="0" w:right="811" w:firstLine="0"/>
        <w:jc w:val="center"/>
        <w:rPr>
          <w:sz w:val="21"/>
        </w:rPr>
      </w:pPr>
    </w:p>
    <w:p>
      <w:pPr>
        <w:spacing w:before="0" w:line="476" w:lineRule="exact"/>
        <w:ind w:left="0" w:right="811" w:firstLine="0"/>
        <w:jc w:val="center"/>
        <w:rPr>
          <w:sz w:val="21"/>
        </w:rPr>
      </w:pPr>
    </w:p>
    <w:p>
      <w:pPr>
        <w:spacing w:before="0" w:line="476" w:lineRule="exact"/>
        <w:ind w:left="0" w:right="811" w:firstLine="0"/>
        <w:jc w:val="center"/>
        <w:rPr>
          <w:sz w:val="21"/>
        </w:rPr>
      </w:pPr>
    </w:p>
    <w:p>
      <w:pPr>
        <w:spacing w:before="0" w:line="476" w:lineRule="exact"/>
        <w:ind w:left="0" w:right="811" w:firstLine="0"/>
        <w:jc w:val="center"/>
        <w:rPr>
          <w:sz w:val="21"/>
        </w:rPr>
      </w:pPr>
    </w:p>
    <w:p>
      <w:pPr>
        <w:numPr>
          <w:ilvl w:val="0"/>
          <w:numId w:val="0"/>
        </w:numPr>
        <w:spacing w:before="0" w:line="476" w:lineRule="exact"/>
        <w:ind w:left="220" w:leftChars="0" w:right="811" w:rightChars="0"/>
        <w:jc w:val="left"/>
        <w:rPr>
          <w:rFonts w:hint="eastAsia" w:ascii="微软雅黑" w:eastAsia="微软雅黑"/>
          <w:b/>
          <w:sz w:val="32"/>
        </w:rPr>
      </w:pPr>
      <w:r>
        <w:rPr>
          <w:rFonts w:hint="eastAsia" w:ascii="微软雅黑" w:eastAsia="微软雅黑"/>
          <w:b/>
          <w:sz w:val="32"/>
          <w:lang w:val="en-US" w:eastAsia="zh-CN"/>
        </w:rPr>
        <w:t>4、</w:t>
      </w:r>
      <w:r>
        <w:rPr>
          <w:rFonts w:hint="eastAsia" w:ascii="微软雅黑" w:eastAsia="微软雅黑"/>
          <w:b/>
          <w:sz w:val="32"/>
        </w:rPr>
        <w:t>财务状况报告方面的材料</w:t>
      </w:r>
    </w:p>
    <w:p>
      <w:pPr>
        <w:pStyle w:val="11"/>
        <w:spacing w:before="1" w:line="360" w:lineRule="auto"/>
        <w:rPr>
          <w:rFonts w:hint="eastAsia" w:cs="仿宋_GB2312"/>
          <w:b w:val="0"/>
          <w:bCs w:val="0"/>
          <w:sz w:val="28"/>
          <w:szCs w:val="28"/>
          <w:lang w:eastAsia="zh-CN"/>
        </w:rPr>
      </w:pPr>
      <w:r>
        <w:rPr>
          <w:rFonts w:hint="eastAsia" w:cs="仿宋_GB2312"/>
          <w:b w:val="0"/>
          <w:bCs w:val="0"/>
          <w:sz w:val="28"/>
          <w:szCs w:val="28"/>
          <w:lang w:eastAsia="zh-CN"/>
        </w:rPr>
        <w:t>投标人财务状况报告：</w:t>
      </w:r>
      <w:r>
        <w:rPr>
          <w:rFonts w:hint="eastAsia" w:cs="仿宋_GB2312"/>
          <w:b w:val="0"/>
          <w:bCs w:val="0"/>
          <w:sz w:val="28"/>
          <w:szCs w:val="28"/>
          <w:lang w:val="en-US" w:eastAsia="zh-CN"/>
        </w:rPr>
        <w:t>2021</w:t>
      </w:r>
      <w:r>
        <w:rPr>
          <w:rFonts w:hint="eastAsia" w:cs="仿宋_GB2312"/>
          <w:b w:val="0"/>
          <w:bCs w:val="0"/>
          <w:sz w:val="28"/>
          <w:szCs w:val="28"/>
          <w:lang w:eastAsia="zh-CN"/>
        </w:rPr>
        <w:t>年财务状况报告复印件；供应商成立不满一年的应按提供投标截止之日上一个月的财务状况报告复印件加盖投标人公章。（上述财务状况报告包括：资产负债表、利润表、现金流量表。（必须提供，否则作无效投标处理）</w:t>
      </w:r>
    </w:p>
    <w:p>
      <w:pPr>
        <w:pStyle w:val="2"/>
        <w:numPr>
          <w:ilvl w:val="0"/>
          <w:numId w:val="0"/>
        </w:numPr>
        <w:ind w:leftChars="0"/>
        <w:rPr>
          <w:rFonts w:hint="eastAsia"/>
        </w:rPr>
      </w:pPr>
    </w:p>
    <w:p>
      <w:pPr>
        <w:pStyle w:val="11"/>
        <w:rPr>
          <w:sz w:val="20"/>
        </w:rPr>
      </w:pPr>
    </w:p>
    <w:p>
      <w:pPr>
        <w:pStyle w:val="11"/>
        <w:spacing w:before="2"/>
        <w:rPr>
          <w:sz w:val="23"/>
        </w:rPr>
      </w:pPr>
    </w:p>
    <w:p>
      <w:pPr>
        <w:pStyle w:val="12"/>
      </w:pPr>
    </w:p>
    <w:p>
      <w:pPr>
        <w:spacing w:before="0" w:line="543" w:lineRule="exact"/>
        <w:ind w:left="0" w:right="331" w:firstLine="0"/>
        <w:jc w:val="both"/>
        <w:rPr>
          <w:rFonts w:hint="eastAsia" w:ascii="微软雅黑" w:eastAsia="微软雅黑"/>
          <w:b/>
          <w:sz w:val="32"/>
        </w:rPr>
      </w:pPr>
      <w:r>
        <w:rPr>
          <w:rFonts w:hint="eastAsia" w:ascii="微软雅黑" w:eastAsia="微软雅黑"/>
          <w:b/>
          <w:sz w:val="32"/>
          <w:lang w:val="en-US" w:eastAsia="zh-CN"/>
        </w:rPr>
        <w:t>5</w:t>
      </w:r>
      <w:r>
        <w:rPr>
          <w:rFonts w:hint="eastAsia" w:ascii="微软雅黑" w:eastAsia="微软雅黑"/>
          <w:b/>
          <w:sz w:val="32"/>
        </w:rPr>
        <w:t>、投标人直接控股股东信息表</w:t>
      </w:r>
    </w:p>
    <w:p>
      <w:pPr>
        <w:pStyle w:val="11"/>
        <w:spacing w:before="2"/>
        <w:rPr>
          <w:rFonts w:ascii="微软雅黑"/>
          <w:b/>
          <w:sz w:val="10"/>
        </w:rPr>
      </w:pPr>
    </w:p>
    <w:tbl>
      <w:tblPr>
        <w:tblStyle w:val="23"/>
        <w:tblW w:w="0" w:type="auto"/>
        <w:tblInd w:w="4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270"/>
        <w:gridCol w:w="1238"/>
        <w:gridCol w:w="3722"/>
        <w:gridCol w:w="14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2" w:hRule="atLeast"/>
        </w:trPr>
        <w:tc>
          <w:tcPr>
            <w:tcW w:w="828" w:type="dxa"/>
            <w:tcBorders>
              <w:left w:val="single" w:color="000000" w:sz="4" w:space="0"/>
              <w:right w:val="single" w:color="000000" w:sz="4" w:space="0"/>
            </w:tcBorders>
            <w:shd w:val="clear" w:color="auto" w:fill="E9E2D7"/>
          </w:tcPr>
          <w:p>
            <w:pPr>
              <w:pStyle w:val="44"/>
              <w:spacing w:before="5"/>
              <w:rPr>
                <w:rFonts w:ascii="微软雅黑"/>
                <w:b/>
                <w:sz w:val="21"/>
              </w:rPr>
            </w:pPr>
          </w:p>
          <w:p>
            <w:pPr>
              <w:pStyle w:val="44"/>
              <w:ind w:left="154" w:right="142"/>
              <w:jc w:val="center"/>
              <w:rPr>
                <w:b/>
                <w:sz w:val="24"/>
              </w:rPr>
            </w:pPr>
            <w:r>
              <w:rPr>
                <w:b/>
                <w:sz w:val="24"/>
              </w:rPr>
              <w:t>序号</w:t>
            </w:r>
          </w:p>
        </w:tc>
        <w:tc>
          <w:tcPr>
            <w:tcW w:w="2270" w:type="dxa"/>
            <w:tcBorders>
              <w:left w:val="single" w:color="000000" w:sz="4" w:space="0"/>
              <w:right w:val="single" w:color="000000" w:sz="4" w:space="0"/>
            </w:tcBorders>
            <w:shd w:val="clear" w:color="auto" w:fill="E9E2D7"/>
          </w:tcPr>
          <w:p>
            <w:pPr>
              <w:pStyle w:val="44"/>
              <w:spacing w:before="5"/>
              <w:rPr>
                <w:rFonts w:ascii="微软雅黑"/>
                <w:b/>
                <w:sz w:val="21"/>
              </w:rPr>
            </w:pPr>
          </w:p>
          <w:p>
            <w:pPr>
              <w:pStyle w:val="44"/>
              <w:ind w:left="176"/>
              <w:rPr>
                <w:b/>
                <w:sz w:val="24"/>
              </w:rPr>
            </w:pPr>
            <w:r>
              <w:rPr>
                <w:b/>
                <w:sz w:val="24"/>
              </w:rPr>
              <w:t>直接控股股东名称</w:t>
            </w:r>
          </w:p>
        </w:tc>
        <w:tc>
          <w:tcPr>
            <w:tcW w:w="1238" w:type="dxa"/>
            <w:tcBorders>
              <w:left w:val="single" w:color="000000" w:sz="4" w:space="0"/>
              <w:right w:val="single" w:color="000000" w:sz="4" w:space="0"/>
            </w:tcBorders>
            <w:shd w:val="clear" w:color="auto" w:fill="E9E2D7"/>
          </w:tcPr>
          <w:p>
            <w:pPr>
              <w:pStyle w:val="44"/>
              <w:spacing w:before="5"/>
              <w:rPr>
                <w:rFonts w:ascii="微软雅黑"/>
                <w:b/>
                <w:sz w:val="21"/>
              </w:rPr>
            </w:pPr>
          </w:p>
          <w:p>
            <w:pPr>
              <w:pStyle w:val="44"/>
              <w:ind w:left="140"/>
              <w:rPr>
                <w:b/>
                <w:sz w:val="24"/>
              </w:rPr>
            </w:pPr>
            <w:r>
              <w:rPr>
                <w:b/>
                <w:sz w:val="24"/>
              </w:rPr>
              <w:t>出资比例</w:t>
            </w:r>
          </w:p>
        </w:tc>
        <w:tc>
          <w:tcPr>
            <w:tcW w:w="3722" w:type="dxa"/>
            <w:tcBorders>
              <w:left w:val="single" w:color="000000" w:sz="4" w:space="0"/>
              <w:right w:val="single" w:color="000000" w:sz="4" w:space="0"/>
            </w:tcBorders>
            <w:shd w:val="clear" w:color="auto" w:fill="E9E2D7"/>
          </w:tcPr>
          <w:p>
            <w:pPr>
              <w:pStyle w:val="44"/>
              <w:spacing w:before="144"/>
              <w:ind w:left="156" w:right="142"/>
              <w:jc w:val="center"/>
              <w:rPr>
                <w:b/>
                <w:sz w:val="24"/>
              </w:rPr>
            </w:pPr>
            <w:r>
              <w:rPr>
                <w:b/>
                <w:sz w:val="24"/>
              </w:rPr>
              <w:t>身份证号码或者统一社会信用代</w:t>
            </w:r>
          </w:p>
          <w:p>
            <w:pPr>
              <w:pStyle w:val="44"/>
              <w:spacing w:before="189"/>
              <w:ind w:left="14"/>
              <w:jc w:val="center"/>
              <w:rPr>
                <w:b/>
                <w:sz w:val="24"/>
              </w:rPr>
            </w:pPr>
            <w:r>
              <w:rPr>
                <w:b/>
                <w:w w:val="99"/>
                <w:sz w:val="24"/>
              </w:rPr>
              <w:t>码</w:t>
            </w:r>
          </w:p>
        </w:tc>
        <w:tc>
          <w:tcPr>
            <w:tcW w:w="1428" w:type="dxa"/>
            <w:tcBorders>
              <w:left w:val="single" w:color="000000" w:sz="4" w:space="0"/>
              <w:right w:val="single" w:color="000000" w:sz="4" w:space="0"/>
            </w:tcBorders>
            <w:shd w:val="clear" w:color="auto" w:fill="E9E2D7"/>
          </w:tcPr>
          <w:p>
            <w:pPr>
              <w:pStyle w:val="44"/>
              <w:spacing w:before="5"/>
              <w:rPr>
                <w:rFonts w:ascii="微软雅黑"/>
                <w:b/>
                <w:sz w:val="21"/>
              </w:rPr>
            </w:pPr>
          </w:p>
          <w:p>
            <w:pPr>
              <w:pStyle w:val="44"/>
              <w:ind w:left="475"/>
              <w:rPr>
                <w:b/>
                <w:sz w:val="24"/>
              </w:rPr>
            </w:pPr>
            <w:r>
              <w:rPr>
                <w:b/>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28" w:type="dxa"/>
            <w:tcBorders>
              <w:left w:val="single" w:color="000000" w:sz="4" w:space="0"/>
              <w:right w:val="single" w:color="000000" w:sz="4" w:space="0"/>
            </w:tcBorders>
            <w:shd w:val="clear" w:color="auto" w:fill="F8F8F8"/>
          </w:tcPr>
          <w:p>
            <w:pPr>
              <w:pStyle w:val="44"/>
              <w:spacing w:before="142"/>
              <w:ind w:left="12"/>
              <w:jc w:val="center"/>
              <w:rPr>
                <w:sz w:val="24"/>
              </w:rPr>
            </w:pPr>
            <w:r>
              <w:rPr>
                <w:sz w:val="24"/>
              </w:rPr>
              <w:t>1</w:t>
            </w:r>
          </w:p>
        </w:tc>
        <w:tc>
          <w:tcPr>
            <w:tcW w:w="2270" w:type="dxa"/>
            <w:tcBorders>
              <w:left w:val="single" w:color="000000" w:sz="4" w:space="0"/>
              <w:right w:val="single" w:color="000000" w:sz="4" w:space="0"/>
            </w:tcBorders>
            <w:shd w:val="clear" w:color="auto" w:fill="F8F8F8"/>
          </w:tcPr>
          <w:p>
            <w:pPr>
              <w:pStyle w:val="44"/>
              <w:rPr>
                <w:rFonts w:ascii="Times New Roman"/>
                <w:sz w:val="22"/>
              </w:rPr>
            </w:pPr>
          </w:p>
        </w:tc>
        <w:tc>
          <w:tcPr>
            <w:tcW w:w="1238" w:type="dxa"/>
            <w:tcBorders>
              <w:left w:val="single" w:color="000000" w:sz="4" w:space="0"/>
              <w:right w:val="single" w:color="000000" w:sz="4" w:space="0"/>
            </w:tcBorders>
            <w:shd w:val="clear" w:color="auto" w:fill="F8F8F8"/>
          </w:tcPr>
          <w:p>
            <w:pPr>
              <w:pStyle w:val="44"/>
              <w:rPr>
                <w:rFonts w:ascii="Times New Roman"/>
                <w:sz w:val="22"/>
              </w:rPr>
            </w:pPr>
          </w:p>
        </w:tc>
        <w:tc>
          <w:tcPr>
            <w:tcW w:w="3722" w:type="dxa"/>
            <w:tcBorders>
              <w:left w:val="single" w:color="000000" w:sz="4" w:space="0"/>
              <w:right w:val="single" w:color="000000" w:sz="4" w:space="0"/>
            </w:tcBorders>
            <w:shd w:val="clear" w:color="auto" w:fill="F8F8F8"/>
          </w:tcPr>
          <w:p>
            <w:pPr>
              <w:pStyle w:val="44"/>
              <w:rPr>
                <w:rFonts w:ascii="Times New Roman"/>
                <w:sz w:val="22"/>
              </w:rPr>
            </w:pPr>
          </w:p>
        </w:tc>
        <w:tc>
          <w:tcPr>
            <w:tcW w:w="1428"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28" w:type="dxa"/>
            <w:tcBorders>
              <w:left w:val="single" w:color="000000" w:sz="4" w:space="0"/>
              <w:right w:val="single" w:color="000000" w:sz="4" w:space="0"/>
            </w:tcBorders>
            <w:shd w:val="clear" w:color="auto" w:fill="F8F8F8"/>
          </w:tcPr>
          <w:p>
            <w:pPr>
              <w:pStyle w:val="44"/>
              <w:spacing w:before="144"/>
              <w:ind w:left="12"/>
              <w:jc w:val="center"/>
              <w:rPr>
                <w:sz w:val="24"/>
              </w:rPr>
            </w:pPr>
            <w:r>
              <w:rPr>
                <w:sz w:val="24"/>
              </w:rPr>
              <w:t>2</w:t>
            </w:r>
          </w:p>
        </w:tc>
        <w:tc>
          <w:tcPr>
            <w:tcW w:w="2270" w:type="dxa"/>
            <w:tcBorders>
              <w:left w:val="single" w:color="000000" w:sz="4" w:space="0"/>
              <w:right w:val="single" w:color="000000" w:sz="4" w:space="0"/>
            </w:tcBorders>
            <w:shd w:val="clear" w:color="auto" w:fill="F8F8F8"/>
          </w:tcPr>
          <w:p>
            <w:pPr>
              <w:pStyle w:val="44"/>
              <w:rPr>
                <w:rFonts w:ascii="Times New Roman"/>
                <w:sz w:val="22"/>
              </w:rPr>
            </w:pPr>
          </w:p>
        </w:tc>
        <w:tc>
          <w:tcPr>
            <w:tcW w:w="1238" w:type="dxa"/>
            <w:tcBorders>
              <w:left w:val="single" w:color="000000" w:sz="4" w:space="0"/>
              <w:right w:val="single" w:color="000000" w:sz="4" w:space="0"/>
            </w:tcBorders>
            <w:shd w:val="clear" w:color="auto" w:fill="F8F8F8"/>
          </w:tcPr>
          <w:p>
            <w:pPr>
              <w:pStyle w:val="44"/>
              <w:rPr>
                <w:rFonts w:ascii="Times New Roman"/>
                <w:sz w:val="22"/>
              </w:rPr>
            </w:pPr>
          </w:p>
        </w:tc>
        <w:tc>
          <w:tcPr>
            <w:tcW w:w="3722" w:type="dxa"/>
            <w:tcBorders>
              <w:left w:val="single" w:color="000000" w:sz="4" w:space="0"/>
              <w:right w:val="single" w:color="000000" w:sz="4" w:space="0"/>
            </w:tcBorders>
            <w:shd w:val="clear" w:color="auto" w:fill="F8F8F8"/>
          </w:tcPr>
          <w:p>
            <w:pPr>
              <w:pStyle w:val="44"/>
              <w:rPr>
                <w:rFonts w:ascii="Times New Roman"/>
                <w:sz w:val="22"/>
              </w:rPr>
            </w:pPr>
          </w:p>
        </w:tc>
        <w:tc>
          <w:tcPr>
            <w:tcW w:w="1428"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828" w:type="dxa"/>
            <w:tcBorders>
              <w:left w:val="single" w:color="000000" w:sz="4" w:space="0"/>
              <w:right w:val="single" w:color="000000" w:sz="4" w:space="0"/>
            </w:tcBorders>
            <w:shd w:val="clear" w:color="auto" w:fill="F8F8F8"/>
          </w:tcPr>
          <w:p>
            <w:pPr>
              <w:pStyle w:val="44"/>
              <w:spacing w:before="142"/>
              <w:ind w:left="12"/>
              <w:jc w:val="center"/>
              <w:rPr>
                <w:sz w:val="24"/>
              </w:rPr>
            </w:pPr>
            <w:r>
              <w:rPr>
                <w:sz w:val="24"/>
              </w:rPr>
              <w:t>3</w:t>
            </w:r>
          </w:p>
        </w:tc>
        <w:tc>
          <w:tcPr>
            <w:tcW w:w="2270" w:type="dxa"/>
            <w:tcBorders>
              <w:left w:val="single" w:color="000000" w:sz="4" w:space="0"/>
              <w:right w:val="single" w:color="000000" w:sz="4" w:space="0"/>
            </w:tcBorders>
            <w:shd w:val="clear" w:color="auto" w:fill="F8F8F8"/>
          </w:tcPr>
          <w:p>
            <w:pPr>
              <w:pStyle w:val="44"/>
              <w:rPr>
                <w:rFonts w:ascii="Times New Roman"/>
                <w:sz w:val="22"/>
              </w:rPr>
            </w:pPr>
          </w:p>
        </w:tc>
        <w:tc>
          <w:tcPr>
            <w:tcW w:w="1238" w:type="dxa"/>
            <w:tcBorders>
              <w:left w:val="single" w:color="000000" w:sz="4" w:space="0"/>
              <w:right w:val="single" w:color="000000" w:sz="4" w:space="0"/>
            </w:tcBorders>
            <w:shd w:val="clear" w:color="auto" w:fill="F8F8F8"/>
          </w:tcPr>
          <w:p>
            <w:pPr>
              <w:pStyle w:val="44"/>
              <w:rPr>
                <w:rFonts w:ascii="Times New Roman"/>
                <w:sz w:val="22"/>
              </w:rPr>
            </w:pPr>
          </w:p>
        </w:tc>
        <w:tc>
          <w:tcPr>
            <w:tcW w:w="3722" w:type="dxa"/>
            <w:tcBorders>
              <w:left w:val="single" w:color="000000" w:sz="4" w:space="0"/>
              <w:right w:val="single" w:color="000000" w:sz="4" w:space="0"/>
            </w:tcBorders>
            <w:shd w:val="clear" w:color="auto" w:fill="F8F8F8"/>
          </w:tcPr>
          <w:p>
            <w:pPr>
              <w:pStyle w:val="44"/>
              <w:rPr>
                <w:rFonts w:ascii="Times New Roman"/>
                <w:sz w:val="22"/>
              </w:rPr>
            </w:pPr>
          </w:p>
        </w:tc>
        <w:tc>
          <w:tcPr>
            <w:tcW w:w="1428"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28" w:type="dxa"/>
            <w:tcBorders>
              <w:left w:val="single" w:color="000000" w:sz="4" w:space="0"/>
              <w:right w:val="single" w:color="000000" w:sz="4" w:space="0"/>
            </w:tcBorders>
            <w:shd w:val="clear" w:color="auto" w:fill="F8F8F8"/>
          </w:tcPr>
          <w:p>
            <w:pPr>
              <w:pStyle w:val="44"/>
              <w:spacing w:before="144"/>
              <w:ind w:left="154" w:right="142"/>
              <w:jc w:val="center"/>
              <w:rPr>
                <w:sz w:val="24"/>
              </w:rPr>
            </w:pPr>
            <w:r>
              <w:rPr>
                <w:sz w:val="24"/>
              </w:rPr>
              <w:t>……</w:t>
            </w:r>
          </w:p>
        </w:tc>
        <w:tc>
          <w:tcPr>
            <w:tcW w:w="2270" w:type="dxa"/>
            <w:tcBorders>
              <w:left w:val="single" w:color="000000" w:sz="4" w:space="0"/>
              <w:right w:val="single" w:color="000000" w:sz="4" w:space="0"/>
            </w:tcBorders>
            <w:shd w:val="clear" w:color="auto" w:fill="F8F8F8"/>
          </w:tcPr>
          <w:p>
            <w:pPr>
              <w:pStyle w:val="44"/>
              <w:rPr>
                <w:rFonts w:ascii="Times New Roman"/>
                <w:sz w:val="22"/>
              </w:rPr>
            </w:pPr>
          </w:p>
        </w:tc>
        <w:tc>
          <w:tcPr>
            <w:tcW w:w="1238" w:type="dxa"/>
            <w:tcBorders>
              <w:left w:val="single" w:color="000000" w:sz="4" w:space="0"/>
              <w:right w:val="single" w:color="000000" w:sz="4" w:space="0"/>
            </w:tcBorders>
            <w:shd w:val="clear" w:color="auto" w:fill="F8F8F8"/>
          </w:tcPr>
          <w:p>
            <w:pPr>
              <w:pStyle w:val="44"/>
              <w:rPr>
                <w:rFonts w:ascii="Times New Roman"/>
                <w:sz w:val="22"/>
              </w:rPr>
            </w:pPr>
          </w:p>
        </w:tc>
        <w:tc>
          <w:tcPr>
            <w:tcW w:w="3722" w:type="dxa"/>
            <w:tcBorders>
              <w:left w:val="single" w:color="000000" w:sz="4" w:space="0"/>
              <w:right w:val="single" w:color="000000" w:sz="4" w:space="0"/>
            </w:tcBorders>
            <w:shd w:val="clear" w:color="auto" w:fill="F8F8F8"/>
          </w:tcPr>
          <w:p>
            <w:pPr>
              <w:pStyle w:val="44"/>
              <w:rPr>
                <w:rFonts w:ascii="Times New Roman"/>
                <w:sz w:val="22"/>
              </w:rPr>
            </w:pPr>
          </w:p>
        </w:tc>
        <w:tc>
          <w:tcPr>
            <w:tcW w:w="1428" w:type="dxa"/>
            <w:tcBorders>
              <w:left w:val="single" w:color="000000" w:sz="4" w:space="0"/>
              <w:right w:val="single" w:color="000000" w:sz="4" w:space="0"/>
            </w:tcBorders>
            <w:shd w:val="clear" w:color="auto" w:fill="F8F8F8"/>
          </w:tcPr>
          <w:p>
            <w:pPr>
              <w:pStyle w:val="44"/>
              <w:rPr>
                <w:rFonts w:ascii="Times New Roman"/>
                <w:sz w:val="22"/>
              </w:rPr>
            </w:pPr>
          </w:p>
        </w:tc>
      </w:tr>
    </w:tbl>
    <w:p>
      <w:pPr>
        <w:spacing w:before="0"/>
        <w:ind w:left="395" w:right="0" w:firstLine="0"/>
        <w:jc w:val="left"/>
        <w:rPr>
          <w:sz w:val="24"/>
        </w:rPr>
      </w:pPr>
      <w:r>
        <w:rPr>
          <w:sz w:val="24"/>
        </w:rPr>
        <w:t>注：</w:t>
      </w:r>
      <w:r>
        <w:rPr>
          <w:sz w:val="21"/>
        </w:rPr>
        <w:t>（</w:t>
      </w:r>
      <w:r>
        <w:rPr>
          <w:b/>
          <w:sz w:val="21"/>
        </w:rPr>
        <w:t>必须提供，否则作无效投标处理</w:t>
      </w:r>
      <w:r>
        <w:rPr>
          <w:sz w:val="21"/>
        </w:rPr>
        <w:t>）</w:t>
      </w:r>
    </w:p>
    <w:p>
      <w:pPr>
        <w:pStyle w:val="45"/>
        <w:numPr>
          <w:ilvl w:val="1"/>
          <w:numId w:val="7"/>
        </w:numPr>
        <w:tabs>
          <w:tab w:val="left" w:pos="1117"/>
        </w:tabs>
        <w:spacing w:before="52" w:after="0" w:line="240" w:lineRule="auto"/>
        <w:ind w:left="1117" w:right="0" w:hanging="241"/>
        <w:jc w:val="left"/>
        <w:rPr>
          <w:sz w:val="24"/>
        </w:rPr>
      </w:pPr>
      <w:r>
        <w:rPr>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pStyle w:val="45"/>
        <w:numPr>
          <w:ilvl w:val="1"/>
          <w:numId w:val="7"/>
        </w:numPr>
        <w:tabs>
          <w:tab w:val="left" w:pos="1117"/>
        </w:tabs>
        <w:spacing w:before="52" w:after="0" w:line="240" w:lineRule="auto"/>
        <w:ind w:left="1117" w:right="0" w:hanging="241"/>
        <w:jc w:val="left"/>
        <w:rPr>
          <w:sz w:val="24"/>
        </w:rPr>
      </w:pPr>
      <w:r>
        <w:rPr>
          <w:sz w:val="24"/>
        </w:rPr>
        <w:t>本表所指的控股关系仅限于直接控股关系，不包括间接的控股关系。公司实际控制人与公司之间的关系不属于本表所指的直接控股关系。</w:t>
      </w:r>
    </w:p>
    <w:p>
      <w:pPr>
        <w:pStyle w:val="45"/>
        <w:numPr>
          <w:ilvl w:val="1"/>
          <w:numId w:val="7"/>
        </w:numPr>
        <w:tabs>
          <w:tab w:val="left" w:pos="1117"/>
        </w:tabs>
        <w:spacing w:before="52" w:after="0" w:line="240" w:lineRule="auto"/>
        <w:ind w:left="1117" w:right="0" w:hanging="241"/>
        <w:jc w:val="left"/>
        <w:rPr>
          <w:sz w:val="24"/>
        </w:rPr>
      </w:pPr>
      <w:r>
        <w:rPr>
          <w:sz w:val="24"/>
        </w:rPr>
        <w:t>供应商不存在直接控股股东的，则填“无”。</w:t>
      </w:r>
    </w:p>
    <w:p>
      <w:pPr>
        <w:pStyle w:val="11"/>
        <w:rPr>
          <w:sz w:val="24"/>
        </w:rPr>
      </w:pPr>
    </w:p>
    <w:p>
      <w:pPr>
        <w:pStyle w:val="11"/>
        <w:spacing w:before="6"/>
        <w:rPr>
          <w:sz w:val="20"/>
        </w:rPr>
      </w:pP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281" w:lineRule="auto"/>
        <w:ind w:left="5556" w:right="0" w:hanging="119"/>
        <w:jc w:val="left"/>
        <w:textAlignment w:val="auto"/>
        <w:rPr>
          <w:spacing w:val="-9"/>
          <w:sz w:val="24"/>
        </w:rPr>
      </w:pPr>
      <w:r>
        <w:rPr>
          <w:sz w:val="24"/>
        </w:rPr>
        <w:t>投标人名称(</w:t>
      </w:r>
      <w:r>
        <w:rPr>
          <w:rFonts w:hint="eastAsia"/>
          <w:sz w:val="24"/>
          <w:lang w:eastAsia="zh-CN"/>
        </w:rPr>
        <w:t>单位公章</w:t>
      </w:r>
      <w:r>
        <w:rPr>
          <w:spacing w:val="-9"/>
          <w:sz w:val="24"/>
        </w:rPr>
        <w:t xml:space="preserve">)： </w:t>
      </w: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281" w:lineRule="auto"/>
        <w:ind w:left="5556" w:right="0" w:hanging="119"/>
        <w:jc w:val="left"/>
        <w:textAlignment w:val="auto"/>
        <w:rPr>
          <w:sz w:val="24"/>
        </w:rPr>
        <w:sectPr>
          <w:pgSz w:w="11910" w:h="16840"/>
          <w:pgMar w:top="940" w:right="1134" w:bottom="280" w:left="1134" w:header="340" w:footer="680" w:gutter="0"/>
          <w:cols w:space="720" w:num="1"/>
        </w:sectPr>
      </w:pPr>
      <w:r>
        <w:rPr>
          <w:sz w:val="24"/>
        </w:rPr>
        <w:t>日期：</w:t>
      </w:r>
      <w:r>
        <w:rPr>
          <w:sz w:val="24"/>
        </w:rPr>
        <w:tab/>
      </w:r>
      <w:r>
        <w:rPr>
          <w:sz w:val="24"/>
        </w:rPr>
        <w:t>年</w:t>
      </w:r>
      <w:r>
        <w:rPr>
          <w:sz w:val="24"/>
        </w:rPr>
        <w:tab/>
      </w:r>
      <w:r>
        <w:rPr>
          <w:sz w:val="24"/>
        </w:rPr>
        <w:t>月</w:t>
      </w:r>
      <w:r>
        <w:rPr>
          <w:sz w:val="24"/>
        </w:rPr>
        <w:tab/>
      </w:r>
      <w:r>
        <w:rPr>
          <w:sz w:val="24"/>
        </w:rPr>
        <w:t>日</w:t>
      </w:r>
    </w:p>
    <w:p>
      <w:pPr>
        <w:spacing w:before="0" w:line="543" w:lineRule="exact"/>
        <w:ind w:left="0" w:right="331" w:firstLine="0"/>
        <w:jc w:val="both"/>
        <w:rPr>
          <w:rFonts w:hint="eastAsia" w:ascii="微软雅黑" w:eastAsia="微软雅黑"/>
          <w:b/>
          <w:sz w:val="32"/>
        </w:rPr>
      </w:pPr>
      <w:r>
        <w:rPr>
          <w:rFonts w:hint="eastAsia" w:ascii="微软雅黑" w:eastAsia="微软雅黑"/>
          <w:b/>
          <w:sz w:val="32"/>
          <w:lang w:val="en-US" w:eastAsia="zh-CN"/>
        </w:rPr>
        <w:t>6</w:t>
      </w:r>
      <w:r>
        <w:rPr>
          <w:rFonts w:hint="eastAsia" w:ascii="微软雅黑" w:eastAsia="微软雅黑"/>
          <w:b/>
          <w:sz w:val="32"/>
        </w:rPr>
        <w:t>、投标人直接管理关系信息表</w:t>
      </w:r>
    </w:p>
    <w:p>
      <w:pPr>
        <w:pStyle w:val="11"/>
        <w:spacing w:before="10"/>
        <w:rPr>
          <w:b/>
          <w:sz w:val="7"/>
        </w:rPr>
      </w:pPr>
    </w:p>
    <w:tbl>
      <w:tblPr>
        <w:tblStyle w:val="23"/>
        <w:tblW w:w="0" w:type="auto"/>
        <w:tblInd w:w="4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6"/>
        <w:gridCol w:w="2658"/>
        <w:gridCol w:w="3924"/>
        <w:gridCol w:w="20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006" w:type="dxa"/>
            <w:tcBorders>
              <w:left w:val="single" w:color="000000" w:sz="4" w:space="0"/>
              <w:right w:val="single" w:color="000000" w:sz="4" w:space="0"/>
            </w:tcBorders>
            <w:shd w:val="clear" w:color="auto" w:fill="E9E2D7"/>
          </w:tcPr>
          <w:p>
            <w:pPr>
              <w:pStyle w:val="44"/>
              <w:spacing w:before="142"/>
              <w:ind w:left="244" w:right="230"/>
              <w:jc w:val="center"/>
              <w:rPr>
                <w:b/>
                <w:sz w:val="24"/>
              </w:rPr>
            </w:pPr>
            <w:r>
              <w:rPr>
                <w:b/>
                <w:sz w:val="24"/>
              </w:rPr>
              <w:t>序号</w:t>
            </w:r>
          </w:p>
        </w:tc>
        <w:tc>
          <w:tcPr>
            <w:tcW w:w="2658" w:type="dxa"/>
            <w:tcBorders>
              <w:left w:val="single" w:color="000000" w:sz="4" w:space="0"/>
              <w:right w:val="single" w:color="000000" w:sz="4" w:space="0"/>
            </w:tcBorders>
            <w:shd w:val="clear" w:color="auto" w:fill="E9E2D7"/>
          </w:tcPr>
          <w:p>
            <w:pPr>
              <w:pStyle w:val="44"/>
              <w:spacing w:before="142"/>
              <w:ind w:left="130"/>
              <w:rPr>
                <w:b/>
                <w:sz w:val="24"/>
              </w:rPr>
            </w:pPr>
            <w:r>
              <w:rPr>
                <w:b/>
                <w:sz w:val="24"/>
              </w:rPr>
              <w:t>直接管理关系单位名称</w:t>
            </w:r>
          </w:p>
        </w:tc>
        <w:tc>
          <w:tcPr>
            <w:tcW w:w="3924" w:type="dxa"/>
            <w:tcBorders>
              <w:left w:val="single" w:color="000000" w:sz="4" w:space="0"/>
              <w:right w:val="single" w:color="000000" w:sz="4" w:space="0"/>
            </w:tcBorders>
            <w:shd w:val="clear" w:color="auto" w:fill="E9E2D7"/>
          </w:tcPr>
          <w:p>
            <w:pPr>
              <w:pStyle w:val="44"/>
              <w:spacing w:before="142"/>
              <w:ind w:left="1003"/>
              <w:rPr>
                <w:b/>
                <w:sz w:val="24"/>
              </w:rPr>
            </w:pPr>
            <w:r>
              <w:rPr>
                <w:b/>
                <w:sz w:val="24"/>
              </w:rPr>
              <w:t>统一社会信用代码</w:t>
            </w:r>
          </w:p>
        </w:tc>
        <w:tc>
          <w:tcPr>
            <w:tcW w:w="2074" w:type="dxa"/>
            <w:tcBorders>
              <w:left w:val="single" w:color="000000" w:sz="4" w:space="0"/>
              <w:right w:val="single" w:color="000000" w:sz="4" w:space="0"/>
            </w:tcBorders>
            <w:shd w:val="clear" w:color="auto" w:fill="E9E2D7"/>
          </w:tcPr>
          <w:p>
            <w:pPr>
              <w:pStyle w:val="44"/>
              <w:spacing w:before="142"/>
              <w:ind w:left="778" w:right="764"/>
              <w:jc w:val="center"/>
              <w:rPr>
                <w:b/>
                <w:sz w:val="24"/>
              </w:rPr>
            </w:pPr>
            <w:r>
              <w:rPr>
                <w:b/>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06" w:type="dxa"/>
            <w:tcBorders>
              <w:left w:val="single" w:color="000000" w:sz="4" w:space="0"/>
              <w:right w:val="single" w:color="000000" w:sz="4" w:space="0"/>
            </w:tcBorders>
            <w:shd w:val="clear" w:color="auto" w:fill="F8F8F8"/>
          </w:tcPr>
          <w:p>
            <w:pPr>
              <w:pStyle w:val="44"/>
              <w:spacing w:before="144"/>
              <w:ind w:left="14"/>
              <w:jc w:val="center"/>
              <w:rPr>
                <w:sz w:val="24"/>
              </w:rPr>
            </w:pPr>
            <w:r>
              <w:rPr>
                <w:sz w:val="24"/>
              </w:rPr>
              <w:t>1</w:t>
            </w:r>
          </w:p>
        </w:tc>
        <w:tc>
          <w:tcPr>
            <w:tcW w:w="2658" w:type="dxa"/>
            <w:tcBorders>
              <w:left w:val="single" w:color="000000" w:sz="4" w:space="0"/>
              <w:right w:val="single" w:color="000000" w:sz="4" w:space="0"/>
            </w:tcBorders>
            <w:shd w:val="clear" w:color="auto" w:fill="F8F8F8"/>
          </w:tcPr>
          <w:p>
            <w:pPr>
              <w:pStyle w:val="44"/>
              <w:rPr>
                <w:rFonts w:ascii="Times New Roman"/>
                <w:sz w:val="22"/>
              </w:rPr>
            </w:pPr>
          </w:p>
        </w:tc>
        <w:tc>
          <w:tcPr>
            <w:tcW w:w="3924" w:type="dxa"/>
            <w:tcBorders>
              <w:left w:val="single" w:color="000000" w:sz="4" w:space="0"/>
              <w:right w:val="single" w:color="000000" w:sz="4" w:space="0"/>
            </w:tcBorders>
            <w:shd w:val="clear" w:color="auto" w:fill="F8F8F8"/>
          </w:tcPr>
          <w:p>
            <w:pPr>
              <w:pStyle w:val="44"/>
              <w:rPr>
                <w:rFonts w:ascii="Times New Roman"/>
                <w:sz w:val="22"/>
              </w:rPr>
            </w:pPr>
          </w:p>
        </w:tc>
        <w:tc>
          <w:tcPr>
            <w:tcW w:w="2074"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006" w:type="dxa"/>
            <w:tcBorders>
              <w:left w:val="single" w:color="000000" w:sz="4" w:space="0"/>
              <w:right w:val="single" w:color="000000" w:sz="4" w:space="0"/>
            </w:tcBorders>
            <w:shd w:val="clear" w:color="auto" w:fill="F8F8F8"/>
          </w:tcPr>
          <w:p>
            <w:pPr>
              <w:pStyle w:val="44"/>
              <w:spacing w:before="142"/>
              <w:ind w:left="14"/>
              <w:jc w:val="center"/>
              <w:rPr>
                <w:sz w:val="24"/>
              </w:rPr>
            </w:pPr>
            <w:r>
              <w:rPr>
                <w:sz w:val="24"/>
              </w:rPr>
              <w:t>2</w:t>
            </w:r>
          </w:p>
        </w:tc>
        <w:tc>
          <w:tcPr>
            <w:tcW w:w="2658" w:type="dxa"/>
            <w:tcBorders>
              <w:left w:val="single" w:color="000000" w:sz="4" w:space="0"/>
              <w:right w:val="single" w:color="000000" w:sz="4" w:space="0"/>
            </w:tcBorders>
            <w:shd w:val="clear" w:color="auto" w:fill="F8F8F8"/>
          </w:tcPr>
          <w:p>
            <w:pPr>
              <w:pStyle w:val="44"/>
              <w:rPr>
                <w:rFonts w:ascii="Times New Roman"/>
                <w:sz w:val="22"/>
              </w:rPr>
            </w:pPr>
          </w:p>
        </w:tc>
        <w:tc>
          <w:tcPr>
            <w:tcW w:w="3924" w:type="dxa"/>
            <w:tcBorders>
              <w:left w:val="single" w:color="000000" w:sz="4" w:space="0"/>
              <w:right w:val="single" w:color="000000" w:sz="4" w:space="0"/>
            </w:tcBorders>
            <w:shd w:val="clear" w:color="auto" w:fill="F8F8F8"/>
          </w:tcPr>
          <w:p>
            <w:pPr>
              <w:pStyle w:val="44"/>
              <w:rPr>
                <w:rFonts w:ascii="Times New Roman"/>
                <w:sz w:val="22"/>
              </w:rPr>
            </w:pPr>
          </w:p>
        </w:tc>
        <w:tc>
          <w:tcPr>
            <w:tcW w:w="2074"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06" w:type="dxa"/>
            <w:tcBorders>
              <w:left w:val="single" w:color="000000" w:sz="4" w:space="0"/>
              <w:right w:val="single" w:color="000000" w:sz="4" w:space="0"/>
            </w:tcBorders>
            <w:shd w:val="clear" w:color="auto" w:fill="F8F8F8"/>
          </w:tcPr>
          <w:p>
            <w:pPr>
              <w:pStyle w:val="44"/>
              <w:spacing w:before="144"/>
              <w:ind w:left="14"/>
              <w:jc w:val="center"/>
              <w:rPr>
                <w:sz w:val="24"/>
              </w:rPr>
            </w:pPr>
            <w:r>
              <w:rPr>
                <w:sz w:val="24"/>
              </w:rPr>
              <w:t>3</w:t>
            </w:r>
          </w:p>
        </w:tc>
        <w:tc>
          <w:tcPr>
            <w:tcW w:w="2658" w:type="dxa"/>
            <w:tcBorders>
              <w:left w:val="single" w:color="000000" w:sz="4" w:space="0"/>
              <w:right w:val="single" w:color="000000" w:sz="4" w:space="0"/>
            </w:tcBorders>
            <w:shd w:val="clear" w:color="auto" w:fill="F8F8F8"/>
          </w:tcPr>
          <w:p>
            <w:pPr>
              <w:pStyle w:val="44"/>
              <w:rPr>
                <w:rFonts w:ascii="Times New Roman"/>
                <w:sz w:val="22"/>
              </w:rPr>
            </w:pPr>
          </w:p>
        </w:tc>
        <w:tc>
          <w:tcPr>
            <w:tcW w:w="3924" w:type="dxa"/>
            <w:tcBorders>
              <w:left w:val="single" w:color="000000" w:sz="4" w:space="0"/>
              <w:right w:val="single" w:color="000000" w:sz="4" w:space="0"/>
            </w:tcBorders>
            <w:shd w:val="clear" w:color="auto" w:fill="F8F8F8"/>
          </w:tcPr>
          <w:p>
            <w:pPr>
              <w:pStyle w:val="44"/>
              <w:rPr>
                <w:rFonts w:ascii="Times New Roman"/>
                <w:sz w:val="22"/>
              </w:rPr>
            </w:pPr>
          </w:p>
        </w:tc>
        <w:tc>
          <w:tcPr>
            <w:tcW w:w="2074"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006" w:type="dxa"/>
            <w:tcBorders>
              <w:left w:val="single" w:color="000000" w:sz="4" w:space="0"/>
              <w:right w:val="single" w:color="000000" w:sz="4" w:space="0"/>
            </w:tcBorders>
            <w:shd w:val="clear" w:color="auto" w:fill="F8F8F8"/>
          </w:tcPr>
          <w:p>
            <w:pPr>
              <w:pStyle w:val="44"/>
              <w:spacing w:before="142"/>
              <w:ind w:left="244" w:right="230"/>
              <w:jc w:val="center"/>
              <w:rPr>
                <w:sz w:val="24"/>
              </w:rPr>
            </w:pPr>
            <w:r>
              <w:rPr>
                <w:sz w:val="24"/>
              </w:rPr>
              <w:t>……</w:t>
            </w:r>
          </w:p>
        </w:tc>
        <w:tc>
          <w:tcPr>
            <w:tcW w:w="2658" w:type="dxa"/>
            <w:tcBorders>
              <w:left w:val="single" w:color="000000" w:sz="4" w:space="0"/>
              <w:right w:val="single" w:color="000000" w:sz="4" w:space="0"/>
            </w:tcBorders>
            <w:shd w:val="clear" w:color="auto" w:fill="F8F8F8"/>
          </w:tcPr>
          <w:p>
            <w:pPr>
              <w:pStyle w:val="44"/>
              <w:rPr>
                <w:rFonts w:ascii="Times New Roman"/>
                <w:sz w:val="22"/>
              </w:rPr>
            </w:pPr>
          </w:p>
        </w:tc>
        <w:tc>
          <w:tcPr>
            <w:tcW w:w="3924" w:type="dxa"/>
            <w:tcBorders>
              <w:left w:val="single" w:color="000000" w:sz="4" w:space="0"/>
              <w:right w:val="single" w:color="000000" w:sz="4" w:space="0"/>
            </w:tcBorders>
            <w:shd w:val="clear" w:color="auto" w:fill="F8F8F8"/>
          </w:tcPr>
          <w:p>
            <w:pPr>
              <w:pStyle w:val="44"/>
              <w:rPr>
                <w:rFonts w:ascii="Times New Roman"/>
                <w:sz w:val="22"/>
              </w:rPr>
            </w:pPr>
          </w:p>
        </w:tc>
        <w:tc>
          <w:tcPr>
            <w:tcW w:w="2074" w:type="dxa"/>
            <w:tcBorders>
              <w:left w:val="single" w:color="000000" w:sz="4" w:space="0"/>
              <w:right w:val="single" w:color="000000" w:sz="4" w:space="0"/>
            </w:tcBorders>
            <w:shd w:val="clear" w:color="auto" w:fill="F8F8F8"/>
          </w:tcPr>
          <w:p>
            <w:pPr>
              <w:pStyle w:val="44"/>
              <w:rPr>
                <w:rFonts w:ascii="Times New Roman"/>
                <w:sz w:val="22"/>
              </w:rPr>
            </w:pPr>
          </w:p>
        </w:tc>
      </w:tr>
    </w:tbl>
    <w:p>
      <w:pPr>
        <w:spacing w:before="0"/>
        <w:ind w:left="395" w:right="0" w:firstLine="0"/>
        <w:jc w:val="left"/>
        <w:rPr>
          <w:sz w:val="24"/>
        </w:rPr>
      </w:pPr>
      <w:r>
        <w:rPr>
          <w:sz w:val="24"/>
        </w:rPr>
        <w:t>注：</w:t>
      </w:r>
      <w:r>
        <w:rPr>
          <w:sz w:val="21"/>
        </w:rPr>
        <w:t>（</w:t>
      </w:r>
      <w:r>
        <w:rPr>
          <w:b/>
          <w:sz w:val="21"/>
        </w:rPr>
        <w:t>必须提供，否则作无效投标处理</w:t>
      </w:r>
      <w:r>
        <w:rPr>
          <w:sz w:val="21"/>
        </w:rPr>
        <w:t>）</w:t>
      </w:r>
    </w:p>
    <w:p>
      <w:pPr>
        <w:pStyle w:val="45"/>
        <w:numPr>
          <w:ilvl w:val="1"/>
          <w:numId w:val="8"/>
        </w:numPr>
        <w:tabs>
          <w:tab w:val="left" w:pos="1117"/>
        </w:tabs>
        <w:spacing w:before="52" w:after="0" w:line="240" w:lineRule="auto"/>
        <w:ind w:left="1117" w:right="0" w:hanging="241"/>
        <w:jc w:val="left"/>
        <w:rPr>
          <w:sz w:val="24"/>
        </w:rPr>
      </w:pPr>
      <w:r>
        <w:rPr>
          <w:sz w:val="24"/>
        </w:rPr>
        <w:t>管理关系：是指不具有出资持股关系的其他单位之间存在的管理与被管理关系，如一些上下级关系的事业单位和团体组织。</w:t>
      </w:r>
    </w:p>
    <w:p>
      <w:pPr>
        <w:pStyle w:val="45"/>
        <w:numPr>
          <w:ilvl w:val="1"/>
          <w:numId w:val="8"/>
        </w:numPr>
        <w:tabs>
          <w:tab w:val="left" w:pos="1117"/>
        </w:tabs>
        <w:spacing w:before="52" w:after="0" w:line="240" w:lineRule="auto"/>
        <w:ind w:left="1117" w:right="0" w:hanging="241"/>
        <w:jc w:val="left"/>
        <w:rPr>
          <w:sz w:val="24"/>
        </w:rPr>
      </w:pPr>
      <w:r>
        <w:rPr>
          <w:spacing w:val="-6"/>
          <w:sz w:val="24"/>
        </w:rPr>
        <w:t>本表所指的管理关系仅限于直接管理关系，不包括间接的管理关系。</w:t>
      </w:r>
    </w:p>
    <w:p>
      <w:pPr>
        <w:pStyle w:val="45"/>
        <w:numPr>
          <w:ilvl w:val="1"/>
          <w:numId w:val="8"/>
        </w:numPr>
        <w:tabs>
          <w:tab w:val="left" w:pos="1117"/>
        </w:tabs>
        <w:spacing w:before="53" w:after="0" w:line="240" w:lineRule="auto"/>
        <w:ind w:left="1117" w:right="0" w:hanging="241"/>
        <w:jc w:val="left"/>
        <w:rPr>
          <w:sz w:val="24"/>
        </w:rPr>
      </w:pPr>
      <w:r>
        <w:rPr>
          <w:sz w:val="24"/>
        </w:rPr>
        <w:t>供应商不存在直接管理关系的，则填“无”。</w:t>
      </w:r>
    </w:p>
    <w:p>
      <w:pPr>
        <w:pStyle w:val="11"/>
        <w:rPr>
          <w:sz w:val="24"/>
        </w:rPr>
      </w:pPr>
    </w:p>
    <w:p>
      <w:pPr>
        <w:pStyle w:val="11"/>
        <w:rPr>
          <w:sz w:val="24"/>
        </w:rPr>
      </w:pPr>
    </w:p>
    <w:p>
      <w:pPr>
        <w:pStyle w:val="11"/>
        <w:rPr>
          <w:sz w:val="24"/>
        </w:rPr>
      </w:pPr>
    </w:p>
    <w:p>
      <w:pPr>
        <w:pStyle w:val="11"/>
        <w:spacing w:before="12"/>
        <w:rPr>
          <w:sz w:val="18"/>
        </w:rPr>
      </w:pP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281" w:lineRule="auto"/>
        <w:ind w:right="0" w:firstLine="4080" w:firstLineChars="1700"/>
        <w:jc w:val="right"/>
        <w:textAlignment w:val="auto"/>
        <w:rPr>
          <w:spacing w:val="-9"/>
          <w:sz w:val="24"/>
        </w:rPr>
      </w:pPr>
      <w:r>
        <w:rPr>
          <w:sz w:val="24"/>
        </w:rPr>
        <w:t>投标人名称(</w:t>
      </w:r>
      <w:r>
        <w:rPr>
          <w:rFonts w:hint="eastAsia"/>
          <w:sz w:val="24"/>
          <w:lang w:eastAsia="zh-CN"/>
        </w:rPr>
        <w:t>单位公章</w:t>
      </w:r>
      <w:r>
        <w:rPr>
          <w:spacing w:val="-9"/>
          <w:sz w:val="24"/>
        </w:rPr>
        <w:t xml:space="preserve">)： </w:t>
      </w: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281" w:lineRule="auto"/>
        <w:ind w:right="0" w:firstLine="4080" w:firstLineChars="1700"/>
        <w:jc w:val="right"/>
        <w:textAlignment w:val="auto"/>
        <w:rPr>
          <w:sz w:val="24"/>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spacing w:before="0" w:line="543" w:lineRule="exact"/>
        <w:ind w:left="0" w:right="331" w:firstLine="0"/>
        <w:jc w:val="both"/>
        <w:rPr>
          <w:rFonts w:hint="eastAsia" w:ascii="微软雅黑" w:eastAsia="微软雅黑"/>
          <w:b/>
          <w:sz w:val="32"/>
          <w:lang w:val="en-US" w:eastAsia="zh-CN"/>
        </w:rPr>
      </w:pPr>
      <w:r>
        <w:rPr>
          <w:rFonts w:hint="eastAsia" w:ascii="微软雅黑" w:eastAsia="微软雅黑"/>
          <w:b/>
          <w:sz w:val="32"/>
          <w:lang w:val="en-US" w:eastAsia="zh-CN"/>
        </w:rPr>
        <w:t>7、信用查询</w:t>
      </w:r>
    </w:p>
    <w:p>
      <w:pPr>
        <w:pStyle w:val="12"/>
        <w:numPr>
          <w:ilvl w:val="0"/>
          <w:numId w:val="0"/>
        </w:numPr>
        <w:ind w:firstLine="562" w:firstLineChars="200"/>
        <w:rPr>
          <w:rFonts w:hint="eastAsia" w:ascii="宋体" w:hAnsi="宋体" w:eastAsia="宋体" w:cs="宋体"/>
          <w:b/>
          <w:bCs/>
          <w:sz w:val="28"/>
          <w:szCs w:val="28"/>
          <w:lang w:val="en-US"/>
        </w:rPr>
      </w:pPr>
      <w:r>
        <w:rPr>
          <w:rFonts w:hint="eastAsia" w:ascii="宋体" w:hAnsi="宋体" w:eastAsia="宋体" w:cs="宋体"/>
          <w:b/>
          <w:bCs/>
          <w:sz w:val="28"/>
          <w:szCs w:val="28"/>
          <w:lang w:val="en-US"/>
        </w:rPr>
        <w:t>投标人未被信用中国网</w:t>
      </w:r>
      <w:r>
        <w:rPr>
          <w:rFonts w:hint="eastAsia" w:ascii="宋体" w:hAnsi="宋体" w:eastAsia="宋体" w:cs="宋体"/>
          <w:b/>
          <w:bCs/>
          <w:sz w:val="28"/>
          <w:szCs w:val="28"/>
          <w:lang w:val="en-US"/>
        </w:rPr>
        <w:fldChar w:fldCharType="begin"/>
      </w:r>
      <w:r>
        <w:rPr>
          <w:rFonts w:hint="eastAsia" w:ascii="宋体" w:hAnsi="宋体" w:eastAsia="宋体" w:cs="宋体"/>
          <w:b/>
          <w:bCs/>
          <w:sz w:val="28"/>
          <w:szCs w:val="28"/>
          <w:lang w:val="en-US"/>
        </w:rPr>
        <w:instrText xml:space="preserve"> HYPERLINK "http://www.creditchina.gov.cn）列入失信被执行人、重大税收违法案件当事人名单截图加盖公章；未被中国政府采购网（www.ccgp.gov.cn）列入政府采购严重违法失信行为记录名单截图加盖公章、未被中国执行信息公开网（http:/zxgk.court.gov.cn/shixin/）列入失信被执行人名单截图加盖公章" </w:instrText>
      </w:r>
      <w:r>
        <w:rPr>
          <w:rFonts w:hint="eastAsia" w:ascii="宋体" w:hAnsi="宋体" w:eastAsia="宋体" w:cs="宋体"/>
          <w:b/>
          <w:bCs/>
          <w:sz w:val="28"/>
          <w:szCs w:val="28"/>
          <w:lang w:val="en-US"/>
        </w:rPr>
        <w:fldChar w:fldCharType="separate"/>
      </w:r>
      <w:r>
        <w:rPr>
          <w:rFonts w:hint="eastAsia" w:ascii="宋体" w:hAnsi="宋体" w:eastAsia="宋体" w:cs="宋体"/>
          <w:b/>
          <w:bCs/>
          <w:sz w:val="28"/>
          <w:szCs w:val="28"/>
          <w:lang w:val="en-US"/>
        </w:rPr>
        <w:t>列入“</w:t>
      </w:r>
      <w:r>
        <w:rPr>
          <w:rFonts w:hint="eastAsia" w:ascii="宋体" w:hAnsi="宋体" w:eastAsia="宋体" w:cs="宋体"/>
          <w:b/>
          <w:bCs/>
          <w:sz w:val="28"/>
          <w:szCs w:val="28"/>
          <w:lang w:val="en-US" w:eastAsia="zh-CN"/>
        </w:rPr>
        <w:t>税收违法黑名单</w:t>
      </w:r>
      <w:r>
        <w:rPr>
          <w:rFonts w:hint="eastAsia" w:ascii="宋体" w:hAnsi="宋体" w:eastAsia="宋体" w:cs="宋体"/>
          <w:b/>
          <w:bCs/>
          <w:sz w:val="28"/>
          <w:szCs w:val="28"/>
          <w:lang w:val="en-US"/>
        </w:rPr>
        <w:t>”</w:t>
      </w:r>
      <w:r>
        <w:rPr>
          <w:rFonts w:hint="eastAsia" w:ascii="宋体" w:hAnsi="宋体" w:eastAsia="宋体" w:cs="宋体"/>
          <w:b/>
          <w:bCs/>
          <w:sz w:val="28"/>
          <w:szCs w:val="28"/>
          <w:lang w:val="en-US" w:eastAsia="zh-CN"/>
        </w:rPr>
        <w:t>查询</w:t>
      </w:r>
      <w:r>
        <w:rPr>
          <w:rFonts w:hint="eastAsia" w:ascii="宋体" w:hAnsi="宋体" w:eastAsia="宋体" w:cs="宋体"/>
          <w:b/>
          <w:bCs/>
          <w:sz w:val="28"/>
          <w:szCs w:val="28"/>
          <w:lang w:val="en-US"/>
        </w:rPr>
        <w:t>截图</w:t>
      </w:r>
      <w:r>
        <w:rPr>
          <w:rFonts w:hint="eastAsia" w:ascii="宋体" w:hAnsi="宋体" w:cs="宋体"/>
          <w:b/>
          <w:bCs/>
          <w:sz w:val="28"/>
          <w:szCs w:val="28"/>
          <w:lang w:val="en-US" w:eastAsia="zh-CN"/>
        </w:rPr>
        <w:t>并加盖投标人公章、</w:t>
      </w:r>
      <w:r>
        <w:rPr>
          <w:rFonts w:hint="eastAsia" w:ascii="宋体" w:hAnsi="宋体" w:eastAsia="宋体" w:cs="宋体"/>
          <w:b/>
          <w:bCs/>
          <w:sz w:val="28"/>
          <w:szCs w:val="28"/>
          <w:lang w:val="en-US"/>
        </w:rPr>
        <w:t>②未被中国政府采购网列入</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rPr>
        <w:t>政府采购严重违法失信行为记录名单</w:t>
      </w:r>
      <w:r>
        <w:rPr>
          <w:rFonts w:hint="eastAsia" w:ascii="宋体" w:hAnsi="宋体" w:eastAsia="宋体" w:cs="宋体"/>
          <w:b/>
          <w:bCs/>
          <w:sz w:val="28"/>
          <w:szCs w:val="28"/>
          <w:lang w:val="en-US" w:eastAsia="zh-CN"/>
        </w:rPr>
        <w:t>”查询</w:t>
      </w:r>
      <w:r>
        <w:rPr>
          <w:rFonts w:hint="eastAsia" w:ascii="宋体" w:hAnsi="宋体" w:eastAsia="宋体" w:cs="宋体"/>
          <w:b/>
          <w:bCs/>
          <w:sz w:val="28"/>
          <w:szCs w:val="28"/>
          <w:lang w:val="en-US"/>
        </w:rPr>
        <w:t>截图</w:t>
      </w:r>
      <w:r>
        <w:rPr>
          <w:rFonts w:hint="eastAsia" w:ascii="宋体" w:hAnsi="宋体" w:cs="宋体"/>
          <w:b/>
          <w:bCs/>
          <w:sz w:val="28"/>
          <w:szCs w:val="28"/>
          <w:lang w:val="en-US" w:eastAsia="zh-CN"/>
        </w:rPr>
        <w:t>并加盖投标人公章</w:t>
      </w:r>
      <w:r>
        <w:rPr>
          <w:rFonts w:hint="eastAsia" w:ascii="宋体" w:hAnsi="宋体" w:eastAsia="宋体" w:cs="宋体"/>
          <w:b/>
          <w:bCs/>
          <w:sz w:val="28"/>
          <w:szCs w:val="28"/>
          <w:lang w:val="en-US"/>
        </w:rPr>
        <w:t>、③未被中国执行信息公开网列入</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rPr>
        <w:t>失信被执行人名单</w:t>
      </w:r>
      <w:r>
        <w:rPr>
          <w:rFonts w:hint="eastAsia" w:ascii="宋体" w:hAnsi="宋体" w:eastAsia="宋体" w:cs="宋体"/>
          <w:b/>
          <w:bCs/>
          <w:sz w:val="28"/>
          <w:szCs w:val="28"/>
          <w:lang w:val="en-US" w:eastAsia="zh-CN"/>
        </w:rPr>
        <w:t>”查询</w:t>
      </w:r>
      <w:r>
        <w:rPr>
          <w:rFonts w:hint="eastAsia" w:ascii="宋体" w:hAnsi="宋体" w:eastAsia="宋体" w:cs="宋体"/>
          <w:b/>
          <w:bCs/>
          <w:sz w:val="28"/>
          <w:szCs w:val="28"/>
          <w:lang w:val="en-US"/>
        </w:rPr>
        <w:t>截图</w:t>
      </w:r>
      <w:r>
        <w:rPr>
          <w:rFonts w:hint="eastAsia" w:ascii="宋体" w:hAnsi="宋体" w:cs="宋体"/>
          <w:b/>
          <w:bCs/>
          <w:sz w:val="28"/>
          <w:szCs w:val="28"/>
          <w:lang w:val="en-US" w:eastAsia="zh-CN"/>
        </w:rPr>
        <w:t>并加盖投标人公章</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rPr>
        <w:fldChar w:fldCharType="end"/>
      </w: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ind w:firstLine="442" w:firstLineChars="200"/>
        <w:rPr>
          <w:rFonts w:hint="eastAsia"/>
          <w:b/>
          <w:bCs/>
          <w:sz w:val="22"/>
          <w:szCs w:val="22"/>
          <w:lang w:val="en-US"/>
        </w:rPr>
      </w:pPr>
    </w:p>
    <w:p>
      <w:pPr>
        <w:pStyle w:val="12"/>
        <w:numPr>
          <w:ilvl w:val="0"/>
          <w:numId w:val="0"/>
        </w:numPr>
        <w:rPr>
          <w:rFonts w:hint="eastAsia"/>
          <w:b/>
          <w:bCs/>
          <w:sz w:val="22"/>
          <w:szCs w:val="22"/>
          <w:lang w:val="en-US"/>
        </w:rPr>
      </w:pPr>
    </w:p>
    <w:p>
      <w:pPr>
        <w:numPr>
          <w:ilvl w:val="0"/>
          <w:numId w:val="9"/>
        </w:numPr>
        <w:spacing w:before="0" w:line="543" w:lineRule="exact"/>
        <w:ind w:left="0" w:right="331" w:firstLine="0"/>
        <w:jc w:val="both"/>
        <w:rPr>
          <w:rFonts w:hint="eastAsia" w:ascii="微软雅黑" w:eastAsia="微软雅黑"/>
          <w:b/>
          <w:sz w:val="32"/>
          <w:lang w:val="en-US" w:eastAsia="zh-CN"/>
        </w:rPr>
      </w:pPr>
      <w:r>
        <w:rPr>
          <w:rFonts w:hint="eastAsia" w:ascii="微软雅黑" w:eastAsia="微软雅黑"/>
          <w:b/>
          <w:sz w:val="32"/>
          <w:lang w:val="en-US" w:eastAsia="zh-CN"/>
        </w:rPr>
        <w:t>声明</w:t>
      </w:r>
    </w:p>
    <w:p>
      <w:pPr>
        <w:pStyle w:val="2"/>
        <w:numPr>
          <w:ilvl w:val="0"/>
          <w:numId w:val="0"/>
        </w:numPr>
        <w:rPr>
          <w:rFonts w:hint="eastAsia"/>
          <w:lang w:val="en-US" w:eastAsia="zh-CN"/>
        </w:rPr>
      </w:pPr>
    </w:p>
    <w:p>
      <w:pPr>
        <w:spacing w:before="47" w:line="302" w:lineRule="auto"/>
        <w:ind w:left="4608" w:right="266" w:hanging="4385"/>
        <w:jc w:val="center"/>
        <w:outlineLvl w:val="0"/>
        <w:rPr>
          <w:b/>
          <w:sz w:val="32"/>
        </w:rPr>
      </w:pPr>
      <w:r>
        <w:rPr>
          <w:b/>
          <w:sz w:val="32"/>
        </w:rPr>
        <w:t>政府采购活动</w:t>
      </w:r>
      <w:r>
        <w:rPr>
          <w:rFonts w:hint="eastAsia"/>
          <w:b/>
          <w:sz w:val="32"/>
        </w:rPr>
        <w:t>无</w:t>
      </w:r>
      <w:r>
        <w:rPr>
          <w:b/>
          <w:sz w:val="32"/>
        </w:rPr>
        <w:t>重大违法记录的书面声明</w:t>
      </w:r>
    </w:p>
    <w:p>
      <w:pPr>
        <w:pStyle w:val="11"/>
        <w:rPr>
          <w:b/>
          <w:sz w:val="32"/>
        </w:rPr>
      </w:pPr>
    </w:p>
    <w:p>
      <w:pPr>
        <w:pStyle w:val="11"/>
        <w:spacing w:before="9"/>
        <w:rPr>
          <w:b/>
          <w:sz w:val="42"/>
        </w:rPr>
      </w:pPr>
    </w:p>
    <w:p>
      <w:pPr>
        <w:pStyle w:val="11"/>
        <w:spacing w:line="484" w:lineRule="auto"/>
        <w:ind w:right="337"/>
      </w:pPr>
      <w:r>
        <w:rPr>
          <w:rFonts w:hint="eastAsia"/>
        </w:rPr>
        <w:t>（</w:t>
      </w:r>
      <w:r>
        <w:rPr>
          <w:rFonts w:hint="eastAsia"/>
          <w:lang w:eastAsia="zh-CN"/>
        </w:rPr>
        <w:t>采购</w:t>
      </w:r>
      <w:r>
        <w:rPr>
          <w:rFonts w:hint="eastAsia"/>
        </w:rPr>
        <w:t>人）</w:t>
      </w:r>
      <w:r>
        <w:t>：</w:t>
      </w:r>
    </w:p>
    <w:p>
      <w:pPr>
        <w:pStyle w:val="11"/>
        <w:spacing w:line="484" w:lineRule="auto"/>
        <w:ind w:right="337" w:firstLine="480" w:firstLineChars="200"/>
      </w:pPr>
      <w:r>
        <w:t>在参加政府采购活动</w:t>
      </w:r>
      <w:r>
        <w:rPr>
          <w:rFonts w:hint="eastAsia"/>
          <w:lang w:eastAsia="zh-CN"/>
        </w:rPr>
        <w:t>前</w:t>
      </w:r>
      <w:r>
        <w:rPr>
          <w:rFonts w:hint="eastAsia"/>
          <w:lang w:val="en-US" w:eastAsia="zh-CN"/>
        </w:rPr>
        <w:t>3年内，</w:t>
      </w:r>
      <w:r>
        <w:rPr>
          <w:rFonts w:hint="eastAsia"/>
          <w:lang w:eastAsia="zh-CN"/>
        </w:rPr>
        <w:t>我</w:t>
      </w:r>
      <w:r>
        <w:rPr>
          <w:rFonts w:hint="eastAsia"/>
        </w:rPr>
        <w:t>单位</w:t>
      </w:r>
      <w:r>
        <w:rPr>
          <w:rFonts w:hint="eastAsia"/>
          <w:lang w:val="en-US" w:eastAsia="zh-CN"/>
        </w:rPr>
        <w:t>在经营活动</w:t>
      </w:r>
      <w:r>
        <w:t>中</w:t>
      </w:r>
      <w:r>
        <w:rPr>
          <w:rFonts w:hint="eastAsia"/>
          <w:lang w:eastAsia="zh-CN"/>
        </w:rPr>
        <w:t>没有</w:t>
      </w:r>
      <w:r>
        <w:rPr>
          <w:rFonts w:hint="eastAsia"/>
        </w:rPr>
        <w:t>重大违法</w:t>
      </w:r>
      <w:r>
        <w:rPr>
          <w:rFonts w:hint="eastAsia"/>
          <w:lang w:eastAsia="zh-CN"/>
        </w:rPr>
        <w:t>记录</w:t>
      </w:r>
      <w:r>
        <w:rPr>
          <w:rFonts w:hint="eastAsia"/>
        </w:rPr>
        <w:t>，单位正常</w:t>
      </w:r>
      <w:r>
        <w:t>经营</w:t>
      </w:r>
      <w:r>
        <w:rPr>
          <w:rFonts w:hint="eastAsia"/>
        </w:rPr>
        <w:t>未</w:t>
      </w:r>
      <w:r>
        <w:t>受到刑事处罚或者责令停产停业、吊销许可证或者执照、较大数额罚款等行政处罚。</w:t>
      </w:r>
    </w:p>
    <w:p>
      <w:pPr>
        <w:pStyle w:val="11"/>
        <w:spacing w:line="484" w:lineRule="auto"/>
        <w:ind w:left="219" w:right="337" w:firstLine="1005" w:firstLineChars="419"/>
        <w:rPr>
          <w:rFonts w:hint="eastAsia"/>
          <w:lang w:eastAsia="zh-CN"/>
        </w:rPr>
      </w:pPr>
      <w:r>
        <w:rPr>
          <w:rFonts w:hint="eastAsia"/>
        </w:rPr>
        <w:t>特此声明</w:t>
      </w:r>
      <w:r>
        <w:rPr>
          <w:rFonts w:hint="eastAsia"/>
          <w:lang w:eastAsia="zh-CN"/>
        </w:rPr>
        <w:t>。</w:t>
      </w:r>
    </w:p>
    <w:p>
      <w:pPr>
        <w:pStyle w:val="12"/>
        <w:rPr>
          <w:rFonts w:hint="eastAsia"/>
          <w:lang w:eastAsia="zh-CN"/>
        </w:rPr>
      </w:pPr>
    </w:p>
    <w:p>
      <w:pPr>
        <w:pStyle w:val="11"/>
      </w:pPr>
    </w:p>
    <w:p>
      <w:pPr>
        <w:pStyle w:val="11"/>
        <w:spacing w:before="4"/>
        <w:rPr>
          <w:sz w:val="25"/>
        </w:rPr>
      </w:pPr>
    </w:p>
    <w:p>
      <w:pPr>
        <w:pStyle w:val="11"/>
        <w:ind w:left="4952"/>
      </w:pPr>
      <w:r>
        <w:rPr>
          <w:rFonts w:hint="eastAsia"/>
          <w:lang w:eastAsia="zh-CN"/>
        </w:rPr>
        <w:t>投标人</w:t>
      </w:r>
      <w:r>
        <w:t>（盖章</w:t>
      </w:r>
      <w:r>
        <w:rPr>
          <w:spacing w:val="-120"/>
        </w:rPr>
        <w:t>）</w:t>
      </w:r>
      <w:r>
        <w:t>：</w:t>
      </w:r>
    </w:p>
    <w:p>
      <w:pPr>
        <w:pStyle w:val="11"/>
      </w:pPr>
    </w:p>
    <w:p>
      <w:pPr>
        <w:pStyle w:val="11"/>
        <w:tabs>
          <w:tab w:val="left" w:pos="5899"/>
          <w:tab w:val="left" w:pos="6859"/>
        </w:tabs>
        <w:spacing w:before="163" w:line="608" w:lineRule="auto"/>
        <w:ind w:firstLine="5040" w:firstLineChars="2100"/>
        <w:rPr>
          <w:spacing w:val="-10"/>
        </w:rPr>
      </w:pPr>
      <w:r>
        <w:t>法定代表人（签字或盖章</w:t>
      </w:r>
      <w:r>
        <w:rPr>
          <w:spacing w:val="-130"/>
        </w:rPr>
        <w:t>）</w:t>
      </w:r>
      <w:r>
        <w:rPr>
          <w:spacing w:val="-10"/>
        </w:rPr>
        <w:t>：</w:t>
      </w:r>
    </w:p>
    <w:p>
      <w:pPr>
        <w:pStyle w:val="11"/>
        <w:tabs>
          <w:tab w:val="left" w:pos="5899"/>
          <w:tab w:val="left" w:pos="6859"/>
        </w:tabs>
        <w:spacing w:before="163" w:line="607" w:lineRule="auto"/>
        <w:ind w:left="4940" w:right="2299" w:firstLine="60"/>
      </w:pPr>
      <w:r>
        <w:t>年</w:t>
      </w:r>
      <w:r>
        <w:tab/>
      </w:r>
      <w:r>
        <w:t>月</w:t>
      </w:r>
      <w:r>
        <w:tab/>
      </w:r>
      <w:r>
        <w:t>日</w:t>
      </w: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spacing w:before="50"/>
        <w:ind w:left="179" w:right="115"/>
        <w:jc w:val="center"/>
        <w:outlineLvl w:val="0"/>
        <w:rPr>
          <w:rFonts w:hint="eastAsia"/>
          <w:b/>
          <w:sz w:val="44"/>
          <w:szCs w:val="32"/>
          <w:lang w:val="en-US" w:eastAsia="zh-CN"/>
        </w:rPr>
      </w:pPr>
      <w:bookmarkStart w:id="143" w:name="_Toc7679"/>
      <w:r>
        <w:rPr>
          <w:rFonts w:hint="eastAsia"/>
          <w:b/>
          <w:sz w:val="44"/>
          <w:szCs w:val="32"/>
          <w:lang w:val="en-US" w:eastAsia="zh-CN"/>
        </w:rPr>
        <w:t>六、项目专职人员配备情况一览表</w:t>
      </w:r>
      <w:bookmarkEnd w:id="143"/>
    </w:p>
    <w:p>
      <w:pPr>
        <w:spacing w:line="400" w:lineRule="exact"/>
        <w:rPr>
          <w:sz w:val="24"/>
        </w:rPr>
      </w:pPr>
      <w:r>
        <w:rPr>
          <w:rFonts w:hint="eastAsia"/>
          <w:sz w:val="24"/>
        </w:rPr>
        <w:t>项目名称：</w:t>
      </w:r>
    </w:p>
    <w:p>
      <w:pPr>
        <w:spacing w:line="400" w:lineRule="exact"/>
        <w:rPr>
          <w:sz w:val="24"/>
        </w:rPr>
      </w:pPr>
      <w:r>
        <w:rPr>
          <w:rFonts w:hint="eastAsia"/>
          <w:sz w:val="24"/>
        </w:rPr>
        <w:t xml:space="preserve">项目编号：                                                    </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816"/>
        <w:gridCol w:w="1639"/>
        <w:gridCol w:w="3378"/>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序号</w:t>
            </w: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姓名</w:t>
            </w: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联系电话</w:t>
            </w: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在本项目中承担的工作</w:t>
            </w: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bl>
    <w:p>
      <w:pPr>
        <w:spacing w:line="360" w:lineRule="exact"/>
        <w:ind w:left="602" w:hanging="602" w:hangingChars="250"/>
        <w:rPr>
          <w:b/>
          <w:bCs/>
          <w:color w:val="000000"/>
          <w:sz w:val="24"/>
        </w:rPr>
      </w:pPr>
    </w:p>
    <w:p>
      <w:pPr>
        <w:spacing w:line="360" w:lineRule="exact"/>
        <w:ind w:left="602" w:hanging="602" w:hangingChars="250"/>
        <w:rPr>
          <w:b/>
          <w:bCs/>
          <w:color w:val="000000"/>
          <w:sz w:val="24"/>
        </w:rPr>
      </w:pPr>
    </w:p>
    <w:p>
      <w:pPr>
        <w:spacing w:line="480" w:lineRule="auto"/>
        <w:ind w:left="602" w:hanging="703" w:hangingChars="250"/>
        <w:rPr>
          <w:rFonts w:hint="eastAsia"/>
          <w:b/>
          <w:bCs/>
          <w:color w:val="000000"/>
          <w:sz w:val="28"/>
          <w:szCs w:val="24"/>
          <w:lang w:eastAsia="zh-CN"/>
        </w:rPr>
      </w:pPr>
      <w:r>
        <w:rPr>
          <w:rFonts w:hint="eastAsia"/>
          <w:b/>
          <w:bCs/>
          <w:color w:val="000000"/>
          <w:sz w:val="28"/>
          <w:szCs w:val="24"/>
        </w:rPr>
        <w:t>注：后附身份证</w:t>
      </w:r>
      <w:r>
        <w:rPr>
          <w:rFonts w:hint="eastAsia"/>
          <w:b/>
          <w:bCs/>
          <w:color w:val="000000"/>
          <w:sz w:val="28"/>
          <w:szCs w:val="24"/>
          <w:lang w:eastAsia="zh-CN"/>
        </w:rPr>
        <w:t>复印件及投标单位给本项目配备的专职人员</w:t>
      </w:r>
      <w:r>
        <w:rPr>
          <w:rFonts w:hint="eastAsia"/>
          <w:b/>
          <w:bCs/>
          <w:color w:val="000000"/>
          <w:sz w:val="28"/>
          <w:szCs w:val="24"/>
          <w:lang w:val="en-US" w:eastAsia="zh-CN"/>
        </w:rPr>
        <w:t>2022年4月至2022年6月</w:t>
      </w:r>
      <w:r>
        <w:rPr>
          <w:rFonts w:hint="eastAsia"/>
          <w:b/>
          <w:bCs/>
          <w:color w:val="000000"/>
          <w:sz w:val="28"/>
          <w:szCs w:val="24"/>
          <w:lang w:eastAsia="zh-CN"/>
        </w:rPr>
        <w:t>缴纳社保证明材料，不提供视为不是专职人员。</w:t>
      </w:r>
    </w:p>
    <w:p>
      <w:pPr>
        <w:pStyle w:val="2"/>
        <w:ind w:left="0" w:leftChars="0" w:firstLine="0" w:firstLineChars="0"/>
        <w:rPr>
          <w:rFonts w:hint="eastAsia"/>
          <w:lang w:eastAsia="zh-CN"/>
        </w:rPr>
      </w:pPr>
      <w:r>
        <w:rPr>
          <w:rFonts w:hint="eastAsia" w:ascii="宋体" w:hAnsi="宋体" w:eastAsia="宋体" w:cs="宋体"/>
          <w:sz w:val="24"/>
          <w:lang w:val="en-US" w:eastAsia="zh-CN"/>
        </w:rPr>
        <w:t>其他情况：①依法不需要缴纳社会保障资金的供应商，提供</w:t>
      </w:r>
      <w:r>
        <w:rPr>
          <w:rFonts w:hint="eastAsia" w:cs="宋体"/>
          <w:sz w:val="24"/>
          <w:lang w:val="en-US" w:eastAsia="zh-CN"/>
        </w:rPr>
        <w:t>供应商依法不需要缴纳社保的证明材料及</w:t>
      </w:r>
      <w:r>
        <w:rPr>
          <w:rFonts w:hint="eastAsia" w:ascii="宋体" w:hAnsi="宋体" w:eastAsia="宋体" w:cs="宋体"/>
          <w:sz w:val="24"/>
          <w:lang w:val="en-US" w:eastAsia="zh-CN"/>
        </w:rPr>
        <w:t>供应商与专职人员的劳动合同。</w:t>
      </w:r>
      <w:r>
        <w:rPr>
          <w:rFonts w:hint="eastAsia" w:ascii="宋体" w:hAnsi="宋体" w:eastAsia="宋体" w:cs="宋体"/>
          <w:kern w:val="2"/>
          <w:sz w:val="24"/>
          <w:szCs w:val="22"/>
          <w:lang w:val="en-US" w:eastAsia="zh-CN" w:bidi="ar-SA"/>
        </w:rPr>
        <w:t xml:space="preserve">② </w:t>
      </w:r>
      <w:r>
        <w:rPr>
          <w:rFonts w:hint="eastAsia" w:ascii="宋体" w:hAnsi="宋体" w:eastAsia="宋体" w:cs="宋体"/>
          <w:sz w:val="24"/>
          <w:lang w:val="en-US" w:eastAsia="zh-CN"/>
        </w:rPr>
        <w:t>从取得营业执照时间起到投标截止时间为止不足要求月数的只需提供从取得营业执照起的给本项目配备的专职人员依法缴纳社会保障资金的相应证明材料加盖公章。③依法不需要缴纳社保的专职人员（例如退休人员），应提供依法不需要缴纳社保的证明材料（例如退休证）及供应商与专职人员的劳动合同。</w:t>
      </w:r>
    </w:p>
    <w:p>
      <w:pPr>
        <w:ind w:firstLine="3765" w:firstLineChars="1250"/>
        <w:rPr>
          <w:b/>
          <w:color w:val="000000"/>
          <w:sz w:val="30"/>
          <w:szCs w:val="30"/>
        </w:rPr>
      </w:pPr>
    </w:p>
    <w:p>
      <w:pPr>
        <w:pStyle w:val="2"/>
      </w:pPr>
    </w:p>
    <w:p>
      <w:pPr>
        <w:ind w:firstLine="3765" w:firstLineChars="1250"/>
        <w:rPr>
          <w:b/>
          <w:color w:val="000000"/>
          <w:sz w:val="30"/>
          <w:szCs w:val="30"/>
        </w:rPr>
      </w:pPr>
    </w:p>
    <w:p>
      <w:pPr>
        <w:ind w:firstLine="3765" w:firstLineChars="1250"/>
        <w:rPr>
          <w:b/>
          <w:color w:val="000000"/>
          <w:sz w:val="30"/>
          <w:szCs w:val="30"/>
        </w:rPr>
      </w:pPr>
    </w:p>
    <w:p>
      <w:pPr>
        <w:adjustRightInd w:val="0"/>
        <w:spacing w:line="360" w:lineRule="auto"/>
        <w:jc w:val="right"/>
        <w:rPr>
          <w:color w:val="000000"/>
          <w:szCs w:val="21"/>
        </w:rPr>
      </w:pPr>
      <w:r>
        <w:rPr>
          <w:rFonts w:hint="eastAsia"/>
          <w:color w:val="000000"/>
          <w:szCs w:val="21"/>
        </w:rPr>
        <w:t>投标人名称：</w:t>
      </w:r>
      <w:r>
        <w:rPr>
          <w:rFonts w:hint="eastAsia"/>
          <w:color w:val="000000"/>
          <w:szCs w:val="21"/>
          <w:u w:val="single"/>
        </w:rPr>
        <w:t xml:space="preserve">            （</w:t>
      </w:r>
      <w:r>
        <w:rPr>
          <w:rFonts w:hint="eastAsia"/>
          <w:color w:val="000000"/>
          <w:szCs w:val="21"/>
          <w:u w:val="single"/>
          <w:lang w:eastAsia="zh-CN"/>
        </w:rPr>
        <w:t>单位公章</w:t>
      </w:r>
      <w:r>
        <w:rPr>
          <w:rFonts w:hint="eastAsia"/>
          <w:color w:val="000000"/>
          <w:szCs w:val="21"/>
          <w:u w:val="single"/>
        </w:rPr>
        <w:t>）</w:t>
      </w:r>
    </w:p>
    <w:p>
      <w:pPr>
        <w:adjustRightInd w:val="0"/>
        <w:spacing w:line="360" w:lineRule="auto"/>
        <w:rPr>
          <w:color w:val="000000"/>
          <w:szCs w:val="21"/>
        </w:rPr>
      </w:pPr>
    </w:p>
    <w:p>
      <w:pPr>
        <w:adjustRightInd w:val="0"/>
        <w:spacing w:line="360" w:lineRule="auto"/>
        <w:jc w:val="right"/>
        <w:rPr>
          <w:bCs/>
          <w:color w:val="000000"/>
          <w:szCs w:val="21"/>
        </w:rPr>
      </w:pPr>
      <w:r>
        <w:rPr>
          <w:rFonts w:hint="eastAsia"/>
          <w:color w:val="000000"/>
          <w:szCs w:val="21"/>
        </w:rPr>
        <w:t>法定代表人或授权代表：</w:t>
      </w:r>
      <w:r>
        <w:rPr>
          <w:rFonts w:hint="eastAsia"/>
          <w:color w:val="000000"/>
          <w:szCs w:val="21"/>
          <w:u w:val="single"/>
        </w:rPr>
        <w:t xml:space="preserve">   （签字或</w:t>
      </w:r>
      <w:r>
        <w:rPr>
          <w:rFonts w:hint="eastAsia"/>
          <w:color w:val="000000"/>
          <w:szCs w:val="21"/>
          <w:u w:val="single"/>
          <w:lang w:val="en-US"/>
        </w:rPr>
        <w:t>盖章</w:t>
      </w:r>
      <w:r>
        <w:rPr>
          <w:rFonts w:hint="eastAsia"/>
          <w:color w:val="000000"/>
          <w:szCs w:val="21"/>
          <w:u w:val="single"/>
        </w:rPr>
        <w:t>）</w:t>
      </w:r>
    </w:p>
    <w:p>
      <w:pPr>
        <w:adjustRightInd w:val="0"/>
        <w:spacing w:line="360" w:lineRule="auto"/>
        <w:rPr>
          <w:bCs/>
          <w:color w:val="000000"/>
          <w:szCs w:val="21"/>
        </w:rPr>
      </w:pPr>
    </w:p>
    <w:p>
      <w:pPr>
        <w:pStyle w:val="41"/>
        <w:jc w:val="center"/>
        <w:rPr>
          <w:b/>
          <w:bCs/>
          <w:sz w:val="32"/>
          <w:szCs w:val="32"/>
        </w:rPr>
      </w:pPr>
      <w:r>
        <w:rPr>
          <w:rFonts w:hint="eastAsia"/>
          <w:bCs/>
          <w:color w:val="000000"/>
          <w:szCs w:val="21"/>
          <w:lang w:val="en-US" w:eastAsia="zh-CN"/>
        </w:rPr>
        <w:t xml:space="preserve">                         </w:t>
      </w:r>
      <w:r>
        <w:rPr>
          <w:rFonts w:hint="eastAsia"/>
          <w:bCs/>
          <w:color w:val="000000"/>
          <w:szCs w:val="21"/>
        </w:rPr>
        <w:t>日     期:</w:t>
      </w:r>
    </w:p>
    <w:p>
      <w:pPr>
        <w:spacing w:before="50"/>
        <w:ind w:left="179" w:right="115"/>
        <w:jc w:val="center"/>
        <w:outlineLvl w:val="0"/>
        <w:rPr>
          <w:rFonts w:hint="eastAsia"/>
          <w:b/>
          <w:sz w:val="44"/>
          <w:szCs w:val="32"/>
          <w:lang w:val="en-US" w:eastAsia="zh-CN"/>
        </w:rPr>
      </w:pPr>
      <w:bookmarkStart w:id="144" w:name="_Toc16547"/>
    </w:p>
    <w:p>
      <w:pPr>
        <w:spacing w:before="50"/>
        <w:ind w:left="179" w:right="115"/>
        <w:jc w:val="center"/>
        <w:outlineLvl w:val="0"/>
        <w:rPr>
          <w:rFonts w:hint="eastAsia"/>
          <w:b/>
          <w:sz w:val="40"/>
          <w:szCs w:val="28"/>
          <w:lang w:val="en-US" w:eastAsia="zh-CN"/>
        </w:rPr>
      </w:pPr>
      <w:r>
        <w:rPr>
          <w:rFonts w:hint="eastAsia"/>
          <w:b/>
          <w:sz w:val="40"/>
          <w:szCs w:val="28"/>
          <w:lang w:val="en-US" w:eastAsia="zh-CN"/>
        </w:rPr>
        <w:t>七、拟投入本项目使用车辆配备情况一览表</w:t>
      </w:r>
      <w:bookmarkEnd w:id="144"/>
    </w:p>
    <w:p>
      <w:pPr>
        <w:spacing w:line="400" w:lineRule="exact"/>
        <w:rPr>
          <w:sz w:val="24"/>
        </w:rPr>
      </w:pPr>
      <w:r>
        <w:rPr>
          <w:rFonts w:hint="eastAsia"/>
          <w:sz w:val="24"/>
        </w:rPr>
        <w:t>项目名称：</w:t>
      </w:r>
    </w:p>
    <w:p>
      <w:pPr>
        <w:spacing w:line="400" w:lineRule="exact"/>
        <w:rPr>
          <w:sz w:val="24"/>
        </w:rPr>
      </w:pPr>
      <w:r>
        <w:rPr>
          <w:rFonts w:hint="eastAsia"/>
          <w:sz w:val="24"/>
        </w:rPr>
        <w:t xml:space="preserve">项目编号：                                                     </w:t>
      </w:r>
    </w:p>
    <w:tbl>
      <w:tblPr>
        <w:tblStyle w:val="23"/>
        <w:tblW w:w="99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CCE8CF" w:themeFill="background1"/>
        <w:tblLayout w:type="fixed"/>
        <w:tblCellMar>
          <w:top w:w="0" w:type="dxa"/>
          <w:left w:w="108" w:type="dxa"/>
          <w:bottom w:w="0" w:type="dxa"/>
          <w:right w:w="108" w:type="dxa"/>
        </w:tblCellMar>
      </w:tblPr>
      <w:tblGrid>
        <w:gridCol w:w="790"/>
        <w:gridCol w:w="2190"/>
        <w:gridCol w:w="755"/>
        <w:gridCol w:w="1139"/>
        <w:gridCol w:w="1230"/>
        <w:gridCol w:w="1099"/>
        <w:gridCol w:w="1869"/>
        <w:gridCol w:w="8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trHeight w:val="599" w:hRule="atLeast"/>
          <w:jc w:val="center"/>
        </w:trPr>
        <w:tc>
          <w:tcPr>
            <w:tcW w:w="790"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序号</w:t>
            </w:r>
          </w:p>
        </w:tc>
        <w:tc>
          <w:tcPr>
            <w:tcW w:w="2190"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车辆等设备名称</w:t>
            </w:r>
          </w:p>
        </w:tc>
        <w:tc>
          <w:tcPr>
            <w:tcW w:w="755"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数量</w:t>
            </w:r>
          </w:p>
        </w:tc>
        <w:tc>
          <w:tcPr>
            <w:tcW w:w="1139"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型号</w:t>
            </w:r>
          </w:p>
        </w:tc>
        <w:tc>
          <w:tcPr>
            <w:tcW w:w="1230"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主要参数</w:t>
            </w:r>
          </w:p>
        </w:tc>
        <w:tc>
          <w:tcPr>
            <w:tcW w:w="1099"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自有/租用</w:t>
            </w:r>
          </w:p>
        </w:tc>
        <w:tc>
          <w:tcPr>
            <w:tcW w:w="1869"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注册、购买、租赁日期</w:t>
            </w:r>
          </w:p>
        </w:tc>
        <w:tc>
          <w:tcPr>
            <w:tcW w:w="890"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tcBorders>
              <w:top w:val="double" w:color="auto" w:sz="4" w:space="0"/>
            </w:tcBorders>
            <w:shd w:val="clear" w:color="auto" w:fill="CCE8CF" w:themeFill="background1"/>
            <w:noWrap/>
            <w:vAlign w:val="center"/>
          </w:tcPr>
          <w:p>
            <w:pPr>
              <w:spacing w:line="400" w:lineRule="exact"/>
              <w:jc w:val="both"/>
            </w:pPr>
          </w:p>
        </w:tc>
        <w:tc>
          <w:tcPr>
            <w:tcW w:w="2190" w:type="dxa"/>
            <w:tcBorders>
              <w:top w:val="double" w:color="auto" w:sz="4" w:space="0"/>
            </w:tcBorders>
            <w:shd w:val="clear" w:color="auto" w:fill="CCE8CF" w:themeFill="background1"/>
            <w:noWrap/>
            <w:vAlign w:val="center"/>
          </w:tcPr>
          <w:p>
            <w:pPr>
              <w:spacing w:line="400" w:lineRule="exact"/>
              <w:jc w:val="center"/>
            </w:pPr>
          </w:p>
        </w:tc>
        <w:tc>
          <w:tcPr>
            <w:tcW w:w="755" w:type="dxa"/>
            <w:tcBorders>
              <w:top w:val="double" w:color="auto" w:sz="4" w:space="0"/>
            </w:tcBorders>
            <w:shd w:val="clear" w:color="auto" w:fill="CCE8CF" w:themeFill="background1"/>
            <w:noWrap/>
            <w:vAlign w:val="center"/>
          </w:tcPr>
          <w:p>
            <w:pPr>
              <w:spacing w:line="400" w:lineRule="exact"/>
              <w:jc w:val="center"/>
            </w:pPr>
          </w:p>
        </w:tc>
        <w:tc>
          <w:tcPr>
            <w:tcW w:w="1139" w:type="dxa"/>
            <w:tcBorders>
              <w:top w:val="double" w:color="auto" w:sz="4" w:space="0"/>
            </w:tcBorders>
            <w:shd w:val="clear" w:color="auto" w:fill="CCE8CF" w:themeFill="background1"/>
            <w:noWrap/>
            <w:vAlign w:val="center"/>
          </w:tcPr>
          <w:p>
            <w:pPr>
              <w:spacing w:line="400" w:lineRule="exact"/>
              <w:jc w:val="center"/>
            </w:pPr>
          </w:p>
        </w:tc>
        <w:tc>
          <w:tcPr>
            <w:tcW w:w="1230" w:type="dxa"/>
            <w:tcBorders>
              <w:top w:val="double" w:color="auto" w:sz="4" w:space="0"/>
            </w:tcBorders>
            <w:shd w:val="clear" w:color="auto" w:fill="CCE8CF" w:themeFill="background1"/>
            <w:noWrap/>
            <w:vAlign w:val="center"/>
          </w:tcPr>
          <w:p>
            <w:pPr>
              <w:spacing w:line="400" w:lineRule="exact"/>
              <w:jc w:val="center"/>
            </w:pPr>
          </w:p>
        </w:tc>
        <w:tc>
          <w:tcPr>
            <w:tcW w:w="1099" w:type="dxa"/>
            <w:tcBorders>
              <w:top w:val="double" w:color="auto" w:sz="4" w:space="0"/>
            </w:tcBorders>
            <w:shd w:val="clear" w:color="auto" w:fill="CCE8CF" w:themeFill="background1"/>
            <w:noWrap/>
            <w:vAlign w:val="center"/>
          </w:tcPr>
          <w:p>
            <w:pPr>
              <w:spacing w:line="400" w:lineRule="exact"/>
              <w:jc w:val="center"/>
            </w:pPr>
          </w:p>
        </w:tc>
        <w:tc>
          <w:tcPr>
            <w:tcW w:w="1869" w:type="dxa"/>
            <w:tcBorders>
              <w:top w:val="double" w:color="auto" w:sz="4" w:space="0"/>
            </w:tcBorders>
            <w:shd w:val="clear" w:color="auto" w:fill="CCE8CF" w:themeFill="background1"/>
            <w:noWrap/>
            <w:vAlign w:val="center"/>
          </w:tcPr>
          <w:p>
            <w:pPr>
              <w:spacing w:line="400" w:lineRule="exact"/>
              <w:jc w:val="center"/>
            </w:pPr>
          </w:p>
        </w:tc>
        <w:tc>
          <w:tcPr>
            <w:tcW w:w="890" w:type="dxa"/>
            <w:tcBorders>
              <w:top w:val="double" w:color="auto" w:sz="4" w:space="0"/>
            </w:tcBorders>
            <w:shd w:val="clear" w:color="auto" w:fill="CCE8CF" w:themeFill="background1"/>
            <w:noWrap/>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shd w:val="clear" w:color="auto" w:fill="CCE8CF" w:themeFill="background1"/>
            <w:noWrap/>
            <w:vAlign w:val="center"/>
          </w:tcPr>
          <w:p>
            <w:pPr>
              <w:spacing w:line="400" w:lineRule="exact"/>
              <w:jc w:val="both"/>
            </w:pPr>
          </w:p>
        </w:tc>
        <w:tc>
          <w:tcPr>
            <w:tcW w:w="2190" w:type="dxa"/>
            <w:shd w:val="clear" w:color="auto" w:fill="CCE8CF" w:themeFill="background1"/>
            <w:noWrap/>
            <w:vAlign w:val="center"/>
          </w:tcPr>
          <w:p>
            <w:pPr>
              <w:spacing w:line="400" w:lineRule="exact"/>
              <w:jc w:val="center"/>
            </w:pPr>
          </w:p>
        </w:tc>
        <w:tc>
          <w:tcPr>
            <w:tcW w:w="755" w:type="dxa"/>
            <w:shd w:val="clear" w:color="auto" w:fill="CCE8CF" w:themeFill="background1"/>
            <w:noWrap/>
            <w:vAlign w:val="center"/>
          </w:tcPr>
          <w:p>
            <w:pPr>
              <w:spacing w:line="400" w:lineRule="exact"/>
              <w:jc w:val="center"/>
            </w:pPr>
          </w:p>
        </w:tc>
        <w:tc>
          <w:tcPr>
            <w:tcW w:w="1139" w:type="dxa"/>
            <w:shd w:val="clear" w:color="auto" w:fill="CCE8CF" w:themeFill="background1"/>
            <w:noWrap/>
            <w:vAlign w:val="center"/>
          </w:tcPr>
          <w:p>
            <w:pPr>
              <w:spacing w:line="400" w:lineRule="exact"/>
              <w:jc w:val="center"/>
            </w:pPr>
          </w:p>
        </w:tc>
        <w:tc>
          <w:tcPr>
            <w:tcW w:w="1230" w:type="dxa"/>
            <w:shd w:val="clear" w:color="auto" w:fill="CCE8CF" w:themeFill="background1"/>
            <w:noWrap/>
            <w:vAlign w:val="center"/>
          </w:tcPr>
          <w:p>
            <w:pPr>
              <w:spacing w:line="400" w:lineRule="exact"/>
              <w:jc w:val="center"/>
            </w:pPr>
          </w:p>
        </w:tc>
        <w:tc>
          <w:tcPr>
            <w:tcW w:w="1099" w:type="dxa"/>
            <w:shd w:val="clear" w:color="auto" w:fill="CCE8CF" w:themeFill="background1"/>
            <w:noWrap/>
            <w:vAlign w:val="center"/>
          </w:tcPr>
          <w:p>
            <w:pPr>
              <w:spacing w:line="400" w:lineRule="exact"/>
              <w:jc w:val="center"/>
            </w:pPr>
          </w:p>
        </w:tc>
        <w:tc>
          <w:tcPr>
            <w:tcW w:w="1869" w:type="dxa"/>
            <w:shd w:val="clear" w:color="auto" w:fill="CCE8CF" w:themeFill="background1"/>
            <w:noWrap/>
            <w:vAlign w:val="center"/>
          </w:tcPr>
          <w:p>
            <w:pPr>
              <w:spacing w:line="400" w:lineRule="exact"/>
              <w:jc w:val="center"/>
            </w:pPr>
          </w:p>
        </w:tc>
        <w:tc>
          <w:tcPr>
            <w:tcW w:w="890" w:type="dxa"/>
            <w:shd w:val="clear" w:color="auto" w:fill="CCE8CF" w:themeFill="background1"/>
            <w:noWrap/>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shd w:val="clear" w:color="auto" w:fill="CCE8CF" w:themeFill="background1"/>
            <w:noWrap/>
            <w:vAlign w:val="center"/>
          </w:tcPr>
          <w:p>
            <w:pPr>
              <w:spacing w:line="400" w:lineRule="exact"/>
              <w:jc w:val="both"/>
            </w:pPr>
          </w:p>
        </w:tc>
        <w:tc>
          <w:tcPr>
            <w:tcW w:w="2190" w:type="dxa"/>
            <w:shd w:val="clear" w:color="auto" w:fill="CCE8CF" w:themeFill="background1"/>
            <w:noWrap/>
            <w:vAlign w:val="center"/>
          </w:tcPr>
          <w:p>
            <w:pPr>
              <w:spacing w:line="400" w:lineRule="exact"/>
              <w:jc w:val="center"/>
            </w:pPr>
          </w:p>
        </w:tc>
        <w:tc>
          <w:tcPr>
            <w:tcW w:w="755" w:type="dxa"/>
            <w:shd w:val="clear" w:color="auto" w:fill="CCE8CF" w:themeFill="background1"/>
            <w:noWrap/>
            <w:vAlign w:val="center"/>
          </w:tcPr>
          <w:p>
            <w:pPr>
              <w:spacing w:line="400" w:lineRule="exact"/>
              <w:jc w:val="center"/>
            </w:pPr>
          </w:p>
        </w:tc>
        <w:tc>
          <w:tcPr>
            <w:tcW w:w="1139" w:type="dxa"/>
            <w:shd w:val="clear" w:color="auto" w:fill="CCE8CF" w:themeFill="background1"/>
            <w:noWrap/>
            <w:vAlign w:val="center"/>
          </w:tcPr>
          <w:p>
            <w:pPr>
              <w:spacing w:line="400" w:lineRule="exact"/>
              <w:jc w:val="center"/>
            </w:pPr>
          </w:p>
        </w:tc>
        <w:tc>
          <w:tcPr>
            <w:tcW w:w="1230" w:type="dxa"/>
            <w:shd w:val="clear" w:color="auto" w:fill="CCE8CF" w:themeFill="background1"/>
            <w:noWrap/>
            <w:vAlign w:val="center"/>
          </w:tcPr>
          <w:p>
            <w:pPr>
              <w:spacing w:line="400" w:lineRule="exact"/>
              <w:jc w:val="center"/>
            </w:pPr>
          </w:p>
        </w:tc>
        <w:tc>
          <w:tcPr>
            <w:tcW w:w="1099" w:type="dxa"/>
            <w:shd w:val="clear" w:color="auto" w:fill="CCE8CF" w:themeFill="background1"/>
            <w:noWrap/>
            <w:vAlign w:val="center"/>
          </w:tcPr>
          <w:p>
            <w:pPr>
              <w:spacing w:line="400" w:lineRule="exact"/>
              <w:jc w:val="center"/>
            </w:pPr>
          </w:p>
        </w:tc>
        <w:tc>
          <w:tcPr>
            <w:tcW w:w="1869" w:type="dxa"/>
            <w:shd w:val="clear" w:color="auto" w:fill="CCE8CF" w:themeFill="background1"/>
            <w:noWrap/>
            <w:vAlign w:val="center"/>
          </w:tcPr>
          <w:p>
            <w:pPr>
              <w:spacing w:line="400" w:lineRule="exact"/>
              <w:jc w:val="center"/>
            </w:pPr>
          </w:p>
        </w:tc>
        <w:tc>
          <w:tcPr>
            <w:tcW w:w="890" w:type="dxa"/>
            <w:shd w:val="clear" w:color="auto" w:fill="CCE8CF" w:themeFill="background1"/>
            <w:noWrap/>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shd w:val="clear" w:color="auto" w:fill="CCE8CF" w:themeFill="background1"/>
            <w:noWrap/>
            <w:vAlign w:val="center"/>
          </w:tcPr>
          <w:p>
            <w:pPr>
              <w:spacing w:line="400" w:lineRule="exact"/>
              <w:jc w:val="both"/>
            </w:pPr>
          </w:p>
        </w:tc>
        <w:tc>
          <w:tcPr>
            <w:tcW w:w="2190" w:type="dxa"/>
            <w:shd w:val="clear" w:color="auto" w:fill="CCE8CF" w:themeFill="background1"/>
            <w:noWrap/>
            <w:vAlign w:val="center"/>
          </w:tcPr>
          <w:p>
            <w:pPr>
              <w:spacing w:line="400" w:lineRule="exact"/>
              <w:jc w:val="center"/>
            </w:pPr>
          </w:p>
        </w:tc>
        <w:tc>
          <w:tcPr>
            <w:tcW w:w="755" w:type="dxa"/>
            <w:shd w:val="clear" w:color="auto" w:fill="CCE8CF" w:themeFill="background1"/>
            <w:noWrap/>
            <w:vAlign w:val="center"/>
          </w:tcPr>
          <w:p>
            <w:pPr>
              <w:spacing w:line="400" w:lineRule="exact"/>
              <w:jc w:val="center"/>
            </w:pPr>
          </w:p>
        </w:tc>
        <w:tc>
          <w:tcPr>
            <w:tcW w:w="1139" w:type="dxa"/>
            <w:shd w:val="clear" w:color="auto" w:fill="CCE8CF" w:themeFill="background1"/>
            <w:noWrap/>
            <w:vAlign w:val="center"/>
          </w:tcPr>
          <w:p>
            <w:pPr>
              <w:spacing w:line="400" w:lineRule="exact"/>
              <w:jc w:val="center"/>
            </w:pPr>
          </w:p>
        </w:tc>
        <w:tc>
          <w:tcPr>
            <w:tcW w:w="1230" w:type="dxa"/>
            <w:shd w:val="clear" w:color="auto" w:fill="CCE8CF" w:themeFill="background1"/>
            <w:noWrap/>
            <w:vAlign w:val="center"/>
          </w:tcPr>
          <w:p>
            <w:pPr>
              <w:spacing w:line="400" w:lineRule="exact"/>
              <w:jc w:val="center"/>
            </w:pPr>
          </w:p>
        </w:tc>
        <w:tc>
          <w:tcPr>
            <w:tcW w:w="1099" w:type="dxa"/>
            <w:shd w:val="clear" w:color="auto" w:fill="CCE8CF" w:themeFill="background1"/>
            <w:noWrap/>
            <w:vAlign w:val="center"/>
          </w:tcPr>
          <w:p>
            <w:pPr>
              <w:spacing w:line="400" w:lineRule="exact"/>
              <w:jc w:val="center"/>
            </w:pPr>
          </w:p>
        </w:tc>
        <w:tc>
          <w:tcPr>
            <w:tcW w:w="1869" w:type="dxa"/>
            <w:shd w:val="clear" w:color="auto" w:fill="CCE8CF" w:themeFill="background1"/>
            <w:noWrap/>
            <w:vAlign w:val="center"/>
          </w:tcPr>
          <w:p>
            <w:pPr>
              <w:spacing w:line="400" w:lineRule="exact"/>
              <w:jc w:val="center"/>
            </w:pPr>
          </w:p>
        </w:tc>
        <w:tc>
          <w:tcPr>
            <w:tcW w:w="890" w:type="dxa"/>
            <w:shd w:val="clear" w:color="auto" w:fill="CCE8CF" w:themeFill="background1"/>
            <w:noWrap/>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shd w:val="clear" w:color="auto" w:fill="CCE8CF" w:themeFill="background1"/>
            <w:noWrap/>
            <w:vAlign w:val="center"/>
          </w:tcPr>
          <w:p>
            <w:pPr>
              <w:spacing w:line="400" w:lineRule="exact"/>
              <w:jc w:val="both"/>
            </w:pPr>
          </w:p>
        </w:tc>
        <w:tc>
          <w:tcPr>
            <w:tcW w:w="2190" w:type="dxa"/>
            <w:shd w:val="clear" w:color="auto" w:fill="CCE8CF" w:themeFill="background1"/>
            <w:noWrap/>
            <w:vAlign w:val="center"/>
          </w:tcPr>
          <w:p>
            <w:pPr>
              <w:spacing w:line="400" w:lineRule="exact"/>
              <w:jc w:val="center"/>
            </w:pPr>
          </w:p>
        </w:tc>
        <w:tc>
          <w:tcPr>
            <w:tcW w:w="755" w:type="dxa"/>
            <w:shd w:val="clear" w:color="auto" w:fill="CCE8CF" w:themeFill="background1"/>
            <w:noWrap/>
            <w:vAlign w:val="center"/>
          </w:tcPr>
          <w:p>
            <w:pPr>
              <w:spacing w:line="400" w:lineRule="exact"/>
              <w:jc w:val="center"/>
            </w:pPr>
          </w:p>
        </w:tc>
        <w:tc>
          <w:tcPr>
            <w:tcW w:w="1139" w:type="dxa"/>
            <w:shd w:val="clear" w:color="auto" w:fill="CCE8CF" w:themeFill="background1"/>
            <w:noWrap/>
            <w:vAlign w:val="center"/>
          </w:tcPr>
          <w:p>
            <w:pPr>
              <w:spacing w:line="400" w:lineRule="exact"/>
              <w:jc w:val="center"/>
            </w:pPr>
          </w:p>
        </w:tc>
        <w:tc>
          <w:tcPr>
            <w:tcW w:w="1230" w:type="dxa"/>
            <w:shd w:val="clear" w:color="auto" w:fill="CCE8CF" w:themeFill="background1"/>
            <w:noWrap/>
            <w:vAlign w:val="center"/>
          </w:tcPr>
          <w:p>
            <w:pPr>
              <w:spacing w:line="400" w:lineRule="exact"/>
              <w:jc w:val="center"/>
            </w:pPr>
          </w:p>
        </w:tc>
        <w:tc>
          <w:tcPr>
            <w:tcW w:w="1099" w:type="dxa"/>
            <w:shd w:val="clear" w:color="auto" w:fill="CCE8CF" w:themeFill="background1"/>
            <w:noWrap/>
            <w:vAlign w:val="center"/>
          </w:tcPr>
          <w:p>
            <w:pPr>
              <w:spacing w:line="400" w:lineRule="exact"/>
              <w:jc w:val="center"/>
            </w:pPr>
          </w:p>
        </w:tc>
        <w:tc>
          <w:tcPr>
            <w:tcW w:w="1869" w:type="dxa"/>
            <w:shd w:val="clear" w:color="auto" w:fill="CCE8CF" w:themeFill="background1"/>
            <w:noWrap/>
            <w:vAlign w:val="center"/>
          </w:tcPr>
          <w:p>
            <w:pPr>
              <w:spacing w:line="400" w:lineRule="exact"/>
              <w:jc w:val="center"/>
            </w:pPr>
          </w:p>
        </w:tc>
        <w:tc>
          <w:tcPr>
            <w:tcW w:w="890" w:type="dxa"/>
            <w:shd w:val="clear" w:color="auto" w:fill="CCE8CF" w:themeFill="background1"/>
            <w:noWrap/>
            <w:vAlign w:val="center"/>
          </w:tcPr>
          <w:p>
            <w:pPr>
              <w:spacing w:line="400" w:lineRule="exact"/>
              <w:jc w:val="center"/>
            </w:pPr>
          </w:p>
        </w:tc>
      </w:tr>
    </w:tbl>
    <w:p>
      <w:pPr>
        <w:spacing w:line="360" w:lineRule="auto"/>
        <w:rPr>
          <w:sz w:val="24"/>
          <w:szCs w:val="24"/>
        </w:rPr>
      </w:pPr>
      <w:r>
        <w:rPr>
          <w:rFonts w:hint="eastAsia"/>
          <w:b/>
          <w:bCs/>
          <w:sz w:val="24"/>
          <w:szCs w:val="24"/>
        </w:rPr>
        <w:t>备注：须提供车辆的行驶证复印件、驾驶员必须有</w:t>
      </w:r>
      <w:r>
        <w:rPr>
          <w:rFonts w:hint="eastAsia"/>
          <w:b/>
          <w:bCs/>
          <w:sz w:val="24"/>
          <w:szCs w:val="24"/>
          <w:lang w:eastAsia="zh-CN"/>
        </w:rPr>
        <w:t>驾驶证</w:t>
      </w:r>
      <w:r>
        <w:rPr>
          <w:rFonts w:hint="eastAsia"/>
          <w:b/>
          <w:bCs/>
          <w:sz w:val="24"/>
          <w:szCs w:val="24"/>
        </w:rPr>
        <w:t>，租赁车辆还应提供租赁合同复印件，否则</w:t>
      </w:r>
      <w:r>
        <w:rPr>
          <w:rFonts w:hint="eastAsia"/>
          <w:b/>
          <w:bCs/>
          <w:sz w:val="24"/>
          <w:szCs w:val="24"/>
          <w:lang w:eastAsia="zh-CN"/>
        </w:rPr>
        <w:t>评标不得分</w:t>
      </w:r>
      <w:r>
        <w:rPr>
          <w:rFonts w:hint="eastAsia"/>
          <w:b/>
          <w:bCs/>
          <w:sz w:val="24"/>
          <w:szCs w:val="24"/>
        </w:rPr>
        <w:t>。</w:t>
      </w:r>
    </w:p>
    <w:p>
      <w:pPr>
        <w:spacing w:line="400" w:lineRule="exact"/>
        <w:rPr>
          <w:sz w:val="24"/>
          <w:szCs w:val="24"/>
        </w:rPr>
      </w:pPr>
    </w:p>
    <w:p>
      <w:pPr>
        <w:spacing w:line="400" w:lineRule="exact"/>
        <w:rPr>
          <w:color w:val="000000"/>
          <w:sz w:val="24"/>
          <w:szCs w:val="24"/>
        </w:rPr>
      </w:pPr>
    </w:p>
    <w:p>
      <w:pPr>
        <w:adjustRightInd w:val="0"/>
        <w:spacing w:line="360" w:lineRule="auto"/>
        <w:rPr>
          <w:color w:val="000000"/>
          <w:sz w:val="24"/>
          <w:szCs w:val="24"/>
        </w:rPr>
      </w:pPr>
      <w:r>
        <w:rPr>
          <w:rFonts w:hint="eastAsia"/>
          <w:color w:val="000000"/>
          <w:sz w:val="24"/>
          <w:szCs w:val="24"/>
        </w:rPr>
        <w:t>投标人名称：</w:t>
      </w:r>
      <w:r>
        <w:rPr>
          <w:rFonts w:hint="eastAsia"/>
          <w:color w:val="000000"/>
          <w:sz w:val="24"/>
          <w:szCs w:val="24"/>
          <w:u w:val="single"/>
        </w:rPr>
        <w:t xml:space="preserve">               （盖章）</w:t>
      </w:r>
    </w:p>
    <w:p>
      <w:pPr>
        <w:adjustRightInd w:val="0"/>
        <w:spacing w:line="360" w:lineRule="auto"/>
        <w:rPr>
          <w:color w:val="000000"/>
          <w:sz w:val="24"/>
          <w:szCs w:val="24"/>
        </w:rPr>
      </w:pPr>
    </w:p>
    <w:p>
      <w:pPr>
        <w:adjustRightInd w:val="0"/>
        <w:spacing w:line="360" w:lineRule="auto"/>
        <w:rPr>
          <w:bCs/>
          <w:color w:val="000000"/>
          <w:sz w:val="24"/>
          <w:szCs w:val="24"/>
        </w:rPr>
      </w:pPr>
      <w:r>
        <w:rPr>
          <w:rFonts w:hint="eastAsia"/>
          <w:color w:val="000000"/>
          <w:sz w:val="24"/>
          <w:szCs w:val="24"/>
        </w:rPr>
        <w:t>法定代表人或授权代表：</w:t>
      </w:r>
      <w:r>
        <w:rPr>
          <w:rFonts w:hint="eastAsia"/>
          <w:color w:val="000000"/>
          <w:sz w:val="24"/>
          <w:szCs w:val="24"/>
          <w:u w:val="single"/>
        </w:rPr>
        <w:t xml:space="preserve">     （签字</w:t>
      </w:r>
      <w:r>
        <w:rPr>
          <w:rFonts w:hint="eastAsia"/>
          <w:color w:val="000000"/>
          <w:sz w:val="24"/>
          <w:szCs w:val="24"/>
          <w:u w:val="single"/>
          <w:lang w:val="en-US"/>
        </w:rPr>
        <w:t>盖章</w:t>
      </w:r>
      <w:r>
        <w:rPr>
          <w:rFonts w:hint="eastAsia"/>
          <w:color w:val="000000"/>
          <w:sz w:val="24"/>
          <w:szCs w:val="24"/>
          <w:u w:val="single"/>
        </w:rPr>
        <w:t>）</w:t>
      </w:r>
    </w:p>
    <w:p>
      <w:pPr>
        <w:adjustRightInd w:val="0"/>
        <w:spacing w:line="360" w:lineRule="auto"/>
        <w:rPr>
          <w:bCs/>
          <w:color w:val="000000"/>
          <w:sz w:val="24"/>
          <w:szCs w:val="24"/>
        </w:rPr>
      </w:pPr>
    </w:p>
    <w:p>
      <w:pPr>
        <w:pStyle w:val="41"/>
        <w:jc w:val="center"/>
        <w:rPr>
          <w:b/>
          <w:bCs/>
          <w:sz w:val="24"/>
          <w:szCs w:val="24"/>
        </w:rPr>
      </w:pPr>
      <w:r>
        <w:rPr>
          <w:rFonts w:hint="eastAsia"/>
          <w:bCs/>
          <w:color w:val="000000"/>
          <w:sz w:val="24"/>
          <w:szCs w:val="24"/>
        </w:rPr>
        <w:t>日     期</w:t>
      </w:r>
      <w:r>
        <w:rPr>
          <w:bCs/>
          <w:color w:val="000000"/>
          <w:sz w:val="24"/>
          <w:szCs w:val="24"/>
        </w:rPr>
        <w:t>:</w:t>
      </w:r>
    </w:p>
    <w:p>
      <w:pPr>
        <w:pStyle w:val="41"/>
        <w:jc w:val="center"/>
        <w:rPr>
          <w:b/>
          <w:bCs/>
          <w:sz w:val="32"/>
          <w:szCs w:val="32"/>
        </w:rPr>
      </w:pPr>
    </w:p>
    <w:p>
      <w:pPr>
        <w:pStyle w:val="41"/>
        <w:jc w:val="center"/>
        <w:rPr>
          <w:b/>
          <w:bCs/>
          <w:sz w:val="32"/>
          <w:szCs w:val="32"/>
        </w:rPr>
      </w:pPr>
    </w:p>
    <w:p>
      <w:pPr>
        <w:pStyle w:val="41"/>
        <w:jc w:val="center"/>
        <w:rPr>
          <w:b/>
          <w:bCs/>
          <w:sz w:val="32"/>
          <w:szCs w:val="32"/>
        </w:rPr>
      </w:pPr>
    </w:p>
    <w:p>
      <w:pPr>
        <w:pStyle w:val="41"/>
        <w:jc w:val="center"/>
        <w:rPr>
          <w:b/>
          <w:bCs/>
          <w:sz w:val="32"/>
          <w:szCs w:val="32"/>
        </w:rPr>
      </w:pPr>
    </w:p>
    <w:p>
      <w:pPr>
        <w:pStyle w:val="41"/>
        <w:jc w:val="center"/>
        <w:rPr>
          <w:b/>
          <w:bCs/>
          <w:sz w:val="32"/>
          <w:szCs w:val="32"/>
        </w:rPr>
      </w:pPr>
    </w:p>
    <w:p>
      <w:pPr>
        <w:pStyle w:val="41"/>
        <w:jc w:val="center"/>
        <w:rPr>
          <w:b/>
          <w:bCs/>
          <w:sz w:val="32"/>
          <w:szCs w:val="32"/>
        </w:rPr>
      </w:pPr>
    </w:p>
    <w:p>
      <w:pPr>
        <w:pStyle w:val="41"/>
        <w:jc w:val="center"/>
        <w:rPr>
          <w:b/>
          <w:bCs/>
          <w:sz w:val="32"/>
          <w:szCs w:val="32"/>
        </w:rPr>
      </w:pPr>
    </w:p>
    <w:p>
      <w:pPr>
        <w:pStyle w:val="41"/>
        <w:jc w:val="center"/>
        <w:rPr>
          <w:b/>
          <w:bCs/>
          <w:sz w:val="32"/>
          <w:szCs w:val="32"/>
        </w:rPr>
      </w:pPr>
    </w:p>
    <w:p>
      <w:pPr>
        <w:pStyle w:val="41"/>
        <w:jc w:val="center"/>
        <w:rPr>
          <w:b/>
          <w:bCs/>
          <w:sz w:val="32"/>
          <w:szCs w:val="32"/>
        </w:rPr>
      </w:pPr>
    </w:p>
    <w:p>
      <w:pPr>
        <w:spacing w:before="50"/>
        <w:ind w:left="179" w:right="115"/>
        <w:jc w:val="center"/>
        <w:outlineLvl w:val="0"/>
        <w:rPr>
          <w:rFonts w:hint="eastAsia"/>
          <w:b/>
          <w:sz w:val="44"/>
          <w:szCs w:val="32"/>
          <w:lang w:val="en-US" w:eastAsia="zh-CN"/>
        </w:rPr>
      </w:pPr>
      <w:bookmarkStart w:id="145" w:name="_Toc32733"/>
      <w:r>
        <w:rPr>
          <w:rFonts w:hint="eastAsia"/>
          <w:b/>
          <w:sz w:val="44"/>
          <w:szCs w:val="32"/>
          <w:lang w:val="en-US" w:eastAsia="zh-CN"/>
        </w:rPr>
        <w:t>八、投标人2019年1月1日至2022年6月30日类似业绩表</w:t>
      </w:r>
      <w:bookmarkEnd w:id="14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1"/>
        <w:gridCol w:w="1750"/>
        <w:gridCol w:w="1937"/>
        <w:gridCol w:w="1938"/>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48" w:type="dxa"/>
            <w:noWrap/>
            <w:vAlign w:val="center"/>
          </w:tcPr>
          <w:p>
            <w:pPr>
              <w:widowControl/>
              <w:spacing w:line="300" w:lineRule="exact"/>
              <w:jc w:val="center"/>
              <w:rPr>
                <w:sz w:val="24"/>
                <w:szCs w:val="24"/>
              </w:rPr>
            </w:pPr>
            <w:r>
              <w:rPr>
                <w:rFonts w:hint="eastAsia"/>
                <w:sz w:val="21"/>
                <w:szCs w:val="21"/>
              </w:rPr>
              <w:t>序号</w:t>
            </w:r>
          </w:p>
        </w:tc>
        <w:tc>
          <w:tcPr>
            <w:tcW w:w="1801" w:type="dxa"/>
            <w:noWrap/>
            <w:vAlign w:val="center"/>
          </w:tcPr>
          <w:p>
            <w:pPr>
              <w:widowControl/>
              <w:spacing w:line="300" w:lineRule="exact"/>
              <w:jc w:val="center"/>
              <w:rPr>
                <w:sz w:val="24"/>
                <w:szCs w:val="24"/>
              </w:rPr>
            </w:pPr>
            <w:r>
              <w:rPr>
                <w:rFonts w:hint="eastAsia"/>
                <w:sz w:val="21"/>
                <w:szCs w:val="21"/>
              </w:rPr>
              <w:t>项目名称</w:t>
            </w:r>
          </w:p>
        </w:tc>
        <w:tc>
          <w:tcPr>
            <w:tcW w:w="1750" w:type="dxa"/>
            <w:noWrap/>
            <w:vAlign w:val="center"/>
          </w:tcPr>
          <w:p>
            <w:pPr>
              <w:widowControl/>
              <w:spacing w:line="300" w:lineRule="exact"/>
              <w:jc w:val="center"/>
              <w:rPr>
                <w:sz w:val="24"/>
                <w:szCs w:val="24"/>
              </w:rPr>
            </w:pPr>
            <w:r>
              <w:rPr>
                <w:rFonts w:hint="eastAsia"/>
                <w:sz w:val="24"/>
                <w:szCs w:val="24"/>
              </w:rPr>
              <w:t>采购内容</w:t>
            </w:r>
          </w:p>
        </w:tc>
        <w:tc>
          <w:tcPr>
            <w:tcW w:w="1937" w:type="dxa"/>
            <w:noWrap/>
            <w:vAlign w:val="center"/>
          </w:tcPr>
          <w:p>
            <w:pPr>
              <w:spacing w:line="300" w:lineRule="exact"/>
              <w:jc w:val="center"/>
              <w:rPr>
                <w:sz w:val="24"/>
                <w:szCs w:val="24"/>
              </w:rPr>
            </w:pPr>
            <w:r>
              <w:rPr>
                <w:rFonts w:hint="eastAsia"/>
                <w:sz w:val="21"/>
                <w:szCs w:val="21"/>
              </w:rPr>
              <w:t>采购人</w:t>
            </w:r>
          </w:p>
        </w:tc>
        <w:tc>
          <w:tcPr>
            <w:tcW w:w="1938" w:type="dxa"/>
            <w:noWrap/>
            <w:vAlign w:val="center"/>
          </w:tcPr>
          <w:p>
            <w:pPr>
              <w:widowControl/>
              <w:spacing w:line="300" w:lineRule="exact"/>
              <w:jc w:val="center"/>
              <w:rPr>
                <w:sz w:val="24"/>
                <w:szCs w:val="24"/>
              </w:rPr>
            </w:pPr>
            <w:r>
              <w:rPr>
                <w:rFonts w:hint="eastAsia"/>
                <w:sz w:val="21"/>
                <w:szCs w:val="21"/>
              </w:rPr>
              <w:t>采购金额（万元）</w:t>
            </w:r>
          </w:p>
        </w:tc>
        <w:tc>
          <w:tcPr>
            <w:tcW w:w="1708" w:type="dxa"/>
            <w:noWrap/>
            <w:vAlign w:val="center"/>
          </w:tcPr>
          <w:p>
            <w:pPr>
              <w:widowControl/>
              <w:spacing w:line="300" w:lineRule="exact"/>
              <w:jc w:val="center"/>
              <w:rPr>
                <w:sz w:val="24"/>
                <w:szCs w:val="24"/>
              </w:rPr>
            </w:pPr>
            <w:r>
              <w:rPr>
                <w:rFonts w:hint="eastAsia"/>
                <w:sz w:val="21"/>
                <w:szCs w:val="21"/>
              </w:rPr>
              <w:t>供货情况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bl>
    <w:p>
      <w:pPr>
        <w:pStyle w:val="41"/>
        <w:rPr>
          <w:rFonts w:cs="仿宋_GB2312"/>
          <w:sz w:val="21"/>
          <w:szCs w:val="21"/>
        </w:rPr>
      </w:pPr>
    </w:p>
    <w:p>
      <w:pPr>
        <w:spacing w:line="360" w:lineRule="exact"/>
        <w:ind w:left="602" w:hanging="703" w:hangingChars="250"/>
        <w:jc w:val="left"/>
        <w:rPr>
          <w:rFonts w:hint="eastAsia"/>
          <w:b/>
          <w:bCs/>
          <w:color w:val="000000"/>
          <w:sz w:val="28"/>
          <w:szCs w:val="24"/>
          <w:lang w:val="en-US"/>
        </w:rPr>
      </w:pPr>
      <w:r>
        <w:rPr>
          <w:rFonts w:hint="eastAsia"/>
          <w:b/>
          <w:bCs/>
          <w:color w:val="000000"/>
          <w:sz w:val="28"/>
          <w:szCs w:val="24"/>
        </w:rPr>
        <w:t>注：</w:t>
      </w:r>
      <w:r>
        <w:rPr>
          <w:rFonts w:hint="eastAsia"/>
          <w:b/>
          <w:bCs/>
          <w:color w:val="000000"/>
          <w:sz w:val="28"/>
          <w:szCs w:val="24"/>
          <w:lang w:val="en-US"/>
        </w:rPr>
        <w:t>提供合同</w:t>
      </w:r>
      <w:r>
        <w:rPr>
          <w:rFonts w:hint="eastAsia"/>
          <w:b/>
          <w:bCs/>
          <w:color w:val="000000"/>
          <w:sz w:val="28"/>
          <w:szCs w:val="24"/>
          <w:lang w:val="en-US" w:eastAsia="zh-CN"/>
        </w:rPr>
        <w:t>或</w:t>
      </w:r>
      <w:r>
        <w:rPr>
          <w:rFonts w:hint="eastAsia"/>
          <w:b/>
          <w:bCs/>
          <w:color w:val="000000"/>
          <w:sz w:val="28"/>
          <w:szCs w:val="24"/>
          <w:lang w:val="en-US"/>
        </w:rPr>
        <w:t>中标（成交）通知书。</w:t>
      </w:r>
      <w:r>
        <w:rPr>
          <w:rFonts w:hint="eastAsia"/>
          <w:b/>
          <w:bCs/>
          <w:color w:val="000000"/>
          <w:sz w:val="28"/>
          <w:szCs w:val="24"/>
        </w:rPr>
        <w:t>以上复印件应清晰、完整且有效，并加盖公章。</w:t>
      </w:r>
      <w:r>
        <w:rPr>
          <w:rFonts w:hint="eastAsia"/>
          <w:b/>
          <w:bCs/>
          <w:color w:val="000000"/>
          <w:sz w:val="28"/>
          <w:szCs w:val="24"/>
          <w:lang w:val="en-US"/>
        </w:rPr>
        <w:t>如有弄虚作假，一旦被发现将按无效投标处理，并报请政府采购管理部门严肃处理， 追究有关单位和人员的责任。</w:t>
      </w:r>
    </w:p>
    <w:p>
      <w:pPr>
        <w:spacing w:before="47" w:line="302" w:lineRule="auto"/>
        <w:ind w:left="4608" w:right="266" w:hanging="4385"/>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pStyle w:val="20"/>
        <w:rPr>
          <w:b/>
          <w:sz w:val="32"/>
        </w:rPr>
      </w:pPr>
    </w:p>
    <w:p>
      <w:pPr>
        <w:spacing w:before="50"/>
        <w:ind w:left="179" w:right="115"/>
        <w:jc w:val="center"/>
        <w:outlineLvl w:val="0"/>
        <w:rPr>
          <w:rFonts w:hint="eastAsia"/>
          <w:b/>
          <w:sz w:val="44"/>
          <w:szCs w:val="32"/>
          <w:lang w:val="en-US" w:eastAsia="zh-CN"/>
        </w:rPr>
      </w:pPr>
      <w:bookmarkStart w:id="146" w:name="_Toc27761"/>
      <w:r>
        <w:rPr>
          <w:rFonts w:hint="eastAsia"/>
          <w:b/>
          <w:sz w:val="44"/>
          <w:szCs w:val="32"/>
          <w:lang w:val="en-US" w:eastAsia="zh-CN"/>
        </w:rPr>
        <w:t>九、无串标行为承诺函</w:t>
      </w:r>
    </w:p>
    <w:p>
      <w:pPr>
        <w:spacing w:before="34"/>
        <w:ind w:left="417" w:right="331" w:firstLine="0"/>
        <w:jc w:val="center"/>
        <w:rPr>
          <w:b/>
          <w:sz w:val="32"/>
        </w:rPr>
      </w:pPr>
      <w:r>
        <w:rPr>
          <w:b/>
          <w:sz w:val="32"/>
        </w:rPr>
        <w:t>投标人参加本项目无围标串标行为的承诺函</w:t>
      </w:r>
    </w:p>
    <w:p>
      <w:pPr>
        <w:pStyle w:val="11"/>
        <w:spacing w:before="11"/>
        <w:rPr>
          <w:b/>
          <w:sz w:val="37"/>
        </w:rPr>
      </w:pPr>
    </w:p>
    <w:p>
      <w:pPr>
        <w:pStyle w:val="7"/>
        <w:spacing w:before="1"/>
        <w:ind w:left="1060"/>
      </w:pPr>
      <w:r>
        <w:t>一、我方承诺无下列相互串通投标的情形：</w:t>
      </w:r>
    </w:p>
    <w:p>
      <w:pPr>
        <w:pStyle w:val="45"/>
        <w:keepNext w:val="0"/>
        <w:keepLines w:val="0"/>
        <w:pageBreakBefore w:val="0"/>
        <w:widowControl w:val="0"/>
        <w:numPr>
          <w:ilvl w:val="1"/>
          <w:numId w:val="10"/>
        </w:numPr>
        <w:tabs>
          <w:tab w:val="left" w:pos="1682"/>
        </w:tabs>
        <w:kinsoku/>
        <w:wordWrap/>
        <w:overflowPunct/>
        <w:topLinePunct w:val="0"/>
        <w:autoSpaceDE w:val="0"/>
        <w:autoSpaceDN w:val="0"/>
        <w:bidi w:val="0"/>
        <w:adjustRightInd/>
        <w:snapToGrid/>
        <w:spacing w:before="165" w:after="0" w:line="281" w:lineRule="auto"/>
        <w:ind w:left="1060" w:right="0" w:firstLine="408"/>
        <w:jc w:val="left"/>
        <w:textAlignment w:val="auto"/>
        <w:rPr>
          <w:sz w:val="21"/>
        </w:rPr>
      </w:pPr>
      <w:r>
        <w:rPr>
          <w:spacing w:val="-2"/>
          <w:sz w:val="21"/>
        </w:rPr>
        <w:t xml:space="preserve">不同投标人的投标文件由同一单位或者个人编制；或者不同投标人报名的 </w:t>
      </w:r>
      <w:r>
        <w:rPr>
          <w:sz w:val="21"/>
        </w:rPr>
        <w:t>IP</w:t>
      </w:r>
      <w:r>
        <w:rPr>
          <w:spacing w:val="-21"/>
          <w:sz w:val="21"/>
        </w:rPr>
        <w:t xml:space="preserve"> 地址一</w:t>
      </w:r>
      <w:r>
        <w:rPr>
          <w:spacing w:val="-5"/>
          <w:sz w:val="21"/>
        </w:rPr>
        <w:t xml:space="preserve">致的；或者编制标书硬件设备 </w:t>
      </w:r>
      <w:r>
        <w:rPr>
          <w:sz w:val="21"/>
        </w:rPr>
        <w:t>CPU</w:t>
      </w:r>
      <w:r>
        <w:rPr>
          <w:spacing w:val="-9"/>
          <w:sz w:val="21"/>
        </w:rPr>
        <w:t xml:space="preserve"> 编号、硬盘编号、网卡地址一致的情况。</w:t>
      </w:r>
    </w:p>
    <w:p>
      <w:pPr>
        <w:pStyle w:val="45"/>
        <w:numPr>
          <w:ilvl w:val="1"/>
          <w:numId w:val="10"/>
        </w:numPr>
        <w:tabs>
          <w:tab w:val="left" w:pos="1682"/>
        </w:tabs>
        <w:spacing w:before="120" w:after="0" w:line="240" w:lineRule="auto"/>
        <w:ind w:left="1682" w:right="0" w:hanging="212"/>
        <w:jc w:val="left"/>
        <w:rPr>
          <w:sz w:val="21"/>
        </w:rPr>
      </w:pPr>
      <w:r>
        <w:rPr>
          <w:sz w:val="21"/>
        </w:rPr>
        <w:t>不同投标人委托同一单位或者个人办理投标事宜；</w:t>
      </w:r>
    </w:p>
    <w:p>
      <w:pPr>
        <w:pStyle w:val="45"/>
        <w:numPr>
          <w:ilvl w:val="1"/>
          <w:numId w:val="10"/>
        </w:numPr>
        <w:tabs>
          <w:tab w:val="left" w:pos="1682"/>
        </w:tabs>
        <w:spacing w:before="167" w:after="0" w:line="240" w:lineRule="auto"/>
        <w:ind w:left="1681" w:right="0" w:hanging="212"/>
        <w:jc w:val="left"/>
        <w:rPr>
          <w:sz w:val="21"/>
        </w:rPr>
      </w:pPr>
      <w:r>
        <w:rPr>
          <w:sz w:val="21"/>
        </w:rPr>
        <w:t>不同的投标人的投标文件载明的项目管理员为同一个人；</w:t>
      </w:r>
    </w:p>
    <w:p>
      <w:pPr>
        <w:pStyle w:val="45"/>
        <w:numPr>
          <w:ilvl w:val="1"/>
          <w:numId w:val="10"/>
        </w:numPr>
        <w:tabs>
          <w:tab w:val="left" w:pos="1682"/>
        </w:tabs>
        <w:spacing w:before="165" w:after="0" w:line="240" w:lineRule="auto"/>
        <w:ind w:left="1681" w:right="0" w:hanging="212"/>
        <w:jc w:val="left"/>
        <w:rPr>
          <w:sz w:val="21"/>
        </w:rPr>
      </w:pPr>
      <w:r>
        <w:rPr>
          <w:sz w:val="21"/>
        </w:rPr>
        <w:t>不同投标人的投标文件异常一致或者投标报价呈规律性差异；</w:t>
      </w:r>
    </w:p>
    <w:p>
      <w:pPr>
        <w:pStyle w:val="45"/>
        <w:numPr>
          <w:ilvl w:val="1"/>
          <w:numId w:val="10"/>
        </w:numPr>
        <w:tabs>
          <w:tab w:val="left" w:pos="1682"/>
        </w:tabs>
        <w:spacing w:before="167" w:after="0" w:line="240" w:lineRule="auto"/>
        <w:ind w:left="1682" w:right="0" w:hanging="212"/>
        <w:jc w:val="left"/>
        <w:rPr>
          <w:sz w:val="21"/>
        </w:rPr>
      </w:pPr>
      <w:r>
        <w:rPr>
          <w:sz w:val="21"/>
        </w:rPr>
        <w:t>不同投标人的投标文件相互混装；</w:t>
      </w:r>
    </w:p>
    <w:p>
      <w:pPr>
        <w:pStyle w:val="45"/>
        <w:keepNext w:val="0"/>
        <w:keepLines w:val="0"/>
        <w:pageBreakBefore w:val="0"/>
        <w:widowControl w:val="0"/>
        <w:numPr>
          <w:ilvl w:val="1"/>
          <w:numId w:val="10"/>
        </w:numPr>
        <w:tabs>
          <w:tab w:val="left" w:pos="1682"/>
        </w:tabs>
        <w:kinsoku/>
        <w:wordWrap/>
        <w:overflowPunct/>
        <w:topLinePunct w:val="0"/>
        <w:autoSpaceDE w:val="0"/>
        <w:autoSpaceDN w:val="0"/>
        <w:bidi w:val="0"/>
        <w:adjustRightInd/>
        <w:snapToGrid/>
        <w:spacing w:before="165" w:after="0" w:line="389" w:lineRule="auto"/>
        <w:ind w:left="1060" w:right="0" w:firstLine="408"/>
        <w:jc w:val="left"/>
        <w:textAlignment w:val="auto"/>
        <w:rPr>
          <w:b/>
          <w:sz w:val="21"/>
        </w:rPr>
      </w:pPr>
      <w:r>
        <w:rPr>
          <w:spacing w:val="-1"/>
          <w:sz w:val="21"/>
        </w:rPr>
        <w:t>不同投标人的投标保证金从同一单位或者个人账户转出。</w:t>
      </w:r>
    </w:p>
    <w:p>
      <w:pPr>
        <w:pStyle w:val="45"/>
        <w:keepNext w:val="0"/>
        <w:keepLines w:val="0"/>
        <w:pageBreakBefore w:val="0"/>
        <w:widowControl w:val="0"/>
        <w:numPr>
          <w:ilvl w:val="0"/>
          <w:numId w:val="0"/>
        </w:numPr>
        <w:tabs>
          <w:tab w:val="left" w:pos="1682"/>
        </w:tabs>
        <w:kinsoku/>
        <w:wordWrap/>
        <w:overflowPunct/>
        <w:topLinePunct w:val="0"/>
        <w:autoSpaceDE w:val="0"/>
        <w:autoSpaceDN w:val="0"/>
        <w:bidi w:val="0"/>
        <w:adjustRightInd/>
        <w:snapToGrid/>
        <w:spacing w:before="165" w:after="0" w:line="389" w:lineRule="auto"/>
        <w:ind w:right="0" w:rightChars="0" w:firstLine="843" w:firstLineChars="400"/>
        <w:jc w:val="left"/>
        <w:textAlignment w:val="auto"/>
        <w:rPr>
          <w:b/>
          <w:sz w:val="21"/>
        </w:rPr>
      </w:pPr>
      <w:r>
        <w:rPr>
          <w:b/>
          <w:sz w:val="21"/>
        </w:rPr>
        <w:t>二、我方承诺无下列恶意串通的情形：</w:t>
      </w:r>
    </w:p>
    <w:p>
      <w:pPr>
        <w:pStyle w:val="45"/>
        <w:keepNext w:val="0"/>
        <w:keepLines w:val="0"/>
        <w:pageBreakBefore w:val="0"/>
        <w:widowControl w:val="0"/>
        <w:numPr>
          <w:ilvl w:val="0"/>
          <w:numId w:val="11"/>
        </w:numPr>
        <w:tabs>
          <w:tab w:val="left" w:pos="1682"/>
        </w:tabs>
        <w:kinsoku/>
        <w:wordWrap/>
        <w:overflowPunct/>
        <w:topLinePunct w:val="0"/>
        <w:autoSpaceDE w:val="0"/>
        <w:autoSpaceDN w:val="0"/>
        <w:bidi w:val="0"/>
        <w:adjustRightInd/>
        <w:snapToGrid/>
        <w:spacing w:before="0" w:after="0" w:line="280" w:lineRule="auto"/>
        <w:ind w:left="1060" w:right="0" w:firstLine="410"/>
        <w:jc w:val="left"/>
        <w:textAlignment w:val="auto"/>
        <w:rPr>
          <w:sz w:val="21"/>
        </w:rPr>
      </w:pPr>
      <w:r>
        <w:rPr>
          <w:spacing w:val="-1"/>
          <w:sz w:val="21"/>
        </w:rPr>
        <w:t>投标人直接或者间接从采购人或者采购代理机构处获得其他投标人的相关信息并修</w:t>
      </w:r>
      <w:r>
        <w:rPr>
          <w:sz w:val="21"/>
        </w:rPr>
        <w:t>改其投标文件或者投标文件；</w:t>
      </w:r>
    </w:p>
    <w:p>
      <w:pPr>
        <w:pStyle w:val="45"/>
        <w:keepNext w:val="0"/>
        <w:keepLines w:val="0"/>
        <w:pageBreakBefore w:val="0"/>
        <w:widowControl w:val="0"/>
        <w:numPr>
          <w:ilvl w:val="0"/>
          <w:numId w:val="11"/>
        </w:numPr>
        <w:tabs>
          <w:tab w:val="left" w:pos="1682"/>
        </w:tabs>
        <w:kinsoku/>
        <w:wordWrap/>
        <w:overflowPunct/>
        <w:topLinePunct w:val="0"/>
        <w:autoSpaceDE w:val="0"/>
        <w:autoSpaceDN w:val="0"/>
        <w:bidi w:val="0"/>
        <w:adjustRightInd/>
        <w:snapToGrid/>
        <w:spacing w:before="118" w:after="0" w:line="240" w:lineRule="auto"/>
        <w:ind w:left="1682" w:right="0" w:hanging="212"/>
        <w:jc w:val="left"/>
        <w:textAlignment w:val="auto"/>
        <w:rPr>
          <w:sz w:val="21"/>
        </w:rPr>
      </w:pPr>
      <w:r>
        <w:rPr>
          <w:sz w:val="21"/>
        </w:rPr>
        <w:t>投标人按照采购人或者采购代理机构的授意撤换、修改投标文件或者投标文件；</w:t>
      </w:r>
    </w:p>
    <w:p>
      <w:pPr>
        <w:pStyle w:val="45"/>
        <w:keepNext w:val="0"/>
        <w:keepLines w:val="0"/>
        <w:pageBreakBefore w:val="0"/>
        <w:widowControl w:val="0"/>
        <w:numPr>
          <w:ilvl w:val="0"/>
          <w:numId w:val="11"/>
        </w:numPr>
        <w:tabs>
          <w:tab w:val="left" w:pos="1682"/>
        </w:tabs>
        <w:kinsoku/>
        <w:wordWrap/>
        <w:overflowPunct/>
        <w:topLinePunct w:val="0"/>
        <w:autoSpaceDE w:val="0"/>
        <w:autoSpaceDN w:val="0"/>
        <w:bidi w:val="0"/>
        <w:adjustRightInd/>
        <w:snapToGrid/>
        <w:spacing w:before="167" w:after="0" w:line="240" w:lineRule="auto"/>
        <w:ind w:left="1681" w:right="0" w:hanging="212"/>
        <w:jc w:val="left"/>
        <w:textAlignment w:val="auto"/>
        <w:rPr>
          <w:sz w:val="21"/>
        </w:rPr>
      </w:pPr>
      <w:r>
        <w:rPr>
          <w:sz w:val="21"/>
        </w:rPr>
        <w:t>投标人之间协商报价、技术方案等投标文件或者投标文件的实质性内容；</w:t>
      </w:r>
    </w:p>
    <w:p>
      <w:pPr>
        <w:pStyle w:val="45"/>
        <w:keepNext w:val="0"/>
        <w:keepLines w:val="0"/>
        <w:pageBreakBefore w:val="0"/>
        <w:widowControl w:val="0"/>
        <w:numPr>
          <w:ilvl w:val="0"/>
          <w:numId w:val="11"/>
        </w:numPr>
        <w:tabs>
          <w:tab w:val="left" w:pos="1682"/>
        </w:tabs>
        <w:kinsoku/>
        <w:wordWrap/>
        <w:overflowPunct/>
        <w:topLinePunct w:val="0"/>
        <w:autoSpaceDE w:val="0"/>
        <w:autoSpaceDN w:val="0"/>
        <w:bidi w:val="0"/>
        <w:adjustRightInd/>
        <w:snapToGrid/>
        <w:spacing w:before="165" w:after="0" w:line="280" w:lineRule="auto"/>
        <w:ind w:left="1060" w:right="0" w:firstLine="410"/>
        <w:jc w:val="left"/>
        <w:textAlignment w:val="auto"/>
        <w:rPr>
          <w:sz w:val="21"/>
        </w:rPr>
      </w:pPr>
      <w:r>
        <w:rPr>
          <w:spacing w:val="-11"/>
          <w:sz w:val="21"/>
        </w:rPr>
        <w:t>属于同一集团、协会、商会等组织成员的投标人按照该组织要求协同参加政府采购活</w:t>
      </w:r>
      <w:r>
        <w:rPr>
          <w:sz w:val="21"/>
        </w:rPr>
        <w:t>动；</w:t>
      </w:r>
    </w:p>
    <w:p>
      <w:pPr>
        <w:pStyle w:val="45"/>
        <w:keepNext w:val="0"/>
        <w:keepLines w:val="0"/>
        <w:pageBreakBefore w:val="0"/>
        <w:widowControl w:val="0"/>
        <w:numPr>
          <w:ilvl w:val="0"/>
          <w:numId w:val="11"/>
        </w:numPr>
        <w:tabs>
          <w:tab w:val="left" w:pos="1682"/>
        </w:tabs>
        <w:kinsoku/>
        <w:wordWrap/>
        <w:overflowPunct/>
        <w:topLinePunct w:val="0"/>
        <w:autoSpaceDE w:val="0"/>
        <w:autoSpaceDN w:val="0"/>
        <w:bidi w:val="0"/>
        <w:adjustRightInd/>
        <w:snapToGrid/>
        <w:spacing w:before="121" w:after="0" w:line="280" w:lineRule="auto"/>
        <w:ind w:left="1060" w:right="0" w:firstLine="410"/>
        <w:jc w:val="left"/>
        <w:textAlignment w:val="auto"/>
        <w:rPr>
          <w:sz w:val="21"/>
        </w:rPr>
      </w:pPr>
      <w:r>
        <w:rPr>
          <w:spacing w:val="-1"/>
          <w:sz w:val="21"/>
        </w:rPr>
        <w:t>投标人之间事先约定一致抬高或者压低投标报价，或者在招标项目中事先约定轮流</w:t>
      </w:r>
      <w:r>
        <w:rPr>
          <w:sz w:val="21"/>
        </w:rPr>
        <w:t>以高价位或者低价位中标，或者事先约定由某一特定投标人中标，然后再参加投标；</w:t>
      </w:r>
    </w:p>
    <w:p>
      <w:pPr>
        <w:pStyle w:val="45"/>
        <w:keepNext w:val="0"/>
        <w:keepLines w:val="0"/>
        <w:pageBreakBefore w:val="0"/>
        <w:widowControl w:val="0"/>
        <w:numPr>
          <w:ilvl w:val="0"/>
          <w:numId w:val="11"/>
        </w:numPr>
        <w:tabs>
          <w:tab w:val="left" w:pos="1682"/>
        </w:tabs>
        <w:kinsoku/>
        <w:wordWrap/>
        <w:overflowPunct/>
        <w:topLinePunct w:val="0"/>
        <w:autoSpaceDE w:val="0"/>
        <w:autoSpaceDN w:val="0"/>
        <w:bidi w:val="0"/>
        <w:adjustRightInd/>
        <w:snapToGrid/>
        <w:spacing w:before="120" w:after="0" w:line="240" w:lineRule="auto"/>
        <w:ind w:left="1681" w:right="0" w:hanging="212"/>
        <w:jc w:val="left"/>
        <w:textAlignment w:val="auto"/>
        <w:rPr>
          <w:sz w:val="21"/>
        </w:rPr>
      </w:pPr>
      <w:r>
        <w:rPr>
          <w:sz w:val="21"/>
        </w:rPr>
        <w:t>投标人之间商定部分投标人放弃参加政府采购活动或者放弃中标；</w:t>
      </w:r>
    </w:p>
    <w:p>
      <w:pPr>
        <w:pStyle w:val="45"/>
        <w:keepNext w:val="0"/>
        <w:keepLines w:val="0"/>
        <w:pageBreakBefore w:val="0"/>
        <w:widowControl w:val="0"/>
        <w:numPr>
          <w:ilvl w:val="0"/>
          <w:numId w:val="11"/>
        </w:numPr>
        <w:tabs>
          <w:tab w:val="left" w:pos="1682"/>
        </w:tabs>
        <w:kinsoku/>
        <w:wordWrap/>
        <w:overflowPunct/>
        <w:topLinePunct w:val="0"/>
        <w:autoSpaceDE w:val="0"/>
        <w:autoSpaceDN w:val="0"/>
        <w:bidi w:val="0"/>
        <w:adjustRightInd/>
        <w:snapToGrid/>
        <w:spacing w:before="167" w:after="0" w:line="280" w:lineRule="auto"/>
        <w:ind w:left="1060" w:right="0" w:firstLine="410"/>
        <w:jc w:val="left"/>
        <w:textAlignment w:val="auto"/>
        <w:rPr>
          <w:sz w:val="21"/>
        </w:rPr>
      </w:pPr>
      <w:r>
        <w:rPr>
          <w:spacing w:val="-6"/>
          <w:sz w:val="21"/>
        </w:rPr>
        <w:t>投标人与采购人或者采购代理机构之间、投标人相互之间，为谋求特定投标人中标或</w:t>
      </w:r>
      <w:r>
        <w:rPr>
          <w:sz w:val="21"/>
        </w:rPr>
        <w:t>者排斥其他投标人的其他串通行为。</w:t>
      </w:r>
    </w:p>
    <w:p>
      <w:pPr>
        <w:pStyle w:val="7"/>
        <w:spacing w:before="120"/>
        <w:ind w:left="1472"/>
      </w:pPr>
      <w:r>
        <w:t>以上情形一经核查属实，我方愿意承担一切后果，接受政府采购监管部门对我方认定</w:t>
      </w:r>
    </w:p>
    <w:p>
      <w:pPr>
        <w:spacing w:before="45"/>
        <w:ind w:left="1060" w:right="0" w:firstLine="0"/>
        <w:jc w:val="left"/>
        <w:rPr>
          <w:b/>
          <w:sz w:val="21"/>
        </w:rPr>
      </w:pPr>
      <w:r>
        <w:rPr>
          <w:b/>
          <w:sz w:val="21"/>
        </w:rPr>
        <w:t>存在围标串标行为，并不再寻求任何旨在减轻或者免除法律责任的辩解。</w:t>
      </w:r>
    </w:p>
    <w:p>
      <w:pPr>
        <w:pStyle w:val="2"/>
      </w:pPr>
    </w:p>
    <w:p/>
    <w:p>
      <w:pPr>
        <w:keepNext w:val="0"/>
        <w:keepLines w:val="0"/>
        <w:pageBreakBefore w:val="0"/>
        <w:widowControl w:val="0"/>
        <w:tabs>
          <w:tab w:val="left" w:pos="7179"/>
          <w:tab w:val="left" w:pos="7659"/>
          <w:tab w:val="left" w:pos="8259"/>
        </w:tabs>
        <w:kinsoku/>
        <w:wordWrap/>
        <w:overflowPunct/>
        <w:topLinePunct w:val="0"/>
        <w:autoSpaceDE w:val="0"/>
        <w:autoSpaceDN w:val="0"/>
        <w:bidi w:val="0"/>
        <w:adjustRightInd/>
        <w:snapToGrid/>
        <w:spacing w:line="360" w:lineRule="auto"/>
        <w:ind w:left="0" w:right="0" w:firstLine="5280" w:firstLineChars="2200"/>
        <w:jc w:val="left"/>
        <w:textAlignment w:val="auto"/>
        <w:rPr>
          <w:spacing w:val="-9"/>
          <w:sz w:val="24"/>
        </w:rPr>
      </w:pPr>
      <w:r>
        <w:rPr>
          <w:sz w:val="24"/>
        </w:rPr>
        <w:t>投标人名称(</w:t>
      </w:r>
      <w:r>
        <w:rPr>
          <w:rFonts w:hint="eastAsia"/>
          <w:sz w:val="24"/>
          <w:lang w:eastAsia="zh-CN"/>
        </w:rPr>
        <w:t>公司公章</w:t>
      </w:r>
      <w:r>
        <w:rPr>
          <w:spacing w:val="-9"/>
          <w:sz w:val="24"/>
        </w:rPr>
        <w:t xml:space="preserve">)： </w:t>
      </w:r>
    </w:p>
    <w:p>
      <w:pPr>
        <w:keepNext w:val="0"/>
        <w:keepLines w:val="0"/>
        <w:pageBreakBefore w:val="0"/>
        <w:widowControl w:val="0"/>
        <w:tabs>
          <w:tab w:val="left" w:pos="7179"/>
          <w:tab w:val="left" w:pos="7659"/>
          <w:tab w:val="left" w:pos="8259"/>
        </w:tabs>
        <w:kinsoku/>
        <w:wordWrap/>
        <w:overflowPunct/>
        <w:topLinePunct w:val="0"/>
        <w:autoSpaceDE w:val="0"/>
        <w:autoSpaceDN w:val="0"/>
        <w:bidi w:val="0"/>
        <w:adjustRightInd/>
        <w:snapToGrid/>
        <w:spacing w:line="360" w:lineRule="auto"/>
        <w:ind w:right="0" w:firstLine="5280" w:firstLineChars="2200"/>
        <w:jc w:val="left"/>
        <w:textAlignment w:val="auto"/>
        <w:rPr>
          <w:sz w:val="24"/>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pPr>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jc w:val="left"/>
        <w:textAlignment w:val="auto"/>
        <w:rPr>
          <w:sz w:val="24"/>
        </w:rPr>
        <w:sectPr>
          <w:headerReference r:id="rId8" w:type="default"/>
          <w:pgSz w:w="11910" w:h="16840"/>
          <w:pgMar w:top="1440" w:right="1080" w:bottom="1440" w:left="1080" w:header="227" w:footer="680" w:gutter="0"/>
          <w:cols w:space="720" w:num="1"/>
        </w:sectPr>
      </w:pPr>
    </w:p>
    <w:bookmarkEnd w:id="146"/>
    <w:p>
      <w:pPr>
        <w:spacing w:before="50"/>
        <w:ind w:left="179" w:right="115"/>
        <w:jc w:val="center"/>
        <w:outlineLvl w:val="0"/>
        <w:rPr>
          <w:rFonts w:hint="eastAsia"/>
          <w:b/>
          <w:sz w:val="44"/>
          <w:szCs w:val="32"/>
          <w:lang w:val="en-US" w:eastAsia="zh-CN"/>
        </w:rPr>
      </w:pPr>
      <w:bookmarkStart w:id="147" w:name="十一、反商业贿赂承诺书"/>
      <w:bookmarkEnd w:id="147"/>
      <w:bookmarkStart w:id="148" w:name="十、项目保密承诺书"/>
      <w:bookmarkEnd w:id="148"/>
      <w:bookmarkStart w:id="149" w:name="_Toc2266"/>
      <w:r>
        <w:rPr>
          <w:rFonts w:hint="eastAsia"/>
          <w:b/>
          <w:sz w:val="44"/>
          <w:szCs w:val="32"/>
          <w:lang w:val="en-US" w:eastAsia="zh-CN"/>
        </w:rPr>
        <w:t>十、反商业贿赂声明书</w:t>
      </w:r>
      <w:bookmarkEnd w:id="149"/>
    </w:p>
    <w:p>
      <w:pPr>
        <w:pStyle w:val="11"/>
        <w:spacing w:before="21" w:line="566" w:lineRule="auto"/>
        <w:ind w:right="646"/>
        <w:jc w:val="both"/>
      </w:pPr>
    </w:p>
    <w:p>
      <w:pPr>
        <w:pStyle w:val="11"/>
        <w:spacing w:before="21" w:line="566" w:lineRule="auto"/>
        <w:ind w:left="225" w:right="646" w:firstLine="540"/>
        <w:jc w:val="both"/>
      </w:pPr>
      <w:r>
        <w:t>我单位承诺：</w:t>
      </w:r>
    </w:p>
    <w:p>
      <w:pPr>
        <w:pStyle w:val="11"/>
        <w:spacing w:before="21" w:line="566" w:lineRule="auto"/>
        <w:ind w:left="225" w:right="646" w:firstLine="540"/>
        <w:jc w:val="both"/>
      </w:pPr>
      <w:r>
        <w:t>在</w:t>
      </w:r>
      <w:r>
        <w:rPr>
          <w:rFonts w:hint="eastAsia"/>
          <w:u w:val="single"/>
          <w:lang w:val="en-US"/>
        </w:rPr>
        <w:t xml:space="preserve">                       （项目名称）</w:t>
      </w:r>
      <w:r>
        <w:rPr>
          <w:rFonts w:hint="eastAsia"/>
        </w:rPr>
        <w:t>采购</w:t>
      </w:r>
      <w:r>
        <w:t xml:space="preserve">活动中，我单位保证做到： </w:t>
      </w:r>
    </w:p>
    <w:p>
      <w:pPr>
        <w:pStyle w:val="11"/>
        <w:tabs>
          <w:tab w:val="left" w:pos="5855"/>
        </w:tabs>
        <w:spacing w:line="552" w:lineRule="auto"/>
        <w:ind w:right="609" w:firstLine="720" w:firstLineChars="300"/>
      </w:pPr>
      <w:r>
        <w:t>一、公平竞争参加本次招标活动。</w:t>
      </w:r>
    </w:p>
    <w:p>
      <w:pPr>
        <w:pStyle w:val="11"/>
        <w:spacing w:before="21" w:line="566" w:lineRule="auto"/>
        <w:ind w:left="225" w:right="646" w:firstLine="540"/>
        <w:jc w:val="both"/>
      </w:pPr>
      <w: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11"/>
        <w:spacing w:line="576" w:lineRule="auto"/>
        <w:ind w:left="225" w:right="646" w:firstLine="540"/>
      </w:pPr>
      <w:r>
        <w:t>三、若出现上述行为，我公司及参与投标的工作人员愿意接受按照国家法律法规等有关规定给予的处罚。</w:t>
      </w:r>
    </w:p>
    <w:p>
      <w:pPr>
        <w:pStyle w:val="11"/>
      </w:pPr>
    </w:p>
    <w:p>
      <w:pPr>
        <w:pStyle w:val="11"/>
      </w:pPr>
    </w:p>
    <w:p>
      <w:pPr>
        <w:pStyle w:val="11"/>
      </w:pPr>
    </w:p>
    <w:p>
      <w:pPr>
        <w:pStyle w:val="11"/>
        <w:spacing w:before="207"/>
        <w:ind w:left="4190"/>
      </w:pPr>
      <w:r>
        <w:rPr>
          <w:rFonts w:hint="eastAsia"/>
          <w:lang w:eastAsia="zh-CN"/>
        </w:rPr>
        <w:t>投标人</w:t>
      </w:r>
      <w:r>
        <w:t>（盖章</w:t>
      </w:r>
      <w:r>
        <w:rPr>
          <w:spacing w:val="-120"/>
        </w:rPr>
        <w:t>）</w:t>
      </w:r>
      <w:r>
        <w:t>：</w:t>
      </w:r>
    </w:p>
    <w:p>
      <w:pPr>
        <w:pStyle w:val="11"/>
        <w:spacing w:before="7"/>
        <w:rPr>
          <w:sz w:val="32"/>
        </w:rPr>
      </w:pPr>
    </w:p>
    <w:p>
      <w:pPr>
        <w:pStyle w:val="11"/>
        <w:tabs>
          <w:tab w:val="left" w:pos="5030"/>
          <w:tab w:val="left" w:pos="5990"/>
        </w:tabs>
        <w:spacing w:line="567" w:lineRule="auto"/>
        <w:ind w:firstLine="4080" w:firstLineChars="1700"/>
        <w:rPr>
          <w:spacing w:val="-9"/>
        </w:rPr>
      </w:pPr>
      <w:r>
        <w:t>法定代表人（签字或盖章</w:t>
      </w:r>
      <w:r>
        <w:rPr>
          <w:spacing w:val="-129"/>
        </w:rPr>
        <w:t>）</w:t>
      </w:r>
      <w:r>
        <w:rPr>
          <w:spacing w:val="-9"/>
        </w:rPr>
        <w:t>：</w:t>
      </w:r>
    </w:p>
    <w:p>
      <w:pPr>
        <w:pStyle w:val="11"/>
        <w:tabs>
          <w:tab w:val="left" w:pos="5030"/>
          <w:tab w:val="left" w:pos="5990"/>
        </w:tabs>
        <w:spacing w:line="566" w:lineRule="auto"/>
        <w:ind w:left="4070" w:right="2693" w:firstLine="60"/>
      </w:pPr>
      <w:r>
        <w:t>年</w:t>
      </w:r>
      <w:r>
        <w:tab/>
      </w:r>
      <w:r>
        <w:t>月</w:t>
      </w:r>
      <w:r>
        <w:tab/>
      </w:r>
      <w:r>
        <w:t>日</w:t>
      </w:r>
    </w:p>
    <w:p>
      <w:pPr>
        <w:spacing w:before="55"/>
        <w:ind w:right="1536" w:firstLine="3534" w:firstLineChars="1100"/>
        <w:jc w:val="both"/>
        <w:rPr>
          <w:b/>
          <w:sz w:val="32"/>
        </w:rPr>
      </w:pPr>
    </w:p>
    <w:p>
      <w:pPr>
        <w:pStyle w:val="41"/>
      </w:pPr>
    </w:p>
    <w:p>
      <w:pPr>
        <w:pStyle w:val="20"/>
      </w:pPr>
    </w:p>
    <w:p>
      <w:pPr>
        <w:spacing w:before="55"/>
        <w:ind w:right="1536" w:firstLine="3534" w:firstLineChars="1100"/>
        <w:jc w:val="both"/>
        <w:rPr>
          <w:b/>
          <w:sz w:val="32"/>
        </w:rPr>
      </w:pPr>
    </w:p>
    <w:p>
      <w:pPr>
        <w:spacing w:before="55"/>
        <w:ind w:right="1536" w:firstLine="3534" w:firstLineChars="1100"/>
        <w:jc w:val="both"/>
        <w:rPr>
          <w:b/>
          <w:sz w:val="32"/>
        </w:rPr>
      </w:pPr>
    </w:p>
    <w:p>
      <w:pPr>
        <w:pStyle w:val="20"/>
      </w:pPr>
    </w:p>
    <w:p>
      <w:pPr>
        <w:pStyle w:val="20"/>
        <w:rPr>
          <w:b/>
          <w:sz w:val="32"/>
        </w:rPr>
      </w:pPr>
    </w:p>
    <w:p>
      <w:pPr>
        <w:pStyle w:val="20"/>
        <w:rPr>
          <w:b/>
          <w:sz w:val="32"/>
        </w:rPr>
      </w:pPr>
    </w:p>
    <w:p>
      <w:pPr>
        <w:numPr>
          <w:ilvl w:val="0"/>
          <w:numId w:val="12"/>
        </w:numPr>
        <w:spacing w:before="50"/>
        <w:ind w:left="179" w:right="115"/>
        <w:jc w:val="center"/>
        <w:outlineLvl w:val="0"/>
        <w:rPr>
          <w:rFonts w:hint="eastAsia"/>
          <w:b/>
          <w:sz w:val="44"/>
          <w:szCs w:val="32"/>
          <w:lang w:val="en-US" w:eastAsia="zh-CN"/>
        </w:rPr>
      </w:pPr>
      <w:bookmarkStart w:id="150" w:name="_Toc10848"/>
      <w:r>
        <w:rPr>
          <w:rFonts w:hint="eastAsia"/>
          <w:b/>
          <w:sz w:val="44"/>
          <w:szCs w:val="32"/>
          <w:lang w:val="en-US" w:eastAsia="zh-CN"/>
        </w:rPr>
        <w:t>投标人认为需要提供的其他资料</w:t>
      </w:r>
    </w:p>
    <w:p>
      <w:pPr>
        <w:numPr>
          <w:ilvl w:val="0"/>
          <w:numId w:val="0"/>
        </w:numPr>
        <w:spacing w:before="50"/>
        <w:ind w:right="115" w:rightChars="0"/>
        <w:jc w:val="center"/>
        <w:outlineLvl w:val="0"/>
        <w:rPr>
          <w:rFonts w:hint="eastAsia"/>
          <w:b/>
          <w:sz w:val="44"/>
          <w:szCs w:val="32"/>
          <w:lang w:val="en-US" w:eastAsia="zh-CN"/>
        </w:rPr>
      </w:pPr>
      <w:r>
        <w:rPr>
          <w:rFonts w:hint="eastAsia"/>
          <w:b/>
          <w:sz w:val="44"/>
          <w:szCs w:val="32"/>
          <w:lang w:val="en-US" w:eastAsia="zh-CN"/>
        </w:rPr>
        <w:t>（无固定格式）</w:t>
      </w:r>
      <w:bookmarkEnd w:id="150"/>
    </w:p>
    <w:p>
      <w:pPr>
        <w:pStyle w:val="41"/>
        <w:rPr>
          <w:b/>
          <w:bCs/>
          <w:color w:val="FF0000"/>
          <w:sz w:val="28"/>
          <w:szCs w:val="28"/>
          <w:lang w:val="en-US"/>
        </w:rPr>
      </w:pPr>
    </w:p>
    <w:p>
      <w:pPr>
        <w:pStyle w:val="41"/>
        <w:spacing w:line="480" w:lineRule="auto"/>
        <w:ind w:left="620"/>
        <w:outlineLvl w:val="0"/>
        <w:rPr>
          <w:rFonts w:cs="仿宋_GB2312"/>
          <w:b/>
          <w:bCs/>
          <w:color w:val="0000FF"/>
          <w:sz w:val="28"/>
          <w:szCs w:val="28"/>
          <w:lang w:val="en-US"/>
        </w:rPr>
      </w:pPr>
      <w:bookmarkStart w:id="151" w:name="_Toc18944"/>
      <w:r>
        <w:rPr>
          <w:rFonts w:hint="eastAsia"/>
          <w:b/>
          <w:bCs/>
          <w:color w:val="0000FF"/>
          <w:sz w:val="28"/>
          <w:szCs w:val="28"/>
          <w:lang w:val="en-US"/>
        </w:rPr>
        <w:t>提供的其他资料参考“第五章</w:t>
      </w:r>
      <w:r>
        <w:rPr>
          <w:b/>
          <w:bCs/>
          <w:color w:val="0000FF"/>
          <w:sz w:val="28"/>
          <w:szCs w:val="28"/>
        </w:rPr>
        <w:t>评标方法与评标标准</w:t>
      </w:r>
      <w:r>
        <w:rPr>
          <w:rFonts w:hint="eastAsia"/>
          <w:b/>
          <w:bCs/>
          <w:color w:val="0000FF"/>
          <w:sz w:val="28"/>
          <w:szCs w:val="28"/>
          <w:lang w:val="en-US"/>
        </w:rPr>
        <w:t>”内容。</w:t>
      </w:r>
      <w:bookmarkEnd w:id="151"/>
    </w:p>
    <w:p>
      <w:pPr>
        <w:pStyle w:val="41"/>
        <w:spacing w:line="480" w:lineRule="auto"/>
        <w:rPr>
          <w:b/>
          <w:color w:val="FF0000"/>
          <w:w w:val="95"/>
          <w:szCs w:val="24"/>
          <w:lang w:val="en-US"/>
        </w:rPr>
      </w:pPr>
    </w:p>
    <w:p>
      <w:pPr>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spacing w:line="360" w:lineRule="auto"/>
        <w:rPr>
          <w:rFonts w:hint="eastAsia" w:ascii="仿宋" w:hAnsi="仿宋" w:eastAsia="仿宋" w:cs="仿宋"/>
          <w:b/>
          <w:bCs/>
          <w:sz w:val="32"/>
          <w:szCs w:val="32"/>
        </w:rPr>
      </w:pPr>
      <w:r>
        <w:rPr>
          <w:rFonts w:hint="eastAsia"/>
          <w:bCs/>
          <w:sz w:val="24"/>
          <w:szCs w:val="24"/>
          <w:lang w:val="en-US" w:eastAsia="zh-CN"/>
        </w:rPr>
        <w:t>附件1</w:t>
      </w:r>
    </w:p>
    <w:p>
      <w:pPr>
        <w:jc w:val="center"/>
        <w:rPr>
          <w:rFonts w:ascii="仿宋" w:hAnsi="仿宋" w:eastAsia="仿宋" w:cs="仿宋"/>
          <w:b/>
          <w:bCs/>
          <w:sz w:val="44"/>
          <w:szCs w:val="44"/>
        </w:rPr>
      </w:pPr>
      <w:r>
        <w:rPr>
          <w:rFonts w:hint="eastAsia" w:ascii="仿宋" w:hAnsi="仿宋" w:eastAsia="仿宋" w:cs="仿宋"/>
          <w:b/>
          <w:bCs/>
          <w:sz w:val="44"/>
          <w:szCs w:val="44"/>
        </w:rPr>
        <w:t>质疑函范本</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一、质疑供应商基本信息</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质疑供应商：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地址：                          邮编：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联系人：                      联系电话：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授权代表：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联系电话：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地址：                         邮编：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二、质疑项目基本情况</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质疑项目的名称：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质疑项目的编号：               包号：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采购人名称：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采购文件获取日期：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三、质疑事项具体内容</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质疑事项1：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事实依据：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法律依据：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质疑事项2</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四、与质疑事项相关的质疑请求</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请求：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签字(签章)：                   公章：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日期：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质疑函制作说明：</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1.供应商提出质疑时，应提交质疑函和必要的证明材料。</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3.质疑供应商若对项目的某一分包进行质疑，质疑函中应列明具体分包号。</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4.质疑函的质疑事项应具体、明确，并有必要的事实依据和法律依据。</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5.质疑函的质疑请求应与质疑事项相关。</w:t>
      </w:r>
    </w:p>
    <w:p>
      <w:pPr>
        <w:pStyle w:val="20"/>
        <w:keepNext w:val="0"/>
        <w:keepLines w:val="0"/>
        <w:pageBreakBefore w:val="0"/>
        <w:widowControl w:val="0"/>
        <w:kinsoku/>
        <w:wordWrap/>
        <w:overflowPunct/>
        <w:topLinePunct w:val="0"/>
        <w:autoSpaceDE w:val="0"/>
        <w:autoSpaceDN w:val="0"/>
        <w:bidi w:val="0"/>
        <w:adjustRightInd/>
        <w:spacing w:line="312" w:lineRule="auto"/>
        <w:textAlignment w:val="auto"/>
      </w:pPr>
      <w:r>
        <w:rPr>
          <w:rFonts w:hint="eastAsia"/>
          <w:sz w:val="24"/>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11" w:h="16838"/>
      <w:pgMar w:top="1100" w:right="1185" w:bottom="1179" w:left="1174" w:header="879" w:footer="986"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2210435</wp:posOffset>
              </wp:positionH>
              <wp:positionV relativeFrom="page">
                <wp:posOffset>544830</wp:posOffset>
              </wp:positionV>
              <wp:extent cx="3007995" cy="1397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line="220" w:lineRule="exact"/>
                            <w:rPr>
                              <w:rFonts w:ascii="仿宋_GB2312" w:eastAsia="仿宋_GB2312"/>
                              <w:b/>
                              <w:sz w:val="18"/>
                            </w:rPr>
                          </w:pPr>
                        </w:p>
                      </w:txbxContent>
                    </wps:txbx>
                    <wps:bodyPr wrap="square" lIns="0" tIns="0" rIns="0" bIns="0" upright="1"/>
                  </wps:wsp>
                </a:graphicData>
              </a:graphic>
            </wp:anchor>
          </w:drawing>
        </mc:Choice>
        <mc:Fallback>
          <w:pict>
            <v:shape id="文本框 2" o:spid="_x0000_s1026" o:spt="202" type="#_x0000_t202" style="position:absolute;left:0pt;margin-left:174.05pt;margin-top:42.9pt;height:11pt;width:236.85pt;mso-position-horizontal-relative:page;mso-position-vertical-relative:page;z-index:-251656192;mso-width-relative:page;mso-height-relative:page;" filled="f" stroked="f" coordsize="21600,21600" o:gfxdata="UEsDBAoAAAAAAIdO4kAAAAAAAAAAAAAAAAAEAAAAZHJzL1BLAwQUAAAACACHTuJAnvF5i9gAAAAK&#10;AQAADwAAAGRycy9kb3ducmV2LnhtbE2PTU/DMAyG70j8h8hI3FjSASOUphNCcEJCdOXAMW28tlrj&#10;lCb74N9jTnCz5Uevn7dYn/woDjjHIZCBbKFAILXBDdQZ+KhfrjSImCw5OwZCA98YYV2enxU2d+FI&#10;FR42qRMcQjG3BvqUplzK2PbobVyECYlv2zB7m3idO+lme+RwP8qlUivp7UD8obcTPvXY7jZ7b+Dx&#10;k6rn4eutea+21VDX94peVztjLi8y9QAi4Sn9wfCrz+pQslMT9uSiGA1c3+iMUQP6liswoJcZDw2T&#10;6k6DLAv5v0L5A1BLAwQUAAAACACHTuJAesXbrcoBAACOAwAADgAAAGRycy9lMm9Eb2MueG1srVPN&#10;jtMwEL4j8Q6W7zRpV7C0aroSqhYhIUBaeADXmTSW/MfYbdIXgDfgxIU7z9Xn2LGTlGW57IGLM54Z&#10;fzPfN5P1TW80OwIG5WzF57OSM7DS1cruK/7l8+2L15yFKGwttLNQ8RMEfrN5/mzd+RUsXOt0DcgI&#10;xIZV5yvexuhXRRFkC0aEmfNgKdg4NCLSFfdFjaIjdKOLRVm+KjqHtUcnIQTybocgHxHxKYCuaZSE&#10;rZMHAzYOqAhaRKIUWuUD3+RumwZk/Ng0ASLTFSemMZ9UhOxdOovNWqz2KHyr5NiCeEoLjzgZoSwV&#10;vUBtRRTsgOofKKMkuuCaOJPOFAORrAixmJePtLlrhYfMhaQO/iJ6+H+w8sPxEzJVV3zJmRWGBn7+&#10;8f388/f51ze2SPJ0Pqwo685TXuzfuJ6WZvIHcibWfYMmfYkPoziJe7qIC31kkpxXZXm9XL7kTFJs&#10;frW8LrP6xZ/XHkN8C86wZFQcaXhZU3F8HyJ1QqlTSipm3a3SOg9Q278clDh4IG/A+DoRGRpOVux3&#10;/chu5+oTketoCyoevh4EAmf6nSWZ08pMBk7GbjIOHtW+pVazIEWCpTHlRseVSnvw8E72w99oc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e8XmL2AAAAAoBAAAPAAAAAAAAAAEAIAAAACIAAABkcnMv&#10;ZG93bnJldi54bWxQSwECFAAUAAAACACHTuJAesXbrcoBAACOAwAADgAAAAAAAAABACAAAAAnAQAA&#10;ZHJzL2Uyb0RvYy54bWxQSwUGAAAAAAYABgBZAQAAYwUAAAAA&#10;">
              <v:fill on="f" focussize="0,0"/>
              <v:stroke on="f"/>
              <v:imagedata o:title=""/>
              <o:lock v:ext="edit" aspectratio="f"/>
              <v:textbox inset="0mm,0mm,0mm,0mm">
                <w:txbxContent>
                  <w:p>
                    <w:pPr>
                      <w:spacing w:line="220" w:lineRule="exact"/>
                      <w:rPr>
                        <w:rFonts w:ascii="仿宋_GB2312" w:eastAsia="仿宋_GB2312"/>
                        <w:b/>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2481580</wp:posOffset>
              </wp:positionH>
              <wp:positionV relativeFrom="page">
                <wp:posOffset>5080</wp:posOffset>
              </wp:positionV>
              <wp:extent cx="3007995" cy="139700"/>
              <wp:effectExtent l="0" t="0" r="0" b="0"/>
              <wp:wrapNone/>
              <wp:docPr id="15" name="文本框 14"/>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line="220" w:lineRule="exact"/>
                            <w:rPr>
                              <w:rFonts w:ascii="仿宋_GB2312" w:eastAsia="仿宋_GB2312"/>
                              <w:b/>
                              <w:sz w:val="18"/>
                            </w:rPr>
                          </w:pPr>
                        </w:p>
                      </w:txbxContent>
                    </wps:txbx>
                    <wps:bodyPr wrap="square" lIns="0" tIns="0" rIns="0" bIns="0" upright="1"/>
                  </wps:wsp>
                </a:graphicData>
              </a:graphic>
            </wp:anchor>
          </w:drawing>
        </mc:Choice>
        <mc:Fallback>
          <w:pict>
            <v:shape id="文本框 14" o:spid="_x0000_s1026" o:spt="202" type="#_x0000_t202" style="position:absolute;left:0pt;margin-left:195.4pt;margin-top:0.4pt;height:11pt;width:236.85pt;mso-position-horizontal-relative:page;mso-position-vertical-relative:page;z-index:-251655168;mso-width-relative:page;mso-height-relative:page;" filled="f" stroked="f" coordsize="21600,21600" o:gfxdata="UEsDBAoAAAAAAIdO4kAAAAAAAAAAAAAAAAAEAAAAZHJzL1BLAwQUAAAACACHTuJAYzr5W9cAAAAH&#10;AQAADwAAAGRycy9kb3ducmV2LnhtbE3OTU/DMAwG4DsS/yEyEjeWrEDVlboTmuCEhOjKgWPaeG21&#10;xuma7IN/TzjBxZL1Wq+fYn2xozjR7AfHCMuFAkHcOjNwh/BZv95lIHzQbPTomBC+ycO6vL4qdG7c&#10;mSs6bUMnYgn7XCP0IUy5lL7tyWq/cBNxzHZutjrEde6kmfU5lttRJkql0uqB44deT7Tpqd1vjxbh&#10;+Yurl+Hw3nxUu2qo65Xit3SPeHuzVE8gAl3C3zH88iMdymhq3JGNFyPC/UpFekCIM8ZZ+vAIokFI&#10;kgxkWcj//vIHUEsDBBQAAAAIAIdO4kDjS9xAywEAAJADAAAOAAAAZHJzL2Uyb0RvYy54bWytU82O&#10;0zAQviPxDpbvNOkusLRquhKqFiEhQFp4ANeZNJb8x9ht0heAN+DEhTvP1edg7CTdHy574OKMZ8bf&#10;zPfNZHXdG80OgEE5W/H5rOQMrHS1sruKf/1y8+INZyEKWwvtLFT8CIFfr58/W3V+CReudboGZARi&#10;w7LzFW9j9MuiCLIFI8LMebAUbBwaEemKu6JG0RG60cVFWb4uOoe1RychBPJuhiAfEfEpgK5plISN&#10;k3sDNg6oCFpEohRa5QNf526bBmT81DQBItMVJ6Yxn1SE7G06i/VKLHcofKvk2IJ4SguPOBmhLBU9&#10;Q21EFGyP6h8ooyS64Jo4k84UA5GsCLGYl4+0uW2Fh8yFpA7+LHr4f7Dy4+EzMlXTJrzizApDEz/9&#10;/HH69ef0+zubv0wCdT4sKe/WU2bs37qekid/IGfi3Tdo0pcYMYqTvMezvNBHJsl5WZZXiwWVkRSb&#10;Xy6uyqx/cffaY4jvwBmWjIojjS+rKg4fQqROKHVKScWsu1Fa5xFq+8BBiYMH8g6MrxORoeFkxX7b&#10;j+y2rj4SuY72oOLh214gcKbfWxI6Lc1k4GRsJ2PvUe1aajULUiRYGlRudFyqtAn372Tf/5H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Ovlb1wAAAAcBAAAPAAAAAAAAAAEAIAAAACIAAABkcnMv&#10;ZG93bnJldi54bWxQSwECFAAUAAAACACHTuJA40vcQMsBAACQAwAADgAAAAAAAAABACAAAAAmAQAA&#10;ZHJzL2Uyb0RvYy54bWxQSwUGAAAAAAYABgBZAQAAYwUAAAAA&#10;">
              <v:fill on="f" focussize="0,0"/>
              <v:stroke on="f"/>
              <v:imagedata o:title=""/>
              <o:lock v:ext="edit" aspectratio="f"/>
              <v:textbox inset="0mm,0mm,0mm,0mm">
                <w:txbxContent>
                  <w:p>
                    <w:pPr>
                      <w:spacing w:line="220" w:lineRule="exact"/>
                      <w:rPr>
                        <w:rFonts w:ascii="仿宋_GB2312" w:eastAsia="仿宋_GB2312"/>
                        <w:b/>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2280920</wp:posOffset>
              </wp:positionH>
              <wp:positionV relativeFrom="page">
                <wp:posOffset>544830</wp:posOffset>
              </wp:positionV>
              <wp:extent cx="3007995" cy="1397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line="220" w:lineRule="exact"/>
                            <w:ind w:left="20"/>
                            <w:rPr>
                              <w:rFonts w:ascii="仿宋_GB2312" w:eastAsia="仿宋_GB2312"/>
                              <w:b/>
                              <w:sz w:val="18"/>
                            </w:rPr>
                          </w:pPr>
                        </w:p>
                      </w:txbxContent>
                    </wps:txbx>
                    <wps:bodyPr wrap="square" lIns="0" tIns="0" rIns="0" bIns="0" upright="1"/>
                  </wps:wsp>
                </a:graphicData>
              </a:graphic>
            </wp:anchor>
          </w:drawing>
        </mc:Choice>
        <mc:Fallback>
          <w:pict>
            <v:shape id="_x0000_s1026" o:spid="_x0000_s1026" o:spt="202" type="#_x0000_t202" style="position:absolute;left:0pt;margin-left:179.6pt;margin-top:42.9pt;height:11pt;width:236.85pt;mso-position-horizontal-relative:page;mso-position-vertical-relative:page;z-index:-251654144;mso-width-relative:page;mso-height-relative:page;" filled="f" stroked="f" coordsize="21600,21600" o:gfxdata="UEsDBAoAAAAAAIdO4kAAAAAAAAAAAAAAAAAEAAAAZHJzL1BLAwQUAAAACACHTuJAhGrfOtkAAAAK&#10;AQAADwAAAGRycy9kb3ducmV2LnhtbE2Py07DMBBF90j8gzVI7KjdVC1JiFMhBCskRBoWLJ14mkSN&#10;xyF2H/w9wwqWozm699xie3GjOOEcBk8algsFAqn1dqBOw0f9cpeCCNGQNaMn1PCNAbbl9VVhcuvP&#10;VOFpFzvBIRRyo6GPccqlDG2PzoSFn5D4t/ezM5HPuZN2NmcOd6NMlNpIZwbiht5M+NRje9gdnYbH&#10;T6qeh6+35r3aV0NdZ4peNwetb2+W6gFExEv8g+FXn9WhZKfGH8kGMWpYrbOEUQ3pmicwkK6SDETD&#10;pLpPQZaF/D+h/AFQSwMEFAAAAAgAh07iQHzNMb7LAQAAkAMAAA4AAABkcnMvZTJvRG9jLnhtbK1T&#10;zY7TMBC+I/EOlu806VawtGq6EqoWISFAWngA15k0lvzH2G3SF4A34MSFO8/V59ixk5RlueyBizOe&#10;GX8z3zeT9U1vNDsCBuVsxeezkjOw0tXK7iv+5fPti9echShsLbSzUPETBH6zef5s3fkVXLnW6RqQ&#10;EYgNq85XvI3Rr4oiyBaMCDPnwVKwcWhEpCvuixpFR+hGF1dl+aroHNYenYQQyLsdgnxExKcAuqZR&#10;ErZOHgzYOKAiaBGJUmiVD3yTu20akPFj0wSITFecmMZ8UhGyd+ksNmux2qPwrZJjC+IpLTziZISy&#10;VPQCtRVRsAOqf6CMkuiCa+JMOlMMRLIixGJePtLmrhUeMheSOviL6OH/wcoPx0/IVF3xxZwzKwxN&#10;/Pzj+/nn7/Ovb4x8JFDnw4ry7jxlxv6N62ltJn8gZ+LdN2jSlxgxipO8p4u80Ecmybkoy+vl8iVn&#10;kmLzxfK6zPoXf157DPEtOMOSUXGk8WVVxfF9iNQJpU4pqZh1t0rrPEJt/3JQ4uCBvAPj60RkaDhZ&#10;sd/1I7udq09ErqM9qHj4ehAInOl3loROSzMZOBm7yTh4VPuWWs2CFAmWBpUbHZcqbcLDO9kPf6TN&#10;P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Rq3zrZAAAACgEAAA8AAAAAAAAAAQAgAAAAIgAAAGRy&#10;cy9kb3ducmV2LnhtbFBLAQIUABQAAAAIAIdO4kB8zTG+ywEAAJADAAAOAAAAAAAAAAEAIAAAACgB&#10;AABkcnMvZTJvRG9jLnhtbFBLBQYAAAAABgAGAFkBAABlBQAAAAA=&#10;">
              <v:fill on="f" focussize="0,0"/>
              <v:stroke on="f"/>
              <v:imagedata o:title=""/>
              <o:lock v:ext="edit" aspectratio="f"/>
              <v:textbox inset="0mm,0mm,0mm,0mm">
                <w:txbxContent>
                  <w:p>
                    <w:pPr>
                      <w:spacing w:line="220" w:lineRule="exact"/>
                      <w:ind w:left="20"/>
                      <w:rPr>
                        <w:rFonts w:ascii="仿宋_GB2312" w:eastAsia="仿宋_GB2312"/>
                        <w:b/>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FB87F"/>
    <w:multiLevelType w:val="singleLevel"/>
    <w:tmpl w:val="C5CFB87F"/>
    <w:lvl w:ilvl="0" w:tentative="0">
      <w:start w:val="6"/>
      <w:numFmt w:val="chineseCounting"/>
      <w:lvlText w:val="第%1章"/>
      <w:lvlJc w:val="left"/>
      <w:rPr>
        <w:rFonts w:hint="eastAsia"/>
      </w:rPr>
    </w:lvl>
  </w:abstractNum>
  <w:abstractNum w:abstractNumId="1">
    <w:nsid w:val="E0294EC7"/>
    <w:multiLevelType w:val="multilevel"/>
    <w:tmpl w:val="E0294EC7"/>
    <w:lvl w:ilvl="0" w:tentative="0">
      <w:start w:val="1"/>
      <w:numFmt w:val="decimal"/>
      <w:lvlText w:val="%1."/>
      <w:lvlJc w:val="left"/>
      <w:pPr>
        <w:ind w:left="396" w:hanging="181"/>
        <w:jc w:val="right"/>
      </w:pPr>
      <w:rPr>
        <w:rFonts w:hint="default"/>
        <w:spacing w:val="-54"/>
        <w:w w:val="100"/>
        <w:lang w:val="zh-CN" w:eastAsia="zh-CN" w:bidi="zh-CN"/>
      </w:rPr>
    </w:lvl>
    <w:lvl w:ilvl="1" w:tentative="0">
      <w:start w:val="1"/>
      <w:numFmt w:val="decimal"/>
      <w:lvlText w:val="%2."/>
      <w:lvlJc w:val="left"/>
      <w:pPr>
        <w:ind w:left="1060" w:hanging="212"/>
        <w:jc w:val="left"/>
      </w:pPr>
      <w:rPr>
        <w:rFonts w:hint="default" w:ascii="宋体" w:hAnsi="宋体" w:eastAsia="宋体" w:cs="宋体"/>
        <w:spacing w:val="-1"/>
        <w:w w:val="100"/>
        <w:sz w:val="19"/>
        <w:szCs w:val="19"/>
        <w:lang w:val="zh-CN" w:eastAsia="zh-CN" w:bidi="zh-CN"/>
      </w:rPr>
    </w:lvl>
    <w:lvl w:ilvl="2" w:tentative="0">
      <w:start w:val="0"/>
      <w:numFmt w:val="bullet"/>
      <w:lvlText w:val="•"/>
      <w:lvlJc w:val="left"/>
      <w:pPr>
        <w:ind w:left="2138" w:hanging="212"/>
      </w:pPr>
      <w:rPr>
        <w:rFonts w:hint="default"/>
        <w:lang w:val="zh-CN" w:eastAsia="zh-CN" w:bidi="zh-CN"/>
      </w:rPr>
    </w:lvl>
    <w:lvl w:ilvl="3" w:tentative="0">
      <w:start w:val="0"/>
      <w:numFmt w:val="bullet"/>
      <w:lvlText w:val="•"/>
      <w:lvlJc w:val="left"/>
      <w:pPr>
        <w:ind w:left="3216" w:hanging="212"/>
      </w:pPr>
      <w:rPr>
        <w:rFonts w:hint="default"/>
        <w:lang w:val="zh-CN" w:eastAsia="zh-CN" w:bidi="zh-CN"/>
      </w:rPr>
    </w:lvl>
    <w:lvl w:ilvl="4" w:tentative="0">
      <w:start w:val="0"/>
      <w:numFmt w:val="bullet"/>
      <w:lvlText w:val="•"/>
      <w:lvlJc w:val="left"/>
      <w:pPr>
        <w:ind w:left="4295" w:hanging="212"/>
      </w:pPr>
      <w:rPr>
        <w:rFonts w:hint="default"/>
        <w:lang w:val="zh-CN" w:eastAsia="zh-CN" w:bidi="zh-CN"/>
      </w:rPr>
    </w:lvl>
    <w:lvl w:ilvl="5" w:tentative="0">
      <w:start w:val="0"/>
      <w:numFmt w:val="bullet"/>
      <w:lvlText w:val="•"/>
      <w:lvlJc w:val="left"/>
      <w:pPr>
        <w:ind w:left="5373" w:hanging="212"/>
      </w:pPr>
      <w:rPr>
        <w:rFonts w:hint="default"/>
        <w:lang w:val="zh-CN" w:eastAsia="zh-CN" w:bidi="zh-CN"/>
      </w:rPr>
    </w:lvl>
    <w:lvl w:ilvl="6" w:tentative="0">
      <w:start w:val="0"/>
      <w:numFmt w:val="bullet"/>
      <w:lvlText w:val="•"/>
      <w:lvlJc w:val="left"/>
      <w:pPr>
        <w:ind w:left="6451" w:hanging="212"/>
      </w:pPr>
      <w:rPr>
        <w:rFonts w:hint="default"/>
        <w:lang w:val="zh-CN" w:eastAsia="zh-CN" w:bidi="zh-CN"/>
      </w:rPr>
    </w:lvl>
    <w:lvl w:ilvl="7" w:tentative="0">
      <w:start w:val="0"/>
      <w:numFmt w:val="bullet"/>
      <w:lvlText w:val="•"/>
      <w:lvlJc w:val="left"/>
      <w:pPr>
        <w:ind w:left="7530" w:hanging="212"/>
      </w:pPr>
      <w:rPr>
        <w:rFonts w:hint="default"/>
        <w:lang w:val="zh-CN" w:eastAsia="zh-CN" w:bidi="zh-CN"/>
      </w:rPr>
    </w:lvl>
    <w:lvl w:ilvl="8" w:tentative="0">
      <w:start w:val="0"/>
      <w:numFmt w:val="bullet"/>
      <w:lvlText w:val="•"/>
      <w:lvlJc w:val="left"/>
      <w:pPr>
        <w:ind w:left="8608" w:hanging="212"/>
      </w:pPr>
      <w:rPr>
        <w:rFonts w:hint="default"/>
        <w:lang w:val="zh-CN" w:eastAsia="zh-CN" w:bidi="zh-CN"/>
      </w:rPr>
    </w:lvl>
  </w:abstractNum>
  <w:abstractNum w:abstractNumId="2">
    <w:nsid w:val="0053208E"/>
    <w:multiLevelType w:val="multilevel"/>
    <w:tmpl w:val="0053208E"/>
    <w:lvl w:ilvl="0" w:tentative="0">
      <w:start w:val="2"/>
      <w:numFmt w:val="decimal"/>
      <w:pStyle w:val="42"/>
      <w:lvlText w:val="%1"/>
      <w:lvlJc w:val="left"/>
      <w:pPr>
        <w:ind w:left="1545" w:hanging="420"/>
      </w:pPr>
      <w:rPr>
        <w:rFonts w:hint="default"/>
        <w:lang w:val="zh-CN" w:eastAsia="zh-CN" w:bidi="zh-CN"/>
      </w:rPr>
    </w:lvl>
    <w:lvl w:ilvl="1" w:tentative="0">
      <w:start w:val="1"/>
      <w:numFmt w:val="decimal"/>
      <w:lvlText w:val="%1.%2"/>
      <w:lvlJc w:val="left"/>
      <w:pPr>
        <w:ind w:left="1545"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3357" w:hanging="420"/>
      </w:pPr>
      <w:rPr>
        <w:rFonts w:hint="default"/>
        <w:lang w:val="zh-CN" w:eastAsia="zh-CN" w:bidi="zh-CN"/>
      </w:rPr>
    </w:lvl>
    <w:lvl w:ilvl="3" w:tentative="0">
      <w:start w:val="0"/>
      <w:numFmt w:val="bullet"/>
      <w:lvlText w:val="•"/>
      <w:lvlJc w:val="left"/>
      <w:pPr>
        <w:ind w:left="4265" w:hanging="420"/>
      </w:pPr>
      <w:rPr>
        <w:rFonts w:hint="default"/>
        <w:lang w:val="zh-CN" w:eastAsia="zh-CN" w:bidi="zh-CN"/>
      </w:rPr>
    </w:lvl>
    <w:lvl w:ilvl="4" w:tentative="0">
      <w:start w:val="0"/>
      <w:numFmt w:val="bullet"/>
      <w:lvlText w:val="•"/>
      <w:lvlJc w:val="left"/>
      <w:pPr>
        <w:ind w:left="5174" w:hanging="420"/>
      </w:pPr>
      <w:rPr>
        <w:rFonts w:hint="default"/>
        <w:lang w:val="zh-CN" w:eastAsia="zh-CN" w:bidi="zh-CN"/>
      </w:rPr>
    </w:lvl>
    <w:lvl w:ilvl="5" w:tentative="0">
      <w:start w:val="0"/>
      <w:numFmt w:val="bullet"/>
      <w:lvlText w:val="•"/>
      <w:lvlJc w:val="left"/>
      <w:pPr>
        <w:ind w:left="6083" w:hanging="420"/>
      </w:pPr>
      <w:rPr>
        <w:rFonts w:hint="default"/>
        <w:lang w:val="zh-CN" w:eastAsia="zh-CN" w:bidi="zh-CN"/>
      </w:rPr>
    </w:lvl>
    <w:lvl w:ilvl="6" w:tentative="0">
      <w:start w:val="0"/>
      <w:numFmt w:val="bullet"/>
      <w:lvlText w:val="•"/>
      <w:lvlJc w:val="left"/>
      <w:pPr>
        <w:ind w:left="6991" w:hanging="420"/>
      </w:pPr>
      <w:rPr>
        <w:rFonts w:hint="default"/>
        <w:lang w:val="zh-CN" w:eastAsia="zh-CN" w:bidi="zh-CN"/>
      </w:rPr>
    </w:lvl>
    <w:lvl w:ilvl="7" w:tentative="0">
      <w:start w:val="0"/>
      <w:numFmt w:val="bullet"/>
      <w:lvlText w:val="•"/>
      <w:lvlJc w:val="left"/>
      <w:pPr>
        <w:ind w:left="7900" w:hanging="420"/>
      </w:pPr>
      <w:rPr>
        <w:rFonts w:hint="default"/>
        <w:lang w:val="zh-CN" w:eastAsia="zh-CN" w:bidi="zh-CN"/>
      </w:rPr>
    </w:lvl>
    <w:lvl w:ilvl="8" w:tentative="0">
      <w:start w:val="0"/>
      <w:numFmt w:val="bullet"/>
      <w:lvlText w:val="•"/>
      <w:lvlJc w:val="left"/>
      <w:pPr>
        <w:ind w:left="8808" w:hanging="420"/>
      </w:pPr>
      <w:rPr>
        <w:rFonts w:hint="default"/>
        <w:lang w:val="zh-CN" w:eastAsia="zh-CN" w:bidi="zh-CN"/>
      </w:rPr>
    </w:lvl>
  </w:abstractNum>
  <w:abstractNum w:abstractNumId="3">
    <w:nsid w:val="016BA727"/>
    <w:multiLevelType w:val="singleLevel"/>
    <w:tmpl w:val="016BA727"/>
    <w:lvl w:ilvl="0" w:tentative="0">
      <w:start w:val="1"/>
      <w:numFmt w:val="decimal"/>
      <w:lvlText w:val="(%1)"/>
      <w:lvlJc w:val="left"/>
      <w:pPr>
        <w:ind w:left="425" w:hanging="425"/>
      </w:pPr>
      <w:rPr>
        <w:rFonts w:hint="default"/>
      </w:rPr>
    </w:lvl>
  </w:abstractNum>
  <w:abstractNum w:abstractNumId="4">
    <w:nsid w:val="0D03A89A"/>
    <w:multiLevelType w:val="singleLevel"/>
    <w:tmpl w:val="0D03A89A"/>
    <w:lvl w:ilvl="0" w:tentative="0">
      <w:start w:val="1"/>
      <w:numFmt w:val="decimal"/>
      <w:suff w:val="nothing"/>
      <w:lvlText w:val="%1、"/>
      <w:lvlJc w:val="left"/>
    </w:lvl>
  </w:abstractNum>
  <w:abstractNum w:abstractNumId="5">
    <w:nsid w:val="10D591E5"/>
    <w:multiLevelType w:val="multilevel"/>
    <w:tmpl w:val="10D591E5"/>
    <w:lvl w:ilvl="0" w:tentative="0">
      <w:start w:val="1"/>
      <w:numFmt w:val="decimal"/>
      <w:lvlText w:val="%1."/>
      <w:lvlJc w:val="left"/>
      <w:pPr>
        <w:ind w:left="396" w:hanging="241"/>
        <w:jc w:val="left"/>
      </w:pPr>
      <w:rPr>
        <w:rFonts w:hint="default" w:ascii="宋体" w:hAnsi="宋体" w:eastAsia="宋体" w:cs="宋体"/>
        <w:spacing w:val="-17"/>
        <w:w w:val="100"/>
        <w:sz w:val="22"/>
        <w:szCs w:val="22"/>
        <w:lang w:val="zh-CN" w:eastAsia="zh-CN" w:bidi="zh-CN"/>
      </w:rPr>
    </w:lvl>
    <w:lvl w:ilvl="1" w:tentative="0">
      <w:start w:val="1"/>
      <w:numFmt w:val="decimal"/>
      <w:lvlText w:val="%2."/>
      <w:lvlJc w:val="left"/>
      <w:pPr>
        <w:ind w:left="1117"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91" w:hanging="241"/>
      </w:pPr>
      <w:rPr>
        <w:rFonts w:hint="default"/>
        <w:lang w:val="zh-CN" w:eastAsia="zh-CN" w:bidi="zh-CN"/>
      </w:rPr>
    </w:lvl>
    <w:lvl w:ilvl="3" w:tentative="0">
      <w:start w:val="0"/>
      <w:numFmt w:val="bullet"/>
      <w:lvlText w:val="•"/>
      <w:lvlJc w:val="left"/>
      <w:pPr>
        <w:ind w:left="3263" w:hanging="241"/>
      </w:pPr>
      <w:rPr>
        <w:rFonts w:hint="default"/>
        <w:lang w:val="zh-CN" w:eastAsia="zh-CN" w:bidi="zh-CN"/>
      </w:rPr>
    </w:lvl>
    <w:lvl w:ilvl="4" w:tentative="0">
      <w:start w:val="0"/>
      <w:numFmt w:val="bullet"/>
      <w:lvlText w:val="•"/>
      <w:lvlJc w:val="left"/>
      <w:pPr>
        <w:ind w:left="4335" w:hanging="241"/>
      </w:pPr>
      <w:rPr>
        <w:rFonts w:hint="default"/>
        <w:lang w:val="zh-CN" w:eastAsia="zh-CN" w:bidi="zh-CN"/>
      </w:rPr>
    </w:lvl>
    <w:lvl w:ilvl="5" w:tentative="0">
      <w:start w:val="0"/>
      <w:numFmt w:val="bullet"/>
      <w:lvlText w:val="•"/>
      <w:lvlJc w:val="left"/>
      <w:pPr>
        <w:ind w:left="5406" w:hanging="241"/>
      </w:pPr>
      <w:rPr>
        <w:rFonts w:hint="default"/>
        <w:lang w:val="zh-CN" w:eastAsia="zh-CN" w:bidi="zh-CN"/>
      </w:rPr>
    </w:lvl>
    <w:lvl w:ilvl="6" w:tentative="0">
      <w:start w:val="0"/>
      <w:numFmt w:val="bullet"/>
      <w:lvlText w:val="•"/>
      <w:lvlJc w:val="left"/>
      <w:pPr>
        <w:ind w:left="6478" w:hanging="241"/>
      </w:pPr>
      <w:rPr>
        <w:rFonts w:hint="default"/>
        <w:lang w:val="zh-CN" w:eastAsia="zh-CN" w:bidi="zh-CN"/>
      </w:rPr>
    </w:lvl>
    <w:lvl w:ilvl="7" w:tentative="0">
      <w:start w:val="0"/>
      <w:numFmt w:val="bullet"/>
      <w:lvlText w:val="•"/>
      <w:lvlJc w:val="left"/>
      <w:pPr>
        <w:ind w:left="7550" w:hanging="241"/>
      </w:pPr>
      <w:rPr>
        <w:rFonts w:hint="default"/>
        <w:lang w:val="zh-CN" w:eastAsia="zh-CN" w:bidi="zh-CN"/>
      </w:rPr>
    </w:lvl>
    <w:lvl w:ilvl="8" w:tentative="0">
      <w:start w:val="0"/>
      <w:numFmt w:val="bullet"/>
      <w:lvlText w:val="•"/>
      <w:lvlJc w:val="left"/>
      <w:pPr>
        <w:ind w:left="8622" w:hanging="241"/>
      </w:pPr>
      <w:rPr>
        <w:rFonts w:hint="default"/>
        <w:lang w:val="zh-CN" w:eastAsia="zh-CN" w:bidi="zh-CN"/>
      </w:rPr>
    </w:lvl>
  </w:abstractNum>
  <w:abstractNum w:abstractNumId="6">
    <w:nsid w:val="1AD50295"/>
    <w:multiLevelType w:val="multilevel"/>
    <w:tmpl w:val="1AD50295"/>
    <w:lvl w:ilvl="0" w:tentative="0">
      <w:start w:val="1"/>
      <w:numFmt w:val="decimal"/>
      <w:lvlText w:val="%1."/>
      <w:lvlJc w:val="left"/>
      <w:pPr>
        <w:ind w:left="1060" w:hanging="212"/>
        <w:jc w:val="left"/>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30" w:hanging="212"/>
      </w:pPr>
      <w:rPr>
        <w:rFonts w:hint="default"/>
        <w:lang w:val="zh-CN" w:eastAsia="zh-CN" w:bidi="zh-CN"/>
      </w:rPr>
    </w:lvl>
    <w:lvl w:ilvl="2" w:tentative="0">
      <w:start w:val="0"/>
      <w:numFmt w:val="bullet"/>
      <w:lvlText w:val="•"/>
      <w:lvlJc w:val="left"/>
      <w:pPr>
        <w:ind w:left="3001" w:hanging="212"/>
      </w:pPr>
      <w:rPr>
        <w:rFonts w:hint="default"/>
        <w:lang w:val="zh-CN" w:eastAsia="zh-CN" w:bidi="zh-CN"/>
      </w:rPr>
    </w:lvl>
    <w:lvl w:ilvl="3" w:tentative="0">
      <w:start w:val="0"/>
      <w:numFmt w:val="bullet"/>
      <w:lvlText w:val="•"/>
      <w:lvlJc w:val="left"/>
      <w:pPr>
        <w:ind w:left="3971" w:hanging="212"/>
      </w:pPr>
      <w:rPr>
        <w:rFonts w:hint="default"/>
        <w:lang w:val="zh-CN" w:eastAsia="zh-CN" w:bidi="zh-CN"/>
      </w:rPr>
    </w:lvl>
    <w:lvl w:ilvl="4" w:tentative="0">
      <w:start w:val="0"/>
      <w:numFmt w:val="bullet"/>
      <w:lvlText w:val="•"/>
      <w:lvlJc w:val="left"/>
      <w:pPr>
        <w:ind w:left="4942" w:hanging="212"/>
      </w:pPr>
      <w:rPr>
        <w:rFonts w:hint="default"/>
        <w:lang w:val="zh-CN" w:eastAsia="zh-CN" w:bidi="zh-CN"/>
      </w:rPr>
    </w:lvl>
    <w:lvl w:ilvl="5" w:tentative="0">
      <w:start w:val="0"/>
      <w:numFmt w:val="bullet"/>
      <w:lvlText w:val="•"/>
      <w:lvlJc w:val="left"/>
      <w:pPr>
        <w:ind w:left="5912" w:hanging="212"/>
      </w:pPr>
      <w:rPr>
        <w:rFonts w:hint="default"/>
        <w:lang w:val="zh-CN" w:eastAsia="zh-CN" w:bidi="zh-CN"/>
      </w:rPr>
    </w:lvl>
    <w:lvl w:ilvl="6" w:tentative="0">
      <w:start w:val="0"/>
      <w:numFmt w:val="bullet"/>
      <w:lvlText w:val="•"/>
      <w:lvlJc w:val="left"/>
      <w:pPr>
        <w:ind w:left="6883" w:hanging="212"/>
      </w:pPr>
      <w:rPr>
        <w:rFonts w:hint="default"/>
        <w:lang w:val="zh-CN" w:eastAsia="zh-CN" w:bidi="zh-CN"/>
      </w:rPr>
    </w:lvl>
    <w:lvl w:ilvl="7" w:tentative="0">
      <w:start w:val="0"/>
      <w:numFmt w:val="bullet"/>
      <w:lvlText w:val="•"/>
      <w:lvlJc w:val="left"/>
      <w:pPr>
        <w:ind w:left="7853" w:hanging="212"/>
      </w:pPr>
      <w:rPr>
        <w:rFonts w:hint="default"/>
        <w:lang w:val="zh-CN" w:eastAsia="zh-CN" w:bidi="zh-CN"/>
      </w:rPr>
    </w:lvl>
    <w:lvl w:ilvl="8" w:tentative="0">
      <w:start w:val="0"/>
      <w:numFmt w:val="bullet"/>
      <w:lvlText w:val="•"/>
      <w:lvlJc w:val="left"/>
      <w:pPr>
        <w:ind w:left="8824" w:hanging="212"/>
      </w:pPr>
      <w:rPr>
        <w:rFonts w:hint="default"/>
        <w:lang w:val="zh-CN" w:eastAsia="zh-CN" w:bidi="zh-CN"/>
      </w:rPr>
    </w:lvl>
  </w:abstractNum>
  <w:abstractNum w:abstractNumId="7">
    <w:nsid w:val="2E2CE41F"/>
    <w:multiLevelType w:val="multilevel"/>
    <w:tmpl w:val="2E2CE41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3318CCA6"/>
    <w:multiLevelType w:val="singleLevel"/>
    <w:tmpl w:val="3318CCA6"/>
    <w:lvl w:ilvl="0" w:tentative="0">
      <w:start w:val="1"/>
      <w:numFmt w:val="decimal"/>
      <w:lvlText w:val="(%1)"/>
      <w:lvlJc w:val="left"/>
      <w:pPr>
        <w:ind w:left="425" w:hanging="425"/>
      </w:pPr>
      <w:rPr>
        <w:rFonts w:hint="default"/>
      </w:rPr>
    </w:lvl>
  </w:abstractNum>
  <w:abstractNum w:abstractNumId="9">
    <w:nsid w:val="4EEFEB4C"/>
    <w:multiLevelType w:val="singleLevel"/>
    <w:tmpl w:val="4EEFEB4C"/>
    <w:lvl w:ilvl="0" w:tentative="0">
      <w:start w:val="11"/>
      <w:numFmt w:val="chineseCounting"/>
      <w:suff w:val="nothing"/>
      <w:lvlText w:val="%1、"/>
      <w:lvlJc w:val="left"/>
      <w:rPr>
        <w:rFonts w:hint="eastAsia"/>
      </w:rPr>
    </w:lvl>
  </w:abstractNum>
  <w:abstractNum w:abstractNumId="10">
    <w:nsid w:val="69170293"/>
    <w:multiLevelType w:val="multilevel"/>
    <w:tmpl w:val="69170293"/>
    <w:lvl w:ilvl="0" w:tentative="0">
      <w:start w:val="1"/>
      <w:numFmt w:val="decimal"/>
      <w:lvlText w:val="%1."/>
      <w:lvlJc w:val="left"/>
      <w:pPr>
        <w:ind w:left="396" w:hanging="241"/>
        <w:jc w:val="left"/>
      </w:pPr>
      <w:rPr>
        <w:rFonts w:hint="default" w:ascii="宋体" w:hAnsi="宋体" w:eastAsia="宋体" w:cs="宋体"/>
        <w:spacing w:val="-17"/>
        <w:w w:val="100"/>
        <w:sz w:val="22"/>
        <w:szCs w:val="22"/>
        <w:lang w:val="zh-CN" w:eastAsia="zh-CN" w:bidi="zh-CN"/>
      </w:rPr>
    </w:lvl>
    <w:lvl w:ilvl="1" w:tentative="0">
      <w:start w:val="1"/>
      <w:numFmt w:val="decimal"/>
      <w:lvlText w:val="%2."/>
      <w:lvlJc w:val="left"/>
      <w:pPr>
        <w:ind w:left="1117"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91" w:hanging="241"/>
      </w:pPr>
      <w:rPr>
        <w:rFonts w:hint="default"/>
        <w:lang w:val="zh-CN" w:eastAsia="zh-CN" w:bidi="zh-CN"/>
      </w:rPr>
    </w:lvl>
    <w:lvl w:ilvl="3" w:tentative="0">
      <w:start w:val="0"/>
      <w:numFmt w:val="bullet"/>
      <w:lvlText w:val="•"/>
      <w:lvlJc w:val="left"/>
      <w:pPr>
        <w:ind w:left="3263" w:hanging="241"/>
      </w:pPr>
      <w:rPr>
        <w:rFonts w:hint="default"/>
        <w:lang w:val="zh-CN" w:eastAsia="zh-CN" w:bidi="zh-CN"/>
      </w:rPr>
    </w:lvl>
    <w:lvl w:ilvl="4" w:tentative="0">
      <w:start w:val="0"/>
      <w:numFmt w:val="bullet"/>
      <w:lvlText w:val="•"/>
      <w:lvlJc w:val="left"/>
      <w:pPr>
        <w:ind w:left="4335" w:hanging="241"/>
      </w:pPr>
      <w:rPr>
        <w:rFonts w:hint="default"/>
        <w:lang w:val="zh-CN" w:eastAsia="zh-CN" w:bidi="zh-CN"/>
      </w:rPr>
    </w:lvl>
    <w:lvl w:ilvl="5" w:tentative="0">
      <w:start w:val="0"/>
      <w:numFmt w:val="bullet"/>
      <w:lvlText w:val="•"/>
      <w:lvlJc w:val="left"/>
      <w:pPr>
        <w:ind w:left="5406" w:hanging="241"/>
      </w:pPr>
      <w:rPr>
        <w:rFonts w:hint="default"/>
        <w:lang w:val="zh-CN" w:eastAsia="zh-CN" w:bidi="zh-CN"/>
      </w:rPr>
    </w:lvl>
    <w:lvl w:ilvl="6" w:tentative="0">
      <w:start w:val="0"/>
      <w:numFmt w:val="bullet"/>
      <w:lvlText w:val="•"/>
      <w:lvlJc w:val="left"/>
      <w:pPr>
        <w:ind w:left="6478" w:hanging="241"/>
      </w:pPr>
      <w:rPr>
        <w:rFonts w:hint="default"/>
        <w:lang w:val="zh-CN" w:eastAsia="zh-CN" w:bidi="zh-CN"/>
      </w:rPr>
    </w:lvl>
    <w:lvl w:ilvl="7" w:tentative="0">
      <w:start w:val="0"/>
      <w:numFmt w:val="bullet"/>
      <w:lvlText w:val="•"/>
      <w:lvlJc w:val="left"/>
      <w:pPr>
        <w:ind w:left="7550" w:hanging="241"/>
      </w:pPr>
      <w:rPr>
        <w:rFonts w:hint="default"/>
        <w:lang w:val="zh-CN" w:eastAsia="zh-CN" w:bidi="zh-CN"/>
      </w:rPr>
    </w:lvl>
    <w:lvl w:ilvl="8" w:tentative="0">
      <w:start w:val="0"/>
      <w:numFmt w:val="bullet"/>
      <w:lvlText w:val="•"/>
      <w:lvlJc w:val="left"/>
      <w:pPr>
        <w:ind w:left="8622" w:hanging="241"/>
      </w:pPr>
      <w:rPr>
        <w:rFonts w:hint="default"/>
        <w:lang w:val="zh-CN" w:eastAsia="zh-CN" w:bidi="zh-CN"/>
      </w:rPr>
    </w:lvl>
  </w:abstractNum>
  <w:abstractNum w:abstractNumId="11">
    <w:nsid w:val="7FEA9037"/>
    <w:multiLevelType w:val="singleLevel"/>
    <w:tmpl w:val="7FEA9037"/>
    <w:lvl w:ilvl="0" w:tentative="0">
      <w:start w:val="8"/>
      <w:numFmt w:val="decimal"/>
      <w:suff w:val="nothing"/>
      <w:lvlText w:val="%1、"/>
      <w:lvlJc w:val="left"/>
    </w:lvl>
  </w:abstractNum>
  <w:num w:numId="1">
    <w:abstractNumId w:val="2"/>
  </w:num>
  <w:num w:numId="2">
    <w:abstractNumId w:val="4"/>
  </w:num>
  <w:num w:numId="3">
    <w:abstractNumId w:val="7"/>
  </w:num>
  <w:num w:numId="4">
    <w:abstractNumId w:val="0"/>
  </w:num>
  <w:num w:numId="5">
    <w:abstractNumId w:val="3"/>
  </w:num>
  <w:num w:numId="6">
    <w:abstractNumId w:val="8"/>
  </w:num>
  <w:num w:numId="7">
    <w:abstractNumId w:val="5"/>
  </w:num>
  <w:num w:numId="8">
    <w:abstractNumId w:val="10"/>
  </w:num>
  <w:num w:numId="9">
    <w:abstractNumId w:val="11"/>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OWJhZTFjNGE0ZTQ2ZjA5MGY4ZDMxMTU0MGI2MzUifQ=="/>
  </w:docVars>
  <w:rsids>
    <w:rsidRoot w:val="004F7D87"/>
    <w:rsid w:val="00287D78"/>
    <w:rsid w:val="004F7D87"/>
    <w:rsid w:val="00595605"/>
    <w:rsid w:val="006A6965"/>
    <w:rsid w:val="00726CC2"/>
    <w:rsid w:val="00780511"/>
    <w:rsid w:val="009961BA"/>
    <w:rsid w:val="00B36FAD"/>
    <w:rsid w:val="00DE5227"/>
    <w:rsid w:val="00EA4A33"/>
    <w:rsid w:val="01240D75"/>
    <w:rsid w:val="01B91322"/>
    <w:rsid w:val="02136E9A"/>
    <w:rsid w:val="044361B6"/>
    <w:rsid w:val="04DB1EEE"/>
    <w:rsid w:val="05490C0F"/>
    <w:rsid w:val="05B26EFD"/>
    <w:rsid w:val="07306395"/>
    <w:rsid w:val="075A11EF"/>
    <w:rsid w:val="07CA6E80"/>
    <w:rsid w:val="07E57A43"/>
    <w:rsid w:val="083546A8"/>
    <w:rsid w:val="08996B20"/>
    <w:rsid w:val="08FA45B9"/>
    <w:rsid w:val="091E098B"/>
    <w:rsid w:val="095F0B46"/>
    <w:rsid w:val="09927B5C"/>
    <w:rsid w:val="09D53F63"/>
    <w:rsid w:val="0A2D00F6"/>
    <w:rsid w:val="0A5426AC"/>
    <w:rsid w:val="0AA417AC"/>
    <w:rsid w:val="0AB84DEC"/>
    <w:rsid w:val="0AED200C"/>
    <w:rsid w:val="0B002BE0"/>
    <w:rsid w:val="0B4554E5"/>
    <w:rsid w:val="0B746B28"/>
    <w:rsid w:val="0B751119"/>
    <w:rsid w:val="0B7946C3"/>
    <w:rsid w:val="0B91292D"/>
    <w:rsid w:val="0B9B0517"/>
    <w:rsid w:val="0BF4406D"/>
    <w:rsid w:val="0C7A004B"/>
    <w:rsid w:val="0CCA0C58"/>
    <w:rsid w:val="0CD27050"/>
    <w:rsid w:val="0D1A792C"/>
    <w:rsid w:val="0D5C0AAD"/>
    <w:rsid w:val="0D6B32CC"/>
    <w:rsid w:val="0DF742CC"/>
    <w:rsid w:val="0E0611E1"/>
    <w:rsid w:val="0EB917B5"/>
    <w:rsid w:val="0EE51271"/>
    <w:rsid w:val="0F024B7F"/>
    <w:rsid w:val="0F110A09"/>
    <w:rsid w:val="0F451F61"/>
    <w:rsid w:val="0F69410D"/>
    <w:rsid w:val="0F8066E9"/>
    <w:rsid w:val="0F8C598B"/>
    <w:rsid w:val="10846805"/>
    <w:rsid w:val="116133DF"/>
    <w:rsid w:val="11A372EE"/>
    <w:rsid w:val="11EA7ED0"/>
    <w:rsid w:val="11FD1597"/>
    <w:rsid w:val="12B95AD3"/>
    <w:rsid w:val="12FD4320"/>
    <w:rsid w:val="13CE1023"/>
    <w:rsid w:val="141A246A"/>
    <w:rsid w:val="14330A95"/>
    <w:rsid w:val="14FE6F3B"/>
    <w:rsid w:val="156C2A57"/>
    <w:rsid w:val="15895AB3"/>
    <w:rsid w:val="16E30754"/>
    <w:rsid w:val="172230EF"/>
    <w:rsid w:val="17B16ADA"/>
    <w:rsid w:val="17F561DF"/>
    <w:rsid w:val="1824217E"/>
    <w:rsid w:val="183E7CD2"/>
    <w:rsid w:val="189F5092"/>
    <w:rsid w:val="18B00E00"/>
    <w:rsid w:val="1934351F"/>
    <w:rsid w:val="19D46A60"/>
    <w:rsid w:val="19F07446"/>
    <w:rsid w:val="1A072487"/>
    <w:rsid w:val="1A360D9C"/>
    <w:rsid w:val="1A9C68EC"/>
    <w:rsid w:val="1B5836E4"/>
    <w:rsid w:val="1BBE5C2D"/>
    <w:rsid w:val="1C027534"/>
    <w:rsid w:val="1C367FF9"/>
    <w:rsid w:val="1C386E1E"/>
    <w:rsid w:val="1C7D639E"/>
    <w:rsid w:val="1C821065"/>
    <w:rsid w:val="1C9101D3"/>
    <w:rsid w:val="1CAA2B82"/>
    <w:rsid w:val="1DA034BB"/>
    <w:rsid w:val="1E9B2C08"/>
    <w:rsid w:val="1F4B0D9D"/>
    <w:rsid w:val="1F4D0D45"/>
    <w:rsid w:val="1F593770"/>
    <w:rsid w:val="1FFA496D"/>
    <w:rsid w:val="20B34440"/>
    <w:rsid w:val="21E57A39"/>
    <w:rsid w:val="227B3014"/>
    <w:rsid w:val="22926AB0"/>
    <w:rsid w:val="22B5579A"/>
    <w:rsid w:val="22F03781"/>
    <w:rsid w:val="235010C1"/>
    <w:rsid w:val="23692500"/>
    <w:rsid w:val="23CF7310"/>
    <w:rsid w:val="23E9456C"/>
    <w:rsid w:val="241826F4"/>
    <w:rsid w:val="248E0A73"/>
    <w:rsid w:val="24C20D54"/>
    <w:rsid w:val="24DF3144"/>
    <w:rsid w:val="258309C8"/>
    <w:rsid w:val="25B06A06"/>
    <w:rsid w:val="25BC4EA9"/>
    <w:rsid w:val="25BE795E"/>
    <w:rsid w:val="268A005A"/>
    <w:rsid w:val="268C3722"/>
    <w:rsid w:val="270028D3"/>
    <w:rsid w:val="27AE1C37"/>
    <w:rsid w:val="27E85793"/>
    <w:rsid w:val="28071D83"/>
    <w:rsid w:val="283D26C7"/>
    <w:rsid w:val="288A70C5"/>
    <w:rsid w:val="2899142D"/>
    <w:rsid w:val="29035E33"/>
    <w:rsid w:val="2942430E"/>
    <w:rsid w:val="29593FE9"/>
    <w:rsid w:val="29C926FC"/>
    <w:rsid w:val="2B412F5F"/>
    <w:rsid w:val="2B61524E"/>
    <w:rsid w:val="2B652812"/>
    <w:rsid w:val="2BC04713"/>
    <w:rsid w:val="2C9E7BCF"/>
    <w:rsid w:val="2D086EAF"/>
    <w:rsid w:val="2DB4438A"/>
    <w:rsid w:val="2DCA6ABE"/>
    <w:rsid w:val="2DD46D00"/>
    <w:rsid w:val="2E004F81"/>
    <w:rsid w:val="2E454DD0"/>
    <w:rsid w:val="2E597DAF"/>
    <w:rsid w:val="2ED40AF8"/>
    <w:rsid w:val="2EF4473C"/>
    <w:rsid w:val="2EFB5497"/>
    <w:rsid w:val="30DC319E"/>
    <w:rsid w:val="30F8356E"/>
    <w:rsid w:val="311B5124"/>
    <w:rsid w:val="316418A1"/>
    <w:rsid w:val="3182266C"/>
    <w:rsid w:val="31CA7416"/>
    <w:rsid w:val="324913FB"/>
    <w:rsid w:val="324F1CBC"/>
    <w:rsid w:val="32FF79DB"/>
    <w:rsid w:val="33071A38"/>
    <w:rsid w:val="330E082B"/>
    <w:rsid w:val="330F64E5"/>
    <w:rsid w:val="335419DE"/>
    <w:rsid w:val="338536EE"/>
    <w:rsid w:val="338B3D47"/>
    <w:rsid w:val="33A156EE"/>
    <w:rsid w:val="33E3557C"/>
    <w:rsid w:val="346C186C"/>
    <w:rsid w:val="3485677F"/>
    <w:rsid w:val="34917CAB"/>
    <w:rsid w:val="34AA2E9C"/>
    <w:rsid w:val="36AA0654"/>
    <w:rsid w:val="36AC427D"/>
    <w:rsid w:val="36E70875"/>
    <w:rsid w:val="36E95D0F"/>
    <w:rsid w:val="37285044"/>
    <w:rsid w:val="37E46A43"/>
    <w:rsid w:val="38347DC8"/>
    <w:rsid w:val="389464F8"/>
    <w:rsid w:val="38AB145B"/>
    <w:rsid w:val="39322496"/>
    <w:rsid w:val="3A901EA5"/>
    <w:rsid w:val="3A994B6E"/>
    <w:rsid w:val="3AEE6BCC"/>
    <w:rsid w:val="3B761A53"/>
    <w:rsid w:val="3B9851C5"/>
    <w:rsid w:val="3BB07701"/>
    <w:rsid w:val="3C02600F"/>
    <w:rsid w:val="3C4129B8"/>
    <w:rsid w:val="3C55681D"/>
    <w:rsid w:val="3C637F8F"/>
    <w:rsid w:val="3C74150A"/>
    <w:rsid w:val="3C924739"/>
    <w:rsid w:val="3D042EFD"/>
    <w:rsid w:val="3D2D5C79"/>
    <w:rsid w:val="3D2F4029"/>
    <w:rsid w:val="3DA31AC1"/>
    <w:rsid w:val="3E170BA7"/>
    <w:rsid w:val="3E3D1DE7"/>
    <w:rsid w:val="3E6B15FC"/>
    <w:rsid w:val="3E6B63BB"/>
    <w:rsid w:val="3E96142B"/>
    <w:rsid w:val="3EE8492E"/>
    <w:rsid w:val="3F09705D"/>
    <w:rsid w:val="3F0A74A5"/>
    <w:rsid w:val="3F3714C6"/>
    <w:rsid w:val="3F3C5C09"/>
    <w:rsid w:val="3F5B7324"/>
    <w:rsid w:val="3F772B0A"/>
    <w:rsid w:val="3FC523E1"/>
    <w:rsid w:val="3FCD134D"/>
    <w:rsid w:val="400E23BD"/>
    <w:rsid w:val="403F2E01"/>
    <w:rsid w:val="40A32821"/>
    <w:rsid w:val="40D73786"/>
    <w:rsid w:val="41272BCB"/>
    <w:rsid w:val="412B4E93"/>
    <w:rsid w:val="417050EB"/>
    <w:rsid w:val="427C4516"/>
    <w:rsid w:val="429E23AF"/>
    <w:rsid w:val="42B23CDB"/>
    <w:rsid w:val="437743FE"/>
    <w:rsid w:val="44982B2A"/>
    <w:rsid w:val="44B261C4"/>
    <w:rsid w:val="45293151"/>
    <w:rsid w:val="457E74DA"/>
    <w:rsid w:val="45F150E8"/>
    <w:rsid w:val="46543A4C"/>
    <w:rsid w:val="46613954"/>
    <w:rsid w:val="46D66BFE"/>
    <w:rsid w:val="47130A8A"/>
    <w:rsid w:val="47D61F5A"/>
    <w:rsid w:val="480D42DA"/>
    <w:rsid w:val="488F1DEB"/>
    <w:rsid w:val="489A3069"/>
    <w:rsid w:val="48F21F0D"/>
    <w:rsid w:val="49301572"/>
    <w:rsid w:val="49B114E0"/>
    <w:rsid w:val="49DC26F9"/>
    <w:rsid w:val="4A6C4ADC"/>
    <w:rsid w:val="4A8E0D49"/>
    <w:rsid w:val="4B317C42"/>
    <w:rsid w:val="4BA003CC"/>
    <w:rsid w:val="4C7A463A"/>
    <w:rsid w:val="4CEF554F"/>
    <w:rsid w:val="4DD0683E"/>
    <w:rsid w:val="4E6C2CC8"/>
    <w:rsid w:val="4F555930"/>
    <w:rsid w:val="4F786330"/>
    <w:rsid w:val="50C952BB"/>
    <w:rsid w:val="510107B4"/>
    <w:rsid w:val="512E2AFA"/>
    <w:rsid w:val="513A2F8B"/>
    <w:rsid w:val="5155508B"/>
    <w:rsid w:val="51FF2E33"/>
    <w:rsid w:val="528A150F"/>
    <w:rsid w:val="53176E8C"/>
    <w:rsid w:val="539E23B9"/>
    <w:rsid w:val="53AD0DE3"/>
    <w:rsid w:val="54905234"/>
    <w:rsid w:val="54E87AB4"/>
    <w:rsid w:val="55AC5BFA"/>
    <w:rsid w:val="56174618"/>
    <w:rsid w:val="561C5C67"/>
    <w:rsid w:val="568658AF"/>
    <w:rsid w:val="56AD5CBD"/>
    <w:rsid w:val="574B16C5"/>
    <w:rsid w:val="57DE439F"/>
    <w:rsid w:val="580864CE"/>
    <w:rsid w:val="58855EF8"/>
    <w:rsid w:val="59503A03"/>
    <w:rsid w:val="59805A33"/>
    <w:rsid w:val="5A034C57"/>
    <w:rsid w:val="5AEA1886"/>
    <w:rsid w:val="5B0668FD"/>
    <w:rsid w:val="5B37709F"/>
    <w:rsid w:val="5BBF439B"/>
    <w:rsid w:val="5C4D3743"/>
    <w:rsid w:val="5C577204"/>
    <w:rsid w:val="5C6A5252"/>
    <w:rsid w:val="5C8C02AE"/>
    <w:rsid w:val="5C8F3369"/>
    <w:rsid w:val="5D42704F"/>
    <w:rsid w:val="5DA65D35"/>
    <w:rsid w:val="5DBE2D93"/>
    <w:rsid w:val="5EE079A2"/>
    <w:rsid w:val="5EF72E6B"/>
    <w:rsid w:val="5FA9654A"/>
    <w:rsid w:val="60E61C06"/>
    <w:rsid w:val="61034311"/>
    <w:rsid w:val="614E2F97"/>
    <w:rsid w:val="62D2496B"/>
    <w:rsid w:val="63390316"/>
    <w:rsid w:val="634541E7"/>
    <w:rsid w:val="639B7E03"/>
    <w:rsid w:val="648B0E8B"/>
    <w:rsid w:val="651513F2"/>
    <w:rsid w:val="651E2B52"/>
    <w:rsid w:val="654051DD"/>
    <w:rsid w:val="6597181C"/>
    <w:rsid w:val="659D1DBC"/>
    <w:rsid w:val="659E6F2D"/>
    <w:rsid w:val="65E74488"/>
    <w:rsid w:val="66E74D61"/>
    <w:rsid w:val="66F261E3"/>
    <w:rsid w:val="67B837D3"/>
    <w:rsid w:val="67BA1378"/>
    <w:rsid w:val="687C522C"/>
    <w:rsid w:val="68B91755"/>
    <w:rsid w:val="69A92DA0"/>
    <w:rsid w:val="6A336A13"/>
    <w:rsid w:val="6A7B4493"/>
    <w:rsid w:val="6A7D65BD"/>
    <w:rsid w:val="6AAF4518"/>
    <w:rsid w:val="6AC65E53"/>
    <w:rsid w:val="6AE25D46"/>
    <w:rsid w:val="6AEF0789"/>
    <w:rsid w:val="6AFA4B10"/>
    <w:rsid w:val="6B276273"/>
    <w:rsid w:val="6B28539F"/>
    <w:rsid w:val="6BCC484F"/>
    <w:rsid w:val="6BDC12EA"/>
    <w:rsid w:val="6BE22993"/>
    <w:rsid w:val="6C8E186B"/>
    <w:rsid w:val="6CC66843"/>
    <w:rsid w:val="6DAE4AA3"/>
    <w:rsid w:val="6DF86F8E"/>
    <w:rsid w:val="6DF97A16"/>
    <w:rsid w:val="6E135400"/>
    <w:rsid w:val="6EA41DD9"/>
    <w:rsid w:val="6EDD3C53"/>
    <w:rsid w:val="6F407896"/>
    <w:rsid w:val="6F5E3FA9"/>
    <w:rsid w:val="6F69419B"/>
    <w:rsid w:val="6F9E6A71"/>
    <w:rsid w:val="71431720"/>
    <w:rsid w:val="71683AFB"/>
    <w:rsid w:val="72245C62"/>
    <w:rsid w:val="72702473"/>
    <w:rsid w:val="728A0540"/>
    <w:rsid w:val="72B017B9"/>
    <w:rsid w:val="72C47013"/>
    <w:rsid w:val="72D67ED5"/>
    <w:rsid w:val="732D4DA4"/>
    <w:rsid w:val="73E16ACA"/>
    <w:rsid w:val="74807905"/>
    <w:rsid w:val="757F7E69"/>
    <w:rsid w:val="758B4C22"/>
    <w:rsid w:val="75F26B5B"/>
    <w:rsid w:val="76C8169E"/>
    <w:rsid w:val="771B3604"/>
    <w:rsid w:val="77232D0A"/>
    <w:rsid w:val="77666CCC"/>
    <w:rsid w:val="782F5F2A"/>
    <w:rsid w:val="78AB4C66"/>
    <w:rsid w:val="78CA4DB6"/>
    <w:rsid w:val="7924000C"/>
    <w:rsid w:val="795E035B"/>
    <w:rsid w:val="7B00467A"/>
    <w:rsid w:val="7B4E211A"/>
    <w:rsid w:val="7C3250FA"/>
    <w:rsid w:val="7C4A77F6"/>
    <w:rsid w:val="7C976D88"/>
    <w:rsid w:val="7CCB50A2"/>
    <w:rsid w:val="7CF91FAF"/>
    <w:rsid w:val="7D7F7E27"/>
    <w:rsid w:val="7E8D4C49"/>
    <w:rsid w:val="7EDA6FFB"/>
    <w:rsid w:val="7EE44058"/>
    <w:rsid w:val="7F437C8D"/>
    <w:rsid w:val="7F5B4A18"/>
    <w:rsid w:val="7FD54151"/>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4"/>
    <w:next w:val="1"/>
    <w:qFormat/>
    <w:uiPriority w:val="1"/>
    <w:pPr>
      <w:spacing w:before="50"/>
      <w:ind w:right="378"/>
      <w:jc w:val="center"/>
      <w:outlineLvl w:val="0"/>
    </w:pPr>
    <w:rPr>
      <w:rFonts w:ascii="黑体" w:hAnsi="黑体" w:eastAsia="黑体" w:cs="黑体"/>
      <w:sz w:val="36"/>
      <w:szCs w:val="36"/>
    </w:rPr>
  </w:style>
  <w:style w:type="paragraph" w:styleId="5">
    <w:name w:val="heading 2"/>
    <w:basedOn w:val="1"/>
    <w:next w:val="1"/>
    <w:qFormat/>
    <w:uiPriority w:val="1"/>
    <w:pPr>
      <w:ind w:left="645"/>
      <w:outlineLvl w:val="1"/>
    </w:pPr>
    <w:rPr>
      <w:sz w:val="28"/>
      <w:szCs w:val="28"/>
    </w:rPr>
  </w:style>
  <w:style w:type="paragraph" w:styleId="2">
    <w:name w:val="heading 3"/>
    <w:basedOn w:val="1"/>
    <w:next w:val="1"/>
    <w:qFormat/>
    <w:uiPriority w:val="1"/>
    <w:pPr>
      <w:ind w:left="645"/>
      <w:outlineLvl w:val="2"/>
    </w:pPr>
    <w:rPr>
      <w:b/>
      <w:bCs/>
      <w:sz w:val="24"/>
      <w:szCs w:val="24"/>
    </w:rPr>
  </w:style>
  <w:style w:type="paragraph" w:styleId="6">
    <w:name w:val="heading 5"/>
    <w:basedOn w:val="1"/>
    <w:next w:val="1"/>
    <w:qFormat/>
    <w:uiPriority w:val="1"/>
    <w:pPr>
      <w:spacing w:before="54"/>
      <w:outlineLvl w:val="4"/>
    </w:pPr>
    <w:rPr>
      <w:b/>
      <w:bCs/>
      <w:sz w:val="21"/>
      <w:szCs w:val="21"/>
    </w:rPr>
  </w:style>
  <w:style w:type="paragraph" w:styleId="7">
    <w:name w:val="heading 8"/>
    <w:basedOn w:val="1"/>
    <w:next w:val="1"/>
    <w:qFormat/>
    <w:uiPriority w:val="1"/>
    <w:pPr>
      <w:ind w:left="395"/>
      <w:outlineLvl w:val="8"/>
    </w:pPr>
    <w:rPr>
      <w:rFonts w:ascii="宋体" w:hAnsi="宋体" w:eastAsia="宋体" w:cs="宋体"/>
      <w:b/>
      <w:bCs/>
      <w:sz w:val="21"/>
      <w:szCs w:val="21"/>
      <w:lang w:val="zh-CN" w:eastAsia="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98"/>
    <w:pPr>
      <w:spacing w:before="240" w:after="60"/>
      <w:jc w:val="center"/>
      <w:outlineLvl w:val="0"/>
    </w:pPr>
    <w:rPr>
      <w:rFonts w:ascii="等线 Light" w:hAnsi="等线 Light"/>
      <w:b/>
      <w:bCs/>
      <w:sz w:val="32"/>
      <w:szCs w:val="32"/>
    </w:rPr>
  </w:style>
  <w:style w:type="paragraph" w:styleId="8">
    <w:name w:val="Normal Indent"/>
    <w:basedOn w:val="1"/>
    <w:next w:val="1"/>
    <w:qFormat/>
    <w:uiPriority w:val="0"/>
    <w:pPr>
      <w:ind w:firstLine="420" w:firstLineChars="200"/>
    </w:pPr>
  </w:style>
  <w:style w:type="paragraph" w:styleId="9">
    <w:name w:val="toa heading"/>
    <w:basedOn w:val="1"/>
    <w:next w:val="1"/>
    <w:semiHidden/>
    <w:qFormat/>
    <w:uiPriority w:val="99"/>
    <w:pPr>
      <w:spacing w:before="120"/>
    </w:pPr>
    <w:rPr>
      <w:rFonts w:ascii="Arial" w:hAnsi="Arial" w:cs="Arial"/>
      <w:sz w:val="24"/>
      <w:szCs w:val="24"/>
    </w:rPr>
  </w:style>
  <w:style w:type="paragraph" w:styleId="10">
    <w:name w:val="annotation text"/>
    <w:basedOn w:val="1"/>
    <w:qFormat/>
    <w:uiPriority w:val="99"/>
    <w:rPr>
      <w:kern w:val="2"/>
      <w:sz w:val="21"/>
      <w:szCs w:val="24"/>
    </w:rPr>
  </w:style>
  <w:style w:type="paragraph" w:styleId="11">
    <w:name w:val="Body Text"/>
    <w:basedOn w:val="1"/>
    <w:next w:val="12"/>
    <w:qFormat/>
    <w:uiPriority w:val="1"/>
    <w:rPr>
      <w:sz w:val="24"/>
      <w:szCs w:val="24"/>
    </w:rPr>
  </w:style>
  <w:style w:type="paragraph" w:styleId="12">
    <w:name w:val="Body Text 2"/>
    <w:basedOn w:val="1"/>
    <w:qFormat/>
    <w:uiPriority w:val="99"/>
    <w:pPr>
      <w:spacing w:before="100" w:beforeAutospacing="1" w:line="480" w:lineRule="auto"/>
    </w:pPr>
    <w:rPr>
      <w:rFonts w:ascii="Times New Roman" w:hAnsi="Times New Roman" w:cs="Times New Roman"/>
    </w:rPr>
  </w:style>
  <w:style w:type="paragraph" w:styleId="13">
    <w:name w:val="Body Text Indent"/>
    <w:basedOn w:val="1"/>
    <w:next w:val="1"/>
    <w:qFormat/>
    <w:uiPriority w:val="0"/>
    <w:pPr>
      <w:spacing w:line="360" w:lineRule="auto"/>
      <w:ind w:firstLine="570"/>
    </w:pPr>
    <w:rPr>
      <w:i/>
      <w:iCs/>
      <w:sz w:val="28"/>
      <w:szCs w:val="20"/>
    </w:rPr>
  </w:style>
  <w:style w:type="paragraph" w:styleId="14">
    <w:name w:val="Plain Text"/>
    <w:basedOn w:val="1"/>
    <w:next w:val="1"/>
    <w:qFormat/>
    <w:uiPriority w:val="0"/>
    <w:rPr>
      <w:rFonts w:hAnsi="Courier New" w:cs="金山简魏碑"/>
      <w:szCs w:val="21"/>
    </w:rPr>
  </w:style>
  <w:style w:type="paragraph" w:styleId="15">
    <w:name w:val="Body Text Indent 2"/>
    <w:basedOn w:val="1"/>
    <w:qFormat/>
    <w:uiPriority w:val="0"/>
    <w:pPr>
      <w:spacing w:line="560" w:lineRule="exact"/>
      <w:ind w:left="420"/>
    </w:pPr>
    <w:rPr>
      <w:sz w:val="28"/>
    </w:rPr>
  </w:style>
  <w:style w:type="paragraph" w:styleId="16">
    <w:name w:val="Balloon Text"/>
    <w:basedOn w:val="1"/>
    <w:link w:val="63"/>
    <w:qFormat/>
    <w:uiPriority w:val="0"/>
    <w:rPr>
      <w:sz w:val="18"/>
      <w:szCs w:val="18"/>
    </w:rPr>
  </w:style>
  <w:style w:type="paragraph" w:styleId="17">
    <w:name w:val="footer"/>
    <w:basedOn w:val="1"/>
    <w:qFormat/>
    <w:uiPriority w:val="0"/>
    <w:pPr>
      <w:tabs>
        <w:tab w:val="center" w:pos="4153"/>
        <w:tab w:val="right" w:pos="8306"/>
      </w:tabs>
      <w:snapToGrid w:val="0"/>
    </w:pPr>
    <w:rPr>
      <w:sz w:val="18"/>
    </w:rPr>
  </w:style>
  <w:style w:type="paragraph" w:styleId="18">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71"/>
      <w:ind w:left="854"/>
    </w:pPr>
    <w:rPr>
      <w:rFonts w:ascii="黑体" w:hAnsi="黑体" w:eastAsia="黑体" w:cs="黑体"/>
      <w:sz w:val="32"/>
      <w:szCs w:val="32"/>
    </w:rPr>
  </w:style>
  <w:style w:type="paragraph" w:styleId="20">
    <w:name w:val="footnote text"/>
    <w:basedOn w:val="1"/>
    <w:qFormat/>
    <w:uiPriority w:val="0"/>
    <w:pPr>
      <w:snapToGrid w:val="0"/>
    </w:pPr>
    <w:rPr>
      <w:sz w:val="18"/>
    </w:rPr>
  </w:style>
  <w:style w:type="paragraph" w:styleId="21">
    <w:name w:val="Normal (Web)"/>
    <w:basedOn w:val="1"/>
    <w:qFormat/>
    <w:uiPriority w:val="0"/>
    <w:pPr>
      <w:widowControl/>
      <w:spacing w:beforeAutospacing="1" w:afterAutospacing="1"/>
    </w:pPr>
    <w:rPr>
      <w:color w:val="000000"/>
      <w:sz w:val="24"/>
    </w:rPr>
  </w:style>
  <w:style w:type="paragraph" w:styleId="22">
    <w:name w:val="Body Text First Indent 2"/>
    <w:basedOn w:val="13"/>
    <w:next w:val="1"/>
    <w:qFormat/>
    <w:uiPriority w:val="0"/>
    <w:pPr>
      <w:spacing w:after="120" w:line="240" w:lineRule="auto"/>
      <w:ind w:left="420" w:leftChars="200" w:firstLine="420" w:firstLineChars="200"/>
    </w:pPr>
    <w:rPr>
      <w:sz w:val="20"/>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ascii="Times New Roman" w:hAnsi="Times New Roman" w:eastAsia="宋体" w:cs="Times New Roman"/>
      <w:b/>
      <w:bCs/>
    </w:rPr>
  </w:style>
  <w:style w:type="character" w:styleId="27">
    <w:name w:val="FollowedHyperlink"/>
    <w:basedOn w:val="25"/>
    <w:qFormat/>
    <w:uiPriority w:val="0"/>
    <w:rPr>
      <w:color w:val="800080"/>
      <w:u w:val="none"/>
    </w:rPr>
  </w:style>
  <w:style w:type="character" w:styleId="28">
    <w:name w:val="Emphasis"/>
    <w:basedOn w:val="25"/>
    <w:qFormat/>
    <w:uiPriority w:val="0"/>
    <w:rPr>
      <w:i/>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none"/>
    </w:rPr>
  </w:style>
  <w:style w:type="character" w:styleId="34">
    <w:name w:val="HTML Code"/>
    <w:basedOn w:val="25"/>
    <w:qFormat/>
    <w:uiPriority w:val="0"/>
    <w:rPr>
      <w:rFonts w:hint="default" w:ascii="monospace" w:hAnsi="monospace" w:eastAsia="monospace" w:cs="monospace"/>
      <w:sz w:val="20"/>
    </w:rPr>
  </w:style>
  <w:style w:type="character" w:styleId="35">
    <w:name w:val="annotation reference"/>
    <w:qFormat/>
    <w:uiPriority w:val="0"/>
    <w:rPr>
      <w:sz w:val="21"/>
      <w:szCs w:val="21"/>
    </w:rPr>
  </w:style>
  <w:style w:type="character" w:styleId="36">
    <w:name w:val="HTML Cite"/>
    <w:basedOn w:val="25"/>
    <w:qFormat/>
    <w:uiPriority w:val="0"/>
  </w:style>
  <w:style w:type="character" w:styleId="37">
    <w:name w:val="HTML Keyboard"/>
    <w:basedOn w:val="25"/>
    <w:qFormat/>
    <w:uiPriority w:val="0"/>
    <w:rPr>
      <w:rFonts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Default"/>
    <w:basedOn w:val="4"/>
    <w:next w:val="3"/>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40">
    <w:name w:val="TOAHeading"/>
    <w:basedOn w:val="1"/>
    <w:next w:val="1"/>
    <w:qFormat/>
    <w:uiPriority w:val="0"/>
    <w:pPr>
      <w:spacing w:before="120"/>
    </w:pPr>
    <w:rPr>
      <w:rFonts w:ascii="Arial" w:hAnsi="Arial"/>
      <w:sz w:val="24"/>
    </w:rPr>
  </w:style>
  <w:style w:type="paragraph" w:customStyle="1" w:styleId="41">
    <w:name w:val="样式1"/>
    <w:basedOn w:val="1"/>
    <w:qFormat/>
    <w:uiPriority w:val="0"/>
  </w:style>
  <w:style w:type="paragraph" w:customStyle="1" w:styleId="42">
    <w:name w:val="表名称"/>
    <w:basedOn w:val="8"/>
    <w:qFormat/>
    <w:uiPriority w:val="0"/>
    <w:pPr>
      <w:numPr>
        <w:ilvl w:val="0"/>
        <w:numId w:val="1"/>
      </w:numPr>
      <w:ind w:left="900"/>
      <w:jc w:val="center"/>
    </w:pPr>
    <w:rPr>
      <w:rFonts w:ascii="Times New Roman" w:hAnsi="Times New Roman"/>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Table Paragraph"/>
    <w:basedOn w:val="1"/>
    <w:qFormat/>
    <w:uiPriority w:val="1"/>
  </w:style>
  <w:style w:type="paragraph" w:styleId="45">
    <w:name w:val="List Paragraph"/>
    <w:basedOn w:val="1"/>
    <w:qFormat/>
    <w:uiPriority w:val="1"/>
    <w:pPr>
      <w:ind w:left="645" w:firstLine="480"/>
    </w:pPr>
  </w:style>
  <w:style w:type="paragraph" w:customStyle="1" w:styleId="46">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table" w:customStyle="1" w:styleId="47">
    <w:name w:val="Table Normal"/>
    <w:unhideWhenUsed/>
    <w:qFormat/>
    <w:uiPriority w:val="2"/>
    <w:tblPr>
      <w:tblCellMar>
        <w:top w:w="0" w:type="dxa"/>
        <w:left w:w="0" w:type="dxa"/>
        <w:bottom w:w="0" w:type="dxa"/>
        <w:right w:w="0" w:type="dxa"/>
      </w:tblCellMar>
    </w:tblPr>
  </w:style>
  <w:style w:type="paragraph" w:customStyle="1" w:styleId="48">
    <w:name w:val="首行缩进"/>
    <w:basedOn w:val="1"/>
    <w:qFormat/>
    <w:uiPriority w:val="0"/>
    <w:pPr>
      <w:spacing w:line="360" w:lineRule="auto"/>
      <w:ind w:firstLine="480" w:firstLineChars="200"/>
    </w:pPr>
    <w:rPr>
      <w:sz w:val="24"/>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irst-child"/>
    <w:basedOn w:val="25"/>
    <w:qFormat/>
    <w:uiPriority w:val="0"/>
  </w:style>
  <w:style w:type="character" w:customStyle="1" w:styleId="51">
    <w:name w:val="layui-layer-tabnow"/>
    <w:basedOn w:val="25"/>
    <w:qFormat/>
    <w:uiPriority w:val="0"/>
    <w:rPr>
      <w:bdr w:val="single" w:color="CCCCCC" w:sz="4" w:space="0"/>
      <w:shd w:val="clear" w:color="auto" w:fill="FFFFFF"/>
    </w:rPr>
  </w:style>
  <w:style w:type="character" w:customStyle="1" w:styleId="52">
    <w:name w:val="font41"/>
    <w:basedOn w:val="25"/>
    <w:qFormat/>
    <w:uiPriority w:val="0"/>
    <w:rPr>
      <w:rFonts w:hint="eastAsia" w:ascii="宋体" w:hAnsi="宋体" w:eastAsia="宋体" w:cs="宋体"/>
      <w:color w:val="000000"/>
      <w:sz w:val="18"/>
      <w:szCs w:val="18"/>
      <w:u w:val="none"/>
    </w:rPr>
  </w:style>
  <w:style w:type="character" w:customStyle="1" w:styleId="53">
    <w:name w:val="font61"/>
    <w:basedOn w:val="25"/>
    <w:qFormat/>
    <w:uiPriority w:val="0"/>
    <w:rPr>
      <w:rFonts w:ascii="Wingdings 2" w:hAnsi="Wingdings 2" w:eastAsia="Wingdings 2" w:cs="Wingdings 2"/>
      <w:color w:val="000000"/>
      <w:sz w:val="18"/>
      <w:szCs w:val="18"/>
      <w:u w:val="none"/>
    </w:rPr>
  </w:style>
  <w:style w:type="paragraph" w:customStyle="1" w:styleId="5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NormalIndent"/>
    <w:basedOn w:val="1"/>
    <w:next w:val="1"/>
    <w:qFormat/>
    <w:uiPriority w:val="0"/>
    <w:pPr>
      <w:widowControl/>
      <w:ind w:firstLine="420"/>
      <w:textAlignment w:val="baseline"/>
    </w:pPr>
    <w:rPr>
      <w:rFonts w:ascii="Calibri" w:hAnsi="Calibri"/>
      <w:sz w:val="20"/>
      <w:szCs w:val="20"/>
      <w:lang w:val="en-US" w:bidi="ar-SA"/>
    </w:rPr>
  </w:style>
  <w:style w:type="paragraph" w:customStyle="1" w:styleId="56">
    <w:name w:val="正文缩进1"/>
    <w:basedOn w:val="1"/>
    <w:qFormat/>
    <w:uiPriority w:val="0"/>
    <w:pPr>
      <w:adjustRightInd w:val="0"/>
      <w:ind w:firstLine="420"/>
    </w:pPr>
    <w:rPr>
      <w:sz w:val="24"/>
      <w:szCs w:val="20"/>
    </w:rPr>
  </w:style>
  <w:style w:type="paragraph" w:customStyle="1" w:styleId="57">
    <w:name w:val="纯文本1"/>
    <w:basedOn w:val="1"/>
    <w:qFormat/>
    <w:uiPriority w:val="0"/>
    <w:rPr>
      <w:rFonts w:hAnsi="Courier New"/>
      <w:sz w:val="20"/>
      <w:szCs w:val="20"/>
    </w:rPr>
  </w:style>
  <w:style w:type="paragraph" w:customStyle="1" w:styleId="58">
    <w:name w:val="BodyText"/>
    <w:basedOn w:val="1"/>
    <w:qFormat/>
    <w:uiPriority w:val="0"/>
    <w:pPr>
      <w:jc w:val="both"/>
      <w:textAlignment w:val="baseline"/>
    </w:pPr>
    <w:rPr>
      <w:rFonts w:eastAsia="黑体"/>
      <w:kern w:val="2"/>
      <w:sz w:val="40"/>
      <w:szCs w:val="24"/>
    </w:rPr>
  </w:style>
  <w:style w:type="paragraph" w:customStyle="1" w:styleId="59">
    <w:name w:val="Normal_0"/>
    <w:qFormat/>
    <w:uiPriority w:val="0"/>
    <w:rPr>
      <w:rFonts w:ascii="黑体" w:hAnsi="黑体" w:eastAsia="黑体" w:cs="Times New Roman"/>
      <w:b/>
      <w:sz w:val="32"/>
      <w:szCs w:val="24"/>
      <w:lang w:val="en-US" w:eastAsia="zh-CN" w:bidi="ar-SA"/>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页眉 Char"/>
    <w:basedOn w:val="25"/>
    <w:link w:val="18"/>
    <w:qFormat/>
    <w:uiPriority w:val="0"/>
    <w:rPr>
      <w:rFonts w:ascii="宋体" w:hAnsi="宋体" w:cs="宋体"/>
      <w:sz w:val="18"/>
      <w:szCs w:val="18"/>
      <w:lang w:val="zh-CN" w:bidi="zh-CN"/>
    </w:rPr>
  </w:style>
  <w:style w:type="character" w:customStyle="1" w:styleId="63">
    <w:name w:val="批注框文本 Char"/>
    <w:basedOn w:val="25"/>
    <w:link w:val="16"/>
    <w:qFormat/>
    <w:uiPriority w:val="0"/>
    <w:rPr>
      <w:rFonts w:ascii="宋体" w:hAnsi="宋体" w:cs="宋体"/>
      <w:sz w:val="18"/>
      <w:szCs w:val="18"/>
      <w:lang w:val="zh-CN" w:bidi="zh-CN"/>
    </w:rPr>
  </w:style>
  <w:style w:type="character" w:customStyle="1" w:styleId="64">
    <w:name w:val="font3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28886</Words>
  <Characters>32601</Characters>
  <Lines>269</Lines>
  <Paragraphs>75</Paragraphs>
  <TotalTime>15</TotalTime>
  <ScaleCrop>false</ScaleCrop>
  <LinksUpToDate>false</LinksUpToDate>
  <CharactersWithSpaces>34915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2019-11-18T08:38:00Z</dcterms:created>
  <dc:creator>Administrator</dc:creator>
  <cp:lastModifiedBy>燕</cp:lastModifiedBy>
  <cp:lastPrinted>2022-07-19T05:17:00Z</cp:lastPrinted>
  <dcterms:modified xsi:type="dcterms:W3CDTF">2022-07-21T04:23:20Z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WPS 文字</vt:lpwstr>
  </property>
  <property fmtid="{D5CDD505-2E9C-101B-9397-08002B2CF9AE}" pid="4" name="LastSaved">
    <vt:filetime>2019-11-18T00:00:00Z</vt:filetime>
  </property>
  <property fmtid="{D5CDD505-2E9C-101B-9397-08002B2CF9AE}" pid="5" name="KSOProductBuildVer">
    <vt:lpwstr>2052-11.1.0.11875</vt:lpwstr>
  </property>
  <property fmtid="{D5CDD505-2E9C-101B-9397-08002B2CF9AE}" pid="6" name="ICV">
    <vt:lpwstr>632FA8C44B8E49148EB799DF7E047070</vt:lpwstr>
  </property>
</Properties>
</file>