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hint="eastAsia" w:ascii="宋体" w:hAnsi="宋体" w:eastAsia="宋体" w:cs="宋体"/>
          <w:b/>
          <w:color w:val="auto"/>
          <w:sz w:val="44"/>
          <w:szCs w:val="44"/>
          <w:shd w:val="clear" w:color="auto" w:fill="auto"/>
        </w:rPr>
      </w:pPr>
    </w:p>
    <w:p>
      <w:pPr>
        <w:pStyle w:val="34"/>
        <w:ind w:firstLine="480"/>
        <w:rPr>
          <w:rFonts w:hint="eastAsia" w:ascii="宋体" w:hAnsi="宋体" w:eastAsia="宋体" w:cs="宋体"/>
          <w:color w:val="auto"/>
          <w:shd w:val="clear" w:color="auto" w:fill="auto"/>
        </w:rPr>
      </w:pPr>
    </w:p>
    <w:p>
      <w:pPr>
        <w:pStyle w:val="30"/>
        <w:tabs>
          <w:tab w:val="left" w:pos="8460"/>
        </w:tabs>
        <w:snapToGrid w:val="0"/>
        <w:spacing w:line="360" w:lineRule="auto"/>
        <w:ind w:right="-334" w:rightChars="-159"/>
        <w:jc w:val="center"/>
        <w:rPr>
          <w:rFonts w:hint="eastAsia" w:ascii="宋体" w:hAnsi="宋体" w:eastAsia="宋体" w:cs="宋体"/>
          <w:b/>
          <w:bCs/>
          <w:color w:val="auto"/>
          <w:sz w:val="30"/>
          <w:szCs w:val="30"/>
          <w:shd w:val="clear" w:color="auto" w:fill="auto"/>
        </w:rPr>
      </w:pPr>
      <w:r>
        <w:rPr>
          <w:rFonts w:hint="eastAsia" w:ascii="宋体" w:hAnsi="宋体" w:eastAsia="宋体" w:cs="宋体"/>
          <w:b/>
          <w:bCs/>
          <w:color w:val="auto"/>
          <w:sz w:val="44"/>
          <w:szCs w:val="44"/>
          <w:shd w:val="clear" w:color="auto" w:fill="auto"/>
          <w:lang w:eastAsia="zh-CN"/>
        </w:rPr>
        <w:t>叶城县2022年高素质农民培训项目</w:t>
      </w:r>
    </w:p>
    <w:p>
      <w:pPr>
        <w:pStyle w:val="30"/>
        <w:tabs>
          <w:tab w:val="left" w:pos="8460"/>
        </w:tabs>
        <w:snapToGrid w:val="0"/>
        <w:spacing w:line="360" w:lineRule="auto"/>
        <w:ind w:right="-334" w:rightChars="-159"/>
        <w:jc w:val="both"/>
        <w:rPr>
          <w:rFonts w:hint="eastAsia" w:ascii="宋体" w:hAnsi="宋体" w:eastAsia="宋体" w:cs="宋体"/>
          <w:b/>
          <w:bCs/>
          <w:color w:val="auto"/>
          <w:sz w:val="30"/>
          <w:szCs w:val="30"/>
          <w:shd w:val="clear" w:color="auto" w:fill="auto"/>
        </w:rPr>
      </w:pPr>
    </w:p>
    <w:p>
      <w:pPr>
        <w:pStyle w:val="30"/>
        <w:tabs>
          <w:tab w:val="left" w:pos="8460"/>
        </w:tabs>
        <w:snapToGrid w:val="0"/>
        <w:spacing w:line="360" w:lineRule="auto"/>
        <w:ind w:right="-334" w:rightChars="-159"/>
        <w:jc w:val="both"/>
        <w:rPr>
          <w:rFonts w:hint="eastAsia" w:ascii="宋体" w:hAnsi="宋体" w:eastAsia="宋体" w:cs="宋体"/>
          <w:b/>
          <w:bCs/>
          <w:color w:val="auto"/>
          <w:sz w:val="30"/>
          <w:szCs w:val="30"/>
          <w:shd w:val="clear" w:color="auto" w:fill="auto"/>
        </w:rPr>
      </w:pPr>
    </w:p>
    <w:p>
      <w:pPr>
        <w:pStyle w:val="30"/>
        <w:tabs>
          <w:tab w:val="left" w:pos="8460"/>
        </w:tabs>
        <w:snapToGrid w:val="0"/>
        <w:spacing w:line="360" w:lineRule="auto"/>
        <w:ind w:right="-334" w:rightChars="-159" w:firstLine="1506" w:firstLineChars="500"/>
        <w:jc w:val="both"/>
        <w:rPr>
          <w:rFonts w:hint="eastAsia" w:ascii="宋体" w:hAnsi="宋体" w:eastAsia="宋体" w:cs="宋体"/>
          <w:b/>
          <w:bCs/>
          <w:color w:val="auto"/>
          <w:sz w:val="30"/>
          <w:szCs w:val="30"/>
          <w:shd w:val="clear" w:color="auto" w:fill="auto"/>
          <w:lang w:eastAsia="zh-CN"/>
        </w:rPr>
      </w:pPr>
      <w:r>
        <w:rPr>
          <w:rFonts w:hint="eastAsia" w:ascii="宋体" w:hAnsi="宋体" w:eastAsia="宋体" w:cs="宋体"/>
          <w:b/>
          <w:bCs/>
          <w:color w:val="auto"/>
          <w:sz w:val="30"/>
          <w:szCs w:val="30"/>
          <w:shd w:val="clear" w:color="auto" w:fill="auto"/>
        </w:rPr>
        <w:t>项目编号：</w:t>
      </w:r>
      <w:r>
        <w:rPr>
          <w:rFonts w:hint="eastAsia" w:ascii="宋体" w:hAnsi="宋体" w:eastAsia="宋体" w:cs="宋体"/>
          <w:b/>
          <w:bCs/>
          <w:color w:val="auto"/>
          <w:sz w:val="30"/>
          <w:szCs w:val="30"/>
          <w:shd w:val="clear" w:color="auto" w:fill="auto"/>
          <w:lang w:eastAsia="zh-CN"/>
        </w:rPr>
        <w:t>TZDYCCG-（CS）-2022-10号</w:t>
      </w:r>
    </w:p>
    <w:p>
      <w:pPr>
        <w:pStyle w:val="30"/>
        <w:tabs>
          <w:tab w:val="left" w:pos="8460"/>
        </w:tabs>
        <w:snapToGrid w:val="0"/>
        <w:spacing w:line="360" w:lineRule="auto"/>
        <w:ind w:right="-334" w:rightChars="-159" w:firstLine="1807" w:firstLineChars="600"/>
        <w:jc w:val="both"/>
        <w:rPr>
          <w:rFonts w:hint="eastAsia" w:ascii="宋体" w:hAnsi="宋体" w:eastAsia="宋体" w:cs="宋体"/>
          <w:b/>
          <w:bCs/>
          <w:color w:val="auto"/>
          <w:sz w:val="30"/>
          <w:szCs w:val="30"/>
          <w:shd w:val="clear" w:color="auto" w:fill="auto"/>
        </w:rPr>
      </w:pPr>
    </w:p>
    <w:p>
      <w:pPr>
        <w:pStyle w:val="30"/>
        <w:tabs>
          <w:tab w:val="left" w:pos="8460"/>
        </w:tabs>
        <w:snapToGrid w:val="0"/>
        <w:spacing w:line="360" w:lineRule="auto"/>
        <w:ind w:right="-334" w:rightChars="-159" w:firstLine="1807" w:firstLineChars="600"/>
        <w:jc w:val="both"/>
        <w:rPr>
          <w:rFonts w:hint="eastAsia" w:ascii="宋体" w:hAnsi="宋体" w:eastAsia="宋体" w:cs="宋体"/>
          <w:b/>
          <w:bCs/>
          <w:color w:val="auto"/>
          <w:sz w:val="30"/>
          <w:szCs w:val="30"/>
          <w:shd w:val="clear" w:color="auto" w:fill="auto"/>
        </w:rPr>
      </w:pPr>
    </w:p>
    <w:p>
      <w:pPr>
        <w:pStyle w:val="30"/>
        <w:tabs>
          <w:tab w:val="left" w:pos="8460"/>
        </w:tabs>
        <w:snapToGrid w:val="0"/>
        <w:spacing w:line="360" w:lineRule="auto"/>
        <w:ind w:right="-334" w:rightChars="-159" w:firstLine="1807" w:firstLineChars="600"/>
        <w:jc w:val="both"/>
        <w:rPr>
          <w:rFonts w:hint="eastAsia" w:ascii="宋体" w:hAnsi="宋体" w:eastAsia="宋体" w:cs="宋体"/>
          <w:b/>
          <w:bCs/>
          <w:color w:val="auto"/>
          <w:sz w:val="30"/>
          <w:szCs w:val="30"/>
          <w:shd w:val="clear" w:color="auto" w:fill="auto"/>
        </w:rPr>
      </w:pPr>
    </w:p>
    <w:p>
      <w:pPr>
        <w:snapToGrid w:val="0"/>
        <w:spacing w:line="360" w:lineRule="auto"/>
        <w:ind w:right="17"/>
        <w:jc w:val="center"/>
        <w:rPr>
          <w:rFonts w:hint="eastAsia" w:ascii="宋体" w:hAnsi="宋体" w:eastAsia="宋体" w:cs="宋体"/>
          <w:b/>
          <w:color w:val="auto"/>
          <w:spacing w:val="60"/>
          <w:sz w:val="52"/>
          <w:szCs w:val="52"/>
          <w:shd w:val="clear" w:color="auto" w:fill="auto"/>
        </w:rPr>
      </w:pPr>
      <w:r>
        <w:rPr>
          <w:rFonts w:hint="eastAsia" w:ascii="宋体" w:hAnsi="宋体" w:eastAsia="宋体" w:cs="宋体"/>
          <w:b/>
          <w:color w:val="auto"/>
          <w:spacing w:val="60"/>
          <w:sz w:val="52"/>
          <w:szCs w:val="52"/>
          <w:shd w:val="clear" w:color="auto" w:fill="auto"/>
        </w:rPr>
        <w:t>磋商文件</w:t>
      </w:r>
    </w:p>
    <w:p>
      <w:pPr>
        <w:pStyle w:val="30"/>
        <w:tabs>
          <w:tab w:val="left" w:pos="8460"/>
        </w:tabs>
        <w:snapToGrid w:val="0"/>
        <w:spacing w:line="360" w:lineRule="auto"/>
        <w:ind w:right="-334" w:rightChars="-159"/>
        <w:jc w:val="both"/>
        <w:rPr>
          <w:rFonts w:hint="eastAsia" w:ascii="宋体" w:hAnsi="宋体" w:eastAsia="宋体" w:cs="宋体"/>
          <w:b/>
          <w:bCs/>
          <w:color w:val="auto"/>
          <w:sz w:val="30"/>
          <w:szCs w:val="30"/>
          <w:shd w:val="clear" w:color="auto" w:fill="auto"/>
        </w:rPr>
      </w:pP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采 购 人：</w:t>
      </w:r>
      <w:r>
        <w:rPr>
          <w:rFonts w:hint="eastAsia" w:ascii="宋体" w:hAnsi="宋体" w:eastAsia="宋体" w:cs="宋体"/>
          <w:b/>
          <w:bCs/>
          <w:color w:val="auto"/>
          <w:sz w:val="28"/>
          <w:szCs w:val="28"/>
          <w:shd w:val="clear" w:color="auto" w:fill="auto"/>
          <w:lang w:eastAsia="zh-CN"/>
        </w:rPr>
        <w:t>叶城县农业农村局</w:t>
      </w:r>
      <w:r>
        <w:rPr>
          <w:rFonts w:hint="eastAsia" w:ascii="宋体" w:hAnsi="宋体" w:eastAsia="宋体" w:cs="宋体"/>
          <w:b/>
          <w:bCs/>
          <w:color w:val="auto"/>
          <w:sz w:val="28"/>
          <w:szCs w:val="28"/>
          <w:shd w:val="clear" w:color="auto" w:fill="auto"/>
        </w:rPr>
        <w:t>（盖章）</w:t>
      </w: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lang w:eastAsia="zh-CN"/>
        </w:rPr>
      </w:pPr>
      <w:r>
        <w:rPr>
          <w:rFonts w:hint="eastAsia" w:ascii="宋体" w:hAnsi="宋体" w:eastAsia="宋体" w:cs="宋体"/>
          <w:b/>
          <w:bCs/>
          <w:color w:val="auto"/>
          <w:sz w:val="28"/>
          <w:szCs w:val="28"/>
          <w:shd w:val="clear" w:color="auto" w:fill="auto"/>
        </w:rPr>
        <w:t>联 系 人：</w:t>
      </w:r>
      <w:r>
        <w:rPr>
          <w:rFonts w:hint="eastAsia" w:ascii="宋体" w:hAnsi="宋体" w:eastAsia="宋体" w:cs="宋体"/>
          <w:b/>
          <w:bCs/>
          <w:color w:val="auto"/>
          <w:sz w:val="28"/>
          <w:szCs w:val="28"/>
          <w:shd w:val="clear" w:color="auto" w:fill="auto"/>
          <w:lang w:eastAsia="zh-CN"/>
        </w:rPr>
        <w:t>靳春风</w:t>
      </w: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lang w:eastAsia="zh-CN"/>
        </w:rPr>
      </w:pPr>
      <w:r>
        <w:rPr>
          <w:rFonts w:hint="eastAsia" w:ascii="宋体" w:hAnsi="宋体" w:eastAsia="宋体" w:cs="宋体"/>
          <w:b/>
          <w:bCs/>
          <w:color w:val="auto"/>
          <w:sz w:val="28"/>
          <w:szCs w:val="28"/>
          <w:shd w:val="clear" w:color="auto" w:fill="auto"/>
        </w:rPr>
        <w:t>联系电话：</w:t>
      </w:r>
      <w:r>
        <w:rPr>
          <w:rFonts w:hint="eastAsia" w:ascii="宋体" w:hAnsi="宋体" w:eastAsia="宋体" w:cs="宋体"/>
          <w:b/>
          <w:bCs/>
          <w:color w:val="auto"/>
          <w:sz w:val="28"/>
          <w:szCs w:val="28"/>
          <w:shd w:val="clear" w:color="auto" w:fill="auto"/>
          <w:lang w:eastAsia="zh-CN"/>
        </w:rPr>
        <w:t>18299639900</w:t>
      </w: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lang w:eastAsia="zh-CN"/>
        </w:rPr>
      </w:pP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采购代理机构：</w:t>
      </w:r>
      <w:r>
        <w:rPr>
          <w:rFonts w:hint="eastAsia" w:ascii="宋体" w:hAnsi="宋体" w:eastAsia="宋体" w:cs="宋体"/>
          <w:b/>
          <w:bCs/>
          <w:color w:val="auto"/>
          <w:sz w:val="28"/>
          <w:szCs w:val="28"/>
          <w:shd w:val="clear" w:color="auto" w:fill="auto"/>
          <w:lang w:eastAsia="zh-CN"/>
        </w:rPr>
        <w:t>新疆天智达项目管理咨询有限公司</w:t>
      </w:r>
      <w:r>
        <w:rPr>
          <w:rFonts w:hint="eastAsia" w:ascii="宋体" w:hAnsi="宋体" w:eastAsia="宋体" w:cs="宋体"/>
          <w:b/>
          <w:bCs/>
          <w:color w:val="auto"/>
          <w:sz w:val="28"/>
          <w:szCs w:val="28"/>
          <w:shd w:val="clear" w:color="auto" w:fill="auto"/>
        </w:rPr>
        <w:t>（盖章）</w:t>
      </w: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lang w:eastAsia="zh-CN"/>
        </w:rPr>
      </w:pPr>
      <w:r>
        <w:rPr>
          <w:rFonts w:hint="eastAsia" w:ascii="宋体" w:hAnsi="宋体" w:eastAsia="宋体" w:cs="宋体"/>
          <w:b/>
          <w:bCs/>
          <w:color w:val="auto"/>
          <w:sz w:val="28"/>
          <w:szCs w:val="28"/>
          <w:shd w:val="clear" w:color="auto" w:fill="auto"/>
        </w:rPr>
        <w:t>联 系人：</w:t>
      </w:r>
      <w:r>
        <w:rPr>
          <w:rFonts w:hint="eastAsia" w:ascii="宋体" w:hAnsi="宋体" w:eastAsia="宋体" w:cs="宋体"/>
          <w:b/>
          <w:bCs/>
          <w:color w:val="auto"/>
          <w:sz w:val="28"/>
          <w:szCs w:val="28"/>
          <w:shd w:val="clear" w:color="auto" w:fill="auto"/>
          <w:lang w:eastAsia="zh-CN"/>
        </w:rPr>
        <w:t>武梅</w:t>
      </w:r>
    </w:p>
    <w:p>
      <w:pPr>
        <w:pStyle w:val="30"/>
        <w:tabs>
          <w:tab w:val="left" w:pos="8460"/>
        </w:tabs>
        <w:snapToGrid w:val="0"/>
        <w:spacing w:line="360" w:lineRule="auto"/>
        <w:ind w:right="-334" w:rightChars="-159" w:firstLine="1687" w:firstLineChars="600"/>
        <w:jc w:val="both"/>
        <w:rPr>
          <w:rFonts w:hint="eastAsia" w:ascii="宋体" w:hAnsi="宋体" w:eastAsia="宋体" w:cs="宋体"/>
          <w:b/>
          <w:bCs/>
          <w:color w:val="auto"/>
          <w:sz w:val="28"/>
          <w:szCs w:val="28"/>
          <w:shd w:val="clear" w:color="auto" w:fill="auto"/>
          <w:lang w:eastAsia="zh-CN"/>
        </w:rPr>
      </w:pPr>
      <w:r>
        <w:rPr>
          <w:rFonts w:hint="eastAsia" w:ascii="宋体" w:hAnsi="宋体" w:eastAsia="宋体" w:cs="宋体"/>
          <w:b/>
          <w:bCs/>
          <w:color w:val="auto"/>
          <w:sz w:val="28"/>
          <w:szCs w:val="28"/>
          <w:shd w:val="clear" w:color="auto" w:fill="auto"/>
        </w:rPr>
        <w:t>联系电话：</w:t>
      </w:r>
      <w:r>
        <w:rPr>
          <w:rFonts w:hint="eastAsia" w:ascii="宋体" w:hAnsi="宋体" w:eastAsia="宋体" w:cs="宋体"/>
          <w:b/>
          <w:bCs/>
          <w:color w:val="auto"/>
          <w:sz w:val="28"/>
          <w:szCs w:val="28"/>
          <w:shd w:val="clear" w:color="auto" w:fill="auto"/>
          <w:lang w:eastAsia="zh-CN"/>
        </w:rPr>
        <w:t>13399778608</w:t>
      </w:r>
    </w:p>
    <w:p>
      <w:pPr>
        <w:pStyle w:val="4"/>
        <w:tabs>
          <w:tab w:val="left" w:pos="540"/>
        </w:tabs>
        <w:rPr>
          <w:rFonts w:hint="eastAsia" w:ascii="宋体" w:hAnsi="宋体" w:eastAsia="宋体" w:cs="宋体"/>
          <w:color w:val="auto"/>
          <w:shd w:val="clear" w:color="auto" w:fill="auto"/>
        </w:rPr>
      </w:pPr>
    </w:p>
    <w:p>
      <w:pPr>
        <w:pStyle w:val="17"/>
        <w:snapToGrid w:val="0"/>
        <w:spacing w:line="360" w:lineRule="auto"/>
        <w:jc w:val="center"/>
        <w:rPr>
          <w:rFonts w:hint="eastAsia" w:ascii="宋体" w:hAnsi="宋体" w:eastAsia="宋体" w:cs="宋体"/>
          <w:color w:val="auto"/>
          <w:sz w:val="28"/>
          <w:szCs w:val="28"/>
          <w:shd w:val="clear" w:color="auto" w:fill="auto"/>
        </w:rPr>
      </w:pPr>
      <w:r>
        <w:rPr>
          <w:rFonts w:hint="eastAsia" w:ascii="宋体" w:hAnsi="宋体" w:eastAsia="宋体" w:cs="宋体"/>
          <w:b/>
          <w:color w:val="auto"/>
          <w:sz w:val="30"/>
          <w:szCs w:val="30"/>
          <w:shd w:val="clear" w:color="auto" w:fill="auto"/>
        </w:rPr>
        <w:t>二零二</w:t>
      </w:r>
      <w:r>
        <w:rPr>
          <w:rFonts w:hint="eastAsia" w:ascii="宋体" w:hAnsi="宋体" w:eastAsia="宋体" w:cs="宋体"/>
          <w:b/>
          <w:color w:val="auto"/>
          <w:sz w:val="30"/>
          <w:szCs w:val="30"/>
          <w:shd w:val="clear" w:color="auto" w:fill="auto"/>
          <w:lang w:val="en-US" w:eastAsia="zh-CN"/>
        </w:rPr>
        <w:t>二</w:t>
      </w:r>
      <w:r>
        <w:rPr>
          <w:rFonts w:hint="eastAsia" w:ascii="宋体" w:hAnsi="宋体" w:eastAsia="宋体" w:cs="宋体"/>
          <w:b/>
          <w:color w:val="auto"/>
          <w:sz w:val="30"/>
          <w:szCs w:val="30"/>
          <w:shd w:val="clear" w:color="auto" w:fill="auto"/>
        </w:rPr>
        <w:t>年</w:t>
      </w:r>
      <w:r>
        <w:rPr>
          <w:rFonts w:hint="eastAsia" w:ascii="宋体" w:hAnsi="宋体" w:eastAsia="宋体" w:cs="宋体"/>
          <w:b/>
          <w:color w:val="auto"/>
          <w:sz w:val="30"/>
          <w:szCs w:val="30"/>
          <w:shd w:val="clear" w:color="auto" w:fill="auto"/>
          <w:lang w:val="en-US" w:eastAsia="zh-CN"/>
        </w:rPr>
        <w:t>十</w:t>
      </w:r>
      <w:r>
        <w:rPr>
          <w:rFonts w:hint="eastAsia" w:ascii="宋体" w:hAnsi="宋体" w:eastAsia="宋体" w:cs="宋体"/>
          <w:b/>
          <w:color w:val="auto"/>
          <w:sz w:val="30"/>
          <w:szCs w:val="30"/>
          <w:shd w:val="clear" w:color="auto" w:fill="auto"/>
        </w:rPr>
        <w:t>月</w:t>
      </w:r>
    </w:p>
    <w:p>
      <w:pPr>
        <w:snapToGrid w:val="0"/>
        <w:spacing w:line="400" w:lineRule="exact"/>
        <w:ind w:left="1080" w:leftChars="257" w:hanging="540"/>
        <w:jc w:val="center"/>
        <w:textAlignment w:val="baseline"/>
        <w:rPr>
          <w:rFonts w:hint="eastAsia" w:ascii="宋体" w:hAnsi="宋体" w:eastAsia="宋体" w:cs="宋体"/>
          <w:b/>
          <w:color w:val="auto"/>
          <w:sz w:val="40"/>
          <w:szCs w:val="40"/>
          <w:shd w:val="clear" w:color="auto" w:fill="auto"/>
        </w:rPr>
      </w:pPr>
    </w:p>
    <w:p>
      <w:pPr>
        <w:snapToGrid w:val="0"/>
        <w:spacing w:line="400" w:lineRule="exact"/>
        <w:ind w:left="1080" w:leftChars="257" w:hanging="540"/>
        <w:jc w:val="center"/>
        <w:textAlignment w:val="baseline"/>
        <w:rPr>
          <w:rFonts w:hint="eastAsia" w:ascii="宋体" w:hAnsi="宋体" w:eastAsia="宋体" w:cs="宋体"/>
          <w:b/>
          <w:color w:val="auto"/>
          <w:sz w:val="40"/>
          <w:szCs w:val="40"/>
          <w:shd w:val="clear" w:color="auto" w:fill="auto"/>
        </w:rPr>
      </w:pPr>
    </w:p>
    <w:p>
      <w:pPr>
        <w:snapToGrid w:val="0"/>
        <w:spacing w:line="400" w:lineRule="exact"/>
        <w:ind w:left="1080" w:leftChars="257" w:hanging="540"/>
        <w:jc w:val="center"/>
        <w:textAlignment w:val="baseline"/>
        <w:rPr>
          <w:rFonts w:hint="eastAsia" w:ascii="宋体" w:hAnsi="宋体" w:eastAsia="宋体" w:cs="宋体"/>
          <w:b/>
          <w:color w:val="auto"/>
          <w:sz w:val="40"/>
          <w:szCs w:val="40"/>
          <w:shd w:val="clear" w:color="auto" w:fill="auto"/>
        </w:rPr>
      </w:pPr>
      <w:r>
        <w:rPr>
          <w:rFonts w:hint="eastAsia" w:ascii="宋体" w:hAnsi="宋体" w:eastAsia="宋体" w:cs="宋体"/>
          <w:b/>
          <w:color w:val="auto"/>
          <w:sz w:val="40"/>
          <w:szCs w:val="40"/>
          <w:shd w:val="clear" w:color="auto" w:fill="auto"/>
        </w:rPr>
        <w:t>目  录</w:t>
      </w:r>
    </w:p>
    <w:p>
      <w:pPr>
        <w:pStyle w:val="24"/>
        <w:tabs>
          <w:tab w:val="right" w:leader="dot" w:pos="8312"/>
        </w:tabs>
        <w:rPr>
          <w:rFonts w:hint="eastAsia" w:ascii="宋体" w:hAnsi="宋体" w:eastAsia="宋体" w:cs="宋体"/>
          <w:color w:val="auto"/>
          <w:kern w:val="0"/>
          <w:shd w:val="clear" w:color="auto" w:fill="auto"/>
        </w:rPr>
      </w:pPr>
      <w:r>
        <w:rPr>
          <w:rFonts w:hint="eastAsia" w:ascii="宋体" w:hAnsi="宋体" w:eastAsia="宋体" w:cs="宋体"/>
          <w:color w:val="auto"/>
          <w:kern w:val="0"/>
          <w:sz w:val="24"/>
          <w:shd w:val="clear" w:color="auto" w:fill="auto"/>
        </w:rPr>
        <w:fldChar w:fldCharType="begin"/>
      </w:r>
      <w:r>
        <w:rPr>
          <w:rFonts w:hint="eastAsia" w:ascii="宋体" w:hAnsi="宋体" w:eastAsia="宋体" w:cs="宋体"/>
          <w:color w:val="auto"/>
          <w:kern w:val="0"/>
          <w:sz w:val="24"/>
          <w:shd w:val="clear" w:color="auto" w:fill="auto"/>
        </w:rPr>
        <w:instrText xml:space="preserve"> TOC \o "1-3" \h \z \u </w:instrText>
      </w:r>
      <w:r>
        <w:rPr>
          <w:rFonts w:hint="eastAsia" w:ascii="宋体" w:hAnsi="宋体" w:eastAsia="宋体" w:cs="宋体"/>
          <w:color w:val="auto"/>
          <w:kern w:val="0"/>
          <w:sz w:val="24"/>
          <w:shd w:val="clear" w:color="auto" w:fill="auto"/>
        </w:rPr>
        <w:fldChar w:fldCharType="separate"/>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"_Toc3132"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第1章 供应商须知</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t>3</w:t>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"_Toc7006"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一   总 则</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_Toc7006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4</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"_Toc31962"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二   磋商文件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_Toc31962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"_Toc481"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三   响应文件的编制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_Toc481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7</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"_Toc20972"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四   响应文件的递交</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_Toc20972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10</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"_Toc19339"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五   磋商及评审</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_Toc19339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10</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"_Toc21828"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六   确定成交</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_Toc21828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15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"_Toc3132"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第2章 响应文件格式</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_Toc3132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21</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"_Toc1254"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第一部分 磋商开启一览表及资格证明文件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_Toc1254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21</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"_Toc7433"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1、磋商报价一览表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_Toc7433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22</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"_Toc4710"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2、具有相应经营范围的企业营业执照复印件、《银行开户许可证》或《基本存款账户信息》复印件；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_Toc4710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22</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"_Toc27758"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3、法定代表人身份证明书；法人授权委托书附法人身份证复印件及授权委托人身份证复印件加盖公章；</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_Toc27758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23</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"_Toc5550"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磋商</w:t>
      </w:r>
      <w:r>
        <w:rPr>
          <w:rFonts w:hint="eastAsia" w:ascii="宋体" w:hAnsi="宋体" w:eastAsia="宋体" w:cs="宋体"/>
          <w:color w:val="auto"/>
          <w:kern w:val="0"/>
          <w:shd w:val="clear" w:color="auto" w:fill="auto"/>
        </w:rPr>
        <w:t>保证金收据复印件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_Toc5550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"_Toc5064"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5、投标人需提供在“信用中国”网站（www.creditchina.gov.cn）和中国政府采购网（www.ccgp.gov.cn）网站上未被列入失信被执行人、重大税收违法案件当事人名单以及政府采购严重违法失信行为记录名单的网页截图并加盖公章（查询时间为公告发布之日起至投标截止时间止）</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_Toc5064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bCs/>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"_Toc24091" </w:instrText>
      </w:r>
      <w:r>
        <w:rPr>
          <w:rFonts w:hint="eastAsia" w:ascii="宋体" w:hAnsi="宋体" w:eastAsia="宋体" w:cs="宋体"/>
          <w:color w:val="auto"/>
          <w:shd w:val="clear" w:color="auto" w:fill="auto"/>
        </w:rPr>
        <w:fldChar w:fldCharType="separate"/>
      </w:r>
      <w:r>
        <w:rPr>
          <w:rFonts w:hint="eastAsia" w:ascii="宋体" w:hAnsi="宋体" w:eastAsia="宋体" w:cs="宋体"/>
          <w:bCs/>
          <w:color w:val="auto"/>
          <w:shd w:val="clear" w:color="auto" w:fill="auto"/>
        </w:rPr>
        <w:t>6、投标企业及其被授权委托人在项目进行期内提供本单位缴纳的近三个月社保缴纳凭证证明、具有税务局开具依法缴纳的近三个月税收证明并加盖公章；</w:t>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_Toc24091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"_Toc13417" </w:instrText>
      </w:r>
      <w:r>
        <w:rPr>
          <w:rFonts w:hint="eastAsia" w:ascii="宋体" w:hAnsi="宋体" w:eastAsia="宋体" w:cs="宋体"/>
          <w:color w:val="auto"/>
          <w:shd w:val="clear" w:color="auto" w:fill="auto"/>
        </w:rPr>
        <w:fldChar w:fldCharType="separate"/>
      </w:r>
      <w:r>
        <w:rPr>
          <w:rFonts w:hint="eastAsia" w:ascii="宋体" w:hAnsi="宋体" w:eastAsia="宋体" w:cs="宋体"/>
          <w:bCs/>
          <w:color w:val="auto"/>
          <w:shd w:val="clear" w:color="auto" w:fill="auto"/>
        </w:rPr>
        <w:t>7、提供</w:t>
      </w:r>
      <w:r>
        <w:rPr>
          <w:rFonts w:hint="eastAsia" w:ascii="宋体" w:hAnsi="宋体" w:eastAsia="宋体" w:cs="宋体"/>
          <w:bCs/>
          <w:color w:val="auto"/>
          <w:shd w:val="clear" w:color="auto" w:fill="auto"/>
          <w:lang w:val="en-US" w:eastAsia="zh-CN"/>
        </w:rPr>
        <w:t>2021</w:t>
      </w:r>
      <w:r>
        <w:rPr>
          <w:rFonts w:hint="eastAsia" w:ascii="宋体" w:hAnsi="宋体" w:eastAsia="宋体" w:cs="宋体"/>
          <w:bCs/>
          <w:color w:val="auto"/>
          <w:shd w:val="clear" w:color="auto" w:fill="auto"/>
        </w:rPr>
        <w:t>年度财务审计报告复印件；新公司或其他组织和自然人提供银行出具的资信证明</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_Toc13417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"_Toc19359"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8、投标单位（供应商）提供针对本次项目《反商业贿赂承诺书》书面声明；</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_Toc19359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"_Toc18896"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9、加政府采购活动前三年内，在经营活动中没有重大违法记录的书面声明</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br w:type="textWrapping"/>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_Toc18896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"_Toc25953"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lang w:val="en-US" w:eastAsia="zh-CN"/>
        </w:rPr>
        <w:t>10</w:t>
      </w:r>
      <w:r>
        <w:rPr>
          <w:rFonts w:hint="eastAsia" w:ascii="宋体" w:hAnsi="宋体" w:eastAsia="宋体" w:cs="宋体"/>
          <w:color w:val="auto"/>
          <w:shd w:val="clear" w:color="auto" w:fill="auto"/>
        </w:rPr>
        <w:t>、投标人须知资料表要求的其他证明文件；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_Toc25953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"_Toc25953"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lang w:val="en-US" w:eastAsia="zh-CN"/>
        </w:rPr>
        <w:t>11</w:t>
      </w:r>
      <w:r>
        <w:rPr>
          <w:rFonts w:hint="eastAsia" w:ascii="宋体" w:hAnsi="宋体" w:eastAsia="宋体" w:cs="宋体"/>
          <w:color w:val="auto"/>
          <w:shd w:val="clear" w:color="auto" w:fill="auto"/>
        </w:rPr>
        <w:t>、投标人可提供有利于投标的其他证明材料；</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_Toc25953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"_Toc13953"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第二部分  商务及技术文件</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_Toc13953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27</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"_Toc20342"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1、磋商书</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_Toc20342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28</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"_Toc10830"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2、</w:t>
      </w:r>
      <w:r>
        <w:rPr>
          <w:rFonts w:hint="eastAsia" w:ascii="宋体" w:hAnsi="宋体" w:eastAsia="宋体" w:cs="宋体"/>
          <w:bCs/>
          <w:color w:val="auto"/>
          <w:shd w:val="clear" w:color="auto" w:fill="auto"/>
        </w:rPr>
        <w:t>磋商分项报价表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_Toc10830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29</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"_Toc2193"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hd w:val="clear" w:color="auto" w:fill="auto"/>
        </w:rPr>
        <w:t>3、服务说明一览表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_Toc2193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30</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"_Toc31358"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4、商务条款偏离表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_Toc31358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31</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"_Toc17799" </w:instrText>
      </w:r>
      <w:r>
        <w:rPr>
          <w:rFonts w:hint="eastAsia" w:ascii="宋体" w:hAnsi="宋体" w:eastAsia="宋体" w:cs="宋体"/>
          <w:color w:val="auto"/>
          <w:shd w:val="clear" w:color="auto" w:fill="auto"/>
        </w:rPr>
        <w:fldChar w:fldCharType="separate"/>
      </w:r>
      <w:r>
        <w:rPr>
          <w:rFonts w:hint="eastAsia" w:ascii="宋体" w:hAnsi="宋体" w:eastAsia="宋体" w:cs="宋体"/>
          <w:bCs/>
          <w:color w:val="auto"/>
          <w:shd w:val="clear" w:color="auto" w:fill="auto"/>
        </w:rPr>
        <w:t>5、服务规格偏离表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_Toc17799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32</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"_Toc24111"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 xml:space="preserve">6-1 </w:t>
      </w:r>
      <w:r>
        <w:rPr>
          <w:rFonts w:hint="eastAsia" w:ascii="宋体" w:hAnsi="宋体" w:eastAsia="宋体" w:cs="宋体"/>
          <w:bCs/>
          <w:color w:val="auto"/>
          <w:szCs w:val="28"/>
          <w:shd w:val="clear" w:color="auto" w:fill="auto"/>
        </w:rPr>
        <w:t>中小企业声明函（服务）</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_Toc24111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33</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"_Toc22048"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6-2   残疾人福利性单位声明函</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_Toc22048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34</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"_Toc23296"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7、供应商关联单位的说明</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_Toc23296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34</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"_Toc12025"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8、提供有利于磋商的其他证明材料</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_Toc12025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34</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8"/>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"_Toc20788"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kern w:val="0"/>
          <w:szCs w:val="20"/>
          <w:shd w:val="clear" w:color="auto" w:fill="auto"/>
        </w:rPr>
        <w:t>9、响应文件格式范本</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_Toc20788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35</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"_Toc32321"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第3章 磋商邀请</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_Toc32321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37</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"_Toc7656"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zCs w:val="32"/>
          <w:shd w:val="clear" w:color="auto" w:fill="auto"/>
        </w:rPr>
        <w:t>第4章  供应商须知资料表</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_Toc7656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41</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"_Toc23158"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第5章 服务需求一览表及项目要求</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_Toc23158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46</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"_Toc16903"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第6章 评审方法和标准</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_Toc16903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50</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24"/>
        <w:tabs>
          <w:tab w:val="right" w:leader="dot" w:pos="8312"/>
        </w:tabs>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HYPERLINK \l "_Toc25581"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第7章  政府采购合同</w:t>
      </w:r>
      <w:r>
        <w:rPr>
          <w:rFonts w:hint="eastAsia" w:ascii="宋体" w:hAnsi="宋体" w:eastAsia="宋体" w:cs="宋体"/>
          <w:color w:val="auto"/>
          <w:shd w:val="clear" w:color="auto" w:fill="auto"/>
        </w:rPr>
        <w:tab/>
      </w:r>
      <w:r>
        <w:rPr>
          <w:rFonts w:hint="eastAsia" w:ascii="宋体" w:hAnsi="宋体" w:eastAsia="宋体" w:cs="宋体"/>
          <w:color w:val="auto"/>
          <w:shd w:val="clear" w:color="auto" w:fill="auto"/>
        </w:rPr>
        <w:fldChar w:fldCharType="begin"/>
      </w:r>
      <w:r>
        <w:rPr>
          <w:rFonts w:hint="eastAsia" w:ascii="宋体" w:hAnsi="宋体" w:eastAsia="宋体" w:cs="宋体"/>
          <w:color w:val="auto"/>
          <w:shd w:val="clear" w:color="auto" w:fill="auto"/>
        </w:rPr>
        <w:instrText xml:space="preserve"> PAGEREF _Toc25581 \h </w:instrText>
      </w:r>
      <w:r>
        <w:rPr>
          <w:rFonts w:hint="eastAsia" w:ascii="宋体" w:hAnsi="宋体" w:eastAsia="宋体" w:cs="宋体"/>
          <w:color w:val="auto"/>
          <w:shd w:val="clear" w:color="auto" w:fill="auto"/>
        </w:rPr>
        <w:fldChar w:fldCharType="separate"/>
      </w:r>
      <w:r>
        <w:rPr>
          <w:rFonts w:hint="eastAsia" w:ascii="宋体" w:hAnsi="宋体" w:eastAsia="宋体" w:cs="宋体"/>
          <w:color w:val="auto"/>
          <w:shd w:val="clear" w:color="auto" w:fill="auto"/>
        </w:rPr>
        <w:t>62</w:t>
      </w:r>
      <w:r>
        <w:rPr>
          <w:rFonts w:hint="eastAsia" w:ascii="宋体" w:hAnsi="宋体" w:eastAsia="宋体" w:cs="宋体"/>
          <w:color w:val="auto"/>
          <w:shd w:val="clear" w:color="auto" w:fill="auto"/>
        </w:rPr>
        <w:fldChar w:fldCharType="end"/>
      </w:r>
      <w:r>
        <w:rPr>
          <w:rFonts w:hint="eastAsia" w:ascii="宋体" w:hAnsi="宋体" w:eastAsia="宋体" w:cs="宋体"/>
          <w:color w:val="auto"/>
          <w:shd w:val="clear" w:color="auto" w:fill="auto"/>
        </w:rPr>
        <w:fldChar w:fldCharType="end"/>
      </w:r>
    </w:p>
    <w:p>
      <w:pPr>
        <w:pStyle w:val="5"/>
        <w:jc w:val="center"/>
        <w:rPr>
          <w:rFonts w:hint="eastAsia" w:ascii="宋体" w:hAnsi="宋体" w:eastAsia="宋体" w:cs="宋体"/>
          <w:color w:val="auto"/>
          <w:szCs w:val="24"/>
          <w:shd w:val="clear" w:color="auto" w:fill="auto"/>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r>
        <w:rPr>
          <w:rFonts w:hint="eastAsia" w:ascii="宋体" w:hAnsi="宋体" w:eastAsia="宋体" w:cs="宋体"/>
          <w:color w:val="auto"/>
          <w:szCs w:val="24"/>
          <w:shd w:val="clear" w:color="auto" w:fill="auto"/>
        </w:rPr>
        <w:fldChar w:fldCharType="end"/>
      </w:r>
      <w:bookmarkStart w:id="0" w:name="_Toc1462"/>
      <w:bookmarkStart w:id="1" w:name="_Toc10715352"/>
      <w:bookmarkStart w:id="2" w:name="_Toc518923059"/>
    </w:p>
    <w:p>
      <w:pPr>
        <w:pStyle w:val="5"/>
        <w:jc w:val="center"/>
        <w:rPr>
          <w:rFonts w:hint="eastAsia" w:ascii="宋体" w:hAnsi="宋体" w:eastAsia="宋体" w:cs="宋体"/>
          <w:b/>
          <w:color w:val="auto"/>
          <w:shd w:val="clear" w:color="auto" w:fill="auto"/>
        </w:rPr>
      </w:pPr>
      <w:r>
        <w:rPr>
          <w:rFonts w:hint="eastAsia" w:ascii="宋体" w:hAnsi="宋体" w:eastAsia="宋体" w:cs="宋体"/>
          <w:b/>
          <w:color w:val="auto"/>
          <w:sz w:val="32"/>
          <w:szCs w:val="24"/>
          <w:shd w:val="clear" w:color="auto" w:fill="auto"/>
        </w:rPr>
        <w:t xml:space="preserve">第1章  </w:t>
      </w:r>
      <w:r>
        <w:rPr>
          <w:rFonts w:hint="eastAsia" w:ascii="宋体" w:hAnsi="宋体" w:eastAsia="宋体" w:cs="宋体"/>
          <w:b/>
          <w:color w:val="auto"/>
          <w:sz w:val="32"/>
          <w:szCs w:val="32"/>
          <w:shd w:val="clear" w:color="auto" w:fill="auto"/>
        </w:rPr>
        <w:t>供应商须知</w:t>
      </w:r>
      <w:bookmarkEnd w:id="0"/>
      <w:bookmarkEnd w:id="1"/>
      <w:bookmarkEnd w:id="2"/>
    </w:p>
    <w:p>
      <w:pPr>
        <w:pStyle w:val="4"/>
        <w:snapToGrid w:val="0"/>
        <w:spacing w:before="0" w:line="240" w:lineRule="atLeast"/>
        <w:ind w:left="1080" w:leftChars="257" w:hanging="540"/>
        <w:textAlignment w:val="baseline"/>
        <w:rPr>
          <w:rFonts w:hint="eastAsia" w:ascii="宋体" w:hAnsi="宋体" w:eastAsia="宋体" w:cs="宋体"/>
          <w:color w:val="auto"/>
          <w:sz w:val="24"/>
          <w:szCs w:val="24"/>
          <w:shd w:val="clear" w:color="auto" w:fill="auto"/>
        </w:rPr>
      </w:pPr>
      <w:bookmarkStart w:id="3" w:name="_Toc515647757"/>
      <w:bookmarkStart w:id="4" w:name="_Toc520356143"/>
      <w:bookmarkStart w:id="5" w:name="_Toc216582805"/>
      <w:bookmarkStart w:id="6" w:name="_Toc21215"/>
      <w:bookmarkStart w:id="7" w:name="_Toc7006"/>
      <w:bookmarkStart w:id="8" w:name="_Toc21015"/>
      <w:r>
        <w:rPr>
          <w:rFonts w:hint="eastAsia" w:ascii="宋体" w:hAnsi="宋体" w:eastAsia="宋体" w:cs="宋体"/>
          <w:color w:val="auto"/>
          <w:sz w:val="24"/>
          <w:szCs w:val="24"/>
          <w:shd w:val="clear" w:color="auto" w:fill="auto"/>
        </w:rPr>
        <w:t xml:space="preserve">一   </w:t>
      </w:r>
      <w:bookmarkEnd w:id="3"/>
      <w:bookmarkEnd w:id="4"/>
      <w:bookmarkEnd w:id="5"/>
      <w:r>
        <w:rPr>
          <w:rFonts w:hint="eastAsia" w:ascii="宋体" w:hAnsi="宋体" w:eastAsia="宋体" w:cs="宋体"/>
          <w:color w:val="auto"/>
          <w:sz w:val="24"/>
          <w:szCs w:val="24"/>
          <w:shd w:val="clear" w:color="auto" w:fill="auto"/>
        </w:rPr>
        <w:t>总 则</w:t>
      </w:r>
      <w:bookmarkEnd w:id="6"/>
      <w:bookmarkEnd w:id="7"/>
      <w:bookmarkEnd w:id="8"/>
    </w:p>
    <w:p>
      <w:pPr>
        <w:pStyle w:val="6"/>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9" w:name="_Toc32623"/>
      <w:bookmarkStart w:id="10" w:name="_Toc515647758"/>
      <w:bookmarkStart w:id="11" w:name="_Toc32189"/>
      <w:bookmarkStart w:id="12" w:name="_Toc520356144"/>
      <w:bookmarkStart w:id="13" w:name="_Toc6040"/>
      <w:bookmarkStart w:id="14" w:name="_Toc11217"/>
      <w:bookmarkStart w:id="15" w:name="_Toc27535"/>
      <w:bookmarkStart w:id="16" w:name="_Toc26782"/>
      <w:bookmarkStart w:id="17" w:name="_Toc31620"/>
      <w:bookmarkStart w:id="18" w:name="_Toc28974"/>
      <w:bookmarkStart w:id="19" w:name="_Toc19826"/>
      <w:bookmarkStart w:id="20" w:name="_Toc20385"/>
      <w:bookmarkStart w:id="21" w:name="_Toc16079"/>
      <w:bookmarkStart w:id="22" w:name="_Toc16501"/>
      <w:r>
        <w:rPr>
          <w:rFonts w:hint="eastAsia" w:ascii="宋体" w:hAnsi="宋体" w:eastAsia="宋体" w:cs="宋体"/>
          <w:color w:val="auto"/>
          <w:szCs w:val="24"/>
          <w:u w:val="none" w:color="auto"/>
          <w:shd w:val="clear" w:color="auto" w:fill="auto"/>
        </w:rPr>
        <w:t>1.采购人、采购代理机构及</w:t>
      </w:r>
      <w:bookmarkEnd w:id="9"/>
      <w:bookmarkEnd w:id="10"/>
      <w:bookmarkEnd w:id="11"/>
      <w:bookmarkEnd w:id="12"/>
      <w:r>
        <w:rPr>
          <w:rFonts w:hint="eastAsia" w:ascii="宋体" w:hAnsi="宋体" w:eastAsia="宋体" w:cs="宋体"/>
          <w:color w:val="auto"/>
          <w:szCs w:val="24"/>
          <w:u w:val="none" w:color="auto"/>
          <w:shd w:val="clear" w:color="auto" w:fill="auto"/>
        </w:rPr>
        <w:t>供应商</w:t>
      </w:r>
      <w:bookmarkEnd w:id="13"/>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    采购人：是指依法开展政府采购活动的国家机关、事业单位、团体组织。</w:t>
      </w:r>
    </w:p>
    <w:p>
      <w:pPr>
        <w:tabs>
          <w:tab w:val="left" w:pos="0"/>
        </w:tabs>
        <w:snapToGrid w:val="0"/>
        <w:spacing w:line="380" w:lineRule="exact"/>
        <w:ind w:firstLine="960" w:firstLineChars="40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本项目的采购人见</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w:t>
      </w:r>
    </w:p>
    <w:p>
      <w:pPr>
        <w:tabs>
          <w:tab w:val="left" w:pos="0"/>
        </w:tabs>
        <w:snapToGrid w:val="0"/>
        <w:spacing w:line="380" w:lineRule="exact"/>
        <w:ind w:left="720" w:hanging="720" w:hangingChars="30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   采购代理机构：是指在集中采购机构或从事采购代理业务的社会中介机构。本项目的采购代理机构见</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w:t>
      </w:r>
    </w:p>
    <w:p>
      <w:pPr>
        <w:numPr>
          <w:ilvl w:val="1"/>
          <w:numId w:val="2"/>
        </w:numPr>
        <w:snapToGrid w:val="0"/>
        <w:spacing w:line="380" w:lineRule="exact"/>
        <w:ind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供应商：是指向采购人提供货物、工程或者服务的法人、非法人组织或者自然人。</w:t>
      </w:r>
    </w:p>
    <w:p>
      <w:pPr>
        <w:snapToGrid w:val="0"/>
        <w:spacing w:line="380" w:lineRule="exact"/>
        <w:ind w:left="850" w:hanging="849" w:hangingChars="354"/>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在中华人民共和国境内注册，能够独立承担民事责任，有生产或供应能力的本国供应商。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1.3.3   以采购代理机构认可的方式获得了本项目的磋商文件。</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1.3.4   符合</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中规定的其他要求。</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1.3.5   若</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中写明允许采购进口产品，供应商应保证所投产品可履行合法报通关手续进入中国关境内。</w:t>
      </w:r>
    </w:p>
    <w:p>
      <w:pPr>
        <w:snapToGrid w:val="0"/>
        <w:spacing w:line="380" w:lineRule="exact"/>
        <w:ind w:left="958" w:leftChars="456"/>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若</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中未写明允许采购进口产品，如供应商所投产品为进口产品，其磋商将被认定为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840" w:hanging="840" w:hangingChars="35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1.3.6  若</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中写明专门面向中小企业采购的，如供应商为非中小企业且所投产品为非中小企业产品，其磋商将被认定为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     如</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中允许联合体磋商，对联合体规定如下：</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1.4.1   两个以上供应商可以组成一个磋商联合体，以一个供应商的身份磋商。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1.4.2   联合体各方均应符合《中华人民共和国政府采购法》第二十二条规定的条件。</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1.4.3   采购人根据采购项目对供应商的特殊要求，联合体中至少应当有一方符合相关规定。</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1.4.8   对联合体磋商的其他资格要求见</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    单位负责人为同一人或者存在直接控股、管理关系的不同供应商，其相关磋商将被认定为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    为本项目提供过整体设计、规范编制或者项目管理、监理、检测等服务的供应商，不得再参加本项目上述服务以外的其他采购活动。否则其磋商将被认定为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1.7</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供应商在磋商过程中不得向采购人提供、给予任何有价值的物品，影响其正常决策行为。一经发现，其将被认定为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pStyle w:val="6"/>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23" w:name="_Toc12994"/>
      <w:bookmarkStart w:id="24" w:name="_Toc20993"/>
      <w:bookmarkStart w:id="25" w:name="_Toc31303"/>
      <w:bookmarkStart w:id="26" w:name="_Toc25078"/>
      <w:bookmarkStart w:id="27" w:name="_Toc32017"/>
      <w:bookmarkStart w:id="28" w:name="_Toc32709"/>
      <w:bookmarkStart w:id="29" w:name="_Toc12139"/>
      <w:bookmarkStart w:id="30" w:name="_Toc5286"/>
      <w:bookmarkStart w:id="31" w:name="_Toc21415"/>
      <w:bookmarkStart w:id="32" w:name="_Toc12082"/>
      <w:bookmarkStart w:id="33" w:name="_Toc17954"/>
      <w:bookmarkStart w:id="34" w:name="_Toc515647759"/>
      <w:bookmarkStart w:id="35" w:name="_Toc1145"/>
      <w:r>
        <w:rPr>
          <w:rFonts w:hint="eastAsia" w:ascii="宋体" w:hAnsi="宋体" w:eastAsia="宋体" w:cs="宋体"/>
          <w:color w:val="auto"/>
          <w:szCs w:val="24"/>
          <w:u w:val="none" w:color="auto"/>
          <w:shd w:val="clear" w:color="auto" w:fill="auto"/>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2.2    项目预算金额和分项或分包最高限价</w:t>
      </w:r>
      <w:r>
        <w:rPr>
          <w:rFonts w:hint="eastAsia" w:ascii="宋体" w:hAnsi="宋体" w:eastAsia="宋体" w:cs="宋体"/>
          <w:color w:val="auto"/>
          <w:sz w:val="24"/>
          <w:u w:val="single" w:color="000000"/>
          <w:shd w:val="clear" w:color="auto" w:fill="auto"/>
        </w:rPr>
        <w:t>见供应商须知资料表</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2.3    供应商报价超过磋商文件规定的预算金额或者分项、分包最高限价的，其磋商将被认定为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pStyle w:val="6"/>
        <w:snapToGrid w:val="0"/>
        <w:spacing w:before="0" w:after="0" w:line="380" w:lineRule="exact"/>
        <w:textAlignment w:val="baseline"/>
        <w:rPr>
          <w:rFonts w:hint="eastAsia" w:ascii="宋体" w:hAnsi="宋体" w:eastAsia="宋体" w:cs="宋体"/>
          <w:color w:val="auto"/>
          <w:szCs w:val="24"/>
          <w:u w:color="000000"/>
          <w:shd w:val="clear" w:color="auto" w:fill="auto"/>
        </w:rPr>
      </w:pPr>
      <w:bookmarkStart w:id="36" w:name="_Toc515647760"/>
      <w:bookmarkStart w:id="37" w:name="_Toc20149"/>
      <w:bookmarkStart w:id="38" w:name="_Toc4556"/>
      <w:bookmarkStart w:id="39" w:name="_Toc18168"/>
      <w:bookmarkStart w:id="40" w:name="_Toc15302"/>
      <w:bookmarkStart w:id="41" w:name="_Toc91"/>
      <w:bookmarkStart w:id="42" w:name="_Toc15936"/>
      <w:bookmarkStart w:id="43" w:name="_Toc520356145"/>
      <w:bookmarkStart w:id="44" w:name="_Toc31949"/>
      <w:bookmarkStart w:id="45" w:name="_Toc145"/>
      <w:bookmarkStart w:id="46" w:name="_Toc20526"/>
      <w:bookmarkStart w:id="47" w:name="_Toc23939"/>
      <w:bookmarkStart w:id="48" w:name="_Toc6076"/>
      <w:bookmarkStart w:id="49" w:name="_Toc3164"/>
      <w:r>
        <w:rPr>
          <w:rFonts w:hint="eastAsia" w:ascii="宋体" w:hAnsi="宋体" w:eastAsia="宋体" w:cs="宋体"/>
          <w:color w:val="auto"/>
          <w:szCs w:val="24"/>
          <w:u w:color="000000"/>
          <w:shd w:val="clear" w:color="auto" w:fill="auto"/>
        </w:rPr>
        <w:t>3.磋商费用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不论磋商的结果如何，供应商应承担所有与准备和参加磋商有关的费用。</w:t>
      </w:r>
    </w:p>
    <w:p>
      <w:pPr>
        <w:pStyle w:val="6"/>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50" w:name="_Toc23425"/>
      <w:bookmarkStart w:id="51" w:name="_Toc15164"/>
      <w:bookmarkStart w:id="52" w:name="_Toc32069"/>
      <w:bookmarkStart w:id="53" w:name="_Toc4463"/>
      <w:bookmarkStart w:id="54" w:name="_Toc15428"/>
      <w:bookmarkStart w:id="55" w:name="_Toc6116"/>
      <w:bookmarkStart w:id="56" w:name="_Toc29823"/>
      <w:bookmarkStart w:id="57" w:name="_Toc26501"/>
      <w:bookmarkStart w:id="58" w:name="_Toc16556"/>
      <w:bookmarkStart w:id="59" w:name="_Toc7327"/>
      <w:bookmarkStart w:id="60" w:name="_Toc515647761"/>
      <w:bookmarkStart w:id="61" w:name="_Toc14158"/>
      <w:bookmarkStart w:id="62" w:name="_Toc17753"/>
      <w:r>
        <w:rPr>
          <w:rFonts w:hint="eastAsia" w:ascii="宋体" w:hAnsi="宋体" w:eastAsia="宋体" w:cs="宋体"/>
          <w:color w:val="auto"/>
          <w:szCs w:val="24"/>
          <w:u w:val="none" w:color="auto"/>
          <w:shd w:val="clear" w:color="auto" w:fill="auto"/>
        </w:rPr>
        <w:t>4.适用法律</w:t>
      </w:r>
      <w:bookmarkEnd w:id="50"/>
      <w:bookmarkEnd w:id="51"/>
      <w:bookmarkEnd w:id="52"/>
      <w:bookmarkEnd w:id="53"/>
      <w:bookmarkEnd w:id="54"/>
      <w:bookmarkEnd w:id="55"/>
      <w:bookmarkEnd w:id="56"/>
      <w:bookmarkEnd w:id="57"/>
      <w:bookmarkEnd w:id="58"/>
      <w:bookmarkEnd w:id="59"/>
      <w:bookmarkEnd w:id="60"/>
      <w:bookmarkEnd w:id="61"/>
      <w:bookmarkEnd w:id="62"/>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hint="eastAsia" w:ascii="宋体" w:hAnsi="宋体" w:eastAsia="宋体" w:cs="宋体"/>
          <w:color w:val="auto"/>
          <w:sz w:val="24"/>
          <w:shd w:val="clear" w:color="auto" w:fill="auto"/>
        </w:rPr>
      </w:pPr>
    </w:p>
    <w:p>
      <w:pPr>
        <w:jc w:val="center"/>
        <w:rPr>
          <w:rFonts w:hint="eastAsia" w:ascii="宋体" w:hAnsi="宋体" w:eastAsia="宋体" w:cs="宋体"/>
          <w:b/>
          <w:bCs/>
          <w:color w:val="auto"/>
          <w:sz w:val="24"/>
          <w:szCs w:val="24"/>
          <w:shd w:val="clear" w:color="auto" w:fill="auto"/>
        </w:rPr>
      </w:pPr>
      <w:bookmarkStart w:id="63" w:name="_Toc515647762"/>
      <w:bookmarkStart w:id="64" w:name="_Toc216582806"/>
      <w:bookmarkStart w:id="65" w:name="_Toc520356146"/>
      <w:bookmarkStart w:id="66" w:name="_Toc21566"/>
      <w:bookmarkStart w:id="67" w:name="_Toc4365"/>
      <w:bookmarkStart w:id="68" w:name="_Toc13692"/>
      <w:bookmarkStart w:id="69" w:name="_Toc31962"/>
      <w:r>
        <w:rPr>
          <w:rFonts w:hint="eastAsia" w:ascii="宋体" w:hAnsi="宋体" w:eastAsia="宋体" w:cs="宋体"/>
          <w:b/>
          <w:bCs/>
          <w:color w:val="auto"/>
          <w:sz w:val="24"/>
          <w:szCs w:val="24"/>
          <w:shd w:val="clear" w:color="auto" w:fill="auto"/>
        </w:rPr>
        <w:t xml:space="preserve">二   </w:t>
      </w:r>
      <w:bookmarkEnd w:id="63"/>
      <w:bookmarkEnd w:id="64"/>
      <w:bookmarkEnd w:id="65"/>
      <w:bookmarkEnd w:id="66"/>
      <w:bookmarkEnd w:id="67"/>
      <w:r>
        <w:rPr>
          <w:rFonts w:hint="eastAsia" w:ascii="宋体" w:hAnsi="宋体" w:eastAsia="宋体" w:cs="宋体"/>
          <w:b/>
          <w:bCs/>
          <w:color w:val="auto"/>
          <w:sz w:val="24"/>
          <w:szCs w:val="24"/>
          <w:shd w:val="clear" w:color="auto" w:fill="auto"/>
        </w:rPr>
        <w:t>磋商文件</w:t>
      </w:r>
      <w:bookmarkEnd w:id="68"/>
      <w:bookmarkEnd w:id="69"/>
    </w:p>
    <w:p>
      <w:pPr>
        <w:pStyle w:val="6"/>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70" w:name="_Toc515647763"/>
      <w:bookmarkStart w:id="71" w:name="_Toc14084"/>
      <w:bookmarkStart w:id="72" w:name="_Toc27545"/>
      <w:bookmarkStart w:id="73" w:name="_Toc4773"/>
      <w:bookmarkStart w:id="74" w:name="_Toc14409"/>
      <w:bookmarkStart w:id="75" w:name="_Toc520356147"/>
      <w:bookmarkStart w:id="76" w:name="_Toc18139"/>
      <w:bookmarkStart w:id="77" w:name="_Toc25743"/>
      <w:bookmarkStart w:id="78" w:name="_Toc9520"/>
      <w:bookmarkStart w:id="79" w:name="_Toc20128"/>
      <w:bookmarkStart w:id="80" w:name="_Toc16061"/>
      <w:bookmarkStart w:id="81" w:name="_Toc4254"/>
      <w:bookmarkStart w:id="82" w:name="_Toc9575"/>
      <w:bookmarkStart w:id="83" w:name="_Toc16521"/>
      <w:r>
        <w:rPr>
          <w:rFonts w:hint="eastAsia" w:ascii="宋体" w:hAnsi="宋体" w:eastAsia="宋体" w:cs="宋体"/>
          <w:color w:val="auto"/>
          <w:szCs w:val="24"/>
          <w:u w:val="none" w:color="auto"/>
          <w:shd w:val="clear" w:color="auto" w:fill="auto"/>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磋商文件分为三册共7章，内容如下：</w:t>
      </w:r>
    </w:p>
    <w:p>
      <w:pPr>
        <w:snapToGrid w:val="0"/>
        <w:spacing w:line="380" w:lineRule="exact"/>
        <w:ind w:left="180" w:hanging="180" w:hangingChars="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第一册</w:t>
      </w:r>
    </w:p>
    <w:p>
      <w:pPr>
        <w:tabs>
          <w:tab w:val="left" w:pos="0"/>
        </w:tabs>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第1章 供应商须知</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第2章 响应文件格式</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第二册</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第3章 磋商邀请</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第4章 供应商须知资料表</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第5章 服务需求一览表及技术规格</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第6章 评审方法和标准</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第三册</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第7章 政府采购合同格式</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如本文件的前后内容不一致，以最后描述为准。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pStyle w:val="6"/>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84" w:name="_Toc520356148"/>
      <w:bookmarkStart w:id="85" w:name="_Toc515904805"/>
      <w:bookmarkStart w:id="86" w:name="_Toc11954"/>
      <w:bookmarkStart w:id="87" w:name="_Toc19969"/>
      <w:bookmarkStart w:id="88" w:name="_Toc73"/>
      <w:bookmarkStart w:id="89" w:name="_Toc24794"/>
      <w:bookmarkStart w:id="90" w:name="_Toc17695"/>
      <w:bookmarkStart w:id="91" w:name="_Toc6163"/>
      <w:bookmarkStart w:id="92" w:name="_Toc24970"/>
      <w:bookmarkStart w:id="93" w:name="_Toc12118"/>
      <w:bookmarkStart w:id="94" w:name="_Toc9232"/>
      <w:bookmarkStart w:id="95" w:name="_Toc5443"/>
      <w:bookmarkStart w:id="96" w:name="_Toc26044"/>
      <w:bookmarkStart w:id="97" w:name="_Toc27499"/>
      <w:r>
        <w:rPr>
          <w:rFonts w:hint="eastAsia" w:ascii="宋体" w:hAnsi="宋体" w:eastAsia="宋体" w:cs="宋体"/>
          <w:color w:val="auto"/>
          <w:szCs w:val="24"/>
          <w:u w:val="none" w:color="auto"/>
          <w:shd w:val="clear" w:color="auto" w:fill="auto"/>
        </w:rPr>
        <w:t>6.磋商文件的澄清</w:t>
      </w:r>
      <w:bookmarkEnd w:id="84"/>
      <w:bookmarkEnd w:id="85"/>
      <w:r>
        <w:rPr>
          <w:rFonts w:hint="eastAsia" w:ascii="宋体" w:hAnsi="宋体" w:eastAsia="宋体" w:cs="宋体"/>
          <w:color w:val="auto"/>
          <w:szCs w:val="24"/>
          <w:u w:val="none" w:color="auto"/>
          <w:shd w:val="clear" w:color="auto" w:fill="auto"/>
        </w:rPr>
        <w:t>与修改</w:t>
      </w:r>
      <w:bookmarkEnd w:id="86"/>
      <w:bookmarkEnd w:id="87"/>
      <w:bookmarkEnd w:id="88"/>
      <w:bookmarkEnd w:id="89"/>
      <w:bookmarkEnd w:id="90"/>
      <w:bookmarkEnd w:id="91"/>
      <w:bookmarkEnd w:id="92"/>
      <w:bookmarkEnd w:id="93"/>
      <w:bookmarkEnd w:id="94"/>
      <w:bookmarkEnd w:id="95"/>
      <w:bookmarkEnd w:id="96"/>
      <w:bookmarkEnd w:id="97"/>
    </w:p>
    <w:p>
      <w:pPr>
        <w:pStyle w:val="5"/>
        <w:snapToGrid w:val="0"/>
        <w:spacing w:line="380" w:lineRule="exact"/>
        <w:ind w:left="840" w:hanging="840" w:hangingChars="350"/>
        <w:textAlignment w:val="baseline"/>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6.1    为了保证对磋商文件的澄清和修改满足法律的时限要求，任何要求对磋商文件进行澄清的供应商，均应在磋商截止时间至少5日前，以书面形式将澄清要求通知采购人或采购代理机构。</w:t>
      </w:r>
    </w:p>
    <w:p>
      <w:pPr>
        <w:pStyle w:val="5"/>
        <w:snapToGrid w:val="0"/>
        <w:spacing w:line="380" w:lineRule="exact"/>
        <w:ind w:left="840" w:hanging="840" w:hangingChars="350"/>
        <w:textAlignment w:val="baseline"/>
        <w:rPr>
          <w:rFonts w:hint="eastAsia" w:ascii="宋体" w:hAnsi="宋体" w:eastAsia="宋体" w:cs="宋体"/>
          <w:color w:val="auto"/>
          <w:szCs w:val="24"/>
          <w:shd w:val="clear" w:color="auto" w:fill="auto"/>
        </w:rPr>
      </w:pPr>
      <w:bookmarkStart w:id="98" w:name="_Toc520356149"/>
      <w:bookmarkStart w:id="99" w:name="_Toc515904806"/>
      <w:bookmarkStart w:id="100" w:name="_Ref467378678"/>
      <w:r>
        <w:rPr>
          <w:rFonts w:hint="eastAsia" w:ascii="宋体" w:hAnsi="宋体" w:eastAsia="宋体" w:cs="宋体"/>
          <w:color w:val="auto"/>
          <w:szCs w:val="24"/>
          <w:shd w:val="clear" w:color="auto" w:fill="auto"/>
        </w:rPr>
        <w:t>6.2</w:t>
      </w:r>
      <w:r>
        <w:rPr>
          <w:rFonts w:hint="eastAsia" w:ascii="宋体" w:hAnsi="宋体" w:eastAsia="宋体" w:cs="宋体"/>
          <w:color w:val="auto"/>
          <w:szCs w:val="24"/>
          <w:shd w:val="clear" w:color="auto" w:fill="auto"/>
        </w:rPr>
        <w:tab/>
      </w:r>
      <w:r>
        <w:rPr>
          <w:rFonts w:hint="eastAsia" w:ascii="宋体" w:hAnsi="宋体" w:eastAsia="宋体" w:cs="宋体"/>
          <w:color w:val="auto"/>
          <w:szCs w:val="24"/>
          <w:shd w:val="clear" w:color="auto" w:fill="auto"/>
        </w:rPr>
        <w:t>采购人可主动地或在解答供应商提出的澄清问题时对磋商文件进行澄清或修改。采购代理机构将以发布澄清（更正）公告的方式，澄清或修改磋商文件，澄清或修改内容作为磋商文件的组成部分。</w:t>
      </w:r>
    </w:p>
    <w:p>
      <w:pPr>
        <w:pStyle w:val="5"/>
        <w:snapToGrid w:val="0"/>
        <w:spacing w:line="380" w:lineRule="exact"/>
        <w:ind w:left="840" w:hanging="840" w:hangingChars="350"/>
        <w:textAlignment w:val="baseline"/>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6.3</w:t>
      </w:r>
      <w:r>
        <w:rPr>
          <w:rFonts w:hint="eastAsia" w:ascii="宋体" w:hAnsi="宋体" w:eastAsia="宋体" w:cs="宋体"/>
          <w:color w:val="auto"/>
          <w:szCs w:val="24"/>
          <w:shd w:val="clear" w:color="auto" w:fill="auto"/>
        </w:rPr>
        <w:tab/>
      </w:r>
      <w:r>
        <w:rPr>
          <w:rFonts w:hint="eastAsia" w:ascii="宋体" w:hAnsi="宋体" w:eastAsia="宋体" w:cs="宋体"/>
          <w:color w:val="auto"/>
          <w:szCs w:val="24"/>
          <w:shd w:val="clear" w:color="auto" w:fill="auto"/>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6"/>
        <w:tabs>
          <w:tab w:val="left" w:pos="900"/>
        </w:tabs>
        <w:snapToGrid w:val="0"/>
        <w:spacing w:before="0" w:after="0" w:line="380" w:lineRule="exact"/>
        <w:textAlignment w:val="baseline"/>
        <w:rPr>
          <w:rFonts w:hint="eastAsia" w:ascii="宋体" w:hAnsi="宋体" w:eastAsia="宋体" w:cs="宋体"/>
          <w:color w:val="auto"/>
          <w:szCs w:val="24"/>
          <w:u w:val="none" w:color="auto"/>
          <w:shd w:val="clear" w:color="auto" w:fill="auto"/>
        </w:rPr>
      </w:pPr>
      <w:bookmarkStart w:id="101" w:name="_Toc15219"/>
      <w:bookmarkStart w:id="102" w:name="_Toc25635"/>
      <w:bookmarkStart w:id="103" w:name="_Toc16792"/>
      <w:bookmarkStart w:id="104" w:name="_Toc18879"/>
      <w:bookmarkStart w:id="105" w:name="_Toc5970"/>
      <w:bookmarkStart w:id="106" w:name="_Toc28181"/>
      <w:bookmarkStart w:id="107" w:name="_Toc14294"/>
      <w:bookmarkStart w:id="108" w:name="_Toc16843"/>
      <w:bookmarkStart w:id="109" w:name="_Toc25290"/>
      <w:bookmarkStart w:id="110" w:name="_Toc12058"/>
      <w:bookmarkStart w:id="111" w:name="_Toc14569"/>
      <w:bookmarkStart w:id="112" w:name="_Toc3801"/>
      <w:r>
        <w:rPr>
          <w:rFonts w:hint="eastAsia" w:ascii="宋体" w:hAnsi="宋体" w:eastAsia="宋体" w:cs="宋体"/>
          <w:color w:val="auto"/>
          <w:szCs w:val="24"/>
          <w:u w:val="none" w:color="auto"/>
          <w:shd w:val="clear" w:color="auto" w:fill="auto"/>
        </w:rPr>
        <w:t>7</w:t>
      </w:r>
      <w:bookmarkEnd w:id="98"/>
      <w:bookmarkEnd w:id="99"/>
      <w:bookmarkEnd w:id="100"/>
      <w:r>
        <w:rPr>
          <w:rFonts w:hint="eastAsia" w:ascii="宋体" w:hAnsi="宋体" w:eastAsia="宋体" w:cs="宋体"/>
          <w:color w:val="auto"/>
          <w:szCs w:val="24"/>
          <w:u w:val="none" w:color="auto"/>
          <w:shd w:val="clear" w:color="auto" w:fill="auto"/>
        </w:rPr>
        <w:t>.磋商截止时间的顺延</w:t>
      </w:r>
      <w:bookmarkEnd w:id="101"/>
      <w:bookmarkEnd w:id="102"/>
      <w:bookmarkEnd w:id="103"/>
      <w:bookmarkEnd w:id="104"/>
      <w:bookmarkEnd w:id="105"/>
      <w:bookmarkEnd w:id="106"/>
      <w:bookmarkEnd w:id="107"/>
      <w:bookmarkEnd w:id="108"/>
      <w:bookmarkEnd w:id="109"/>
      <w:bookmarkEnd w:id="110"/>
      <w:bookmarkEnd w:id="111"/>
      <w:bookmarkEnd w:id="112"/>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为使供应商准备磋商时有足够的时间对磋商文件的澄清或者修改部分进行研究，采购人将依法决定是否顺延磋商截止时间。</w:t>
      </w:r>
    </w:p>
    <w:p>
      <w:pPr>
        <w:pStyle w:val="4"/>
        <w:tabs>
          <w:tab w:val="left" w:pos="900"/>
        </w:tabs>
        <w:snapToGrid w:val="0"/>
        <w:spacing w:before="0" w:line="380" w:lineRule="exact"/>
        <w:ind w:hanging="540"/>
        <w:textAlignment w:val="baseline"/>
        <w:rPr>
          <w:rFonts w:hint="eastAsia" w:ascii="宋体" w:hAnsi="宋体" w:eastAsia="宋体" w:cs="宋体"/>
          <w:color w:val="auto"/>
          <w:sz w:val="28"/>
          <w:shd w:val="clear" w:color="auto" w:fill="auto"/>
        </w:rPr>
      </w:pPr>
      <w:bookmarkStart w:id="113" w:name="_Toc516367020"/>
      <w:bookmarkStart w:id="114" w:name="_Toc481"/>
      <w:bookmarkStart w:id="115" w:name="_Toc515647766"/>
      <w:bookmarkStart w:id="116" w:name="_Toc520356150"/>
      <w:bookmarkStart w:id="117" w:name="_Toc7636"/>
      <w:bookmarkStart w:id="118" w:name="_Toc18070"/>
      <w:bookmarkStart w:id="119" w:name="_Toc16906"/>
      <w:bookmarkStart w:id="120" w:name="_Toc30808"/>
      <w:bookmarkStart w:id="121" w:name="_Toc216582807"/>
    </w:p>
    <w:p>
      <w:pPr>
        <w:jc w:val="center"/>
        <w:rPr>
          <w:rFonts w:hint="eastAsia" w:ascii="宋体" w:hAnsi="宋体" w:eastAsia="宋体" w:cs="宋体"/>
          <w:color w:val="auto"/>
          <w:sz w:val="28"/>
          <w:shd w:val="clear" w:color="auto" w:fill="auto"/>
        </w:rPr>
      </w:pPr>
      <w:r>
        <w:rPr>
          <w:rFonts w:hint="eastAsia" w:ascii="宋体" w:hAnsi="宋体" w:eastAsia="宋体" w:cs="宋体"/>
          <w:color w:val="auto"/>
          <w:sz w:val="28"/>
          <w:shd w:val="clear" w:color="auto" w:fill="auto"/>
        </w:rPr>
        <w:t xml:space="preserve">三   </w:t>
      </w:r>
      <w:bookmarkEnd w:id="113"/>
      <w:r>
        <w:rPr>
          <w:rFonts w:hint="eastAsia" w:ascii="宋体" w:hAnsi="宋体" w:eastAsia="宋体" w:cs="宋体"/>
          <w:color w:val="auto"/>
          <w:sz w:val="28"/>
          <w:shd w:val="clear" w:color="auto" w:fill="auto"/>
        </w:rPr>
        <w:t>响应文件的编制</w:t>
      </w:r>
      <w:bookmarkEnd w:id="114"/>
      <w:bookmarkEnd w:id="115"/>
      <w:bookmarkEnd w:id="116"/>
      <w:bookmarkEnd w:id="117"/>
      <w:bookmarkEnd w:id="118"/>
      <w:bookmarkEnd w:id="119"/>
      <w:bookmarkEnd w:id="120"/>
      <w:bookmarkEnd w:id="121"/>
    </w:p>
    <w:p>
      <w:pPr>
        <w:pStyle w:val="5"/>
        <w:snapToGrid w:val="0"/>
        <w:spacing w:line="380" w:lineRule="exact"/>
        <w:textAlignment w:val="baseline"/>
        <w:rPr>
          <w:rFonts w:hint="eastAsia" w:ascii="宋体" w:hAnsi="宋体" w:eastAsia="宋体" w:cs="宋体"/>
          <w:color w:val="auto"/>
          <w:u w:val="none" w:color="auto"/>
          <w:shd w:val="clear" w:color="auto" w:fill="auto"/>
        </w:rPr>
      </w:pPr>
    </w:p>
    <w:p>
      <w:pPr>
        <w:pStyle w:val="6"/>
        <w:tabs>
          <w:tab w:val="left" w:pos="900"/>
        </w:tabs>
        <w:snapToGrid w:val="0"/>
        <w:spacing w:before="0" w:after="0" w:line="380" w:lineRule="exact"/>
        <w:textAlignment w:val="baseline"/>
        <w:rPr>
          <w:rFonts w:hint="eastAsia" w:ascii="宋体" w:hAnsi="宋体" w:eastAsia="宋体" w:cs="宋体"/>
          <w:color w:val="auto"/>
          <w:u w:val="none" w:color="auto"/>
          <w:shd w:val="clear" w:color="auto" w:fill="auto"/>
        </w:rPr>
      </w:pPr>
      <w:bookmarkStart w:id="122" w:name="_Toc20168"/>
      <w:bookmarkStart w:id="123" w:name="_Toc14330"/>
      <w:bookmarkStart w:id="124" w:name="_Toc19644"/>
      <w:bookmarkStart w:id="125" w:name="_Toc515647767"/>
      <w:bookmarkStart w:id="126" w:name="_Toc516367021"/>
      <w:bookmarkStart w:id="127" w:name="_Toc3553"/>
      <w:bookmarkStart w:id="128" w:name="_Toc21848"/>
      <w:bookmarkStart w:id="129" w:name="_Toc4525"/>
      <w:bookmarkStart w:id="130" w:name="_Toc7786"/>
      <w:bookmarkStart w:id="131" w:name="_Toc21065"/>
      <w:bookmarkStart w:id="132" w:name="_Toc520356151"/>
      <w:bookmarkStart w:id="133" w:name="_Toc31904"/>
      <w:bookmarkStart w:id="134" w:name="_Toc8762"/>
      <w:bookmarkStart w:id="135" w:name="_Toc19003"/>
      <w:bookmarkStart w:id="136" w:name="_Toc31730"/>
      <w:bookmarkStart w:id="137" w:name="_Toc12722"/>
      <w:r>
        <w:rPr>
          <w:rFonts w:hint="eastAsia" w:ascii="宋体" w:hAnsi="宋体" w:eastAsia="宋体" w:cs="宋体"/>
          <w:color w:val="auto"/>
          <w:u w:val="none" w:color="auto"/>
          <w:shd w:val="clear" w:color="auto" w:fill="auto"/>
        </w:rPr>
        <w:t>8.</w:t>
      </w:r>
      <w:r>
        <w:rPr>
          <w:rFonts w:hint="eastAsia" w:ascii="宋体" w:hAnsi="宋体" w:eastAsia="宋体" w:cs="宋体"/>
          <w:color w:val="auto"/>
          <w:u w:val="none" w:color="auto"/>
          <w:shd w:val="clear" w:color="auto" w:fill="auto"/>
        </w:rPr>
        <w:tab/>
      </w:r>
      <w:r>
        <w:rPr>
          <w:rFonts w:hint="eastAsia" w:ascii="宋体" w:hAnsi="宋体" w:eastAsia="宋体" w:cs="宋体"/>
          <w:color w:val="auto"/>
          <w:u w:val="none" w:color="auto"/>
          <w:shd w:val="clear" w:color="auto" w:fill="auto"/>
        </w:rPr>
        <w:t>磋商范围及响应文件成交准和计量单位的使用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8.1</w:t>
      </w:r>
      <w:r>
        <w:rPr>
          <w:rFonts w:hint="eastAsia" w:ascii="宋体" w:hAnsi="宋体" w:eastAsia="宋体" w:cs="宋体"/>
          <w:color w:val="auto"/>
          <w:sz w:val="24"/>
          <w:u w:val="none" w:color="auto"/>
          <w:shd w:val="clear" w:color="auto" w:fill="auto"/>
        </w:rPr>
        <w:tab/>
      </w:r>
      <w:r>
        <w:rPr>
          <w:rFonts w:hint="eastAsia" w:ascii="宋体" w:hAnsi="宋体" w:eastAsia="宋体" w:cs="宋体"/>
          <w:color w:val="auto"/>
          <w:sz w:val="24"/>
          <w:u w:val="none" w:color="auto"/>
          <w:shd w:val="clear" w:color="auto" w:fill="auto"/>
        </w:rPr>
        <w:t>项目有分包的，供应商可对磋商文件其中某一个或几个分包服务进行磋商，除非在供应商须知资料表中另有规定。</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8.2     供应商应当对所投分包磋商文件中“服务需求”所列的所有内容进行磋商，如仅响应某一包中的部分内容，其该包磋商将被认定为</w:t>
      </w:r>
      <w:r>
        <w:rPr>
          <w:rFonts w:hint="eastAsia" w:ascii="宋体" w:hAnsi="宋体" w:eastAsia="宋体" w:cs="宋体"/>
          <w:b/>
          <w:bCs/>
          <w:color w:val="auto"/>
          <w:sz w:val="24"/>
          <w:u w:val="none" w:color="auto"/>
          <w:shd w:val="clear" w:color="auto" w:fill="auto"/>
        </w:rPr>
        <w:t>磋商无效</w:t>
      </w:r>
      <w:r>
        <w:rPr>
          <w:rFonts w:hint="eastAsia" w:ascii="宋体" w:hAnsi="宋体" w:eastAsia="宋体" w:cs="宋体"/>
          <w:color w:val="auto"/>
          <w:sz w:val="24"/>
          <w:u w:val="none" w:color="auto"/>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8.3     无论磋商文件第5章服务需求一览表及技术规格中是否要求，供应商所投服务均应符合国家强制性标准。</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8.4     除磋商文件中有特殊要求外，响应文件中所使用的计量单位，应采用中华人民共和国法定计量单位。</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shd w:val="clear" w:color="auto" w:fill="auto"/>
        </w:rPr>
      </w:pPr>
      <w:bookmarkStart w:id="138" w:name="_Toc516367022"/>
      <w:bookmarkStart w:id="139" w:name="_Ref467306195"/>
      <w:bookmarkStart w:id="140" w:name="_Ref467306676"/>
      <w:bookmarkStart w:id="141" w:name="_Toc520356152"/>
      <w:bookmarkStart w:id="142" w:name="_Toc28307"/>
      <w:bookmarkStart w:id="143" w:name="_Toc31889"/>
      <w:bookmarkStart w:id="144" w:name="_Toc14931"/>
      <w:bookmarkStart w:id="145" w:name="_Toc515647768"/>
      <w:bookmarkStart w:id="146" w:name="_Toc8989"/>
      <w:bookmarkStart w:id="147" w:name="_Toc2709"/>
      <w:bookmarkStart w:id="148" w:name="_Toc28670"/>
      <w:bookmarkStart w:id="149" w:name="_Toc19752"/>
      <w:bookmarkStart w:id="150" w:name="_Toc10364"/>
      <w:bookmarkStart w:id="151" w:name="_Toc3006"/>
      <w:bookmarkStart w:id="152" w:name="_Toc26502"/>
      <w:bookmarkStart w:id="153" w:name="_Toc4835"/>
      <w:bookmarkStart w:id="154" w:name="_Toc2582"/>
      <w:bookmarkStart w:id="155" w:name="_Toc13837"/>
      <w:r>
        <w:rPr>
          <w:rFonts w:hint="eastAsia" w:ascii="宋体" w:hAnsi="宋体" w:eastAsia="宋体" w:cs="宋体"/>
          <w:color w:val="auto"/>
          <w:u w:val="none" w:color="auto"/>
          <w:shd w:val="clear" w:color="auto" w:fill="auto"/>
        </w:rPr>
        <w:t>9.</w:t>
      </w:r>
      <w:bookmarkEnd w:id="138"/>
      <w:bookmarkEnd w:id="139"/>
      <w:bookmarkEnd w:id="140"/>
      <w:r>
        <w:rPr>
          <w:rFonts w:hint="eastAsia" w:ascii="宋体" w:hAnsi="宋体" w:eastAsia="宋体" w:cs="宋体"/>
          <w:color w:val="auto"/>
          <w:u w:val="none" w:color="auto"/>
          <w:shd w:val="clear" w:color="auto" w:fill="auto"/>
        </w:rPr>
        <w:t>响应文件构成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tabs>
          <w:tab w:val="left" w:pos="900"/>
          <w:tab w:val="left" w:pos="5580"/>
        </w:tabs>
        <w:snapToGrid w:val="0"/>
        <w:spacing w:line="380" w:lineRule="exact"/>
        <w:ind w:left="960" w:hanging="960" w:hangingChars="400"/>
        <w:jc w:val="left"/>
        <w:textAlignment w:val="baseline"/>
        <w:rPr>
          <w:rFonts w:hint="eastAsia" w:ascii="宋体" w:hAnsi="宋体" w:eastAsia="宋体" w:cs="宋体"/>
          <w:color w:val="auto"/>
          <w:sz w:val="24"/>
          <w:u w:val="none" w:color="auto"/>
          <w:shd w:val="clear" w:color="auto" w:fill="auto"/>
        </w:rPr>
      </w:pPr>
      <w:bookmarkStart w:id="156" w:name="_Ref467052588"/>
      <w:r>
        <w:rPr>
          <w:rFonts w:hint="eastAsia" w:ascii="宋体" w:hAnsi="宋体" w:eastAsia="宋体" w:cs="宋体"/>
          <w:color w:val="auto"/>
          <w:sz w:val="24"/>
          <w:u w:val="none" w:color="auto"/>
          <w:shd w:val="clear" w:color="auto" w:fill="auto"/>
        </w:rPr>
        <w:t>9.1     供应商应完整地按磋商文件提供的响应文件格式及要求编写响应文件，响应文件应包括“报价一览表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9.2    上述文件应按照磋商文件规定的格式填写、签署和盖章。</w:t>
      </w:r>
      <w:bookmarkEnd w:id="156"/>
    </w:p>
    <w:p>
      <w:pPr>
        <w:pStyle w:val="6"/>
        <w:tabs>
          <w:tab w:val="left" w:pos="900"/>
        </w:tabs>
        <w:snapToGrid w:val="0"/>
        <w:spacing w:before="0" w:after="0" w:line="380" w:lineRule="exact"/>
        <w:textAlignment w:val="baseline"/>
        <w:rPr>
          <w:rFonts w:hint="eastAsia" w:ascii="宋体" w:hAnsi="宋体" w:eastAsia="宋体" w:cs="宋体"/>
          <w:color w:val="auto"/>
          <w:u w:val="none" w:color="auto"/>
          <w:shd w:val="clear" w:color="auto" w:fill="auto"/>
        </w:rPr>
      </w:pPr>
      <w:bookmarkStart w:id="157" w:name="_Toc4601"/>
      <w:bookmarkStart w:id="158" w:name="_Toc516367023"/>
      <w:bookmarkStart w:id="159" w:name="_Toc520356153"/>
      <w:bookmarkStart w:id="160" w:name="_Toc25631"/>
      <w:bookmarkStart w:id="161" w:name="_Toc515647769"/>
      <w:bookmarkStart w:id="162" w:name="_Toc15064"/>
      <w:bookmarkStart w:id="163" w:name="_Toc8626"/>
      <w:bookmarkStart w:id="164" w:name="_Toc10379"/>
      <w:bookmarkStart w:id="165" w:name="_Toc14102"/>
      <w:bookmarkStart w:id="166" w:name="_Toc32014"/>
      <w:bookmarkStart w:id="167" w:name="_Toc5860"/>
      <w:bookmarkStart w:id="168" w:name="_Toc18492"/>
      <w:bookmarkStart w:id="169" w:name="_Toc28330"/>
      <w:bookmarkStart w:id="170" w:name="_Toc4291"/>
      <w:bookmarkStart w:id="171" w:name="_Toc870"/>
      <w:bookmarkStart w:id="172" w:name="_Toc6860"/>
      <w:r>
        <w:rPr>
          <w:rFonts w:hint="eastAsia" w:ascii="宋体" w:hAnsi="宋体" w:eastAsia="宋体" w:cs="宋体"/>
          <w:color w:val="auto"/>
          <w:u w:val="none" w:color="auto"/>
          <w:shd w:val="clear" w:color="auto" w:fill="auto"/>
        </w:rPr>
        <w:t>10.</w:t>
      </w:r>
      <w:r>
        <w:rPr>
          <w:rFonts w:hint="eastAsia" w:ascii="宋体" w:hAnsi="宋体" w:eastAsia="宋体" w:cs="宋体"/>
          <w:color w:val="auto"/>
          <w:u w:val="none" w:color="auto"/>
          <w:shd w:val="clear" w:color="auto" w:fill="auto"/>
        </w:rPr>
        <w:tab/>
      </w:r>
      <w:r>
        <w:rPr>
          <w:rFonts w:hint="eastAsia" w:ascii="宋体" w:hAnsi="宋体" w:eastAsia="宋体" w:cs="宋体"/>
          <w:color w:val="auto"/>
          <w:u w:val="none" w:color="auto"/>
          <w:shd w:val="clear" w:color="auto" w:fill="auto"/>
        </w:rPr>
        <w:t>证明磋商标的的合格性和符合磋商文件规定的技术文件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10.1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bookmarkStart w:id="173" w:name="_Ref467306244"/>
      <w:r>
        <w:rPr>
          <w:rFonts w:hint="eastAsia" w:ascii="宋体" w:hAnsi="宋体" w:eastAsia="宋体" w:cs="宋体"/>
          <w:color w:val="auto"/>
          <w:sz w:val="24"/>
          <w:shd w:val="clear" w:color="auto" w:fill="auto"/>
        </w:rPr>
        <w:t>10.2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上款所述的证明文件，可以是文字资料、图纸和数据，</w:t>
      </w:r>
      <w:bookmarkEnd w:id="173"/>
      <w:r>
        <w:rPr>
          <w:rFonts w:hint="eastAsia" w:ascii="宋体" w:hAnsi="宋体" w:eastAsia="宋体" w:cs="宋体"/>
          <w:color w:val="auto"/>
          <w:sz w:val="24"/>
          <w:shd w:val="clear" w:color="auto" w:fill="auto"/>
        </w:rPr>
        <w:t>它包括：</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10.2.1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服务主要技术指标和性能的详细说明；</w:t>
      </w:r>
    </w:p>
    <w:p>
      <w:pPr>
        <w:snapToGrid w:val="0"/>
        <w:spacing w:line="42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10.2.2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对照磋商文件技术规格，逐条说明所提供服务已对磋商文件的技术规格做出了实质性的响应，或申明与技术规格条文的偏差和例外。</w:t>
      </w:r>
    </w:p>
    <w:p>
      <w:pPr>
        <w:pStyle w:val="6"/>
        <w:snapToGrid w:val="0"/>
        <w:spacing w:before="0" w:after="0" w:line="420" w:lineRule="exact"/>
        <w:textAlignment w:val="baseline"/>
        <w:rPr>
          <w:rFonts w:hint="eastAsia" w:ascii="宋体" w:hAnsi="宋体" w:eastAsia="宋体" w:cs="宋体"/>
          <w:color w:val="auto"/>
          <w:u w:val="none" w:color="auto"/>
          <w:shd w:val="clear" w:color="auto" w:fill="auto"/>
        </w:rPr>
      </w:pPr>
      <w:bookmarkStart w:id="174" w:name="_Toc2248"/>
      <w:bookmarkStart w:id="175" w:name="_Toc23231"/>
      <w:bookmarkStart w:id="176" w:name="_Toc9025"/>
      <w:bookmarkStart w:id="177" w:name="_Toc7506"/>
      <w:bookmarkStart w:id="178" w:name="_Toc16854"/>
      <w:bookmarkStart w:id="179" w:name="_Toc7688"/>
      <w:bookmarkStart w:id="180" w:name="_Toc5859"/>
      <w:bookmarkStart w:id="181" w:name="_Toc5239"/>
      <w:bookmarkStart w:id="182" w:name="_Toc6864"/>
      <w:bookmarkStart w:id="183" w:name="_Toc515647770"/>
      <w:bookmarkStart w:id="184" w:name="_Toc27117"/>
      <w:bookmarkStart w:id="185" w:name="_Toc26138"/>
      <w:bookmarkStart w:id="186" w:name="_Toc15870"/>
      <w:bookmarkStart w:id="187" w:name="_Toc31510"/>
      <w:bookmarkStart w:id="188" w:name="_Toc520356155"/>
      <w:r>
        <w:rPr>
          <w:rFonts w:hint="eastAsia" w:ascii="宋体" w:hAnsi="宋体" w:eastAsia="宋体" w:cs="宋体"/>
          <w:color w:val="auto"/>
          <w:u w:val="none" w:color="auto"/>
          <w:shd w:val="clear" w:color="auto" w:fill="auto"/>
        </w:rPr>
        <w:t>11.磋商报价</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42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42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供应商应在磋商分项报价表上标明磋商服务及相关服务的单价（如适用）和总价，并由法定代表人或其授权代表签署。</w:t>
      </w:r>
    </w:p>
    <w:p>
      <w:pPr>
        <w:snapToGrid w:val="0"/>
        <w:spacing w:line="50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11.3</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磋商分项报价表上的价格应按下列方式填写：</w:t>
      </w:r>
    </w:p>
    <w:p>
      <w:pPr>
        <w:snapToGrid w:val="0"/>
        <w:spacing w:line="50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11.3.1  磋商服务费用。</w:t>
      </w:r>
    </w:p>
    <w:p>
      <w:pPr>
        <w:snapToGrid w:val="0"/>
        <w:spacing w:line="50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11.3.2  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520" w:lineRule="exact"/>
        <w:ind w:left="900" w:hanging="900" w:hangingChars="375"/>
        <w:textAlignment w:val="baseline"/>
        <w:rPr>
          <w:rFonts w:hint="eastAsia" w:ascii="宋体" w:hAnsi="宋体" w:eastAsia="宋体" w:cs="宋体"/>
          <w:b/>
          <w:bCs/>
          <w:color w:val="auto"/>
          <w:sz w:val="24"/>
          <w:shd w:val="clear" w:color="auto" w:fill="auto"/>
        </w:rPr>
      </w:pPr>
      <w:r>
        <w:rPr>
          <w:rFonts w:hint="eastAsia" w:ascii="宋体" w:hAnsi="宋体" w:eastAsia="宋体" w:cs="宋体"/>
          <w:color w:val="auto"/>
          <w:sz w:val="24"/>
          <w:shd w:val="clear" w:color="auto" w:fill="auto"/>
        </w:rPr>
        <w:t>11.4</w:t>
      </w:r>
      <w:r>
        <w:rPr>
          <w:rFonts w:hint="eastAsia" w:ascii="宋体" w:hAnsi="宋体" w:eastAsia="宋体" w:cs="宋体"/>
          <w:color w:val="auto"/>
          <w:sz w:val="24"/>
          <w:shd w:val="clear" w:color="auto" w:fill="auto"/>
        </w:rPr>
        <w:tab/>
      </w:r>
      <w:r>
        <w:rPr>
          <w:rFonts w:hint="eastAsia" w:ascii="宋体" w:hAnsi="宋体" w:eastAsia="宋体" w:cs="宋体"/>
          <w:b/>
          <w:bCs/>
          <w:color w:val="auto"/>
          <w:sz w:val="24"/>
          <w:shd w:val="clear" w:color="auto" w:fill="auto"/>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189" w:name="_Toc20519"/>
      <w:bookmarkStart w:id="190" w:name="_Ref467306513"/>
      <w:bookmarkStart w:id="191" w:name="_Toc515647771"/>
      <w:bookmarkStart w:id="192" w:name="_Toc4325"/>
      <w:bookmarkStart w:id="193" w:name="_Toc9763"/>
      <w:bookmarkStart w:id="194" w:name="_Toc16693"/>
      <w:bookmarkStart w:id="195" w:name="_Toc520356156"/>
      <w:bookmarkStart w:id="196" w:name="_Toc1651"/>
      <w:bookmarkStart w:id="197" w:name="_Toc30640"/>
      <w:bookmarkStart w:id="198" w:name="_Toc19405"/>
      <w:bookmarkStart w:id="199" w:name="_Toc17788"/>
      <w:bookmarkStart w:id="200" w:name="_Toc16932"/>
      <w:bookmarkStart w:id="201" w:name="_Toc8505"/>
      <w:bookmarkStart w:id="202" w:name="_Toc31526"/>
      <w:bookmarkStart w:id="203" w:name="_Toc5302"/>
      <w:bookmarkStart w:id="204" w:name="_Toc11514"/>
      <w:r>
        <w:rPr>
          <w:rFonts w:hint="eastAsia" w:ascii="宋体" w:hAnsi="宋体" w:eastAsia="宋体" w:cs="宋体"/>
          <w:color w:val="auto"/>
          <w:u w:val="none" w:color="auto"/>
          <w:shd w:val="clear" w:color="auto" w:fill="auto"/>
        </w:rPr>
        <w:t>12.磋商保证金</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bookmarkStart w:id="205" w:name="_Ref467306302"/>
      <w:r>
        <w:rPr>
          <w:rFonts w:hint="eastAsia" w:ascii="宋体" w:hAnsi="宋体" w:eastAsia="宋体" w:cs="宋体"/>
          <w:color w:val="auto"/>
          <w:sz w:val="24"/>
          <w:shd w:val="clear" w:color="auto" w:fill="auto"/>
        </w:rPr>
        <w:t>12.1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供应商应提交</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中规定的磋商保证金</w:t>
      </w:r>
      <w:bookmarkEnd w:id="205"/>
      <w:r>
        <w:rPr>
          <w:rFonts w:hint="eastAsia" w:ascii="宋体" w:hAnsi="宋体" w:eastAsia="宋体" w:cs="宋体"/>
          <w:color w:val="auto"/>
          <w:sz w:val="24"/>
          <w:shd w:val="clear" w:color="auto" w:fill="auto"/>
        </w:rPr>
        <w:t>，并作为其磋商的一部分。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供应商存在下列情形的，磋商保证金不予退还：</w:t>
      </w:r>
    </w:p>
    <w:p>
      <w:pPr>
        <w:pStyle w:val="17"/>
        <w:tabs>
          <w:tab w:val="left" w:pos="2240"/>
        </w:tabs>
        <w:snapToGrid w:val="0"/>
        <w:spacing w:line="380" w:lineRule="exact"/>
        <w:ind w:left="300" w:hanging="300" w:hangingChars="1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（1）在磋商有效期内，撤销磋商的；</w:t>
      </w:r>
    </w:p>
    <w:p>
      <w:pPr>
        <w:pStyle w:val="17"/>
        <w:tabs>
          <w:tab w:val="left" w:pos="2240"/>
        </w:tabs>
        <w:snapToGrid w:val="0"/>
        <w:spacing w:line="380" w:lineRule="exact"/>
        <w:ind w:left="300" w:hanging="300" w:hangingChars="1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（2）成交后不按本须知第30条的规定与采购人签订合同的；</w:t>
      </w:r>
    </w:p>
    <w:p>
      <w:pPr>
        <w:pStyle w:val="17"/>
        <w:tabs>
          <w:tab w:val="left" w:pos="2240"/>
        </w:tabs>
        <w:snapToGrid w:val="0"/>
        <w:spacing w:line="380" w:lineRule="exact"/>
        <w:ind w:left="300" w:hanging="300" w:hangingChars="1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（3）成交后不按本须知第31条的规定提交履约保证金的；</w:t>
      </w:r>
    </w:p>
    <w:p>
      <w:pPr>
        <w:pStyle w:val="17"/>
        <w:tabs>
          <w:tab w:val="left" w:pos="2240"/>
        </w:tabs>
        <w:snapToGrid w:val="0"/>
        <w:spacing w:line="380" w:lineRule="exact"/>
        <w:ind w:left="300" w:hanging="300" w:hangingChars="1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（4）成交后不按本须知第32条的规定缴纳成交代理费的；</w:t>
      </w:r>
    </w:p>
    <w:p>
      <w:pPr>
        <w:pStyle w:val="17"/>
        <w:tabs>
          <w:tab w:val="left" w:pos="2240"/>
        </w:tabs>
        <w:snapToGrid w:val="0"/>
        <w:spacing w:line="380" w:lineRule="exact"/>
        <w:ind w:left="300" w:hanging="300" w:hangingChars="1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（5）存在其他违法违规行为的。</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bookmarkStart w:id="206" w:name="_Ref467306336"/>
      <w:r>
        <w:rPr>
          <w:rFonts w:hint="eastAsia" w:ascii="宋体" w:hAnsi="宋体" w:eastAsia="宋体" w:cs="宋体"/>
          <w:color w:val="auto"/>
          <w:sz w:val="24"/>
          <w:shd w:val="clear" w:color="auto" w:fill="auto"/>
        </w:rPr>
        <w:t>12.3</w:t>
      </w:r>
      <w:r>
        <w:rPr>
          <w:rFonts w:hint="eastAsia" w:ascii="宋体" w:hAnsi="宋体" w:eastAsia="宋体" w:cs="宋体"/>
          <w:color w:val="auto"/>
          <w:sz w:val="24"/>
          <w:shd w:val="clear" w:color="auto" w:fill="auto"/>
        </w:rPr>
        <w:tab/>
      </w:r>
      <w:bookmarkEnd w:id="206"/>
      <w:r>
        <w:rPr>
          <w:rFonts w:hint="eastAsia" w:ascii="宋体" w:hAnsi="宋体" w:eastAsia="宋体" w:cs="宋体"/>
          <w:color w:val="auto"/>
          <w:sz w:val="24"/>
          <w:shd w:val="clear" w:color="auto" w:fill="auto"/>
        </w:rPr>
        <w:t>政府采购信用担保试点范围内的项目，接受符合财政部门规定的政府采购磋商担保函原件。</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12.4</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供应商未按本须知第12.1和12.3条规定提交磋商保证金的，其磋商将被认定为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12.4.1  采用电汇形式的，一般可以实时入账。</w:t>
      </w:r>
    </w:p>
    <w:p>
      <w:pPr>
        <w:snapToGrid w:val="0"/>
        <w:spacing w:line="380" w:lineRule="exact"/>
        <w:ind w:left="960" w:hanging="960" w:hangingChars="4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12.6</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磋商保证金的退还</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12.6.3  政府采购磋商担保函不予退回。</w:t>
      </w:r>
    </w:p>
    <w:p>
      <w:pPr>
        <w:snapToGrid w:val="0"/>
        <w:spacing w:line="380" w:lineRule="exact"/>
        <w:ind w:left="960" w:hanging="960" w:hangingChars="40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12.7    因供应商自身原因导致无法及时退还的，采购人或采购代理机构将不承担相应责任。</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07" w:name="_Toc515647772"/>
      <w:bookmarkStart w:id="208" w:name="_Toc32502"/>
      <w:bookmarkStart w:id="209" w:name="_Toc1400"/>
      <w:bookmarkStart w:id="210" w:name="_Toc21509"/>
      <w:bookmarkStart w:id="211" w:name="_Toc325"/>
      <w:bookmarkStart w:id="212" w:name="_Toc520356157"/>
      <w:bookmarkStart w:id="213" w:name="_Toc8146"/>
      <w:bookmarkStart w:id="214" w:name="_Toc12769"/>
      <w:bookmarkStart w:id="215" w:name="_Toc32569"/>
      <w:bookmarkStart w:id="216" w:name="_Toc23590"/>
      <w:bookmarkStart w:id="217" w:name="_Toc29124"/>
      <w:bookmarkStart w:id="218" w:name="_Toc3815"/>
      <w:bookmarkStart w:id="219" w:name="_Toc20387"/>
      <w:bookmarkStart w:id="220" w:name="_Toc277"/>
      <w:bookmarkStart w:id="221" w:name="_Toc13454"/>
      <w:r>
        <w:rPr>
          <w:rFonts w:hint="eastAsia" w:ascii="宋体" w:hAnsi="宋体" w:eastAsia="宋体" w:cs="宋体"/>
          <w:color w:val="auto"/>
          <w:u w:val="none" w:color="auto"/>
          <w:shd w:val="clear" w:color="auto" w:fill="auto"/>
        </w:rPr>
        <w:t>13.磋商有效期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磋商应在</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中规定时间内保持有效。磋商有效期不满足要求的磋商，其磋商将被认定为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22" w:name="_Toc520356158"/>
      <w:bookmarkStart w:id="223" w:name="_Toc540"/>
      <w:bookmarkStart w:id="224" w:name="_Toc26606"/>
      <w:bookmarkStart w:id="225" w:name="_Toc28395"/>
      <w:bookmarkStart w:id="226" w:name="_Toc493"/>
      <w:bookmarkStart w:id="227" w:name="_Toc14581"/>
      <w:bookmarkStart w:id="228" w:name="_Toc4551"/>
      <w:bookmarkStart w:id="229" w:name="_Toc19311"/>
      <w:bookmarkStart w:id="230" w:name="_Toc2500"/>
      <w:bookmarkStart w:id="231" w:name="_Toc24880"/>
      <w:bookmarkStart w:id="232" w:name="_Toc3702"/>
      <w:bookmarkStart w:id="233" w:name="_Toc515647773"/>
      <w:bookmarkStart w:id="234" w:name="_Toc29649"/>
      <w:bookmarkStart w:id="235" w:name="_Toc17074"/>
      <w:bookmarkStart w:id="236" w:name="_Toc21843"/>
      <w:r>
        <w:rPr>
          <w:rFonts w:hint="eastAsia" w:ascii="宋体" w:hAnsi="宋体" w:eastAsia="宋体" w:cs="宋体"/>
          <w:color w:val="auto"/>
          <w:u w:val="none" w:color="auto"/>
          <w:shd w:val="clear" w:color="auto" w:fill="auto"/>
        </w:rPr>
        <w:t>14.响应文件的签署</w:t>
      </w:r>
      <w:bookmarkEnd w:id="222"/>
      <w:r>
        <w:rPr>
          <w:rFonts w:hint="eastAsia" w:ascii="宋体" w:hAnsi="宋体" w:eastAsia="宋体" w:cs="宋体"/>
          <w:color w:val="auto"/>
          <w:u w:val="none" w:color="auto"/>
          <w:shd w:val="clear" w:color="auto" w:fill="auto"/>
        </w:rPr>
        <w:t>及规定</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color w:val="auto"/>
          <w:u w:val="none" w:color="auto"/>
          <w:shd w:val="clear" w:color="auto" w:fill="auto"/>
        </w:rPr>
        <w:t>（后期邮寄的响应文件）</w:t>
      </w:r>
    </w:p>
    <w:p>
      <w:pPr>
        <w:spacing w:line="380" w:lineRule="exact"/>
        <w:ind w:left="900" w:hanging="900" w:hangingChars="375"/>
        <w:rPr>
          <w:rFonts w:hint="eastAsia" w:ascii="宋体" w:hAnsi="宋体" w:eastAsia="宋体" w:cs="宋体"/>
          <w:color w:val="auto"/>
          <w:sz w:val="24"/>
          <w:shd w:val="clear" w:color="auto" w:fill="auto"/>
        </w:rPr>
      </w:pPr>
      <w:bookmarkStart w:id="237" w:name="_Toc216582808"/>
      <w:bookmarkStart w:id="238" w:name="_Toc8711"/>
      <w:bookmarkStart w:id="239" w:name="_Toc11179"/>
      <w:bookmarkStart w:id="240" w:name="_Toc515647774"/>
      <w:bookmarkStart w:id="241" w:name="_Toc520356159"/>
      <w:bookmarkStart w:id="242" w:name="_Toc16865"/>
      <w:bookmarkStart w:id="243" w:name="_Toc3461"/>
      <w:r>
        <w:rPr>
          <w:rFonts w:hint="eastAsia" w:ascii="宋体" w:hAnsi="宋体" w:eastAsia="宋体" w:cs="宋体"/>
          <w:color w:val="auto"/>
          <w:sz w:val="24"/>
          <w:shd w:val="clear" w:color="auto" w:fill="auto"/>
        </w:rPr>
        <w:t>14.1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供应商应按供应商须知资料表中的规定，准备和递交响应文件、磋商报价一览表”。</w:t>
      </w:r>
    </w:p>
    <w:p>
      <w:pPr>
        <w:spacing w:line="380" w:lineRule="exact"/>
        <w:ind w:left="900" w:hanging="900" w:hangingChars="375"/>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响应文件的正本需打印或用不褪色墨水书写，并由供应商的法定代表人或经其正式委托代理人按招标文件规定在响应文件上签字或盖章并加盖单位印章。委托代理人须持有书面的“法定代表人授权委托书”（投标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14.3    响应文件因字迹潦草、表达不清或装订不当所引起的后果由供应商负责。</w:t>
      </w:r>
    </w:p>
    <w:p>
      <w:pPr>
        <w:jc w:val="center"/>
        <w:rPr>
          <w:rFonts w:hint="eastAsia" w:ascii="宋体" w:hAnsi="宋体" w:eastAsia="宋体" w:cs="宋体"/>
          <w:color w:val="auto"/>
          <w:sz w:val="24"/>
          <w:shd w:val="clear" w:color="auto" w:fill="auto"/>
        </w:rPr>
      </w:pPr>
      <w:bookmarkStart w:id="244" w:name="_Toc20972"/>
      <w:r>
        <w:rPr>
          <w:rFonts w:hint="eastAsia" w:ascii="宋体" w:hAnsi="宋体" w:eastAsia="宋体" w:cs="宋体"/>
          <w:b/>
          <w:color w:val="auto"/>
          <w:sz w:val="24"/>
          <w:shd w:val="clear" w:color="auto" w:fill="auto"/>
        </w:rPr>
        <w:t>四   响应文件的递交</w:t>
      </w:r>
      <w:bookmarkEnd w:id="237"/>
      <w:bookmarkEnd w:id="238"/>
      <w:bookmarkEnd w:id="239"/>
      <w:bookmarkEnd w:id="240"/>
      <w:bookmarkEnd w:id="241"/>
      <w:bookmarkEnd w:id="242"/>
      <w:bookmarkEnd w:id="243"/>
      <w:bookmarkEnd w:id="244"/>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45" w:name="_Toc24069"/>
      <w:bookmarkStart w:id="246" w:name="_Toc32337"/>
      <w:bookmarkStart w:id="247" w:name="_Toc16507"/>
      <w:bookmarkStart w:id="248" w:name="_Toc6764"/>
      <w:bookmarkStart w:id="249" w:name="_Toc6188"/>
      <w:bookmarkStart w:id="250" w:name="_Toc515647775"/>
      <w:bookmarkStart w:id="251" w:name="_Toc22380"/>
      <w:bookmarkStart w:id="252" w:name="_Toc4164"/>
      <w:bookmarkStart w:id="253" w:name="_Toc520356160"/>
      <w:bookmarkStart w:id="254" w:name="_Toc21645"/>
      <w:bookmarkStart w:id="255" w:name="_Toc13617"/>
      <w:bookmarkStart w:id="256" w:name="_Toc9759"/>
      <w:bookmarkStart w:id="257" w:name="_Toc32350"/>
      <w:bookmarkStart w:id="258" w:name="_Toc30799"/>
      <w:bookmarkStart w:id="259" w:name="_Toc415"/>
      <w:r>
        <w:rPr>
          <w:rFonts w:hint="eastAsia" w:ascii="宋体" w:hAnsi="宋体" w:eastAsia="宋体" w:cs="宋体"/>
          <w:color w:val="auto"/>
          <w:u w:val="none" w:color="auto"/>
          <w:shd w:val="clear" w:color="auto" w:fill="auto"/>
        </w:rPr>
        <w:t>15.响应文件的密封和标记</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u w:val="none" w:color="auto"/>
          <w:shd w:val="clear" w:color="auto" w:fill="auto"/>
        </w:rPr>
        <w:t>（后期邮寄的响应文件）</w:t>
      </w:r>
    </w:p>
    <w:p>
      <w:pPr>
        <w:spacing w:line="360" w:lineRule="exact"/>
        <w:ind w:left="720" w:hanging="720" w:hanging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15.1  为方便开启，供应商应将响应文件第一部分和第二部分的内容合并装订成一册，密封提交，并在封皮正面标明“响应文件”字样。</w:t>
      </w:r>
    </w:p>
    <w:p>
      <w:pPr>
        <w:spacing w:line="36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15.2   如果供应商未按上述要求标记的，将承担相应的后果。</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60" w:name="_Toc7478"/>
      <w:bookmarkStart w:id="261" w:name="_Toc515647776"/>
      <w:bookmarkStart w:id="262" w:name="_Toc31921"/>
      <w:bookmarkStart w:id="263" w:name="_Toc9452"/>
      <w:bookmarkStart w:id="264" w:name="_Toc9840"/>
      <w:bookmarkStart w:id="265" w:name="_Toc8557"/>
      <w:bookmarkStart w:id="266" w:name="_Toc12751"/>
      <w:bookmarkStart w:id="267" w:name="_Toc520356161"/>
      <w:bookmarkStart w:id="268" w:name="_Toc2068"/>
      <w:bookmarkStart w:id="269" w:name="_Toc27010"/>
      <w:bookmarkStart w:id="270" w:name="_Toc11639"/>
      <w:bookmarkStart w:id="271" w:name="_Toc26069"/>
      <w:bookmarkStart w:id="272" w:name="_Toc3372"/>
      <w:bookmarkStart w:id="273" w:name="_Toc24025"/>
      <w:bookmarkStart w:id="274" w:name="_Toc18350"/>
      <w:r>
        <w:rPr>
          <w:rFonts w:hint="eastAsia" w:ascii="宋体" w:hAnsi="宋体" w:eastAsia="宋体" w:cs="宋体"/>
          <w:color w:val="auto"/>
          <w:u w:val="none" w:color="auto"/>
          <w:shd w:val="clear" w:color="auto" w:fill="auto"/>
        </w:rPr>
        <w:t>16.磋商截止</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380" w:lineRule="exact"/>
        <w:ind w:left="900" w:hanging="900" w:hangingChars="375"/>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供应商应在供应商须知资料表中规定的截止时间前，将响应文件上传到磋商公告中规定的地点。</w:t>
      </w:r>
    </w:p>
    <w:p>
      <w:pPr>
        <w:spacing w:line="380" w:lineRule="exact"/>
        <w:ind w:left="900" w:hanging="900" w:hangingChars="375"/>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16.3</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采购人和采购代理机构将拒绝接收在磋商截止时间后上传的响应文件。</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75" w:name="_Toc9478"/>
      <w:bookmarkStart w:id="276" w:name="_Toc10299"/>
      <w:bookmarkStart w:id="277" w:name="_Toc31057"/>
      <w:bookmarkStart w:id="278" w:name="_Toc7274"/>
      <w:bookmarkStart w:id="279" w:name="_Toc24275"/>
      <w:bookmarkStart w:id="280" w:name="_Toc29943"/>
      <w:bookmarkStart w:id="281" w:name="_Toc18594"/>
      <w:bookmarkStart w:id="282" w:name="_Toc23557"/>
      <w:bookmarkStart w:id="283" w:name="_Toc3014"/>
      <w:bookmarkStart w:id="284" w:name="_Toc21926"/>
      <w:bookmarkStart w:id="285" w:name="_Toc520356162"/>
      <w:bookmarkStart w:id="286" w:name="_Toc18537"/>
      <w:bookmarkStart w:id="287" w:name="_Toc22201"/>
      <w:bookmarkStart w:id="288" w:name="_Toc11003"/>
      <w:bookmarkStart w:id="289" w:name="_Toc515647777"/>
      <w:r>
        <w:rPr>
          <w:rFonts w:hint="eastAsia" w:ascii="宋体" w:hAnsi="宋体" w:eastAsia="宋体" w:cs="宋体"/>
          <w:color w:val="auto"/>
          <w:u w:val="none" w:color="auto"/>
          <w:shd w:val="clear" w:color="auto" w:fill="auto"/>
        </w:rPr>
        <w:t>17.响应文件的接收、修改与撤回</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snapToGrid w:val="0"/>
        <w:spacing w:line="380" w:lineRule="exact"/>
        <w:ind w:left="900" w:hanging="900" w:hangingChars="375"/>
        <w:textAlignment w:val="baseline"/>
        <w:rPr>
          <w:rFonts w:hint="eastAsia" w:ascii="宋体" w:hAnsi="宋体" w:eastAsia="宋体" w:cs="宋体"/>
          <w:color w:val="auto"/>
          <w:sz w:val="20"/>
          <w:shd w:val="clear" w:color="auto" w:fill="auto"/>
        </w:rPr>
      </w:pPr>
      <w:r>
        <w:rPr>
          <w:rFonts w:hint="eastAsia" w:ascii="宋体" w:hAnsi="宋体" w:eastAsia="宋体" w:cs="宋体"/>
          <w:color w:val="auto"/>
          <w:sz w:val="24"/>
          <w:shd w:val="clear" w:color="auto" w:fill="auto"/>
        </w:rPr>
        <w:t>17.1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在磋商截止时间后上传的响应文件的，采购人和采购代理机构将拒绝接收。</w:t>
      </w:r>
    </w:p>
    <w:p>
      <w:pPr>
        <w:snapToGrid w:val="0"/>
        <w:spacing w:line="380" w:lineRule="exact"/>
        <w:ind w:left="840" w:hanging="840" w:hangingChars="35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17.2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上传响应文件以后，如果供应商要进行修改或撤回磋商，供应商对响应文件的修改或撤回通知应按本须知规定编制、标记。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采购人和采购代理机构将予以接收，并视为响应文件的组成部分。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173</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在磋商截止期之后，采购人和采购代理机构不接受供应商主动对其响应文件做任何修改。</w:t>
      </w:r>
    </w:p>
    <w:p>
      <w:pPr>
        <w:snapToGrid w:val="0"/>
        <w:spacing w:line="380" w:lineRule="exact"/>
        <w:ind w:left="900" w:hanging="900" w:hangingChars="375"/>
        <w:textAlignment w:val="baseline"/>
        <w:rPr>
          <w:rFonts w:hint="eastAsia" w:ascii="宋体" w:hAnsi="宋体" w:eastAsia="宋体" w:cs="宋体"/>
          <w:color w:val="auto"/>
          <w:sz w:val="20"/>
          <w:shd w:val="clear" w:color="auto" w:fill="auto"/>
        </w:rPr>
      </w:pPr>
      <w:r>
        <w:rPr>
          <w:rFonts w:hint="eastAsia" w:ascii="宋体" w:hAnsi="宋体" w:eastAsia="宋体" w:cs="宋体"/>
          <w:color w:val="auto"/>
          <w:sz w:val="24"/>
          <w:shd w:val="clear" w:color="auto" w:fill="auto"/>
        </w:rPr>
        <w:t>17.4</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采购人和采购代理机构对所接收响应文件概不退回。</w:t>
      </w:r>
    </w:p>
    <w:p>
      <w:pPr>
        <w:pStyle w:val="4"/>
        <w:snapToGrid w:val="0"/>
        <w:spacing w:before="0" w:line="380" w:lineRule="exact"/>
        <w:ind w:hanging="540"/>
        <w:textAlignment w:val="baseline"/>
        <w:rPr>
          <w:rFonts w:hint="eastAsia" w:ascii="宋体" w:hAnsi="宋体" w:eastAsia="宋体" w:cs="宋体"/>
          <w:color w:val="auto"/>
          <w:sz w:val="24"/>
          <w:shd w:val="clear" w:color="auto" w:fill="auto"/>
        </w:rPr>
      </w:pPr>
      <w:bookmarkStart w:id="290" w:name="_Toc27283"/>
      <w:bookmarkStart w:id="291" w:name="_Toc16124"/>
      <w:bookmarkStart w:id="292" w:name="_Toc28398"/>
      <w:bookmarkStart w:id="293" w:name="_Toc520356163"/>
      <w:bookmarkStart w:id="294" w:name="_Toc515647778"/>
      <w:bookmarkStart w:id="295" w:name="_Toc216582809"/>
      <w:bookmarkStart w:id="296" w:name="_Toc12436"/>
      <w:bookmarkStart w:id="297" w:name="_Toc19339"/>
    </w:p>
    <w:p>
      <w:pPr>
        <w:pStyle w:val="4"/>
        <w:snapToGrid w:val="0"/>
        <w:spacing w:before="0" w:line="380" w:lineRule="exact"/>
        <w:ind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五   磋商及评</w:t>
      </w:r>
      <w:bookmarkEnd w:id="290"/>
      <w:bookmarkEnd w:id="291"/>
      <w:bookmarkEnd w:id="292"/>
      <w:bookmarkEnd w:id="293"/>
      <w:bookmarkEnd w:id="294"/>
      <w:bookmarkEnd w:id="295"/>
      <w:bookmarkEnd w:id="296"/>
      <w:r>
        <w:rPr>
          <w:rFonts w:hint="eastAsia" w:ascii="宋体" w:hAnsi="宋体" w:eastAsia="宋体" w:cs="宋体"/>
          <w:color w:val="auto"/>
          <w:sz w:val="24"/>
          <w:shd w:val="clear" w:color="auto" w:fill="auto"/>
        </w:rPr>
        <w:t>审</w:t>
      </w:r>
      <w:bookmarkEnd w:id="297"/>
    </w:p>
    <w:p>
      <w:pPr>
        <w:pStyle w:val="6"/>
        <w:numPr>
          <w:ilvl w:val="0"/>
          <w:numId w:val="3"/>
        </w:numPr>
        <w:snapToGrid w:val="0"/>
        <w:spacing w:before="0" w:after="0" w:line="380" w:lineRule="exact"/>
        <w:textAlignment w:val="baseline"/>
        <w:rPr>
          <w:rFonts w:hint="eastAsia" w:ascii="宋体" w:hAnsi="宋体" w:eastAsia="宋体" w:cs="宋体"/>
          <w:color w:val="auto"/>
          <w:u w:val="none" w:color="auto"/>
          <w:shd w:val="clear" w:color="auto" w:fill="auto"/>
        </w:rPr>
      </w:pPr>
      <w:bookmarkStart w:id="298" w:name="_Toc26662"/>
      <w:bookmarkStart w:id="299" w:name="_Toc20787"/>
      <w:bookmarkStart w:id="300" w:name="_Toc29744"/>
      <w:bookmarkStart w:id="301" w:name="_Toc5344"/>
      <w:r>
        <w:rPr>
          <w:rFonts w:hint="eastAsia" w:ascii="宋体" w:hAnsi="宋体" w:eastAsia="宋体" w:cs="宋体"/>
          <w:color w:val="auto"/>
          <w:u w:val="none" w:color="auto"/>
          <w:shd w:val="clear" w:color="auto" w:fill="auto"/>
        </w:rPr>
        <w:t>磋商</w:t>
      </w:r>
      <w:bookmarkEnd w:id="298"/>
      <w:bookmarkEnd w:id="299"/>
      <w:bookmarkEnd w:id="300"/>
      <w:bookmarkEnd w:id="301"/>
    </w:p>
    <w:p>
      <w:pPr>
        <w:numPr>
          <w:ilvl w:val="1"/>
          <w:numId w:val="3"/>
        </w:num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采购人和采购代理机构将按</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中规定的磋商时间和地点组织公开磋商并邀请所有供应商代表参加。</w:t>
      </w:r>
    </w:p>
    <w:p>
      <w:pPr>
        <w:spacing w:line="387" w:lineRule="exact"/>
        <w:ind w:left="960" w:hanging="960" w:hangingChars="4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18.2   供应商按照须知资料表中规定的开标时间和地点，在规定时间内上传响应文件。</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18.3   采购代理机构在规定时间内度响应文件进行解密，时长为30分钟。</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18.4   由采购代理机构开启开标记录，须供应商在政采云平台对报价进行签字确认。</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02" w:name="_Toc520356165"/>
      <w:bookmarkStart w:id="303" w:name="_Toc5428"/>
      <w:bookmarkStart w:id="304" w:name="_Toc21372"/>
      <w:bookmarkStart w:id="305" w:name="_Toc19296"/>
      <w:bookmarkStart w:id="306" w:name="_Toc515647780"/>
      <w:bookmarkStart w:id="307" w:name="_Toc14954"/>
      <w:bookmarkStart w:id="308" w:name="_Toc18658"/>
      <w:bookmarkStart w:id="309" w:name="_Toc18057"/>
      <w:bookmarkStart w:id="310" w:name="_Toc9240"/>
      <w:bookmarkStart w:id="311" w:name="_Toc2956"/>
      <w:bookmarkStart w:id="312" w:name="_Toc5402"/>
      <w:bookmarkStart w:id="313" w:name="_Toc6401"/>
      <w:bookmarkStart w:id="314" w:name="_Toc13345"/>
      <w:bookmarkStart w:id="315" w:name="_Toc28768"/>
      <w:bookmarkStart w:id="316" w:name="_Toc5768"/>
      <w:r>
        <w:rPr>
          <w:rFonts w:hint="eastAsia" w:ascii="宋体" w:hAnsi="宋体" w:eastAsia="宋体" w:cs="宋体"/>
          <w:color w:val="auto"/>
          <w:u w:val="none" w:color="auto"/>
          <w:shd w:val="clear" w:color="auto" w:fill="auto"/>
        </w:rPr>
        <w:t>19.</w:t>
      </w:r>
      <w:bookmarkEnd w:id="302"/>
      <w:r>
        <w:rPr>
          <w:rFonts w:hint="eastAsia" w:ascii="宋体" w:hAnsi="宋体" w:eastAsia="宋体" w:cs="宋体"/>
          <w:color w:val="auto"/>
          <w:u w:val="none" w:color="auto"/>
          <w:shd w:val="clear" w:color="auto" w:fill="auto"/>
        </w:rPr>
        <w:t>资格审查及组建</w:t>
      </w:r>
      <w:bookmarkEnd w:id="303"/>
      <w:bookmarkEnd w:id="304"/>
      <w:bookmarkEnd w:id="305"/>
      <w:bookmarkEnd w:id="306"/>
      <w:r>
        <w:rPr>
          <w:rFonts w:hint="eastAsia" w:ascii="宋体" w:hAnsi="宋体" w:eastAsia="宋体" w:cs="宋体"/>
          <w:color w:val="auto"/>
          <w:u w:val="none" w:color="auto"/>
          <w:shd w:val="clear" w:color="auto" w:fill="auto"/>
        </w:rPr>
        <w:t>磋商小组</w:t>
      </w:r>
      <w:bookmarkEnd w:id="307"/>
      <w:bookmarkEnd w:id="308"/>
      <w:bookmarkEnd w:id="309"/>
      <w:bookmarkEnd w:id="310"/>
      <w:bookmarkEnd w:id="311"/>
      <w:bookmarkEnd w:id="312"/>
      <w:bookmarkEnd w:id="313"/>
      <w:bookmarkEnd w:id="314"/>
      <w:bookmarkEnd w:id="315"/>
      <w:bookmarkEnd w:id="316"/>
    </w:p>
    <w:p>
      <w:pPr>
        <w:snapToGrid w:val="0"/>
        <w:spacing w:line="380" w:lineRule="exact"/>
        <w:ind w:left="960" w:hanging="960" w:hangingChars="40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19.1    采购人或采购代理机构依据法律法规和磋商文件中规定的内容，对供应商及其服务的资格进行审查，未通过资格审查的供应商不进入评标。</w:t>
      </w:r>
    </w:p>
    <w:p>
      <w:pPr>
        <w:snapToGrid w:val="0"/>
        <w:spacing w:line="380" w:lineRule="exact"/>
        <w:ind w:left="960" w:hanging="964" w:hanging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本项目</w:t>
      </w:r>
      <w:r>
        <w:rPr>
          <w:rFonts w:hint="eastAsia" w:ascii="宋体" w:hAnsi="宋体" w:eastAsia="宋体" w:cs="宋体"/>
          <w:b/>
          <w:bCs/>
          <w:color w:val="auto"/>
          <w:sz w:val="24"/>
          <w:shd w:val="clear" w:color="auto" w:fill="auto"/>
          <w:lang w:val="en-US" w:eastAsia="zh-CN"/>
        </w:rPr>
        <w:t>资格审查资料须附在响应文件中</w:t>
      </w:r>
      <w:r>
        <w:rPr>
          <w:rFonts w:hint="eastAsia" w:ascii="宋体" w:hAnsi="宋体" w:eastAsia="宋体" w:cs="宋体"/>
          <w:b/>
          <w:bCs/>
          <w:color w:val="auto"/>
          <w:sz w:val="24"/>
          <w:shd w:val="clear" w:color="auto" w:fill="auto"/>
        </w:rPr>
        <w:t>：</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1、投标商必须符合《中华人民共和国政府采购法》第二十二条规定条件；</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2、具有相应经营范围的企业法人营业执照（三证合一）（原件、复印件、影印件均可）；</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3、法定代表人需提供法人身份证原件；授权委托人需提供法人授权委托书原件、法人身份证复印件及被授权委托人身份证原件；</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5、投标企业及其被授权委托人在项目进行期内提供本单位缴纳的近三个月社保缴纳凭证证明、具有税务局开具依法缴纳的近三个月税收证明并加盖公章（新公司提供成立至今的）；</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6、投标单位（供应商）提供针对本次项目《反商业贿赂承诺书》书面声明；</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7、提供2021年度财务审计报告原件或复印件；新公司或其他组织和自然人提供银行出具的资信证明；</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 xml:space="preserve">8、参加政府采购活动前三年内，在经营活动中没有重大违法记录声明； </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9、本项目不接受联合体；</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lang w:val="en-US" w:eastAsia="zh-CN"/>
        </w:rPr>
        <w:t>10</w:t>
      </w:r>
      <w:r>
        <w:rPr>
          <w:rFonts w:hint="eastAsia" w:ascii="宋体" w:hAnsi="宋体" w:eastAsia="宋体" w:cs="宋体"/>
          <w:b/>
          <w:bCs/>
          <w:color w:val="auto"/>
          <w:sz w:val="24"/>
          <w:shd w:val="clear" w:color="auto" w:fill="auto"/>
        </w:rPr>
        <w:t>、投标保证金收据；</w:t>
      </w:r>
    </w:p>
    <w:p>
      <w:pPr>
        <w:snapToGrid w:val="0"/>
        <w:spacing w:line="380" w:lineRule="exact"/>
        <w:ind w:left="734" w:hanging="737" w:hangingChars="306"/>
        <w:jc w:val="both"/>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通过资格审查的投标人少于不足三家的，不得评标。</w:t>
      </w:r>
    </w:p>
    <w:p>
      <w:pPr>
        <w:snapToGrid w:val="0"/>
        <w:spacing w:line="380" w:lineRule="exact"/>
        <w:ind w:left="734" w:hanging="734" w:hangingChars="306"/>
        <w:jc w:val="both"/>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19.2采购人或采购代理机构将在开标前1个工作日至磋商截止后1小时的期间内查询供应商的信用记录。供应商存在不良信用记录的，其磋商将被认定为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left="734" w:hanging="734" w:hangingChars="306"/>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以联合体形式参加磋商的，联合体任何成员存在以上不良信用记录的，联合体磋商将被认定为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pStyle w:val="5"/>
        <w:snapToGrid w:val="0"/>
        <w:spacing w:line="380" w:lineRule="exact"/>
        <w:ind w:left="850" w:hanging="849" w:hangingChars="354"/>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5"/>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供应商自行提供的与网站信息不一致的其他证明材料亦不作为资格审查依据。</w:t>
      </w:r>
    </w:p>
    <w:p>
      <w:pPr>
        <w:snapToGrid w:val="0"/>
        <w:spacing w:line="380" w:lineRule="exact"/>
        <w:ind w:left="850" w:hanging="849" w:hangingChars="354"/>
        <w:textAlignment w:val="baseline"/>
        <w:rPr>
          <w:rFonts w:hint="eastAsia" w:ascii="宋体" w:hAnsi="宋体" w:eastAsia="宋体" w:cs="宋体"/>
          <w:color w:val="auto"/>
          <w:shd w:val="clear" w:color="auto" w:fill="auto"/>
          <w:lang w:eastAsia="zh-CN"/>
        </w:rPr>
      </w:pPr>
      <w:r>
        <w:rPr>
          <w:rFonts w:hint="eastAsia" w:ascii="宋体" w:hAnsi="宋体" w:eastAsia="宋体" w:cs="宋体"/>
          <w:color w:val="auto"/>
          <w:sz w:val="24"/>
          <w:shd w:val="clear" w:color="auto" w:fill="auto"/>
        </w:rPr>
        <w:t xml:space="preserve">19.3   </w:t>
      </w:r>
      <w:bookmarkStart w:id="317" w:name="_Toc520356166"/>
      <w:r>
        <w:rPr>
          <w:rFonts w:hint="eastAsia" w:ascii="宋体" w:hAnsi="宋体" w:eastAsia="宋体" w:cs="宋体"/>
          <w:b/>
          <w:bCs/>
          <w:color w:val="auto"/>
          <w:sz w:val="24"/>
          <w:shd w:val="clear" w:color="auto" w:fill="auto"/>
        </w:rPr>
        <w:t>按照《中华人民共和国政府采购法》、《中华人民共和国政府采购法实施条例》及本项目本级和上级财政部门的有关规定依法在政采云平台随机抽取</w:t>
      </w:r>
      <w:r>
        <w:rPr>
          <w:rFonts w:hint="eastAsia" w:ascii="宋体" w:hAnsi="宋体" w:eastAsia="宋体" w:cs="宋体"/>
          <w:b/>
          <w:bCs/>
          <w:color w:val="auto"/>
          <w:sz w:val="24"/>
          <w:shd w:val="clear" w:color="auto" w:fill="auto"/>
          <w:lang w:val="en-US" w:eastAsia="zh-CN"/>
        </w:rPr>
        <w:t>5</w:t>
      </w:r>
      <w:r>
        <w:rPr>
          <w:rFonts w:hint="eastAsia" w:ascii="宋体" w:hAnsi="宋体" w:eastAsia="宋体" w:cs="宋体"/>
          <w:b/>
          <w:bCs/>
          <w:color w:val="auto"/>
          <w:sz w:val="24"/>
          <w:shd w:val="clear" w:color="auto" w:fill="auto"/>
        </w:rPr>
        <w:t>名相关专业专家负责评审工作</w:t>
      </w:r>
      <w:r>
        <w:rPr>
          <w:rFonts w:hint="eastAsia" w:ascii="宋体" w:hAnsi="宋体" w:eastAsia="宋体" w:cs="宋体"/>
          <w:b/>
          <w:bCs/>
          <w:color w:val="auto"/>
          <w:sz w:val="24"/>
          <w:shd w:val="clear" w:color="auto" w:fill="auto"/>
          <w:lang w:eastAsia="zh-CN"/>
        </w:rPr>
        <w:t>。</w:t>
      </w:r>
    </w:p>
    <w:p>
      <w:pPr>
        <w:pStyle w:val="6"/>
        <w:snapToGrid w:val="0"/>
        <w:spacing w:before="0" w:after="0" w:line="380" w:lineRule="exact"/>
        <w:textAlignment w:val="baseline"/>
        <w:rPr>
          <w:rFonts w:hint="eastAsia" w:ascii="宋体" w:hAnsi="宋体" w:eastAsia="宋体" w:cs="宋体"/>
          <w:b w:val="0"/>
          <w:bCs/>
          <w:color w:val="auto"/>
          <w:u w:val="none" w:color="auto"/>
          <w:bdr w:val="single" w:color="auto" w:sz="4" w:space="0"/>
          <w:shd w:val="clear" w:color="auto" w:fill="auto"/>
        </w:rPr>
      </w:pPr>
      <w:bookmarkStart w:id="318" w:name="_Toc28479"/>
      <w:bookmarkStart w:id="319" w:name="_Toc656"/>
      <w:bookmarkStart w:id="320" w:name="_Toc16181"/>
      <w:bookmarkStart w:id="321" w:name="_Toc29938"/>
      <w:bookmarkStart w:id="322" w:name="_Toc29043"/>
      <w:bookmarkStart w:id="323" w:name="_Toc2219"/>
      <w:bookmarkStart w:id="324" w:name="_Toc27625"/>
      <w:bookmarkStart w:id="325" w:name="_Toc15335"/>
      <w:bookmarkStart w:id="326" w:name="_Toc19949"/>
      <w:bookmarkStart w:id="327" w:name="_Toc515647781"/>
      <w:bookmarkStart w:id="328" w:name="_Toc22740"/>
      <w:bookmarkStart w:id="329" w:name="_Toc17557"/>
      <w:bookmarkStart w:id="330" w:name="_Toc17520"/>
      <w:bookmarkStart w:id="331" w:name="_Toc7742"/>
      <w:r>
        <w:rPr>
          <w:rFonts w:hint="eastAsia" w:ascii="宋体" w:hAnsi="宋体" w:eastAsia="宋体" w:cs="宋体"/>
          <w:color w:val="auto"/>
          <w:u w:val="none" w:color="auto"/>
          <w:shd w:val="clear" w:color="auto" w:fill="auto"/>
        </w:rPr>
        <w:t>20.</w:t>
      </w:r>
      <w:bookmarkEnd w:id="317"/>
      <w:r>
        <w:rPr>
          <w:rFonts w:hint="eastAsia" w:ascii="宋体" w:hAnsi="宋体" w:eastAsia="宋体" w:cs="宋体"/>
          <w:color w:val="auto"/>
          <w:u w:val="none" w:color="auto"/>
          <w:shd w:val="clear" w:color="auto" w:fill="auto"/>
        </w:rPr>
        <w:t>响应文件符合性审查与澄清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20.1   符合性审查是指依据磋商文件的规定，从响应文件的有效性和完整性对磋商文件的响应程度进行审查，以确定是否对磋商文件的实质性要求做出响应。</w:t>
      </w:r>
      <w:bookmarkStart w:id="332" w:name="_Hlt522424701"/>
      <w:bookmarkEnd w:id="332"/>
      <w:bookmarkStart w:id="333" w:name="_Toc520356167"/>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响应文件的澄清</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20.2.2  供应商的的澄清、说明或补正将作为响应文件的一部分。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20.3  响应文件报价出现前后不一致的，按照下列规定修正：</w:t>
      </w:r>
    </w:p>
    <w:p>
      <w:pPr>
        <w:snapToGrid w:val="0"/>
        <w:spacing w:line="380" w:lineRule="exact"/>
        <w:ind w:left="1020" w:hanging="1020" w:hangingChars="4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（二）大写金额和小写金额不一致的，以大写金额为准；</w:t>
      </w:r>
    </w:p>
    <w:p>
      <w:pPr>
        <w:snapToGrid w:val="0"/>
        <w:spacing w:line="380" w:lineRule="exact"/>
        <w:ind w:left="1020" w:hanging="1020" w:hangingChars="42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（三）单价金额小数点或者百分比有明显错位的，以开标一览表的总价为准，并修改单价；</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（四）总价金额与按单价汇总金额不一致的，以单价金额计算结果为准。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snapToGrid w:val="0"/>
        <w:spacing w:line="380" w:lineRule="exact"/>
        <w:ind w:firstLine="120" w:firstLineChars="5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对不同文字文本响应文件的解释发生异议的，以中文文本为准。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20.4   如一个分包内只有一种产品，不同供应商所投产品为同一品牌的，按如下方式处理：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34" w:name="_Toc28934"/>
      <w:bookmarkStart w:id="335" w:name="_Toc18222"/>
      <w:bookmarkStart w:id="336" w:name="_Toc29782"/>
      <w:bookmarkStart w:id="337" w:name="_Toc27888"/>
      <w:bookmarkStart w:id="338" w:name="_Toc515647782"/>
      <w:bookmarkStart w:id="339" w:name="_Toc12340"/>
      <w:bookmarkStart w:id="340" w:name="_Toc27164"/>
      <w:bookmarkStart w:id="341" w:name="_Toc6695"/>
      <w:bookmarkStart w:id="342" w:name="_Toc6364"/>
      <w:bookmarkStart w:id="343" w:name="_Toc9469"/>
      <w:bookmarkStart w:id="344" w:name="_Toc25739"/>
      <w:bookmarkStart w:id="345" w:name="_Toc14136"/>
      <w:bookmarkStart w:id="346" w:name="_Toc1939"/>
      <w:bookmarkStart w:id="347" w:name="_Toc30430"/>
      <w:r>
        <w:rPr>
          <w:rFonts w:hint="eastAsia" w:ascii="宋体" w:hAnsi="宋体" w:eastAsia="宋体" w:cs="宋体"/>
          <w:color w:val="auto"/>
          <w:u w:val="none" w:color="auto"/>
          <w:shd w:val="clear" w:color="auto" w:fill="auto"/>
        </w:rPr>
        <w:t>21.磋商偏离</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napToGrid w:val="0"/>
        <w:spacing w:line="380" w:lineRule="exact"/>
        <w:ind w:left="641" w:hanging="640" w:hangingChars="267"/>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磋商小组可以接受响应文件中不构成实质性偏离的不正规或不一致。</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48" w:name="_Toc515647783"/>
      <w:bookmarkStart w:id="349" w:name="_Toc16242"/>
      <w:bookmarkStart w:id="350" w:name="_Toc30267"/>
      <w:bookmarkStart w:id="351" w:name="_Toc23480"/>
      <w:bookmarkStart w:id="352" w:name="_Toc108"/>
      <w:bookmarkStart w:id="353" w:name="_Toc10184"/>
      <w:bookmarkStart w:id="354" w:name="_Toc13775"/>
      <w:bookmarkStart w:id="355" w:name="_Toc31649"/>
      <w:bookmarkStart w:id="356" w:name="_Toc31191"/>
      <w:bookmarkStart w:id="357" w:name="_Toc6092"/>
      <w:bookmarkStart w:id="358" w:name="_Toc27546"/>
      <w:bookmarkStart w:id="359" w:name="_Toc2275"/>
      <w:bookmarkStart w:id="360" w:name="_Toc4950"/>
      <w:bookmarkStart w:id="361" w:name="_Toc9173"/>
      <w:r>
        <w:rPr>
          <w:rFonts w:hint="eastAsia" w:ascii="宋体" w:hAnsi="宋体" w:eastAsia="宋体" w:cs="宋体"/>
          <w:color w:val="auto"/>
          <w:u w:val="none" w:color="auto"/>
          <w:shd w:val="clear" w:color="auto" w:fill="auto"/>
        </w:rPr>
        <w:t>22.</w:t>
      </w:r>
      <w:bookmarkEnd w:id="348"/>
      <w:r>
        <w:rPr>
          <w:rFonts w:hint="eastAsia" w:ascii="宋体" w:hAnsi="宋体" w:eastAsia="宋体" w:cs="宋体"/>
          <w:color w:val="auto"/>
          <w:u w:val="none" w:color="auto"/>
          <w:shd w:val="clear" w:color="auto" w:fill="auto"/>
        </w:rPr>
        <w:t>磋商无效</w:t>
      </w:r>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shd w:val="clear" w:color="auto" w:fill="auto"/>
        </w:rPr>
        <w:t>磋商无效</w:t>
      </w:r>
      <w:r>
        <w:rPr>
          <w:rFonts w:hint="eastAsia" w:ascii="宋体" w:hAnsi="宋体" w:eastAsia="宋体" w:cs="宋体"/>
          <w:color w:val="auto"/>
          <w:sz w:val="24"/>
          <w:shd w:val="clear" w:color="auto" w:fill="auto"/>
        </w:rPr>
        <w:t>。供应商不得通过修正或撤销不符合要求的偏离，从而使其磋商成为实质上响应的磋商。</w:t>
      </w:r>
    </w:p>
    <w:p>
      <w:pPr>
        <w:snapToGrid w:val="0"/>
        <w:spacing w:line="380" w:lineRule="exact"/>
        <w:ind w:left="958" w:leftChars="456"/>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hint="eastAsia" w:ascii="宋体" w:hAnsi="宋体" w:eastAsia="宋体" w:cs="宋体"/>
          <w:b/>
          <w:bCs/>
          <w:color w:val="auto"/>
          <w:sz w:val="24"/>
          <w:shd w:val="clear" w:color="auto" w:fill="auto"/>
        </w:rPr>
      </w:pPr>
      <w:r>
        <w:rPr>
          <w:rFonts w:hint="eastAsia" w:ascii="宋体" w:hAnsi="宋体" w:eastAsia="宋体" w:cs="宋体"/>
          <w:color w:val="auto"/>
          <w:sz w:val="24"/>
          <w:shd w:val="clear" w:color="auto" w:fill="auto"/>
        </w:rPr>
        <w:t>22.2</w:t>
      </w:r>
      <w:r>
        <w:rPr>
          <w:rFonts w:hint="eastAsia" w:ascii="宋体" w:hAnsi="宋体" w:eastAsia="宋体" w:cs="宋体"/>
          <w:color w:val="auto"/>
          <w:sz w:val="24"/>
          <w:shd w:val="clear" w:color="auto" w:fill="auto"/>
        </w:rPr>
        <w:tab/>
      </w:r>
      <w:r>
        <w:rPr>
          <w:rFonts w:hint="eastAsia" w:ascii="宋体" w:hAnsi="宋体" w:eastAsia="宋体" w:cs="宋体"/>
          <w:b/>
          <w:bCs/>
          <w:color w:val="auto"/>
          <w:sz w:val="24"/>
          <w:shd w:val="clear" w:color="auto" w:fill="auto"/>
        </w:rPr>
        <w:t>如发现下列情况之一的，其磋商将被认定为磋商无效：（以下情形应当在磋商文件中规定，并以醒目的方式标明）</w:t>
      </w:r>
    </w:p>
    <w:p>
      <w:pPr>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（1）未按磋商文件规定的形式和金额提交磋商保证金的；</w:t>
      </w:r>
    </w:p>
    <w:p>
      <w:pPr>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（2）未按照磋商文件规定要求签署、盖章的；</w:t>
      </w:r>
    </w:p>
    <w:p>
      <w:pPr>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（3）未满足磋商文件中技术条款的实质性要求；</w:t>
      </w:r>
    </w:p>
    <w:p>
      <w:pPr>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（4）与其他供应商串通磋商，或者与招标人串通磋商；</w:t>
      </w:r>
    </w:p>
    <w:p>
      <w:pPr>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（5）属于磋商文件规定的其他磋商无效情形；</w:t>
      </w:r>
    </w:p>
    <w:p>
      <w:pPr>
        <w:snapToGrid w:val="0"/>
        <w:spacing w:line="380" w:lineRule="exact"/>
        <w:ind w:left="1259" w:leftChars="370" w:hanging="482" w:hangingChars="2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（6）磋商小组认为供应商的报价明显低于其他通过符合性检查供应商的报价，有可能影响履约的，且供应商未按照规定证明其报价合理性的；</w:t>
      </w:r>
    </w:p>
    <w:p>
      <w:pPr>
        <w:snapToGrid w:val="0"/>
        <w:spacing w:line="380" w:lineRule="exact"/>
        <w:ind w:firstLine="723" w:firstLineChars="3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（7）响应文件含有采购人不能接受的附加条件的；</w:t>
      </w:r>
    </w:p>
    <w:p>
      <w:pPr>
        <w:tabs>
          <w:tab w:val="left" w:pos="0"/>
        </w:tabs>
        <w:snapToGrid w:val="0"/>
        <w:spacing w:line="380" w:lineRule="exact"/>
        <w:ind w:left="-180" w:firstLine="964" w:firstLineChars="4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（8）不符合法规和磋商文件中规定的其他实质性要求的。</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（1）供应商直接或者间接从采购人或者采购代理机构处获得其他供应商的相关情况并修改其响应文件或者响应文件；</w:t>
      </w:r>
    </w:p>
    <w:p>
      <w:pPr>
        <w:snapToGrid w:val="0"/>
        <w:spacing w:line="380" w:lineRule="exact"/>
        <w:ind w:left="180" w:hanging="180" w:hangingChars="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（2）供应商按照采购人或者采购代理机构的授意撤换、修改响应文件或者响应文件；</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（3）供应商之间协商报价、技术方案等响应文件或者响应文件的实质性内容；</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（4）属于同一集团、协会、商会等组织成员的供应商按照该组织要求协同参加政府采购活动；</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（5）供应商之间事先约定由某一特定供应商中标、成交；</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（6）供应商之间商定部分供应商放弃参加政府采购活动或者放弃中标、成交；</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（7）供应商与采购人或者采购代理机构之间、供应商相互之间，为谋求特定供应商中标、成交或者排斥其他供应商的其他串通行为。</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62" w:name="_Toc21841"/>
      <w:bookmarkStart w:id="363" w:name="_Toc515647784"/>
      <w:bookmarkStart w:id="364" w:name="_Toc13652"/>
      <w:bookmarkStart w:id="365" w:name="_Toc6450"/>
      <w:bookmarkStart w:id="366" w:name="_Toc31440"/>
      <w:bookmarkStart w:id="367" w:name="_Toc5075"/>
      <w:bookmarkStart w:id="368" w:name="_Toc28827"/>
      <w:bookmarkStart w:id="369" w:name="_Toc30567"/>
      <w:bookmarkStart w:id="370" w:name="_Toc2287"/>
      <w:bookmarkStart w:id="371" w:name="_Toc22903"/>
      <w:bookmarkStart w:id="372" w:name="_Toc22941"/>
      <w:bookmarkStart w:id="373" w:name="_Toc22614"/>
      <w:bookmarkStart w:id="374" w:name="_Toc4263"/>
      <w:bookmarkStart w:id="375" w:name="_Toc3834"/>
      <w:r>
        <w:rPr>
          <w:rFonts w:hint="eastAsia" w:ascii="宋体" w:hAnsi="宋体" w:eastAsia="宋体" w:cs="宋体"/>
          <w:color w:val="auto"/>
          <w:u w:val="none" w:color="auto"/>
          <w:shd w:val="clear" w:color="auto" w:fill="auto"/>
        </w:rPr>
        <w:t>23.</w:t>
      </w:r>
      <w:bookmarkEnd w:id="333"/>
      <w:r>
        <w:rPr>
          <w:rFonts w:hint="eastAsia" w:ascii="宋体" w:hAnsi="宋体" w:eastAsia="宋体" w:cs="宋体"/>
          <w:color w:val="auto"/>
          <w:u w:val="none" w:color="auto"/>
          <w:shd w:val="clear" w:color="auto" w:fill="auto"/>
        </w:rPr>
        <w:t>比较与评价</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23.1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23.2  </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评标严格按照磋商文件的要求和条件进行。根据实际情况，在</w:t>
      </w:r>
      <w:r>
        <w:rPr>
          <w:rFonts w:hint="eastAsia" w:ascii="宋体" w:hAnsi="宋体" w:eastAsia="宋体" w:cs="宋体"/>
          <w:color w:val="auto"/>
          <w:sz w:val="24"/>
          <w:u w:val="single" w:color="000000"/>
          <w:shd w:val="clear" w:color="auto" w:fill="auto"/>
        </w:rPr>
        <w:t>供应商须知资料表</w:t>
      </w:r>
      <w:r>
        <w:rPr>
          <w:rFonts w:hint="eastAsia" w:ascii="宋体" w:hAnsi="宋体" w:eastAsia="宋体" w:cs="宋体"/>
          <w:color w:val="auto"/>
          <w:sz w:val="24"/>
          <w:shd w:val="clear" w:color="auto" w:fill="auto"/>
        </w:rPr>
        <w:t>中规定采用下列一种评标方法，详细评标标准见磋商文件</w:t>
      </w:r>
      <w:r>
        <w:rPr>
          <w:rFonts w:hint="eastAsia" w:ascii="宋体" w:hAnsi="宋体" w:eastAsia="宋体" w:cs="宋体"/>
          <w:b/>
          <w:color w:val="auto"/>
          <w:sz w:val="24"/>
          <w:shd w:val="clear" w:color="auto" w:fill="auto"/>
        </w:rPr>
        <w:t>第六章：</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综合评分法，是指响应文件满足磋商文件全部实质性要求，且按照评审因素的量化指标评审得分最高的供应商为成交候选人的评标方法。</w:t>
      </w:r>
    </w:p>
    <w:p>
      <w:pPr>
        <w:pStyle w:val="17"/>
        <w:snapToGrid w:val="0"/>
        <w:spacing w:line="380" w:lineRule="exact"/>
        <w:ind w:left="718" w:leftChars="342" w:firstLine="60" w:firstLineChars="25"/>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23.3    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宋体" w:hAnsi="宋体" w:eastAsia="宋体" w:cs="宋体"/>
          <w:color w:val="auto"/>
          <w:sz w:val="24"/>
          <w:szCs w:val="24"/>
          <w:shd w:val="clear" w:color="auto" w:fill="auto"/>
          <w:lang w:val="en-US" w:eastAsia="zh-CN"/>
        </w:rPr>
        <w:t xml:space="preserve"> 10% </w:t>
      </w:r>
      <w:r>
        <w:rPr>
          <w:rFonts w:hint="eastAsia" w:ascii="宋体" w:hAnsi="宋体" w:eastAsia="宋体" w:cs="宋体"/>
          <w:color w:val="auto"/>
          <w:sz w:val="24"/>
          <w:szCs w:val="24"/>
          <w:shd w:val="clear" w:color="auto" w:fill="auto"/>
        </w:rPr>
        <w:t>后参与评审。对于同时属于小微企业、监狱企业残疾人福利性单位的，不重复进行投标报价扣除。具体办法详见招标文件第6章。</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76" w:name="_Toc520356168"/>
      <w:bookmarkStart w:id="377" w:name="_Toc2539"/>
      <w:bookmarkStart w:id="378" w:name="_Toc6912"/>
      <w:bookmarkStart w:id="379" w:name="_Toc20227"/>
      <w:bookmarkStart w:id="380" w:name="_Toc14935"/>
      <w:bookmarkStart w:id="381" w:name="_Toc16201"/>
      <w:bookmarkStart w:id="382" w:name="_Toc28413"/>
      <w:bookmarkStart w:id="383" w:name="_Toc23521"/>
      <w:bookmarkStart w:id="384" w:name="_Toc4586"/>
      <w:bookmarkStart w:id="385" w:name="_Toc28843"/>
      <w:bookmarkStart w:id="386" w:name="_Toc515647785"/>
      <w:bookmarkStart w:id="387" w:name="_Toc9378"/>
      <w:bookmarkStart w:id="388" w:name="_Toc12611"/>
      <w:bookmarkStart w:id="389" w:name="_Toc18922"/>
      <w:bookmarkStart w:id="390" w:name="_Toc2218"/>
      <w:r>
        <w:rPr>
          <w:rFonts w:hint="eastAsia" w:ascii="宋体" w:hAnsi="宋体" w:eastAsia="宋体" w:cs="宋体"/>
          <w:color w:val="auto"/>
          <w:u w:val="none" w:color="auto"/>
          <w:shd w:val="clear" w:color="auto" w:fill="auto"/>
        </w:rPr>
        <w:t>24</w:t>
      </w:r>
      <w:bookmarkEnd w:id="376"/>
      <w:r>
        <w:rPr>
          <w:rFonts w:hint="eastAsia" w:ascii="宋体" w:hAnsi="宋体" w:eastAsia="宋体" w:cs="宋体"/>
          <w:color w:val="auto"/>
          <w:u w:val="none" w:color="auto"/>
          <w:shd w:val="clear" w:color="auto" w:fill="auto"/>
        </w:rPr>
        <w:t>.废标</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snapToGrid w:val="0"/>
        <w:spacing w:line="380" w:lineRule="exact"/>
        <w:ind w:left="239" w:leftChars="114" w:firstLine="663" w:firstLineChars="275"/>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 xml:space="preserve">出现下列情形之一，将导致项目废标： </w:t>
      </w:r>
    </w:p>
    <w:p>
      <w:pPr>
        <w:snapToGrid w:val="0"/>
        <w:spacing w:line="380" w:lineRule="exact"/>
        <w:ind w:left="900" w:hanging="904" w:hangingChars="375"/>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ab/>
      </w:r>
      <w:r>
        <w:rPr>
          <w:rFonts w:hint="eastAsia" w:ascii="宋体" w:hAnsi="宋体" w:eastAsia="宋体" w:cs="宋体"/>
          <w:b/>
          <w:bCs/>
          <w:color w:val="auto"/>
          <w:sz w:val="24"/>
          <w:shd w:val="clear" w:color="auto" w:fill="auto"/>
        </w:rPr>
        <w:t>（1）出现影响采购公正的违法、违规行为的；</w:t>
      </w:r>
    </w:p>
    <w:p>
      <w:pPr>
        <w:snapToGrid w:val="0"/>
        <w:spacing w:line="380" w:lineRule="exact"/>
        <w:ind w:firstLine="843" w:firstLineChars="35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（2）供应商的报价均超过了采购预算，采购人不能支付的；</w:t>
      </w:r>
    </w:p>
    <w:p>
      <w:pPr>
        <w:snapToGrid w:val="0"/>
        <w:spacing w:line="380" w:lineRule="exact"/>
        <w:ind w:firstLine="843" w:firstLineChars="35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 xml:space="preserve">（3）因重大变故，采购任务取消的。   </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391" w:name="_Toc11249"/>
      <w:bookmarkStart w:id="392" w:name="_Toc23141"/>
      <w:bookmarkStart w:id="393" w:name="_Toc24972"/>
      <w:bookmarkStart w:id="394" w:name="_Toc15505"/>
      <w:bookmarkStart w:id="395" w:name="_Toc8444"/>
      <w:bookmarkStart w:id="396" w:name="_Toc4481"/>
      <w:bookmarkStart w:id="397" w:name="_Toc25920"/>
      <w:bookmarkStart w:id="398" w:name="_Toc12226"/>
      <w:bookmarkStart w:id="399" w:name="_Toc8176"/>
      <w:bookmarkStart w:id="400" w:name="_Toc10317"/>
      <w:bookmarkStart w:id="401" w:name="_Toc20205"/>
      <w:bookmarkStart w:id="402" w:name="_Toc27162"/>
      <w:bookmarkStart w:id="403" w:name="_Toc515647786"/>
      <w:bookmarkStart w:id="404" w:name="_Toc31289"/>
      <w:bookmarkStart w:id="405" w:name="_Toc520356169"/>
      <w:r>
        <w:rPr>
          <w:rFonts w:hint="eastAsia" w:ascii="宋体" w:hAnsi="宋体" w:eastAsia="宋体" w:cs="宋体"/>
          <w:color w:val="auto"/>
          <w:u w:val="none" w:color="auto"/>
          <w:shd w:val="clear" w:color="auto" w:fill="auto"/>
        </w:rPr>
        <w:t>25.保密原则</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25.1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评标将在严格保密的情况下进行。</w:t>
      </w:r>
    </w:p>
    <w:p>
      <w:pPr>
        <w:snapToGrid w:val="0"/>
        <w:spacing w:line="380" w:lineRule="exact"/>
        <w:ind w:left="900" w:hanging="900" w:hangingChars="375"/>
        <w:textAlignment w:val="baseline"/>
        <w:rPr>
          <w:rFonts w:hint="eastAsia" w:ascii="宋体" w:hAnsi="宋体" w:eastAsia="宋体" w:cs="宋体"/>
          <w:color w:val="auto"/>
          <w:sz w:val="20"/>
          <w:shd w:val="clear" w:color="auto" w:fill="auto"/>
        </w:rPr>
      </w:pPr>
      <w:r>
        <w:rPr>
          <w:rFonts w:hint="eastAsia" w:ascii="宋体" w:hAnsi="宋体" w:eastAsia="宋体" w:cs="宋体"/>
          <w:color w:val="auto"/>
          <w:sz w:val="24"/>
          <w:shd w:val="clear" w:color="auto" w:fill="auto"/>
        </w:rPr>
        <w:t>25.2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政府采购评审专家应当遵守评审工作纪律，不得泄露评审文件、评审情况和评审中获悉的商业秘密。</w:t>
      </w:r>
    </w:p>
    <w:p>
      <w:pPr>
        <w:pStyle w:val="4"/>
        <w:snapToGrid w:val="0"/>
        <w:spacing w:before="0" w:line="380" w:lineRule="exact"/>
        <w:ind w:hanging="540"/>
        <w:textAlignment w:val="baseline"/>
        <w:rPr>
          <w:rFonts w:hint="eastAsia" w:ascii="宋体" w:hAnsi="宋体" w:eastAsia="宋体" w:cs="宋体"/>
          <w:color w:val="auto"/>
          <w:sz w:val="24"/>
          <w:shd w:val="clear" w:color="auto" w:fill="auto"/>
        </w:rPr>
      </w:pPr>
      <w:bookmarkStart w:id="406" w:name="_Toc216582810"/>
      <w:bookmarkStart w:id="407" w:name="_Toc23904"/>
      <w:bookmarkStart w:id="408" w:name="_Toc12143"/>
      <w:bookmarkStart w:id="409" w:name="_Toc31195"/>
      <w:bookmarkStart w:id="410" w:name="_Toc515647787"/>
      <w:bookmarkStart w:id="411" w:name="_Toc21828"/>
      <w:bookmarkStart w:id="412" w:name="_Toc27482"/>
    </w:p>
    <w:p>
      <w:pPr>
        <w:pStyle w:val="4"/>
        <w:snapToGrid w:val="0"/>
        <w:spacing w:before="0" w:line="380" w:lineRule="exact"/>
        <w:ind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六   </w:t>
      </w:r>
      <w:bookmarkEnd w:id="405"/>
      <w:r>
        <w:rPr>
          <w:rFonts w:hint="eastAsia" w:ascii="宋体" w:hAnsi="宋体" w:eastAsia="宋体" w:cs="宋体"/>
          <w:color w:val="auto"/>
          <w:sz w:val="24"/>
          <w:shd w:val="clear" w:color="auto" w:fill="auto"/>
        </w:rPr>
        <w:t>确定</w:t>
      </w:r>
      <w:bookmarkEnd w:id="406"/>
      <w:bookmarkEnd w:id="407"/>
      <w:bookmarkEnd w:id="408"/>
      <w:bookmarkEnd w:id="409"/>
      <w:bookmarkEnd w:id="410"/>
      <w:r>
        <w:rPr>
          <w:rFonts w:hint="eastAsia" w:ascii="宋体" w:hAnsi="宋体" w:eastAsia="宋体" w:cs="宋体"/>
          <w:color w:val="auto"/>
          <w:sz w:val="24"/>
          <w:shd w:val="clear" w:color="auto" w:fill="auto"/>
        </w:rPr>
        <w:t>成交</w:t>
      </w:r>
      <w:bookmarkEnd w:id="411"/>
      <w:bookmarkEnd w:id="412"/>
    </w:p>
    <w:p>
      <w:pPr>
        <w:pStyle w:val="5"/>
        <w:snapToGrid w:val="0"/>
        <w:spacing w:line="380" w:lineRule="exact"/>
        <w:ind w:firstLine="0"/>
        <w:textAlignment w:val="baseline"/>
        <w:rPr>
          <w:rFonts w:hint="eastAsia" w:ascii="宋体" w:hAnsi="宋体" w:eastAsia="宋体" w:cs="宋体"/>
          <w:color w:val="auto"/>
          <w:shd w:val="clear" w:color="auto" w:fill="auto"/>
        </w:rPr>
      </w:pP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413" w:name="_Toc10858"/>
      <w:bookmarkStart w:id="414" w:name="_Toc7632"/>
      <w:bookmarkStart w:id="415" w:name="_Toc520356170"/>
      <w:bookmarkStart w:id="416" w:name="_Toc20156"/>
      <w:bookmarkStart w:id="417" w:name="_Toc20286"/>
      <w:bookmarkStart w:id="418" w:name="_Toc23617"/>
      <w:bookmarkStart w:id="419" w:name="_Ref467307010"/>
      <w:bookmarkStart w:id="420" w:name="_Toc23762"/>
      <w:bookmarkStart w:id="421" w:name="_Toc4774"/>
      <w:bookmarkStart w:id="422" w:name="_Toc515647788"/>
      <w:bookmarkStart w:id="423" w:name="_Toc11122"/>
      <w:bookmarkStart w:id="424" w:name="_Toc8936"/>
      <w:bookmarkStart w:id="425" w:name="_Toc19391"/>
      <w:bookmarkStart w:id="426" w:name="_Toc29606"/>
      <w:bookmarkStart w:id="427" w:name="_Toc30448"/>
      <w:bookmarkStart w:id="428" w:name="_Toc15848"/>
      <w:r>
        <w:rPr>
          <w:rFonts w:hint="eastAsia" w:ascii="宋体" w:hAnsi="宋体" w:eastAsia="宋体" w:cs="宋体"/>
          <w:color w:val="auto"/>
          <w:u w:val="none" w:color="auto"/>
          <w:shd w:val="clear" w:color="auto" w:fill="auto"/>
        </w:rPr>
        <w:t>26.成交候选人的确定原则及标准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snapToGrid w:val="0"/>
        <w:spacing w:line="380" w:lineRule="exact"/>
        <w:ind w:firstLine="480" w:firstLineChars="200"/>
        <w:textAlignment w:val="baseline"/>
        <w:rPr>
          <w:rFonts w:hint="eastAsia" w:ascii="宋体" w:hAnsi="宋体" w:eastAsia="宋体" w:cs="宋体"/>
          <w:color w:val="auto"/>
          <w:sz w:val="24"/>
          <w:shd w:val="clear" w:color="auto" w:fill="auto"/>
        </w:rPr>
      </w:pPr>
      <w:bookmarkStart w:id="429" w:name="_Toc520356171"/>
      <w:bookmarkStart w:id="430" w:name="_Toc515647789"/>
      <w:r>
        <w:rPr>
          <w:rFonts w:hint="eastAsia" w:ascii="宋体" w:hAnsi="宋体" w:eastAsia="宋体" w:cs="宋体"/>
          <w:color w:val="auto"/>
          <w:sz w:val="24"/>
          <w:shd w:val="clear" w:color="auto" w:fill="auto"/>
        </w:rPr>
        <w:t>对实质上响应磋商文件的供应商按下列方法进行排序，确定投标候选人：</w:t>
      </w:r>
    </w:p>
    <w:p>
      <w:pPr>
        <w:snapToGrid w:val="0"/>
        <w:spacing w:line="380" w:lineRule="exact"/>
        <w:ind w:left="479" w:leftChars="228"/>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2" w:firstLineChars="200"/>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本项目采用综合评分法，</w:t>
      </w:r>
    </w:p>
    <w:p>
      <w:pPr>
        <w:snapToGrid w:val="0"/>
        <w:spacing w:line="380" w:lineRule="exact"/>
        <w:ind w:firstLine="482" w:firstLineChars="200"/>
        <w:textAlignment w:val="baseline"/>
        <w:rPr>
          <w:rFonts w:hint="eastAsia" w:ascii="宋体" w:hAnsi="宋体" w:eastAsia="宋体" w:cs="宋体"/>
          <w:color w:val="auto"/>
          <w:shd w:val="clear" w:color="auto" w:fill="auto"/>
          <w:lang w:eastAsia="zh-CN"/>
        </w:rPr>
      </w:pPr>
      <w:r>
        <w:rPr>
          <w:rFonts w:hint="eastAsia" w:ascii="宋体" w:hAnsi="宋体" w:eastAsia="宋体" w:cs="宋体"/>
          <w:b/>
          <w:bCs/>
          <w:color w:val="auto"/>
          <w:sz w:val="24"/>
          <w:shd w:val="clear" w:color="auto" w:fill="auto"/>
        </w:rPr>
        <w:t>其中价格占</w:t>
      </w:r>
      <w:r>
        <w:rPr>
          <w:rFonts w:hint="eastAsia" w:ascii="宋体" w:hAnsi="宋体" w:eastAsia="宋体" w:cs="宋体"/>
          <w:b/>
          <w:bCs/>
          <w:color w:val="auto"/>
          <w:sz w:val="24"/>
          <w:shd w:val="clear" w:color="auto" w:fill="auto"/>
          <w:lang w:val="en-US" w:eastAsia="zh-CN"/>
        </w:rPr>
        <w:t>10分</w:t>
      </w:r>
      <w:r>
        <w:rPr>
          <w:rFonts w:hint="eastAsia" w:ascii="宋体" w:hAnsi="宋体" w:eastAsia="宋体" w:cs="宋体"/>
          <w:b/>
          <w:bCs/>
          <w:color w:val="auto"/>
          <w:sz w:val="24"/>
          <w:shd w:val="clear" w:color="auto" w:fill="auto"/>
        </w:rPr>
        <w:t>，商务技术占</w:t>
      </w:r>
      <w:r>
        <w:rPr>
          <w:rFonts w:hint="eastAsia" w:ascii="宋体" w:hAnsi="宋体" w:eastAsia="宋体" w:cs="宋体"/>
          <w:b/>
          <w:bCs/>
          <w:color w:val="auto"/>
          <w:sz w:val="24"/>
          <w:shd w:val="clear" w:color="auto" w:fill="auto"/>
          <w:lang w:val="en-US" w:eastAsia="zh-CN"/>
        </w:rPr>
        <w:t>90分</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shd w:val="clear" w:color="auto" w:fill="auto"/>
        </w:rPr>
      </w:pPr>
      <w:bookmarkStart w:id="431" w:name="_Toc9653"/>
      <w:bookmarkStart w:id="432" w:name="_Toc17933"/>
      <w:bookmarkStart w:id="433" w:name="_Toc23951"/>
      <w:bookmarkStart w:id="434" w:name="_Toc5598"/>
      <w:bookmarkStart w:id="435" w:name="_Toc6074"/>
      <w:bookmarkStart w:id="436" w:name="_Toc14558"/>
      <w:bookmarkStart w:id="437" w:name="_Toc1644"/>
      <w:bookmarkStart w:id="438" w:name="_Toc16846"/>
      <w:bookmarkStart w:id="439" w:name="_Toc1227"/>
      <w:bookmarkStart w:id="440" w:name="_Toc17164"/>
      <w:bookmarkStart w:id="441" w:name="_Toc7126"/>
      <w:bookmarkStart w:id="442" w:name="_Toc24948"/>
      <w:bookmarkStart w:id="443" w:name="_Toc3720"/>
      <w:r>
        <w:rPr>
          <w:rFonts w:hint="eastAsia" w:ascii="宋体" w:hAnsi="宋体" w:eastAsia="宋体" w:cs="宋体"/>
          <w:color w:val="auto"/>
          <w:u w:val="none" w:color="auto"/>
          <w:shd w:val="clear" w:color="auto" w:fill="auto"/>
        </w:rPr>
        <w:t>27</w:t>
      </w:r>
      <w:bookmarkEnd w:id="429"/>
      <w:r>
        <w:rPr>
          <w:rFonts w:hint="eastAsia" w:ascii="宋体" w:hAnsi="宋体" w:eastAsia="宋体" w:cs="宋体"/>
          <w:color w:val="auto"/>
          <w:u w:val="none" w:color="auto"/>
          <w:shd w:val="clear" w:color="auto" w:fill="auto"/>
        </w:rPr>
        <w:t>.确定成交候选人和</w:t>
      </w:r>
      <w:bookmarkEnd w:id="430"/>
      <w:bookmarkEnd w:id="431"/>
      <w:bookmarkEnd w:id="432"/>
      <w:bookmarkEnd w:id="433"/>
      <w:r>
        <w:rPr>
          <w:rFonts w:hint="eastAsia" w:ascii="宋体" w:hAnsi="宋体" w:eastAsia="宋体" w:cs="宋体"/>
          <w:color w:val="auto"/>
          <w:u w:val="none" w:color="auto"/>
          <w:shd w:val="clear" w:color="auto" w:fill="auto"/>
        </w:rPr>
        <w:t>成交人</w:t>
      </w:r>
      <w:bookmarkEnd w:id="434"/>
      <w:bookmarkEnd w:id="435"/>
      <w:bookmarkEnd w:id="436"/>
      <w:bookmarkEnd w:id="437"/>
      <w:bookmarkEnd w:id="438"/>
      <w:bookmarkEnd w:id="439"/>
      <w:bookmarkEnd w:id="440"/>
      <w:bookmarkEnd w:id="441"/>
      <w:bookmarkEnd w:id="442"/>
      <w:bookmarkEnd w:id="443"/>
    </w:p>
    <w:p>
      <w:pPr>
        <w:snapToGrid w:val="0"/>
        <w:spacing w:line="380" w:lineRule="exact"/>
        <w:ind w:left="898" w:leftChars="342" w:hanging="180" w:hangingChars="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磋商小组将根据评标标准，按供应商须知资料表中规定数量推荐成交候选人；或根据采购人的委托，直接确定成交人。</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shd w:val="clear" w:color="auto" w:fill="auto"/>
        </w:rPr>
      </w:pPr>
      <w:bookmarkStart w:id="444" w:name="_Toc520356173"/>
      <w:bookmarkStart w:id="445" w:name="_Ref467306874"/>
      <w:bookmarkStart w:id="446" w:name="_Toc28562"/>
      <w:bookmarkStart w:id="447" w:name="_Toc7729"/>
      <w:bookmarkStart w:id="448" w:name="_Toc249"/>
      <w:bookmarkStart w:id="449" w:name="_Toc20633"/>
      <w:bookmarkStart w:id="450" w:name="_Toc27308"/>
      <w:bookmarkStart w:id="451" w:name="_Toc7507"/>
      <w:bookmarkStart w:id="452" w:name="_Toc27133"/>
      <w:bookmarkStart w:id="453" w:name="_Toc32150"/>
      <w:bookmarkStart w:id="454" w:name="_Toc12652"/>
      <w:bookmarkStart w:id="455" w:name="_Toc515647790"/>
      <w:bookmarkStart w:id="456" w:name="_Toc27036"/>
      <w:bookmarkStart w:id="457" w:name="_Toc8389"/>
      <w:bookmarkStart w:id="458" w:name="_Toc24602"/>
      <w:bookmarkStart w:id="459" w:name="_Toc2091"/>
      <w:r>
        <w:rPr>
          <w:rFonts w:hint="eastAsia" w:ascii="宋体" w:hAnsi="宋体" w:eastAsia="宋体" w:cs="宋体"/>
          <w:color w:val="auto"/>
          <w:u w:val="none" w:color="auto"/>
          <w:shd w:val="clear" w:color="auto" w:fill="auto"/>
        </w:rPr>
        <w:t>28.</w:t>
      </w:r>
      <w:bookmarkEnd w:id="444"/>
      <w:bookmarkEnd w:id="445"/>
      <w:r>
        <w:rPr>
          <w:rFonts w:hint="eastAsia" w:ascii="宋体" w:hAnsi="宋体" w:eastAsia="宋体" w:cs="宋体"/>
          <w:color w:val="auto"/>
          <w:u w:val="none" w:color="auto"/>
          <w:shd w:val="clear" w:color="auto" w:fill="auto"/>
        </w:rPr>
        <w:t>采购任务取消</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因重大变故采购任务取消时，采购人有权拒绝任何供应商成交，且对受影响的供应商不承担任何责任。</w:t>
      </w:r>
      <w:bookmarkStart w:id="460" w:name="_Toc520356174"/>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461" w:name="_Toc7938"/>
      <w:bookmarkStart w:id="462" w:name="_Toc29249"/>
      <w:bookmarkStart w:id="463" w:name="_Toc11134"/>
      <w:bookmarkStart w:id="464" w:name="_Toc26091"/>
      <w:bookmarkStart w:id="465" w:name="_Toc31099"/>
      <w:bookmarkStart w:id="466" w:name="_Toc30170"/>
      <w:bookmarkStart w:id="467" w:name="_Toc15270"/>
      <w:bookmarkStart w:id="468" w:name="_Toc6223"/>
      <w:bookmarkStart w:id="469" w:name="_Toc2401"/>
      <w:bookmarkStart w:id="470" w:name="_Toc27516"/>
      <w:bookmarkStart w:id="471" w:name="_Toc9815"/>
      <w:bookmarkStart w:id="472" w:name="_Toc20620"/>
      <w:bookmarkStart w:id="473" w:name="_Toc515647791"/>
      <w:bookmarkStart w:id="474" w:name="_Toc25475"/>
      <w:r>
        <w:rPr>
          <w:rFonts w:hint="eastAsia" w:ascii="宋体" w:hAnsi="宋体" w:eastAsia="宋体" w:cs="宋体"/>
          <w:color w:val="auto"/>
          <w:u w:val="none" w:color="auto"/>
          <w:shd w:val="clear" w:color="auto" w:fill="auto"/>
        </w:rPr>
        <w:t>29.</w:t>
      </w:r>
      <w:bookmarkEnd w:id="460"/>
      <w:r>
        <w:rPr>
          <w:rFonts w:hint="eastAsia" w:ascii="宋体" w:hAnsi="宋体" w:eastAsia="宋体" w:cs="宋体"/>
          <w:color w:val="auto"/>
          <w:u w:val="none" w:color="auto"/>
          <w:shd w:val="clear" w:color="auto" w:fill="auto"/>
        </w:rPr>
        <w:t>成交通知书和成交结果通知书</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29.1</w:t>
      </w:r>
      <w:r>
        <w:rPr>
          <w:rFonts w:hint="eastAsia" w:ascii="宋体" w:hAnsi="宋体" w:eastAsia="宋体" w:cs="宋体"/>
          <w:color w:val="auto"/>
          <w:sz w:val="24"/>
          <w:u w:val="none" w:color="auto"/>
          <w:shd w:val="clear" w:color="auto" w:fill="auto"/>
        </w:rPr>
        <w:tab/>
      </w:r>
      <w:r>
        <w:rPr>
          <w:rFonts w:hint="eastAsia" w:ascii="宋体" w:hAnsi="宋体" w:eastAsia="宋体" w:cs="宋体"/>
          <w:color w:val="auto"/>
          <w:sz w:val="24"/>
          <w:u w:val="none" w:color="auto"/>
          <w:shd w:val="clear" w:color="auto" w:fill="auto"/>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29.2</w:t>
      </w:r>
      <w:r>
        <w:rPr>
          <w:rFonts w:hint="eastAsia" w:ascii="宋体" w:hAnsi="宋体" w:eastAsia="宋体" w:cs="宋体"/>
          <w:color w:val="auto"/>
          <w:sz w:val="24"/>
          <w:u w:val="none" w:color="auto"/>
          <w:shd w:val="clear" w:color="auto" w:fill="auto"/>
        </w:rPr>
        <w:tab/>
      </w:r>
      <w:r>
        <w:rPr>
          <w:rFonts w:hint="eastAsia" w:ascii="宋体" w:hAnsi="宋体" w:eastAsia="宋体" w:cs="宋体"/>
          <w:color w:val="auto"/>
          <w:sz w:val="24"/>
          <w:u w:val="none" w:color="auto"/>
          <w:shd w:val="clear" w:color="auto" w:fill="auto"/>
        </w:rPr>
        <w:t>成交通知书是合同的组成部分。</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29.3    成交结果通知书和成交通知书同时发出。成交结果通知书中将告知未通过资格审查的供应商未通过的原因；采用综合评分法评审的，还将告知未成交人本人的评审得分和排序。</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475" w:name="_Toc8040"/>
      <w:bookmarkStart w:id="476" w:name="_Toc19911"/>
      <w:bookmarkStart w:id="477" w:name="_Toc15063"/>
      <w:bookmarkStart w:id="478" w:name="_Toc22868"/>
      <w:bookmarkStart w:id="479" w:name="_Ref467307204"/>
      <w:bookmarkStart w:id="480" w:name="_Toc520356175"/>
      <w:bookmarkStart w:id="481" w:name="_Toc515647792"/>
      <w:bookmarkStart w:id="482" w:name="_Toc307"/>
      <w:bookmarkStart w:id="483" w:name="_Toc29762"/>
      <w:bookmarkStart w:id="484" w:name="_Toc20587"/>
      <w:bookmarkStart w:id="485" w:name="_Toc1076"/>
      <w:bookmarkStart w:id="486" w:name="_Toc19431"/>
      <w:bookmarkStart w:id="487" w:name="_Toc11296"/>
      <w:bookmarkStart w:id="488" w:name="_Ref467306978"/>
      <w:bookmarkStart w:id="489" w:name="_Ref467306377"/>
      <w:bookmarkStart w:id="490" w:name="_Ref467307062"/>
      <w:bookmarkStart w:id="491" w:name="_Toc7779"/>
      <w:bookmarkStart w:id="492" w:name="_Toc8912"/>
      <w:bookmarkStart w:id="493" w:name="_Toc790"/>
      <w:r>
        <w:rPr>
          <w:rFonts w:hint="eastAsia" w:ascii="宋体" w:hAnsi="宋体" w:eastAsia="宋体" w:cs="宋体"/>
          <w:color w:val="auto"/>
          <w:u w:val="none" w:color="auto"/>
          <w:shd w:val="clear" w:color="auto" w:fill="auto"/>
        </w:rPr>
        <w:t>30.签订合同</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30.1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成交人应当自发出成交通知书之日起30日内，与采购人签订合同。</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30.2</w:t>
      </w:r>
      <w:r>
        <w:rPr>
          <w:rFonts w:hint="eastAsia" w:ascii="宋体" w:hAnsi="宋体" w:eastAsia="宋体" w:cs="宋体"/>
          <w:color w:val="auto"/>
          <w:sz w:val="24"/>
          <w:shd w:val="clear" w:color="auto" w:fill="auto"/>
        </w:rPr>
        <w:tab/>
      </w:r>
      <w:bookmarkStart w:id="494" w:name="_Toc520356176"/>
      <w:bookmarkStart w:id="495" w:name="_Ref467307090"/>
      <w:bookmarkStart w:id="496" w:name="_Ref467306425"/>
      <w:r>
        <w:rPr>
          <w:rFonts w:hint="eastAsia" w:ascii="宋体" w:hAnsi="宋体" w:eastAsia="宋体" w:cs="宋体"/>
          <w:color w:val="auto"/>
          <w:sz w:val="24"/>
          <w:shd w:val="clear" w:color="auto" w:fill="auto"/>
        </w:rPr>
        <w:t>磋商文件、成交人的响应文件及其澄清文件等，均为签订合同的依据。</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30.4   当出现法规规定的成交无效或成交结果无效情形时，采购人可与排名下一位的成交候选人另行签订合同，或依法重新开展采购活动。</w:t>
      </w:r>
    </w:p>
    <w:p>
      <w:pPr>
        <w:pStyle w:val="6"/>
        <w:snapToGrid w:val="0"/>
        <w:spacing w:before="0" w:after="0" w:line="380" w:lineRule="exact"/>
        <w:textAlignment w:val="baseline"/>
        <w:rPr>
          <w:rFonts w:hint="eastAsia" w:ascii="宋体" w:hAnsi="宋体" w:eastAsia="宋体" w:cs="宋体"/>
          <w:color w:val="auto"/>
          <w:u w:val="none"/>
          <w:shd w:val="clear" w:color="auto" w:fill="auto"/>
        </w:rPr>
      </w:pPr>
      <w:bookmarkStart w:id="497" w:name="_Toc24808"/>
      <w:bookmarkStart w:id="498" w:name="_Toc32532"/>
      <w:bookmarkStart w:id="499" w:name="_Toc14080"/>
      <w:bookmarkStart w:id="500" w:name="_Toc14839"/>
      <w:bookmarkStart w:id="501" w:name="_Toc10911"/>
      <w:bookmarkStart w:id="502" w:name="_Toc26893"/>
      <w:bookmarkStart w:id="503" w:name="_Toc515647793"/>
      <w:bookmarkStart w:id="504" w:name="_Toc6921"/>
      <w:bookmarkStart w:id="505" w:name="_Toc22555"/>
      <w:bookmarkStart w:id="506" w:name="_Toc8271"/>
      <w:bookmarkStart w:id="507" w:name="_Toc15573"/>
      <w:bookmarkStart w:id="508" w:name="_Toc13579"/>
      <w:bookmarkStart w:id="509" w:name="_Toc5437"/>
      <w:bookmarkStart w:id="510" w:name="_Toc22126"/>
      <w:r>
        <w:rPr>
          <w:rFonts w:hint="eastAsia" w:ascii="宋体" w:hAnsi="宋体" w:eastAsia="宋体" w:cs="宋体"/>
          <w:color w:val="auto"/>
          <w:u w:val="none"/>
          <w:shd w:val="clear" w:color="auto" w:fill="auto"/>
        </w:rPr>
        <w:t>31.履约保证金</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31.1</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31.2</w:t>
      </w:r>
      <w:r>
        <w:rPr>
          <w:rFonts w:hint="eastAsia" w:ascii="宋体" w:hAnsi="宋体" w:eastAsia="宋体" w:cs="宋体"/>
          <w:color w:val="auto"/>
          <w:sz w:val="24"/>
          <w:shd w:val="clear" w:color="auto" w:fill="auto"/>
        </w:rPr>
        <w:tab/>
      </w:r>
      <w:r>
        <w:rPr>
          <w:rFonts w:hint="eastAsia" w:ascii="宋体" w:hAnsi="宋体" w:eastAsia="宋体" w:cs="宋体"/>
          <w:color w:val="auto"/>
          <w:sz w:val="24"/>
          <w:shd w:val="clear" w:color="auto" w:fill="auto"/>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hint="eastAsia" w:ascii="宋体" w:hAnsi="宋体" w:eastAsia="宋体" w:cs="宋体"/>
          <w:bCs/>
          <w:color w:val="auto"/>
          <w:sz w:val="24"/>
          <w:u w:val="single" w:color="000000"/>
          <w:shd w:val="clear" w:color="auto" w:fill="auto"/>
        </w:rPr>
      </w:pPr>
      <w:bookmarkStart w:id="511" w:name="_Toc864"/>
      <w:bookmarkStart w:id="512" w:name="_Toc32107"/>
      <w:bookmarkStart w:id="513" w:name="_Toc13783"/>
      <w:bookmarkStart w:id="514" w:name="_Toc14350"/>
      <w:bookmarkStart w:id="515" w:name="_Toc7088"/>
      <w:bookmarkStart w:id="516" w:name="_Toc5352"/>
      <w:bookmarkStart w:id="517" w:name="_Toc1888"/>
      <w:r>
        <w:rPr>
          <w:rFonts w:hint="eastAsia" w:ascii="宋体" w:hAnsi="宋体" w:eastAsia="宋体" w:cs="宋体"/>
          <w:color w:val="auto"/>
          <w:sz w:val="24"/>
          <w:shd w:val="clear" w:color="auto" w:fill="auto"/>
        </w:rPr>
        <w:t>31.3   如果成交人没有按照上述履约保证金的规定执行，将视为放弃成交资格，成交人的磋商保证金将不予退还。在此情况下，采购人可确定下一候选</w:t>
      </w:r>
      <w:r>
        <w:rPr>
          <w:rFonts w:hint="eastAsia" w:ascii="宋体" w:hAnsi="宋体" w:eastAsia="宋体" w:cs="宋体"/>
          <w:bCs/>
          <w:color w:val="auto"/>
          <w:sz w:val="24"/>
          <w:shd w:val="clear" w:color="auto" w:fill="auto"/>
        </w:rPr>
        <w:t>人为成交人，也可以重新开展采购活动。</w:t>
      </w:r>
      <w:bookmarkEnd w:id="511"/>
      <w:bookmarkEnd w:id="512"/>
      <w:bookmarkEnd w:id="513"/>
      <w:bookmarkEnd w:id="514"/>
      <w:bookmarkEnd w:id="515"/>
      <w:bookmarkEnd w:id="516"/>
      <w:bookmarkEnd w:id="517"/>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518" w:name="_Toc11939"/>
      <w:bookmarkStart w:id="519" w:name="_Toc31266"/>
      <w:bookmarkStart w:id="520" w:name="_Toc12971"/>
      <w:bookmarkStart w:id="521" w:name="_Toc23392"/>
      <w:bookmarkStart w:id="522" w:name="_Toc16384"/>
      <w:bookmarkStart w:id="523" w:name="_Toc26452"/>
      <w:bookmarkStart w:id="524" w:name="_Toc10734"/>
      <w:bookmarkStart w:id="525" w:name="_Toc1119"/>
      <w:bookmarkStart w:id="526" w:name="_Toc29408"/>
      <w:bookmarkStart w:id="527" w:name="_Toc31215"/>
      <w:bookmarkStart w:id="528" w:name="_Toc515647794"/>
      <w:bookmarkStart w:id="529" w:name="_Toc29652"/>
      <w:bookmarkStart w:id="530" w:name="_Toc27934"/>
      <w:bookmarkStart w:id="531" w:name="_Toc3090"/>
      <w:r>
        <w:rPr>
          <w:rFonts w:hint="eastAsia" w:ascii="宋体" w:hAnsi="宋体" w:eastAsia="宋体" w:cs="宋体"/>
          <w:color w:val="auto"/>
          <w:u w:val="none" w:color="auto"/>
          <w:shd w:val="clear" w:color="auto" w:fill="auto"/>
        </w:rPr>
        <w:t>32.成交服务费</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snapToGrid w:val="0"/>
        <w:spacing w:line="380" w:lineRule="exact"/>
        <w:jc w:val="left"/>
        <w:textAlignment w:val="baseline"/>
        <w:rPr>
          <w:rFonts w:hint="eastAsia" w:ascii="宋体" w:hAnsi="宋体" w:eastAsia="宋体" w:cs="宋体"/>
          <w:bCs/>
          <w:color w:val="auto"/>
          <w:sz w:val="24"/>
          <w:u w:val="none" w:color="auto"/>
          <w:shd w:val="clear" w:color="auto" w:fill="auto"/>
        </w:rPr>
      </w:pPr>
      <w:r>
        <w:rPr>
          <w:rFonts w:hint="eastAsia" w:ascii="宋体" w:hAnsi="宋体" w:eastAsia="宋体" w:cs="宋体"/>
          <w:bCs/>
          <w:color w:val="auto"/>
          <w:sz w:val="24"/>
          <w:u w:val="none" w:color="auto"/>
          <w:shd w:val="clear" w:color="auto" w:fill="auto"/>
        </w:rPr>
        <w:t xml:space="preserve">   </w:t>
      </w:r>
      <w:bookmarkStart w:id="532" w:name="_Toc3808"/>
      <w:bookmarkStart w:id="533" w:name="_Toc6649"/>
      <w:bookmarkStart w:id="534" w:name="_Toc30285"/>
      <w:bookmarkStart w:id="535" w:name="_Toc23886"/>
      <w:bookmarkStart w:id="536" w:name="_Toc31147"/>
      <w:bookmarkStart w:id="537" w:name="_Toc2958"/>
      <w:bookmarkStart w:id="538" w:name="_Toc30095"/>
      <w:r>
        <w:rPr>
          <w:rFonts w:hint="eastAsia" w:ascii="宋体" w:hAnsi="宋体" w:eastAsia="宋体" w:cs="宋体"/>
          <w:bCs/>
          <w:color w:val="auto"/>
          <w:sz w:val="24"/>
          <w:u w:val="none" w:color="auto"/>
          <w:shd w:val="clear" w:color="auto" w:fill="auto"/>
        </w:rPr>
        <w:t xml:space="preserve">   成交人须按照磋商须知资料表规定，向采购代理机构支付成交服务费。</w:t>
      </w:r>
      <w:bookmarkEnd w:id="532"/>
      <w:bookmarkEnd w:id="533"/>
      <w:bookmarkEnd w:id="534"/>
      <w:bookmarkEnd w:id="535"/>
      <w:bookmarkEnd w:id="536"/>
      <w:bookmarkEnd w:id="537"/>
      <w:bookmarkEnd w:id="538"/>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539" w:name="_Toc13065"/>
      <w:bookmarkStart w:id="540" w:name="_Toc6923"/>
      <w:bookmarkStart w:id="541" w:name="_Toc7049"/>
      <w:bookmarkStart w:id="542" w:name="_Toc31549"/>
      <w:bookmarkStart w:id="543" w:name="_Toc5403"/>
      <w:bookmarkStart w:id="544" w:name="_Toc1343"/>
      <w:bookmarkStart w:id="545" w:name="_Toc25253"/>
      <w:bookmarkStart w:id="546" w:name="_Toc15699"/>
      <w:bookmarkStart w:id="547" w:name="_Toc515647795"/>
      <w:bookmarkStart w:id="548" w:name="_Toc26134"/>
      <w:bookmarkStart w:id="549" w:name="_Toc18898"/>
      <w:bookmarkStart w:id="550" w:name="_Toc32437"/>
      <w:bookmarkStart w:id="551" w:name="_Toc24064"/>
      <w:bookmarkStart w:id="552" w:name="_Toc28128"/>
      <w:r>
        <w:rPr>
          <w:rFonts w:hint="eastAsia" w:ascii="宋体" w:hAnsi="宋体" w:eastAsia="宋体" w:cs="宋体"/>
          <w:color w:val="auto"/>
          <w:u w:val="none" w:color="auto"/>
          <w:shd w:val="clear" w:color="auto" w:fill="auto"/>
        </w:rPr>
        <w:t>33.政府采购信用担保</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33.1   本项目是否属于信用担保试点范围见供应商须知资料表。</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33.2.1 供应商递交的磋商担保函和履约担保函应符合本磋商文件的规定。</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33.2.2 成交人可以采取融资担保的形式为政府采购项目履约进行融资。</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33.2.3 合格的政府采购专业信用担保机构名单见供应商须知资料表。</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553" w:name="_Toc27619"/>
      <w:bookmarkStart w:id="554" w:name="_Toc24892"/>
      <w:bookmarkStart w:id="555" w:name="_Toc9673"/>
      <w:bookmarkStart w:id="556" w:name="_Toc24726"/>
      <w:bookmarkStart w:id="557" w:name="_Toc9559"/>
      <w:bookmarkStart w:id="558" w:name="_Toc7616"/>
      <w:bookmarkStart w:id="559" w:name="_Toc4128"/>
      <w:bookmarkStart w:id="560" w:name="_Toc15842"/>
      <w:bookmarkStart w:id="561" w:name="_Toc28874"/>
      <w:bookmarkStart w:id="562" w:name="_Toc2133"/>
      <w:bookmarkStart w:id="563" w:name="_Toc23999"/>
      <w:bookmarkStart w:id="564" w:name="_Toc16394"/>
      <w:bookmarkStart w:id="565" w:name="_Toc26887"/>
      <w:bookmarkStart w:id="566" w:name="_Toc515647796"/>
      <w:r>
        <w:rPr>
          <w:rFonts w:hint="eastAsia" w:ascii="宋体" w:hAnsi="宋体" w:eastAsia="宋体" w:cs="宋体"/>
          <w:color w:val="auto"/>
          <w:u w:val="none" w:color="auto"/>
          <w:shd w:val="clear" w:color="auto" w:fill="auto"/>
        </w:rPr>
        <w:t>34.廉洁自律规定</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shd w:val="clear" w:color="auto" w:fill="auto"/>
        </w:rPr>
        <w:t>34.3   为强化采购代理机构内部监督机制，供应商可按</w:t>
      </w:r>
      <w:r>
        <w:rPr>
          <w:rFonts w:hint="eastAsia" w:ascii="宋体" w:hAnsi="宋体" w:eastAsia="宋体" w:cs="宋体"/>
          <w:color w:val="auto"/>
          <w:sz w:val="24"/>
          <w:u w:val="single" w:color="000000"/>
          <w:shd w:val="clear" w:color="auto" w:fill="auto"/>
        </w:rPr>
        <w:t>供应商须知资料表中的</w:t>
      </w:r>
      <w:r>
        <w:rPr>
          <w:rFonts w:hint="eastAsia" w:ascii="宋体" w:hAnsi="宋体" w:eastAsia="宋体" w:cs="宋体"/>
          <w:color w:val="auto"/>
          <w:sz w:val="24"/>
          <w:u w:val="none" w:color="auto"/>
          <w:shd w:val="clear" w:color="auto" w:fill="auto"/>
        </w:rPr>
        <w:t>监督电话和邮箱，反映采购代理机构的廉洁自律等问题。</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567" w:name="_Toc22851"/>
      <w:bookmarkStart w:id="568" w:name="_Toc15647"/>
      <w:bookmarkStart w:id="569" w:name="_Toc515647797"/>
      <w:bookmarkStart w:id="570" w:name="_Toc11586"/>
      <w:bookmarkStart w:id="571" w:name="_Toc24873"/>
      <w:bookmarkStart w:id="572" w:name="_Toc8702"/>
      <w:bookmarkStart w:id="573" w:name="_Toc3386"/>
      <w:bookmarkStart w:id="574" w:name="_Toc25440"/>
      <w:bookmarkStart w:id="575" w:name="_Toc20804"/>
      <w:bookmarkStart w:id="576" w:name="_Toc1011"/>
      <w:bookmarkStart w:id="577" w:name="_Toc14264"/>
      <w:bookmarkStart w:id="578" w:name="_Toc14238"/>
      <w:bookmarkStart w:id="579" w:name="_Toc25480"/>
      <w:bookmarkStart w:id="580" w:name="_Toc17910"/>
      <w:r>
        <w:rPr>
          <w:rFonts w:hint="eastAsia" w:ascii="宋体" w:hAnsi="宋体" w:eastAsia="宋体" w:cs="宋体"/>
          <w:color w:val="auto"/>
          <w:u w:val="none" w:color="auto"/>
          <w:shd w:val="clear" w:color="auto" w:fill="auto"/>
        </w:rPr>
        <w:t>35.人员回避</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snapToGrid w:val="0"/>
        <w:spacing w:line="380" w:lineRule="exact"/>
        <w:ind w:left="900" w:hanging="900" w:hangingChars="375"/>
        <w:textAlignment w:val="baseline"/>
        <w:rPr>
          <w:rFonts w:hint="eastAsia" w:ascii="宋体" w:hAnsi="宋体" w:eastAsia="宋体" w:cs="宋体"/>
          <w:color w:val="auto"/>
          <w:sz w:val="24"/>
          <w:u w:val="none" w:color="auto"/>
          <w:shd w:val="clear" w:color="auto" w:fill="auto"/>
        </w:rPr>
      </w:pPr>
      <w:r>
        <w:rPr>
          <w:rFonts w:hint="eastAsia" w:ascii="宋体" w:hAnsi="宋体" w:eastAsia="宋体" w:cs="宋体"/>
          <w:color w:val="auto"/>
          <w:sz w:val="24"/>
          <w:u w:val="none" w:color="auto"/>
          <w:shd w:val="clear" w:color="auto" w:fill="auto"/>
        </w:rPr>
        <w:t xml:space="preserve">       供应商认为采购人员及其相关人员有法律法规所列与其他供应商有利害关系的，可以向采购人或采购代理机构书面提出回避申请，并说明理由。</w:t>
      </w:r>
    </w:p>
    <w:p>
      <w:pPr>
        <w:pStyle w:val="6"/>
        <w:snapToGrid w:val="0"/>
        <w:spacing w:before="0" w:after="0" w:line="380" w:lineRule="exact"/>
        <w:textAlignment w:val="baseline"/>
        <w:rPr>
          <w:rFonts w:hint="eastAsia" w:ascii="宋体" w:hAnsi="宋体" w:eastAsia="宋体" w:cs="宋体"/>
          <w:color w:val="auto"/>
          <w:u w:val="none" w:color="auto"/>
          <w:shd w:val="clear" w:color="auto" w:fill="auto"/>
        </w:rPr>
      </w:pPr>
      <w:bookmarkStart w:id="581" w:name="_Toc3703"/>
      <w:bookmarkStart w:id="582" w:name="_Toc1148"/>
      <w:bookmarkStart w:id="583" w:name="_Toc25962"/>
      <w:bookmarkStart w:id="584" w:name="_Toc22024"/>
      <w:bookmarkStart w:id="585" w:name="_Toc24595"/>
      <w:bookmarkStart w:id="586" w:name="_Toc15825"/>
      <w:bookmarkStart w:id="587" w:name="_Toc30280"/>
      <w:bookmarkStart w:id="588" w:name="_Toc23729"/>
      <w:bookmarkStart w:id="589" w:name="_Toc31508"/>
      <w:bookmarkStart w:id="590" w:name="_Toc515647798"/>
      <w:bookmarkStart w:id="591" w:name="_Toc14325"/>
      <w:bookmarkStart w:id="592" w:name="_Toc9031"/>
      <w:bookmarkStart w:id="593" w:name="_Toc24801"/>
      <w:bookmarkStart w:id="594" w:name="_Toc11115"/>
      <w:r>
        <w:rPr>
          <w:rFonts w:hint="eastAsia" w:ascii="宋体" w:hAnsi="宋体" w:eastAsia="宋体" w:cs="宋体"/>
          <w:color w:val="auto"/>
          <w:u w:val="none" w:color="auto"/>
          <w:shd w:val="clear" w:color="auto" w:fill="auto"/>
        </w:rPr>
        <w:t>36.质疑与接收</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snapToGrid w:val="0"/>
        <w:spacing w:line="380" w:lineRule="exact"/>
        <w:ind w:left="708" w:hanging="708" w:hangingChars="29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36.3  采购代理机构质疑函接收部门、联系电话和通讯地址, 见</w:t>
      </w:r>
      <w:r>
        <w:rPr>
          <w:rFonts w:hint="eastAsia" w:ascii="宋体" w:hAnsi="宋体" w:eastAsia="宋体" w:cs="宋体"/>
          <w:color w:val="auto"/>
          <w:sz w:val="24"/>
          <w:u w:val="single" w:color="000000"/>
          <w:shd w:val="clear" w:color="auto" w:fill="auto"/>
        </w:rPr>
        <w:t>供应商须知资料表。</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35.4   质疑的提出</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（二）对采购过程提出质疑的，为各采购程序环节结束之日；</w:t>
      </w:r>
    </w:p>
    <w:p>
      <w:pPr>
        <w:snapToGrid w:val="0"/>
        <w:spacing w:line="380" w:lineRule="exact"/>
        <w:ind w:firstLine="720" w:firstLineChars="3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（三）对成交结果提出质疑的，为成交结果公告期限届满之日。</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35.9   提出质疑应当符合下列条件：</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（一）质疑主体应当符合有关规定；</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（二）在质疑法定期限内提出；</w:t>
      </w:r>
    </w:p>
    <w:p>
      <w:pPr>
        <w:snapToGrid w:val="0"/>
        <w:spacing w:line="380" w:lineRule="exact"/>
        <w:ind w:firstLine="720" w:firstLineChars="3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（四）政府采购法律、法规、规章规定的其他条件。</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35.12  质疑人提出质疑时应当提交质疑函。质疑函包括下列内容：</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（一）提出质疑的质疑人的名称、地址、邮编、联系人及联系电话等；</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（二）质疑项目的名称、编号；</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（三）质疑事项；</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（四）事实依据和证明材料；</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（五）法律依据；</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（六）提出质疑的日期。</w:t>
      </w:r>
    </w:p>
    <w:p>
      <w:pPr>
        <w:snapToGrid w:val="0"/>
        <w:spacing w:line="380" w:lineRule="exact"/>
        <w:ind w:left="958" w:leftChars="456" w:firstLine="60" w:firstLineChars="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35.14  质疑的审查和受理</w:t>
      </w:r>
    </w:p>
    <w:p>
      <w:pPr>
        <w:snapToGrid w:val="0"/>
        <w:spacing w:line="380" w:lineRule="exact"/>
        <w:ind w:left="958" w:leftChars="456"/>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35.15  对不符合质疑受理条件的，分别按照下列不同情形予以处理：</w:t>
      </w:r>
    </w:p>
    <w:p>
      <w:pPr>
        <w:snapToGrid w:val="0"/>
        <w:spacing w:line="380" w:lineRule="exact"/>
        <w:ind w:left="1138" w:leftChars="456" w:hanging="180" w:hangingChars="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（二）质疑主体不符合有关规定的，告知质疑人不予受理；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（三）超过质疑法定期限提出质疑的，告知质疑人不予受理；</w:t>
      </w:r>
    </w:p>
    <w:p>
      <w:pPr>
        <w:snapToGrid w:val="0"/>
        <w:spacing w:line="380" w:lineRule="exact"/>
        <w:ind w:left="958" w:leftChars="342" w:hanging="240" w:hangingChars="1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（四）对不属于可以提出质疑的政府采购事项提出质疑的，告知质疑人不予受理；</w:t>
      </w:r>
    </w:p>
    <w:p>
      <w:pPr>
        <w:snapToGrid w:val="0"/>
        <w:spacing w:line="380" w:lineRule="exact"/>
        <w:ind w:left="718" w:leftChars="342"/>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（六）质疑不符合其他条件的，告知质疑人不予受理。</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35.16  质疑的处理和答复</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35.19  对评审过程、成交结果提出质疑的，采购方可以组织原评审委员会协助答复质疑。</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35.20  质疑处理过程中，质疑人书面申请撤回质疑的，将终止质疑处理程序。</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35.23  采购方将在正式受理质疑后7个工作日内作出答复。</w:t>
      </w:r>
    </w:p>
    <w:p>
      <w:pPr>
        <w:pStyle w:val="50"/>
        <w:snapToGrid w:val="0"/>
        <w:spacing w:line="380" w:lineRule="exact"/>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35.24  质疑答复应当包括下列内容：</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（一）质疑人的姓名或者名称；</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（二）收到质疑函的日期、质疑项目名称及编号；</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（三）质疑事项、质疑答复的具体内容、事实依据和法律依据；</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（四）告知质疑供应商依法投诉的权利；</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（五）质疑答复人名称；</w:t>
      </w:r>
    </w:p>
    <w:p>
      <w:pPr>
        <w:pStyle w:val="50"/>
        <w:snapToGrid w:val="0"/>
        <w:spacing w:line="380" w:lineRule="exact"/>
        <w:ind w:firstLine="720" w:firstLineChars="300"/>
        <w:jc w:val="both"/>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（六）答复质疑的日期。</w:t>
      </w:r>
    </w:p>
    <w:p>
      <w:pPr>
        <w:snapToGrid w:val="0"/>
        <w:spacing w:line="380" w:lineRule="exact"/>
        <w:jc w:val="center"/>
        <w:textAlignment w:val="baseline"/>
        <w:rPr>
          <w:rFonts w:hint="eastAsia" w:ascii="宋体" w:hAnsi="宋体" w:eastAsia="宋体" w:cs="宋体"/>
          <w:b/>
          <w:bCs/>
          <w:color w:val="auto"/>
          <w:sz w:val="24"/>
          <w:shd w:val="clear" w:color="auto" w:fill="auto"/>
        </w:rPr>
      </w:pPr>
    </w:p>
    <w:p>
      <w:pPr>
        <w:snapToGrid w:val="0"/>
        <w:spacing w:line="380" w:lineRule="exact"/>
        <w:jc w:val="center"/>
        <w:textAlignment w:val="baseline"/>
        <w:rPr>
          <w:rFonts w:hint="eastAsia" w:ascii="宋体" w:hAnsi="宋体" w:eastAsia="宋体" w:cs="宋体"/>
          <w:b/>
          <w:bCs/>
          <w:color w:val="auto"/>
          <w:sz w:val="24"/>
          <w:shd w:val="clear" w:color="auto" w:fill="auto"/>
        </w:rPr>
      </w:pPr>
      <w:bookmarkStart w:id="595" w:name="_Toc14949"/>
      <w:bookmarkStart w:id="596" w:name="_Toc24577"/>
      <w:r>
        <w:rPr>
          <w:rFonts w:hint="eastAsia" w:ascii="宋体" w:hAnsi="宋体" w:eastAsia="宋体" w:cs="宋体"/>
          <w:b/>
          <w:bCs/>
          <w:color w:val="auto"/>
          <w:sz w:val="24"/>
          <w:shd w:val="clear" w:color="auto" w:fill="auto"/>
        </w:rPr>
        <w:t>质疑函范本</w:t>
      </w:r>
      <w:bookmarkEnd w:id="595"/>
      <w:bookmarkEnd w:id="596"/>
    </w:p>
    <w:p>
      <w:pPr>
        <w:snapToGrid w:val="0"/>
        <w:spacing w:line="380" w:lineRule="exact"/>
        <w:textAlignment w:val="baseline"/>
        <w:rPr>
          <w:rFonts w:hint="eastAsia" w:ascii="宋体" w:hAnsi="宋体" w:eastAsia="宋体" w:cs="宋体"/>
          <w:bCs/>
          <w:color w:val="auto"/>
          <w:sz w:val="24"/>
          <w:shd w:val="clear" w:color="auto" w:fill="auto"/>
        </w:rPr>
      </w:pPr>
      <w:r>
        <w:rPr>
          <w:rFonts w:hint="eastAsia" w:ascii="宋体" w:hAnsi="宋体" w:eastAsia="宋体" w:cs="宋体"/>
          <w:bCs/>
          <w:color w:val="auto"/>
          <w:sz w:val="24"/>
          <w:shd w:val="clear" w:color="auto" w:fill="auto"/>
        </w:rPr>
        <w:t>一、质疑供应商基本信息</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质疑供应商：</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地址：</w:t>
      </w:r>
      <w:r>
        <w:rPr>
          <w:rFonts w:hint="eastAsia" w:ascii="宋体" w:hAnsi="宋体" w:eastAsia="宋体" w:cs="宋体"/>
          <w:color w:val="auto"/>
          <w:sz w:val="24"/>
          <w:u w:val="dotted" w:color="000000"/>
          <w:shd w:val="clear" w:color="auto" w:fill="auto"/>
        </w:rPr>
        <w:t xml:space="preserve">                          </w:t>
      </w:r>
      <w:r>
        <w:rPr>
          <w:rFonts w:hint="eastAsia" w:ascii="宋体" w:hAnsi="宋体" w:eastAsia="宋体" w:cs="宋体"/>
          <w:color w:val="auto"/>
          <w:sz w:val="24"/>
          <w:shd w:val="clear" w:color="auto" w:fill="auto"/>
        </w:rPr>
        <w:t>邮编：</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联系人：</w:t>
      </w:r>
      <w:r>
        <w:rPr>
          <w:rFonts w:hint="eastAsia" w:ascii="宋体" w:hAnsi="宋体" w:eastAsia="宋体" w:cs="宋体"/>
          <w:color w:val="auto"/>
          <w:sz w:val="24"/>
          <w:u w:val="dotted" w:color="000000"/>
          <w:shd w:val="clear" w:color="auto" w:fill="auto"/>
        </w:rPr>
        <w:t xml:space="preserve">                      </w:t>
      </w:r>
      <w:r>
        <w:rPr>
          <w:rFonts w:hint="eastAsia" w:ascii="宋体" w:hAnsi="宋体" w:eastAsia="宋体" w:cs="宋体"/>
          <w:color w:val="auto"/>
          <w:sz w:val="24"/>
          <w:shd w:val="clear" w:color="auto" w:fill="auto"/>
        </w:rPr>
        <w:t>联系电话：</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授权代表：</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联系电话：</w:t>
      </w:r>
      <w:r>
        <w:rPr>
          <w:rFonts w:hint="eastAsia" w:ascii="宋体" w:hAnsi="宋体" w:eastAsia="宋体" w:cs="宋体"/>
          <w:color w:val="auto"/>
          <w:sz w:val="24"/>
          <w:u w:val="dotted" w:color="000000"/>
          <w:shd w:val="clear" w:color="auto" w:fill="auto"/>
        </w:rPr>
        <w:t xml:space="preserve">                                           </w:t>
      </w:r>
      <w:r>
        <w:rPr>
          <w:rFonts w:hint="eastAsia" w:ascii="宋体" w:hAnsi="宋体" w:eastAsia="宋体" w:cs="宋体"/>
          <w:color w:val="auto"/>
          <w:sz w:val="24"/>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地址： </w:t>
      </w:r>
      <w:r>
        <w:rPr>
          <w:rFonts w:hint="eastAsia" w:ascii="宋体" w:hAnsi="宋体" w:eastAsia="宋体" w:cs="宋体"/>
          <w:color w:val="auto"/>
          <w:sz w:val="24"/>
          <w:u w:val="dotted" w:color="000000"/>
          <w:shd w:val="clear" w:color="auto" w:fill="auto"/>
        </w:rPr>
        <w:t xml:space="preserve">                        </w:t>
      </w:r>
      <w:r>
        <w:rPr>
          <w:rFonts w:hint="eastAsia" w:ascii="宋体" w:hAnsi="宋体" w:eastAsia="宋体" w:cs="宋体"/>
          <w:color w:val="auto"/>
          <w:sz w:val="24"/>
          <w:shd w:val="clear" w:color="auto" w:fill="auto"/>
        </w:rPr>
        <w:t>邮编：</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bCs/>
          <w:color w:val="auto"/>
          <w:sz w:val="24"/>
          <w:shd w:val="clear" w:color="auto" w:fill="auto"/>
        </w:rPr>
      </w:pPr>
      <w:r>
        <w:rPr>
          <w:rFonts w:hint="eastAsia" w:ascii="宋体" w:hAnsi="宋体" w:eastAsia="宋体" w:cs="宋体"/>
          <w:bCs/>
          <w:color w:val="auto"/>
          <w:sz w:val="24"/>
          <w:shd w:val="clear" w:color="auto" w:fill="auto"/>
        </w:rPr>
        <w:t>二、质疑项目基本情况</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质疑项目的名称：</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质疑项目的编号：</w:t>
      </w:r>
      <w:r>
        <w:rPr>
          <w:rFonts w:hint="eastAsia" w:ascii="宋体" w:hAnsi="宋体" w:eastAsia="宋体" w:cs="宋体"/>
          <w:color w:val="auto"/>
          <w:sz w:val="24"/>
          <w:u w:val="dotted" w:color="000000"/>
          <w:shd w:val="clear" w:color="auto" w:fill="auto"/>
        </w:rPr>
        <w:t xml:space="preserve">               </w:t>
      </w:r>
      <w:r>
        <w:rPr>
          <w:rFonts w:hint="eastAsia" w:ascii="宋体" w:hAnsi="宋体" w:eastAsia="宋体" w:cs="宋体"/>
          <w:color w:val="auto"/>
          <w:sz w:val="24"/>
          <w:shd w:val="clear" w:color="auto" w:fill="auto"/>
        </w:rPr>
        <w:t>包号：</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采购人名称：</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采购文件获取日期：</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bCs/>
          <w:color w:val="auto"/>
          <w:sz w:val="24"/>
          <w:shd w:val="clear" w:color="auto" w:fill="auto"/>
        </w:rPr>
      </w:pPr>
      <w:r>
        <w:rPr>
          <w:rFonts w:hint="eastAsia" w:ascii="宋体" w:hAnsi="宋体" w:eastAsia="宋体" w:cs="宋体"/>
          <w:bCs/>
          <w:color w:val="auto"/>
          <w:sz w:val="24"/>
          <w:shd w:val="clear" w:color="auto" w:fill="auto"/>
        </w:rPr>
        <w:t>三、质疑事项具体内容</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质疑事项1：</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事实依据：</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法律依据：</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质疑事项2</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w:t>
      </w:r>
    </w:p>
    <w:p>
      <w:pPr>
        <w:snapToGrid w:val="0"/>
        <w:spacing w:line="380" w:lineRule="exact"/>
        <w:textAlignment w:val="baseline"/>
        <w:rPr>
          <w:rFonts w:hint="eastAsia" w:ascii="宋体" w:hAnsi="宋体" w:eastAsia="宋体" w:cs="宋体"/>
          <w:bCs/>
          <w:color w:val="auto"/>
          <w:sz w:val="24"/>
          <w:shd w:val="clear" w:color="auto" w:fill="auto"/>
        </w:rPr>
      </w:pPr>
      <w:r>
        <w:rPr>
          <w:rFonts w:hint="eastAsia" w:ascii="宋体" w:hAnsi="宋体" w:eastAsia="宋体" w:cs="宋体"/>
          <w:bCs/>
          <w:color w:val="auto"/>
          <w:sz w:val="24"/>
          <w:shd w:val="clear" w:color="auto" w:fill="auto"/>
        </w:rPr>
        <w:t>四、与质疑事项相关的质疑请求</w:t>
      </w:r>
    </w:p>
    <w:p>
      <w:pPr>
        <w:snapToGrid w:val="0"/>
        <w:spacing w:line="380" w:lineRule="exact"/>
        <w:textAlignment w:val="baseline"/>
        <w:rPr>
          <w:rFonts w:hint="eastAsia" w:ascii="宋体" w:hAnsi="宋体" w:eastAsia="宋体" w:cs="宋体"/>
          <w:color w:val="auto"/>
          <w:sz w:val="24"/>
          <w:u w:val="dotted" w:color="000000"/>
          <w:shd w:val="clear" w:color="auto" w:fill="auto"/>
        </w:rPr>
      </w:pPr>
      <w:r>
        <w:rPr>
          <w:rFonts w:hint="eastAsia" w:ascii="宋体" w:hAnsi="宋体" w:eastAsia="宋体" w:cs="宋体"/>
          <w:color w:val="auto"/>
          <w:sz w:val="24"/>
          <w:shd w:val="clear" w:color="auto" w:fill="auto"/>
        </w:rPr>
        <w:t>请求：</w:t>
      </w:r>
      <w:r>
        <w:rPr>
          <w:rFonts w:hint="eastAsia" w:ascii="宋体" w:hAnsi="宋体" w:eastAsia="宋体" w:cs="宋体"/>
          <w:color w:val="auto"/>
          <w:sz w:val="24"/>
          <w:u w:val="dotted" w:color="000000"/>
          <w:shd w:val="clear" w:color="auto" w:fill="auto"/>
        </w:rPr>
        <w:t xml:space="preserve">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签字(签章)：                   公章：                      </w:t>
      </w:r>
    </w:p>
    <w:p>
      <w:pPr>
        <w:snapToGrid w:val="0"/>
        <w:spacing w:line="38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日期：    </w:t>
      </w:r>
    </w:p>
    <w:p>
      <w:pPr>
        <w:snapToGrid w:val="0"/>
        <w:spacing w:line="380" w:lineRule="exact"/>
        <w:textAlignment w:val="baseline"/>
        <w:rPr>
          <w:rFonts w:hint="eastAsia" w:ascii="宋体" w:hAnsi="宋体" w:eastAsia="宋体" w:cs="宋体"/>
          <w:b/>
          <w:color w:val="auto"/>
          <w:sz w:val="24"/>
          <w:shd w:val="clear" w:color="auto" w:fill="auto"/>
        </w:rPr>
      </w:pPr>
    </w:p>
    <w:p>
      <w:pPr>
        <w:snapToGrid w:val="0"/>
        <w:spacing w:line="380" w:lineRule="exact"/>
        <w:textAlignment w:val="baseline"/>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质疑函制作说明：</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1.供应商提出质疑时，应提交质疑函和必要的证明材料。</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2.质疑供应商若委托代理人进行质疑的，质疑函应按要求列明“授权代表”的有关内容，并在附件中提交由质疑</w:t>
      </w:r>
      <w:r>
        <w:rPr>
          <w:rFonts w:hint="eastAsia" w:ascii="宋体" w:hAnsi="宋体" w:eastAsia="宋体" w:cs="宋体"/>
          <w:color w:val="auto"/>
          <w:kern w:val="0"/>
          <w:sz w:val="24"/>
          <w:shd w:val="clear" w:color="auto" w:fill="auto"/>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3.质疑供应商若对项目的某一分包进行质疑，质疑函中应列明具体分包号。</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5.质疑函的质疑请求应与质疑事项相关。</w:t>
      </w:r>
    </w:p>
    <w:p>
      <w:pPr>
        <w:widowControl/>
        <w:snapToGrid w:val="0"/>
        <w:spacing w:line="38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6.质疑供应商为自然人的，质疑函应由本人签字；质疑供应商为法人或者其他组织的，质疑函应由法定代表人、主要负责人，或者其授权代表签字或者盖章，并加盖公章。</w:t>
      </w:r>
    </w:p>
    <w:p>
      <w:pPr>
        <w:pStyle w:val="5"/>
        <w:rPr>
          <w:rFonts w:hint="eastAsia" w:ascii="宋体" w:hAnsi="宋体" w:eastAsia="宋体" w:cs="宋体"/>
          <w:color w:val="auto"/>
          <w:shd w:val="clear" w:color="auto" w:fill="auto"/>
        </w:rPr>
      </w:pPr>
    </w:p>
    <w:p>
      <w:pPr>
        <w:rPr>
          <w:rFonts w:hint="eastAsia" w:ascii="宋体" w:hAnsi="宋体" w:eastAsia="宋体" w:cs="宋体"/>
          <w:color w:val="auto"/>
          <w:sz w:val="24"/>
          <w:shd w:val="clear" w:color="auto" w:fill="auto"/>
        </w:rPr>
      </w:pPr>
    </w:p>
    <w:p>
      <w:pPr>
        <w:pStyle w:val="5"/>
        <w:rPr>
          <w:rFonts w:hint="eastAsia" w:ascii="宋体" w:hAnsi="宋体" w:eastAsia="宋体" w:cs="宋体"/>
          <w:color w:val="auto"/>
          <w:shd w:val="clear" w:color="auto" w:fill="auto"/>
        </w:rPr>
      </w:pPr>
    </w:p>
    <w:p>
      <w:pPr>
        <w:rPr>
          <w:rFonts w:hint="eastAsia" w:ascii="宋体" w:hAnsi="宋体" w:eastAsia="宋体" w:cs="宋体"/>
          <w:color w:val="auto"/>
          <w:sz w:val="24"/>
          <w:shd w:val="clear" w:color="auto" w:fill="auto"/>
        </w:rPr>
      </w:pPr>
    </w:p>
    <w:p>
      <w:pPr>
        <w:pStyle w:val="42"/>
        <w:rPr>
          <w:rFonts w:hint="eastAsia" w:ascii="宋体" w:hAnsi="宋体" w:eastAsia="宋体" w:cs="宋体"/>
          <w:color w:val="auto"/>
          <w:spacing w:val="0"/>
          <w:shd w:val="clear" w:color="auto" w:fill="auto"/>
        </w:rPr>
      </w:pPr>
    </w:p>
    <w:p>
      <w:pPr>
        <w:pStyle w:val="42"/>
        <w:rPr>
          <w:rFonts w:hint="eastAsia" w:ascii="宋体" w:hAnsi="宋体" w:eastAsia="宋体" w:cs="宋体"/>
          <w:color w:val="auto"/>
          <w:spacing w:val="0"/>
          <w:shd w:val="clear" w:color="auto" w:fill="auto"/>
        </w:rPr>
      </w:pPr>
    </w:p>
    <w:p>
      <w:pPr>
        <w:pStyle w:val="42"/>
        <w:rPr>
          <w:rFonts w:hint="eastAsia" w:ascii="宋体" w:hAnsi="宋体" w:eastAsia="宋体" w:cs="宋体"/>
          <w:color w:val="auto"/>
          <w:spacing w:val="0"/>
          <w:shd w:val="clear" w:color="auto" w:fill="auto"/>
        </w:rPr>
      </w:pPr>
    </w:p>
    <w:p>
      <w:pPr>
        <w:pStyle w:val="3"/>
        <w:snapToGrid w:val="0"/>
        <w:spacing w:before="0" w:after="0" w:line="240" w:lineRule="atLeast"/>
        <w:textAlignment w:val="baseline"/>
        <w:rPr>
          <w:rFonts w:hint="eastAsia" w:ascii="宋体" w:hAnsi="宋体" w:eastAsia="宋体" w:cs="宋体"/>
          <w:color w:val="auto"/>
          <w:sz w:val="24"/>
          <w:szCs w:val="24"/>
          <w:shd w:val="clear" w:color="auto" w:fill="auto"/>
        </w:rPr>
        <w:sectPr>
          <w:footerReference r:id="rId7" w:type="default"/>
          <w:pgSz w:w="11906" w:h="16838"/>
          <w:pgMar w:top="1440" w:right="1797" w:bottom="1440" w:left="1797" w:header="851" w:footer="992" w:gutter="0"/>
          <w:pgNumType w:fmt="decimal" w:start="1"/>
          <w:cols w:space="720" w:num="1"/>
          <w:docGrid w:linePitch="312" w:charSpace="0"/>
        </w:sectPr>
      </w:pPr>
      <w:bookmarkStart w:id="597" w:name="_Toc702"/>
      <w:bookmarkStart w:id="598" w:name="_Toc515647802"/>
      <w:bookmarkStart w:id="599" w:name="_Toc216582812"/>
      <w:bookmarkStart w:id="600" w:name="_Toc3132"/>
      <w:bookmarkStart w:id="601" w:name="_Toc728"/>
    </w:p>
    <w:p>
      <w:pPr>
        <w:pStyle w:val="3"/>
        <w:snapToGrid w:val="0"/>
        <w:spacing w:before="0" w:after="0" w:line="240" w:lineRule="atLeas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zCs w:val="24"/>
          <w:shd w:val="clear" w:color="auto" w:fill="auto"/>
        </w:rPr>
        <w:t>第2章 响应文件格式</w:t>
      </w:r>
      <w:bookmarkEnd w:id="597"/>
      <w:bookmarkEnd w:id="598"/>
      <w:bookmarkEnd w:id="599"/>
      <w:bookmarkEnd w:id="600"/>
      <w:bookmarkEnd w:id="601"/>
    </w:p>
    <w:p>
      <w:pPr>
        <w:pStyle w:val="4"/>
        <w:snapToGrid w:val="0"/>
        <w:spacing w:before="0" w:line="240" w:lineRule="atLeast"/>
        <w:ind w:left="1080" w:leftChars="257" w:hanging="540"/>
        <w:textAlignment w:val="baseline"/>
        <w:rPr>
          <w:rFonts w:hint="eastAsia" w:ascii="宋体" w:hAnsi="宋体" w:eastAsia="宋体" w:cs="宋体"/>
          <w:color w:val="auto"/>
          <w:sz w:val="24"/>
          <w:shd w:val="clear" w:color="auto" w:fill="auto"/>
        </w:rPr>
      </w:pPr>
      <w:bookmarkStart w:id="602" w:name="_Toc1254"/>
      <w:bookmarkStart w:id="603" w:name="_Toc26489"/>
      <w:bookmarkStart w:id="604" w:name="_Toc18694"/>
      <w:bookmarkStart w:id="605" w:name="_Toc3315"/>
      <w:bookmarkStart w:id="606" w:name="_Toc18974"/>
      <w:bookmarkStart w:id="607" w:name="_Toc515647803"/>
      <w:bookmarkStart w:id="608" w:name="_Toc19961"/>
      <w:bookmarkStart w:id="609" w:name="_Toc1126"/>
      <w:r>
        <w:rPr>
          <w:rFonts w:hint="eastAsia" w:ascii="宋体" w:hAnsi="宋体" w:eastAsia="宋体" w:cs="宋体"/>
          <w:color w:val="auto"/>
          <w:sz w:val="24"/>
          <w:szCs w:val="24"/>
          <w:shd w:val="clear" w:color="auto" w:fill="auto"/>
        </w:rPr>
        <w:t>第一部分 磋商开启一览表及资格证明文件</w:t>
      </w:r>
      <w:bookmarkEnd w:id="602"/>
      <w:bookmarkEnd w:id="603"/>
      <w:bookmarkEnd w:id="604"/>
      <w:bookmarkEnd w:id="605"/>
      <w:bookmarkEnd w:id="606"/>
      <w:bookmarkEnd w:id="607"/>
      <w:bookmarkEnd w:id="608"/>
      <w:bookmarkEnd w:id="609"/>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w:t>
      </w:r>
      <w:r>
        <w:rPr>
          <w:rFonts w:hint="eastAsia" w:ascii="宋体" w:hAnsi="宋体" w:eastAsia="宋体" w:cs="宋体"/>
          <w:color w:val="auto"/>
          <w:sz w:val="24"/>
          <w:shd w:val="clear" w:color="auto" w:fill="auto"/>
          <w:lang w:val="en-US" w:eastAsia="zh-CN"/>
        </w:rPr>
        <w:t>磋商</w:t>
      </w:r>
      <w:r>
        <w:rPr>
          <w:rFonts w:hint="eastAsia" w:ascii="宋体" w:hAnsi="宋体" w:eastAsia="宋体" w:cs="宋体"/>
          <w:color w:val="auto"/>
          <w:sz w:val="24"/>
          <w:shd w:val="clear" w:color="auto" w:fill="auto"/>
        </w:rPr>
        <w:t>一览表（附件一）；</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2、具有相应经营范围的企业营业执照复印件、《银行开户许可证》或《基本存款账户信息》复印件；</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3、法定代表人身份证明书；法人授权委托书附法人身份证复印件及授权委托人身份证复印件加盖公章；</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3.1法定代表人身份证明书（附件二）；</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3.2法人授权委托书（附件三，自然人投标的无需提供）；</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4、投标保证金收据复印件；</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投标人需提供在“信用中国”网站（www.creditchina.gov.cn）和中国政府采购网（www.ccgp.gov.cn）网站上未被列入失信被执行人、重大税收违法案件当事人名单以及政府采购严重违法失信行为记录名单的网页截图并加盖公章（查询时间为公告发布之日起至投标截止时间止）；</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en-US" w:eastAsia="zh-CN"/>
        </w:rPr>
        <w:t>6</w:t>
      </w:r>
      <w:r>
        <w:rPr>
          <w:rFonts w:hint="eastAsia" w:ascii="宋体" w:hAnsi="宋体" w:eastAsia="宋体" w:cs="宋体"/>
          <w:color w:val="auto"/>
          <w:sz w:val="24"/>
          <w:shd w:val="clear" w:color="auto" w:fill="auto"/>
        </w:rPr>
        <w:t>、投标企业及其被授权委托人在项目进行期内提供本单位缴纳的近三个月社保缴纳凭证证明、具有税务局开具依法缴纳的近三个月税收证明并加盖公章；</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en-US" w:eastAsia="zh-CN"/>
        </w:rPr>
        <w:t>7、</w:t>
      </w:r>
      <w:r>
        <w:rPr>
          <w:rFonts w:hint="eastAsia" w:ascii="宋体" w:hAnsi="宋体" w:eastAsia="宋体" w:cs="宋体"/>
          <w:color w:val="auto"/>
          <w:sz w:val="24"/>
          <w:shd w:val="clear" w:color="auto" w:fill="auto"/>
        </w:rPr>
        <w:t>提供</w:t>
      </w:r>
      <w:r>
        <w:rPr>
          <w:rFonts w:hint="eastAsia" w:ascii="宋体" w:hAnsi="宋体" w:eastAsia="宋体" w:cs="宋体"/>
          <w:color w:val="auto"/>
          <w:sz w:val="24"/>
          <w:shd w:val="clear" w:color="auto" w:fill="auto"/>
          <w:lang w:val="en-US" w:eastAsia="zh-CN"/>
        </w:rPr>
        <w:t>2021</w:t>
      </w:r>
      <w:r>
        <w:rPr>
          <w:rFonts w:hint="eastAsia" w:ascii="宋体" w:hAnsi="宋体" w:eastAsia="宋体" w:cs="宋体"/>
          <w:color w:val="auto"/>
          <w:sz w:val="24"/>
          <w:shd w:val="clear" w:color="auto" w:fill="auto"/>
        </w:rPr>
        <w:t>年度财务审计报告复印件；新公司或其他组织和自然人提供银行出具的资信证明；</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bookmarkStart w:id="610" w:name="_Toc31687"/>
      <w:bookmarkStart w:id="611" w:name="_Toc14600"/>
      <w:bookmarkStart w:id="612" w:name="_Toc8124"/>
      <w:r>
        <w:rPr>
          <w:rFonts w:hint="eastAsia" w:ascii="宋体" w:hAnsi="宋体" w:eastAsia="宋体" w:cs="宋体"/>
          <w:color w:val="auto"/>
          <w:sz w:val="24"/>
          <w:shd w:val="clear" w:color="auto" w:fill="auto"/>
        </w:rPr>
        <w:t>投标单位（供应商）提供针对本次项目《反商业贿赂承诺书》书面声明；</w:t>
      </w:r>
      <w:bookmarkEnd w:id="610"/>
      <w:bookmarkEnd w:id="611"/>
      <w:bookmarkEnd w:id="612"/>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9</w:t>
      </w:r>
      <w:r>
        <w:rPr>
          <w:rFonts w:hint="eastAsia" w:ascii="宋体" w:hAnsi="宋体" w:eastAsia="宋体" w:cs="宋体"/>
          <w:color w:val="auto"/>
          <w:sz w:val="24"/>
          <w:shd w:val="clear" w:color="auto" w:fill="auto"/>
        </w:rPr>
        <w:t>、参加政府采购活动前三年内，在经营活动中没有重大违法记录的书面声明</w:t>
      </w:r>
      <w:r>
        <w:rPr>
          <w:rFonts w:hint="eastAsia" w:ascii="宋体" w:hAnsi="宋体" w:eastAsia="宋体" w:cs="宋体"/>
          <w:color w:val="auto"/>
          <w:sz w:val="24"/>
          <w:shd w:val="clear" w:color="auto" w:fill="auto"/>
          <w:lang w:eastAsia="zh-CN"/>
        </w:rPr>
        <w:t>；</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w:t>
      </w:r>
      <w:r>
        <w:rPr>
          <w:rFonts w:hint="eastAsia" w:ascii="宋体" w:hAnsi="宋体" w:eastAsia="宋体" w:cs="宋体"/>
          <w:color w:val="auto"/>
          <w:sz w:val="24"/>
          <w:shd w:val="clear" w:color="auto" w:fill="auto"/>
          <w:lang w:val="en-US" w:eastAsia="zh-CN"/>
        </w:rPr>
        <w:t>0</w:t>
      </w:r>
      <w:r>
        <w:rPr>
          <w:rFonts w:hint="eastAsia" w:ascii="宋体" w:hAnsi="宋体" w:eastAsia="宋体" w:cs="宋体"/>
          <w:color w:val="auto"/>
          <w:sz w:val="24"/>
          <w:shd w:val="clear" w:color="auto" w:fill="auto"/>
        </w:rPr>
        <w:t>、投标人须知资料表要求的其他证明文件；</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lang w:eastAsia="zh-CN"/>
        </w:rPr>
      </w:pPr>
      <w:bookmarkStart w:id="613" w:name="_Toc8412"/>
      <w:bookmarkStart w:id="614" w:name="_Toc2335"/>
      <w:bookmarkStart w:id="615" w:name="_Toc7310"/>
      <w:r>
        <w:rPr>
          <w:rFonts w:hint="eastAsia" w:ascii="宋体" w:hAnsi="宋体" w:eastAsia="宋体" w:cs="宋体"/>
          <w:color w:val="auto"/>
          <w:sz w:val="24"/>
          <w:shd w:val="clear" w:color="auto" w:fill="auto"/>
        </w:rPr>
        <w:t>1</w:t>
      </w:r>
      <w:r>
        <w:rPr>
          <w:rFonts w:hint="eastAsia" w:ascii="宋体" w:hAnsi="宋体" w:eastAsia="宋体" w:cs="宋体"/>
          <w:color w:val="auto"/>
          <w:sz w:val="24"/>
          <w:shd w:val="clear" w:color="auto" w:fill="auto"/>
          <w:lang w:val="en-US" w:eastAsia="zh-CN"/>
        </w:rPr>
        <w:t>1</w:t>
      </w:r>
      <w:r>
        <w:rPr>
          <w:rFonts w:hint="eastAsia" w:ascii="宋体" w:hAnsi="宋体" w:eastAsia="宋体" w:cs="宋体"/>
          <w:color w:val="auto"/>
          <w:sz w:val="24"/>
          <w:shd w:val="clear" w:color="auto" w:fill="auto"/>
        </w:rPr>
        <w:t>、投标人可提供有利于投标的其他证明材料</w:t>
      </w:r>
      <w:bookmarkEnd w:id="613"/>
      <w:bookmarkEnd w:id="614"/>
      <w:bookmarkEnd w:id="615"/>
      <w:r>
        <w:rPr>
          <w:rFonts w:hint="eastAsia" w:ascii="宋体" w:hAnsi="宋体" w:eastAsia="宋体" w:cs="宋体"/>
          <w:color w:val="auto"/>
          <w:sz w:val="24"/>
          <w:shd w:val="clear" w:color="auto" w:fill="auto"/>
          <w:lang w:eastAsia="zh-CN"/>
        </w:rPr>
        <w:t>；</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pStyle w:val="5"/>
        <w:ind w:firstLine="0"/>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tabs>
          <w:tab w:val="left" w:pos="5580"/>
        </w:tabs>
        <w:spacing w:line="240" w:lineRule="atLeast"/>
        <w:rPr>
          <w:rFonts w:hint="eastAsia" w:ascii="宋体" w:hAnsi="宋体" w:eastAsia="宋体" w:cs="宋体"/>
          <w:color w:val="auto"/>
          <w:sz w:val="24"/>
          <w:szCs w:val="24"/>
          <w:shd w:val="clear" w:color="auto" w:fill="auto"/>
        </w:rPr>
      </w:pPr>
      <w:bookmarkStart w:id="616" w:name="_Toc518923108"/>
      <w:bookmarkStart w:id="617" w:name="_Toc29377"/>
      <w:bookmarkStart w:id="618" w:name="_Ref467988698"/>
      <w:bookmarkStart w:id="619" w:name="_Toc480942349"/>
      <w:bookmarkStart w:id="620" w:name="_Toc520356217"/>
      <w:bookmarkStart w:id="621" w:name="_Toc216582813"/>
      <w:r>
        <w:rPr>
          <w:rFonts w:hint="eastAsia" w:ascii="宋体" w:hAnsi="宋体" w:eastAsia="宋体" w:cs="宋体"/>
          <w:b/>
          <w:bCs/>
          <w:color w:val="auto"/>
          <w:sz w:val="24"/>
          <w:szCs w:val="24"/>
          <w:shd w:val="clear" w:color="auto" w:fill="auto"/>
        </w:rPr>
        <w:t xml:space="preserve">1  </w:t>
      </w:r>
      <w:r>
        <w:rPr>
          <w:rFonts w:hint="eastAsia" w:ascii="宋体" w:hAnsi="宋体" w:eastAsia="宋体" w:cs="宋体"/>
          <w:b/>
          <w:bCs/>
          <w:color w:val="auto"/>
          <w:sz w:val="24"/>
          <w:szCs w:val="24"/>
          <w:shd w:val="clear" w:color="auto" w:fill="auto"/>
          <w:lang w:val="en-US" w:eastAsia="zh-CN"/>
        </w:rPr>
        <w:t>磋商</w:t>
      </w:r>
      <w:r>
        <w:rPr>
          <w:rFonts w:hint="eastAsia" w:ascii="宋体" w:hAnsi="宋体" w:eastAsia="宋体" w:cs="宋体"/>
          <w:b/>
          <w:bCs/>
          <w:color w:val="auto"/>
          <w:sz w:val="24"/>
          <w:szCs w:val="24"/>
          <w:shd w:val="clear" w:color="auto" w:fill="auto"/>
        </w:rPr>
        <w:t>一览表（附件一）</w:t>
      </w:r>
      <w:bookmarkEnd w:id="616"/>
      <w:bookmarkEnd w:id="617"/>
    </w:p>
    <w:p>
      <w:pPr>
        <w:pStyle w:val="5"/>
        <w:tabs>
          <w:tab w:val="left" w:pos="5580"/>
        </w:tabs>
        <w:spacing w:line="240" w:lineRule="atLeast"/>
        <w:ind w:firstLine="2891" w:firstLineChars="1200"/>
        <w:rPr>
          <w:rFonts w:hint="eastAsia" w:ascii="宋体" w:hAnsi="宋体" w:eastAsia="宋体" w:cs="宋体"/>
          <w:b/>
          <w:color w:val="auto"/>
          <w:sz w:val="24"/>
          <w:szCs w:val="24"/>
          <w:shd w:val="clear" w:color="auto" w:fill="auto"/>
        </w:rPr>
      </w:pPr>
      <w:bookmarkStart w:id="622" w:name="_Hlt520356241"/>
      <w:bookmarkEnd w:id="622"/>
      <w:bookmarkStart w:id="623" w:name="_Toc494296984"/>
    </w:p>
    <w:p>
      <w:pPr>
        <w:pStyle w:val="5"/>
        <w:tabs>
          <w:tab w:val="left" w:pos="5580"/>
        </w:tabs>
        <w:spacing w:line="240" w:lineRule="atLeast"/>
        <w:ind w:firstLine="3373" w:firstLineChars="1400"/>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开标一览表</w:t>
      </w:r>
      <w:bookmarkEnd w:id="623"/>
      <w:r>
        <w:rPr>
          <w:rFonts w:hint="eastAsia" w:ascii="宋体" w:hAnsi="宋体" w:eastAsia="宋体" w:cs="宋体"/>
          <w:b/>
          <w:color w:val="auto"/>
          <w:sz w:val="24"/>
          <w:szCs w:val="24"/>
          <w:shd w:val="clear" w:color="auto" w:fill="auto"/>
        </w:rPr>
        <w:cr/>
      </w:r>
    </w:p>
    <w:p>
      <w:pPr>
        <w:pStyle w:val="5"/>
        <w:tabs>
          <w:tab w:val="left" w:pos="5580"/>
        </w:tabs>
        <w:spacing w:line="240" w:lineRule="atLeast"/>
        <w:ind w:left="540" w:leftChars="257" w:firstLine="480"/>
        <w:rPr>
          <w:rFonts w:hint="eastAsia" w:ascii="宋体" w:hAnsi="宋体" w:eastAsia="宋体" w:cs="宋体"/>
          <w:color w:val="auto"/>
          <w:sz w:val="24"/>
          <w:szCs w:val="24"/>
          <w:shd w:val="clear" w:color="auto" w:fill="auto"/>
        </w:rPr>
      </w:pPr>
    </w:p>
    <w:p>
      <w:pPr>
        <w:tabs>
          <w:tab w:val="left" w:pos="1800"/>
          <w:tab w:val="left" w:pos="5580"/>
        </w:tabs>
        <w:spacing w:line="240" w:lineRule="atLeast"/>
        <w:ind w:left="1080" w:leftChars="257" w:right="-867" w:rightChars="-413"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项目名称：　                     招标编号：                        </w:t>
      </w:r>
    </w:p>
    <w:p>
      <w:pPr>
        <w:tabs>
          <w:tab w:val="left" w:pos="1800"/>
          <w:tab w:val="left" w:pos="5580"/>
        </w:tabs>
        <w:spacing w:line="240" w:lineRule="atLeast"/>
        <w:ind w:left="1080" w:leftChars="257" w:right="-867" w:rightChars="-413" w:hanging="540"/>
        <w:rPr>
          <w:rFonts w:hint="eastAsia" w:ascii="宋体" w:hAnsi="宋体" w:eastAsia="宋体" w:cs="宋体"/>
          <w:bCs/>
          <w:color w:val="auto"/>
          <w:sz w:val="24"/>
          <w:szCs w:val="24"/>
          <w:shd w:val="clear" w:color="auto" w:fill="auto"/>
        </w:rPr>
      </w:pPr>
      <w:r>
        <w:rPr>
          <w:rFonts w:hint="eastAsia" w:ascii="宋体" w:hAnsi="宋体" w:eastAsia="宋体" w:cs="宋体"/>
          <w:color w:val="auto"/>
          <w:sz w:val="24"/>
          <w:szCs w:val="24"/>
          <w:shd w:val="clear" w:color="auto" w:fill="auto"/>
        </w:rPr>
        <w:t xml:space="preserve">报价单位：人民币  </w:t>
      </w:r>
      <w:r>
        <w:rPr>
          <w:rFonts w:hint="eastAsia" w:ascii="宋体" w:hAnsi="宋体" w:eastAsia="宋体" w:cs="宋体"/>
          <w:bCs/>
          <w:color w:val="auto"/>
          <w:sz w:val="24"/>
          <w:szCs w:val="24"/>
          <w:shd w:val="clear" w:color="auto" w:fill="auto"/>
        </w:rPr>
        <w:t>元</w:t>
      </w:r>
    </w:p>
    <w:p>
      <w:pPr>
        <w:pStyle w:val="2"/>
        <w:rPr>
          <w:rFonts w:hint="eastAsia" w:ascii="宋体" w:hAnsi="宋体" w:eastAsia="宋体" w:cs="宋体"/>
          <w:color w:val="auto"/>
          <w:shd w:val="clear" w:color="auto" w:fill="auto"/>
        </w:rPr>
      </w:pPr>
    </w:p>
    <w:tbl>
      <w:tblPr>
        <w:tblStyle w:val="35"/>
        <w:tblW w:w="0" w:type="auto"/>
        <w:jc w:val="center"/>
        <w:tblLayout w:type="fixed"/>
        <w:tblCellMar>
          <w:top w:w="0" w:type="dxa"/>
          <w:left w:w="0" w:type="dxa"/>
          <w:bottom w:w="0" w:type="dxa"/>
          <w:right w:w="0" w:type="dxa"/>
        </w:tblCellMar>
      </w:tblPr>
      <w:tblGrid>
        <w:gridCol w:w="1470"/>
        <w:gridCol w:w="1721"/>
        <w:gridCol w:w="1805"/>
        <w:gridCol w:w="1445"/>
        <w:gridCol w:w="1016"/>
        <w:gridCol w:w="1129"/>
      </w:tblGrid>
      <w:tr>
        <w:tblPrEx>
          <w:tblCellMar>
            <w:top w:w="0" w:type="dxa"/>
            <w:left w:w="0" w:type="dxa"/>
            <w:bottom w:w="0" w:type="dxa"/>
            <w:right w:w="0" w:type="dxa"/>
          </w:tblCellMar>
        </w:tblPrEx>
        <w:trPr>
          <w:trHeight w:val="662" w:hRule="atLeast"/>
          <w:jc w:val="center"/>
        </w:trPr>
        <w:tc>
          <w:tcPr>
            <w:tcW w:w="1470" w:type="dxa"/>
            <w:tcBorders>
              <w:top w:val="single" w:color="auto" w:sz="4" w:space="0"/>
              <w:left w:val="single" w:color="auto" w:sz="4" w:space="0"/>
              <w:bottom w:val="single" w:color="auto" w:sz="8" w:space="0"/>
              <w:right w:val="single" w:color="auto" w:sz="4" w:space="0"/>
            </w:tcBorders>
            <w:noWrap/>
            <w:vAlign w:val="center"/>
          </w:tcPr>
          <w:p>
            <w:pPr>
              <w:tabs>
                <w:tab w:val="left" w:pos="5580"/>
              </w:tabs>
              <w:spacing w:line="240" w:lineRule="atLeast"/>
              <w:ind w:right="-199"/>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服务名称</w:t>
            </w:r>
          </w:p>
        </w:tc>
        <w:tc>
          <w:tcPr>
            <w:tcW w:w="1721" w:type="dxa"/>
            <w:tcBorders>
              <w:top w:val="single" w:color="auto" w:sz="4" w:space="0"/>
              <w:left w:val="single" w:color="auto" w:sz="8" w:space="0"/>
              <w:bottom w:val="single" w:color="auto" w:sz="8" w:space="0"/>
              <w:right w:val="single" w:color="auto" w:sz="4" w:space="0"/>
            </w:tcBorders>
            <w:noWrap/>
            <w:vAlign w:val="center"/>
          </w:tcPr>
          <w:p>
            <w:pPr>
              <w:tabs>
                <w:tab w:val="left" w:pos="558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投标总价</w:t>
            </w:r>
          </w:p>
        </w:tc>
        <w:tc>
          <w:tcPr>
            <w:tcW w:w="180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磋商</w:t>
            </w:r>
            <w:r>
              <w:rPr>
                <w:rFonts w:hint="eastAsia" w:ascii="宋体" w:hAnsi="宋体" w:eastAsia="宋体" w:cs="宋体"/>
                <w:color w:val="auto"/>
                <w:sz w:val="24"/>
                <w:szCs w:val="24"/>
                <w:shd w:val="clear" w:color="auto" w:fill="auto"/>
              </w:rPr>
              <w:t>保证金</w:t>
            </w:r>
          </w:p>
        </w:tc>
        <w:tc>
          <w:tcPr>
            <w:tcW w:w="144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服务期</w:t>
            </w:r>
          </w:p>
        </w:tc>
        <w:tc>
          <w:tcPr>
            <w:tcW w:w="1016"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服务地点</w:t>
            </w:r>
          </w:p>
        </w:tc>
        <w:tc>
          <w:tcPr>
            <w:tcW w:w="1129" w:type="dxa"/>
            <w:tcBorders>
              <w:top w:val="single" w:color="auto" w:sz="8" w:space="0"/>
              <w:left w:val="single" w:color="auto" w:sz="4" w:space="0"/>
              <w:bottom w:val="single" w:color="auto" w:sz="8" w:space="0"/>
              <w:right w:val="single" w:color="auto" w:sz="8" w:space="0"/>
            </w:tcBorders>
            <w:noWrap/>
            <w:vAlign w:val="center"/>
          </w:tcPr>
          <w:p>
            <w:pPr>
              <w:tabs>
                <w:tab w:val="left" w:pos="558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p>
        </w:tc>
      </w:tr>
      <w:tr>
        <w:tblPrEx>
          <w:tblCellMar>
            <w:top w:w="0" w:type="dxa"/>
            <w:left w:w="0" w:type="dxa"/>
            <w:bottom w:w="0" w:type="dxa"/>
            <w:right w:w="0" w:type="dxa"/>
          </w:tblCellMar>
        </w:tblPrEx>
        <w:trPr>
          <w:cantSplit/>
          <w:trHeight w:val="1640" w:hRule="atLeast"/>
          <w:jc w:val="center"/>
        </w:trPr>
        <w:tc>
          <w:tcPr>
            <w:tcW w:w="1470" w:type="dxa"/>
            <w:tcBorders>
              <w:top w:val="single" w:color="auto" w:sz="8" w:space="0"/>
              <w:left w:val="single" w:color="auto" w:sz="4" w:space="0"/>
              <w:bottom w:val="single" w:color="auto" w:sz="4" w:space="0"/>
              <w:right w:val="single" w:color="auto" w:sz="4" w:space="0"/>
            </w:tcBorders>
            <w:noWrap/>
            <w:vAlign w:val="center"/>
          </w:tcPr>
          <w:p>
            <w:pPr>
              <w:tabs>
                <w:tab w:val="left" w:pos="5580"/>
              </w:tabs>
              <w:spacing w:line="240" w:lineRule="atLeast"/>
              <w:ind w:left="1080" w:leftChars="257" w:hanging="540"/>
              <w:jc w:val="center"/>
              <w:rPr>
                <w:rFonts w:hint="eastAsia" w:ascii="宋体" w:hAnsi="宋体" w:eastAsia="宋体" w:cs="宋体"/>
                <w:color w:val="auto"/>
                <w:sz w:val="24"/>
                <w:szCs w:val="24"/>
                <w:shd w:val="clear" w:color="auto" w:fill="auto"/>
              </w:rPr>
            </w:pPr>
          </w:p>
        </w:tc>
        <w:tc>
          <w:tcPr>
            <w:tcW w:w="1721" w:type="dxa"/>
            <w:tcBorders>
              <w:top w:val="single" w:color="auto" w:sz="8" w:space="0"/>
              <w:left w:val="single" w:color="auto" w:sz="8" w:space="0"/>
              <w:bottom w:val="single" w:color="auto" w:sz="4" w:space="0"/>
              <w:right w:val="single" w:color="auto" w:sz="4" w:space="0"/>
            </w:tcBorders>
            <w:noWrap/>
            <w:vAlign w:val="center"/>
          </w:tcPr>
          <w:p>
            <w:pPr>
              <w:tabs>
                <w:tab w:val="left" w:pos="5580"/>
              </w:tabs>
              <w:spacing w:line="240" w:lineRule="atLeast"/>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大写：</w:t>
            </w:r>
          </w:p>
          <w:p>
            <w:pPr>
              <w:tabs>
                <w:tab w:val="left" w:pos="5580"/>
              </w:tabs>
              <w:spacing w:line="240" w:lineRule="atLeast"/>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小写：</w:t>
            </w:r>
          </w:p>
        </w:tc>
        <w:tc>
          <w:tcPr>
            <w:tcW w:w="180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80" w:leftChars="257" w:hanging="540"/>
              <w:jc w:val="center"/>
              <w:rPr>
                <w:rFonts w:hint="eastAsia" w:ascii="宋体" w:hAnsi="宋体" w:eastAsia="宋体" w:cs="宋体"/>
                <w:color w:val="auto"/>
                <w:sz w:val="24"/>
                <w:szCs w:val="24"/>
                <w:shd w:val="clear" w:color="auto" w:fill="auto"/>
              </w:rPr>
            </w:pPr>
          </w:p>
        </w:tc>
        <w:tc>
          <w:tcPr>
            <w:tcW w:w="144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80" w:leftChars="257" w:hanging="540"/>
              <w:jc w:val="center"/>
              <w:rPr>
                <w:rFonts w:hint="eastAsia" w:ascii="宋体" w:hAnsi="宋体" w:eastAsia="宋体" w:cs="宋体"/>
                <w:color w:val="auto"/>
                <w:sz w:val="24"/>
                <w:szCs w:val="24"/>
                <w:shd w:val="clear" w:color="auto" w:fill="auto"/>
              </w:rPr>
            </w:pPr>
          </w:p>
        </w:tc>
        <w:tc>
          <w:tcPr>
            <w:tcW w:w="1016"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80" w:leftChars="257" w:hanging="540"/>
              <w:jc w:val="center"/>
              <w:rPr>
                <w:rFonts w:hint="eastAsia" w:ascii="宋体" w:hAnsi="宋体" w:eastAsia="宋体" w:cs="宋体"/>
                <w:color w:val="auto"/>
                <w:sz w:val="24"/>
                <w:szCs w:val="24"/>
                <w:shd w:val="clear" w:color="auto" w:fill="auto"/>
              </w:rPr>
            </w:pPr>
          </w:p>
        </w:tc>
        <w:tc>
          <w:tcPr>
            <w:tcW w:w="1129" w:type="dxa"/>
            <w:tcBorders>
              <w:top w:val="single" w:color="auto" w:sz="8" w:space="0"/>
              <w:left w:val="single" w:color="auto" w:sz="4" w:space="0"/>
              <w:bottom w:val="single" w:color="auto" w:sz="4" w:space="0"/>
              <w:right w:val="single" w:color="auto" w:sz="8" w:space="0"/>
            </w:tcBorders>
            <w:noWrap/>
            <w:vAlign w:val="center"/>
          </w:tcPr>
          <w:p>
            <w:pPr>
              <w:tabs>
                <w:tab w:val="left" w:pos="5580"/>
              </w:tabs>
              <w:spacing w:line="240" w:lineRule="atLeast"/>
              <w:ind w:left="1080" w:leftChars="257" w:hanging="540"/>
              <w:jc w:val="center"/>
              <w:rPr>
                <w:rFonts w:hint="eastAsia" w:ascii="宋体" w:hAnsi="宋体" w:eastAsia="宋体" w:cs="宋体"/>
                <w:color w:val="auto"/>
                <w:sz w:val="24"/>
                <w:szCs w:val="24"/>
                <w:shd w:val="clear" w:color="auto" w:fill="auto"/>
              </w:rPr>
            </w:pPr>
          </w:p>
        </w:tc>
      </w:tr>
    </w:tbl>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投标人名称（单位盖章）：</w:t>
      </w:r>
    </w:p>
    <w:p>
      <w:pPr>
        <w:pStyle w:val="17"/>
        <w:tabs>
          <w:tab w:val="left" w:pos="5580"/>
        </w:tabs>
        <w:spacing w:line="240" w:lineRule="atLeast"/>
        <w:ind w:left="1080" w:leftChars="257" w:hanging="54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法定代表人或其委托代理人(签字):</w:t>
      </w:r>
      <w:r>
        <w:rPr>
          <w:rFonts w:hint="eastAsia" w:ascii="宋体" w:hAnsi="宋体" w:eastAsia="宋体" w:cs="宋体"/>
          <w:color w:val="auto"/>
          <w:sz w:val="24"/>
          <w:szCs w:val="24"/>
          <w:u w:val="single"/>
          <w:shd w:val="clear" w:color="auto" w:fill="auto"/>
        </w:rPr>
        <w:tab/>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注:1、此表应按投标人须知的规定装订密封。</w:t>
      </w:r>
    </w:p>
    <w:p>
      <w:pPr>
        <w:pStyle w:val="17"/>
        <w:tabs>
          <w:tab w:val="left" w:pos="5580"/>
        </w:tabs>
        <w:spacing w:line="240" w:lineRule="atLeast"/>
        <w:ind w:left="1079" w:leftChars="428" w:hanging="180" w:hangingChars="75"/>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2、此表中，每个分包的投标总价应和投标分项报价表的总价相一致。</w:t>
      </w:r>
    </w:p>
    <w:p>
      <w:pPr>
        <w:tabs>
          <w:tab w:val="left" w:pos="5580"/>
        </w:tabs>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br w:type="page"/>
      </w:r>
      <w:r>
        <w:rPr>
          <w:rFonts w:hint="eastAsia" w:ascii="宋体" w:hAnsi="宋体" w:eastAsia="宋体" w:cs="宋体"/>
          <w:b/>
          <w:bCs/>
          <w:color w:val="auto"/>
          <w:sz w:val="24"/>
          <w:szCs w:val="24"/>
          <w:shd w:val="clear" w:color="auto" w:fill="auto"/>
        </w:rPr>
        <w:t>2、具有相应经营范围的营业执照副本复印件、</w:t>
      </w:r>
      <w:r>
        <w:rPr>
          <w:rFonts w:hint="eastAsia" w:ascii="宋体" w:hAnsi="宋体" w:eastAsia="宋体" w:cs="宋体"/>
          <w:b/>
          <w:bCs/>
          <w:color w:val="auto"/>
          <w:kern w:val="0"/>
          <w:sz w:val="24"/>
          <w:szCs w:val="24"/>
          <w:shd w:val="clear" w:color="auto" w:fill="auto"/>
        </w:rPr>
        <w:t>《银行开户许可证》或《基本存款账户信息》复印件；</w:t>
      </w:r>
    </w:p>
    <w:p>
      <w:pPr>
        <w:tabs>
          <w:tab w:val="left" w:pos="5580"/>
        </w:tabs>
        <w:spacing w:line="360" w:lineRule="exact"/>
        <w:ind w:left="1" w:firstLine="564" w:firstLineChars="235"/>
        <w:rPr>
          <w:rFonts w:hint="eastAsia" w:ascii="宋体" w:hAnsi="宋体" w:eastAsia="宋体" w:cs="宋体"/>
          <w:color w:val="auto"/>
          <w:sz w:val="24"/>
          <w:szCs w:val="24"/>
          <w:shd w:val="clear" w:color="auto" w:fill="auto"/>
        </w:rPr>
      </w:pPr>
    </w:p>
    <w:p>
      <w:pPr>
        <w:adjustRightInd w:val="0"/>
        <w:snapToGrid w:val="0"/>
        <w:spacing w:beforeLines="100" w:afterLines="100" w:line="360" w:lineRule="exact"/>
        <w:jc w:val="center"/>
        <w:rPr>
          <w:rFonts w:hint="eastAsia" w:ascii="宋体" w:hAnsi="宋体" w:eastAsia="宋体" w:cs="宋体"/>
          <w:b/>
          <w:bCs/>
          <w:color w:val="auto"/>
          <w:kern w:val="0"/>
          <w:sz w:val="24"/>
          <w:szCs w:val="24"/>
          <w:shd w:val="clear" w:color="auto" w:fill="auto"/>
        </w:rPr>
      </w:pPr>
      <w:r>
        <w:rPr>
          <w:rFonts w:hint="eastAsia" w:ascii="宋体" w:hAnsi="宋体" w:eastAsia="宋体" w:cs="宋体"/>
          <w:color w:val="auto"/>
          <w:sz w:val="24"/>
          <w:szCs w:val="24"/>
          <w:shd w:val="clear" w:color="auto" w:fill="auto"/>
        </w:rPr>
        <w:br w:type="page"/>
      </w:r>
      <w:r>
        <w:rPr>
          <w:rFonts w:hint="eastAsia" w:ascii="宋体" w:hAnsi="宋体" w:eastAsia="宋体" w:cs="宋体"/>
          <w:b/>
          <w:bCs/>
          <w:color w:val="auto"/>
          <w:kern w:val="0"/>
          <w:sz w:val="24"/>
          <w:szCs w:val="24"/>
          <w:shd w:val="clear" w:color="auto" w:fill="auto"/>
        </w:rPr>
        <w:t>3、</w:t>
      </w:r>
      <w:r>
        <w:rPr>
          <w:rFonts w:hint="eastAsia" w:ascii="宋体" w:hAnsi="宋体" w:eastAsia="宋体" w:cs="宋体"/>
          <w:b/>
          <w:bCs/>
          <w:color w:val="auto"/>
          <w:sz w:val="24"/>
          <w:szCs w:val="24"/>
          <w:shd w:val="clear" w:color="auto" w:fill="auto"/>
        </w:rPr>
        <w:t>法定代表人身份证明书；</w:t>
      </w:r>
      <w:r>
        <w:rPr>
          <w:rFonts w:hint="eastAsia" w:ascii="宋体" w:hAnsi="宋体" w:eastAsia="宋体" w:cs="宋体"/>
          <w:b/>
          <w:bCs/>
          <w:color w:val="auto"/>
          <w:kern w:val="0"/>
          <w:sz w:val="24"/>
          <w:szCs w:val="24"/>
          <w:shd w:val="clear" w:color="auto" w:fill="auto"/>
        </w:rPr>
        <w:t>法人授权委托书附法人身份证复印件及授权委托人身份证复印件加盖公章；</w:t>
      </w:r>
    </w:p>
    <w:p>
      <w:pPr>
        <w:adjustRightInd w:val="0"/>
        <w:snapToGrid w:val="0"/>
        <w:spacing w:beforeLines="100" w:afterLines="100" w:line="360" w:lineRule="auto"/>
        <w:ind w:firstLine="2650" w:firstLineChars="1100"/>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（一）法定代表人身份证明书</w:t>
      </w: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同志，现任我单位（职务）为法定代表人，特此证明。</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单位：                      签发日期：</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                性别：            年龄：           </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身份证号码：                联系电话：</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营业执照号码：              经济性质：</w:t>
      </w: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w:t>
      </w:r>
    </w:p>
    <w:p>
      <w:pPr>
        <w:spacing w:line="360" w:lineRule="auto"/>
        <w:ind w:firstLine="240" w:firstLineChars="1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1、法定代表人为企业事业单位、国家机关、社会团体的主要行政负责人。</w:t>
      </w: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2、内容必须填写真实、清楚、涂改无效，不得转让。</w:t>
      </w:r>
    </w:p>
    <w:p>
      <w:pPr>
        <w:spacing w:line="360" w:lineRule="auto"/>
        <w:ind w:firstLine="240" w:firstLineChars="1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3、将此证明书原件提交采购代理机构作为谈判响应文件附件。</w:t>
      </w:r>
    </w:p>
    <w:p>
      <w:pPr>
        <w:spacing w:line="360" w:lineRule="auto"/>
        <w:rPr>
          <w:rFonts w:hint="eastAsia" w:ascii="宋体" w:hAnsi="宋体" w:eastAsia="宋体" w:cs="宋体"/>
          <w:color w:val="auto"/>
          <w:sz w:val="24"/>
          <w:szCs w:val="24"/>
          <w:shd w:val="clear" w:color="auto" w:fill="auto"/>
        </w:rPr>
      </w:pP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附：法定代表人身份证复印件</w:t>
      </w: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pict>
          <v:shape id="_x0000_s1032" o:spid="_x0000_s1032" o:spt="176" type="#_x0000_t176" style="position:absolute;left:0pt;margin-left:12.15pt;margin-top:0.85pt;height:124.75pt;width:183.75pt;z-index:251659264;mso-width-relative:page;mso-height-relative:page;"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w:r>
      <w:r>
        <w:rPr>
          <w:rFonts w:hint="eastAsia" w:ascii="宋体" w:hAnsi="宋体" w:eastAsia="宋体" w:cs="宋体"/>
          <w:color w:val="auto"/>
          <w:sz w:val="24"/>
          <w:szCs w:val="24"/>
          <w:shd w:val="clear" w:color="auto" w:fill="auto"/>
        </w:rPr>
        <w:pict>
          <v:roundrect id="_x0000_s1033" o:spid="_x0000_s1033" o:spt="2" style="position:absolute;left:0pt;margin-left:229.8pt;margin-top:2.25pt;height:122.6pt;width:205.5pt;z-index:251660288;mso-width-relative:page;mso-height-relative:page;"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path/>
            <v:fill focussize="0,0"/>
            <v:stroke weight="1.25pt" color="#808080"/>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v:textbox>
          </v:roundrect>
        </w:pict>
      </w:r>
    </w:p>
    <w:p>
      <w:pPr>
        <w:spacing w:line="360" w:lineRule="auto"/>
        <w:rPr>
          <w:rFonts w:hint="eastAsia" w:ascii="宋体" w:hAnsi="宋体" w:eastAsia="宋体" w:cs="宋体"/>
          <w:color w:val="auto"/>
          <w:sz w:val="24"/>
          <w:szCs w:val="24"/>
          <w:shd w:val="clear" w:color="auto" w:fill="auto"/>
        </w:rPr>
      </w:pPr>
    </w:p>
    <w:p>
      <w:pPr>
        <w:spacing w:line="360" w:lineRule="auto"/>
        <w:rPr>
          <w:rFonts w:hint="eastAsia" w:ascii="宋体" w:hAnsi="宋体" w:eastAsia="宋体" w:cs="宋体"/>
          <w:color w:val="auto"/>
          <w:sz w:val="24"/>
          <w:szCs w:val="24"/>
          <w:shd w:val="clear" w:color="auto" w:fill="auto"/>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shd w:val="clear" w:color="auto" w:fill="auto"/>
        </w:rPr>
      </w:pPr>
    </w:p>
    <w:p>
      <w:pPr>
        <w:autoSpaceDE w:val="0"/>
        <w:autoSpaceDN w:val="0"/>
        <w:adjustRightInd w:val="0"/>
        <w:spacing w:line="360" w:lineRule="auto"/>
        <w:ind w:right="246"/>
        <w:rPr>
          <w:rFonts w:hint="eastAsia" w:ascii="宋体" w:hAnsi="宋体" w:eastAsia="宋体" w:cs="宋体"/>
          <w:color w:val="auto"/>
          <w:kern w:val="0"/>
          <w:sz w:val="24"/>
          <w:szCs w:val="24"/>
          <w:shd w:val="clear" w:color="auto" w:fill="auto"/>
        </w:rPr>
      </w:pPr>
    </w:p>
    <w:p>
      <w:pPr>
        <w:autoSpaceDE w:val="0"/>
        <w:autoSpaceDN w:val="0"/>
        <w:adjustRightInd w:val="0"/>
        <w:spacing w:line="360" w:lineRule="auto"/>
        <w:ind w:right="246"/>
        <w:rPr>
          <w:rFonts w:hint="eastAsia" w:ascii="宋体" w:hAnsi="宋体" w:eastAsia="宋体" w:cs="宋体"/>
          <w:color w:val="auto"/>
          <w:kern w:val="0"/>
          <w:sz w:val="24"/>
          <w:szCs w:val="24"/>
          <w:shd w:val="clear" w:color="auto" w:fill="auto"/>
        </w:rPr>
      </w:pPr>
    </w:p>
    <w:p>
      <w:pPr>
        <w:pStyle w:val="2"/>
        <w:rPr>
          <w:rFonts w:hint="eastAsia" w:ascii="宋体" w:hAnsi="宋体" w:eastAsia="宋体" w:cs="宋体"/>
          <w:color w:val="auto"/>
          <w:sz w:val="24"/>
          <w:szCs w:val="24"/>
          <w:shd w:val="clear" w:color="auto" w:fill="auto"/>
        </w:rPr>
      </w:pP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 xml:space="preserve">投标人（盖章）：         </w:t>
      </w:r>
    </w:p>
    <w:p>
      <w:pPr>
        <w:adjustRightInd w:val="0"/>
        <w:snapToGrid w:val="0"/>
        <w:spacing w:line="360" w:lineRule="auto"/>
        <w:ind w:firstLine="784" w:firstLineChars="327"/>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法定代表人（签章）：</w:t>
      </w:r>
    </w:p>
    <w:p>
      <w:pPr>
        <w:adjustRightInd w:val="0"/>
        <w:snapToGrid w:val="0"/>
        <w:spacing w:line="360" w:lineRule="auto"/>
        <w:ind w:firstLine="784" w:firstLineChars="327"/>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日   期：</w:t>
      </w:r>
    </w:p>
    <w:p>
      <w:pPr>
        <w:pStyle w:val="17"/>
        <w:tabs>
          <w:tab w:val="left" w:pos="5580"/>
        </w:tabs>
        <w:spacing w:line="240" w:lineRule="atLeast"/>
        <w:ind w:left="1080" w:leftChars="257" w:hanging="540"/>
        <w:rPr>
          <w:rFonts w:hint="eastAsia" w:ascii="宋体" w:hAnsi="宋体" w:eastAsia="宋体" w:cs="宋体"/>
          <w:b/>
          <w:color w:val="auto"/>
          <w:sz w:val="24"/>
          <w:szCs w:val="24"/>
          <w:shd w:val="clear" w:color="auto" w:fill="auto"/>
        </w:rPr>
      </w:pPr>
    </w:p>
    <w:p>
      <w:pPr>
        <w:pStyle w:val="17"/>
        <w:tabs>
          <w:tab w:val="left" w:pos="5580"/>
        </w:tabs>
        <w:spacing w:line="240" w:lineRule="atLeast"/>
        <w:ind w:left="1155" w:leftChars="371" w:hanging="376" w:hangingChars="157"/>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说明：1. 投标人为自然人的，应提供身份证明的复印件。</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2.联合体投标应提供联合体各方满足以上要求的证明文件。</w:t>
      </w:r>
    </w:p>
    <w:p>
      <w:pPr>
        <w:pStyle w:val="4"/>
        <w:tabs>
          <w:tab w:val="left" w:pos="540"/>
        </w:tabs>
        <w:spacing w:line="240" w:lineRule="atLeas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br w:type="page"/>
      </w:r>
      <w:bookmarkStart w:id="624" w:name="_Toc1083"/>
      <w:bookmarkStart w:id="625" w:name="_Toc22472"/>
      <w:bookmarkStart w:id="626" w:name="_Toc29028"/>
      <w:bookmarkStart w:id="627" w:name="_Toc23503"/>
      <w:bookmarkStart w:id="628" w:name="_Toc515647807"/>
      <w:bookmarkStart w:id="629" w:name="_Toc23386"/>
      <w:r>
        <w:rPr>
          <w:rFonts w:hint="eastAsia" w:ascii="宋体" w:hAnsi="宋体" w:eastAsia="宋体" w:cs="宋体"/>
          <w:color w:val="auto"/>
          <w:sz w:val="24"/>
          <w:szCs w:val="24"/>
          <w:shd w:val="clear" w:color="auto" w:fill="auto"/>
        </w:rPr>
        <w:t>（二）法定代表人授权委托书(附件三，自然人投标的无需提供)</w:t>
      </w:r>
      <w:bookmarkEnd w:id="624"/>
      <w:bookmarkEnd w:id="625"/>
      <w:bookmarkEnd w:id="626"/>
      <w:bookmarkEnd w:id="627"/>
      <w:bookmarkEnd w:id="628"/>
      <w:bookmarkEnd w:id="629"/>
    </w:p>
    <w:p>
      <w:pPr>
        <w:pStyle w:val="4"/>
        <w:keepNext/>
        <w:keepLines/>
        <w:tabs>
          <w:tab w:val="left" w:pos="540"/>
        </w:tabs>
        <w:autoSpaceDE w:val="0"/>
        <w:autoSpaceDN w:val="0"/>
        <w:snapToGrid/>
        <w:rPr>
          <w:rFonts w:hint="eastAsia" w:ascii="宋体" w:hAnsi="宋体" w:eastAsia="宋体" w:cs="宋体"/>
          <w:color w:val="auto"/>
          <w:sz w:val="24"/>
          <w:szCs w:val="24"/>
          <w:shd w:val="clear" w:color="auto" w:fill="auto"/>
        </w:rPr>
      </w:pPr>
      <w:bookmarkStart w:id="630" w:name="_Toc5232"/>
      <w:bookmarkStart w:id="631" w:name="_Toc30228"/>
      <w:bookmarkStart w:id="632" w:name="_Toc6592"/>
      <w:r>
        <w:rPr>
          <w:rFonts w:hint="eastAsia" w:ascii="宋体" w:hAnsi="宋体" w:eastAsia="宋体" w:cs="宋体"/>
          <w:color w:val="auto"/>
          <w:sz w:val="24"/>
          <w:szCs w:val="24"/>
          <w:shd w:val="clear" w:color="auto" w:fill="auto"/>
        </w:rPr>
        <w:cr/>
      </w:r>
      <w:r>
        <w:rPr>
          <w:rFonts w:hint="eastAsia" w:ascii="宋体" w:hAnsi="宋体" w:eastAsia="宋体" w:cs="宋体"/>
          <w:color w:val="auto"/>
          <w:sz w:val="24"/>
          <w:szCs w:val="24"/>
          <w:shd w:val="clear" w:color="auto" w:fill="auto"/>
        </w:rPr>
        <w:t xml:space="preserve">    本授权书声明：注册于</w:t>
      </w:r>
      <w:r>
        <w:rPr>
          <w:rFonts w:hint="eastAsia" w:ascii="宋体" w:hAnsi="宋体" w:eastAsia="宋体" w:cs="宋体"/>
          <w:bCs/>
          <w:color w:val="auto"/>
          <w:sz w:val="24"/>
          <w:szCs w:val="24"/>
          <w:u w:val="single"/>
          <w:shd w:val="clear" w:color="auto" w:fill="auto"/>
        </w:rPr>
        <w:t>（国家或地区的名称）</w:t>
      </w:r>
      <w:r>
        <w:rPr>
          <w:rFonts w:hint="eastAsia" w:ascii="宋体" w:hAnsi="宋体" w:eastAsia="宋体" w:cs="宋体"/>
          <w:color w:val="auto"/>
          <w:sz w:val="24"/>
          <w:szCs w:val="24"/>
          <w:shd w:val="clear" w:color="auto" w:fill="auto"/>
        </w:rPr>
        <w:t>的</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投标人</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的在下面签字的</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法人代表姓名、职务</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代表我单位授权</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单位名称</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的在下面签字的</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被授权人的姓名、职务</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为我单位的合法代理人，就</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项目名称</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的</w:t>
      </w:r>
      <w:r>
        <w:rPr>
          <w:rFonts w:hint="eastAsia" w:ascii="宋体" w:hAnsi="宋体" w:eastAsia="宋体" w:cs="宋体"/>
          <w:bCs/>
          <w:color w:val="auto"/>
          <w:sz w:val="24"/>
          <w:szCs w:val="24"/>
          <w:shd w:val="clear" w:color="auto" w:fill="auto"/>
        </w:rPr>
        <w:t>（</w:t>
      </w:r>
      <w:r>
        <w:rPr>
          <w:rFonts w:hint="eastAsia" w:ascii="宋体" w:hAnsi="宋体" w:eastAsia="宋体" w:cs="宋体"/>
          <w:bCs/>
          <w:color w:val="auto"/>
          <w:sz w:val="24"/>
          <w:szCs w:val="24"/>
          <w:u w:val="single"/>
          <w:shd w:val="clear" w:color="auto" w:fill="auto"/>
        </w:rPr>
        <w:t>合同名称</w:t>
      </w:r>
      <w:r>
        <w:rPr>
          <w:rFonts w:hint="eastAsia" w:ascii="宋体" w:hAnsi="宋体" w:eastAsia="宋体" w:cs="宋体"/>
          <w:bCs/>
          <w:color w:val="auto"/>
          <w:sz w:val="24"/>
          <w:szCs w:val="24"/>
          <w:shd w:val="clear" w:color="auto" w:fill="auto"/>
        </w:rPr>
        <w:t>）</w:t>
      </w:r>
      <w:r>
        <w:rPr>
          <w:rFonts w:hint="eastAsia" w:ascii="宋体" w:hAnsi="宋体" w:eastAsia="宋体" w:cs="宋体"/>
          <w:color w:val="auto"/>
          <w:sz w:val="24"/>
          <w:szCs w:val="24"/>
          <w:shd w:val="clear" w:color="auto" w:fill="auto"/>
        </w:rPr>
        <w:t>投标，以我单位名义处理一切与之有关的事务。</w:t>
      </w:r>
      <w:r>
        <w:rPr>
          <w:rFonts w:hint="eastAsia" w:ascii="宋体" w:hAnsi="宋体" w:eastAsia="宋体" w:cs="宋体"/>
          <w:color w:val="auto"/>
          <w:sz w:val="24"/>
          <w:szCs w:val="24"/>
          <w:shd w:val="clear" w:color="auto" w:fill="auto"/>
        </w:rPr>
        <w:cr/>
      </w:r>
      <w:bookmarkEnd w:id="630"/>
      <w:bookmarkEnd w:id="631"/>
      <w:bookmarkEnd w:id="632"/>
      <w:r>
        <w:rPr>
          <w:rFonts w:hint="eastAsia" w:ascii="宋体" w:hAnsi="宋体" w:eastAsia="宋体" w:cs="宋体"/>
          <w:color w:val="auto"/>
          <w:sz w:val="24"/>
          <w:szCs w:val="24"/>
          <w:shd w:val="clear" w:color="auto" w:fill="auto"/>
        </w:rPr>
        <w:t>　　</w:t>
      </w:r>
    </w:p>
    <w:p>
      <w:pPr>
        <w:pStyle w:val="17"/>
        <w:tabs>
          <w:tab w:val="left" w:pos="5580"/>
        </w:tabs>
        <w:spacing w:line="240" w:lineRule="atLeast"/>
        <w:ind w:left="-540" w:leftChars="-257" w:firstLine="900" w:firstLineChars="375"/>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pict>
          <v:roundrect id="_x0000_s1034" o:spid="_x0000_s1034" o:spt="2" style="position:absolute;left:0pt;margin-left:222.65pt;margin-top:45.75pt;height:97.6pt;width:175.65pt;z-index:251664384;mso-width-relative:page;mso-height-relative:page;"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BbQ0A/JQIAAFg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pZqr3QAAAAoBAAAPAAAAAAAAAAEAIAAAACIAAABkcnMvZG93bnJldi54bWxQSwECFAAU&#10;AAAACACHTuJAW0NAPyUCAABYBAAADgAAAAAAAAABACAAAAAsAQAAZHJzL2Uyb0RvYy54bWxQSwUG&#10;AAAAAAYABgBZAQAAwwUAAAAA&#10;">
            <v:path/>
            <v:fill focussize="0,0"/>
            <v:stroke weight="1.25pt" color="#808080"/>
            <v:imagedata o:title=""/>
            <o:lock v:ext="edit"/>
            <v:textbox>
              <w:txbxContent>
                <w:p>
                  <w:pPr>
                    <w:jc w:val="center"/>
                    <w:rPr>
                      <w:rFonts w:hAnsi="宋体"/>
                    </w:rPr>
                  </w:pPr>
                </w:p>
                <w:p>
                  <w:pPr>
                    <w:rPr>
                      <w:rFonts w:hAnsi="宋体"/>
                    </w:rPr>
                  </w:pPr>
                </w:p>
                <w:p>
                  <w:pPr>
                    <w:jc w:val="center"/>
                    <w:rPr>
                      <w:szCs w:val="21"/>
                    </w:rPr>
                  </w:pPr>
                  <w:r>
                    <w:rPr>
                      <w:rFonts w:hint="eastAsia" w:hAnsi="宋体"/>
                      <w:szCs w:val="21"/>
                    </w:rPr>
                    <w:t>法定代表人身份证复印件反面</w:t>
                  </w:r>
                </w:p>
                <w:p/>
              </w:txbxContent>
            </v:textbox>
          </v:roundrect>
        </w:pict>
      </w:r>
      <w:r>
        <w:rPr>
          <w:rFonts w:hint="eastAsia" w:ascii="宋体" w:hAnsi="宋体" w:eastAsia="宋体" w:cs="宋体"/>
          <w:color w:val="auto"/>
          <w:sz w:val="24"/>
          <w:szCs w:val="24"/>
          <w:shd w:val="clear" w:color="auto" w:fill="auto"/>
        </w:rPr>
        <w:pict>
          <v:roundrect id="_x0000_s1035" o:spid="_x0000_s1035" o:spt="2" style="position:absolute;left:0pt;margin-left:25.35pt;margin-top:44.6pt;height:102.55pt;width:178.8pt;z-index:251663360;mso-width-relative:page;mso-height-relative:page;"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zEoV2wAAAAkBAAAPAAAAAAAAAAEAIAAAACIAAABkcnMvZG93bnJldi54bWxQSwECFAAUAAAA&#10;CACHTuJANal3pCQCAABYBAAADgAAAAAAAAABACAAAAAqAQAAZHJzL2Uyb0RvYy54bWxQSwUGAAAA&#10;AAYABgBZAQAAwAUAAAAA&#10;">
            <v:path/>
            <v:fill focussize="0,0"/>
            <v:stroke weight="1.25pt" color="#808080"/>
            <v:imagedata o:title=""/>
            <o:lock v:ext="edit"/>
            <v:textbox>
              <w:txbxContent>
                <w:p>
                  <w:pPr>
                    <w:jc w:val="center"/>
                    <w:rPr>
                      <w:rFonts w:hAnsi="宋体"/>
                    </w:rPr>
                  </w:pPr>
                </w:p>
                <w:p>
                  <w:pPr>
                    <w:rPr>
                      <w:rFonts w:hAnsi="宋体"/>
                    </w:rPr>
                  </w:pPr>
                </w:p>
                <w:p>
                  <w:pPr>
                    <w:jc w:val="center"/>
                    <w:rPr>
                      <w:szCs w:val="21"/>
                    </w:rPr>
                  </w:pPr>
                  <w:r>
                    <w:rPr>
                      <w:rFonts w:hint="eastAsia" w:hAnsi="宋体"/>
                      <w:szCs w:val="21"/>
                    </w:rPr>
                    <w:t>法定代表人身份证复印件正面</w:t>
                  </w:r>
                </w:p>
                <w:p/>
              </w:txbxContent>
            </v:textbox>
          </v:roundrect>
        </w:pict>
      </w:r>
      <w:r>
        <w:rPr>
          <w:rFonts w:hint="eastAsia" w:ascii="宋体" w:hAnsi="宋体" w:eastAsia="宋体" w:cs="宋体"/>
          <w:color w:val="auto"/>
          <w:sz w:val="24"/>
          <w:szCs w:val="24"/>
          <w:shd w:val="clear" w:color="auto" w:fill="auto"/>
        </w:rPr>
        <w:t>本授权书于年月日签字生效,特此声明。</w:t>
      </w:r>
      <w:r>
        <w:rPr>
          <w:rFonts w:hint="eastAsia" w:ascii="宋体" w:hAnsi="宋体" w:eastAsia="宋体" w:cs="宋体"/>
          <w:color w:val="auto"/>
          <w:sz w:val="24"/>
          <w:szCs w:val="24"/>
          <w:shd w:val="clear" w:color="auto" w:fill="auto"/>
        </w:rPr>
        <w:cr/>
      </w:r>
      <w:r>
        <w:rPr>
          <w:rFonts w:hint="eastAsia" w:ascii="宋体" w:hAnsi="宋体" w:eastAsia="宋体" w:cs="宋体"/>
          <w:color w:val="auto"/>
          <w:sz w:val="24"/>
          <w:szCs w:val="24"/>
          <w:shd w:val="clear" w:color="auto" w:fill="auto"/>
        </w:rPr>
        <w:cr/>
      </w:r>
    </w:p>
    <w:p>
      <w:pPr>
        <w:pStyle w:val="17"/>
        <w:tabs>
          <w:tab w:val="left" w:pos="5580"/>
        </w:tabs>
        <w:spacing w:line="240" w:lineRule="atLeast"/>
        <w:ind w:left="-540" w:leftChars="-257" w:firstLine="900" w:firstLineChars="375"/>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pict>
          <v:roundrect id="_x0000_s1036" o:spid="_x0000_s1036" o:spt="2" style="position:absolute;left:0pt;margin-left:226.55pt;margin-top:3.5pt;height:95.4pt;width:178.65pt;z-index:251662336;mso-width-relative:page;mso-height-relative:page;"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CJPke+JAIAAFg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iOrOvaAAAACQEAAA8AAAAAAAAAAQAgAAAAIgAAAGRycy9kb3ducmV2LnhtbFBLAQIUABQAAAAI&#10;AIdO4kCJPke+JAIAAFgEAAAOAAAAAAAAAAEAIAAAACkBAABkcnMvZTJvRG9jLnhtbFBLBQYAAAAA&#10;BgAGAFkBAAC/BQAAAAA=&#10;">
            <v:path/>
            <v:fill focussize="0,0"/>
            <v:stroke weight="1.25pt" color="#808080"/>
            <v:imagedata o:title=""/>
            <o:lock v:ext="edit"/>
            <v:textbox>
              <w:txbxContent>
                <w:p>
                  <w:pPr>
                    <w:rPr>
                      <w:rFonts w:hAnsi="宋体"/>
                    </w:rPr>
                  </w:pPr>
                </w:p>
                <w:p>
                  <w:pPr>
                    <w:rPr>
                      <w:rFonts w:hAnsi="宋体"/>
                    </w:rPr>
                  </w:pPr>
                </w:p>
                <w:p>
                  <w:r>
                    <w:rPr>
                      <w:rFonts w:hint="eastAsia" w:hAnsi="宋体"/>
                    </w:rPr>
                    <w:t>被授权委托人身份证复印件反面</w:t>
                  </w:r>
                </w:p>
                <w:p/>
              </w:txbxContent>
            </v:textbox>
          </v:roundrect>
        </w:pict>
      </w:r>
      <w:r>
        <w:rPr>
          <w:rFonts w:hint="eastAsia" w:ascii="宋体" w:hAnsi="宋体" w:eastAsia="宋体" w:cs="宋体"/>
          <w:color w:val="auto"/>
          <w:sz w:val="24"/>
          <w:szCs w:val="24"/>
          <w:shd w:val="clear" w:color="auto" w:fill="auto"/>
        </w:rPr>
        <w:pict>
          <v:shape id="_x0000_s1037" o:spid="_x0000_s1037" o:spt="176" type="#_x0000_t176" style="position:absolute;left:0pt;margin-left:27.9pt;margin-top:4.75pt;height:95.25pt;width:177.95pt;z-index:251661312;mso-width-relative:page;mso-height-relative:page;"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zPju7WAAAACAEAAA8AAAAAAAAAAQAgAAAAIgAAAGRycy9kb3ducmV2LnhtbFBLAQIUABQAAAAI&#10;AIdO4kD4/c7HKAIAAFAEAAAOAAAAAAAAAAEAIAAAACUBAABkcnMvZTJvRG9jLnhtbFBLBQYAAAAA&#10;BgAGAFkBAAC/BQAAAAA=&#10;">
            <v:path/>
            <v:fill focussize="0,0"/>
            <v:stroke joinstyle="miter"/>
            <v:imagedata o:title=""/>
            <o:lock v:ext="edit"/>
            <v:textbox>
              <w:txbxContent>
                <w:p>
                  <w:pPr>
                    <w:rPr>
                      <w:rFonts w:hAnsi="宋体"/>
                    </w:rPr>
                  </w:pPr>
                </w:p>
                <w:p>
                  <w:pPr>
                    <w:jc w:val="center"/>
                    <w:rPr>
                      <w:rFonts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ind w:firstLine="240" w:firstLineChars="100"/>
        <w:rPr>
          <w:rFonts w:hint="eastAsia" w:ascii="宋体" w:hAnsi="宋体" w:eastAsia="宋体" w:cs="宋体"/>
          <w:color w:val="auto"/>
          <w:sz w:val="24"/>
          <w:szCs w:val="24"/>
          <w:shd w:val="clear" w:color="auto" w:fill="auto"/>
        </w:rPr>
      </w:pPr>
    </w:p>
    <w:p>
      <w:pPr>
        <w:spacing w:line="360" w:lineRule="auto"/>
        <w:rPr>
          <w:rFonts w:hint="eastAsia" w:ascii="宋体" w:hAnsi="宋体" w:eastAsia="宋体" w:cs="宋体"/>
          <w:color w:val="auto"/>
          <w:sz w:val="24"/>
          <w:szCs w:val="24"/>
          <w:shd w:val="clear" w:color="auto" w:fill="auto"/>
        </w:rPr>
      </w:pPr>
    </w:p>
    <w:p>
      <w:pPr>
        <w:pStyle w:val="17"/>
        <w:tabs>
          <w:tab w:val="left" w:pos="5580"/>
        </w:tabs>
        <w:spacing w:line="240" w:lineRule="atLeast"/>
        <w:rPr>
          <w:rFonts w:hint="eastAsia" w:ascii="宋体" w:hAnsi="宋体" w:eastAsia="宋体" w:cs="宋体"/>
          <w:color w:val="auto"/>
          <w:sz w:val="24"/>
          <w:szCs w:val="24"/>
          <w:shd w:val="clear" w:color="auto" w:fill="auto"/>
        </w:rPr>
      </w:pPr>
    </w:p>
    <w:p>
      <w:pPr>
        <w:pStyle w:val="17"/>
        <w:tabs>
          <w:tab w:val="left" w:pos="5580"/>
        </w:tabs>
        <w:spacing w:line="360" w:lineRule="auto"/>
        <w:ind w:firstLine="960" w:firstLineChars="40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投 标 人（盖章）：</w:t>
      </w:r>
    </w:p>
    <w:p>
      <w:pPr>
        <w:pStyle w:val="17"/>
        <w:tabs>
          <w:tab w:val="left" w:pos="5580"/>
        </w:tabs>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法定代表人（签章）：</w:t>
      </w:r>
    </w:p>
    <w:p>
      <w:pPr>
        <w:pStyle w:val="17"/>
        <w:tabs>
          <w:tab w:val="left" w:pos="5580"/>
        </w:tabs>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u w:val="single" w:color="EEECE1"/>
          <w:shd w:val="clear" w:color="auto" w:fill="auto"/>
        </w:rPr>
        <w:t>身</w:t>
      </w:r>
      <w:r>
        <w:rPr>
          <w:rFonts w:hint="eastAsia" w:ascii="宋体" w:hAnsi="宋体" w:eastAsia="宋体" w:cs="宋体"/>
          <w:color w:val="auto"/>
          <w:sz w:val="24"/>
          <w:szCs w:val="24"/>
          <w:shd w:val="clear" w:color="auto" w:fill="auto"/>
        </w:rPr>
        <w:t>份证号码：</w:t>
      </w:r>
    </w:p>
    <w:p>
      <w:pPr>
        <w:pStyle w:val="17"/>
        <w:tabs>
          <w:tab w:val="left" w:pos="5580"/>
        </w:tabs>
        <w:spacing w:line="360" w:lineRule="auto"/>
        <w:ind w:firstLine="960" w:firstLineChars="40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委托代理人：</w:t>
      </w:r>
    </w:p>
    <w:p>
      <w:pPr>
        <w:pStyle w:val="17"/>
        <w:tabs>
          <w:tab w:val="left" w:pos="5580"/>
        </w:tabs>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身份证号码：</w:t>
      </w:r>
    </w:p>
    <w:p>
      <w:pPr>
        <w:pStyle w:val="17"/>
        <w:tabs>
          <w:tab w:val="left" w:pos="5580"/>
        </w:tabs>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详细通讯地址：</w:t>
      </w:r>
    </w:p>
    <w:p>
      <w:pPr>
        <w:pStyle w:val="17"/>
        <w:tabs>
          <w:tab w:val="left" w:pos="5580"/>
        </w:tabs>
        <w:spacing w:line="360" w:lineRule="auto"/>
        <w:ind w:firstLine="960" w:firstLineChars="40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邮 政 编 码 ：</w:t>
      </w:r>
    </w:p>
    <w:p>
      <w:pPr>
        <w:pStyle w:val="17"/>
        <w:tabs>
          <w:tab w:val="left" w:pos="5580"/>
        </w:tabs>
        <w:spacing w:line="360" w:lineRule="auto"/>
        <w:ind w:firstLine="960" w:firstLineChars="40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日       期 ：</w:t>
      </w:r>
    </w:p>
    <w:p>
      <w:pPr>
        <w:pStyle w:val="17"/>
        <w:tabs>
          <w:tab w:val="left" w:pos="5580"/>
        </w:tabs>
        <w:spacing w:line="360" w:lineRule="auto"/>
        <w:ind w:firstLine="480" w:firstLineChars="200"/>
        <w:rPr>
          <w:rFonts w:hint="eastAsia" w:ascii="宋体" w:hAnsi="宋体" w:eastAsia="宋体" w:cs="宋体"/>
          <w:color w:val="auto"/>
          <w:sz w:val="24"/>
          <w:szCs w:val="24"/>
          <w:u w:val="single"/>
          <w:shd w:val="clear" w:color="auto" w:fill="auto"/>
        </w:rPr>
      </w:pPr>
    </w:p>
    <w:p>
      <w:pPr>
        <w:pStyle w:val="17"/>
        <w:tabs>
          <w:tab w:val="left" w:pos="5580"/>
        </w:tabs>
        <w:spacing w:line="360" w:lineRule="auto"/>
        <w:ind w:firstLine="480" w:firstLineChars="200"/>
        <w:rPr>
          <w:rFonts w:hint="eastAsia" w:ascii="宋体" w:hAnsi="宋体" w:eastAsia="宋体" w:cs="宋体"/>
          <w:color w:val="auto"/>
          <w:sz w:val="24"/>
          <w:szCs w:val="24"/>
          <w:u w:val="single"/>
          <w:shd w:val="clear" w:color="auto" w:fill="auto"/>
        </w:rPr>
      </w:pPr>
    </w:p>
    <w:p>
      <w:pPr>
        <w:tabs>
          <w:tab w:val="left" w:pos="5580"/>
        </w:tabs>
        <w:spacing w:line="360" w:lineRule="exact"/>
        <w:jc w:val="center"/>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br w:type="page"/>
      </w:r>
      <w:r>
        <w:rPr>
          <w:rFonts w:hint="eastAsia" w:ascii="宋体" w:hAnsi="宋体" w:eastAsia="宋体" w:cs="宋体"/>
          <w:b/>
          <w:bCs/>
          <w:color w:val="auto"/>
          <w:sz w:val="24"/>
          <w:szCs w:val="24"/>
          <w:shd w:val="clear" w:color="auto" w:fill="auto"/>
        </w:rPr>
        <w:t>4、投标保证金收据复印件；</w:t>
      </w:r>
    </w:p>
    <w:p>
      <w:pPr>
        <w:pStyle w:val="2"/>
        <w:ind w:left="718" w:leftChars="342"/>
        <w:rPr>
          <w:rFonts w:hint="eastAsia" w:ascii="宋体" w:hAnsi="宋体" w:eastAsia="宋体" w:cs="宋体"/>
          <w:color w:val="auto"/>
          <w:sz w:val="24"/>
          <w:szCs w:val="24"/>
          <w:shd w:val="clear" w:color="auto" w:fill="auto"/>
        </w:rPr>
      </w:pPr>
    </w:p>
    <w:p>
      <w:pPr>
        <w:pStyle w:val="2"/>
        <w:spacing w:line="34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人可将本项目投标保证金支付的汇款凭证、支票、汇票或保证金收据的复印件作为缴纳凭证装订在本部分，复印件上应加盖本单位章；使用银行保函等其他投标担保函的，应将担保函正本，装订在本部分正本中；如采用政府采购信用担保形式的，应使用（投标文件格式四）</w:t>
      </w:r>
    </w:p>
    <w:p>
      <w:pPr>
        <w:pStyle w:val="2"/>
        <w:rPr>
          <w:rFonts w:hint="eastAsia" w:ascii="宋体" w:hAnsi="宋体" w:eastAsia="宋体" w:cs="宋体"/>
          <w:color w:val="auto"/>
          <w:sz w:val="24"/>
          <w:szCs w:val="24"/>
          <w:shd w:val="clear" w:color="auto" w:fill="auto"/>
        </w:rPr>
      </w:pPr>
    </w:p>
    <w:p>
      <w:pPr>
        <w:spacing w:line="240" w:lineRule="atLeast"/>
        <w:rPr>
          <w:rFonts w:hint="eastAsia" w:ascii="宋体" w:hAnsi="宋体" w:eastAsia="宋体" w:cs="宋体"/>
          <w:color w:val="auto"/>
          <w:sz w:val="24"/>
          <w:szCs w:val="24"/>
          <w:shd w:val="clear" w:color="auto" w:fill="auto"/>
        </w:rPr>
      </w:pPr>
    </w:p>
    <w:p>
      <w:pPr>
        <w:pStyle w:val="2"/>
        <w:ind w:left="718" w:leftChars="342"/>
        <w:rPr>
          <w:rFonts w:hint="eastAsia" w:ascii="宋体" w:hAnsi="宋体" w:eastAsia="宋体" w:cs="宋体"/>
          <w:color w:val="auto"/>
          <w:sz w:val="24"/>
          <w:szCs w:val="24"/>
          <w:shd w:val="clear" w:color="auto" w:fill="auto"/>
        </w:rPr>
      </w:pPr>
    </w:p>
    <w:tbl>
      <w:tblPr>
        <w:tblStyle w:val="35"/>
        <w:tblpPr w:leftFromText="180" w:rightFromText="180" w:vertAnchor="text" w:horzAnchor="page" w:tblpX="2886"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7" w:hRule="atLeast"/>
        </w:trPr>
        <w:tc>
          <w:tcPr>
            <w:tcW w:w="5900" w:type="dxa"/>
            <w:noWrap/>
            <w:vAlign w:val="center"/>
          </w:tcPr>
          <w:p>
            <w:pPr>
              <w:pStyle w:val="2"/>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投标保证金收据复印件</w:t>
            </w:r>
          </w:p>
        </w:tc>
      </w:tr>
    </w:tbl>
    <w:p>
      <w:pPr>
        <w:pStyle w:val="30"/>
        <w:spacing w:before="75" w:after="75" w:line="320" w:lineRule="exact"/>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br w:type="page"/>
      </w:r>
      <w:r>
        <w:rPr>
          <w:rFonts w:hint="eastAsia" w:ascii="宋体" w:hAnsi="宋体" w:eastAsia="宋体" w:cs="宋体"/>
          <w:b/>
          <w:bCs/>
          <w:color w:val="auto"/>
          <w:shd w:val="clear" w:color="auto" w:fill="auto"/>
        </w:rPr>
        <w:t xml:space="preserve"> 政府采购投标担保函 （本项目不适用）（投标文件格式四）</w:t>
      </w:r>
    </w:p>
    <w:p>
      <w:pPr>
        <w:spacing w:line="36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（采购人或采购代理机构）：</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鉴于（以下简称“投标人”）拟参加编号为的项目（以下简称“本项目”）投标，根据本项目招标文件，供应商参加投标时应向你方交纳投标保证金，且可以投标担保函的形式交纳投标保证金。应供应商的申请，我方以保证的方式向你方提供如下投标保证金担保：</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一、保证责任的情形及保证金额</w:t>
      </w:r>
    </w:p>
    <w:p>
      <w:pPr>
        <w:pStyle w:val="30"/>
        <w:spacing w:before="75" w:after="75" w:line="360" w:lineRule="auto"/>
        <w:ind w:firstLine="240" w:firstLineChars="1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（一）在投标人出现下列情形之一时，我方承担保证责任：</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1．中标后投标人无正当理由不与采购人或者采购代理机构签订《政府采购合同》；</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2．招标文件规定的投标人应当缴纳保证金的其他情形。</w:t>
      </w:r>
    </w:p>
    <w:p>
      <w:pPr>
        <w:pStyle w:val="30"/>
        <w:spacing w:before="75" w:after="75" w:line="360" w:lineRule="auto"/>
        <w:ind w:firstLine="240" w:firstLineChars="1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（二）我方承担保证责任的最高金额为人民币 元（大写 ），即本项目的投标保证金金额。</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二、保证的方式及保证期间</w:t>
      </w:r>
    </w:p>
    <w:p>
      <w:pPr>
        <w:pStyle w:val="30"/>
        <w:spacing w:before="75" w:after="75" w:line="360" w:lineRule="auto"/>
        <w:ind w:firstLine="960" w:firstLineChars="4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我方保证的方式为：连带责任保证。</w:t>
      </w:r>
    </w:p>
    <w:p>
      <w:pPr>
        <w:pStyle w:val="30"/>
        <w:spacing w:before="75" w:after="75" w:line="360" w:lineRule="auto"/>
        <w:ind w:firstLine="960" w:firstLineChars="4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我方的保证期间为：自本保函生效之日起个月止。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三、承担保证责任的程序</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2.我方在收到索赔通知及相关证明材料后，在个工作日内进行审查，符合应承</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担保证责任情形的，我方应按照你方的要求代投标人向你方支付投标保证金。</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四、保证责任的终止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1.保证期间届满你方未向我方书面主张保证责任的，自保证期间届满次日起，我方保</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证责任自动终止。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2.我方按照本保函向你贵方履行了保证责任后，自我方向你贵方支付款项（支付款项</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从我方账户划出）之日起，保证责任终止。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3.按照法律法规的规定或出现我方保证责任终止的其它情形的，我方在本保函项下的</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保证责任亦终止。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五、免责条款</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1.依照法律规定或你方与投标人的另行约定，全部或者部分免除投标人投标保证金义</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务时，我方亦免除相应的保证责任。</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2.因你方原因致使投标人发生本保函第一条第（一）款约定情形的，我方不承担保证</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责任。</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3.因不可抗力造成投标人发生本保函第一条约定情形的，我方不承担保证责任。</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4.你方或其他有权机关对招标文件进行任何澄清或修改，加重我方保证责任的，我方</w:t>
      </w:r>
    </w:p>
    <w:p>
      <w:pPr>
        <w:pStyle w:val="30"/>
        <w:spacing w:before="75" w:after="75" w:line="360" w:lineRule="auto"/>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对加重部分不承担保证责任，但该澄清或修改经我方事先书面同意的除外。</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六、争议的解决</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因本保函发生的纠纷，由你我双方协商解决，协商不成的，通过诉讼程序解决，诉讼管辖地法院为法院。</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七、保函的生效</w:t>
      </w:r>
    </w:p>
    <w:p>
      <w:pPr>
        <w:pStyle w:val="30"/>
        <w:spacing w:before="75" w:after="75" w:line="360" w:lineRule="auto"/>
        <w:ind w:firstLine="480" w:firstLineChars="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本保函自我方加盖公章之日起生效。</w:t>
      </w:r>
    </w:p>
    <w:p>
      <w:pPr>
        <w:pStyle w:val="30"/>
        <w:spacing w:before="75" w:after="75" w:line="360" w:lineRule="auto"/>
        <w:rPr>
          <w:rFonts w:hint="eastAsia" w:ascii="宋体" w:hAnsi="宋体" w:eastAsia="宋体" w:cs="宋体"/>
          <w:color w:val="auto"/>
          <w:shd w:val="clear" w:color="auto" w:fill="auto"/>
        </w:rPr>
      </w:pPr>
    </w:p>
    <w:p>
      <w:pPr>
        <w:pStyle w:val="30"/>
        <w:spacing w:before="75" w:after="75" w:line="360" w:lineRule="auto"/>
        <w:ind w:firstLine="5760" w:firstLineChars="24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保证人：（公章）</w:t>
      </w:r>
    </w:p>
    <w:p>
      <w:pPr>
        <w:widowControl/>
        <w:spacing w:line="360" w:lineRule="auto"/>
        <w:ind w:firstLine="6000" w:firstLineChars="2500"/>
        <w:jc w:val="left"/>
        <w:rPr>
          <w:rFonts w:hint="eastAsia" w:ascii="宋体" w:hAnsi="宋体" w:eastAsia="宋体" w:cs="宋体"/>
          <w:b/>
          <w:bCs/>
          <w:color w:val="auto"/>
          <w:shd w:val="clear" w:color="auto" w:fill="auto"/>
        </w:rPr>
      </w:pPr>
      <w:r>
        <w:rPr>
          <w:rFonts w:hint="eastAsia" w:ascii="宋体" w:hAnsi="宋体" w:eastAsia="宋体" w:cs="宋体"/>
          <w:color w:val="auto"/>
          <w:sz w:val="24"/>
          <w:szCs w:val="24"/>
          <w:shd w:val="clear" w:color="auto" w:fill="auto"/>
        </w:rPr>
        <w:t>年  月  日</w:t>
      </w:r>
      <w:r>
        <w:rPr>
          <w:rFonts w:hint="eastAsia" w:ascii="宋体" w:hAnsi="宋体" w:eastAsia="宋体" w:cs="宋体"/>
          <w:color w:val="auto"/>
          <w:sz w:val="24"/>
          <w:szCs w:val="24"/>
          <w:shd w:val="clear" w:color="auto" w:fill="auto"/>
        </w:rPr>
        <w:br w:type="page"/>
      </w:r>
      <w:r>
        <w:rPr>
          <w:rFonts w:hint="eastAsia" w:ascii="宋体" w:hAnsi="宋体" w:eastAsia="宋体" w:cs="宋体"/>
          <w:b/>
          <w:bCs/>
          <w:color w:val="auto"/>
          <w:kern w:val="0"/>
          <w:sz w:val="24"/>
          <w:szCs w:val="24"/>
          <w:shd w:val="clear" w:color="auto" w:fill="auto"/>
        </w:rPr>
        <w:t>5、投标人需提供在“信用中国”网</w:t>
      </w:r>
      <w:r>
        <w:rPr>
          <w:rFonts w:hint="eastAsia" w:ascii="宋体" w:hAnsi="宋体" w:eastAsia="宋体" w:cs="宋体"/>
          <w:b/>
          <w:bCs/>
          <w:color w:val="auto"/>
          <w:sz w:val="24"/>
          <w:szCs w:val="24"/>
          <w:shd w:val="clear" w:color="auto" w:fill="auto"/>
        </w:rPr>
        <w:t>站（www.creditchina.gov.cn）和中国政府采购网（www.ccgp.gov.cn）网站上未被列入失信被执行人、重大税收违法案件当事人名单以及政府采购严重违法失信行为记录名单的网页截图并加盖公章（查询时间为公告发布之日起至投标截止时间止）；</w:t>
      </w:r>
    </w:p>
    <w:p>
      <w:pPr>
        <w:pStyle w:val="30"/>
        <w:spacing w:before="75" w:after="75" w:line="360" w:lineRule="auto"/>
        <w:ind w:left="120"/>
        <w:rPr>
          <w:rFonts w:hint="eastAsia" w:ascii="宋体" w:hAnsi="宋体" w:eastAsia="宋体" w:cs="宋体"/>
          <w:b/>
          <w:bCs/>
          <w:color w:val="auto"/>
          <w:shd w:val="clear" w:color="auto" w:fill="auto"/>
        </w:rPr>
      </w:pPr>
    </w:p>
    <w:p>
      <w:pPr>
        <w:pStyle w:val="30"/>
        <w:spacing w:before="75" w:after="75" w:line="360" w:lineRule="auto"/>
        <w:ind w:left="120"/>
        <w:rPr>
          <w:rFonts w:hint="eastAsia" w:ascii="宋体" w:hAnsi="宋体" w:eastAsia="宋体" w:cs="宋体"/>
          <w:b/>
          <w:bCs/>
          <w:color w:val="auto"/>
          <w:shd w:val="clear" w:color="auto" w:fill="auto"/>
        </w:rPr>
      </w:pPr>
    </w:p>
    <w:p>
      <w:pPr>
        <w:pStyle w:val="30"/>
        <w:spacing w:before="75" w:after="75" w:line="360" w:lineRule="auto"/>
        <w:ind w:left="120"/>
        <w:rPr>
          <w:rFonts w:hint="eastAsia" w:ascii="宋体" w:hAnsi="宋体" w:eastAsia="宋体" w:cs="宋体"/>
          <w:b/>
          <w:bCs/>
          <w:color w:val="auto"/>
          <w:shd w:val="clear" w:color="auto" w:fill="auto"/>
        </w:rPr>
      </w:pPr>
    </w:p>
    <w:p>
      <w:pPr>
        <w:widowControl/>
        <w:numPr>
          <w:ilvl w:val="0"/>
          <w:numId w:val="4"/>
        </w:numPr>
        <w:spacing w:line="360" w:lineRule="exact"/>
        <w:jc w:val="left"/>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投标企业及其被授权委托人在项目进行期内提供本单位缴纳的近三个月社保缴纳凭证证明、具有税务局开具依法缴纳的近三个月税收证明并加盖公章；</w:t>
      </w:r>
    </w:p>
    <w:p>
      <w:pPr>
        <w:pStyle w:val="4"/>
        <w:tabs>
          <w:tab w:val="left" w:pos="540"/>
        </w:tabs>
        <w:rPr>
          <w:rFonts w:hint="eastAsia" w:ascii="宋体" w:hAnsi="宋体" w:eastAsia="宋体" w:cs="宋体"/>
          <w:bCs/>
          <w:color w:val="auto"/>
          <w:kern w:val="0"/>
          <w:sz w:val="24"/>
          <w:szCs w:val="24"/>
          <w:shd w:val="clear" w:color="auto" w:fill="auto"/>
        </w:rPr>
      </w:pPr>
    </w:p>
    <w:p>
      <w:pPr>
        <w:pStyle w:val="4"/>
        <w:tabs>
          <w:tab w:val="left" w:pos="540"/>
        </w:tabs>
        <w:rPr>
          <w:rFonts w:hint="eastAsia" w:ascii="宋体" w:hAnsi="宋体" w:eastAsia="宋体" w:cs="宋体"/>
          <w:color w:val="auto"/>
          <w:sz w:val="24"/>
          <w:szCs w:val="24"/>
          <w:shd w:val="clear" w:color="auto" w:fill="auto"/>
        </w:rPr>
      </w:pPr>
    </w:p>
    <w:p>
      <w:pPr>
        <w:rPr>
          <w:rFonts w:hint="eastAsia" w:ascii="宋体" w:hAnsi="宋体" w:eastAsia="宋体" w:cs="宋体"/>
          <w:color w:val="auto"/>
          <w:sz w:val="24"/>
          <w:szCs w:val="24"/>
          <w:shd w:val="clear" w:color="auto" w:fill="auto"/>
        </w:rPr>
      </w:pPr>
    </w:p>
    <w:p>
      <w:pPr>
        <w:pStyle w:val="33"/>
        <w:ind w:firstLine="240"/>
        <w:rPr>
          <w:rFonts w:hint="eastAsia" w:ascii="宋体" w:hAnsi="宋体" w:eastAsia="宋体" w:cs="宋体"/>
          <w:color w:val="auto"/>
          <w:sz w:val="24"/>
          <w:szCs w:val="24"/>
          <w:shd w:val="clear" w:color="auto" w:fill="auto"/>
        </w:rPr>
      </w:pPr>
    </w:p>
    <w:p>
      <w:pPr>
        <w:pStyle w:val="33"/>
        <w:ind w:firstLine="240"/>
        <w:rPr>
          <w:rFonts w:hint="eastAsia" w:ascii="宋体" w:hAnsi="宋体" w:eastAsia="宋体" w:cs="宋体"/>
          <w:color w:val="auto"/>
          <w:sz w:val="24"/>
          <w:szCs w:val="24"/>
          <w:shd w:val="clear" w:color="auto" w:fill="auto"/>
        </w:rPr>
      </w:pPr>
    </w:p>
    <w:p>
      <w:pPr>
        <w:widowControl/>
        <w:numPr>
          <w:ilvl w:val="0"/>
          <w:numId w:val="4"/>
        </w:numPr>
        <w:spacing w:line="360" w:lineRule="exact"/>
        <w:jc w:val="left"/>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提供20</w:t>
      </w:r>
      <w:r>
        <w:rPr>
          <w:rFonts w:hint="eastAsia" w:ascii="宋体" w:hAnsi="宋体" w:eastAsia="宋体" w:cs="宋体"/>
          <w:b/>
          <w:bCs/>
          <w:color w:val="auto"/>
          <w:kern w:val="0"/>
          <w:sz w:val="24"/>
          <w:szCs w:val="24"/>
          <w:shd w:val="clear" w:color="auto" w:fill="auto"/>
          <w:lang w:val="en-US" w:eastAsia="zh-CN"/>
        </w:rPr>
        <w:t>21</w:t>
      </w:r>
      <w:r>
        <w:rPr>
          <w:rFonts w:hint="eastAsia" w:ascii="宋体" w:hAnsi="宋体" w:eastAsia="宋体" w:cs="宋体"/>
          <w:b/>
          <w:bCs/>
          <w:color w:val="auto"/>
          <w:kern w:val="0"/>
          <w:sz w:val="24"/>
          <w:szCs w:val="24"/>
          <w:shd w:val="clear" w:color="auto" w:fill="auto"/>
        </w:rPr>
        <w:t>年度财务审计报告复印件；新公司或其他组织和自然人提供银行出具的资信证明；</w:t>
      </w:r>
    </w:p>
    <w:p>
      <w:pPr>
        <w:pStyle w:val="5"/>
        <w:ind w:firstLine="480"/>
        <w:rPr>
          <w:rFonts w:hint="eastAsia" w:ascii="宋体" w:hAnsi="宋体" w:eastAsia="宋体" w:cs="宋体"/>
          <w:color w:val="auto"/>
          <w:sz w:val="24"/>
          <w:szCs w:val="24"/>
          <w:shd w:val="clear" w:color="auto" w:fill="auto"/>
        </w:rPr>
      </w:pPr>
    </w:p>
    <w:p>
      <w:pPr>
        <w:pStyle w:val="4"/>
        <w:tabs>
          <w:tab w:val="left" w:pos="540"/>
        </w:tabs>
        <w:rPr>
          <w:rFonts w:hint="eastAsia" w:ascii="宋体" w:hAnsi="宋体" w:eastAsia="宋体" w:cs="宋体"/>
          <w:color w:val="auto"/>
          <w:sz w:val="24"/>
          <w:szCs w:val="24"/>
          <w:shd w:val="clear" w:color="auto" w:fill="auto"/>
        </w:rPr>
      </w:pPr>
    </w:p>
    <w:p>
      <w:pPr>
        <w:pStyle w:val="5"/>
        <w:rPr>
          <w:rFonts w:hint="eastAsia" w:ascii="宋体" w:hAnsi="宋体" w:eastAsia="宋体" w:cs="宋体"/>
          <w:color w:val="auto"/>
          <w:shd w:val="clear" w:color="auto" w:fill="auto"/>
        </w:rPr>
      </w:pPr>
    </w:p>
    <w:p>
      <w:pPr>
        <w:rPr>
          <w:rFonts w:hint="eastAsia" w:ascii="宋体" w:hAnsi="宋体" w:eastAsia="宋体" w:cs="宋体"/>
          <w:color w:val="auto"/>
          <w:sz w:val="24"/>
          <w:szCs w:val="24"/>
          <w:shd w:val="clear" w:color="auto" w:fill="auto"/>
        </w:rPr>
      </w:pPr>
    </w:p>
    <w:p>
      <w:pPr>
        <w:pStyle w:val="4"/>
        <w:numPr>
          <w:ilvl w:val="0"/>
          <w:numId w:val="4"/>
        </w:numPr>
        <w:tabs>
          <w:tab w:val="left" w:pos="540"/>
        </w:tabs>
        <w:spacing w:line="360" w:lineRule="exact"/>
        <w:rPr>
          <w:rFonts w:hint="eastAsia" w:ascii="宋体" w:hAnsi="宋体" w:eastAsia="宋体" w:cs="宋体"/>
          <w:bCs/>
          <w:color w:val="auto"/>
          <w:kern w:val="0"/>
          <w:sz w:val="24"/>
          <w:szCs w:val="24"/>
          <w:shd w:val="clear" w:color="auto" w:fill="auto"/>
        </w:rPr>
      </w:pPr>
      <w:bookmarkStart w:id="633" w:name="_Toc9941"/>
      <w:bookmarkStart w:id="634" w:name="_Toc10396"/>
      <w:r>
        <w:rPr>
          <w:rFonts w:hint="eastAsia" w:ascii="宋体" w:hAnsi="宋体" w:eastAsia="宋体" w:cs="宋体"/>
          <w:bCs/>
          <w:color w:val="auto"/>
          <w:kern w:val="0"/>
          <w:sz w:val="24"/>
          <w:szCs w:val="24"/>
          <w:shd w:val="clear" w:color="auto" w:fill="auto"/>
        </w:rPr>
        <w:t>投标单位（供应商）提供针对本次项目《反商业贿赂承诺书》书面声明；</w:t>
      </w:r>
      <w:bookmarkEnd w:id="633"/>
      <w:bookmarkEnd w:id="634"/>
    </w:p>
    <w:p>
      <w:pPr>
        <w:ind w:left="120"/>
        <w:rPr>
          <w:rFonts w:hint="eastAsia" w:ascii="宋体" w:hAnsi="宋体" w:eastAsia="宋体" w:cs="宋体"/>
          <w:color w:val="auto"/>
          <w:sz w:val="24"/>
          <w:szCs w:val="24"/>
          <w:shd w:val="clear" w:color="auto" w:fill="auto"/>
        </w:rPr>
      </w:pPr>
    </w:p>
    <w:p>
      <w:pPr>
        <w:pStyle w:val="33"/>
        <w:ind w:firstLine="240"/>
        <w:rPr>
          <w:rFonts w:hint="eastAsia" w:ascii="宋体" w:hAnsi="宋体" w:eastAsia="宋体" w:cs="宋体"/>
          <w:color w:val="auto"/>
          <w:sz w:val="24"/>
          <w:szCs w:val="24"/>
          <w:shd w:val="clear" w:color="auto" w:fill="auto"/>
        </w:rPr>
      </w:pPr>
    </w:p>
    <w:p>
      <w:pPr>
        <w:pStyle w:val="33"/>
        <w:ind w:firstLine="240"/>
        <w:rPr>
          <w:rFonts w:hint="eastAsia" w:ascii="宋体" w:hAnsi="宋体" w:eastAsia="宋体" w:cs="宋体"/>
          <w:color w:val="auto"/>
          <w:sz w:val="24"/>
          <w:szCs w:val="24"/>
          <w:shd w:val="clear" w:color="auto" w:fill="auto"/>
        </w:rPr>
      </w:pPr>
    </w:p>
    <w:p>
      <w:pPr>
        <w:pStyle w:val="4"/>
        <w:tabs>
          <w:tab w:val="left" w:pos="540"/>
        </w:tabs>
        <w:rPr>
          <w:rFonts w:hint="eastAsia" w:ascii="宋体" w:hAnsi="宋体" w:eastAsia="宋体" w:cs="宋体"/>
          <w:color w:val="auto"/>
          <w:sz w:val="24"/>
          <w:szCs w:val="24"/>
          <w:shd w:val="clear" w:color="auto" w:fill="auto"/>
        </w:rPr>
      </w:pPr>
    </w:p>
    <w:p>
      <w:pPr>
        <w:rPr>
          <w:rFonts w:hint="eastAsia" w:ascii="宋体" w:hAnsi="宋体" w:eastAsia="宋体" w:cs="宋体"/>
          <w:color w:val="auto"/>
          <w:sz w:val="24"/>
          <w:szCs w:val="24"/>
          <w:shd w:val="clear" w:color="auto" w:fill="auto"/>
        </w:rPr>
      </w:pPr>
    </w:p>
    <w:p>
      <w:pPr>
        <w:numPr>
          <w:ilvl w:val="0"/>
          <w:numId w:val="4"/>
        </w:numPr>
        <w:spacing w:line="360" w:lineRule="exact"/>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参加政府采购活动前三年内，在经营活动中没有重大违法记录的书面声明</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说明：1.投标人应按照相关法规规定如实作出说明。</w:t>
      </w:r>
    </w:p>
    <w:p>
      <w:pPr>
        <w:pStyle w:val="17"/>
        <w:tabs>
          <w:tab w:val="left" w:pos="5580"/>
        </w:tabs>
        <w:spacing w:line="240" w:lineRule="atLeast"/>
        <w:ind w:left="645" w:leftChars="307" w:firstLine="600" w:firstLineChars="25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2．按照招标文件的规定加盖本单位章（自然人投标的无需盖章，需要签字）。</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3.如果是联合体投标，联合体各方均需提供上述证明。</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p>
    <w:p>
      <w:pPr>
        <w:rPr>
          <w:rFonts w:hint="eastAsia" w:ascii="宋体" w:hAnsi="宋体" w:eastAsia="宋体" w:cs="宋体"/>
          <w:color w:val="auto"/>
          <w:shd w:val="clear" w:color="auto" w:fill="auto"/>
        </w:rPr>
      </w:pPr>
    </w:p>
    <w:p>
      <w:pPr>
        <w:spacing w:line="360" w:lineRule="exact"/>
        <w:ind w:left="120"/>
        <w:rPr>
          <w:rFonts w:hint="eastAsia" w:ascii="宋体" w:hAnsi="宋体" w:eastAsia="宋体" w:cs="宋体"/>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10</w:t>
      </w:r>
      <w:r>
        <w:rPr>
          <w:rFonts w:hint="eastAsia" w:ascii="宋体" w:hAnsi="宋体" w:eastAsia="宋体" w:cs="宋体"/>
          <w:b/>
          <w:bCs/>
          <w:color w:val="auto"/>
          <w:sz w:val="24"/>
          <w:szCs w:val="24"/>
          <w:shd w:val="clear" w:color="auto" w:fill="auto"/>
        </w:rPr>
        <w:t>、投标人须知资料表要求的其他证明文件；</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说明：1.应提供</w:t>
      </w:r>
      <w:r>
        <w:rPr>
          <w:rFonts w:hint="eastAsia" w:ascii="宋体" w:hAnsi="宋体" w:eastAsia="宋体" w:cs="宋体"/>
          <w:color w:val="auto"/>
          <w:sz w:val="24"/>
          <w:szCs w:val="24"/>
          <w:u w:val="single"/>
          <w:shd w:val="clear" w:color="auto" w:fill="auto"/>
        </w:rPr>
        <w:t>投标人须知资料表</w:t>
      </w:r>
      <w:r>
        <w:rPr>
          <w:rFonts w:hint="eastAsia" w:ascii="宋体" w:hAnsi="宋体" w:eastAsia="宋体" w:cs="宋体"/>
          <w:color w:val="auto"/>
          <w:sz w:val="24"/>
          <w:szCs w:val="24"/>
          <w:shd w:val="clear" w:color="auto" w:fill="auto"/>
        </w:rPr>
        <w:t>要求的其他资格证明文件。</w:t>
      </w:r>
    </w:p>
    <w:p>
      <w:pPr>
        <w:pStyle w:val="17"/>
        <w:tabs>
          <w:tab w:val="left" w:pos="5580"/>
        </w:tabs>
        <w:spacing w:line="240" w:lineRule="atLeas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2.复印件上应加盖本单位章（自然人投标的无需盖章，需要签字）。</w:t>
      </w:r>
    </w:p>
    <w:p>
      <w:pPr>
        <w:pStyle w:val="17"/>
        <w:tabs>
          <w:tab w:val="left" w:pos="5580"/>
        </w:tabs>
        <w:spacing w:line="240" w:lineRule="atLeast"/>
        <w:ind w:left="1260" w:leftChars="344" w:hanging="538"/>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3. 如果是联合体投标，联合体各方需提供的满足招标文件要求的其他资格证明文件。</w:t>
      </w:r>
    </w:p>
    <w:p>
      <w:pPr>
        <w:pStyle w:val="33"/>
        <w:ind w:firstLine="240"/>
        <w:rPr>
          <w:rFonts w:hint="eastAsia" w:ascii="宋体" w:hAnsi="宋体" w:eastAsia="宋体" w:cs="宋体"/>
          <w:color w:val="auto"/>
          <w:sz w:val="24"/>
          <w:szCs w:val="24"/>
          <w:shd w:val="clear" w:color="auto" w:fill="auto"/>
        </w:rPr>
      </w:pPr>
    </w:p>
    <w:p>
      <w:pPr>
        <w:rPr>
          <w:rFonts w:hint="eastAsia" w:ascii="宋体" w:hAnsi="宋体" w:eastAsia="宋体" w:cs="宋体"/>
          <w:color w:val="auto"/>
          <w:sz w:val="24"/>
          <w:szCs w:val="24"/>
          <w:shd w:val="clear" w:color="auto" w:fill="auto"/>
        </w:rPr>
      </w:pPr>
    </w:p>
    <w:p>
      <w:pPr>
        <w:pStyle w:val="4"/>
        <w:tabs>
          <w:tab w:val="left" w:pos="540"/>
        </w:tabs>
        <w:rPr>
          <w:rFonts w:hint="eastAsia" w:ascii="宋体" w:hAnsi="宋体" w:eastAsia="宋体" w:cs="宋体"/>
          <w:color w:val="auto"/>
          <w:sz w:val="24"/>
          <w:szCs w:val="24"/>
          <w:shd w:val="clear" w:color="auto" w:fill="auto"/>
        </w:rPr>
      </w:pPr>
    </w:p>
    <w:p>
      <w:pPr>
        <w:pStyle w:val="4"/>
        <w:tabs>
          <w:tab w:val="left" w:pos="540"/>
        </w:tabs>
        <w:ind w:firstLine="241" w:firstLineChars="100"/>
        <w:rPr>
          <w:rFonts w:hint="eastAsia" w:ascii="宋体" w:hAnsi="宋体" w:eastAsia="宋体" w:cs="宋体"/>
          <w:bCs/>
          <w:color w:val="auto"/>
          <w:sz w:val="24"/>
          <w:szCs w:val="24"/>
          <w:shd w:val="clear" w:color="auto" w:fill="auto"/>
        </w:rPr>
      </w:pPr>
      <w:bookmarkStart w:id="635" w:name="_Toc22951"/>
      <w:bookmarkStart w:id="636" w:name="_Toc3644"/>
      <w:bookmarkStart w:id="637" w:name="_Toc12856"/>
      <w:r>
        <w:rPr>
          <w:rFonts w:hint="eastAsia" w:ascii="宋体" w:hAnsi="宋体" w:eastAsia="宋体" w:cs="宋体"/>
          <w:bCs/>
          <w:color w:val="auto"/>
          <w:sz w:val="24"/>
          <w:szCs w:val="24"/>
          <w:shd w:val="clear" w:color="auto" w:fill="auto"/>
          <w:lang w:val="en-US" w:eastAsia="zh-CN"/>
        </w:rPr>
        <w:t>11</w:t>
      </w:r>
      <w:r>
        <w:rPr>
          <w:rFonts w:hint="eastAsia" w:ascii="宋体" w:hAnsi="宋体" w:eastAsia="宋体" w:cs="宋体"/>
          <w:bCs/>
          <w:color w:val="auto"/>
          <w:sz w:val="24"/>
          <w:szCs w:val="24"/>
          <w:shd w:val="clear" w:color="auto" w:fill="auto"/>
        </w:rPr>
        <w:t>、投标人可提供有利于投标的其他证明材料</w:t>
      </w:r>
      <w:bookmarkEnd w:id="635"/>
      <w:bookmarkEnd w:id="636"/>
      <w:bookmarkEnd w:id="637"/>
    </w:p>
    <w:p>
      <w:pPr>
        <w:pStyle w:val="17"/>
        <w:tabs>
          <w:tab w:val="left" w:pos="5580"/>
        </w:tabs>
        <w:snapToGrid w:val="0"/>
        <w:spacing w:line="360" w:lineRule="exact"/>
        <w:textAlignment w:val="baseline"/>
        <w:rPr>
          <w:rFonts w:hint="eastAsia" w:ascii="宋体" w:hAnsi="宋体" w:eastAsia="宋体" w:cs="宋体"/>
          <w:color w:val="auto"/>
          <w:sz w:val="24"/>
          <w:szCs w:val="24"/>
          <w:u w:val="single" w:color="000000"/>
          <w:shd w:val="clear" w:color="auto" w:fill="auto"/>
        </w:rPr>
      </w:pPr>
    </w:p>
    <w:p>
      <w:pPr>
        <w:pStyle w:val="2"/>
        <w:rPr>
          <w:rFonts w:hint="eastAsia" w:ascii="宋体" w:hAnsi="宋体" w:eastAsia="宋体" w:cs="宋体"/>
          <w:b/>
          <w:color w:val="auto"/>
          <w:sz w:val="24"/>
          <w:shd w:val="clear" w:color="auto" w:fill="auto"/>
        </w:rPr>
      </w:pPr>
      <w:bookmarkStart w:id="638" w:name="_Toc3552"/>
      <w:bookmarkStart w:id="639" w:name="_Toc22967"/>
      <w:bookmarkStart w:id="640" w:name="_Toc515647816"/>
      <w:bookmarkStart w:id="641" w:name="_Toc11956"/>
      <w:bookmarkStart w:id="642" w:name="_Toc12440"/>
      <w:bookmarkStart w:id="643" w:name="_Toc11180"/>
      <w:bookmarkStart w:id="644" w:name="_Toc25827"/>
    </w:p>
    <w:p>
      <w:pPr>
        <w:pStyle w:val="4"/>
        <w:snapToGrid w:val="0"/>
        <w:spacing w:before="0" w:line="240" w:lineRule="atLeast"/>
        <w:ind w:left="1080" w:leftChars="257" w:hanging="540"/>
        <w:textAlignment w:val="baseline"/>
        <w:rPr>
          <w:rFonts w:hint="eastAsia" w:ascii="宋体" w:hAnsi="宋体" w:eastAsia="宋体" w:cs="宋体"/>
          <w:color w:val="auto"/>
          <w:sz w:val="24"/>
          <w:szCs w:val="24"/>
          <w:shd w:val="clear" w:color="auto" w:fill="auto"/>
        </w:rPr>
      </w:pPr>
      <w:bookmarkStart w:id="645" w:name="_Toc13953"/>
    </w:p>
    <w:p>
      <w:pPr>
        <w:pStyle w:val="4"/>
        <w:snapToGrid w:val="0"/>
        <w:spacing w:before="0" w:line="240" w:lineRule="atLeast"/>
        <w:ind w:left="1080" w:leftChars="257" w:hanging="540"/>
        <w:textAlignment w:val="baseline"/>
        <w:rPr>
          <w:rFonts w:hint="eastAsia" w:ascii="宋体" w:hAnsi="宋体" w:eastAsia="宋体" w:cs="宋体"/>
          <w:color w:val="auto"/>
          <w:sz w:val="24"/>
          <w:szCs w:val="24"/>
          <w:shd w:val="clear" w:color="auto" w:fill="auto"/>
        </w:rPr>
      </w:pPr>
    </w:p>
    <w:p>
      <w:pPr>
        <w:pStyle w:val="5"/>
        <w:rPr>
          <w:rFonts w:hint="eastAsia" w:ascii="宋体" w:hAnsi="宋体" w:eastAsia="宋体" w:cs="宋体"/>
          <w:color w:val="auto"/>
          <w:sz w:val="24"/>
          <w:szCs w:val="24"/>
          <w:shd w:val="clear" w:color="auto" w:fill="auto"/>
        </w:rPr>
      </w:pPr>
    </w:p>
    <w:p>
      <w:pPr>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4"/>
        <w:snapToGrid w:val="0"/>
        <w:spacing w:before="0"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第二部分  商务及技术文件</w:t>
      </w:r>
      <w:bookmarkEnd w:id="638"/>
      <w:bookmarkEnd w:id="639"/>
      <w:bookmarkEnd w:id="640"/>
      <w:bookmarkEnd w:id="641"/>
      <w:bookmarkEnd w:id="642"/>
      <w:bookmarkEnd w:id="643"/>
      <w:bookmarkEnd w:id="644"/>
      <w:bookmarkEnd w:id="645"/>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1、磋商书</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2、磋商分项报价表</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3、服务说明一览表</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4、商务条款偏离表</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5、服务规格偏离表</w:t>
      </w:r>
      <w:bookmarkStart w:id="646" w:name="_Toc2883_WPSOffice_Level2"/>
      <w:bookmarkStart w:id="647" w:name="_Toc5136_WPSOffice_Level1"/>
      <w:bookmarkStart w:id="648" w:name="_Toc30193_WPSOffice_Level2"/>
    </w:p>
    <w:bookmarkEnd w:id="646"/>
    <w:bookmarkEnd w:id="647"/>
    <w:bookmarkEnd w:id="648"/>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6-1 中小企业声明函</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6-2 残疾人福利性单位声明函</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7、供应商关联单位的说明</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8、其他有利于磋商的技术条件</w:t>
      </w:r>
    </w:p>
    <w:p>
      <w:pPr>
        <w:pStyle w:val="17"/>
        <w:spacing w:line="360" w:lineRule="exact"/>
        <w:ind w:firstLine="720" w:firstLineChars="3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9、响应文件格式范本</w:t>
      </w:r>
    </w:p>
    <w:p>
      <w:pPr>
        <w:pStyle w:val="17"/>
        <w:snapToGrid w:val="0"/>
        <w:ind w:left="1080" w:leftChars="257" w:hanging="540"/>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17"/>
        <w:tabs>
          <w:tab w:val="left" w:pos="5580"/>
        </w:tabs>
        <w:snapToGrid w:val="0"/>
        <w:spacing w:line="240" w:lineRule="atLeast"/>
        <w:textAlignment w:val="baseline"/>
        <w:rPr>
          <w:rFonts w:hint="eastAsia" w:ascii="宋体" w:hAnsi="宋体" w:eastAsia="宋体" w:cs="宋体"/>
          <w:color w:val="auto"/>
          <w:sz w:val="24"/>
          <w:szCs w:val="24"/>
          <w:shd w:val="clear" w:color="auto" w:fill="auto"/>
        </w:rPr>
      </w:pPr>
    </w:p>
    <w:p>
      <w:pPr>
        <w:pStyle w:val="4"/>
        <w:snapToGrid w:val="0"/>
        <w:spacing w:before="0" w:line="240" w:lineRule="atLeast"/>
        <w:jc w:val="both"/>
        <w:textAlignment w:val="baseline"/>
        <w:rPr>
          <w:rFonts w:hint="eastAsia" w:ascii="宋体" w:hAnsi="宋体" w:eastAsia="宋体" w:cs="宋体"/>
          <w:color w:val="auto"/>
          <w:sz w:val="24"/>
          <w:szCs w:val="24"/>
          <w:shd w:val="clear" w:color="auto" w:fill="auto"/>
        </w:rPr>
      </w:pPr>
      <w:bookmarkStart w:id="649" w:name="_Toc20342"/>
      <w:bookmarkStart w:id="650" w:name="_Toc14915"/>
      <w:bookmarkStart w:id="651" w:name="_Toc22432"/>
      <w:bookmarkStart w:id="652" w:name="_Toc18506"/>
      <w:bookmarkStart w:id="653" w:name="_Toc12852"/>
      <w:bookmarkStart w:id="654" w:name="_Toc8940"/>
      <w:bookmarkStart w:id="655" w:name="_Toc14858"/>
      <w:bookmarkStart w:id="656" w:name="_Toc515647817"/>
      <w:bookmarkStart w:id="657" w:name="_Toc11475"/>
      <w:bookmarkStart w:id="658" w:name="_Toc18614"/>
      <w:bookmarkStart w:id="659" w:name="_Toc2041"/>
    </w:p>
    <w:p>
      <w:pPr>
        <w:rPr>
          <w:rFonts w:hint="eastAsia" w:ascii="宋体" w:hAnsi="宋体" w:eastAsia="宋体" w:cs="宋体"/>
          <w:color w:val="auto"/>
          <w:shd w:val="clear" w:color="auto" w:fill="auto"/>
        </w:rPr>
      </w:pPr>
    </w:p>
    <w:p>
      <w:pPr>
        <w:pStyle w:val="4"/>
        <w:snapToGrid w:val="0"/>
        <w:spacing w:before="0" w:line="240" w:lineRule="atLeast"/>
        <w:ind w:firstLine="3855" w:firstLineChars="1600"/>
        <w:jc w:val="both"/>
        <w:textAlignment w:val="baseline"/>
        <w:rPr>
          <w:rFonts w:hint="eastAsia" w:ascii="宋体" w:hAnsi="宋体" w:eastAsia="宋体" w:cs="宋体"/>
          <w:color w:val="auto"/>
          <w:sz w:val="24"/>
          <w:szCs w:val="24"/>
          <w:shd w:val="clear" w:color="auto" w:fill="auto"/>
        </w:rPr>
      </w:pPr>
    </w:p>
    <w:p>
      <w:pPr>
        <w:pStyle w:val="5"/>
        <w:rPr>
          <w:rFonts w:hint="eastAsia" w:ascii="宋体" w:hAnsi="宋体" w:eastAsia="宋体" w:cs="宋体"/>
          <w:color w:val="auto"/>
          <w:sz w:val="24"/>
          <w:szCs w:val="24"/>
          <w:shd w:val="clear" w:color="auto" w:fill="auto"/>
        </w:rPr>
      </w:pPr>
    </w:p>
    <w:p>
      <w:pPr>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2"/>
        <w:rPr>
          <w:rFonts w:hint="eastAsia" w:ascii="宋体" w:hAnsi="宋体" w:eastAsia="宋体" w:cs="宋体"/>
          <w:color w:val="auto"/>
          <w:sz w:val="24"/>
          <w:szCs w:val="24"/>
          <w:shd w:val="clear" w:color="auto" w:fill="auto"/>
        </w:rPr>
      </w:pPr>
    </w:p>
    <w:p>
      <w:pPr>
        <w:pStyle w:val="4"/>
        <w:snapToGrid w:val="0"/>
        <w:spacing w:before="0" w:line="240" w:lineRule="atLeast"/>
        <w:ind w:firstLine="3855" w:firstLineChars="1600"/>
        <w:jc w:val="both"/>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zCs w:val="24"/>
          <w:shd w:val="clear" w:color="auto" w:fill="auto"/>
        </w:rPr>
        <w:t>1</w:t>
      </w:r>
      <w:bookmarkEnd w:id="618"/>
      <w:bookmarkEnd w:id="619"/>
      <w:bookmarkStart w:id="660" w:name="_Hlt520355504"/>
      <w:bookmarkEnd w:id="660"/>
      <w:r>
        <w:rPr>
          <w:rFonts w:hint="eastAsia" w:ascii="宋体" w:hAnsi="宋体" w:eastAsia="宋体" w:cs="宋体"/>
          <w:color w:val="auto"/>
          <w:sz w:val="24"/>
          <w:szCs w:val="24"/>
          <w:shd w:val="clear" w:color="auto" w:fill="auto"/>
        </w:rPr>
        <w:t>、磋商书</w:t>
      </w:r>
      <w:bookmarkEnd w:id="620"/>
      <w:bookmarkEnd w:id="621"/>
      <w:bookmarkEnd w:id="649"/>
      <w:bookmarkEnd w:id="650"/>
      <w:bookmarkEnd w:id="651"/>
      <w:bookmarkEnd w:id="652"/>
      <w:bookmarkEnd w:id="653"/>
      <w:bookmarkEnd w:id="654"/>
      <w:bookmarkEnd w:id="655"/>
      <w:bookmarkEnd w:id="656"/>
      <w:bookmarkEnd w:id="657"/>
      <w:bookmarkEnd w:id="658"/>
      <w:bookmarkEnd w:id="659"/>
    </w:p>
    <w:p>
      <w:pPr>
        <w:tabs>
          <w:tab w:val="left" w:pos="5580"/>
        </w:tabs>
        <w:snapToGrid w:val="0"/>
        <w:spacing w:line="240" w:lineRule="atLeast"/>
        <w:ind w:left="1080" w:hanging="108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致：</w:t>
      </w:r>
    </w:p>
    <w:p>
      <w:pPr>
        <w:pStyle w:val="17"/>
        <w:tabs>
          <w:tab w:val="left" w:pos="5580"/>
        </w:tabs>
        <w:snapToGrid w:val="0"/>
        <w:spacing w:line="240" w:lineRule="atLeast"/>
        <w:ind w:left="2" w:leftChars="1" w:firstLine="480" w:firstLineChars="20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根据贵方(</w:t>
      </w:r>
      <w:r>
        <w:rPr>
          <w:rFonts w:hint="eastAsia" w:ascii="宋体" w:hAnsi="宋体" w:eastAsia="宋体" w:cs="宋体"/>
          <w:i/>
          <w:color w:val="auto"/>
          <w:sz w:val="24"/>
          <w:szCs w:val="24"/>
          <w:u w:val="single" w:color="000000"/>
          <w:shd w:val="clear" w:color="auto" w:fill="auto"/>
        </w:rPr>
        <w:t>项目名称</w:t>
      </w:r>
      <w:r>
        <w:rPr>
          <w:rFonts w:hint="eastAsia" w:ascii="宋体" w:hAnsi="宋体" w:eastAsia="宋体" w:cs="宋体"/>
          <w:color w:val="auto"/>
          <w:sz w:val="24"/>
          <w:szCs w:val="24"/>
          <w:shd w:val="clear" w:color="auto" w:fill="auto"/>
        </w:rPr>
        <w:t>)项目的磋商邀请(</w:t>
      </w:r>
      <w:r>
        <w:rPr>
          <w:rFonts w:hint="eastAsia" w:ascii="宋体" w:hAnsi="宋体" w:eastAsia="宋体" w:cs="宋体"/>
          <w:i/>
          <w:color w:val="auto"/>
          <w:sz w:val="24"/>
          <w:szCs w:val="24"/>
          <w:u w:val="single" w:color="000000"/>
          <w:shd w:val="clear" w:color="auto" w:fill="auto"/>
        </w:rPr>
        <w:t>项目编号</w:t>
      </w:r>
      <w:r>
        <w:rPr>
          <w:rFonts w:hint="eastAsia" w:ascii="宋体" w:hAnsi="宋体" w:eastAsia="宋体" w:cs="宋体"/>
          <w:color w:val="auto"/>
          <w:sz w:val="24"/>
          <w:szCs w:val="24"/>
          <w:shd w:val="clear" w:color="auto" w:fill="auto"/>
        </w:rPr>
        <w:t>),签字代表(</w:t>
      </w:r>
      <w:r>
        <w:rPr>
          <w:rFonts w:hint="eastAsia" w:ascii="宋体" w:hAnsi="宋体" w:eastAsia="宋体" w:cs="宋体"/>
          <w:i/>
          <w:color w:val="auto"/>
          <w:sz w:val="24"/>
          <w:szCs w:val="24"/>
          <w:u w:val="single" w:color="000000"/>
          <w:shd w:val="clear" w:color="auto" w:fill="auto"/>
        </w:rPr>
        <w:t>姓名、职务</w:t>
      </w:r>
      <w:r>
        <w:rPr>
          <w:rFonts w:hint="eastAsia" w:ascii="宋体" w:hAnsi="宋体" w:eastAsia="宋体" w:cs="宋体"/>
          <w:color w:val="auto"/>
          <w:sz w:val="24"/>
          <w:szCs w:val="24"/>
          <w:shd w:val="clear" w:color="auto" w:fill="auto"/>
        </w:rPr>
        <w:t>)经正式授权并代表供应商（</w:t>
      </w:r>
      <w:r>
        <w:rPr>
          <w:rFonts w:hint="eastAsia" w:ascii="宋体" w:hAnsi="宋体" w:eastAsia="宋体" w:cs="宋体"/>
          <w:i/>
          <w:color w:val="auto"/>
          <w:sz w:val="24"/>
          <w:szCs w:val="24"/>
          <w:u w:val="single" w:color="000000"/>
          <w:shd w:val="clear" w:color="auto" w:fill="auto"/>
        </w:rPr>
        <w:t>名称、地址</w:t>
      </w:r>
      <w:r>
        <w:rPr>
          <w:rFonts w:hint="eastAsia" w:ascii="宋体" w:hAnsi="宋体" w:eastAsia="宋体" w:cs="宋体"/>
          <w:color w:val="auto"/>
          <w:sz w:val="24"/>
          <w:szCs w:val="24"/>
          <w:shd w:val="clear" w:color="auto" w:fill="auto"/>
        </w:rPr>
        <w:t>）提交下述文件正本</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份、副本</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份及电子文档</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份，并以</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形式出具的金额为人民币</w:t>
      </w:r>
      <w:r>
        <w:rPr>
          <w:rFonts w:hint="eastAsia" w:ascii="宋体" w:hAnsi="宋体" w:eastAsia="宋体" w:cs="宋体"/>
          <w:color w:val="auto"/>
          <w:sz w:val="24"/>
          <w:szCs w:val="24"/>
          <w:u w:val="single" w:color="000000"/>
          <w:shd w:val="clear" w:color="auto" w:fill="auto"/>
        </w:rPr>
        <w:t>　　　　</w:t>
      </w:r>
      <w:r>
        <w:rPr>
          <w:rFonts w:hint="eastAsia" w:ascii="宋体" w:hAnsi="宋体" w:eastAsia="宋体" w:cs="宋体"/>
          <w:color w:val="auto"/>
          <w:sz w:val="24"/>
          <w:szCs w:val="24"/>
          <w:shd w:val="clear" w:color="auto" w:fill="auto"/>
        </w:rPr>
        <w:t>元的磋商保证金。</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据此，签字代表宣布同意如下：</w:t>
      </w:r>
    </w:p>
    <w:p>
      <w:pPr>
        <w:pStyle w:val="17"/>
        <w:tabs>
          <w:tab w:val="left" w:pos="720"/>
          <w:tab w:val="left" w:pos="900"/>
        </w:tabs>
        <w:snapToGrid w:val="0"/>
        <w:spacing w:line="240" w:lineRule="atLeast"/>
        <w:ind w:left="769" w:leftChars="257" w:hanging="229"/>
        <w:textAlignment w:val="baseline"/>
        <w:rPr>
          <w:rFonts w:hint="eastAsia" w:ascii="宋体" w:hAnsi="宋体" w:eastAsia="宋体" w:cs="宋体"/>
          <w:color w:val="auto"/>
          <w:sz w:val="24"/>
          <w:szCs w:val="24"/>
          <w:u w:val="single" w:color="000000"/>
          <w:shd w:val="clear" w:color="auto" w:fill="auto"/>
        </w:rPr>
      </w:pPr>
      <w:r>
        <w:rPr>
          <w:rFonts w:hint="eastAsia" w:ascii="宋体" w:hAnsi="宋体" w:eastAsia="宋体" w:cs="宋体"/>
          <w:color w:val="auto"/>
          <w:sz w:val="24"/>
          <w:szCs w:val="24"/>
          <w:shd w:val="clear" w:color="auto" w:fill="auto"/>
        </w:rPr>
        <w:t>（1）附磋商价格表中规定的应提供服务的磋商总价详见磋商开启一览表，</w:t>
      </w:r>
      <w:r>
        <w:rPr>
          <w:rFonts w:hint="eastAsia" w:ascii="宋体" w:hAnsi="宋体" w:eastAsia="宋体" w:cs="宋体"/>
          <w:color w:val="auto"/>
          <w:sz w:val="24"/>
          <w:szCs w:val="24"/>
          <w:u w:val="single" w:color="000000"/>
          <w:shd w:val="clear" w:color="auto" w:fill="auto"/>
        </w:rPr>
        <w:t>其中由小型和</w:t>
      </w:r>
      <w:r>
        <w:rPr>
          <w:rFonts w:hint="eastAsia" w:ascii="宋体" w:hAnsi="宋体" w:eastAsia="宋体" w:cs="宋体"/>
          <w:color w:val="auto"/>
          <w:sz w:val="24"/>
          <w:szCs w:val="24"/>
          <w:shd w:val="clear" w:color="auto" w:fill="auto"/>
        </w:rPr>
        <w:t>微型企业制造产品的价格为</w:t>
      </w:r>
      <w:r>
        <w:rPr>
          <w:rFonts w:hint="eastAsia" w:ascii="宋体" w:hAnsi="宋体" w:eastAsia="宋体" w:cs="宋体"/>
          <w:color w:val="auto"/>
          <w:sz w:val="24"/>
          <w:szCs w:val="24"/>
          <w:u w:val="single" w:color="000000"/>
          <w:shd w:val="clear" w:color="auto" w:fill="auto"/>
        </w:rPr>
        <w:t>　　  （用文字和数字表示），占磋商总价   %</w:t>
      </w:r>
      <w:r>
        <w:rPr>
          <w:rFonts w:hint="eastAsia" w:ascii="宋体" w:hAnsi="宋体" w:eastAsia="宋体" w:cs="宋体"/>
          <w:color w:val="auto"/>
          <w:sz w:val="24"/>
          <w:szCs w:val="24"/>
          <w:shd w:val="clear" w:color="auto" w:fill="auto"/>
        </w:rPr>
        <w:t>。</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（2）本磋商有效期为自磋商截止之日起</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个日历日。</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（3）联合体中的大中型企业和其他自然人、法人或者非法人组织，与联合体中的小型、微型企业之间</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存在、不存在）投资关系（如果是联合体的话）。</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（4）已详细审查全部磋商文件，包括所有补充通知（如果有的话），完全理解并同意放弃对这方面有不明、误解和质疑的权力。</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（5）在规定的磋商开启时间后，遵守磋商文件中有关保证金的规定。</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（6）我方不是为本项目提供整体设计、规范编制或者项目管理、监理、检测等服务的供应商，我方不是采购代理机构的附属机构。</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（7）在领取成交通知书的同时按磋商文件规定的形式，向贵方一次性支付成交服务费。</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（8）按照贵方可能要求，提供与其磋商有关的一切数据或资料，完全理解贵方不一定接受最低价的磋商或收到的任何磋商。</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（9）按照磋商文件的规定履行合同责任和义务。</w:t>
      </w:r>
    </w:p>
    <w:p>
      <w:pPr>
        <w:pStyle w:val="17"/>
        <w:tabs>
          <w:tab w:val="left" w:pos="5580"/>
        </w:tabs>
        <w:snapToGrid w:val="0"/>
        <w:spacing w:line="240" w:lineRule="atLeast"/>
        <w:ind w:left="359" w:leftChars="68" w:hanging="216" w:hangingChars="9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与本磋商有关的一切正式往来信函请寄：</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地址</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 xml:space="preserve">     传真</w:t>
      </w:r>
      <w:r>
        <w:rPr>
          <w:rFonts w:hint="eastAsia" w:ascii="宋体" w:hAnsi="宋体" w:eastAsia="宋体" w:cs="宋体"/>
          <w:color w:val="auto"/>
          <w:sz w:val="24"/>
          <w:szCs w:val="24"/>
          <w:u w:val="single" w:color="000000"/>
          <w:shd w:val="clear" w:color="auto" w:fill="auto"/>
        </w:rPr>
        <w:t xml:space="preserve">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电话</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 xml:space="preserve">     电子函件</w:t>
      </w:r>
      <w:r>
        <w:rPr>
          <w:rFonts w:hint="eastAsia" w:ascii="宋体" w:hAnsi="宋体" w:eastAsia="宋体" w:cs="宋体"/>
          <w:color w:val="auto"/>
          <w:sz w:val="24"/>
          <w:szCs w:val="24"/>
          <w:u w:val="single" w:color="000000"/>
          <w:shd w:val="clear" w:color="auto" w:fill="auto"/>
        </w:rPr>
        <w:t xml:space="preserve">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shd w:val="clear" w:color="auto" w:fill="auto"/>
        </w:rPr>
      </w:pPr>
      <w:r>
        <w:rPr>
          <w:rFonts w:hint="eastAsia" w:ascii="宋体" w:hAnsi="宋体" w:eastAsia="宋体" w:cs="宋体"/>
          <w:color w:val="auto"/>
          <w:sz w:val="24"/>
          <w:szCs w:val="24"/>
          <w:shd w:val="clear" w:color="auto" w:fill="auto"/>
        </w:rPr>
        <w:t>法定代表人或其委托代理人（签/章）</w:t>
      </w:r>
      <w:r>
        <w:rPr>
          <w:rFonts w:hint="eastAsia" w:ascii="宋体" w:hAnsi="宋体" w:eastAsia="宋体" w:cs="宋体"/>
          <w:color w:val="auto"/>
          <w:sz w:val="24"/>
          <w:szCs w:val="24"/>
          <w:u w:val="single" w:color="000000"/>
          <w:shd w:val="clear" w:color="auto" w:fill="auto"/>
        </w:rPr>
        <w:t xml:space="preserve">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供应商名称（全称）</w:t>
      </w:r>
      <w:r>
        <w:rPr>
          <w:rFonts w:hint="eastAsia" w:ascii="宋体" w:hAnsi="宋体" w:eastAsia="宋体" w:cs="宋体"/>
          <w:color w:val="auto"/>
          <w:sz w:val="24"/>
          <w:szCs w:val="24"/>
          <w:u w:val="single" w:color="000000"/>
          <w:shd w:val="clear" w:color="auto" w:fill="auto"/>
        </w:rPr>
        <w:t xml:space="preserve">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供应商开户银行（全称）</w:t>
      </w:r>
      <w:r>
        <w:rPr>
          <w:rFonts w:hint="eastAsia" w:ascii="宋体" w:hAnsi="宋体" w:eastAsia="宋体" w:cs="宋体"/>
          <w:color w:val="auto"/>
          <w:sz w:val="24"/>
          <w:szCs w:val="24"/>
          <w:u w:val="single" w:color="000000"/>
          <w:shd w:val="clear" w:color="auto" w:fill="auto"/>
        </w:rPr>
        <w:t xml:space="preserve">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供应商银行帐号</w:t>
      </w:r>
      <w:r>
        <w:rPr>
          <w:rFonts w:hint="eastAsia" w:ascii="宋体" w:hAnsi="宋体" w:eastAsia="宋体" w:cs="宋体"/>
          <w:color w:val="auto"/>
          <w:sz w:val="24"/>
          <w:szCs w:val="24"/>
          <w:u w:val="single" w:color="000000"/>
          <w:shd w:val="clear" w:color="auto" w:fill="auto"/>
        </w:rPr>
        <w:t>　　　　　　　　 　　</w:t>
      </w:r>
    </w:p>
    <w:p>
      <w:pPr>
        <w:pStyle w:val="17"/>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shd w:val="clear" w:color="auto" w:fill="auto"/>
        </w:rPr>
      </w:pPr>
      <w:r>
        <w:rPr>
          <w:rFonts w:hint="eastAsia" w:ascii="宋体" w:hAnsi="宋体" w:eastAsia="宋体" w:cs="宋体"/>
          <w:color w:val="auto"/>
          <w:sz w:val="24"/>
          <w:szCs w:val="24"/>
          <w:shd w:val="clear" w:color="auto" w:fill="auto"/>
        </w:rPr>
        <w:t>供应商（公章）</w:t>
      </w:r>
      <w:r>
        <w:rPr>
          <w:rFonts w:hint="eastAsia" w:ascii="宋体" w:hAnsi="宋体" w:eastAsia="宋体" w:cs="宋体"/>
          <w:color w:val="auto"/>
          <w:sz w:val="24"/>
          <w:szCs w:val="24"/>
          <w:u w:val="single" w:color="000000"/>
          <w:shd w:val="clear" w:color="auto" w:fill="auto"/>
        </w:rPr>
        <w:t xml:space="preserve">　　　　　　       </w:t>
      </w:r>
      <w:r>
        <w:rPr>
          <w:rFonts w:hint="eastAsia" w:ascii="宋体" w:hAnsi="宋体" w:eastAsia="宋体" w:cs="宋体"/>
          <w:color w:val="auto"/>
          <w:sz w:val="24"/>
          <w:szCs w:val="24"/>
          <w:shd w:val="clear" w:color="auto" w:fill="auto"/>
        </w:rPr>
        <w:t>日期</w:t>
      </w:r>
      <w:r>
        <w:rPr>
          <w:rFonts w:hint="eastAsia" w:ascii="宋体" w:hAnsi="宋体" w:eastAsia="宋体" w:cs="宋体"/>
          <w:color w:val="auto"/>
          <w:sz w:val="24"/>
          <w:szCs w:val="24"/>
          <w:u w:val="single" w:color="000000"/>
          <w:shd w:val="clear" w:color="auto" w:fill="auto"/>
        </w:rPr>
        <w:t>　　　　　　</w:t>
      </w:r>
      <w:bookmarkStart w:id="661" w:name="_Toc216582815"/>
      <w:bookmarkStart w:id="662" w:name="_Toc20897"/>
      <w:bookmarkStart w:id="663" w:name="_Toc515647818"/>
      <w:bookmarkStart w:id="664" w:name="_Toc1881"/>
    </w:p>
    <w:bookmarkEnd w:id="661"/>
    <w:bookmarkEnd w:id="662"/>
    <w:bookmarkEnd w:id="663"/>
    <w:bookmarkEnd w:id="664"/>
    <w:p>
      <w:pPr>
        <w:pStyle w:val="17"/>
        <w:spacing w:line="360" w:lineRule="exact"/>
        <w:rPr>
          <w:rFonts w:hint="eastAsia" w:ascii="宋体" w:hAnsi="宋体" w:eastAsia="宋体" w:cs="宋体"/>
          <w:b/>
          <w:color w:val="auto"/>
          <w:kern w:val="0"/>
          <w:sz w:val="24"/>
          <w:shd w:val="clear" w:color="auto" w:fill="auto"/>
        </w:rPr>
      </w:pPr>
      <w:bookmarkStart w:id="665" w:name="_Toc21814"/>
      <w:bookmarkStart w:id="666" w:name="_Toc23195"/>
      <w:bookmarkStart w:id="667" w:name="_Toc3467"/>
      <w:bookmarkStart w:id="668" w:name="_Toc16278"/>
      <w:bookmarkStart w:id="669" w:name="_Toc18940"/>
      <w:bookmarkStart w:id="670" w:name="_Toc11664"/>
      <w:bookmarkStart w:id="671" w:name="_Toc32628"/>
      <w:bookmarkStart w:id="672" w:name="_Toc14037"/>
      <w:bookmarkStart w:id="673" w:name="_Toc515647819"/>
      <w:bookmarkStart w:id="674" w:name="_Toc216582816"/>
      <w:bookmarkStart w:id="675" w:name="_Toc9921"/>
      <w:bookmarkStart w:id="676" w:name="_Toc22104"/>
      <w:bookmarkStart w:id="677" w:name="_Toc18267"/>
      <w:bookmarkStart w:id="678" w:name="_Toc12151"/>
      <w:bookmarkStart w:id="679" w:name="_Toc6343"/>
      <w:bookmarkStart w:id="680" w:name="_Toc25251"/>
      <w:bookmarkStart w:id="681" w:name="_Toc24292"/>
      <w:bookmarkStart w:id="682" w:name="_Toc22132"/>
    </w:p>
    <w:p>
      <w:pPr>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2"/>
        <w:rPr>
          <w:rFonts w:hint="eastAsia" w:ascii="宋体" w:hAnsi="宋体" w:eastAsia="宋体" w:cs="宋体"/>
          <w:b/>
          <w:color w:val="auto"/>
          <w:kern w:val="0"/>
          <w:sz w:val="24"/>
          <w:shd w:val="clear" w:color="auto" w:fill="auto"/>
        </w:rPr>
      </w:pPr>
    </w:p>
    <w:p>
      <w:pPr>
        <w:pStyle w:val="4"/>
        <w:spacing w:before="0" w:line="360" w:lineRule="exact"/>
        <w:ind w:left="1080" w:leftChars="257" w:hanging="540"/>
        <w:rPr>
          <w:rFonts w:hint="eastAsia" w:ascii="宋体" w:hAnsi="宋体" w:eastAsia="宋体" w:cs="宋体"/>
          <w:color w:val="auto"/>
          <w:sz w:val="24"/>
          <w:szCs w:val="24"/>
          <w:shd w:val="clear" w:color="auto" w:fill="auto"/>
        </w:rPr>
      </w:pPr>
      <w:bookmarkStart w:id="683" w:name="_Toc9529"/>
      <w:bookmarkStart w:id="684" w:name="_Toc10830"/>
      <w:r>
        <w:rPr>
          <w:rFonts w:hint="eastAsia" w:ascii="宋体" w:hAnsi="宋体" w:eastAsia="宋体" w:cs="宋体"/>
          <w:color w:val="auto"/>
          <w:sz w:val="24"/>
          <w:szCs w:val="24"/>
          <w:shd w:val="clear" w:color="auto" w:fill="auto"/>
        </w:rPr>
        <w:t>2</w:t>
      </w:r>
      <w:bookmarkStart w:id="685" w:name="_Toc5101"/>
      <w:r>
        <w:rPr>
          <w:rFonts w:hint="eastAsia" w:ascii="宋体" w:hAnsi="宋体" w:eastAsia="宋体" w:cs="宋体"/>
          <w:color w:val="auto"/>
          <w:sz w:val="24"/>
          <w:szCs w:val="24"/>
          <w:shd w:val="clear" w:color="auto" w:fill="auto"/>
        </w:rPr>
        <w:t>、</w:t>
      </w:r>
      <w:r>
        <w:rPr>
          <w:rFonts w:hint="eastAsia" w:ascii="宋体" w:hAnsi="宋体" w:eastAsia="宋体" w:cs="宋体"/>
          <w:bCs/>
          <w:color w:val="auto"/>
          <w:sz w:val="24"/>
          <w:szCs w:val="24"/>
          <w:shd w:val="clear" w:color="auto" w:fill="auto"/>
        </w:rPr>
        <w:t>磋商分项报价表</w:t>
      </w:r>
      <w:bookmarkEnd w:id="683"/>
      <w:bookmarkEnd w:id="684"/>
      <w:bookmarkEnd w:id="685"/>
    </w:p>
    <w:p>
      <w:pPr>
        <w:pStyle w:val="17"/>
        <w:spacing w:line="360" w:lineRule="exact"/>
        <w:jc w:val="left"/>
        <w:rPr>
          <w:rFonts w:hint="eastAsia" w:ascii="宋体" w:hAnsi="宋体" w:eastAsia="宋体" w:cs="宋体"/>
          <w:color w:val="auto"/>
          <w:sz w:val="24"/>
          <w:szCs w:val="24"/>
          <w:shd w:val="clear" w:color="auto" w:fill="auto"/>
        </w:rPr>
      </w:pPr>
    </w:p>
    <w:p>
      <w:pPr>
        <w:pStyle w:val="17"/>
        <w:spacing w:line="360" w:lineRule="exact"/>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项目名称:                      招标编号:                          　             报价单位：                    人民币万元：</w:t>
      </w:r>
    </w:p>
    <w:tbl>
      <w:tblPr>
        <w:tblStyle w:val="35"/>
        <w:tblpPr w:leftFromText="180" w:rightFromText="180" w:vertAnchor="text" w:horzAnchor="page" w:tblpX="1365" w:tblpY="167"/>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02"/>
        <w:gridCol w:w="2141"/>
        <w:gridCol w:w="1527"/>
        <w:gridCol w:w="1426"/>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1802"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服务名称</w:t>
            </w:r>
          </w:p>
        </w:tc>
        <w:tc>
          <w:tcPr>
            <w:tcW w:w="2141"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服务内容</w:t>
            </w:r>
          </w:p>
        </w:tc>
        <w:tc>
          <w:tcPr>
            <w:tcW w:w="1527"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数量</w:t>
            </w:r>
          </w:p>
        </w:tc>
        <w:tc>
          <w:tcPr>
            <w:tcW w:w="1426"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单价</w:t>
            </w:r>
          </w:p>
        </w:tc>
        <w:tc>
          <w:tcPr>
            <w:tcW w:w="843"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总价</w:t>
            </w:r>
          </w:p>
        </w:tc>
        <w:tc>
          <w:tcPr>
            <w:tcW w:w="801" w:type="dxa"/>
            <w:noWrap/>
            <w:vAlign w:val="center"/>
          </w:tcPr>
          <w:p>
            <w:pPr>
              <w:pStyle w:val="17"/>
              <w:spacing w:line="360" w:lineRule="exact"/>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p>
        </w:tc>
        <w:tc>
          <w:tcPr>
            <w:tcW w:w="1802"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214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527"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426"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43"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0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p>
        </w:tc>
        <w:tc>
          <w:tcPr>
            <w:tcW w:w="1802"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214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527"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426"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43"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0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w:t>
            </w:r>
          </w:p>
        </w:tc>
        <w:tc>
          <w:tcPr>
            <w:tcW w:w="1802"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214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527"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426"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43"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0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w:t>
            </w:r>
          </w:p>
        </w:tc>
        <w:tc>
          <w:tcPr>
            <w:tcW w:w="1802"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214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527"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426"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43"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0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54" w:type="dxa"/>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w:t>
            </w:r>
          </w:p>
        </w:tc>
        <w:tc>
          <w:tcPr>
            <w:tcW w:w="1802"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214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527"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1426"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43"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c>
          <w:tcPr>
            <w:tcW w:w="801" w:type="dxa"/>
            <w:noWrap/>
            <w:vAlign w:val="center"/>
          </w:tcPr>
          <w:p>
            <w:pPr>
              <w:pStyle w:val="17"/>
              <w:spacing w:line="360" w:lineRule="exact"/>
              <w:ind w:left="1080" w:leftChars="257" w:hanging="540"/>
              <w:jc w:val="center"/>
              <w:rPr>
                <w:rFonts w:hint="eastAsia" w:ascii="宋体" w:hAnsi="宋体" w:eastAsia="宋体" w:cs="宋体"/>
                <w:color w:val="auto"/>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294" w:type="dxa"/>
            <w:gridSpan w:val="7"/>
            <w:noWrap/>
            <w:vAlign w:val="center"/>
          </w:tcPr>
          <w:p>
            <w:pPr>
              <w:pStyle w:val="17"/>
              <w:spacing w:line="36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总价：</w:t>
            </w:r>
          </w:p>
        </w:tc>
      </w:tr>
    </w:tbl>
    <w:p>
      <w:pPr>
        <w:pStyle w:val="17"/>
        <w:spacing w:line="360" w:lineRule="exact"/>
        <w:jc w:val="left"/>
        <w:rPr>
          <w:rFonts w:hint="eastAsia" w:ascii="宋体" w:hAnsi="宋体" w:eastAsia="宋体" w:cs="宋体"/>
          <w:color w:val="auto"/>
          <w:sz w:val="24"/>
          <w:szCs w:val="24"/>
          <w:shd w:val="clear" w:color="auto" w:fill="auto"/>
        </w:rPr>
      </w:pPr>
    </w:p>
    <w:p>
      <w:pPr>
        <w:pStyle w:val="17"/>
        <w:spacing w:line="360" w:lineRule="exact"/>
        <w:rPr>
          <w:rFonts w:hint="eastAsia" w:ascii="宋体" w:hAnsi="宋体" w:eastAsia="宋体" w:cs="宋体"/>
          <w:color w:val="auto"/>
          <w:sz w:val="24"/>
          <w:szCs w:val="24"/>
          <w:shd w:val="clear" w:color="auto" w:fill="auto"/>
        </w:rPr>
      </w:pPr>
    </w:p>
    <w:p>
      <w:pPr>
        <w:pStyle w:val="17"/>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法定代表人或其委托代理人（签/章）:</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rPr>
        <w:tab/>
      </w:r>
      <w:r>
        <w:rPr>
          <w:rFonts w:hint="eastAsia" w:ascii="宋体" w:hAnsi="宋体" w:eastAsia="宋体" w:cs="宋体"/>
          <w:color w:val="auto"/>
          <w:sz w:val="24"/>
          <w:szCs w:val="24"/>
          <w:u w:val="single"/>
          <w:shd w:val="clear" w:color="auto" w:fill="auto"/>
        </w:rPr>
        <w:t xml:space="preserve">                 </w:t>
      </w:r>
    </w:p>
    <w:p>
      <w:pPr>
        <w:pStyle w:val="17"/>
        <w:tabs>
          <w:tab w:val="left" w:pos="5370"/>
        </w:tabs>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供应商(公章):</w:t>
      </w:r>
      <w:r>
        <w:rPr>
          <w:rFonts w:hint="eastAsia" w:ascii="宋体" w:hAnsi="宋体" w:eastAsia="宋体" w:cs="宋体"/>
          <w:color w:val="auto"/>
          <w:sz w:val="24"/>
          <w:szCs w:val="24"/>
          <w:u w:val="single"/>
          <w:shd w:val="clear" w:color="auto" w:fill="auto"/>
        </w:rPr>
        <w:tab/>
      </w:r>
    </w:p>
    <w:p>
      <w:pPr>
        <w:pStyle w:val="17"/>
        <w:spacing w:line="360" w:lineRule="exact"/>
        <w:ind w:left="1080" w:leftChars="257" w:hanging="540"/>
        <w:rPr>
          <w:rFonts w:hint="eastAsia" w:ascii="宋体" w:hAnsi="宋体" w:eastAsia="宋体" w:cs="宋体"/>
          <w:color w:val="auto"/>
          <w:sz w:val="24"/>
          <w:szCs w:val="24"/>
          <w:shd w:val="clear" w:color="auto" w:fill="auto"/>
        </w:rPr>
      </w:pPr>
    </w:p>
    <w:p>
      <w:pPr>
        <w:pStyle w:val="17"/>
        <w:spacing w:line="360" w:lineRule="exact"/>
        <w:ind w:left="1080" w:leftChars="257" w:hanging="540"/>
        <w:rPr>
          <w:rFonts w:hint="eastAsia" w:ascii="宋体" w:hAnsi="宋体" w:eastAsia="宋体" w:cs="宋体"/>
          <w:color w:val="auto"/>
          <w:sz w:val="24"/>
          <w:szCs w:val="24"/>
          <w:shd w:val="clear" w:color="auto" w:fill="auto"/>
        </w:rPr>
      </w:pPr>
    </w:p>
    <w:p>
      <w:pPr>
        <w:pStyle w:val="17"/>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注:1.如果供应商认为需要，每种服务内容填写一份该表。</w:t>
      </w:r>
    </w:p>
    <w:p>
      <w:pPr>
        <w:pStyle w:val="17"/>
        <w:spacing w:line="360" w:lineRule="exact"/>
        <w:ind w:left="1079" w:leftChars="428" w:hanging="180" w:hangingChars="75"/>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2.如果按单价计算的结果与总价不一致,以单价为准修正总价。</w:t>
      </w:r>
    </w:p>
    <w:p>
      <w:pPr>
        <w:pStyle w:val="17"/>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3.如果不提供详细分项报价将视为没有实质性响应磋商文件。</w:t>
      </w:r>
    </w:p>
    <w:p>
      <w:pPr>
        <w:pStyle w:val="17"/>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4.上述各项的详细分项报价，应另页描述。</w:t>
      </w:r>
    </w:p>
    <w:p>
      <w:pPr>
        <w:pStyle w:val="17"/>
        <w:spacing w:line="360" w:lineRule="exact"/>
        <w:ind w:left="1080" w:leftChars="257" w:hanging="54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5.如果开标一览表（报价表）内容与响应文件中明细表内容不一致的，以开标一览表（报价表）内容为准。</w:t>
      </w:r>
    </w:p>
    <w:p>
      <w:pPr>
        <w:pStyle w:val="17"/>
        <w:spacing w:line="480" w:lineRule="exact"/>
        <w:ind w:left="1080" w:leftChars="257" w:hanging="540"/>
        <w:rPr>
          <w:rFonts w:hint="eastAsia" w:ascii="宋体" w:hAnsi="宋体" w:eastAsia="宋体" w:cs="宋体"/>
          <w:color w:val="auto"/>
          <w:sz w:val="24"/>
          <w:szCs w:val="24"/>
          <w:shd w:val="clear" w:color="auto" w:fill="auto"/>
        </w:rPr>
      </w:pPr>
    </w:p>
    <w:p>
      <w:pPr>
        <w:pStyle w:val="17"/>
        <w:spacing w:line="480" w:lineRule="exact"/>
        <w:ind w:left="1080" w:leftChars="257" w:hanging="540"/>
        <w:rPr>
          <w:rFonts w:hint="eastAsia" w:ascii="宋体" w:hAnsi="宋体" w:eastAsia="宋体" w:cs="宋体"/>
          <w:color w:val="auto"/>
          <w:sz w:val="24"/>
          <w:szCs w:val="24"/>
          <w:shd w:val="clear" w:color="auto" w:fill="auto"/>
        </w:rPr>
      </w:pPr>
    </w:p>
    <w:p>
      <w:pPr>
        <w:pStyle w:val="17"/>
        <w:spacing w:line="480" w:lineRule="exact"/>
        <w:ind w:left="1080" w:leftChars="257" w:hanging="540"/>
        <w:rPr>
          <w:rFonts w:hint="eastAsia" w:ascii="宋体" w:hAnsi="宋体" w:eastAsia="宋体" w:cs="宋体"/>
          <w:color w:val="auto"/>
          <w:sz w:val="24"/>
          <w:szCs w:val="24"/>
          <w:shd w:val="clear" w:color="auto" w:fill="auto"/>
        </w:rPr>
      </w:pPr>
    </w:p>
    <w:p>
      <w:pPr>
        <w:pStyle w:val="17"/>
        <w:spacing w:line="480" w:lineRule="exact"/>
        <w:ind w:left="1080" w:leftChars="257" w:hanging="540"/>
        <w:rPr>
          <w:rFonts w:hint="eastAsia" w:ascii="宋体" w:hAnsi="宋体" w:eastAsia="宋体" w:cs="宋体"/>
          <w:color w:val="auto"/>
          <w:sz w:val="24"/>
          <w:szCs w:val="24"/>
          <w:shd w:val="clear" w:color="auto" w:fill="auto"/>
        </w:rPr>
      </w:pPr>
    </w:p>
    <w:p>
      <w:pPr>
        <w:pStyle w:val="17"/>
        <w:spacing w:line="480" w:lineRule="exact"/>
        <w:ind w:left="1080" w:leftChars="257" w:hanging="540"/>
        <w:rPr>
          <w:rFonts w:hint="eastAsia" w:ascii="宋体" w:hAnsi="宋体" w:eastAsia="宋体" w:cs="宋体"/>
          <w:color w:val="auto"/>
          <w:sz w:val="24"/>
          <w:szCs w:val="24"/>
          <w:shd w:val="clear" w:color="auto" w:fill="auto"/>
        </w:rPr>
      </w:pPr>
    </w:p>
    <w:p>
      <w:pPr>
        <w:pStyle w:val="17"/>
        <w:spacing w:line="360" w:lineRule="exact"/>
        <w:jc w:val="center"/>
        <w:rPr>
          <w:rFonts w:hint="eastAsia" w:ascii="宋体" w:hAnsi="宋体" w:eastAsia="宋体" w:cs="宋体"/>
          <w:b/>
          <w:color w:val="auto"/>
          <w:kern w:val="0"/>
          <w:sz w:val="24"/>
          <w:shd w:val="clear" w:color="auto" w:fill="auto"/>
        </w:rPr>
      </w:pPr>
    </w:p>
    <w:p>
      <w:pPr>
        <w:pStyle w:val="17"/>
        <w:spacing w:line="360" w:lineRule="exact"/>
        <w:jc w:val="center"/>
        <w:outlineLvl w:val="1"/>
        <w:rPr>
          <w:rFonts w:hint="eastAsia" w:ascii="宋体" w:hAnsi="宋体" w:eastAsia="宋体" w:cs="宋体"/>
          <w:b/>
          <w:color w:val="auto"/>
          <w:kern w:val="0"/>
          <w:sz w:val="24"/>
          <w:shd w:val="clear" w:color="auto" w:fill="auto"/>
        </w:rPr>
      </w:pPr>
      <w:bookmarkStart w:id="686" w:name="_Toc2193"/>
    </w:p>
    <w:p>
      <w:pPr>
        <w:pStyle w:val="17"/>
        <w:spacing w:line="360" w:lineRule="exact"/>
        <w:jc w:val="center"/>
        <w:outlineLvl w:val="1"/>
        <w:rPr>
          <w:rFonts w:hint="eastAsia" w:ascii="宋体" w:hAnsi="宋体" w:eastAsia="宋体" w:cs="宋体"/>
          <w:color w:val="auto"/>
          <w:sz w:val="24"/>
          <w:shd w:val="clear" w:color="auto" w:fill="auto"/>
        </w:rPr>
      </w:pPr>
      <w:r>
        <w:rPr>
          <w:rFonts w:hint="eastAsia" w:ascii="宋体" w:hAnsi="宋体" w:eastAsia="宋体" w:cs="宋体"/>
          <w:b/>
          <w:color w:val="auto"/>
          <w:kern w:val="0"/>
          <w:sz w:val="24"/>
          <w:shd w:val="clear" w:color="auto" w:fill="auto"/>
        </w:rPr>
        <w:t>3、服务说明一览表</w:t>
      </w:r>
      <w:bookmarkEnd w:id="665"/>
      <w:bookmarkEnd w:id="666"/>
      <w:bookmarkEnd w:id="667"/>
      <w:bookmarkEnd w:id="668"/>
      <w:bookmarkEnd w:id="669"/>
      <w:bookmarkEnd w:id="670"/>
      <w:bookmarkEnd w:id="671"/>
      <w:bookmarkEnd w:id="686"/>
    </w:p>
    <w:p>
      <w:pPr>
        <w:pStyle w:val="17"/>
        <w:spacing w:line="240" w:lineRule="atLeas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项目名称:                </w:t>
      </w:r>
    </w:p>
    <w:p>
      <w:pPr>
        <w:pStyle w:val="17"/>
        <w:spacing w:line="240" w:lineRule="atLeas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项目编号:                                         </w:t>
      </w:r>
    </w:p>
    <w:p>
      <w:pPr>
        <w:pStyle w:val="17"/>
        <w:spacing w:line="240" w:lineRule="atLeast"/>
        <w:ind w:left="1080" w:leftChars="257" w:hanging="540"/>
        <w:rPr>
          <w:rFonts w:hint="eastAsia" w:ascii="宋体" w:hAnsi="宋体" w:eastAsia="宋体" w:cs="宋体"/>
          <w:color w:val="auto"/>
          <w:sz w:val="24"/>
          <w:shd w:val="clear" w:color="auto" w:fill="auto"/>
        </w:rPr>
      </w:pP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序号</w:t>
            </w:r>
          </w:p>
        </w:tc>
        <w:tc>
          <w:tcPr>
            <w:tcW w:w="1640"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服务名称</w:t>
            </w:r>
          </w:p>
        </w:tc>
        <w:tc>
          <w:tcPr>
            <w:tcW w:w="1452"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服务内容</w:t>
            </w:r>
          </w:p>
        </w:tc>
        <w:tc>
          <w:tcPr>
            <w:tcW w:w="1428"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服务期</w:t>
            </w:r>
          </w:p>
        </w:tc>
        <w:tc>
          <w:tcPr>
            <w:tcW w:w="1584"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服务地点</w:t>
            </w:r>
          </w:p>
        </w:tc>
        <w:tc>
          <w:tcPr>
            <w:tcW w:w="1584" w:type="dxa"/>
            <w:vAlign w:val="center"/>
          </w:tcPr>
          <w:p>
            <w:pPr>
              <w:pStyle w:val="17"/>
              <w:spacing w:line="240" w:lineRule="atLeas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640"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52"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428"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c>
          <w:tcPr>
            <w:tcW w:w="1584" w:type="dxa"/>
          </w:tcPr>
          <w:p>
            <w:pPr>
              <w:pStyle w:val="17"/>
              <w:spacing w:line="240" w:lineRule="atLeast"/>
              <w:ind w:left="1080" w:leftChars="257" w:hanging="540"/>
              <w:rPr>
                <w:rFonts w:hint="eastAsia" w:ascii="宋体" w:hAnsi="宋体" w:eastAsia="宋体" w:cs="宋体"/>
                <w:color w:val="auto"/>
                <w:sz w:val="24"/>
                <w:shd w:val="clear" w:color="auto" w:fill="auto"/>
              </w:rPr>
            </w:pPr>
          </w:p>
        </w:tc>
      </w:tr>
    </w:tbl>
    <w:p>
      <w:pPr>
        <w:pStyle w:val="17"/>
        <w:spacing w:line="240" w:lineRule="atLeast"/>
        <w:ind w:left="1080" w:leftChars="257" w:hanging="540"/>
        <w:rPr>
          <w:rFonts w:hint="eastAsia" w:ascii="宋体" w:hAnsi="宋体" w:eastAsia="宋体" w:cs="宋体"/>
          <w:color w:val="auto"/>
          <w:sz w:val="24"/>
          <w:shd w:val="clear" w:color="auto" w:fill="auto"/>
        </w:rPr>
      </w:pPr>
    </w:p>
    <w:p>
      <w:pPr>
        <w:pStyle w:val="17"/>
        <w:spacing w:line="240" w:lineRule="atLeas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法定代表人或其委托代理人签字:</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rPr>
        <w:tab/>
      </w:r>
      <w:r>
        <w:rPr>
          <w:rFonts w:hint="eastAsia" w:ascii="宋体" w:hAnsi="宋体" w:eastAsia="宋体" w:cs="宋体"/>
          <w:color w:val="auto"/>
          <w:sz w:val="24"/>
          <w:u w:val="single"/>
          <w:shd w:val="clear" w:color="auto" w:fill="auto"/>
        </w:rPr>
        <w:t xml:space="preserve">                 </w:t>
      </w:r>
    </w:p>
    <w:p>
      <w:pPr>
        <w:pStyle w:val="17"/>
        <w:tabs>
          <w:tab w:val="left" w:pos="5370"/>
        </w:tabs>
        <w:spacing w:line="240" w:lineRule="atLeast"/>
        <w:ind w:left="1080" w:leftChars="257" w:hanging="54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投标人(盖单位章):</w:t>
      </w:r>
      <w:r>
        <w:rPr>
          <w:rFonts w:hint="eastAsia" w:ascii="宋体" w:hAnsi="宋体" w:eastAsia="宋体" w:cs="宋体"/>
          <w:color w:val="auto"/>
          <w:sz w:val="24"/>
          <w:u w:val="single"/>
          <w:shd w:val="clear" w:color="auto" w:fill="auto"/>
        </w:rPr>
        <w:tab/>
      </w:r>
    </w:p>
    <w:p>
      <w:pPr>
        <w:pStyle w:val="17"/>
        <w:spacing w:line="240" w:lineRule="atLeast"/>
        <w:ind w:left="1080" w:leftChars="257" w:hanging="540"/>
        <w:rPr>
          <w:rFonts w:hint="eastAsia" w:ascii="宋体" w:hAnsi="宋体" w:eastAsia="宋体" w:cs="宋体"/>
          <w:color w:val="auto"/>
          <w:sz w:val="24"/>
          <w:shd w:val="clear" w:color="auto" w:fill="auto"/>
        </w:rPr>
      </w:pPr>
    </w:p>
    <w:p>
      <w:pPr>
        <w:pStyle w:val="17"/>
        <w:spacing w:line="240" w:lineRule="atLeas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注: 各项服务详细技术性能应另页描述。</w:t>
      </w:r>
    </w:p>
    <w:p>
      <w:pPr>
        <w:spacing w:line="360" w:lineRule="exact"/>
        <w:ind w:left="1080" w:leftChars="257" w:hanging="540"/>
        <w:rPr>
          <w:rFonts w:hint="eastAsia" w:ascii="宋体" w:hAnsi="宋体" w:eastAsia="宋体" w:cs="宋体"/>
          <w:color w:val="auto"/>
          <w:sz w:val="24"/>
          <w:shd w:val="clear" w:color="auto" w:fill="auto"/>
        </w:rPr>
      </w:pPr>
    </w:p>
    <w:p>
      <w:pPr>
        <w:pStyle w:val="5"/>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5"/>
        <w:ind w:firstLine="0"/>
        <w:rPr>
          <w:rFonts w:hint="eastAsia" w:ascii="宋体" w:hAnsi="宋体" w:eastAsia="宋体" w:cs="宋体"/>
          <w:color w:val="auto"/>
          <w:shd w:val="clear" w:color="auto" w:fill="auto"/>
        </w:rPr>
      </w:pPr>
    </w:p>
    <w:bookmarkEnd w:id="672"/>
    <w:bookmarkEnd w:id="673"/>
    <w:bookmarkEnd w:id="674"/>
    <w:bookmarkEnd w:id="675"/>
    <w:bookmarkEnd w:id="676"/>
    <w:bookmarkEnd w:id="677"/>
    <w:bookmarkEnd w:id="678"/>
    <w:bookmarkEnd w:id="679"/>
    <w:bookmarkEnd w:id="680"/>
    <w:bookmarkEnd w:id="681"/>
    <w:bookmarkEnd w:id="682"/>
    <w:p>
      <w:pPr>
        <w:pStyle w:val="4"/>
        <w:spacing w:before="0" w:line="360" w:lineRule="exact"/>
        <w:rPr>
          <w:rFonts w:hint="eastAsia" w:ascii="宋体" w:hAnsi="宋体" w:eastAsia="宋体" w:cs="宋体"/>
          <w:color w:val="auto"/>
          <w:sz w:val="24"/>
          <w:shd w:val="clear" w:color="auto" w:fill="auto"/>
        </w:rPr>
      </w:pPr>
      <w:bookmarkStart w:id="687" w:name="_Toc4499"/>
      <w:bookmarkStart w:id="688" w:name="_Toc32019"/>
      <w:bookmarkStart w:id="689" w:name="_Toc22947"/>
      <w:bookmarkStart w:id="690" w:name="_Toc31358"/>
      <w:bookmarkStart w:id="691" w:name="_Toc14846"/>
      <w:bookmarkStart w:id="692" w:name="_Toc10773"/>
      <w:bookmarkStart w:id="693" w:name="_Toc28414"/>
      <w:bookmarkStart w:id="694" w:name="_Toc32666"/>
      <w:bookmarkStart w:id="695" w:name="_Toc13093"/>
      <w:bookmarkStart w:id="696" w:name="_Toc3537"/>
      <w:bookmarkStart w:id="697" w:name="_Toc26490"/>
      <w:bookmarkStart w:id="698" w:name="_Toc13229"/>
      <w:bookmarkStart w:id="699" w:name="_Toc23542"/>
      <w:bookmarkStart w:id="700" w:name="_Toc1130"/>
      <w:bookmarkStart w:id="701" w:name="_Toc1232"/>
      <w:bookmarkStart w:id="702" w:name="_Toc515647820"/>
      <w:bookmarkStart w:id="703" w:name="_Toc28959"/>
      <w:bookmarkStart w:id="704" w:name="_Toc216582817"/>
      <w:bookmarkStart w:id="705" w:name="_Toc338"/>
      <w:bookmarkStart w:id="706" w:name="_Toc4880"/>
      <w:bookmarkStart w:id="707" w:name="_Toc9012"/>
      <w:bookmarkStart w:id="708" w:name="_Toc22563"/>
      <w:bookmarkStart w:id="709" w:name="_Toc32689"/>
      <w:bookmarkStart w:id="710" w:name="_Toc24864"/>
    </w:p>
    <w:p>
      <w:pPr>
        <w:pStyle w:val="4"/>
        <w:spacing w:before="0" w:line="360" w:lineRule="exact"/>
        <w:rPr>
          <w:rFonts w:hint="eastAsia" w:ascii="宋体" w:hAnsi="宋体" w:eastAsia="宋体" w:cs="宋体"/>
          <w:color w:val="auto"/>
          <w:sz w:val="24"/>
          <w:shd w:val="clear" w:color="auto" w:fill="auto"/>
        </w:rPr>
      </w:pPr>
    </w:p>
    <w:p>
      <w:pPr>
        <w:pStyle w:val="4"/>
        <w:spacing w:before="0" w:line="36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w:t>
      </w:r>
      <w:bookmarkEnd w:id="687"/>
      <w:bookmarkStart w:id="711" w:name="_Toc26398"/>
      <w:bookmarkStart w:id="712" w:name="_Toc21009"/>
      <w:bookmarkStart w:id="713" w:name="_Toc4342"/>
      <w:bookmarkStart w:id="714" w:name="_Toc4280"/>
      <w:bookmarkStart w:id="715" w:name="_Toc10715377"/>
      <w:bookmarkStart w:id="716" w:name="_Toc28008_WPSOffice_Level1"/>
      <w:r>
        <w:rPr>
          <w:rFonts w:hint="eastAsia" w:ascii="宋体" w:hAnsi="宋体" w:eastAsia="宋体" w:cs="宋体"/>
          <w:color w:val="auto"/>
          <w:sz w:val="24"/>
          <w:shd w:val="clear" w:color="auto" w:fill="auto"/>
        </w:rPr>
        <w:t>、商务条款偏离表</w:t>
      </w:r>
      <w:bookmarkEnd w:id="688"/>
      <w:bookmarkEnd w:id="689"/>
      <w:bookmarkEnd w:id="690"/>
      <w:bookmarkEnd w:id="691"/>
      <w:bookmarkEnd w:id="711"/>
      <w:bookmarkEnd w:id="712"/>
      <w:bookmarkEnd w:id="713"/>
      <w:bookmarkEnd w:id="714"/>
      <w:bookmarkEnd w:id="715"/>
      <w:bookmarkEnd w:id="716"/>
    </w:p>
    <w:p>
      <w:pPr>
        <w:pStyle w:val="17"/>
        <w:spacing w:line="360" w:lineRule="exact"/>
        <w:ind w:left="1080" w:leftChars="257" w:hanging="540"/>
        <w:rPr>
          <w:rFonts w:hint="eastAsia" w:ascii="宋体" w:hAnsi="宋体" w:eastAsia="宋体" w:cs="宋体"/>
          <w:color w:val="auto"/>
          <w:sz w:val="24"/>
          <w:shd w:val="clear" w:color="auto" w:fill="auto"/>
        </w:rPr>
      </w:pPr>
    </w:p>
    <w:p>
      <w:pPr>
        <w:pStyle w:val="17"/>
        <w:spacing w:line="360" w:lineRule="exac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项目名称:                      项目编号:             </w:t>
      </w: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序号</w:t>
            </w:r>
          </w:p>
        </w:tc>
        <w:tc>
          <w:tcPr>
            <w:tcW w:w="2040" w:type="dxa"/>
          </w:tcPr>
          <w:p>
            <w:pPr>
              <w:pStyle w:val="17"/>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磋商文件条款号</w:t>
            </w:r>
          </w:p>
        </w:tc>
        <w:tc>
          <w:tcPr>
            <w:tcW w:w="2520" w:type="dxa"/>
          </w:tcPr>
          <w:p>
            <w:pPr>
              <w:pStyle w:val="17"/>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磋商文件的商务条款</w:t>
            </w:r>
          </w:p>
        </w:tc>
        <w:tc>
          <w:tcPr>
            <w:tcW w:w="2520" w:type="dxa"/>
          </w:tcPr>
          <w:p>
            <w:pPr>
              <w:pStyle w:val="17"/>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响应文件的商务条款</w:t>
            </w:r>
          </w:p>
        </w:tc>
        <w:tc>
          <w:tcPr>
            <w:tcW w:w="900" w:type="dxa"/>
          </w:tcPr>
          <w:p>
            <w:pPr>
              <w:pStyle w:val="17"/>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jc w:val="center"/>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jc w:val="center"/>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04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2520" w:type="dxa"/>
          </w:tcPr>
          <w:p>
            <w:pPr>
              <w:pStyle w:val="17"/>
              <w:spacing w:line="360" w:lineRule="exact"/>
              <w:ind w:left="1080" w:leftChars="257" w:hanging="540"/>
              <w:rPr>
                <w:rFonts w:hint="eastAsia" w:ascii="宋体" w:hAnsi="宋体" w:eastAsia="宋体" w:cs="宋体"/>
                <w:color w:val="auto"/>
                <w:sz w:val="24"/>
                <w:shd w:val="clear" w:color="auto" w:fill="auto"/>
              </w:rPr>
            </w:pPr>
          </w:p>
        </w:tc>
        <w:tc>
          <w:tcPr>
            <w:tcW w:w="900" w:type="dxa"/>
          </w:tcPr>
          <w:p>
            <w:pPr>
              <w:pStyle w:val="17"/>
              <w:spacing w:line="360" w:lineRule="exact"/>
              <w:ind w:left="1080" w:leftChars="257" w:hanging="540"/>
              <w:rPr>
                <w:rFonts w:hint="eastAsia" w:ascii="宋体" w:hAnsi="宋体" w:eastAsia="宋体" w:cs="宋体"/>
                <w:color w:val="auto"/>
                <w:sz w:val="24"/>
                <w:shd w:val="clear" w:color="auto" w:fill="auto"/>
              </w:rPr>
            </w:pPr>
          </w:p>
        </w:tc>
      </w:tr>
    </w:tbl>
    <w:p>
      <w:pPr>
        <w:pStyle w:val="17"/>
        <w:spacing w:line="360" w:lineRule="exact"/>
        <w:ind w:left="1080" w:leftChars="257" w:hanging="540"/>
        <w:rPr>
          <w:rFonts w:hint="eastAsia" w:ascii="宋体" w:hAnsi="宋体" w:eastAsia="宋体" w:cs="宋体"/>
          <w:color w:val="auto"/>
          <w:sz w:val="24"/>
          <w:shd w:val="clear" w:color="auto" w:fill="auto"/>
        </w:rPr>
      </w:pPr>
    </w:p>
    <w:p>
      <w:pPr>
        <w:pStyle w:val="17"/>
        <w:spacing w:line="360" w:lineRule="exact"/>
        <w:ind w:left="1080" w:leftChars="257" w:hanging="540"/>
        <w:rPr>
          <w:rFonts w:hint="eastAsia" w:ascii="宋体" w:hAnsi="宋体" w:eastAsia="宋体" w:cs="宋体"/>
          <w:color w:val="auto"/>
          <w:sz w:val="24"/>
          <w:shd w:val="clear" w:color="auto" w:fill="auto"/>
        </w:rPr>
      </w:pPr>
    </w:p>
    <w:p>
      <w:pPr>
        <w:pStyle w:val="17"/>
        <w:spacing w:line="360" w:lineRule="exact"/>
        <w:ind w:left="1080" w:leftChars="257" w:hanging="54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法定代表人或其委托代理人签字:</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rPr>
        <w:tab/>
      </w:r>
      <w:r>
        <w:rPr>
          <w:rFonts w:hint="eastAsia" w:ascii="宋体" w:hAnsi="宋体" w:eastAsia="宋体" w:cs="宋体"/>
          <w:color w:val="auto"/>
          <w:sz w:val="24"/>
          <w:u w:val="single"/>
          <w:shd w:val="clear" w:color="auto" w:fill="auto"/>
        </w:rPr>
        <w:t xml:space="preserve">                 </w:t>
      </w:r>
    </w:p>
    <w:p>
      <w:pPr>
        <w:pStyle w:val="17"/>
        <w:tabs>
          <w:tab w:val="left" w:pos="5370"/>
        </w:tabs>
        <w:spacing w:line="360" w:lineRule="exact"/>
        <w:ind w:left="1080" w:leftChars="257" w:hanging="540"/>
        <w:rPr>
          <w:rFonts w:hint="eastAsia" w:ascii="宋体" w:hAnsi="宋体" w:eastAsia="宋体" w:cs="宋体"/>
          <w:color w:val="auto"/>
          <w:sz w:val="24"/>
          <w:shd w:val="clear" w:color="auto" w:fill="auto"/>
        </w:rPr>
      </w:pPr>
    </w:p>
    <w:p>
      <w:pPr>
        <w:pStyle w:val="17"/>
        <w:tabs>
          <w:tab w:val="left" w:pos="5370"/>
        </w:tabs>
        <w:spacing w:line="360" w:lineRule="exact"/>
        <w:ind w:left="1080" w:leftChars="257" w:hanging="540"/>
        <w:rPr>
          <w:rFonts w:hint="eastAsia" w:ascii="宋体" w:hAnsi="宋体" w:eastAsia="宋体" w:cs="宋体"/>
          <w:color w:val="auto"/>
          <w:sz w:val="24"/>
          <w:shd w:val="clear" w:color="auto" w:fill="auto"/>
        </w:rPr>
      </w:pPr>
    </w:p>
    <w:p>
      <w:pPr>
        <w:pStyle w:val="17"/>
        <w:tabs>
          <w:tab w:val="left" w:pos="5370"/>
        </w:tabs>
        <w:spacing w:line="360" w:lineRule="exact"/>
        <w:ind w:left="1080" w:leftChars="257" w:hanging="54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供应商(盖单位章):</w:t>
      </w:r>
      <w:r>
        <w:rPr>
          <w:rFonts w:hint="eastAsia" w:ascii="宋体" w:hAnsi="宋体" w:eastAsia="宋体" w:cs="宋体"/>
          <w:color w:val="auto"/>
          <w:sz w:val="24"/>
          <w:u w:val="single"/>
          <w:shd w:val="clear" w:color="auto" w:fill="auto"/>
        </w:rPr>
        <w:tab/>
      </w:r>
    </w:p>
    <w:p>
      <w:pPr>
        <w:pStyle w:val="17"/>
        <w:spacing w:line="360" w:lineRule="exact"/>
        <w:rPr>
          <w:rFonts w:hint="eastAsia" w:ascii="宋体" w:hAnsi="宋体" w:eastAsia="宋体" w:cs="宋体"/>
          <w:color w:val="auto"/>
          <w:sz w:val="24"/>
          <w:u w:val="single"/>
          <w:shd w:val="clear" w:color="auto" w:fill="auto"/>
        </w:rPr>
      </w:pPr>
    </w:p>
    <w:p>
      <w:pPr>
        <w:pStyle w:val="17"/>
        <w:spacing w:line="360" w:lineRule="exact"/>
        <w:rPr>
          <w:rFonts w:hint="eastAsia" w:ascii="宋体" w:hAnsi="宋体" w:eastAsia="宋体" w:cs="宋体"/>
          <w:color w:val="auto"/>
          <w:sz w:val="24"/>
          <w:u w:val="single"/>
          <w:shd w:val="clear" w:color="auto" w:fill="auto"/>
        </w:rPr>
      </w:pPr>
    </w:p>
    <w:p>
      <w:pPr>
        <w:pStyle w:val="17"/>
        <w:spacing w:line="360" w:lineRule="exact"/>
        <w:rPr>
          <w:rFonts w:hint="eastAsia" w:ascii="宋体" w:hAnsi="宋体" w:eastAsia="宋体" w:cs="宋体"/>
          <w:color w:val="auto"/>
          <w:sz w:val="24"/>
          <w:u w:val="single"/>
          <w:shd w:val="clear" w:color="auto" w:fill="auto"/>
        </w:rPr>
      </w:pPr>
    </w:p>
    <w:p>
      <w:pPr>
        <w:pStyle w:val="83"/>
        <w:widowControl/>
        <w:spacing w:line="240" w:lineRule="atLeast"/>
        <w:ind w:firstLine="2650" w:firstLineChars="1100"/>
        <w:outlineLvl w:val="1"/>
        <w:rPr>
          <w:rStyle w:val="84"/>
          <w:rFonts w:hint="eastAsia" w:ascii="宋体" w:hAnsi="宋体" w:eastAsia="宋体" w:cs="宋体"/>
          <w:b/>
          <w:bCs/>
          <w:color w:val="auto"/>
          <w:sz w:val="24"/>
          <w:shd w:val="clear" w:color="auto" w:fill="auto"/>
        </w:rPr>
      </w:pPr>
      <w:bookmarkStart w:id="717" w:name="_Toc17799"/>
      <w:bookmarkStart w:id="718" w:name="_Toc11948"/>
      <w:r>
        <w:rPr>
          <w:rStyle w:val="84"/>
          <w:rFonts w:hint="eastAsia" w:ascii="宋体" w:hAnsi="宋体" w:eastAsia="宋体" w:cs="宋体"/>
          <w:b/>
          <w:bCs/>
          <w:color w:val="auto"/>
          <w:sz w:val="24"/>
          <w:shd w:val="clear" w:color="auto" w:fill="auto"/>
        </w:rPr>
        <w:t>5、服务规格偏离表</w:t>
      </w:r>
      <w:bookmarkEnd w:id="717"/>
      <w:bookmarkEnd w:id="718"/>
    </w:p>
    <w:p>
      <w:pPr>
        <w:pStyle w:val="83"/>
        <w:widowControl/>
        <w:spacing w:line="240" w:lineRule="atLeast"/>
        <w:ind w:left="1080" w:leftChars="257" w:hanging="540"/>
        <w:rPr>
          <w:rStyle w:val="84"/>
          <w:rFonts w:hint="eastAsia" w:ascii="宋体" w:hAnsi="宋体" w:eastAsia="宋体" w:cs="宋体"/>
          <w:color w:val="auto"/>
          <w:sz w:val="24"/>
          <w:shd w:val="clear" w:color="auto" w:fill="auto"/>
        </w:rPr>
      </w:pPr>
    </w:p>
    <w:p>
      <w:pPr>
        <w:pStyle w:val="83"/>
        <w:widowControl/>
        <w:spacing w:line="400" w:lineRule="exact"/>
        <w:ind w:firstLine="960" w:firstLineChars="400"/>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 xml:space="preserve">项目名称:                       招标编号:          </w:t>
      </w:r>
    </w:p>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bl>
      <w:tblPr>
        <w:tblStyle w:val="35"/>
        <w:tblW w:w="7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1867"/>
        <w:gridCol w:w="1608"/>
        <w:gridCol w:w="1116"/>
        <w:gridCol w:w="948"/>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序号</w:t>
            </w:r>
          </w:p>
        </w:tc>
        <w:tc>
          <w:tcPr>
            <w:tcW w:w="1867"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服务名称</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采购规格</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响应规格</w:t>
            </w:r>
          </w:p>
        </w:tc>
        <w:tc>
          <w:tcPr>
            <w:tcW w:w="948"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偏离</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83"/>
              <w:widowControl/>
              <w:spacing w:line="400" w:lineRule="exact"/>
              <w:jc w:val="center"/>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867"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60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116"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948"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c>
          <w:tcPr>
            <w:tcW w:w="1392" w:type="dxa"/>
            <w:tcBorders>
              <w:top w:val="single" w:color="000000" w:sz="4" w:space="0"/>
              <w:left w:val="single" w:color="000000" w:sz="4" w:space="0"/>
              <w:bottom w:val="single" w:color="000000" w:sz="4" w:space="0"/>
              <w:right w:val="single" w:color="000000" w:sz="4" w:space="0"/>
            </w:tcBorders>
          </w:tcPr>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p>
        </w:tc>
      </w:tr>
    </w:tbl>
    <w:p>
      <w:pPr>
        <w:pStyle w:val="83"/>
        <w:widowControl/>
        <w:spacing w:line="400" w:lineRule="exact"/>
        <w:rPr>
          <w:rStyle w:val="84"/>
          <w:rFonts w:hint="eastAsia" w:ascii="宋体" w:hAnsi="宋体" w:eastAsia="宋体" w:cs="宋体"/>
          <w:color w:val="auto"/>
          <w:sz w:val="24"/>
          <w:shd w:val="clear" w:color="auto" w:fill="auto"/>
        </w:rPr>
      </w:pPr>
    </w:p>
    <w:p>
      <w:pPr>
        <w:pStyle w:val="83"/>
        <w:widowControl/>
        <w:spacing w:line="400" w:lineRule="exact"/>
        <w:ind w:left="1080" w:leftChars="257" w:hanging="540"/>
        <w:rPr>
          <w:rStyle w:val="84"/>
          <w:rFonts w:hint="eastAsia" w:ascii="宋体" w:hAnsi="宋体" w:eastAsia="宋体" w:cs="宋体"/>
          <w:color w:val="auto"/>
          <w:sz w:val="24"/>
          <w:shd w:val="clear" w:color="auto" w:fill="auto"/>
        </w:rPr>
      </w:pPr>
      <w:r>
        <w:rPr>
          <w:rStyle w:val="84"/>
          <w:rFonts w:hint="eastAsia" w:ascii="宋体" w:hAnsi="宋体" w:eastAsia="宋体" w:cs="宋体"/>
          <w:color w:val="auto"/>
          <w:sz w:val="24"/>
          <w:shd w:val="clear" w:color="auto" w:fill="auto"/>
        </w:rPr>
        <w:t>法定代表人或其委托代理人（签/章）:</w:t>
      </w:r>
      <w:r>
        <w:rPr>
          <w:rStyle w:val="84"/>
          <w:rFonts w:hint="eastAsia" w:ascii="宋体" w:hAnsi="宋体" w:eastAsia="宋体" w:cs="宋体"/>
          <w:color w:val="auto"/>
          <w:sz w:val="24"/>
          <w:u w:val="single"/>
          <w:shd w:val="clear" w:color="auto" w:fill="auto"/>
        </w:rPr>
        <w:t xml:space="preserve"> </w:t>
      </w:r>
      <w:r>
        <w:rPr>
          <w:rStyle w:val="84"/>
          <w:rFonts w:hint="eastAsia" w:ascii="宋体" w:hAnsi="宋体" w:eastAsia="宋体" w:cs="宋体"/>
          <w:color w:val="auto"/>
          <w:sz w:val="24"/>
          <w:u w:val="single"/>
          <w:shd w:val="clear" w:color="auto" w:fill="auto"/>
        </w:rPr>
        <w:tab/>
      </w:r>
      <w:r>
        <w:rPr>
          <w:rStyle w:val="84"/>
          <w:rFonts w:hint="eastAsia" w:ascii="宋体" w:hAnsi="宋体" w:eastAsia="宋体" w:cs="宋体"/>
          <w:color w:val="auto"/>
          <w:sz w:val="24"/>
          <w:u w:val="single"/>
          <w:shd w:val="clear" w:color="auto" w:fill="auto"/>
        </w:rPr>
        <w:t xml:space="preserve">                 </w:t>
      </w:r>
    </w:p>
    <w:p>
      <w:pPr>
        <w:pStyle w:val="83"/>
        <w:widowControl/>
        <w:tabs>
          <w:tab w:val="left" w:pos="5370"/>
        </w:tabs>
        <w:spacing w:line="400" w:lineRule="exact"/>
        <w:ind w:left="1080" w:leftChars="257" w:hanging="540"/>
        <w:rPr>
          <w:rStyle w:val="84"/>
          <w:rFonts w:hint="eastAsia" w:ascii="宋体" w:hAnsi="宋体" w:eastAsia="宋体" w:cs="宋体"/>
          <w:color w:val="auto"/>
          <w:sz w:val="24"/>
          <w:shd w:val="clear" w:color="auto" w:fill="auto"/>
        </w:rPr>
      </w:pPr>
    </w:p>
    <w:p>
      <w:pPr>
        <w:pStyle w:val="83"/>
        <w:widowControl/>
        <w:tabs>
          <w:tab w:val="left" w:pos="5370"/>
        </w:tabs>
        <w:spacing w:line="400" w:lineRule="exact"/>
        <w:ind w:left="1080" w:leftChars="257" w:hanging="540"/>
        <w:rPr>
          <w:rStyle w:val="84"/>
          <w:rFonts w:hint="eastAsia" w:ascii="宋体" w:hAnsi="宋体" w:eastAsia="宋体" w:cs="宋体"/>
          <w:color w:val="auto"/>
          <w:sz w:val="24"/>
          <w:shd w:val="clear" w:color="auto" w:fill="auto"/>
        </w:rPr>
      </w:pPr>
    </w:p>
    <w:p>
      <w:pPr>
        <w:pStyle w:val="83"/>
        <w:widowControl/>
        <w:tabs>
          <w:tab w:val="left" w:pos="5370"/>
        </w:tabs>
        <w:spacing w:line="400" w:lineRule="exact"/>
        <w:ind w:left="1080" w:leftChars="257" w:hanging="540"/>
        <w:rPr>
          <w:rStyle w:val="84"/>
          <w:rFonts w:hint="eastAsia" w:ascii="宋体" w:hAnsi="宋体" w:eastAsia="宋体" w:cs="宋体"/>
          <w:color w:val="auto"/>
          <w:sz w:val="24"/>
          <w:shd w:val="clear" w:color="auto" w:fill="auto"/>
        </w:rPr>
      </w:pPr>
    </w:p>
    <w:p>
      <w:pPr>
        <w:pStyle w:val="83"/>
        <w:widowControl/>
        <w:tabs>
          <w:tab w:val="left" w:pos="5370"/>
        </w:tabs>
        <w:spacing w:line="400" w:lineRule="exact"/>
        <w:ind w:left="1080" w:leftChars="257" w:hanging="540"/>
        <w:rPr>
          <w:rStyle w:val="84"/>
          <w:rFonts w:hint="eastAsia" w:ascii="宋体" w:hAnsi="宋体" w:eastAsia="宋体" w:cs="宋体"/>
          <w:b/>
          <w:bCs/>
          <w:color w:val="auto"/>
          <w:sz w:val="24"/>
          <w:shd w:val="clear" w:color="auto" w:fill="auto"/>
        </w:rPr>
      </w:pPr>
      <w:r>
        <w:rPr>
          <w:rStyle w:val="84"/>
          <w:rFonts w:hint="eastAsia" w:ascii="宋体" w:hAnsi="宋体" w:eastAsia="宋体" w:cs="宋体"/>
          <w:color w:val="auto"/>
          <w:sz w:val="24"/>
          <w:shd w:val="clear" w:color="auto" w:fill="auto"/>
        </w:rPr>
        <w:t>供应商(公章):</w:t>
      </w:r>
      <w:r>
        <w:rPr>
          <w:rStyle w:val="84"/>
          <w:rFonts w:hint="eastAsia" w:ascii="宋体" w:hAnsi="宋体" w:eastAsia="宋体" w:cs="宋体"/>
          <w:color w:val="auto"/>
          <w:sz w:val="24"/>
          <w:u w:val="single"/>
          <w:shd w:val="clear" w:color="auto" w:fill="auto"/>
        </w:rPr>
        <w:tab/>
      </w:r>
    </w:p>
    <w:p>
      <w:pPr>
        <w:spacing w:line="400" w:lineRule="exact"/>
        <w:textAlignment w:val="baseline"/>
        <w:rPr>
          <w:rStyle w:val="84"/>
          <w:rFonts w:hint="eastAsia" w:ascii="宋体" w:hAnsi="宋体" w:eastAsia="宋体" w:cs="宋体"/>
          <w:color w:val="auto"/>
          <w:sz w:val="24"/>
          <w:shd w:val="clear" w:color="auto" w:fill="auto"/>
        </w:rPr>
      </w:pPr>
    </w:p>
    <w:bookmarkEnd w:id="692"/>
    <w:bookmarkEnd w:id="693"/>
    <w:bookmarkEnd w:id="694"/>
    <w:bookmarkEnd w:id="695"/>
    <w:bookmarkEnd w:id="696"/>
    <w:bookmarkEnd w:id="697"/>
    <w:bookmarkEnd w:id="698"/>
    <w:bookmarkEnd w:id="699"/>
    <w:p>
      <w:pPr>
        <w:pStyle w:val="17"/>
        <w:tabs>
          <w:tab w:val="left" w:pos="537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37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37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370"/>
        </w:tabs>
        <w:spacing w:line="240" w:lineRule="atLeast"/>
        <w:ind w:left="1080" w:leftChars="257" w:hanging="540"/>
        <w:rPr>
          <w:rFonts w:hint="eastAsia" w:ascii="宋体" w:hAnsi="宋体" w:eastAsia="宋体" w:cs="宋体"/>
          <w:color w:val="auto"/>
          <w:sz w:val="24"/>
          <w:szCs w:val="24"/>
          <w:u w:val="single"/>
          <w:shd w:val="clear" w:color="auto" w:fill="auto"/>
        </w:rPr>
      </w:pPr>
    </w:p>
    <w:p>
      <w:pPr>
        <w:pStyle w:val="17"/>
        <w:tabs>
          <w:tab w:val="left" w:pos="5370"/>
        </w:tabs>
        <w:spacing w:line="240" w:lineRule="atLeast"/>
        <w:ind w:left="1080" w:leftChars="257" w:hanging="540"/>
        <w:rPr>
          <w:rFonts w:hint="eastAsia" w:ascii="宋体" w:hAnsi="宋体" w:eastAsia="宋体" w:cs="宋体"/>
          <w:color w:val="auto"/>
          <w:sz w:val="24"/>
          <w:szCs w:val="24"/>
          <w:u w:val="single"/>
          <w:shd w:val="clear" w:color="auto" w:fill="auto"/>
        </w:rPr>
      </w:pPr>
    </w:p>
    <w:bookmarkEnd w:id="700"/>
    <w:bookmarkEnd w:id="701"/>
    <w:bookmarkEnd w:id="702"/>
    <w:bookmarkEnd w:id="703"/>
    <w:bookmarkEnd w:id="704"/>
    <w:bookmarkEnd w:id="705"/>
    <w:bookmarkEnd w:id="706"/>
    <w:bookmarkEnd w:id="707"/>
    <w:bookmarkEnd w:id="708"/>
    <w:bookmarkEnd w:id="709"/>
    <w:bookmarkEnd w:id="710"/>
    <w:p>
      <w:pPr>
        <w:pStyle w:val="17"/>
        <w:snapToGrid w:val="0"/>
        <w:spacing w:line="240" w:lineRule="atLeast"/>
        <w:textAlignment w:val="baseline"/>
        <w:rPr>
          <w:rFonts w:hint="eastAsia" w:ascii="宋体" w:hAnsi="宋体" w:eastAsia="宋体" w:cs="宋体"/>
          <w:color w:val="auto"/>
          <w:sz w:val="24"/>
          <w:szCs w:val="24"/>
          <w:shd w:val="clear" w:color="auto" w:fill="auto"/>
        </w:rPr>
      </w:pPr>
    </w:p>
    <w:p>
      <w:pPr>
        <w:pStyle w:val="4"/>
        <w:spacing w:before="0" w:line="240" w:lineRule="atLeast"/>
        <w:rPr>
          <w:rStyle w:val="84"/>
          <w:rFonts w:hint="eastAsia" w:ascii="宋体" w:hAnsi="宋体" w:eastAsia="宋体" w:cs="宋体"/>
          <w:bCs/>
          <w:color w:val="auto"/>
          <w:sz w:val="24"/>
          <w:shd w:val="clear" w:color="auto" w:fill="auto"/>
        </w:rPr>
      </w:pPr>
      <w:bookmarkStart w:id="719" w:name="_Hlt520350957"/>
      <w:bookmarkEnd w:id="719"/>
      <w:bookmarkStart w:id="720" w:name="_Hlt520343392"/>
      <w:bookmarkEnd w:id="720"/>
      <w:bookmarkStart w:id="721" w:name="_Hlt520274065"/>
      <w:bookmarkEnd w:id="721"/>
      <w:bookmarkStart w:id="722" w:name="_Hlt520274407"/>
      <w:bookmarkEnd w:id="722"/>
      <w:bookmarkStart w:id="723" w:name="_Hlt520271212"/>
      <w:bookmarkEnd w:id="723"/>
      <w:bookmarkStart w:id="724" w:name="_Hlt520343000"/>
      <w:bookmarkEnd w:id="724"/>
      <w:bookmarkStart w:id="725" w:name="_Hlt520350918"/>
      <w:bookmarkEnd w:id="725"/>
      <w:bookmarkStart w:id="726" w:name="_Hlt520274393"/>
      <w:bookmarkEnd w:id="726"/>
      <w:bookmarkStart w:id="727" w:name="_Hlt520273711"/>
      <w:bookmarkEnd w:id="727"/>
      <w:bookmarkStart w:id="728" w:name="_Hlt520273973"/>
      <w:bookmarkEnd w:id="728"/>
      <w:bookmarkStart w:id="729" w:name="_Hlt520274911"/>
      <w:bookmarkEnd w:id="729"/>
      <w:bookmarkStart w:id="730" w:name="_Toc15566"/>
      <w:bookmarkStart w:id="731" w:name="_Toc515647823"/>
      <w:bookmarkStart w:id="732" w:name="_Toc29837"/>
      <w:bookmarkStart w:id="733" w:name="_Toc388"/>
      <w:bookmarkStart w:id="734" w:name="_Toc32368"/>
      <w:bookmarkStart w:id="735" w:name="_Toc10725"/>
      <w:bookmarkStart w:id="736" w:name="_Toc6055"/>
      <w:bookmarkStart w:id="737" w:name="_Toc21312"/>
      <w:bookmarkStart w:id="738" w:name="_Toc10444"/>
      <w:bookmarkStart w:id="739" w:name="_Toc22578"/>
      <w:bookmarkStart w:id="740" w:name="_Toc24111"/>
      <w:r>
        <w:rPr>
          <w:rStyle w:val="84"/>
          <w:rFonts w:hint="eastAsia" w:ascii="宋体" w:hAnsi="宋体" w:eastAsia="宋体" w:cs="宋体"/>
          <w:bCs/>
          <w:color w:val="auto"/>
          <w:sz w:val="24"/>
          <w:shd w:val="clear" w:color="auto" w:fill="auto"/>
        </w:rPr>
        <w:t>6-1</w:t>
      </w:r>
      <w:bookmarkEnd w:id="730"/>
      <w:bookmarkEnd w:id="731"/>
      <w:bookmarkEnd w:id="732"/>
      <w:bookmarkEnd w:id="733"/>
      <w:bookmarkEnd w:id="734"/>
      <w:bookmarkEnd w:id="735"/>
      <w:bookmarkEnd w:id="736"/>
      <w:bookmarkEnd w:id="737"/>
      <w:bookmarkEnd w:id="738"/>
      <w:bookmarkEnd w:id="739"/>
      <w:r>
        <w:rPr>
          <w:rStyle w:val="84"/>
          <w:rFonts w:hint="eastAsia" w:ascii="宋体" w:hAnsi="宋体" w:eastAsia="宋体" w:cs="宋体"/>
          <w:bCs/>
          <w:color w:val="auto"/>
          <w:sz w:val="24"/>
          <w:shd w:val="clear" w:color="auto" w:fill="auto"/>
        </w:rPr>
        <w:t xml:space="preserve"> </w:t>
      </w:r>
      <w:bookmarkStart w:id="741" w:name="_Toc10977"/>
      <w:bookmarkStart w:id="742" w:name="_Toc11803"/>
      <w:bookmarkStart w:id="743" w:name="_Toc1721"/>
      <w:bookmarkStart w:id="744" w:name="_Toc31112"/>
      <w:bookmarkStart w:id="745" w:name="_Toc10872"/>
      <w:bookmarkStart w:id="746" w:name="_Toc17987"/>
      <w:bookmarkStart w:id="747" w:name="_Toc24122"/>
      <w:bookmarkStart w:id="748" w:name="_Toc10958"/>
      <w:bookmarkStart w:id="749" w:name="_Toc4255"/>
      <w:bookmarkStart w:id="750" w:name="_Toc515647824"/>
      <w:bookmarkStart w:id="751" w:name="_Toc21700"/>
      <w:r>
        <w:rPr>
          <w:rStyle w:val="84"/>
          <w:rFonts w:hint="eastAsia" w:ascii="宋体" w:hAnsi="宋体" w:eastAsia="宋体" w:cs="宋体"/>
          <w:bCs/>
          <w:color w:val="auto"/>
          <w:sz w:val="24"/>
          <w:shd w:val="clear" w:color="auto" w:fill="auto"/>
        </w:rPr>
        <w:t>中小企业声明函（服务）</w:t>
      </w:r>
      <w:bookmarkEnd w:id="740"/>
    </w:p>
    <w:p>
      <w:pPr>
        <w:widowControl/>
        <w:spacing w:before="100" w:beforeAutospacing="1" w:after="100" w:afterAutospacing="1" w:line="330" w:lineRule="atLeast"/>
        <w:ind w:firstLine="420" w:firstLineChars="200"/>
        <w:jc w:val="left"/>
        <w:rPr>
          <w:rFonts w:hint="eastAsia"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本公司（联合体）郑重声明，根据《政府采购促进中小企业发展管理办法》（财库﹝2020﹞46 号）的规定，本公司（联合体）参加</w:t>
      </w:r>
      <w:r>
        <w:rPr>
          <w:rFonts w:hint="eastAsia" w:ascii="宋体" w:hAnsi="宋体" w:eastAsia="宋体" w:cs="宋体"/>
          <w:i/>
          <w:iCs/>
          <w:color w:val="auto"/>
          <w:kern w:val="0"/>
          <w:szCs w:val="21"/>
          <w:u w:val="single"/>
          <w:shd w:val="clear" w:color="auto" w:fill="auto"/>
        </w:rPr>
        <w:t>（单位名称  ）</w:t>
      </w:r>
      <w:r>
        <w:rPr>
          <w:rFonts w:hint="eastAsia" w:ascii="宋体" w:hAnsi="宋体" w:eastAsia="宋体" w:cs="宋体"/>
          <w:color w:val="auto"/>
          <w:kern w:val="0"/>
          <w:szCs w:val="21"/>
          <w:shd w:val="clear" w:color="auto" w:fill="auto"/>
        </w:rPr>
        <w:t>的</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i/>
          <w:iCs/>
          <w:color w:val="auto"/>
          <w:kern w:val="0"/>
          <w:szCs w:val="21"/>
          <w:u w:val="single"/>
          <w:shd w:val="clear" w:color="auto" w:fill="auto"/>
        </w:rPr>
        <w:t>（项目名称）</w:t>
      </w:r>
      <w:r>
        <w:rPr>
          <w:rFonts w:hint="eastAsia" w:ascii="宋体" w:hAnsi="宋体" w:eastAsia="宋体" w:cs="宋体"/>
          <w:color w:val="auto"/>
          <w:kern w:val="0"/>
          <w:szCs w:val="21"/>
          <w:shd w:val="clear" w:color="auto" w:fill="auto"/>
        </w:rPr>
        <w:t>采购活动，服务全部由符合政策要求的中小企业承接。相关企业（含联合 体中的中小企业、签订分包意向协议的中小企业）的具体情况如下：</w:t>
      </w:r>
    </w:p>
    <w:p>
      <w:pPr>
        <w:pStyle w:val="81"/>
        <w:tabs>
          <w:tab w:val="left" w:pos="1243"/>
        </w:tabs>
        <w:spacing w:line="402" w:lineRule="exact"/>
        <w:rPr>
          <w:rFonts w:hint="eastAsia"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w:t>
      </w:r>
      <w:r>
        <w:rPr>
          <w:rFonts w:hint="eastAsia" w:ascii="宋体" w:hAnsi="宋体" w:eastAsia="宋体" w:cs="宋体"/>
          <w:i/>
          <w:iCs/>
          <w:color w:val="auto"/>
          <w:kern w:val="0"/>
          <w:szCs w:val="21"/>
          <w:u w:val="single"/>
          <w:shd w:val="clear" w:color="auto" w:fill="auto"/>
        </w:rPr>
        <w:t>（项目名称）</w:t>
      </w:r>
      <w:r>
        <w:rPr>
          <w:rFonts w:hint="eastAsia" w:ascii="宋体" w:hAnsi="宋体" w:eastAsia="宋体" w:cs="宋体"/>
          <w:color w:val="auto"/>
          <w:kern w:val="0"/>
          <w:szCs w:val="21"/>
          <w:shd w:val="clear" w:color="auto" w:fill="auto"/>
        </w:rPr>
        <w:t>，属于</w:t>
      </w:r>
      <w:r>
        <w:rPr>
          <w:rFonts w:hint="eastAsia" w:ascii="宋体" w:hAnsi="宋体" w:eastAsia="宋体" w:cs="宋体"/>
          <w:i/>
          <w:iCs/>
          <w:color w:val="auto"/>
          <w:kern w:val="0"/>
          <w:szCs w:val="21"/>
          <w:u w:val="single"/>
          <w:shd w:val="clear" w:color="auto" w:fill="auto"/>
        </w:rPr>
        <w:t>（采购文件中明确的所属行业）</w:t>
      </w:r>
      <w:r>
        <w:rPr>
          <w:rFonts w:hint="eastAsia" w:ascii="宋体" w:hAnsi="宋体" w:eastAsia="宋体" w:cs="宋体"/>
          <w:color w:val="auto"/>
          <w:kern w:val="0"/>
          <w:szCs w:val="21"/>
          <w:shd w:val="clear" w:color="auto" w:fill="auto"/>
        </w:rPr>
        <w:t xml:space="preserve">；承接企业为 </w:t>
      </w:r>
      <w:r>
        <w:rPr>
          <w:rFonts w:hint="eastAsia" w:ascii="宋体" w:hAnsi="宋体" w:eastAsia="宋体" w:cs="宋体"/>
          <w:i/>
          <w:iCs/>
          <w:color w:val="auto"/>
          <w:kern w:val="0"/>
          <w:szCs w:val="21"/>
          <w:u w:val="single"/>
          <w:shd w:val="clear" w:color="auto" w:fill="auto"/>
        </w:rPr>
        <w:t xml:space="preserve">  （企业名称） </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shd w:val="clear" w:color="auto" w:fill="auto"/>
        </w:rPr>
        <w:t>，从业人员</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shd w:val="clear" w:color="auto" w:fill="auto"/>
        </w:rPr>
        <w:t>人，营业收入为</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shd w:val="clear" w:color="auto" w:fill="auto"/>
        </w:rPr>
        <w:t>万元，资产总额为</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shd w:val="clear" w:color="auto" w:fill="auto"/>
        </w:rPr>
        <w:t>万元，属于</w:t>
      </w:r>
      <w:r>
        <w:rPr>
          <w:rFonts w:hint="eastAsia" w:ascii="宋体" w:hAnsi="宋体" w:eastAsia="宋体" w:cs="宋体"/>
          <w:i/>
          <w:iCs/>
          <w:color w:val="auto"/>
          <w:kern w:val="0"/>
          <w:szCs w:val="21"/>
          <w:u w:val="single"/>
          <w:shd w:val="clear" w:color="auto" w:fill="auto"/>
        </w:rPr>
        <w:t>（中型企业、小型企业、微型企业）</w:t>
      </w:r>
      <w:r>
        <w:rPr>
          <w:rFonts w:hint="eastAsia" w:ascii="宋体" w:hAnsi="宋体" w:eastAsia="宋体" w:cs="宋体"/>
          <w:color w:val="auto"/>
          <w:kern w:val="0"/>
          <w:szCs w:val="21"/>
          <w:shd w:val="clear" w:color="auto" w:fill="auto"/>
        </w:rPr>
        <w:t>；</w:t>
      </w:r>
    </w:p>
    <w:p>
      <w:pPr>
        <w:pStyle w:val="81"/>
        <w:tabs>
          <w:tab w:val="left" w:pos="1243"/>
        </w:tabs>
        <w:spacing w:line="402" w:lineRule="exact"/>
        <w:rPr>
          <w:rFonts w:hint="eastAsia" w:ascii="宋体" w:hAnsi="宋体" w:eastAsia="宋体" w:cs="宋体"/>
          <w:color w:val="auto"/>
          <w:kern w:val="0"/>
          <w:szCs w:val="21"/>
          <w:u w:val="single"/>
          <w:shd w:val="clear" w:color="auto" w:fill="auto"/>
        </w:rPr>
      </w:pPr>
      <w:r>
        <w:rPr>
          <w:rFonts w:hint="eastAsia" w:ascii="宋体" w:hAnsi="宋体" w:eastAsia="宋体" w:cs="宋体"/>
          <w:color w:val="auto"/>
          <w:kern w:val="0"/>
          <w:szCs w:val="21"/>
          <w:shd w:val="clear" w:color="auto" w:fill="auto"/>
        </w:rPr>
        <w:t>2.</w:t>
      </w:r>
      <w:r>
        <w:rPr>
          <w:rFonts w:hint="eastAsia" w:ascii="宋体" w:hAnsi="宋体" w:eastAsia="宋体" w:cs="宋体"/>
          <w:i/>
          <w:iCs/>
          <w:color w:val="auto"/>
          <w:kern w:val="0"/>
          <w:szCs w:val="21"/>
          <w:u w:val="single"/>
          <w:shd w:val="clear" w:color="auto" w:fill="auto"/>
        </w:rPr>
        <w:t>（项目名称）</w:t>
      </w:r>
      <w:r>
        <w:rPr>
          <w:rFonts w:hint="eastAsia" w:ascii="宋体" w:hAnsi="宋体" w:eastAsia="宋体" w:cs="宋体"/>
          <w:color w:val="auto"/>
          <w:kern w:val="0"/>
          <w:szCs w:val="21"/>
          <w:u w:val="single"/>
          <w:shd w:val="clear" w:color="auto" w:fill="auto"/>
        </w:rPr>
        <w:t>，</w:t>
      </w:r>
      <w:r>
        <w:rPr>
          <w:rFonts w:hint="eastAsia" w:ascii="宋体" w:hAnsi="宋体" w:eastAsia="宋体" w:cs="宋体"/>
          <w:color w:val="auto"/>
          <w:kern w:val="0"/>
          <w:szCs w:val="21"/>
          <w:shd w:val="clear" w:color="auto" w:fill="auto"/>
        </w:rPr>
        <w:t>属于</w:t>
      </w:r>
      <w:r>
        <w:rPr>
          <w:rFonts w:hint="eastAsia" w:ascii="宋体" w:hAnsi="宋体" w:eastAsia="宋体" w:cs="宋体"/>
          <w:i/>
          <w:iCs/>
          <w:color w:val="auto"/>
          <w:kern w:val="0"/>
          <w:szCs w:val="21"/>
          <w:u w:val="single"/>
          <w:shd w:val="clear" w:color="auto" w:fill="auto"/>
        </w:rPr>
        <w:t>（采购文件中明确的所属行业）</w:t>
      </w:r>
      <w:r>
        <w:rPr>
          <w:rFonts w:hint="eastAsia" w:ascii="宋体" w:hAnsi="宋体" w:eastAsia="宋体" w:cs="宋体"/>
          <w:color w:val="auto"/>
          <w:kern w:val="0"/>
          <w:szCs w:val="21"/>
          <w:shd w:val="clear" w:color="auto" w:fill="auto"/>
        </w:rPr>
        <w:t>；承接企业为</w:t>
      </w:r>
      <w:r>
        <w:rPr>
          <w:rFonts w:hint="eastAsia" w:ascii="宋体" w:hAnsi="宋体" w:eastAsia="宋体" w:cs="宋体"/>
          <w:i/>
          <w:iCs/>
          <w:color w:val="auto"/>
          <w:kern w:val="0"/>
          <w:szCs w:val="21"/>
          <w:u w:val="single"/>
          <w:shd w:val="clear" w:color="auto" w:fill="auto"/>
        </w:rPr>
        <w:t>（企业名称）</w:t>
      </w:r>
      <w:r>
        <w:rPr>
          <w:rFonts w:hint="eastAsia" w:ascii="宋体" w:hAnsi="宋体" w:eastAsia="宋体" w:cs="宋体"/>
          <w:color w:val="auto"/>
          <w:kern w:val="0"/>
          <w:szCs w:val="21"/>
          <w:shd w:val="clear" w:color="auto" w:fill="auto"/>
        </w:rPr>
        <w:t>，从业人员</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shd w:val="clear" w:color="auto" w:fill="auto"/>
        </w:rPr>
        <w:t>人，营业收入为</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shd w:val="clear" w:color="auto" w:fill="auto"/>
        </w:rPr>
        <w:t>万元，资产总额为</w:t>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u w:val="single"/>
          <w:shd w:val="clear" w:color="auto" w:fill="auto"/>
        </w:rPr>
        <w:tab/>
      </w:r>
      <w:r>
        <w:rPr>
          <w:rFonts w:hint="eastAsia" w:ascii="宋体" w:hAnsi="宋体" w:eastAsia="宋体" w:cs="宋体"/>
          <w:color w:val="auto"/>
          <w:kern w:val="0"/>
          <w:szCs w:val="21"/>
          <w:u w:val="single"/>
          <w:shd w:val="clear" w:color="auto" w:fill="auto"/>
        </w:rPr>
        <w:t xml:space="preserve">  </w:t>
      </w:r>
      <w:r>
        <w:rPr>
          <w:rFonts w:hint="eastAsia" w:ascii="宋体" w:hAnsi="宋体" w:eastAsia="宋体" w:cs="宋体"/>
          <w:color w:val="auto"/>
          <w:kern w:val="0"/>
          <w:szCs w:val="21"/>
          <w:shd w:val="clear" w:color="auto" w:fill="auto"/>
        </w:rPr>
        <w:t>万元，属于</w:t>
      </w:r>
      <w:r>
        <w:rPr>
          <w:rFonts w:hint="eastAsia" w:ascii="宋体" w:hAnsi="宋体" w:eastAsia="宋体" w:cs="宋体"/>
          <w:i/>
          <w:iCs/>
          <w:color w:val="auto"/>
          <w:kern w:val="0"/>
          <w:szCs w:val="21"/>
          <w:u w:val="single"/>
          <w:shd w:val="clear" w:color="auto" w:fill="auto"/>
        </w:rPr>
        <w:t>（中型企业、小型企业、微型企业）</w:t>
      </w:r>
      <w:r>
        <w:rPr>
          <w:rFonts w:hint="eastAsia" w:ascii="宋体" w:hAnsi="宋体" w:eastAsia="宋体" w:cs="宋体"/>
          <w:color w:val="auto"/>
          <w:kern w:val="0"/>
          <w:szCs w:val="21"/>
          <w:shd w:val="clear" w:color="auto" w:fill="auto"/>
        </w:rPr>
        <w:t>；</w:t>
      </w:r>
    </w:p>
    <w:p>
      <w:pPr>
        <w:pStyle w:val="12"/>
        <w:spacing w:before="11"/>
        <w:ind w:left="860"/>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w:t>
      </w:r>
    </w:p>
    <w:p>
      <w:pPr>
        <w:pStyle w:val="12"/>
        <w:spacing w:before="108" w:line="304" w:lineRule="auto"/>
        <w:ind w:right="417" w:firstLine="420" w:firstLineChars="200"/>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以上企业，不属于大企业的分支机构，不存在控股股东为大企业的情形，也不存在与大企业的负责人为同一人的情形。</w:t>
      </w:r>
    </w:p>
    <w:p>
      <w:pPr>
        <w:pStyle w:val="12"/>
        <w:spacing w:before="108" w:line="304" w:lineRule="auto"/>
        <w:ind w:right="417" w:firstLine="420" w:firstLineChars="200"/>
        <w:rPr>
          <w:rFonts w:hint="eastAsia" w:ascii="宋体" w:hAnsi="宋体" w:eastAsia="宋体" w:cs="宋体"/>
          <w:color w:val="auto"/>
          <w:kern w:val="0"/>
          <w:sz w:val="21"/>
          <w:szCs w:val="21"/>
          <w:shd w:val="clear" w:color="auto" w:fill="auto"/>
        </w:rPr>
      </w:pPr>
      <w:r>
        <w:rPr>
          <w:rFonts w:hint="eastAsia" w:ascii="宋体" w:hAnsi="宋体" w:eastAsia="宋体" w:cs="宋体"/>
          <w:color w:val="auto"/>
          <w:kern w:val="0"/>
          <w:sz w:val="21"/>
          <w:szCs w:val="21"/>
          <w:shd w:val="clear" w:color="auto" w:fill="auto"/>
        </w:rPr>
        <w:t>本企业对上述声明内容的真实性负责。如有虚假，将依法承担相应责任。</w:t>
      </w: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供应商名称（盖章）：</w:t>
      </w: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日期：</w:t>
      </w: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pStyle w:val="2"/>
        <w:rPr>
          <w:rFonts w:hint="eastAsia" w:ascii="宋体" w:hAnsi="宋体" w:eastAsia="宋体" w:cs="宋体"/>
          <w:b/>
          <w:bCs/>
          <w:color w:val="auto"/>
          <w:kern w:val="0"/>
          <w:sz w:val="21"/>
          <w:szCs w:val="21"/>
          <w:shd w:val="clear" w:color="auto" w:fill="auto"/>
        </w:rPr>
      </w:pPr>
      <w:r>
        <w:rPr>
          <w:rFonts w:hint="eastAsia" w:ascii="宋体" w:hAnsi="宋体" w:eastAsia="宋体" w:cs="宋体"/>
          <w:b/>
          <w:bCs/>
          <w:color w:val="auto"/>
          <w:kern w:val="0"/>
          <w:sz w:val="21"/>
          <w:szCs w:val="21"/>
          <w:shd w:val="clear" w:color="auto" w:fill="auto"/>
        </w:rPr>
        <w:t>注：须附从业人员、营业收入、资产总额填报上一年度数据，无上一年度数据的新成立企业可不填报。</w:t>
      </w:r>
    </w:p>
    <w:p>
      <w:pPr>
        <w:pStyle w:val="2"/>
        <w:rPr>
          <w:rFonts w:hint="eastAsia" w:ascii="宋体" w:hAnsi="宋体" w:eastAsia="宋体" w:cs="宋体"/>
          <w:b/>
          <w:bCs/>
          <w:color w:val="auto"/>
          <w:kern w:val="0"/>
          <w:sz w:val="21"/>
          <w:szCs w:val="21"/>
          <w:shd w:val="clear" w:color="auto" w:fill="auto"/>
        </w:rPr>
      </w:pPr>
    </w:p>
    <w:p>
      <w:pPr>
        <w:pStyle w:val="2"/>
        <w:rPr>
          <w:rFonts w:hint="eastAsia" w:ascii="宋体" w:hAnsi="宋体" w:eastAsia="宋体" w:cs="宋体"/>
          <w:b/>
          <w:bCs/>
          <w:color w:val="auto"/>
          <w:kern w:val="0"/>
          <w:sz w:val="21"/>
          <w:szCs w:val="21"/>
          <w:shd w:val="clear" w:color="auto" w:fill="auto"/>
        </w:rPr>
      </w:pPr>
    </w:p>
    <w:p>
      <w:pPr>
        <w:pStyle w:val="2"/>
        <w:rPr>
          <w:rFonts w:hint="eastAsia" w:ascii="宋体" w:hAnsi="宋体" w:eastAsia="宋体" w:cs="宋体"/>
          <w:b/>
          <w:bCs/>
          <w:color w:val="auto"/>
          <w:kern w:val="0"/>
          <w:sz w:val="21"/>
          <w:szCs w:val="21"/>
          <w:shd w:val="clear" w:color="auto" w:fill="auto"/>
        </w:rPr>
      </w:pPr>
    </w:p>
    <w:p>
      <w:pPr>
        <w:pStyle w:val="2"/>
        <w:rPr>
          <w:rFonts w:hint="eastAsia" w:ascii="宋体" w:hAnsi="宋体" w:eastAsia="宋体" w:cs="宋体"/>
          <w:b/>
          <w:bCs/>
          <w:color w:val="auto"/>
          <w:kern w:val="0"/>
          <w:sz w:val="21"/>
          <w:szCs w:val="21"/>
          <w:shd w:val="clear" w:color="auto" w:fill="auto"/>
        </w:rPr>
      </w:pPr>
    </w:p>
    <w:p>
      <w:pPr>
        <w:pStyle w:val="2"/>
        <w:rPr>
          <w:rFonts w:hint="eastAsia" w:ascii="宋体" w:hAnsi="宋体" w:eastAsia="宋体" w:cs="宋体"/>
          <w:b/>
          <w:bCs/>
          <w:color w:val="auto"/>
          <w:kern w:val="0"/>
          <w:sz w:val="21"/>
          <w:szCs w:val="21"/>
          <w:shd w:val="clear" w:color="auto" w:fill="auto"/>
        </w:rPr>
      </w:pPr>
    </w:p>
    <w:p>
      <w:pPr>
        <w:pStyle w:val="81"/>
        <w:tabs>
          <w:tab w:val="left" w:pos="1243"/>
        </w:tabs>
        <w:spacing w:line="402" w:lineRule="exact"/>
        <w:ind w:left="420" w:leftChars="200" w:firstLine="0" w:firstLineChars="0"/>
        <w:rPr>
          <w:rFonts w:hint="eastAsia" w:ascii="宋体" w:hAnsi="宋体" w:eastAsia="宋体" w:cs="宋体"/>
          <w:color w:val="auto"/>
          <w:kern w:val="0"/>
          <w:szCs w:val="21"/>
          <w:shd w:val="clear" w:color="auto" w:fill="auto"/>
        </w:rPr>
      </w:pPr>
    </w:p>
    <w:p>
      <w:pPr>
        <w:snapToGrid w:val="0"/>
        <w:spacing w:line="240" w:lineRule="atLeast"/>
        <w:textAlignment w:val="baseline"/>
        <w:outlineLvl w:val="1"/>
        <w:rPr>
          <w:rFonts w:hint="eastAsia" w:ascii="宋体" w:hAnsi="宋体" w:eastAsia="宋体" w:cs="宋体"/>
          <w:b/>
          <w:color w:val="auto"/>
          <w:sz w:val="24"/>
          <w:shd w:val="clear" w:color="auto" w:fill="auto"/>
        </w:rPr>
      </w:pPr>
      <w:bookmarkStart w:id="752" w:name="_Toc22048"/>
    </w:p>
    <w:p>
      <w:pPr>
        <w:snapToGrid w:val="0"/>
        <w:spacing w:line="240" w:lineRule="atLeast"/>
        <w:jc w:val="center"/>
        <w:textAlignment w:val="baseline"/>
        <w:outlineLvl w:val="1"/>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6-2</w:t>
      </w:r>
      <w:bookmarkEnd w:id="741"/>
      <w:bookmarkEnd w:id="742"/>
      <w:bookmarkEnd w:id="743"/>
      <w:bookmarkEnd w:id="744"/>
      <w:bookmarkEnd w:id="745"/>
      <w:bookmarkEnd w:id="746"/>
      <w:bookmarkEnd w:id="747"/>
      <w:bookmarkEnd w:id="748"/>
      <w:bookmarkEnd w:id="749"/>
      <w:bookmarkEnd w:id="750"/>
      <w:bookmarkStart w:id="753" w:name="OLE_LINK14"/>
      <w:bookmarkStart w:id="754" w:name="_Toc14068"/>
      <w:bookmarkStart w:id="755" w:name="_Toc23068"/>
      <w:bookmarkStart w:id="756" w:name="OLE_LINK13"/>
      <w:bookmarkStart w:id="757" w:name="_Toc515647825"/>
      <w:bookmarkStart w:id="758" w:name="_Toc30321"/>
      <w:bookmarkStart w:id="759" w:name="_Toc13191"/>
      <w:bookmarkStart w:id="760" w:name="_Toc10900"/>
      <w:bookmarkStart w:id="761" w:name="_Toc19284"/>
      <w:bookmarkStart w:id="762" w:name="_Toc26116"/>
      <w:bookmarkStart w:id="763" w:name="_Toc15209"/>
      <w:bookmarkStart w:id="764" w:name="_Toc5825"/>
      <w:r>
        <w:rPr>
          <w:rFonts w:hint="eastAsia" w:ascii="宋体" w:hAnsi="宋体" w:eastAsia="宋体" w:cs="宋体"/>
          <w:b/>
          <w:color w:val="auto"/>
          <w:sz w:val="24"/>
          <w:shd w:val="clear" w:color="auto" w:fill="auto"/>
        </w:rPr>
        <w:t xml:space="preserve">   残疾人福利性单位声明函</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snapToGrid w:val="0"/>
        <w:spacing w:line="240" w:lineRule="atLeast"/>
        <w:ind w:left="1080" w:leftChars="257" w:hanging="540"/>
        <w:jc w:val="center"/>
        <w:textAlignment w:val="baseline"/>
        <w:rPr>
          <w:rFonts w:hint="eastAsia" w:ascii="宋体" w:hAnsi="宋体" w:eastAsia="宋体" w:cs="宋体"/>
          <w:color w:val="auto"/>
          <w:kern w:val="0"/>
          <w:sz w:val="24"/>
          <w:shd w:val="clear" w:color="auto" w:fill="auto"/>
        </w:rPr>
      </w:pPr>
    </w:p>
    <w:p>
      <w:pPr>
        <w:snapToGrid w:val="0"/>
        <w:spacing w:line="240" w:lineRule="atLeast"/>
        <w:ind w:firstLine="567"/>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pPr>
        <w:snapToGrid w:val="0"/>
        <w:spacing w:line="240" w:lineRule="atLeast"/>
        <w:ind w:left="1080" w:leftChars="257" w:hanging="540"/>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本单位对上述声明的真实性负责。如有虚假，将依法承担相应责任。</w:t>
      </w:r>
    </w:p>
    <w:p>
      <w:pPr>
        <w:snapToGrid w:val="0"/>
        <w:spacing w:line="240" w:lineRule="atLeast"/>
        <w:ind w:left="1080" w:leftChars="257" w:hanging="540"/>
        <w:jc w:val="center"/>
        <w:textAlignment w:val="baseline"/>
        <w:rPr>
          <w:rFonts w:hint="eastAsia" w:ascii="宋体" w:hAnsi="宋体" w:eastAsia="宋体" w:cs="宋体"/>
          <w:color w:val="auto"/>
          <w:kern w:val="0"/>
          <w:sz w:val="24"/>
          <w:shd w:val="clear" w:color="auto" w:fill="auto"/>
        </w:rPr>
      </w:pPr>
    </w:p>
    <w:p>
      <w:pPr>
        <w:snapToGrid w:val="0"/>
        <w:spacing w:line="240" w:lineRule="atLeast"/>
        <w:ind w:left="1080" w:leftChars="257" w:hanging="540"/>
        <w:jc w:val="center"/>
        <w:textAlignment w:val="baseline"/>
        <w:rPr>
          <w:rFonts w:hint="eastAsia" w:ascii="宋体" w:hAnsi="宋体" w:eastAsia="宋体" w:cs="宋体"/>
          <w:color w:val="auto"/>
          <w:kern w:val="0"/>
          <w:sz w:val="24"/>
          <w:shd w:val="clear" w:color="auto" w:fill="auto"/>
        </w:rPr>
      </w:pPr>
    </w:p>
    <w:p>
      <w:pPr>
        <w:snapToGrid w:val="0"/>
        <w:spacing w:line="240" w:lineRule="atLeast"/>
        <w:ind w:left="1080" w:leftChars="257" w:hanging="540"/>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              残疾人福利性单位名称（公章）：______________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shd w:val="clear" w:color="auto" w:fill="auto"/>
        </w:rPr>
      </w:pPr>
      <w:r>
        <w:rPr>
          <w:rFonts w:hint="eastAsia" w:ascii="宋体" w:hAnsi="宋体" w:eastAsia="宋体" w:cs="宋体"/>
          <w:color w:val="auto"/>
          <w:kern w:val="0"/>
          <w:sz w:val="24"/>
          <w:shd w:val="clear" w:color="auto" w:fill="auto"/>
        </w:rPr>
        <w:t xml:space="preserve">                 日  期：_____________________________________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shd w:val="clear" w:color="auto" w:fill="auto"/>
        </w:rPr>
      </w:pPr>
    </w:p>
    <w:p>
      <w:pPr>
        <w:snapToGrid w:val="0"/>
        <w:spacing w:line="240" w:lineRule="atLeast"/>
        <w:ind w:left="1080" w:leftChars="257" w:hanging="540"/>
        <w:jc w:val="center"/>
        <w:textAlignment w:val="baseline"/>
        <w:rPr>
          <w:rFonts w:hint="eastAsia" w:ascii="宋体" w:hAnsi="宋体" w:eastAsia="宋体" w:cs="宋体"/>
          <w:b/>
          <w:color w:val="auto"/>
          <w:kern w:val="0"/>
          <w:sz w:val="24"/>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snapToGrid w:val="0"/>
        <w:spacing w:line="240" w:lineRule="atLeast"/>
        <w:textAlignment w:val="baseline"/>
        <w:rPr>
          <w:rFonts w:hint="eastAsia" w:ascii="宋体" w:hAnsi="宋体" w:eastAsia="宋体" w:cs="宋体"/>
          <w:b/>
          <w:color w:val="auto"/>
          <w:kern w:val="0"/>
          <w:sz w:val="24"/>
          <w:shd w:val="clear" w:color="auto" w:fill="auto"/>
        </w:rPr>
      </w:pPr>
    </w:p>
    <w:p>
      <w:pPr>
        <w:pStyle w:val="4"/>
        <w:snapToGrid w:val="0"/>
        <w:spacing w:before="0" w:line="240" w:lineRule="atLeast"/>
        <w:jc w:val="center"/>
        <w:textAlignment w:val="baseline"/>
        <w:rPr>
          <w:rFonts w:hint="eastAsia" w:ascii="宋体" w:hAnsi="宋体" w:eastAsia="宋体" w:cs="宋体"/>
          <w:color w:val="auto"/>
          <w:sz w:val="24"/>
          <w:szCs w:val="24"/>
          <w:shd w:val="clear" w:color="auto" w:fill="auto"/>
        </w:rPr>
      </w:pPr>
      <w:bookmarkStart w:id="765" w:name="_Toc4574"/>
      <w:bookmarkStart w:id="766" w:name="_Toc3587"/>
      <w:bookmarkStart w:id="767" w:name="_Toc6531"/>
      <w:bookmarkStart w:id="768" w:name="_Toc515647827"/>
      <w:bookmarkStart w:id="769" w:name="_Toc28516"/>
      <w:bookmarkStart w:id="770" w:name="_Toc30054"/>
      <w:bookmarkStart w:id="771" w:name="_Toc23296"/>
      <w:bookmarkStart w:id="772" w:name="_Toc30795"/>
      <w:bookmarkStart w:id="773" w:name="_Toc28099"/>
      <w:bookmarkStart w:id="774" w:name="_Toc6452"/>
      <w:bookmarkStart w:id="775" w:name="_Toc18365"/>
      <w:r>
        <w:rPr>
          <w:rFonts w:hint="eastAsia" w:ascii="宋体" w:hAnsi="宋体" w:eastAsia="宋体" w:cs="宋体"/>
          <w:color w:val="auto"/>
          <w:sz w:val="24"/>
          <w:szCs w:val="24"/>
          <w:shd w:val="clear" w:color="auto" w:fill="auto"/>
        </w:rPr>
        <w:t>7、供应商关联单位的说明</w:t>
      </w:r>
      <w:bookmarkEnd w:id="765"/>
      <w:bookmarkEnd w:id="766"/>
      <w:bookmarkEnd w:id="767"/>
      <w:bookmarkEnd w:id="768"/>
      <w:bookmarkEnd w:id="769"/>
      <w:bookmarkEnd w:id="770"/>
      <w:bookmarkEnd w:id="771"/>
      <w:bookmarkEnd w:id="772"/>
      <w:bookmarkEnd w:id="773"/>
      <w:bookmarkEnd w:id="774"/>
      <w:bookmarkEnd w:id="775"/>
    </w:p>
    <w:p>
      <w:pPr>
        <w:pStyle w:val="5"/>
        <w:snapToGrid w:val="0"/>
        <w:jc w:val="center"/>
        <w:textAlignment w:val="baseline"/>
        <w:rPr>
          <w:rFonts w:hint="eastAsia" w:ascii="宋体" w:hAnsi="宋体" w:eastAsia="宋体" w:cs="宋体"/>
          <w:color w:val="auto"/>
          <w:szCs w:val="24"/>
          <w:shd w:val="clear" w:color="auto" w:fill="auto"/>
        </w:rPr>
      </w:pPr>
    </w:p>
    <w:p>
      <w:pPr>
        <w:pStyle w:val="5"/>
        <w:snapToGrid w:val="0"/>
        <w:ind w:firstLine="480" w:firstLineChars="200"/>
        <w:textAlignment w:val="baseline"/>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说明：供应商应当如实披露与本单位存在下列关联关系的单位名称：</w:t>
      </w:r>
    </w:p>
    <w:p>
      <w:pPr>
        <w:pStyle w:val="5"/>
        <w:numPr>
          <w:ilvl w:val="0"/>
          <w:numId w:val="5"/>
        </w:numPr>
        <w:snapToGrid w:val="0"/>
        <w:ind w:firstLine="480" w:firstLineChars="200"/>
        <w:textAlignment w:val="baseline"/>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与供应商单位负责人为同一人的其他单位；</w:t>
      </w:r>
    </w:p>
    <w:p>
      <w:pPr>
        <w:pStyle w:val="5"/>
        <w:numPr>
          <w:ilvl w:val="0"/>
          <w:numId w:val="5"/>
        </w:numPr>
        <w:snapToGrid w:val="0"/>
        <w:ind w:firstLine="480" w:firstLineChars="200"/>
        <w:textAlignment w:val="baseline"/>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与供应商存在直接控股、管理关系的其他单位。</w:t>
      </w:r>
    </w:p>
    <w:p>
      <w:pPr>
        <w:pStyle w:val="5"/>
        <w:snapToGrid w:val="0"/>
        <w:ind w:firstLine="0"/>
        <w:textAlignment w:val="baseline"/>
        <w:rPr>
          <w:rFonts w:hint="eastAsia" w:ascii="宋体" w:hAnsi="宋体" w:eastAsia="宋体" w:cs="宋体"/>
          <w:color w:val="auto"/>
          <w:szCs w:val="24"/>
          <w:shd w:val="clear" w:color="auto" w:fill="auto"/>
        </w:rPr>
      </w:pPr>
    </w:p>
    <w:p>
      <w:pPr>
        <w:snapToGrid w:val="0"/>
        <w:textAlignment w:val="baseline"/>
        <w:rPr>
          <w:rFonts w:hint="eastAsia" w:ascii="宋体" w:hAnsi="宋体" w:eastAsia="宋体" w:cs="宋体"/>
          <w:color w:val="auto"/>
          <w:sz w:val="24"/>
          <w:shd w:val="clear" w:color="auto" w:fill="auto"/>
        </w:rPr>
      </w:pPr>
    </w:p>
    <w:p>
      <w:pPr>
        <w:pStyle w:val="34"/>
        <w:snapToGrid w:val="0"/>
        <w:ind w:firstLine="0" w:firstLineChars="0"/>
        <w:textAlignment w:val="baseline"/>
        <w:rPr>
          <w:rFonts w:hint="eastAsia" w:ascii="宋体" w:hAnsi="宋体" w:eastAsia="宋体" w:cs="宋体"/>
          <w:color w:val="auto"/>
          <w:sz w:val="21"/>
          <w:shd w:val="clear" w:color="auto" w:fill="auto"/>
        </w:rPr>
      </w:pPr>
    </w:p>
    <w:p>
      <w:pPr>
        <w:pStyle w:val="34"/>
        <w:snapToGrid w:val="0"/>
        <w:ind w:firstLine="0" w:firstLineChars="0"/>
        <w:textAlignment w:val="baseline"/>
        <w:rPr>
          <w:rFonts w:hint="eastAsia" w:ascii="宋体" w:hAnsi="宋体" w:eastAsia="宋体" w:cs="宋体"/>
          <w:color w:val="auto"/>
          <w:sz w:val="21"/>
          <w:shd w:val="clear" w:color="auto" w:fill="auto"/>
        </w:rPr>
      </w:pPr>
    </w:p>
    <w:p>
      <w:pPr>
        <w:pStyle w:val="4"/>
        <w:snapToGrid w:val="0"/>
        <w:spacing w:before="0" w:line="240" w:lineRule="atLeast"/>
        <w:jc w:val="center"/>
        <w:textAlignment w:val="baseline"/>
        <w:rPr>
          <w:rFonts w:hint="eastAsia" w:ascii="宋体" w:hAnsi="宋体" w:eastAsia="宋体" w:cs="宋体"/>
          <w:color w:val="auto"/>
          <w:sz w:val="24"/>
          <w:szCs w:val="24"/>
          <w:shd w:val="clear" w:color="auto" w:fill="auto"/>
        </w:rPr>
      </w:pPr>
      <w:bookmarkStart w:id="776" w:name="_Toc10150"/>
      <w:bookmarkStart w:id="777" w:name="_Toc12025"/>
      <w:bookmarkStart w:id="778" w:name="_Toc13906"/>
      <w:r>
        <w:rPr>
          <w:rFonts w:hint="eastAsia" w:ascii="宋体" w:hAnsi="宋体" w:eastAsia="宋体" w:cs="宋体"/>
          <w:color w:val="auto"/>
          <w:sz w:val="24"/>
          <w:szCs w:val="24"/>
          <w:shd w:val="clear" w:color="auto" w:fill="auto"/>
        </w:rPr>
        <w:t>8、提供有利于磋商的其他证明材料</w:t>
      </w:r>
      <w:bookmarkEnd w:id="776"/>
      <w:bookmarkEnd w:id="777"/>
      <w:bookmarkEnd w:id="778"/>
    </w:p>
    <w:p>
      <w:pPr>
        <w:snapToGrid w:val="0"/>
        <w:spacing w:line="240" w:lineRule="atLeast"/>
        <w:ind w:left="1079" w:leftChars="257" w:hanging="539"/>
        <w:jc w:val="left"/>
        <w:textAlignment w:val="baseline"/>
        <w:rPr>
          <w:rFonts w:hint="eastAsia" w:ascii="宋体" w:hAnsi="宋体" w:eastAsia="宋体" w:cs="宋体"/>
          <w:b/>
          <w:color w:val="auto"/>
          <w:kern w:val="0"/>
          <w:sz w:val="24"/>
          <w:szCs w:val="20"/>
          <w:shd w:val="clear" w:color="auto" w:fill="auto"/>
        </w:rPr>
      </w:pPr>
      <w:r>
        <w:rPr>
          <w:rFonts w:hint="eastAsia" w:ascii="宋体" w:hAnsi="宋体" w:eastAsia="宋体" w:cs="宋体"/>
          <w:color w:val="auto"/>
          <w:sz w:val="24"/>
          <w:shd w:val="clear" w:color="auto" w:fill="auto"/>
        </w:rPr>
        <w:br w:type="page"/>
      </w:r>
    </w:p>
    <w:p>
      <w:pPr>
        <w:snapToGrid w:val="0"/>
        <w:spacing w:line="240" w:lineRule="atLeast"/>
        <w:ind w:left="1079" w:leftChars="257" w:hanging="539"/>
        <w:jc w:val="center"/>
        <w:textAlignment w:val="baseline"/>
        <w:outlineLvl w:val="1"/>
        <w:rPr>
          <w:rFonts w:hint="eastAsia" w:ascii="宋体" w:hAnsi="宋体" w:eastAsia="宋体" w:cs="宋体"/>
          <w:b/>
          <w:color w:val="auto"/>
          <w:sz w:val="24"/>
          <w:shd w:val="clear" w:color="auto" w:fill="auto"/>
        </w:rPr>
      </w:pPr>
      <w:bookmarkStart w:id="779" w:name="_Toc20471"/>
      <w:bookmarkStart w:id="780" w:name="_Toc8073"/>
      <w:bookmarkStart w:id="781" w:name="_Toc2099"/>
      <w:bookmarkStart w:id="782" w:name="_Toc29345"/>
      <w:bookmarkStart w:id="783" w:name="_Toc20788"/>
      <w:bookmarkStart w:id="784" w:name="_Toc13385"/>
      <w:bookmarkStart w:id="785" w:name="_Toc24705"/>
      <w:bookmarkStart w:id="786" w:name="_Toc25307"/>
      <w:r>
        <w:rPr>
          <w:rFonts w:hint="eastAsia" w:ascii="宋体" w:hAnsi="宋体" w:eastAsia="宋体" w:cs="宋体"/>
          <w:b/>
          <w:color w:val="auto"/>
          <w:kern w:val="0"/>
          <w:sz w:val="24"/>
          <w:szCs w:val="20"/>
          <w:shd w:val="clear" w:color="auto" w:fill="auto"/>
        </w:rPr>
        <w:t>9、响应文件格式范本</w:t>
      </w:r>
      <w:bookmarkEnd w:id="779"/>
      <w:bookmarkEnd w:id="780"/>
      <w:bookmarkEnd w:id="781"/>
      <w:bookmarkEnd w:id="782"/>
      <w:bookmarkEnd w:id="783"/>
      <w:bookmarkEnd w:id="784"/>
      <w:bookmarkEnd w:id="785"/>
      <w:bookmarkEnd w:id="786"/>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2"/>
              <w:snapToGrid w:val="0"/>
              <w:jc w:val="center"/>
              <w:textAlignment w:val="baseline"/>
              <w:rPr>
                <w:rFonts w:hint="eastAsia"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 xml:space="preserve">                                                （正本和副本）</w:t>
            </w:r>
          </w:p>
          <w:p>
            <w:pPr>
              <w:pStyle w:val="12"/>
              <w:snapToGrid w:val="0"/>
              <w:ind w:firstLine="4216" w:firstLineChars="1500"/>
              <w:textAlignment w:val="baseline"/>
              <w:rPr>
                <w:rFonts w:hint="eastAsia" w:ascii="宋体" w:hAnsi="宋体" w:eastAsia="宋体" w:cs="宋体"/>
                <w:b/>
                <w:bCs/>
                <w:color w:val="auto"/>
                <w:sz w:val="28"/>
                <w:szCs w:val="28"/>
                <w:shd w:val="clear" w:color="auto" w:fill="auto"/>
              </w:rPr>
            </w:pPr>
          </w:p>
          <w:p>
            <w:pPr>
              <w:pStyle w:val="12"/>
              <w:snapToGrid w:val="0"/>
              <w:ind w:firstLine="4216" w:firstLineChars="1500"/>
              <w:textAlignment w:val="baseline"/>
              <w:rPr>
                <w:rFonts w:hint="eastAsia" w:ascii="宋体" w:hAnsi="宋体" w:eastAsia="宋体" w:cs="宋体"/>
                <w:b/>
                <w:bCs/>
                <w:color w:val="auto"/>
                <w:sz w:val="28"/>
                <w:szCs w:val="28"/>
                <w:shd w:val="clear" w:color="auto" w:fill="auto"/>
              </w:rPr>
            </w:pPr>
          </w:p>
          <w:p>
            <w:pPr>
              <w:pStyle w:val="12"/>
              <w:snapToGrid w:val="0"/>
              <w:textAlignment w:val="baseline"/>
              <w:rPr>
                <w:rFonts w:hint="eastAsia" w:ascii="宋体" w:hAnsi="宋体" w:eastAsia="宋体" w:cs="宋体"/>
                <w:b/>
                <w:bCs/>
                <w:color w:val="auto"/>
                <w:sz w:val="28"/>
                <w:szCs w:val="28"/>
                <w:shd w:val="clear" w:color="auto" w:fill="auto"/>
              </w:rPr>
            </w:pPr>
          </w:p>
          <w:p>
            <w:pPr>
              <w:pStyle w:val="12"/>
              <w:snapToGrid w:val="0"/>
              <w:ind w:firstLine="2530" w:firstLineChars="900"/>
              <w:textAlignment w:val="baseline"/>
              <w:rPr>
                <w:rFonts w:hint="eastAsia"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 *** *** *** ***   项目***</w:t>
            </w:r>
          </w:p>
          <w:p>
            <w:pPr>
              <w:pStyle w:val="12"/>
              <w:snapToGrid w:val="0"/>
              <w:jc w:val="center"/>
              <w:textAlignment w:val="baseline"/>
              <w:rPr>
                <w:rFonts w:hint="eastAsia" w:ascii="宋体" w:hAnsi="宋体" w:eastAsia="宋体" w:cs="宋体"/>
                <w:b/>
                <w:bCs/>
                <w:color w:val="auto"/>
                <w:sz w:val="21"/>
                <w:szCs w:val="21"/>
                <w:shd w:val="clear" w:color="auto" w:fill="auto"/>
              </w:rPr>
            </w:pPr>
          </w:p>
          <w:p>
            <w:pPr>
              <w:pStyle w:val="12"/>
              <w:snapToGrid w:val="0"/>
              <w:ind w:firstLine="3162" w:firstLineChars="1500"/>
              <w:textAlignment w:val="baseline"/>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编号 ＊＊＊</w:t>
            </w:r>
          </w:p>
          <w:p>
            <w:pPr>
              <w:pStyle w:val="12"/>
              <w:snapToGrid w:val="0"/>
              <w:jc w:val="center"/>
              <w:textAlignment w:val="baseline"/>
              <w:rPr>
                <w:rFonts w:hint="eastAsia" w:ascii="宋体" w:hAnsi="宋体" w:eastAsia="宋体" w:cs="宋体"/>
                <w:b/>
                <w:bCs/>
                <w:color w:val="auto"/>
                <w:sz w:val="48"/>
                <w:shd w:val="clear" w:color="auto" w:fill="auto"/>
              </w:rPr>
            </w:pPr>
          </w:p>
          <w:p>
            <w:pPr>
              <w:pStyle w:val="12"/>
              <w:snapToGrid w:val="0"/>
              <w:jc w:val="center"/>
              <w:textAlignment w:val="baseline"/>
              <w:rPr>
                <w:rFonts w:hint="eastAsia" w:ascii="宋体" w:hAnsi="宋体" w:eastAsia="宋体" w:cs="宋体"/>
                <w:b/>
                <w:bCs/>
                <w:color w:val="auto"/>
                <w:sz w:val="48"/>
                <w:shd w:val="clear" w:color="auto" w:fill="auto"/>
              </w:rPr>
            </w:pPr>
            <w:r>
              <w:rPr>
                <w:rFonts w:hint="eastAsia" w:ascii="宋体" w:hAnsi="宋体" w:eastAsia="宋体" w:cs="宋体"/>
                <w:b/>
                <w:bCs/>
                <w:color w:val="auto"/>
                <w:sz w:val="48"/>
                <w:shd w:val="clear" w:color="auto" w:fill="auto"/>
              </w:rPr>
              <w:t>响 应 文 件</w:t>
            </w:r>
          </w:p>
          <w:p>
            <w:pPr>
              <w:snapToGrid w:val="0"/>
              <w:jc w:val="center"/>
              <w:textAlignment w:val="baseline"/>
              <w:rPr>
                <w:rFonts w:hint="eastAsia" w:ascii="宋体" w:hAnsi="宋体" w:eastAsia="宋体" w:cs="宋体"/>
                <w:b/>
                <w:color w:val="auto"/>
                <w:sz w:val="32"/>
                <w:shd w:val="clear" w:color="auto" w:fill="auto"/>
              </w:rPr>
            </w:pPr>
          </w:p>
          <w:p>
            <w:pPr>
              <w:pStyle w:val="5"/>
              <w:snapToGrid w:val="0"/>
              <w:ind w:firstLine="0"/>
              <w:textAlignment w:val="baseline"/>
              <w:rPr>
                <w:rFonts w:hint="eastAsia" w:ascii="宋体" w:hAnsi="宋体" w:eastAsia="宋体" w:cs="宋体"/>
                <w:b/>
                <w:color w:val="auto"/>
                <w:sz w:val="32"/>
                <w:shd w:val="clear" w:color="auto" w:fill="auto"/>
              </w:rPr>
            </w:pPr>
          </w:p>
          <w:p>
            <w:pPr>
              <w:snapToGrid w:val="0"/>
              <w:spacing w:line="360" w:lineRule="auto"/>
              <w:ind w:left="176" w:leftChars="84" w:firstLine="840" w:firstLineChars="400"/>
              <w:textAlignment w:val="baseline"/>
              <w:rPr>
                <w:rFonts w:hint="eastAsia" w:ascii="宋体" w:hAnsi="宋体" w:eastAsia="宋体" w:cs="宋体"/>
                <w:color w:val="auto"/>
                <w:sz w:val="20"/>
                <w:szCs w:val="21"/>
                <w:shd w:val="clear" w:color="auto" w:fill="auto"/>
              </w:rPr>
            </w:pPr>
            <w:r>
              <w:rPr>
                <w:rFonts w:hint="eastAsia" w:ascii="宋体" w:hAnsi="宋体" w:eastAsia="宋体" w:cs="宋体"/>
                <w:color w:val="auto"/>
                <w:szCs w:val="21"/>
                <w:shd w:val="clear" w:color="auto" w:fill="auto"/>
              </w:rPr>
              <w:t>磋商单位：</w:t>
            </w:r>
            <w:r>
              <w:rPr>
                <w:rFonts w:hint="eastAsia" w:ascii="宋体" w:hAnsi="宋体" w:eastAsia="宋体" w:cs="宋体"/>
                <w:color w:val="auto"/>
                <w:szCs w:val="21"/>
                <w:u w:val="single" w:color="000000"/>
                <w:shd w:val="clear" w:color="auto" w:fill="auto"/>
              </w:rPr>
              <w:t xml:space="preserve">                                       </w:t>
            </w:r>
            <w:r>
              <w:rPr>
                <w:rFonts w:hint="eastAsia" w:ascii="宋体" w:hAnsi="宋体" w:eastAsia="宋体" w:cs="宋体"/>
                <w:color w:val="auto"/>
                <w:szCs w:val="21"/>
                <w:shd w:val="clear" w:color="auto" w:fill="auto"/>
              </w:rPr>
              <w:t>（公章）</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shd w:val="clear" w:color="auto" w:fill="auto"/>
              </w:rPr>
            </w:pPr>
            <w:r>
              <w:rPr>
                <w:rFonts w:hint="eastAsia" w:ascii="宋体" w:hAnsi="宋体" w:eastAsia="宋体" w:cs="宋体"/>
                <w:color w:val="auto"/>
                <w:szCs w:val="21"/>
                <w:shd w:val="clear" w:color="auto" w:fill="auto"/>
              </w:rPr>
              <w:t>项目名称：</w:t>
            </w:r>
            <w:r>
              <w:rPr>
                <w:rFonts w:hint="eastAsia" w:ascii="宋体" w:hAnsi="宋体" w:eastAsia="宋体" w:cs="宋体"/>
                <w:color w:val="auto"/>
                <w:szCs w:val="21"/>
                <w:u w:val="single" w:color="000000"/>
                <w:shd w:val="clear" w:color="auto" w:fill="auto"/>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shd w:val="clear" w:color="auto" w:fill="auto"/>
              </w:rPr>
            </w:pPr>
            <w:r>
              <w:rPr>
                <w:rFonts w:hint="eastAsia" w:ascii="宋体" w:hAnsi="宋体" w:eastAsia="宋体" w:cs="宋体"/>
                <w:color w:val="auto"/>
                <w:szCs w:val="21"/>
                <w:shd w:val="clear" w:color="auto" w:fill="auto"/>
              </w:rPr>
              <w:t>项目编号：</w:t>
            </w:r>
            <w:r>
              <w:rPr>
                <w:rFonts w:hint="eastAsia" w:ascii="宋体" w:hAnsi="宋体" w:eastAsia="宋体" w:cs="宋体"/>
                <w:color w:val="auto"/>
                <w:szCs w:val="21"/>
                <w:u w:val="single" w:color="000000"/>
                <w:shd w:val="clear" w:color="auto" w:fill="auto"/>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shd w:val="clear" w:color="auto" w:fill="auto"/>
              </w:rPr>
            </w:pPr>
            <w:r>
              <w:rPr>
                <w:rFonts w:hint="eastAsia" w:ascii="宋体" w:hAnsi="宋体" w:eastAsia="宋体" w:cs="宋体"/>
                <w:color w:val="auto"/>
                <w:szCs w:val="21"/>
                <w:shd w:val="clear" w:color="auto" w:fill="auto"/>
              </w:rPr>
              <w:t>联 系 人：</w:t>
            </w:r>
            <w:r>
              <w:rPr>
                <w:rFonts w:hint="eastAsia" w:ascii="宋体" w:hAnsi="宋体" w:eastAsia="宋体" w:cs="宋体"/>
                <w:color w:val="auto"/>
                <w:szCs w:val="21"/>
                <w:u w:val="single" w:color="000000"/>
                <w:shd w:val="clear" w:color="auto" w:fill="auto"/>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shd w:val="clear" w:color="auto" w:fill="auto"/>
              </w:rPr>
            </w:pPr>
            <w:r>
              <w:rPr>
                <w:rFonts w:hint="eastAsia" w:ascii="宋体" w:hAnsi="宋体" w:eastAsia="宋体" w:cs="宋体"/>
                <w:color w:val="auto"/>
                <w:szCs w:val="21"/>
                <w:shd w:val="clear" w:color="auto" w:fill="auto"/>
              </w:rPr>
              <w:t>电    话：</w:t>
            </w:r>
            <w:r>
              <w:rPr>
                <w:rFonts w:hint="eastAsia" w:ascii="宋体" w:hAnsi="宋体" w:eastAsia="宋体" w:cs="宋体"/>
                <w:color w:val="auto"/>
                <w:szCs w:val="21"/>
                <w:u w:val="single" w:color="000000"/>
                <w:shd w:val="clear" w:color="auto" w:fill="auto"/>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shd w:val="clear" w:color="auto" w:fill="auto"/>
              </w:rPr>
            </w:pPr>
            <w:r>
              <w:rPr>
                <w:rFonts w:hint="eastAsia" w:ascii="宋体" w:hAnsi="宋体" w:eastAsia="宋体" w:cs="宋体"/>
                <w:color w:val="auto"/>
                <w:szCs w:val="21"/>
                <w:shd w:val="clear" w:color="auto" w:fill="auto"/>
              </w:rPr>
              <w:t xml:space="preserve">地    址  ：  </w:t>
            </w:r>
            <w:r>
              <w:rPr>
                <w:rFonts w:hint="eastAsia" w:ascii="宋体" w:hAnsi="宋体" w:eastAsia="宋体" w:cs="宋体"/>
                <w:color w:val="auto"/>
                <w:szCs w:val="21"/>
                <w:u w:val="single" w:color="000000"/>
                <w:shd w:val="clear" w:color="auto" w:fill="auto"/>
              </w:rPr>
              <w:t xml:space="preserve">                                    </w:t>
            </w:r>
          </w:p>
          <w:p>
            <w:pPr>
              <w:snapToGrid w:val="0"/>
              <w:spacing w:line="360" w:lineRule="auto"/>
              <w:ind w:left="176" w:leftChars="84" w:firstLine="960" w:firstLineChars="400"/>
              <w:textAlignment w:val="baseline"/>
              <w:rPr>
                <w:rFonts w:hint="eastAsia" w:ascii="宋体" w:hAnsi="宋体" w:eastAsia="宋体" w:cs="宋体"/>
                <w:color w:val="auto"/>
                <w:sz w:val="24"/>
                <w:shd w:val="clear" w:color="auto" w:fill="auto"/>
              </w:rPr>
            </w:pPr>
          </w:p>
          <w:p>
            <w:pPr>
              <w:snapToGrid w:val="0"/>
              <w:jc w:val="center"/>
              <w:textAlignment w:val="baseline"/>
              <w:rPr>
                <w:rFonts w:hint="eastAsia" w:ascii="宋体" w:hAnsi="宋体" w:eastAsia="宋体" w:cs="宋体"/>
                <w:b/>
                <w:bCs/>
                <w:color w:val="auto"/>
                <w:sz w:val="20"/>
                <w:shd w:val="clear" w:color="auto" w:fill="auto"/>
              </w:rPr>
            </w:pPr>
          </w:p>
          <w:p>
            <w:pPr>
              <w:snapToGrid w:val="0"/>
              <w:jc w:val="center"/>
              <w:textAlignment w:val="baseline"/>
              <w:rPr>
                <w:rFonts w:hint="eastAsia" w:ascii="宋体" w:hAnsi="宋体" w:eastAsia="宋体" w:cs="宋体"/>
                <w:b/>
                <w:bCs/>
                <w:color w:val="auto"/>
                <w:sz w:val="20"/>
                <w:shd w:val="clear" w:color="auto" w:fill="auto"/>
              </w:rPr>
            </w:pPr>
          </w:p>
          <w:p>
            <w:pPr>
              <w:snapToGrid w:val="0"/>
              <w:jc w:val="center"/>
              <w:textAlignment w:val="baseline"/>
              <w:rPr>
                <w:rFonts w:hint="eastAsia" w:ascii="宋体" w:hAnsi="宋体" w:eastAsia="宋体" w:cs="宋体"/>
                <w:b/>
                <w:bCs/>
                <w:color w:val="auto"/>
                <w:sz w:val="20"/>
                <w:shd w:val="clear" w:color="auto" w:fill="auto"/>
              </w:rPr>
            </w:pPr>
          </w:p>
          <w:p>
            <w:pPr>
              <w:snapToGrid w:val="0"/>
              <w:jc w:val="center"/>
              <w:textAlignment w:val="baseline"/>
              <w:rPr>
                <w:rFonts w:hint="eastAsia" w:ascii="宋体" w:hAnsi="宋体" w:eastAsia="宋体" w:cs="宋体"/>
                <w:b/>
                <w:bCs/>
                <w:color w:val="auto"/>
                <w:sz w:val="20"/>
                <w:shd w:val="clear" w:color="auto" w:fill="auto"/>
              </w:rPr>
            </w:pPr>
            <w:r>
              <w:rPr>
                <w:rFonts w:hint="eastAsia" w:ascii="宋体" w:hAnsi="宋体" w:eastAsia="宋体" w:cs="宋体"/>
                <w:b/>
                <w:bCs/>
                <w:color w:val="auto"/>
                <w:shd w:val="clear" w:color="auto" w:fill="auto"/>
              </w:rPr>
              <w:t>注：   在20XX年   月  日 X午</w:t>
            </w:r>
            <w:r>
              <w:rPr>
                <w:rFonts w:hint="eastAsia" w:ascii="宋体" w:hAnsi="宋体" w:eastAsia="宋体" w:cs="宋体"/>
                <w:color w:val="auto"/>
                <w:kern w:val="0"/>
                <w:szCs w:val="21"/>
                <w:shd w:val="clear" w:color="auto" w:fill="auto"/>
              </w:rPr>
              <w:t>XX</w:t>
            </w:r>
            <w:r>
              <w:rPr>
                <w:rFonts w:hint="eastAsia" w:ascii="宋体" w:hAnsi="宋体" w:eastAsia="宋体" w:cs="宋体"/>
                <w:b/>
                <w:bCs/>
                <w:color w:val="auto"/>
                <w:shd w:val="clear" w:color="auto" w:fill="auto"/>
              </w:rPr>
              <w:t>之前不得启封</w:t>
            </w:r>
          </w:p>
          <w:p>
            <w:pPr>
              <w:snapToGrid w:val="0"/>
              <w:jc w:val="center"/>
              <w:textAlignment w:val="baseline"/>
              <w:rPr>
                <w:rFonts w:hint="eastAsia" w:ascii="宋体" w:hAnsi="宋体" w:eastAsia="宋体" w:cs="宋体"/>
                <w:b/>
                <w:bCs/>
                <w:color w:val="auto"/>
                <w:sz w:val="20"/>
                <w:shd w:val="clear" w:color="auto" w:fill="auto"/>
              </w:rPr>
            </w:pPr>
          </w:p>
        </w:tc>
      </w:tr>
    </w:tbl>
    <w:p>
      <w:pPr>
        <w:snapToGrid w:val="0"/>
        <w:spacing w:line="240" w:lineRule="atLeast"/>
        <w:textAlignment w:val="baseline"/>
        <w:rPr>
          <w:rFonts w:hint="eastAsia" w:ascii="宋体" w:hAnsi="宋体" w:eastAsia="宋体" w:cs="宋体"/>
          <w:b/>
          <w:color w:val="auto"/>
          <w:sz w:val="30"/>
          <w:szCs w:val="30"/>
          <w:shd w:val="clear" w:color="auto" w:fill="auto"/>
        </w:rPr>
      </w:pPr>
      <w:r>
        <w:rPr>
          <w:rFonts w:hint="eastAsia" w:ascii="宋体" w:hAnsi="宋体" w:eastAsia="宋体" w:cs="宋体"/>
          <w:color w:val="auto"/>
          <w:sz w:val="24"/>
          <w:shd w:val="clear" w:color="auto" w:fill="auto"/>
        </w:rPr>
        <w:br w:type="page"/>
      </w:r>
    </w:p>
    <w:p>
      <w:pPr>
        <w:snapToGrid w:val="0"/>
        <w:spacing w:line="240" w:lineRule="atLeast"/>
        <w:jc w:val="center"/>
        <w:textAlignment w:val="baseline"/>
        <w:rPr>
          <w:rFonts w:hint="eastAsia" w:ascii="宋体" w:hAnsi="宋体" w:eastAsia="宋体" w:cs="宋体"/>
          <w:b/>
          <w:color w:val="auto"/>
          <w:sz w:val="44"/>
          <w:szCs w:val="44"/>
          <w:shd w:val="clear" w:color="auto" w:fill="auto"/>
        </w:rPr>
      </w:pPr>
    </w:p>
    <w:p>
      <w:pPr>
        <w:pStyle w:val="34"/>
        <w:snapToGrid w:val="0"/>
        <w:ind w:firstLine="0" w:firstLineChars="0"/>
        <w:textAlignment w:val="baseline"/>
        <w:rPr>
          <w:rFonts w:hint="eastAsia" w:ascii="宋体" w:hAnsi="宋体" w:eastAsia="宋体" w:cs="宋体"/>
          <w:b/>
          <w:color w:val="auto"/>
          <w:sz w:val="44"/>
          <w:szCs w:val="44"/>
          <w:shd w:val="clear" w:color="auto" w:fill="auto"/>
        </w:rPr>
      </w:pPr>
    </w:p>
    <w:p>
      <w:pPr>
        <w:snapToGrid w:val="0"/>
        <w:spacing w:line="240" w:lineRule="atLeast"/>
        <w:jc w:val="center"/>
        <w:textAlignment w:val="baseline"/>
        <w:rPr>
          <w:rFonts w:hint="eastAsia" w:ascii="宋体" w:hAnsi="宋体" w:eastAsia="宋体" w:cs="宋体"/>
          <w:b/>
          <w:color w:val="auto"/>
          <w:sz w:val="44"/>
          <w:szCs w:val="44"/>
          <w:shd w:val="clear" w:color="auto" w:fill="auto"/>
        </w:rPr>
      </w:pPr>
    </w:p>
    <w:p>
      <w:pPr>
        <w:snapToGrid w:val="0"/>
        <w:spacing w:line="240" w:lineRule="atLeast"/>
        <w:jc w:val="center"/>
        <w:textAlignment w:val="baseline"/>
        <w:rPr>
          <w:rFonts w:hint="eastAsia" w:ascii="宋体" w:hAnsi="宋体" w:eastAsia="宋体" w:cs="宋体"/>
          <w:b/>
          <w:color w:val="auto"/>
          <w:sz w:val="36"/>
          <w:szCs w:val="36"/>
          <w:shd w:val="clear" w:color="auto" w:fill="auto"/>
        </w:rPr>
      </w:pPr>
      <w:r>
        <w:rPr>
          <w:rFonts w:hint="eastAsia" w:ascii="宋体" w:hAnsi="宋体" w:eastAsia="宋体" w:cs="宋体"/>
          <w:b/>
          <w:color w:val="auto"/>
          <w:sz w:val="52"/>
          <w:szCs w:val="52"/>
          <w:shd w:val="clear" w:color="auto" w:fill="auto"/>
        </w:rPr>
        <w:t>竞争性磋商文件</w:t>
      </w:r>
    </w:p>
    <w:p>
      <w:pPr>
        <w:pStyle w:val="34"/>
        <w:snapToGrid w:val="0"/>
        <w:textAlignment w:val="baseline"/>
        <w:rPr>
          <w:rFonts w:hint="eastAsia" w:ascii="宋体" w:hAnsi="宋体" w:eastAsia="宋体" w:cs="宋体"/>
          <w:color w:val="auto"/>
          <w:sz w:val="21"/>
          <w:shd w:val="clear" w:color="auto" w:fill="auto"/>
        </w:rPr>
      </w:pPr>
    </w:p>
    <w:p>
      <w:pPr>
        <w:pStyle w:val="34"/>
        <w:snapToGrid w:val="0"/>
        <w:textAlignment w:val="baseline"/>
        <w:rPr>
          <w:rFonts w:hint="eastAsia" w:ascii="宋体" w:hAnsi="宋体" w:eastAsia="宋体" w:cs="宋体"/>
          <w:color w:val="auto"/>
          <w:sz w:val="21"/>
          <w:shd w:val="clear" w:color="auto" w:fill="auto"/>
        </w:rPr>
      </w:pPr>
    </w:p>
    <w:p>
      <w:pPr>
        <w:snapToGrid w:val="0"/>
        <w:spacing w:line="240" w:lineRule="atLeast"/>
        <w:jc w:val="center"/>
        <w:textAlignment w:val="baseline"/>
        <w:rPr>
          <w:rFonts w:hint="eastAsia" w:ascii="宋体" w:hAnsi="宋体" w:eastAsia="宋体" w:cs="宋体"/>
          <w:b/>
          <w:color w:val="auto"/>
          <w:sz w:val="28"/>
          <w:szCs w:val="28"/>
          <w:shd w:val="clear" w:color="auto" w:fill="auto"/>
          <w:lang w:eastAsia="zh-CN"/>
        </w:rPr>
      </w:pPr>
      <w:r>
        <w:rPr>
          <w:rFonts w:hint="eastAsia" w:ascii="宋体" w:hAnsi="宋体" w:eastAsia="宋体" w:cs="宋体"/>
          <w:b/>
          <w:color w:val="auto"/>
          <w:sz w:val="28"/>
          <w:szCs w:val="28"/>
          <w:shd w:val="clear" w:color="auto" w:fill="auto"/>
        </w:rPr>
        <w:t>项目编号：</w:t>
      </w:r>
      <w:r>
        <w:rPr>
          <w:rFonts w:hint="eastAsia" w:ascii="宋体" w:hAnsi="宋体" w:eastAsia="宋体" w:cs="宋体"/>
          <w:b/>
          <w:color w:val="auto"/>
          <w:sz w:val="28"/>
          <w:szCs w:val="28"/>
          <w:shd w:val="clear" w:color="auto" w:fill="auto"/>
          <w:lang w:eastAsia="zh-CN"/>
        </w:rPr>
        <w:t xml:space="preserve">TZDYCCG-（CS）-2022-10号 </w:t>
      </w:r>
    </w:p>
    <w:p>
      <w:pPr>
        <w:snapToGrid w:val="0"/>
        <w:spacing w:line="240" w:lineRule="atLeast"/>
        <w:jc w:val="center"/>
        <w:textAlignment w:val="baseline"/>
        <w:rPr>
          <w:rFonts w:hint="eastAsia" w:ascii="宋体" w:hAnsi="宋体" w:eastAsia="宋体" w:cs="宋体"/>
          <w:b/>
          <w:color w:val="auto"/>
          <w:sz w:val="40"/>
          <w:szCs w:val="40"/>
          <w:shd w:val="clear" w:color="auto" w:fill="auto"/>
          <w:lang w:val="en-US" w:eastAsia="zh-CN"/>
        </w:rPr>
      </w:pPr>
    </w:p>
    <w:p>
      <w:pPr>
        <w:snapToGrid w:val="0"/>
        <w:spacing w:line="240" w:lineRule="atLeast"/>
        <w:jc w:val="center"/>
        <w:textAlignment w:val="baseline"/>
        <w:rPr>
          <w:rFonts w:hint="eastAsia" w:ascii="宋体" w:hAnsi="宋体" w:eastAsia="宋体" w:cs="宋体"/>
          <w:b/>
          <w:color w:val="auto"/>
          <w:sz w:val="40"/>
          <w:szCs w:val="40"/>
          <w:shd w:val="clear" w:color="auto" w:fill="auto"/>
        </w:rPr>
      </w:pPr>
    </w:p>
    <w:p>
      <w:pPr>
        <w:snapToGrid w:val="0"/>
        <w:spacing w:line="240" w:lineRule="atLeast"/>
        <w:textAlignment w:val="baseline"/>
        <w:rPr>
          <w:rFonts w:hint="eastAsia" w:ascii="宋体" w:hAnsi="宋体" w:eastAsia="宋体" w:cs="宋体"/>
          <w:b/>
          <w:color w:val="auto"/>
          <w:sz w:val="52"/>
          <w:shd w:val="clear" w:color="auto" w:fill="auto"/>
        </w:rPr>
      </w:pPr>
    </w:p>
    <w:p>
      <w:pPr>
        <w:snapToGrid w:val="0"/>
        <w:spacing w:line="240" w:lineRule="atLeast"/>
        <w:jc w:val="center"/>
        <w:textAlignment w:val="baseline"/>
        <w:rPr>
          <w:rFonts w:hint="eastAsia" w:ascii="宋体" w:hAnsi="宋体" w:eastAsia="宋体" w:cs="宋体"/>
          <w:b/>
          <w:color w:val="auto"/>
          <w:sz w:val="48"/>
          <w:szCs w:val="48"/>
          <w:shd w:val="clear" w:color="auto" w:fill="auto"/>
        </w:rPr>
      </w:pPr>
      <w:r>
        <w:rPr>
          <w:rFonts w:hint="eastAsia" w:ascii="宋体" w:hAnsi="宋体" w:eastAsia="宋体" w:cs="宋体"/>
          <w:b/>
          <w:color w:val="auto"/>
          <w:sz w:val="48"/>
          <w:szCs w:val="48"/>
          <w:shd w:val="clear" w:color="auto" w:fill="auto"/>
        </w:rPr>
        <w:t>第二册</w:t>
      </w:r>
    </w:p>
    <w:p>
      <w:pPr>
        <w:snapToGrid w:val="0"/>
        <w:spacing w:line="240" w:lineRule="atLeast"/>
        <w:ind w:left="1080" w:leftChars="257" w:hanging="540"/>
        <w:textAlignment w:val="baseline"/>
        <w:rPr>
          <w:rFonts w:hint="eastAsia" w:ascii="宋体" w:hAnsi="宋体" w:eastAsia="宋体" w:cs="宋体"/>
          <w:b/>
          <w:color w:val="auto"/>
          <w:sz w:val="28"/>
          <w:shd w:val="clear" w:color="auto" w:fill="auto"/>
        </w:rPr>
      </w:pPr>
    </w:p>
    <w:p>
      <w:pPr>
        <w:snapToGrid w:val="0"/>
        <w:spacing w:line="240" w:lineRule="atLeast"/>
        <w:ind w:left="1080" w:leftChars="257" w:hanging="540"/>
        <w:textAlignment w:val="baseline"/>
        <w:rPr>
          <w:rFonts w:hint="eastAsia" w:ascii="宋体" w:hAnsi="宋体" w:eastAsia="宋体" w:cs="宋体"/>
          <w:b/>
          <w:color w:val="auto"/>
          <w:sz w:val="28"/>
          <w:shd w:val="clear" w:color="auto" w:fill="auto"/>
        </w:rPr>
      </w:pPr>
    </w:p>
    <w:p>
      <w:pPr>
        <w:snapToGrid w:val="0"/>
        <w:spacing w:line="240" w:lineRule="atLeast"/>
        <w:ind w:left="1080" w:leftChars="257" w:hanging="540"/>
        <w:textAlignment w:val="baseline"/>
        <w:rPr>
          <w:rFonts w:hint="eastAsia" w:ascii="宋体" w:hAnsi="宋体" w:eastAsia="宋体" w:cs="宋体"/>
          <w:b/>
          <w:color w:val="auto"/>
          <w:sz w:val="28"/>
          <w:shd w:val="clear" w:color="auto" w:fill="auto"/>
        </w:rPr>
      </w:pPr>
    </w:p>
    <w:p>
      <w:pPr>
        <w:pStyle w:val="34"/>
        <w:snapToGrid w:val="0"/>
        <w:ind w:firstLine="560"/>
        <w:textAlignment w:val="baseline"/>
        <w:rPr>
          <w:rFonts w:hint="eastAsia" w:ascii="宋体" w:hAnsi="宋体" w:eastAsia="宋体" w:cs="宋体"/>
          <w:b/>
          <w:color w:val="auto"/>
          <w:sz w:val="28"/>
          <w:shd w:val="clear" w:color="auto" w:fill="auto"/>
        </w:rPr>
      </w:pPr>
    </w:p>
    <w:p>
      <w:pPr>
        <w:pStyle w:val="34"/>
        <w:snapToGrid w:val="0"/>
        <w:ind w:firstLine="560"/>
        <w:textAlignment w:val="baseline"/>
        <w:rPr>
          <w:rFonts w:hint="eastAsia" w:ascii="宋体" w:hAnsi="宋体" w:eastAsia="宋体" w:cs="宋体"/>
          <w:b/>
          <w:color w:val="auto"/>
          <w:sz w:val="28"/>
          <w:shd w:val="clear" w:color="auto" w:fill="auto"/>
        </w:rPr>
      </w:pPr>
    </w:p>
    <w:p>
      <w:pPr>
        <w:pStyle w:val="34"/>
        <w:snapToGrid w:val="0"/>
        <w:ind w:firstLine="560"/>
        <w:textAlignment w:val="baseline"/>
        <w:rPr>
          <w:rFonts w:hint="eastAsia" w:ascii="宋体" w:hAnsi="宋体" w:eastAsia="宋体" w:cs="宋体"/>
          <w:b/>
          <w:color w:val="auto"/>
          <w:sz w:val="28"/>
          <w:shd w:val="clear" w:color="auto" w:fill="auto"/>
        </w:rPr>
      </w:pPr>
    </w:p>
    <w:p>
      <w:pPr>
        <w:snapToGrid w:val="0"/>
        <w:spacing w:line="240" w:lineRule="atLeast"/>
        <w:ind w:left="1080" w:leftChars="257" w:hanging="540"/>
        <w:textAlignment w:val="baseline"/>
        <w:rPr>
          <w:rFonts w:hint="eastAsia" w:ascii="宋体" w:hAnsi="宋体" w:eastAsia="宋体" w:cs="宋体"/>
          <w:b/>
          <w:color w:val="auto"/>
          <w:sz w:val="28"/>
          <w:shd w:val="clear" w:color="auto" w:fill="auto"/>
        </w:rPr>
      </w:pPr>
    </w:p>
    <w:p>
      <w:pPr>
        <w:pStyle w:val="2"/>
        <w:rPr>
          <w:rFonts w:hint="eastAsia" w:ascii="宋体" w:hAnsi="宋体" w:eastAsia="宋体" w:cs="宋体"/>
          <w:b/>
          <w:color w:val="auto"/>
          <w:sz w:val="28"/>
          <w:shd w:val="clear" w:color="auto" w:fill="auto"/>
        </w:rPr>
      </w:pPr>
    </w:p>
    <w:p>
      <w:pPr>
        <w:pStyle w:val="2"/>
        <w:rPr>
          <w:rFonts w:hint="eastAsia" w:ascii="宋体" w:hAnsi="宋体" w:eastAsia="宋体" w:cs="宋体"/>
          <w:b/>
          <w:color w:val="auto"/>
          <w:sz w:val="28"/>
          <w:shd w:val="clear" w:color="auto" w:fill="auto"/>
        </w:rPr>
      </w:pPr>
    </w:p>
    <w:p>
      <w:pPr>
        <w:pStyle w:val="2"/>
        <w:rPr>
          <w:rFonts w:hint="eastAsia" w:ascii="宋体" w:hAnsi="宋体" w:eastAsia="宋体" w:cs="宋体"/>
          <w:b/>
          <w:color w:val="auto"/>
          <w:sz w:val="28"/>
          <w:shd w:val="clear" w:color="auto" w:fill="auto"/>
        </w:rPr>
      </w:pPr>
    </w:p>
    <w:p>
      <w:pPr>
        <w:pStyle w:val="5"/>
        <w:snapToGrid w:val="0"/>
        <w:ind w:firstLine="0"/>
        <w:textAlignment w:val="baseline"/>
        <w:rPr>
          <w:rFonts w:hint="eastAsia" w:ascii="宋体" w:hAnsi="宋体" w:eastAsia="宋体" w:cs="宋体"/>
          <w:b/>
          <w:color w:val="auto"/>
          <w:sz w:val="52"/>
          <w:shd w:val="clear" w:color="auto" w:fill="auto"/>
        </w:rPr>
      </w:pPr>
    </w:p>
    <w:p>
      <w:pPr>
        <w:pStyle w:val="3"/>
        <w:tabs>
          <w:tab w:val="left" w:pos="0"/>
        </w:tabs>
        <w:snapToGrid w:val="0"/>
        <w:spacing w:before="0" w:after="0" w:line="240" w:lineRule="atLeast"/>
        <w:textAlignment w:val="baseline"/>
        <w:rPr>
          <w:rFonts w:hint="eastAsia" w:ascii="宋体" w:hAnsi="宋体" w:eastAsia="宋体" w:cs="宋体"/>
          <w:color w:val="auto"/>
          <w:shd w:val="clear" w:color="auto" w:fill="auto"/>
          <w:lang w:eastAsia="zh-CN"/>
        </w:rPr>
      </w:pPr>
      <w:bookmarkStart w:id="787" w:name="_Toc28765"/>
      <w:bookmarkStart w:id="788" w:name="_Toc216582822"/>
      <w:bookmarkStart w:id="789" w:name="_Toc218935350"/>
      <w:bookmarkStart w:id="790" w:name="_Toc16370"/>
      <w:bookmarkStart w:id="791" w:name="_Toc515647829"/>
      <w:bookmarkStart w:id="792" w:name="_Toc32321"/>
      <w:bookmarkStart w:id="793" w:name="_Toc507399902"/>
      <w:bookmarkStart w:id="794" w:name="_Toc219175634"/>
      <w:r>
        <w:rPr>
          <w:rFonts w:hint="eastAsia" w:ascii="宋体" w:hAnsi="宋体" w:eastAsia="宋体" w:cs="宋体"/>
          <w:color w:val="auto"/>
          <w:shd w:val="clear" w:color="auto" w:fill="auto"/>
        </w:rPr>
        <w:t>第3章 磋商</w:t>
      </w:r>
      <w:bookmarkEnd w:id="787"/>
      <w:bookmarkEnd w:id="788"/>
      <w:bookmarkEnd w:id="789"/>
      <w:bookmarkEnd w:id="790"/>
      <w:bookmarkEnd w:id="791"/>
      <w:bookmarkEnd w:id="792"/>
      <w:bookmarkEnd w:id="793"/>
      <w:bookmarkEnd w:id="794"/>
      <w:r>
        <w:rPr>
          <w:rFonts w:hint="eastAsia" w:ascii="宋体" w:hAnsi="宋体" w:eastAsia="宋体" w:cs="宋体"/>
          <w:color w:val="auto"/>
          <w:shd w:val="clear" w:color="auto" w:fill="auto"/>
          <w:lang w:val="en-US" w:eastAsia="zh-CN"/>
        </w:rPr>
        <w:t>公告</w:t>
      </w:r>
    </w:p>
    <w:p>
      <w:pPr>
        <w:pStyle w:val="34"/>
        <w:pageBreakBefore w:val="0"/>
        <w:widowControl w:val="0"/>
        <w:kinsoku/>
        <w:wordWrap/>
        <w:overflowPunct/>
        <w:topLinePunct w:val="0"/>
        <w:bidi w:val="0"/>
        <w:snapToGrid/>
        <w:spacing w:line="480" w:lineRule="exact"/>
        <w:jc w:val="center"/>
        <w:textAlignment w:val="auto"/>
        <w:rPr>
          <w:rFonts w:hint="eastAsia" w:ascii="宋体" w:hAnsi="宋体" w:eastAsia="宋体" w:cs="宋体"/>
          <w:b w:val="0"/>
          <w:color w:val="auto"/>
          <w:kern w:val="2"/>
          <w:sz w:val="36"/>
          <w:szCs w:val="36"/>
          <w:u w:val="none"/>
          <w:shd w:val="clear" w:color="auto" w:fill="auto"/>
          <w:lang w:val="en-US" w:eastAsia="zh-CN" w:bidi="ar-SA"/>
        </w:rPr>
      </w:pPr>
      <w:bookmarkStart w:id="795" w:name="_Toc515647830"/>
      <w:bookmarkStart w:id="796" w:name="_Toc216582823"/>
      <w:bookmarkStart w:id="797" w:name="_Toc10488"/>
      <w:bookmarkStart w:id="798" w:name="_Toc507399903"/>
      <w:bookmarkStart w:id="799" w:name="_Toc31583"/>
      <w:bookmarkStart w:id="800" w:name="_Toc512937850"/>
      <w:r>
        <w:rPr>
          <w:rFonts w:hint="eastAsia" w:ascii="宋体" w:hAnsi="宋体" w:eastAsia="宋体" w:cs="宋体"/>
          <w:b w:val="0"/>
          <w:color w:val="auto"/>
          <w:kern w:val="2"/>
          <w:sz w:val="36"/>
          <w:szCs w:val="36"/>
          <w:u w:val="none"/>
          <w:shd w:val="clear" w:color="auto" w:fill="auto"/>
          <w:lang w:val="en-US" w:eastAsia="zh-CN" w:bidi="ar-SA"/>
        </w:rPr>
        <w:t>叶城县2022年高素质农民培训项目</w:t>
      </w:r>
    </w:p>
    <w:p>
      <w:pPr>
        <w:pStyle w:val="34"/>
        <w:pageBreakBefore w:val="0"/>
        <w:widowControl w:val="0"/>
        <w:kinsoku/>
        <w:wordWrap/>
        <w:overflowPunct/>
        <w:topLinePunct w:val="0"/>
        <w:bidi w:val="0"/>
        <w:snapToGrid/>
        <w:spacing w:line="480" w:lineRule="exact"/>
        <w:jc w:val="center"/>
        <w:textAlignment w:val="auto"/>
        <w:rPr>
          <w:rFonts w:hint="eastAsia" w:ascii="宋体" w:hAnsi="宋体" w:eastAsia="宋体" w:cs="宋体"/>
          <w:b w:val="0"/>
          <w:color w:val="auto"/>
          <w:kern w:val="2"/>
          <w:sz w:val="36"/>
          <w:szCs w:val="36"/>
          <w:u w:val="none"/>
          <w:shd w:val="clear" w:color="auto" w:fill="auto"/>
          <w:lang w:val="en-US" w:eastAsia="zh-CN" w:bidi="ar-SA"/>
        </w:rPr>
      </w:pPr>
      <w:r>
        <w:rPr>
          <w:rFonts w:hint="eastAsia" w:ascii="宋体" w:hAnsi="宋体" w:eastAsia="宋体" w:cs="宋体"/>
          <w:b w:val="0"/>
          <w:color w:val="auto"/>
          <w:kern w:val="2"/>
          <w:sz w:val="36"/>
          <w:szCs w:val="36"/>
          <w:u w:val="none"/>
          <w:shd w:val="clear" w:color="auto" w:fill="auto"/>
          <w:lang w:val="en-US" w:eastAsia="zh-CN" w:bidi="ar-SA"/>
        </w:rPr>
        <w:t>竞争性磋商公告</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bookmarkStart w:id="801" w:name="_Toc20886_WPSOffice_Level2"/>
      <w:r>
        <w:rPr>
          <w:rFonts w:hint="eastAsia" w:ascii="宋体" w:hAnsi="宋体" w:eastAsia="宋体" w:cs="宋体"/>
          <w:b w:val="0"/>
          <w:color w:val="auto"/>
          <w:kern w:val="2"/>
          <w:sz w:val="24"/>
          <w:szCs w:val="24"/>
          <w:u w:val="none"/>
          <w:shd w:val="clear" w:color="auto" w:fill="auto"/>
          <w:lang w:val="en-US" w:eastAsia="zh-CN" w:bidi="ar-SA"/>
        </w:rPr>
        <w:t>新疆天智达项目管理咨询有限公司受叶城县农业农村局委托对“叶城县2022年高素质农民培训项目”以竞争性磋商的方式进行采购，现邀请合格的供应商前来报名。</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一、项目基本情况</w:t>
      </w:r>
      <w:bookmarkEnd w:id="801"/>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1、项目名称：叶城县2022年高素质农民培训项目</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 xml:space="preserve">2、项目编号：TZDYCCG-（CS）-2022-10号 </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3、采购单位：叶城县农业农村局</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4、代理机构：新疆天智达项目管理咨询有限公司</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5、采购内容及预算资金：</w:t>
      </w:r>
      <w:bookmarkStart w:id="802" w:name="_Toc19581_WPSOffice_Level2"/>
      <w:r>
        <w:rPr>
          <w:rFonts w:hint="eastAsia" w:ascii="宋体" w:hAnsi="宋体" w:eastAsia="宋体" w:cs="宋体"/>
          <w:b w:val="0"/>
          <w:color w:val="auto"/>
          <w:kern w:val="2"/>
          <w:sz w:val="24"/>
          <w:szCs w:val="24"/>
          <w:u w:val="none"/>
          <w:shd w:val="clear" w:color="auto" w:fill="auto"/>
          <w:lang w:val="en-US" w:eastAsia="zh-CN" w:bidi="ar-SA"/>
        </w:rPr>
        <w:t>（具体详见磋商文件）；</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预算金额：2000000.00元（大写：贰佰万元整）</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服务地点：叶城县</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二、投标人资格要求</w:t>
      </w:r>
      <w:bookmarkEnd w:id="802"/>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1、投标商必须符合《中华人民共和国政府采购法》第二十二条规定条件；</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2、具有相应经营范围的企业法人营业执照（三证合一）；</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3、法定代表人需提供法人身份证原件；授权委托人需提供法人授权委托书原件、法人身份证复印件及被授权委托人身份证原件；</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5、投标企业及其被授权委托人在项目进行期内提供本单位缴纳的近三个月社保缴纳凭证证明、具有税务局开具依法缴纳的近三个月税收证明并加盖公章（新公司提供成立至今的）；</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6、投标单位（供应商）提供针对本次项目《反商业贿赂承诺书》书面声明；</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7、提供2021年度财务审计报告原件或复印件；新公司或其他组织和自然人提供银行出具的资信证明；</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 xml:space="preserve">8、参加政府采购活动前三年内，在经营活动中没有重大违法记录声明； </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9、本项目不接受联合体，其他要求详见磋商文件；</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bookmarkStart w:id="803" w:name="_Toc11973_WPSOffice_Level2"/>
      <w:r>
        <w:rPr>
          <w:rFonts w:hint="eastAsia" w:ascii="宋体" w:hAnsi="宋体" w:eastAsia="宋体" w:cs="宋体"/>
          <w:b w:val="0"/>
          <w:color w:val="auto"/>
          <w:kern w:val="2"/>
          <w:sz w:val="24"/>
          <w:szCs w:val="24"/>
          <w:u w:val="none"/>
          <w:shd w:val="clear" w:color="auto" w:fill="auto"/>
          <w:lang w:val="en-US" w:eastAsia="zh-CN" w:bidi="ar-SA"/>
        </w:rPr>
        <w:t>三、投标报名时间及地点</w:t>
      </w:r>
      <w:bookmarkEnd w:id="803"/>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bookmarkStart w:id="804" w:name="_Toc21857_WPSOffice_Level2"/>
      <w:r>
        <w:rPr>
          <w:rFonts w:hint="eastAsia" w:ascii="宋体" w:hAnsi="宋体" w:eastAsia="宋体" w:cs="宋体"/>
          <w:b w:val="0"/>
          <w:color w:val="auto"/>
          <w:kern w:val="2"/>
          <w:sz w:val="24"/>
          <w:szCs w:val="24"/>
          <w:u w:val="none"/>
          <w:shd w:val="clear" w:color="auto" w:fill="auto"/>
          <w:lang w:val="en-US" w:eastAsia="zh-CN" w:bidi="ar-SA"/>
        </w:rPr>
        <w:t>1、报名及获取磋商文件时间：2022年10月</w:t>
      </w:r>
      <w:r>
        <w:rPr>
          <w:rFonts w:hint="eastAsia" w:ascii="宋体" w:hAnsi="宋体" w:cs="宋体"/>
          <w:b w:val="0"/>
          <w:color w:val="auto"/>
          <w:kern w:val="2"/>
          <w:sz w:val="24"/>
          <w:szCs w:val="24"/>
          <w:u w:val="none"/>
          <w:shd w:val="clear" w:color="auto" w:fill="auto"/>
          <w:lang w:val="en-US" w:eastAsia="zh-CN" w:bidi="ar-SA"/>
        </w:rPr>
        <w:t>28</w:t>
      </w:r>
      <w:r>
        <w:rPr>
          <w:rFonts w:hint="eastAsia" w:ascii="宋体" w:hAnsi="宋体" w:eastAsia="宋体" w:cs="宋体"/>
          <w:b w:val="0"/>
          <w:color w:val="auto"/>
          <w:kern w:val="2"/>
          <w:sz w:val="24"/>
          <w:szCs w:val="24"/>
          <w:u w:val="none"/>
          <w:shd w:val="clear" w:color="auto" w:fill="auto"/>
          <w:lang w:val="en-US" w:eastAsia="zh-CN" w:bidi="ar-SA"/>
        </w:rPr>
        <w:t>日起至2022年11月4日【上午10:00-14:00时及下午16:00-20:00 时（北京时间，节假日休息)】；</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2、报名及领取文件地点：线上获取</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3、递交投标文件时间：投标书应于2022年11月8日上午12：00前（北京时间）提交到开标现场。</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4、开标时间：2022年11月8日上午12：00时（北京时间）</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5、开标地点：叶城县行政综合服务中心多功能厅（纬三路）</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凡对本次招标提出询问，请与新疆天智达项目管理咨询有限公司联系。</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四、联系方式</w:t>
      </w:r>
      <w:bookmarkEnd w:id="804"/>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招标代理机构：新疆天智达项目管理咨询有限公司</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联系人：武梅</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联系方式：13399778608</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地址：新疆喀什地区喀什市库木德尔瓦扎街道玉吉米力克社区5组20号</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采购人：叶城县农业农村局　</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联系人：靳春风</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联系方式：18299639900</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r>
        <w:rPr>
          <w:rFonts w:hint="eastAsia" w:ascii="宋体" w:hAnsi="宋体" w:eastAsia="宋体" w:cs="宋体"/>
          <w:b w:val="0"/>
          <w:color w:val="auto"/>
          <w:kern w:val="2"/>
          <w:sz w:val="24"/>
          <w:szCs w:val="24"/>
          <w:u w:val="none"/>
          <w:shd w:val="clear" w:color="auto" w:fill="auto"/>
          <w:lang w:val="en-US" w:eastAsia="zh-CN" w:bidi="ar-SA"/>
        </w:rPr>
        <w:t>地址：叶城县</w:t>
      </w:r>
    </w:p>
    <w:p>
      <w:pPr>
        <w:pStyle w:val="34"/>
        <w:pageBreakBefore w:val="0"/>
        <w:widowControl w:val="0"/>
        <w:kinsoku/>
        <w:wordWrap/>
        <w:overflowPunct/>
        <w:topLinePunct w:val="0"/>
        <w:bidi w:val="0"/>
        <w:snapToGrid/>
        <w:spacing w:line="480" w:lineRule="exact"/>
        <w:textAlignment w:val="auto"/>
        <w:rPr>
          <w:rFonts w:hint="eastAsia" w:ascii="宋体" w:hAnsi="宋体" w:eastAsia="宋体" w:cs="宋体"/>
          <w:b w:val="0"/>
          <w:color w:val="auto"/>
          <w:kern w:val="2"/>
          <w:sz w:val="24"/>
          <w:szCs w:val="24"/>
          <w:u w:val="none"/>
          <w:shd w:val="clear" w:color="auto" w:fill="auto"/>
          <w:lang w:val="en-US" w:eastAsia="zh-CN" w:bidi="ar-SA"/>
        </w:rPr>
      </w:pPr>
    </w:p>
    <w:p>
      <w:pPr>
        <w:pStyle w:val="2"/>
        <w:rPr>
          <w:rFonts w:hint="eastAsia" w:ascii="宋体" w:hAnsi="宋体" w:eastAsia="宋体" w:cs="宋体"/>
          <w:color w:val="auto"/>
          <w:sz w:val="28"/>
          <w:szCs w:val="28"/>
          <w:shd w:val="clear" w:color="auto" w:fill="auto"/>
        </w:rPr>
      </w:pPr>
    </w:p>
    <w:p>
      <w:pPr>
        <w:pStyle w:val="2"/>
        <w:rPr>
          <w:rFonts w:hint="eastAsia" w:ascii="宋体" w:hAnsi="宋体" w:eastAsia="宋体" w:cs="宋体"/>
          <w:color w:val="auto"/>
          <w:sz w:val="28"/>
          <w:szCs w:val="28"/>
          <w:shd w:val="clear" w:color="auto" w:fill="auto"/>
        </w:rPr>
      </w:pPr>
    </w:p>
    <w:p>
      <w:pPr>
        <w:pStyle w:val="2"/>
        <w:rPr>
          <w:rFonts w:hint="eastAsia" w:ascii="宋体" w:hAnsi="宋体" w:eastAsia="宋体" w:cs="宋体"/>
          <w:color w:val="auto"/>
          <w:sz w:val="28"/>
          <w:szCs w:val="28"/>
          <w:shd w:val="clear" w:color="auto" w:fill="auto"/>
        </w:rPr>
      </w:pPr>
    </w:p>
    <w:p>
      <w:pPr>
        <w:pStyle w:val="2"/>
        <w:rPr>
          <w:rFonts w:hint="eastAsia" w:ascii="宋体" w:hAnsi="宋体" w:eastAsia="宋体" w:cs="宋体"/>
          <w:color w:val="auto"/>
          <w:sz w:val="28"/>
          <w:szCs w:val="28"/>
          <w:shd w:val="clear" w:color="auto" w:fill="auto"/>
        </w:rPr>
      </w:pPr>
    </w:p>
    <w:p>
      <w:pPr>
        <w:pStyle w:val="2"/>
        <w:rPr>
          <w:rFonts w:hint="eastAsia" w:ascii="宋体" w:hAnsi="宋体" w:eastAsia="宋体" w:cs="宋体"/>
          <w:color w:val="auto"/>
          <w:sz w:val="28"/>
          <w:szCs w:val="28"/>
          <w:shd w:val="clear" w:color="auto" w:fill="auto"/>
        </w:rPr>
      </w:pPr>
    </w:p>
    <w:p>
      <w:pPr>
        <w:pStyle w:val="2"/>
        <w:rPr>
          <w:rFonts w:hint="eastAsia" w:ascii="宋体" w:hAnsi="宋体" w:eastAsia="宋体" w:cs="宋体"/>
          <w:b/>
          <w:color w:val="auto"/>
          <w:sz w:val="32"/>
          <w:szCs w:val="32"/>
          <w:shd w:val="clear" w:color="auto" w:fill="auto"/>
        </w:rPr>
      </w:pPr>
      <w:bookmarkStart w:id="805" w:name="_Toc7656"/>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2"/>
        <w:rPr>
          <w:rFonts w:hint="eastAsia" w:ascii="宋体" w:hAnsi="宋体" w:eastAsia="宋体" w:cs="宋体"/>
          <w:b/>
          <w:color w:val="auto"/>
          <w:sz w:val="32"/>
          <w:szCs w:val="32"/>
          <w:shd w:val="clear" w:color="auto" w:fill="auto"/>
        </w:rPr>
      </w:pPr>
    </w:p>
    <w:p>
      <w:pPr>
        <w:pStyle w:val="3"/>
        <w:tabs>
          <w:tab w:val="left" w:pos="0"/>
        </w:tabs>
        <w:snapToGrid w:val="0"/>
        <w:spacing w:before="0" w:after="0" w:line="240" w:lineRule="atLeast"/>
        <w:textAlignment w:val="baseline"/>
        <w:rPr>
          <w:rFonts w:hint="eastAsia" w:ascii="宋体" w:hAnsi="宋体" w:eastAsia="宋体" w:cs="宋体"/>
          <w:color w:val="auto"/>
          <w:szCs w:val="32"/>
          <w:shd w:val="clear" w:color="auto" w:fill="auto"/>
        </w:rPr>
      </w:pPr>
      <w:r>
        <w:rPr>
          <w:rFonts w:hint="eastAsia" w:ascii="宋体" w:hAnsi="宋体" w:eastAsia="宋体" w:cs="宋体"/>
          <w:color w:val="auto"/>
          <w:szCs w:val="32"/>
          <w:shd w:val="clear" w:color="auto" w:fill="auto"/>
        </w:rPr>
        <w:t>第4章  供应商须知资料表</w:t>
      </w:r>
      <w:bookmarkEnd w:id="795"/>
      <w:bookmarkEnd w:id="796"/>
      <w:bookmarkEnd w:id="797"/>
      <w:bookmarkEnd w:id="798"/>
      <w:bookmarkEnd w:id="799"/>
      <w:bookmarkEnd w:id="800"/>
      <w:bookmarkEnd w:id="805"/>
    </w:p>
    <w:p>
      <w:pPr>
        <w:snapToGrid w:val="0"/>
        <w:spacing w:line="240" w:lineRule="atLeast"/>
        <w:ind w:firstLine="360" w:firstLineChars="15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本表是本招标项目的具体资料，是对供应商须知的具体补充和修改，如有矛盾，应以本资料表为准。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spacing w:line="360" w:lineRule="exact"/>
              <w:jc w:val="center"/>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条款号</w:t>
            </w:r>
          </w:p>
        </w:tc>
        <w:tc>
          <w:tcPr>
            <w:tcW w:w="8115" w:type="dxa"/>
            <w:vAlign w:val="center"/>
          </w:tcPr>
          <w:p>
            <w:pPr>
              <w:snapToGrid w:val="0"/>
              <w:spacing w:line="360" w:lineRule="exact"/>
              <w:ind w:left="1080" w:leftChars="257" w:hanging="540"/>
              <w:textAlignment w:val="baseline"/>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w:t>
            </w:r>
          </w:p>
        </w:tc>
        <w:tc>
          <w:tcPr>
            <w:tcW w:w="8115" w:type="dxa"/>
            <w:vAlign w:val="center"/>
          </w:tcPr>
          <w:p>
            <w:pPr>
              <w:pStyle w:val="30"/>
              <w:widowControl/>
              <w:snapToGrid w:val="0"/>
              <w:spacing w:before="0" w:after="0" w:line="360" w:lineRule="exact"/>
              <w:textAlignment w:val="baseline"/>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eastAsia="zh-CN"/>
              </w:rPr>
              <w:t>采购人：叶城县农业农村局</w:t>
            </w:r>
          </w:p>
          <w:p>
            <w:pPr>
              <w:pStyle w:val="30"/>
              <w:widowControl/>
              <w:snapToGrid w:val="0"/>
              <w:spacing w:before="0" w:after="0" w:line="360" w:lineRule="exact"/>
              <w:textAlignment w:val="baseline"/>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eastAsia="zh-CN"/>
              </w:rPr>
              <w:t>地  址：叶城县</w:t>
            </w:r>
          </w:p>
          <w:p>
            <w:pPr>
              <w:pStyle w:val="30"/>
              <w:widowControl/>
              <w:snapToGrid w:val="0"/>
              <w:spacing w:before="0" w:after="0" w:line="360" w:lineRule="exact"/>
              <w:textAlignment w:val="baseline"/>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eastAsia="zh-CN"/>
              </w:rPr>
              <w:t>联系人：靳春风</w:t>
            </w:r>
            <w:r>
              <w:rPr>
                <w:rFonts w:hint="eastAsia" w:ascii="宋体" w:hAnsi="宋体" w:eastAsia="宋体" w:cs="宋体"/>
                <w:color w:val="auto"/>
                <w:shd w:val="clear" w:color="auto" w:fill="auto"/>
                <w:lang w:val="en-US" w:eastAsia="zh-CN"/>
              </w:rPr>
              <w:t xml:space="preserve">      </w:t>
            </w:r>
            <w:r>
              <w:rPr>
                <w:rFonts w:hint="eastAsia" w:ascii="宋体" w:hAnsi="宋体" w:eastAsia="宋体" w:cs="宋体"/>
                <w:color w:val="auto"/>
                <w:shd w:val="clear" w:color="auto" w:fill="auto"/>
                <w:lang w:eastAsia="zh-CN"/>
              </w:rPr>
              <w:t>电  话：18299639900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w:t>
            </w:r>
          </w:p>
        </w:tc>
        <w:tc>
          <w:tcPr>
            <w:tcW w:w="8115" w:type="dxa"/>
            <w:vAlign w:val="center"/>
          </w:tcPr>
          <w:p>
            <w:pPr>
              <w:spacing w:line="36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采购代理机构：</w:t>
            </w:r>
            <w:r>
              <w:rPr>
                <w:rFonts w:hint="eastAsia" w:ascii="宋体" w:hAnsi="宋体" w:eastAsia="宋体" w:cs="宋体"/>
                <w:color w:val="auto"/>
                <w:sz w:val="24"/>
                <w:u w:val="single"/>
                <w:shd w:val="clear" w:color="auto" w:fill="auto"/>
                <w:lang w:eastAsia="zh-CN"/>
              </w:rPr>
              <w:t>新疆天智达项目管理咨询有限公司</w:t>
            </w:r>
            <w:r>
              <w:rPr>
                <w:rFonts w:hint="eastAsia" w:ascii="宋体" w:hAnsi="宋体" w:eastAsia="宋体" w:cs="宋体"/>
                <w:color w:val="auto"/>
                <w:sz w:val="24"/>
                <w:shd w:val="clear" w:color="auto" w:fill="auto"/>
              </w:rPr>
              <w:t xml:space="preserve">  </w:t>
            </w:r>
          </w:p>
          <w:p>
            <w:pPr>
              <w:spacing w:line="360" w:lineRule="exact"/>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地址：新疆喀什地区喀什市库木德尔瓦扎街道玉吉米力克社区5组20号</w:t>
            </w:r>
          </w:p>
          <w:p>
            <w:pPr>
              <w:snapToGrid w:val="0"/>
              <w:spacing w:line="360" w:lineRule="exact"/>
              <w:textAlignment w:val="baseline"/>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rPr>
              <w:t>联系人：</w:t>
            </w:r>
            <w:r>
              <w:rPr>
                <w:rFonts w:hint="eastAsia" w:ascii="宋体" w:hAnsi="宋体" w:eastAsia="宋体" w:cs="宋体"/>
                <w:color w:val="auto"/>
                <w:sz w:val="24"/>
                <w:u w:val="single"/>
                <w:shd w:val="clear" w:color="auto" w:fill="auto"/>
                <w:lang w:val="en-US" w:eastAsia="zh-CN"/>
              </w:rPr>
              <w:t>武梅</w:t>
            </w:r>
            <w:r>
              <w:rPr>
                <w:rFonts w:hint="eastAsia" w:ascii="宋体" w:hAnsi="宋体" w:eastAsia="宋体" w:cs="宋体"/>
                <w:color w:val="auto"/>
                <w:sz w:val="24"/>
                <w:u w:val="single"/>
                <w:shd w:val="clear" w:color="auto" w:fill="auto"/>
              </w:rPr>
              <w:t>　</w:t>
            </w:r>
            <w:r>
              <w:rPr>
                <w:rFonts w:hint="eastAsia" w:ascii="宋体" w:hAnsi="宋体" w:eastAsia="宋体" w:cs="宋体"/>
                <w:color w:val="auto"/>
                <w:sz w:val="24"/>
                <w:shd w:val="clear" w:color="auto" w:fill="auto"/>
              </w:rPr>
              <w:t xml:space="preserve">         联系电话：</w:t>
            </w:r>
            <w:r>
              <w:rPr>
                <w:rFonts w:hint="eastAsia" w:ascii="宋体" w:hAnsi="宋体" w:eastAsia="宋体" w:cs="宋体"/>
                <w:color w:val="auto"/>
                <w:sz w:val="24"/>
                <w:shd w:val="clear" w:color="auto" w:fill="auto"/>
                <w:lang w:eastAsia="zh-CN"/>
              </w:rPr>
              <w:t>13399778608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1.3.4</w:t>
            </w:r>
          </w:p>
        </w:tc>
        <w:tc>
          <w:tcPr>
            <w:tcW w:w="8115" w:type="dxa"/>
            <w:vAlign w:val="center"/>
          </w:tcPr>
          <w:p>
            <w:pPr>
              <w:widowControl/>
              <w:snapToGrid w:val="0"/>
              <w:spacing w:line="360" w:lineRule="exact"/>
              <w:jc w:val="left"/>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合格供应商的资格要求：（开标现场需携带以下证明资料）</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1、投标商必须符合《中华人民共和国政府采购法》第二十二条规定条件；</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2、具有相应经营范围的企业法人营业执照（三证合一）（原件、复印件、影印件均可）；</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3、法定代表人需提供法人身份证原件；授权委托人需提供法人授权委托书原件、法人身份证复印件及被授权委托人身份证原件；</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5、投标企业及其被授权委托人在项目进行期内提供本单位缴纳的近三个月社保缴纳凭证证明、具有税务局开具依法缴纳的近三个月税收证明并加盖公章（新公司提供成立至今的）；</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6、投标单位（供应商）提供针对本次项目《反商业贿赂承诺书》书面声明；</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7、提供2021年度财务审计报告原件或复印件；新公司或其他组织和自然人提供银行出具的资信证明；</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 xml:space="preserve">8、参加政府采购活动前三年内，在经营活动中没有重大违法记录声明； </w:t>
            </w:r>
          </w:p>
          <w:p>
            <w:pPr>
              <w:widowControl/>
              <w:snapToGrid w:val="0"/>
              <w:spacing w:line="360" w:lineRule="exact"/>
              <w:jc w:val="left"/>
              <w:textAlignment w:val="baseline"/>
              <w:rPr>
                <w:rFonts w:hint="eastAsia" w:ascii="宋体" w:hAnsi="宋体" w:eastAsia="宋体" w:cs="宋体"/>
                <w:b/>
                <w:bCs/>
                <w:color w:val="auto"/>
                <w:sz w:val="24"/>
                <w:shd w:val="clear" w:color="auto" w:fill="auto"/>
                <w:lang w:val="en-US" w:eastAsia="zh-CN"/>
              </w:rPr>
            </w:pPr>
            <w:r>
              <w:rPr>
                <w:rFonts w:hint="eastAsia" w:ascii="宋体" w:hAnsi="宋体" w:eastAsia="宋体" w:cs="宋体"/>
                <w:b/>
                <w:bCs/>
                <w:color w:val="auto"/>
                <w:sz w:val="24"/>
                <w:shd w:val="clear" w:color="auto" w:fill="auto"/>
                <w:lang w:val="en-US" w:eastAsia="zh-CN"/>
              </w:rPr>
              <w:t>9、本项目不接受联合体；</w:t>
            </w:r>
          </w:p>
          <w:p>
            <w:pPr>
              <w:widowControl/>
              <w:snapToGrid w:val="0"/>
              <w:spacing w:line="360" w:lineRule="exact"/>
              <w:jc w:val="left"/>
              <w:textAlignment w:val="baseline"/>
              <w:rPr>
                <w:rFonts w:hint="eastAsia" w:ascii="宋体" w:hAnsi="宋体" w:eastAsia="宋体" w:cs="宋体"/>
                <w:color w:val="auto"/>
                <w:shd w:val="clear" w:color="auto" w:fill="auto"/>
              </w:rPr>
            </w:pPr>
            <w:r>
              <w:rPr>
                <w:rFonts w:hint="eastAsia" w:ascii="宋体" w:hAnsi="宋体" w:eastAsia="宋体" w:cs="宋体"/>
                <w:b/>
                <w:bCs/>
                <w:color w:val="auto"/>
                <w:sz w:val="24"/>
                <w:shd w:val="clear" w:color="auto" w:fill="auto"/>
                <w:lang w:val="en-US" w:eastAsia="zh-CN"/>
              </w:rPr>
              <w:t>10</w:t>
            </w:r>
            <w:r>
              <w:rPr>
                <w:rFonts w:hint="eastAsia" w:ascii="宋体" w:hAnsi="宋体" w:eastAsia="宋体" w:cs="宋体"/>
                <w:b/>
                <w:bCs/>
                <w:color w:val="auto"/>
                <w:sz w:val="24"/>
                <w:shd w:val="clear" w:color="auto" w:fill="auto"/>
              </w:rPr>
              <w:t>、投标保证金收据；</w:t>
            </w:r>
            <w:r>
              <w:rPr>
                <w:rFonts w:hint="eastAsia" w:ascii="宋体" w:hAnsi="宋体" w:eastAsia="宋体" w:cs="宋体"/>
                <w:b/>
                <w:bCs/>
                <w:color w:val="auto"/>
                <w:sz w:val="24"/>
                <w:shd w:val="clear" w:color="auto" w:fill="auto"/>
              </w:rPr>
              <w:br w:type="textWrapping"/>
            </w:r>
            <w:r>
              <w:rPr>
                <w:rFonts w:hint="eastAsia" w:ascii="宋体" w:hAnsi="宋体" w:eastAsia="宋体" w:cs="宋体"/>
                <w:b/>
                <w:bCs/>
                <w:color w:val="auto"/>
                <w:sz w:val="24"/>
                <w:shd w:val="clear" w:color="auto" w:fill="auto"/>
                <w:lang w:eastAsia="zh-CN"/>
              </w:rPr>
              <w:t>本项目不接受联合体投标</w:t>
            </w:r>
            <w:r>
              <w:rPr>
                <w:rFonts w:hint="eastAsia" w:ascii="宋体" w:hAnsi="宋体" w:eastAsia="宋体" w:cs="宋体"/>
                <w:b/>
                <w:bCs/>
                <w:color w:val="auto"/>
                <w:sz w:val="24"/>
                <w:shd w:val="clear" w:color="auto" w:fill="auto"/>
              </w:rPr>
              <w:t>提示：上述资料在资格审查过程中，潜在供应商资料不全的，可打开响应文件正本进行进一步核实，经核实符合条件的供应均视为合格供应商。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1.3.5   </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是否允许采购进口产品：</w:t>
            </w:r>
            <w:r>
              <w:rPr>
                <w:rFonts w:hint="eastAsia" w:ascii="宋体" w:hAnsi="宋体" w:eastAsia="宋体" w:cs="宋体"/>
                <w:color w:val="auto"/>
                <w:sz w:val="24"/>
                <w:u w:val="single" w:color="000000"/>
                <w:shd w:val="clear" w:color="auto" w:fill="auto"/>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1.3.6</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是否为专门面向中小企业采购：</w:t>
            </w:r>
            <w:r>
              <w:rPr>
                <w:rFonts w:hint="eastAsia" w:ascii="宋体" w:hAnsi="宋体" w:eastAsia="宋体" w:cs="宋体"/>
                <w:color w:val="auto"/>
                <w:sz w:val="24"/>
                <w:u w:val="single" w:color="000000"/>
                <w:shd w:val="clear" w:color="auto" w:fill="auto"/>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是否允许联合体磋商：</w:t>
            </w:r>
            <w:r>
              <w:rPr>
                <w:rFonts w:hint="eastAsia" w:ascii="宋体" w:hAnsi="宋体" w:eastAsia="宋体" w:cs="宋体"/>
                <w:color w:val="auto"/>
                <w:sz w:val="24"/>
                <w:u w:val="single" w:color="000000"/>
                <w:shd w:val="clear" w:color="auto" w:fill="auto"/>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1.4.8</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2.2</w:t>
            </w:r>
          </w:p>
        </w:tc>
        <w:tc>
          <w:tcPr>
            <w:tcW w:w="8115" w:type="dxa"/>
            <w:vAlign w:val="center"/>
          </w:tcPr>
          <w:p>
            <w:pPr>
              <w:pStyle w:val="5"/>
              <w:snapToGrid w:val="0"/>
              <w:spacing w:line="360" w:lineRule="exact"/>
              <w:ind w:firstLine="0"/>
              <w:textAlignment w:val="baseline"/>
              <w:rPr>
                <w:rFonts w:hint="eastAsia" w:ascii="宋体" w:hAnsi="宋体" w:eastAsia="宋体" w:cs="宋体"/>
                <w:color w:val="auto"/>
                <w:shd w:val="clear" w:color="auto" w:fill="auto"/>
              </w:rPr>
            </w:pPr>
            <w:r>
              <w:rPr>
                <w:rFonts w:hint="eastAsia" w:ascii="宋体" w:hAnsi="宋体" w:eastAsia="宋体" w:cs="宋体"/>
                <w:color w:val="auto"/>
                <w:kern w:val="2"/>
                <w:szCs w:val="24"/>
                <w:shd w:val="clear" w:color="auto" w:fill="auto"/>
              </w:rPr>
              <w:t>项目预算金额：</w:t>
            </w:r>
            <w:r>
              <w:rPr>
                <w:rFonts w:hint="eastAsia" w:ascii="宋体" w:hAnsi="宋体" w:eastAsia="宋体" w:cs="宋体"/>
                <w:color w:val="auto"/>
                <w:kern w:val="2"/>
                <w:szCs w:val="24"/>
                <w:shd w:val="clear" w:color="auto" w:fill="auto"/>
                <w:lang w:val="en-US" w:eastAsia="zh-CN"/>
              </w:rPr>
              <w:t>200</w:t>
            </w:r>
            <w:r>
              <w:rPr>
                <w:rFonts w:hint="eastAsia" w:ascii="宋体" w:hAnsi="宋体" w:eastAsia="宋体" w:cs="宋体"/>
                <w:color w:val="auto"/>
                <w:kern w:val="2"/>
                <w:szCs w:val="24"/>
                <w:shd w:val="clear" w:color="auto" w:fill="auto"/>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12.1</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磋商保证金形式：☑保函  ☑电汇  □支票   ☑对公转账   </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磋商保证金金额：</w:t>
            </w:r>
            <w:r>
              <w:rPr>
                <w:rFonts w:hint="eastAsia" w:ascii="宋体" w:hAnsi="宋体" w:eastAsia="宋体" w:cs="宋体"/>
                <w:color w:val="auto"/>
                <w:sz w:val="24"/>
                <w:shd w:val="clear" w:color="auto" w:fill="auto"/>
                <w:lang w:val="en-US" w:eastAsia="zh-CN"/>
              </w:rPr>
              <w:t>20000.00</w:t>
            </w:r>
            <w:r>
              <w:rPr>
                <w:rFonts w:hint="eastAsia" w:ascii="宋体" w:hAnsi="宋体" w:eastAsia="宋体" w:cs="宋体"/>
                <w:color w:val="auto"/>
                <w:sz w:val="24"/>
                <w:shd w:val="clear" w:color="auto" w:fill="auto"/>
              </w:rPr>
              <w:t>元（人民币</w:t>
            </w:r>
            <w:r>
              <w:rPr>
                <w:rFonts w:hint="eastAsia" w:ascii="宋体" w:hAnsi="宋体" w:eastAsia="宋体" w:cs="宋体"/>
                <w:color w:val="auto"/>
                <w:sz w:val="24"/>
                <w:shd w:val="clear" w:color="auto" w:fill="auto"/>
                <w:lang w:val="en-US" w:eastAsia="zh-CN"/>
              </w:rPr>
              <w:t>贰万元整</w:t>
            </w:r>
            <w:r>
              <w:rPr>
                <w:rFonts w:hint="eastAsia" w:ascii="宋体" w:hAnsi="宋体" w:eastAsia="宋体" w:cs="宋体"/>
                <w:color w:val="auto"/>
                <w:sz w:val="24"/>
                <w:shd w:val="clear" w:color="auto" w:fill="auto"/>
              </w:rPr>
              <w:t>）</w:t>
            </w:r>
          </w:p>
          <w:p>
            <w:pPr>
              <w:spacing w:line="360" w:lineRule="exac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保证金收款人：新疆天智达项目管理咨询有限公司</w:t>
            </w:r>
          </w:p>
          <w:p>
            <w:pPr>
              <w:spacing w:line="360" w:lineRule="exac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账号：65050174603800000602</w:t>
            </w:r>
          </w:p>
          <w:p>
            <w:pPr>
              <w:spacing w:line="360" w:lineRule="exac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开户行：中国建设银行股份有限公司喀什西域大道支行</w:t>
            </w:r>
          </w:p>
          <w:p>
            <w:pPr>
              <w:spacing w:line="360" w:lineRule="exac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打款时注明投标保证金项目名称。到账截止时间：</w:t>
            </w:r>
            <w:r>
              <w:rPr>
                <w:rFonts w:hint="eastAsia" w:ascii="宋体" w:hAnsi="宋体" w:eastAsia="宋体" w:cs="宋体"/>
                <w:b/>
                <w:bCs/>
                <w:color w:val="auto"/>
                <w:sz w:val="24"/>
                <w:shd w:val="clear" w:color="auto" w:fill="auto"/>
                <w:lang w:val="en-US" w:eastAsia="zh-CN"/>
              </w:rPr>
              <w:t>11月7日19：00前</w:t>
            </w:r>
            <w:r>
              <w:rPr>
                <w:rFonts w:hint="eastAsia" w:ascii="宋体" w:hAnsi="宋体" w:eastAsia="宋体" w:cs="宋体"/>
                <w:b/>
                <w:bCs/>
                <w:color w:val="auto"/>
                <w:sz w:val="24"/>
                <w:shd w:val="clear" w:color="auto" w:fill="auto"/>
              </w:rPr>
              <w:t>。打款后请联系我方确认是否到账换取投标保证金收据。</w:t>
            </w:r>
          </w:p>
          <w:p>
            <w:pPr>
              <w:spacing w:line="360" w:lineRule="exact"/>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汇款时注明：投标保证金A:缴纳保证金要求：供应商向银行办理保证金汇（转）款时，应在用途栏（备注栏）注明项目名称及包号（如有），并注明是磋商保证金字样，如填写字数有要求可简写项目名称与包号（如有），由于未按要求注明信息而导致的一切后果由供应商自行承担。</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b/>
                <w:bCs/>
                <w:color w:val="auto"/>
                <w:sz w:val="24"/>
                <w:shd w:val="clear" w:color="auto" w:fill="auto"/>
              </w:rPr>
              <w:t>B：退保证金：（1）评审结束后，未成交供应商的保证金将在5个工作日内退回原账户，供应商不需办理任何手续。（2）成交供应商的保证金在与采购人签订合同后，把合同扫描件发送至邮箱</w:t>
            </w:r>
            <w:r>
              <w:rPr>
                <w:rFonts w:hint="eastAsia" w:ascii="宋体" w:hAnsi="宋体" w:eastAsia="宋体" w:cs="宋体"/>
                <w:b/>
                <w:bCs/>
                <w:color w:val="auto"/>
                <w:sz w:val="24"/>
                <w:shd w:val="clear" w:color="auto" w:fill="auto"/>
                <w:lang w:val="en-US" w:eastAsia="zh-CN"/>
              </w:rPr>
              <w:t>2396575322</w:t>
            </w:r>
            <w:r>
              <w:rPr>
                <w:rFonts w:hint="eastAsia" w:ascii="宋体" w:hAnsi="宋体" w:eastAsia="宋体" w:cs="宋体"/>
                <w:b/>
                <w:bCs/>
                <w:color w:val="auto"/>
                <w:sz w:val="24"/>
                <w:shd w:val="clear" w:color="auto" w:fill="auto"/>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13.1</w:t>
            </w:r>
          </w:p>
        </w:tc>
        <w:tc>
          <w:tcPr>
            <w:tcW w:w="8115" w:type="dxa"/>
            <w:vAlign w:val="center"/>
          </w:tcPr>
          <w:p>
            <w:pPr>
              <w:snapToGrid w:val="0"/>
              <w:spacing w:line="360" w:lineRule="exact"/>
              <w:textAlignment w:val="baseline"/>
              <w:rPr>
                <w:rFonts w:hint="eastAsia" w:ascii="宋体" w:hAnsi="宋体" w:eastAsia="宋体" w:cs="宋体"/>
                <w:color w:val="auto"/>
                <w:sz w:val="24"/>
                <w:u w:val="single" w:color="000000"/>
                <w:shd w:val="clear" w:color="auto" w:fill="auto"/>
              </w:rPr>
            </w:pPr>
            <w:r>
              <w:rPr>
                <w:rFonts w:hint="eastAsia" w:ascii="宋体" w:hAnsi="宋体" w:eastAsia="宋体" w:cs="宋体"/>
                <w:color w:val="auto"/>
                <w:sz w:val="24"/>
                <w:shd w:val="clear" w:color="auto" w:fill="auto"/>
              </w:rPr>
              <w:t>磋商有效期：</w:t>
            </w:r>
            <w:r>
              <w:rPr>
                <w:rFonts w:hint="eastAsia" w:ascii="宋体" w:hAnsi="宋体" w:eastAsia="宋体" w:cs="宋体"/>
                <w:color w:val="auto"/>
                <w:sz w:val="24"/>
                <w:u w:val="single" w:color="000000"/>
                <w:shd w:val="clear" w:color="auto" w:fill="auto"/>
              </w:rPr>
              <w:t>　</w:t>
            </w:r>
            <w:r>
              <w:rPr>
                <w:rFonts w:hint="eastAsia" w:ascii="宋体" w:hAnsi="宋体" w:eastAsia="宋体" w:cs="宋体"/>
                <w:color w:val="auto"/>
                <w:sz w:val="24"/>
                <w:u w:val="single" w:color="000000"/>
                <w:shd w:val="clear" w:color="auto" w:fill="auto"/>
                <w:lang w:val="en-US" w:eastAsia="zh-CN"/>
              </w:rPr>
              <w:t>90</w:t>
            </w:r>
            <w:r>
              <w:rPr>
                <w:rFonts w:hint="eastAsia" w:ascii="宋体" w:hAnsi="宋体" w:eastAsia="宋体" w:cs="宋体"/>
                <w:color w:val="auto"/>
                <w:sz w:val="24"/>
                <w:u w:val="single" w:color="000000"/>
                <w:shd w:val="clear" w:color="auto" w:fill="auto"/>
              </w:rPr>
              <w:t>　</w:t>
            </w:r>
            <w:r>
              <w:rPr>
                <w:rFonts w:hint="eastAsia" w:ascii="宋体" w:hAnsi="宋体" w:eastAsia="宋体" w:cs="宋体"/>
                <w:color w:val="auto"/>
                <w:sz w:val="24"/>
                <w:shd w:val="clear" w:color="auto" w:fill="auto"/>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14.1</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投标文件：正本：　1 份、副本：</w:t>
            </w:r>
            <w:r>
              <w:rPr>
                <w:rFonts w:hint="eastAsia" w:ascii="宋体" w:hAnsi="宋体" w:eastAsia="宋体" w:cs="宋体"/>
                <w:color w:val="auto"/>
                <w:sz w:val="24"/>
                <w:shd w:val="clear" w:color="auto" w:fill="auto"/>
                <w:lang w:val="en-US" w:eastAsia="zh-CN"/>
              </w:rPr>
              <w:t>3</w:t>
            </w:r>
            <w:r>
              <w:rPr>
                <w:rFonts w:hint="eastAsia" w:ascii="宋体" w:hAnsi="宋体" w:eastAsia="宋体" w:cs="宋体"/>
                <w:color w:val="auto"/>
                <w:sz w:val="24"/>
                <w:shd w:val="clear" w:color="auto" w:fill="auto"/>
              </w:rPr>
              <w:t>份；</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除上述文件外，还须密封递交投标文件电子文档  1 份。</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正副本可装入一个封套中，但开标一览表、电子U盘需再单独封装一份于单独封套中，加贴封条，并在封套的封口处骑缝签字</w:t>
            </w:r>
            <w:r>
              <w:rPr>
                <w:rFonts w:hint="eastAsia" w:ascii="宋体" w:hAnsi="宋体" w:eastAsia="宋体" w:cs="宋体"/>
                <w:color w:val="auto"/>
                <w:sz w:val="24"/>
                <w:shd w:val="clear" w:color="auto" w:fill="auto"/>
                <w:lang w:eastAsia="zh-CN"/>
              </w:rPr>
              <w:t>或</w:t>
            </w:r>
            <w:r>
              <w:rPr>
                <w:rFonts w:hint="eastAsia" w:ascii="宋体" w:hAnsi="宋体" w:eastAsia="宋体" w:cs="宋体"/>
                <w:color w:val="auto"/>
                <w:sz w:val="24"/>
                <w:shd w:val="clear" w:color="auto" w:fill="auto"/>
              </w:rPr>
              <w:t>盖章。</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投标文件使用A4，胶装，每册需编写页码，装订应牢固、不易拆散和换页，不得采用活页装订。投标文件中大于A3的彩图应需要另外裱装。</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所有响应招标文件要求合格投标人的投标文件包括随文件同时递交的图纸、U盘等附件均不予退回。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16.1</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磋商截止时间：2022年</w:t>
            </w:r>
            <w:r>
              <w:rPr>
                <w:rFonts w:hint="eastAsia" w:ascii="宋体" w:hAnsi="宋体" w:eastAsia="宋体" w:cs="宋体"/>
                <w:color w:val="auto"/>
                <w:sz w:val="24"/>
                <w:shd w:val="clear" w:color="auto" w:fill="auto"/>
                <w:lang w:val="en-US" w:eastAsia="zh-CN"/>
              </w:rPr>
              <w:t>11</w:t>
            </w:r>
            <w:r>
              <w:rPr>
                <w:rFonts w:hint="eastAsia" w:ascii="宋体" w:hAnsi="宋体" w:eastAsia="宋体" w:cs="宋体"/>
                <w:color w:val="auto"/>
                <w:sz w:val="24"/>
                <w:shd w:val="clear" w:color="auto" w:fill="auto"/>
              </w:rPr>
              <w:t>月</w:t>
            </w:r>
            <w:r>
              <w:rPr>
                <w:rFonts w:hint="eastAsia" w:ascii="宋体" w:hAnsi="宋体" w:eastAsia="宋体" w:cs="宋体"/>
                <w:color w:val="auto"/>
                <w:sz w:val="24"/>
                <w:shd w:val="clear" w:color="auto" w:fill="auto"/>
                <w:lang w:val="en-US" w:eastAsia="zh-CN"/>
              </w:rPr>
              <w:t>8</w:t>
            </w:r>
            <w:r>
              <w:rPr>
                <w:rFonts w:hint="eastAsia" w:ascii="宋体" w:hAnsi="宋体" w:eastAsia="宋体" w:cs="宋体"/>
                <w:color w:val="auto"/>
                <w:sz w:val="24"/>
                <w:shd w:val="clear" w:color="auto" w:fill="auto"/>
              </w:rPr>
              <w:t>日上午1</w:t>
            </w:r>
            <w:r>
              <w:rPr>
                <w:rFonts w:hint="eastAsia" w:ascii="宋体" w:hAnsi="宋体" w:eastAsia="宋体" w:cs="宋体"/>
                <w:color w:val="auto"/>
                <w:sz w:val="24"/>
                <w:shd w:val="clear" w:color="auto" w:fill="auto"/>
                <w:lang w:val="en-US" w:eastAsia="zh-CN"/>
              </w:rPr>
              <w:t>2</w:t>
            </w:r>
            <w:r>
              <w:rPr>
                <w:rFonts w:hint="eastAsia" w:ascii="宋体" w:hAnsi="宋体" w:eastAsia="宋体" w:cs="宋体"/>
                <w:color w:val="auto"/>
                <w:sz w:val="24"/>
                <w:shd w:val="clear" w:color="auto" w:fill="auto"/>
              </w:rPr>
              <w:t>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18.1</w:t>
            </w:r>
          </w:p>
        </w:tc>
        <w:tc>
          <w:tcPr>
            <w:tcW w:w="8115" w:type="dxa"/>
            <w:vAlign w:val="center"/>
          </w:tcPr>
          <w:p>
            <w:pPr>
              <w:snapToGrid w:val="0"/>
              <w:spacing w:line="360" w:lineRule="exac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磋商</w:t>
            </w:r>
            <w:r>
              <w:rPr>
                <w:rFonts w:hint="eastAsia" w:ascii="宋体" w:hAnsi="宋体" w:eastAsia="宋体" w:cs="宋体"/>
                <w:color w:val="auto"/>
                <w:kern w:val="0"/>
                <w:sz w:val="24"/>
                <w:shd w:val="clear" w:color="auto" w:fill="auto"/>
              </w:rPr>
              <w:t>时间：</w:t>
            </w:r>
            <w:r>
              <w:rPr>
                <w:rFonts w:hint="eastAsia" w:ascii="宋体" w:hAnsi="宋体" w:eastAsia="宋体" w:cs="宋体"/>
                <w:color w:val="auto"/>
                <w:sz w:val="24"/>
                <w:shd w:val="clear" w:color="auto" w:fill="auto"/>
              </w:rPr>
              <w:t>2022年</w:t>
            </w:r>
            <w:r>
              <w:rPr>
                <w:rFonts w:hint="eastAsia" w:ascii="宋体" w:hAnsi="宋体" w:eastAsia="宋体" w:cs="宋体"/>
                <w:color w:val="auto"/>
                <w:sz w:val="24"/>
                <w:shd w:val="clear" w:color="auto" w:fill="auto"/>
                <w:lang w:val="en-US" w:eastAsia="zh-CN"/>
              </w:rPr>
              <w:t>11</w:t>
            </w:r>
            <w:r>
              <w:rPr>
                <w:rFonts w:hint="eastAsia" w:ascii="宋体" w:hAnsi="宋体" w:eastAsia="宋体" w:cs="宋体"/>
                <w:color w:val="auto"/>
                <w:sz w:val="24"/>
                <w:shd w:val="clear" w:color="auto" w:fill="auto"/>
              </w:rPr>
              <w:t>月</w:t>
            </w:r>
            <w:r>
              <w:rPr>
                <w:rFonts w:hint="eastAsia" w:ascii="宋体" w:hAnsi="宋体" w:eastAsia="宋体" w:cs="宋体"/>
                <w:color w:val="auto"/>
                <w:sz w:val="24"/>
                <w:shd w:val="clear" w:color="auto" w:fill="auto"/>
                <w:lang w:val="en-US" w:eastAsia="zh-CN"/>
              </w:rPr>
              <w:t>8</w:t>
            </w:r>
            <w:r>
              <w:rPr>
                <w:rFonts w:hint="eastAsia" w:ascii="宋体" w:hAnsi="宋体" w:eastAsia="宋体" w:cs="宋体"/>
                <w:color w:val="auto"/>
                <w:sz w:val="24"/>
                <w:shd w:val="clear" w:color="auto" w:fill="auto"/>
              </w:rPr>
              <w:t>日上午</w:t>
            </w:r>
            <w:r>
              <w:rPr>
                <w:rFonts w:hint="eastAsia" w:ascii="宋体" w:hAnsi="宋体" w:eastAsia="宋体" w:cs="宋体"/>
                <w:color w:val="auto"/>
                <w:sz w:val="24"/>
                <w:shd w:val="clear" w:color="auto" w:fill="auto"/>
                <w:lang w:val="en-US" w:eastAsia="zh-CN"/>
              </w:rPr>
              <w:t>12</w:t>
            </w:r>
            <w:r>
              <w:rPr>
                <w:rFonts w:hint="eastAsia" w:ascii="宋体" w:hAnsi="宋体" w:eastAsia="宋体" w:cs="宋体"/>
                <w:color w:val="auto"/>
                <w:sz w:val="24"/>
                <w:shd w:val="clear" w:color="auto" w:fill="auto"/>
              </w:rPr>
              <w:t>点 00 分（北京时间）</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kern w:val="0"/>
                <w:sz w:val="24"/>
                <w:shd w:val="clear" w:color="auto" w:fill="auto"/>
              </w:rPr>
              <w:t>磋商地点：</w:t>
            </w:r>
            <w:r>
              <w:rPr>
                <w:rFonts w:hint="eastAsia" w:ascii="宋体" w:hAnsi="宋体" w:eastAsia="宋体" w:cs="宋体"/>
                <w:color w:val="auto"/>
                <w:kern w:val="0"/>
                <w:sz w:val="24"/>
                <w:shd w:val="clear" w:color="auto" w:fill="auto"/>
                <w:lang w:val="en-US" w:eastAsia="zh-CN"/>
              </w:rPr>
              <w:t>叶城县行政综合服务中心多功能厅（纬三路）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23.2</w:t>
            </w:r>
          </w:p>
        </w:tc>
        <w:tc>
          <w:tcPr>
            <w:tcW w:w="8115" w:type="dxa"/>
            <w:vAlign w:val="center"/>
          </w:tcPr>
          <w:p>
            <w:pPr>
              <w:snapToGrid w:val="0"/>
              <w:spacing w:line="360" w:lineRule="exact"/>
              <w:textAlignment w:val="baseline"/>
              <w:rPr>
                <w:rFonts w:hint="eastAsia" w:ascii="宋体" w:hAnsi="宋体" w:eastAsia="宋体" w:cs="宋体"/>
                <w:i/>
                <w:color w:val="auto"/>
                <w:sz w:val="24"/>
                <w:shd w:val="clear" w:color="auto" w:fill="auto"/>
              </w:rPr>
            </w:pPr>
            <w:r>
              <w:rPr>
                <w:rFonts w:hint="eastAsia" w:ascii="宋体" w:hAnsi="宋体" w:eastAsia="宋体" w:cs="宋体"/>
                <w:color w:val="auto"/>
                <w:sz w:val="24"/>
                <w:shd w:val="clear" w:color="auto" w:fill="auto"/>
              </w:rPr>
              <w:t>评审方法：</w:t>
            </w:r>
            <w:r>
              <w:rPr>
                <w:rFonts w:hint="eastAsia" w:ascii="宋体" w:hAnsi="宋体" w:eastAsia="宋体" w:cs="宋体"/>
                <w:color w:val="auto"/>
                <w:sz w:val="24"/>
                <w:u w:val="single" w:color="000000"/>
                <w:shd w:val="clear" w:color="auto" w:fill="auto"/>
              </w:rPr>
              <w:t>　综合评分法　</w:t>
            </w:r>
            <w:r>
              <w:rPr>
                <w:rFonts w:hint="eastAsia" w:ascii="宋体" w:hAnsi="宋体" w:eastAsia="宋体" w:cs="宋体"/>
                <w:color w:val="auto"/>
                <w:sz w:val="24"/>
                <w:shd w:val="clear" w:color="auto" w:fill="auto"/>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27</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推荐成交候选供应商的数量：</w:t>
            </w:r>
            <w:r>
              <w:rPr>
                <w:rFonts w:hint="eastAsia" w:ascii="宋体" w:hAnsi="宋体" w:eastAsia="宋体" w:cs="宋体"/>
                <w:color w:val="auto"/>
                <w:sz w:val="24"/>
                <w:u w:val="single" w:color="000000"/>
                <w:shd w:val="clear" w:color="auto" w:fill="auto"/>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27</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采购人是否委托评审委员会直接确定成交人：</w:t>
            </w:r>
            <w:r>
              <w:rPr>
                <w:rFonts w:hint="eastAsia" w:ascii="宋体" w:hAnsi="宋体" w:eastAsia="宋体" w:cs="宋体"/>
                <w:color w:val="auto"/>
                <w:sz w:val="24"/>
                <w:u w:val="single" w:color="000000"/>
                <w:shd w:val="clear" w:color="auto" w:fill="auto"/>
              </w:rPr>
              <w:t xml:space="preserve">  否  </w:t>
            </w:r>
            <w:r>
              <w:rPr>
                <w:rFonts w:hint="eastAsia" w:ascii="宋体" w:hAnsi="宋体" w:eastAsia="宋体" w:cs="宋体"/>
                <w:color w:val="auto"/>
                <w:sz w:val="24"/>
                <w:shd w:val="clear" w:color="auto" w:fill="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32</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成交服务费：根据发改委价格[2015]299文件：代理服务费按照成交金额的1.</w:t>
            </w:r>
            <w:r>
              <w:rPr>
                <w:rFonts w:hint="eastAsia" w:ascii="宋体" w:hAnsi="宋体" w:eastAsia="宋体" w:cs="宋体"/>
                <w:color w:val="auto"/>
                <w:sz w:val="24"/>
                <w:shd w:val="clear" w:color="auto" w:fill="auto"/>
                <w:lang w:val="en-US" w:eastAsia="zh-CN"/>
              </w:rPr>
              <w:t>5</w:t>
            </w:r>
            <w:r>
              <w:rPr>
                <w:rFonts w:hint="eastAsia" w:ascii="宋体" w:hAnsi="宋体" w:eastAsia="宋体" w:cs="宋体"/>
                <w:color w:val="auto"/>
                <w:sz w:val="24"/>
                <w:shd w:val="clear" w:color="auto" w:fill="auto"/>
              </w:rPr>
              <w:t>%收取。（由成交供应商支付）</w:t>
            </w:r>
          </w:p>
          <w:p>
            <w:pPr>
              <w:snapToGrid w:val="0"/>
              <w:spacing w:line="360" w:lineRule="exact"/>
              <w:ind w:left="900" w:hanging="900" w:hangingChars="375"/>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支付形式：</w:t>
            </w:r>
            <w:r>
              <w:rPr>
                <w:rFonts w:hint="eastAsia" w:ascii="宋体" w:hAnsi="宋体" w:eastAsia="宋体" w:cs="宋体"/>
                <w:color w:val="auto"/>
                <w:sz w:val="24"/>
                <w:u w:val="single" w:color="000000"/>
                <w:shd w:val="clear" w:color="auto" w:fill="auto"/>
              </w:rPr>
              <w:t xml:space="preserve"> 对公转账  </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支付时间：</w:t>
            </w:r>
            <w:r>
              <w:rPr>
                <w:rFonts w:hint="eastAsia" w:ascii="宋体" w:hAnsi="宋体" w:eastAsia="宋体" w:cs="宋体"/>
                <w:color w:val="auto"/>
                <w:sz w:val="24"/>
                <w:u w:val="single" w:color="000000"/>
                <w:shd w:val="clear" w:color="auto" w:fill="auto"/>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33.1</w:t>
            </w:r>
          </w:p>
        </w:tc>
        <w:tc>
          <w:tcPr>
            <w:tcW w:w="8115" w:type="dxa"/>
            <w:vAlign w:val="center"/>
          </w:tcPr>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本项目是否属于信用担保试点范围：  否  </w:t>
            </w:r>
          </w:p>
        </w:tc>
      </w:tr>
    </w:tbl>
    <w:p>
      <w:pPr>
        <w:snapToGrid w:val="0"/>
        <w:spacing w:line="360" w:lineRule="exact"/>
        <w:textAlignment w:val="baseline"/>
        <w:rPr>
          <w:rFonts w:hint="eastAsia" w:ascii="宋体" w:hAnsi="宋体" w:eastAsia="宋体" w:cs="宋体"/>
          <w:color w:val="auto"/>
          <w:sz w:val="24"/>
          <w:shd w:val="clear" w:color="auto" w:fill="auto"/>
        </w:rPr>
      </w:pPr>
    </w:p>
    <w:p>
      <w:pPr>
        <w:snapToGrid w:val="0"/>
        <w:spacing w:line="360" w:lineRule="exact"/>
        <w:jc w:val="center"/>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资格性审查表</w:t>
      </w:r>
    </w:p>
    <w:p>
      <w:pPr>
        <w:snapToGrid w:val="0"/>
        <w:spacing w:line="360" w:lineRule="exact"/>
        <w:textAlignment w:val="baseline"/>
        <w:rPr>
          <w:rFonts w:hint="eastAsia" w:ascii="宋体" w:hAnsi="宋体" w:eastAsia="宋体" w:cs="宋体"/>
          <w:color w:val="auto"/>
          <w:sz w:val="24"/>
          <w:shd w:val="clear" w:color="auto" w:fill="auto"/>
          <w:lang w:val="en-US" w:eastAsia="zh-CN"/>
        </w:rPr>
      </w:pPr>
    </w:p>
    <w:tbl>
      <w:tblPr>
        <w:tblStyle w:val="35"/>
        <w:tblpPr w:leftFromText="180" w:rightFromText="180" w:vertAnchor="text" w:horzAnchor="page" w:tblpXSpec="center" w:tblpY="116"/>
        <w:tblOverlap w:val="never"/>
        <w:tblW w:w="10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00"/>
        <w:gridCol w:w="1635"/>
        <w:gridCol w:w="138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8" w:type="dxa"/>
            <w:vMerge w:val="restart"/>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序号</w:t>
            </w:r>
          </w:p>
        </w:tc>
        <w:tc>
          <w:tcPr>
            <w:tcW w:w="5700" w:type="dxa"/>
            <w:vMerge w:val="restart"/>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评审内容</w:t>
            </w:r>
          </w:p>
        </w:tc>
        <w:tc>
          <w:tcPr>
            <w:tcW w:w="4263" w:type="dxa"/>
            <w:gridSpan w:val="3"/>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88" w:type="dxa"/>
            <w:vMerge w:val="continue"/>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5700" w:type="dxa"/>
            <w:vMerge w:val="continue"/>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p>
        </w:tc>
        <w:tc>
          <w:tcPr>
            <w:tcW w:w="1635" w:type="dxa"/>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是否合格</w:t>
            </w:r>
          </w:p>
        </w:tc>
        <w:tc>
          <w:tcPr>
            <w:tcW w:w="1380" w:type="dxa"/>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是否合格</w:t>
            </w:r>
          </w:p>
        </w:tc>
        <w:tc>
          <w:tcPr>
            <w:tcW w:w="1248" w:type="dxa"/>
            <w:noWrap w:val="0"/>
            <w:vAlign w:val="center"/>
          </w:tcPr>
          <w:p>
            <w:pPr>
              <w:snapToGrid w:val="0"/>
              <w:spacing w:line="360" w:lineRule="exact"/>
              <w:jc w:val="center"/>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1</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i w:val="0"/>
                <w:iCs w:val="0"/>
                <w:color w:val="auto"/>
                <w:kern w:val="0"/>
                <w:sz w:val="24"/>
                <w:szCs w:val="24"/>
                <w:shd w:val="clear" w:color="auto" w:fill="auto"/>
              </w:rPr>
              <w:t>具有相应经营范围的企业法人营业执照（三证合一）（原件、复印件、影印件均可）</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2</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i w:val="0"/>
                <w:iCs w:val="0"/>
                <w:color w:val="auto"/>
                <w:kern w:val="0"/>
                <w:sz w:val="24"/>
                <w:szCs w:val="24"/>
                <w:shd w:val="clear" w:color="auto" w:fill="auto"/>
              </w:rPr>
              <w:t>法定代表人需提供法人身份证原件；授权委托人需提供法人授权委托书原件、法人身份证复印件及被授权委托人身份证原件；</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val="en-US" w:eastAsia="zh-CN"/>
              </w:rPr>
            </w:pPr>
            <w:r>
              <w:rPr>
                <w:rFonts w:hint="eastAsia" w:ascii="宋体" w:hAnsi="宋体" w:eastAsia="宋体" w:cs="宋体"/>
                <w:b w:val="0"/>
                <w:bCs w:val="0"/>
                <w:color w:val="auto"/>
                <w:sz w:val="24"/>
                <w:shd w:val="clear" w:color="auto" w:fill="auto"/>
                <w:lang w:val="en-US" w:eastAsia="zh-CN"/>
              </w:rPr>
              <w:t>3</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val="en-US" w:eastAsia="zh-CN"/>
              </w:rPr>
            </w:pPr>
            <w:r>
              <w:rPr>
                <w:rFonts w:hint="eastAsia" w:ascii="宋体" w:hAnsi="宋体" w:eastAsia="宋体" w:cs="宋体"/>
                <w:b w:val="0"/>
                <w:bCs w:val="0"/>
                <w:i w:val="0"/>
                <w:iCs w:val="0"/>
                <w:color w:val="auto"/>
                <w:kern w:val="0"/>
                <w:sz w:val="24"/>
                <w:szCs w:val="24"/>
                <w:shd w:val="clear" w:color="auto" w:fill="auto"/>
              </w:rPr>
              <w:t>供应商需提供在“信用中国”网</w:t>
            </w:r>
            <w:r>
              <w:rPr>
                <w:rFonts w:hint="eastAsia" w:ascii="宋体" w:hAnsi="宋体" w:eastAsia="宋体" w:cs="宋体"/>
                <w:b w:val="0"/>
                <w:bCs w:val="0"/>
                <w:i w:val="0"/>
                <w:iCs w:val="0"/>
                <w:color w:val="auto"/>
                <w:sz w:val="24"/>
                <w:szCs w:val="24"/>
                <w:shd w:val="clear" w:color="auto" w:fill="auto"/>
              </w:rPr>
              <w:t>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eastAsia="zh-CN"/>
              </w:rPr>
            </w:pPr>
            <w:r>
              <w:rPr>
                <w:rFonts w:hint="eastAsia" w:ascii="宋体" w:hAnsi="宋体" w:eastAsia="宋体" w:cs="宋体"/>
                <w:b w:val="0"/>
                <w:bCs w:val="0"/>
                <w:color w:val="auto"/>
                <w:sz w:val="24"/>
                <w:shd w:val="clear" w:color="auto" w:fill="auto"/>
                <w:lang w:val="en-US" w:eastAsia="zh-CN"/>
              </w:rPr>
              <w:t>4</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i w:val="0"/>
                <w:iCs w:val="0"/>
                <w:color w:val="auto"/>
                <w:kern w:val="0"/>
                <w:sz w:val="24"/>
                <w:szCs w:val="24"/>
                <w:shd w:val="clear" w:color="auto" w:fill="auto"/>
              </w:rPr>
              <w:t>投标企业及其被授权委托人在项目进行期内提供本单位缴纳的</w:t>
            </w:r>
            <w:r>
              <w:rPr>
                <w:rFonts w:hint="eastAsia" w:ascii="宋体" w:hAnsi="宋体" w:eastAsia="宋体" w:cs="宋体"/>
                <w:b w:val="0"/>
                <w:bCs w:val="0"/>
                <w:i w:val="0"/>
                <w:iCs w:val="0"/>
                <w:color w:val="auto"/>
                <w:kern w:val="0"/>
                <w:sz w:val="24"/>
                <w:szCs w:val="24"/>
                <w:shd w:val="clear" w:color="auto" w:fill="auto"/>
                <w:lang w:val="en-US" w:eastAsia="zh-CN"/>
              </w:rPr>
              <w:t>近三个月</w:t>
            </w:r>
            <w:r>
              <w:rPr>
                <w:rFonts w:hint="eastAsia" w:ascii="宋体" w:hAnsi="宋体" w:eastAsia="宋体" w:cs="宋体"/>
                <w:b w:val="0"/>
                <w:bCs w:val="0"/>
                <w:i w:val="0"/>
                <w:iCs w:val="0"/>
                <w:color w:val="auto"/>
                <w:kern w:val="0"/>
                <w:sz w:val="24"/>
                <w:szCs w:val="24"/>
                <w:shd w:val="clear" w:color="auto" w:fill="auto"/>
              </w:rPr>
              <w:t>社保缴纳凭证证明、具有税务局开具依法缴纳的</w:t>
            </w:r>
            <w:r>
              <w:rPr>
                <w:rFonts w:hint="eastAsia" w:ascii="宋体" w:hAnsi="宋体" w:eastAsia="宋体" w:cs="宋体"/>
                <w:b w:val="0"/>
                <w:bCs w:val="0"/>
                <w:i w:val="0"/>
                <w:iCs w:val="0"/>
                <w:color w:val="auto"/>
                <w:kern w:val="0"/>
                <w:sz w:val="24"/>
                <w:szCs w:val="24"/>
                <w:shd w:val="clear" w:color="auto" w:fill="auto"/>
                <w:lang w:val="en-US" w:eastAsia="zh-CN"/>
              </w:rPr>
              <w:t>近三个月</w:t>
            </w:r>
            <w:r>
              <w:rPr>
                <w:rFonts w:hint="eastAsia" w:ascii="宋体" w:hAnsi="宋体" w:eastAsia="宋体" w:cs="宋体"/>
                <w:b w:val="0"/>
                <w:bCs w:val="0"/>
                <w:i w:val="0"/>
                <w:iCs w:val="0"/>
                <w:color w:val="auto"/>
                <w:kern w:val="0"/>
                <w:sz w:val="24"/>
                <w:szCs w:val="24"/>
                <w:shd w:val="clear" w:color="auto" w:fill="auto"/>
              </w:rPr>
              <w:t>税收证明并加盖公章</w:t>
            </w:r>
            <w:r>
              <w:rPr>
                <w:rFonts w:hint="eastAsia" w:ascii="宋体" w:hAnsi="宋体" w:eastAsia="宋体" w:cs="宋体"/>
                <w:b w:val="0"/>
                <w:bCs w:val="0"/>
                <w:i w:val="0"/>
                <w:iCs w:val="0"/>
                <w:color w:val="auto"/>
                <w:kern w:val="0"/>
                <w:sz w:val="24"/>
                <w:szCs w:val="24"/>
                <w:shd w:val="clear" w:color="auto" w:fill="auto"/>
                <w:lang w:eastAsia="zh-CN"/>
              </w:rPr>
              <w:t>（新公司提供成立至今的）</w:t>
            </w:r>
            <w:r>
              <w:rPr>
                <w:rFonts w:hint="eastAsia" w:ascii="宋体" w:hAnsi="宋体" w:eastAsia="宋体" w:cs="宋体"/>
                <w:b w:val="0"/>
                <w:bCs w:val="0"/>
                <w:i w:val="0"/>
                <w:iCs w:val="0"/>
                <w:color w:val="auto"/>
                <w:kern w:val="0"/>
                <w:sz w:val="24"/>
                <w:szCs w:val="24"/>
                <w:shd w:val="clear" w:color="auto" w:fill="auto"/>
              </w:rPr>
              <w:t>；</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eastAsia="zh-CN"/>
              </w:rPr>
            </w:pPr>
            <w:r>
              <w:rPr>
                <w:rFonts w:hint="eastAsia" w:ascii="宋体" w:hAnsi="宋体" w:eastAsia="宋体" w:cs="宋体"/>
                <w:b w:val="0"/>
                <w:bCs w:val="0"/>
                <w:color w:val="auto"/>
                <w:sz w:val="24"/>
                <w:shd w:val="clear" w:color="auto" w:fill="auto"/>
                <w:lang w:val="en-US" w:eastAsia="zh-CN"/>
              </w:rPr>
              <w:t>5</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i w:val="0"/>
                <w:iCs w:val="0"/>
                <w:color w:val="auto"/>
                <w:kern w:val="0"/>
                <w:sz w:val="24"/>
                <w:szCs w:val="24"/>
                <w:shd w:val="clear" w:color="auto" w:fill="auto"/>
              </w:rPr>
              <w:t>投标单位（供应商）提供针对本次项目《反商业贿赂承诺书》书面声明；</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eastAsia="zh-CN"/>
              </w:rPr>
            </w:pPr>
            <w:r>
              <w:rPr>
                <w:rFonts w:hint="eastAsia" w:ascii="宋体" w:hAnsi="宋体" w:eastAsia="宋体" w:cs="宋体"/>
                <w:b w:val="0"/>
                <w:bCs w:val="0"/>
                <w:color w:val="auto"/>
                <w:sz w:val="24"/>
                <w:shd w:val="clear" w:color="auto" w:fill="auto"/>
                <w:lang w:val="en-US" w:eastAsia="zh-CN"/>
              </w:rPr>
              <w:t>6</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val="en-US" w:eastAsia="zh-CN"/>
              </w:rPr>
            </w:pPr>
            <w:r>
              <w:rPr>
                <w:rFonts w:hint="eastAsia" w:ascii="宋体" w:hAnsi="宋体" w:eastAsia="宋体" w:cs="宋体"/>
                <w:b w:val="0"/>
                <w:bCs w:val="0"/>
                <w:i w:val="0"/>
                <w:iCs w:val="0"/>
                <w:color w:val="auto"/>
                <w:kern w:val="0"/>
                <w:sz w:val="24"/>
                <w:szCs w:val="24"/>
                <w:shd w:val="clear" w:color="auto" w:fill="auto"/>
              </w:rPr>
              <w:t>提供</w:t>
            </w:r>
            <w:r>
              <w:rPr>
                <w:rFonts w:hint="eastAsia" w:ascii="宋体" w:hAnsi="宋体" w:eastAsia="宋体" w:cs="宋体"/>
                <w:b w:val="0"/>
                <w:bCs w:val="0"/>
                <w:i w:val="0"/>
                <w:iCs w:val="0"/>
                <w:color w:val="auto"/>
                <w:kern w:val="0"/>
                <w:sz w:val="24"/>
                <w:szCs w:val="24"/>
                <w:shd w:val="clear" w:color="auto" w:fill="auto"/>
                <w:lang w:val="en-US" w:eastAsia="zh-CN"/>
              </w:rPr>
              <w:t>2021</w:t>
            </w:r>
            <w:r>
              <w:rPr>
                <w:rFonts w:hint="eastAsia" w:ascii="宋体" w:hAnsi="宋体" w:eastAsia="宋体" w:cs="宋体"/>
                <w:b w:val="0"/>
                <w:bCs w:val="0"/>
                <w:i w:val="0"/>
                <w:iCs w:val="0"/>
                <w:color w:val="auto"/>
                <w:kern w:val="0"/>
                <w:sz w:val="24"/>
                <w:szCs w:val="24"/>
                <w:shd w:val="clear" w:color="auto" w:fill="auto"/>
              </w:rPr>
              <w:t>年度财务审计报告原件</w:t>
            </w:r>
            <w:r>
              <w:rPr>
                <w:rFonts w:hint="eastAsia" w:ascii="宋体" w:hAnsi="宋体" w:eastAsia="宋体" w:cs="宋体"/>
                <w:b w:val="0"/>
                <w:bCs w:val="0"/>
                <w:i w:val="0"/>
                <w:iCs w:val="0"/>
                <w:color w:val="auto"/>
                <w:kern w:val="0"/>
                <w:sz w:val="24"/>
                <w:szCs w:val="24"/>
                <w:shd w:val="clear" w:color="auto" w:fill="auto"/>
                <w:lang w:eastAsia="zh-CN"/>
              </w:rPr>
              <w:t>或复印件</w:t>
            </w:r>
            <w:r>
              <w:rPr>
                <w:rFonts w:hint="eastAsia" w:ascii="宋体" w:hAnsi="宋体" w:eastAsia="宋体" w:cs="宋体"/>
                <w:b w:val="0"/>
                <w:bCs w:val="0"/>
                <w:i w:val="0"/>
                <w:iCs w:val="0"/>
                <w:color w:val="auto"/>
                <w:kern w:val="0"/>
                <w:sz w:val="24"/>
                <w:szCs w:val="24"/>
                <w:shd w:val="clear" w:color="auto" w:fill="auto"/>
              </w:rPr>
              <w:t>；新公司或其他组织和自然人提供银行出具的资信证明；</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eastAsia="zh-CN"/>
              </w:rPr>
            </w:pPr>
            <w:r>
              <w:rPr>
                <w:rFonts w:hint="eastAsia" w:ascii="宋体" w:hAnsi="宋体" w:eastAsia="宋体" w:cs="宋体"/>
                <w:b w:val="0"/>
                <w:bCs w:val="0"/>
                <w:color w:val="auto"/>
                <w:sz w:val="24"/>
                <w:shd w:val="clear" w:color="auto" w:fill="auto"/>
                <w:lang w:val="en-US" w:eastAsia="zh-CN"/>
              </w:rPr>
              <w:t>7</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val="en-US" w:eastAsia="zh-CN"/>
              </w:rPr>
            </w:pPr>
            <w:r>
              <w:rPr>
                <w:rFonts w:hint="eastAsia" w:ascii="宋体" w:hAnsi="宋体" w:eastAsia="宋体" w:cs="宋体"/>
                <w:b w:val="0"/>
                <w:bCs w:val="0"/>
                <w:i w:val="0"/>
                <w:iCs w:val="0"/>
                <w:color w:val="auto"/>
                <w:kern w:val="0"/>
                <w:sz w:val="24"/>
                <w:szCs w:val="24"/>
                <w:shd w:val="clear" w:color="auto" w:fill="auto"/>
              </w:rPr>
              <w:t xml:space="preserve">参加政府采购活动前三年内，在经营活动中没有重大违法记录声明； </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lang w:eastAsia="zh-CN"/>
              </w:rPr>
            </w:pPr>
            <w:r>
              <w:rPr>
                <w:rFonts w:hint="eastAsia" w:ascii="宋体" w:hAnsi="宋体" w:eastAsia="宋体" w:cs="宋体"/>
                <w:b w:val="0"/>
                <w:bCs w:val="0"/>
                <w:color w:val="auto"/>
                <w:sz w:val="24"/>
                <w:shd w:val="clear" w:color="auto" w:fill="auto"/>
                <w:lang w:val="en-US" w:eastAsia="zh-CN"/>
              </w:rPr>
              <w:t>8</w:t>
            </w: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i w:val="0"/>
                <w:iCs w:val="0"/>
                <w:color w:val="auto"/>
                <w:kern w:val="0"/>
                <w:sz w:val="24"/>
                <w:szCs w:val="24"/>
                <w:shd w:val="clear" w:color="auto" w:fill="auto"/>
                <w:lang w:val="en-US" w:eastAsia="zh-CN"/>
              </w:rPr>
              <w:t>投标保证金收据</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5700" w:type="dxa"/>
            <w:noWrap w:val="0"/>
            <w:vAlign w:val="center"/>
          </w:tcPr>
          <w:p>
            <w:pPr>
              <w:snapToGrid w:val="0"/>
              <w:spacing w:line="360" w:lineRule="exact"/>
              <w:textAlignment w:val="baseline"/>
              <w:rPr>
                <w:rFonts w:hint="eastAsia" w:ascii="宋体" w:hAnsi="宋体" w:eastAsia="宋体" w:cs="宋体"/>
                <w:b w:val="0"/>
                <w:bCs w:val="0"/>
                <w:color w:val="auto"/>
                <w:sz w:val="24"/>
                <w:shd w:val="clear" w:color="auto" w:fill="auto"/>
              </w:rPr>
            </w:pPr>
            <w:r>
              <w:rPr>
                <w:rFonts w:hint="eastAsia" w:ascii="宋体" w:hAnsi="宋体" w:eastAsia="宋体" w:cs="宋体"/>
                <w:b w:val="0"/>
                <w:bCs w:val="0"/>
                <w:color w:val="auto"/>
                <w:sz w:val="24"/>
                <w:shd w:val="clear" w:color="auto" w:fill="auto"/>
              </w:rPr>
              <w:t>结论</w:t>
            </w:r>
          </w:p>
        </w:tc>
        <w:tc>
          <w:tcPr>
            <w:tcW w:w="1635"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380"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c>
          <w:tcPr>
            <w:tcW w:w="1248" w:type="dxa"/>
            <w:noWrap w:val="0"/>
            <w:vAlign w:val="top"/>
          </w:tcPr>
          <w:p>
            <w:pPr>
              <w:snapToGrid w:val="0"/>
              <w:spacing w:line="360" w:lineRule="exact"/>
              <w:textAlignment w:val="baseline"/>
              <w:rPr>
                <w:rFonts w:hint="eastAsia" w:ascii="宋体" w:hAnsi="宋体" w:eastAsia="宋体" w:cs="宋体"/>
                <w:b w:val="0"/>
                <w:bCs w:val="0"/>
                <w:color w:val="auto"/>
                <w:sz w:val="24"/>
                <w:shd w:val="clear" w:color="auto" w:fill="auto"/>
              </w:rPr>
            </w:pPr>
          </w:p>
        </w:tc>
      </w:tr>
    </w:tbl>
    <w:p>
      <w:pPr>
        <w:snapToGrid w:val="0"/>
        <w:spacing w:line="240" w:lineRule="atLeast"/>
        <w:ind w:left="1080" w:leftChars="257" w:hanging="540"/>
        <w:textAlignment w:val="baseline"/>
        <w:rPr>
          <w:rFonts w:hint="eastAsia" w:ascii="宋体" w:hAnsi="宋体" w:eastAsia="宋体" w:cs="宋体"/>
          <w:color w:val="auto"/>
          <w:sz w:val="24"/>
          <w:shd w:val="clear" w:color="auto" w:fill="auto"/>
        </w:rPr>
      </w:pPr>
    </w:p>
    <w:p>
      <w:pPr>
        <w:pStyle w:val="2"/>
        <w:rPr>
          <w:rFonts w:hint="eastAsia" w:ascii="宋体" w:hAnsi="宋体" w:eastAsia="宋体" w:cs="宋体"/>
          <w:color w:val="auto"/>
          <w:sz w:val="24"/>
          <w:shd w:val="clear" w:color="auto" w:fill="auto"/>
        </w:rPr>
      </w:pPr>
    </w:p>
    <w:p>
      <w:pPr>
        <w:pStyle w:val="2"/>
        <w:rPr>
          <w:rFonts w:hint="eastAsia" w:ascii="宋体" w:hAnsi="宋体" w:eastAsia="宋体" w:cs="宋体"/>
          <w:color w:val="auto"/>
          <w:sz w:val="24"/>
          <w:shd w:val="clear" w:color="auto" w:fill="auto"/>
        </w:rPr>
      </w:pPr>
    </w:p>
    <w:p>
      <w:pPr>
        <w:pStyle w:val="2"/>
        <w:rPr>
          <w:rFonts w:hint="eastAsia" w:ascii="宋体" w:hAnsi="宋体" w:eastAsia="宋体" w:cs="宋体"/>
          <w:color w:val="auto"/>
          <w:sz w:val="24"/>
          <w:shd w:val="clear" w:color="auto" w:fill="auto"/>
        </w:rPr>
      </w:pPr>
    </w:p>
    <w:p>
      <w:pPr>
        <w:pStyle w:val="2"/>
        <w:rPr>
          <w:rFonts w:hint="eastAsia" w:ascii="宋体" w:hAnsi="宋体" w:eastAsia="宋体" w:cs="宋体"/>
          <w:color w:val="auto"/>
          <w:sz w:val="24"/>
          <w:shd w:val="clear" w:color="auto" w:fill="auto"/>
        </w:rPr>
      </w:pPr>
    </w:p>
    <w:p>
      <w:pPr>
        <w:pStyle w:val="2"/>
        <w:rPr>
          <w:rFonts w:hint="eastAsia" w:ascii="宋体" w:hAnsi="宋体" w:eastAsia="宋体" w:cs="宋体"/>
          <w:color w:val="auto"/>
          <w:sz w:val="24"/>
          <w:shd w:val="clear" w:color="auto" w:fill="auto"/>
        </w:rPr>
        <w:sectPr>
          <w:pgSz w:w="11906" w:h="16838"/>
          <w:pgMar w:top="1440" w:right="1797" w:bottom="1440" w:left="1797" w:header="851" w:footer="992" w:gutter="0"/>
          <w:pgNumType w:fmt="decimal"/>
          <w:cols w:space="720" w:num="1"/>
          <w:docGrid w:linePitch="312" w:charSpace="0"/>
        </w:sectPr>
      </w:pPr>
    </w:p>
    <w:p>
      <w:pPr>
        <w:pStyle w:val="2"/>
        <w:rPr>
          <w:rFonts w:hint="eastAsia" w:ascii="宋体" w:hAnsi="宋体" w:eastAsia="宋体" w:cs="宋体"/>
          <w:b/>
          <w:bCs/>
          <w:vanish/>
          <w:color w:val="auto"/>
          <w:sz w:val="24"/>
          <w:shd w:val="clear" w:color="auto" w:fill="auto"/>
        </w:rPr>
      </w:pPr>
    </w:p>
    <w:p>
      <w:pPr>
        <w:pStyle w:val="2"/>
        <w:rPr>
          <w:rFonts w:hint="eastAsia" w:ascii="宋体" w:hAnsi="宋体" w:eastAsia="宋体" w:cs="宋体"/>
          <w:b/>
          <w:bCs/>
          <w:vanish/>
          <w:color w:val="auto"/>
          <w:sz w:val="24"/>
          <w:shd w:val="clear" w:color="auto" w:fill="auto"/>
        </w:rPr>
      </w:pPr>
    </w:p>
    <w:p>
      <w:pPr>
        <w:pStyle w:val="2"/>
        <w:rPr>
          <w:rFonts w:hint="eastAsia" w:ascii="宋体" w:hAnsi="宋体" w:eastAsia="宋体" w:cs="宋体"/>
          <w:b/>
          <w:bCs/>
          <w:vanish/>
          <w:color w:val="auto"/>
          <w:sz w:val="24"/>
          <w:shd w:val="clear" w:color="auto" w:fill="auto"/>
        </w:rPr>
        <w:sectPr>
          <w:pgSz w:w="11905" w:h="16838"/>
          <w:pgMar w:top="1440" w:right="1797" w:bottom="1440" w:left="1797" w:header="851" w:footer="992" w:gutter="0"/>
          <w:pgNumType w:fmt="decimal"/>
          <w:cols w:space="0" w:num="1"/>
          <w:docGrid w:linePitch="312" w:charSpace="0"/>
        </w:sectPr>
      </w:pPr>
    </w:p>
    <w:p>
      <w:pPr>
        <w:pStyle w:val="3"/>
        <w:numPr>
          <w:ilvl w:val="0"/>
          <w:numId w:val="6"/>
        </w:numPr>
        <w:tabs>
          <w:tab w:val="left" w:pos="0"/>
        </w:tabs>
        <w:snapToGrid w:val="0"/>
        <w:spacing w:before="0" w:after="0" w:line="240" w:lineRule="atLeast"/>
        <w:textAlignment w:val="baseline"/>
        <w:rPr>
          <w:rFonts w:hint="eastAsia" w:ascii="宋体" w:hAnsi="宋体" w:eastAsia="宋体" w:cs="宋体"/>
          <w:color w:val="auto"/>
          <w:shd w:val="clear" w:color="auto" w:fill="auto"/>
        </w:rPr>
      </w:pPr>
      <w:bookmarkStart w:id="806" w:name="_Toc23158"/>
      <w:bookmarkStart w:id="807" w:name="_Toc216582826"/>
      <w:bookmarkStart w:id="808" w:name="_Toc218935355"/>
      <w:bookmarkStart w:id="809" w:name="_Toc219175639"/>
      <w:r>
        <w:rPr>
          <w:rFonts w:hint="eastAsia" w:ascii="宋体" w:hAnsi="宋体" w:eastAsia="宋体" w:cs="宋体"/>
          <w:color w:val="auto"/>
          <w:shd w:val="clear" w:color="auto" w:fill="auto"/>
        </w:rPr>
        <w:t>服务需求一览表</w:t>
      </w:r>
      <w:bookmarkEnd w:id="806"/>
    </w:p>
    <w:p>
      <w:pPr>
        <w:rPr>
          <w:rFonts w:hint="eastAsia" w:ascii="宋体" w:hAnsi="宋体" w:eastAsia="宋体" w:cs="宋体"/>
          <w:color w:val="auto"/>
          <w:shd w:val="clear" w:color="auto" w:fill="auto"/>
        </w:rPr>
      </w:pPr>
      <w:r>
        <w:rPr>
          <w:rFonts w:hint="eastAsia" w:ascii="宋体" w:hAnsi="宋体" w:eastAsia="宋体" w:cs="宋体"/>
          <w:color w:val="auto"/>
          <w:shd w:val="clear" w:color="auto" w:fill="auto"/>
          <w:lang w:val="en-US" w:eastAsia="zh-CN"/>
        </w:rPr>
        <w:t>一、</w:t>
      </w:r>
      <w:r>
        <w:rPr>
          <w:rFonts w:hint="eastAsia" w:ascii="宋体" w:hAnsi="宋体" w:eastAsia="宋体" w:cs="宋体"/>
          <w:color w:val="auto"/>
          <w:shd w:val="clear" w:color="auto" w:fill="auto"/>
        </w:rPr>
        <w:t>服务需求一览表</w:t>
      </w:r>
    </w:p>
    <w:tbl>
      <w:tblPr>
        <w:tblStyle w:val="35"/>
        <w:tblW w:w="8958" w:type="dxa"/>
        <w:tblInd w:w="93" w:type="dxa"/>
        <w:tblLayout w:type="autofit"/>
        <w:tblCellMar>
          <w:top w:w="0" w:type="dxa"/>
          <w:left w:w="108" w:type="dxa"/>
          <w:bottom w:w="0" w:type="dxa"/>
          <w:right w:w="108" w:type="dxa"/>
        </w:tblCellMar>
      </w:tblPr>
      <w:tblGrid>
        <w:gridCol w:w="818"/>
        <w:gridCol w:w="1692"/>
        <w:gridCol w:w="6448"/>
      </w:tblGrid>
      <w:tr>
        <w:tblPrEx>
          <w:tblCellMar>
            <w:top w:w="0" w:type="dxa"/>
            <w:left w:w="108" w:type="dxa"/>
            <w:bottom w:w="0" w:type="dxa"/>
            <w:right w:w="108" w:type="dxa"/>
          </w:tblCellMar>
        </w:tblPrEx>
        <w:trPr>
          <w:trHeight w:val="90" w:hRule="atLeast"/>
        </w:trPr>
        <w:tc>
          <w:tcPr>
            <w:tcW w:w="8958" w:type="dxa"/>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bookmarkStart w:id="810" w:name="_Toc18397"/>
            <w:bookmarkStart w:id="811" w:name="_Toc11634"/>
            <w:bookmarkStart w:id="812" w:name="_Toc13644"/>
            <w:bookmarkStart w:id="813" w:name="_Toc6081"/>
            <w:r>
              <w:rPr>
                <w:rFonts w:hint="eastAsia" w:ascii="宋体" w:hAnsi="宋体" w:eastAsia="宋体" w:cs="宋体"/>
                <w:i w:val="0"/>
                <w:iCs w:val="0"/>
                <w:color w:val="auto"/>
                <w:kern w:val="0"/>
                <w:sz w:val="24"/>
                <w:szCs w:val="24"/>
                <w:u w:val="none"/>
                <w:shd w:val="clear" w:color="auto" w:fill="auto"/>
                <w:lang w:val="en-US" w:eastAsia="zh-CN" w:bidi="ar"/>
              </w:rPr>
              <w:t>服务要求</w:t>
            </w:r>
          </w:p>
        </w:tc>
      </w:tr>
      <w:tr>
        <w:tblPrEx>
          <w:tblCellMar>
            <w:top w:w="0" w:type="dxa"/>
            <w:left w:w="108" w:type="dxa"/>
            <w:bottom w:w="0" w:type="dxa"/>
            <w:right w:w="108" w:type="dxa"/>
          </w:tblCellMar>
        </w:tblPrEx>
        <w:trPr>
          <w:trHeight w:val="44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序号</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培训要求</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具体内容</w:t>
            </w:r>
          </w:p>
        </w:tc>
      </w:tr>
      <w:tr>
        <w:tblPrEx>
          <w:tblCellMar>
            <w:top w:w="0" w:type="dxa"/>
            <w:left w:w="108" w:type="dxa"/>
            <w:bottom w:w="0" w:type="dxa"/>
            <w:right w:w="108" w:type="dxa"/>
          </w:tblCellMar>
        </w:tblPrEx>
        <w:trPr>
          <w:trHeight w:val="52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场地</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培训场地在叶城县内，业主单位及中标单位协商选择；符合安全生产和疫情防控要求。</w:t>
            </w:r>
          </w:p>
        </w:tc>
      </w:tr>
      <w:tr>
        <w:tblPrEx>
          <w:tblCellMar>
            <w:top w:w="0" w:type="dxa"/>
            <w:left w:w="108" w:type="dxa"/>
            <w:bottom w:w="0" w:type="dxa"/>
            <w:right w:w="108" w:type="dxa"/>
          </w:tblCellMar>
        </w:tblPrEx>
        <w:trPr>
          <w:trHeight w:val="52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教师</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授课老师选</w:t>
            </w:r>
            <w:r>
              <w:rPr>
                <w:rFonts w:hint="eastAsia" w:ascii="宋体" w:hAnsi="宋体" w:eastAsia="宋体" w:cs="宋体"/>
                <w:i w:val="0"/>
                <w:iCs w:val="0"/>
                <w:color w:val="auto"/>
                <w:sz w:val="24"/>
                <w:szCs w:val="24"/>
                <w:highlight w:val="none"/>
                <w:u w:val="none"/>
                <w:shd w:val="clear" w:color="auto" w:fill="auto"/>
                <w:lang w:val="en-US" w:eastAsia="zh-CN"/>
              </w:rPr>
              <w:t>择熟悉“三农”、具有丰富专业知识和实践经验的专家老师，授课老师需精通维汉双语。</w:t>
            </w:r>
          </w:p>
        </w:tc>
      </w:tr>
      <w:tr>
        <w:tblPrEx>
          <w:tblCellMar>
            <w:top w:w="0" w:type="dxa"/>
            <w:left w:w="108" w:type="dxa"/>
            <w:bottom w:w="0" w:type="dxa"/>
            <w:right w:w="108" w:type="dxa"/>
          </w:tblCellMar>
        </w:tblPrEx>
        <w:trPr>
          <w:trHeight w:val="52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培训教材</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lang w:val="en-US" w:eastAsia="zh-CN"/>
              </w:rPr>
            </w:pPr>
            <w:r>
              <w:rPr>
                <w:rFonts w:hint="eastAsia" w:ascii="宋体" w:hAnsi="宋体" w:eastAsia="宋体" w:cs="宋体"/>
                <w:i w:val="0"/>
                <w:iCs w:val="0"/>
                <w:color w:val="auto"/>
                <w:sz w:val="24"/>
                <w:szCs w:val="24"/>
                <w:highlight w:val="none"/>
                <w:u w:val="none"/>
                <w:shd w:val="clear" w:color="auto" w:fill="auto"/>
                <w:lang w:val="en-US" w:eastAsia="zh-CN"/>
              </w:rPr>
              <w:t>精准选择培训教材：在全国高素质农民培育推荐教材的基础上，结合产业发展需要和培育对象学习需求，按照“规范、先进、实用”的原则选择通俗易懂、针对性强的培训教材。</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sz w:val="24"/>
                <w:szCs w:val="24"/>
                <w:highlight w:val="none"/>
                <w:u w:val="none"/>
                <w:shd w:val="clear" w:color="auto" w:fill="auto"/>
                <w:lang w:val="en-US" w:eastAsia="zh-CN"/>
              </w:rPr>
              <w:t>培训机构按培训种类制定有针对性的培训教材，制定培训时间表，各类教材人手一册（需为学员提供文具包、笔记本、笔、学员手册供学习使用）</w:t>
            </w:r>
          </w:p>
        </w:tc>
      </w:tr>
      <w:tr>
        <w:tblPrEx>
          <w:tblCellMar>
            <w:top w:w="0" w:type="dxa"/>
            <w:left w:w="108" w:type="dxa"/>
            <w:bottom w:w="0" w:type="dxa"/>
            <w:right w:w="108" w:type="dxa"/>
          </w:tblCellMar>
        </w:tblPrEx>
        <w:trPr>
          <w:trHeight w:val="1762"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4</w:t>
            </w:r>
          </w:p>
        </w:tc>
        <w:tc>
          <w:tcPr>
            <w:tcW w:w="169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lang w:val="en-US" w:eastAsia="zh-CN"/>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培训人数</w:t>
            </w:r>
          </w:p>
        </w:tc>
        <w:tc>
          <w:tcPr>
            <w:tcW w:w="644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lang w:val="en-US" w:eastAsia="zh-CN"/>
              </w:rPr>
            </w:pPr>
            <w:r>
              <w:rPr>
                <w:rFonts w:hint="eastAsia" w:ascii="宋体" w:hAnsi="宋体" w:eastAsia="宋体" w:cs="宋体"/>
                <w:i w:val="0"/>
                <w:iCs w:val="0"/>
                <w:color w:val="auto"/>
                <w:sz w:val="24"/>
                <w:szCs w:val="24"/>
                <w:highlight w:val="none"/>
                <w:u w:val="none"/>
                <w:shd w:val="clear" w:color="auto" w:fill="auto"/>
                <w:lang w:val="en-US" w:eastAsia="zh-CN"/>
              </w:rPr>
              <w:t>2022年叶城县计划完成高素质农民培训530人</w:t>
            </w:r>
            <w:bookmarkStart w:id="1410" w:name="_GoBack"/>
            <w:bookmarkEnd w:id="1410"/>
            <w:r>
              <w:rPr>
                <w:rFonts w:hint="eastAsia" w:ascii="宋体" w:hAnsi="宋体" w:eastAsia="宋体" w:cs="宋体"/>
                <w:i w:val="0"/>
                <w:iCs w:val="0"/>
                <w:color w:val="auto"/>
                <w:sz w:val="24"/>
                <w:szCs w:val="24"/>
                <w:highlight w:val="none"/>
                <w:u w:val="none"/>
                <w:shd w:val="clear" w:color="auto" w:fill="auto"/>
                <w:lang w:val="en-US" w:eastAsia="zh-CN"/>
              </w:rPr>
              <w:t>，其中新型农业经营主体和社会化服务组织带头人120人、专业生产型90人、技能服务型80人、乡村振兴带头人120人、乡村治理带头人120人。参训学员满意度评价率和完成在线评价比例均达到85%以上，参训学员信息100%录入全国农业科教云平台（新农科教云平台），注册使用全国农业科教云平台（新农科教云平台）及“云上智农”APP使用率达到100%。</w:t>
            </w:r>
          </w:p>
        </w:tc>
      </w:tr>
      <w:tr>
        <w:tblPrEx>
          <w:tblCellMar>
            <w:top w:w="0" w:type="dxa"/>
            <w:left w:w="108" w:type="dxa"/>
            <w:bottom w:w="0" w:type="dxa"/>
            <w:right w:w="108" w:type="dxa"/>
          </w:tblCellMar>
        </w:tblPrEx>
        <w:trPr>
          <w:trHeight w:val="1734" w:hRule="atLeast"/>
        </w:trPr>
        <w:tc>
          <w:tcPr>
            <w:tcW w:w="8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5</w:t>
            </w:r>
          </w:p>
          <w:p>
            <w:pPr>
              <w:jc w:val="both"/>
              <w:rPr>
                <w:rFonts w:hint="eastAsia" w:ascii="宋体" w:hAnsi="宋体" w:eastAsia="宋体" w:cs="宋体"/>
                <w:i w:val="0"/>
                <w:iCs w:val="0"/>
                <w:color w:val="auto"/>
                <w:sz w:val="24"/>
                <w:szCs w:val="24"/>
                <w:highlight w:val="none"/>
                <w:u w:val="none"/>
                <w:shd w:val="clear" w:color="auto" w:fill="auto"/>
                <w:lang w:val="en-US" w:eastAsia="zh-CN"/>
              </w:rPr>
            </w:pPr>
          </w:p>
        </w:tc>
        <w:tc>
          <w:tcPr>
            <w:tcW w:w="16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培训时间</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lang w:val="en-US"/>
              </w:rPr>
            </w:pPr>
          </w:p>
        </w:tc>
        <w:tc>
          <w:tcPr>
            <w:tcW w:w="644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lang w:val="en-US"/>
              </w:rPr>
            </w:pPr>
            <w:r>
              <w:rPr>
                <w:rFonts w:hint="eastAsia" w:ascii="宋体" w:hAnsi="宋体" w:eastAsia="宋体" w:cs="宋体"/>
                <w:i w:val="0"/>
                <w:iCs w:val="0"/>
                <w:color w:val="auto"/>
                <w:sz w:val="24"/>
                <w:szCs w:val="24"/>
                <w:highlight w:val="none"/>
                <w:u w:val="none"/>
                <w:shd w:val="clear" w:color="auto" w:fill="auto"/>
                <w:lang w:val="en-US" w:eastAsia="zh-CN"/>
              </w:rPr>
              <w:t>新型农业经营主体和社会化服务组织带头人、乡村振兴带头人、乡村社会事业治理带头人培训学时数不低于120个（其中线上学时数不低于30个），专业生产型、技能服务型培训学时数不低于100个（其中线上学时数不低于30个），实习实训的学时数不低于总学时数的2/3。</w:t>
            </w:r>
          </w:p>
        </w:tc>
      </w:tr>
      <w:tr>
        <w:tblPrEx>
          <w:tblCellMar>
            <w:top w:w="0" w:type="dxa"/>
            <w:left w:w="108" w:type="dxa"/>
            <w:bottom w:w="0" w:type="dxa"/>
            <w:right w:w="108" w:type="dxa"/>
          </w:tblCellMar>
        </w:tblPrEx>
        <w:trPr>
          <w:trHeight w:val="73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lang w:val="en-US" w:eastAsia="zh-CN"/>
              </w:rPr>
            </w:pPr>
            <w:r>
              <w:rPr>
                <w:rFonts w:hint="eastAsia" w:ascii="宋体" w:hAnsi="宋体" w:eastAsia="宋体" w:cs="宋体"/>
                <w:i w:val="0"/>
                <w:iCs w:val="0"/>
                <w:color w:val="auto"/>
                <w:sz w:val="24"/>
                <w:szCs w:val="24"/>
                <w:highlight w:val="none"/>
                <w:u w:val="none"/>
                <w:shd w:val="clear" w:color="auto" w:fill="auto"/>
                <w:lang w:val="en-US" w:eastAsia="zh-CN"/>
              </w:rPr>
              <w:t>6</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shd w:val="clear" w:color="auto" w:fill="auto"/>
                <w:lang w:val="en-US"/>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培训费用包含</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shd w:val="clear" w:color="auto" w:fill="auto"/>
                <w:lang w:val="en-US"/>
              </w:rPr>
            </w:pPr>
            <w:r>
              <w:rPr>
                <w:rFonts w:hint="eastAsia" w:ascii="宋体" w:hAnsi="宋体" w:eastAsia="宋体" w:cs="宋体"/>
                <w:i w:val="0"/>
                <w:iCs w:val="0"/>
                <w:color w:val="auto"/>
                <w:sz w:val="24"/>
                <w:szCs w:val="24"/>
                <w:highlight w:val="none"/>
                <w:u w:val="none"/>
                <w:shd w:val="clear" w:color="auto" w:fill="auto"/>
                <w:lang w:val="en-US"/>
              </w:rPr>
              <w:t>主要用于</w:t>
            </w:r>
            <w:r>
              <w:rPr>
                <w:rFonts w:hint="eastAsia" w:ascii="宋体" w:hAnsi="宋体" w:eastAsia="宋体" w:cs="宋体"/>
                <w:i w:val="0"/>
                <w:iCs w:val="0"/>
                <w:color w:val="auto"/>
                <w:sz w:val="24"/>
                <w:szCs w:val="24"/>
                <w:highlight w:val="none"/>
                <w:u w:val="none"/>
                <w:shd w:val="clear" w:color="auto" w:fill="auto"/>
                <w:lang w:val="en-US" w:eastAsia="zh-CN"/>
              </w:rPr>
              <w:t>县</w:t>
            </w:r>
            <w:r>
              <w:rPr>
                <w:rFonts w:hint="eastAsia" w:ascii="宋体" w:hAnsi="宋体" w:eastAsia="宋体" w:cs="宋体"/>
                <w:i w:val="0"/>
                <w:iCs w:val="0"/>
                <w:color w:val="auto"/>
                <w:sz w:val="24"/>
                <w:szCs w:val="24"/>
                <w:highlight w:val="none"/>
                <w:u w:val="none"/>
                <w:shd w:val="clear" w:color="auto" w:fill="auto"/>
                <w:lang w:val="en-US"/>
              </w:rPr>
              <w:t>农业农村局、</w:t>
            </w:r>
            <w:r>
              <w:rPr>
                <w:rFonts w:hint="eastAsia" w:ascii="宋体" w:hAnsi="宋体" w:eastAsia="宋体" w:cs="宋体"/>
                <w:i w:val="0"/>
                <w:iCs w:val="0"/>
                <w:color w:val="auto"/>
                <w:sz w:val="24"/>
                <w:szCs w:val="24"/>
                <w:highlight w:val="none"/>
                <w:u w:val="none"/>
                <w:shd w:val="clear" w:color="auto" w:fill="auto"/>
                <w:lang w:val="en-US" w:eastAsia="zh-CN"/>
              </w:rPr>
              <w:t>县</w:t>
            </w:r>
            <w:r>
              <w:rPr>
                <w:rFonts w:hint="eastAsia" w:ascii="宋体" w:hAnsi="宋体" w:eastAsia="宋体" w:cs="宋体"/>
                <w:i w:val="0"/>
                <w:iCs w:val="0"/>
                <w:color w:val="auto"/>
                <w:sz w:val="24"/>
                <w:szCs w:val="24"/>
                <w:highlight w:val="none"/>
                <w:u w:val="none"/>
                <w:shd w:val="clear" w:color="auto" w:fill="auto"/>
                <w:lang w:val="en-US"/>
              </w:rPr>
              <w:t>农广校、培训机构（基地）开展高素质农民培训以及跟踪服务的全过程支出，如食宿费，</w:t>
            </w:r>
            <w:r>
              <w:rPr>
                <w:rFonts w:hint="eastAsia" w:ascii="宋体" w:hAnsi="宋体" w:eastAsia="宋体" w:cs="宋体"/>
                <w:i w:val="0"/>
                <w:iCs w:val="0"/>
                <w:color w:val="auto"/>
                <w:sz w:val="24"/>
                <w:szCs w:val="24"/>
                <w:highlight w:val="none"/>
                <w:u w:val="none"/>
                <w:shd w:val="clear" w:color="auto" w:fill="auto"/>
                <w:lang w:val="en-US" w:eastAsia="zh-CN"/>
              </w:rPr>
              <w:t>观摩</w:t>
            </w:r>
            <w:r>
              <w:rPr>
                <w:rFonts w:hint="eastAsia" w:ascii="宋体" w:hAnsi="宋体" w:eastAsia="宋体" w:cs="宋体"/>
                <w:i w:val="0"/>
                <w:iCs w:val="0"/>
                <w:color w:val="auto"/>
                <w:sz w:val="24"/>
                <w:szCs w:val="24"/>
                <w:highlight w:val="none"/>
                <w:u w:val="none"/>
                <w:shd w:val="clear" w:color="auto" w:fill="auto"/>
                <w:lang w:val="en-US"/>
              </w:rPr>
              <w:t>交通费，聘请教师的讲课费，实训指导费，参观讲解费，后续跟踪服务、教材、学习用品、实训基地租金、资料印发、教学用车费，参观交流、建档、考核、培训期间所产生的办公用品费，培训设备及耗材费等。</w:t>
            </w:r>
          </w:p>
        </w:tc>
      </w:tr>
      <w:tr>
        <w:tblPrEx>
          <w:tblCellMar>
            <w:top w:w="0" w:type="dxa"/>
            <w:left w:w="108" w:type="dxa"/>
            <w:bottom w:w="0" w:type="dxa"/>
            <w:right w:w="108" w:type="dxa"/>
          </w:tblCellMar>
        </w:tblPrEx>
        <w:trPr>
          <w:trHeight w:val="37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lang w:val="en-US" w:eastAsia="zh-CN"/>
              </w:rPr>
            </w:pPr>
            <w:r>
              <w:rPr>
                <w:rFonts w:hint="eastAsia" w:ascii="宋体" w:hAnsi="宋体" w:eastAsia="宋体" w:cs="宋体"/>
                <w:i w:val="0"/>
                <w:iCs w:val="0"/>
                <w:color w:val="auto"/>
                <w:sz w:val="24"/>
                <w:szCs w:val="24"/>
                <w:u w:val="none"/>
                <w:shd w:val="clear" w:color="auto" w:fill="auto"/>
                <w:lang w:val="en-US" w:eastAsia="zh-CN"/>
              </w:rPr>
              <w:t>7</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培训合格率</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100%，通过考试合格后发放结业证</w:t>
            </w:r>
          </w:p>
        </w:tc>
      </w:tr>
      <w:tr>
        <w:tblPrEx>
          <w:tblCellMar>
            <w:top w:w="0" w:type="dxa"/>
            <w:left w:w="108" w:type="dxa"/>
            <w:bottom w:w="0" w:type="dxa"/>
            <w:right w:w="108" w:type="dxa"/>
          </w:tblCellMar>
        </w:tblPrEx>
        <w:trPr>
          <w:trHeight w:val="37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lang w:val="en-US" w:eastAsia="zh-CN"/>
              </w:rPr>
            </w:pPr>
            <w:r>
              <w:rPr>
                <w:rFonts w:hint="eastAsia" w:ascii="宋体" w:hAnsi="宋体" w:eastAsia="宋体" w:cs="宋体"/>
                <w:i w:val="0"/>
                <w:iCs w:val="0"/>
                <w:color w:val="auto"/>
                <w:sz w:val="24"/>
                <w:szCs w:val="24"/>
                <w:u w:val="none"/>
                <w:shd w:val="clear" w:color="auto" w:fill="auto"/>
                <w:lang w:val="en-US" w:eastAsia="zh-CN"/>
              </w:rPr>
              <w:t>8</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回访跟踪服务</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pStyle w:val="2"/>
              <w:jc w:val="left"/>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3个月回访跟踪服务，1、电话回访：授课老师电话沟通了解培训后实际应用情况，技术咨询，解答提问等。2、实地回访：授课老师实地走访沟通了解培训后实际应用情况，技术咨询，解答提问等</w:t>
            </w:r>
          </w:p>
        </w:tc>
      </w:tr>
      <w:tr>
        <w:tblPrEx>
          <w:tblCellMar>
            <w:top w:w="0" w:type="dxa"/>
            <w:left w:w="108" w:type="dxa"/>
            <w:bottom w:w="0" w:type="dxa"/>
            <w:right w:w="108" w:type="dxa"/>
          </w:tblCellMar>
        </w:tblPrEx>
        <w:trPr>
          <w:trHeight w:val="37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lang w:val="en-US" w:eastAsia="zh-CN"/>
              </w:rPr>
            </w:pPr>
            <w:r>
              <w:rPr>
                <w:rFonts w:hint="eastAsia" w:ascii="宋体" w:hAnsi="宋体" w:eastAsia="宋体" w:cs="宋体"/>
                <w:i w:val="0"/>
                <w:iCs w:val="0"/>
                <w:color w:val="auto"/>
                <w:sz w:val="24"/>
                <w:szCs w:val="24"/>
                <w:u w:val="none"/>
                <w:shd w:val="clear" w:color="auto" w:fill="auto"/>
                <w:lang w:val="en-US" w:eastAsia="zh-CN"/>
              </w:rPr>
              <w:t>9</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其他要求</w:t>
            </w:r>
          </w:p>
        </w:tc>
        <w:tc>
          <w:tcPr>
            <w:tcW w:w="6448" w:type="dxa"/>
            <w:tcBorders>
              <w:top w:val="single" w:color="000000" w:sz="4" w:space="0"/>
              <w:left w:val="single" w:color="000000" w:sz="4" w:space="0"/>
              <w:bottom w:val="single" w:color="000000" w:sz="4" w:space="0"/>
              <w:right w:val="single" w:color="000000" w:sz="4" w:space="0"/>
            </w:tcBorders>
            <w:noWrap w:val="0"/>
            <w:vAlign w:val="center"/>
          </w:tcPr>
          <w:p>
            <w:pPr>
              <w:pStyle w:val="2"/>
              <w:jc w:val="left"/>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培训机构负责培训档案、录入系统，网上学员实名制管理，包括培训手册、培训课表、授课老师信息、管理人员信息、学员花名册、学员须知、考试成绩、培训小结、满意度评价、日常生活学习图片、视频资料的档案整理，培训完成后整理归档交业主。根据农民学习特点和农业生产规律，聚焦产业需求，依托新疆电信分公司网络优势，开展在线学习、在线服务和在线管理，推进线上线下融合培训。加强高素质农民培训信息化管理，参训学员培训信息全部录入“新疆农业科教信息管理系统（xj.yszn.net.cn）”，确保培训全程可查询可追溯。</w:t>
            </w:r>
          </w:p>
        </w:tc>
      </w:tr>
    </w:tbl>
    <w:p>
      <w:pPr>
        <w:pStyle w:val="33"/>
        <w:numPr>
          <w:ilvl w:val="0"/>
          <w:numId w:val="7"/>
        </w:numPr>
        <w:ind w:firstLine="241"/>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服务期：</w:t>
      </w:r>
      <w:r>
        <w:rPr>
          <w:rFonts w:hint="eastAsia" w:ascii="宋体" w:hAnsi="宋体" w:eastAsia="宋体" w:cs="宋体"/>
          <w:b/>
          <w:bCs/>
          <w:color w:val="auto"/>
          <w:sz w:val="24"/>
          <w:szCs w:val="24"/>
          <w:highlight w:val="none"/>
          <w:shd w:val="clear" w:color="auto" w:fill="auto"/>
        </w:rPr>
        <w:t>自合同签订之日起</w:t>
      </w:r>
      <w:r>
        <w:rPr>
          <w:rFonts w:hint="eastAsia" w:ascii="宋体" w:hAnsi="宋体" w:eastAsia="宋体" w:cs="宋体"/>
          <w:b/>
          <w:bCs/>
          <w:color w:val="auto"/>
          <w:sz w:val="24"/>
          <w:szCs w:val="24"/>
          <w:highlight w:val="none"/>
          <w:shd w:val="clear" w:color="auto" w:fill="auto"/>
          <w:lang w:val="en-US" w:eastAsia="zh-CN"/>
        </w:rPr>
        <w:t>1年内完成本项目服务</w:t>
      </w:r>
      <w:r>
        <w:rPr>
          <w:rFonts w:hint="eastAsia" w:ascii="宋体" w:hAnsi="宋体" w:eastAsia="宋体" w:cs="宋体"/>
          <w:color w:val="auto"/>
          <w:sz w:val="24"/>
          <w:szCs w:val="24"/>
          <w:highlight w:val="none"/>
          <w:shd w:val="clear" w:color="auto" w:fill="auto"/>
        </w:rPr>
        <w:t>。</w:t>
      </w:r>
    </w:p>
    <w:p>
      <w:pPr>
        <w:pStyle w:val="33"/>
        <w:numPr>
          <w:ilvl w:val="0"/>
          <w:numId w:val="7"/>
        </w:numPr>
        <w:ind w:firstLine="241"/>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实施地点</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叶城县</w:t>
      </w:r>
    </w:p>
    <w:p>
      <w:pPr>
        <w:pStyle w:val="33"/>
        <w:numPr>
          <w:ilvl w:val="0"/>
          <w:numId w:val="7"/>
        </w:numPr>
        <w:ind w:firstLine="241"/>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付款方式</w:t>
      </w:r>
      <w:r>
        <w:rPr>
          <w:rFonts w:hint="eastAsia" w:ascii="宋体" w:hAnsi="宋体" w:eastAsia="宋体" w:cs="宋体"/>
          <w:color w:val="auto"/>
          <w:kern w:val="0"/>
          <w:sz w:val="24"/>
          <w:szCs w:val="24"/>
          <w:highlight w:val="none"/>
          <w:shd w:val="clear" w:color="auto" w:fill="auto"/>
        </w:rPr>
        <w:t>：具体付款方式以甲乙双方签订合同为准。</w:t>
      </w:r>
    </w:p>
    <w:p>
      <w:pPr>
        <w:pStyle w:val="42"/>
        <w:rPr>
          <w:rFonts w:hint="eastAsia" w:ascii="宋体" w:hAnsi="宋体" w:eastAsia="宋体" w:cs="宋体"/>
          <w:color w:val="auto"/>
          <w:sz w:val="28"/>
          <w:szCs w:val="28"/>
          <w:shd w:val="clear" w:color="auto" w:fill="auto"/>
        </w:rPr>
      </w:pPr>
    </w:p>
    <w:p>
      <w:pPr>
        <w:pStyle w:val="42"/>
        <w:rPr>
          <w:rFonts w:hint="eastAsia" w:ascii="宋体" w:hAnsi="宋体" w:eastAsia="宋体" w:cs="宋体"/>
          <w:color w:val="auto"/>
          <w:sz w:val="28"/>
          <w:szCs w:val="28"/>
          <w:shd w:val="clear" w:color="auto" w:fill="auto"/>
        </w:rPr>
      </w:pPr>
    </w:p>
    <w:bookmarkEnd w:id="810"/>
    <w:bookmarkEnd w:id="811"/>
    <w:bookmarkEnd w:id="812"/>
    <w:bookmarkEnd w:id="813"/>
    <w:p>
      <w:pPr>
        <w:rPr>
          <w:rFonts w:hint="eastAsia" w:ascii="宋体" w:hAnsi="宋体" w:eastAsia="宋体" w:cs="宋体"/>
          <w:color w:val="auto"/>
          <w:shd w:val="clear" w:color="auto" w:fill="auto"/>
        </w:rPr>
      </w:pPr>
    </w:p>
    <w:p>
      <w:pPr>
        <w:tabs>
          <w:tab w:val="left" w:pos="0"/>
        </w:tabs>
        <w:snapToGrid w:val="0"/>
        <w:spacing w:line="240" w:lineRule="atLeast"/>
        <w:jc w:val="center"/>
        <w:textAlignment w:val="baseline"/>
        <w:rPr>
          <w:rFonts w:hint="eastAsia" w:ascii="宋体" w:hAnsi="宋体" w:eastAsia="宋体" w:cs="宋体"/>
          <w:b/>
          <w:color w:val="auto"/>
          <w:sz w:val="32"/>
          <w:shd w:val="clear" w:color="auto" w:fill="auto"/>
        </w:rPr>
      </w:pPr>
      <w:bookmarkStart w:id="814" w:name="_Toc16903"/>
    </w:p>
    <w:p>
      <w:pPr>
        <w:rPr>
          <w:rFonts w:hint="eastAsia" w:ascii="宋体" w:hAnsi="宋体" w:eastAsia="宋体" w:cs="宋体"/>
          <w:b/>
          <w:color w:val="auto"/>
          <w:sz w:val="32"/>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jc w:val="center"/>
        <w:rPr>
          <w:rFonts w:hint="eastAsia" w:ascii="宋体" w:hAnsi="宋体" w:eastAsia="宋体" w:cs="宋体"/>
          <w:b/>
          <w:bCs/>
          <w:color w:val="auto"/>
          <w:sz w:val="30"/>
          <w:szCs w:val="30"/>
          <w:shd w:val="clear" w:color="auto" w:fill="auto"/>
        </w:rPr>
      </w:pPr>
      <w:r>
        <w:rPr>
          <w:rFonts w:hint="eastAsia" w:ascii="宋体" w:hAnsi="宋体" w:eastAsia="宋体" w:cs="宋体"/>
          <w:b/>
          <w:bCs/>
          <w:color w:val="auto"/>
          <w:sz w:val="30"/>
          <w:szCs w:val="30"/>
          <w:shd w:val="clear" w:color="auto" w:fill="auto"/>
        </w:rPr>
        <w:t xml:space="preserve">第6章 </w:t>
      </w:r>
      <w:bookmarkStart w:id="815" w:name="_Toc515647832"/>
      <w:bookmarkStart w:id="816" w:name="_Toc507399907"/>
      <w:bookmarkStart w:id="817" w:name="_Toc7971"/>
      <w:bookmarkStart w:id="818" w:name="_Toc32647"/>
      <w:r>
        <w:rPr>
          <w:rFonts w:hint="eastAsia" w:ascii="宋体" w:hAnsi="宋体" w:eastAsia="宋体" w:cs="宋体"/>
          <w:b/>
          <w:bCs/>
          <w:color w:val="auto"/>
          <w:sz w:val="30"/>
          <w:szCs w:val="30"/>
          <w:shd w:val="clear" w:color="auto" w:fill="auto"/>
        </w:rPr>
        <w:t>评审方法和标准</w:t>
      </w:r>
      <w:bookmarkEnd w:id="807"/>
      <w:bookmarkEnd w:id="808"/>
      <w:bookmarkEnd w:id="809"/>
      <w:bookmarkEnd w:id="814"/>
      <w:bookmarkEnd w:id="815"/>
      <w:bookmarkEnd w:id="816"/>
      <w:bookmarkEnd w:id="817"/>
      <w:bookmarkEnd w:id="818"/>
    </w:p>
    <w:p>
      <w:pPr>
        <w:pStyle w:val="12"/>
        <w:snapToGrid w:val="0"/>
        <w:spacing w:before="0" w:line="400" w:lineRule="exact"/>
        <w:ind w:firstLine="540" w:firstLineChars="225"/>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本项目将按照磋商文件第一章供应商须知中“五 磋商开启及评审”、“六 确定成交”及本章的规定评标。</w:t>
      </w:r>
    </w:p>
    <w:p>
      <w:pPr>
        <w:widowControl/>
        <w:snapToGrid w:val="0"/>
        <w:spacing w:line="400" w:lineRule="exact"/>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注：1.磋商无效的情形：</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（1）单位负责人为同一人或者存在直接控股、管理关系的不同供应商，其相关磋商将被认定为磋商无效。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（2）若供应商须知资料表中未写明允许采购进口产品，如供应商所投产品为进口产品，其磋商将被认定为磋商无效。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（3）为本项目提供过整体设计、规范编制或者项目管理、监理、检测等服务的供应商，不得再参加本项目上述服务以外的其他采购活动。否则其磋商将被认定为磋商无效。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供应商在磋商过程中不得向采购人提供、给予任何有价值的物品，影响其正常决策行为。一经发现，其将被认定为磋商无效。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（4）供应商报价超过磋商文件规定的预算金额或者分项、分包最高限价的，其磋商将被认定为磋商无效。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（6）供应商应当对所投分包磋商文件中“服务需求”所列的所有内容进行磋商，如仅响应某一包中的部分内容，其该包磋商将被认定为磋商无效。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（7）供应商未按本须知第12.1和12.3条规定提交磋商保证金的，其磋商资格将被认定为无效。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（9）供应商所报的各分项磋商单价在合同履行过程中是固定不变的，不得以任何理由予以变更。任何包含价格调整要求的磋商，其磋商将被认定为磋商无效。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（10）磋商应在供应商须知资料表中规定时间内保持有效。磋商有效期不满足要求的磋商，其磋商将被认定为磋商无效。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（11）所有响应文件采用不可拆装的胶订方式装订，否则其磋商将被认定为磋商无效。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（12）采购人或采购代理机构将在开标前1个工作日至磋商截止后1小时的期间内查询供应商的信用记录。供应商存在不良信用记录的，其磋商将被认定为磋商无效。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（15）如发现下列情况之一的，其磋商将被认定为磋商无效：</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napToGrid w:val="0"/>
        <w:spacing w:line="400" w:lineRule="exact"/>
        <w:textAlignment w:val="baseline"/>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2.注：1.根据《政府采购促进中小企业发展暂行办法》（财库[2011]181 号）、《财政部司法部关于政府采购支持监狱企业发展有关问题的通知》（财库〔2014〕68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b/>
          <w:bCs/>
          <w:color w:val="auto"/>
          <w:sz w:val="24"/>
          <w:shd w:val="clear" w:color="auto" w:fill="auto"/>
          <w:lang w:val="en-US" w:eastAsia="zh-CN"/>
        </w:rPr>
        <w:t>10</w:t>
      </w:r>
      <w:r>
        <w:rPr>
          <w:rFonts w:hint="eastAsia" w:ascii="宋体" w:hAnsi="宋体" w:eastAsia="宋体" w:cs="宋体"/>
          <w:b/>
          <w:bCs/>
          <w:color w:val="auto"/>
          <w:sz w:val="24"/>
          <w:shd w:val="clear" w:color="auto" w:fill="auto"/>
        </w:rPr>
        <w:t xml:space="preserve"> %后参与评审。对于同时属于小微企业、监狱企业或残疾人福利性单位的，不重复进行投标报价扣除。</w:t>
      </w:r>
    </w:p>
    <w:p>
      <w:pPr>
        <w:widowControl/>
        <w:snapToGrid w:val="0"/>
        <w:spacing w:line="400" w:lineRule="exact"/>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3.联合协议中约定，小型、微型企业和监狱企业的协议合同金额占到联合体协议合同总金额30%以上的，可给予联合体</w:t>
      </w:r>
      <w:r>
        <w:rPr>
          <w:rFonts w:hint="eastAsia" w:ascii="宋体" w:hAnsi="宋体" w:eastAsia="宋体" w:cs="宋体"/>
          <w:color w:val="auto"/>
          <w:sz w:val="24"/>
          <w:u w:val="single" w:color="000000"/>
          <w:shd w:val="clear" w:color="auto" w:fill="auto"/>
        </w:rPr>
        <w:t xml:space="preserve"> 2%-3</w:t>
      </w:r>
      <w:r>
        <w:rPr>
          <w:rFonts w:hint="eastAsia" w:ascii="宋体" w:hAnsi="宋体" w:eastAsia="宋体" w:cs="宋体"/>
          <w:color w:val="auto"/>
          <w:sz w:val="24"/>
          <w:shd w:val="clear" w:color="auto" w:fill="auto"/>
        </w:rPr>
        <w:t>%的价格扣除。</w:t>
      </w:r>
      <w:r>
        <w:rPr>
          <w:rFonts w:hint="eastAsia" w:ascii="宋体" w:hAnsi="宋体" w:eastAsia="宋体" w:cs="宋体"/>
          <w:b/>
          <w:bCs/>
          <w:color w:val="auto"/>
          <w:sz w:val="24"/>
          <w:shd w:val="clear" w:color="auto" w:fill="auto"/>
        </w:rPr>
        <w:t>（本项目不适用）</w:t>
      </w:r>
    </w:p>
    <w:p>
      <w:pPr>
        <w:widowControl/>
        <w:snapToGrid w:val="0"/>
        <w:spacing w:line="400" w:lineRule="exact"/>
        <w:ind w:firstLine="480" w:firstLineChars="200"/>
        <w:jc w:val="lef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联合体各方均为小型、微型企业和监狱企业的，联合体视同为小型、微型企业和监狱企业。</w:t>
      </w:r>
    </w:p>
    <w:p>
      <w:pPr>
        <w:pStyle w:val="12"/>
        <w:snapToGrid w:val="0"/>
        <w:spacing w:before="0" w:line="400" w:lineRule="exact"/>
        <w:ind w:left="-61" w:leftChars="-29" w:firstLine="540" w:firstLineChars="225"/>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4.供应商为提供服务在磋商中伴随磋商的产品如被列入财政部与国家主管部门颁发的节能产品目录或环境标志产品目录或无线局域网产品目录，应提供相关证明，在评标时予以优先采购，具体优惠措施为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u w:val="single" w:color="000000"/>
          <w:shd w:val="clear" w:color="auto" w:fill="auto"/>
        </w:rPr>
        <w:t>：供应商所投产品应优先选择《关于印发节能产品政府采购品目清单的通知》（财库〔2019〕19号）、《关于印发环境标志产品政府采购品目清单的通知》（财库〔2019〕18号）目录内的产品。</w:t>
      </w:r>
    </w:p>
    <w:p>
      <w:pPr>
        <w:pStyle w:val="5"/>
        <w:snapToGrid w:val="0"/>
        <w:spacing w:line="400" w:lineRule="exact"/>
        <w:ind w:firstLine="0"/>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5.开标：</w:t>
      </w:r>
    </w:p>
    <w:p>
      <w:pP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（1）供应商按照须知资料表中规定的开标时间和地点，在规定时间内参加开标并上传响应文件。</w:t>
      </w:r>
    </w:p>
    <w:p>
      <w:pPr>
        <w:rPr>
          <w:rFonts w:hint="eastAsia" w:ascii="宋体" w:hAnsi="宋体" w:eastAsia="宋体" w:cs="宋体"/>
          <w:color w:val="auto"/>
          <w:shd w:val="clear" w:color="auto" w:fill="auto"/>
        </w:rPr>
      </w:pPr>
      <w:r>
        <w:rPr>
          <w:rFonts w:hint="eastAsia" w:ascii="宋体" w:hAnsi="宋体" w:eastAsia="宋体" w:cs="宋体"/>
          <w:color w:val="auto"/>
          <w:sz w:val="24"/>
          <w:shd w:val="clear" w:color="auto" w:fill="auto"/>
        </w:rPr>
        <w:t>（2）在开标前，工作人员收取所有参会人员的手机，在电脑跟前参与的供应商，须把手机调至静音，主持人宣读开标纪律。</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（3）由采购代理机构在规定时间内度响应文件进行解密，时长为30分钟。</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（4）由采购代理机构开启标书。</w:t>
      </w:r>
    </w:p>
    <w:p>
      <w:pPr>
        <w:pStyle w:val="2"/>
        <w:rPr>
          <w:rFonts w:hint="eastAsia" w:ascii="宋体" w:hAnsi="宋体" w:eastAsia="宋体" w:cs="宋体"/>
          <w:color w:val="auto"/>
          <w:shd w:val="clear" w:color="auto" w:fill="auto"/>
        </w:rPr>
      </w:pPr>
      <w:r>
        <w:rPr>
          <w:rFonts w:hint="eastAsia" w:ascii="宋体" w:hAnsi="宋体" w:eastAsia="宋体" w:cs="宋体"/>
          <w:color w:val="auto"/>
          <w:sz w:val="24"/>
          <w:shd w:val="clear" w:color="auto" w:fill="auto"/>
        </w:rPr>
        <w:t>（5）由磋商小组推选一名组长，负责组织评标。</w:t>
      </w:r>
    </w:p>
    <w:p>
      <w:pPr>
        <w:widowControl/>
        <w:snapToGrid w:val="0"/>
        <w:spacing w:line="40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（6）由采购人或采购代理机构当众拆封磋商文件第一部分，宣读供应商名称、磋商报价及磋商文件规定的内容。对于供应商在投标截止期前递交的投标声明，在开标时当众宣读，评标时有效。</w:t>
      </w:r>
    </w:p>
    <w:p>
      <w:pP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（7）未宣读投标价格、价格折扣等实质内容，评标时不予承认。</w:t>
      </w:r>
    </w:p>
    <w:p>
      <w:pP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（8）采购人或采购代理机构将对开标过程进行记录，由参加开标的各供应商代表在系统上签字确认，工作人员打印并</w:t>
      </w:r>
      <w:r>
        <w:rPr>
          <w:rFonts w:hint="eastAsia" w:ascii="宋体" w:hAnsi="宋体" w:eastAsia="宋体" w:cs="宋体"/>
          <w:color w:val="auto"/>
          <w:sz w:val="10"/>
          <w:szCs w:val="10"/>
          <w:shd w:val="clear" w:color="auto" w:fill="auto"/>
        </w:rPr>
        <w:t>签字</w:t>
      </w:r>
      <w:r>
        <w:rPr>
          <w:rFonts w:hint="eastAsia" w:ascii="宋体" w:hAnsi="宋体" w:eastAsia="宋体" w:cs="宋体"/>
          <w:color w:val="auto"/>
          <w:sz w:val="24"/>
          <w:shd w:val="clear" w:color="auto" w:fill="auto"/>
        </w:rPr>
        <w:t>，存档备查。</w:t>
      </w:r>
    </w:p>
    <w:p>
      <w:pP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（9）供应商代表对开标过程和开标记录有疑义，以及认为采购人、采购代理机构相关工作人员有需要回避的情形的，应当场提出询问或者回避申请。</w:t>
      </w:r>
    </w:p>
    <w:p>
      <w:pP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6.评审：</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（1）在政采云平台上自行抽取，共3名组成磋商小组负责评审工作</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（2）磋商小组应当按照磋商文件中规定的评审方法和标准，对所有响应文件进行资格性审查，再对符合资格要求的供应商的响应文件进行符合性审查，以确定其是否满足磋商文件的实质性要求。</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3）若对于响应磋商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磋商文件的范围或者改变磋商文件的实质性内容。</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4）磋商小组应当按照磋商文件中规定的评审方法和标准，对符合性审查合格的响应文件进行商务和技术评估，综合比较与评价。综合评分法，是指响应文件满足磋商文件全部实质性要求，且按照评审因素的量化指标评审得分最高的供应商为中标候选人的评审方法。</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5）采用综合评分法的，评审结果按评审后得分由高到低顺序排列。得分相同的，按磋商报价由低到高顺序排列。得分且磋商报价相同的并列。响应文件满足磋商文件全部实质性要求，且按照评审因素的量化指标评审得分最高的供应商为排名第一的中标候选人。</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（6）磋商小组成员对需要共同认定的事项存在争议的，应当按照少数服从多数的原则作出结论。持不同意见的磋商成员应当在评标报告上签署不同意见及理由，否则视为同意评标报告。</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7.定标：</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（1）采购代理机构应当在评审结束后2个工作日内将评审报告送采购人。</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 xml:space="preserve">（3）成交候选人并列式时的处理方式：评审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（4）采购人在收到评审报告5个工作日内未按评审报告推荐的成交候选人顺序确定成交人，又不能说明合法理由的，视同按评审报告推荐的顺序确定排名第一的成交候选人为成交人</w:t>
      </w:r>
    </w:p>
    <w:p>
      <w:pPr>
        <w:widowControl/>
        <w:snapToGrid w:val="0"/>
        <w:spacing w:line="400" w:lineRule="exact"/>
        <w:textAlignment w:val="baseline"/>
        <w:rPr>
          <w:rFonts w:hint="eastAsia" w:ascii="宋体" w:hAnsi="宋体" w:eastAsia="宋体" w:cs="宋体"/>
          <w:color w:val="auto"/>
          <w:sz w:val="24"/>
          <w:shd w:val="clear" w:color="auto" w:fill="auto"/>
        </w:rPr>
      </w:pPr>
      <w:bookmarkStart w:id="819" w:name="_Toc18284"/>
      <w:r>
        <w:rPr>
          <w:rFonts w:hint="eastAsia" w:ascii="宋体" w:hAnsi="宋体" w:eastAsia="宋体" w:cs="宋体"/>
          <w:color w:val="auto"/>
          <w:sz w:val="24"/>
          <w:shd w:val="clear" w:color="auto" w:fill="auto"/>
        </w:rPr>
        <w:t>8.评审标准：（具体详见综合评分表）</w:t>
      </w:r>
    </w:p>
    <w:p>
      <w:pPr>
        <w:pStyle w:val="12"/>
        <w:snapToGrid w:val="0"/>
        <w:spacing w:before="0" w:line="400" w:lineRule="exact"/>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（1）价格评分占</w:t>
      </w:r>
      <w:r>
        <w:rPr>
          <w:rFonts w:hint="eastAsia" w:ascii="宋体" w:hAnsi="宋体" w:eastAsia="宋体" w:cs="宋体"/>
          <w:color w:val="auto"/>
          <w:shd w:val="clear" w:color="auto" w:fill="auto"/>
          <w:lang w:val="en-US" w:eastAsia="zh-CN"/>
        </w:rPr>
        <w:t>10</w:t>
      </w:r>
      <w:r>
        <w:rPr>
          <w:rFonts w:hint="eastAsia" w:ascii="宋体" w:hAnsi="宋体" w:eastAsia="宋体" w:cs="宋体"/>
          <w:color w:val="auto"/>
          <w:shd w:val="clear" w:color="auto" w:fill="auto"/>
        </w:rPr>
        <w:t>%，完全满足磋商文件参数的报价中的最低价为评标基准价，按照下列公式计算每个投标人的投标价格得分。投标报价得分＝（基准价/投标报价）×价格权重×100。</w:t>
      </w:r>
    </w:p>
    <w:p>
      <w:pPr>
        <w:snapToGrid w:val="0"/>
        <w:spacing w:line="300" w:lineRule="auto"/>
        <w:jc w:val="left"/>
        <w:textAlignment w:val="baseline"/>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rPr>
        <w:t>（2）商务</w:t>
      </w:r>
      <w:bookmarkStart w:id="820" w:name="_Toc4729"/>
      <w:bookmarkStart w:id="821" w:name="_Toc25450"/>
      <w:bookmarkStart w:id="822" w:name="_Toc10077"/>
      <w:bookmarkStart w:id="823" w:name="_Toc15607"/>
      <w:bookmarkStart w:id="824" w:name="_Toc3722"/>
      <w:bookmarkStart w:id="825" w:name="_Toc5480"/>
      <w:bookmarkStart w:id="826" w:name="_Toc833"/>
      <w:bookmarkStart w:id="827" w:name="_Toc25232"/>
      <w:bookmarkStart w:id="828" w:name="_Toc4807"/>
      <w:bookmarkStart w:id="829" w:name="_Toc9048"/>
      <w:bookmarkStart w:id="830" w:name="_Toc1826"/>
      <w:bookmarkStart w:id="831" w:name="_Toc5997"/>
      <w:bookmarkStart w:id="832" w:name="_Toc19292"/>
      <w:bookmarkStart w:id="833" w:name="_Toc11629"/>
      <w:r>
        <w:rPr>
          <w:rFonts w:hint="eastAsia" w:ascii="宋体" w:hAnsi="宋体" w:eastAsia="宋体" w:cs="宋体"/>
          <w:color w:val="auto"/>
          <w:sz w:val="24"/>
          <w:shd w:val="clear" w:color="auto" w:fill="auto"/>
          <w:lang w:val="en-US" w:eastAsia="zh-CN"/>
        </w:rPr>
        <w:t>技术占90%，对（业绩、培训投入、培训机构实力、师资条件、拟投入本项目的管理团队情况、培训方案、服务质量保障措施、投标文件制作）等方面进行评审。</w:t>
      </w:r>
    </w:p>
    <w:p>
      <w:pPr>
        <w:snapToGrid w:val="0"/>
        <w:spacing w:line="300" w:lineRule="auto"/>
        <w:jc w:val="left"/>
        <w:textAlignment w:val="baseline"/>
        <w:rPr>
          <w:rFonts w:hint="eastAsia" w:ascii="宋体" w:hAnsi="宋体" w:eastAsia="宋体" w:cs="宋体"/>
          <w:b/>
          <w:bCs/>
          <w:color w:val="auto"/>
          <w:sz w:val="24"/>
          <w:shd w:val="clear" w:color="auto" w:fill="auto"/>
          <w:lang w:val="en-US" w:eastAsia="zh-CN"/>
        </w:rPr>
      </w:pPr>
    </w:p>
    <w:p>
      <w:pPr>
        <w:snapToGrid w:val="0"/>
        <w:spacing w:line="300" w:lineRule="auto"/>
        <w:jc w:val="center"/>
        <w:textAlignment w:val="baseline"/>
        <w:rPr>
          <w:rFonts w:hint="eastAsia" w:ascii="宋体" w:hAnsi="宋体" w:eastAsia="宋体" w:cs="宋体"/>
          <w:b/>
          <w:bCs/>
          <w:color w:val="auto"/>
          <w:sz w:val="24"/>
          <w:shd w:val="clear" w:color="auto" w:fill="auto"/>
        </w:rPr>
      </w:pPr>
    </w:p>
    <w:p>
      <w:pPr>
        <w:snapToGrid w:val="0"/>
        <w:spacing w:line="300" w:lineRule="auto"/>
        <w:jc w:val="center"/>
        <w:textAlignment w:val="baseline"/>
        <w:rPr>
          <w:rFonts w:hint="eastAsia" w:ascii="宋体" w:hAnsi="宋体" w:eastAsia="宋体" w:cs="宋体"/>
          <w:b/>
          <w:bCs/>
          <w:color w:val="auto"/>
          <w:sz w:val="24"/>
          <w:shd w:val="clear" w:color="auto" w:fill="auto"/>
        </w:rPr>
      </w:pPr>
    </w:p>
    <w:p>
      <w:pPr>
        <w:snapToGrid w:val="0"/>
        <w:spacing w:line="300" w:lineRule="auto"/>
        <w:jc w:val="center"/>
        <w:textAlignment w:val="baseline"/>
        <w:rPr>
          <w:rFonts w:hint="eastAsia" w:ascii="宋体" w:hAnsi="宋体" w:eastAsia="宋体" w:cs="宋体"/>
          <w:b/>
          <w:bCs/>
          <w:color w:val="auto"/>
          <w:sz w:val="24"/>
          <w:shd w:val="clear" w:color="auto" w:fill="auto"/>
        </w:rPr>
      </w:pPr>
    </w:p>
    <w:p>
      <w:pPr>
        <w:snapToGrid w:val="0"/>
        <w:spacing w:line="300" w:lineRule="auto"/>
        <w:jc w:val="center"/>
        <w:textAlignment w:val="baseline"/>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p>
    <w:p>
      <w:pPr>
        <w:snapToGrid w:val="0"/>
        <w:spacing w:line="300" w:lineRule="auto"/>
        <w:jc w:val="center"/>
        <w:textAlignment w:val="baseline"/>
        <w:outlineLvl w:val="1"/>
        <w:rPr>
          <w:rFonts w:hint="eastAsia" w:ascii="宋体" w:hAnsi="宋体" w:eastAsia="宋体" w:cs="宋体"/>
          <w:b/>
          <w:bCs/>
          <w:color w:val="auto"/>
          <w:sz w:val="24"/>
          <w:shd w:val="clear" w:color="auto" w:fill="auto"/>
        </w:rPr>
      </w:pPr>
      <w:r>
        <w:rPr>
          <w:rFonts w:hint="eastAsia" w:ascii="宋体" w:hAnsi="宋体" w:eastAsia="宋体" w:cs="宋体"/>
          <w:b/>
          <w:bCs/>
          <w:color w:val="auto"/>
          <w:sz w:val="24"/>
          <w:shd w:val="clear" w:color="auto" w:fill="auto"/>
        </w:rPr>
        <w:t>初步评审—资格性审查表</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tbl>
      <w:tblPr>
        <w:tblStyle w:val="35"/>
        <w:tblpPr w:leftFromText="180" w:rightFromText="180" w:vertAnchor="text" w:horzAnchor="page" w:tblpX="1293" w:tblpY="442"/>
        <w:tblOverlap w:val="never"/>
        <w:tblW w:w="95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587"/>
        <w:gridCol w:w="625"/>
        <w:gridCol w:w="643"/>
        <w:gridCol w:w="534"/>
        <w:gridCol w:w="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100"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评审内容</w:t>
            </w:r>
          </w:p>
        </w:tc>
        <w:tc>
          <w:tcPr>
            <w:tcW w:w="2472" w:type="dxa"/>
            <w:gridSpan w:val="4"/>
            <w:tcBorders>
              <w:top w:val="single" w:color="auto" w:sz="12" w:space="0"/>
              <w:left w:val="single" w:color="auto" w:sz="4" w:space="0"/>
              <w:bottom w:val="single" w:color="auto" w:sz="4" w:space="0"/>
              <w:right w:val="single" w:color="auto" w:sz="12"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100"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25" w:type="dxa"/>
            <w:tcBorders>
              <w:top w:val="single" w:color="auto" w:sz="4" w:space="0"/>
              <w:left w:val="single" w:color="auto" w:sz="4"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w:t>
            </w:r>
          </w:p>
        </w:tc>
        <w:tc>
          <w:tcPr>
            <w:tcW w:w="643" w:type="dxa"/>
            <w:tcBorders>
              <w:top w:val="single" w:color="auto" w:sz="4" w:space="0"/>
              <w:left w:val="single" w:color="auto" w:sz="4" w:space="0"/>
              <w:bottom w:val="single" w:color="auto" w:sz="6"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p>
        </w:tc>
        <w:tc>
          <w:tcPr>
            <w:tcW w:w="534" w:type="dxa"/>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w:t>
            </w:r>
          </w:p>
        </w:tc>
        <w:tc>
          <w:tcPr>
            <w:tcW w:w="670" w:type="dxa"/>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法定代表人为同一个人的两个及两个以上法人，母公司、全资子公司及其控股公司，在同一项目中同时投标；</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投标人名称或组织机构与购买招标文件时不一致，未提供有效证明文件；</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对招标文件主要条款和承诺存在重大出入或保留；</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4</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投标人未按招标文件规定提交投标份数，正本1份；副本</w:t>
            </w:r>
            <w:r>
              <w:rPr>
                <w:rFonts w:hint="eastAsia" w:ascii="宋体" w:hAnsi="宋体" w:eastAsia="宋体" w:cs="宋体"/>
                <w:color w:val="auto"/>
                <w:sz w:val="24"/>
                <w:shd w:val="clear" w:color="auto" w:fill="auto"/>
                <w:lang w:val="en-US" w:eastAsia="zh-CN"/>
              </w:rPr>
              <w:t>3</w:t>
            </w:r>
            <w:r>
              <w:rPr>
                <w:rFonts w:hint="eastAsia" w:ascii="宋体" w:hAnsi="宋体" w:eastAsia="宋体" w:cs="宋体"/>
                <w:color w:val="auto"/>
                <w:sz w:val="24"/>
                <w:shd w:val="clear" w:color="auto" w:fill="auto"/>
              </w:rPr>
              <w:t>份；电子版1份；</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5</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投标人未按招标文件要求的格式填写，无内容不全或关键字迹模糊、无法辨认的情况；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6</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投标文件未按照招标文件要求编写、装订、印鉴及签字；</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7</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投标人有违反招标投标纪律的情况；</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8</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投标人没有按照招标文件要求提交全部资料、没有对招标文件在各方面都做出实质性响应；</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9</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投标人在投标过程中向采购人提供、给予任何有价值的物品，影响其正常决策的行为。</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10</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投标人报价超过招标文件规定的预算金额或者分项、分包最高限价的。</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100" w:type="dxa"/>
            <w:gridSpan w:val="2"/>
            <w:tcBorders>
              <w:top w:val="single" w:color="auto" w:sz="6" w:space="0"/>
              <w:left w:val="single" w:color="auto" w:sz="12"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结论：是否通过评审</w:t>
            </w:r>
          </w:p>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未通过初步评审的，为无效投标。</w:t>
            </w:r>
          </w:p>
        </w:tc>
        <w:tc>
          <w:tcPr>
            <w:tcW w:w="625" w:type="dxa"/>
            <w:tcBorders>
              <w:top w:val="single" w:color="auto" w:sz="6" w:space="0"/>
              <w:left w:val="single" w:color="auto" w:sz="4"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43" w:type="dxa"/>
            <w:tcBorders>
              <w:top w:val="single" w:color="auto" w:sz="6" w:space="0"/>
              <w:left w:val="single" w:color="auto" w:sz="4"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534" w:type="dxa"/>
            <w:tcBorders>
              <w:top w:val="single" w:color="auto" w:sz="6" w:space="0"/>
              <w:left w:val="single" w:color="auto" w:sz="6"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c>
          <w:tcPr>
            <w:tcW w:w="670" w:type="dxa"/>
            <w:tcBorders>
              <w:top w:val="single" w:color="auto" w:sz="6" w:space="0"/>
              <w:left w:val="single" w:color="auto" w:sz="6" w:space="0"/>
              <w:bottom w:val="single" w:color="auto" w:sz="12"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shd w:val="clear" w:color="auto" w:fill="auto"/>
              </w:rPr>
            </w:pPr>
          </w:p>
        </w:tc>
      </w:tr>
    </w:tbl>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说明：（1）上述各项中用“√”表示通过，“×”表示不通过；</w:t>
      </w:r>
    </w:p>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（2）上述各项中如有一项为“×”，则结论为“×”，表示该磋商文件中存在重大偏差，不能通过初步评审；评委对某一分项评审认为不合格时，必须要写明原因。</w:t>
      </w:r>
    </w:p>
    <w:p>
      <w:pPr>
        <w:snapToGrid w:val="0"/>
        <w:spacing w:line="34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（3）磋商文件最终合格与否，以所有评委的评审意见中少数服从多数为原则定论。</w:t>
      </w:r>
    </w:p>
    <w:p>
      <w:pPr>
        <w:snapToGrid w:val="0"/>
        <w:spacing w:line="340" w:lineRule="exact"/>
        <w:textAlignment w:val="baseline"/>
        <w:rPr>
          <w:rFonts w:hint="eastAsia" w:ascii="宋体" w:hAnsi="宋体" w:eastAsia="宋体" w:cs="宋体"/>
          <w:b/>
          <w:color w:val="auto"/>
          <w:sz w:val="28"/>
          <w:szCs w:val="28"/>
          <w:shd w:val="clear" w:color="auto" w:fill="auto"/>
        </w:rPr>
      </w:pPr>
      <w:r>
        <w:rPr>
          <w:rFonts w:hint="eastAsia" w:ascii="宋体" w:hAnsi="宋体" w:eastAsia="宋体" w:cs="宋体"/>
          <w:b/>
          <w:bCs/>
          <w:color w:val="auto"/>
          <w:sz w:val="24"/>
          <w:shd w:val="clear" w:color="auto" w:fill="auto"/>
        </w:rPr>
        <w:t>备注：如果磋商文件中有一项未通过上述审查标准，评审委员会将认定整个磋商文件未响应磋商文件而予以废标处理。</w:t>
      </w:r>
      <w:bookmarkStart w:id="834" w:name="_Toc4026"/>
      <w:bookmarkStart w:id="835" w:name="_Toc29597"/>
      <w:bookmarkStart w:id="836" w:name="_Toc22896"/>
      <w:bookmarkStart w:id="837" w:name="_Toc23517"/>
      <w:bookmarkStart w:id="838" w:name="_Toc25497"/>
      <w:bookmarkStart w:id="839" w:name="_Toc19552"/>
      <w:bookmarkStart w:id="840" w:name="_Toc347"/>
      <w:bookmarkStart w:id="841" w:name="_Toc17652"/>
      <w:bookmarkStart w:id="842" w:name="_Toc19893"/>
      <w:bookmarkStart w:id="843" w:name="_Toc22949"/>
      <w:bookmarkStart w:id="844" w:name="_Toc11623"/>
      <w:bookmarkStart w:id="845" w:name="_Toc17473"/>
      <w:bookmarkStart w:id="846" w:name="_Toc10503"/>
      <w:bookmarkStart w:id="847" w:name="_Toc13208"/>
      <w:bookmarkStart w:id="848" w:name="_Toc25729"/>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p>
    <w:p>
      <w:pPr>
        <w:pStyle w:val="5"/>
        <w:snapToGrid w:val="0"/>
        <w:spacing w:line="300" w:lineRule="auto"/>
        <w:ind w:firstLine="0"/>
        <w:jc w:val="center"/>
        <w:textAlignment w:val="baseline"/>
        <w:outlineLvl w:val="1"/>
        <w:rPr>
          <w:rFonts w:hint="eastAsia" w:ascii="宋体" w:hAnsi="宋体" w:eastAsia="宋体" w:cs="宋体"/>
          <w:b/>
          <w:color w:val="auto"/>
          <w:sz w:val="28"/>
          <w:szCs w:val="28"/>
          <w:shd w:val="clear" w:color="auto" w:fill="auto"/>
        </w:rPr>
      </w:pPr>
      <w:r>
        <w:rPr>
          <w:rFonts w:hint="eastAsia" w:ascii="宋体" w:hAnsi="宋体" w:eastAsia="宋体" w:cs="宋体"/>
          <w:b/>
          <w:color w:val="auto"/>
          <w:sz w:val="28"/>
          <w:szCs w:val="28"/>
          <w:shd w:val="clear" w:color="auto" w:fill="auto"/>
        </w:rPr>
        <w:t>初步评审—符合性审查表</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tbl>
      <w:tblPr>
        <w:tblStyle w:val="35"/>
        <w:tblpPr w:leftFromText="180" w:rightFromText="180" w:vertAnchor="text" w:horzAnchor="page" w:tblpXSpec="center" w:tblpY="262"/>
        <w:tblOverlap w:val="never"/>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06" w:type="dxa"/>
            <w:gridSpan w:val="2"/>
            <w:vAlign w:val="center"/>
          </w:tcPr>
          <w:p>
            <w:pPr>
              <w:spacing w:line="360" w:lineRule="exact"/>
              <w:jc w:val="center"/>
              <w:rPr>
                <w:rFonts w:hint="eastAsia" w:ascii="宋体" w:hAnsi="宋体" w:eastAsia="宋体" w:cs="宋体"/>
                <w:color w:val="auto"/>
                <w:spacing w:val="-2"/>
                <w:szCs w:val="21"/>
                <w:shd w:val="clear" w:color="auto" w:fill="auto"/>
              </w:rPr>
            </w:pPr>
            <w:r>
              <w:rPr>
                <w:rFonts w:hint="eastAsia" w:ascii="宋体" w:hAnsi="宋体" w:eastAsia="宋体" w:cs="宋体"/>
                <w:b/>
                <w:color w:val="auto"/>
                <w:sz w:val="22"/>
                <w:szCs w:val="22"/>
                <w:shd w:val="clear" w:color="auto" w:fill="auto"/>
              </w:rPr>
              <w:t>评审内容</w:t>
            </w:r>
          </w:p>
        </w:tc>
        <w:tc>
          <w:tcPr>
            <w:tcW w:w="1205" w:type="dxa"/>
            <w:vAlign w:val="center"/>
          </w:tcPr>
          <w:p>
            <w:pPr>
              <w:spacing w:line="360" w:lineRule="exact"/>
              <w:jc w:val="center"/>
              <w:rPr>
                <w:rFonts w:hint="eastAsia" w:ascii="宋体" w:hAnsi="宋体" w:eastAsia="宋体" w:cs="宋体"/>
                <w:color w:val="auto"/>
                <w:spacing w:val="-2"/>
                <w:szCs w:val="21"/>
                <w:shd w:val="clear" w:color="auto" w:fill="auto"/>
              </w:rPr>
            </w:pPr>
            <w:r>
              <w:rPr>
                <w:rFonts w:hint="eastAsia" w:ascii="宋体" w:hAnsi="宋体" w:eastAsia="宋体" w:cs="宋体"/>
                <w:b/>
                <w:color w:val="auto"/>
                <w:szCs w:val="21"/>
                <w:shd w:val="clear" w:color="auto" w:fill="auto"/>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51"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序号</w:t>
            </w:r>
          </w:p>
        </w:tc>
        <w:tc>
          <w:tcPr>
            <w:tcW w:w="7855" w:type="dxa"/>
            <w:vAlign w:val="center"/>
          </w:tcPr>
          <w:p>
            <w:pPr>
              <w:spacing w:line="360" w:lineRule="exact"/>
              <w:jc w:val="left"/>
              <w:rPr>
                <w:rFonts w:hint="eastAsia" w:ascii="宋体" w:hAnsi="宋体" w:eastAsia="宋体" w:cs="宋体"/>
                <w:color w:val="auto"/>
                <w:sz w:val="24"/>
                <w:shd w:val="clear" w:color="auto" w:fill="auto"/>
              </w:rPr>
            </w:pPr>
          </w:p>
        </w:tc>
        <w:tc>
          <w:tcPr>
            <w:tcW w:w="1205" w:type="dxa"/>
            <w:vAlign w:val="center"/>
          </w:tcPr>
          <w:p>
            <w:pPr>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360" w:lineRule="exact"/>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1</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各供应商报价未高于预算金额；</w:t>
            </w:r>
          </w:p>
        </w:tc>
        <w:tc>
          <w:tcPr>
            <w:tcW w:w="1205" w:type="dxa"/>
            <w:vAlign w:val="center"/>
          </w:tcPr>
          <w:p>
            <w:pPr>
              <w:spacing w:line="360" w:lineRule="exact"/>
              <w:rPr>
                <w:rFonts w:hint="eastAsia" w:ascii="宋体" w:hAnsi="宋体" w:eastAsia="宋体" w:cs="宋体"/>
                <w:color w:val="auto"/>
                <w:spacing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磋商小组认为供应商的报价无明显低于其他通过资格性审查供应商的报价的，供应商的报价不存在异常一致并成规律性的，其报价合理。</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3</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响应文件按照磋商文件的规定编制、标记及签署盖章的，法定代表人或其授权代表签字（章）或加盖供应商公章的（响应文件正本的印章和签字不能为复印件）；</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4</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响应文件载明的服务需求、服务内容等，符合磋商文件要求的；</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5</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按磋商文件规定的格式填写，内容全或关键字迹清晰等。</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6</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没有采购人不能接受的附加条件的；</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7</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符合磋商文件中规定的其他实质性要求；</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8</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不同供应商的响应文件没有错漏一致的情况；</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9</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供应商附有详细地址、联系人、电话标明的；</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10</w:t>
            </w:r>
          </w:p>
        </w:tc>
        <w:tc>
          <w:tcPr>
            <w:tcW w:w="7855" w:type="dxa"/>
            <w:vAlign w:val="center"/>
          </w:tcPr>
          <w:p>
            <w:pPr>
              <w:spacing w:line="360" w:lineRule="exact"/>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响应文件没有散页、活页、未胶装的。</w:t>
            </w:r>
          </w:p>
        </w:tc>
        <w:tc>
          <w:tcPr>
            <w:tcW w:w="1205" w:type="dxa"/>
            <w:vAlign w:val="center"/>
          </w:tcPr>
          <w:p>
            <w:pPr>
              <w:spacing w:line="360" w:lineRule="exact"/>
              <w:jc w:val="center"/>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911" w:type="dxa"/>
            <w:gridSpan w:val="3"/>
            <w:vAlign w:val="center"/>
          </w:tcPr>
          <w:p>
            <w:pPr>
              <w:spacing w:line="36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备注：如发现上述情况之一的，其投标将被否决。</w:t>
            </w:r>
          </w:p>
        </w:tc>
      </w:tr>
    </w:tbl>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说明：</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（1）上述各项中用“√”表示通过，“×”表示不通过；</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（3）磋商文件最终合格与否，以所有评委的评审意见中少数服从多数为原则定论。</w:t>
      </w:r>
    </w:p>
    <w:p>
      <w:pPr>
        <w:snapToGrid w:val="0"/>
        <w:spacing w:line="240" w:lineRule="atLeast"/>
        <w:ind w:left="1080" w:leftChars="257" w:hanging="540"/>
        <w:jc w:val="left"/>
        <w:textAlignment w:val="baseline"/>
        <w:rPr>
          <w:rFonts w:hint="eastAsia" w:ascii="宋体" w:hAnsi="宋体" w:eastAsia="宋体" w:cs="宋体"/>
          <w:b/>
          <w:color w:val="auto"/>
          <w:sz w:val="28"/>
          <w:szCs w:val="28"/>
          <w:shd w:val="clear" w:color="auto" w:fill="auto"/>
        </w:rPr>
      </w:pPr>
      <w:r>
        <w:rPr>
          <w:rFonts w:hint="eastAsia" w:ascii="宋体" w:hAnsi="宋体" w:eastAsia="宋体" w:cs="宋体"/>
          <w:b/>
          <w:bCs/>
          <w:color w:val="auto"/>
          <w:sz w:val="24"/>
          <w:shd w:val="clear" w:color="auto" w:fill="auto"/>
        </w:rPr>
        <w:t>备注：如果磋商文件中有一项未通过上述审查标准，评审委员会将认定整个磋商文件未响应磋商文件而予以废标处理。</w:t>
      </w:r>
      <w:bookmarkStart w:id="849" w:name="_Toc25310"/>
      <w:bookmarkStart w:id="850" w:name="_Toc20930"/>
      <w:bookmarkStart w:id="851" w:name="_Toc507399904"/>
    </w:p>
    <w:p>
      <w:pPr>
        <w:pStyle w:val="12"/>
        <w:snapToGrid w:val="0"/>
        <w:spacing w:before="0" w:line="360" w:lineRule="exact"/>
        <w:textAlignment w:val="baseline"/>
        <w:rPr>
          <w:rFonts w:hint="eastAsia" w:ascii="宋体" w:hAnsi="宋体" w:eastAsia="宋体" w:cs="宋体"/>
          <w:i/>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5"/>
        <w:ind w:firstLine="0"/>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tbl>
      <w:tblPr>
        <w:tblStyle w:val="35"/>
        <w:tblW w:w="10035" w:type="dxa"/>
        <w:tblInd w:w="-649" w:type="dxa"/>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368" w:hRule="atLeast"/>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hint="eastAsia" w:ascii="宋体" w:hAnsi="宋体" w:eastAsia="宋体" w:cs="宋体"/>
                <w:b/>
                <w:bCs/>
                <w:color w:val="auto"/>
                <w:kern w:val="0"/>
                <w:sz w:val="24"/>
                <w:shd w:val="clear" w:color="auto" w:fill="auto"/>
              </w:rPr>
            </w:pPr>
            <w:r>
              <w:rPr>
                <w:rFonts w:hint="eastAsia" w:ascii="宋体" w:hAnsi="宋体" w:eastAsia="宋体" w:cs="宋体"/>
                <w:b/>
                <w:bCs/>
                <w:color w:val="auto"/>
                <w:kern w:val="0"/>
                <w:sz w:val="24"/>
                <w:shd w:val="clear" w:color="auto" w:fill="auto"/>
              </w:rPr>
              <w:t>一、商务符合性审查表</w:t>
            </w:r>
          </w:p>
        </w:tc>
      </w:tr>
      <w:tr>
        <w:tblPrEx>
          <w:tblCellMar>
            <w:top w:w="0" w:type="dxa"/>
            <w:left w:w="108" w:type="dxa"/>
            <w:bottom w:w="0" w:type="dxa"/>
            <w:right w:w="108" w:type="dxa"/>
          </w:tblCellMar>
        </w:tblPrEx>
        <w:trPr>
          <w:trHeight w:val="90"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本项目</w:t>
            </w:r>
            <w:r>
              <w:rPr>
                <w:rFonts w:hint="eastAsia" w:ascii="宋体" w:hAnsi="宋体" w:eastAsia="宋体" w:cs="宋体"/>
                <w:i/>
                <w:iCs/>
                <w:color w:val="auto"/>
                <w:kern w:val="0"/>
                <w:sz w:val="24"/>
                <w:u w:val="single" w:color="000000"/>
                <w:shd w:val="clear" w:color="auto" w:fill="auto"/>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联合体投标规定</w:t>
            </w:r>
          </w:p>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本项目</w:t>
            </w:r>
            <w:r>
              <w:rPr>
                <w:rFonts w:hint="eastAsia" w:ascii="宋体" w:hAnsi="宋体" w:eastAsia="宋体" w:cs="宋体"/>
                <w:i/>
                <w:iCs/>
                <w:color w:val="auto"/>
                <w:kern w:val="0"/>
                <w:sz w:val="24"/>
                <w:u w:val="single" w:color="000000"/>
                <w:shd w:val="clear" w:color="auto" w:fill="auto"/>
              </w:rPr>
              <w:t>不接受</w:t>
            </w:r>
            <w:r>
              <w:rPr>
                <w:rFonts w:hint="eastAsia" w:ascii="宋体" w:hAnsi="宋体" w:eastAsia="宋体" w:cs="宋体"/>
                <w:color w:val="auto"/>
                <w:kern w:val="0"/>
                <w:sz w:val="24"/>
                <w:shd w:val="clear" w:color="auto" w:fill="auto"/>
              </w:rPr>
              <w:t>联合体投标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供应商的关联性</w:t>
            </w:r>
          </w:p>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rPr>
              <w:t>供应商对所投磋商文件中所列的所有内容进行投标。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磋商保证金（12.1）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符合磋商文件要求</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自提交响应文件截止之日起</w:t>
            </w:r>
            <w:r>
              <w:rPr>
                <w:rFonts w:hint="eastAsia" w:ascii="宋体" w:hAnsi="宋体" w:eastAsia="宋体" w:cs="宋体"/>
                <w:color w:val="auto"/>
                <w:sz w:val="24"/>
                <w:u w:val="single" w:color="000000"/>
                <w:shd w:val="clear" w:color="auto" w:fill="auto"/>
                <w:lang w:val="en-US" w:eastAsia="zh-CN"/>
              </w:rPr>
              <w:t>90</w:t>
            </w:r>
            <w:r>
              <w:rPr>
                <w:rFonts w:hint="eastAsia" w:ascii="宋体" w:hAnsi="宋体" w:eastAsia="宋体" w:cs="宋体"/>
                <w:color w:val="auto"/>
                <w:sz w:val="24"/>
                <w:u w:val="single" w:color="000000"/>
                <w:shd w:val="clear" w:color="auto" w:fill="auto"/>
              </w:rPr>
              <w:t xml:space="preserve"> 日</w:t>
            </w:r>
            <w:r>
              <w:rPr>
                <w:rFonts w:hint="eastAsia" w:ascii="宋体" w:hAnsi="宋体" w:eastAsia="宋体" w:cs="宋体"/>
                <w:color w:val="auto"/>
                <w:sz w:val="24"/>
                <w:shd w:val="clear" w:color="auto" w:fill="auto"/>
              </w:rPr>
              <w:t>历日</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响应文件的装订方式（14.3）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所有响应文件采用不可拆装的胶订方式装订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响应文件的签署和盖章符合要求</w:t>
            </w:r>
          </w:p>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（14.2、14.4）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本项目</w:t>
            </w:r>
            <w:r>
              <w:rPr>
                <w:rFonts w:hint="eastAsia" w:ascii="宋体" w:hAnsi="宋体" w:eastAsia="宋体" w:cs="宋体"/>
                <w:i/>
                <w:iCs/>
                <w:color w:val="auto"/>
                <w:kern w:val="0"/>
                <w:sz w:val="24"/>
                <w:u w:val="single" w:color="000000"/>
                <w:shd w:val="clear" w:color="auto" w:fill="auto"/>
              </w:rPr>
              <w:t>不适用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sz w:val="24"/>
                <w:shd w:val="clear" w:color="auto" w:fill="auto"/>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r>
        <w:tblPrEx>
          <w:tblCellMar>
            <w:top w:w="0" w:type="dxa"/>
            <w:left w:w="108" w:type="dxa"/>
            <w:bottom w:w="0" w:type="dxa"/>
            <w:right w:w="108" w:type="dxa"/>
          </w:tblCellMar>
        </w:tblPrEx>
        <w:trPr>
          <w:trHeight w:val="774"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sz w:val="24"/>
                <w:shd w:val="clear" w:color="auto" w:fill="auto"/>
              </w:rPr>
            </w:pPr>
            <w:r>
              <w:rPr>
                <w:rFonts w:hint="eastAsia" w:ascii="宋体" w:hAnsi="宋体" w:eastAsia="宋体" w:cs="宋体"/>
                <w:b/>
                <w:color w:val="auto"/>
                <w:kern w:val="0"/>
                <w:sz w:val="24"/>
                <w:shd w:val="clear" w:color="auto" w:fill="auto"/>
              </w:rPr>
              <w:t>结论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r>
    </w:tbl>
    <w:p>
      <w:pPr>
        <w:pStyle w:val="12"/>
        <w:snapToGrid w:val="0"/>
        <w:spacing w:before="0" w:line="360" w:lineRule="exact"/>
        <w:ind w:left="-181" w:leftChars="-86" w:firstLine="660" w:firstLineChars="275"/>
        <w:textAlignment w:val="baseline"/>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br w:type="page"/>
      </w:r>
    </w:p>
    <w:tbl>
      <w:tblPr>
        <w:tblStyle w:val="35"/>
        <w:tblW w:w="10020" w:type="dxa"/>
        <w:tblInd w:w="-694" w:type="dxa"/>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trPr>
        <w:tc>
          <w:tcPr>
            <w:tcW w:w="10020"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hint="eastAsia" w:ascii="宋体" w:hAnsi="宋体" w:eastAsia="宋体" w:cs="宋体"/>
                <w:b/>
                <w:bCs/>
                <w:color w:val="auto"/>
                <w:kern w:val="0"/>
                <w:sz w:val="24"/>
                <w:shd w:val="clear" w:color="auto" w:fill="auto"/>
              </w:rPr>
            </w:pPr>
            <w:r>
              <w:rPr>
                <w:rFonts w:hint="eastAsia" w:ascii="宋体" w:hAnsi="宋体" w:eastAsia="宋体" w:cs="宋体"/>
                <w:b/>
                <w:bCs/>
                <w:color w:val="auto"/>
                <w:kern w:val="0"/>
                <w:sz w:val="24"/>
                <w:shd w:val="clear" w:color="auto" w:fill="auto"/>
              </w:rPr>
              <w:t>技术符合性审查表</w:t>
            </w:r>
          </w:p>
        </w:tc>
      </w:tr>
      <w:tr>
        <w:tblPrEx>
          <w:tblCellMar>
            <w:top w:w="0" w:type="dxa"/>
            <w:left w:w="108" w:type="dxa"/>
            <w:bottom w:w="0" w:type="dxa"/>
            <w:right w:w="108" w:type="dxa"/>
          </w:tblCellMar>
        </w:tblPrEx>
        <w:trPr>
          <w:trHeight w:val="390" w:hRule="atLeast"/>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供应商名称</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供应商名称</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供应商名称</w:t>
            </w:r>
          </w:p>
        </w:tc>
      </w:tr>
      <w:tr>
        <w:tblPrEx>
          <w:tblCellMar>
            <w:top w:w="0" w:type="dxa"/>
            <w:left w:w="108" w:type="dxa"/>
            <w:bottom w:w="0" w:type="dxa"/>
            <w:right w:w="108" w:type="dxa"/>
          </w:tblCellMar>
        </w:tblPrEx>
        <w:trPr>
          <w:trHeight w:val="570" w:hRule="atLeast"/>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磋商文件要求</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服务需求一览表</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bCs/>
                <w:color w:val="auto"/>
                <w:kern w:val="0"/>
                <w:sz w:val="24"/>
                <w:shd w:val="clear" w:color="auto" w:fill="auto"/>
              </w:rPr>
            </w:pPr>
            <w:r>
              <w:rPr>
                <w:rFonts w:hint="eastAsia" w:ascii="宋体" w:hAnsi="宋体" w:eastAsia="宋体" w:cs="宋体"/>
                <w:b/>
                <w:bCs/>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bCs/>
                <w:color w:val="auto"/>
                <w:kern w:val="0"/>
                <w:sz w:val="24"/>
                <w:shd w:val="clear" w:color="auto" w:fill="auto"/>
              </w:rPr>
            </w:pPr>
            <w:r>
              <w:rPr>
                <w:rFonts w:hint="eastAsia" w:ascii="宋体" w:hAnsi="宋体" w:eastAsia="宋体" w:cs="宋体"/>
                <w:b/>
                <w:bCs/>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nil"/>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58"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570" w:hRule="atLeast"/>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w:t>
            </w:r>
          </w:p>
        </w:tc>
      </w:tr>
      <w:tr>
        <w:tblPrEx>
          <w:tblCellMar>
            <w:top w:w="0" w:type="dxa"/>
            <w:left w:w="108" w:type="dxa"/>
            <w:bottom w:w="0" w:type="dxa"/>
            <w:right w:w="108" w:type="dxa"/>
          </w:tblCellMar>
        </w:tblPrEx>
        <w:trPr>
          <w:trHeight w:val="465" w:hRule="atLeast"/>
        </w:trPr>
        <w:tc>
          <w:tcPr>
            <w:tcW w:w="2730" w:type="dxa"/>
            <w:tcBorders>
              <w:top w:val="nil"/>
              <w:left w:val="nil"/>
              <w:bottom w:val="nil"/>
              <w:right w:val="nil"/>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2295" w:type="dxa"/>
            <w:tcBorders>
              <w:top w:val="nil"/>
              <w:left w:val="nil"/>
              <w:bottom w:val="nil"/>
              <w:right w:val="nil"/>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nil"/>
              <w:right w:val="nil"/>
            </w:tcBorders>
            <w:vAlign w:val="center"/>
          </w:tcPr>
          <w:p>
            <w:pPr>
              <w:widowControl/>
              <w:snapToGrid w:val="0"/>
              <w:spacing w:line="360" w:lineRule="exact"/>
              <w:jc w:val="center"/>
              <w:textAlignment w:val="baseline"/>
              <w:rPr>
                <w:rFonts w:hint="eastAsia" w:ascii="宋体" w:hAnsi="宋体" w:eastAsia="宋体" w:cs="宋体"/>
                <w:color w:val="auto"/>
                <w:kern w:val="0"/>
                <w:sz w:val="24"/>
                <w:shd w:val="clear" w:color="auto" w:fill="auto"/>
              </w:rPr>
            </w:pPr>
          </w:p>
        </w:tc>
        <w:tc>
          <w:tcPr>
            <w:tcW w:w="1845" w:type="dxa"/>
            <w:tcBorders>
              <w:top w:val="nil"/>
              <w:left w:val="nil"/>
              <w:bottom w:val="nil"/>
              <w:right w:val="nil"/>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c>
          <w:tcPr>
            <w:tcW w:w="1575" w:type="dxa"/>
            <w:tcBorders>
              <w:top w:val="nil"/>
              <w:left w:val="nil"/>
              <w:bottom w:val="nil"/>
              <w:right w:val="nil"/>
            </w:tcBorders>
            <w:vAlign w:val="center"/>
          </w:tcPr>
          <w:p>
            <w:pPr>
              <w:widowControl/>
              <w:snapToGrid w:val="0"/>
              <w:spacing w:line="360" w:lineRule="exact"/>
              <w:jc w:val="left"/>
              <w:textAlignment w:val="baseline"/>
              <w:rPr>
                <w:rFonts w:hint="eastAsia" w:ascii="宋体" w:hAnsi="宋体" w:eastAsia="宋体" w:cs="宋体"/>
                <w:color w:val="auto"/>
                <w:kern w:val="0"/>
                <w:sz w:val="24"/>
                <w:shd w:val="clear" w:color="auto" w:fill="auto"/>
              </w:rPr>
            </w:pPr>
          </w:p>
        </w:tc>
      </w:tr>
    </w:tbl>
    <w:p>
      <w:pPr>
        <w:pStyle w:val="12"/>
        <w:snapToGrid w:val="0"/>
        <w:spacing w:before="0" w:line="360" w:lineRule="exact"/>
        <w:ind w:left="-181" w:leftChars="-86" w:firstLine="660" w:firstLineChars="275"/>
        <w:textAlignment w:val="baseline"/>
        <w:rPr>
          <w:rFonts w:hint="eastAsia" w:ascii="宋体" w:hAnsi="宋体" w:eastAsia="宋体" w:cs="宋体"/>
          <w:color w:val="auto"/>
          <w:shd w:val="clear" w:color="auto" w:fill="auto"/>
        </w:rPr>
      </w:pPr>
    </w:p>
    <w:p>
      <w:pPr>
        <w:snapToGrid w:val="0"/>
        <w:spacing w:line="360" w:lineRule="exact"/>
        <w:jc w:val="center"/>
        <w:textAlignment w:val="baseline"/>
        <w:rPr>
          <w:rFonts w:hint="eastAsia" w:ascii="宋体" w:hAnsi="宋体" w:eastAsia="宋体" w:cs="宋体"/>
          <w:b/>
          <w:bCs/>
          <w:color w:val="auto"/>
          <w:sz w:val="24"/>
          <w:shd w:val="clear" w:color="auto" w:fill="auto"/>
        </w:rPr>
      </w:pPr>
    </w:p>
    <w:p>
      <w:pPr>
        <w:snapToGrid w:val="0"/>
        <w:spacing w:line="360" w:lineRule="exact"/>
        <w:jc w:val="center"/>
        <w:textAlignment w:val="baseline"/>
        <w:rPr>
          <w:rFonts w:hint="eastAsia" w:ascii="宋体" w:hAnsi="宋体" w:eastAsia="宋体" w:cs="宋体"/>
          <w:b/>
          <w:bCs/>
          <w:color w:val="auto"/>
          <w:sz w:val="24"/>
          <w:shd w:val="clear" w:color="auto" w:fill="auto"/>
        </w:rPr>
      </w:pPr>
    </w:p>
    <w:p>
      <w:pPr>
        <w:snapToGrid w:val="0"/>
        <w:spacing w:line="360" w:lineRule="exact"/>
        <w:jc w:val="center"/>
        <w:textAlignment w:val="baseline"/>
        <w:rPr>
          <w:rFonts w:hint="eastAsia" w:ascii="宋体" w:hAnsi="宋体" w:eastAsia="宋体" w:cs="宋体"/>
          <w:b/>
          <w:bCs/>
          <w:color w:val="auto"/>
          <w:sz w:val="24"/>
          <w:shd w:val="clear" w:color="auto" w:fill="auto"/>
        </w:rPr>
      </w:pPr>
    </w:p>
    <w:p>
      <w:pPr>
        <w:pStyle w:val="34"/>
        <w:snapToGrid w:val="0"/>
        <w:ind w:firstLine="0" w:firstLineChars="0"/>
        <w:textAlignment w:val="baseline"/>
        <w:rPr>
          <w:rFonts w:hint="eastAsia" w:ascii="宋体" w:hAnsi="宋体" w:eastAsia="宋体" w:cs="宋体"/>
          <w:b/>
          <w:color w:val="auto"/>
          <w:sz w:val="28"/>
          <w:szCs w:val="28"/>
          <w:shd w:val="clear" w:color="auto" w:fill="auto"/>
        </w:rPr>
      </w:pPr>
    </w:p>
    <w:p>
      <w:pPr>
        <w:pStyle w:val="34"/>
        <w:snapToGrid w:val="0"/>
        <w:ind w:firstLine="0" w:firstLineChars="0"/>
        <w:textAlignment w:val="baseline"/>
        <w:rPr>
          <w:rFonts w:hint="eastAsia" w:ascii="宋体" w:hAnsi="宋体" w:eastAsia="宋体" w:cs="宋体"/>
          <w:b/>
          <w:color w:val="auto"/>
          <w:sz w:val="28"/>
          <w:szCs w:val="28"/>
          <w:shd w:val="clear" w:color="auto" w:fill="auto"/>
        </w:rPr>
      </w:pPr>
    </w:p>
    <w:p>
      <w:pPr>
        <w:pStyle w:val="34"/>
        <w:snapToGrid w:val="0"/>
        <w:ind w:firstLine="0" w:firstLineChars="0"/>
        <w:textAlignment w:val="baseline"/>
        <w:rPr>
          <w:rFonts w:hint="eastAsia" w:ascii="宋体" w:hAnsi="宋体" w:eastAsia="宋体" w:cs="宋体"/>
          <w:b/>
          <w:color w:val="auto"/>
          <w:sz w:val="28"/>
          <w:szCs w:val="28"/>
          <w:shd w:val="clear" w:color="auto" w:fill="auto"/>
        </w:rPr>
      </w:pPr>
    </w:p>
    <w:p>
      <w:pPr>
        <w:pStyle w:val="34"/>
        <w:snapToGrid w:val="0"/>
        <w:ind w:firstLine="0" w:firstLineChars="0"/>
        <w:textAlignment w:val="baseline"/>
        <w:rPr>
          <w:rFonts w:hint="eastAsia" w:ascii="宋体" w:hAnsi="宋体" w:eastAsia="宋体" w:cs="宋体"/>
          <w:b/>
          <w:color w:val="auto"/>
          <w:sz w:val="28"/>
          <w:szCs w:val="28"/>
          <w:shd w:val="clear" w:color="auto" w:fill="auto"/>
        </w:rPr>
      </w:pPr>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shd w:val="clear" w:color="auto" w:fill="auto"/>
        </w:rPr>
      </w:pPr>
      <w:bookmarkStart w:id="852" w:name="_Toc26359"/>
      <w:bookmarkStart w:id="853" w:name="_Toc10809"/>
      <w:bookmarkStart w:id="854" w:name="_Toc29461"/>
      <w:bookmarkStart w:id="855" w:name="_Toc27185"/>
      <w:bookmarkStart w:id="856" w:name="_Toc20034"/>
      <w:bookmarkStart w:id="857" w:name="_Toc25279"/>
      <w:bookmarkStart w:id="858" w:name="_Toc11236"/>
      <w:bookmarkStart w:id="859" w:name="_Toc9113"/>
      <w:bookmarkStart w:id="860" w:name="_Toc11838"/>
      <w:bookmarkStart w:id="861" w:name="_Toc26098"/>
      <w:bookmarkStart w:id="862" w:name="_Toc20547"/>
      <w:bookmarkStart w:id="863" w:name="_Toc19042"/>
      <w:bookmarkStart w:id="864" w:name="_Toc21660"/>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shd w:val="clear" w:color="auto" w:fill="auto"/>
        </w:rPr>
      </w:pPr>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shd w:val="clear" w:color="auto" w:fill="auto"/>
        </w:rPr>
      </w:pPr>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shd w:val="clear" w:color="auto" w:fill="auto"/>
        </w:rPr>
      </w:pPr>
      <w:r>
        <w:rPr>
          <w:rFonts w:hint="eastAsia" w:ascii="宋体" w:hAnsi="宋体" w:eastAsia="宋体" w:cs="宋体"/>
          <w:b/>
          <w:color w:val="auto"/>
          <w:sz w:val="28"/>
          <w:szCs w:val="28"/>
          <w:shd w:val="clear" w:color="auto" w:fill="auto"/>
        </w:rPr>
        <w:t>综合评分表</w:t>
      </w:r>
      <w:bookmarkEnd w:id="849"/>
      <w:bookmarkEnd w:id="850"/>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宋体" w:hAnsi="宋体" w:eastAsia="宋体" w:cs="宋体"/>
          <w:b/>
          <w:color w:val="auto"/>
          <w:sz w:val="28"/>
          <w:szCs w:val="28"/>
          <w:shd w:val="clear" w:color="auto" w:fill="auto"/>
        </w:rPr>
        <w:t xml:space="preserve"> </w:t>
      </w:r>
    </w:p>
    <w:tbl>
      <w:tblPr>
        <w:tblStyle w:val="35"/>
        <w:tblW w:w="8719" w:type="dxa"/>
        <w:tblInd w:w="93" w:type="dxa"/>
        <w:tblLayout w:type="autofit"/>
        <w:tblCellMar>
          <w:top w:w="0" w:type="dxa"/>
          <w:left w:w="108" w:type="dxa"/>
          <w:bottom w:w="0" w:type="dxa"/>
          <w:right w:w="108" w:type="dxa"/>
        </w:tblCellMar>
      </w:tblPr>
      <w:tblGrid>
        <w:gridCol w:w="699"/>
        <w:gridCol w:w="527"/>
        <w:gridCol w:w="1163"/>
        <w:gridCol w:w="6330"/>
      </w:tblGrid>
      <w:tr>
        <w:tblPrEx>
          <w:tblCellMar>
            <w:top w:w="0" w:type="dxa"/>
            <w:left w:w="108" w:type="dxa"/>
            <w:bottom w:w="0" w:type="dxa"/>
            <w:right w:w="108" w:type="dxa"/>
          </w:tblCellMar>
        </w:tblPrEx>
        <w:trPr>
          <w:trHeight w:val="160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报价得分（10分）</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投标报价得分</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投标报价以开标现场报出的投标价格为准，供应商的价格分统一按下列公式计算:投标报价得分＝（评标基准价/投标报价）×价格权值×100（注：满足招标文件要求且投标价格最低的投标报价为评标基准价。最低报价不是中标的唯一依据。）</w:t>
            </w:r>
          </w:p>
        </w:tc>
      </w:tr>
      <w:tr>
        <w:tblPrEx>
          <w:tblCellMar>
            <w:top w:w="0" w:type="dxa"/>
            <w:left w:w="108" w:type="dxa"/>
            <w:bottom w:w="0" w:type="dxa"/>
            <w:right w:w="108" w:type="dxa"/>
          </w:tblCellMar>
        </w:tblPrEx>
        <w:trPr>
          <w:trHeight w:val="755" w:hRule="atLeast"/>
        </w:trPr>
        <w:tc>
          <w:tcPr>
            <w:tcW w:w="699" w:type="dxa"/>
            <w:vMerge w:val="restart"/>
            <w:tcBorders>
              <w:top w:val="single" w:color="000000" w:sz="4" w:space="0"/>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商务部分评分（45分）</w:t>
            </w:r>
          </w:p>
        </w:tc>
        <w:tc>
          <w:tcPr>
            <w:tcW w:w="527" w:type="dxa"/>
            <w:tcBorders>
              <w:top w:val="single" w:color="000000" w:sz="4" w:space="0"/>
              <w:left w:val="single" w:color="000000"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10</w:t>
            </w:r>
          </w:p>
        </w:tc>
        <w:tc>
          <w:tcPr>
            <w:tcW w:w="1163" w:type="dxa"/>
            <w:tcBorders>
              <w:top w:val="single" w:color="000000"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业绩</w:t>
            </w:r>
          </w:p>
        </w:tc>
        <w:tc>
          <w:tcPr>
            <w:tcW w:w="633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培训机构在近三年开展技能培训的案例，每提供1个成功案例得2.5分，最高得10分。（提供中标通知书及合同协议书）</w:t>
            </w:r>
          </w:p>
        </w:tc>
      </w:tr>
      <w:tr>
        <w:tblPrEx>
          <w:tblCellMar>
            <w:top w:w="0" w:type="dxa"/>
            <w:left w:w="108" w:type="dxa"/>
            <w:bottom w:w="0" w:type="dxa"/>
            <w:right w:w="108" w:type="dxa"/>
          </w:tblCellMar>
        </w:tblPrEx>
        <w:trPr>
          <w:trHeight w:val="1222" w:hRule="atLeast"/>
        </w:trPr>
        <w:tc>
          <w:tcPr>
            <w:tcW w:w="699"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000000" w:sz="4" w:space="0"/>
              <w:left w:val="single" w:color="000000"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15</w:t>
            </w:r>
          </w:p>
        </w:tc>
        <w:tc>
          <w:tcPr>
            <w:tcW w:w="1163" w:type="dxa"/>
            <w:tcBorders>
              <w:top w:val="single" w:color="000000"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培训投入</w:t>
            </w:r>
          </w:p>
        </w:tc>
        <w:tc>
          <w:tcPr>
            <w:tcW w:w="633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对能满足招标计划工种培训所需教材、教具（各投标单位横向比较，附教材、教具清单及金额），完善得7-10分，合理得4-6分，一般得1-3分。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2、具有本地教学实训基地，附相关证明材料或合作协议及有关设施图片资料。提供一个得2.5分，最高得5分。</w:t>
            </w:r>
          </w:p>
        </w:tc>
      </w:tr>
      <w:tr>
        <w:tblPrEx>
          <w:tblCellMar>
            <w:top w:w="0" w:type="dxa"/>
            <w:left w:w="108" w:type="dxa"/>
            <w:bottom w:w="0" w:type="dxa"/>
            <w:right w:w="108" w:type="dxa"/>
          </w:tblCellMar>
        </w:tblPrEx>
        <w:trPr>
          <w:trHeight w:val="775" w:hRule="atLeast"/>
        </w:trPr>
        <w:tc>
          <w:tcPr>
            <w:tcW w:w="699"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000000" w:sz="4" w:space="0"/>
              <w:left w:val="single" w:color="000000"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5</w:t>
            </w:r>
          </w:p>
        </w:tc>
        <w:tc>
          <w:tcPr>
            <w:tcW w:w="1163" w:type="dxa"/>
            <w:tcBorders>
              <w:top w:val="single" w:color="000000"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eastAsia="zh-CN"/>
              </w:rPr>
              <w:t>培训机构实力</w:t>
            </w:r>
          </w:p>
        </w:tc>
        <w:tc>
          <w:tcPr>
            <w:tcW w:w="633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投标培训机构为自治区农业农村厅2022年审定的70家高素质农民培训机构或实训基地的得5分，不是不得分。（提供佐证材料）。</w:t>
            </w:r>
          </w:p>
        </w:tc>
      </w:tr>
      <w:tr>
        <w:tblPrEx>
          <w:tblCellMar>
            <w:top w:w="0" w:type="dxa"/>
            <w:left w:w="108" w:type="dxa"/>
            <w:bottom w:w="0" w:type="dxa"/>
            <w:right w:w="108" w:type="dxa"/>
          </w:tblCellMar>
        </w:tblPrEx>
        <w:trPr>
          <w:trHeight w:val="291" w:hRule="atLeast"/>
        </w:trPr>
        <w:tc>
          <w:tcPr>
            <w:tcW w:w="699"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auto" w:sz="4" w:space="0"/>
              <w:left w:val="single" w:color="000000"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15</w:t>
            </w:r>
          </w:p>
        </w:tc>
        <w:tc>
          <w:tcPr>
            <w:tcW w:w="1163"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师资条件</w:t>
            </w:r>
          </w:p>
        </w:tc>
        <w:tc>
          <w:tcPr>
            <w:tcW w:w="6330" w:type="dxa"/>
            <w:tcBorders>
              <w:top w:val="single" w:color="auto"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针对本项目，每提供一名中级（或以上）职称专业培训人员的得1分，最高得15分。（需配备从事农业、畜牧等专业培训教师。）</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1、农艺工、畜牧业高级职称8（含8）人以上得5分；8人以下得3分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2、创业培训专业8（含5）人以上得5分；8人以下得3分。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3、畜牧业、农、林业中级职称8（含8）人以上得5分；8人以下得3分。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说明：专业培训人员需附人员证书及在本单位缴纳社保证明（或聘用证明），如不提供或提供不完整者不予计算。</w:t>
            </w:r>
          </w:p>
        </w:tc>
      </w:tr>
      <w:tr>
        <w:tblPrEx>
          <w:tblCellMar>
            <w:top w:w="0" w:type="dxa"/>
            <w:left w:w="108" w:type="dxa"/>
            <w:bottom w:w="0" w:type="dxa"/>
            <w:right w:w="108" w:type="dxa"/>
          </w:tblCellMar>
        </w:tblPrEx>
        <w:trPr>
          <w:trHeight w:val="614" w:hRule="atLeast"/>
        </w:trPr>
        <w:tc>
          <w:tcPr>
            <w:tcW w:w="699" w:type="dxa"/>
            <w:vMerge w:val="restart"/>
            <w:tcBorders>
              <w:top w:val="single" w:color="000000" w:sz="4" w:space="0"/>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技术部分评分（45分）</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15</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拟投入本项目的管理团队情况</w:t>
            </w:r>
          </w:p>
          <w:p>
            <w:pPr>
              <w:widowControl/>
              <w:jc w:val="left"/>
              <w:rPr>
                <w:rFonts w:hint="eastAsia" w:ascii="宋体" w:hAnsi="宋体" w:eastAsia="宋体" w:cs="宋体"/>
                <w:b/>
                <w:bCs/>
                <w:color w:val="auto"/>
                <w:kern w:val="0"/>
                <w:sz w:val="24"/>
                <w:szCs w:val="24"/>
                <w:shd w:val="clear" w:color="auto" w:fill="auto"/>
                <w:lang w:val="en-US" w:eastAsia="zh-CN"/>
              </w:rPr>
            </w:pP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1、项目负责人：项目负责人应具有丰富的实践经验和组织管理能力；</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架构合理、分工明确、经验丰富（附：负责人履历表和专业人员人员配置表、工作明细表）得5分；稍有欠缺得3分；欠缺较多得1分；否则得0分。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从事本行业5年（含）以上，负责过同类项目具有5（含）个同类业绩得5分。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从事本行业3（含）年以上5年以下，负责过同类项目具有3（含）个同类业绩得3分。否则不得分。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2、项目组组成人员：项目组的人员构成合理，项目经验丰富，有利于项目的执行，是一支具有与业性、科学性、可靠性的执行团队。</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项目团队配置合理、科学性强、专业性强、团队经验丰富人员；</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针对本项目专业人员配置8（含）人以上得5分；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针对本项目专业人员配置5（含）人以上8人以下得2分；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针对本项目专业人员配置5人以下得1分。否则不得分；</w:t>
            </w: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需提供近三个月社保交纳证明文件，无提供不得分）</w:t>
            </w:r>
          </w:p>
        </w:tc>
      </w:tr>
      <w:tr>
        <w:tblPrEx>
          <w:tblCellMar>
            <w:top w:w="0" w:type="dxa"/>
            <w:left w:w="108" w:type="dxa"/>
            <w:bottom w:w="0" w:type="dxa"/>
            <w:right w:w="108" w:type="dxa"/>
          </w:tblCellMar>
        </w:tblPrEx>
        <w:trPr>
          <w:trHeight w:val="1220" w:hRule="atLeast"/>
        </w:trPr>
        <w:tc>
          <w:tcPr>
            <w:tcW w:w="699"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培训方案</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根据本项目服务要求，制定相应培训方案，包括培训课程安排、教学模式、培训资料准备、后期达标测试安排、培训过程中应急（突发事件）处置方案、优惠服务方案、优势服务、后续跟踪服务等。培训方案内容全面、科学、合理、切实可行，对本项目理解准确，以上要点阐述明确且恰当，每项2，其计20分。</w:t>
            </w:r>
          </w:p>
        </w:tc>
      </w:tr>
      <w:tr>
        <w:tblPrEx>
          <w:tblCellMar>
            <w:top w:w="0" w:type="dxa"/>
            <w:left w:w="108" w:type="dxa"/>
            <w:bottom w:w="0" w:type="dxa"/>
            <w:right w:w="108" w:type="dxa"/>
          </w:tblCellMar>
        </w:tblPrEx>
        <w:trPr>
          <w:trHeight w:val="988" w:hRule="atLeast"/>
        </w:trPr>
        <w:tc>
          <w:tcPr>
            <w:tcW w:w="699" w:type="dxa"/>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8</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服务质量保障措施</w:t>
            </w:r>
          </w:p>
          <w:p>
            <w:pPr>
              <w:widowControl/>
              <w:jc w:val="left"/>
              <w:rPr>
                <w:rFonts w:hint="eastAsia" w:ascii="宋体" w:hAnsi="宋体" w:eastAsia="宋体" w:cs="宋体"/>
                <w:b/>
                <w:bCs/>
                <w:color w:val="auto"/>
                <w:kern w:val="0"/>
                <w:sz w:val="24"/>
                <w:szCs w:val="24"/>
                <w:shd w:val="clear" w:color="auto" w:fill="auto"/>
                <w:lang w:val="en-US" w:eastAsia="zh-CN"/>
              </w:rPr>
            </w:pP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服务质量保障措施，包括人员素质保障措施、师资力量保障措施、方案执行保障措施、本地化服务能力相应服务承诺等。措施内容全面得8分，每缺少一项内容扣2分。</w:t>
            </w:r>
          </w:p>
        </w:tc>
      </w:tr>
      <w:tr>
        <w:tblPrEx>
          <w:tblCellMar>
            <w:top w:w="0" w:type="dxa"/>
            <w:left w:w="108" w:type="dxa"/>
            <w:bottom w:w="0" w:type="dxa"/>
            <w:right w:w="108" w:type="dxa"/>
          </w:tblCellMar>
        </w:tblPrEx>
        <w:trPr>
          <w:trHeight w:val="727" w:hRule="atLeast"/>
        </w:trPr>
        <w:tc>
          <w:tcPr>
            <w:tcW w:w="699" w:type="dxa"/>
            <w:tcBorders>
              <w:left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投标文件制作</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根据投标文件制作、格式、印刷、页码、清晰度等情况综合评定1-2分。</w:t>
            </w:r>
          </w:p>
        </w:tc>
      </w:tr>
    </w:tbl>
    <w:p>
      <w:pPr>
        <w:widowControl/>
        <w:jc w:val="left"/>
        <w:rPr>
          <w:rFonts w:hint="eastAsia" w:ascii="宋体" w:hAnsi="宋体" w:eastAsia="宋体" w:cs="宋体"/>
          <w:b/>
          <w:bCs/>
          <w:color w:val="auto"/>
          <w:kern w:val="0"/>
          <w:sz w:val="24"/>
          <w:szCs w:val="24"/>
          <w:shd w:val="clear" w:color="auto" w:fill="auto"/>
          <w:lang w:eastAsia="zh-CN"/>
        </w:rPr>
      </w:pPr>
    </w:p>
    <w:p>
      <w:pPr>
        <w:widowControl/>
        <w:jc w:val="left"/>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注：根据《政府采购促进中小企业发展管理办法》（财库[2020]46号）、</w:t>
      </w:r>
    </w:p>
    <w:p>
      <w:pPr>
        <w:widowControl/>
        <w:jc w:val="left"/>
        <w:rPr>
          <w:rFonts w:hint="eastAsia" w:ascii="宋体" w:hAnsi="宋体" w:eastAsia="宋体" w:cs="宋体"/>
          <w:b/>
          <w:color w:val="auto"/>
          <w:sz w:val="48"/>
          <w:szCs w:val="48"/>
          <w:shd w:val="clear" w:color="auto" w:fill="auto"/>
        </w:rPr>
      </w:pPr>
      <w:r>
        <w:rPr>
          <w:rFonts w:hint="eastAsia" w:ascii="宋体" w:hAnsi="宋体" w:eastAsia="宋体" w:cs="宋体"/>
          <w:b/>
          <w:bCs/>
          <w:color w:val="auto"/>
          <w:kern w:val="0"/>
          <w:sz w:val="24"/>
          <w:szCs w:val="24"/>
          <w:shd w:val="clear" w:color="auto" w:fill="auto"/>
          <w:lang w:val="en-US" w:eastAsia="zh-CN"/>
        </w:rPr>
        <w:t>《财政部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或省级以上监狱管理局、戒毒管理局（含新疆生产建设兵团）出具的属于监狱企业的证明文件的供应商，其磋商报价扣除10%后参与评审。</w:t>
      </w:r>
    </w:p>
    <w:p>
      <w:pPr>
        <w:pStyle w:val="10"/>
        <w:rPr>
          <w:rFonts w:hint="eastAsia" w:ascii="宋体" w:hAnsi="宋体" w:eastAsia="宋体" w:cs="宋体"/>
          <w:b/>
          <w:color w:val="auto"/>
          <w:sz w:val="48"/>
          <w:szCs w:val="48"/>
          <w:shd w:val="clear" w:color="auto" w:fill="auto"/>
        </w:rPr>
      </w:pPr>
    </w:p>
    <w:p>
      <w:pPr>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pStyle w:val="2"/>
        <w:rPr>
          <w:rFonts w:hint="eastAsia" w:ascii="宋体" w:hAnsi="宋体" w:eastAsia="宋体" w:cs="宋体"/>
          <w:b/>
          <w:color w:val="auto"/>
          <w:sz w:val="48"/>
          <w:szCs w:val="48"/>
          <w:shd w:val="clear" w:color="auto" w:fill="auto"/>
        </w:rPr>
      </w:pPr>
    </w:p>
    <w:p>
      <w:pPr>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snapToGrid w:val="0"/>
        <w:spacing w:line="240" w:lineRule="atLeast"/>
        <w:jc w:val="center"/>
        <w:textAlignment w:val="baseline"/>
        <w:rPr>
          <w:rFonts w:hint="eastAsia" w:ascii="宋体" w:hAnsi="宋体" w:eastAsia="宋体" w:cs="宋体"/>
          <w:b/>
          <w:color w:val="auto"/>
          <w:sz w:val="48"/>
          <w:szCs w:val="48"/>
          <w:shd w:val="clear" w:color="auto" w:fill="auto"/>
        </w:rPr>
      </w:pPr>
      <w:r>
        <w:rPr>
          <w:rFonts w:hint="eastAsia" w:ascii="宋体" w:hAnsi="宋体" w:eastAsia="宋体" w:cs="宋体"/>
          <w:b/>
          <w:color w:val="auto"/>
          <w:sz w:val="48"/>
          <w:szCs w:val="48"/>
          <w:shd w:val="clear" w:color="auto" w:fill="auto"/>
        </w:rPr>
        <w:t>竞争性磋商文件</w:t>
      </w:r>
    </w:p>
    <w:p>
      <w:pPr>
        <w:snapToGrid w:val="0"/>
        <w:spacing w:line="240" w:lineRule="atLeast"/>
        <w:ind w:left="1080" w:leftChars="257" w:hanging="540"/>
        <w:jc w:val="center"/>
        <w:textAlignment w:val="baseline"/>
        <w:rPr>
          <w:rFonts w:hint="eastAsia" w:ascii="宋体" w:hAnsi="宋体" w:eastAsia="宋体" w:cs="宋体"/>
          <w:b/>
          <w:color w:val="auto"/>
          <w:sz w:val="48"/>
          <w:szCs w:val="48"/>
          <w:shd w:val="clear" w:color="auto" w:fill="auto"/>
        </w:rPr>
      </w:pPr>
    </w:p>
    <w:p>
      <w:pPr>
        <w:snapToGrid w:val="0"/>
        <w:spacing w:line="240" w:lineRule="atLeast"/>
        <w:ind w:left="1080" w:leftChars="257" w:hanging="540"/>
        <w:jc w:val="center"/>
        <w:textAlignment w:val="baseline"/>
        <w:rPr>
          <w:rFonts w:hint="eastAsia" w:ascii="宋体" w:hAnsi="宋体" w:eastAsia="宋体" w:cs="宋体"/>
          <w:b/>
          <w:color w:val="auto"/>
          <w:sz w:val="48"/>
          <w:szCs w:val="48"/>
          <w:shd w:val="clear" w:color="auto" w:fill="auto"/>
        </w:rPr>
      </w:pPr>
    </w:p>
    <w:p>
      <w:pPr>
        <w:snapToGrid w:val="0"/>
        <w:spacing w:line="240" w:lineRule="atLeast"/>
        <w:ind w:left="1080" w:leftChars="257" w:hanging="540"/>
        <w:jc w:val="both"/>
        <w:textAlignment w:val="baseline"/>
        <w:rPr>
          <w:rFonts w:hint="eastAsia" w:ascii="宋体" w:hAnsi="宋体" w:eastAsia="宋体" w:cs="宋体"/>
          <w:b w:val="0"/>
          <w:bCs/>
          <w:color w:val="auto"/>
          <w:sz w:val="36"/>
          <w:szCs w:val="36"/>
          <w:shd w:val="clear" w:color="auto" w:fill="auto"/>
        </w:rPr>
      </w:pPr>
      <w:r>
        <w:rPr>
          <w:rFonts w:hint="eastAsia" w:ascii="宋体" w:hAnsi="宋体" w:eastAsia="宋体" w:cs="宋体"/>
          <w:b w:val="0"/>
          <w:bCs/>
          <w:color w:val="auto"/>
          <w:sz w:val="36"/>
          <w:szCs w:val="36"/>
          <w:shd w:val="clear" w:color="auto" w:fill="auto"/>
        </w:rPr>
        <w:t>项目编号：</w:t>
      </w:r>
      <w:r>
        <w:rPr>
          <w:rFonts w:hint="eastAsia" w:ascii="宋体" w:hAnsi="宋体" w:eastAsia="宋体" w:cs="宋体"/>
          <w:b w:val="0"/>
          <w:bCs/>
          <w:color w:val="auto"/>
          <w:sz w:val="36"/>
          <w:szCs w:val="36"/>
          <w:shd w:val="clear" w:color="auto" w:fill="auto"/>
          <w:lang w:eastAsia="zh-CN"/>
        </w:rPr>
        <w:t xml:space="preserve">TZDYCCG-（CS）-2022-10号 </w:t>
      </w:r>
    </w:p>
    <w:p>
      <w:pPr>
        <w:snapToGrid w:val="0"/>
        <w:spacing w:line="240" w:lineRule="atLeast"/>
        <w:textAlignment w:val="baseline"/>
        <w:rPr>
          <w:rFonts w:hint="eastAsia" w:ascii="宋体" w:hAnsi="宋体" w:eastAsia="宋体" w:cs="宋体"/>
          <w:b/>
          <w:color w:val="auto"/>
          <w:sz w:val="28"/>
          <w:shd w:val="clear" w:color="auto" w:fill="auto"/>
        </w:rPr>
      </w:pPr>
    </w:p>
    <w:p>
      <w:pPr>
        <w:snapToGrid w:val="0"/>
        <w:spacing w:line="240" w:lineRule="atLeast"/>
        <w:jc w:val="center"/>
        <w:textAlignment w:val="baseline"/>
        <w:rPr>
          <w:rFonts w:hint="eastAsia" w:ascii="宋体" w:hAnsi="宋体" w:eastAsia="宋体" w:cs="宋体"/>
          <w:b/>
          <w:color w:val="auto"/>
          <w:sz w:val="48"/>
          <w:szCs w:val="48"/>
          <w:shd w:val="clear" w:color="auto" w:fill="auto"/>
        </w:rPr>
      </w:pPr>
    </w:p>
    <w:p>
      <w:pPr>
        <w:snapToGrid w:val="0"/>
        <w:spacing w:line="240" w:lineRule="atLeast"/>
        <w:jc w:val="center"/>
        <w:textAlignment w:val="baseline"/>
        <w:rPr>
          <w:rFonts w:hint="eastAsia" w:ascii="宋体" w:hAnsi="宋体" w:eastAsia="宋体" w:cs="宋体"/>
          <w:b/>
          <w:color w:val="auto"/>
          <w:sz w:val="48"/>
          <w:szCs w:val="48"/>
          <w:shd w:val="clear" w:color="auto" w:fill="auto"/>
        </w:rPr>
      </w:pPr>
    </w:p>
    <w:p>
      <w:pPr>
        <w:snapToGrid w:val="0"/>
        <w:spacing w:line="240" w:lineRule="atLeast"/>
        <w:jc w:val="center"/>
        <w:textAlignment w:val="baseline"/>
        <w:rPr>
          <w:rFonts w:hint="eastAsia" w:ascii="宋体" w:hAnsi="宋体" w:eastAsia="宋体" w:cs="宋体"/>
          <w:b/>
          <w:color w:val="auto"/>
          <w:sz w:val="48"/>
          <w:szCs w:val="48"/>
          <w:shd w:val="clear" w:color="auto" w:fill="auto"/>
        </w:rPr>
      </w:pPr>
      <w:r>
        <w:rPr>
          <w:rFonts w:hint="eastAsia" w:ascii="宋体" w:hAnsi="宋体" w:eastAsia="宋体" w:cs="宋体"/>
          <w:b/>
          <w:color w:val="auto"/>
          <w:sz w:val="48"/>
          <w:szCs w:val="48"/>
          <w:shd w:val="clear" w:color="auto" w:fill="auto"/>
        </w:rPr>
        <w:t>第三册</w:t>
      </w:r>
    </w:p>
    <w:p>
      <w:pPr>
        <w:pStyle w:val="34"/>
        <w:ind w:firstLine="960"/>
        <w:rPr>
          <w:rFonts w:hint="eastAsia" w:ascii="宋体" w:hAnsi="宋体" w:eastAsia="宋体" w:cs="宋体"/>
          <w:b/>
          <w:color w:val="auto"/>
          <w:sz w:val="48"/>
          <w:szCs w:val="48"/>
          <w:shd w:val="clear" w:color="auto" w:fill="auto"/>
        </w:rPr>
      </w:pPr>
    </w:p>
    <w:p>
      <w:pPr>
        <w:pStyle w:val="34"/>
        <w:ind w:firstLine="960"/>
        <w:rPr>
          <w:rFonts w:hint="eastAsia" w:ascii="宋体" w:hAnsi="宋体" w:eastAsia="宋体" w:cs="宋体"/>
          <w:b/>
          <w:color w:val="auto"/>
          <w:sz w:val="48"/>
          <w:szCs w:val="48"/>
          <w:shd w:val="clear" w:color="auto" w:fill="auto"/>
        </w:rPr>
      </w:pPr>
    </w:p>
    <w:p>
      <w:pPr>
        <w:pStyle w:val="34"/>
        <w:ind w:firstLine="960"/>
        <w:rPr>
          <w:rFonts w:hint="eastAsia" w:ascii="宋体" w:hAnsi="宋体" w:eastAsia="宋体" w:cs="宋体"/>
          <w:b/>
          <w:color w:val="auto"/>
          <w:sz w:val="48"/>
          <w:szCs w:val="48"/>
          <w:shd w:val="clear" w:color="auto" w:fill="auto"/>
        </w:rPr>
      </w:pPr>
    </w:p>
    <w:p>
      <w:pPr>
        <w:pStyle w:val="34"/>
        <w:ind w:firstLine="960"/>
        <w:rPr>
          <w:rFonts w:hint="eastAsia" w:ascii="宋体" w:hAnsi="宋体" w:eastAsia="宋体" w:cs="宋体"/>
          <w:b/>
          <w:color w:val="auto"/>
          <w:sz w:val="48"/>
          <w:szCs w:val="48"/>
          <w:shd w:val="clear" w:color="auto" w:fill="auto"/>
        </w:rPr>
      </w:pPr>
    </w:p>
    <w:bookmarkEnd w:id="851"/>
    <w:p>
      <w:pPr>
        <w:pStyle w:val="5"/>
        <w:ind w:firstLine="0"/>
        <w:rPr>
          <w:rFonts w:hint="eastAsia" w:ascii="宋体" w:hAnsi="宋体" w:eastAsia="宋体" w:cs="宋体"/>
          <w:color w:val="auto"/>
          <w:shd w:val="clear" w:color="auto" w:fill="auto"/>
        </w:rPr>
      </w:pPr>
      <w:bookmarkStart w:id="865" w:name="_Toc5754"/>
      <w:bookmarkStart w:id="866" w:name="_Toc514"/>
    </w:p>
    <w:p>
      <w:pPr>
        <w:pStyle w:val="3"/>
        <w:tabs>
          <w:tab w:val="left" w:pos="0"/>
        </w:tabs>
        <w:spacing w:before="0" w:after="0" w:line="400" w:lineRule="exact"/>
        <w:rPr>
          <w:rFonts w:hint="eastAsia" w:ascii="宋体" w:hAnsi="宋体" w:eastAsia="宋体" w:cs="宋体"/>
          <w:color w:val="auto"/>
          <w:shd w:val="clear" w:color="auto" w:fill="auto"/>
        </w:rPr>
      </w:pPr>
      <w:bookmarkStart w:id="867" w:name="_Toc25581"/>
    </w:p>
    <w:p>
      <w:pPr>
        <w:pStyle w:val="3"/>
        <w:tabs>
          <w:tab w:val="left" w:pos="0"/>
        </w:tabs>
        <w:spacing w:before="0" w:after="0" w:line="400" w:lineRule="exact"/>
        <w:rPr>
          <w:rFonts w:hint="eastAsia" w:ascii="宋体" w:hAnsi="宋体" w:eastAsia="宋体" w:cs="宋体"/>
          <w:color w:val="auto"/>
          <w:shd w:val="clear" w:color="auto" w:fill="auto"/>
        </w:rPr>
      </w:pPr>
    </w:p>
    <w:p>
      <w:pPr>
        <w:pStyle w:val="3"/>
        <w:tabs>
          <w:tab w:val="left" w:pos="0"/>
        </w:tabs>
        <w:spacing w:before="0" w:after="0" w:line="400" w:lineRule="exact"/>
        <w:rPr>
          <w:rFonts w:hint="eastAsia" w:ascii="宋体" w:hAnsi="宋体" w:eastAsia="宋体" w:cs="宋体"/>
          <w:color w:val="auto"/>
          <w:shd w:val="clear" w:color="auto" w:fill="auto"/>
        </w:rPr>
      </w:pPr>
    </w:p>
    <w:p>
      <w:pPr>
        <w:pStyle w:val="3"/>
        <w:tabs>
          <w:tab w:val="left" w:pos="0"/>
        </w:tabs>
        <w:spacing w:before="0" w:after="0" w:line="400" w:lineRule="exact"/>
        <w:rPr>
          <w:rFonts w:hint="eastAsia" w:ascii="宋体" w:hAnsi="宋体" w:eastAsia="宋体" w:cs="宋体"/>
          <w:color w:val="auto"/>
          <w:shd w:val="clear" w:color="auto" w:fill="auto"/>
        </w:rPr>
      </w:pPr>
    </w:p>
    <w:p>
      <w:pPr>
        <w:pStyle w:val="3"/>
        <w:tabs>
          <w:tab w:val="left" w:pos="0"/>
        </w:tabs>
        <w:spacing w:before="0" w:after="0" w:line="400" w:lineRule="exact"/>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2"/>
        <w:rPr>
          <w:rFonts w:hint="eastAsia" w:ascii="宋体" w:hAnsi="宋体" w:eastAsia="宋体" w:cs="宋体"/>
          <w:color w:val="auto"/>
          <w:shd w:val="clear" w:color="auto" w:fill="auto"/>
        </w:rPr>
      </w:pPr>
    </w:p>
    <w:p>
      <w:pPr>
        <w:pStyle w:val="3"/>
        <w:tabs>
          <w:tab w:val="left" w:pos="0"/>
        </w:tabs>
        <w:spacing w:before="0" w:after="0" w:line="400" w:lineRule="exact"/>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第7章  政府采购合同</w:t>
      </w:r>
      <w:bookmarkEnd w:id="865"/>
      <w:bookmarkEnd w:id="866"/>
      <w:bookmarkEnd w:id="867"/>
    </w:p>
    <w:p>
      <w:pPr>
        <w:rPr>
          <w:rFonts w:hint="eastAsia" w:ascii="宋体" w:hAnsi="宋体" w:eastAsia="宋体" w:cs="宋体"/>
          <w:color w:val="auto"/>
          <w:sz w:val="24"/>
          <w:shd w:val="clear" w:color="auto" w:fill="auto"/>
        </w:rPr>
      </w:pPr>
    </w:p>
    <w:p>
      <w:pPr>
        <w:spacing w:line="400" w:lineRule="exact"/>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合同编号：</w:t>
      </w:r>
      <w:r>
        <w:rPr>
          <w:rFonts w:hint="eastAsia" w:ascii="宋体" w:hAnsi="宋体" w:eastAsia="宋体" w:cs="宋体"/>
          <w:color w:val="auto"/>
          <w:sz w:val="24"/>
          <w:u w:val="single"/>
          <w:shd w:val="clear" w:color="auto" w:fill="auto"/>
        </w:rPr>
        <w:t xml:space="preserve">           </w:t>
      </w:r>
    </w:p>
    <w:p>
      <w:pPr>
        <w:spacing w:line="400" w:lineRule="exact"/>
        <w:jc w:val="center"/>
        <w:rPr>
          <w:rFonts w:hint="eastAsia" w:ascii="宋体" w:hAnsi="宋体" w:eastAsia="宋体" w:cs="宋体"/>
          <w:b/>
          <w:color w:val="auto"/>
          <w:sz w:val="28"/>
          <w:szCs w:val="28"/>
          <w:shd w:val="clear" w:color="auto" w:fill="auto"/>
        </w:rPr>
      </w:pPr>
    </w:p>
    <w:p>
      <w:pPr>
        <w:spacing w:line="400" w:lineRule="exact"/>
        <w:jc w:val="center"/>
        <w:rPr>
          <w:rFonts w:hint="eastAsia" w:ascii="宋体" w:hAnsi="宋体" w:eastAsia="宋体" w:cs="宋体"/>
          <w:b/>
          <w:color w:val="auto"/>
          <w:sz w:val="28"/>
          <w:szCs w:val="28"/>
          <w:shd w:val="clear" w:color="auto" w:fill="auto"/>
        </w:rPr>
      </w:pPr>
    </w:p>
    <w:p>
      <w:pPr>
        <w:spacing w:line="500" w:lineRule="exact"/>
        <w:jc w:val="center"/>
        <w:rPr>
          <w:rFonts w:hint="eastAsia" w:ascii="宋体" w:hAnsi="宋体" w:eastAsia="宋体" w:cs="宋体"/>
          <w:b/>
          <w:color w:val="auto"/>
          <w:sz w:val="28"/>
          <w:szCs w:val="28"/>
          <w:shd w:val="clear" w:color="auto" w:fill="auto"/>
        </w:rPr>
      </w:pPr>
    </w:p>
    <w:p>
      <w:pPr>
        <w:spacing w:line="500" w:lineRule="exact"/>
        <w:jc w:val="center"/>
        <w:rPr>
          <w:rFonts w:hint="eastAsia" w:ascii="宋体" w:hAnsi="宋体" w:eastAsia="宋体" w:cs="宋体"/>
          <w:b/>
          <w:color w:val="auto"/>
          <w:sz w:val="44"/>
          <w:szCs w:val="44"/>
          <w:shd w:val="clear" w:color="auto" w:fill="auto"/>
        </w:rPr>
      </w:pPr>
      <w:r>
        <w:rPr>
          <w:rFonts w:hint="eastAsia" w:ascii="宋体" w:hAnsi="宋体" w:eastAsia="宋体" w:cs="宋体"/>
          <w:b/>
          <w:color w:val="auto"/>
          <w:sz w:val="44"/>
          <w:szCs w:val="44"/>
          <w:shd w:val="clear" w:color="auto" w:fill="auto"/>
        </w:rPr>
        <w:t>政府采购合同参考范本</w:t>
      </w:r>
    </w:p>
    <w:p>
      <w:pPr>
        <w:spacing w:line="500" w:lineRule="exact"/>
        <w:jc w:val="center"/>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（服务类）</w:t>
      </w:r>
    </w:p>
    <w:p>
      <w:pPr>
        <w:pStyle w:val="55"/>
        <w:spacing w:line="400" w:lineRule="exact"/>
        <w:ind w:firstLine="0"/>
        <w:rPr>
          <w:rFonts w:hint="eastAsia" w:ascii="宋体" w:hAnsi="宋体" w:eastAsia="宋体" w:cs="宋体"/>
          <w:color w:val="auto"/>
          <w:szCs w:val="24"/>
          <w:shd w:val="clear" w:color="auto" w:fill="auto"/>
        </w:rPr>
      </w:pPr>
    </w:p>
    <w:p>
      <w:pPr>
        <w:pStyle w:val="55"/>
        <w:spacing w:line="400" w:lineRule="exact"/>
        <w:ind w:firstLine="0"/>
        <w:rPr>
          <w:rFonts w:hint="eastAsia" w:ascii="宋体" w:hAnsi="宋体" w:eastAsia="宋体" w:cs="宋体"/>
          <w:color w:val="auto"/>
          <w:szCs w:val="24"/>
          <w:shd w:val="clear" w:color="auto" w:fill="auto"/>
        </w:rPr>
      </w:pPr>
    </w:p>
    <w:p>
      <w:pPr>
        <w:pStyle w:val="55"/>
        <w:spacing w:line="400" w:lineRule="exact"/>
        <w:ind w:firstLine="0"/>
        <w:rPr>
          <w:rFonts w:hint="eastAsia" w:ascii="宋体" w:hAnsi="宋体" w:eastAsia="宋体" w:cs="宋体"/>
          <w:color w:val="auto"/>
          <w:szCs w:val="24"/>
          <w:shd w:val="clear" w:color="auto" w:fill="auto"/>
        </w:rPr>
      </w:pPr>
    </w:p>
    <w:p>
      <w:pPr>
        <w:pStyle w:val="55"/>
        <w:spacing w:line="400" w:lineRule="exact"/>
        <w:ind w:firstLine="0"/>
        <w:jc w:val="center"/>
        <w:rPr>
          <w:rFonts w:hint="eastAsia" w:ascii="宋体" w:hAnsi="宋体" w:eastAsia="宋体" w:cs="宋体"/>
          <w:b/>
          <w:color w:val="auto"/>
          <w:szCs w:val="24"/>
          <w:shd w:val="clear" w:color="auto" w:fill="auto"/>
        </w:rPr>
      </w:pPr>
      <w:r>
        <w:rPr>
          <w:rFonts w:hint="eastAsia" w:ascii="宋体" w:hAnsi="宋体" w:eastAsia="宋体" w:cs="宋体"/>
          <w:b/>
          <w:color w:val="auto"/>
          <w:szCs w:val="24"/>
          <w:shd w:val="clear" w:color="auto" w:fill="auto"/>
        </w:rPr>
        <w:t>第一部分 合同书</w:t>
      </w:r>
    </w:p>
    <w:p>
      <w:pPr>
        <w:pStyle w:val="55"/>
        <w:spacing w:line="400" w:lineRule="exact"/>
        <w:ind w:firstLine="0"/>
        <w:rPr>
          <w:rFonts w:hint="eastAsia" w:ascii="宋体" w:hAnsi="宋体" w:eastAsia="宋体" w:cs="宋体"/>
          <w:color w:val="auto"/>
          <w:szCs w:val="24"/>
          <w:shd w:val="clear" w:color="auto" w:fill="auto"/>
        </w:rPr>
      </w:pPr>
    </w:p>
    <w:p>
      <w:pPr>
        <w:pStyle w:val="55"/>
        <w:spacing w:line="400" w:lineRule="exact"/>
        <w:ind w:firstLine="0"/>
        <w:rPr>
          <w:rFonts w:hint="eastAsia" w:ascii="宋体" w:hAnsi="宋体" w:eastAsia="宋体" w:cs="宋体"/>
          <w:color w:val="auto"/>
          <w:szCs w:val="24"/>
          <w:shd w:val="clear" w:color="auto" w:fill="auto"/>
        </w:rPr>
      </w:pPr>
    </w:p>
    <w:p>
      <w:pPr>
        <w:spacing w:before="120" w:line="400" w:lineRule="exact"/>
        <w:rPr>
          <w:rFonts w:hint="eastAsia" w:ascii="宋体" w:hAnsi="宋体" w:eastAsia="宋体" w:cs="宋体"/>
          <w:color w:val="auto"/>
          <w:sz w:val="24"/>
          <w:shd w:val="clear" w:color="auto" w:fill="auto"/>
        </w:rPr>
      </w:pPr>
    </w:p>
    <w:p>
      <w:pPr>
        <w:spacing w:before="120" w:line="400" w:lineRule="exact"/>
        <w:ind w:left="96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项目名称：</w:t>
      </w:r>
      <w:r>
        <w:rPr>
          <w:rFonts w:hint="eastAsia" w:ascii="宋体" w:hAnsi="宋体" w:eastAsia="宋体" w:cs="宋体"/>
          <w:color w:val="auto"/>
          <w:sz w:val="24"/>
          <w:u w:val="single"/>
          <w:shd w:val="clear" w:color="auto" w:fill="auto"/>
        </w:rPr>
        <w:t xml:space="preserve">                                   </w:t>
      </w:r>
    </w:p>
    <w:p>
      <w:pPr>
        <w:pStyle w:val="43"/>
        <w:spacing w:before="120" w:line="400" w:lineRule="exact"/>
        <w:rPr>
          <w:rFonts w:hint="eastAsia" w:ascii="宋体" w:hAnsi="宋体" w:eastAsia="宋体" w:cs="宋体"/>
          <w:color w:val="auto"/>
          <w:szCs w:val="24"/>
          <w:shd w:val="clear" w:color="auto" w:fill="auto"/>
        </w:rPr>
      </w:pPr>
    </w:p>
    <w:p>
      <w:pPr>
        <w:spacing w:line="400" w:lineRule="exact"/>
        <w:rPr>
          <w:rFonts w:hint="eastAsia" w:ascii="宋体" w:hAnsi="宋体" w:eastAsia="宋体" w:cs="宋体"/>
          <w:color w:val="auto"/>
          <w:shd w:val="clear" w:color="auto" w:fill="auto"/>
        </w:rPr>
      </w:pPr>
    </w:p>
    <w:p>
      <w:pPr>
        <w:spacing w:before="120" w:line="400" w:lineRule="exact"/>
        <w:ind w:left="96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甲方：</w:t>
      </w:r>
      <w:r>
        <w:rPr>
          <w:rFonts w:hint="eastAsia" w:ascii="宋体" w:hAnsi="宋体" w:eastAsia="宋体" w:cs="宋体"/>
          <w:color w:val="auto"/>
          <w:sz w:val="24"/>
          <w:u w:val="single"/>
          <w:shd w:val="clear" w:color="auto" w:fill="auto"/>
        </w:rPr>
        <w:t xml:space="preserve">                                       </w:t>
      </w:r>
    </w:p>
    <w:p>
      <w:pPr>
        <w:spacing w:before="120" w:line="400" w:lineRule="exact"/>
        <w:rPr>
          <w:rFonts w:hint="eastAsia" w:ascii="宋体" w:hAnsi="宋体" w:eastAsia="宋体" w:cs="宋体"/>
          <w:color w:val="auto"/>
          <w:sz w:val="24"/>
          <w:shd w:val="clear" w:color="auto" w:fill="auto"/>
        </w:rPr>
      </w:pPr>
    </w:p>
    <w:p>
      <w:pPr>
        <w:spacing w:before="120" w:line="400" w:lineRule="exact"/>
        <w:ind w:left="96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乙方：</w:t>
      </w:r>
      <w:r>
        <w:rPr>
          <w:rFonts w:hint="eastAsia" w:ascii="宋体" w:hAnsi="宋体" w:eastAsia="宋体" w:cs="宋体"/>
          <w:color w:val="auto"/>
          <w:sz w:val="24"/>
          <w:u w:val="single"/>
          <w:shd w:val="clear" w:color="auto" w:fill="auto"/>
        </w:rPr>
        <w:t xml:space="preserve">                                       </w:t>
      </w:r>
    </w:p>
    <w:p>
      <w:pPr>
        <w:spacing w:before="120" w:line="400" w:lineRule="exact"/>
        <w:rPr>
          <w:rFonts w:hint="eastAsia" w:ascii="宋体" w:hAnsi="宋体" w:eastAsia="宋体" w:cs="宋体"/>
          <w:color w:val="auto"/>
          <w:sz w:val="24"/>
          <w:shd w:val="clear" w:color="auto" w:fill="auto"/>
        </w:rPr>
      </w:pPr>
    </w:p>
    <w:p>
      <w:pPr>
        <w:spacing w:before="120" w:line="400" w:lineRule="exact"/>
        <w:ind w:firstLine="960" w:firstLineChars="4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签订地：</w:t>
      </w:r>
      <w:r>
        <w:rPr>
          <w:rFonts w:hint="eastAsia" w:ascii="宋体" w:hAnsi="宋体" w:eastAsia="宋体" w:cs="宋体"/>
          <w:color w:val="auto"/>
          <w:sz w:val="24"/>
          <w:u w:val="single"/>
          <w:shd w:val="clear" w:color="auto" w:fill="auto"/>
        </w:rPr>
        <w:t xml:space="preserve">                                     </w:t>
      </w:r>
    </w:p>
    <w:p>
      <w:pPr>
        <w:spacing w:before="120" w:line="400" w:lineRule="exact"/>
        <w:rPr>
          <w:rFonts w:hint="eastAsia" w:ascii="宋体" w:hAnsi="宋体" w:eastAsia="宋体" w:cs="宋体"/>
          <w:color w:val="auto"/>
          <w:sz w:val="24"/>
          <w:shd w:val="clear" w:color="auto" w:fill="auto"/>
        </w:rPr>
      </w:pPr>
    </w:p>
    <w:p>
      <w:pPr>
        <w:spacing w:before="120" w:line="400" w:lineRule="exact"/>
        <w:ind w:firstLine="960" w:firstLineChars="4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签订日期：</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年</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月</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日</w:t>
      </w:r>
    </w:p>
    <w:p>
      <w:pPr>
        <w:autoSpaceDE w:val="0"/>
        <w:autoSpaceDN w:val="0"/>
        <w:adjustRightInd w:val="0"/>
        <w:spacing w:line="400" w:lineRule="exact"/>
        <w:ind w:firstLine="640"/>
        <w:jc w:val="center"/>
        <w:rPr>
          <w:rFonts w:hint="eastAsia" w:ascii="宋体" w:hAnsi="宋体" w:eastAsia="宋体" w:cs="宋体"/>
          <w:color w:val="auto"/>
          <w:sz w:val="24"/>
          <w:shd w:val="clear" w:color="auto" w:fill="auto"/>
        </w:rPr>
        <w:sectPr>
          <w:headerReference r:id="rId9" w:type="first"/>
          <w:footerReference r:id="rId11" w:type="first"/>
          <w:headerReference r:id="rId8" w:type="even"/>
          <w:footerReference r:id="rId10"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u w:val="single"/>
          <w:shd w:val="clear" w:color="auto" w:fill="auto"/>
          <w:lang w:val="zh-CN"/>
        </w:rPr>
        <w:t xml:space="preserve">        </w:t>
      </w:r>
      <w:r>
        <w:rPr>
          <w:rFonts w:hint="eastAsia" w:ascii="宋体" w:hAnsi="宋体" w:eastAsia="宋体" w:cs="宋体"/>
          <w:color w:val="auto"/>
          <w:sz w:val="24"/>
          <w:shd w:val="clear" w:color="auto" w:fill="auto"/>
          <w:lang w:val="zh-CN"/>
        </w:rPr>
        <w:t>年</w:t>
      </w:r>
      <w:r>
        <w:rPr>
          <w:rFonts w:hint="eastAsia" w:ascii="宋体" w:hAnsi="宋体" w:eastAsia="宋体" w:cs="宋体"/>
          <w:color w:val="auto"/>
          <w:sz w:val="24"/>
          <w:u w:val="single"/>
          <w:shd w:val="clear" w:color="auto" w:fill="auto"/>
          <w:lang w:val="zh-CN"/>
        </w:rPr>
        <w:t xml:space="preserve">    </w:t>
      </w:r>
      <w:r>
        <w:rPr>
          <w:rFonts w:hint="eastAsia" w:ascii="宋体" w:hAnsi="宋体" w:eastAsia="宋体" w:cs="宋体"/>
          <w:color w:val="auto"/>
          <w:sz w:val="24"/>
          <w:shd w:val="clear" w:color="auto" w:fill="auto"/>
          <w:lang w:val="zh-CN"/>
        </w:rPr>
        <w:t>月</w:t>
      </w:r>
      <w:r>
        <w:rPr>
          <w:rFonts w:hint="eastAsia" w:ascii="宋体" w:hAnsi="宋体" w:eastAsia="宋体" w:cs="宋体"/>
          <w:color w:val="auto"/>
          <w:sz w:val="24"/>
          <w:u w:val="single"/>
          <w:shd w:val="clear" w:color="auto" w:fill="auto"/>
          <w:lang w:val="zh-CN"/>
        </w:rPr>
        <w:t xml:space="preserve">    </w:t>
      </w:r>
      <w:r>
        <w:rPr>
          <w:rFonts w:hint="eastAsia" w:ascii="宋体" w:hAnsi="宋体" w:eastAsia="宋体" w:cs="宋体"/>
          <w:color w:val="auto"/>
          <w:sz w:val="24"/>
          <w:shd w:val="clear" w:color="auto" w:fill="auto"/>
          <w:lang w:val="zh-CN"/>
        </w:rPr>
        <w:t>日</w:t>
      </w:r>
      <w:r>
        <w:rPr>
          <w:rFonts w:hint="eastAsia" w:ascii="宋体" w:hAnsi="宋体" w:eastAsia="宋体" w:cs="宋体"/>
          <w:color w:val="auto"/>
          <w:sz w:val="24"/>
          <w:shd w:val="clear" w:color="auto" w:fill="auto"/>
        </w:rPr>
        <w:t>，</w:t>
      </w:r>
      <w:r>
        <w:rPr>
          <w:rFonts w:hint="eastAsia" w:ascii="宋体" w:hAnsi="宋体" w:eastAsia="宋体" w:cs="宋体"/>
          <w:color w:val="auto"/>
          <w:sz w:val="24"/>
          <w:u w:val="single"/>
          <w:shd w:val="clear" w:color="auto" w:fill="auto"/>
        </w:rPr>
        <w:t xml:space="preserve">   （采购人名称）   </w:t>
      </w:r>
      <w:r>
        <w:rPr>
          <w:rFonts w:hint="eastAsia" w:ascii="宋体" w:hAnsi="宋体" w:eastAsia="宋体" w:cs="宋体"/>
          <w:color w:val="auto"/>
          <w:sz w:val="24"/>
          <w:shd w:val="clear" w:color="auto" w:fill="auto"/>
        </w:rPr>
        <w:t>以</w:t>
      </w:r>
      <w:r>
        <w:rPr>
          <w:rFonts w:hint="eastAsia" w:ascii="宋体" w:hAnsi="宋体" w:eastAsia="宋体" w:cs="宋体"/>
          <w:color w:val="auto"/>
          <w:sz w:val="24"/>
          <w:u w:val="single"/>
          <w:shd w:val="clear" w:color="auto" w:fill="auto"/>
        </w:rPr>
        <w:t xml:space="preserve">   （政府采购方式）  </w:t>
      </w:r>
      <w:r>
        <w:rPr>
          <w:rFonts w:hint="eastAsia" w:ascii="宋体" w:hAnsi="宋体" w:eastAsia="宋体" w:cs="宋体"/>
          <w:color w:val="auto"/>
          <w:sz w:val="24"/>
          <w:shd w:val="clear" w:color="auto" w:fill="auto"/>
        </w:rPr>
        <w:t>对</w:t>
      </w:r>
      <w:r>
        <w:rPr>
          <w:rFonts w:hint="eastAsia" w:ascii="宋体" w:hAnsi="宋体" w:eastAsia="宋体" w:cs="宋体"/>
          <w:color w:val="auto"/>
          <w:sz w:val="24"/>
          <w:u w:val="single"/>
          <w:shd w:val="clear" w:color="auto" w:fill="auto"/>
        </w:rPr>
        <w:t xml:space="preserve">   （同前页项目名称）   </w:t>
      </w:r>
      <w:r>
        <w:rPr>
          <w:rFonts w:hint="eastAsia" w:ascii="宋体" w:hAnsi="宋体" w:eastAsia="宋体" w:cs="宋体"/>
          <w:color w:val="auto"/>
          <w:sz w:val="24"/>
          <w:shd w:val="clear" w:color="auto" w:fill="auto"/>
        </w:rPr>
        <w:t>项目进行了采购。经</w:t>
      </w:r>
      <w:r>
        <w:rPr>
          <w:rFonts w:hint="eastAsia" w:ascii="宋体" w:hAnsi="宋体" w:eastAsia="宋体" w:cs="宋体"/>
          <w:color w:val="auto"/>
          <w:sz w:val="24"/>
          <w:u w:val="single"/>
          <w:shd w:val="clear" w:color="auto" w:fill="auto"/>
        </w:rPr>
        <w:t xml:space="preserve">   （相关评定主体名称）   </w:t>
      </w:r>
      <w:r>
        <w:rPr>
          <w:rFonts w:hint="eastAsia" w:ascii="宋体" w:hAnsi="宋体" w:eastAsia="宋体" w:cs="宋体"/>
          <w:color w:val="auto"/>
          <w:sz w:val="24"/>
          <w:shd w:val="clear" w:color="auto" w:fill="auto"/>
        </w:rPr>
        <w:t>评定，</w:t>
      </w:r>
      <w:r>
        <w:rPr>
          <w:rFonts w:hint="eastAsia" w:ascii="宋体" w:hAnsi="宋体" w:eastAsia="宋体" w:cs="宋体"/>
          <w:color w:val="auto"/>
          <w:sz w:val="24"/>
          <w:u w:val="single"/>
          <w:shd w:val="clear" w:color="auto" w:fill="auto"/>
        </w:rPr>
        <w:t xml:space="preserve">   （成交供应商名称） </w:t>
      </w:r>
      <w:r>
        <w:rPr>
          <w:rFonts w:hint="eastAsia" w:ascii="宋体" w:hAnsi="宋体" w:eastAsia="宋体" w:cs="宋体"/>
          <w:color w:val="auto"/>
          <w:sz w:val="24"/>
          <w:shd w:val="clear" w:color="auto" w:fill="auto"/>
        </w:rPr>
        <w:t>为该项目成交供应商。现于成交通知书发出之日起三十日内，按照采购文件确定的事项签订本合同。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shd w:val="clear" w:color="auto" w:fill="auto"/>
        </w:rPr>
        <w:t xml:space="preserve">   （采购人名称）   </w:t>
      </w:r>
      <w:r>
        <w:rPr>
          <w:rFonts w:hint="eastAsia" w:ascii="宋体" w:hAnsi="宋体" w:eastAsia="宋体" w:cs="宋体"/>
          <w:color w:val="auto"/>
          <w:sz w:val="24"/>
          <w:shd w:val="clear" w:color="auto" w:fill="auto"/>
          <w:lang w:val="zh-CN"/>
        </w:rPr>
        <w:t>(以下简称：甲方)和</w:t>
      </w:r>
      <w:r>
        <w:rPr>
          <w:rFonts w:hint="eastAsia" w:ascii="宋体" w:hAnsi="宋体" w:eastAsia="宋体" w:cs="宋体"/>
          <w:color w:val="auto"/>
          <w:sz w:val="24"/>
          <w:u w:val="single"/>
          <w:shd w:val="clear" w:color="auto" w:fill="auto"/>
        </w:rPr>
        <w:t xml:space="preserve">   （成交供应商名称）   </w:t>
      </w:r>
      <w:r>
        <w:rPr>
          <w:rFonts w:hint="eastAsia" w:ascii="宋体" w:hAnsi="宋体" w:eastAsia="宋体" w:cs="宋体"/>
          <w:color w:val="auto"/>
          <w:sz w:val="24"/>
          <w:shd w:val="clear" w:color="auto" w:fill="auto"/>
          <w:lang w:val="zh-CN"/>
        </w:rPr>
        <w:t>(以下简称：乙方)协商一致，约定以下合同</w:t>
      </w:r>
      <w:r>
        <w:rPr>
          <w:rFonts w:hint="eastAsia" w:ascii="宋体" w:hAnsi="宋体" w:eastAsia="宋体" w:cs="宋体"/>
          <w:color w:val="auto"/>
          <w:sz w:val="24"/>
          <w:shd w:val="clear" w:color="auto" w:fill="auto"/>
        </w:rPr>
        <w:t>条款，以兹共同遵守、全面履行。</w:t>
      </w:r>
    </w:p>
    <w:p>
      <w:pPr>
        <w:spacing w:line="400" w:lineRule="exact"/>
        <w:ind w:firstLine="482" w:firstLineChars="200"/>
        <w:outlineLvl w:val="0"/>
        <w:rPr>
          <w:rFonts w:hint="eastAsia" w:ascii="宋体" w:hAnsi="宋体" w:eastAsia="宋体" w:cs="宋体"/>
          <w:color w:val="auto"/>
          <w:sz w:val="24"/>
          <w:shd w:val="clear" w:color="auto" w:fill="auto"/>
        </w:rPr>
      </w:pPr>
      <w:bookmarkStart w:id="868" w:name="_Toc369"/>
      <w:bookmarkStart w:id="869" w:name="_Toc26315"/>
      <w:bookmarkStart w:id="870" w:name="_Toc23100"/>
      <w:bookmarkStart w:id="871" w:name="_Toc18383"/>
      <w:bookmarkStart w:id="872" w:name="_Toc11864"/>
      <w:bookmarkStart w:id="873" w:name="_Toc19273"/>
      <w:bookmarkStart w:id="874" w:name="_Toc15367"/>
      <w:bookmarkStart w:id="875" w:name="_Toc32571"/>
      <w:bookmarkStart w:id="876" w:name="_Toc1256"/>
      <w:bookmarkStart w:id="877" w:name="_Toc5753"/>
      <w:bookmarkStart w:id="878" w:name="_Toc20566"/>
      <w:bookmarkStart w:id="879" w:name="_Toc8106"/>
      <w:bookmarkStart w:id="880" w:name="_Toc24117"/>
      <w:bookmarkStart w:id="881" w:name="_Toc20041"/>
      <w:bookmarkStart w:id="882" w:name="_Toc28855"/>
      <w:bookmarkStart w:id="883" w:name="_Toc1880"/>
      <w:bookmarkStart w:id="884" w:name="_Toc13594"/>
      <w:bookmarkStart w:id="885" w:name="_Toc20421"/>
      <w:bookmarkStart w:id="886" w:name="_Toc3665"/>
      <w:r>
        <w:rPr>
          <w:rFonts w:hint="eastAsia" w:ascii="宋体" w:hAnsi="宋体" w:eastAsia="宋体" w:cs="宋体"/>
          <w:b/>
          <w:color w:val="auto"/>
          <w:sz w:val="24"/>
          <w:shd w:val="clear" w:color="auto" w:fill="auto"/>
        </w:rPr>
        <w:t>1.1 合同组成部分</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1.1.1 本合同及其补充合同、变更协议；</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1.1.2中标通知书；</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1.1.3 招标文件（含澄清或者说明文件）；</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1.1.4 招标文件（含澄清或者修改文件）；</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1.1.5 其他相关采购文件。</w:t>
      </w:r>
    </w:p>
    <w:p>
      <w:pPr>
        <w:spacing w:line="400" w:lineRule="exact"/>
        <w:ind w:firstLine="482" w:firstLineChars="200"/>
        <w:outlineLvl w:val="0"/>
        <w:rPr>
          <w:rFonts w:hint="eastAsia" w:ascii="宋体" w:hAnsi="宋体" w:eastAsia="宋体" w:cs="宋体"/>
          <w:b/>
          <w:color w:val="auto"/>
          <w:sz w:val="24"/>
          <w:shd w:val="clear" w:color="auto" w:fill="auto"/>
        </w:rPr>
      </w:pPr>
      <w:bookmarkStart w:id="887" w:name="_Toc6773"/>
      <w:bookmarkStart w:id="888" w:name="_Toc22185"/>
      <w:bookmarkStart w:id="889" w:name="_Toc2918"/>
      <w:bookmarkStart w:id="890" w:name="_Toc15104"/>
      <w:bookmarkStart w:id="891" w:name="_Toc6313"/>
      <w:bookmarkStart w:id="892" w:name="_Toc1090"/>
      <w:bookmarkStart w:id="893" w:name="_Toc30602"/>
      <w:bookmarkStart w:id="894" w:name="_Toc18585"/>
      <w:bookmarkStart w:id="895" w:name="_Toc6311"/>
      <w:bookmarkStart w:id="896" w:name="_Toc31498"/>
      <w:bookmarkStart w:id="897" w:name="_Toc27983"/>
      <w:bookmarkStart w:id="898" w:name="_Toc28751"/>
      <w:bookmarkStart w:id="899" w:name="_Toc12685"/>
      <w:bookmarkStart w:id="900" w:name="_Toc24493"/>
      <w:bookmarkStart w:id="901" w:name="_Toc538"/>
      <w:bookmarkStart w:id="902" w:name="_Toc18571"/>
      <w:bookmarkStart w:id="903" w:name="_Toc15369"/>
      <w:bookmarkStart w:id="904" w:name="_Toc23275"/>
      <w:bookmarkStart w:id="905" w:name="_Toc27911"/>
      <w:bookmarkStart w:id="906" w:name="_Toc1944"/>
      <w:r>
        <w:rPr>
          <w:rFonts w:hint="eastAsia" w:ascii="宋体" w:hAnsi="宋体" w:eastAsia="宋体" w:cs="宋体"/>
          <w:b/>
          <w:color w:val="auto"/>
          <w:sz w:val="24"/>
          <w:shd w:val="clear" w:color="auto" w:fill="auto"/>
        </w:rPr>
        <w:t>1.2 标的</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spacing w:line="400" w:lineRule="exact"/>
        <w:ind w:firstLine="480" w:firstLineChars="2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1.2.1 标的名称：</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0" w:firstLineChars="2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1.2.2 标的数量：</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1.2.3 标的质量：</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2" w:firstLineChars="200"/>
        <w:outlineLvl w:val="0"/>
        <w:rPr>
          <w:rFonts w:hint="eastAsia" w:ascii="宋体" w:hAnsi="宋体" w:eastAsia="宋体" w:cs="宋体"/>
          <w:b/>
          <w:color w:val="auto"/>
          <w:sz w:val="24"/>
          <w:shd w:val="clear" w:color="auto" w:fill="auto"/>
        </w:rPr>
      </w:pPr>
      <w:bookmarkStart w:id="907" w:name="_Toc21124"/>
      <w:bookmarkStart w:id="908" w:name="_Toc28143"/>
      <w:bookmarkStart w:id="909" w:name="_Toc23906"/>
      <w:bookmarkStart w:id="910" w:name="_Toc32314"/>
      <w:bookmarkStart w:id="911" w:name="_Toc4687"/>
      <w:bookmarkStart w:id="912" w:name="_Toc13512"/>
      <w:bookmarkStart w:id="913" w:name="_Toc5635"/>
      <w:bookmarkStart w:id="914" w:name="_Toc24305"/>
      <w:bookmarkStart w:id="915" w:name="_Toc13918"/>
      <w:bookmarkStart w:id="916" w:name="_Toc4929"/>
      <w:bookmarkStart w:id="917" w:name="_Toc4932"/>
      <w:bookmarkStart w:id="918" w:name="_Toc26191"/>
      <w:bookmarkStart w:id="919" w:name="_Toc27077"/>
      <w:bookmarkStart w:id="920" w:name="_Toc2888"/>
      <w:bookmarkStart w:id="921" w:name="_Toc17541"/>
      <w:bookmarkStart w:id="922" w:name="_Toc13554"/>
      <w:bookmarkStart w:id="923" w:name="_Toc31200"/>
      <w:bookmarkStart w:id="924" w:name="_Toc23026"/>
      <w:bookmarkStart w:id="925" w:name="_Toc1386"/>
      <w:bookmarkStart w:id="926" w:name="_Toc10671"/>
      <w:r>
        <w:rPr>
          <w:rFonts w:hint="eastAsia" w:ascii="宋体" w:hAnsi="宋体" w:eastAsia="宋体" w:cs="宋体"/>
          <w:b/>
          <w:color w:val="auto"/>
          <w:sz w:val="24"/>
          <w:shd w:val="clear" w:color="auto" w:fill="auto"/>
        </w:rPr>
        <w:t>1.3 价款</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本合同总价为：￥</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元（大写：</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元人民币）。</w:t>
      </w:r>
    </w:p>
    <w:p>
      <w:pPr>
        <w:spacing w:line="400" w:lineRule="exact"/>
        <w:ind w:firstLine="480" w:firstLineChars="2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3"/>
              <w:spacing w:line="400" w:lineRule="exact"/>
              <w:jc w:val="center"/>
              <w:rPr>
                <w:rFonts w:hint="eastAsia" w:ascii="宋体" w:hAnsi="宋体" w:eastAsia="宋体" w:cs="宋体"/>
                <w:color w:val="auto"/>
                <w:kern w:val="2"/>
                <w:sz w:val="24"/>
                <w:szCs w:val="24"/>
                <w:shd w:val="clear" w:color="auto" w:fill="auto"/>
              </w:rPr>
            </w:pPr>
            <w:r>
              <w:rPr>
                <w:rFonts w:hint="eastAsia" w:ascii="宋体" w:hAnsi="宋体" w:eastAsia="宋体" w:cs="宋体"/>
                <w:color w:val="auto"/>
                <w:kern w:val="2"/>
                <w:sz w:val="24"/>
                <w:szCs w:val="24"/>
                <w:shd w:val="clear" w:color="auto" w:fill="auto"/>
              </w:rPr>
              <w:t>序号</w:t>
            </w:r>
          </w:p>
        </w:tc>
        <w:tc>
          <w:tcPr>
            <w:tcW w:w="340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r>
              <w:rPr>
                <w:rFonts w:hint="eastAsia" w:ascii="宋体" w:hAnsi="宋体" w:eastAsia="宋体" w:cs="宋体"/>
                <w:color w:val="auto"/>
                <w:kern w:val="2"/>
                <w:sz w:val="24"/>
                <w:szCs w:val="24"/>
                <w:shd w:val="clear" w:color="auto" w:fill="auto"/>
              </w:rPr>
              <w:t>分项名称</w:t>
            </w:r>
          </w:p>
        </w:tc>
        <w:tc>
          <w:tcPr>
            <w:tcW w:w="2552" w:type="dxa"/>
            <w:vAlign w:val="center"/>
          </w:tcPr>
          <w:p>
            <w:pPr>
              <w:pStyle w:val="53"/>
              <w:spacing w:line="400" w:lineRule="exact"/>
              <w:jc w:val="center"/>
              <w:rPr>
                <w:rFonts w:hint="eastAsia" w:ascii="宋体" w:hAnsi="宋体" w:eastAsia="宋体" w:cs="宋体"/>
                <w:color w:val="auto"/>
                <w:kern w:val="2"/>
                <w:sz w:val="24"/>
                <w:szCs w:val="24"/>
                <w:shd w:val="clear" w:color="auto" w:fill="auto"/>
              </w:rPr>
            </w:pPr>
            <w:r>
              <w:rPr>
                <w:rFonts w:hint="eastAsia" w:ascii="宋体" w:hAnsi="宋体" w:eastAsia="宋体" w:cs="宋体"/>
                <w:color w:val="auto"/>
                <w:kern w:val="2"/>
                <w:sz w:val="24"/>
                <w:szCs w:val="24"/>
                <w:shd w:val="clear" w:color="auto" w:fill="auto"/>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340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255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340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255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340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255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340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c>
          <w:tcPr>
            <w:tcW w:w="255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r>
              <w:rPr>
                <w:rFonts w:hint="eastAsia" w:ascii="宋体" w:hAnsi="宋体" w:eastAsia="宋体" w:cs="宋体"/>
                <w:color w:val="auto"/>
                <w:kern w:val="2"/>
                <w:sz w:val="24"/>
                <w:szCs w:val="24"/>
                <w:shd w:val="clear" w:color="auto" w:fill="auto"/>
              </w:rPr>
              <w:t>总价</w:t>
            </w:r>
          </w:p>
        </w:tc>
        <w:tc>
          <w:tcPr>
            <w:tcW w:w="2552" w:type="dxa"/>
            <w:vAlign w:val="center"/>
          </w:tcPr>
          <w:p>
            <w:pPr>
              <w:pStyle w:val="53"/>
              <w:spacing w:line="400" w:lineRule="exact"/>
              <w:ind w:firstLine="200"/>
              <w:jc w:val="center"/>
              <w:rPr>
                <w:rFonts w:hint="eastAsia" w:ascii="宋体" w:hAnsi="宋体" w:eastAsia="宋体" w:cs="宋体"/>
                <w:color w:val="auto"/>
                <w:kern w:val="2"/>
                <w:sz w:val="24"/>
                <w:szCs w:val="24"/>
                <w:shd w:val="clear" w:color="auto" w:fill="auto"/>
              </w:rPr>
            </w:pPr>
          </w:p>
        </w:tc>
      </w:tr>
    </w:tbl>
    <w:p>
      <w:pPr>
        <w:spacing w:line="400" w:lineRule="exact"/>
        <w:ind w:firstLine="482" w:firstLineChars="200"/>
        <w:outlineLvl w:val="0"/>
        <w:rPr>
          <w:rFonts w:hint="eastAsia" w:ascii="宋体" w:hAnsi="宋体" w:eastAsia="宋体" w:cs="宋体"/>
          <w:b/>
          <w:color w:val="auto"/>
          <w:sz w:val="24"/>
          <w:shd w:val="clear" w:color="auto" w:fill="auto"/>
        </w:rPr>
      </w:pPr>
      <w:bookmarkStart w:id="927" w:name="_Toc14993"/>
      <w:bookmarkStart w:id="928" w:name="_Toc7832"/>
      <w:bookmarkStart w:id="929" w:name="_Toc17855"/>
      <w:bookmarkStart w:id="930" w:name="_Toc19143"/>
      <w:bookmarkStart w:id="931" w:name="_Toc19221"/>
      <w:bookmarkStart w:id="932" w:name="_Toc26916"/>
      <w:bookmarkStart w:id="933" w:name="_Toc2559"/>
      <w:bookmarkStart w:id="934" w:name="_Toc30506"/>
      <w:bookmarkStart w:id="935" w:name="_Toc30158"/>
      <w:bookmarkStart w:id="936" w:name="_Toc32305"/>
      <w:bookmarkStart w:id="937" w:name="_Toc21059"/>
      <w:bookmarkStart w:id="938" w:name="_Toc28219"/>
      <w:bookmarkStart w:id="939" w:name="_Toc6998"/>
      <w:bookmarkStart w:id="940" w:name="_Toc23173"/>
      <w:bookmarkStart w:id="941" w:name="_Toc8041"/>
      <w:bookmarkStart w:id="942" w:name="_Toc5510"/>
      <w:bookmarkStart w:id="943" w:name="_Toc3654"/>
      <w:bookmarkStart w:id="944" w:name="_Toc28761"/>
      <w:bookmarkStart w:id="945" w:name="_Toc25910"/>
      <w:r>
        <w:rPr>
          <w:rFonts w:hint="eastAsia" w:ascii="宋体" w:hAnsi="宋体" w:eastAsia="宋体" w:cs="宋体"/>
          <w:b/>
          <w:color w:val="auto"/>
          <w:sz w:val="24"/>
          <w:shd w:val="clear" w:color="auto" w:fill="auto"/>
        </w:rPr>
        <w:t>1.4 付款方式和发票开具方式</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1.4.1付款方式：</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1.4.2 发票开具方式：</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2" w:firstLineChars="200"/>
        <w:outlineLvl w:val="0"/>
        <w:rPr>
          <w:rFonts w:hint="eastAsia" w:ascii="宋体" w:hAnsi="宋体" w:eastAsia="宋体" w:cs="宋体"/>
          <w:b/>
          <w:color w:val="auto"/>
          <w:sz w:val="24"/>
          <w:shd w:val="clear" w:color="auto" w:fill="auto"/>
        </w:rPr>
      </w:pPr>
      <w:bookmarkStart w:id="946" w:name="_Toc21606"/>
      <w:bookmarkStart w:id="947" w:name="_Toc24233"/>
      <w:bookmarkStart w:id="948" w:name="_Toc6280"/>
      <w:bookmarkStart w:id="949" w:name="_Toc4760"/>
      <w:bookmarkStart w:id="950" w:name="_Toc31421"/>
      <w:bookmarkStart w:id="951" w:name="_Toc26729"/>
      <w:bookmarkStart w:id="952" w:name="_Toc3625"/>
      <w:bookmarkStart w:id="953" w:name="_Toc19186"/>
      <w:bookmarkStart w:id="954" w:name="_Toc4301"/>
      <w:bookmarkStart w:id="955" w:name="_Toc8772"/>
      <w:bookmarkStart w:id="956" w:name="_Toc32135"/>
      <w:bookmarkStart w:id="957" w:name="_Toc12261"/>
      <w:bookmarkStart w:id="958" w:name="_Toc17889"/>
      <w:bookmarkStart w:id="959" w:name="_Toc28212"/>
      <w:bookmarkStart w:id="960" w:name="_Toc3251"/>
      <w:bookmarkStart w:id="961" w:name="_Toc11108"/>
      <w:bookmarkStart w:id="962" w:name="_Toc3007"/>
      <w:bookmarkStart w:id="963" w:name="_Toc29115"/>
      <w:bookmarkStart w:id="964" w:name="_Toc25762"/>
      <w:bookmarkStart w:id="965" w:name="_Toc23903"/>
      <w:r>
        <w:rPr>
          <w:rFonts w:hint="eastAsia" w:ascii="宋体" w:hAnsi="宋体" w:eastAsia="宋体" w:cs="宋体"/>
          <w:b/>
          <w:color w:val="auto"/>
          <w:sz w:val="24"/>
          <w:shd w:val="clear" w:color="auto" w:fill="auto"/>
        </w:rPr>
        <w:t>1.5 履行期限、地点和方式</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pPr>
        <w:spacing w:line="400" w:lineRule="exact"/>
        <w:ind w:firstLine="480" w:firstLineChars="200"/>
        <w:rPr>
          <w:rFonts w:hint="eastAsia"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rPr>
        <w:t>1.5.1 履行期限：</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1.5.2 履行地点：</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1.5.3 履行方式：</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p>
    <w:p>
      <w:pPr>
        <w:spacing w:line="400" w:lineRule="exact"/>
        <w:ind w:firstLine="482" w:firstLineChars="200"/>
        <w:outlineLvl w:val="0"/>
        <w:rPr>
          <w:rFonts w:hint="eastAsia" w:ascii="宋体" w:hAnsi="宋体" w:eastAsia="宋体" w:cs="宋体"/>
          <w:color w:val="auto"/>
          <w:sz w:val="24"/>
          <w:u w:val="single"/>
          <w:shd w:val="clear" w:color="auto" w:fill="auto"/>
        </w:rPr>
      </w:pPr>
      <w:bookmarkStart w:id="966" w:name="_Toc2375"/>
      <w:bookmarkStart w:id="967" w:name="_Toc16708"/>
      <w:bookmarkStart w:id="968" w:name="_Toc12514"/>
      <w:bookmarkStart w:id="969" w:name="_Toc18326"/>
      <w:bookmarkStart w:id="970" w:name="_Toc5698"/>
      <w:bookmarkStart w:id="971" w:name="_Toc10490"/>
      <w:bookmarkStart w:id="972" w:name="_Toc3079"/>
      <w:bookmarkStart w:id="973" w:name="_Toc7639"/>
      <w:bookmarkStart w:id="974" w:name="_Toc5418"/>
      <w:bookmarkStart w:id="975" w:name="_Toc25461"/>
      <w:bookmarkStart w:id="976" w:name="_Toc27990"/>
      <w:bookmarkStart w:id="977" w:name="_Toc24662"/>
      <w:bookmarkStart w:id="978" w:name="_Toc5863"/>
      <w:bookmarkStart w:id="979" w:name="_Toc1814"/>
      <w:bookmarkStart w:id="980" w:name="_Toc22963"/>
      <w:bookmarkStart w:id="981" w:name="_Toc8586"/>
      <w:bookmarkStart w:id="982" w:name="_Toc30025"/>
      <w:bookmarkStart w:id="983" w:name="_Toc3290"/>
      <w:bookmarkStart w:id="984" w:name="_Toc18474"/>
      <w:r>
        <w:rPr>
          <w:rFonts w:hint="eastAsia" w:ascii="宋体" w:hAnsi="宋体" w:eastAsia="宋体" w:cs="宋体"/>
          <w:b/>
          <w:color w:val="auto"/>
          <w:sz w:val="24"/>
          <w:shd w:val="clear" w:color="auto" w:fill="auto"/>
        </w:rPr>
        <w:t>1.6 违约责任</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%计算，最高限额为本合同总价的</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%计算，最高限额为本合同总价的</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0"/>
        <w:rPr>
          <w:rFonts w:hint="eastAsia" w:ascii="宋体" w:hAnsi="宋体" w:eastAsia="宋体" w:cs="宋体"/>
          <w:b/>
          <w:color w:val="auto"/>
          <w:sz w:val="24"/>
          <w:shd w:val="clear" w:color="auto" w:fill="auto"/>
        </w:rPr>
      </w:pPr>
      <w:bookmarkStart w:id="985" w:name="_Toc32454"/>
      <w:bookmarkStart w:id="986" w:name="_Toc18683"/>
      <w:bookmarkStart w:id="987" w:name="_Toc774"/>
      <w:bookmarkStart w:id="988" w:name="_Toc16127"/>
      <w:bookmarkStart w:id="989" w:name="_Toc13634"/>
      <w:bookmarkStart w:id="990" w:name="_Toc25283"/>
      <w:bookmarkStart w:id="991" w:name="_Toc32097"/>
      <w:bookmarkStart w:id="992" w:name="_Toc9782"/>
      <w:bookmarkStart w:id="993" w:name="_Toc3964"/>
      <w:bookmarkStart w:id="994" w:name="_Toc12954"/>
      <w:bookmarkStart w:id="995" w:name="_Toc23069"/>
      <w:bookmarkStart w:id="996" w:name="_Toc10575"/>
      <w:bookmarkStart w:id="997" w:name="_Toc4448"/>
      <w:bookmarkStart w:id="998" w:name="_Toc4563"/>
      <w:bookmarkStart w:id="999" w:name="_Toc9497"/>
      <w:bookmarkStart w:id="1000" w:name="_Toc13358"/>
      <w:bookmarkStart w:id="1001" w:name="_Toc26807"/>
      <w:bookmarkStart w:id="1002" w:name="_Toc14940"/>
      <w:bookmarkStart w:id="1003" w:name="_Toc30329"/>
      <w:bookmarkStart w:id="1004" w:name="_Toc21818"/>
      <w:r>
        <w:rPr>
          <w:rFonts w:hint="eastAsia" w:ascii="宋体" w:hAnsi="宋体" w:eastAsia="宋体" w:cs="宋体"/>
          <w:b/>
          <w:color w:val="auto"/>
          <w:sz w:val="24"/>
          <w:shd w:val="clear" w:color="auto" w:fill="auto"/>
        </w:rPr>
        <w:t>1.7 合同争议的解决</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种方式解决：</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1.7.1 将争议提交</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仲裁委员会依申请仲裁时其现行有效的仲裁规则裁决；</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1.7.2 向</w:t>
      </w:r>
      <w:r>
        <w:rPr>
          <w:rFonts w:hint="eastAsia" w:ascii="宋体" w:hAnsi="宋体" w:eastAsia="宋体" w:cs="宋体"/>
          <w:color w:val="auto"/>
          <w:sz w:val="24"/>
          <w:u w:val="single"/>
          <w:shd w:val="clear" w:color="auto" w:fill="auto"/>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hd w:val="clear" w:color="auto" w:fill="auto"/>
        </w:rPr>
        <w:t>人民法院起诉。</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005" w:name="_Toc17508"/>
      <w:bookmarkStart w:id="1006" w:name="_Toc6707"/>
      <w:bookmarkStart w:id="1007" w:name="_Toc26227"/>
      <w:bookmarkStart w:id="1008" w:name="_Toc18071"/>
      <w:bookmarkStart w:id="1009" w:name="_Toc12273"/>
      <w:bookmarkStart w:id="1010" w:name="_Toc16417"/>
      <w:bookmarkStart w:id="1011" w:name="_Toc10526"/>
      <w:bookmarkStart w:id="1012" w:name="_Toc14204"/>
      <w:bookmarkStart w:id="1013" w:name="_Toc15827"/>
      <w:bookmarkStart w:id="1014" w:name="_Toc18583"/>
      <w:bookmarkStart w:id="1015" w:name="_Toc23784"/>
      <w:bookmarkStart w:id="1016" w:name="_Toc1048"/>
      <w:bookmarkStart w:id="1017" w:name="_Toc13173"/>
      <w:bookmarkStart w:id="1018" w:name="_Toc1472"/>
      <w:bookmarkStart w:id="1019" w:name="_Toc28524"/>
      <w:bookmarkStart w:id="1020" w:name="_Toc13186"/>
      <w:bookmarkStart w:id="1021" w:name="_Toc32664"/>
      <w:bookmarkStart w:id="1022" w:name="_Toc8068"/>
      <w:bookmarkStart w:id="1023" w:name="_Toc6048"/>
      <w:r>
        <w:rPr>
          <w:rFonts w:hint="eastAsia" w:ascii="宋体" w:hAnsi="宋体" w:eastAsia="宋体" w:cs="宋体"/>
          <w:b/>
          <w:color w:val="auto"/>
          <w:sz w:val="24"/>
          <w:shd w:val="clear" w:color="auto" w:fill="auto"/>
        </w:rPr>
        <w:t>1.8 合同生效</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pPr>
        <w:spacing w:line="400" w:lineRule="exact"/>
        <w:ind w:firstLine="480" w:firstLineChars="200"/>
        <w:rPr>
          <w:rFonts w:hint="eastAsia" w:ascii="宋体" w:hAnsi="宋体" w:eastAsia="宋体" w:cs="宋体"/>
          <w:b/>
          <w:color w:val="auto"/>
          <w:sz w:val="24"/>
          <w:shd w:val="clear" w:color="auto" w:fill="auto"/>
        </w:rPr>
      </w:pPr>
      <w:r>
        <w:rPr>
          <w:rFonts w:hint="eastAsia" w:ascii="宋体" w:hAnsi="宋体" w:eastAsia="宋体" w:cs="宋体"/>
          <w:color w:val="auto"/>
          <w:sz w:val="24"/>
          <w:shd w:val="clear" w:color="auto" w:fill="auto"/>
        </w:rPr>
        <w:t>本合同自双方当事人盖章或者签字时生效。</w:t>
      </w:r>
    </w:p>
    <w:p>
      <w:pPr>
        <w:autoSpaceDE w:val="0"/>
        <w:autoSpaceDN w:val="0"/>
        <w:adjustRightInd w:val="0"/>
        <w:spacing w:line="400" w:lineRule="exact"/>
        <w:rPr>
          <w:rFonts w:hint="eastAsia" w:ascii="宋体" w:hAnsi="宋体" w:eastAsia="宋体" w:cs="宋体"/>
          <w:color w:val="auto"/>
          <w:sz w:val="24"/>
          <w:shd w:val="clear" w:color="auto" w:fill="auto"/>
          <w:lang w:val="zh-CN"/>
        </w:rPr>
      </w:pP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b/>
          <w:color w:val="auto"/>
          <w:sz w:val="24"/>
          <w:shd w:val="clear" w:color="auto" w:fill="auto"/>
          <w:lang w:val="zh-CN"/>
        </w:rPr>
        <w:t>甲方</w:t>
      </w:r>
      <w:r>
        <w:rPr>
          <w:rFonts w:hint="eastAsia" w:ascii="宋体" w:hAnsi="宋体" w:eastAsia="宋体" w:cs="宋体"/>
          <w:color w:val="auto"/>
          <w:sz w:val="24"/>
          <w:shd w:val="clear" w:color="auto" w:fill="auto"/>
          <w:lang w:val="zh-CN"/>
        </w:rPr>
        <w:t xml:space="preserve">：                             </w:t>
      </w:r>
      <w:r>
        <w:rPr>
          <w:rFonts w:hint="eastAsia" w:ascii="宋体" w:hAnsi="宋体" w:eastAsia="宋体" w:cs="宋体"/>
          <w:b/>
          <w:color w:val="auto"/>
          <w:sz w:val="24"/>
          <w:shd w:val="clear" w:color="auto" w:fill="auto"/>
          <w:lang w:val="zh-CN"/>
        </w:rPr>
        <w:t xml:space="preserve">      乙方</w:t>
      </w:r>
      <w:r>
        <w:rPr>
          <w:rFonts w:hint="eastAsia" w:ascii="宋体" w:hAnsi="宋体" w:eastAsia="宋体" w:cs="宋体"/>
          <w:color w:val="auto"/>
          <w:sz w:val="24"/>
          <w:shd w:val="clear" w:color="auto" w:fill="auto"/>
          <w:lang w:val="zh-CN"/>
        </w:rPr>
        <w:t>：</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shd w:val="clear" w:color="auto" w:fill="auto"/>
          <w:lang w:val="zh-CN"/>
        </w:rPr>
      </w:pP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住所：                                   住所：</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法定代表人或                             法定代表人</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联系人：                                 联系人：</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约定送达地址：                           约定送达地址：</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邮政编码：                               邮政编码：</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 xml:space="preserve">电话:                                    电话: </w:t>
      </w:r>
    </w:p>
    <w:p>
      <w:pPr>
        <w:autoSpaceDE w:val="0"/>
        <w:autoSpaceDN w:val="0"/>
        <w:adjustRightInd w:val="0"/>
        <w:spacing w:line="400" w:lineRule="exact"/>
        <w:rPr>
          <w:rFonts w:hint="eastAsia"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lang w:val="zh-CN"/>
        </w:rPr>
        <w:t>传真:                                    传真:</w:t>
      </w:r>
    </w:p>
    <w:p>
      <w:pPr>
        <w:autoSpaceDE w:val="0"/>
        <w:autoSpaceDN w:val="0"/>
        <w:adjustRightInd w:val="0"/>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zh-CN"/>
        </w:rPr>
        <w:t>电子邮箱：                               电子邮箱：</w:t>
      </w:r>
    </w:p>
    <w:p>
      <w:pPr>
        <w:autoSpaceDE w:val="0"/>
        <w:autoSpaceDN w:val="0"/>
        <w:adjustRightInd w:val="0"/>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开户银行：                               开户银行： </w:t>
      </w:r>
    </w:p>
    <w:p>
      <w:pPr>
        <w:autoSpaceDE w:val="0"/>
        <w:autoSpaceDN w:val="0"/>
        <w:adjustRightInd w:val="0"/>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开户名称：                               开户名称： </w:t>
      </w:r>
    </w:p>
    <w:p>
      <w:pPr>
        <w:autoSpaceDE w:val="0"/>
        <w:autoSpaceDN w:val="0"/>
        <w:adjustRightInd w:val="0"/>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开户账号：</w:t>
      </w:r>
      <w:r>
        <w:rPr>
          <w:rFonts w:hint="eastAsia" w:ascii="宋体" w:hAnsi="宋体" w:eastAsia="宋体" w:cs="宋体"/>
          <w:color w:val="auto"/>
          <w:sz w:val="24"/>
          <w:shd w:val="clear" w:color="auto" w:fill="auto"/>
          <w:lang w:val="zh-CN"/>
        </w:rPr>
        <w:t xml:space="preserve">                               </w:t>
      </w:r>
      <w:r>
        <w:rPr>
          <w:rFonts w:hint="eastAsia" w:ascii="宋体" w:hAnsi="宋体" w:eastAsia="宋体" w:cs="宋体"/>
          <w:color w:val="auto"/>
          <w:sz w:val="24"/>
          <w:shd w:val="clear" w:color="auto" w:fill="auto"/>
        </w:rPr>
        <w:t>开户账号：</w:t>
      </w:r>
    </w:p>
    <w:p>
      <w:pPr>
        <w:pStyle w:val="55"/>
        <w:spacing w:line="400" w:lineRule="exact"/>
        <w:ind w:firstLine="0"/>
        <w:jc w:val="both"/>
        <w:rPr>
          <w:rFonts w:hint="eastAsia" w:ascii="宋体" w:hAnsi="宋体" w:eastAsia="宋体" w:cs="宋体"/>
          <w:b/>
          <w:color w:val="auto"/>
          <w:szCs w:val="24"/>
          <w:shd w:val="clear" w:color="auto" w:fill="auto"/>
        </w:rPr>
      </w:pPr>
      <w:bookmarkStart w:id="1024" w:name="_Toc331685783"/>
    </w:p>
    <w:p>
      <w:pPr>
        <w:pStyle w:val="55"/>
        <w:spacing w:line="400" w:lineRule="exact"/>
        <w:ind w:firstLine="0"/>
        <w:jc w:val="center"/>
        <w:rPr>
          <w:rFonts w:hint="eastAsia" w:ascii="宋体" w:hAnsi="宋体" w:eastAsia="宋体" w:cs="宋体"/>
          <w:b/>
          <w:color w:val="auto"/>
          <w:szCs w:val="24"/>
          <w:shd w:val="clear" w:color="auto" w:fill="auto"/>
        </w:rPr>
      </w:pPr>
      <w:r>
        <w:rPr>
          <w:rFonts w:hint="eastAsia" w:ascii="宋体" w:hAnsi="宋体" w:eastAsia="宋体" w:cs="宋体"/>
          <w:b/>
          <w:color w:val="auto"/>
          <w:szCs w:val="24"/>
          <w:shd w:val="clear" w:color="auto" w:fill="auto"/>
        </w:rPr>
        <w:t>第二部分 合同一般条款</w:t>
      </w:r>
      <w:bookmarkEnd w:id="1024"/>
    </w:p>
    <w:p>
      <w:pPr>
        <w:spacing w:line="400" w:lineRule="exact"/>
        <w:ind w:firstLine="482" w:firstLineChars="200"/>
        <w:outlineLvl w:val="0"/>
        <w:rPr>
          <w:rFonts w:hint="eastAsia" w:ascii="宋体" w:hAnsi="宋体" w:eastAsia="宋体" w:cs="宋体"/>
          <w:b/>
          <w:color w:val="auto"/>
          <w:sz w:val="24"/>
          <w:shd w:val="clear" w:color="auto" w:fill="auto"/>
        </w:rPr>
      </w:pPr>
      <w:bookmarkStart w:id="1025" w:name="_Toc5117"/>
      <w:bookmarkStart w:id="1026" w:name="_Toc279701240"/>
      <w:bookmarkStart w:id="1027" w:name="_Ref467379101"/>
      <w:bookmarkStart w:id="1028" w:name="_Toc9585"/>
      <w:bookmarkStart w:id="1029" w:name="_Toc9037"/>
      <w:bookmarkStart w:id="1030" w:name="_Ref467379214"/>
      <w:bookmarkStart w:id="1031" w:name="_Toc13941"/>
      <w:bookmarkStart w:id="1032" w:name="_Toc28701"/>
      <w:bookmarkStart w:id="1033" w:name="_Toc25079"/>
      <w:bookmarkStart w:id="1034" w:name="_Ref467379094"/>
      <w:bookmarkStart w:id="1035" w:name="_Toc16934"/>
      <w:bookmarkStart w:id="1036" w:name="_Ref467379225"/>
      <w:bookmarkStart w:id="1037" w:name="_Ref467379109"/>
      <w:bookmarkStart w:id="1038" w:name="_Toc5228"/>
      <w:bookmarkStart w:id="1039" w:name="_Toc25610"/>
      <w:bookmarkStart w:id="1040" w:name="_Ref467378404"/>
      <w:bookmarkStart w:id="1041" w:name="_Toc20882"/>
      <w:bookmarkStart w:id="1042" w:name="_Toc14021"/>
      <w:bookmarkStart w:id="1043" w:name="_Toc31103"/>
      <w:bookmarkStart w:id="1044" w:name="_Toc487900349"/>
      <w:bookmarkStart w:id="1045" w:name="_Toc29024"/>
      <w:bookmarkStart w:id="1046" w:name="_Toc31297"/>
      <w:bookmarkStart w:id="1047" w:name="_Toc259093669"/>
      <w:bookmarkStart w:id="1048" w:name="_Toc28840"/>
      <w:bookmarkStart w:id="1049" w:name="_Ref467378463"/>
      <w:bookmarkStart w:id="1050" w:name="_Ref467379205"/>
      <w:bookmarkStart w:id="1051" w:name="_Toc29074"/>
      <w:bookmarkStart w:id="1052" w:name="_Toc17704"/>
      <w:bookmarkStart w:id="1053" w:name="_Toc19680"/>
      <w:bookmarkStart w:id="1054" w:name="_Ref467379195"/>
      <w:bookmarkStart w:id="1055" w:name="_Toc10827"/>
      <w:bookmarkStart w:id="1056" w:name="_Ref467378499"/>
      <w:r>
        <w:rPr>
          <w:rFonts w:hint="eastAsia" w:ascii="宋体" w:hAnsi="宋体" w:eastAsia="宋体" w:cs="宋体"/>
          <w:b/>
          <w:color w:val="auto"/>
          <w:sz w:val="24"/>
          <w:shd w:val="clear" w:color="auto" w:fill="auto"/>
        </w:rPr>
        <w:t>2.1 定义</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本合同中的下列词语应按以下内容进行解释：</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2.1.2 “合同价”系指根据合同约定，成交供应商在完全履行合同义务后，采购人应支付给成交供应商的价格。</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shd w:val="clear" w:color="auto" w:fill="auto"/>
        </w:rPr>
      </w:pPr>
      <w:bookmarkStart w:id="1057" w:name="_Ref467378840"/>
      <w:r>
        <w:rPr>
          <w:rFonts w:hint="eastAsia" w:ascii="宋体" w:hAnsi="宋体" w:eastAsia="宋体" w:cs="宋体"/>
          <w:color w:val="auto"/>
          <w:sz w:val="24"/>
          <w:shd w:val="clear" w:color="auto" w:fill="auto"/>
        </w:rPr>
        <w:t>2.1.4 “甲方”系指与成交供应商签署合同的采购人</w:t>
      </w:r>
      <w:bookmarkEnd w:id="1057"/>
      <w:r>
        <w:rPr>
          <w:rFonts w:hint="eastAsia" w:ascii="宋体" w:hAnsi="宋体" w:eastAsia="宋体" w:cs="宋体"/>
          <w:color w:val="auto"/>
          <w:sz w:val="24"/>
          <w:shd w:val="clear" w:color="auto" w:fill="auto"/>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shd w:val="clear" w:color="auto" w:fill="auto"/>
        </w:rPr>
      </w:pPr>
      <w:bookmarkStart w:id="1058" w:name="_Ref467379400"/>
      <w:r>
        <w:rPr>
          <w:rFonts w:hint="eastAsia" w:ascii="宋体" w:hAnsi="宋体" w:eastAsia="宋体" w:cs="宋体"/>
          <w:color w:val="auto"/>
          <w:sz w:val="24"/>
          <w:shd w:val="clear" w:color="auto" w:fill="auto"/>
        </w:rPr>
        <w:t>2.1.5 “乙方”系指根据合同约定提供服务的成交供应商</w:t>
      </w:r>
      <w:bookmarkEnd w:id="1058"/>
      <w:r>
        <w:rPr>
          <w:rFonts w:hint="eastAsia" w:ascii="宋体" w:hAnsi="宋体" w:eastAsia="宋体" w:cs="宋体"/>
          <w:color w:val="auto"/>
          <w:sz w:val="24"/>
          <w:shd w:val="clear" w:color="auto" w:fill="auto"/>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shd w:val="clear" w:color="auto" w:fill="auto"/>
        </w:rPr>
      </w:pPr>
      <w:bookmarkStart w:id="1059" w:name="_Ref467379436"/>
      <w:r>
        <w:rPr>
          <w:rFonts w:hint="eastAsia" w:ascii="宋体" w:hAnsi="宋体" w:eastAsia="宋体" w:cs="宋体"/>
          <w:color w:val="auto"/>
          <w:sz w:val="24"/>
          <w:shd w:val="clear" w:color="auto" w:fill="auto"/>
        </w:rPr>
        <w:t>2.1.6 “现场”系指合同约定提供服务的地点。</w:t>
      </w:r>
      <w:bookmarkEnd w:id="1059"/>
    </w:p>
    <w:p>
      <w:pPr>
        <w:spacing w:line="400" w:lineRule="exact"/>
        <w:ind w:firstLine="482" w:firstLineChars="200"/>
        <w:outlineLvl w:val="0"/>
        <w:rPr>
          <w:rFonts w:hint="eastAsia" w:ascii="宋体" w:hAnsi="宋体" w:eastAsia="宋体" w:cs="宋体"/>
          <w:b/>
          <w:color w:val="auto"/>
          <w:sz w:val="24"/>
          <w:shd w:val="clear" w:color="auto" w:fill="auto"/>
        </w:rPr>
      </w:pPr>
      <w:bookmarkStart w:id="1060" w:name="_Toc22493"/>
      <w:bookmarkStart w:id="1061" w:name="_Toc13639"/>
      <w:bookmarkStart w:id="1062" w:name="_Toc10249"/>
      <w:bookmarkStart w:id="1063" w:name="_Toc279701241"/>
      <w:bookmarkStart w:id="1064" w:name="_Toc3769"/>
      <w:bookmarkStart w:id="1065" w:name="_Toc7411"/>
      <w:bookmarkStart w:id="1066" w:name="_Toc23289"/>
      <w:bookmarkStart w:id="1067" w:name="_Toc28811"/>
      <w:bookmarkStart w:id="1068" w:name="_Toc16752"/>
      <w:bookmarkStart w:id="1069" w:name="_Toc7471"/>
      <w:bookmarkStart w:id="1070" w:name="_Toc8861"/>
      <w:bookmarkStart w:id="1071" w:name="_Toc24501"/>
      <w:bookmarkStart w:id="1072" w:name="_Toc6001"/>
      <w:bookmarkStart w:id="1073" w:name="_Toc19539"/>
      <w:bookmarkStart w:id="1074" w:name="_Toc13884"/>
      <w:bookmarkStart w:id="1075" w:name="_Toc15686"/>
      <w:bookmarkStart w:id="1076" w:name="_Toc25980"/>
      <w:bookmarkStart w:id="1077" w:name="_Toc21068"/>
      <w:bookmarkStart w:id="1078" w:name="_Toc487900350"/>
      <w:bookmarkStart w:id="1079" w:name="_Toc31402"/>
      <w:bookmarkStart w:id="1080" w:name="_Toc259093670"/>
      <w:bookmarkStart w:id="1081" w:name="_Toc12973"/>
      <w:bookmarkStart w:id="1082" w:name="_Toc17467"/>
      <w:r>
        <w:rPr>
          <w:rFonts w:hint="eastAsia" w:ascii="宋体" w:hAnsi="宋体" w:eastAsia="宋体" w:cs="宋体"/>
          <w:b/>
          <w:color w:val="auto"/>
          <w:sz w:val="24"/>
          <w:shd w:val="clear" w:color="auto" w:fill="auto"/>
        </w:rPr>
        <w:t>2.2 技术规范</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083" w:name="_Toc9578"/>
      <w:bookmarkStart w:id="1084" w:name="_Toc259093671"/>
      <w:bookmarkStart w:id="1085" w:name="_Toc31472"/>
      <w:bookmarkStart w:id="1086" w:name="_Toc279701242"/>
      <w:bookmarkStart w:id="1087" w:name="_Toc22279"/>
      <w:bookmarkStart w:id="1088" w:name="_Toc9161"/>
      <w:bookmarkStart w:id="1089" w:name="_Toc13673"/>
      <w:bookmarkStart w:id="1090" w:name="_Toc12727"/>
      <w:bookmarkStart w:id="1091" w:name="_Toc22416"/>
      <w:bookmarkStart w:id="1092" w:name="_Toc487900351"/>
      <w:bookmarkStart w:id="1093" w:name="_Toc30138"/>
      <w:bookmarkStart w:id="1094" w:name="_Toc1240"/>
      <w:bookmarkStart w:id="1095" w:name="_Toc8378"/>
      <w:bookmarkStart w:id="1096" w:name="_Toc1059"/>
      <w:bookmarkStart w:id="1097" w:name="_Toc32402"/>
      <w:bookmarkStart w:id="1098" w:name="_Toc24660"/>
      <w:bookmarkStart w:id="1099" w:name="_Toc12412"/>
      <w:bookmarkStart w:id="1100" w:name="_Toc24369"/>
      <w:bookmarkStart w:id="1101" w:name="_Toc27945"/>
      <w:bookmarkStart w:id="1102" w:name="_Toc20195"/>
      <w:bookmarkStart w:id="1103" w:name="_Toc7280"/>
      <w:bookmarkStart w:id="1104" w:name="_Toc12881"/>
      <w:r>
        <w:rPr>
          <w:rFonts w:hint="eastAsia" w:ascii="宋体" w:hAnsi="宋体" w:eastAsia="宋体" w:cs="宋体"/>
          <w:b/>
          <w:color w:val="auto"/>
          <w:sz w:val="24"/>
          <w:shd w:val="clear" w:color="auto" w:fill="auto"/>
        </w:rPr>
        <w:t>2.3 知识产权</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2.3.2 合同涉及技术成果的归属和收益的分成办法的，详见</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w:t>
      </w:r>
    </w:p>
    <w:p>
      <w:pPr>
        <w:spacing w:line="400" w:lineRule="exact"/>
        <w:ind w:firstLine="482" w:firstLineChars="200"/>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2.4 履约检查和问题反馈</w:t>
      </w:r>
    </w:p>
    <w:p>
      <w:pPr>
        <w:spacing w:line="400" w:lineRule="exact"/>
        <w:ind w:firstLine="480" w:firstLineChars="200"/>
        <w:rPr>
          <w:rFonts w:hint="eastAsia" w:ascii="宋体" w:hAnsi="宋体" w:eastAsia="宋体" w:cs="宋体"/>
          <w:color w:val="auto"/>
          <w:sz w:val="24"/>
          <w:shd w:val="clear" w:color="auto" w:fill="auto"/>
        </w:rPr>
      </w:pPr>
      <w:bookmarkStart w:id="1105" w:name="_Ref467379657"/>
      <w:r>
        <w:rPr>
          <w:rFonts w:hint="eastAsia" w:ascii="宋体" w:hAnsi="宋体" w:eastAsia="宋体" w:cs="宋体"/>
          <w:color w:val="auto"/>
          <w:sz w:val="24"/>
          <w:shd w:val="clear" w:color="auto" w:fill="auto"/>
        </w:rPr>
        <w:t>2.4.1</w:t>
      </w:r>
      <w:bookmarkEnd w:id="1105"/>
      <w:bookmarkStart w:id="1106" w:name="_Toc186431854"/>
      <w:bookmarkStart w:id="1107" w:name="_Toc279701247"/>
      <w:bookmarkStart w:id="1108" w:name="_Toc487900357"/>
      <w:bookmarkStart w:id="1109" w:name="_Toc259093676"/>
      <w:bookmarkStart w:id="1110" w:name="_Ref467379807"/>
      <w:bookmarkStart w:id="1111" w:name="_Ref467379793"/>
      <w:r>
        <w:rPr>
          <w:rFonts w:hint="eastAsia" w:ascii="宋体" w:hAnsi="宋体" w:eastAsia="宋体" w:cs="宋体"/>
          <w:color w:val="auto"/>
          <w:sz w:val="24"/>
          <w:shd w:val="clear" w:color="auto" w:fill="auto"/>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2.4.2 合同履行期间，甲方有权将履行过程中出现的问题反馈给乙方，双方当事人应以书面形式约定需要完善和改进的内容</w:t>
      </w:r>
      <w:bookmarkEnd w:id="1106"/>
      <w:bookmarkStart w:id="1112" w:name="_Toc186431855"/>
      <w:r>
        <w:rPr>
          <w:rFonts w:hint="eastAsia" w:ascii="宋体" w:hAnsi="宋体" w:eastAsia="宋体" w:cs="宋体"/>
          <w:color w:val="auto"/>
          <w:sz w:val="24"/>
          <w:shd w:val="clear" w:color="auto" w:fill="auto"/>
        </w:rPr>
        <w:t>。</w:t>
      </w:r>
    </w:p>
    <w:bookmarkEnd w:id="1112"/>
    <w:p>
      <w:pPr>
        <w:spacing w:line="400" w:lineRule="exact"/>
        <w:ind w:firstLine="482" w:firstLineChars="200"/>
        <w:outlineLvl w:val="0"/>
        <w:rPr>
          <w:rFonts w:hint="eastAsia" w:ascii="宋体" w:hAnsi="宋体" w:eastAsia="宋体" w:cs="宋体"/>
          <w:b/>
          <w:color w:val="auto"/>
          <w:sz w:val="24"/>
          <w:shd w:val="clear" w:color="auto" w:fill="auto"/>
        </w:rPr>
      </w:pPr>
      <w:bookmarkStart w:id="1113" w:name="_Toc15447"/>
      <w:bookmarkStart w:id="1114" w:name="_Toc21474"/>
      <w:bookmarkStart w:id="1115" w:name="_Toc16045"/>
      <w:bookmarkStart w:id="1116" w:name="_Toc24593"/>
      <w:bookmarkStart w:id="1117" w:name="_Toc31233"/>
      <w:bookmarkStart w:id="1118" w:name="_Toc32670"/>
      <w:bookmarkStart w:id="1119" w:name="_Toc8411"/>
      <w:bookmarkStart w:id="1120" w:name="_Toc28361"/>
      <w:bookmarkStart w:id="1121" w:name="_Toc4237"/>
      <w:bookmarkStart w:id="1122" w:name="_Toc15567"/>
      <w:bookmarkStart w:id="1123" w:name="_Toc32043"/>
      <w:bookmarkStart w:id="1124" w:name="_Toc8763"/>
      <w:bookmarkStart w:id="1125" w:name="_Toc12450"/>
      <w:bookmarkStart w:id="1126" w:name="_Toc22011"/>
      <w:bookmarkStart w:id="1127" w:name="_Toc26555"/>
      <w:bookmarkStart w:id="1128" w:name="_Toc19538"/>
      <w:bookmarkStart w:id="1129" w:name="_Toc31494"/>
      <w:bookmarkStart w:id="1130" w:name="_Toc11053"/>
      <w:r>
        <w:rPr>
          <w:rFonts w:hint="eastAsia" w:ascii="宋体" w:hAnsi="宋体" w:eastAsia="宋体" w:cs="宋体"/>
          <w:b/>
          <w:color w:val="auto"/>
          <w:sz w:val="24"/>
          <w:shd w:val="clear" w:color="auto" w:fill="auto"/>
        </w:rPr>
        <w:t>2.5 结算方式和付款条件</w:t>
      </w:r>
      <w:bookmarkEnd w:id="1107"/>
      <w:bookmarkEnd w:id="1108"/>
      <w:bookmarkEnd w:id="1109"/>
      <w:bookmarkEnd w:id="1110"/>
      <w:bookmarkEnd w:id="1111"/>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详见</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131" w:name="_Ref467379852"/>
      <w:bookmarkStart w:id="1132" w:name="_Ref467379863"/>
      <w:bookmarkStart w:id="1133" w:name="_Toc487900358"/>
      <w:bookmarkStart w:id="1134" w:name="_Ref467379923"/>
      <w:bookmarkStart w:id="1135" w:name="_Toc259093677"/>
      <w:bookmarkStart w:id="1136" w:name="_Toc279701248"/>
      <w:bookmarkStart w:id="1137" w:name="_Toc25982"/>
      <w:bookmarkStart w:id="1138" w:name="_Toc23122"/>
      <w:bookmarkStart w:id="1139" w:name="_Toc23530"/>
      <w:bookmarkStart w:id="1140" w:name="_Toc4632"/>
      <w:bookmarkStart w:id="1141" w:name="_Toc20627"/>
      <w:bookmarkStart w:id="1142" w:name="_Toc9514"/>
      <w:bookmarkStart w:id="1143" w:name="_Toc13467"/>
      <w:bookmarkStart w:id="1144" w:name="_Toc18990"/>
      <w:bookmarkStart w:id="1145" w:name="_Toc3982"/>
      <w:bookmarkStart w:id="1146" w:name="_Toc12925"/>
      <w:bookmarkStart w:id="1147" w:name="_Toc13772"/>
      <w:bookmarkStart w:id="1148" w:name="_Toc8376"/>
      <w:bookmarkStart w:id="1149" w:name="_Toc31145"/>
      <w:bookmarkStart w:id="1150" w:name="_Toc19435"/>
      <w:bookmarkStart w:id="1151" w:name="_Toc5430"/>
      <w:bookmarkStart w:id="1152" w:name="_Toc13154"/>
      <w:bookmarkStart w:id="1153" w:name="_Toc30507"/>
      <w:bookmarkStart w:id="1154" w:name="_Toc29402"/>
      <w:bookmarkStart w:id="1155" w:name="_Toc18186"/>
      <w:bookmarkStart w:id="1156" w:name="_Toc16163"/>
      <w:r>
        <w:rPr>
          <w:rFonts w:hint="eastAsia" w:ascii="宋体" w:hAnsi="宋体" w:eastAsia="宋体" w:cs="宋体"/>
          <w:b/>
          <w:color w:val="auto"/>
          <w:sz w:val="24"/>
          <w:shd w:val="clear" w:color="auto" w:fill="auto"/>
        </w:rPr>
        <w:t>2.6 技术资料</w:t>
      </w:r>
      <w:bookmarkEnd w:id="1131"/>
      <w:bookmarkEnd w:id="1132"/>
      <w:bookmarkEnd w:id="1133"/>
      <w:bookmarkEnd w:id="1134"/>
      <w:bookmarkEnd w:id="1135"/>
      <w:bookmarkEnd w:id="1136"/>
      <w:r>
        <w:rPr>
          <w:rFonts w:hint="eastAsia" w:ascii="宋体" w:hAnsi="宋体" w:eastAsia="宋体" w:cs="宋体"/>
          <w:b/>
          <w:color w:val="auto"/>
          <w:sz w:val="24"/>
          <w:shd w:val="clear" w:color="auto" w:fill="auto"/>
        </w:rPr>
        <w:t>和保密义务</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157" w:name="_Toc29615"/>
      <w:bookmarkStart w:id="1158" w:name="_Toc13112"/>
      <w:bookmarkStart w:id="1159" w:name="_Toc28791"/>
      <w:bookmarkStart w:id="1160" w:name="_Toc1851"/>
      <w:bookmarkStart w:id="1161" w:name="_Toc32354"/>
      <w:bookmarkStart w:id="1162" w:name="_Toc20114"/>
      <w:bookmarkStart w:id="1163" w:name="_Toc19069"/>
      <w:bookmarkStart w:id="1164" w:name="_Toc18372"/>
      <w:bookmarkStart w:id="1165" w:name="_Toc1948"/>
      <w:bookmarkStart w:id="1166" w:name="_Toc30162"/>
      <w:bookmarkStart w:id="1167" w:name="_Toc15010"/>
      <w:bookmarkStart w:id="1168" w:name="_Toc23487"/>
      <w:bookmarkStart w:id="1169" w:name="_Toc339"/>
      <w:bookmarkStart w:id="1170" w:name="_Toc2664"/>
      <w:bookmarkStart w:id="1171" w:name="_Toc24552"/>
      <w:bookmarkStart w:id="1172" w:name="_Toc487900362"/>
      <w:bookmarkStart w:id="1173" w:name="_Toc279701252"/>
      <w:bookmarkStart w:id="1174" w:name="_Toc259093681"/>
      <w:r>
        <w:rPr>
          <w:rFonts w:hint="eastAsia" w:ascii="宋体" w:hAnsi="宋体" w:eastAsia="宋体" w:cs="宋体"/>
          <w:b/>
          <w:color w:val="auto"/>
          <w:sz w:val="24"/>
          <w:shd w:val="clear" w:color="auto" w:fill="auto"/>
        </w:rPr>
        <w:t>2.7 质量保证</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175" w:name="_Toc1263"/>
      <w:bookmarkStart w:id="1176" w:name="_Toc22198"/>
      <w:bookmarkStart w:id="1177" w:name="_Toc32399"/>
      <w:bookmarkStart w:id="1178" w:name="_Toc28170"/>
      <w:bookmarkStart w:id="1179" w:name="_Toc11034"/>
      <w:bookmarkStart w:id="1180" w:name="_Toc30394"/>
      <w:bookmarkStart w:id="1181" w:name="_Toc10063"/>
      <w:bookmarkStart w:id="1182" w:name="_Toc22267"/>
      <w:bookmarkStart w:id="1183" w:name="_Toc8481"/>
      <w:bookmarkStart w:id="1184" w:name="_Toc29203"/>
      <w:bookmarkStart w:id="1185" w:name="_Toc7710"/>
      <w:bookmarkStart w:id="1186" w:name="_Toc11272"/>
      <w:bookmarkStart w:id="1187" w:name="_Toc15967"/>
      <w:bookmarkStart w:id="1188" w:name="_Toc10485"/>
      <w:bookmarkStart w:id="1189" w:name="_Toc9187"/>
      <w:bookmarkStart w:id="1190" w:name="_Toc32424"/>
      <w:r>
        <w:rPr>
          <w:rFonts w:hint="eastAsia" w:ascii="宋体" w:hAnsi="宋体" w:eastAsia="宋体" w:cs="宋体"/>
          <w:b/>
          <w:color w:val="auto"/>
          <w:sz w:val="24"/>
          <w:shd w:val="clear" w:color="auto" w:fill="auto"/>
        </w:rPr>
        <w:t>2.8 延迟</w:t>
      </w:r>
      <w:bookmarkEnd w:id="1172"/>
      <w:bookmarkEnd w:id="1173"/>
      <w:bookmarkEnd w:id="1174"/>
      <w:r>
        <w:rPr>
          <w:rFonts w:hint="eastAsia" w:ascii="宋体" w:hAnsi="宋体" w:eastAsia="宋体" w:cs="宋体"/>
          <w:b/>
          <w:color w:val="auto"/>
          <w:sz w:val="24"/>
          <w:shd w:val="clear" w:color="auto" w:fill="auto"/>
        </w:rPr>
        <w:t>履行</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191" w:name="_Toc10611"/>
      <w:bookmarkStart w:id="1192" w:name="_Toc12112"/>
      <w:bookmarkStart w:id="1193" w:name="_Toc18862"/>
      <w:bookmarkStart w:id="1194" w:name="_Toc21410"/>
      <w:bookmarkStart w:id="1195" w:name="_Toc3758"/>
      <w:bookmarkStart w:id="1196" w:name="_Toc28758"/>
      <w:bookmarkStart w:id="1197" w:name="_Toc10750"/>
      <w:bookmarkStart w:id="1198" w:name="_Toc2244"/>
      <w:bookmarkStart w:id="1199" w:name="_Toc25613"/>
      <w:bookmarkStart w:id="1200" w:name="_Toc12190"/>
      <w:bookmarkStart w:id="1201" w:name="_Toc13769"/>
      <w:bookmarkStart w:id="1202" w:name="_Toc3810"/>
      <w:bookmarkStart w:id="1203" w:name="_Toc2469"/>
      <w:bookmarkStart w:id="1204" w:name="_Toc30296"/>
      <w:bookmarkStart w:id="1205" w:name="_Toc20254"/>
      <w:bookmarkStart w:id="1206" w:name="_Toc27101"/>
      <w:bookmarkStart w:id="1207" w:name="_Toc279701254"/>
      <w:bookmarkStart w:id="1208" w:name="_Toc259093683"/>
      <w:bookmarkStart w:id="1209" w:name="_Toc487900364"/>
      <w:bookmarkStart w:id="1210" w:name="_Ref467378121"/>
      <w:r>
        <w:rPr>
          <w:rFonts w:hint="eastAsia" w:ascii="宋体" w:hAnsi="宋体" w:eastAsia="宋体" w:cs="宋体"/>
          <w:b/>
          <w:color w:val="auto"/>
          <w:sz w:val="24"/>
          <w:shd w:val="clear" w:color="auto" w:fill="auto"/>
        </w:rPr>
        <w:t>2.9 合同变更</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2.9.2 合同继续履行将损害国家利益和社会公共利益的，双方当事人应当以书面形式变更合同。有过错的一方应当承担赔偿责任，双方当事人都有过错的，各自承担相应的责任。</w:t>
      </w:r>
      <w:bookmarkStart w:id="1211" w:name="_Toc279701259"/>
      <w:bookmarkStart w:id="1212" w:name="_Toc259093688"/>
      <w:bookmarkStart w:id="1213" w:name="_Toc487900369"/>
    </w:p>
    <w:p>
      <w:pPr>
        <w:spacing w:line="400" w:lineRule="exact"/>
        <w:ind w:firstLine="482" w:firstLineChars="200"/>
        <w:outlineLvl w:val="0"/>
        <w:rPr>
          <w:rFonts w:hint="eastAsia" w:ascii="宋体" w:hAnsi="宋体" w:eastAsia="宋体" w:cs="宋体"/>
          <w:b/>
          <w:color w:val="auto"/>
          <w:sz w:val="24"/>
          <w:shd w:val="clear" w:color="auto" w:fill="auto"/>
        </w:rPr>
      </w:pPr>
      <w:bookmarkStart w:id="1214" w:name="_Toc22130"/>
      <w:bookmarkStart w:id="1215" w:name="_Toc6424"/>
      <w:bookmarkStart w:id="1216" w:name="_Toc21830"/>
      <w:bookmarkStart w:id="1217" w:name="_Toc4347"/>
      <w:bookmarkStart w:id="1218" w:name="_Toc17116"/>
      <w:bookmarkStart w:id="1219" w:name="_Toc6143"/>
      <w:bookmarkStart w:id="1220" w:name="_Toc4033"/>
      <w:bookmarkStart w:id="1221" w:name="_Toc4195"/>
      <w:bookmarkStart w:id="1222" w:name="_Toc42"/>
      <w:bookmarkStart w:id="1223" w:name="_Toc8222"/>
      <w:bookmarkStart w:id="1224" w:name="_Toc10663"/>
      <w:bookmarkStart w:id="1225" w:name="_Toc28640"/>
      <w:bookmarkStart w:id="1226" w:name="_Toc27242"/>
      <w:bookmarkStart w:id="1227" w:name="_Toc18298"/>
      <w:bookmarkStart w:id="1228" w:name="_Toc14972"/>
      <w:bookmarkStart w:id="1229" w:name="_Toc26689"/>
      <w:bookmarkStart w:id="1230" w:name="_Toc30446"/>
      <w:bookmarkStart w:id="1231" w:name="_Toc23368"/>
      <w:bookmarkStart w:id="1232" w:name="_Toc6422"/>
      <w:bookmarkStart w:id="1233" w:name="_Toc24271"/>
      <w:r>
        <w:rPr>
          <w:rFonts w:hint="eastAsia" w:ascii="宋体" w:hAnsi="宋体" w:eastAsia="宋体" w:cs="宋体"/>
          <w:b/>
          <w:color w:val="auto"/>
          <w:sz w:val="24"/>
          <w:shd w:val="clear" w:color="auto" w:fill="auto"/>
        </w:rPr>
        <w:t>2.10 合同转让</w:t>
      </w:r>
      <w:bookmarkEnd w:id="1211"/>
      <w:bookmarkEnd w:id="1212"/>
      <w:bookmarkEnd w:id="1213"/>
      <w:r>
        <w:rPr>
          <w:rFonts w:hint="eastAsia" w:ascii="宋体" w:hAnsi="宋体" w:eastAsia="宋体" w:cs="宋体"/>
          <w:b/>
          <w:color w:val="auto"/>
          <w:sz w:val="24"/>
          <w:shd w:val="clear" w:color="auto" w:fill="auto"/>
        </w:rPr>
        <w:t>和分包</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234" w:name="_Toc32622"/>
      <w:bookmarkStart w:id="1235" w:name="_Toc26633"/>
      <w:bookmarkStart w:id="1236" w:name="_Toc30847"/>
      <w:bookmarkStart w:id="1237" w:name="_Toc4684"/>
      <w:bookmarkStart w:id="1238" w:name="_Toc30261"/>
      <w:bookmarkStart w:id="1239" w:name="_Toc9462"/>
      <w:bookmarkStart w:id="1240" w:name="_Toc24708"/>
      <w:bookmarkStart w:id="1241" w:name="_Toc31065"/>
      <w:bookmarkStart w:id="1242" w:name="_Toc25571"/>
      <w:bookmarkStart w:id="1243" w:name="_Toc4720"/>
      <w:bookmarkStart w:id="1244" w:name="_Toc17450"/>
      <w:bookmarkStart w:id="1245" w:name="_Toc14371"/>
      <w:bookmarkStart w:id="1246" w:name="_Toc9705"/>
      <w:bookmarkStart w:id="1247" w:name="_Toc10203"/>
      <w:bookmarkStart w:id="1248" w:name="_Toc23855"/>
      <w:bookmarkStart w:id="1249" w:name="_Toc26602"/>
      <w:bookmarkStart w:id="1250" w:name="_Toc8431"/>
      <w:bookmarkStart w:id="1251" w:name="_Toc15171"/>
      <w:bookmarkStart w:id="1252" w:name="_Toc13135"/>
      <w:bookmarkStart w:id="1253" w:name="_Toc32494"/>
      <w:r>
        <w:rPr>
          <w:rFonts w:hint="eastAsia" w:ascii="宋体" w:hAnsi="宋体" w:eastAsia="宋体" w:cs="宋体"/>
          <w:b/>
          <w:color w:val="auto"/>
          <w:sz w:val="24"/>
          <w:shd w:val="clear" w:color="auto" w:fill="auto"/>
        </w:rPr>
        <w:t>2.11 不可抗力</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2.11.3 因不可抗力致使合同有变更必要的，双方当事人应在</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约定时间内以书面形式变更合同；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2.11.4受不可抗力影响的一方在不可抗力发生后，应在</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约定时间内以书面形式通知对方当事人，并在</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约定时间内，将有关部门出具的证明文件送达对方当事人。</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254" w:name="_Toc259093684"/>
      <w:bookmarkStart w:id="1255" w:name="_Toc6743"/>
      <w:bookmarkStart w:id="1256" w:name="_Toc14370"/>
      <w:bookmarkStart w:id="1257" w:name="_Toc1959"/>
      <w:bookmarkStart w:id="1258" w:name="_Toc7981"/>
      <w:bookmarkStart w:id="1259" w:name="_Toc3638"/>
      <w:bookmarkStart w:id="1260" w:name="_Toc32181"/>
      <w:bookmarkStart w:id="1261" w:name="_Toc14115"/>
      <w:bookmarkStart w:id="1262" w:name="_Toc31716"/>
      <w:bookmarkStart w:id="1263" w:name="_Toc12690"/>
      <w:bookmarkStart w:id="1264" w:name="_Toc11275"/>
      <w:bookmarkStart w:id="1265" w:name="_Toc487900365"/>
      <w:bookmarkStart w:id="1266" w:name="_Toc17127"/>
      <w:bookmarkStart w:id="1267" w:name="_Toc25783"/>
      <w:bookmarkStart w:id="1268" w:name="_Toc5053"/>
      <w:bookmarkStart w:id="1269" w:name="_Toc23373"/>
      <w:bookmarkStart w:id="1270" w:name="_Toc279701255"/>
      <w:bookmarkStart w:id="1271" w:name="_Toc219"/>
      <w:bookmarkStart w:id="1272" w:name="_Toc23602"/>
      <w:bookmarkStart w:id="1273" w:name="_Toc24465"/>
      <w:bookmarkStart w:id="1274" w:name="_Toc3156"/>
      <w:bookmarkStart w:id="1275" w:name="_Toc23854"/>
      <w:bookmarkStart w:id="1276" w:name="_Toc6465"/>
      <w:r>
        <w:rPr>
          <w:rFonts w:hint="eastAsia" w:ascii="宋体" w:hAnsi="宋体" w:eastAsia="宋体" w:cs="宋体"/>
          <w:b/>
          <w:color w:val="auto"/>
          <w:sz w:val="24"/>
          <w:shd w:val="clear" w:color="auto" w:fill="auto"/>
        </w:rPr>
        <w:t>2.12 税费</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与合同有关的一切税费，均按照中华人民共和国法律的相关规定缴纳。</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277" w:name="_Toc24809"/>
      <w:bookmarkStart w:id="1278" w:name="_Toc3775"/>
      <w:bookmarkStart w:id="1279" w:name="_Toc30105"/>
      <w:bookmarkStart w:id="1280" w:name="_Toc5156"/>
      <w:bookmarkStart w:id="1281" w:name="_Toc6054"/>
      <w:bookmarkStart w:id="1282" w:name="_Toc279701258"/>
      <w:bookmarkStart w:id="1283" w:name="_Toc31237"/>
      <w:bookmarkStart w:id="1284" w:name="_Toc14494"/>
      <w:bookmarkStart w:id="1285" w:name="_Toc12415"/>
      <w:bookmarkStart w:id="1286" w:name="_Toc487900368"/>
      <w:bookmarkStart w:id="1287" w:name="_Toc14814"/>
      <w:bookmarkStart w:id="1288" w:name="_Toc15966"/>
      <w:bookmarkStart w:id="1289" w:name="_Toc26883"/>
      <w:bookmarkStart w:id="1290" w:name="_Toc4896"/>
      <w:bookmarkStart w:id="1291" w:name="_Toc5989"/>
      <w:bookmarkStart w:id="1292" w:name="_Toc7315"/>
      <w:bookmarkStart w:id="1293" w:name="_Toc19880"/>
      <w:bookmarkStart w:id="1294" w:name="_Toc259093687"/>
      <w:bookmarkStart w:id="1295" w:name="_Toc10398"/>
      <w:bookmarkStart w:id="1296" w:name="_Toc27492"/>
      <w:bookmarkStart w:id="1297" w:name="_Toc3759"/>
      <w:bookmarkStart w:id="1298" w:name="_Toc426"/>
      <w:bookmarkStart w:id="1299" w:name="_Toc25525"/>
      <w:r>
        <w:rPr>
          <w:rFonts w:hint="eastAsia" w:ascii="宋体" w:hAnsi="宋体" w:eastAsia="宋体" w:cs="宋体"/>
          <w:b/>
          <w:color w:val="auto"/>
          <w:sz w:val="24"/>
          <w:shd w:val="clear" w:color="auto" w:fill="auto"/>
        </w:rPr>
        <w:t>2.13 乙方破产</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300" w:name="_Toc17626"/>
      <w:bookmarkStart w:id="1301" w:name="_Toc26320"/>
      <w:bookmarkStart w:id="1302" w:name="_Toc31298"/>
      <w:bookmarkStart w:id="1303" w:name="_Toc4845"/>
      <w:bookmarkStart w:id="1304" w:name="_Toc23323"/>
      <w:bookmarkStart w:id="1305" w:name="_Toc8069"/>
      <w:bookmarkStart w:id="1306" w:name="_Toc18650"/>
      <w:bookmarkStart w:id="1307" w:name="_Toc1675"/>
      <w:bookmarkStart w:id="1308" w:name="_Toc25092"/>
      <w:bookmarkStart w:id="1309" w:name="_Toc4472"/>
      <w:bookmarkStart w:id="1310" w:name="_Toc8066"/>
      <w:bookmarkStart w:id="1311" w:name="_Toc13023"/>
      <w:bookmarkStart w:id="1312" w:name="_Toc1123"/>
      <w:bookmarkStart w:id="1313" w:name="_Toc6484"/>
      <w:bookmarkStart w:id="1314" w:name="_Toc30682"/>
      <w:bookmarkStart w:id="1315" w:name="_Toc15650"/>
      <w:bookmarkStart w:id="1316" w:name="_Toc2016"/>
      <w:bookmarkStart w:id="1317" w:name="_Toc6032"/>
      <w:r>
        <w:rPr>
          <w:rFonts w:hint="eastAsia" w:ascii="宋体" w:hAnsi="宋体" w:eastAsia="宋体" w:cs="宋体"/>
          <w:b/>
          <w:color w:val="auto"/>
          <w:sz w:val="24"/>
          <w:shd w:val="clear" w:color="auto" w:fill="auto"/>
        </w:rPr>
        <w:t>2.14 合同中止、终止</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2.14.1 双方当事人不得擅自中止或者终止合同；</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318" w:name="_Toc10291"/>
      <w:bookmarkStart w:id="1319" w:name="_Toc12981"/>
      <w:bookmarkStart w:id="1320" w:name="_Toc25815"/>
      <w:bookmarkStart w:id="1321" w:name="_Toc22475"/>
      <w:bookmarkStart w:id="1322" w:name="_Toc12473"/>
      <w:bookmarkStart w:id="1323" w:name="_Toc17363"/>
      <w:bookmarkStart w:id="1324" w:name="_Toc26407"/>
      <w:bookmarkStart w:id="1325" w:name="_Toc295"/>
      <w:bookmarkStart w:id="1326" w:name="_Toc14752"/>
      <w:bookmarkStart w:id="1327" w:name="_Toc1969"/>
      <w:bookmarkStart w:id="1328" w:name="_Toc5120"/>
      <w:bookmarkStart w:id="1329" w:name="_Toc31348"/>
      <w:bookmarkStart w:id="1330" w:name="_Toc30002"/>
      <w:bookmarkStart w:id="1331" w:name="_Toc22355"/>
      <w:bookmarkStart w:id="1332" w:name="_Toc25753"/>
      <w:bookmarkStart w:id="1333" w:name="_Toc14653"/>
      <w:bookmarkStart w:id="1334" w:name="_Toc16250"/>
      <w:r>
        <w:rPr>
          <w:rFonts w:hint="eastAsia" w:ascii="宋体" w:hAnsi="宋体" w:eastAsia="宋体" w:cs="宋体"/>
          <w:b/>
          <w:color w:val="auto"/>
          <w:sz w:val="24"/>
          <w:shd w:val="clear" w:color="auto" w:fill="auto"/>
        </w:rPr>
        <w:t>2.15 检验和验收</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pPr>
        <w:tabs>
          <w:tab w:val="left" w:pos="360"/>
          <w:tab w:val="left" w:pos="540"/>
          <w:tab w:val="left" w:pos="1080"/>
        </w:tabs>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2.15.1 乙方按照</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的约定，定期提交服务报告，甲方按照</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2.15.3 检验和验收标准、程序等具体内容以及前述验收书的效力详见</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i/>
          <w:color w:val="auto"/>
          <w:sz w:val="24"/>
          <w:shd w:val="clear" w:color="auto" w:fill="auto"/>
        </w:rPr>
        <w:t>。</w:t>
      </w:r>
    </w:p>
    <w:bookmarkEnd w:id="1207"/>
    <w:bookmarkEnd w:id="1208"/>
    <w:bookmarkEnd w:id="1209"/>
    <w:bookmarkEnd w:id="1210"/>
    <w:p>
      <w:pPr>
        <w:spacing w:line="400" w:lineRule="exact"/>
        <w:ind w:firstLine="482" w:firstLineChars="200"/>
        <w:outlineLvl w:val="0"/>
        <w:rPr>
          <w:rFonts w:hint="eastAsia" w:ascii="宋体" w:hAnsi="宋体" w:eastAsia="宋体" w:cs="宋体"/>
          <w:b/>
          <w:color w:val="auto"/>
          <w:sz w:val="24"/>
          <w:shd w:val="clear" w:color="auto" w:fill="auto"/>
        </w:rPr>
      </w:pPr>
      <w:bookmarkStart w:id="1335" w:name="_Toc259093690"/>
      <w:bookmarkStart w:id="1336" w:name="_Toc487900371"/>
      <w:bookmarkStart w:id="1337" w:name="_Toc279701261"/>
      <w:bookmarkStart w:id="1338" w:name="_Toc9808"/>
      <w:bookmarkStart w:id="1339" w:name="_Toc13486"/>
      <w:bookmarkStart w:id="1340" w:name="_Toc1691"/>
      <w:bookmarkStart w:id="1341" w:name="_Toc2308"/>
      <w:bookmarkStart w:id="1342" w:name="_Toc6307"/>
      <w:bookmarkStart w:id="1343" w:name="_Toc13544"/>
      <w:bookmarkStart w:id="1344" w:name="_Toc31892"/>
      <w:bookmarkStart w:id="1345" w:name="_Toc22987"/>
      <w:bookmarkStart w:id="1346" w:name="_Toc12666"/>
      <w:bookmarkStart w:id="1347" w:name="_Toc3309"/>
      <w:bookmarkStart w:id="1348" w:name="_Toc29667"/>
      <w:bookmarkStart w:id="1349" w:name="_Toc19041"/>
      <w:bookmarkStart w:id="1350" w:name="_Toc12970"/>
      <w:bookmarkStart w:id="1351" w:name="_Toc10525"/>
      <w:bookmarkStart w:id="1352" w:name="_Toc10819"/>
      <w:bookmarkStart w:id="1353" w:name="_Toc15393"/>
      <w:bookmarkStart w:id="1354" w:name="_Toc13224"/>
      <w:bookmarkStart w:id="1355" w:name="_Toc17528"/>
      <w:bookmarkStart w:id="1356" w:name="_Toc25198"/>
      <w:bookmarkStart w:id="1357" w:name="_Toc26095"/>
      <w:r>
        <w:rPr>
          <w:rFonts w:hint="eastAsia" w:ascii="宋体" w:hAnsi="宋体" w:eastAsia="宋体" w:cs="宋体"/>
          <w:b/>
          <w:color w:val="auto"/>
          <w:sz w:val="24"/>
          <w:shd w:val="clear" w:color="auto" w:fill="auto"/>
        </w:rPr>
        <w:t>2.16 通知</w:t>
      </w:r>
      <w:bookmarkEnd w:id="1335"/>
      <w:bookmarkEnd w:id="1336"/>
      <w:bookmarkEnd w:id="1337"/>
      <w:r>
        <w:rPr>
          <w:rFonts w:hint="eastAsia" w:ascii="宋体" w:hAnsi="宋体" w:eastAsia="宋体" w:cs="宋体"/>
          <w:b/>
          <w:color w:val="auto"/>
          <w:sz w:val="24"/>
          <w:shd w:val="clear" w:color="auto" w:fill="auto"/>
        </w:rPr>
        <w:t>和送达</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pPr>
        <w:spacing w:line="400" w:lineRule="exact"/>
        <w:ind w:firstLine="480" w:firstLineChars="200"/>
        <w:rPr>
          <w:rFonts w:hint="eastAsia" w:ascii="宋体" w:hAnsi="宋体" w:eastAsia="宋体" w:cs="宋体"/>
          <w:color w:val="auto"/>
          <w:sz w:val="24"/>
          <w:shd w:val="clear" w:color="auto" w:fill="auto"/>
        </w:rPr>
      </w:pPr>
      <w:bookmarkStart w:id="1358" w:name="_Toc7073"/>
      <w:bookmarkStart w:id="1359" w:name="_Toc259093691"/>
      <w:bookmarkStart w:id="1360" w:name="_Toc487900372"/>
      <w:bookmarkStart w:id="1361" w:name="_Toc279701262"/>
      <w:r>
        <w:rPr>
          <w:rFonts w:hint="eastAsia" w:ascii="宋体" w:hAnsi="宋体" w:eastAsia="宋体" w:cs="宋体"/>
          <w:color w:val="auto"/>
          <w:sz w:val="24"/>
          <w:shd w:val="clear" w:color="auto" w:fill="auto"/>
        </w:rPr>
        <w:t>2.16.1 任何一方因履行合同而以合同第一部分尾部所列明的</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发出的所有通知、文件、材料，均视为已向对方当事人送达；任何一方变更上述送达方式或者地址的，应于</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个工作日内书面通知对方当事人，在对方当事人收到有关变更通知之前，变更前的约定送达方式或者地址仍视为有效。</w:t>
      </w:r>
      <w:bookmarkEnd w:id="1358"/>
    </w:p>
    <w:p>
      <w:pPr>
        <w:spacing w:line="400" w:lineRule="exact"/>
        <w:ind w:firstLine="480" w:firstLineChars="200"/>
        <w:rPr>
          <w:rFonts w:hint="eastAsia" w:ascii="宋体" w:hAnsi="宋体" w:eastAsia="宋体" w:cs="宋体"/>
          <w:color w:val="auto"/>
          <w:sz w:val="24"/>
          <w:shd w:val="clear" w:color="auto" w:fill="auto"/>
        </w:rPr>
      </w:pPr>
      <w:bookmarkStart w:id="1362" w:name="_Toc18401"/>
      <w:bookmarkStart w:id="1363" w:name="_Toc27674"/>
      <w:r>
        <w:rPr>
          <w:rFonts w:hint="eastAsia" w:ascii="宋体" w:hAnsi="宋体" w:eastAsia="宋体" w:cs="宋体"/>
          <w:color w:val="auto"/>
          <w:sz w:val="24"/>
          <w:shd w:val="clear" w:color="auto" w:fill="auto"/>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62"/>
      <w:bookmarkEnd w:id="1363"/>
    </w:p>
    <w:bookmarkEnd w:id="1359"/>
    <w:bookmarkEnd w:id="1360"/>
    <w:bookmarkEnd w:id="1361"/>
    <w:p>
      <w:pPr>
        <w:spacing w:line="400" w:lineRule="exact"/>
        <w:ind w:firstLine="482" w:firstLineChars="200"/>
        <w:outlineLvl w:val="0"/>
        <w:rPr>
          <w:rFonts w:hint="eastAsia" w:ascii="宋体" w:hAnsi="宋体" w:eastAsia="宋体" w:cs="宋体"/>
          <w:b/>
          <w:color w:val="auto"/>
          <w:sz w:val="24"/>
          <w:shd w:val="clear" w:color="auto" w:fill="auto"/>
        </w:rPr>
      </w:pPr>
      <w:bookmarkStart w:id="1364" w:name="_Toc20808"/>
      <w:bookmarkStart w:id="1365" w:name="_Toc28590"/>
      <w:bookmarkStart w:id="1366" w:name="_Toc1846"/>
      <w:bookmarkStart w:id="1367" w:name="_Toc4407"/>
      <w:bookmarkStart w:id="1368" w:name="_Toc279701263"/>
      <w:bookmarkStart w:id="1369" w:name="_Toc10103"/>
      <w:bookmarkStart w:id="1370" w:name="_Toc556"/>
      <w:bookmarkStart w:id="1371" w:name="_Toc19439"/>
      <w:bookmarkStart w:id="1372" w:name="_Toc23050"/>
      <w:bookmarkStart w:id="1373" w:name="_Toc18906"/>
      <w:bookmarkStart w:id="1374" w:name="_Toc13433"/>
      <w:bookmarkStart w:id="1375" w:name="_Toc10141"/>
      <w:bookmarkStart w:id="1376" w:name="_Toc28906"/>
      <w:bookmarkStart w:id="1377" w:name="_Toc5063"/>
      <w:bookmarkStart w:id="1378" w:name="_Toc18929"/>
      <w:bookmarkStart w:id="1379" w:name="_Toc27644"/>
      <w:bookmarkStart w:id="1380" w:name="_Toc16009"/>
      <w:bookmarkStart w:id="1381" w:name="_Toc31615"/>
      <w:bookmarkStart w:id="1382" w:name="_Toc18788"/>
      <w:bookmarkStart w:id="1383" w:name="_Toc487900373"/>
      <w:bookmarkStart w:id="1384" w:name="_Toc18708"/>
      <w:bookmarkStart w:id="1385" w:name="_Toc12254"/>
      <w:bookmarkStart w:id="1386" w:name="_Toc259093692"/>
      <w:r>
        <w:rPr>
          <w:rFonts w:hint="eastAsia" w:ascii="宋体" w:hAnsi="宋体" w:eastAsia="宋体" w:cs="宋体"/>
          <w:b/>
          <w:color w:val="auto"/>
          <w:sz w:val="24"/>
          <w:shd w:val="clear" w:color="auto" w:fill="auto"/>
        </w:rPr>
        <w:t>2.17 合同使用的文字和适用的法律</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2.17.1 合同使用汉语书就、变更和解释；</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2.17.2 合同适用中华人民共和国法律。</w:t>
      </w:r>
    </w:p>
    <w:p>
      <w:pPr>
        <w:spacing w:line="400" w:lineRule="exact"/>
        <w:ind w:firstLine="482" w:firstLineChars="200"/>
        <w:outlineLvl w:val="0"/>
        <w:rPr>
          <w:rFonts w:hint="eastAsia" w:ascii="宋体" w:hAnsi="宋体" w:eastAsia="宋体" w:cs="宋体"/>
          <w:b/>
          <w:color w:val="auto"/>
          <w:sz w:val="24"/>
          <w:shd w:val="clear" w:color="auto" w:fill="auto"/>
        </w:rPr>
      </w:pPr>
      <w:bookmarkStart w:id="1387" w:name="_Toc31884"/>
      <w:bookmarkStart w:id="1388" w:name="_Toc20559"/>
      <w:bookmarkStart w:id="1389" w:name="_Toc30312"/>
      <w:bookmarkStart w:id="1390" w:name="_Toc7323"/>
      <w:bookmarkStart w:id="1391" w:name="_Toc15033"/>
      <w:bookmarkStart w:id="1392" w:name="_Toc27718"/>
      <w:bookmarkStart w:id="1393" w:name="_Toc1356"/>
      <w:bookmarkStart w:id="1394" w:name="_Toc20271"/>
      <w:bookmarkStart w:id="1395" w:name="_Toc30096"/>
      <w:bookmarkStart w:id="1396" w:name="_Toc259093693"/>
      <w:bookmarkStart w:id="1397" w:name="_Toc27127"/>
      <w:bookmarkStart w:id="1398" w:name="_Toc32512"/>
      <w:bookmarkStart w:id="1399" w:name="_Toc32540"/>
      <w:bookmarkStart w:id="1400" w:name="_Toc5719"/>
      <w:bookmarkStart w:id="1401" w:name="_Toc18902"/>
      <w:bookmarkStart w:id="1402" w:name="_Toc26691"/>
      <w:bookmarkStart w:id="1403" w:name="_Toc1492"/>
      <w:bookmarkStart w:id="1404" w:name="_Toc279701264"/>
      <w:bookmarkStart w:id="1405" w:name="_Toc25138"/>
      <w:bookmarkStart w:id="1406" w:name="_Toc27403"/>
      <w:bookmarkStart w:id="1407" w:name="_Toc26231"/>
      <w:bookmarkStart w:id="1408" w:name="_Toc487900374"/>
      <w:r>
        <w:rPr>
          <w:rFonts w:hint="eastAsia" w:ascii="宋体" w:hAnsi="宋体" w:eastAsia="宋体" w:cs="宋体"/>
          <w:b/>
          <w:color w:val="auto"/>
          <w:sz w:val="24"/>
          <w:shd w:val="clear" w:color="auto" w:fill="auto"/>
        </w:rPr>
        <w:t>2.18 履约保证金</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2.18.1 采购文件要求乙方提交履约保证金的，乙方应按</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2.18.2 履约保证金在</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约定期间内不予退还或者应完全有效，前述约定期间届满之日起</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个工作日内，甲方应将履约保证金退还乙方；</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08"/>
    <w:p>
      <w:pPr>
        <w:spacing w:line="400" w:lineRule="exact"/>
        <w:ind w:firstLine="482" w:firstLineChars="200"/>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2.19 合同份数</w:t>
      </w:r>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合同份数按</w:t>
      </w:r>
      <w:r>
        <w:rPr>
          <w:rFonts w:hint="eastAsia" w:ascii="宋体" w:hAnsi="宋体" w:eastAsia="宋体" w:cs="宋体"/>
          <w:b/>
          <w:i/>
          <w:color w:val="auto"/>
          <w:sz w:val="24"/>
          <w:u w:val="single"/>
          <w:shd w:val="clear" w:color="auto" w:fill="auto"/>
        </w:rPr>
        <w:t>合同专用条款</w:t>
      </w:r>
      <w:r>
        <w:rPr>
          <w:rFonts w:hint="eastAsia" w:ascii="宋体" w:hAnsi="宋体" w:eastAsia="宋体" w:cs="宋体"/>
          <w:color w:val="auto"/>
          <w:sz w:val="24"/>
          <w:shd w:val="clear" w:color="auto" w:fill="auto"/>
        </w:rPr>
        <w:t>规定，每份均具有同等法律效力。</w:t>
      </w:r>
      <w:bookmarkStart w:id="1409" w:name="_Toc331685784"/>
    </w:p>
    <w:p>
      <w:pPr>
        <w:spacing w:line="400" w:lineRule="exact"/>
        <w:ind w:firstLine="422" w:firstLineChars="200"/>
        <w:rPr>
          <w:rFonts w:hint="eastAsia" w:ascii="宋体" w:hAnsi="宋体" w:eastAsia="宋体" w:cs="宋体"/>
          <w:b/>
          <w:color w:val="auto"/>
          <w:shd w:val="clear" w:color="auto" w:fill="auto"/>
        </w:rPr>
      </w:pPr>
      <w:r>
        <w:rPr>
          <w:rFonts w:hint="eastAsia" w:ascii="宋体" w:hAnsi="宋体" w:eastAsia="宋体" w:cs="宋体"/>
          <w:b/>
          <w:color w:val="auto"/>
          <w:shd w:val="clear" w:color="auto" w:fill="auto"/>
        </w:rPr>
        <w:t>第三部分  合同专用条款</w:t>
      </w:r>
      <w:bookmarkEnd w:id="1409"/>
    </w:p>
    <w:p>
      <w:pPr>
        <w:spacing w:line="400" w:lineRule="exac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条款号</w:t>
            </w:r>
          </w:p>
        </w:tc>
        <w:tc>
          <w:tcPr>
            <w:tcW w:w="7633" w:type="dxa"/>
            <w:vAlign w:val="center"/>
          </w:tcPr>
          <w:p>
            <w:pPr>
              <w:spacing w:line="400" w:lineRule="exact"/>
              <w:jc w:val="center"/>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u w:val="singl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u w:val="singl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shd w:val="clear" w:color="auto" w:fill="auto"/>
              </w:rPr>
            </w:pPr>
          </w:p>
        </w:tc>
        <w:tc>
          <w:tcPr>
            <w:tcW w:w="7633" w:type="dxa"/>
            <w:vAlign w:val="center"/>
          </w:tcPr>
          <w:p>
            <w:pPr>
              <w:spacing w:line="400" w:lineRule="exact"/>
              <w:rPr>
                <w:rFonts w:hint="eastAsia" w:ascii="宋体" w:hAnsi="宋体" w:eastAsia="宋体" w:cs="宋体"/>
                <w:color w:val="auto"/>
                <w:sz w:val="24"/>
                <w:shd w:val="clear" w:color="auto" w:fill="auto"/>
              </w:rPr>
            </w:pPr>
          </w:p>
        </w:tc>
      </w:tr>
    </w:tbl>
    <w:p>
      <w:pPr>
        <w:spacing w:after="156" w:line="400" w:lineRule="exact"/>
        <w:ind w:firstLine="480"/>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rPr>
          <w:rFonts w:hint="eastAsia" w:ascii="宋体" w:hAnsi="宋体" w:eastAsia="宋体" w:cs="宋体"/>
          <w:color w:val="auto"/>
          <w:shd w:val="clear" w:color="auto" w:fill="auto"/>
        </w:rPr>
      </w:pPr>
    </w:p>
    <w:p>
      <w:pPr>
        <w:pStyle w:val="5"/>
        <w:snapToGrid w:val="0"/>
        <w:spacing w:line="240" w:lineRule="atLeast"/>
        <w:ind w:firstLine="0"/>
        <w:textAlignment w:val="baseline"/>
        <w:rPr>
          <w:rFonts w:hint="eastAsia" w:ascii="宋体" w:hAnsi="宋体" w:eastAsia="宋体" w:cs="宋体"/>
          <w:color w:val="auto"/>
          <w:szCs w:val="18"/>
          <w:shd w:val="clear" w:color="auto" w:fill="auto"/>
        </w:rPr>
      </w:pPr>
    </w:p>
    <w:sectPr>
      <w:headerReference r:id="rId12" w:type="default"/>
      <w:footerReference r:id="rId13"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fldChar w:fldCharType="begin"/>
    </w:r>
    <w:r>
      <w:rPr>
        <w:rStyle w:val="39"/>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0C13"/>
    <w:multiLevelType w:val="singleLevel"/>
    <w:tmpl w:val="91570C13"/>
    <w:lvl w:ilvl="0" w:tentative="0">
      <w:start w:val="2"/>
      <w:numFmt w:val="chineseCounting"/>
      <w:suff w:val="nothing"/>
      <w:lvlText w:val="%1、"/>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DE93978B"/>
    <w:multiLevelType w:val="singleLevel"/>
    <w:tmpl w:val="DE93978B"/>
    <w:lvl w:ilvl="0" w:tentative="0">
      <w:start w:val="6"/>
      <w:numFmt w:val="decimal"/>
      <w:suff w:val="nothing"/>
      <w:lvlText w:val="%1、"/>
      <w:lvlJc w:val="left"/>
      <w:pPr>
        <w:ind w:left="120" w:firstLine="0"/>
      </w:pPr>
    </w:lvl>
  </w:abstractNum>
  <w:abstractNum w:abstractNumId="3">
    <w:nsid w:val="2247F7D2"/>
    <w:multiLevelType w:val="singleLevel"/>
    <w:tmpl w:val="2247F7D2"/>
    <w:lvl w:ilvl="0" w:tentative="0">
      <w:start w:val="5"/>
      <w:numFmt w:val="decimal"/>
      <w:suff w:val="space"/>
      <w:lvlText w:val="第%1章"/>
      <w:lvlJc w:val="left"/>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6">
    <w:nsid w:val="48BFA080"/>
    <w:multiLevelType w:val="singleLevel"/>
    <w:tmpl w:val="48BFA080"/>
    <w:lvl w:ilvl="0" w:tentative="0">
      <w:start w:val="1"/>
      <w:numFmt w:val="decimal"/>
      <w:suff w:val="nothing"/>
      <w:lvlText w:val="（%1）"/>
      <w:lvlJc w:val="left"/>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03年范本稿123.doc"/>
    <w:docVar w:name="commondata" w:val="eyJoZGlkIjoiNDc2OWNjOTM4YTlhMWVkOTM5ODVkODkzZGRkNDZmMWU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755"/>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06C7"/>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6C57"/>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6C09"/>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2CED"/>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B06"/>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37FCB"/>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59E0"/>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852"/>
    <w:rsid w:val="00821DF6"/>
    <w:rsid w:val="00823CCC"/>
    <w:rsid w:val="00826A56"/>
    <w:rsid w:val="00827179"/>
    <w:rsid w:val="0083029A"/>
    <w:rsid w:val="00830426"/>
    <w:rsid w:val="00830E02"/>
    <w:rsid w:val="00831C83"/>
    <w:rsid w:val="00831E0A"/>
    <w:rsid w:val="008343C4"/>
    <w:rsid w:val="00835847"/>
    <w:rsid w:val="00835C6F"/>
    <w:rsid w:val="00837429"/>
    <w:rsid w:val="0083745B"/>
    <w:rsid w:val="008375D4"/>
    <w:rsid w:val="00840023"/>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177F"/>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46ECE"/>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4AC9"/>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1F99"/>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2A00"/>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646D9"/>
    <w:rsid w:val="013F1E15"/>
    <w:rsid w:val="01592D24"/>
    <w:rsid w:val="015C48BA"/>
    <w:rsid w:val="01775986"/>
    <w:rsid w:val="017C65C5"/>
    <w:rsid w:val="018E7ABF"/>
    <w:rsid w:val="0198796C"/>
    <w:rsid w:val="01C133B8"/>
    <w:rsid w:val="01D51748"/>
    <w:rsid w:val="01E97937"/>
    <w:rsid w:val="020F2171"/>
    <w:rsid w:val="02600B79"/>
    <w:rsid w:val="02780976"/>
    <w:rsid w:val="02A3645B"/>
    <w:rsid w:val="02F778BD"/>
    <w:rsid w:val="02FE7248"/>
    <w:rsid w:val="030F740A"/>
    <w:rsid w:val="03121468"/>
    <w:rsid w:val="032B08FF"/>
    <w:rsid w:val="03634DA8"/>
    <w:rsid w:val="03822C68"/>
    <w:rsid w:val="039F2BBC"/>
    <w:rsid w:val="03D96AC5"/>
    <w:rsid w:val="03EA4660"/>
    <w:rsid w:val="0404275A"/>
    <w:rsid w:val="0431202E"/>
    <w:rsid w:val="045415F9"/>
    <w:rsid w:val="04857E10"/>
    <w:rsid w:val="0496655E"/>
    <w:rsid w:val="05071955"/>
    <w:rsid w:val="050B36B6"/>
    <w:rsid w:val="05123C0E"/>
    <w:rsid w:val="05186DA8"/>
    <w:rsid w:val="051E3875"/>
    <w:rsid w:val="052D54F8"/>
    <w:rsid w:val="0533125B"/>
    <w:rsid w:val="054F4EE9"/>
    <w:rsid w:val="055222CD"/>
    <w:rsid w:val="059B176D"/>
    <w:rsid w:val="05A4721B"/>
    <w:rsid w:val="06215A85"/>
    <w:rsid w:val="0647513E"/>
    <w:rsid w:val="06702C23"/>
    <w:rsid w:val="06AB5586"/>
    <w:rsid w:val="06BB3727"/>
    <w:rsid w:val="06BF4752"/>
    <w:rsid w:val="06CB44B7"/>
    <w:rsid w:val="06D53FDD"/>
    <w:rsid w:val="06E94152"/>
    <w:rsid w:val="06EE20B1"/>
    <w:rsid w:val="06F31143"/>
    <w:rsid w:val="06F328AB"/>
    <w:rsid w:val="073B7D80"/>
    <w:rsid w:val="074A113E"/>
    <w:rsid w:val="075B63E2"/>
    <w:rsid w:val="079426EA"/>
    <w:rsid w:val="079E0D1A"/>
    <w:rsid w:val="07AA712B"/>
    <w:rsid w:val="07B1625B"/>
    <w:rsid w:val="07D63C5D"/>
    <w:rsid w:val="07D96E9C"/>
    <w:rsid w:val="07F04F0D"/>
    <w:rsid w:val="082B45BE"/>
    <w:rsid w:val="084A36BE"/>
    <w:rsid w:val="08534B88"/>
    <w:rsid w:val="08670590"/>
    <w:rsid w:val="086A5080"/>
    <w:rsid w:val="086E5A46"/>
    <w:rsid w:val="0884649D"/>
    <w:rsid w:val="08A3495F"/>
    <w:rsid w:val="08B94069"/>
    <w:rsid w:val="08C3297E"/>
    <w:rsid w:val="08CF313D"/>
    <w:rsid w:val="08D56A29"/>
    <w:rsid w:val="08DB07BA"/>
    <w:rsid w:val="08F062C2"/>
    <w:rsid w:val="090B19E1"/>
    <w:rsid w:val="0910646C"/>
    <w:rsid w:val="094B3B3B"/>
    <w:rsid w:val="09712E48"/>
    <w:rsid w:val="09915912"/>
    <w:rsid w:val="099245AB"/>
    <w:rsid w:val="09A35C82"/>
    <w:rsid w:val="09AC6517"/>
    <w:rsid w:val="09B6127A"/>
    <w:rsid w:val="09E15530"/>
    <w:rsid w:val="09F15E14"/>
    <w:rsid w:val="09F22C0C"/>
    <w:rsid w:val="0A145C3C"/>
    <w:rsid w:val="0A1B58FF"/>
    <w:rsid w:val="0A6A0544"/>
    <w:rsid w:val="0A6D7B49"/>
    <w:rsid w:val="0A8F3B8A"/>
    <w:rsid w:val="0ABB55F8"/>
    <w:rsid w:val="0AD11D45"/>
    <w:rsid w:val="0AD876A7"/>
    <w:rsid w:val="0ADA223A"/>
    <w:rsid w:val="0AE903B8"/>
    <w:rsid w:val="0B0C1C85"/>
    <w:rsid w:val="0B12545C"/>
    <w:rsid w:val="0B1873A5"/>
    <w:rsid w:val="0B235FD0"/>
    <w:rsid w:val="0B2F7131"/>
    <w:rsid w:val="0B714AAD"/>
    <w:rsid w:val="0B7462A1"/>
    <w:rsid w:val="0BA14B06"/>
    <w:rsid w:val="0BA16641"/>
    <w:rsid w:val="0BC80175"/>
    <w:rsid w:val="0C0759AC"/>
    <w:rsid w:val="0C2825BF"/>
    <w:rsid w:val="0C2C3BDF"/>
    <w:rsid w:val="0C3472AC"/>
    <w:rsid w:val="0CAC6BB6"/>
    <w:rsid w:val="0CC34F37"/>
    <w:rsid w:val="0CD66CE8"/>
    <w:rsid w:val="0CE23077"/>
    <w:rsid w:val="0CE65557"/>
    <w:rsid w:val="0CEA1C84"/>
    <w:rsid w:val="0D021AE7"/>
    <w:rsid w:val="0D0C585B"/>
    <w:rsid w:val="0D0D66B5"/>
    <w:rsid w:val="0D30674E"/>
    <w:rsid w:val="0D3419BA"/>
    <w:rsid w:val="0D671166"/>
    <w:rsid w:val="0D864353"/>
    <w:rsid w:val="0D9D6002"/>
    <w:rsid w:val="0DD4291F"/>
    <w:rsid w:val="0DD505F0"/>
    <w:rsid w:val="0DEA5E6A"/>
    <w:rsid w:val="0DF34311"/>
    <w:rsid w:val="0DFC36FB"/>
    <w:rsid w:val="0E013467"/>
    <w:rsid w:val="0E194089"/>
    <w:rsid w:val="0E2311A8"/>
    <w:rsid w:val="0E483874"/>
    <w:rsid w:val="0E5F1069"/>
    <w:rsid w:val="0E8A0AC8"/>
    <w:rsid w:val="0E911DEC"/>
    <w:rsid w:val="0EB37705"/>
    <w:rsid w:val="0ECE0F6B"/>
    <w:rsid w:val="0ED31185"/>
    <w:rsid w:val="0F0D26CC"/>
    <w:rsid w:val="0F184ADA"/>
    <w:rsid w:val="0F20177B"/>
    <w:rsid w:val="0F3A6970"/>
    <w:rsid w:val="0F4225B1"/>
    <w:rsid w:val="0F4F7698"/>
    <w:rsid w:val="0F71660E"/>
    <w:rsid w:val="0F780C8A"/>
    <w:rsid w:val="0F811AB3"/>
    <w:rsid w:val="0FA1669B"/>
    <w:rsid w:val="0FC409C2"/>
    <w:rsid w:val="0FE86882"/>
    <w:rsid w:val="0FEC40F3"/>
    <w:rsid w:val="0FF96498"/>
    <w:rsid w:val="10050318"/>
    <w:rsid w:val="10165BCE"/>
    <w:rsid w:val="10526C57"/>
    <w:rsid w:val="10742924"/>
    <w:rsid w:val="10841AA7"/>
    <w:rsid w:val="1086623A"/>
    <w:rsid w:val="108718E6"/>
    <w:rsid w:val="10EF538B"/>
    <w:rsid w:val="11312DC0"/>
    <w:rsid w:val="114701EB"/>
    <w:rsid w:val="114C1E2E"/>
    <w:rsid w:val="118848CF"/>
    <w:rsid w:val="119913B2"/>
    <w:rsid w:val="11A94765"/>
    <w:rsid w:val="11B64CDD"/>
    <w:rsid w:val="11B95A28"/>
    <w:rsid w:val="11C11380"/>
    <w:rsid w:val="11C27CB8"/>
    <w:rsid w:val="11FA5202"/>
    <w:rsid w:val="12092462"/>
    <w:rsid w:val="120F2891"/>
    <w:rsid w:val="121D403F"/>
    <w:rsid w:val="121E5620"/>
    <w:rsid w:val="1236431D"/>
    <w:rsid w:val="12471464"/>
    <w:rsid w:val="12541464"/>
    <w:rsid w:val="129F7C67"/>
    <w:rsid w:val="12F76EF5"/>
    <w:rsid w:val="13367AFF"/>
    <w:rsid w:val="13380DD8"/>
    <w:rsid w:val="1344521A"/>
    <w:rsid w:val="135054F8"/>
    <w:rsid w:val="13645ACB"/>
    <w:rsid w:val="13905E66"/>
    <w:rsid w:val="13BF6C59"/>
    <w:rsid w:val="13E957B5"/>
    <w:rsid w:val="13F54664"/>
    <w:rsid w:val="14057953"/>
    <w:rsid w:val="141637CB"/>
    <w:rsid w:val="14276A18"/>
    <w:rsid w:val="14380335"/>
    <w:rsid w:val="14412BB2"/>
    <w:rsid w:val="14514F63"/>
    <w:rsid w:val="146F0E3A"/>
    <w:rsid w:val="146F2D0E"/>
    <w:rsid w:val="14A13B2B"/>
    <w:rsid w:val="14CE0CF1"/>
    <w:rsid w:val="14D31E97"/>
    <w:rsid w:val="14E84975"/>
    <w:rsid w:val="14FB7D9D"/>
    <w:rsid w:val="15510901"/>
    <w:rsid w:val="155E113E"/>
    <w:rsid w:val="15666A49"/>
    <w:rsid w:val="156B1A85"/>
    <w:rsid w:val="15A078BC"/>
    <w:rsid w:val="15A56745"/>
    <w:rsid w:val="15AE733A"/>
    <w:rsid w:val="15BF5201"/>
    <w:rsid w:val="15C240E3"/>
    <w:rsid w:val="15FB195D"/>
    <w:rsid w:val="16071FB4"/>
    <w:rsid w:val="16176C77"/>
    <w:rsid w:val="165017C7"/>
    <w:rsid w:val="16CC6237"/>
    <w:rsid w:val="16E00741"/>
    <w:rsid w:val="16E57078"/>
    <w:rsid w:val="16EB2EC2"/>
    <w:rsid w:val="16F93153"/>
    <w:rsid w:val="16FE31A5"/>
    <w:rsid w:val="170A538D"/>
    <w:rsid w:val="1715638D"/>
    <w:rsid w:val="172A1253"/>
    <w:rsid w:val="176B5566"/>
    <w:rsid w:val="1770050C"/>
    <w:rsid w:val="17777E38"/>
    <w:rsid w:val="178F40FD"/>
    <w:rsid w:val="17B93AFC"/>
    <w:rsid w:val="17DA7214"/>
    <w:rsid w:val="17E43A9D"/>
    <w:rsid w:val="17FE1807"/>
    <w:rsid w:val="185429A1"/>
    <w:rsid w:val="185F0F31"/>
    <w:rsid w:val="18904498"/>
    <w:rsid w:val="18930B18"/>
    <w:rsid w:val="18A3471E"/>
    <w:rsid w:val="18BA7627"/>
    <w:rsid w:val="18C03F47"/>
    <w:rsid w:val="18EC3461"/>
    <w:rsid w:val="18FE52A6"/>
    <w:rsid w:val="190A6B40"/>
    <w:rsid w:val="19216C1C"/>
    <w:rsid w:val="192B4DF7"/>
    <w:rsid w:val="19867CE7"/>
    <w:rsid w:val="19A639E9"/>
    <w:rsid w:val="19B616C6"/>
    <w:rsid w:val="19BA6371"/>
    <w:rsid w:val="19BB0B45"/>
    <w:rsid w:val="19DC0589"/>
    <w:rsid w:val="19E2505F"/>
    <w:rsid w:val="19F90D7B"/>
    <w:rsid w:val="1A143B2C"/>
    <w:rsid w:val="1A187B61"/>
    <w:rsid w:val="1A1B7E27"/>
    <w:rsid w:val="1A300E92"/>
    <w:rsid w:val="1A4964D8"/>
    <w:rsid w:val="1A532F89"/>
    <w:rsid w:val="1ACF6B75"/>
    <w:rsid w:val="1AF6583C"/>
    <w:rsid w:val="1B0C1B40"/>
    <w:rsid w:val="1B0D58B6"/>
    <w:rsid w:val="1B27517D"/>
    <w:rsid w:val="1B702CEB"/>
    <w:rsid w:val="1B7B66B5"/>
    <w:rsid w:val="1BDC39D9"/>
    <w:rsid w:val="1BFB5949"/>
    <w:rsid w:val="1C225F98"/>
    <w:rsid w:val="1C272EF4"/>
    <w:rsid w:val="1C4B17F6"/>
    <w:rsid w:val="1C5606E1"/>
    <w:rsid w:val="1C6E6D91"/>
    <w:rsid w:val="1C74135E"/>
    <w:rsid w:val="1CAE425A"/>
    <w:rsid w:val="1CF96C89"/>
    <w:rsid w:val="1CFB5503"/>
    <w:rsid w:val="1D320A97"/>
    <w:rsid w:val="1D3541D9"/>
    <w:rsid w:val="1D3E6FE0"/>
    <w:rsid w:val="1D4F2685"/>
    <w:rsid w:val="1D516A60"/>
    <w:rsid w:val="1D6A1093"/>
    <w:rsid w:val="1D71209B"/>
    <w:rsid w:val="1DA10F7B"/>
    <w:rsid w:val="1DD45AAC"/>
    <w:rsid w:val="1E3E2D25"/>
    <w:rsid w:val="1E4507E4"/>
    <w:rsid w:val="1E4A2E19"/>
    <w:rsid w:val="1E6070EC"/>
    <w:rsid w:val="1E6210B8"/>
    <w:rsid w:val="1E631EE6"/>
    <w:rsid w:val="1EC014EF"/>
    <w:rsid w:val="1EC664F8"/>
    <w:rsid w:val="1EDA6951"/>
    <w:rsid w:val="1F252181"/>
    <w:rsid w:val="1FB77434"/>
    <w:rsid w:val="1FD8008E"/>
    <w:rsid w:val="1FE6001A"/>
    <w:rsid w:val="1FF91559"/>
    <w:rsid w:val="201F6A56"/>
    <w:rsid w:val="202F2315"/>
    <w:rsid w:val="20465798"/>
    <w:rsid w:val="205073F3"/>
    <w:rsid w:val="20555606"/>
    <w:rsid w:val="207F61E1"/>
    <w:rsid w:val="208A7C12"/>
    <w:rsid w:val="209F4849"/>
    <w:rsid w:val="20A6088D"/>
    <w:rsid w:val="20C917B4"/>
    <w:rsid w:val="20EE13AC"/>
    <w:rsid w:val="20F167E1"/>
    <w:rsid w:val="20FD33CA"/>
    <w:rsid w:val="21166C46"/>
    <w:rsid w:val="211D24F8"/>
    <w:rsid w:val="212E224E"/>
    <w:rsid w:val="216036AA"/>
    <w:rsid w:val="21645328"/>
    <w:rsid w:val="216B09F7"/>
    <w:rsid w:val="21983295"/>
    <w:rsid w:val="219D65E7"/>
    <w:rsid w:val="21A078FC"/>
    <w:rsid w:val="21A3266E"/>
    <w:rsid w:val="21D71101"/>
    <w:rsid w:val="21FA4F6C"/>
    <w:rsid w:val="22143415"/>
    <w:rsid w:val="22155EFF"/>
    <w:rsid w:val="22345C7D"/>
    <w:rsid w:val="22427AC0"/>
    <w:rsid w:val="224A1B49"/>
    <w:rsid w:val="226006F6"/>
    <w:rsid w:val="226C62B8"/>
    <w:rsid w:val="228B52E3"/>
    <w:rsid w:val="22B42BC9"/>
    <w:rsid w:val="22F33FCF"/>
    <w:rsid w:val="230A1732"/>
    <w:rsid w:val="231B40DB"/>
    <w:rsid w:val="23207452"/>
    <w:rsid w:val="234B5E1C"/>
    <w:rsid w:val="234E399F"/>
    <w:rsid w:val="2364528E"/>
    <w:rsid w:val="23702444"/>
    <w:rsid w:val="2395665B"/>
    <w:rsid w:val="23992D88"/>
    <w:rsid w:val="23A2667D"/>
    <w:rsid w:val="23B461D0"/>
    <w:rsid w:val="23CD700D"/>
    <w:rsid w:val="23F56B46"/>
    <w:rsid w:val="24363828"/>
    <w:rsid w:val="2458110A"/>
    <w:rsid w:val="24B73377"/>
    <w:rsid w:val="24EF381D"/>
    <w:rsid w:val="24F36825"/>
    <w:rsid w:val="250D7E56"/>
    <w:rsid w:val="251206CC"/>
    <w:rsid w:val="251A7FDB"/>
    <w:rsid w:val="251B0AA1"/>
    <w:rsid w:val="25445D9E"/>
    <w:rsid w:val="254E0830"/>
    <w:rsid w:val="2556786A"/>
    <w:rsid w:val="25592FE8"/>
    <w:rsid w:val="25680EAF"/>
    <w:rsid w:val="25A2691A"/>
    <w:rsid w:val="25FB04D2"/>
    <w:rsid w:val="26074CC6"/>
    <w:rsid w:val="260D48C0"/>
    <w:rsid w:val="26275C7A"/>
    <w:rsid w:val="263D4A6F"/>
    <w:rsid w:val="2641044F"/>
    <w:rsid w:val="264D478D"/>
    <w:rsid w:val="26695CCA"/>
    <w:rsid w:val="26737A8D"/>
    <w:rsid w:val="269A19B7"/>
    <w:rsid w:val="26A23EF9"/>
    <w:rsid w:val="26BB1747"/>
    <w:rsid w:val="26C90A2D"/>
    <w:rsid w:val="26CF57CC"/>
    <w:rsid w:val="26DE21CD"/>
    <w:rsid w:val="26DF0F0C"/>
    <w:rsid w:val="26F721A9"/>
    <w:rsid w:val="27022042"/>
    <w:rsid w:val="2715510C"/>
    <w:rsid w:val="272849F1"/>
    <w:rsid w:val="275A73E3"/>
    <w:rsid w:val="275E5DA9"/>
    <w:rsid w:val="27636F98"/>
    <w:rsid w:val="276C29FF"/>
    <w:rsid w:val="277D2A21"/>
    <w:rsid w:val="27854172"/>
    <w:rsid w:val="2791479D"/>
    <w:rsid w:val="27B13177"/>
    <w:rsid w:val="27B764B0"/>
    <w:rsid w:val="27F30B8E"/>
    <w:rsid w:val="27FA0C6E"/>
    <w:rsid w:val="280B2AE2"/>
    <w:rsid w:val="281B6DE1"/>
    <w:rsid w:val="285F6EC1"/>
    <w:rsid w:val="28801D31"/>
    <w:rsid w:val="28855A7D"/>
    <w:rsid w:val="28921481"/>
    <w:rsid w:val="28A47EE5"/>
    <w:rsid w:val="28B830C8"/>
    <w:rsid w:val="29161237"/>
    <w:rsid w:val="293B62A8"/>
    <w:rsid w:val="293E5049"/>
    <w:rsid w:val="29411B73"/>
    <w:rsid w:val="295362DD"/>
    <w:rsid w:val="296663EF"/>
    <w:rsid w:val="29915E59"/>
    <w:rsid w:val="29DB16DF"/>
    <w:rsid w:val="29EB624B"/>
    <w:rsid w:val="2A31569E"/>
    <w:rsid w:val="2A43500D"/>
    <w:rsid w:val="2A472991"/>
    <w:rsid w:val="2A517FAE"/>
    <w:rsid w:val="2A6642B5"/>
    <w:rsid w:val="2A7F6BCF"/>
    <w:rsid w:val="2A8A01D6"/>
    <w:rsid w:val="2ABF25ED"/>
    <w:rsid w:val="2AC73417"/>
    <w:rsid w:val="2AC869C9"/>
    <w:rsid w:val="2ACC31CD"/>
    <w:rsid w:val="2B167DDF"/>
    <w:rsid w:val="2B2160A9"/>
    <w:rsid w:val="2B22427B"/>
    <w:rsid w:val="2B2A3917"/>
    <w:rsid w:val="2B347F25"/>
    <w:rsid w:val="2B3E4D9F"/>
    <w:rsid w:val="2B461EC1"/>
    <w:rsid w:val="2B6B79BA"/>
    <w:rsid w:val="2B7330C5"/>
    <w:rsid w:val="2B9E1E90"/>
    <w:rsid w:val="2BE95450"/>
    <w:rsid w:val="2C0440A1"/>
    <w:rsid w:val="2C2548D0"/>
    <w:rsid w:val="2C2643AF"/>
    <w:rsid w:val="2C273BFF"/>
    <w:rsid w:val="2C2F1F00"/>
    <w:rsid w:val="2C4C599A"/>
    <w:rsid w:val="2C4E1464"/>
    <w:rsid w:val="2C5A5369"/>
    <w:rsid w:val="2C602783"/>
    <w:rsid w:val="2C837261"/>
    <w:rsid w:val="2C9E7773"/>
    <w:rsid w:val="2CB019CA"/>
    <w:rsid w:val="2CC76232"/>
    <w:rsid w:val="2CF271A5"/>
    <w:rsid w:val="2D0844A8"/>
    <w:rsid w:val="2D395076"/>
    <w:rsid w:val="2D426A09"/>
    <w:rsid w:val="2D69305E"/>
    <w:rsid w:val="2D8400D7"/>
    <w:rsid w:val="2D851D9A"/>
    <w:rsid w:val="2D8D35D0"/>
    <w:rsid w:val="2D8D5F58"/>
    <w:rsid w:val="2D995BC6"/>
    <w:rsid w:val="2E321F13"/>
    <w:rsid w:val="2E5F6B11"/>
    <w:rsid w:val="2E6518E6"/>
    <w:rsid w:val="2E8B35DE"/>
    <w:rsid w:val="2EA324E5"/>
    <w:rsid w:val="2EA35766"/>
    <w:rsid w:val="2EDE0726"/>
    <w:rsid w:val="2EF7146D"/>
    <w:rsid w:val="2F254788"/>
    <w:rsid w:val="2F4C0E8A"/>
    <w:rsid w:val="2F6373B5"/>
    <w:rsid w:val="2F7B10A8"/>
    <w:rsid w:val="2FA80522"/>
    <w:rsid w:val="2FBA7536"/>
    <w:rsid w:val="2FE7396B"/>
    <w:rsid w:val="300A1BE5"/>
    <w:rsid w:val="300D7D4A"/>
    <w:rsid w:val="301B4D3D"/>
    <w:rsid w:val="30681856"/>
    <w:rsid w:val="30836B34"/>
    <w:rsid w:val="30A947A7"/>
    <w:rsid w:val="30C24CD7"/>
    <w:rsid w:val="30CF7907"/>
    <w:rsid w:val="30FA3F52"/>
    <w:rsid w:val="310476A5"/>
    <w:rsid w:val="31151DF1"/>
    <w:rsid w:val="31187BC4"/>
    <w:rsid w:val="315138CA"/>
    <w:rsid w:val="315D3A23"/>
    <w:rsid w:val="315E491C"/>
    <w:rsid w:val="31615451"/>
    <w:rsid w:val="31757F09"/>
    <w:rsid w:val="317B24D7"/>
    <w:rsid w:val="31A04886"/>
    <w:rsid w:val="31FE7C49"/>
    <w:rsid w:val="324463DD"/>
    <w:rsid w:val="327062C3"/>
    <w:rsid w:val="32D25E7D"/>
    <w:rsid w:val="32D463B2"/>
    <w:rsid w:val="33364A50"/>
    <w:rsid w:val="33FF675D"/>
    <w:rsid w:val="3408281D"/>
    <w:rsid w:val="344F4A69"/>
    <w:rsid w:val="346644D8"/>
    <w:rsid w:val="346C5D96"/>
    <w:rsid w:val="34782B79"/>
    <w:rsid w:val="34815D00"/>
    <w:rsid w:val="34906EBC"/>
    <w:rsid w:val="34AF1410"/>
    <w:rsid w:val="34BE5ABB"/>
    <w:rsid w:val="34C658FC"/>
    <w:rsid w:val="34C6696F"/>
    <w:rsid w:val="34C81410"/>
    <w:rsid w:val="34D84DA0"/>
    <w:rsid w:val="34EC12FA"/>
    <w:rsid w:val="34ED3B35"/>
    <w:rsid w:val="34ED3C88"/>
    <w:rsid w:val="34FC6942"/>
    <w:rsid w:val="34FE1204"/>
    <w:rsid w:val="351E0F4D"/>
    <w:rsid w:val="352F5EF9"/>
    <w:rsid w:val="35624D04"/>
    <w:rsid w:val="356976B5"/>
    <w:rsid w:val="358E55C9"/>
    <w:rsid w:val="35B6520A"/>
    <w:rsid w:val="35C96686"/>
    <w:rsid w:val="35DF78D2"/>
    <w:rsid w:val="35E106B5"/>
    <w:rsid w:val="35FE6D46"/>
    <w:rsid w:val="360607D9"/>
    <w:rsid w:val="36190C5C"/>
    <w:rsid w:val="361A5E43"/>
    <w:rsid w:val="363D616D"/>
    <w:rsid w:val="3680580C"/>
    <w:rsid w:val="36AF32A7"/>
    <w:rsid w:val="36C420A7"/>
    <w:rsid w:val="36C43AD6"/>
    <w:rsid w:val="36C47EB2"/>
    <w:rsid w:val="36C774C5"/>
    <w:rsid w:val="36D40252"/>
    <w:rsid w:val="36F5556E"/>
    <w:rsid w:val="37407194"/>
    <w:rsid w:val="374E2D59"/>
    <w:rsid w:val="374E40B8"/>
    <w:rsid w:val="37873738"/>
    <w:rsid w:val="37A159D8"/>
    <w:rsid w:val="37C736C3"/>
    <w:rsid w:val="37E352AA"/>
    <w:rsid w:val="385054B4"/>
    <w:rsid w:val="385A07E5"/>
    <w:rsid w:val="386A4F97"/>
    <w:rsid w:val="387F4B36"/>
    <w:rsid w:val="38974E77"/>
    <w:rsid w:val="389D198B"/>
    <w:rsid w:val="389E008F"/>
    <w:rsid w:val="38A94C99"/>
    <w:rsid w:val="38D6246F"/>
    <w:rsid w:val="38D7365B"/>
    <w:rsid w:val="38F00189"/>
    <w:rsid w:val="38F5276B"/>
    <w:rsid w:val="391131FE"/>
    <w:rsid w:val="39190452"/>
    <w:rsid w:val="391B35CB"/>
    <w:rsid w:val="39290FEC"/>
    <w:rsid w:val="393F3129"/>
    <w:rsid w:val="39635ADA"/>
    <w:rsid w:val="399211D7"/>
    <w:rsid w:val="39D30D2A"/>
    <w:rsid w:val="3A264483"/>
    <w:rsid w:val="3A3C70DA"/>
    <w:rsid w:val="3A414EA2"/>
    <w:rsid w:val="3A77322B"/>
    <w:rsid w:val="3A8E5D10"/>
    <w:rsid w:val="3A9A2363"/>
    <w:rsid w:val="3AE11A4E"/>
    <w:rsid w:val="3B10495E"/>
    <w:rsid w:val="3B23543A"/>
    <w:rsid w:val="3B2A4FB6"/>
    <w:rsid w:val="3B55695D"/>
    <w:rsid w:val="3B932D9C"/>
    <w:rsid w:val="3BAB20EB"/>
    <w:rsid w:val="3BBD6D16"/>
    <w:rsid w:val="3BD26834"/>
    <w:rsid w:val="3C030AB7"/>
    <w:rsid w:val="3C19288C"/>
    <w:rsid w:val="3C452D6E"/>
    <w:rsid w:val="3C5830E2"/>
    <w:rsid w:val="3C5C670A"/>
    <w:rsid w:val="3C7660DA"/>
    <w:rsid w:val="3C8F1376"/>
    <w:rsid w:val="3CAA2E00"/>
    <w:rsid w:val="3CBA43FC"/>
    <w:rsid w:val="3CCE5FE8"/>
    <w:rsid w:val="3D42493C"/>
    <w:rsid w:val="3D573AAE"/>
    <w:rsid w:val="3D6902EB"/>
    <w:rsid w:val="3D96052C"/>
    <w:rsid w:val="3DA32BB9"/>
    <w:rsid w:val="3DC85006"/>
    <w:rsid w:val="3DC9207F"/>
    <w:rsid w:val="3DCF3F1B"/>
    <w:rsid w:val="3DDC6AF7"/>
    <w:rsid w:val="3E257932"/>
    <w:rsid w:val="3E5F1E94"/>
    <w:rsid w:val="3E6709FD"/>
    <w:rsid w:val="3E677DEB"/>
    <w:rsid w:val="3E7C4BCD"/>
    <w:rsid w:val="3E9928EB"/>
    <w:rsid w:val="3ED43627"/>
    <w:rsid w:val="3EF70B3D"/>
    <w:rsid w:val="3EF9248F"/>
    <w:rsid w:val="3EFE0737"/>
    <w:rsid w:val="3F022944"/>
    <w:rsid w:val="3F125943"/>
    <w:rsid w:val="3F1B2335"/>
    <w:rsid w:val="3F1E56A2"/>
    <w:rsid w:val="3F732FFB"/>
    <w:rsid w:val="3F763756"/>
    <w:rsid w:val="3F781FB5"/>
    <w:rsid w:val="3F817D6A"/>
    <w:rsid w:val="3F985A21"/>
    <w:rsid w:val="3FAF4912"/>
    <w:rsid w:val="3FBC2A73"/>
    <w:rsid w:val="3FBE0741"/>
    <w:rsid w:val="3FC15626"/>
    <w:rsid w:val="403B0FEC"/>
    <w:rsid w:val="40426DB9"/>
    <w:rsid w:val="40526D9F"/>
    <w:rsid w:val="40611F9D"/>
    <w:rsid w:val="406A72FF"/>
    <w:rsid w:val="408963F5"/>
    <w:rsid w:val="408E4E41"/>
    <w:rsid w:val="40933569"/>
    <w:rsid w:val="40AE058B"/>
    <w:rsid w:val="40BC6B1F"/>
    <w:rsid w:val="40CB1477"/>
    <w:rsid w:val="40CD787E"/>
    <w:rsid w:val="40D66DCB"/>
    <w:rsid w:val="411B403F"/>
    <w:rsid w:val="414F3518"/>
    <w:rsid w:val="414F475D"/>
    <w:rsid w:val="41633AEB"/>
    <w:rsid w:val="4173422C"/>
    <w:rsid w:val="41900D6A"/>
    <w:rsid w:val="41A34C97"/>
    <w:rsid w:val="41C234A3"/>
    <w:rsid w:val="41DE62BE"/>
    <w:rsid w:val="42033B56"/>
    <w:rsid w:val="4203573C"/>
    <w:rsid w:val="421634A6"/>
    <w:rsid w:val="421B7832"/>
    <w:rsid w:val="421E0D71"/>
    <w:rsid w:val="42254A34"/>
    <w:rsid w:val="42472E97"/>
    <w:rsid w:val="429462ED"/>
    <w:rsid w:val="429B755D"/>
    <w:rsid w:val="42BC7DDF"/>
    <w:rsid w:val="42C770D3"/>
    <w:rsid w:val="42CB6E04"/>
    <w:rsid w:val="43076C51"/>
    <w:rsid w:val="43365940"/>
    <w:rsid w:val="4353208A"/>
    <w:rsid w:val="437E2698"/>
    <w:rsid w:val="437F0D69"/>
    <w:rsid w:val="43930EDD"/>
    <w:rsid w:val="43AD43B9"/>
    <w:rsid w:val="43E45E4E"/>
    <w:rsid w:val="43E50BF3"/>
    <w:rsid w:val="44140268"/>
    <w:rsid w:val="441A6FE5"/>
    <w:rsid w:val="44201AAB"/>
    <w:rsid w:val="44345DAC"/>
    <w:rsid w:val="443B46C4"/>
    <w:rsid w:val="446E1B58"/>
    <w:rsid w:val="447008D6"/>
    <w:rsid w:val="447C30F6"/>
    <w:rsid w:val="448A72D9"/>
    <w:rsid w:val="44916FE6"/>
    <w:rsid w:val="44A66B56"/>
    <w:rsid w:val="44B135DF"/>
    <w:rsid w:val="44BB2959"/>
    <w:rsid w:val="44E501E1"/>
    <w:rsid w:val="44EF1B82"/>
    <w:rsid w:val="4506059B"/>
    <w:rsid w:val="4514163A"/>
    <w:rsid w:val="45617A2D"/>
    <w:rsid w:val="45797C51"/>
    <w:rsid w:val="45841395"/>
    <w:rsid w:val="45A168B6"/>
    <w:rsid w:val="45AB5674"/>
    <w:rsid w:val="45BA0292"/>
    <w:rsid w:val="45C4405C"/>
    <w:rsid w:val="45CF69D6"/>
    <w:rsid w:val="45E23D3B"/>
    <w:rsid w:val="45EE4E64"/>
    <w:rsid w:val="461B2714"/>
    <w:rsid w:val="461B535F"/>
    <w:rsid w:val="46242B43"/>
    <w:rsid w:val="4630503A"/>
    <w:rsid w:val="4641069E"/>
    <w:rsid w:val="464912D8"/>
    <w:rsid w:val="465C0A70"/>
    <w:rsid w:val="468F6507"/>
    <w:rsid w:val="46A75F6F"/>
    <w:rsid w:val="46AB5C21"/>
    <w:rsid w:val="46D078B4"/>
    <w:rsid w:val="46F41301"/>
    <w:rsid w:val="46FC6C97"/>
    <w:rsid w:val="473B1E18"/>
    <w:rsid w:val="473D2DF8"/>
    <w:rsid w:val="474353F0"/>
    <w:rsid w:val="474A6941"/>
    <w:rsid w:val="47551D86"/>
    <w:rsid w:val="47784DE8"/>
    <w:rsid w:val="478C4B70"/>
    <w:rsid w:val="47A32B59"/>
    <w:rsid w:val="47BB0A1B"/>
    <w:rsid w:val="47E36126"/>
    <w:rsid w:val="47E94783"/>
    <w:rsid w:val="47F1046B"/>
    <w:rsid w:val="47F66832"/>
    <w:rsid w:val="48027FD5"/>
    <w:rsid w:val="4812105C"/>
    <w:rsid w:val="48161DCD"/>
    <w:rsid w:val="481B6936"/>
    <w:rsid w:val="4841419B"/>
    <w:rsid w:val="48966315"/>
    <w:rsid w:val="48C41A98"/>
    <w:rsid w:val="49294530"/>
    <w:rsid w:val="494A2A5D"/>
    <w:rsid w:val="495B0965"/>
    <w:rsid w:val="49852D39"/>
    <w:rsid w:val="499C6261"/>
    <w:rsid w:val="499D4260"/>
    <w:rsid w:val="49B451D1"/>
    <w:rsid w:val="49C64EE4"/>
    <w:rsid w:val="49DE6C06"/>
    <w:rsid w:val="4ACB1112"/>
    <w:rsid w:val="4ADC712C"/>
    <w:rsid w:val="4AE92BB7"/>
    <w:rsid w:val="4B150642"/>
    <w:rsid w:val="4B4115F6"/>
    <w:rsid w:val="4B807D59"/>
    <w:rsid w:val="4BA56968"/>
    <w:rsid w:val="4BA72EF2"/>
    <w:rsid w:val="4BBB4121"/>
    <w:rsid w:val="4BC930A1"/>
    <w:rsid w:val="4BDB06E3"/>
    <w:rsid w:val="4C1120BF"/>
    <w:rsid w:val="4C1C2AE1"/>
    <w:rsid w:val="4C2C143E"/>
    <w:rsid w:val="4C3E203F"/>
    <w:rsid w:val="4C4623ED"/>
    <w:rsid w:val="4C4A2448"/>
    <w:rsid w:val="4C607A12"/>
    <w:rsid w:val="4C6D0A0A"/>
    <w:rsid w:val="4C9A7A0B"/>
    <w:rsid w:val="4CBE6A7F"/>
    <w:rsid w:val="4CF6285E"/>
    <w:rsid w:val="4D01288C"/>
    <w:rsid w:val="4D0D6539"/>
    <w:rsid w:val="4D2B7746"/>
    <w:rsid w:val="4D68697E"/>
    <w:rsid w:val="4D7918C2"/>
    <w:rsid w:val="4DA13CAC"/>
    <w:rsid w:val="4DB11D90"/>
    <w:rsid w:val="4DD467EC"/>
    <w:rsid w:val="4DED52D5"/>
    <w:rsid w:val="4DFF60CF"/>
    <w:rsid w:val="4E3B2540"/>
    <w:rsid w:val="4E671A62"/>
    <w:rsid w:val="4E7611CD"/>
    <w:rsid w:val="4E787FC6"/>
    <w:rsid w:val="4E7B2B97"/>
    <w:rsid w:val="4E7B59EC"/>
    <w:rsid w:val="4E941852"/>
    <w:rsid w:val="4ECE1C4D"/>
    <w:rsid w:val="4ECF17A1"/>
    <w:rsid w:val="4ED67210"/>
    <w:rsid w:val="4F0D4D7F"/>
    <w:rsid w:val="4F6A6723"/>
    <w:rsid w:val="4F73779A"/>
    <w:rsid w:val="4FA520C6"/>
    <w:rsid w:val="4FB97DFA"/>
    <w:rsid w:val="500B00E9"/>
    <w:rsid w:val="505C2484"/>
    <w:rsid w:val="506654C3"/>
    <w:rsid w:val="50902684"/>
    <w:rsid w:val="50912456"/>
    <w:rsid w:val="509B0AEA"/>
    <w:rsid w:val="50DF56DA"/>
    <w:rsid w:val="50E410DA"/>
    <w:rsid w:val="50F463B9"/>
    <w:rsid w:val="50FA685A"/>
    <w:rsid w:val="510500B3"/>
    <w:rsid w:val="510B6A40"/>
    <w:rsid w:val="515D2B4E"/>
    <w:rsid w:val="516A1F01"/>
    <w:rsid w:val="519E0C3C"/>
    <w:rsid w:val="51CA5022"/>
    <w:rsid w:val="51D47608"/>
    <w:rsid w:val="51DC7471"/>
    <w:rsid w:val="51E45838"/>
    <w:rsid w:val="51EC34F8"/>
    <w:rsid w:val="52272456"/>
    <w:rsid w:val="52432980"/>
    <w:rsid w:val="525B7138"/>
    <w:rsid w:val="52693681"/>
    <w:rsid w:val="527103FC"/>
    <w:rsid w:val="529A792F"/>
    <w:rsid w:val="52A4759B"/>
    <w:rsid w:val="52B35629"/>
    <w:rsid w:val="52D06318"/>
    <w:rsid w:val="52D32AFD"/>
    <w:rsid w:val="52DD2EAB"/>
    <w:rsid w:val="53096661"/>
    <w:rsid w:val="532D789E"/>
    <w:rsid w:val="53481136"/>
    <w:rsid w:val="5373047A"/>
    <w:rsid w:val="53784748"/>
    <w:rsid w:val="537B518E"/>
    <w:rsid w:val="539A0B30"/>
    <w:rsid w:val="539F3171"/>
    <w:rsid w:val="539F60F0"/>
    <w:rsid w:val="53BB4B14"/>
    <w:rsid w:val="53FD01B2"/>
    <w:rsid w:val="541C189E"/>
    <w:rsid w:val="54370568"/>
    <w:rsid w:val="54482FB8"/>
    <w:rsid w:val="5466258B"/>
    <w:rsid w:val="546F5F53"/>
    <w:rsid w:val="54827657"/>
    <w:rsid w:val="54AB37FC"/>
    <w:rsid w:val="54B558D2"/>
    <w:rsid w:val="54BE6A9F"/>
    <w:rsid w:val="54E016AD"/>
    <w:rsid w:val="550B2E0C"/>
    <w:rsid w:val="551E4D8A"/>
    <w:rsid w:val="552235EE"/>
    <w:rsid w:val="553D0F38"/>
    <w:rsid w:val="554C347C"/>
    <w:rsid w:val="554E1E48"/>
    <w:rsid w:val="555B5931"/>
    <w:rsid w:val="558161E2"/>
    <w:rsid w:val="55992337"/>
    <w:rsid w:val="559D14B2"/>
    <w:rsid w:val="55AD1EB5"/>
    <w:rsid w:val="55D002DE"/>
    <w:rsid w:val="55EE731F"/>
    <w:rsid w:val="56024C66"/>
    <w:rsid w:val="561F1F50"/>
    <w:rsid w:val="56262AA1"/>
    <w:rsid w:val="562E2336"/>
    <w:rsid w:val="564730C1"/>
    <w:rsid w:val="56571DD2"/>
    <w:rsid w:val="565A6C07"/>
    <w:rsid w:val="565F1615"/>
    <w:rsid w:val="56604D7E"/>
    <w:rsid w:val="567A725D"/>
    <w:rsid w:val="56871B43"/>
    <w:rsid w:val="56A8141C"/>
    <w:rsid w:val="56AC5C52"/>
    <w:rsid w:val="56B24AC3"/>
    <w:rsid w:val="56BC1334"/>
    <w:rsid w:val="572B3560"/>
    <w:rsid w:val="57363FAA"/>
    <w:rsid w:val="57472060"/>
    <w:rsid w:val="57A62B27"/>
    <w:rsid w:val="57E74100"/>
    <w:rsid w:val="57EF6A5A"/>
    <w:rsid w:val="584C0BBF"/>
    <w:rsid w:val="58DF6CF4"/>
    <w:rsid w:val="58FA7278"/>
    <w:rsid w:val="5904132B"/>
    <w:rsid w:val="59140D7B"/>
    <w:rsid w:val="59157827"/>
    <w:rsid w:val="594400A5"/>
    <w:rsid w:val="59460EC7"/>
    <w:rsid w:val="59607984"/>
    <w:rsid w:val="596C60C2"/>
    <w:rsid w:val="598A25FA"/>
    <w:rsid w:val="598A791A"/>
    <w:rsid w:val="598E4B0C"/>
    <w:rsid w:val="59C90F05"/>
    <w:rsid w:val="5A2055FA"/>
    <w:rsid w:val="5A253D84"/>
    <w:rsid w:val="5A373203"/>
    <w:rsid w:val="5A4F4F40"/>
    <w:rsid w:val="5A5067F1"/>
    <w:rsid w:val="5A9410D3"/>
    <w:rsid w:val="5AB23A35"/>
    <w:rsid w:val="5AB67F8E"/>
    <w:rsid w:val="5ACB0186"/>
    <w:rsid w:val="5AF413B3"/>
    <w:rsid w:val="5B4F7AA0"/>
    <w:rsid w:val="5BFE0C9C"/>
    <w:rsid w:val="5C0A42B8"/>
    <w:rsid w:val="5C1C19F8"/>
    <w:rsid w:val="5C2A1A4D"/>
    <w:rsid w:val="5C3914B8"/>
    <w:rsid w:val="5C5A1297"/>
    <w:rsid w:val="5C6D68F5"/>
    <w:rsid w:val="5C745D60"/>
    <w:rsid w:val="5C855BE8"/>
    <w:rsid w:val="5C85755D"/>
    <w:rsid w:val="5CD55962"/>
    <w:rsid w:val="5CDF74D3"/>
    <w:rsid w:val="5D0E0ECC"/>
    <w:rsid w:val="5D522C2D"/>
    <w:rsid w:val="5D5E19EB"/>
    <w:rsid w:val="5D7647EC"/>
    <w:rsid w:val="5D822994"/>
    <w:rsid w:val="5D8B40D2"/>
    <w:rsid w:val="5DAC4ACD"/>
    <w:rsid w:val="5DB52598"/>
    <w:rsid w:val="5DBA1FF8"/>
    <w:rsid w:val="5DC33928"/>
    <w:rsid w:val="5DD459F3"/>
    <w:rsid w:val="5DF82171"/>
    <w:rsid w:val="5DF86BCD"/>
    <w:rsid w:val="5E10717F"/>
    <w:rsid w:val="5E174527"/>
    <w:rsid w:val="5E1D3725"/>
    <w:rsid w:val="5E215970"/>
    <w:rsid w:val="5E294ECF"/>
    <w:rsid w:val="5E37668B"/>
    <w:rsid w:val="5E57277F"/>
    <w:rsid w:val="5E7B1844"/>
    <w:rsid w:val="5E8A597E"/>
    <w:rsid w:val="5E934598"/>
    <w:rsid w:val="5E9C51FA"/>
    <w:rsid w:val="5EA7453C"/>
    <w:rsid w:val="5EAD2CA1"/>
    <w:rsid w:val="5EB05373"/>
    <w:rsid w:val="5EC42D73"/>
    <w:rsid w:val="5ED54C52"/>
    <w:rsid w:val="5EEB67F5"/>
    <w:rsid w:val="5EF43CED"/>
    <w:rsid w:val="5F1A0E03"/>
    <w:rsid w:val="5F673996"/>
    <w:rsid w:val="5F92436A"/>
    <w:rsid w:val="5FC4308D"/>
    <w:rsid w:val="5FD96D6D"/>
    <w:rsid w:val="605B7944"/>
    <w:rsid w:val="605C1BEF"/>
    <w:rsid w:val="608B7F4C"/>
    <w:rsid w:val="60AA7134"/>
    <w:rsid w:val="60B53C44"/>
    <w:rsid w:val="60C346C6"/>
    <w:rsid w:val="60C73328"/>
    <w:rsid w:val="61080A5E"/>
    <w:rsid w:val="6114072B"/>
    <w:rsid w:val="61141727"/>
    <w:rsid w:val="611B34F2"/>
    <w:rsid w:val="61365257"/>
    <w:rsid w:val="615A4729"/>
    <w:rsid w:val="61772D97"/>
    <w:rsid w:val="61C75364"/>
    <w:rsid w:val="61CA25E5"/>
    <w:rsid w:val="61D41829"/>
    <w:rsid w:val="61DC7192"/>
    <w:rsid w:val="61F069B5"/>
    <w:rsid w:val="61F339C5"/>
    <w:rsid w:val="620F042E"/>
    <w:rsid w:val="621252F9"/>
    <w:rsid w:val="62135B16"/>
    <w:rsid w:val="621B07EB"/>
    <w:rsid w:val="622F276E"/>
    <w:rsid w:val="623C05D3"/>
    <w:rsid w:val="625E1FC6"/>
    <w:rsid w:val="62BF011F"/>
    <w:rsid w:val="62C5385C"/>
    <w:rsid w:val="62E321F7"/>
    <w:rsid w:val="630048F7"/>
    <w:rsid w:val="63073F31"/>
    <w:rsid w:val="63215DB8"/>
    <w:rsid w:val="63221E3B"/>
    <w:rsid w:val="632757F0"/>
    <w:rsid w:val="63336BC0"/>
    <w:rsid w:val="636B0205"/>
    <w:rsid w:val="639B0BF9"/>
    <w:rsid w:val="63AF32C8"/>
    <w:rsid w:val="63B77B8E"/>
    <w:rsid w:val="63EA6497"/>
    <w:rsid w:val="642E1481"/>
    <w:rsid w:val="643F33B0"/>
    <w:rsid w:val="644D2D7C"/>
    <w:rsid w:val="644E060D"/>
    <w:rsid w:val="645079A9"/>
    <w:rsid w:val="646B3905"/>
    <w:rsid w:val="64863F08"/>
    <w:rsid w:val="648E77F2"/>
    <w:rsid w:val="64A56FB3"/>
    <w:rsid w:val="64AC27F4"/>
    <w:rsid w:val="64BE130D"/>
    <w:rsid w:val="64BF0070"/>
    <w:rsid w:val="64D7639E"/>
    <w:rsid w:val="650A4AEB"/>
    <w:rsid w:val="655468AC"/>
    <w:rsid w:val="657F61C9"/>
    <w:rsid w:val="659064B3"/>
    <w:rsid w:val="65AB5A3E"/>
    <w:rsid w:val="65B253BE"/>
    <w:rsid w:val="65C25B5A"/>
    <w:rsid w:val="65C67249"/>
    <w:rsid w:val="65CA4FC0"/>
    <w:rsid w:val="65DF299A"/>
    <w:rsid w:val="66337F02"/>
    <w:rsid w:val="666E595E"/>
    <w:rsid w:val="667A425E"/>
    <w:rsid w:val="668F7750"/>
    <w:rsid w:val="669E173D"/>
    <w:rsid w:val="66F70374"/>
    <w:rsid w:val="67372FC6"/>
    <w:rsid w:val="674003AF"/>
    <w:rsid w:val="67524CAD"/>
    <w:rsid w:val="678A0557"/>
    <w:rsid w:val="679E4E5F"/>
    <w:rsid w:val="67A8372D"/>
    <w:rsid w:val="67C96E71"/>
    <w:rsid w:val="67F259FD"/>
    <w:rsid w:val="67FA2386"/>
    <w:rsid w:val="67FE0233"/>
    <w:rsid w:val="68000823"/>
    <w:rsid w:val="682D6C2A"/>
    <w:rsid w:val="682F61EE"/>
    <w:rsid w:val="68375D1F"/>
    <w:rsid w:val="683B79AA"/>
    <w:rsid w:val="68562FF8"/>
    <w:rsid w:val="68644BCB"/>
    <w:rsid w:val="6878082B"/>
    <w:rsid w:val="68846E47"/>
    <w:rsid w:val="68E66D01"/>
    <w:rsid w:val="68E77D19"/>
    <w:rsid w:val="68F10571"/>
    <w:rsid w:val="68F54CB1"/>
    <w:rsid w:val="691E5F87"/>
    <w:rsid w:val="692B0CE1"/>
    <w:rsid w:val="693C1BAD"/>
    <w:rsid w:val="6976424E"/>
    <w:rsid w:val="697E2F09"/>
    <w:rsid w:val="69817E23"/>
    <w:rsid w:val="69D01D88"/>
    <w:rsid w:val="69D6003B"/>
    <w:rsid w:val="69F8671F"/>
    <w:rsid w:val="6A1560B0"/>
    <w:rsid w:val="6A160FCF"/>
    <w:rsid w:val="6A296146"/>
    <w:rsid w:val="6A6B5CA5"/>
    <w:rsid w:val="6A6E57CD"/>
    <w:rsid w:val="6A8F72B9"/>
    <w:rsid w:val="6AAB7F50"/>
    <w:rsid w:val="6AC331AE"/>
    <w:rsid w:val="6AEE7EE0"/>
    <w:rsid w:val="6AF20FCD"/>
    <w:rsid w:val="6B110467"/>
    <w:rsid w:val="6B2B6D43"/>
    <w:rsid w:val="6B60351F"/>
    <w:rsid w:val="6B616392"/>
    <w:rsid w:val="6B981494"/>
    <w:rsid w:val="6BB46349"/>
    <w:rsid w:val="6BCB23F3"/>
    <w:rsid w:val="6BE4727A"/>
    <w:rsid w:val="6BF147EC"/>
    <w:rsid w:val="6C310293"/>
    <w:rsid w:val="6C4D78EB"/>
    <w:rsid w:val="6C5D7FE5"/>
    <w:rsid w:val="6CAE2671"/>
    <w:rsid w:val="6CC90D79"/>
    <w:rsid w:val="6CFB1EF1"/>
    <w:rsid w:val="6D476E8B"/>
    <w:rsid w:val="6D6C728C"/>
    <w:rsid w:val="6D713DD1"/>
    <w:rsid w:val="6D9956BA"/>
    <w:rsid w:val="6DFC351E"/>
    <w:rsid w:val="6E136BC6"/>
    <w:rsid w:val="6E625129"/>
    <w:rsid w:val="6E673517"/>
    <w:rsid w:val="6E6A15C3"/>
    <w:rsid w:val="6EA16987"/>
    <w:rsid w:val="6EB46F69"/>
    <w:rsid w:val="6ED20DF0"/>
    <w:rsid w:val="6ED226F2"/>
    <w:rsid w:val="6ED8510E"/>
    <w:rsid w:val="6F484143"/>
    <w:rsid w:val="6F574271"/>
    <w:rsid w:val="6F5D4785"/>
    <w:rsid w:val="6F646EB9"/>
    <w:rsid w:val="6F750F26"/>
    <w:rsid w:val="6F7B72E9"/>
    <w:rsid w:val="6F830934"/>
    <w:rsid w:val="6F8445D4"/>
    <w:rsid w:val="6F871B78"/>
    <w:rsid w:val="6F877A93"/>
    <w:rsid w:val="6F8D5C1A"/>
    <w:rsid w:val="6F8E342E"/>
    <w:rsid w:val="6F9F7B1B"/>
    <w:rsid w:val="6FA77CDB"/>
    <w:rsid w:val="6FA8133A"/>
    <w:rsid w:val="6FAE4177"/>
    <w:rsid w:val="6FB4515B"/>
    <w:rsid w:val="6FC1459E"/>
    <w:rsid w:val="6FD27139"/>
    <w:rsid w:val="6FE023E8"/>
    <w:rsid w:val="6FF97771"/>
    <w:rsid w:val="700C3252"/>
    <w:rsid w:val="70134CBF"/>
    <w:rsid w:val="70154AEA"/>
    <w:rsid w:val="70242AA9"/>
    <w:rsid w:val="70452F15"/>
    <w:rsid w:val="70476D69"/>
    <w:rsid w:val="705832C7"/>
    <w:rsid w:val="70AF6013"/>
    <w:rsid w:val="70C143B0"/>
    <w:rsid w:val="70CD2B48"/>
    <w:rsid w:val="70E90B8E"/>
    <w:rsid w:val="70EC5DDE"/>
    <w:rsid w:val="71126EE7"/>
    <w:rsid w:val="715454EA"/>
    <w:rsid w:val="715C67EB"/>
    <w:rsid w:val="715F49B2"/>
    <w:rsid w:val="71654E27"/>
    <w:rsid w:val="716D09C4"/>
    <w:rsid w:val="71810CC4"/>
    <w:rsid w:val="719E73CE"/>
    <w:rsid w:val="71BB1166"/>
    <w:rsid w:val="71F6500C"/>
    <w:rsid w:val="72470C12"/>
    <w:rsid w:val="72A2477A"/>
    <w:rsid w:val="72AB1549"/>
    <w:rsid w:val="72B50F8D"/>
    <w:rsid w:val="72BB70AC"/>
    <w:rsid w:val="72D4750A"/>
    <w:rsid w:val="72DC0230"/>
    <w:rsid w:val="731D053E"/>
    <w:rsid w:val="734642F2"/>
    <w:rsid w:val="737B00F4"/>
    <w:rsid w:val="737E24ED"/>
    <w:rsid w:val="738E0060"/>
    <w:rsid w:val="73A43FDE"/>
    <w:rsid w:val="73A86E9D"/>
    <w:rsid w:val="73AB2667"/>
    <w:rsid w:val="73BC6E43"/>
    <w:rsid w:val="73D31A31"/>
    <w:rsid w:val="73E76DC6"/>
    <w:rsid w:val="73F91DCB"/>
    <w:rsid w:val="740404D7"/>
    <w:rsid w:val="740C644E"/>
    <w:rsid w:val="74203020"/>
    <w:rsid w:val="746278E0"/>
    <w:rsid w:val="7498670A"/>
    <w:rsid w:val="74BB5AAD"/>
    <w:rsid w:val="74E22636"/>
    <w:rsid w:val="74EE3F86"/>
    <w:rsid w:val="75117886"/>
    <w:rsid w:val="75323B0D"/>
    <w:rsid w:val="75327ED9"/>
    <w:rsid w:val="757C043C"/>
    <w:rsid w:val="758E41A2"/>
    <w:rsid w:val="75A546BA"/>
    <w:rsid w:val="75B3517B"/>
    <w:rsid w:val="75D21B75"/>
    <w:rsid w:val="76134845"/>
    <w:rsid w:val="762379C3"/>
    <w:rsid w:val="76250430"/>
    <w:rsid w:val="762A6882"/>
    <w:rsid w:val="763079A3"/>
    <w:rsid w:val="763922F4"/>
    <w:rsid w:val="76511525"/>
    <w:rsid w:val="765C03DD"/>
    <w:rsid w:val="765D52E4"/>
    <w:rsid w:val="76B45A88"/>
    <w:rsid w:val="76DB7EA0"/>
    <w:rsid w:val="76F611C4"/>
    <w:rsid w:val="76F8399D"/>
    <w:rsid w:val="77022A79"/>
    <w:rsid w:val="77121D4A"/>
    <w:rsid w:val="77405B54"/>
    <w:rsid w:val="77456278"/>
    <w:rsid w:val="77464D68"/>
    <w:rsid w:val="774B075C"/>
    <w:rsid w:val="77896DD2"/>
    <w:rsid w:val="77A2616D"/>
    <w:rsid w:val="77DBFCAF"/>
    <w:rsid w:val="77E258C0"/>
    <w:rsid w:val="77FC0C7C"/>
    <w:rsid w:val="782A7F03"/>
    <w:rsid w:val="78694227"/>
    <w:rsid w:val="78864E9F"/>
    <w:rsid w:val="78C8614D"/>
    <w:rsid w:val="7915488B"/>
    <w:rsid w:val="7928602E"/>
    <w:rsid w:val="795B49F4"/>
    <w:rsid w:val="795B5726"/>
    <w:rsid w:val="79616DC4"/>
    <w:rsid w:val="799E3A92"/>
    <w:rsid w:val="79E820BE"/>
    <w:rsid w:val="79E86ADE"/>
    <w:rsid w:val="79E92FE1"/>
    <w:rsid w:val="7A350CD5"/>
    <w:rsid w:val="7A862644"/>
    <w:rsid w:val="7AD63356"/>
    <w:rsid w:val="7AE46AFF"/>
    <w:rsid w:val="7B0F7578"/>
    <w:rsid w:val="7B312E12"/>
    <w:rsid w:val="7B331A90"/>
    <w:rsid w:val="7B4128F5"/>
    <w:rsid w:val="7B465735"/>
    <w:rsid w:val="7B58415C"/>
    <w:rsid w:val="7B681A01"/>
    <w:rsid w:val="7B86410F"/>
    <w:rsid w:val="7BD3539E"/>
    <w:rsid w:val="7BE1157D"/>
    <w:rsid w:val="7BE20509"/>
    <w:rsid w:val="7BED32DA"/>
    <w:rsid w:val="7BF6745C"/>
    <w:rsid w:val="7C05253D"/>
    <w:rsid w:val="7C22322D"/>
    <w:rsid w:val="7C2F7FF0"/>
    <w:rsid w:val="7C34115F"/>
    <w:rsid w:val="7C342B51"/>
    <w:rsid w:val="7C35628C"/>
    <w:rsid w:val="7C47478B"/>
    <w:rsid w:val="7C611D31"/>
    <w:rsid w:val="7CA700F4"/>
    <w:rsid w:val="7CAB2C74"/>
    <w:rsid w:val="7CB42860"/>
    <w:rsid w:val="7CD804CD"/>
    <w:rsid w:val="7D021F92"/>
    <w:rsid w:val="7D0D5098"/>
    <w:rsid w:val="7D212F91"/>
    <w:rsid w:val="7D37215D"/>
    <w:rsid w:val="7D5C0643"/>
    <w:rsid w:val="7D93317A"/>
    <w:rsid w:val="7D933D6B"/>
    <w:rsid w:val="7DB5217D"/>
    <w:rsid w:val="7E6E2E4D"/>
    <w:rsid w:val="7E7A235B"/>
    <w:rsid w:val="7E8C2284"/>
    <w:rsid w:val="7EAB03F1"/>
    <w:rsid w:val="7EBA4C74"/>
    <w:rsid w:val="7EBE6F11"/>
    <w:rsid w:val="7EC40A46"/>
    <w:rsid w:val="7EC85D6B"/>
    <w:rsid w:val="7ECB3264"/>
    <w:rsid w:val="7ED42BA3"/>
    <w:rsid w:val="7EDF4CAE"/>
    <w:rsid w:val="7EE30DF1"/>
    <w:rsid w:val="7EFB6855"/>
    <w:rsid w:val="7F0F3D01"/>
    <w:rsid w:val="7F304FB8"/>
    <w:rsid w:val="7F340A37"/>
    <w:rsid w:val="7F3F45A5"/>
    <w:rsid w:val="7F614BA1"/>
    <w:rsid w:val="7F833D8D"/>
    <w:rsid w:val="7F89711B"/>
    <w:rsid w:val="7FD05443"/>
    <w:rsid w:val="7FE02C3C"/>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7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Document Map"/>
    <w:basedOn w:val="1"/>
    <w:link w:val="71"/>
    <w:qFormat/>
    <w:uiPriority w:val="0"/>
    <w:rPr>
      <w:rFonts w:ascii="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77"/>
    <w:qFormat/>
    <w:uiPriority w:val="99"/>
    <w:pPr>
      <w:jc w:val="left"/>
    </w:pPr>
  </w:style>
  <w:style w:type="paragraph" w:styleId="12">
    <w:name w:val="Body Text"/>
    <w:basedOn w:val="1"/>
    <w:next w:val="1"/>
    <w:link w:val="76"/>
    <w:qFormat/>
    <w:uiPriority w:val="0"/>
    <w:pPr>
      <w:tabs>
        <w:tab w:val="left" w:pos="567"/>
      </w:tabs>
      <w:spacing w:before="120" w:line="22" w:lineRule="atLeast"/>
    </w:pPr>
    <w:rPr>
      <w:rFonts w:ascii="宋体" w:hAnsi="宋体"/>
      <w:sz w:val="24"/>
    </w:rPr>
  </w:style>
  <w:style w:type="paragraph" w:styleId="13">
    <w:name w:val="Body Text Indent"/>
    <w:basedOn w:val="1"/>
    <w:qFormat/>
    <w:uiPriority w:val="0"/>
    <w:pPr>
      <w:spacing w:line="360" w:lineRule="auto"/>
      <w:ind w:firstLine="570"/>
    </w:pPr>
    <w:rPr>
      <w:sz w:val="24"/>
    </w:rPr>
  </w:style>
  <w:style w:type="paragraph" w:styleId="14">
    <w:name w:val="Block Text"/>
    <w:basedOn w:val="1"/>
    <w:qFormat/>
    <w:uiPriority w:val="99"/>
    <w:pPr>
      <w:spacing w:after="120"/>
      <w:ind w:left="1440" w:leftChars="700" w:right="144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
    <w:link w:val="75"/>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72"/>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68"/>
    <w:qFormat/>
    <w:uiPriority w:val="0"/>
    <w:rPr>
      <w:sz w:val="18"/>
      <w:szCs w:val="18"/>
    </w:rPr>
  </w:style>
  <w:style w:type="paragraph" w:styleId="22">
    <w:name w:val="footer"/>
    <w:basedOn w:val="1"/>
    <w:link w:val="6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unhideWhenUsed/>
    <w:qFormat/>
    <w:uiPriority w:val="99"/>
    <w:pPr>
      <w:spacing w:before="75" w:after="75"/>
      <w:jc w:val="left"/>
    </w:pPr>
    <w:rPr>
      <w:kern w:val="0"/>
      <w:sz w:val="24"/>
    </w:rPr>
  </w:style>
  <w:style w:type="paragraph" w:styleId="31">
    <w:name w:val="index 1"/>
    <w:basedOn w:val="1"/>
    <w:next w:val="1"/>
    <w:semiHidden/>
    <w:qFormat/>
    <w:uiPriority w:val="0"/>
    <w:rPr>
      <w:szCs w:val="20"/>
    </w:rPr>
  </w:style>
  <w:style w:type="paragraph" w:styleId="32">
    <w:name w:val="annotation subject"/>
    <w:basedOn w:val="11"/>
    <w:next w:val="11"/>
    <w:link w:val="78"/>
    <w:qFormat/>
    <w:uiPriority w:val="0"/>
    <w:rPr>
      <w:b/>
      <w:bCs/>
    </w:rPr>
  </w:style>
  <w:style w:type="paragraph" w:styleId="33">
    <w:name w:val="Body Text First Indent"/>
    <w:basedOn w:val="12"/>
    <w:qFormat/>
    <w:uiPriority w:val="0"/>
    <w:pPr>
      <w:ind w:firstLine="420" w:firstLineChars="100"/>
    </w:pPr>
  </w:style>
  <w:style w:type="paragraph" w:styleId="34">
    <w:name w:val="Body Text First Indent 2"/>
    <w:basedOn w:val="1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表格文字"/>
    <w:basedOn w:val="1"/>
    <w:qFormat/>
    <w:uiPriority w:val="0"/>
    <w:pPr>
      <w:spacing w:before="25" w:after="25"/>
      <w:jc w:val="left"/>
    </w:pPr>
    <w:rPr>
      <w:bCs/>
      <w:spacing w:val="10"/>
      <w:kern w:val="0"/>
      <w:sz w:val="24"/>
      <w:szCs w:val="20"/>
    </w:rPr>
  </w:style>
  <w:style w:type="paragraph" w:customStyle="1" w:styleId="43">
    <w:name w:val="索引 11"/>
    <w:basedOn w:val="1"/>
    <w:next w:val="1"/>
    <w:qFormat/>
    <w:uiPriority w:val="0"/>
    <w:pPr>
      <w:spacing w:line="360" w:lineRule="auto"/>
    </w:pPr>
    <w:rPr>
      <w:rFonts w:ascii="仿宋_GB2312" w:eastAsia="仿宋_GB2312"/>
      <w:sz w:val="24"/>
      <w:szCs w:val="20"/>
    </w:rPr>
  </w:style>
  <w:style w:type="paragraph" w:customStyle="1" w:styleId="44">
    <w:name w:val="列出段落1"/>
    <w:basedOn w:val="1"/>
    <w:qFormat/>
    <w:uiPriority w:val="34"/>
    <w:pPr>
      <w:widowControl/>
      <w:ind w:firstLine="420" w:firstLineChars="200"/>
      <w:jc w:val="left"/>
    </w:pPr>
    <w:rPr>
      <w:kern w:val="0"/>
      <w:sz w:val="24"/>
    </w:rPr>
  </w:style>
  <w:style w:type="paragraph" w:customStyle="1" w:styleId="45">
    <w:name w:val="列出段落11"/>
    <w:basedOn w:val="1"/>
    <w:next w:val="44"/>
    <w:qFormat/>
    <w:uiPriority w:val="34"/>
    <w:pPr>
      <w:widowControl/>
      <w:ind w:firstLine="420" w:firstLineChars="200"/>
      <w:jc w:val="left"/>
    </w:pPr>
    <w:rPr>
      <w:rFonts w:ascii="宋体" w:hAnsi="宋体" w:cs="宋体"/>
      <w:kern w:val="0"/>
      <w:sz w:val="24"/>
    </w:rPr>
  </w:style>
  <w:style w:type="paragraph" w:customStyle="1" w:styleId="46">
    <w:name w:val="List Paragraph1"/>
    <w:basedOn w:val="1"/>
    <w:qFormat/>
    <w:uiPriority w:val="34"/>
    <w:pPr>
      <w:ind w:firstLine="420" w:firstLineChars="200"/>
    </w:pPr>
  </w:style>
  <w:style w:type="paragraph" w:customStyle="1" w:styleId="47">
    <w:name w:val="Table Paragraph"/>
    <w:basedOn w:val="1"/>
    <w:qFormat/>
    <w:uiPriority w:val="1"/>
    <w:pPr>
      <w:widowControl/>
      <w:jc w:val="left"/>
    </w:pPr>
    <w:rPr>
      <w:rFonts w:ascii="宋体" w:hAnsi="宋体" w:cs="宋体"/>
      <w:kern w:val="0"/>
      <w:szCs w:val="20"/>
      <w:lang w:val="zh-CN" w:bidi="zh-CN"/>
    </w:rPr>
  </w:style>
  <w:style w:type="paragraph" w:customStyle="1" w:styleId="48">
    <w:name w:val="p0"/>
    <w:basedOn w:val="1"/>
    <w:qFormat/>
    <w:uiPriority w:val="0"/>
    <w:pPr>
      <w:widowControl/>
    </w:pPr>
    <w:rPr>
      <w:kern w:val="0"/>
      <w:szCs w:val="21"/>
    </w:rPr>
  </w:style>
  <w:style w:type="paragraph" w:customStyle="1" w:styleId="49">
    <w:name w:val="图例"/>
    <w:basedOn w:val="1"/>
    <w:qFormat/>
    <w:uiPriority w:val="0"/>
    <w:pPr>
      <w:spacing w:before="120" w:after="120" w:line="360" w:lineRule="auto"/>
      <w:jc w:val="center"/>
    </w:pPr>
    <w:rPr>
      <w:rFonts w:eastAsia="仿宋_GB2312"/>
      <w:b/>
      <w:sz w:val="24"/>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正文段"/>
    <w:basedOn w:val="1"/>
    <w:qFormat/>
    <w:uiPriority w:val="0"/>
    <w:pPr>
      <w:widowControl/>
      <w:snapToGrid w:val="0"/>
      <w:spacing w:afterLines="50"/>
      <w:ind w:firstLine="200" w:firstLineChars="200"/>
    </w:pPr>
    <w:rPr>
      <w:kern w:val="0"/>
      <w:sz w:val="24"/>
    </w:rPr>
  </w:style>
  <w:style w:type="paragraph" w:customStyle="1" w:styleId="52">
    <w:name w:val="首行缩进"/>
    <w:basedOn w:val="1"/>
    <w:qFormat/>
    <w:uiPriority w:val="0"/>
    <w:pPr>
      <w:ind w:firstLine="480" w:firstLineChars="200"/>
    </w:pPr>
    <w:rPr>
      <w:lang w:val="zh-CN"/>
    </w:rPr>
  </w:style>
  <w:style w:type="paragraph" w:customStyle="1" w:styleId="53">
    <w:name w:val="纯文本1"/>
    <w:basedOn w:val="1"/>
    <w:link w:val="69"/>
    <w:qFormat/>
    <w:uiPriority w:val="0"/>
    <w:rPr>
      <w:rFonts w:ascii="宋体" w:hAnsi="Courier New"/>
      <w:kern w:val="0"/>
      <w:sz w:val="20"/>
      <w:szCs w:val="20"/>
    </w:rPr>
  </w:style>
  <w:style w:type="paragraph" w:customStyle="1" w:styleId="54">
    <w:name w:val="Char"/>
    <w:basedOn w:val="1"/>
    <w:qFormat/>
    <w:uiPriority w:val="0"/>
    <w:pPr>
      <w:tabs>
        <w:tab w:val="left" w:pos="360"/>
      </w:tabs>
    </w:pPr>
    <w:rPr>
      <w:sz w:val="24"/>
    </w:rPr>
  </w:style>
  <w:style w:type="paragraph" w:customStyle="1" w:styleId="55">
    <w:name w:val="正文缩进1"/>
    <w:basedOn w:val="1"/>
    <w:link w:val="58"/>
    <w:qFormat/>
    <w:uiPriority w:val="0"/>
    <w:pPr>
      <w:autoSpaceDE w:val="0"/>
      <w:autoSpaceDN w:val="0"/>
      <w:adjustRightInd w:val="0"/>
      <w:ind w:firstLine="420"/>
      <w:jc w:val="left"/>
    </w:pPr>
    <w:rPr>
      <w:rFonts w:ascii="宋体"/>
      <w:kern w:val="0"/>
      <w:sz w:val="24"/>
      <w:szCs w:val="20"/>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7">
    <w:name w:val="font91"/>
    <w:basedOn w:val="37"/>
    <w:qFormat/>
    <w:uiPriority w:val="0"/>
    <w:rPr>
      <w:rFonts w:hint="eastAsia" w:ascii="宋体" w:hAnsi="宋体" w:eastAsia="宋体" w:cs="宋体"/>
      <w:color w:val="000000"/>
      <w:sz w:val="20"/>
      <w:szCs w:val="20"/>
      <w:u w:val="none"/>
      <w:vertAlign w:val="subscript"/>
    </w:rPr>
  </w:style>
  <w:style w:type="character" w:customStyle="1" w:styleId="58">
    <w:name w:val="正文缩进 Char1"/>
    <w:link w:val="55"/>
    <w:qFormat/>
    <w:uiPriority w:val="0"/>
    <w:rPr>
      <w:rFonts w:ascii="宋体"/>
      <w:sz w:val="24"/>
    </w:rPr>
  </w:style>
  <w:style w:type="character" w:customStyle="1" w:styleId="59">
    <w:name w:val="批注主题 Char1"/>
    <w:semiHidden/>
    <w:qFormat/>
    <w:uiPriority w:val="99"/>
    <w:rPr>
      <w:b/>
      <w:bCs/>
      <w:kern w:val="2"/>
      <w:sz w:val="21"/>
      <w:szCs w:val="24"/>
    </w:rPr>
  </w:style>
  <w:style w:type="character" w:customStyle="1" w:styleId="60">
    <w:name w:val="font31"/>
    <w:basedOn w:val="37"/>
    <w:qFormat/>
    <w:uiPriority w:val="0"/>
    <w:rPr>
      <w:rFonts w:hint="eastAsia" w:ascii="宋体" w:hAnsi="宋体" w:eastAsia="宋体" w:cs="宋体"/>
      <w:color w:val="404040"/>
      <w:sz w:val="20"/>
      <w:szCs w:val="20"/>
      <w:u w:val="none"/>
    </w:rPr>
  </w:style>
  <w:style w:type="character" w:customStyle="1" w:styleId="61">
    <w:name w:val="font61"/>
    <w:basedOn w:val="37"/>
    <w:qFormat/>
    <w:uiPriority w:val="0"/>
    <w:rPr>
      <w:rFonts w:hint="eastAsia" w:ascii="宋体" w:hAnsi="宋体" w:eastAsia="宋体" w:cs="宋体"/>
      <w:color w:val="333333"/>
      <w:sz w:val="20"/>
      <w:szCs w:val="20"/>
      <w:u w:val="none"/>
    </w:rPr>
  </w:style>
  <w:style w:type="character" w:customStyle="1" w:styleId="62">
    <w:name w:val="页眉 Char"/>
    <w:link w:val="23"/>
    <w:qFormat/>
    <w:uiPriority w:val="99"/>
    <w:rPr>
      <w:kern w:val="2"/>
      <w:sz w:val="18"/>
      <w:szCs w:val="18"/>
    </w:rPr>
  </w:style>
  <w:style w:type="character" w:customStyle="1" w:styleId="63">
    <w:name w:val="批注文字 Char1"/>
    <w:semiHidden/>
    <w:qFormat/>
    <w:uiPriority w:val="99"/>
    <w:rPr>
      <w:kern w:val="2"/>
      <w:sz w:val="21"/>
      <w:szCs w:val="24"/>
    </w:rPr>
  </w:style>
  <w:style w:type="character" w:customStyle="1" w:styleId="64">
    <w:name w:val="font41"/>
    <w:basedOn w:val="37"/>
    <w:qFormat/>
    <w:uiPriority w:val="0"/>
    <w:rPr>
      <w:rFonts w:hint="eastAsia" w:ascii="宋体" w:hAnsi="宋体" w:eastAsia="宋体" w:cs="宋体"/>
      <w:color w:val="000000"/>
      <w:sz w:val="20"/>
      <w:szCs w:val="20"/>
      <w:u w:val="none"/>
    </w:rPr>
  </w:style>
  <w:style w:type="character" w:customStyle="1" w:styleId="65">
    <w:name w:val="页脚 Char"/>
    <w:link w:val="22"/>
    <w:qFormat/>
    <w:uiPriority w:val="99"/>
    <w:rPr>
      <w:rFonts w:ascii="宋体"/>
      <w:sz w:val="18"/>
    </w:rPr>
  </w:style>
  <w:style w:type="character" w:customStyle="1" w:styleId="66">
    <w:name w:val="font101"/>
    <w:basedOn w:val="37"/>
    <w:qFormat/>
    <w:uiPriority w:val="0"/>
    <w:rPr>
      <w:rFonts w:hint="eastAsia" w:ascii="宋体" w:hAnsi="宋体" w:eastAsia="宋体" w:cs="宋体"/>
      <w:color w:val="000000"/>
      <w:sz w:val="20"/>
      <w:szCs w:val="20"/>
      <w:u w:val="none"/>
    </w:rPr>
  </w:style>
  <w:style w:type="character" w:customStyle="1" w:styleId="67">
    <w:name w:val="标题 2 Char"/>
    <w:link w:val="4"/>
    <w:qFormat/>
    <w:uiPriority w:val="0"/>
    <w:rPr>
      <w:rFonts w:ascii="Arial" w:hAnsi="Arial" w:eastAsia="黑体"/>
      <w:b/>
      <w:sz w:val="30"/>
    </w:rPr>
  </w:style>
  <w:style w:type="character" w:customStyle="1" w:styleId="68">
    <w:name w:val="批注框文本 Char"/>
    <w:link w:val="21"/>
    <w:qFormat/>
    <w:uiPriority w:val="0"/>
    <w:rPr>
      <w:kern w:val="2"/>
      <w:sz w:val="18"/>
      <w:szCs w:val="18"/>
    </w:rPr>
  </w:style>
  <w:style w:type="character" w:customStyle="1" w:styleId="69">
    <w:name w:val="纯文本 Char1"/>
    <w:link w:val="53"/>
    <w:qFormat/>
    <w:uiPriority w:val="0"/>
    <w:rPr>
      <w:rFonts w:ascii="宋体" w:hAnsi="Courier New"/>
    </w:rPr>
  </w:style>
  <w:style w:type="character" w:customStyle="1" w:styleId="70">
    <w:name w:val="font81"/>
    <w:basedOn w:val="37"/>
    <w:qFormat/>
    <w:uiPriority w:val="0"/>
    <w:rPr>
      <w:rFonts w:hint="eastAsia" w:ascii="宋体" w:hAnsi="宋体" w:eastAsia="宋体" w:cs="宋体"/>
      <w:color w:val="404040"/>
      <w:sz w:val="20"/>
      <w:szCs w:val="20"/>
      <w:u w:val="none"/>
    </w:rPr>
  </w:style>
  <w:style w:type="character" w:customStyle="1" w:styleId="71">
    <w:name w:val="文档结构图 Char"/>
    <w:basedOn w:val="37"/>
    <w:link w:val="9"/>
    <w:qFormat/>
    <w:uiPriority w:val="0"/>
    <w:rPr>
      <w:rFonts w:ascii="宋体"/>
      <w:kern w:val="2"/>
      <w:sz w:val="18"/>
      <w:szCs w:val="18"/>
    </w:rPr>
  </w:style>
  <w:style w:type="character" w:customStyle="1" w:styleId="72">
    <w:name w:val="日期 Char"/>
    <w:link w:val="19"/>
    <w:qFormat/>
    <w:uiPriority w:val="0"/>
    <w:rPr>
      <w:rFonts w:ascii="仿宋_GB2312" w:hAnsi="宋体" w:eastAsia="仿宋_GB2312"/>
      <w:color w:val="000000"/>
      <w:kern w:val="2"/>
      <w:sz w:val="24"/>
      <w:szCs w:val="24"/>
    </w:rPr>
  </w:style>
  <w:style w:type="character" w:customStyle="1" w:styleId="73">
    <w:name w:val="页眉 Char1"/>
    <w:semiHidden/>
    <w:qFormat/>
    <w:uiPriority w:val="99"/>
    <w:rPr>
      <w:kern w:val="2"/>
      <w:sz w:val="18"/>
      <w:szCs w:val="18"/>
    </w:rPr>
  </w:style>
  <w:style w:type="character" w:customStyle="1" w:styleId="74">
    <w:name w:val="批注框文本 Char1"/>
    <w:semiHidden/>
    <w:qFormat/>
    <w:uiPriority w:val="99"/>
    <w:rPr>
      <w:kern w:val="2"/>
      <w:sz w:val="18"/>
      <w:szCs w:val="18"/>
    </w:rPr>
  </w:style>
  <w:style w:type="character" w:customStyle="1" w:styleId="75">
    <w:name w:val="纯文本 Char"/>
    <w:link w:val="17"/>
    <w:qFormat/>
    <w:uiPriority w:val="0"/>
    <w:rPr>
      <w:rFonts w:ascii="宋体" w:hAnsi="Courier New"/>
      <w:kern w:val="2"/>
      <w:sz w:val="21"/>
    </w:rPr>
  </w:style>
  <w:style w:type="character" w:customStyle="1" w:styleId="76">
    <w:name w:val="正文文本 Char"/>
    <w:link w:val="12"/>
    <w:qFormat/>
    <w:uiPriority w:val="0"/>
    <w:rPr>
      <w:rFonts w:ascii="宋体" w:hAnsi="宋体"/>
      <w:kern w:val="2"/>
      <w:sz w:val="24"/>
      <w:szCs w:val="24"/>
    </w:rPr>
  </w:style>
  <w:style w:type="character" w:customStyle="1" w:styleId="77">
    <w:name w:val="批注文字 Char"/>
    <w:link w:val="11"/>
    <w:qFormat/>
    <w:uiPriority w:val="99"/>
    <w:rPr>
      <w:kern w:val="2"/>
      <w:sz w:val="21"/>
      <w:szCs w:val="24"/>
    </w:rPr>
  </w:style>
  <w:style w:type="character" w:customStyle="1" w:styleId="78">
    <w:name w:val="批注主题 Char"/>
    <w:link w:val="32"/>
    <w:qFormat/>
    <w:uiPriority w:val="0"/>
    <w:rPr>
      <w:b/>
      <w:bCs/>
      <w:kern w:val="2"/>
      <w:sz w:val="21"/>
      <w:szCs w:val="24"/>
    </w:rPr>
  </w:style>
  <w:style w:type="character" w:customStyle="1" w:styleId="79">
    <w:name w:val="标题 3 Char"/>
    <w:link w:val="6"/>
    <w:qFormat/>
    <w:uiPriority w:val="0"/>
    <w:rPr>
      <w:rFonts w:ascii="宋体"/>
      <w:b/>
      <w:sz w:val="24"/>
      <w:u w:val="single"/>
    </w:rPr>
  </w:style>
  <w:style w:type="character" w:customStyle="1" w:styleId="80">
    <w:name w:val="标题 1 Char"/>
    <w:link w:val="3"/>
    <w:qFormat/>
    <w:uiPriority w:val="0"/>
    <w:rPr>
      <w:rFonts w:ascii="宋体"/>
      <w:b/>
      <w:kern w:val="44"/>
      <w:sz w:val="32"/>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样式 正文（首行缩进两字） + 首行缩进:  2 字符2"/>
    <w:basedOn w:val="5"/>
    <w:qFormat/>
    <w:uiPriority w:val="0"/>
    <w:pPr>
      <w:spacing w:line="360" w:lineRule="auto"/>
      <w:ind w:firstLine="0"/>
      <w:textAlignment w:val="baseline"/>
    </w:pPr>
    <w:rPr>
      <w:rFonts w:hAnsi="宋体" w:eastAsia="楷体_GB2312" w:cs="宋体"/>
      <w:bCs/>
      <w:kern w:val="2"/>
      <w:sz w:val="21"/>
      <w:szCs w:val="21"/>
    </w:rPr>
  </w:style>
  <w:style w:type="paragraph" w:customStyle="1" w:styleId="83">
    <w:name w:val="PlainText"/>
    <w:basedOn w:val="1"/>
    <w:qFormat/>
    <w:uiPriority w:val="0"/>
    <w:pPr>
      <w:textAlignment w:val="baseline"/>
    </w:pPr>
    <w:rPr>
      <w:rFonts w:ascii="宋体" w:hAnsi="Courier New"/>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85">
    <w:name w:val="fontstyle01"/>
    <w:qFormat/>
    <w:uiPriority w:val="0"/>
    <w:rPr>
      <w:rFonts w:hint="eastAsia" w:ascii="宋体" w:hAnsi="宋体" w:eastAsia="宋体"/>
      <w:color w:val="000000"/>
      <w:sz w:val="22"/>
      <w:szCs w:val="22"/>
    </w:rPr>
  </w:style>
  <w:style w:type="paragraph" w:customStyle="1" w:styleId="86">
    <w:name w:val="正文1"/>
    <w:qFormat/>
    <w:uiPriority w:val="0"/>
    <w:pPr>
      <w:jc w:val="both"/>
    </w:pPr>
    <w:rPr>
      <w:rFonts w:ascii="Calibri" w:hAnsi="Calibri" w:eastAsia="宋体" w:cs="宋体"/>
      <w:kern w:val="2"/>
      <w:sz w:val="21"/>
      <w:szCs w:val="21"/>
      <w:lang w:val="en-US" w:eastAsia="zh-CN" w:bidi="ar-SA"/>
    </w:rPr>
  </w:style>
  <w:style w:type="paragraph" w:customStyle="1" w:styleId="87">
    <w:name w:val="正文_3"/>
    <w:basedOn w:val="88"/>
    <w:qFormat/>
    <w:uiPriority w:val="0"/>
    <w:rPr>
      <w:rFonts w:ascii="Calibri" w:hAnsi="Calibri"/>
      <w:szCs w:val="22"/>
    </w:rPr>
  </w:style>
  <w:style w:type="paragraph" w:customStyle="1" w:styleId="88">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
    <w:basedOn w:val="37"/>
    <w:qFormat/>
    <w:uiPriority w:val="0"/>
  </w:style>
  <w:style w:type="paragraph" w:customStyle="1" w:styleId="9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customShpInfo spid="_x0000_s1033"/>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A404C-10E1-44E6-BAFB-7A8CAECE1F10}">
  <ds:schemaRefs/>
</ds:datastoreItem>
</file>

<file path=docProps/app.xml><?xml version="1.0" encoding="utf-8"?>
<Properties xmlns="http://schemas.openxmlformats.org/officeDocument/2006/extended-properties" xmlns:vt="http://schemas.openxmlformats.org/officeDocument/2006/docPropsVTypes">
  <Template>Normal</Template>
  <Pages>70</Pages>
  <Words>6872</Words>
  <Characters>39176</Characters>
  <Lines>326</Lines>
  <Paragraphs>91</Paragraphs>
  <TotalTime>8</TotalTime>
  <ScaleCrop>false</ScaleCrop>
  <LinksUpToDate>false</LinksUpToDate>
  <CharactersWithSpaces>45957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未挽</cp:lastModifiedBy>
  <cp:lastPrinted>2022-03-17T02:08:00Z</cp:lastPrinted>
  <dcterms:modified xsi:type="dcterms:W3CDTF">2022-10-27T06:29:30Z</dcterms:modified>
  <dc:title>02年杜范本稿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D82C2643A4A04EF7ABD9FE989BD9B1BE</vt:lpwstr>
  </property>
</Properties>
</file>