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cs="宋体"/>
          <w:b/>
          <w:kern w:val="0"/>
          <w:sz w:val="28"/>
          <w:szCs w:val="28"/>
          <w:highlight w:val="none"/>
          <w:lang w:val="en-US" w:eastAsia="zh-CN"/>
        </w:rPr>
      </w:pPr>
      <w:bookmarkStart w:id="0" w:name="_Toc406671082"/>
      <w:bookmarkStart w:id="1" w:name="_Toc406672380"/>
      <w:bookmarkStart w:id="2" w:name="_Toc406670710"/>
      <w:bookmarkStart w:id="3" w:name="_Toc406671674"/>
      <w:r>
        <w:rPr>
          <w:rFonts w:hint="eastAsia" w:ascii="宋体" w:hAnsi="宋体" w:cs="宋体"/>
          <w:b/>
          <w:kern w:val="0"/>
          <w:sz w:val="28"/>
          <w:szCs w:val="28"/>
          <w:highlight w:val="none"/>
        </w:rPr>
        <w:t>项目编号：ZFCGHY-</w:t>
      </w:r>
      <w:r>
        <w:rPr>
          <w:rFonts w:hint="eastAsia" w:ascii="宋体" w:hAnsi="宋体" w:cs="宋体"/>
          <w:b/>
          <w:kern w:val="0"/>
          <w:sz w:val="28"/>
          <w:szCs w:val="28"/>
          <w:highlight w:val="none"/>
          <w:lang w:val="en-US" w:eastAsia="zh-CN"/>
        </w:rPr>
        <w:t>20220096</w:t>
      </w:r>
    </w:p>
    <w:p>
      <w:pPr>
        <w:jc w:val="right"/>
        <w:rPr>
          <w:rFonts w:hint="eastAsia" w:ascii="宋体" w:hAnsi="宋体" w:cs="宋体"/>
          <w:b/>
          <w:kern w:val="0"/>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cs="宋体"/>
          <w:b/>
          <w:bCs/>
          <w:kern w:val="0"/>
          <w:sz w:val="48"/>
          <w:szCs w:val="48"/>
          <w:highlight w:val="none"/>
          <w:lang w:eastAsia="zh-CN"/>
        </w:rPr>
      </w:pPr>
      <w:r>
        <w:rPr>
          <w:rFonts w:hint="eastAsia" w:ascii="宋体" w:hAnsi="宋体" w:cs="宋体"/>
          <w:b/>
          <w:bCs/>
          <w:kern w:val="0"/>
          <w:sz w:val="48"/>
          <w:szCs w:val="48"/>
          <w:highlight w:val="none"/>
          <w:lang w:eastAsia="zh-CN"/>
        </w:rPr>
        <w:t>乌鲁木齐职业大学北辰校区建设项目可行性研究报告编制技术服务项目</w:t>
      </w:r>
    </w:p>
    <w:p>
      <w:pPr>
        <w:pStyle w:val="2"/>
        <w:rPr>
          <w:rFonts w:hint="eastAsia"/>
          <w:lang w:eastAsia="zh-CN"/>
        </w:rPr>
      </w:pPr>
    </w:p>
    <w:p>
      <w:pPr>
        <w:autoSpaceDE w:val="0"/>
        <w:autoSpaceDN w:val="0"/>
        <w:adjustRightInd w:val="0"/>
        <w:spacing w:line="360" w:lineRule="auto"/>
        <w:jc w:val="center"/>
        <w:rPr>
          <w:rFonts w:hint="eastAsia" w:ascii="宋体" w:hAnsi="宋体" w:cs="宋体"/>
          <w:b/>
          <w:bCs/>
          <w:kern w:val="0"/>
          <w:sz w:val="56"/>
          <w:szCs w:val="56"/>
          <w:highlight w:val="none"/>
        </w:rPr>
      </w:pPr>
      <w:r>
        <w:rPr>
          <w:rFonts w:hint="eastAsia" w:ascii="宋体" w:hAnsi="宋体" w:cs="宋体"/>
          <w:b/>
          <w:bCs/>
          <w:kern w:val="0"/>
          <w:sz w:val="56"/>
          <w:szCs w:val="56"/>
          <w:highlight w:val="none"/>
          <w:lang w:val="en-US" w:eastAsia="zh-CN"/>
        </w:rPr>
        <w:t>竞争性磋商</w:t>
      </w:r>
      <w:r>
        <w:rPr>
          <w:rFonts w:hint="eastAsia" w:ascii="宋体" w:hAnsi="宋体" w:cs="宋体"/>
          <w:b/>
          <w:bCs/>
          <w:kern w:val="0"/>
          <w:sz w:val="56"/>
          <w:szCs w:val="56"/>
          <w:highlight w:val="none"/>
        </w:rPr>
        <w:t>文件</w:t>
      </w:r>
    </w:p>
    <w:p>
      <w:pPr>
        <w:pStyle w:val="6"/>
        <w:numPr>
          <w:ilvl w:val="0"/>
          <w:numId w:val="0"/>
        </w:numPr>
        <w:ind w:left="720" w:hanging="720"/>
        <w:jc w:val="center"/>
        <w:rPr>
          <w:rFonts w:hint="eastAsia"/>
          <w:highlight w:val="none"/>
        </w:rPr>
      </w:pPr>
      <w:r>
        <w:rPr>
          <w:highlight w:val="none"/>
        </w:rPr>
        <w:fldChar w:fldCharType="begin"/>
      </w:r>
      <w:r>
        <w:rPr>
          <w:highlight w:val="none"/>
        </w:rPr>
        <w:instrText xml:space="preserve"> INCLUDEPICTURE "E:\\Documents%20and%20Settings\\Administrator\\My%20Documents\\Tencent%20Files\\348424112\\Image\\C2C\\%5b35@IDDQEUL@STM3E(G$%7bUT.jpg" \* MERGEFORMAT </w:instrText>
      </w:r>
      <w:r>
        <w:rPr>
          <w:highlight w:val="none"/>
        </w:rPr>
        <w:fldChar w:fldCharType="separate"/>
      </w:r>
      <w:r>
        <w:rPr>
          <w:b/>
          <w:highlight w:val="none"/>
        </w:rPr>
        <w:drawing>
          <wp:inline distT="0" distB="0" distL="114300" distR="114300">
            <wp:extent cx="1530985" cy="2065020"/>
            <wp:effectExtent l="0" t="0" r="5715"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4"/>
                    <a:stretch>
                      <a:fillRect/>
                    </a:stretch>
                  </pic:blipFill>
                  <pic:spPr>
                    <a:xfrm>
                      <a:off x="0" y="0"/>
                      <a:ext cx="1530985" cy="2065020"/>
                    </a:xfrm>
                    <a:prstGeom prst="rect">
                      <a:avLst/>
                    </a:prstGeom>
                    <a:noFill/>
                    <a:ln>
                      <a:noFill/>
                    </a:ln>
                  </pic:spPr>
                </pic:pic>
              </a:graphicData>
            </a:graphic>
          </wp:inline>
        </w:drawing>
      </w:r>
      <w:r>
        <w:rPr>
          <w:highlight w:val="none"/>
        </w:rPr>
        <w:fldChar w:fldCharType="end"/>
      </w:r>
    </w:p>
    <w:p>
      <w:pPr>
        <w:pStyle w:val="2"/>
        <w:rPr>
          <w:rFonts w:hint="eastAsia"/>
        </w:rPr>
      </w:pPr>
    </w:p>
    <w:p>
      <w:pPr>
        <w:keepNext w:val="0"/>
        <w:keepLines w:val="0"/>
        <w:pageBreakBefore w:val="0"/>
        <w:widowControl/>
        <w:shd w:val="clear" w:color="auto" w:fill="auto"/>
        <w:kinsoku/>
        <w:wordWrap/>
        <w:overflowPunct/>
        <w:topLinePunct w:val="0"/>
        <w:bidi w:val="0"/>
        <w:snapToGrid/>
        <w:spacing w:line="440" w:lineRule="exact"/>
        <w:ind w:firstLine="408" w:firstLineChars="145"/>
        <w:jc w:val="left"/>
        <w:textAlignment w:val="auto"/>
        <w:rPr>
          <w:rFonts w:hint="eastAsia" w:ascii="宋体" w:hAnsi="宋体" w:eastAsia="宋体" w:cs="宋体"/>
          <w:b/>
          <w:sz w:val="28"/>
          <w:szCs w:val="28"/>
          <w:highlight w:val="none"/>
          <w:lang w:eastAsia="zh-CN"/>
        </w:rPr>
      </w:pPr>
      <w:r>
        <w:rPr>
          <w:rFonts w:hint="eastAsia" w:ascii="宋体" w:hAnsi="宋体" w:cs="宋体"/>
          <w:b/>
          <w:sz w:val="28"/>
          <w:szCs w:val="28"/>
          <w:highlight w:val="none"/>
        </w:rPr>
        <w:t>采</w:t>
      </w:r>
      <w:r>
        <w:rPr>
          <w:rFonts w:hint="eastAsia" w:ascii="宋体" w:hAnsi="宋体" w:cs="宋体"/>
          <w:b/>
          <w:sz w:val="28"/>
          <w:szCs w:val="28"/>
          <w:highlight w:val="none"/>
          <w:lang w:val="en-US" w:eastAsia="zh-CN"/>
        </w:rPr>
        <w:t xml:space="preserve"> </w:t>
      </w:r>
      <w:r>
        <w:rPr>
          <w:rFonts w:hint="eastAsia" w:ascii="宋体" w:hAnsi="宋体" w:cs="宋体"/>
          <w:b/>
          <w:sz w:val="28"/>
          <w:szCs w:val="28"/>
          <w:highlight w:val="none"/>
        </w:rPr>
        <w:t>购</w:t>
      </w:r>
      <w:r>
        <w:rPr>
          <w:rFonts w:hint="eastAsia" w:ascii="宋体" w:hAnsi="宋体" w:cs="宋体"/>
          <w:b/>
          <w:sz w:val="28"/>
          <w:szCs w:val="28"/>
          <w:highlight w:val="none"/>
          <w:lang w:val="en-US" w:eastAsia="zh-CN"/>
        </w:rPr>
        <w:t xml:space="preserve"> </w:t>
      </w:r>
      <w:r>
        <w:rPr>
          <w:rFonts w:hint="eastAsia" w:ascii="宋体" w:hAnsi="宋体" w:cs="宋体"/>
          <w:b/>
          <w:sz w:val="28"/>
          <w:szCs w:val="28"/>
          <w:highlight w:val="none"/>
        </w:rPr>
        <w:t>人：</w:t>
      </w:r>
      <w:r>
        <w:rPr>
          <w:rFonts w:hint="eastAsia" w:ascii="宋体" w:hAnsi="宋体" w:cs="宋体"/>
          <w:b/>
          <w:kern w:val="0"/>
          <w:sz w:val="28"/>
          <w:szCs w:val="28"/>
          <w:highlight w:val="none"/>
          <w:lang w:eastAsia="zh-CN"/>
        </w:rPr>
        <w:t>乌鲁木齐职业大学</w:t>
      </w:r>
    </w:p>
    <w:p>
      <w:pPr>
        <w:keepNext w:val="0"/>
        <w:keepLines w:val="0"/>
        <w:pageBreakBefore w:val="0"/>
        <w:kinsoku/>
        <w:wordWrap/>
        <w:overflowPunct/>
        <w:topLinePunct w:val="0"/>
        <w:bidi w:val="0"/>
        <w:snapToGrid/>
        <w:spacing w:line="440" w:lineRule="exact"/>
        <w:ind w:firstLine="408" w:firstLineChars="145"/>
        <w:textAlignment w:val="auto"/>
        <w:rPr>
          <w:rFonts w:ascii="宋体" w:hAnsi="宋体" w:cs="宋体"/>
          <w:b/>
          <w:sz w:val="28"/>
          <w:szCs w:val="28"/>
          <w:highlight w:val="none"/>
        </w:rPr>
      </w:pPr>
      <w:r>
        <w:rPr>
          <w:rFonts w:hint="eastAsia" w:ascii="宋体" w:hAnsi="宋体" w:cs="宋体"/>
          <w:b/>
          <w:sz w:val="28"/>
          <w:szCs w:val="28"/>
          <w:highlight w:val="none"/>
        </w:rPr>
        <w:t>采购代理： 新疆华域建设工程项目管理咨询有限公司</w:t>
      </w:r>
    </w:p>
    <w:p>
      <w:pPr>
        <w:keepNext w:val="0"/>
        <w:keepLines w:val="0"/>
        <w:pageBreakBefore w:val="0"/>
        <w:kinsoku/>
        <w:wordWrap/>
        <w:overflowPunct/>
        <w:topLinePunct w:val="0"/>
        <w:bidi w:val="0"/>
        <w:snapToGrid/>
        <w:spacing w:line="440" w:lineRule="exact"/>
        <w:ind w:firstLine="408" w:firstLineChars="145"/>
        <w:textAlignment w:val="auto"/>
        <w:rPr>
          <w:rFonts w:hint="eastAsia" w:ascii="宋体" w:hAnsi="宋体" w:cs="宋体"/>
          <w:b/>
          <w:bCs/>
          <w:sz w:val="28"/>
          <w:szCs w:val="28"/>
          <w:highlight w:val="none"/>
        </w:rPr>
      </w:pPr>
      <w:r>
        <w:rPr>
          <w:rFonts w:hint="eastAsia" w:ascii="宋体" w:hAnsi="宋体" w:cs="宋体"/>
          <w:b/>
          <w:sz w:val="28"/>
          <w:szCs w:val="28"/>
          <w:highlight w:val="none"/>
        </w:rPr>
        <w:t>联 系 人： 王鹤宇</w:t>
      </w:r>
    </w:p>
    <w:p>
      <w:pPr>
        <w:keepNext w:val="0"/>
        <w:keepLines w:val="0"/>
        <w:pageBreakBefore w:val="0"/>
        <w:kinsoku/>
        <w:wordWrap/>
        <w:overflowPunct/>
        <w:topLinePunct w:val="0"/>
        <w:bidi w:val="0"/>
        <w:snapToGrid/>
        <w:spacing w:line="440" w:lineRule="exact"/>
        <w:ind w:firstLine="408" w:firstLineChars="145"/>
        <w:textAlignment w:val="auto"/>
        <w:rPr>
          <w:rFonts w:hint="eastAsia" w:ascii="宋体" w:hAnsi="宋体" w:cs="宋体"/>
          <w:b/>
          <w:sz w:val="28"/>
          <w:szCs w:val="28"/>
          <w:highlight w:val="none"/>
        </w:rPr>
      </w:pPr>
      <w:r>
        <w:rPr>
          <w:rFonts w:hint="eastAsia" w:ascii="宋体" w:hAnsi="宋体" w:cs="宋体"/>
          <w:b/>
          <w:sz w:val="28"/>
          <w:szCs w:val="28"/>
          <w:highlight w:val="none"/>
        </w:rPr>
        <w:t>电    话：18997972745</w:t>
      </w:r>
    </w:p>
    <w:p>
      <w:pPr>
        <w:keepNext w:val="0"/>
        <w:keepLines w:val="0"/>
        <w:pageBreakBefore w:val="0"/>
        <w:kinsoku/>
        <w:wordWrap/>
        <w:overflowPunct/>
        <w:topLinePunct w:val="0"/>
        <w:autoSpaceDE w:val="0"/>
        <w:autoSpaceDN w:val="0"/>
        <w:bidi w:val="0"/>
        <w:adjustRightInd w:val="0"/>
        <w:snapToGrid/>
        <w:spacing w:line="440" w:lineRule="exact"/>
        <w:ind w:firstLine="408" w:firstLineChars="145"/>
        <w:textAlignment w:val="auto"/>
        <w:rPr>
          <w:rFonts w:ascii="宋体" w:hAnsi="宋体"/>
          <w:b/>
          <w:sz w:val="28"/>
          <w:szCs w:val="28"/>
          <w:highlight w:val="none"/>
        </w:rPr>
      </w:pPr>
      <w:r>
        <w:rPr>
          <w:rFonts w:hint="eastAsia" w:ascii="宋体" w:hAnsi="宋体" w:cs="宋体"/>
          <w:b/>
          <w:sz w:val="28"/>
          <w:szCs w:val="28"/>
          <w:highlight w:val="none"/>
        </w:rPr>
        <w:t xml:space="preserve">联系地址：乌鲁木齐市五星北路194号新地园大厦13楼 </w:t>
      </w:r>
    </w:p>
    <w:p>
      <w:pPr>
        <w:autoSpaceDE w:val="0"/>
        <w:autoSpaceDN w:val="0"/>
        <w:adjustRightInd w:val="0"/>
        <w:spacing w:line="520" w:lineRule="exact"/>
        <w:ind w:firstLine="408" w:firstLineChars="145"/>
        <w:rPr>
          <w:rFonts w:ascii="宋体" w:hAnsi="宋体"/>
          <w:b/>
          <w:sz w:val="28"/>
          <w:szCs w:val="28"/>
          <w:highlight w:val="none"/>
        </w:rPr>
      </w:pPr>
      <w:r>
        <w:rPr>
          <w:rFonts w:hint="eastAsia" w:ascii="宋体" w:hAnsi="宋体" w:cs="宋体"/>
          <w:b/>
          <w:sz w:val="28"/>
          <w:szCs w:val="28"/>
          <w:highlight w:val="none"/>
        </w:rPr>
        <w:t xml:space="preserve"> </w:t>
      </w:r>
    </w:p>
    <w:sdt>
      <w:sdtPr>
        <w:rPr>
          <w:rFonts w:ascii="宋体" w:hAnsi="宋体" w:eastAsia="宋体" w:cs="Times New Roman"/>
          <w:kern w:val="2"/>
          <w:sz w:val="21"/>
          <w:szCs w:val="24"/>
          <w:lang w:val="en-US" w:eastAsia="zh-CN" w:bidi="ar-SA"/>
        </w:rPr>
        <w:id w:val="147477866"/>
        <w15:color w:val="DBDBDB"/>
        <w:docPartObj>
          <w:docPartGallery w:val="Table of Contents"/>
          <w:docPartUnique/>
        </w:docPartObj>
      </w:sdtPr>
      <w:sdtEndPr>
        <w:rPr>
          <w:rFonts w:asciiTheme="minorEastAsia" w:hAnsiTheme="minorEastAsia" w:eastAsiaTheme="minorEastAsia" w:cstheme="minorEastAsia"/>
          <w:kern w:val="2"/>
          <w:sz w:val="21"/>
          <w:szCs w:val="32"/>
          <w:lang w:val="en-US" w:eastAsia="zh-CN" w:bidi="ar-SA"/>
        </w:rPr>
      </w:sdtEndPr>
      <w:sdtContent>
        <w:p>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Style w:val="47"/>
              <w:rFonts w:hint="eastAsia" w:ascii="黑体" w:hAnsi="黑体" w:eastAsia="黑体" w:cs="黑体"/>
              <w:b/>
              <w:bCs w:val="0"/>
              <w:sz w:val="24"/>
              <w:szCs w:val="24"/>
            </w:rPr>
          </w:pPr>
          <w:r>
            <w:rPr>
              <w:rStyle w:val="47"/>
              <w:rFonts w:hint="eastAsia" w:ascii="黑体" w:hAnsi="黑体" w:eastAsia="黑体" w:cs="黑体"/>
              <w:b/>
              <w:bCs w:val="0"/>
              <w:sz w:val="24"/>
              <w:szCs w:val="24"/>
            </w:rPr>
            <w:t>目</w:t>
          </w:r>
          <w:r>
            <w:rPr>
              <w:rStyle w:val="47"/>
              <w:rFonts w:hint="eastAsia" w:ascii="黑体" w:hAnsi="黑体" w:eastAsia="黑体" w:cs="黑体"/>
              <w:b/>
              <w:bCs w:val="0"/>
              <w:sz w:val="24"/>
              <w:szCs w:val="24"/>
              <w:lang w:val="en-US" w:eastAsia="zh-CN"/>
            </w:rPr>
            <w:t xml:space="preserve">   </w:t>
          </w:r>
          <w:r>
            <w:rPr>
              <w:rStyle w:val="47"/>
              <w:rFonts w:hint="eastAsia" w:ascii="黑体" w:hAnsi="黑体" w:eastAsia="黑体" w:cs="黑体"/>
              <w:b/>
              <w:bCs w:val="0"/>
              <w:sz w:val="24"/>
              <w:szCs w:val="24"/>
            </w:rPr>
            <w:t>录</w:t>
          </w:r>
        </w:p>
        <w:p>
          <w:pPr>
            <w:pStyle w:val="230"/>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TOC \o "1-3" \h \u </w:instrText>
          </w:r>
          <w:r>
            <w:rPr>
              <w:rFonts w:hint="eastAsia" w:ascii="黑体" w:hAnsi="黑体" w:eastAsia="黑体" w:cs="黑体"/>
              <w:sz w:val="21"/>
              <w:szCs w:val="21"/>
            </w:rPr>
            <w:fldChar w:fldCharType="separate"/>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_Toc24860 </w:instrText>
          </w:r>
          <w:r>
            <w:rPr>
              <w:rFonts w:hint="eastAsia" w:ascii="黑体" w:hAnsi="黑体" w:eastAsia="黑体" w:cs="黑体"/>
              <w:sz w:val="21"/>
              <w:szCs w:val="21"/>
            </w:rPr>
            <w:fldChar w:fldCharType="separate"/>
          </w:r>
          <w:r>
            <w:rPr>
              <w:rFonts w:hint="eastAsia" w:ascii="黑体" w:hAnsi="黑体" w:eastAsia="黑体" w:cs="黑体"/>
              <w:sz w:val="21"/>
              <w:szCs w:val="21"/>
            </w:rPr>
            <w:t>第一部分  专用部分</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_Toc24860 \h </w:instrText>
          </w:r>
          <w:r>
            <w:rPr>
              <w:rFonts w:hint="eastAsia" w:ascii="黑体" w:hAnsi="黑体" w:eastAsia="黑体" w:cs="黑体"/>
              <w:sz w:val="21"/>
              <w:szCs w:val="21"/>
            </w:rPr>
            <w:fldChar w:fldCharType="separate"/>
          </w:r>
          <w:r>
            <w:rPr>
              <w:rFonts w:hint="eastAsia" w:ascii="黑体" w:hAnsi="黑体" w:eastAsia="黑体" w:cs="黑体"/>
              <w:sz w:val="21"/>
              <w:szCs w:val="21"/>
            </w:rPr>
            <w:t>3</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_Toc5633 </w:instrText>
          </w:r>
          <w:r>
            <w:rPr>
              <w:rFonts w:hint="eastAsia" w:ascii="黑体" w:hAnsi="黑体" w:eastAsia="黑体" w:cs="黑体"/>
              <w:sz w:val="21"/>
              <w:szCs w:val="21"/>
            </w:rPr>
            <w:fldChar w:fldCharType="separate"/>
          </w:r>
          <w:r>
            <w:rPr>
              <w:rFonts w:hint="eastAsia" w:ascii="黑体" w:hAnsi="黑体" w:eastAsia="黑体" w:cs="黑体"/>
              <w:sz w:val="21"/>
              <w:szCs w:val="21"/>
            </w:rPr>
            <w:t>第一章　采购范围</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_Toc5633 \h </w:instrText>
          </w:r>
          <w:r>
            <w:rPr>
              <w:rFonts w:hint="eastAsia" w:ascii="黑体" w:hAnsi="黑体" w:eastAsia="黑体" w:cs="黑体"/>
              <w:sz w:val="21"/>
              <w:szCs w:val="21"/>
            </w:rPr>
            <w:fldChar w:fldCharType="separate"/>
          </w:r>
          <w:r>
            <w:rPr>
              <w:rFonts w:hint="eastAsia" w:ascii="黑体" w:hAnsi="黑体" w:eastAsia="黑体" w:cs="黑体"/>
              <w:sz w:val="21"/>
              <w:szCs w:val="21"/>
            </w:rPr>
            <w:t>11</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_Toc26960 </w:instrText>
          </w:r>
          <w:r>
            <w:rPr>
              <w:rFonts w:hint="eastAsia" w:ascii="黑体" w:hAnsi="黑体" w:eastAsia="黑体" w:cs="黑体"/>
              <w:sz w:val="21"/>
              <w:szCs w:val="21"/>
            </w:rPr>
            <w:fldChar w:fldCharType="separate"/>
          </w:r>
          <w:r>
            <w:rPr>
              <w:rFonts w:hint="eastAsia" w:ascii="黑体" w:hAnsi="黑体" w:eastAsia="黑体" w:cs="黑体"/>
              <w:sz w:val="21"/>
              <w:szCs w:val="21"/>
            </w:rPr>
            <w:t>第一节  采购项目概述</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_Toc26960 \h </w:instrText>
          </w:r>
          <w:r>
            <w:rPr>
              <w:rFonts w:hint="eastAsia" w:ascii="黑体" w:hAnsi="黑体" w:eastAsia="黑体" w:cs="黑体"/>
              <w:sz w:val="21"/>
              <w:szCs w:val="21"/>
            </w:rPr>
            <w:fldChar w:fldCharType="separate"/>
          </w:r>
          <w:r>
            <w:rPr>
              <w:b/>
            </w:rPr>
            <w:t>错误！未定义书签。</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_Toc25180 </w:instrText>
          </w:r>
          <w:r>
            <w:rPr>
              <w:rFonts w:hint="eastAsia" w:ascii="黑体" w:hAnsi="黑体" w:eastAsia="黑体" w:cs="黑体"/>
              <w:sz w:val="21"/>
              <w:szCs w:val="21"/>
            </w:rPr>
            <w:fldChar w:fldCharType="separate"/>
          </w:r>
          <w:r>
            <w:rPr>
              <w:rFonts w:hint="eastAsia" w:ascii="黑体" w:hAnsi="黑体" w:eastAsia="黑体" w:cs="黑体"/>
              <w:sz w:val="21"/>
              <w:szCs w:val="21"/>
            </w:rPr>
            <w:t>第二节  货物/服务要求</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_Toc25180 \h </w:instrText>
          </w:r>
          <w:r>
            <w:rPr>
              <w:rFonts w:hint="eastAsia" w:ascii="黑体" w:hAnsi="黑体" w:eastAsia="黑体" w:cs="黑体"/>
              <w:sz w:val="21"/>
              <w:szCs w:val="21"/>
            </w:rPr>
            <w:fldChar w:fldCharType="separate"/>
          </w:r>
          <w:r>
            <w:rPr>
              <w:b/>
            </w:rPr>
            <w:t>错误！未定义书签。</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_Toc896 </w:instrText>
          </w:r>
          <w:r>
            <w:rPr>
              <w:rFonts w:hint="eastAsia" w:ascii="黑体" w:hAnsi="黑体" w:eastAsia="黑体" w:cs="黑体"/>
              <w:sz w:val="21"/>
              <w:szCs w:val="21"/>
            </w:rPr>
            <w:fldChar w:fldCharType="separate"/>
          </w:r>
          <w:r>
            <w:rPr>
              <w:rFonts w:hint="eastAsia" w:ascii="黑体" w:hAnsi="黑体" w:eastAsia="黑体" w:cs="黑体"/>
              <w:sz w:val="21"/>
              <w:szCs w:val="21"/>
            </w:rPr>
            <w:t>第三节  供应商资格条件</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_Toc896 \h </w:instrText>
          </w:r>
          <w:r>
            <w:rPr>
              <w:rFonts w:hint="eastAsia" w:ascii="黑体" w:hAnsi="黑体" w:eastAsia="黑体" w:cs="黑体"/>
              <w:sz w:val="21"/>
              <w:szCs w:val="21"/>
            </w:rPr>
            <w:fldChar w:fldCharType="separate"/>
          </w:r>
          <w:r>
            <w:rPr>
              <w:b/>
            </w:rPr>
            <w:t>错误！未定义书签。</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_Toc2984 </w:instrText>
          </w:r>
          <w:r>
            <w:rPr>
              <w:rFonts w:hint="eastAsia" w:ascii="黑体" w:hAnsi="黑体" w:eastAsia="黑体" w:cs="黑体"/>
              <w:sz w:val="21"/>
              <w:szCs w:val="21"/>
            </w:rPr>
            <w:fldChar w:fldCharType="separate"/>
          </w:r>
          <w:r>
            <w:rPr>
              <w:rFonts w:hint="eastAsia" w:ascii="黑体" w:hAnsi="黑体" w:eastAsia="黑体" w:cs="黑体"/>
              <w:sz w:val="21"/>
              <w:szCs w:val="21"/>
            </w:rPr>
            <w:t>第二章 采购清单、技术参数及商务要求</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_Toc2984 \h </w:instrText>
          </w:r>
          <w:r>
            <w:rPr>
              <w:rFonts w:hint="eastAsia" w:ascii="黑体" w:hAnsi="黑体" w:eastAsia="黑体" w:cs="黑体"/>
              <w:sz w:val="21"/>
              <w:szCs w:val="21"/>
            </w:rPr>
            <w:fldChar w:fldCharType="separate"/>
          </w:r>
          <w:r>
            <w:rPr>
              <w:rFonts w:hint="eastAsia" w:ascii="黑体" w:hAnsi="黑体" w:eastAsia="黑体" w:cs="黑体"/>
              <w:sz w:val="21"/>
              <w:szCs w:val="21"/>
            </w:rPr>
            <w:t>11</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_Toc16165 </w:instrText>
          </w:r>
          <w:r>
            <w:rPr>
              <w:rFonts w:hint="eastAsia" w:ascii="黑体" w:hAnsi="黑体" w:eastAsia="黑体" w:cs="黑体"/>
              <w:sz w:val="21"/>
              <w:szCs w:val="21"/>
            </w:rPr>
            <w:fldChar w:fldCharType="separate"/>
          </w:r>
          <w:r>
            <w:rPr>
              <w:rFonts w:hint="eastAsia" w:ascii="黑体" w:hAnsi="黑体" w:eastAsia="黑体" w:cs="黑体"/>
              <w:sz w:val="21"/>
              <w:szCs w:val="21"/>
            </w:rPr>
            <w:t>第</w:t>
          </w:r>
          <w:r>
            <w:rPr>
              <w:rFonts w:hint="eastAsia" w:ascii="黑体" w:hAnsi="黑体" w:eastAsia="黑体" w:cs="黑体"/>
              <w:sz w:val="21"/>
              <w:szCs w:val="21"/>
              <w:lang w:eastAsia="zh-CN"/>
            </w:rPr>
            <w:t>一</w:t>
          </w:r>
          <w:r>
            <w:rPr>
              <w:rFonts w:hint="eastAsia" w:ascii="黑体" w:hAnsi="黑体" w:eastAsia="黑体" w:cs="黑体"/>
              <w:sz w:val="21"/>
              <w:szCs w:val="21"/>
            </w:rPr>
            <w:t xml:space="preserve">节 </w:t>
          </w:r>
          <w:r>
            <w:rPr>
              <w:rFonts w:hint="eastAsia" w:ascii="黑体" w:hAnsi="黑体" w:eastAsia="黑体" w:cs="黑体"/>
              <w:sz w:val="21"/>
              <w:szCs w:val="21"/>
              <w:lang w:eastAsia="zh-CN"/>
            </w:rPr>
            <w:t>采购清单</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_Toc16165 \h </w:instrText>
          </w:r>
          <w:r>
            <w:rPr>
              <w:rFonts w:hint="eastAsia" w:ascii="黑体" w:hAnsi="黑体" w:eastAsia="黑体" w:cs="黑体"/>
              <w:sz w:val="21"/>
              <w:szCs w:val="21"/>
            </w:rPr>
            <w:fldChar w:fldCharType="separate"/>
          </w:r>
          <w:r>
            <w:rPr>
              <w:rFonts w:hint="eastAsia" w:ascii="黑体" w:hAnsi="黑体" w:eastAsia="黑体" w:cs="黑体"/>
              <w:sz w:val="21"/>
              <w:szCs w:val="21"/>
            </w:rPr>
            <w:t>11</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_Toc21696 </w:instrText>
          </w:r>
          <w:r>
            <w:rPr>
              <w:rFonts w:hint="eastAsia" w:ascii="黑体" w:hAnsi="黑体" w:eastAsia="黑体" w:cs="黑体"/>
              <w:sz w:val="21"/>
              <w:szCs w:val="21"/>
            </w:rPr>
            <w:fldChar w:fldCharType="separate"/>
          </w:r>
          <w:r>
            <w:rPr>
              <w:rFonts w:hint="eastAsia" w:ascii="黑体" w:hAnsi="黑体" w:eastAsia="黑体" w:cs="黑体"/>
              <w:sz w:val="21"/>
              <w:szCs w:val="21"/>
            </w:rPr>
            <w:t>第二节 商务要求</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_Toc21696 \h </w:instrText>
          </w:r>
          <w:r>
            <w:rPr>
              <w:rFonts w:hint="eastAsia" w:ascii="黑体" w:hAnsi="黑体" w:eastAsia="黑体" w:cs="黑体"/>
              <w:sz w:val="21"/>
              <w:szCs w:val="21"/>
            </w:rPr>
            <w:fldChar w:fldCharType="separate"/>
          </w:r>
          <w:r>
            <w:rPr>
              <w:rFonts w:hint="eastAsia" w:ascii="黑体" w:hAnsi="黑体" w:eastAsia="黑体" w:cs="黑体"/>
              <w:sz w:val="21"/>
              <w:szCs w:val="21"/>
            </w:rPr>
            <w:t>13</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_Toc2022 </w:instrText>
          </w:r>
          <w:r>
            <w:rPr>
              <w:rFonts w:hint="eastAsia" w:ascii="黑体" w:hAnsi="黑体" w:eastAsia="黑体" w:cs="黑体"/>
              <w:sz w:val="21"/>
              <w:szCs w:val="21"/>
            </w:rPr>
            <w:fldChar w:fldCharType="separate"/>
          </w:r>
          <w:r>
            <w:rPr>
              <w:rFonts w:hint="eastAsia" w:ascii="黑体" w:hAnsi="黑体" w:eastAsia="黑体" w:cs="黑体"/>
              <w:sz w:val="21"/>
              <w:szCs w:val="21"/>
            </w:rPr>
            <w:t>第三节 图纸附件</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_Toc2022 \h </w:instrText>
          </w:r>
          <w:r>
            <w:rPr>
              <w:rFonts w:hint="eastAsia" w:ascii="黑体" w:hAnsi="黑体" w:eastAsia="黑体" w:cs="黑体"/>
              <w:sz w:val="21"/>
              <w:szCs w:val="21"/>
            </w:rPr>
            <w:fldChar w:fldCharType="separate"/>
          </w:r>
          <w:r>
            <w:rPr>
              <w:rFonts w:hint="eastAsia" w:ascii="黑体" w:hAnsi="黑体" w:eastAsia="黑体" w:cs="黑体"/>
              <w:sz w:val="21"/>
              <w:szCs w:val="21"/>
            </w:rPr>
            <w:t>14</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_Toc17923 </w:instrText>
          </w:r>
          <w:r>
            <w:rPr>
              <w:rFonts w:hint="eastAsia" w:ascii="黑体" w:hAnsi="黑体" w:eastAsia="黑体" w:cs="黑体"/>
              <w:sz w:val="21"/>
              <w:szCs w:val="21"/>
            </w:rPr>
            <w:fldChar w:fldCharType="separate"/>
          </w:r>
          <w:r>
            <w:rPr>
              <w:rFonts w:hint="eastAsia" w:ascii="黑体" w:hAnsi="黑体" w:eastAsia="黑体" w:cs="黑体"/>
              <w:sz w:val="21"/>
              <w:szCs w:val="21"/>
            </w:rPr>
            <w:t>第三章　评标办法及评分标准</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_Toc17923 \h </w:instrText>
          </w:r>
          <w:r>
            <w:rPr>
              <w:rFonts w:hint="eastAsia" w:ascii="黑体" w:hAnsi="黑体" w:eastAsia="黑体" w:cs="黑体"/>
              <w:sz w:val="21"/>
              <w:szCs w:val="21"/>
            </w:rPr>
            <w:fldChar w:fldCharType="separate"/>
          </w:r>
          <w:r>
            <w:rPr>
              <w:rFonts w:hint="eastAsia" w:ascii="黑体" w:hAnsi="黑体" w:eastAsia="黑体" w:cs="黑体"/>
              <w:sz w:val="21"/>
              <w:szCs w:val="21"/>
            </w:rPr>
            <w:t>15</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_Toc10929 </w:instrText>
          </w:r>
          <w:r>
            <w:rPr>
              <w:rFonts w:hint="eastAsia" w:ascii="黑体" w:hAnsi="黑体" w:eastAsia="黑体" w:cs="黑体"/>
              <w:sz w:val="21"/>
              <w:szCs w:val="21"/>
            </w:rPr>
            <w:fldChar w:fldCharType="separate"/>
          </w:r>
          <w:r>
            <w:rPr>
              <w:rFonts w:hint="eastAsia" w:ascii="黑体" w:hAnsi="黑体" w:eastAsia="黑体" w:cs="黑体"/>
              <w:sz w:val="21"/>
              <w:szCs w:val="21"/>
            </w:rPr>
            <w:t>第一节 评标办法</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_Toc10929 \h </w:instrText>
          </w:r>
          <w:r>
            <w:rPr>
              <w:rFonts w:hint="eastAsia" w:ascii="黑体" w:hAnsi="黑体" w:eastAsia="黑体" w:cs="黑体"/>
              <w:sz w:val="21"/>
              <w:szCs w:val="21"/>
            </w:rPr>
            <w:fldChar w:fldCharType="separate"/>
          </w:r>
          <w:r>
            <w:rPr>
              <w:rFonts w:hint="eastAsia" w:ascii="黑体" w:hAnsi="黑体" w:eastAsia="黑体" w:cs="黑体"/>
              <w:sz w:val="21"/>
              <w:szCs w:val="21"/>
            </w:rPr>
            <w:t>15</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_Toc28291 </w:instrText>
          </w:r>
          <w:r>
            <w:rPr>
              <w:rFonts w:hint="eastAsia" w:ascii="黑体" w:hAnsi="黑体" w:eastAsia="黑体" w:cs="黑体"/>
              <w:sz w:val="21"/>
              <w:szCs w:val="21"/>
            </w:rPr>
            <w:fldChar w:fldCharType="separate"/>
          </w:r>
          <w:r>
            <w:rPr>
              <w:rFonts w:hint="eastAsia" w:ascii="黑体" w:hAnsi="黑体" w:eastAsia="黑体" w:cs="黑体"/>
              <w:sz w:val="21"/>
              <w:szCs w:val="21"/>
            </w:rPr>
            <w:t>第二节 评分标准</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_Toc28291 \h </w:instrText>
          </w:r>
          <w:r>
            <w:rPr>
              <w:rFonts w:hint="eastAsia" w:ascii="黑体" w:hAnsi="黑体" w:eastAsia="黑体" w:cs="黑体"/>
              <w:sz w:val="21"/>
              <w:szCs w:val="21"/>
            </w:rPr>
            <w:fldChar w:fldCharType="separate"/>
          </w:r>
          <w:r>
            <w:rPr>
              <w:rFonts w:hint="eastAsia" w:ascii="黑体" w:hAnsi="黑体" w:eastAsia="黑体" w:cs="黑体"/>
              <w:sz w:val="21"/>
              <w:szCs w:val="21"/>
            </w:rPr>
            <w:t>15</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_Toc8364 </w:instrText>
          </w:r>
          <w:r>
            <w:rPr>
              <w:rFonts w:hint="eastAsia" w:ascii="黑体" w:hAnsi="黑体" w:eastAsia="黑体" w:cs="黑体"/>
              <w:sz w:val="21"/>
              <w:szCs w:val="21"/>
            </w:rPr>
            <w:fldChar w:fldCharType="separate"/>
          </w:r>
          <w:r>
            <w:rPr>
              <w:rFonts w:hint="eastAsia" w:ascii="黑体" w:hAnsi="黑体" w:eastAsia="黑体" w:cs="黑体"/>
              <w:sz w:val="21"/>
              <w:szCs w:val="21"/>
            </w:rPr>
            <w:t>第三节 废标条款</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_Toc8364 \h </w:instrText>
          </w:r>
          <w:r>
            <w:rPr>
              <w:rFonts w:hint="eastAsia" w:ascii="黑体" w:hAnsi="黑体" w:eastAsia="黑体" w:cs="黑体"/>
              <w:sz w:val="21"/>
              <w:szCs w:val="21"/>
            </w:rPr>
            <w:fldChar w:fldCharType="separate"/>
          </w:r>
          <w:r>
            <w:rPr>
              <w:rFonts w:hint="eastAsia" w:ascii="黑体" w:hAnsi="黑体" w:eastAsia="黑体" w:cs="黑体"/>
              <w:sz w:val="21"/>
              <w:szCs w:val="21"/>
            </w:rPr>
            <w:t>23</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_Toc22467 </w:instrText>
          </w:r>
          <w:r>
            <w:rPr>
              <w:rFonts w:hint="eastAsia" w:ascii="黑体" w:hAnsi="黑体" w:eastAsia="黑体" w:cs="黑体"/>
              <w:sz w:val="21"/>
              <w:szCs w:val="21"/>
            </w:rPr>
            <w:fldChar w:fldCharType="separate"/>
          </w:r>
          <w:r>
            <w:rPr>
              <w:rFonts w:hint="eastAsia" w:ascii="黑体" w:hAnsi="黑体" w:eastAsia="黑体" w:cs="黑体"/>
              <w:sz w:val="21"/>
              <w:szCs w:val="21"/>
            </w:rPr>
            <w:t>第四节 无效标条款</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_Toc22467 \h </w:instrText>
          </w:r>
          <w:r>
            <w:rPr>
              <w:rFonts w:hint="eastAsia" w:ascii="黑体" w:hAnsi="黑体" w:eastAsia="黑体" w:cs="黑体"/>
              <w:sz w:val="21"/>
              <w:szCs w:val="21"/>
            </w:rPr>
            <w:fldChar w:fldCharType="separate"/>
          </w:r>
          <w:r>
            <w:rPr>
              <w:rFonts w:hint="eastAsia" w:ascii="黑体" w:hAnsi="黑体" w:eastAsia="黑体" w:cs="黑体"/>
              <w:sz w:val="21"/>
              <w:szCs w:val="21"/>
            </w:rPr>
            <w:t>23</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0"/>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_Toc13941 </w:instrText>
          </w:r>
          <w:r>
            <w:rPr>
              <w:rFonts w:hint="eastAsia" w:ascii="黑体" w:hAnsi="黑体" w:eastAsia="黑体" w:cs="黑体"/>
              <w:sz w:val="21"/>
              <w:szCs w:val="21"/>
            </w:rPr>
            <w:fldChar w:fldCharType="separate"/>
          </w:r>
          <w:r>
            <w:rPr>
              <w:rFonts w:hint="eastAsia" w:ascii="黑体" w:hAnsi="黑体" w:eastAsia="黑体" w:cs="黑体"/>
              <w:sz w:val="21"/>
              <w:szCs w:val="21"/>
            </w:rPr>
            <w:t>第二部分  通用部分</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_Toc13941 \h </w:instrText>
          </w:r>
          <w:r>
            <w:rPr>
              <w:rFonts w:hint="eastAsia" w:ascii="黑体" w:hAnsi="黑体" w:eastAsia="黑体" w:cs="黑体"/>
              <w:sz w:val="21"/>
              <w:szCs w:val="21"/>
            </w:rPr>
            <w:fldChar w:fldCharType="separate"/>
          </w:r>
          <w:r>
            <w:rPr>
              <w:rFonts w:hint="eastAsia" w:ascii="黑体" w:hAnsi="黑体" w:eastAsia="黑体" w:cs="黑体"/>
              <w:sz w:val="21"/>
              <w:szCs w:val="21"/>
            </w:rPr>
            <w:t>24</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_Toc2158 </w:instrText>
          </w:r>
          <w:r>
            <w:rPr>
              <w:rFonts w:hint="eastAsia" w:ascii="黑体" w:hAnsi="黑体" w:eastAsia="黑体" w:cs="黑体"/>
              <w:sz w:val="21"/>
              <w:szCs w:val="21"/>
            </w:rPr>
            <w:fldChar w:fldCharType="separate"/>
          </w:r>
          <w:r>
            <w:rPr>
              <w:rFonts w:hint="eastAsia" w:ascii="黑体" w:hAnsi="黑体" w:eastAsia="黑体" w:cs="黑体"/>
              <w:sz w:val="21"/>
              <w:szCs w:val="21"/>
            </w:rPr>
            <w:t>第四章  政府采购程序</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_Toc2158 \h </w:instrText>
          </w:r>
          <w:r>
            <w:rPr>
              <w:rFonts w:hint="eastAsia" w:ascii="黑体" w:hAnsi="黑体" w:eastAsia="黑体" w:cs="黑体"/>
              <w:sz w:val="21"/>
              <w:szCs w:val="21"/>
            </w:rPr>
            <w:fldChar w:fldCharType="separate"/>
          </w:r>
          <w:r>
            <w:rPr>
              <w:rFonts w:hint="eastAsia" w:ascii="黑体" w:hAnsi="黑体" w:eastAsia="黑体" w:cs="黑体"/>
              <w:sz w:val="21"/>
              <w:szCs w:val="21"/>
            </w:rPr>
            <w:t>24</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_Toc6789 </w:instrText>
          </w:r>
          <w:r>
            <w:rPr>
              <w:rFonts w:hint="eastAsia" w:ascii="黑体" w:hAnsi="黑体" w:eastAsia="黑体" w:cs="黑体"/>
              <w:sz w:val="21"/>
              <w:szCs w:val="21"/>
            </w:rPr>
            <w:fldChar w:fldCharType="separate"/>
          </w:r>
          <w:r>
            <w:rPr>
              <w:rFonts w:hint="eastAsia" w:ascii="黑体" w:hAnsi="黑体" w:eastAsia="黑体" w:cs="黑体"/>
              <w:sz w:val="21"/>
              <w:szCs w:val="21"/>
            </w:rPr>
            <w:t>第一节 发布采购公告</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_Toc6789 \h </w:instrText>
          </w:r>
          <w:r>
            <w:rPr>
              <w:rFonts w:hint="eastAsia" w:ascii="黑体" w:hAnsi="黑体" w:eastAsia="黑体" w:cs="黑体"/>
              <w:sz w:val="21"/>
              <w:szCs w:val="21"/>
            </w:rPr>
            <w:fldChar w:fldCharType="separate"/>
          </w:r>
          <w:r>
            <w:rPr>
              <w:rFonts w:hint="eastAsia" w:ascii="黑体" w:hAnsi="黑体" w:eastAsia="黑体" w:cs="黑体"/>
              <w:sz w:val="21"/>
              <w:szCs w:val="21"/>
            </w:rPr>
            <w:t>24</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_Toc5542 </w:instrText>
          </w:r>
          <w:r>
            <w:rPr>
              <w:rFonts w:hint="eastAsia" w:ascii="黑体" w:hAnsi="黑体" w:eastAsia="黑体" w:cs="黑体"/>
              <w:sz w:val="21"/>
              <w:szCs w:val="21"/>
            </w:rPr>
            <w:fldChar w:fldCharType="separate"/>
          </w:r>
          <w:r>
            <w:rPr>
              <w:rFonts w:hint="eastAsia" w:ascii="黑体" w:hAnsi="黑体" w:eastAsia="黑体" w:cs="黑体"/>
              <w:sz w:val="21"/>
              <w:szCs w:val="21"/>
            </w:rPr>
            <w:t>第二节 获取采购文件</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_Toc5542 \h </w:instrText>
          </w:r>
          <w:r>
            <w:rPr>
              <w:rFonts w:hint="eastAsia" w:ascii="黑体" w:hAnsi="黑体" w:eastAsia="黑体" w:cs="黑体"/>
              <w:sz w:val="21"/>
              <w:szCs w:val="21"/>
            </w:rPr>
            <w:fldChar w:fldCharType="separate"/>
          </w:r>
          <w:r>
            <w:rPr>
              <w:rFonts w:hint="eastAsia" w:ascii="黑体" w:hAnsi="黑体" w:eastAsia="黑体" w:cs="黑体"/>
              <w:sz w:val="21"/>
              <w:szCs w:val="21"/>
            </w:rPr>
            <w:t>24</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_Toc29637 </w:instrText>
          </w:r>
          <w:r>
            <w:rPr>
              <w:rFonts w:hint="eastAsia" w:ascii="黑体" w:hAnsi="黑体" w:eastAsia="黑体" w:cs="黑体"/>
              <w:sz w:val="21"/>
              <w:szCs w:val="21"/>
            </w:rPr>
            <w:fldChar w:fldCharType="separate"/>
          </w:r>
          <w:r>
            <w:rPr>
              <w:rFonts w:hint="eastAsia" w:ascii="黑体" w:hAnsi="黑体" w:eastAsia="黑体" w:cs="黑体"/>
              <w:sz w:val="21"/>
              <w:szCs w:val="21"/>
            </w:rPr>
            <w:t>第三节 交纳投标保证金</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_Toc29637 \h </w:instrText>
          </w:r>
          <w:r>
            <w:rPr>
              <w:rFonts w:hint="eastAsia" w:ascii="黑体" w:hAnsi="黑体" w:eastAsia="黑体" w:cs="黑体"/>
              <w:sz w:val="21"/>
              <w:szCs w:val="21"/>
            </w:rPr>
            <w:fldChar w:fldCharType="separate"/>
          </w:r>
          <w:r>
            <w:rPr>
              <w:rFonts w:hint="eastAsia" w:ascii="黑体" w:hAnsi="黑体" w:eastAsia="黑体" w:cs="黑体"/>
              <w:sz w:val="21"/>
              <w:szCs w:val="21"/>
            </w:rPr>
            <w:t>25</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_Toc32727 </w:instrText>
          </w:r>
          <w:r>
            <w:rPr>
              <w:rFonts w:hint="eastAsia" w:ascii="黑体" w:hAnsi="黑体" w:eastAsia="黑体" w:cs="黑体"/>
              <w:sz w:val="21"/>
              <w:szCs w:val="21"/>
            </w:rPr>
            <w:fldChar w:fldCharType="separate"/>
          </w:r>
          <w:r>
            <w:rPr>
              <w:rFonts w:hint="eastAsia" w:ascii="黑体" w:hAnsi="黑体" w:eastAsia="黑体" w:cs="黑体"/>
              <w:sz w:val="21"/>
              <w:szCs w:val="21"/>
            </w:rPr>
            <w:t>第四节 递交响应文件</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_Toc32727 \h </w:instrText>
          </w:r>
          <w:r>
            <w:rPr>
              <w:rFonts w:hint="eastAsia" w:ascii="黑体" w:hAnsi="黑体" w:eastAsia="黑体" w:cs="黑体"/>
              <w:sz w:val="21"/>
              <w:szCs w:val="21"/>
            </w:rPr>
            <w:fldChar w:fldCharType="separate"/>
          </w:r>
          <w:r>
            <w:rPr>
              <w:rFonts w:hint="eastAsia" w:ascii="黑体" w:hAnsi="黑体" w:eastAsia="黑体" w:cs="黑体"/>
              <w:sz w:val="21"/>
              <w:szCs w:val="21"/>
            </w:rPr>
            <w:t>26</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_Toc27013 </w:instrText>
          </w:r>
          <w:r>
            <w:rPr>
              <w:rFonts w:hint="eastAsia" w:ascii="黑体" w:hAnsi="黑体" w:eastAsia="黑体" w:cs="黑体"/>
              <w:sz w:val="21"/>
              <w:szCs w:val="21"/>
            </w:rPr>
            <w:fldChar w:fldCharType="separate"/>
          </w:r>
          <w:r>
            <w:rPr>
              <w:rFonts w:hint="eastAsia" w:ascii="黑体" w:hAnsi="黑体" w:eastAsia="黑体" w:cs="黑体"/>
              <w:sz w:val="21"/>
              <w:szCs w:val="21"/>
            </w:rPr>
            <w:t>第五节 竞争性磋商程序</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_Toc27013 \h </w:instrText>
          </w:r>
          <w:r>
            <w:rPr>
              <w:rFonts w:hint="eastAsia" w:ascii="黑体" w:hAnsi="黑体" w:eastAsia="黑体" w:cs="黑体"/>
              <w:sz w:val="21"/>
              <w:szCs w:val="21"/>
            </w:rPr>
            <w:fldChar w:fldCharType="separate"/>
          </w:r>
          <w:r>
            <w:rPr>
              <w:rFonts w:hint="eastAsia" w:ascii="黑体" w:hAnsi="黑体" w:eastAsia="黑体" w:cs="黑体"/>
              <w:sz w:val="21"/>
              <w:szCs w:val="21"/>
            </w:rPr>
            <w:t>27</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_Toc16189 </w:instrText>
          </w:r>
          <w:r>
            <w:rPr>
              <w:rFonts w:hint="eastAsia" w:ascii="黑体" w:hAnsi="黑体" w:eastAsia="黑体" w:cs="黑体"/>
              <w:sz w:val="21"/>
              <w:szCs w:val="21"/>
            </w:rPr>
            <w:fldChar w:fldCharType="separate"/>
          </w:r>
          <w:r>
            <w:rPr>
              <w:rFonts w:hint="eastAsia" w:ascii="黑体" w:hAnsi="黑体" w:eastAsia="黑体" w:cs="黑体"/>
              <w:sz w:val="21"/>
              <w:szCs w:val="21"/>
            </w:rPr>
            <w:t>第六节 发布成交公告</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_Toc16189 \h </w:instrText>
          </w:r>
          <w:r>
            <w:rPr>
              <w:rFonts w:hint="eastAsia" w:ascii="黑体" w:hAnsi="黑体" w:eastAsia="黑体" w:cs="黑体"/>
              <w:sz w:val="21"/>
              <w:szCs w:val="21"/>
            </w:rPr>
            <w:fldChar w:fldCharType="separate"/>
          </w:r>
          <w:r>
            <w:rPr>
              <w:rFonts w:hint="eastAsia" w:ascii="黑体" w:hAnsi="黑体" w:eastAsia="黑体" w:cs="黑体"/>
              <w:sz w:val="21"/>
              <w:szCs w:val="21"/>
            </w:rPr>
            <w:t>31</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_Toc4219 </w:instrText>
          </w:r>
          <w:r>
            <w:rPr>
              <w:rFonts w:hint="eastAsia" w:ascii="黑体" w:hAnsi="黑体" w:eastAsia="黑体" w:cs="黑体"/>
              <w:sz w:val="21"/>
              <w:szCs w:val="21"/>
            </w:rPr>
            <w:fldChar w:fldCharType="separate"/>
          </w:r>
          <w:r>
            <w:rPr>
              <w:rFonts w:hint="eastAsia" w:ascii="黑体" w:hAnsi="黑体" w:eastAsia="黑体" w:cs="黑体"/>
              <w:sz w:val="21"/>
              <w:szCs w:val="21"/>
            </w:rPr>
            <w:t>第七节 支付代理服务费</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_Toc4219 \h </w:instrText>
          </w:r>
          <w:r>
            <w:rPr>
              <w:rFonts w:hint="eastAsia" w:ascii="黑体" w:hAnsi="黑体" w:eastAsia="黑体" w:cs="黑体"/>
              <w:sz w:val="21"/>
              <w:szCs w:val="21"/>
            </w:rPr>
            <w:fldChar w:fldCharType="separate"/>
          </w:r>
          <w:r>
            <w:rPr>
              <w:rFonts w:hint="eastAsia" w:ascii="黑体" w:hAnsi="黑体" w:eastAsia="黑体" w:cs="黑体"/>
              <w:sz w:val="21"/>
              <w:szCs w:val="21"/>
            </w:rPr>
            <w:t>32</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_Toc17789 </w:instrText>
          </w:r>
          <w:r>
            <w:rPr>
              <w:rFonts w:hint="eastAsia" w:ascii="黑体" w:hAnsi="黑体" w:eastAsia="黑体" w:cs="黑体"/>
              <w:sz w:val="21"/>
              <w:szCs w:val="21"/>
            </w:rPr>
            <w:fldChar w:fldCharType="separate"/>
          </w:r>
          <w:r>
            <w:rPr>
              <w:rFonts w:hint="eastAsia" w:ascii="黑体" w:hAnsi="黑体" w:eastAsia="黑体" w:cs="黑体"/>
              <w:sz w:val="21"/>
              <w:szCs w:val="21"/>
            </w:rPr>
            <w:t>第八节 签订政府采购合同</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_Toc17789 \h </w:instrText>
          </w:r>
          <w:r>
            <w:rPr>
              <w:rFonts w:hint="eastAsia" w:ascii="黑体" w:hAnsi="黑体" w:eastAsia="黑体" w:cs="黑体"/>
              <w:sz w:val="21"/>
              <w:szCs w:val="21"/>
            </w:rPr>
            <w:fldChar w:fldCharType="separate"/>
          </w:r>
          <w:r>
            <w:rPr>
              <w:rFonts w:hint="eastAsia" w:ascii="黑体" w:hAnsi="黑体" w:eastAsia="黑体" w:cs="黑体"/>
              <w:sz w:val="21"/>
              <w:szCs w:val="21"/>
            </w:rPr>
            <w:t>33</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_Toc3192 </w:instrText>
          </w:r>
          <w:r>
            <w:rPr>
              <w:rFonts w:hint="eastAsia" w:ascii="黑体" w:hAnsi="黑体" w:eastAsia="黑体" w:cs="黑体"/>
              <w:sz w:val="21"/>
              <w:szCs w:val="21"/>
            </w:rPr>
            <w:fldChar w:fldCharType="separate"/>
          </w:r>
          <w:r>
            <w:rPr>
              <w:rFonts w:hint="eastAsia" w:ascii="黑体" w:hAnsi="黑体" w:eastAsia="黑体" w:cs="黑体"/>
              <w:sz w:val="21"/>
              <w:szCs w:val="21"/>
            </w:rPr>
            <w:t>第九节 退还投标保证金</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_Toc3192 \h </w:instrText>
          </w:r>
          <w:r>
            <w:rPr>
              <w:rFonts w:hint="eastAsia" w:ascii="黑体" w:hAnsi="黑体" w:eastAsia="黑体" w:cs="黑体"/>
              <w:sz w:val="21"/>
              <w:szCs w:val="21"/>
            </w:rPr>
            <w:fldChar w:fldCharType="separate"/>
          </w:r>
          <w:r>
            <w:rPr>
              <w:rFonts w:hint="eastAsia" w:ascii="黑体" w:hAnsi="黑体" w:eastAsia="黑体" w:cs="黑体"/>
              <w:sz w:val="21"/>
              <w:szCs w:val="21"/>
            </w:rPr>
            <w:t>33</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_Toc9459 </w:instrText>
          </w:r>
          <w:r>
            <w:rPr>
              <w:rFonts w:hint="eastAsia" w:ascii="黑体" w:hAnsi="黑体" w:eastAsia="黑体" w:cs="黑体"/>
              <w:sz w:val="21"/>
              <w:szCs w:val="21"/>
            </w:rPr>
            <w:fldChar w:fldCharType="separate"/>
          </w:r>
          <w:r>
            <w:rPr>
              <w:rFonts w:hint="eastAsia" w:ascii="黑体" w:hAnsi="黑体" w:eastAsia="黑体" w:cs="黑体"/>
              <w:sz w:val="21"/>
              <w:szCs w:val="21"/>
            </w:rPr>
            <w:t>第五章  政府采购合同</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_Toc9459 \h </w:instrText>
          </w:r>
          <w:r>
            <w:rPr>
              <w:rFonts w:hint="eastAsia" w:ascii="黑体" w:hAnsi="黑体" w:eastAsia="黑体" w:cs="黑体"/>
              <w:sz w:val="21"/>
              <w:szCs w:val="21"/>
            </w:rPr>
            <w:fldChar w:fldCharType="separate"/>
          </w:r>
          <w:r>
            <w:rPr>
              <w:rFonts w:hint="eastAsia" w:ascii="黑体" w:hAnsi="黑体" w:eastAsia="黑体" w:cs="黑体"/>
              <w:sz w:val="21"/>
              <w:szCs w:val="21"/>
            </w:rPr>
            <w:t>35</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_Toc29932 </w:instrText>
          </w:r>
          <w:r>
            <w:rPr>
              <w:rFonts w:hint="eastAsia" w:ascii="黑体" w:hAnsi="黑体" w:eastAsia="黑体" w:cs="黑体"/>
              <w:sz w:val="21"/>
              <w:szCs w:val="21"/>
            </w:rPr>
            <w:fldChar w:fldCharType="separate"/>
          </w:r>
          <w:r>
            <w:rPr>
              <w:rFonts w:hint="eastAsia" w:ascii="黑体" w:hAnsi="黑体" w:eastAsia="黑体" w:cs="黑体"/>
              <w:sz w:val="21"/>
              <w:szCs w:val="21"/>
            </w:rPr>
            <w:t>第一节  主要条款</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_Toc29932 \h </w:instrText>
          </w:r>
          <w:r>
            <w:rPr>
              <w:rFonts w:hint="eastAsia" w:ascii="黑体" w:hAnsi="黑体" w:eastAsia="黑体" w:cs="黑体"/>
              <w:sz w:val="21"/>
              <w:szCs w:val="21"/>
            </w:rPr>
            <w:fldChar w:fldCharType="separate"/>
          </w:r>
          <w:r>
            <w:rPr>
              <w:rFonts w:hint="eastAsia" w:ascii="黑体" w:hAnsi="黑体" w:eastAsia="黑体" w:cs="黑体"/>
              <w:sz w:val="21"/>
              <w:szCs w:val="21"/>
            </w:rPr>
            <w:t>35</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_Toc27497 </w:instrText>
          </w:r>
          <w:r>
            <w:rPr>
              <w:rFonts w:hint="eastAsia" w:ascii="黑体" w:hAnsi="黑体" w:eastAsia="黑体" w:cs="黑体"/>
              <w:sz w:val="21"/>
              <w:szCs w:val="21"/>
            </w:rPr>
            <w:fldChar w:fldCharType="separate"/>
          </w:r>
          <w:r>
            <w:rPr>
              <w:rFonts w:hint="eastAsia" w:ascii="黑体" w:hAnsi="黑体" w:eastAsia="黑体" w:cs="黑体"/>
              <w:sz w:val="21"/>
              <w:szCs w:val="21"/>
            </w:rPr>
            <w:t>第二节  拟签订的政府采购合同</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_Toc27497 \h </w:instrText>
          </w:r>
          <w:r>
            <w:rPr>
              <w:rFonts w:hint="eastAsia" w:ascii="黑体" w:hAnsi="黑体" w:eastAsia="黑体" w:cs="黑体"/>
              <w:sz w:val="21"/>
              <w:szCs w:val="21"/>
            </w:rPr>
            <w:fldChar w:fldCharType="separate"/>
          </w:r>
          <w:r>
            <w:rPr>
              <w:rFonts w:hint="eastAsia" w:ascii="黑体" w:hAnsi="黑体" w:eastAsia="黑体" w:cs="黑体"/>
              <w:sz w:val="21"/>
              <w:szCs w:val="21"/>
            </w:rPr>
            <w:t>36</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0"/>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_Toc10285 </w:instrText>
          </w:r>
          <w:r>
            <w:rPr>
              <w:rFonts w:hint="eastAsia" w:ascii="黑体" w:hAnsi="黑体" w:eastAsia="黑体" w:cs="黑体"/>
              <w:sz w:val="21"/>
              <w:szCs w:val="21"/>
            </w:rPr>
            <w:fldChar w:fldCharType="separate"/>
          </w:r>
          <w:r>
            <w:rPr>
              <w:rFonts w:hint="eastAsia" w:ascii="黑体" w:hAnsi="黑体" w:eastAsia="黑体" w:cs="黑体"/>
              <w:sz w:val="21"/>
              <w:szCs w:val="21"/>
            </w:rPr>
            <w:t>第三部分  响应文件编制规范</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_Toc10285 \h </w:instrText>
          </w:r>
          <w:r>
            <w:rPr>
              <w:rFonts w:hint="eastAsia" w:ascii="黑体" w:hAnsi="黑体" w:eastAsia="黑体" w:cs="黑体"/>
              <w:sz w:val="21"/>
              <w:szCs w:val="21"/>
            </w:rPr>
            <w:fldChar w:fldCharType="separate"/>
          </w:r>
          <w:r>
            <w:rPr>
              <w:rFonts w:hint="eastAsia" w:ascii="黑体" w:hAnsi="黑体" w:eastAsia="黑体" w:cs="黑体"/>
              <w:sz w:val="21"/>
              <w:szCs w:val="21"/>
            </w:rPr>
            <w:t>41</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_Toc23175 </w:instrText>
          </w:r>
          <w:r>
            <w:rPr>
              <w:rFonts w:hint="eastAsia" w:ascii="黑体" w:hAnsi="黑体" w:eastAsia="黑体" w:cs="黑体"/>
              <w:sz w:val="21"/>
              <w:szCs w:val="21"/>
            </w:rPr>
            <w:fldChar w:fldCharType="separate"/>
          </w:r>
          <w:r>
            <w:rPr>
              <w:rFonts w:hint="eastAsia" w:ascii="黑体" w:hAnsi="黑体" w:eastAsia="黑体" w:cs="黑体"/>
              <w:sz w:val="21"/>
              <w:szCs w:val="21"/>
            </w:rPr>
            <w:t>第六章 响应文件的编制</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_Toc23175 \h </w:instrText>
          </w:r>
          <w:r>
            <w:rPr>
              <w:rFonts w:hint="eastAsia" w:ascii="黑体" w:hAnsi="黑体" w:eastAsia="黑体" w:cs="黑体"/>
              <w:sz w:val="21"/>
              <w:szCs w:val="21"/>
            </w:rPr>
            <w:fldChar w:fldCharType="separate"/>
          </w:r>
          <w:r>
            <w:rPr>
              <w:rFonts w:hint="eastAsia" w:ascii="黑体" w:hAnsi="黑体" w:eastAsia="黑体" w:cs="黑体"/>
              <w:sz w:val="21"/>
              <w:szCs w:val="21"/>
            </w:rPr>
            <w:t>41</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_Toc9913 </w:instrText>
          </w:r>
          <w:r>
            <w:rPr>
              <w:rFonts w:hint="eastAsia" w:ascii="黑体" w:hAnsi="黑体" w:eastAsia="黑体" w:cs="黑体"/>
              <w:sz w:val="21"/>
              <w:szCs w:val="21"/>
            </w:rPr>
            <w:fldChar w:fldCharType="separate"/>
          </w:r>
          <w:r>
            <w:rPr>
              <w:rFonts w:hint="eastAsia" w:ascii="黑体" w:hAnsi="黑体" w:eastAsia="黑体" w:cs="黑体"/>
              <w:sz w:val="21"/>
              <w:szCs w:val="21"/>
            </w:rPr>
            <w:t>第一节 编制要求</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_Toc9913 \h </w:instrText>
          </w:r>
          <w:r>
            <w:rPr>
              <w:rFonts w:hint="eastAsia" w:ascii="黑体" w:hAnsi="黑体" w:eastAsia="黑体" w:cs="黑体"/>
              <w:sz w:val="21"/>
              <w:szCs w:val="21"/>
            </w:rPr>
            <w:fldChar w:fldCharType="separate"/>
          </w:r>
          <w:r>
            <w:rPr>
              <w:rFonts w:hint="eastAsia" w:ascii="黑体" w:hAnsi="黑体" w:eastAsia="黑体" w:cs="黑体"/>
              <w:sz w:val="21"/>
              <w:szCs w:val="21"/>
            </w:rPr>
            <w:t>41</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_Toc212 </w:instrText>
          </w:r>
          <w:r>
            <w:rPr>
              <w:rFonts w:hint="eastAsia" w:ascii="黑体" w:hAnsi="黑体" w:eastAsia="黑体" w:cs="黑体"/>
              <w:sz w:val="21"/>
              <w:szCs w:val="21"/>
            </w:rPr>
            <w:fldChar w:fldCharType="separate"/>
          </w:r>
          <w:r>
            <w:rPr>
              <w:rFonts w:hint="eastAsia" w:ascii="黑体" w:hAnsi="黑体" w:eastAsia="黑体" w:cs="黑体"/>
              <w:sz w:val="21"/>
              <w:szCs w:val="21"/>
            </w:rPr>
            <w:t>第二节 响应文件组成</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_Toc212 \h </w:instrText>
          </w:r>
          <w:r>
            <w:rPr>
              <w:rFonts w:hint="eastAsia" w:ascii="黑体" w:hAnsi="黑体" w:eastAsia="黑体" w:cs="黑体"/>
              <w:sz w:val="21"/>
              <w:szCs w:val="21"/>
            </w:rPr>
            <w:fldChar w:fldCharType="separate"/>
          </w:r>
          <w:r>
            <w:rPr>
              <w:rFonts w:hint="eastAsia" w:ascii="黑体" w:hAnsi="黑体" w:eastAsia="黑体" w:cs="黑体"/>
              <w:sz w:val="21"/>
              <w:szCs w:val="21"/>
            </w:rPr>
            <w:t>42</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_Toc15645 </w:instrText>
          </w:r>
          <w:r>
            <w:rPr>
              <w:rFonts w:hint="eastAsia" w:ascii="黑体" w:hAnsi="黑体" w:eastAsia="黑体" w:cs="黑体"/>
              <w:sz w:val="21"/>
              <w:szCs w:val="21"/>
            </w:rPr>
            <w:fldChar w:fldCharType="separate"/>
          </w:r>
          <w:r>
            <w:rPr>
              <w:rFonts w:hint="eastAsia" w:ascii="黑体" w:hAnsi="黑体" w:eastAsia="黑体" w:cs="黑体"/>
              <w:sz w:val="21"/>
              <w:szCs w:val="21"/>
            </w:rPr>
            <w:t>第三节 响应文件格式范本</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_Toc15645 \h </w:instrText>
          </w:r>
          <w:r>
            <w:rPr>
              <w:rFonts w:hint="eastAsia" w:ascii="黑体" w:hAnsi="黑体" w:eastAsia="黑体" w:cs="黑体"/>
              <w:sz w:val="21"/>
              <w:szCs w:val="21"/>
            </w:rPr>
            <w:fldChar w:fldCharType="separate"/>
          </w:r>
          <w:r>
            <w:rPr>
              <w:rFonts w:hint="eastAsia" w:ascii="黑体" w:hAnsi="黑体" w:eastAsia="黑体" w:cs="黑体"/>
              <w:sz w:val="21"/>
              <w:szCs w:val="21"/>
            </w:rPr>
            <w:t>43</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asciiTheme="minorEastAsia" w:hAnsiTheme="minorEastAsia" w:eastAsiaTheme="minorEastAsia" w:cstheme="minorEastAsia"/>
              <w:sz w:val="32"/>
              <w:szCs w:val="32"/>
            </w:rPr>
            <w:sectPr>
              <w:headerReference r:id="rId7" w:type="first"/>
              <w:headerReference r:id="rId5" w:type="default"/>
              <w:footerReference r:id="rId8" w:type="default"/>
              <w:headerReference r:id="rId6" w:type="even"/>
              <w:pgSz w:w="11907" w:h="16840"/>
              <w:pgMar w:top="911" w:right="1418" w:bottom="1009" w:left="1418" w:header="720" w:footer="63" w:gutter="0"/>
              <w:pgNumType w:start="1"/>
              <w:cols w:space="425" w:num="1"/>
              <w:docGrid w:linePitch="285" w:charSpace="0"/>
            </w:sectPr>
          </w:pPr>
          <w:r>
            <w:rPr>
              <w:rFonts w:hint="eastAsia" w:ascii="黑体" w:hAnsi="黑体" w:eastAsia="黑体" w:cs="黑体"/>
              <w:sz w:val="21"/>
              <w:szCs w:val="21"/>
            </w:rPr>
            <w:fldChar w:fldCharType="end"/>
          </w:r>
        </w:p>
      </w:sdtContent>
    </w:sdt>
    <w:p>
      <w:pPr>
        <w:pStyle w:val="4"/>
        <w:rPr>
          <w:rFonts w:asciiTheme="minorEastAsia" w:hAnsiTheme="minorEastAsia" w:eastAsiaTheme="minorEastAsia" w:cstheme="minorEastAsia"/>
        </w:rPr>
      </w:pPr>
      <w:bookmarkStart w:id="4" w:name="_Toc424213008"/>
      <w:bookmarkStart w:id="5" w:name="_Toc24860"/>
      <w:r>
        <w:rPr>
          <w:rFonts w:hint="eastAsia" w:asciiTheme="minorEastAsia" w:hAnsiTheme="minorEastAsia" w:eastAsiaTheme="minorEastAsia" w:cstheme="minorEastAsia"/>
        </w:rPr>
        <w:t>第一部分  专用部分</w:t>
      </w:r>
      <w:bookmarkEnd w:id="0"/>
      <w:bookmarkEnd w:id="1"/>
      <w:bookmarkEnd w:id="2"/>
      <w:bookmarkEnd w:id="3"/>
      <w:bookmarkEnd w:id="4"/>
      <w:bookmarkEnd w:id="5"/>
    </w:p>
    <w:p>
      <w:pPr>
        <w:pStyle w:val="81"/>
        <w:spacing w:line="360" w:lineRule="auto"/>
        <w:jc w:val="center"/>
        <w:rPr>
          <w:rFonts w:hint="eastAsia"/>
          <w:b/>
          <w:bCs/>
          <w:sz w:val="28"/>
          <w:szCs w:val="28"/>
          <w:lang w:eastAsia="zh-CN"/>
        </w:rPr>
      </w:pPr>
      <w:r>
        <w:rPr>
          <w:rFonts w:hint="eastAsia"/>
          <w:b/>
          <w:bCs/>
          <w:sz w:val="28"/>
          <w:szCs w:val="28"/>
          <w:lang w:eastAsia="zh-CN"/>
        </w:rPr>
        <w:t>乌鲁木齐职业大学北辰校区建设项目可行性研究报告编制技术服务项目</w:t>
      </w:r>
    </w:p>
    <w:p>
      <w:pPr>
        <w:pStyle w:val="81"/>
        <w:spacing w:line="360" w:lineRule="auto"/>
        <w:jc w:val="center"/>
        <w:rPr>
          <w:b/>
          <w:bCs/>
          <w:sz w:val="28"/>
          <w:szCs w:val="28"/>
        </w:rPr>
      </w:pPr>
      <w:r>
        <w:rPr>
          <w:rFonts w:hint="eastAsia"/>
          <w:b/>
          <w:bCs/>
          <w:sz w:val="28"/>
          <w:szCs w:val="28"/>
        </w:rPr>
        <w:t>竞争性磋商公告</w:t>
      </w:r>
    </w:p>
    <w:p>
      <w:pPr>
        <w:pStyle w:val="33"/>
        <w:keepNext w:val="0"/>
        <w:keepLines w:val="0"/>
        <w:widowControl/>
        <w:suppressLineNumbers w:val="0"/>
        <w:spacing w:before="75" w:beforeAutospacing="0" w:after="150" w:afterAutospacing="0"/>
        <w:ind w:left="0" w:right="0"/>
      </w:pPr>
      <w:bookmarkStart w:id="6" w:name="_Toc479871106"/>
      <w:bookmarkStart w:id="7" w:name="_Toc481083794"/>
      <w:r>
        <w:rPr>
          <w:rFonts w:hint="eastAsia" w:asciiTheme="minorEastAsia" w:hAnsiTheme="minorEastAsia" w:eastAsiaTheme="minorEastAsia" w:cstheme="minorEastAsia"/>
          <w:sz w:val="24"/>
          <w:szCs w:val="24"/>
        </w:rPr>
        <w:t>项目概况</w:t>
      </w:r>
      <w:r>
        <w:rPr>
          <w:rFonts w:hint="eastAsia" w:ascii="仿宋" w:hAnsi="仿宋" w:eastAsia="仿宋" w:cs="仿宋"/>
        </w:rPr>
        <w:t>                                                    </w:t>
      </w:r>
    </w:p>
    <w:p>
      <w:pPr>
        <w:pStyle w:val="33"/>
        <w:keepNext w:val="0"/>
        <w:keepLines w:val="0"/>
        <w:widowControl/>
        <w:suppressLineNumbers w:val="0"/>
        <w:spacing w:before="75" w:beforeAutospacing="0" w:after="75" w:afterAutospacing="0"/>
        <w:ind w:left="0" w:right="0"/>
      </w:pPr>
      <w:r>
        <w:rPr>
          <w:rFonts w:hint="eastAsia" w:ascii="仿宋" w:hAnsi="仿宋" w:eastAsia="仿宋" w:cs="仿宋"/>
          <w:sz w:val="27"/>
          <w:szCs w:val="27"/>
        </w:rPr>
        <w:t>   </w:t>
      </w: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eastAsia="zh-CN"/>
        </w:rPr>
        <w:t>乌鲁木齐职业大学北辰校区建设项目可行性研究报告编制技术服务项目</w:t>
      </w:r>
      <w:r>
        <w:rPr>
          <w:rFonts w:hint="eastAsia" w:asciiTheme="minorEastAsia" w:hAnsiTheme="minorEastAsia" w:eastAsiaTheme="minorEastAsia" w:cstheme="minorEastAsia"/>
          <w:sz w:val="24"/>
          <w:szCs w:val="24"/>
        </w:rPr>
        <w:t>的潜在供应商应在</w:t>
      </w:r>
      <w:r>
        <w:rPr>
          <w:rFonts w:hint="eastAsia" w:asciiTheme="minorEastAsia" w:hAnsiTheme="minorEastAsia" w:eastAsiaTheme="minorEastAsia" w:cstheme="minorEastAsia"/>
          <w:sz w:val="24"/>
          <w:szCs w:val="24"/>
          <w:lang w:eastAsia="zh-CN"/>
        </w:rPr>
        <w:t>新疆华域建设工程项目管理咨询有限公司</w:t>
      </w:r>
      <w:r>
        <w:rPr>
          <w:rFonts w:hint="eastAsia" w:asciiTheme="minorEastAsia" w:hAnsiTheme="minorEastAsia" w:eastAsiaTheme="minorEastAsia" w:cstheme="minorEastAsia"/>
          <w:sz w:val="24"/>
          <w:szCs w:val="24"/>
        </w:rPr>
        <w:t>获取采购文件，并于2022年</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:00（北京时间）前提交响应文件。     </w:t>
      </w:r>
      <w:r>
        <w:rPr>
          <w:rFonts w:hint="eastAsia" w:ascii="仿宋" w:hAnsi="仿宋" w:eastAsia="仿宋" w:cs="仿宋"/>
        </w:rPr>
        <w:t xml:space="preserve">                       </w:t>
      </w:r>
    </w:p>
    <w:p>
      <w:pPr>
        <w:pStyle w:val="33"/>
        <w:keepNext w:val="0"/>
        <w:keepLines w:val="0"/>
        <w:widowControl/>
        <w:suppressLineNumbers w:val="0"/>
        <w:spacing w:before="255" w:beforeAutospacing="0" w:after="255" w:afterAutospacing="0" w:line="450" w:lineRule="atLeast"/>
        <w:ind w:left="0" w:right="0"/>
        <w:jc w:val="both"/>
        <w:rPr>
          <w:rFonts w:ascii="黑体" w:hAnsi="宋体" w:eastAsia="黑体" w:cs="黑体"/>
          <w:sz w:val="31"/>
          <w:szCs w:val="31"/>
        </w:rPr>
      </w:pPr>
      <w:r>
        <w:rPr>
          <w:rStyle w:val="39"/>
          <w:rFonts w:ascii="黑体" w:hAnsi="宋体" w:eastAsia="黑体" w:cs="黑体"/>
          <w:sz w:val="27"/>
          <w:szCs w:val="27"/>
        </w:rPr>
        <w:t>一、项目基本情况</w:t>
      </w:r>
    </w:p>
    <w:p>
      <w:pPr>
        <w:pStyle w:val="33"/>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仿宋" w:hAnsi="仿宋" w:eastAsia="仿宋" w:cs="仿宋"/>
          <w:sz w:val="27"/>
          <w:szCs w:val="27"/>
        </w:rPr>
        <w:t xml:space="preserve">    </w:t>
      </w:r>
      <w:r>
        <w:rPr>
          <w:rFonts w:hint="eastAsia" w:ascii="仿宋" w:hAnsi="仿宋" w:eastAsia="仿宋" w:cs="仿宋"/>
          <w:sz w:val="27"/>
          <w:szCs w:val="27"/>
          <w:lang w:val="en-US" w:eastAsia="zh-CN"/>
        </w:rPr>
        <w:t xml:space="preserve">  </w:t>
      </w: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lang w:eastAsia="zh-CN"/>
        </w:rPr>
        <w:t>ZFCGHY-20220096</w:t>
      </w:r>
      <w:r>
        <w:rPr>
          <w:rFonts w:hint="eastAsia" w:asciiTheme="minorEastAsia" w:hAnsiTheme="minorEastAsia" w:eastAsiaTheme="minorEastAsia" w:cstheme="minorEastAsia"/>
          <w:sz w:val="24"/>
          <w:szCs w:val="24"/>
        </w:rPr>
        <w:t> </w:t>
      </w:r>
    </w:p>
    <w:p>
      <w:pPr>
        <w:pStyle w:val="33"/>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项目名称：</w:t>
      </w:r>
      <w:r>
        <w:rPr>
          <w:rFonts w:hint="eastAsia" w:asciiTheme="minorEastAsia" w:hAnsiTheme="minorEastAsia" w:eastAsiaTheme="minorEastAsia" w:cstheme="minorEastAsia"/>
          <w:sz w:val="24"/>
          <w:szCs w:val="24"/>
          <w:lang w:eastAsia="zh-CN"/>
        </w:rPr>
        <w:t>乌鲁木齐职业大学北辰校区建设项目可行性研究报告编制技术服务项目</w:t>
      </w:r>
      <w:r>
        <w:rPr>
          <w:rFonts w:hint="eastAsia" w:asciiTheme="minorEastAsia" w:hAnsiTheme="minorEastAsia" w:eastAsiaTheme="minorEastAsia" w:cstheme="minorEastAsia"/>
          <w:sz w:val="24"/>
          <w:szCs w:val="24"/>
        </w:rPr>
        <w:t> </w:t>
      </w:r>
    </w:p>
    <w:p>
      <w:pPr>
        <w:pStyle w:val="33"/>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采购方式：竞争性磋商 </w:t>
      </w:r>
    </w:p>
    <w:p>
      <w:pPr>
        <w:pStyle w:val="33"/>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预算金额（元）：</w:t>
      </w:r>
      <w:r>
        <w:rPr>
          <w:rFonts w:hint="eastAsia" w:asciiTheme="minorEastAsia" w:hAnsiTheme="minorEastAsia" w:eastAsiaTheme="minorEastAsia" w:cstheme="minorEastAsia"/>
          <w:sz w:val="24"/>
          <w:szCs w:val="24"/>
          <w:lang w:eastAsia="zh-CN"/>
        </w:rPr>
        <w:t>800000</w:t>
      </w:r>
      <w:r>
        <w:rPr>
          <w:rFonts w:hint="eastAsia" w:asciiTheme="minorEastAsia" w:hAnsiTheme="minorEastAsia" w:eastAsiaTheme="minorEastAsia" w:cstheme="minorEastAsia"/>
          <w:sz w:val="24"/>
          <w:szCs w:val="24"/>
        </w:rPr>
        <w:t>  </w:t>
      </w:r>
    </w:p>
    <w:p>
      <w:pPr>
        <w:pStyle w:val="33"/>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最高限价（元）：</w:t>
      </w:r>
      <w:r>
        <w:rPr>
          <w:rFonts w:hint="eastAsia" w:asciiTheme="minorEastAsia" w:hAnsiTheme="minorEastAsia" w:eastAsiaTheme="minorEastAsia" w:cstheme="minorEastAsia"/>
          <w:sz w:val="24"/>
          <w:szCs w:val="24"/>
          <w:lang w:eastAsia="zh-CN"/>
        </w:rPr>
        <w:t>800000</w:t>
      </w:r>
      <w:r>
        <w:rPr>
          <w:rFonts w:hint="eastAsia" w:asciiTheme="minorEastAsia" w:hAnsiTheme="minorEastAsia" w:eastAsiaTheme="minorEastAsia" w:cstheme="minorEastAsia"/>
          <w:sz w:val="24"/>
          <w:szCs w:val="24"/>
        </w:rPr>
        <w:t>  </w:t>
      </w:r>
    </w:p>
    <w:p>
      <w:pPr>
        <w:pStyle w:val="33"/>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简要规格描述：对乌鲁木齐职业大学北辰校区建设项目进行前期研究，并按照发改委有关可行性研究报告编制内容和深度等要求，编制符合行政主管部门报批要求的《乌鲁木齐职业大学北辰校区建设项目可行性研究报告》，包括为编制报告而进行的所有调查、踏勘、资料收集、现场勘察等工作，以及进行项目评审及成果文件的报批工作等。 </w:t>
      </w:r>
    </w:p>
    <w:p>
      <w:pPr>
        <w:pStyle w:val="33"/>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合同履约期限：标项 1，可行性研究报告编制为自投标人中标之日起，15日历日内完成。  </w:t>
      </w:r>
    </w:p>
    <w:p>
      <w:pPr>
        <w:pStyle w:val="33"/>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本项目（否）接受联合体投标。  </w:t>
      </w:r>
    </w:p>
    <w:p>
      <w:pPr>
        <w:pStyle w:val="33"/>
        <w:keepNext w:val="0"/>
        <w:keepLines w:val="0"/>
        <w:widowControl/>
        <w:suppressLineNumbers w:val="0"/>
        <w:spacing w:before="255" w:beforeAutospacing="0" w:after="255" w:afterAutospacing="0" w:line="450" w:lineRule="atLeast"/>
        <w:ind w:left="0" w:right="0"/>
        <w:jc w:val="both"/>
        <w:rPr>
          <w:rStyle w:val="39"/>
          <w:rFonts w:hint="eastAsia" w:ascii="黑体" w:hAnsi="宋体" w:eastAsia="黑体" w:cs="黑体"/>
          <w:sz w:val="27"/>
          <w:szCs w:val="27"/>
        </w:rPr>
      </w:pPr>
      <w:r>
        <w:rPr>
          <w:rStyle w:val="39"/>
          <w:rFonts w:hint="eastAsia" w:ascii="黑体" w:hAnsi="宋体" w:eastAsia="黑体" w:cs="黑体"/>
          <w:sz w:val="27"/>
          <w:szCs w:val="27"/>
        </w:rPr>
        <w:t>二、申请人的资格要求：</w:t>
      </w:r>
    </w:p>
    <w:p>
      <w:pPr>
        <w:pStyle w:val="33"/>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1.满足《中华人民共和国政府采购法》第二十二条规定；</w:t>
      </w:r>
    </w:p>
    <w:p>
      <w:pPr>
        <w:pStyle w:val="33"/>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2.落实政府采购政策需满足的资格要求：符合政府采购优先（节约能源、保护环境）采购政策及促进中小企业（监狱企业、残疾人福利性单位）发展政策的，依据规定给予评审优惠。（1）根据财政部发布的《政府采购促进中小企业发展暂行办法》（财库[2011]181 号）的规定，（2）根据财政部发布的《关于政府采购支持监狱企业发展有关问题的通知》（财库[2014]68号）的规定，（3）根据《财政部、民政部、中国残疾人联合会关于促进残疾人就业政府采购政策的通知》(财库[2017]141 号)的规定。</w:t>
      </w:r>
    </w:p>
    <w:p>
      <w:pPr>
        <w:pStyle w:val="33"/>
        <w:keepNext w:val="0"/>
        <w:keepLines w:val="0"/>
        <w:widowControl/>
        <w:suppressLineNumbers w:val="0"/>
        <w:spacing w:before="75" w:beforeAutospacing="0" w:after="75" w:afterAutospacing="0" w:line="300" w:lineRule="atLeast"/>
        <w:ind w:left="0" w:right="0" w:firstLine="7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标项1：3.1供应商在“信用中国”（www.creditchina.gov.cn）未被列入重大税收违法案件当事人名单、“中国执行信息公开网”（http://zxgk.court.gov.cn/）未被列入失信被执行人、“中国政府采购网”（www.ccgp.gov.cn）网站上未被列入政府采购严重违法失信行为记录名单；</w:t>
      </w:r>
    </w:p>
    <w:p>
      <w:pPr>
        <w:pStyle w:val="33"/>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3.2本项目要求投标人</w:t>
      </w:r>
      <w:r>
        <w:rPr>
          <w:rFonts w:hint="eastAsia" w:asciiTheme="minorEastAsia" w:hAnsiTheme="minorEastAsia" w:eastAsiaTheme="minorEastAsia" w:cstheme="minorEastAsia"/>
          <w:sz w:val="24"/>
          <w:szCs w:val="24"/>
          <w:highlight w:val="yellow"/>
          <w:lang w:val="en-US" w:eastAsia="zh-CN"/>
        </w:rPr>
        <w:t>具备独立法人资格</w:t>
      </w:r>
      <w:r>
        <w:rPr>
          <w:rFonts w:hint="eastAsia" w:asciiTheme="minorEastAsia" w:hAnsiTheme="minorEastAsia" w:eastAsiaTheme="minorEastAsia" w:cstheme="minorEastAsia"/>
          <w:sz w:val="24"/>
          <w:szCs w:val="24"/>
          <w:lang w:val="en-US" w:eastAsia="zh-CN"/>
        </w:rPr>
        <w:t>，具备有效的营业执照；</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供应商须在《全国投资项目在线审批监管平台》备案，在平台“中介服务”的咨询单位名录中，且咨询专业包含</w:t>
      </w:r>
      <w:r>
        <w:rPr>
          <w:rFonts w:hint="eastAsia" w:asciiTheme="minorEastAsia" w:hAnsiTheme="minorEastAsia" w:eastAsiaTheme="minorEastAsia" w:cstheme="minorEastAsia"/>
          <w:sz w:val="24"/>
          <w:szCs w:val="24"/>
          <w:highlight w:val="yellow"/>
        </w:rPr>
        <w:t>建筑</w:t>
      </w:r>
      <w:r>
        <w:rPr>
          <w:rFonts w:hint="eastAsia" w:asciiTheme="minorEastAsia" w:hAnsiTheme="minorEastAsia" w:eastAsiaTheme="minorEastAsia" w:cstheme="minorEastAsia"/>
          <w:sz w:val="24"/>
          <w:szCs w:val="24"/>
          <w:highlight w:val="yellow"/>
          <w:lang w:eastAsia="zh-CN"/>
        </w:rPr>
        <w:t>、市政公用工程</w:t>
      </w:r>
      <w:r>
        <w:rPr>
          <w:rFonts w:hint="eastAsia" w:asciiTheme="minorEastAsia" w:hAnsiTheme="minorEastAsia" w:eastAsiaTheme="minorEastAsia" w:cstheme="minorEastAsia"/>
          <w:sz w:val="24"/>
          <w:szCs w:val="24"/>
        </w:rPr>
        <w:t>，服务范围包括项目咨询；</w:t>
      </w:r>
    </w:p>
    <w:p>
      <w:pPr>
        <w:pStyle w:val="33"/>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4"/>
          <w:szCs w:val="24"/>
          <w:highlight w:val="yellow"/>
          <w:lang w:val="en-US" w:eastAsia="zh-CN"/>
        </w:rPr>
      </w:pPr>
      <w:r>
        <w:rPr>
          <w:rFonts w:hint="eastAsia" w:asciiTheme="minorEastAsia" w:hAnsiTheme="minorEastAsia" w:eastAsiaTheme="minorEastAsia" w:cstheme="minorEastAsia"/>
          <w:sz w:val="24"/>
          <w:szCs w:val="24"/>
          <w:highlight w:val="yellow"/>
          <w:lang w:val="en-US" w:eastAsia="zh-CN"/>
        </w:rPr>
        <w:t>3.4供应商委派的项目负责人具备高级工程师及以上职称或注册咨询师，各专业负责人具有中级工程师及以上职称或相应专业注册咨询师；</w:t>
      </w:r>
    </w:p>
    <w:p>
      <w:pPr>
        <w:pStyle w:val="33"/>
        <w:keepNext w:val="0"/>
        <w:keepLines w:val="0"/>
        <w:widowControl/>
        <w:suppressLineNumbers w:val="0"/>
        <w:spacing w:before="75" w:beforeAutospacing="0" w:after="75" w:afterAutospacing="0" w:line="300" w:lineRule="atLeast"/>
        <w:ind w:right="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3.5本项目不允许联合体投标、不允许分包；</w:t>
      </w:r>
    </w:p>
    <w:p>
      <w:pPr>
        <w:pStyle w:val="33"/>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p>
      <w:pPr>
        <w:pStyle w:val="33"/>
        <w:keepNext w:val="0"/>
        <w:keepLines w:val="0"/>
        <w:widowControl/>
        <w:suppressLineNumbers w:val="0"/>
        <w:spacing w:before="255" w:beforeAutospacing="0" w:after="255" w:afterAutospacing="0" w:line="450" w:lineRule="atLeast"/>
        <w:ind w:left="0" w:right="0"/>
        <w:jc w:val="both"/>
        <w:rPr>
          <w:rStyle w:val="39"/>
          <w:rFonts w:hint="eastAsia" w:ascii="黑体" w:hAnsi="宋体" w:eastAsia="黑体" w:cs="黑体"/>
          <w:sz w:val="27"/>
          <w:szCs w:val="27"/>
        </w:rPr>
      </w:pPr>
      <w:r>
        <w:rPr>
          <w:rStyle w:val="39"/>
          <w:rFonts w:hint="eastAsia" w:ascii="黑体" w:hAnsi="宋体" w:eastAsia="黑体" w:cs="黑体"/>
          <w:sz w:val="27"/>
          <w:szCs w:val="27"/>
        </w:rPr>
        <w:t>三、获取采购文件</w:t>
      </w:r>
    </w:p>
    <w:p>
      <w:pPr>
        <w:pStyle w:val="33"/>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u w:val="none"/>
        </w:rPr>
        <w:t>时间：2022年</w:t>
      </w:r>
      <w:r>
        <w:rPr>
          <w:rFonts w:hint="eastAsia" w:asciiTheme="minorEastAsia" w:hAnsiTheme="minorEastAsia" w:eastAsiaTheme="minorEastAsia" w:cstheme="minorEastAsia"/>
          <w:sz w:val="24"/>
          <w:szCs w:val="24"/>
          <w:u w:val="none"/>
          <w:lang w:val="en-US" w:eastAsia="zh-CN"/>
        </w:rPr>
        <w:t>08</w:t>
      </w:r>
      <w:r>
        <w:rPr>
          <w:rFonts w:hint="eastAsia" w:asciiTheme="minorEastAsia" w:hAnsiTheme="minorEastAsia" w:eastAsiaTheme="minorEastAsia" w:cstheme="minorEastAsia"/>
          <w:sz w:val="24"/>
          <w:szCs w:val="24"/>
          <w:u w:val="none"/>
        </w:rPr>
        <w:t>月</w:t>
      </w:r>
      <w:r>
        <w:rPr>
          <w:rFonts w:hint="eastAsia" w:asciiTheme="minorEastAsia" w:hAnsiTheme="minorEastAsia" w:eastAsiaTheme="minorEastAsia" w:cstheme="minorEastAsia"/>
          <w:sz w:val="24"/>
          <w:szCs w:val="24"/>
          <w:u w:val="none"/>
          <w:lang w:val="en-US" w:eastAsia="zh-CN"/>
        </w:rPr>
        <w:t>24</w:t>
      </w:r>
      <w:r>
        <w:rPr>
          <w:rFonts w:hint="eastAsia" w:asciiTheme="minorEastAsia" w:hAnsiTheme="minorEastAsia" w:eastAsiaTheme="minorEastAsia" w:cstheme="minorEastAsia"/>
          <w:sz w:val="24"/>
          <w:szCs w:val="24"/>
          <w:u w:val="none"/>
        </w:rPr>
        <w:t>日至2022年</w:t>
      </w:r>
      <w:r>
        <w:rPr>
          <w:rFonts w:hint="eastAsia" w:asciiTheme="minorEastAsia" w:hAnsiTheme="minorEastAsia" w:eastAsiaTheme="minorEastAsia" w:cstheme="minorEastAsia"/>
          <w:sz w:val="24"/>
          <w:szCs w:val="24"/>
          <w:u w:val="none"/>
          <w:lang w:val="en-US" w:eastAsia="zh-CN"/>
        </w:rPr>
        <w:t>08</w:t>
      </w:r>
      <w:r>
        <w:rPr>
          <w:rFonts w:hint="eastAsia" w:asciiTheme="minorEastAsia" w:hAnsiTheme="minorEastAsia" w:eastAsiaTheme="minorEastAsia" w:cstheme="minorEastAsia"/>
          <w:sz w:val="24"/>
          <w:szCs w:val="24"/>
          <w:u w:val="none"/>
        </w:rPr>
        <w:t>月</w:t>
      </w:r>
      <w:r>
        <w:rPr>
          <w:rFonts w:hint="eastAsia" w:asciiTheme="minorEastAsia" w:hAnsiTheme="minorEastAsia" w:eastAsiaTheme="minorEastAsia" w:cstheme="minorEastAsia"/>
          <w:sz w:val="24"/>
          <w:szCs w:val="24"/>
          <w:u w:val="none"/>
          <w:lang w:val="en-US" w:eastAsia="zh-CN"/>
        </w:rPr>
        <w:t>31</w:t>
      </w:r>
      <w:r>
        <w:rPr>
          <w:rFonts w:hint="eastAsia" w:asciiTheme="minorEastAsia" w:hAnsiTheme="minorEastAsia" w:eastAsiaTheme="minorEastAsia" w:cstheme="minorEastAsia"/>
          <w:sz w:val="24"/>
          <w:szCs w:val="24"/>
          <w:u w:val="none"/>
        </w:rPr>
        <w:t>日，每天上午10:00至13:30，下午15:00至19:00（北京时间，法定节假日除外）</w:t>
      </w:r>
    </w:p>
    <w:p>
      <w:pPr>
        <w:pStyle w:val="33"/>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地点：</w:t>
      </w:r>
      <w:r>
        <w:rPr>
          <w:rFonts w:hint="eastAsia" w:asciiTheme="minorEastAsia" w:hAnsiTheme="minorEastAsia" w:eastAsiaTheme="minorEastAsia" w:cstheme="minorEastAsia"/>
          <w:sz w:val="24"/>
          <w:szCs w:val="24"/>
          <w:lang w:eastAsia="zh-CN"/>
        </w:rPr>
        <w:t>新疆华域建设工程项目管理咨询有限公司</w:t>
      </w:r>
      <w:r>
        <w:rPr>
          <w:rFonts w:hint="eastAsia" w:asciiTheme="minorEastAsia" w:hAnsiTheme="minorEastAsia" w:eastAsiaTheme="minorEastAsia" w:cstheme="minorEastAsia"/>
          <w:sz w:val="24"/>
          <w:szCs w:val="24"/>
        </w:rPr>
        <w:t> </w:t>
      </w:r>
    </w:p>
    <w:p>
      <w:pPr>
        <w:pStyle w:val="33"/>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方式：现场购买或通过线上邮箱方式获取。（各潜在投标人按公告要求提交</w:t>
      </w:r>
      <w:r>
        <w:rPr>
          <w:rFonts w:hint="eastAsia" w:asciiTheme="minorEastAsia" w:hAnsiTheme="minorEastAsia" w:eastAsiaTheme="minorEastAsia" w:cstheme="minorEastAsia"/>
          <w:sz w:val="24"/>
          <w:szCs w:val="24"/>
          <w:lang w:eastAsia="zh-CN"/>
        </w:rPr>
        <w:t>资格证明</w:t>
      </w:r>
      <w:r>
        <w:rPr>
          <w:rFonts w:hint="eastAsia" w:asciiTheme="minorEastAsia" w:hAnsiTheme="minorEastAsia" w:eastAsiaTheme="minorEastAsia" w:cstheme="minorEastAsia"/>
          <w:sz w:val="24"/>
          <w:szCs w:val="24"/>
        </w:rPr>
        <w:t>材料扫描件至邮箱：</w:t>
      </w:r>
      <w:r>
        <w:rPr>
          <w:rFonts w:hint="eastAsia" w:asciiTheme="minorEastAsia" w:hAnsiTheme="minorEastAsia" w:eastAsiaTheme="minorEastAsia" w:cstheme="minorEastAsia"/>
          <w:sz w:val="24"/>
          <w:szCs w:val="24"/>
          <w:lang w:val="en-US" w:eastAsia="zh-CN"/>
        </w:rPr>
        <w:t>348424112</w:t>
      </w:r>
      <w:r>
        <w:rPr>
          <w:rFonts w:hint="eastAsia" w:asciiTheme="minorEastAsia" w:hAnsiTheme="minorEastAsia" w:eastAsiaTheme="minorEastAsia" w:cstheme="minorEastAsia"/>
          <w:sz w:val="24"/>
          <w:szCs w:val="24"/>
        </w:rPr>
        <w:t>@qq.com，并在邮件内注明所投项目名称、供应商名称、联系人及电话，收到邮件登记成功的单位由代理公司发放采购文件） （售后不退） </w:t>
      </w:r>
    </w:p>
    <w:p>
      <w:pPr>
        <w:pStyle w:val="33"/>
        <w:keepNext w:val="0"/>
        <w:keepLines w:val="0"/>
        <w:widowControl/>
        <w:suppressLineNumbers w:val="0"/>
        <w:spacing w:before="255" w:beforeAutospacing="0" w:after="255" w:afterAutospacing="0" w:line="450" w:lineRule="atLeast"/>
        <w:ind w:left="0" w:right="0"/>
        <w:jc w:val="both"/>
        <w:rPr>
          <w:rStyle w:val="39"/>
          <w:rFonts w:hint="eastAsia" w:ascii="黑体" w:hAnsi="宋体" w:eastAsia="黑体" w:cs="黑体"/>
          <w:sz w:val="27"/>
          <w:szCs w:val="27"/>
        </w:rPr>
      </w:pPr>
      <w:r>
        <w:rPr>
          <w:rStyle w:val="39"/>
          <w:rFonts w:hint="eastAsia" w:ascii="黑体" w:hAnsi="宋体" w:eastAsia="黑体" w:cs="黑体"/>
          <w:sz w:val="27"/>
          <w:szCs w:val="27"/>
        </w:rPr>
        <w:t>四、响应文件提交 </w:t>
      </w:r>
    </w:p>
    <w:p>
      <w:pPr>
        <w:pStyle w:val="33"/>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截止时间：2022年</w:t>
      </w:r>
      <w:r>
        <w:rPr>
          <w:rFonts w:hint="eastAsia" w:asciiTheme="minorEastAsia" w:hAnsiTheme="minorEastAsia" w:eastAsiaTheme="minorEastAsia" w:cstheme="minorEastAsia"/>
          <w:sz w:val="24"/>
          <w:szCs w:val="24"/>
          <w:lang w:val="en-US" w:eastAsia="zh-CN"/>
        </w:rPr>
        <w:t>09</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05</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:00（北京时间）</w:t>
      </w:r>
    </w:p>
    <w:p>
      <w:pPr>
        <w:pStyle w:val="33"/>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地点：</w:t>
      </w:r>
      <w:r>
        <w:rPr>
          <w:rFonts w:hint="eastAsia" w:asciiTheme="minorEastAsia" w:hAnsiTheme="minorEastAsia" w:eastAsiaTheme="minorEastAsia" w:cstheme="minorEastAsia"/>
          <w:sz w:val="24"/>
          <w:szCs w:val="24"/>
          <w:lang w:eastAsia="zh-CN"/>
        </w:rPr>
        <w:t>新疆华域建设工程项目管理咨询有限公司会议室</w:t>
      </w:r>
      <w:r>
        <w:rPr>
          <w:rFonts w:hint="eastAsia" w:asciiTheme="minorEastAsia" w:hAnsiTheme="minorEastAsia" w:eastAsiaTheme="minorEastAsia" w:cstheme="minorEastAsia"/>
          <w:sz w:val="24"/>
          <w:szCs w:val="24"/>
        </w:rPr>
        <w:t> </w:t>
      </w:r>
    </w:p>
    <w:p>
      <w:pPr>
        <w:pStyle w:val="33"/>
        <w:keepNext w:val="0"/>
        <w:keepLines w:val="0"/>
        <w:widowControl/>
        <w:suppressLineNumbers w:val="0"/>
        <w:spacing w:before="255" w:beforeAutospacing="0" w:after="255" w:afterAutospacing="0" w:line="450" w:lineRule="atLeast"/>
        <w:ind w:left="0" w:right="0"/>
        <w:jc w:val="both"/>
        <w:rPr>
          <w:rStyle w:val="39"/>
          <w:rFonts w:hint="eastAsia" w:ascii="黑体" w:hAnsi="宋体" w:eastAsia="黑体" w:cs="黑体"/>
          <w:sz w:val="27"/>
          <w:szCs w:val="27"/>
        </w:rPr>
      </w:pPr>
      <w:r>
        <w:rPr>
          <w:rStyle w:val="39"/>
          <w:rFonts w:hint="eastAsia" w:ascii="黑体" w:hAnsi="宋体" w:eastAsia="黑体" w:cs="黑体"/>
          <w:sz w:val="27"/>
          <w:szCs w:val="27"/>
        </w:rPr>
        <w:t>五、响应文件开启 </w:t>
      </w:r>
    </w:p>
    <w:p>
      <w:pPr>
        <w:pStyle w:val="33"/>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开启时间：2022年</w:t>
      </w:r>
      <w:r>
        <w:rPr>
          <w:rFonts w:hint="eastAsia" w:asciiTheme="minorEastAsia" w:hAnsiTheme="minorEastAsia" w:eastAsiaTheme="minorEastAsia" w:cstheme="minorEastAsia"/>
          <w:sz w:val="24"/>
          <w:szCs w:val="24"/>
          <w:lang w:val="en-US" w:eastAsia="zh-CN"/>
        </w:rPr>
        <w:t>09</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05</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:00 （北京时间）</w:t>
      </w:r>
    </w:p>
    <w:p>
      <w:pPr>
        <w:pStyle w:val="33"/>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地点：</w:t>
      </w:r>
      <w:r>
        <w:rPr>
          <w:rFonts w:hint="eastAsia" w:asciiTheme="minorEastAsia" w:hAnsiTheme="minorEastAsia" w:eastAsiaTheme="minorEastAsia" w:cstheme="minorEastAsia"/>
          <w:sz w:val="24"/>
          <w:szCs w:val="24"/>
          <w:lang w:eastAsia="zh-CN"/>
        </w:rPr>
        <w:t>新疆华域建设工程项目管理咨询有限公司会议室</w:t>
      </w:r>
      <w:r>
        <w:rPr>
          <w:rFonts w:hint="eastAsia" w:asciiTheme="minorEastAsia" w:hAnsiTheme="minorEastAsia" w:eastAsiaTheme="minorEastAsia" w:cstheme="minorEastAsia"/>
          <w:sz w:val="24"/>
          <w:szCs w:val="24"/>
        </w:rPr>
        <w:t> </w:t>
      </w:r>
    </w:p>
    <w:p>
      <w:pPr>
        <w:pStyle w:val="33"/>
        <w:keepNext w:val="0"/>
        <w:keepLines w:val="0"/>
        <w:widowControl/>
        <w:suppressLineNumbers w:val="0"/>
        <w:spacing w:before="255" w:beforeAutospacing="0" w:after="255" w:afterAutospacing="0" w:line="450" w:lineRule="atLeast"/>
        <w:ind w:left="0" w:right="0"/>
        <w:jc w:val="both"/>
        <w:rPr>
          <w:rStyle w:val="39"/>
          <w:rFonts w:hint="eastAsia" w:ascii="黑体" w:hAnsi="宋体" w:eastAsia="黑体" w:cs="黑体"/>
          <w:sz w:val="27"/>
          <w:szCs w:val="27"/>
        </w:rPr>
      </w:pPr>
      <w:r>
        <w:rPr>
          <w:rStyle w:val="39"/>
          <w:rFonts w:hint="eastAsia" w:ascii="黑体" w:hAnsi="宋体" w:eastAsia="黑体" w:cs="黑体"/>
          <w:sz w:val="27"/>
          <w:szCs w:val="27"/>
        </w:rPr>
        <w:t>六、公告期限</w:t>
      </w:r>
    </w:p>
    <w:p>
      <w:pPr>
        <w:pStyle w:val="3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自本公告发布之日起3个工作日。</w:t>
      </w:r>
    </w:p>
    <w:p>
      <w:pPr>
        <w:pStyle w:val="33"/>
        <w:keepNext w:val="0"/>
        <w:keepLines w:val="0"/>
        <w:widowControl/>
        <w:suppressLineNumbers w:val="0"/>
        <w:spacing w:before="255" w:beforeAutospacing="0" w:after="255" w:afterAutospacing="0" w:line="450" w:lineRule="atLeast"/>
        <w:ind w:left="0" w:right="0"/>
        <w:jc w:val="both"/>
        <w:rPr>
          <w:rStyle w:val="39"/>
          <w:rFonts w:hint="eastAsia" w:ascii="黑体" w:hAnsi="宋体" w:eastAsia="黑体" w:cs="黑体"/>
          <w:sz w:val="27"/>
          <w:szCs w:val="27"/>
        </w:rPr>
      </w:pPr>
      <w:r>
        <w:rPr>
          <w:rStyle w:val="39"/>
          <w:rFonts w:hint="eastAsia" w:ascii="黑体" w:hAnsi="宋体" w:eastAsia="黑体" w:cs="黑体"/>
          <w:sz w:val="27"/>
          <w:szCs w:val="27"/>
        </w:rPr>
        <w:t>七、其他补充事宜 </w:t>
      </w:r>
    </w:p>
    <w:p>
      <w:pPr>
        <w:pStyle w:val="33"/>
        <w:keepNext w:val="0"/>
        <w:keepLines w:val="0"/>
        <w:widowControl/>
        <w:suppressLineNumbers w:val="0"/>
        <w:spacing w:before="255" w:beforeAutospacing="0" w:after="255" w:afterAutospacing="0" w:line="450" w:lineRule="atLeast"/>
        <w:ind w:left="0" w:right="0"/>
        <w:jc w:val="both"/>
        <w:rPr>
          <w:rStyle w:val="39"/>
          <w:rFonts w:hint="eastAsia" w:ascii="黑体" w:hAnsi="宋体" w:eastAsia="黑体" w:cs="黑体"/>
          <w:sz w:val="27"/>
          <w:szCs w:val="27"/>
        </w:rPr>
      </w:pPr>
      <w:r>
        <w:rPr>
          <w:rStyle w:val="39"/>
          <w:rFonts w:hint="eastAsia" w:ascii="黑体" w:hAnsi="宋体" w:eastAsia="黑体" w:cs="黑体"/>
          <w:sz w:val="27"/>
          <w:szCs w:val="27"/>
        </w:rPr>
        <w:t>八、凡对本次招标提出询问，请按以下方式联系</w:t>
      </w:r>
    </w:p>
    <w:p>
      <w:pPr>
        <w:pStyle w:val="33"/>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pPr>
        <w:pStyle w:val="33"/>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名 称：</w:t>
      </w:r>
      <w:r>
        <w:rPr>
          <w:rStyle w:val="44"/>
          <w:rFonts w:hint="eastAsia" w:asciiTheme="minorEastAsia" w:hAnsiTheme="minorEastAsia" w:eastAsiaTheme="minorEastAsia" w:cstheme="minorEastAsia"/>
          <w:sz w:val="24"/>
          <w:szCs w:val="24"/>
          <w:lang w:eastAsia="zh-CN"/>
        </w:rPr>
        <w:t>乌鲁木齐职业大学</w:t>
      </w:r>
    </w:p>
    <w:p>
      <w:pPr>
        <w:pStyle w:val="33"/>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址：乌鲁木齐市天山区幸福路723号</w:t>
      </w:r>
    </w:p>
    <w:p>
      <w:pPr>
        <w:pStyle w:val="33"/>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联系方式：穆昱江15699199763、吴振洲0991-8858971</w:t>
      </w:r>
    </w:p>
    <w:p>
      <w:pPr>
        <w:pStyle w:val="33"/>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2.采购代理机构信息</w:t>
      </w:r>
    </w:p>
    <w:p>
      <w:pPr>
        <w:pStyle w:val="33"/>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称：新疆华域建设工程项目管理咨询有限公司</w:t>
      </w:r>
    </w:p>
    <w:p>
      <w:pPr>
        <w:pStyle w:val="33"/>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址：乌鲁木齐市五星北路194号新地园大厦13楼</w:t>
      </w:r>
    </w:p>
    <w:p>
      <w:pPr>
        <w:pStyle w:val="33"/>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联系方式：18997972745、0991-4630336</w:t>
      </w:r>
    </w:p>
    <w:p>
      <w:pPr>
        <w:pStyle w:val="33"/>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3.项目联系方式</w:t>
      </w:r>
    </w:p>
    <w:p>
      <w:pPr>
        <w:pStyle w:val="33"/>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项目联系人：王鹤宇、王文周、马红萍</w:t>
      </w:r>
    </w:p>
    <w:p>
      <w:pPr>
        <w:pStyle w:val="33"/>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话：18997972745、0991-4630336</w:t>
      </w:r>
    </w:p>
    <w:p>
      <w:pPr>
        <w:pStyle w:val="33"/>
        <w:keepNext w:val="0"/>
        <w:keepLines w:val="0"/>
        <w:widowControl/>
        <w:suppressLineNumbers w:val="0"/>
        <w:spacing w:before="75" w:beforeAutospacing="0" w:after="75" w:afterAutospacing="0"/>
        <w:ind w:left="0" w:right="0"/>
      </w:pPr>
    </w:p>
    <w:p>
      <w:pPr>
        <w:widowControl/>
        <w:spacing w:before="0" w:beforeAutospacing="0" w:after="0" w:afterAutospacing="0" w:line="240" w:lineRule="auto"/>
        <w:jc w:val="left"/>
        <w:rPr>
          <w:rFonts w:ascii="仿宋" w:hAnsi="仿宋"/>
          <w:b/>
          <w:szCs w:val="30"/>
        </w:rPr>
      </w:pPr>
      <w:r>
        <w:rPr>
          <w:rFonts w:ascii="仿宋" w:hAnsi="仿宋"/>
          <w:b/>
          <w:szCs w:val="30"/>
        </w:rPr>
        <w:br w:type="page"/>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b/>
          <w:sz w:val="24"/>
          <w:szCs w:val="36"/>
        </w:rPr>
      </w:pPr>
      <w:r>
        <w:rPr>
          <w:rFonts w:hint="eastAsia" w:ascii="仿宋" w:hAnsi="仿宋"/>
          <w:b/>
          <w:sz w:val="24"/>
          <w:szCs w:val="36"/>
        </w:rPr>
        <w:t>供应商须知前附表</w:t>
      </w:r>
      <w:bookmarkEnd w:id="6"/>
      <w:bookmarkEnd w:id="7"/>
    </w:p>
    <w:tbl>
      <w:tblPr>
        <w:tblStyle w:val="36"/>
        <w:tblW w:w="9618" w:type="dxa"/>
        <w:tblInd w:w="0" w:type="dxa"/>
        <w:tblLayout w:type="fixed"/>
        <w:tblCellMar>
          <w:top w:w="0" w:type="dxa"/>
          <w:left w:w="57" w:type="dxa"/>
          <w:bottom w:w="0" w:type="dxa"/>
          <w:right w:w="57" w:type="dxa"/>
        </w:tblCellMar>
      </w:tblPr>
      <w:tblGrid>
        <w:gridCol w:w="1051"/>
        <w:gridCol w:w="2011"/>
        <w:gridCol w:w="6556"/>
      </w:tblGrid>
      <w:tr>
        <w:tblPrEx>
          <w:tblCellMar>
            <w:top w:w="0" w:type="dxa"/>
            <w:left w:w="57" w:type="dxa"/>
            <w:bottom w:w="0" w:type="dxa"/>
            <w:right w:w="57" w:type="dxa"/>
          </w:tblCellMar>
        </w:tblPrEx>
        <w:trPr>
          <w:trHeight w:val="20" w:hRule="atLeast"/>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内容</w:t>
            </w:r>
          </w:p>
        </w:tc>
        <w:tc>
          <w:tcPr>
            <w:tcW w:w="6556" w:type="dxa"/>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说明与要求</w:t>
            </w:r>
          </w:p>
        </w:tc>
      </w:tr>
      <w:tr>
        <w:tblPrEx>
          <w:tblCellMar>
            <w:top w:w="0" w:type="dxa"/>
            <w:left w:w="57" w:type="dxa"/>
            <w:bottom w:w="0" w:type="dxa"/>
            <w:right w:w="57" w:type="dxa"/>
          </w:tblCellMar>
        </w:tblPrEx>
        <w:trPr>
          <w:trHeight w:val="495" w:hRule="atLeast"/>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项目</w:t>
            </w:r>
            <w:r>
              <w:rPr>
                <w:rFonts w:hint="eastAsia" w:asciiTheme="minorEastAsia" w:hAnsiTheme="minorEastAsia" w:eastAsiaTheme="minorEastAsia" w:cstheme="minorEastAsia"/>
                <w:sz w:val="24"/>
              </w:rPr>
              <w:t>名称</w:t>
            </w:r>
          </w:p>
        </w:tc>
        <w:tc>
          <w:tcPr>
            <w:tcW w:w="6556" w:type="dxa"/>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乌鲁木齐职业大学北辰校区建设项目可行性研究报告编制技术服务项目</w:t>
            </w:r>
          </w:p>
        </w:tc>
      </w:tr>
      <w:tr>
        <w:tblPrEx>
          <w:tblCellMar>
            <w:top w:w="0" w:type="dxa"/>
            <w:left w:w="57" w:type="dxa"/>
            <w:bottom w:w="0" w:type="dxa"/>
            <w:right w:w="57" w:type="dxa"/>
          </w:tblCellMar>
        </w:tblPrEx>
        <w:trPr>
          <w:trHeight w:val="495" w:hRule="atLeast"/>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tc>
        <w:tc>
          <w:tcPr>
            <w:tcW w:w="6556" w:type="dxa"/>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ZFCGHY-20220096</w:t>
            </w:r>
          </w:p>
        </w:tc>
      </w:tr>
      <w:tr>
        <w:tblPrEx>
          <w:tblCellMar>
            <w:top w:w="0" w:type="dxa"/>
            <w:left w:w="57" w:type="dxa"/>
            <w:bottom w:w="0" w:type="dxa"/>
            <w:right w:w="57" w:type="dxa"/>
          </w:tblCellMar>
        </w:tblPrEx>
        <w:trPr>
          <w:trHeight w:val="5446" w:hRule="atLeast"/>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联系方式</w:t>
            </w:r>
          </w:p>
        </w:tc>
        <w:tc>
          <w:tcPr>
            <w:tcW w:w="6556" w:type="dxa"/>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1.采购人信息</w:t>
            </w:r>
          </w:p>
          <w:p>
            <w:pPr>
              <w:spacing w:beforeLines="50" w:beforeAutospacing="0" w:afterLines="50" w:afterAutospacing="0" w:line="276" w:lineRule="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名 称：</w:t>
            </w:r>
            <w:r>
              <w:rPr>
                <w:rFonts w:hint="eastAsia" w:asciiTheme="minorEastAsia" w:hAnsiTheme="minorEastAsia" w:eastAsiaTheme="minorEastAsia" w:cstheme="minorEastAsia"/>
                <w:sz w:val="24"/>
                <w:lang w:eastAsia="zh-CN"/>
              </w:rPr>
              <w:t>乌鲁木齐职业大学</w:t>
            </w:r>
          </w:p>
          <w:p>
            <w:pPr>
              <w:spacing w:beforeLines="50" w:beforeAutospacing="0" w:afterLines="50" w:afterAutospacing="0" w:line="276"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 址：乌鲁木齐市天山区幸福路723号</w:t>
            </w:r>
          </w:p>
          <w:p>
            <w:pPr>
              <w:spacing w:beforeLines="50" w:beforeAutospacing="0" w:afterLines="50" w:afterAutospacing="0" w:line="276"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联系方式：穆昱江15699199763、吴振洲0991-8858971</w:t>
            </w:r>
          </w:p>
          <w:p>
            <w:pPr>
              <w:spacing w:beforeLines="50" w:beforeAutospacing="0" w:afterLines="50" w:afterAutospacing="0" w:line="276"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2.采购代理机构信息</w:t>
            </w:r>
          </w:p>
          <w:p>
            <w:pPr>
              <w:spacing w:beforeLines="50" w:beforeAutospacing="0" w:afterLines="50" w:afterAutospacing="0" w:line="276"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名 称：新疆华域建设工程项目管理咨询有限公司</w:t>
            </w:r>
          </w:p>
          <w:p>
            <w:pPr>
              <w:spacing w:beforeLines="50" w:beforeAutospacing="0" w:afterLines="50" w:afterAutospacing="0" w:line="276"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 址：乌鲁木齐市五星北路194号新地园大厦13楼</w:t>
            </w:r>
          </w:p>
          <w:p>
            <w:pPr>
              <w:spacing w:beforeLines="50" w:beforeAutospacing="0" w:afterLines="50" w:afterAutospacing="0" w:line="276"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联系方式：18997972745、0991-4630336</w:t>
            </w:r>
          </w:p>
          <w:p>
            <w:pPr>
              <w:spacing w:beforeLines="50" w:beforeAutospacing="0" w:afterLines="50" w:afterAutospacing="0" w:line="276"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3.项目联系方式</w:t>
            </w:r>
          </w:p>
          <w:p>
            <w:pPr>
              <w:spacing w:beforeLines="50" w:beforeAutospacing="0" w:afterLines="50" w:afterAutospacing="0" w:line="276"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项目联系人：王鹤宇、王文周、马红萍</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 话：18997972745、0991-4630336</w:t>
            </w:r>
          </w:p>
        </w:tc>
      </w:tr>
      <w:tr>
        <w:tblPrEx>
          <w:tblCellMar>
            <w:top w:w="0" w:type="dxa"/>
            <w:left w:w="57" w:type="dxa"/>
            <w:bottom w:w="0" w:type="dxa"/>
            <w:right w:w="57" w:type="dxa"/>
          </w:tblCellMar>
        </w:tblPrEx>
        <w:trPr>
          <w:trHeight w:val="20" w:hRule="atLeast"/>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是否接受联合体投标</w:t>
            </w:r>
          </w:p>
        </w:tc>
        <w:tc>
          <w:tcPr>
            <w:tcW w:w="6556" w:type="dxa"/>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本项目不接受联合体投标。</w:t>
            </w:r>
          </w:p>
        </w:tc>
      </w:tr>
      <w:tr>
        <w:trPr>
          <w:trHeight w:val="20" w:hRule="atLeast"/>
        </w:trPr>
        <w:tc>
          <w:tcPr>
            <w:tcW w:w="105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5</w:t>
            </w:r>
          </w:p>
        </w:tc>
        <w:tc>
          <w:tcPr>
            <w:tcW w:w="201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采购需求</w:t>
            </w:r>
          </w:p>
        </w:tc>
        <w:tc>
          <w:tcPr>
            <w:tcW w:w="6556" w:type="dxa"/>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szCs w:val="24"/>
              </w:rPr>
              <w:t>对乌鲁木齐职业大学北辰校区建设项目进行前期研究，并按照发改委有关可行性研究报告编制内容和深度等要求，编制符合行政主管部门报批要求的《乌鲁木齐职业大学北辰校区建设项目可行性研究报告》，包括为编制报告而进行的所有调查、踏勘、资料收集、现场勘察等工作，以及进行项目评审及成果文件的报批工作等</w:t>
            </w:r>
            <w:r>
              <w:rPr>
                <w:rFonts w:hint="eastAsia" w:asciiTheme="minorEastAsia" w:hAnsiTheme="minorEastAsia" w:eastAsiaTheme="minorEastAsia" w:cstheme="minorEastAsia"/>
                <w:sz w:val="24"/>
                <w:szCs w:val="24"/>
                <w:lang w:eastAsia="zh-CN"/>
              </w:rPr>
              <w:t>。</w:t>
            </w:r>
          </w:p>
        </w:tc>
      </w:tr>
      <w:tr>
        <w:tblPrEx>
          <w:tblCellMar>
            <w:top w:w="0" w:type="dxa"/>
            <w:left w:w="57" w:type="dxa"/>
            <w:bottom w:w="0" w:type="dxa"/>
            <w:right w:w="57" w:type="dxa"/>
          </w:tblCellMar>
        </w:tblPrEx>
        <w:trPr>
          <w:trHeight w:val="20" w:hRule="atLeast"/>
        </w:trPr>
        <w:tc>
          <w:tcPr>
            <w:tcW w:w="105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201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供应商资格要求</w:t>
            </w:r>
          </w:p>
        </w:tc>
        <w:tc>
          <w:tcPr>
            <w:tcW w:w="6556" w:type="dxa"/>
            <w:tcBorders>
              <w:top w:val="nil"/>
              <w:left w:val="nil"/>
              <w:bottom w:val="single" w:color="auto" w:sz="4" w:space="0"/>
              <w:right w:val="single" w:color="auto" w:sz="4" w:space="0"/>
            </w:tcBorders>
            <w:shd w:val="clear" w:color="auto" w:fill="auto"/>
            <w:vAlign w:val="center"/>
          </w:tcPr>
          <w:p>
            <w:pPr>
              <w:pStyle w:val="33"/>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供应商在“信用中国”（www.creditchina.gov.cn）未被列入重大税收违法案件当事人名单、“中国执行信息公开网”（http://zxgk.court.gov.cn/）未被列入失信被执行人、“中国政府采购网”（www.ccgp.gov.cn）网站上未被列入政府采购严重违法失信行为记录名单；</w:t>
            </w:r>
          </w:p>
          <w:p>
            <w:pPr>
              <w:pStyle w:val="33"/>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2.本项目要求投标人</w:t>
            </w:r>
            <w:r>
              <w:rPr>
                <w:rFonts w:hint="eastAsia" w:asciiTheme="minorEastAsia" w:hAnsiTheme="minorEastAsia" w:eastAsiaTheme="minorEastAsia" w:cstheme="minorEastAsia"/>
                <w:sz w:val="24"/>
                <w:szCs w:val="24"/>
                <w:highlight w:val="yellow"/>
                <w:lang w:val="en-US" w:eastAsia="zh-CN"/>
              </w:rPr>
              <w:t>具备独立法人资格</w:t>
            </w:r>
            <w:r>
              <w:rPr>
                <w:rFonts w:hint="eastAsia" w:asciiTheme="minorEastAsia" w:hAnsiTheme="minorEastAsia" w:eastAsiaTheme="minorEastAsia" w:cstheme="minorEastAsia"/>
                <w:sz w:val="24"/>
                <w:szCs w:val="24"/>
                <w:lang w:val="en-US" w:eastAsia="zh-CN"/>
              </w:rPr>
              <w:t>，具备有效的营业执照；</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供应商须在《全国投资项目在线审批监管平台》备案，在平台“中介服务”的咨询单位名录中，且咨询专业包含</w:t>
            </w:r>
            <w:r>
              <w:rPr>
                <w:rFonts w:hint="eastAsia" w:asciiTheme="minorEastAsia" w:hAnsiTheme="minorEastAsia" w:eastAsiaTheme="minorEastAsia" w:cstheme="minorEastAsia"/>
                <w:sz w:val="24"/>
                <w:szCs w:val="24"/>
                <w:highlight w:val="yellow"/>
              </w:rPr>
              <w:t>建筑</w:t>
            </w:r>
            <w:r>
              <w:rPr>
                <w:rFonts w:hint="eastAsia" w:asciiTheme="minorEastAsia" w:hAnsiTheme="minorEastAsia" w:eastAsiaTheme="minorEastAsia" w:cstheme="minorEastAsia"/>
                <w:sz w:val="24"/>
                <w:szCs w:val="24"/>
                <w:highlight w:val="yellow"/>
                <w:lang w:eastAsia="zh-CN"/>
              </w:rPr>
              <w:t>、市政公用工程</w:t>
            </w:r>
            <w:r>
              <w:rPr>
                <w:rFonts w:hint="eastAsia" w:asciiTheme="minorEastAsia" w:hAnsiTheme="minorEastAsia" w:eastAsiaTheme="minorEastAsia" w:cstheme="minorEastAsia"/>
                <w:sz w:val="24"/>
                <w:szCs w:val="24"/>
              </w:rPr>
              <w:t>，服务范围包括项目咨询；</w:t>
            </w:r>
          </w:p>
          <w:p>
            <w:pPr>
              <w:pStyle w:val="33"/>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4"/>
                <w:szCs w:val="24"/>
                <w:highlight w:val="yellow"/>
                <w:lang w:val="en-US" w:eastAsia="zh-CN"/>
              </w:rPr>
            </w:pPr>
            <w:r>
              <w:rPr>
                <w:rFonts w:hint="eastAsia" w:asciiTheme="minorEastAsia" w:hAnsiTheme="minorEastAsia" w:eastAsiaTheme="minorEastAsia" w:cstheme="minorEastAsia"/>
                <w:sz w:val="24"/>
                <w:szCs w:val="24"/>
                <w:highlight w:val="yellow"/>
                <w:lang w:val="en-US" w:eastAsia="zh-CN"/>
              </w:rPr>
              <w:t>4.供应商委派的项目负责人具备高级工程师及以上职称或注册咨询师，各专业负责人具有中级工程师及以上职称或相应专业注册咨询师；</w:t>
            </w:r>
          </w:p>
          <w:p>
            <w:pPr>
              <w:pStyle w:val="33"/>
              <w:keepNext w:val="0"/>
              <w:keepLines w:val="0"/>
              <w:widowControl/>
              <w:suppressLineNumbers w:val="0"/>
              <w:spacing w:before="75" w:beforeAutospacing="0" w:after="75" w:afterAutospacing="0" w:line="300" w:lineRule="atLeast"/>
              <w:ind w:right="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5.本项目不允许联合体投标、不允许分包；</w:t>
            </w:r>
          </w:p>
        </w:tc>
      </w:tr>
      <w:tr>
        <w:tblPrEx>
          <w:tblCellMar>
            <w:top w:w="0" w:type="dxa"/>
            <w:left w:w="57" w:type="dxa"/>
            <w:bottom w:w="0" w:type="dxa"/>
            <w:right w:w="57" w:type="dxa"/>
          </w:tblCellMar>
        </w:tblPrEx>
        <w:trPr>
          <w:trHeight w:val="20" w:hRule="atLeast"/>
        </w:trPr>
        <w:tc>
          <w:tcPr>
            <w:tcW w:w="105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201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现场考察</w:t>
            </w:r>
          </w:p>
        </w:tc>
        <w:tc>
          <w:tcPr>
            <w:tcW w:w="6556" w:type="dxa"/>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不集中组织，投标单位自行踏勘现场</w:t>
            </w:r>
          </w:p>
        </w:tc>
      </w:tr>
      <w:tr>
        <w:tblPrEx>
          <w:tblCellMar>
            <w:top w:w="0" w:type="dxa"/>
            <w:left w:w="57" w:type="dxa"/>
            <w:bottom w:w="0" w:type="dxa"/>
            <w:right w:w="57" w:type="dxa"/>
          </w:tblCellMar>
        </w:tblPrEx>
        <w:trPr>
          <w:trHeight w:val="20" w:hRule="atLeast"/>
        </w:trPr>
        <w:tc>
          <w:tcPr>
            <w:tcW w:w="105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201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投标前答疑会</w:t>
            </w:r>
          </w:p>
        </w:tc>
        <w:tc>
          <w:tcPr>
            <w:tcW w:w="6556" w:type="dxa"/>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否</w:t>
            </w:r>
          </w:p>
        </w:tc>
      </w:tr>
      <w:tr>
        <w:tblPrEx>
          <w:tblCellMar>
            <w:top w:w="0" w:type="dxa"/>
            <w:left w:w="57" w:type="dxa"/>
            <w:bottom w:w="0" w:type="dxa"/>
            <w:right w:w="57" w:type="dxa"/>
          </w:tblCellMar>
        </w:tblPrEx>
        <w:trPr>
          <w:trHeight w:val="20" w:hRule="atLeast"/>
        </w:trPr>
        <w:tc>
          <w:tcPr>
            <w:tcW w:w="105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201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投标有效期</w:t>
            </w:r>
          </w:p>
        </w:tc>
        <w:tc>
          <w:tcPr>
            <w:tcW w:w="6556" w:type="dxa"/>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90天</w:t>
            </w:r>
          </w:p>
        </w:tc>
      </w:tr>
      <w:tr>
        <w:tblPrEx>
          <w:tblCellMar>
            <w:top w:w="0" w:type="dxa"/>
            <w:left w:w="57" w:type="dxa"/>
            <w:bottom w:w="0" w:type="dxa"/>
            <w:right w:w="57" w:type="dxa"/>
          </w:tblCellMar>
        </w:tblPrEx>
        <w:trPr>
          <w:trHeight w:val="20" w:hRule="atLeast"/>
        </w:trPr>
        <w:tc>
          <w:tcPr>
            <w:tcW w:w="105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c>
          <w:tcPr>
            <w:tcW w:w="201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投标保证金</w:t>
            </w:r>
          </w:p>
        </w:tc>
        <w:tc>
          <w:tcPr>
            <w:tcW w:w="6556" w:type="dxa"/>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1、投标保证金额：</w:t>
            </w:r>
            <w:r>
              <w:rPr>
                <w:rFonts w:hint="eastAsia" w:asciiTheme="minorEastAsia" w:hAnsiTheme="minorEastAsia" w:eastAsiaTheme="minorEastAsia" w:cstheme="minorEastAsia"/>
                <w:sz w:val="24"/>
                <w:lang w:val="en-US" w:eastAsia="zh-CN"/>
              </w:rPr>
              <w:t>8000</w:t>
            </w:r>
            <w:r>
              <w:rPr>
                <w:rFonts w:hint="eastAsia" w:asciiTheme="minorEastAsia" w:hAnsiTheme="minorEastAsia" w:eastAsiaTheme="minorEastAsia" w:cstheme="minorEastAsia"/>
                <w:sz w:val="24"/>
              </w:rPr>
              <w:t>.00元（</w:t>
            </w:r>
            <w:r>
              <w:rPr>
                <w:rFonts w:hint="eastAsia" w:asciiTheme="minorEastAsia" w:hAnsiTheme="minorEastAsia" w:eastAsiaTheme="minorEastAsia" w:cstheme="minorEastAsia"/>
                <w:sz w:val="24"/>
                <w:lang w:val="en-US" w:eastAsia="zh-CN"/>
              </w:rPr>
              <w:t>捌仟圆整</w:t>
            </w:r>
            <w:r>
              <w:rPr>
                <w:rFonts w:hint="eastAsia" w:asciiTheme="minorEastAsia" w:hAnsiTheme="minorEastAsia" w:eastAsiaTheme="minorEastAsia" w:cstheme="minorEastAsia"/>
                <w:sz w:val="24"/>
              </w:rPr>
              <w:t>）</w:t>
            </w:r>
          </w:p>
          <w:p>
            <w:pPr>
              <w:spacing w:beforeLines="50" w:beforeAutospacing="0" w:afterLines="50" w:afterAutospacing="0" w:line="276"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2、投标保证金的缴纳采取银行电汇或网银方式提交（如电汇产生的一切费用由投标单位自行承担，保证金须在投标截止时间前一个工作日确认到账）。</w:t>
            </w:r>
          </w:p>
          <w:p>
            <w:pPr>
              <w:spacing w:beforeLines="50" w:beforeAutospacing="0" w:afterLines="50" w:afterAutospacing="0" w:line="276"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3、投标单位在提交保证金时需在备注栏注明：所投项目的项目名称简称，投标文件中须将汇款凭证复印件放入其中。未按时提交投标保证金的文件无效；</w:t>
            </w:r>
          </w:p>
          <w:p>
            <w:pPr>
              <w:spacing w:beforeLines="50" w:beforeAutospacing="0" w:afterLines="50" w:afterAutospacing="0" w:line="276"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4、投标保证金缴纳账户信息：</w:t>
            </w:r>
          </w:p>
          <w:p>
            <w:pPr>
              <w:spacing w:beforeLines="50" w:beforeAutospacing="0" w:afterLines="50" w:afterAutospacing="0" w:line="276"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单位名称：新疆华域建设工程项目管理咨询有限公司</w:t>
            </w:r>
          </w:p>
          <w:p>
            <w:pPr>
              <w:spacing w:beforeLines="50" w:beforeAutospacing="0" w:afterLines="50" w:afterAutospacing="0" w:line="276"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 户 行：中国银行乌鲁木齐市南湖东路支行</w:t>
            </w:r>
          </w:p>
          <w:p>
            <w:pPr>
              <w:spacing w:beforeLines="50" w:beforeAutospacing="0" w:afterLines="50" w:afterAutospacing="0" w:line="276"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账    号：107083025521</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行    号：104881006151</w:t>
            </w:r>
          </w:p>
        </w:tc>
      </w:tr>
      <w:tr>
        <w:tblPrEx>
          <w:tblCellMar>
            <w:top w:w="0" w:type="dxa"/>
            <w:left w:w="57" w:type="dxa"/>
            <w:bottom w:w="0" w:type="dxa"/>
            <w:right w:w="57" w:type="dxa"/>
          </w:tblCellMar>
        </w:tblPrEx>
        <w:trPr>
          <w:trHeight w:val="20" w:hRule="atLeast"/>
        </w:trPr>
        <w:tc>
          <w:tcPr>
            <w:tcW w:w="105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201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供应商要求澄清招标文件的截止时间</w:t>
            </w:r>
          </w:p>
        </w:tc>
        <w:tc>
          <w:tcPr>
            <w:tcW w:w="6556" w:type="dxa"/>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报名截止后48小时内</w:t>
            </w:r>
          </w:p>
        </w:tc>
      </w:tr>
      <w:tr>
        <w:tblPrEx>
          <w:tblCellMar>
            <w:top w:w="0" w:type="dxa"/>
            <w:left w:w="57" w:type="dxa"/>
            <w:bottom w:w="0" w:type="dxa"/>
            <w:right w:w="57" w:type="dxa"/>
          </w:tblCellMar>
        </w:tblPrEx>
        <w:trPr>
          <w:trHeight w:val="20" w:hRule="atLeast"/>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采购人补遗澄清截止时间</w:t>
            </w:r>
          </w:p>
        </w:tc>
        <w:tc>
          <w:tcPr>
            <w:tcW w:w="6556" w:type="dxa"/>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提交响应文件截止时间前</w:t>
            </w:r>
          </w:p>
        </w:tc>
      </w:tr>
      <w:tr>
        <w:tblPrEx>
          <w:tblCellMar>
            <w:top w:w="0" w:type="dxa"/>
            <w:left w:w="57" w:type="dxa"/>
            <w:bottom w:w="0" w:type="dxa"/>
            <w:right w:w="57" w:type="dxa"/>
          </w:tblCellMar>
        </w:tblPrEx>
        <w:trPr>
          <w:trHeight w:val="20" w:hRule="atLeast"/>
        </w:trPr>
        <w:tc>
          <w:tcPr>
            <w:tcW w:w="105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201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供应商确认收到采购文件澄清的时间</w:t>
            </w:r>
          </w:p>
        </w:tc>
        <w:tc>
          <w:tcPr>
            <w:tcW w:w="6556" w:type="dxa"/>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收到澄清后24小时内（以发出时间为准）</w:t>
            </w:r>
          </w:p>
        </w:tc>
      </w:tr>
      <w:tr>
        <w:tblPrEx>
          <w:tblCellMar>
            <w:top w:w="0" w:type="dxa"/>
            <w:left w:w="57" w:type="dxa"/>
            <w:bottom w:w="0" w:type="dxa"/>
            <w:right w:w="57" w:type="dxa"/>
          </w:tblCellMar>
        </w:tblPrEx>
        <w:trPr>
          <w:trHeight w:val="20" w:hRule="atLeast"/>
        </w:trPr>
        <w:tc>
          <w:tcPr>
            <w:tcW w:w="105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201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供应商确认收到采购文件修改的时间</w:t>
            </w:r>
          </w:p>
        </w:tc>
        <w:tc>
          <w:tcPr>
            <w:tcW w:w="6556" w:type="dxa"/>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收到修改后24小时内（以发出时间为准）</w:t>
            </w:r>
          </w:p>
        </w:tc>
      </w:tr>
      <w:tr>
        <w:tblPrEx>
          <w:tblCellMar>
            <w:top w:w="0" w:type="dxa"/>
            <w:left w:w="57" w:type="dxa"/>
            <w:bottom w:w="0" w:type="dxa"/>
            <w:right w:w="57" w:type="dxa"/>
          </w:tblCellMar>
        </w:tblPrEx>
        <w:trPr>
          <w:trHeight w:val="20" w:hRule="atLeast"/>
        </w:trPr>
        <w:tc>
          <w:tcPr>
            <w:tcW w:w="105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201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响应文件份数</w:t>
            </w:r>
          </w:p>
        </w:tc>
        <w:tc>
          <w:tcPr>
            <w:tcW w:w="6556" w:type="dxa"/>
            <w:tcBorders>
              <w:top w:val="nil"/>
              <w:left w:val="nil"/>
              <w:bottom w:val="single" w:color="auto" w:sz="4" w:space="0"/>
              <w:right w:val="single" w:color="auto" w:sz="4" w:space="0"/>
            </w:tcBorders>
            <w:shd w:val="clear" w:color="auto" w:fill="auto"/>
            <w:vAlign w:val="center"/>
          </w:tcPr>
          <w:p>
            <w:pPr>
              <w:pStyle w:val="80"/>
              <w:spacing w:beforeLines="50" w:beforeAutospacing="0" w:afterLines="50" w:afterAutospacing="0" w:line="276" w:lineRule="auto"/>
              <w:ind w:firstLine="0"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1.正本份数：一（1）份；副本份数：</w:t>
            </w:r>
            <w:r>
              <w:rPr>
                <w:rFonts w:hint="eastAsia" w:asciiTheme="minorEastAsia" w:hAnsiTheme="minorEastAsia" w:eastAsiaTheme="minorEastAsia" w:cstheme="minorEastAsia"/>
                <w:sz w:val="24"/>
                <w:highlight w:val="yellow"/>
                <w:lang w:val="en-US" w:eastAsia="zh-CN"/>
              </w:rPr>
              <w:t>四</w:t>
            </w:r>
            <w:r>
              <w:rPr>
                <w:rFonts w:hint="eastAsia" w:asciiTheme="minorEastAsia" w:hAnsiTheme="minorEastAsia" w:eastAsiaTheme="minorEastAsia" w:cstheme="minorEastAsia"/>
                <w:sz w:val="24"/>
                <w:highlight w:val="yellow"/>
              </w:rPr>
              <w:t>（</w:t>
            </w:r>
            <w:r>
              <w:rPr>
                <w:rFonts w:hint="eastAsia" w:asciiTheme="minorEastAsia" w:hAnsiTheme="minorEastAsia" w:eastAsiaTheme="minorEastAsia" w:cstheme="minorEastAsia"/>
                <w:sz w:val="24"/>
                <w:highlight w:val="yellow"/>
                <w:lang w:val="en-US" w:eastAsia="zh-CN"/>
              </w:rPr>
              <w:t>4</w:t>
            </w:r>
            <w:r>
              <w:rPr>
                <w:rFonts w:hint="eastAsia" w:asciiTheme="minorEastAsia" w:hAnsiTheme="minorEastAsia" w:eastAsiaTheme="minorEastAsia" w:cstheme="minorEastAsia"/>
                <w:sz w:val="24"/>
                <w:highlight w:val="yellow"/>
              </w:rPr>
              <w:t>）</w:t>
            </w:r>
            <w:r>
              <w:rPr>
                <w:rFonts w:hint="eastAsia" w:asciiTheme="minorEastAsia" w:hAnsiTheme="minorEastAsia" w:eastAsiaTheme="minorEastAsia" w:cstheme="minorEastAsia"/>
                <w:sz w:val="24"/>
              </w:rPr>
              <w:t>份；</w:t>
            </w:r>
          </w:p>
          <w:p>
            <w:pPr>
              <w:pStyle w:val="80"/>
              <w:spacing w:beforeLines="50" w:beforeAutospacing="0" w:afterLines="50" w:afterAutospacing="0" w:line="276" w:lineRule="auto"/>
              <w:ind w:firstLine="0"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2.开标一览表：一（1）份。</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3.响应文件电子版（U盘）份数：一（1）份，电子版U盘上应清晰标记出项目名称及供应商名称。</w:t>
            </w:r>
          </w:p>
        </w:tc>
      </w:tr>
      <w:tr>
        <w:tblPrEx>
          <w:tblCellMar>
            <w:top w:w="0" w:type="dxa"/>
            <w:left w:w="57" w:type="dxa"/>
            <w:bottom w:w="0" w:type="dxa"/>
            <w:right w:w="57" w:type="dxa"/>
          </w:tblCellMar>
        </w:tblPrEx>
        <w:trPr>
          <w:trHeight w:val="3015" w:hRule="atLeast"/>
        </w:trPr>
        <w:tc>
          <w:tcPr>
            <w:tcW w:w="105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w:t>
            </w:r>
          </w:p>
        </w:tc>
        <w:tc>
          <w:tcPr>
            <w:tcW w:w="201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响应文件的签字和盖章</w:t>
            </w:r>
          </w:p>
        </w:tc>
        <w:tc>
          <w:tcPr>
            <w:tcW w:w="6556" w:type="dxa"/>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1.所有要求法定代表人和其委托代理人签字或印章的地方都应用不褪色的黑色墨水签字笔由本人亲笔手写签字（包括姓和名）或印章。</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在响应文件及相关文件的签订、履行、通知等事项书面文件中的“单位公章”、“单位章”和“公章”处均仅指与当事人名称全称相一致的标准公章，不得使用其他形式（如带有“专用章”、“合同章”、“财务章”、“业务章”等字样）的印章。</w:t>
            </w:r>
          </w:p>
        </w:tc>
      </w:tr>
      <w:tr>
        <w:tblPrEx>
          <w:tblCellMar>
            <w:top w:w="0" w:type="dxa"/>
            <w:left w:w="57" w:type="dxa"/>
            <w:bottom w:w="0" w:type="dxa"/>
            <w:right w:w="57" w:type="dxa"/>
          </w:tblCellMar>
        </w:tblPrEx>
        <w:trPr>
          <w:trHeight w:val="20" w:hRule="atLeast"/>
        </w:trPr>
        <w:tc>
          <w:tcPr>
            <w:tcW w:w="105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w:t>
            </w:r>
          </w:p>
        </w:tc>
        <w:tc>
          <w:tcPr>
            <w:tcW w:w="201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响应文件的密封</w:t>
            </w:r>
          </w:p>
        </w:tc>
        <w:tc>
          <w:tcPr>
            <w:tcW w:w="6556" w:type="dxa"/>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提交的文件至少包括三个密封件，分别是：响应文件密封件、开标一览表及电子版文件（包括响应文件电子版，响应文件电子版需标注供应商名称）；一个密封件确实无法密封的，可分开密封，但须按顺序编号，例如“1/3、2/3…”。</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2.响应文件密封件、开标一览表及电子版文件均须在封套的所有封口标注供应商的明细、地址和电话等内容并加盖公章。</w:t>
            </w:r>
          </w:p>
        </w:tc>
      </w:tr>
      <w:tr>
        <w:tblPrEx>
          <w:tblCellMar>
            <w:top w:w="0" w:type="dxa"/>
            <w:left w:w="57" w:type="dxa"/>
            <w:bottom w:w="0" w:type="dxa"/>
            <w:right w:w="57" w:type="dxa"/>
          </w:tblCellMar>
        </w:tblPrEx>
        <w:trPr>
          <w:trHeight w:val="20" w:hRule="atLeast"/>
        </w:trPr>
        <w:tc>
          <w:tcPr>
            <w:tcW w:w="105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r>
              <w:rPr>
                <w:rFonts w:hint="eastAsia" w:asciiTheme="minorEastAsia" w:hAnsiTheme="minorEastAsia" w:eastAsiaTheme="minorEastAsia" w:cstheme="minorEastAsia"/>
                <w:sz w:val="24"/>
              </w:rPr>
              <w:t>9</w:t>
            </w:r>
          </w:p>
        </w:tc>
        <w:tc>
          <w:tcPr>
            <w:tcW w:w="201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响应文件的标识</w:t>
            </w:r>
          </w:p>
        </w:tc>
        <w:tc>
          <w:tcPr>
            <w:tcW w:w="6556" w:type="dxa"/>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在响应文件的封套上应清楚地标记“响应文件”等字样，封套还应标明项目名称以及供应商名称、供应商地址等；在所有封签处标注“请勿在</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年</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月</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日</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时00分（北京时间）之前启封”字样（上述时间为提交响应文件的截止时间）。</w:t>
            </w:r>
          </w:p>
        </w:tc>
      </w:tr>
      <w:tr>
        <w:tblPrEx>
          <w:tblCellMar>
            <w:top w:w="0" w:type="dxa"/>
            <w:left w:w="57" w:type="dxa"/>
            <w:bottom w:w="0" w:type="dxa"/>
            <w:right w:w="57" w:type="dxa"/>
          </w:tblCellMar>
        </w:tblPrEx>
        <w:trPr>
          <w:trHeight w:val="20" w:hRule="atLeast"/>
        </w:trPr>
        <w:tc>
          <w:tcPr>
            <w:tcW w:w="105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w:t>
            </w:r>
          </w:p>
        </w:tc>
        <w:tc>
          <w:tcPr>
            <w:tcW w:w="201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装订要求</w:t>
            </w:r>
          </w:p>
        </w:tc>
        <w:tc>
          <w:tcPr>
            <w:tcW w:w="6556" w:type="dxa"/>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正本、副本分册装订，胶装；电子文件用U盘储存。</w:t>
            </w:r>
          </w:p>
        </w:tc>
      </w:tr>
      <w:tr>
        <w:tblPrEx>
          <w:tblCellMar>
            <w:top w:w="0" w:type="dxa"/>
            <w:left w:w="57" w:type="dxa"/>
            <w:bottom w:w="0" w:type="dxa"/>
            <w:right w:w="57" w:type="dxa"/>
          </w:tblCellMar>
        </w:tblPrEx>
        <w:trPr>
          <w:trHeight w:val="20" w:hRule="atLeast"/>
        </w:trPr>
        <w:tc>
          <w:tcPr>
            <w:tcW w:w="105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w:t>
            </w:r>
          </w:p>
        </w:tc>
        <w:tc>
          <w:tcPr>
            <w:tcW w:w="201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响应文件递交时间</w:t>
            </w:r>
          </w:p>
        </w:tc>
        <w:tc>
          <w:tcPr>
            <w:tcW w:w="6556" w:type="dxa"/>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2022年</w:t>
            </w:r>
            <w:r>
              <w:rPr>
                <w:rFonts w:hint="eastAsia" w:asciiTheme="minorEastAsia" w:hAnsiTheme="minorEastAsia" w:eastAsiaTheme="minorEastAsia" w:cstheme="minorEastAsia"/>
                <w:sz w:val="24"/>
                <w:lang w:val="en-US" w:eastAsia="zh-CN"/>
              </w:rPr>
              <w:t>09月05日</w:t>
            </w: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:00</w:t>
            </w:r>
            <w:r>
              <w:rPr>
                <w:rFonts w:hint="eastAsia" w:asciiTheme="minorEastAsia" w:hAnsiTheme="minorEastAsia" w:eastAsiaTheme="minorEastAsia" w:cstheme="minorEastAsia"/>
                <w:sz w:val="24"/>
              </w:rPr>
              <w:t>（北京时间）</w:t>
            </w:r>
          </w:p>
        </w:tc>
      </w:tr>
      <w:tr>
        <w:tblPrEx>
          <w:tblCellMar>
            <w:top w:w="0" w:type="dxa"/>
            <w:left w:w="57" w:type="dxa"/>
            <w:bottom w:w="0" w:type="dxa"/>
            <w:right w:w="57" w:type="dxa"/>
          </w:tblCellMar>
        </w:tblPrEx>
        <w:trPr>
          <w:trHeight w:val="20" w:hRule="atLeast"/>
        </w:trPr>
        <w:tc>
          <w:tcPr>
            <w:tcW w:w="105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w:t>
            </w:r>
          </w:p>
        </w:tc>
        <w:tc>
          <w:tcPr>
            <w:tcW w:w="201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响应文件递交截止时间</w:t>
            </w:r>
          </w:p>
        </w:tc>
        <w:tc>
          <w:tcPr>
            <w:tcW w:w="6556" w:type="dxa"/>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2022年</w:t>
            </w:r>
            <w:r>
              <w:rPr>
                <w:rFonts w:hint="eastAsia" w:asciiTheme="minorEastAsia" w:hAnsiTheme="minorEastAsia" w:eastAsiaTheme="minorEastAsia" w:cstheme="minorEastAsia"/>
                <w:sz w:val="24"/>
                <w:lang w:val="en-US" w:eastAsia="zh-CN"/>
              </w:rPr>
              <w:t>09月05日</w:t>
            </w: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:00</w:t>
            </w:r>
            <w:r>
              <w:rPr>
                <w:rFonts w:hint="eastAsia" w:asciiTheme="minorEastAsia" w:hAnsiTheme="minorEastAsia" w:eastAsiaTheme="minorEastAsia" w:cstheme="minorEastAsia"/>
                <w:sz w:val="24"/>
              </w:rPr>
              <w:t>（北京时间）</w:t>
            </w:r>
          </w:p>
        </w:tc>
      </w:tr>
      <w:tr>
        <w:tblPrEx>
          <w:tblCellMar>
            <w:top w:w="0" w:type="dxa"/>
            <w:left w:w="57" w:type="dxa"/>
            <w:bottom w:w="0" w:type="dxa"/>
            <w:right w:w="57" w:type="dxa"/>
          </w:tblCellMar>
        </w:tblPrEx>
        <w:trPr>
          <w:trHeight w:val="20" w:hRule="atLeast"/>
        </w:trPr>
        <w:tc>
          <w:tcPr>
            <w:tcW w:w="105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w:t>
            </w:r>
          </w:p>
        </w:tc>
        <w:tc>
          <w:tcPr>
            <w:tcW w:w="201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响应文件提交地点</w:t>
            </w:r>
          </w:p>
        </w:tc>
        <w:tc>
          <w:tcPr>
            <w:tcW w:w="6556" w:type="dxa"/>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新疆华域建设工程项目管理咨询有限公司会议室</w:t>
            </w:r>
          </w:p>
        </w:tc>
      </w:tr>
      <w:tr>
        <w:tblPrEx>
          <w:tblCellMar>
            <w:top w:w="0" w:type="dxa"/>
            <w:left w:w="57" w:type="dxa"/>
            <w:bottom w:w="0" w:type="dxa"/>
            <w:right w:w="57" w:type="dxa"/>
          </w:tblCellMar>
        </w:tblPrEx>
        <w:trPr>
          <w:trHeight w:val="20" w:hRule="atLeast"/>
        </w:trPr>
        <w:tc>
          <w:tcPr>
            <w:tcW w:w="105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w:t>
            </w:r>
          </w:p>
        </w:tc>
        <w:tc>
          <w:tcPr>
            <w:tcW w:w="201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是否退还响应文件</w:t>
            </w:r>
          </w:p>
        </w:tc>
        <w:tc>
          <w:tcPr>
            <w:tcW w:w="6556" w:type="dxa"/>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否</w:t>
            </w:r>
          </w:p>
        </w:tc>
      </w:tr>
      <w:tr>
        <w:tblPrEx>
          <w:tblCellMar>
            <w:top w:w="0" w:type="dxa"/>
            <w:left w:w="57" w:type="dxa"/>
            <w:bottom w:w="0" w:type="dxa"/>
            <w:right w:w="57" w:type="dxa"/>
          </w:tblCellMar>
        </w:tblPrEx>
        <w:trPr>
          <w:trHeight w:val="20" w:hRule="atLeast"/>
        </w:trPr>
        <w:tc>
          <w:tcPr>
            <w:tcW w:w="105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w:t>
            </w:r>
          </w:p>
        </w:tc>
        <w:tc>
          <w:tcPr>
            <w:tcW w:w="201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响应文件开启时间</w:t>
            </w:r>
          </w:p>
        </w:tc>
        <w:tc>
          <w:tcPr>
            <w:tcW w:w="6556" w:type="dxa"/>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2022年</w:t>
            </w:r>
            <w:r>
              <w:rPr>
                <w:rFonts w:hint="eastAsia" w:asciiTheme="minorEastAsia" w:hAnsiTheme="minorEastAsia" w:eastAsiaTheme="minorEastAsia" w:cstheme="minorEastAsia"/>
                <w:sz w:val="24"/>
                <w:lang w:val="en-US" w:eastAsia="zh-CN"/>
              </w:rPr>
              <w:t>09月05日</w:t>
            </w: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:00</w:t>
            </w:r>
            <w:r>
              <w:rPr>
                <w:rFonts w:hint="eastAsia" w:asciiTheme="minorEastAsia" w:hAnsiTheme="minorEastAsia" w:eastAsiaTheme="minorEastAsia" w:cstheme="minorEastAsia"/>
                <w:sz w:val="24"/>
              </w:rPr>
              <w:t>（北京时间）</w:t>
            </w:r>
          </w:p>
        </w:tc>
      </w:tr>
      <w:tr>
        <w:tblPrEx>
          <w:tblCellMar>
            <w:top w:w="0" w:type="dxa"/>
            <w:left w:w="57" w:type="dxa"/>
            <w:bottom w:w="0" w:type="dxa"/>
            <w:right w:w="57" w:type="dxa"/>
          </w:tblCellMar>
        </w:tblPrEx>
        <w:trPr>
          <w:trHeight w:val="20" w:hRule="atLeast"/>
        </w:trPr>
        <w:tc>
          <w:tcPr>
            <w:tcW w:w="105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w:t>
            </w:r>
          </w:p>
        </w:tc>
        <w:tc>
          <w:tcPr>
            <w:tcW w:w="2011"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响应文件开启地点</w:t>
            </w:r>
          </w:p>
        </w:tc>
        <w:tc>
          <w:tcPr>
            <w:tcW w:w="6556" w:type="dxa"/>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新疆华域建设工程项目管理咨询有限公司会议室</w:t>
            </w:r>
          </w:p>
        </w:tc>
      </w:tr>
      <w:tr>
        <w:tblPrEx>
          <w:tblCellMar>
            <w:top w:w="0" w:type="dxa"/>
            <w:left w:w="57" w:type="dxa"/>
            <w:bottom w:w="0" w:type="dxa"/>
            <w:right w:w="57" w:type="dxa"/>
          </w:tblCellMar>
        </w:tblPrEx>
        <w:trPr>
          <w:trHeight w:val="20" w:hRule="atLeast"/>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签署合同时间</w:t>
            </w:r>
          </w:p>
        </w:tc>
        <w:tc>
          <w:tcPr>
            <w:tcW w:w="6556" w:type="dxa"/>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中标通知书发出后30日内，中标人与采购人签署《政府采购合同》</w:t>
            </w:r>
          </w:p>
        </w:tc>
      </w:tr>
      <w:tr>
        <w:tblPrEx>
          <w:tblCellMar>
            <w:top w:w="0" w:type="dxa"/>
            <w:left w:w="57" w:type="dxa"/>
            <w:bottom w:w="0" w:type="dxa"/>
            <w:right w:w="57" w:type="dxa"/>
          </w:tblCellMar>
        </w:tblPrEx>
        <w:trPr>
          <w:trHeight w:val="1213" w:hRule="atLeast"/>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招标代理服务费</w:t>
            </w:r>
          </w:p>
        </w:tc>
        <w:tc>
          <w:tcPr>
            <w:tcW w:w="6556" w:type="dxa"/>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代理机构参向中标供应商收取代理服务费</w:t>
            </w:r>
            <w:r>
              <w:rPr>
                <w:rFonts w:hint="eastAsia" w:asciiTheme="minorEastAsia" w:hAnsiTheme="minorEastAsia" w:eastAsiaTheme="minorEastAsia" w:cstheme="minorEastAsia"/>
                <w:sz w:val="24"/>
                <w:lang w:eastAsia="zh-CN"/>
              </w:rPr>
              <w:t>及专家评标费</w:t>
            </w:r>
            <w:r>
              <w:rPr>
                <w:rFonts w:hint="eastAsia" w:asciiTheme="minorEastAsia" w:hAnsiTheme="minorEastAsia" w:eastAsiaTheme="minorEastAsia" w:cstheme="minorEastAsia"/>
                <w:sz w:val="24"/>
              </w:rPr>
              <w:t>。</w:t>
            </w:r>
          </w:p>
        </w:tc>
      </w:tr>
      <w:tr>
        <w:tblPrEx>
          <w:tblCellMar>
            <w:top w:w="0" w:type="dxa"/>
            <w:left w:w="57" w:type="dxa"/>
            <w:bottom w:w="0" w:type="dxa"/>
            <w:right w:w="57" w:type="dxa"/>
          </w:tblCellMar>
        </w:tblPrEx>
        <w:trPr>
          <w:trHeight w:val="20" w:hRule="atLeast"/>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2"/>
              <w:spacing w:line="276" w:lineRule="auto"/>
              <w:jc w:val="center"/>
              <w:rPr>
                <w:rFonts w:ascii="仿宋" w:hAnsi="仿宋"/>
                <w:sz w:val="24"/>
                <w:szCs w:val="24"/>
              </w:rPr>
            </w:pPr>
            <w:r>
              <w:rPr>
                <w:rFonts w:hint="eastAsia" w:ascii="仿宋" w:hAnsi="仿宋"/>
                <w:sz w:val="24"/>
                <w:szCs w:val="24"/>
              </w:rPr>
              <w:t>29</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仿宋" w:hAnsi="仿宋"/>
                <w:sz w:val="24"/>
              </w:rPr>
            </w:pPr>
            <w:r>
              <w:rPr>
                <w:rFonts w:hint="eastAsia" w:asciiTheme="minorEastAsia" w:hAnsiTheme="minorEastAsia" w:eastAsiaTheme="minorEastAsia" w:cstheme="minorEastAsia"/>
                <w:sz w:val="24"/>
              </w:rPr>
              <w:t>其他</w:t>
            </w:r>
          </w:p>
        </w:tc>
        <w:tc>
          <w:tcPr>
            <w:tcW w:w="6556" w:type="dxa"/>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一、加★号的条款均被视为重要的指标要求，必须一一响应。若有一项带“★”的指标要求未响应或不满足，将按投标无效处理。</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二、供应商报价低于最高限价40%的，必须在响应文件中说明报价理由。</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三、供应商的报价明显低于其他通过符合性审查供应商的报价，有可能影响产品质量或者不能诚信履约的，应当按评标委员会的要求，在评标现场合理的时间内提供书面说明，必要时提交相关证明材料；供应商不能证明其报价合理性的，将被作为无效投标处理。 </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对可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五、供应商一旦依法被确认为中标人，其响应文件中的相关内容（主要中标标的的名称、规格型号、数量、单价、服务要求等），将会随中标结果公告一并发布在采购信息发布网上，接受社会监督。</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六、采购代理机构不对供应商报名时提交的相关资料的真实性负责，如供应商发现相关资料被盗用或复制，应遵循法律途径解决，追究侵权者责任。</w:t>
            </w:r>
          </w:p>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本提示内容非招标文件的组成部分，仅为善意提醒。如有不一致，以招标文件为准。）</w:t>
            </w:r>
          </w:p>
        </w:tc>
      </w:tr>
      <w:tr>
        <w:tblPrEx>
          <w:tblCellMar>
            <w:top w:w="0" w:type="dxa"/>
            <w:left w:w="57" w:type="dxa"/>
            <w:bottom w:w="0" w:type="dxa"/>
            <w:right w:w="57" w:type="dxa"/>
          </w:tblCellMar>
        </w:tblPrEx>
        <w:trPr>
          <w:trHeight w:val="20" w:hRule="atLeast"/>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履约保证金</w:t>
            </w:r>
          </w:p>
        </w:tc>
        <w:tc>
          <w:tcPr>
            <w:tcW w:w="6556" w:type="dxa"/>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highlight w:val="yellow"/>
              </w:rPr>
            </w:pPr>
            <w:r>
              <w:rPr>
                <w:rFonts w:hint="eastAsia" w:asciiTheme="minorEastAsia" w:hAnsiTheme="minorEastAsia" w:eastAsiaTheme="minorEastAsia" w:cstheme="minorEastAsia"/>
                <w:sz w:val="24"/>
                <w:highlight w:val="yellow"/>
              </w:rPr>
              <w:t>中标单位领取中标通知书前需向</w:t>
            </w:r>
            <w:r>
              <w:rPr>
                <w:rFonts w:hint="eastAsia" w:asciiTheme="minorEastAsia" w:hAnsiTheme="minorEastAsia" w:eastAsiaTheme="minorEastAsia" w:cstheme="minorEastAsia"/>
                <w:sz w:val="24"/>
                <w:highlight w:val="yellow"/>
                <w:lang w:eastAsia="zh-CN"/>
              </w:rPr>
              <w:t>乌鲁木齐职业大学</w:t>
            </w:r>
            <w:r>
              <w:rPr>
                <w:rFonts w:hint="eastAsia" w:asciiTheme="minorEastAsia" w:hAnsiTheme="minorEastAsia" w:eastAsiaTheme="minorEastAsia" w:cstheme="minorEastAsia"/>
                <w:sz w:val="24"/>
                <w:highlight w:val="yellow"/>
              </w:rPr>
              <w:t>（</w:t>
            </w:r>
            <w:r>
              <w:rPr>
                <w:rFonts w:hint="eastAsia" w:asciiTheme="minorEastAsia" w:hAnsiTheme="minorEastAsia" w:eastAsiaTheme="minorEastAsia" w:cstheme="minorEastAsia"/>
                <w:sz w:val="24"/>
                <w:highlight w:val="yellow"/>
                <w:lang w:eastAsia="zh-CN"/>
              </w:rPr>
              <w:t>乌鲁木齐职业大学</w:t>
            </w:r>
            <w:r>
              <w:rPr>
                <w:rFonts w:hint="eastAsia" w:asciiTheme="minorEastAsia" w:hAnsiTheme="minorEastAsia" w:eastAsiaTheme="minorEastAsia" w:cstheme="minorEastAsia"/>
                <w:sz w:val="24"/>
                <w:highlight w:val="yellow"/>
              </w:rPr>
              <w:t>）交履约保证金（中标金额的10%）</w:t>
            </w:r>
          </w:p>
        </w:tc>
      </w:tr>
      <w:tr>
        <w:tblPrEx>
          <w:tblCellMar>
            <w:top w:w="0" w:type="dxa"/>
            <w:left w:w="57" w:type="dxa"/>
            <w:bottom w:w="0" w:type="dxa"/>
            <w:right w:w="57" w:type="dxa"/>
          </w:tblCellMar>
        </w:tblPrEx>
        <w:trPr>
          <w:trHeight w:val="20" w:hRule="atLeast"/>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服务</w:t>
            </w:r>
            <w:r>
              <w:rPr>
                <w:rFonts w:hint="eastAsia" w:asciiTheme="minorEastAsia" w:hAnsiTheme="minorEastAsia" w:eastAsiaTheme="minorEastAsia" w:cstheme="minorEastAsia"/>
                <w:sz w:val="24"/>
              </w:rPr>
              <w:t>周期</w:t>
            </w:r>
          </w:p>
        </w:tc>
        <w:tc>
          <w:tcPr>
            <w:tcW w:w="6556" w:type="dxa"/>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自</w:t>
            </w:r>
            <w:r>
              <w:rPr>
                <w:rFonts w:hint="eastAsia" w:asciiTheme="minorEastAsia" w:hAnsiTheme="minorEastAsia" w:eastAsiaTheme="minorEastAsia" w:cstheme="minorEastAsia"/>
                <w:sz w:val="24"/>
                <w:lang w:val="en-US" w:eastAsia="zh-CN"/>
              </w:rPr>
              <w:t>投</w:t>
            </w:r>
            <w:r>
              <w:rPr>
                <w:rFonts w:hint="eastAsia" w:asciiTheme="minorEastAsia" w:hAnsiTheme="minorEastAsia" w:eastAsiaTheme="minorEastAsia" w:cstheme="minorEastAsia"/>
                <w:sz w:val="24"/>
              </w:rPr>
              <w:t>标人中标之日起，</w:t>
            </w:r>
            <w:r>
              <w:rPr>
                <w:rFonts w:hint="eastAsia" w:asciiTheme="minorEastAsia" w:hAnsiTheme="minorEastAsia" w:eastAsiaTheme="minorEastAsia" w:cstheme="minorEastAsia"/>
                <w:sz w:val="24"/>
                <w:lang w:val="en-US" w:eastAsia="zh-CN"/>
              </w:rPr>
              <w:t>15日历日内完成</w:t>
            </w:r>
          </w:p>
        </w:tc>
      </w:tr>
      <w:tr>
        <w:tblPrEx>
          <w:tblCellMar>
            <w:top w:w="0" w:type="dxa"/>
            <w:left w:w="57" w:type="dxa"/>
            <w:bottom w:w="0" w:type="dxa"/>
            <w:right w:w="57" w:type="dxa"/>
          </w:tblCellMar>
        </w:tblPrEx>
        <w:trPr>
          <w:trHeight w:val="20" w:hRule="atLeast"/>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交付地点</w:t>
            </w:r>
          </w:p>
        </w:tc>
        <w:tc>
          <w:tcPr>
            <w:tcW w:w="6556" w:type="dxa"/>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甲方指定地点</w:t>
            </w:r>
          </w:p>
        </w:tc>
      </w:tr>
      <w:tr>
        <w:tblPrEx>
          <w:tblCellMar>
            <w:top w:w="0" w:type="dxa"/>
            <w:left w:w="57" w:type="dxa"/>
            <w:bottom w:w="0" w:type="dxa"/>
            <w:right w:w="57" w:type="dxa"/>
          </w:tblCellMar>
        </w:tblPrEx>
        <w:trPr>
          <w:trHeight w:val="20" w:hRule="atLeast"/>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highlight w:val="yellow"/>
              </w:rPr>
            </w:pPr>
            <w:r>
              <w:rPr>
                <w:rFonts w:hint="eastAsia" w:asciiTheme="minorEastAsia" w:hAnsiTheme="minorEastAsia" w:eastAsiaTheme="minorEastAsia" w:cstheme="minorEastAsia"/>
                <w:sz w:val="24"/>
              </w:rPr>
              <w:t>服务要求</w:t>
            </w:r>
          </w:p>
        </w:tc>
        <w:tc>
          <w:tcPr>
            <w:tcW w:w="6556" w:type="dxa"/>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其他主要人员要求：由于项目时间紧，所配备人员必须为业务能力强，能够满足本项目需求。</w:t>
            </w:r>
          </w:p>
          <w:p>
            <w:pPr>
              <w:spacing w:beforeLines="50" w:beforeAutospacing="0" w:afterLines="50" w:afterAutospacing="0" w:line="276" w:lineRule="auto"/>
              <w:rPr>
                <w:rFonts w:asciiTheme="minorEastAsia" w:hAnsiTheme="minorEastAsia" w:eastAsiaTheme="minorEastAsia" w:cstheme="minorEastAsia"/>
                <w:sz w:val="24"/>
                <w:highlight w:val="yellow"/>
              </w:rPr>
            </w:pPr>
            <w:r>
              <w:rPr>
                <w:rFonts w:hint="eastAsia" w:asciiTheme="minorEastAsia" w:hAnsiTheme="minorEastAsia" w:eastAsiaTheme="minorEastAsia" w:cstheme="minorEastAsia"/>
                <w:sz w:val="24"/>
              </w:rPr>
              <w:t>其他要求：具有本项目业务所需的技术人员与仪器（软件）设备，有完善的质量保证体系和成果管理制度，技术、经营、人事、财务、档案等管理制度健全。中标人在收到中标通知书后</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日内，</w:t>
            </w:r>
            <w:r>
              <w:rPr>
                <w:rFonts w:hint="eastAsia" w:asciiTheme="minorEastAsia" w:hAnsiTheme="minorEastAsia" w:eastAsiaTheme="minorEastAsia" w:cstheme="minorEastAsia"/>
                <w:sz w:val="24"/>
                <w:lang w:eastAsia="zh-CN"/>
              </w:rPr>
              <w:t>编制设计</w:t>
            </w:r>
            <w:r>
              <w:rPr>
                <w:rFonts w:hint="eastAsia" w:asciiTheme="minorEastAsia" w:hAnsiTheme="minorEastAsia" w:eastAsiaTheme="minorEastAsia" w:cstheme="minorEastAsia"/>
                <w:sz w:val="24"/>
              </w:rPr>
              <w:t>方项目负责人和响应文件约定的相关管理人员必须到达发包人项目所在地，与发包人开展项目对接及组织项目</w:t>
            </w:r>
            <w:r>
              <w:rPr>
                <w:rFonts w:hint="eastAsia" w:asciiTheme="minorEastAsia" w:hAnsiTheme="minorEastAsia" w:eastAsiaTheme="minorEastAsia" w:cstheme="minorEastAsia"/>
                <w:sz w:val="24"/>
                <w:lang w:eastAsia="zh-CN"/>
              </w:rPr>
              <w:t>编制设计</w:t>
            </w:r>
            <w:r>
              <w:rPr>
                <w:rFonts w:hint="eastAsia" w:asciiTheme="minorEastAsia" w:hAnsiTheme="minorEastAsia" w:eastAsiaTheme="minorEastAsia" w:cstheme="minorEastAsia"/>
                <w:sz w:val="24"/>
              </w:rPr>
              <w:t>准备工作。未能按期到场的，招标人有权取消中标人中标资格。</w:t>
            </w:r>
          </w:p>
        </w:tc>
      </w:tr>
      <w:tr>
        <w:trPr>
          <w:trHeight w:val="20" w:hRule="atLeast"/>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其他</w:t>
            </w:r>
          </w:p>
        </w:tc>
        <w:tc>
          <w:tcPr>
            <w:tcW w:w="6556" w:type="dxa"/>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供应商不得提供虚假资料，一经发现，其投标被拒绝，并上报相关监管部门</w:t>
            </w:r>
          </w:p>
        </w:tc>
      </w:tr>
    </w:tbl>
    <w:p>
      <w:pPr>
        <w:spacing w:beforeLines="50" w:beforeAutospacing="0" w:afterLines="50" w:afterAutospacing="0" w:line="24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注：本前附表中的内容是对供应商须知的具体补充和修改，如果有矛盾，应以本前附表内容为准</w:t>
      </w:r>
    </w:p>
    <w:p/>
    <w:p/>
    <w:p/>
    <w:p>
      <w:pPr>
        <w:widowControl/>
        <w:spacing w:before="0" w:beforeAutospacing="0" w:after="0" w:afterAutospacing="0" w:line="240" w:lineRule="auto"/>
        <w:jc w:val="left"/>
      </w:pPr>
      <w:r>
        <w:br w:type="page"/>
      </w:r>
    </w:p>
    <w:p>
      <w:pPr>
        <w:pStyle w:val="5"/>
        <w:rPr>
          <w:rFonts w:asciiTheme="minorEastAsia" w:hAnsiTheme="minorEastAsia" w:eastAsiaTheme="minorEastAsia" w:cstheme="minorEastAsia"/>
        </w:rPr>
      </w:pPr>
      <w:bookmarkStart w:id="8" w:name="_Toc406670711"/>
      <w:bookmarkStart w:id="9" w:name="_Toc406671083"/>
      <w:bookmarkStart w:id="10" w:name="_Toc424213009"/>
      <w:bookmarkStart w:id="11" w:name="_Toc406672381"/>
      <w:bookmarkStart w:id="12" w:name="_Toc406671675"/>
      <w:bookmarkStart w:id="13" w:name="_Toc5633"/>
      <w:r>
        <w:rPr>
          <w:rFonts w:hint="eastAsia" w:asciiTheme="minorEastAsia" w:hAnsiTheme="minorEastAsia" w:eastAsiaTheme="minorEastAsia" w:cstheme="minorEastAsia"/>
        </w:rPr>
        <w:t>第一章　采购范围</w:t>
      </w:r>
      <w:bookmarkEnd w:id="8"/>
      <w:bookmarkEnd w:id="9"/>
      <w:bookmarkEnd w:id="10"/>
      <w:bookmarkEnd w:id="11"/>
      <w:bookmarkEnd w:id="12"/>
      <w:bookmarkEnd w:id="13"/>
    </w:p>
    <w:p>
      <w:pPr>
        <w:pStyle w:val="5"/>
        <w:numPr>
          <w:ilvl w:val="0"/>
          <w:numId w:val="4"/>
        </w:numPr>
        <w:rPr>
          <w:rFonts w:hint="eastAsia" w:asciiTheme="minorEastAsia" w:hAnsiTheme="minorEastAsia" w:eastAsiaTheme="minorEastAsia" w:cstheme="minorEastAsia"/>
        </w:rPr>
      </w:pPr>
      <w:bookmarkStart w:id="14" w:name="_Toc406671680"/>
      <w:bookmarkStart w:id="15" w:name="_Toc406670721"/>
      <w:bookmarkStart w:id="16" w:name="_Toc406671092"/>
      <w:bookmarkStart w:id="17" w:name="_Toc406672385"/>
      <w:bookmarkStart w:id="18" w:name="_Toc2984"/>
      <w:bookmarkStart w:id="19" w:name="_Toc424213013"/>
      <w:r>
        <w:rPr>
          <w:rFonts w:hint="eastAsia" w:asciiTheme="minorEastAsia" w:hAnsiTheme="minorEastAsia" w:eastAsiaTheme="minorEastAsia" w:cstheme="minorEastAsia"/>
        </w:rPr>
        <w:t>采购清单、技术参数及商务要求</w:t>
      </w:r>
      <w:bookmarkEnd w:id="14"/>
      <w:bookmarkEnd w:id="15"/>
      <w:bookmarkEnd w:id="16"/>
      <w:bookmarkEnd w:id="17"/>
      <w:bookmarkEnd w:id="18"/>
      <w:bookmarkEnd w:id="19"/>
    </w:p>
    <w:p>
      <w:pPr>
        <w:pStyle w:val="6"/>
        <w:rPr>
          <w:rFonts w:hint="eastAsia" w:asciiTheme="minorEastAsia" w:hAnsiTheme="minorEastAsia" w:eastAsiaTheme="minorEastAsia" w:cstheme="minorEastAsia"/>
          <w:lang w:eastAsia="zh-CN"/>
        </w:rPr>
      </w:pPr>
      <w:bookmarkStart w:id="20" w:name="_Toc16165"/>
      <w:bookmarkStart w:id="21" w:name="_Toc406671094"/>
      <w:bookmarkStart w:id="22" w:name="_Toc406671682"/>
      <w:bookmarkStart w:id="23" w:name="_Toc424213015"/>
      <w:bookmarkStart w:id="24" w:name="_Toc406670723"/>
      <w:bookmarkStart w:id="25" w:name="_Toc406672387"/>
      <w:r>
        <w:rPr>
          <w:rFonts w:hint="eastAsia" w:asciiTheme="minorEastAsia" w:hAnsiTheme="minorEastAsia" w:eastAsiaTheme="minorEastAsia" w:cstheme="minorEastAsia"/>
        </w:rPr>
        <w:t>第</w:t>
      </w:r>
      <w:r>
        <w:rPr>
          <w:rFonts w:hint="eastAsia" w:asciiTheme="minorEastAsia" w:hAnsiTheme="minorEastAsia" w:eastAsiaTheme="minorEastAsia" w:cstheme="minorEastAsia"/>
          <w:lang w:eastAsia="zh-CN"/>
        </w:rPr>
        <w:t>一</w:t>
      </w:r>
      <w:r>
        <w:rPr>
          <w:rFonts w:hint="eastAsia" w:asciiTheme="minorEastAsia" w:hAnsiTheme="minorEastAsia" w:eastAsiaTheme="minorEastAsia" w:cstheme="minorEastAsia"/>
        </w:rPr>
        <w:t xml:space="preserve">节 </w:t>
      </w:r>
      <w:r>
        <w:rPr>
          <w:rFonts w:hint="eastAsia" w:asciiTheme="minorEastAsia" w:hAnsiTheme="minorEastAsia" w:eastAsiaTheme="minorEastAsia" w:cstheme="minorEastAsia"/>
          <w:lang w:eastAsia="zh-CN"/>
        </w:rPr>
        <w:t>采购清单</w:t>
      </w:r>
      <w:bookmarkEnd w:id="20"/>
    </w:p>
    <w:p>
      <w:pPr>
        <w:ind w:firstLine="480" w:firstLineChars="200"/>
        <w:rPr>
          <w:rFonts w:hint="eastAsia" w:ascii="宋体" w:hAnsi="宋体" w:cs="宋体"/>
          <w:sz w:val="24"/>
        </w:rPr>
      </w:pPr>
      <w:r>
        <w:rPr>
          <w:rFonts w:hint="eastAsia" w:ascii="宋体" w:hAnsi="宋体" w:cs="宋体"/>
          <w:sz w:val="24"/>
        </w:rPr>
        <w:t>本次招标内容是对乌鲁木齐职业大学北辰校区建设项目进行前期研究，并按照发改委有关可行性研究报告编制内容和深度等要求，编制符合行政主管部门报批要求的《乌鲁木齐职业大学北辰校区建设项目可行性研究报告》，包括为编制报告而进行的所有调查、踏勘、资料收集、现场勘察等工作</w:t>
      </w:r>
      <w:r>
        <w:rPr>
          <w:rFonts w:hint="eastAsia" w:ascii="宋体" w:hAnsi="宋体" w:cs="宋体"/>
          <w:sz w:val="24"/>
          <w:lang w:eastAsia="zh-CN"/>
        </w:rPr>
        <w:t>，</w:t>
      </w:r>
      <w:r>
        <w:rPr>
          <w:rFonts w:hint="eastAsia" w:ascii="宋体" w:hAnsi="宋体" w:cs="宋体"/>
          <w:sz w:val="24"/>
        </w:rPr>
        <w:t>以及进行项目评审及</w:t>
      </w:r>
      <w:r>
        <w:rPr>
          <w:rFonts w:hint="eastAsia" w:ascii="宋体" w:hAnsi="宋体" w:cs="宋体"/>
          <w:sz w:val="24"/>
          <w:lang w:val="en-US" w:eastAsia="zh-CN"/>
        </w:rPr>
        <w:t>成果</w:t>
      </w:r>
      <w:r>
        <w:rPr>
          <w:rFonts w:hint="eastAsia" w:ascii="宋体" w:hAnsi="宋体" w:cs="宋体"/>
          <w:sz w:val="24"/>
        </w:rPr>
        <w:t>文件的报批工作等。</w:t>
      </w:r>
    </w:p>
    <w:p>
      <w:pPr>
        <w:rPr>
          <w:rFonts w:ascii="宋体" w:hAnsi="宋体" w:cs="宋体"/>
          <w:sz w:val="24"/>
        </w:rPr>
      </w:pPr>
      <w:r>
        <w:rPr>
          <w:rFonts w:hint="eastAsia" w:ascii="宋体" w:hAnsi="宋体" w:cs="宋体"/>
          <w:sz w:val="24"/>
        </w:rPr>
        <w:t>一、项目概况：</w:t>
      </w:r>
    </w:p>
    <w:p>
      <w:pPr>
        <w:ind w:firstLine="480" w:firstLineChars="200"/>
        <w:rPr>
          <w:rFonts w:ascii="宋体" w:hAnsi="宋体" w:cs="宋体"/>
          <w:sz w:val="24"/>
        </w:rPr>
      </w:pPr>
      <w:r>
        <w:rPr>
          <w:rFonts w:hint="eastAsia" w:ascii="宋体" w:hAnsi="宋体" w:cs="宋体"/>
          <w:sz w:val="24"/>
        </w:rPr>
        <w:t>本项目主要建设内容及规模为：本项目校舍建设规模约为50.10万平方米。建设内容主要有:教学及实验实训用房、图书馆、体育用房、办公用房、学生宿舍(公寓)、单身教师宿舍(公寓)、食堂、后勤及附属用房、人防地下设施、地下车库、校园道路路网、室外地下综合管网系统、大门、绿化景观工程等配套附属设施。（详细内容以规划批复为准）</w:t>
      </w:r>
    </w:p>
    <w:p>
      <w:pPr>
        <w:rPr>
          <w:rFonts w:ascii="宋体" w:hAnsi="宋体" w:cs="宋体"/>
          <w:sz w:val="24"/>
        </w:rPr>
      </w:pPr>
      <w:r>
        <w:rPr>
          <w:rFonts w:hint="eastAsia" w:ascii="宋体" w:hAnsi="宋体" w:cs="宋体"/>
          <w:sz w:val="24"/>
        </w:rPr>
        <w:t>二、采购需求：按照《投资项目可行性研究编制指南》等标准规范进行</w:t>
      </w:r>
      <w:r>
        <w:rPr>
          <w:rFonts w:hint="eastAsia" w:ascii="宋体" w:hAnsi="宋体" w:cs="宋体"/>
          <w:sz w:val="24"/>
          <w:lang w:eastAsia="zh-CN"/>
        </w:rPr>
        <w:t>乌鲁木齐职业大学北辰校区建设项目可行性研究报告编制技术服务项目</w:t>
      </w:r>
      <w:r>
        <w:rPr>
          <w:rFonts w:hint="eastAsia" w:ascii="宋体" w:hAnsi="宋体" w:cs="宋体"/>
          <w:sz w:val="24"/>
        </w:rPr>
        <w:t>可行性研究报告编制。</w:t>
      </w:r>
    </w:p>
    <w:p>
      <w:pPr>
        <w:rPr>
          <w:rFonts w:ascii="宋体" w:hAnsi="宋体" w:cs="宋体"/>
          <w:sz w:val="24"/>
        </w:rPr>
      </w:pPr>
      <w:r>
        <w:rPr>
          <w:rFonts w:hint="eastAsia" w:ascii="宋体" w:hAnsi="宋体" w:cs="宋体"/>
          <w:sz w:val="24"/>
        </w:rPr>
        <w:t>三、服务要求：</w:t>
      </w:r>
    </w:p>
    <w:p>
      <w:pPr>
        <w:rPr>
          <w:rFonts w:ascii="宋体" w:hAnsi="宋体" w:cs="宋体"/>
          <w:sz w:val="24"/>
        </w:rPr>
      </w:pPr>
      <w:r>
        <w:rPr>
          <w:rFonts w:hint="eastAsia" w:ascii="宋体" w:hAnsi="宋体" w:cs="宋体"/>
          <w:sz w:val="24"/>
        </w:rPr>
        <w:t>1、成交人在执行本项目期限内，必须按投标时所报的人员进行作业，业务人员要按甲方要求提供业务服务等相关工作；如有特殊情况需要更换业务人员（业务人员需具备相应的资质），必须经采购人及监管部门同意后方可更换。所有最终成果资料需以经主管部门审批通过之后为准。</w:t>
      </w:r>
    </w:p>
    <w:p>
      <w:pPr>
        <w:rPr>
          <w:rFonts w:hint="eastAsia" w:ascii="宋体" w:hAnsi="宋体" w:cs="宋体"/>
          <w:sz w:val="24"/>
          <w:lang w:val="en-GB"/>
        </w:rPr>
      </w:pPr>
      <w:r>
        <w:rPr>
          <w:rFonts w:hint="eastAsia" w:ascii="宋体" w:hAnsi="宋体" w:cs="宋体"/>
          <w:sz w:val="24"/>
          <w:lang w:val="en-US" w:eastAsia="zh-CN"/>
        </w:rPr>
        <w:t>2、知识产权：</w:t>
      </w:r>
      <w:r>
        <w:rPr>
          <w:rFonts w:hint="eastAsia" w:ascii="宋体" w:hAnsi="宋体" w:cs="宋体"/>
          <w:sz w:val="24"/>
          <w:lang w:val="en-GB"/>
        </w:rPr>
        <w:t>投标人</w:t>
      </w:r>
      <w:r>
        <w:rPr>
          <w:rFonts w:hint="eastAsia" w:ascii="宋体" w:hAnsi="宋体" w:cs="宋体"/>
          <w:sz w:val="24"/>
          <w:lang w:val="en-US" w:eastAsia="zh-CN"/>
        </w:rPr>
        <w:t>需</w:t>
      </w:r>
      <w:r>
        <w:rPr>
          <w:rFonts w:hint="eastAsia" w:ascii="宋体" w:hAnsi="宋体" w:cs="宋体"/>
          <w:sz w:val="24"/>
          <w:lang w:val="en-GB"/>
        </w:rPr>
        <w:t>保证，</w:t>
      </w:r>
      <w:r>
        <w:rPr>
          <w:rFonts w:hint="eastAsia" w:ascii="宋体" w:hAnsi="宋体" w:cs="宋体"/>
          <w:sz w:val="24"/>
          <w:lang w:val="en-US" w:eastAsia="zh-CN"/>
        </w:rPr>
        <w:t>因编制可行性研究报告而</w:t>
      </w:r>
      <w:r>
        <w:rPr>
          <w:rFonts w:hint="eastAsia" w:ascii="宋体" w:hAnsi="宋体" w:cs="宋体"/>
          <w:sz w:val="24"/>
          <w:lang w:val="en-GB"/>
        </w:rPr>
        <w:t>使用</w:t>
      </w:r>
      <w:r>
        <w:rPr>
          <w:rFonts w:hint="eastAsia" w:ascii="宋体" w:hAnsi="宋体" w:cs="宋体"/>
          <w:sz w:val="24"/>
          <w:lang w:val="en-US" w:eastAsia="zh-CN"/>
        </w:rPr>
        <w:t>的</w:t>
      </w:r>
      <w:r>
        <w:rPr>
          <w:rFonts w:hint="eastAsia" w:ascii="宋体" w:hAnsi="宋体" w:cs="宋体"/>
          <w:sz w:val="24"/>
          <w:lang w:val="en-GB"/>
        </w:rPr>
        <w:t>成果、服务或其任何一部分</w:t>
      </w:r>
      <w:r>
        <w:rPr>
          <w:rFonts w:hint="eastAsia" w:ascii="宋体" w:hAnsi="宋体" w:cs="宋体"/>
          <w:sz w:val="24"/>
          <w:lang w:val="en-US" w:eastAsia="zh-CN"/>
        </w:rPr>
        <w:t>可能涉及到可行性研究报告内容</w:t>
      </w:r>
      <w:r>
        <w:rPr>
          <w:rFonts w:hint="eastAsia" w:ascii="宋体" w:hAnsi="宋体" w:cs="宋体"/>
          <w:sz w:val="24"/>
          <w:lang w:val="en-GB"/>
        </w:rPr>
        <w:t>时，不会产生因第三方提出侵犯其专利权或其它知识产权而引起的法律和经济纠纷。</w:t>
      </w:r>
    </w:p>
    <w:p>
      <w:pPr>
        <w:rPr>
          <w:rFonts w:hint="eastAsia" w:ascii="宋体" w:hAnsi="宋体" w:cs="宋体"/>
          <w:sz w:val="24"/>
        </w:rPr>
      </w:pPr>
      <w:r>
        <w:rPr>
          <w:rFonts w:hint="eastAsia" w:ascii="宋体" w:hAnsi="宋体" w:cs="宋体"/>
          <w:sz w:val="24"/>
          <w:lang w:val="en-US" w:eastAsia="zh-CN"/>
        </w:rPr>
        <w:t>3、保密：</w:t>
      </w:r>
      <w:r>
        <w:rPr>
          <w:rFonts w:hint="eastAsia" w:ascii="宋体" w:hAnsi="宋体" w:cs="宋体"/>
          <w:sz w:val="24"/>
        </w:rPr>
        <w:t>获得本招标文件者，不得将招标文件用作本次投标以外的任何用途，开标后，投标人应</w:t>
      </w:r>
      <w:r>
        <w:rPr>
          <w:rFonts w:hint="eastAsia" w:ascii="宋体" w:hAnsi="宋体" w:cs="宋体"/>
          <w:sz w:val="24"/>
          <w:lang w:val="en-US" w:eastAsia="zh-CN"/>
        </w:rPr>
        <w:t>自行销毁</w:t>
      </w:r>
      <w:r>
        <w:rPr>
          <w:rFonts w:hint="eastAsia" w:ascii="宋体" w:hAnsi="宋体" w:cs="宋体"/>
          <w:sz w:val="24"/>
        </w:rPr>
        <w:t>招标文件中的保密的文件和资料。</w:t>
      </w:r>
    </w:p>
    <w:p>
      <w:pPr>
        <w:rPr>
          <w:rFonts w:hint="eastAsia" w:ascii="宋体" w:hAnsi="宋体" w:cs="宋体"/>
          <w:sz w:val="24"/>
        </w:rPr>
      </w:pPr>
      <w:bookmarkStart w:id="26" w:name="_Toc223682901"/>
      <w:bookmarkStart w:id="27" w:name="_Toc223949914"/>
      <w:bookmarkStart w:id="28" w:name="_Toc223703069"/>
      <w:bookmarkStart w:id="29" w:name="_Toc223455225"/>
      <w:bookmarkStart w:id="30" w:name="_Toc223460471"/>
      <w:bookmarkStart w:id="31" w:name="_Toc223682994"/>
      <w:bookmarkStart w:id="32" w:name="_Toc223802068"/>
      <w:bookmarkStart w:id="33" w:name="_Toc223702924"/>
      <w:bookmarkStart w:id="34" w:name="_Toc223939539"/>
      <w:bookmarkStart w:id="35" w:name="_Toc223507122"/>
      <w:bookmarkStart w:id="36" w:name="_Toc223703119"/>
      <w:bookmarkStart w:id="37" w:name="_Toc262637525"/>
      <w:r>
        <w:rPr>
          <w:rFonts w:hint="eastAsia" w:ascii="宋体" w:hAnsi="宋体" w:cs="宋体"/>
          <w:sz w:val="24"/>
          <w:lang w:val="en-US" w:eastAsia="zh-CN"/>
        </w:rPr>
        <w:t>4、</w:t>
      </w:r>
      <w:r>
        <w:rPr>
          <w:rFonts w:hint="eastAsia" w:ascii="宋体" w:hAnsi="宋体" w:cs="宋体"/>
          <w:sz w:val="24"/>
        </w:rPr>
        <w:t>成果要求</w:t>
      </w:r>
      <w:r>
        <w:rPr>
          <w:rFonts w:hint="eastAsia" w:ascii="宋体" w:hAnsi="宋体" w:cs="宋体"/>
          <w:sz w:val="24"/>
          <w:lang w:eastAsia="zh-CN"/>
        </w:rPr>
        <w:t>：</w:t>
      </w:r>
      <w:r>
        <w:rPr>
          <w:rFonts w:hint="eastAsia" w:ascii="宋体" w:hAnsi="宋体" w:cs="宋体"/>
          <w:sz w:val="24"/>
        </w:rPr>
        <w:t>成果内容须符合制定的编制原则、编制范围等要点的规定</w:t>
      </w:r>
      <w:r>
        <w:rPr>
          <w:rFonts w:hint="eastAsia" w:ascii="宋体" w:hAnsi="宋体" w:cs="宋体"/>
          <w:sz w:val="24"/>
          <w:lang w:eastAsia="zh-CN"/>
        </w:rPr>
        <w:t>，</w:t>
      </w:r>
      <w:r>
        <w:rPr>
          <w:rFonts w:hint="eastAsia" w:ascii="宋体" w:hAnsi="宋体" w:cs="宋体"/>
          <w:sz w:val="24"/>
          <w:lang w:val="en-US" w:eastAsia="zh-CN"/>
        </w:rPr>
        <w:t>包括但不限于：项目总论、项目建设背景与必要性、需求预测与建设规模、生产条件及公用设施条件、生产组织安排及依据、建设条件与项目地址选择、工程技术与设计方案、绿色建筑设计专篇、海绵城市设计专篇、建筑节能设计专篇、环境影响评价专篇、劳动安全与卫生防疫评价、地质灾害危险性评估专篇、项目实施进度安排、招标投标管理、投资估算和资金筹措（</w:t>
      </w:r>
      <w:r>
        <w:rPr>
          <w:rFonts w:hint="eastAsia" w:ascii="宋体" w:hAnsi="宋体" w:cs="宋体"/>
          <w:sz w:val="24"/>
          <w:lang w:eastAsia="zh-CN"/>
        </w:rPr>
        <w:t>风险分析</w:t>
      </w:r>
      <w:r>
        <w:rPr>
          <w:rFonts w:hint="eastAsia" w:ascii="宋体" w:hAnsi="宋体" w:cs="宋体"/>
          <w:sz w:val="24"/>
          <w:lang w:val="en-US" w:eastAsia="zh-CN"/>
        </w:rPr>
        <w:t>采用动态法和风险法）、社会影响与可持续发展分析、社会稳定性分析专篇、可行性研究结论与建议、资金偿债评价、附件等</w:t>
      </w:r>
      <w:r>
        <w:rPr>
          <w:rFonts w:hint="eastAsia" w:ascii="宋体" w:hAnsi="宋体" w:cs="宋体"/>
          <w:sz w:val="24"/>
        </w:rPr>
        <w:t>。</w:t>
      </w:r>
    </w:p>
    <w:p>
      <w:pPr>
        <w:ind w:firstLine="480" w:firstLineChars="200"/>
        <w:rPr>
          <w:rFonts w:hint="eastAsia" w:ascii="宋体" w:hAnsi="宋体" w:cs="宋体"/>
          <w:sz w:val="24"/>
        </w:rPr>
      </w:pPr>
      <w:r>
        <w:rPr>
          <w:rFonts w:hint="eastAsia" w:ascii="宋体" w:hAnsi="宋体" w:cs="宋体"/>
          <w:sz w:val="24"/>
        </w:rPr>
        <w:t>图纸和文本必须做到清晰、完整、表达准确，同类图纸规格应尽量统一。提供各阶段成果文件15套。文本文件规格为A4。各阶段研究成果应准确、完整地表达研究的意图和内容。全部成果（包括最终报告、图纸、调查数据及其处理结果）均应制作成</w:t>
      </w:r>
      <w:r>
        <w:rPr>
          <w:rFonts w:hint="eastAsia" w:ascii="宋体" w:hAnsi="宋体" w:cs="宋体"/>
          <w:sz w:val="24"/>
          <w:lang w:val="en-US" w:eastAsia="zh-CN"/>
        </w:rPr>
        <w:t>电子</w:t>
      </w:r>
      <w:r>
        <w:rPr>
          <w:rFonts w:hint="eastAsia" w:ascii="宋体" w:hAnsi="宋体" w:cs="宋体"/>
          <w:sz w:val="24"/>
        </w:rPr>
        <w:t>文件，文本文件采用</w:t>
      </w:r>
      <w:r>
        <w:rPr>
          <w:rFonts w:hint="eastAsia" w:ascii="宋体" w:hAnsi="宋体" w:cs="宋体"/>
          <w:sz w:val="24"/>
          <w:lang w:val="en-US" w:eastAsia="zh-CN"/>
        </w:rPr>
        <w:t>DOC</w:t>
      </w:r>
      <w:r>
        <w:rPr>
          <w:rFonts w:hint="eastAsia" w:ascii="宋体" w:hAnsi="宋体" w:cs="宋体"/>
          <w:sz w:val="24"/>
        </w:rPr>
        <w:t>的格式文件，图形采用</w:t>
      </w:r>
      <w:r>
        <w:rPr>
          <w:rFonts w:hint="eastAsia" w:ascii="宋体" w:hAnsi="宋体" w:cs="宋体"/>
          <w:sz w:val="24"/>
          <w:lang w:val="en-US" w:eastAsia="zh-CN"/>
        </w:rPr>
        <w:t>DWG</w:t>
      </w:r>
      <w:r>
        <w:rPr>
          <w:rFonts w:hint="eastAsia" w:ascii="宋体" w:hAnsi="宋体" w:cs="宋体"/>
          <w:sz w:val="24"/>
        </w:rPr>
        <w:t>的格式文件，调查数据及处理结果采用</w:t>
      </w:r>
      <w:r>
        <w:rPr>
          <w:rFonts w:hint="eastAsia" w:ascii="宋体" w:hAnsi="宋体" w:cs="宋体"/>
          <w:sz w:val="24"/>
          <w:lang w:val="en-US" w:eastAsia="zh-CN"/>
        </w:rPr>
        <w:t>XLS</w:t>
      </w:r>
      <w:r>
        <w:rPr>
          <w:rFonts w:hint="eastAsia" w:ascii="宋体" w:hAnsi="宋体" w:cs="宋体"/>
          <w:sz w:val="24"/>
        </w:rPr>
        <w:t>的格式文件，提供以上</w:t>
      </w:r>
      <w:r>
        <w:rPr>
          <w:rFonts w:hint="eastAsia" w:ascii="宋体" w:hAnsi="宋体" w:cs="宋体"/>
          <w:sz w:val="24"/>
          <w:lang w:val="en-US" w:eastAsia="zh-CN"/>
        </w:rPr>
        <w:t>电子</w:t>
      </w:r>
      <w:r>
        <w:rPr>
          <w:rFonts w:hint="eastAsia" w:ascii="宋体" w:hAnsi="宋体" w:cs="宋体"/>
          <w:sz w:val="24"/>
        </w:rPr>
        <w:t>文件</w:t>
      </w:r>
      <w:r>
        <w:rPr>
          <w:rFonts w:hint="eastAsia" w:ascii="宋体" w:hAnsi="宋体" w:cs="宋体"/>
          <w:sz w:val="24"/>
          <w:lang w:val="en-US" w:eastAsia="zh-CN"/>
        </w:rPr>
        <w:t>U盘及光盘各</w:t>
      </w:r>
      <w:r>
        <w:rPr>
          <w:rFonts w:hint="eastAsia" w:ascii="宋体" w:hAnsi="宋体" w:cs="宋体"/>
          <w:sz w:val="24"/>
        </w:rPr>
        <w:t>一套。</w:t>
      </w:r>
    </w:p>
    <w:p>
      <w:pPr>
        <w:rPr>
          <w:rFonts w:hint="eastAsia" w:ascii="宋体" w:hAnsi="宋体" w:cs="宋体"/>
          <w:sz w:val="24"/>
          <w:lang w:eastAsia="zh-CN"/>
        </w:rPr>
      </w:pPr>
      <w:r>
        <w:rPr>
          <w:rFonts w:hint="eastAsia" w:ascii="宋体" w:hAnsi="宋体" w:cs="宋体"/>
          <w:sz w:val="24"/>
          <w:lang w:val="en-US" w:eastAsia="zh-CN"/>
        </w:rPr>
        <w:t>5、</w:t>
      </w:r>
      <w:r>
        <w:rPr>
          <w:rFonts w:hint="eastAsia" w:ascii="宋体" w:hAnsi="宋体" w:cs="宋体"/>
          <w:sz w:val="24"/>
        </w:rPr>
        <w:t>审查、报送与审定</w:t>
      </w:r>
      <w:r>
        <w:rPr>
          <w:rFonts w:hint="eastAsia" w:ascii="宋体" w:hAnsi="宋体" w:cs="宋体"/>
          <w:sz w:val="24"/>
          <w:lang w:eastAsia="zh-CN"/>
        </w:rPr>
        <w:t>：</w:t>
      </w:r>
      <w:r>
        <w:rPr>
          <w:rFonts w:hint="eastAsia" w:ascii="宋体" w:hAnsi="宋体" w:cs="宋体"/>
          <w:sz w:val="24"/>
        </w:rPr>
        <w:t>成果文件通过</w:t>
      </w:r>
      <w:r>
        <w:rPr>
          <w:rFonts w:hint="eastAsia" w:ascii="宋体" w:hAnsi="宋体" w:cs="宋体"/>
          <w:sz w:val="24"/>
          <w:lang w:val="en-US" w:eastAsia="zh-CN"/>
        </w:rPr>
        <w:t>中标单位</w:t>
      </w:r>
      <w:r>
        <w:rPr>
          <w:rFonts w:hint="eastAsia" w:ascii="宋体" w:hAnsi="宋体" w:cs="宋体"/>
          <w:sz w:val="24"/>
        </w:rPr>
        <w:t>组织的专家</w:t>
      </w:r>
      <w:r>
        <w:rPr>
          <w:rFonts w:hint="eastAsia" w:ascii="宋体" w:hAnsi="宋体" w:cs="宋体"/>
          <w:sz w:val="24"/>
          <w:lang w:val="en-US" w:eastAsia="zh-CN"/>
        </w:rPr>
        <w:t>组</w:t>
      </w:r>
      <w:r>
        <w:rPr>
          <w:rFonts w:hint="eastAsia" w:ascii="宋体" w:hAnsi="宋体" w:cs="宋体"/>
          <w:sz w:val="24"/>
        </w:rPr>
        <w:t>审查后</w:t>
      </w:r>
      <w:r>
        <w:rPr>
          <w:rFonts w:hint="eastAsia" w:ascii="宋体" w:hAnsi="宋体" w:cs="宋体"/>
          <w:sz w:val="24"/>
          <w:lang w:eastAsia="zh-CN"/>
        </w:rPr>
        <w:t>，</w:t>
      </w:r>
      <w:r>
        <w:rPr>
          <w:rFonts w:hint="eastAsia" w:ascii="宋体" w:hAnsi="宋体" w:cs="宋体"/>
          <w:sz w:val="24"/>
        </w:rPr>
        <w:t>送达</w:t>
      </w:r>
      <w:r>
        <w:rPr>
          <w:rFonts w:hint="eastAsia" w:ascii="宋体" w:hAnsi="宋体" w:cs="宋体"/>
          <w:sz w:val="24"/>
          <w:lang w:val="en-US" w:eastAsia="zh-CN"/>
        </w:rPr>
        <w:t>乌鲁木齐市发改委进行评审</w:t>
      </w:r>
      <w:r>
        <w:rPr>
          <w:rFonts w:hint="eastAsia" w:ascii="宋体" w:hAnsi="宋体" w:cs="宋体"/>
          <w:sz w:val="24"/>
        </w:rPr>
        <w:t>。根据乌鲁木齐市发改委</w:t>
      </w:r>
      <w:r>
        <w:rPr>
          <w:rFonts w:hint="eastAsia" w:ascii="宋体" w:hAnsi="宋体" w:cs="宋体"/>
          <w:sz w:val="24"/>
          <w:lang w:val="en-US" w:eastAsia="zh-CN"/>
        </w:rPr>
        <w:t>反馈</w:t>
      </w:r>
      <w:r>
        <w:rPr>
          <w:rFonts w:hint="eastAsia" w:ascii="宋体" w:hAnsi="宋体" w:cs="宋体"/>
          <w:sz w:val="24"/>
        </w:rPr>
        <w:t>评审意见对研究报告进行最终的修改完善</w:t>
      </w:r>
      <w:r>
        <w:rPr>
          <w:rFonts w:hint="eastAsia" w:ascii="宋体" w:hAnsi="宋体" w:cs="宋体"/>
          <w:sz w:val="24"/>
          <w:lang w:val="en-US" w:eastAsia="zh-CN"/>
        </w:rPr>
        <w:t>直至得到批复文件</w:t>
      </w:r>
      <w:r>
        <w:rPr>
          <w:rFonts w:hint="eastAsia" w:ascii="宋体" w:hAnsi="宋体" w:cs="宋体"/>
          <w:sz w:val="24"/>
        </w:rPr>
        <w:t>。得到批复文件</w:t>
      </w:r>
      <w:r>
        <w:rPr>
          <w:rFonts w:hint="eastAsia" w:ascii="宋体" w:hAnsi="宋体" w:cs="宋体"/>
          <w:sz w:val="24"/>
          <w:lang w:val="en-US" w:eastAsia="zh-CN"/>
        </w:rPr>
        <w:t>后将最终版成果</w:t>
      </w:r>
      <w:r>
        <w:rPr>
          <w:rFonts w:hint="eastAsia" w:ascii="宋体" w:hAnsi="宋体" w:cs="宋体"/>
          <w:sz w:val="24"/>
        </w:rPr>
        <w:t>交采购人清点成果文件登记</w:t>
      </w:r>
      <w:r>
        <w:rPr>
          <w:rFonts w:hint="eastAsia" w:ascii="宋体" w:hAnsi="宋体" w:cs="宋体"/>
          <w:sz w:val="24"/>
          <w:lang w:eastAsia="zh-CN"/>
        </w:rPr>
        <w:t>。</w:t>
      </w:r>
    </w:p>
    <w:p>
      <w:pPr>
        <w:rPr>
          <w:rFonts w:hint="eastAsia" w:ascii="宋体" w:hAnsi="宋体" w:cs="宋体"/>
          <w:sz w:val="24"/>
          <w:lang w:val="en-US"/>
        </w:rPr>
      </w:pPr>
      <w:r>
        <w:rPr>
          <w:rFonts w:hint="eastAsia" w:ascii="宋体" w:hAnsi="宋体" w:cs="宋体"/>
          <w:sz w:val="24"/>
          <w:lang w:val="en-US" w:eastAsia="zh-CN"/>
        </w:rPr>
        <w:t>6、</w:t>
      </w:r>
      <w:r>
        <w:rPr>
          <w:rFonts w:hint="eastAsia" w:ascii="宋体" w:hAnsi="宋体" w:cs="宋体"/>
          <w:sz w:val="24"/>
        </w:rPr>
        <w:t>工作组织安排</w:t>
      </w:r>
      <w:r>
        <w:rPr>
          <w:rFonts w:hint="eastAsia" w:ascii="宋体" w:hAnsi="宋体" w:cs="宋体"/>
          <w:sz w:val="24"/>
          <w:lang w:eastAsia="zh-CN"/>
        </w:rPr>
        <w:t>：</w:t>
      </w:r>
      <w:r>
        <w:rPr>
          <w:rFonts w:hint="eastAsia" w:ascii="宋体" w:hAnsi="宋体" w:cs="宋体"/>
          <w:sz w:val="24"/>
        </w:rPr>
        <w:t>根据项目的内容和要求，要求</w:t>
      </w:r>
      <w:r>
        <w:rPr>
          <w:rFonts w:hint="eastAsia" w:ascii="宋体" w:hAnsi="宋体" w:cs="宋体"/>
          <w:sz w:val="24"/>
          <w:lang w:val="en-US" w:eastAsia="zh-CN"/>
        </w:rPr>
        <w:t>投</w:t>
      </w:r>
      <w:r>
        <w:rPr>
          <w:rFonts w:hint="eastAsia" w:ascii="宋体" w:hAnsi="宋体" w:cs="宋体"/>
          <w:sz w:val="24"/>
        </w:rPr>
        <w:t>标人提供详细的日程计划安排和项目组织结构，且计划要有一定的操作弹性。</w:t>
      </w:r>
      <w:r>
        <w:rPr>
          <w:rFonts w:hint="eastAsia" w:ascii="宋体" w:hAnsi="宋体" w:cs="宋体"/>
          <w:sz w:val="24"/>
          <w:lang w:val="en-US" w:eastAsia="zh-CN"/>
        </w:rPr>
        <w:t>上报发改委截至</w:t>
      </w:r>
      <w:r>
        <w:rPr>
          <w:rFonts w:hint="eastAsia" w:ascii="宋体" w:hAnsi="宋体" w:cs="宋体"/>
          <w:sz w:val="24"/>
        </w:rPr>
        <w:t>期限：在</w:t>
      </w:r>
      <w:r>
        <w:rPr>
          <w:rFonts w:hint="eastAsia" w:ascii="宋体" w:hAnsi="宋体" w:cs="宋体"/>
          <w:sz w:val="24"/>
          <w:lang w:val="en-US" w:eastAsia="zh-CN"/>
        </w:rPr>
        <w:t>中标后15日历日内。获得发改委批复时间：</w:t>
      </w:r>
      <w:r>
        <w:rPr>
          <w:rFonts w:hint="eastAsia" w:ascii="宋体" w:hAnsi="宋体" w:cs="宋体"/>
          <w:sz w:val="24"/>
        </w:rPr>
        <w:t>在</w:t>
      </w:r>
      <w:r>
        <w:rPr>
          <w:rFonts w:hint="eastAsia" w:ascii="宋体" w:hAnsi="宋体" w:cs="宋体"/>
          <w:sz w:val="24"/>
          <w:lang w:val="en-US" w:eastAsia="zh-CN"/>
        </w:rPr>
        <w:t>中标后20日历日内。</w:t>
      </w:r>
    </w:p>
    <w:bookmarkEnd w:id="26"/>
    <w:bookmarkEnd w:id="27"/>
    <w:bookmarkEnd w:id="28"/>
    <w:bookmarkEnd w:id="29"/>
    <w:bookmarkEnd w:id="30"/>
    <w:bookmarkEnd w:id="31"/>
    <w:bookmarkEnd w:id="32"/>
    <w:bookmarkEnd w:id="33"/>
    <w:bookmarkEnd w:id="34"/>
    <w:bookmarkEnd w:id="35"/>
    <w:bookmarkEnd w:id="36"/>
    <w:bookmarkEnd w:id="37"/>
    <w:p>
      <w:pPr>
        <w:ind w:firstLine="480" w:firstLineChars="200"/>
        <w:rPr>
          <w:rFonts w:hint="eastAsia" w:ascii="宋体" w:hAnsi="宋体" w:cs="宋体"/>
          <w:sz w:val="24"/>
        </w:rPr>
      </w:pPr>
      <w:r>
        <w:rPr>
          <w:rFonts w:hint="eastAsia" w:ascii="宋体" w:hAnsi="宋体" w:cs="宋体"/>
          <w:sz w:val="24"/>
        </w:rPr>
        <w:t>按《关于印发中小企业划型标准规定的通知》（工信部联企业〔2011〕300号），本项目属于</w:t>
      </w:r>
      <w:r>
        <w:rPr>
          <w:rFonts w:hint="eastAsia" w:ascii="宋体" w:hAnsi="宋体" w:cs="宋体"/>
          <w:b/>
          <w:sz w:val="24"/>
          <w:lang w:val="en-US" w:eastAsia="zh-CN"/>
        </w:rPr>
        <w:t xml:space="preserve"> 其他未列明行业</w:t>
      </w:r>
      <w:r>
        <w:rPr>
          <w:rFonts w:hint="eastAsia" w:ascii="宋体" w:hAnsi="宋体" w:cs="宋体"/>
          <w:b/>
          <w:sz w:val="24"/>
        </w:rPr>
        <w:t>。</w:t>
      </w:r>
    </w:p>
    <w:p>
      <w:pPr>
        <w:ind w:firstLine="480" w:firstLineChars="200"/>
        <w:rPr>
          <w:rFonts w:hint="eastAsia" w:ascii="宋体" w:hAnsi="宋体" w:eastAsia="宋体" w:cs="宋体"/>
          <w:sz w:val="24"/>
          <w:lang w:eastAsia="zh-CN"/>
        </w:rPr>
      </w:pPr>
      <w:r>
        <w:rPr>
          <w:rFonts w:hint="eastAsia" w:ascii="宋体" w:hAnsi="宋体" w:eastAsia="宋体" w:cs="宋体"/>
          <w:bCs/>
          <w:sz w:val="24"/>
          <w:szCs w:val="24"/>
          <w:highlight w:val="none"/>
        </w:rPr>
        <w:t>根据《政府采购促进中小企业发展管理办法》（财库〔2020〕46号，以下简称46号文）的规定</w:t>
      </w:r>
      <w:r>
        <w:rPr>
          <w:rFonts w:hint="eastAsia" w:ascii="宋体" w:hAnsi="宋体" w:eastAsia="宋体" w:cs="宋体"/>
          <w:sz w:val="24"/>
          <w:szCs w:val="24"/>
          <w:highlight w:val="none"/>
        </w:rPr>
        <w:t>，评标时将给予此类企业进行价格6%的优惠，监狱企业、残疾人福利性单位视同为小微企业，用优惠后的价格参与评审</w:t>
      </w:r>
      <w:r>
        <w:rPr>
          <w:rFonts w:hint="eastAsia" w:ascii="宋体" w:hAnsi="宋体" w:eastAsia="宋体" w:cs="宋体"/>
          <w:sz w:val="24"/>
          <w:szCs w:val="24"/>
          <w:highlight w:val="none"/>
          <w:lang w:eastAsia="zh-CN"/>
        </w:rPr>
        <w:t>。</w:t>
      </w:r>
    </w:p>
    <w:p>
      <w:pPr>
        <w:rPr>
          <w:rFonts w:asciiTheme="minorEastAsia" w:hAnsiTheme="minorEastAsia" w:eastAsiaTheme="minorEastAsia" w:cstheme="minorEastAsia"/>
          <w:b/>
        </w:rPr>
      </w:pPr>
      <w:r>
        <w:rPr>
          <w:rFonts w:hint="eastAsia" w:asciiTheme="minorEastAsia" w:hAnsiTheme="minorEastAsia" w:eastAsiaTheme="minorEastAsia" w:cstheme="minorEastAsia"/>
          <w:b/>
        </w:rPr>
        <w:t>特别要求：请采购人或采购代理机构用“★”对采购清单中数量较多金额较大或者技术要求较高的主要产品进行标注。</w:t>
      </w:r>
    </w:p>
    <w:p>
      <w:pPr>
        <w:pStyle w:val="6"/>
        <w:rPr>
          <w:rFonts w:asciiTheme="minorEastAsia" w:hAnsiTheme="minorEastAsia" w:eastAsiaTheme="minorEastAsia" w:cstheme="minorEastAsia"/>
        </w:rPr>
      </w:pPr>
      <w:bookmarkStart w:id="38" w:name="_Toc21696"/>
      <w:r>
        <w:rPr>
          <w:rFonts w:hint="eastAsia" w:asciiTheme="minorEastAsia" w:hAnsiTheme="minorEastAsia" w:eastAsiaTheme="minorEastAsia" w:cstheme="minorEastAsia"/>
        </w:rPr>
        <w:t>第二节 商务要求</w:t>
      </w:r>
      <w:bookmarkEnd w:id="21"/>
      <w:bookmarkEnd w:id="22"/>
      <w:bookmarkEnd w:id="23"/>
      <w:bookmarkEnd w:id="24"/>
      <w:bookmarkEnd w:id="25"/>
      <w:bookmarkEnd w:id="38"/>
    </w:p>
    <w:p>
      <w:pPr>
        <w:spacing w:beforeLines="50" w:beforeAutospacing="0" w:afterLines="50" w:afterAutospacing="0"/>
        <w:ind w:firstLine="480" w:firstLineChars="200"/>
        <w:rPr>
          <w:rFonts w:ascii="宋体" w:hAnsi="宋体" w:cstheme="minorEastAsia"/>
          <w:sz w:val="24"/>
        </w:rPr>
      </w:pPr>
      <w:r>
        <w:rPr>
          <w:rFonts w:hint="eastAsia" w:ascii="宋体" w:hAnsi="宋体" w:cstheme="minorEastAsia"/>
          <w:sz w:val="24"/>
        </w:rPr>
        <w:t>一、</w:t>
      </w:r>
      <w:r>
        <w:rPr>
          <w:rFonts w:hint="eastAsia" w:ascii="宋体" w:hAnsi="宋体" w:cstheme="minorEastAsia"/>
          <w:sz w:val="24"/>
          <w:lang w:val="en-US" w:eastAsia="zh-CN"/>
        </w:rPr>
        <w:t>服务</w:t>
      </w:r>
      <w:r>
        <w:rPr>
          <w:rFonts w:hint="eastAsia" w:ascii="宋体" w:hAnsi="宋体" w:cstheme="minorEastAsia"/>
          <w:sz w:val="24"/>
        </w:rPr>
        <w:t>周期及服务地点</w:t>
      </w:r>
    </w:p>
    <w:p>
      <w:pPr>
        <w:spacing w:beforeLines="100" w:beforeAutospacing="0" w:afterLines="50" w:afterAutospacing="0"/>
        <w:ind w:firstLine="480" w:firstLineChars="200"/>
        <w:rPr>
          <w:rFonts w:ascii="宋体" w:hAnsi="宋体" w:cstheme="minorEastAsia"/>
          <w:sz w:val="24"/>
        </w:rPr>
      </w:pPr>
      <w:r>
        <w:rPr>
          <w:rFonts w:hint="eastAsia" w:ascii="宋体" w:hAnsi="宋体" w:cstheme="minorEastAsia"/>
          <w:sz w:val="24"/>
          <w:lang w:val="en-US" w:eastAsia="zh-CN"/>
        </w:rPr>
        <w:t>服务</w:t>
      </w:r>
      <w:r>
        <w:rPr>
          <w:rFonts w:hint="eastAsia" w:ascii="宋体" w:hAnsi="宋体" w:cstheme="minorEastAsia"/>
          <w:sz w:val="24"/>
        </w:rPr>
        <w:t>周期：</w:t>
      </w:r>
      <w:r>
        <w:rPr>
          <w:rFonts w:hint="eastAsia" w:ascii="宋体" w:hAnsi="宋体" w:cs="宋体"/>
          <w:sz w:val="24"/>
        </w:rPr>
        <w:t>根据项目的内容和要求，要求</w:t>
      </w:r>
      <w:r>
        <w:rPr>
          <w:rFonts w:hint="eastAsia" w:ascii="宋体" w:hAnsi="宋体" w:cs="宋体"/>
          <w:sz w:val="24"/>
          <w:lang w:val="en-US" w:eastAsia="zh-CN"/>
        </w:rPr>
        <w:t>投</w:t>
      </w:r>
      <w:r>
        <w:rPr>
          <w:rFonts w:hint="eastAsia" w:ascii="宋体" w:hAnsi="宋体" w:cs="宋体"/>
          <w:sz w:val="24"/>
        </w:rPr>
        <w:t>标人提供详细的日程计划安排和项目组织结构，且计划要有一定的操作弹性。</w:t>
      </w:r>
      <w:r>
        <w:rPr>
          <w:rFonts w:hint="eastAsia" w:ascii="宋体" w:hAnsi="宋体" w:cs="宋体"/>
          <w:sz w:val="24"/>
          <w:lang w:val="en-US" w:eastAsia="zh-CN"/>
        </w:rPr>
        <w:t>上报发改委截至</w:t>
      </w:r>
      <w:r>
        <w:rPr>
          <w:rFonts w:hint="eastAsia" w:ascii="宋体" w:hAnsi="宋体" w:cs="宋体"/>
          <w:sz w:val="24"/>
        </w:rPr>
        <w:t>期限：在</w:t>
      </w:r>
      <w:r>
        <w:rPr>
          <w:rFonts w:hint="eastAsia" w:ascii="宋体" w:hAnsi="宋体" w:cs="宋体"/>
          <w:sz w:val="24"/>
          <w:lang w:val="en-US" w:eastAsia="zh-CN"/>
        </w:rPr>
        <w:t>中标后15日历日内。获得发改委批复时间：</w:t>
      </w:r>
      <w:r>
        <w:rPr>
          <w:rFonts w:hint="eastAsia" w:ascii="宋体" w:hAnsi="宋体" w:cs="宋体"/>
          <w:sz w:val="24"/>
        </w:rPr>
        <w:t>在</w:t>
      </w:r>
      <w:r>
        <w:rPr>
          <w:rFonts w:hint="eastAsia" w:ascii="宋体" w:hAnsi="宋体" w:cs="宋体"/>
          <w:sz w:val="24"/>
          <w:lang w:val="en-US" w:eastAsia="zh-CN"/>
        </w:rPr>
        <w:t>中标后20日历日内。</w:t>
      </w:r>
    </w:p>
    <w:p>
      <w:pPr>
        <w:spacing w:beforeLines="100" w:beforeAutospacing="0" w:afterLines="50" w:afterAutospacing="0"/>
        <w:ind w:firstLine="480" w:firstLineChars="200"/>
        <w:rPr>
          <w:rFonts w:hint="default" w:ascii="宋体" w:hAnsi="宋体" w:eastAsia="宋体" w:cstheme="minorEastAsia"/>
          <w:sz w:val="24"/>
          <w:lang w:val="en-US" w:eastAsia="zh-CN"/>
        </w:rPr>
      </w:pPr>
      <w:r>
        <w:rPr>
          <w:rFonts w:hint="eastAsia" w:ascii="宋体" w:hAnsi="宋体" w:cstheme="minorEastAsia"/>
          <w:sz w:val="24"/>
        </w:rPr>
        <w:t>服务地点：</w:t>
      </w:r>
      <w:r>
        <w:rPr>
          <w:rFonts w:hint="eastAsia" w:ascii="宋体" w:hAnsi="宋体" w:cstheme="minorEastAsia"/>
          <w:sz w:val="24"/>
          <w:lang w:eastAsia="zh-CN"/>
        </w:rPr>
        <w:t>乌鲁木齐职业大学</w:t>
      </w:r>
      <w:r>
        <w:rPr>
          <w:rFonts w:hint="eastAsia" w:ascii="宋体" w:hAnsi="宋体" w:cstheme="minorEastAsia"/>
          <w:sz w:val="24"/>
        </w:rPr>
        <w:t>（</w:t>
      </w:r>
      <w:r>
        <w:rPr>
          <w:rFonts w:hint="eastAsia" w:ascii="宋体" w:hAnsi="宋体" w:cstheme="minorEastAsia"/>
          <w:sz w:val="24"/>
          <w:lang w:eastAsia="zh-CN"/>
        </w:rPr>
        <w:t>乌鲁木齐职业大学</w:t>
      </w:r>
      <w:r>
        <w:rPr>
          <w:rFonts w:hint="eastAsia" w:ascii="宋体" w:hAnsi="宋体" w:cstheme="minorEastAsia"/>
          <w:sz w:val="24"/>
        </w:rPr>
        <w:t>）</w:t>
      </w:r>
      <w:r>
        <w:rPr>
          <w:rFonts w:hint="eastAsia" w:ascii="宋体" w:hAnsi="宋体" w:cstheme="minorEastAsia"/>
          <w:sz w:val="24"/>
          <w:lang w:val="en-US" w:eastAsia="zh-CN"/>
        </w:rPr>
        <w:t>指定地点</w:t>
      </w:r>
    </w:p>
    <w:p>
      <w:pPr>
        <w:spacing w:beforeLines="50" w:beforeAutospacing="0" w:afterLines="50" w:afterAutospacing="0"/>
        <w:ind w:firstLine="480" w:firstLineChars="200"/>
        <w:rPr>
          <w:rFonts w:ascii="宋体" w:hAnsi="宋体" w:cstheme="minorEastAsia"/>
          <w:sz w:val="24"/>
        </w:rPr>
      </w:pPr>
      <w:r>
        <w:rPr>
          <w:rFonts w:hint="eastAsia" w:ascii="宋体" w:hAnsi="宋体" w:cstheme="minorEastAsia"/>
          <w:sz w:val="24"/>
        </w:rPr>
        <w:t>二、验收标准、规范：响应甲方要求。</w:t>
      </w:r>
    </w:p>
    <w:p>
      <w:pPr>
        <w:spacing w:beforeLines="50" w:beforeAutospacing="0" w:afterLines="50" w:afterAutospacing="0"/>
        <w:ind w:firstLine="480" w:firstLineChars="200"/>
        <w:rPr>
          <w:rFonts w:ascii="宋体" w:hAnsi="宋体" w:cstheme="minorEastAsia"/>
          <w:sz w:val="24"/>
        </w:rPr>
      </w:pPr>
      <w:r>
        <w:rPr>
          <w:rFonts w:hint="eastAsia" w:ascii="宋体" w:hAnsi="宋体" w:cstheme="minorEastAsia"/>
          <w:sz w:val="24"/>
        </w:rPr>
        <w:t>三、售后服务：响应甲方要求。</w:t>
      </w:r>
    </w:p>
    <w:p>
      <w:pPr>
        <w:spacing w:beforeLines="50" w:beforeAutospacing="0" w:afterLines="50" w:afterAutospacing="0"/>
        <w:ind w:firstLine="480" w:firstLineChars="200"/>
        <w:rPr>
          <w:rFonts w:ascii="宋体" w:hAnsi="宋体" w:cstheme="minorEastAsia"/>
          <w:sz w:val="24"/>
        </w:rPr>
      </w:pPr>
      <w:r>
        <w:rPr>
          <w:rFonts w:hint="eastAsia" w:ascii="宋体" w:hAnsi="宋体" w:cstheme="minorEastAsia"/>
          <w:sz w:val="24"/>
        </w:rPr>
        <w:t>四、付款方式：以与甲方商定为准。</w:t>
      </w:r>
    </w:p>
    <w:p>
      <w:pPr>
        <w:spacing w:beforeLines="50" w:beforeAutospacing="0" w:afterLines="50" w:afterAutospacing="0"/>
        <w:ind w:firstLine="480" w:firstLineChars="200"/>
        <w:rPr>
          <w:rFonts w:ascii="宋体" w:hAnsi="宋体" w:cstheme="minorEastAsia"/>
          <w:sz w:val="24"/>
        </w:rPr>
      </w:pPr>
      <w:r>
        <w:rPr>
          <w:rFonts w:hint="eastAsia" w:ascii="宋体" w:hAnsi="宋体" w:cstheme="minorEastAsia"/>
          <w:sz w:val="24"/>
        </w:rPr>
        <w:t>五、履约保证金：中标单位签订合同前需向</w:t>
      </w:r>
      <w:r>
        <w:rPr>
          <w:rFonts w:hint="eastAsia" w:ascii="宋体" w:hAnsi="宋体" w:cstheme="minorEastAsia"/>
          <w:sz w:val="24"/>
          <w:lang w:eastAsia="zh-CN"/>
        </w:rPr>
        <w:t>乌鲁木齐职业大学</w:t>
      </w:r>
      <w:r>
        <w:rPr>
          <w:rFonts w:hint="eastAsia" w:ascii="宋体" w:hAnsi="宋体" w:cstheme="minorEastAsia"/>
          <w:sz w:val="24"/>
        </w:rPr>
        <w:t>（</w:t>
      </w:r>
      <w:r>
        <w:rPr>
          <w:rFonts w:hint="eastAsia" w:ascii="宋体" w:hAnsi="宋体" w:cstheme="minorEastAsia"/>
          <w:sz w:val="24"/>
          <w:lang w:eastAsia="zh-CN"/>
        </w:rPr>
        <w:t>乌鲁木齐职业大学</w:t>
      </w:r>
      <w:r>
        <w:rPr>
          <w:rFonts w:hint="eastAsia" w:ascii="宋体" w:hAnsi="宋体" w:cstheme="minorEastAsia"/>
          <w:sz w:val="24"/>
        </w:rPr>
        <w:t>）交履约保证金。</w:t>
      </w:r>
    </w:p>
    <w:p>
      <w:pPr>
        <w:spacing w:beforeLines="50" w:beforeAutospacing="0" w:afterLines="50" w:afterAutospacing="0"/>
        <w:ind w:firstLine="480" w:firstLineChars="200"/>
        <w:rPr>
          <w:rFonts w:ascii="宋体" w:hAnsi="宋体" w:cstheme="minorEastAsia"/>
          <w:sz w:val="24"/>
        </w:rPr>
      </w:pPr>
      <w:r>
        <w:rPr>
          <w:rFonts w:hint="eastAsia" w:ascii="宋体" w:hAnsi="宋体" w:cstheme="minorEastAsia"/>
          <w:sz w:val="24"/>
        </w:rPr>
        <w:t>六、投标有效期：90天</w:t>
      </w:r>
    </w:p>
    <w:p>
      <w:pPr>
        <w:spacing w:beforeLines="100" w:beforeAutospacing="0" w:afterLines="50" w:afterAutospacing="0"/>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特别提醒：若招标采购文件评分标准中需对业绩进行评价，采购人及采购代理机构对同类或类似项目业绩进行准确的定义，避免供应商误解采购人对业绩的要求，而有损双方利益。</w:t>
      </w:r>
    </w:p>
    <w:p>
      <w:pPr>
        <w:widowControl/>
        <w:spacing w:before="0" w:beforeAutospacing="0" w:after="0" w:afterAutospacing="0" w:line="240" w:lineRule="auto"/>
        <w:jc w:val="left"/>
        <w:rPr>
          <w:rFonts w:asciiTheme="minorEastAsia" w:hAnsiTheme="minorEastAsia" w:eastAsiaTheme="minorEastAsia" w:cstheme="minorEastAsia"/>
          <w:b/>
          <w:sz w:val="24"/>
        </w:rPr>
      </w:pPr>
      <w:r>
        <w:rPr>
          <w:rFonts w:asciiTheme="minorEastAsia" w:hAnsiTheme="minorEastAsia" w:eastAsiaTheme="minorEastAsia" w:cstheme="minorEastAsia"/>
          <w:b/>
          <w:sz w:val="24"/>
        </w:rPr>
        <w:br w:type="page"/>
      </w:r>
    </w:p>
    <w:p>
      <w:pPr>
        <w:pStyle w:val="6"/>
        <w:rPr>
          <w:rFonts w:asciiTheme="minorEastAsia" w:hAnsiTheme="minorEastAsia" w:eastAsiaTheme="minorEastAsia" w:cstheme="minorEastAsia"/>
        </w:rPr>
      </w:pPr>
      <w:bookmarkStart w:id="39" w:name="_Toc406671683"/>
      <w:bookmarkStart w:id="40" w:name="_Toc406672388"/>
      <w:bookmarkStart w:id="41" w:name="_Toc2022"/>
      <w:bookmarkStart w:id="42" w:name="_Toc406671095"/>
      <w:bookmarkStart w:id="43" w:name="_Toc406670724"/>
      <w:bookmarkStart w:id="44" w:name="_Toc424213016"/>
      <w:r>
        <w:rPr>
          <w:rFonts w:hint="eastAsia" w:asciiTheme="minorEastAsia" w:hAnsiTheme="minorEastAsia" w:eastAsiaTheme="minorEastAsia" w:cstheme="minorEastAsia"/>
        </w:rPr>
        <w:t>第三节 图纸附件</w:t>
      </w:r>
      <w:bookmarkEnd w:id="39"/>
      <w:bookmarkEnd w:id="40"/>
      <w:bookmarkEnd w:id="41"/>
      <w:bookmarkEnd w:id="42"/>
      <w:bookmarkEnd w:id="43"/>
      <w:bookmarkEnd w:id="44"/>
    </w:p>
    <w:p>
      <w:pPr>
        <w:spacing w:beforeLines="100" w:beforeAutospacing="0" w:afterLines="50" w:afterAutospacing="0"/>
        <w:ind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无</w:t>
      </w:r>
    </w:p>
    <w:p>
      <w:pPr>
        <w:spacing w:beforeLines="100" w:beforeAutospacing="0" w:afterLines="50" w:afterAutospacing="0"/>
        <w:ind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第四节 实质性要求明细表</w:t>
      </w:r>
    </w:p>
    <w:tbl>
      <w:tblPr>
        <w:tblStyle w:val="36"/>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6"/>
        <w:gridCol w:w="2553"/>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pPr>
              <w:spacing w:beforeLines="100" w:beforeAutospacing="0" w:afterLines="5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3826" w:type="dxa"/>
          </w:tcPr>
          <w:p>
            <w:pPr>
              <w:spacing w:beforeLines="100" w:beforeAutospacing="0" w:afterLines="5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商务实质性条款</w:t>
            </w:r>
          </w:p>
        </w:tc>
        <w:tc>
          <w:tcPr>
            <w:tcW w:w="2553" w:type="dxa"/>
          </w:tcPr>
          <w:p>
            <w:pPr>
              <w:spacing w:beforeLines="100" w:beforeAutospacing="0" w:afterLines="5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技术实质性要求</w:t>
            </w:r>
          </w:p>
        </w:tc>
        <w:tc>
          <w:tcPr>
            <w:tcW w:w="2410" w:type="dxa"/>
          </w:tcPr>
          <w:p>
            <w:pPr>
              <w:spacing w:beforeLines="100" w:beforeAutospacing="0" w:afterLines="5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pPr>
              <w:spacing w:beforeLines="100" w:beforeAutospacing="0" w:afterLines="50" w:afterAutospacing="0"/>
              <w:jc w:val="left"/>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3826" w:type="dxa"/>
          </w:tcPr>
          <w:p>
            <w:pPr>
              <w:spacing w:beforeLines="100" w:beforeAutospacing="0" w:afterLines="50" w:afterAutospacing="0"/>
              <w:jc w:val="left"/>
              <w:rPr>
                <w:rFonts w:asciiTheme="minorEastAsia" w:hAnsiTheme="minorEastAsia" w:eastAsiaTheme="minorEastAsia" w:cstheme="minorEastAsia"/>
              </w:rPr>
            </w:pPr>
            <w:r>
              <w:rPr>
                <w:rFonts w:hint="eastAsia" w:asciiTheme="minorEastAsia" w:hAnsiTheme="minorEastAsia" w:eastAsiaTheme="minorEastAsia" w:cstheme="minorEastAsia"/>
              </w:rPr>
              <w:t>商务要求内所有要求</w:t>
            </w:r>
          </w:p>
        </w:tc>
        <w:tc>
          <w:tcPr>
            <w:tcW w:w="2553" w:type="dxa"/>
          </w:tcPr>
          <w:p>
            <w:pPr>
              <w:spacing w:beforeLines="100" w:beforeAutospacing="0" w:afterLines="50" w:afterAutospacing="0"/>
              <w:jc w:val="left"/>
              <w:rPr>
                <w:rFonts w:asciiTheme="minorEastAsia" w:hAnsiTheme="minorEastAsia" w:eastAsiaTheme="minorEastAsia" w:cstheme="minorEastAsia"/>
              </w:rPr>
            </w:pPr>
            <w:r>
              <w:rPr>
                <w:rFonts w:hint="eastAsia" w:asciiTheme="minorEastAsia" w:hAnsiTheme="minorEastAsia" w:eastAsiaTheme="minorEastAsia" w:cstheme="minorEastAsia"/>
              </w:rPr>
              <w:t>采购清单、技术参数内所有要求</w:t>
            </w:r>
          </w:p>
        </w:tc>
        <w:tc>
          <w:tcPr>
            <w:tcW w:w="2410" w:type="dxa"/>
          </w:tcPr>
          <w:p>
            <w:pPr>
              <w:spacing w:beforeLines="100" w:beforeAutospacing="0" w:afterLines="50" w:afterAutospacing="0"/>
              <w:jc w:val="left"/>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pPr>
              <w:spacing w:beforeLines="100" w:beforeAutospacing="0" w:afterLines="50" w:afterAutospacing="0"/>
              <w:jc w:val="left"/>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3826" w:type="dxa"/>
          </w:tcPr>
          <w:p>
            <w:pPr>
              <w:spacing w:beforeLines="100" w:beforeAutospacing="0" w:afterLines="50" w:afterAutospacing="0"/>
              <w:jc w:val="left"/>
              <w:rPr>
                <w:rFonts w:asciiTheme="minorEastAsia" w:hAnsiTheme="minorEastAsia" w:eastAsiaTheme="minorEastAsia" w:cstheme="minorEastAsia"/>
              </w:rPr>
            </w:pPr>
          </w:p>
        </w:tc>
        <w:tc>
          <w:tcPr>
            <w:tcW w:w="2553" w:type="dxa"/>
          </w:tcPr>
          <w:p>
            <w:pPr>
              <w:spacing w:beforeLines="100" w:beforeAutospacing="0" w:afterLines="50" w:afterAutospacing="0"/>
              <w:jc w:val="left"/>
              <w:rPr>
                <w:rFonts w:asciiTheme="minorEastAsia" w:hAnsiTheme="minorEastAsia" w:eastAsiaTheme="minorEastAsia" w:cstheme="minorEastAsia"/>
              </w:rPr>
            </w:pPr>
          </w:p>
        </w:tc>
        <w:tc>
          <w:tcPr>
            <w:tcW w:w="2410" w:type="dxa"/>
          </w:tcPr>
          <w:p>
            <w:pPr>
              <w:spacing w:beforeLines="100" w:beforeAutospacing="0" w:afterLines="50" w:afterAutospacing="0"/>
              <w:jc w:val="left"/>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pPr>
              <w:spacing w:beforeLines="100" w:beforeAutospacing="0" w:afterLines="50" w:afterAutospacing="0"/>
              <w:jc w:val="left"/>
              <w:rPr>
                <w:rFonts w:asciiTheme="minorEastAsia" w:hAnsiTheme="minorEastAsia" w:eastAsiaTheme="minorEastAsia" w:cstheme="minorEastAsia"/>
              </w:rPr>
            </w:pPr>
            <w:r>
              <w:rPr>
                <w:rFonts w:hint="eastAsia" w:asciiTheme="minorEastAsia" w:hAnsiTheme="minorEastAsia" w:eastAsiaTheme="minorEastAsia" w:cstheme="minorEastAsia"/>
              </w:rPr>
              <w:t>3</w:t>
            </w:r>
          </w:p>
        </w:tc>
        <w:tc>
          <w:tcPr>
            <w:tcW w:w="3826" w:type="dxa"/>
          </w:tcPr>
          <w:p>
            <w:pPr>
              <w:spacing w:beforeLines="100" w:beforeAutospacing="0" w:afterLines="50" w:afterAutospacing="0"/>
              <w:jc w:val="left"/>
              <w:rPr>
                <w:rFonts w:asciiTheme="minorEastAsia" w:hAnsiTheme="minorEastAsia" w:eastAsiaTheme="minorEastAsia" w:cstheme="minorEastAsia"/>
              </w:rPr>
            </w:pPr>
          </w:p>
        </w:tc>
        <w:tc>
          <w:tcPr>
            <w:tcW w:w="2553" w:type="dxa"/>
          </w:tcPr>
          <w:p>
            <w:pPr>
              <w:spacing w:beforeLines="100" w:beforeAutospacing="0" w:afterLines="50" w:afterAutospacing="0"/>
              <w:jc w:val="left"/>
              <w:rPr>
                <w:rFonts w:asciiTheme="minorEastAsia" w:hAnsiTheme="minorEastAsia" w:eastAsiaTheme="minorEastAsia" w:cstheme="minorEastAsia"/>
              </w:rPr>
            </w:pPr>
          </w:p>
        </w:tc>
        <w:tc>
          <w:tcPr>
            <w:tcW w:w="2410" w:type="dxa"/>
          </w:tcPr>
          <w:p>
            <w:pPr>
              <w:spacing w:beforeLines="100" w:beforeAutospacing="0" w:afterLines="50" w:afterAutospacing="0"/>
              <w:jc w:val="left"/>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pPr>
              <w:spacing w:beforeLines="100" w:beforeAutospacing="0" w:afterLines="50" w:afterAutospacing="0"/>
              <w:jc w:val="left"/>
              <w:rPr>
                <w:rFonts w:asciiTheme="minorEastAsia" w:hAnsiTheme="minorEastAsia" w:eastAsiaTheme="minorEastAsia" w:cstheme="minorEastAsia"/>
              </w:rPr>
            </w:pPr>
            <w:r>
              <w:rPr>
                <w:rFonts w:hint="eastAsia" w:asciiTheme="minorEastAsia" w:hAnsiTheme="minorEastAsia" w:eastAsiaTheme="minorEastAsia" w:cstheme="minorEastAsia"/>
              </w:rPr>
              <w:t>4</w:t>
            </w:r>
          </w:p>
        </w:tc>
        <w:tc>
          <w:tcPr>
            <w:tcW w:w="3826" w:type="dxa"/>
          </w:tcPr>
          <w:p>
            <w:pPr>
              <w:spacing w:beforeLines="100" w:beforeAutospacing="0" w:afterLines="50" w:afterAutospacing="0"/>
              <w:jc w:val="left"/>
              <w:rPr>
                <w:rFonts w:asciiTheme="minorEastAsia" w:hAnsiTheme="minorEastAsia" w:eastAsiaTheme="minorEastAsia" w:cstheme="minorEastAsia"/>
              </w:rPr>
            </w:pPr>
          </w:p>
        </w:tc>
        <w:tc>
          <w:tcPr>
            <w:tcW w:w="2553" w:type="dxa"/>
          </w:tcPr>
          <w:p>
            <w:pPr>
              <w:spacing w:beforeLines="100" w:beforeAutospacing="0" w:afterLines="50" w:afterAutospacing="0"/>
              <w:jc w:val="left"/>
              <w:rPr>
                <w:rFonts w:asciiTheme="minorEastAsia" w:hAnsiTheme="minorEastAsia" w:eastAsiaTheme="minorEastAsia" w:cstheme="minorEastAsia"/>
              </w:rPr>
            </w:pPr>
          </w:p>
        </w:tc>
        <w:tc>
          <w:tcPr>
            <w:tcW w:w="2410" w:type="dxa"/>
          </w:tcPr>
          <w:p>
            <w:pPr>
              <w:spacing w:beforeLines="100" w:beforeAutospacing="0" w:afterLines="50" w:afterAutospacing="0"/>
              <w:jc w:val="left"/>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pPr>
              <w:spacing w:beforeLines="100" w:beforeAutospacing="0" w:afterLines="50" w:afterAutospacing="0"/>
              <w:jc w:val="left"/>
              <w:rPr>
                <w:rFonts w:asciiTheme="minorEastAsia" w:hAnsiTheme="minorEastAsia" w:eastAsiaTheme="minorEastAsia" w:cstheme="minorEastAsia"/>
              </w:rPr>
            </w:pPr>
            <w:r>
              <w:rPr>
                <w:rFonts w:hint="eastAsia" w:asciiTheme="minorEastAsia" w:hAnsiTheme="minorEastAsia" w:eastAsiaTheme="minorEastAsia" w:cstheme="minorEastAsia"/>
              </w:rPr>
              <w:t>……</w:t>
            </w:r>
          </w:p>
        </w:tc>
        <w:tc>
          <w:tcPr>
            <w:tcW w:w="3826" w:type="dxa"/>
          </w:tcPr>
          <w:p>
            <w:pPr>
              <w:spacing w:beforeLines="100" w:beforeAutospacing="0" w:afterLines="50" w:afterAutospacing="0"/>
              <w:jc w:val="left"/>
              <w:rPr>
                <w:rFonts w:asciiTheme="minorEastAsia" w:hAnsiTheme="minorEastAsia" w:eastAsiaTheme="minorEastAsia" w:cstheme="minorEastAsia"/>
              </w:rPr>
            </w:pPr>
          </w:p>
        </w:tc>
        <w:tc>
          <w:tcPr>
            <w:tcW w:w="2553" w:type="dxa"/>
          </w:tcPr>
          <w:p>
            <w:pPr>
              <w:spacing w:beforeLines="100" w:beforeAutospacing="0" w:afterLines="50" w:afterAutospacing="0"/>
              <w:jc w:val="left"/>
              <w:rPr>
                <w:rFonts w:asciiTheme="minorEastAsia" w:hAnsiTheme="minorEastAsia" w:eastAsiaTheme="minorEastAsia" w:cstheme="minorEastAsia"/>
              </w:rPr>
            </w:pPr>
          </w:p>
        </w:tc>
        <w:tc>
          <w:tcPr>
            <w:tcW w:w="2410" w:type="dxa"/>
          </w:tcPr>
          <w:p>
            <w:pPr>
              <w:spacing w:beforeLines="100" w:beforeAutospacing="0" w:afterLines="50" w:afterAutospacing="0"/>
              <w:jc w:val="left"/>
              <w:rPr>
                <w:rFonts w:asciiTheme="minorEastAsia" w:hAnsiTheme="minorEastAsia" w:eastAsiaTheme="minorEastAsia" w:cstheme="minorEastAsia"/>
              </w:rPr>
            </w:pPr>
          </w:p>
        </w:tc>
      </w:tr>
    </w:tbl>
    <w:p>
      <w:pPr>
        <w:bidi w:val="0"/>
        <w:rPr>
          <w:rFonts w:hint="eastAsia"/>
        </w:rPr>
      </w:pPr>
      <w:bookmarkStart w:id="45" w:name="_Toc406672389"/>
      <w:bookmarkStart w:id="46" w:name="_Toc406671096"/>
      <w:bookmarkStart w:id="47" w:name="_Toc406671684"/>
      <w:bookmarkStart w:id="48" w:name="_Toc406670725"/>
      <w:r>
        <w:rPr>
          <w:rFonts w:hint="eastAsia"/>
        </w:rPr>
        <w:t>说明：采购人或采购代理机构将采购项目中关注的必须响应的实质性条款在上表中一一列明，便于供应商及评标委员会理解招标采购文件。</w:t>
      </w:r>
    </w:p>
    <w:p>
      <w:pPr>
        <w:ind w:firstLine="3570" w:firstLineChars="1700"/>
        <w:rPr>
          <w:rFonts w:hint="eastAsia" w:asciiTheme="minorEastAsia" w:hAnsiTheme="minorEastAsia" w:eastAsiaTheme="minorEastAsia" w:cstheme="minorEastAsia"/>
          <w:bCs/>
          <w:kern w:val="0"/>
          <w:sz w:val="28"/>
          <w:szCs w:val="32"/>
          <w:lang w:val="en-US" w:eastAsia="zh-CN" w:bidi="ar-SA"/>
        </w:rPr>
      </w:pPr>
      <w:r>
        <w:rPr>
          <w:rFonts w:hint="eastAsia" w:asciiTheme="minorEastAsia" w:hAnsiTheme="minorEastAsia" w:eastAsiaTheme="minorEastAsia" w:cstheme="minorEastAsia"/>
        </w:rPr>
        <w:br w:type="page"/>
      </w:r>
      <w:bookmarkStart w:id="49" w:name="_Toc17923"/>
      <w:bookmarkStart w:id="50" w:name="_Toc424213017"/>
      <w:r>
        <w:rPr>
          <w:rFonts w:hint="eastAsia" w:asciiTheme="minorEastAsia" w:hAnsiTheme="minorEastAsia" w:eastAsiaTheme="minorEastAsia" w:cstheme="minorEastAsia"/>
          <w:bCs/>
          <w:kern w:val="0"/>
          <w:sz w:val="28"/>
          <w:szCs w:val="32"/>
          <w:lang w:val="en-US" w:eastAsia="zh-CN" w:bidi="ar-SA"/>
        </w:rPr>
        <w:t>第三章　评标办法及评分标准</w:t>
      </w:r>
      <w:bookmarkEnd w:id="45"/>
      <w:bookmarkEnd w:id="46"/>
      <w:bookmarkEnd w:id="47"/>
      <w:bookmarkEnd w:id="48"/>
      <w:bookmarkEnd w:id="49"/>
      <w:bookmarkEnd w:id="50"/>
    </w:p>
    <w:p>
      <w:pPr>
        <w:pStyle w:val="6"/>
        <w:rPr>
          <w:rFonts w:asciiTheme="minorEastAsia" w:hAnsiTheme="minorEastAsia" w:eastAsiaTheme="minorEastAsia" w:cstheme="minorEastAsia"/>
        </w:rPr>
      </w:pPr>
      <w:bookmarkStart w:id="51" w:name="_Toc10929"/>
      <w:bookmarkStart w:id="52" w:name="_Toc424213018"/>
      <w:bookmarkStart w:id="53" w:name="_Toc406670726"/>
      <w:bookmarkStart w:id="54" w:name="_Toc406671097"/>
      <w:bookmarkStart w:id="55" w:name="_Toc406671685"/>
      <w:bookmarkStart w:id="56" w:name="_Toc406672390"/>
      <w:r>
        <w:rPr>
          <w:rFonts w:hint="eastAsia" w:asciiTheme="minorEastAsia" w:hAnsiTheme="minorEastAsia" w:eastAsiaTheme="minorEastAsia" w:cstheme="minorEastAsia"/>
        </w:rPr>
        <w:t>第一节 评标办法</w:t>
      </w:r>
      <w:bookmarkEnd w:id="51"/>
      <w:bookmarkEnd w:id="52"/>
      <w:bookmarkEnd w:id="53"/>
      <w:bookmarkEnd w:id="54"/>
      <w:bookmarkEnd w:id="55"/>
      <w:bookmarkEnd w:id="56"/>
    </w:p>
    <w:p>
      <w:pPr>
        <w:spacing w:beforeLines="100" w:beforeAutospacing="0" w:afterLines="50" w:afterAutospacing="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本项目采用</w:t>
      </w:r>
      <w:r>
        <w:rPr>
          <w:rFonts w:hint="eastAsia" w:asciiTheme="minorEastAsia" w:hAnsiTheme="minorEastAsia" w:eastAsiaTheme="minorEastAsia" w:cstheme="minorEastAsia"/>
          <w:sz w:val="24"/>
          <w:u w:val="single"/>
        </w:rPr>
        <w:t>综合评分法</w:t>
      </w:r>
      <w:r>
        <w:rPr>
          <w:rFonts w:hint="eastAsia" w:asciiTheme="minorEastAsia" w:hAnsiTheme="minorEastAsia" w:eastAsiaTheme="minorEastAsia" w:cstheme="minorEastAsia"/>
          <w:sz w:val="24"/>
        </w:rPr>
        <w:t>进行评审。</w:t>
      </w:r>
    </w:p>
    <w:p>
      <w:pPr>
        <w:spacing w:beforeLines="100" w:beforeAutospacing="0" w:afterLines="50" w:afterAutospacing="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综合评分法，是指在满足</w:t>
      </w:r>
      <w:r>
        <w:fldChar w:fldCharType="begin"/>
      </w:r>
      <w:r>
        <w:instrText xml:space="preserve"> HYPERLINK "http://www.baidu.com/s?wd=%E6%8B%9B%E6%A0%87%E6%96%87%E4%BB%B6&amp;hl_tag=textlink&amp;tn=SE_hldp01350_v6v6zkg6" \t "_blank" </w:instrText>
      </w:r>
      <w:r>
        <w:fldChar w:fldCharType="separate"/>
      </w:r>
      <w:r>
        <w:rPr>
          <w:rFonts w:hint="eastAsia" w:asciiTheme="minorEastAsia" w:hAnsiTheme="minorEastAsia" w:eastAsiaTheme="minorEastAsia" w:cstheme="minorEastAsia"/>
          <w:sz w:val="24"/>
        </w:rPr>
        <w:t>采购文件</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实质性要求的前提下，评标专家按照</w:t>
      </w:r>
      <w:r>
        <w:fldChar w:fldCharType="begin"/>
      </w:r>
      <w:r>
        <w:instrText xml:space="preserve"> HYPERLINK "http://www.baidu.com/s?wd=%E6%8B%9B%E6%A0%87%E6%96%87%E4%BB%B6&amp;hl_tag=textlink&amp;tn=SE_hldp01350_v6v6zkg6" \t "_blank" </w:instrText>
      </w:r>
      <w:r>
        <w:fldChar w:fldCharType="separate"/>
      </w:r>
      <w:r>
        <w:rPr>
          <w:rFonts w:hint="eastAsia" w:asciiTheme="minorEastAsia" w:hAnsiTheme="minorEastAsia" w:eastAsiaTheme="minorEastAsia" w:cstheme="minorEastAsia"/>
          <w:sz w:val="24"/>
        </w:rPr>
        <w:t>采购文件</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中规定的各项评审因素及其分值进行综合评分后，以评分从高到低的顺序推荐1至3家供应商作为中标候选供应商的评标方法。</w:t>
      </w:r>
    </w:p>
    <w:p>
      <w:pPr>
        <w:pStyle w:val="6"/>
        <w:rPr>
          <w:rFonts w:asciiTheme="minorEastAsia" w:hAnsiTheme="minorEastAsia" w:eastAsiaTheme="minorEastAsia" w:cstheme="minorEastAsia"/>
        </w:rPr>
      </w:pPr>
      <w:bookmarkStart w:id="57" w:name="_Toc406671686"/>
      <w:bookmarkStart w:id="58" w:name="_Toc424213019"/>
      <w:bookmarkStart w:id="59" w:name="_Toc28291"/>
      <w:bookmarkStart w:id="60" w:name="_Toc406672391"/>
      <w:bookmarkStart w:id="61" w:name="_Toc406670727"/>
      <w:bookmarkStart w:id="62" w:name="_Toc406671098"/>
      <w:r>
        <w:rPr>
          <w:rFonts w:hint="eastAsia" w:asciiTheme="minorEastAsia" w:hAnsiTheme="minorEastAsia" w:eastAsiaTheme="minorEastAsia" w:cstheme="minorEastAsia"/>
        </w:rPr>
        <w:t>第二节 评分标准</w:t>
      </w:r>
      <w:bookmarkEnd w:id="57"/>
      <w:bookmarkEnd w:id="58"/>
      <w:bookmarkEnd w:id="59"/>
      <w:bookmarkEnd w:id="60"/>
      <w:bookmarkEnd w:id="61"/>
      <w:bookmarkEnd w:id="62"/>
    </w:p>
    <w:p>
      <w:pPr>
        <w:spacing w:beforeLines="50" w:beforeAutospacing="0" w:afterLines="50" w:afterAutospacing="0" w:line="24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一、评分因素</w:t>
      </w:r>
    </w:p>
    <w:p>
      <w:pPr>
        <w:spacing w:beforeLines="100" w:beforeAutospacing="0" w:afterLines="50" w:afterAutospacing="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评分的主要因素分为价格因素、技术因素（如项目团队、</w:t>
      </w:r>
      <w:r>
        <w:rPr>
          <w:rFonts w:hint="eastAsia" w:ascii="宋体" w:hAnsi="宋体"/>
          <w:kern w:val="0"/>
          <w:sz w:val="24"/>
        </w:rPr>
        <w:t>可行性研究编制方案</w:t>
      </w:r>
      <w:r>
        <w:rPr>
          <w:rFonts w:hint="eastAsia" w:asciiTheme="minorEastAsia" w:hAnsiTheme="minorEastAsia" w:eastAsiaTheme="minorEastAsia" w:cstheme="minorEastAsia"/>
          <w:sz w:val="24"/>
        </w:rPr>
        <w:t>等）和商务因素（如财务状况、信誉、业绩、服务期、质保期等）。评分因素详见评分表。评标分值保留至两位小数。评标时，评标专家依照评分表对每个有效供应商的响应文件进行独立评审、打分。</w:t>
      </w:r>
    </w:p>
    <w:p>
      <w:pPr>
        <w:spacing w:beforeLines="100" w:beforeAutospacing="0" w:afterLines="50" w:afterAutospacing="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二、评分标准</w:t>
      </w:r>
    </w:p>
    <w:p>
      <w:pPr>
        <w:spacing w:beforeLines="100" w:beforeAutospacing="0" w:afterLines="50" w:afterAutospacing="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1.资格审查表</w:t>
      </w:r>
    </w:p>
    <w:tbl>
      <w:tblPr>
        <w:tblStyle w:val="36"/>
        <w:tblW w:w="9786" w:type="dxa"/>
        <w:tblInd w:w="0" w:type="dxa"/>
        <w:tblLayout w:type="fixed"/>
        <w:tblCellMar>
          <w:top w:w="0" w:type="dxa"/>
          <w:left w:w="108" w:type="dxa"/>
          <w:bottom w:w="0" w:type="dxa"/>
          <w:right w:w="108" w:type="dxa"/>
        </w:tblCellMar>
      </w:tblPr>
      <w:tblGrid>
        <w:gridCol w:w="644"/>
        <w:gridCol w:w="1280"/>
        <w:gridCol w:w="4867"/>
        <w:gridCol w:w="750"/>
        <w:gridCol w:w="750"/>
        <w:gridCol w:w="750"/>
        <w:gridCol w:w="745"/>
      </w:tblGrid>
      <w:tr>
        <w:tblPrEx>
          <w:tblCellMar>
            <w:top w:w="0" w:type="dxa"/>
            <w:left w:w="108" w:type="dxa"/>
            <w:bottom w:w="0" w:type="dxa"/>
            <w:right w:w="108" w:type="dxa"/>
          </w:tblCellMar>
        </w:tblPrEx>
        <w:trPr>
          <w:trHeight w:val="454" w:hRule="atLeast"/>
        </w:trPr>
        <w:tc>
          <w:tcPr>
            <w:tcW w:w="9786" w:type="dxa"/>
            <w:gridSpan w:val="7"/>
            <w:tcBorders>
              <w:top w:val="nil"/>
              <w:left w:val="nil"/>
              <w:bottom w:val="nil"/>
              <w:right w:val="nil"/>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资格审查表</w:t>
            </w:r>
          </w:p>
        </w:tc>
      </w:tr>
      <w:tr>
        <w:tblPrEx>
          <w:tblCellMar>
            <w:top w:w="0" w:type="dxa"/>
            <w:left w:w="108" w:type="dxa"/>
            <w:bottom w:w="0" w:type="dxa"/>
            <w:right w:w="108" w:type="dxa"/>
          </w:tblCellMar>
        </w:tblPrEx>
        <w:trPr>
          <w:trHeight w:val="798" w:hRule="atLeast"/>
        </w:trPr>
        <w:tc>
          <w:tcPr>
            <w:tcW w:w="9786" w:type="dxa"/>
            <w:gridSpan w:val="7"/>
            <w:tcBorders>
              <w:top w:val="nil"/>
              <w:left w:val="nil"/>
              <w:bottom w:val="nil"/>
              <w:right w:val="nil"/>
            </w:tcBorders>
            <w:shd w:val="clear" w:color="auto" w:fill="auto"/>
            <w:noWrap/>
            <w:vAlign w:val="center"/>
          </w:tcPr>
          <w:p>
            <w:pPr>
              <w:spacing w:beforeLines="100" w:beforeAutospacing="0" w:afterLines="50" w:afterAutospacing="0"/>
              <w:ind w:left="0" w:leftChars="0" w:firstLine="0" w:firstLineChars="0"/>
              <w:jc w:val="left"/>
              <w:rPr>
                <w:rFonts w:hint="eastAsia" w:ascii="宋体" w:hAnsi="宋体" w:eastAsia="宋体" w:cs="宋体"/>
                <w:sz w:val="22"/>
                <w:szCs w:val="22"/>
                <w:lang w:eastAsia="zh-CN"/>
              </w:rPr>
            </w:pPr>
            <w:r>
              <w:rPr>
                <w:rFonts w:hint="eastAsia" w:ascii="宋体" w:hAnsi="宋体" w:eastAsia="宋体" w:cs="宋体"/>
                <w:sz w:val="22"/>
                <w:szCs w:val="22"/>
              </w:rPr>
              <w:t>项目名称：</w:t>
            </w:r>
            <w:r>
              <w:rPr>
                <w:rFonts w:hint="eastAsia" w:ascii="宋体" w:hAnsi="宋体" w:cs="宋体"/>
                <w:sz w:val="22"/>
                <w:szCs w:val="22"/>
                <w:lang w:eastAsia="zh-CN"/>
              </w:rPr>
              <w:t>乌鲁木齐职业大学北辰校区建设项目可行性研究报告编制技术服务项目</w:t>
            </w:r>
          </w:p>
        </w:tc>
      </w:tr>
      <w:tr>
        <w:tblPrEx>
          <w:tblCellMar>
            <w:top w:w="0" w:type="dxa"/>
            <w:left w:w="108" w:type="dxa"/>
            <w:bottom w:w="0" w:type="dxa"/>
            <w:right w:w="108" w:type="dxa"/>
          </w:tblCellMar>
        </w:tblPrEx>
        <w:trPr>
          <w:trHeight w:val="454" w:hRule="atLeast"/>
        </w:trPr>
        <w:tc>
          <w:tcPr>
            <w:tcW w:w="9786" w:type="dxa"/>
            <w:gridSpan w:val="7"/>
            <w:tcBorders>
              <w:top w:val="nil"/>
              <w:left w:val="nil"/>
              <w:bottom w:val="nil"/>
              <w:right w:val="nil"/>
            </w:tcBorders>
            <w:shd w:val="clear" w:color="auto" w:fill="auto"/>
            <w:noWrap/>
            <w:vAlign w:val="center"/>
          </w:tcPr>
          <w:p>
            <w:pPr>
              <w:spacing w:beforeLines="100" w:beforeAutospacing="0" w:afterLines="50" w:afterAutospacing="0"/>
              <w:ind w:left="0" w:leftChars="0" w:firstLine="0" w:firstLineChars="0"/>
              <w:jc w:val="left"/>
              <w:rPr>
                <w:rFonts w:hint="eastAsia" w:ascii="宋体" w:hAnsi="宋体" w:eastAsia="宋体" w:cs="宋体"/>
                <w:sz w:val="22"/>
                <w:szCs w:val="22"/>
                <w:lang w:eastAsia="zh-CN"/>
              </w:rPr>
            </w:pPr>
            <w:r>
              <w:rPr>
                <w:rFonts w:hint="eastAsia" w:ascii="宋体" w:hAnsi="宋体" w:eastAsia="宋体" w:cs="宋体"/>
                <w:sz w:val="22"/>
                <w:szCs w:val="22"/>
              </w:rPr>
              <w:t>项目编号：</w:t>
            </w:r>
            <w:r>
              <w:rPr>
                <w:rFonts w:hint="eastAsia" w:ascii="宋体" w:hAnsi="宋体" w:cs="宋体"/>
                <w:sz w:val="22"/>
                <w:szCs w:val="22"/>
                <w:lang w:eastAsia="zh-CN"/>
              </w:rPr>
              <w:t>ZFCGHY-20220096</w:t>
            </w:r>
          </w:p>
        </w:tc>
      </w:tr>
      <w:tr>
        <w:tblPrEx>
          <w:tblCellMar>
            <w:top w:w="0" w:type="dxa"/>
            <w:left w:w="108" w:type="dxa"/>
            <w:bottom w:w="0" w:type="dxa"/>
            <w:right w:w="108" w:type="dxa"/>
          </w:tblCellMar>
        </w:tblPrEx>
        <w:trPr>
          <w:trHeight w:val="454" w:hRule="atLeast"/>
        </w:trPr>
        <w:tc>
          <w:tcPr>
            <w:tcW w:w="9786" w:type="dxa"/>
            <w:gridSpan w:val="7"/>
            <w:tcBorders>
              <w:top w:val="nil"/>
              <w:left w:val="nil"/>
              <w:bottom w:val="nil"/>
              <w:right w:val="nil"/>
            </w:tcBorders>
            <w:shd w:val="clear" w:color="auto" w:fill="auto"/>
            <w:noWrap/>
            <w:vAlign w:val="center"/>
          </w:tcPr>
          <w:p>
            <w:pPr>
              <w:spacing w:beforeLines="100" w:beforeAutospacing="0" w:afterLines="50" w:afterAutospacing="0"/>
              <w:ind w:left="0" w:leftChars="0" w:firstLine="0" w:firstLineChars="0"/>
              <w:jc w:val="left"/>
              <w:rPr>
                <w:rFonts w:hint="eastAsia" w:ascii="宋体" w:hAnsi="宋体" w:eastAsia="宋体" w:cs="宋体"/>
                <w:sz w:val="22"/>
                <w:szCs w:val="22"/>
              </w:rPr>
            </w:pPr>
            <w:r>
              <w:rPr>
                <w:rFonts w:hint="eastAsia" w:ascii="宋体" w:hAnsi="宋体" w:eastAsia="宋体" w:cs="宋体"/>
                <w:sz w:val="22"/>
                <w:szCs w:val="22"/>
              </w:rPr>
              <w:t>采购内容：</w:t>
            </w:r>
            <w:r>
              <w:rPr>
                <w:rFonts w:hint="eastAsia" w:ascii="宋体" w:hAnsi="宋体" w:cs="宋体"/>
                <w:sz w:val="22"/>
                <w:szCs w:val="22"/>
                <w:lang w:eastAsia="zh-CN"/>
              </w:rPr>
              <w:t>乌鲁木齐职业大学北辰校区建设项目可行性研究报告编制技术服务项目</w:t>
            </w:r>
            <w:r>
              <w:rPr>
                <w:rFonts w:hint="eastAsia" w:ascii="宋体" w:hAnsi="宋体" w:eastAsia="宋体" w:cs="宋体"/>
                <w:sz w:val="22"/>
                <w:szCs w:val="22"/>
              </w:rPr>
              <w:t>（采购预算：</w:t>
            </w:r>
            <w:r>
              <w:rPr>
                <w:rFonts w:hint="eastAsia" w:ascii="宋体" w:hAnsi="宋体" w:cs="宋体"/>
                <w:sz w:val="22"/>
                <w:szCs w:val="22"/>
                <w:lang w:eastAsia="zh-CN"/>
              </w:rPr>
              <w:t>800000</w:t>
            </w:r>
            <w:r>
              <w:rPr>
                <w:rFonts w:hint="eastAsia" w:ascii="宋体" w:hAnsi="宋体" w:eastAsia="宋体" w:cs="宋体"/>
                <w:sz w:val="22"/>
                <w:szCs w:val="22"/>
              </w:rPr>
              <w:t>元）</w:t>
            </w:r>
          </w:p>
        </w:tc>
      </w:tr>
      <w:tr>
        <w:tblPrEx>
          <w:tblCellMar>
            <w:top w:w="0" w:type="dxa"/>
            <w:left w:w="108" w:type="dxa"/>
            <w:bottom w:w="0" w:type="dxa"/>
            <w:right w:w="108" w:type="dxa"/>
          </w:tblCellMar>
        </w:tblPrEx>
        <w:trPr>
          <w:trHeight w:val="454" w:hRule="atLeast"/>
        </w:trPr>
        <w:tc>
          <w:tcPr>
            <w:tcW w:w="8291" w:type="dxa"/>
            <w:gridSpan w:val="5"/>
            <w:tcBorders>
              <w:top w:val="nil"/>
              <w:left w:val="nil"/>
              <w:bottom w:val="nil"/>
              <w:right w:val="nil"/>
            </w:tcBorders>
            <w:shd w:val="clear" w:color="auto" w:fill="auto"/>
            <w:noWrap/>
            <w:vAlign w:val="center"/>
          </w:tcPr>
          <w:p>
            <w:pPr>
              <w:spacing w:beforeLines="100" w:beforeAutospacing="0" w:afterLines="50" w:afterAutospacing="0"/>
              <w:ind w:left="0" w:leftChars="0" w:firstLine="0" w:firstLineChars="0"/>
              <w:jc w:val="left"/>
              <w:rPr>
                <w:rFonts w:hint="eastAsia" w:ascii="宋体" w:hAnsi="宋体" w:eastAsia="宋体" w:cs="宋体"/>
                <w:sz w:val="22"/>
                <w:szCs w:val="22"/>
                <w:lang w:eastAsia="zh-CN"/>
              </w:rPr>
            </w:pPr>
            <w:r>
              <w:rPr>
                <w:rFonts w:hint="eastAsia" w:ascii="宋体" w:hAnsi="宋体" w:eastAsia="宋体" w:cs="宋体"/>
                <w:sz w:val="22"/>
                <w:szCs w:val="22"/>
              </w:rPr>
              <w:t>开标地点：</w:t>
            </w:r>
            <w:r>
              <w:rPr>
                <w:rFonts w:hint="eastAsia" w:ascii="宋体" w:hAnsi="宋体" w:cs="宋体"/>
                <w:sz w:val="22"/>
                <w:szCs w:val="22"/>
                <w:lang w:eastAsia="zh-CN"/>
              </w:rPr>
              <w:t>新疆华域建设工程项目管理咨询有限公司会议室</w:t>
            </w:r>
          </w:p>
        </w:tc>
        <w:tc>
          <w:tcPr>
            <w:tcW w:w="1495" w:type="dxa"/>
            <w:gridSpan w:val="2"/>
            <w:tcBorders>
              <w:top w:val="nil"/>
              <w:left w:val="nil"/>
              <w:bottom w:val="nil"/>
              <w:right w:val="nil"/>
            </w:tcBorders>
            <w:shd w:val="clear" w:color="auto" w:fill="auto"/>
            <w:noWrap/>
            <w:vAlign w:val="center"/>
          </w:tcPr>
          <w:p>
            <w:pPr>
              <w:spacing w:beforeLines="100" w:beforeAutospacing="0" w:afterLines="50" w:afterAutospacing="0"/>
              <w:ind w:left="0" w:leftChars="0" w:firstLine="0" w:firstLineChars="0"/>
              <w:jc w:val="left"/>
              <w:rPr>
                <w:rFonts w:hint="eastAsia" w:ascii="宋体" w:hAnsi="宋体" w:eastAsia="宋体" w:cs="宋体"/>
                <w:sz w:val="22"/>
                <w:szCs w:val="22"/>
              </w:rPr>
            </w:pPr>
          </w:p>
        </w:tc>
      </w:tr>
      <w:tr>
        <w:tblPrEx>
          <w:tblCellMar>
            <w:top w:w="0" w:type="dxa"/>
            <w:left w:w="108" w:type="dxa"/>
            <w:bottom w:w="0" w:type="dxa"/>
            <w:right w:w="108" w:type="dxa"/>
          </w:tblCellMar>
        </w:tblPrEx>
        <w:trPr>
          <w:trHeight w:val="454" w:hRule="atLeast"/>
        </w:trPr>
        <w:tc>
          <w:tcPr>
            <w:tcW w:w="64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资格要求</w:t>
            </w:r>
          </w:p>
        </w:tc>
        <w:tc>
          <w:tcPr>
            <w:tcW w:w="48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评审内容</w:t>
            </w:r>
          </w:p>
        </w:tc>
        <w:tc>
          <w:tcPr>
            <w:tcW w:w="2995"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投标人名称</w:t>
            </w:r>
          </w:p>
        </w:tc>
      </w:tr>
      <w:tr>
        <w:tblPrEx>
          <w:tblCellMar>
            <w:top w:w="0" w:type="dxa"/>
            <w:left w:w="108" w:type="dxa"/>
            <w:bottom w:w="0" w:type="dxa"/>
            <w:right w:w="108" w:type="dxa"/>
          </w:tblCellMar>
        </w:tblPrEx>
        <w:trPr>
          <w:trHeight w:val="454" w:hRule="atLeast"/>
        </w:trPr>
        <w:tc>
          <w:tcPr>
            <w:tcW w:w="644"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p>
        </w:tc>
        <w:tc>
          <w:tcPr>
            <w:tcW w:w="4867"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p>
        </w:tc>
        <w:tc>
          <w:tcPr>
            <w:tcW w:w="750"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50"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50"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45"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4"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80"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具有独立承担民事责任的能力</w:t>
            </w:r>
          </w:p>
        </w:tc>
        <w:tc>
          <w:tcPr>
            <w:tcW w:w="4867"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（1）投标人是企业（包括合伙企业），提供有效的营业执照。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（2）投标人是事业单位，提供有效的事业单位法人证书。</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（3）投标人是非企业专业服务机构的，提供有效的执业许可证等证明文件。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（4）投标人是个体工商户，提供有效的个体工商户营业执照。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（5）投标人是自然人，提供有效的自然人身份证明。</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4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54"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280"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具有良好的商业信誉和健全的财务会计制度</w:t>
            </w:r>
          </w:p>
        </w:tc>
        <w:tc>
          <w:tcPr>
            <w:tcW w:w="4867"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投标人是法人且成立一年或以上的,提供上一年度经审计的财务报告（上市公司或大型企业上一年度经审计的财务报告未完成的，提供投标截止日前6六个月中任意1个月的财务报告，财务报告至少应包含：资产负债表、利润表、现金流量表及附注等）；成立未满一年的，提供成立之日后的财务报告。财务报告至少应包含：资产负债表、利润表、现金流量表及附注等。（复印件加盖公章）。</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（2）无法按第（1）条提供财务报告的投标人可以提供银行出具的资信证明。</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（3）投标人也可以提供财政部门认可的政府采购专业担保机构出具的投标担保函（原件），代替财务状况报告。</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4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54"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280"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具有履行合同所必需的设备和专业技术能力</w:t>
            </w:r>
          </w:p>
        </w:tc>
        <w:tc>
          <w:tcPr>
            <w:tcW w:w="4867"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提供具备足够数量的设施设备及技术人员的证明材料或承诺。</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4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54"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280"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有依法缴纳税收和社会保障资金的良好记录</w:t>
            </w:r>
          </w:p>
        </w:tc>
        <w:tc>
          <w:tcPr>
            <w:tcW w:w="4867"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有依法缴纳税收和社会保障资金的良好记录，由投标人对以下内容提供书面承诺及声明，或提供相应证明材料。</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 投标人依法交纳税收的证明材料：本项目公告发布时间前6个月内（至少提供1个月）交纳增值税、企业所得税的凭据（完税证、缴款书、印花税票、银行代扣（代缴）转账凭证等均可）；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 投标人依法交纳社会保障资金的证明材料：本项目公告发布时间前6个月内（至少提供1个月） 交纳社会保险的凭据（专用收据或社会保险交纳清单）；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 投标人为其他组织或自然人的，也需要按此项规定提供交纳税收的凭据和交纳社会保险的凭据；</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 依法免税或不需要交纳社会保障资金的投标人，应提供相应文件证明其依法免税或不需要交纳社会保障资金。</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4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54"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80"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参加政府采购活动前三年内，在经营活动中没有重大违法记录</w:t>
            </w:r>
          </w:p>
        </w:tc>
        <w:tc>
          <w:tcPr>
            <w:tcW w:w="4867"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按照招标文件投标文件格式附件的格式要求，根据相关法规规定，提交书面声明。</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4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54" w:hRule="atLeast"/>
        </w:trPr>
        <w:tc>
          <w:tcPr>
            <w:tcW w:w="644"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280"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法律、行政法规规定的其他条件</w:t>
            </w:r>
          </w:p>
        </w:tc>
        <w:tc>
          <w:tcPr>
            <w:tcW w:w="4867"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如国家对生产和销售相关产品或提供相关服务有专门法律、行政法规规定的，须提供相关许可的证明材料。</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4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54" w:hRule="atLeast"/>
        </w:trPr>
        <w:tc>
          <w:tcPr>
            <w:tcW w:w="644"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280"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未被列入失信被执行人、重大税收违法案件当事人名单，未被列入政府采购严重违法失信行为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记录名单</w:t>
            </w:r>
          </w:p>
        </w:tc>
        <w:tc>
          <w:tcPr>
            <w:tcW w:w="4867"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以投标截止当日，采购人或采购代理机构查询投标人在“信用中国”（www.creditchina.gov.cn）未被列入重大税收违法案件当事人名单、“中国执行信息公开网”（http://zxgk.court.gov.cn/）未被列入失信被执行人、“中国政府采购网”（www.ccgp.gov.cn）网站上未被列入政府采购严重违法失信行为记录名单；</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4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54" w:hRule="atLeast"/>
        </w:trPr>
        <w:tc>
          <w:tcPr>
            <w:tcW w:w="644"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280"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资质要求</w:t>
            </w:r>
          </w:p>
        </w:tc>
        <w:tc>
          <w:tcPr>
            <w:tcW w:w="4867" w:type="dxa"/>
            <w:tcBorders>
              <w:top w:val="nil"/>
              <w:left w:val="nil"/>
              <w:bottom w:val="single" w:color="auto" w:sz="4" w:space="0"/>
              <w:right w:val="single" w:color="auto" w:sz="4" w:space="0"/>
            </w:tcBorders>
            <w:shd w:val="clear" w:color="000000" w:fill="FFFFFF"/>
            <w:vAlign w:val="center"/>
          </w:tcPr>
          <w:p>
            <w:pPr>
              <w:pStyle w:val="33"/>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供应商须在《全国投资项目在线审批监管平台》备案，在平台“中介服务”的咨询单位名录中，且咨询专业包含</w:t>
            </w:r>
            <w:r>
              <w:rPr>
                <w:rFonts w:hint="eastAsia" w:asciiTheme="minorEastAsia" w:hAnsiTheme="minorEastAsia" w:eastAsiaTheme="minorEastAsia" w:cstheme="minorEastAsia"/>
                <w:sz w:val="24"/>
                <w:szCs w:val="24"/>
                <w:highlight w:val="yellow"/>
              </w:rPr>
              <w:t>建筑</w:t>
            </w:r>
            <w:r>
              <w:rPr>
                <w:rFonts w:hint="eastAsia" w:asciiTheme="minorEastAsia" w:hAnsiTheme="minorEastAsia" w:eastAsiaTheme="minorEastAsia" w:cstheme="minorEastAsia"/>
                <w:sz w:val="24"/>
                <w:szCs w:val="24"/>
                <w:highlight w:val="yellow"/>
                <w:lang w:eastAsia="zh-CN"/>
              </w:rPr>
              <w:t>、市政公用工程</w:t>
            </w:r>
            <w:r>
              <w:rPr>
                <w:rFonts w:hint="eastAsia" w:asciiTheme="minorEastAsia" w:hAnsiTheme="minorEastAsia" w:eastAsiaTheme="minorEastAsia" w:cstheme="minorEastAsia"/>
                <w:sz w:val="24"/>
                <w:szCs w:val="24"/>
              </w:rPr>
              <w:t>，服务范围包括项目咨询；</w:t>
            </w:r>
          </w:p>
          <w:p>
            <w:pPr>
              <w:pStyle w:val="33"/>
              <w:keepNext w:val="0"/>
              <w:keepLines w:val="0"/>
              <w:widowControl/>
              <w:suppressLineNumbers w:val="0"/>
              <w:spacing w:before="75" w:beforeAutospacing="0" w:after="75" w:afterAutospacing="0" w:line="300" w:lineRule="atLeast"/>
              <w:ind w:right="0"/>
              <w:rPr>
                <w:rFonts w:hint="eastAsia" w:ascii="宋体" w:hAnsi="宋体" w:eastAsia="宋体" w:cs="宋体"/>
                <w:color w:val="000000"/>
                <w:kern w:val="0"/>
                <w:sz w:val="24"/>
                <w:szCs w:val="24"/>
              </w:rPr>
            </w:pPr>
            <w:r>
              <w:rPr>
                <w:rFonts w:hint="eastAsia" w:asciiTheme="minorEastAsia" w:hAnsiTheme="minorEastAsia" w:eastAsiaTheme="minorEastAsia" w:cstheme="minorEastAsia"/>
                <w:sz w:val="24"/>
                <w:szCs w:val="24"/>
                <w:highlight w:val="yellow"/>
                <w:lang w:val="en-US" w:eastAsia="zh-CN"/>
              </w:rPr>
              <w:t>供应商委派的项目负责人具备高级工程师及以上职称或注册咨询师，各专业负责人具有中级工程师及以上职称或相应专业注册咨询师；</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4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54" w:hRule="atLeast"/>
        </w:trPr>
        <w:tc>
          <w:tcPr>
            <w:tcW w:w="644"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9</w:t>
            </w:r>
          </w:p>
        </w:tc>
        <w:tc>
          <w:tcPr>
            <w:tcW w:w="1280"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投标保证金</w:t>
            </w:r>
          </w:p>
        </w:tc>
        <w:tc>
          <w:tcPr>
            <w:tcW w:w="4867"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保证金按招标文件要求递交</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p>
        </w:tc>
        <w:tc>
          <w:tcPr>
            <w:tcW w:w="74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trPr>
        <w:tc>
          <w:tcPr>
            <w:tcW w:w="644"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10</w:t>
            </w:r>
          </w:p>
        </w:tc>
        <w:tc>
          <w:tcPr>
            <w:tcW w:w="1280"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法定代表人身份证明或法人授权委托书</w:t>
            </w:r>
          </w:p>
        </w:tc>
        <w:tc>
          <w:tcPr>
            <w:tcW w:w="4867"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按要求提供法定代表人身份证明或法定代表人授权委托书；</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p>
        </w:tc>
        <w:tc>
          <w:tcPr>
            <w:tcW w:w="74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trPr>
        <w:tc>
          <w:tcPr>
            <w:tcW w:w="67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结论：是否通过评审（注：投标人有一项未通过不得参与下阶段评审，视为废标。）</w:t>
            </w:r>
          </w:p>
        </w:tc>
        <w:tc>
          <w:tcPr>
            <w:tcW w:w="750"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45"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54" w:hRule="atLeast"/>
        </w:trPr>
        <w:tc>
          <w:tcPr>
            <w:tcW w:w="9786"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审核人员签字：</w:t>
            </w:r>
          </w:p>
        </w:tc>
      </w:tr>
    </w:tbl>
    <w:p>
      <w:pPr>
        <w:widowControl/>
        <w:spacing w:before="0" w:beforeAutospacing="0" w:after="0" w:afterAutospacing="0" w:line="240" w:lineRule="auto"/>
        <w:jc w:val="left"/>
        <w:rPr>
          <w:rFonts w:ascii="宋体" w:hAnsi="宋体" w:cs="宋体"/>
          <w:color w:val="000000"/>
          <w:kern w:val="0"/>
          <w:sz w:val="24"/>
          <w:szCs w:val="24"/>
        </w:rPr>
      </w:pPr>
      <w:r>
        <w:rPr>
          <w:rFonts w:ascii="宋体" w:hAnsi="宋体" w:cs="宋体"/>
          <w:color w:val="000000"/>
          <w:kern w:val="0"/>
          <w:sz w:val="24"/>
          <w:szCs w:val="24"/>
        </w:rPr>
        <w:t>备注：</w:t>
      </w:r>
    </w:p>
    <w:p>
      <w:pPr>
        <w:widowControl/>
        <w:spacing w:before="0" w:beforeAutospacing="0" w:after="0" w:afterAutospacing="0" w:line="240" w:lineRule="auto"/>
        <w:jc w:val="left"/>
        <w:rPr>
          <w:rFonts w:ascii="宋体" w:hAnsi="宋体" w:cs="宋体"/>
          <w:color w:val="000000"/>
          <w:kern w:val="0"/>
          <w:sz w:val="24"/>
          <w:szCs w:val="24"/>
        </w:rPr>
      </w:pPr>
      <w:r>
        <w:rPr>
          <w:rFonts w:hint="eastAsia" w:ascii="宋体" w:hAnsi="宋体" w:cs="宋体"/>
          <w:color w:val="000000"/>
          <w:kern w:val="0"/>
          <w:sz w:val="24"/>
          <w:szCs w:val="24"/>
        </w:rPr>
        <w:t>①、</w:t>
      </w:r>
      <w:r>
        <w:rPr>
          <w:rFonts w:ascii="宋体" w:hAnsi="宋体" w:cs="宋体"/>
          <w:color w:val="000000"/>
          <w:kern w:val="0"/>
          <w:sz w:val="24"/>
          <w:szCs w:val="24"/>
        </w:rPr>
        <w:t>所有证书、证明文件包括按要求提供的官网截图必须是真实可查证的，须注明资料来源。资格证明文件应为原件的扫描件，投标文件中须编入清晰的扫描件或复印件。所有证明材料须清晰可辨认，如因证明材料模糊无法辨认，缺页、漏页导致无法进行评审认定的责任由供应商自负。如发现弄虚作假将按照有关规定严肃处理。</w:t>
      </w:r>
    </w:p>
    <w:p>
      <w:pPr>
        <w:widowControl/>
        <w:spacing w:before="0" w:beforeAutospacing="0" w:after="0" w:afterAutospacing="0" w:line="240" w:lineRule="auto"/>
        <w:jc w:val="left"/>
        <w:rPr>
          <w:rFonts w:ascii="宋体" w:hAnsi="宋体" w:cs="宋体"/>
          <w:color w:val="000000"/>
          <w:kern w:val="0"/>
          <w:sz w:val="24"/>
          <w:szCs w:val="24"/>
        </w:rPr>
      </w:pPr>
      <w:r>
        <w:rPr>
          <w:rFonts w:ascii="宋体" w:hAnsi="宋体" w:cs="宋体"/>
          <w:color w:val="000000"/>
          <w:kern w:val="0"/>
          <w:sz w:val="24"/>
          <w:szCs w:val="24"/>
        </w:rPr>
        <w:t>证明材料仅限于投标单位本身，参股或控股单位及独立法人子公司的材料不能作为证明材料，但投标单位兼并的企业的材料可作为证明材料。</w:t>
      </w:r>
    </w:p>
    <w:p>
      <w:pPr>
        <w:widowControl/>
        <w:spacing w:before="0" w:beforeAutospacing="0" w:after="0" w:afterAutospacing="0" w:line="240" w:lineRule="auto"/>
        <w:jc w:val="left"/>
        <w:rPr>
          <w:rFonts w:ascii="宋体" w:hAnsi="宋体" w:cs="宋体"/>
          <w:color w:val="000000"/>
          <w:kern w:val="0"/>
          <w:sz w:val="24"/>
          <w:szCs w:val="24"/>
        </w:rPr>
      </w:pPr>
      <w:r>
        <w:rPr>
          <w:rFonts w:hint="eastAsia" w:ascii="宋体" w:hAnsi="宋体" w:cs="宋体"/>
          <w:color w:val="000000"/>
          <w:kern w:val="0"/>
          <w:sz w:val="24"/>
          <w:szCs w:val="24"/>
        </w:rPr>
        <w:t>②</w:t>
      </w:r>
      <w:r>
        <w:rPr>
          <w:rFonts w:ascii="宋体" w:hAnsi="宋体" w:cs="宋体"/>
          <w:color w:val="000000"/>
          <w:kern w:val="0"/>
          <w:sz w:val="24"/>
          <w:szCs w:val="24"/>
        </w:rPr>
        <w:t>对于投标文件中有任意一条不满足上表要求的将导致其投标无效，不进入下一项评审。</w:t>
      </w:r>
    </w:p>
    <w:p>
      <w:pPr>
        <w:widowControl/>
        <w:spacing w:before="0" w:beforeAutospacing="0" w:after="0" w:afterAutospacing="0" w:line="240" w:lineRule="auto"/>
        <w:jc w:val="left"/>
        <w:rPr>
          <w:rFonts w:ascii="宋体" w:hAnsi="宋体" w:cs="宋体"/>
          <w:color w:val="000000"/>
          <w:kern w:val="0"/>
          <w:sz w:val="20"/>
          <w:szCs w:val="20"/>
        </w:rPr>
        <w:sectPr>
          <w:pgSz w:w="11910" w:h="16840"/>
          <w:pgMar w:top="1420" w:right="820" w:bottom="1180" w:left="1520" w:header="794" w:footer="794" w:gutter="0"/>
          <w:cols w:space="720" w:num="1"/>
        </w:sectPr>
      </w:pPr>
    </w:p>
    <w:p>
      <w:pPr>
        <w:spacing w:beforeLines="100" w:beforeAutospacing="0" w:afterLines="5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二、符合性审查表</w:t>
      </w:r>
    </w:p>
    <w:tbl>
      <w:tblPr>
        <w:tblStyle w:val="36"/>
        <w:tblW w:w="8947" w:type="dxa"/>
        <w:tblInd w:w="0" w:type="dxa"/>
        <w:tblLayout w:type="fixed"/>
        <w:tblCellMar>
          <w:top w:w="0" w:type="dxa"/>
          <w:left w:w="108" w:type="dxa"/>
          <w:bottom w:w="0" w:type="dxa"/>
          <w:right w:w="108" w:type="dxa"/>
        </w:tblCellMar>
      </w:tblPr>
      <w:tblGrid>
        <w:gridCol w:w="530"/>
        <w:gridCol w:w="5645"/>
        <w:gridCol w:w="693"/>
        <w:gridCol w:w="693"/>
        <w:gridCol w:w="693"/>
        <w:gridCol w:w="693"/>
      </w:tblGrid>
      <w:tr>
        <w:tblPrEx>
          <w:tblCellMar>
            <w:top w:w="0" w:type="dxa"/>
            <w:left w:w="108" w:type="dxa"/>
            <w:bottom w:w="0" w:type="dxa"/>
            <w:right w:w="108" w:type="dxa"/>
          </w:tblCellMar>
        </w:tblPrEx>
        <w:trPr>
          <w:trHeight w:val="600" w:hRule="atLeast"/>
        </w:trPr>
        <w:tc>
          <w:tcPr>
            <w:tcW w:w="8947" w:type="dxa"/>
            <w:gridSpan w:val="6"/>
            <w:tcBorders>
              <w:top w:val="nil"/>
              <w:left w:val="nil"/>
              <w:bottom w:val="nil"/>
              <w:right w:val="nil"/>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 w:val="24"/>
                <w:szCs w:val="24"/>
              </w:rPr>
            </w:pPr>
            <w:r>
              <w:rPr>
                <w:rFonts w:hint="eastAsia" w:ascii="宋体" w:hAnsi="宋体" w:cs="宋体"/>
                <w:color w:val="000000"/>
                <w:kern w:val="0"/>
                <w:sz w:val="24"/>
                <w:szCs w:val="24"/>
              </w:rPr>
              <w:t>符合性检查表</w:t>
            </w:r>
          </w:p>
        </w:tc>
      </w:tr>
      <w:tr>
        <w:tblPrEx>
          <w:tblCellMar>
            <w:top w:w="0" w:type="dxa"/>
            <w:left w:w="108" w:type="dxa"/>
            <w:bottom w:w="0" w:type="dxa"/>
            <w:right w:w="108" w:type="dxa"/>
          </w:tblCellMar>
        </w:tblPrEx>
        <w:trPr>
          <w:trHeight w:val="400" w:hRule="atLeast"/>
        </w:trPr>
        <w:tc>
          <w:tcPr>
            <w:tcW w:w="8947" w:type="dxa"/>
            <w:gridSpan w:val="6"/>
            <w:tcBorders>
              <w:top w:val="nil"/>
              <w:left w:val="nil"/>
              <w:bottom w:val="nil"/>
              <w:right w:val="nil"/>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项目名称：</w:t>
            </w:r>
            <w:r>
              <w:rPr>
                <w:rFonts w:hint="eastAsia" w:ascii="宋体" w:hAnsi="宋体" w:cs="宋体"/>
                <w:color w:val="000000"/>
                <w:kern w:val="0"/>
                <w:sz w:val="24"/>
                <w:szCs w:val="24"/>
                <w:lang w:eastAsia="zh-CN"/>
              </w:rPr>
              <w:t>乌鲁木齐职业大学北辰校区建设项目可行性研究报告编制技术服务项目</w:t>
            </w:r>
          </w:p>
        </w:tc>
      </w:tr>
      <w:tr>
        <w:tblPrEx>
          <w:tblCellMar>
            <w:top w:w="0" w:type="dxa"/>
            <w:left w:w="108" w:type="dxa"/>
            <w:bottom w:w="0" w:type="dxa"/>
            <w:right w:w="108" w:type="dxa"/>
          </w:tblCellMar>
        </w:tblPrEx>
        <w:trPr>
          <w:trHeight w:val="400" w:hRule="atLeast"/>
        </w:trPr>
        <w:tc>
          <w:tcPr>
            <w:tcW w:w="8947" w:type="dxa"/>
            <w:gridSpan w:val="6"/>
            <w:tcBorders>
              <w:top w:val="nil"/>
              <w:left w:val="nil"/>
              <w:bottom w:val="nil"/>
              <w:right w:val="nil"/>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项目编号：</w:t>
            </w:r>
            <w:r>
              <w:rPr>
                <w:rFonts w:hint="eastAsia" w:ascii="宋体" w:hAnsi="宋体" w:cs="宋体"/>
                <w:color w:val="000000"/>
                <w:kern w:val="0"/>
                <w:sz w:val="24"/>
                <w:szCs w:val="24"/>
                <w:lang w:eastAsia="zh-CN"/>
              </w:rPr>
              <w:t>ZFCGHY-20220096</w:t>
            </w:r>
          </w:p>
        </w:tc>
      </w:tr>
      <w:tr>
        <w:tblPrEx>
          <w:tblCellMar>
            <w:top w:w="0" w:type="dxa"/>
            <w:left w:w="108" w:type="dxa"/>
            <w:bottom w:w="0" w:type="dxa"/>
            <w:right w:w="108" w:type="dxa"/>
          </w:tblCellMar>
        </w:tblPrEx>
        <w:trPr>
          <w:trHeight w:val="400" w:hRule="atLeast"/>
        </w:trPr>
        <w:tc>
          <w:tcPr>
            <w:tcW w:w="8947" w:type="dxa"/>
            <w:gridSpan w:val="6"/>
            <w:tcBorders>
              <w:top w:val="nil"/>
              <w:left w:val="nil"/>
              <w:bottom w:val="nil"/>
              <w:right w:val="nil"/>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 w:val="24"/>
                <w:szCs w:val="24"/>
              </w:rPr>
            </w:pPr>
            <w:r>
              <w:rPr>
                <w:rFonts w:hint="eastAsia" w:ascii="宋体" w:hAnsi="宋体" w:cs="宋体"/>
                <w:color w:val="000000"/>
                <w:kern w:val="0"/>
                <w:sz w:val="24"/>
                <w:szCs w:val="24"/>
              </w:rPr>
              <w:t>采购内容：</w:t>
            </w:r>
            <w:r>
              <w:rPr>
                <w:rFonts w:hint="eastAsia" w:ascii="宋体" w:hAnsi="宋体" w:cs="宋体"/>
                <w:color w:val="000000"/>
                <w:kern w:val="0"/>
                <w:sz w:val="24"/>
                <w:szCs w:val="24"/>
                <w:lang w:eastAsia="zh-CN"/>
              </w:rPr>
              <w:t>乌鲁木齐职业大学北辰校区建设项目可行性研究报告编制技术服务项目</w:t>
            </w:r>
            <w:r>
              <w:rPr>
                <w:rFonts w:hint="eastAsia" w:ascii="宋体" w:hAnsi="宋体" w:cs="宋体"/>
                <w:color w:val="000000"/>
                <w:kern w:val="0"/>
                <w:sz w:val="24"/>
                <w:szCs w:val="24"/>
              </w:rPr>
              <w:t>（采购预算：</w:t>
            </w:r>
            <w:r>
              <w:rPr>
                <w:rFonts w:hint="eastAsia" w:ascii="宋体" w:hAnsi="宋体" w:cs="宋体"/>
                <w:color w:val="000000"/>
                <w:kern w:val="0"/>
                <w:sz w:val="24"/>
                <w:szCs w:val="24"/>
                <w:lang w:eastAsia="zh-CN"/>
              </w:rPr>
              <w:t>800000</w:t>
            </w:r>
            <w:r>
              <w:rPr>
                <w:rFonts w:hint="eastAsia" w:ascii="宋体" w:hAnsi="宋体" w:cs="宋体"/>
                <w:color w:val="000000"/>
                <w:kern w:val="0"/>
                <w:sz w:val="24"/>
                <w:szCs w:val="24"/>
              </w:rPr>
              <w:t>元）</w:t>
            </w:r>
          </w:p>
        </w:tc>
      </w:tr>
      <w:tr>
        <w:tblPrEx>
          <w:tblCellMar>
            <w:top w:w="0" w:type="dxa"/>
            <w:left w:w="108" w:type="dxa"/>
            <w:bottom w:w="0" w:type="dxa"/>
            <w:right w:w="108" w:type="dxa"/>
          </w:tblCellMar>
        </w:tblPrEx>
        <w:trPr>
          <w:trHeight w:val="400" w:hRule="atLeast"/>
        </w:trPr>
        <w:tc>
          <w:tcPr>
            <w:tcW w:w="7561" w:type="dxa"/>
            <w:gridSpan w:val="4"/>
            <w:tcBorders>
              <w:top w:val="nil"/>
              <w:left w:val="nil"/>
              <w:bottom w:val="nil"/>
              <w:right w:val="nil"/>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开标地点：</w:t>
            </w:r>
            <w:r>
              <w:rPr>
                <w:rFonts w:hint="eastAsia" w:ascii="宋体" w:hAnsi="宋体" w:cs="宋体"/>
                <w:color w:val="000000"/>
                <w:kern w:val="0"/>
                <w:sz w:val="24"/>
                <w:szCs w:val="24"/>
                <w:lang w:eastAsia="zh-CN"/>
              </w:rPr>
              <w:t>新疆华域建设工程项目管理咨询有限公司会议室</w:t>
            </w:r>
          </w:p>
        </w:tc>
        <w:tc>
          <w:tcPr>
            <w:tcW w:w="1386" w:type="dxa"/>
            <w:gridSpan w:val="2"/>
            <w:tcBorders>
              <w:top w:val="nil"/>
              <w:left w:val="nil"/>
              <w:bottom w:val="nil"/>
              <w:right w:val="nil"/>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0" w:hRule="atLeast"/>
        </w:trPr>
        <w:tc>
          <w:tcPr>
            <w:tcW w:w="53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序号</w:t>
            </w:r>
          </w:p>
        </w:tc>
        <w:tc>
          <w:tcPr>
            <w:tcW w:w="56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审核内容</w:t>
            </w:r>
          </w:p>
        </w:tc>
        <w:tc>
          <w:tcPr>
            <w:tcW w:w="2772"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投标人名称</w:t>
            </w:r>
          </w:p>
        </w:tc>
      </w:tr>
      <w:tr>
        <w:tblPrEx>
          <w:tblCellMar>
            <w:top w:w="0" w:type="dxa"/>
            <w:left w:w="108" w:type="dxa"/>
            <w:bottom w:w="0" w:type="dxa"/>
            <w:right w:w="108" w:type="dxa"/>
          </w:tblCellMar>
        </w:tblPrEx>
        <w:trPr>
          <w:trHeight w:val="550" w:hRule="atLeast"/>
        </w:trPr>
        <w:tc>
          <w:tcPr>
            <w:tcW w:w="530"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p>
        </w:tc>
        <w:tc>
          <w:tcPr>
            <w:tcW w:w="564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p>
        </w:tc>
        <w:tc>
          <w:tcPr>
            <w:tcW w:w="693"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693"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693"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693"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tblPrEx>
          <w:tblCellMar>
            <w:top w:w="0" w:type="dxa"/>
            <w:left w:w="108" w:type="dxa"/>
            <w:bottom w:w="0" w:type="dxa"/>
            <w:right w:w="108" w:type="dxa"/>
          </w:tblCellMar>
        </w:tblPrEx>
        <w:trPr>
          <w:trHeight w:val="440" w:hRule="atLeast"/>
        </w:trPr>
        <w:tc>
          <w:tcPr>
            <w:tcW w:w="530"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5645"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按照招标文件规定要求签署、盖章</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CellMar>
            <w:top w:w="0" w:type="dxa"/>
            <w:left w:w="108" w:type="dxa"/>
            <w:bottom w:w="0" w:type="dxa"/>
            <w:right w:w="108" w:type="dxa"/>
          </w:tblCellMar>
        </w:tblPrEx>
        <w:trPr>
          <w:trHeight w:val="600" w:hRule="atLeast"/>
        </w:trPr>
        <w:tc>
          <w:tcPr>
            <w:tcW w:w="530"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p>
        </w:tc>
        <w:tc>
          <w:tcPr>
            <w:tcW w:w="5645"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按照招标文件要求进行有效报价，不存在高于最高限价或低于成本价，不存在恶意报价损害采购人利益的行为；</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CellMar>
            <w:top w:w="0" w:type="dxa"/>
            <w:left w:w="108" w:type="dxa"/>
            <w:bottom w:w="0" w:type="dxa"/>
            <w:right w:w="108" w:type="dxa"/>
          </w:tblCellMar>
        </w:tblPrEx>
        <w:trPr>
          <w:trHeight w:val="440" w:hRule="atLeast"/>
        </w:trPr>
        <w:tc>
          <w:tcPr>
            <w:tcW w:w="530"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w:t>
            </w:r>
          </w:p>
        </w:tc>
        <w:tc>
          <w:tcPr>
            <w:tcW w:w="5645"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投标有效期满足招标文件规定</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CellMar>
            <w:top w:w="0" w:type="dxa"/>
            <w:left w:w="108" w:type="dxa"/>
            <w:bottom w:w="0" w:type="dxa"/>
            <w:right w:w="108" w:type="dxa"/>
          </w:tblCellMar>
        </w:tblPrEx>
        <w:trPr>
          <w:trHeight w:val="440" w:hRule="atLeast"/>
        </w:trPr>
        <w:tc>
          <w:tcPr>
            <w:tcW w:w="530"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w:t>
            </w:r>
          </w:p>
        </w:tc>
        <w:tc>
          <w:tcPr>
            <w:tcW w:w="5645"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投标文件中未附有采购人不能接受条件</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CellMar>
            <w:top w:w="0" w:type="dxa"/>
            <w:left w:w="108" w:type="dxa"/>
            <w:bottom w:w="0" w:type="dxa"/>
            <w:right w:w="108" w:type="dxa"/>
          </w:tblCellMar>
        </w:tblPrEx>
        <w:trPr>
          <w:trHeight w:val="440" w:hRule="atLeast"/>
        </w:trPr>
        <w:tc>
          <w:tcPr>
            <w:tcW w:w="530"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w:t>
            </w:r>
          </w:p>
        </w:tc>
        <w:tc>
          <w:tcPr>
            <w:tcW w:w="5645"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投标文件满足招标文件商务、技术等实质性要求（标注“*” 号的条款）</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CellMar>
            <w:top w:w="0" w:type="dxa"/>
            <w:left w:w="108" w:type="dxa"/>
            <w:bottom w:w="0" w:type="dxa"/>
            <w:right w:w="108" w:type="dxa"/>
          </w:tblCellMar>
        </w:tblPrEx>
        <w:trPr>
          <w:trHeight w:val="440" w:hRule="atLeast"/>
        </w:trPr>
        <w:tc>
          <w:tcPr>
            <w:tcW w:w="530"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w:t>
            </w:r>
          </w:p>
        </w:tc>
        <w:tc>
          <w:tcPr>
            <w:tcW w:w="5645"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投标人未出现招标文件中规定无效投标的其它条款</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CellMar>
            <w:top w:w="0" w:type="dxa"/>
            <w:left w:w="108" w:type="dxa"/>
            <w:bottom w:w="0" w:type="dxa"/>
            <w:right w:w="108" w:type="dxa"/>
          </w:tblCellMar>
        </w:tblPrEx>
        <w:trPr>
          <w:trHeight w:val="1690" w:hRule="atLeast"/>
        </w:trPr>
        <w:tc>
          <w:tcPr>
            <w:tcW w:w="530"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w:t>
            </w:r>
          </w:p>
        </w:tc>
        <w:tc>
          <w:tcPr>
            <w:tcW w:w="5645"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投标人未有下列任一情形：</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（1） 不同投标人的投标文件由同一单位或者个人编制</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（2） 不同投标人委托同一单位或者个人办理投标事宜</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（3） 不同投标人的投标文件载明的项目管理成员或者联系人员为同一人</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（4） 不同投标人的投标文件异常一致或者投标报价呈规律性差异</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（5） 不同投标人的投标文件相互混装</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CellMar>
            <w:top w:w="0" w:type="dxa"/>
            <w:left w:w="108" w:type="dxa"/>
            <w:bottom w:w="0" w:type="dxa"/>
            <w:right w:w="108" w:type="dxa"/>
          </w:tblCellMar>
        </w:tblPrEx>
        <w:trPr>
          <w:trHeight w:val="600" w:hRule="atLeast"/>
        </w:trPr>
        <w:tc>
          <w:tcPr>
            <w:tcW w:w="530"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w:t>
            </w:r>
          </w:p>
        </w:tc>
        <w:tc>
          <w:tcPr>
            <w:tcW w:w="5645"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按要求递交正本1份，</w:t>
            </w:r>
            <w:r>
              <w:rPr>
                <w:rFonts w:hint="eastAsia" w:asciiTheme="minorEastAsia" w:hAnsiTheme="minorEastAsia" w:eastAsiaTheme="minorEastAsia" w:cstheme="minorEastAsia"/>
                <w:color w:val="000000"/>
                <w:kern w:val="0"/>
                <w:sz w:val="24"/>
                <w:szCs w:val="24"/>
                <w:highlight w:val="yellow"/>
              </w:rPr>
              <w:t>副本</w:t>
            </w:r>
            <w:r>
              <w:rPr>
                <w:rFonts w:hint="eastAsia" w:asciiTheme="minorEastAsia" w:hAnsiTheme="minorEastAsia" w:eastAsiaTheme="minorEastAsia" w:cstheme="minorEastAsia"/>
                <w:color w:val="000000"/>
                <w:kern w:val="0"/>
                <w:sz w:val="24"/>
                <w:szCs w:val="24"/>
                <w:highlight w:val="yellow"/>
                <w:lang w:val="en-US" w:eastAsia="zh-CN"/>
              </w:rPr>
              <w:t>4</w:t>
            </w:r>
            <w:r>
              <w:rPr>
                <w:rFonts w:hint="eastAsia" w:asciiTheme="minorEastAsia" w:hAnsiTheme="minorEastAsia" w:eastAsiaTheme="minorEastAsia" w:cstheme="minorEastAsia"/>
                <w:color w:val="000000"/>
                <w:kern w:val="0"/>
                <w:sz w:val="24"/>
                <w:szCs w:val="24"/>
              </w:rPr>
              <w:t>份，且响应文件对招标文件的实质性要求作出响应；</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CellMar>
            <w:top w:w="0" w:type="dxa"/>
            <w:left w:w="108" w:type="dxa"/>
            <w:bottom w:w="0" w:type="dxa"/>
            <w:right w:w="108" w:type="dxa"/>
          </w:tblCellMar>
        </w:tblPrEx>
        <w:trPr>
          <w:trHeight w:val="480" w:hRule="atLeast"/>
        </w:trPr>
        <w:tc>
          <w:tcPr>
            <w:tcW w:w="61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结论：是否通过评审（注：投标人有一项未通过不得参与下阶段评审，视为废标。）</w:t>
            </w:r>
          </w:p>
        </w:tc>
        <w:tc>
          <w:tcPr>
            <w:tcW w:w="693"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CellMar>
            <w:top w:w="0" w:type="dxa"/>
            <w:left w:w="108" w:type="dxa"/>
            <w:bottom w:w="0" w:type="dxa"/>
            <w:right w:w="108" w:type="dxa"/>
          </w:tblCellMar>
        </w:tblPrEx>
        <w:trPr>
          <w:trHeight w:val="460" w:hRule="atLeast"/>
        </w:trPr>
        <w:tc>
          <w:tcPr>
            <w:tcW w:w="8947"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评审小组签字：</w:t>
            </w:r>
          </w:p>
        </w:tc>
      </w:tr>
    </w:tbl>
    <w:p>
      <w:pPr>
        <w:pStyle w:val="81"/>
        <w:spacing w:line="360" w:lineRule="auto"/>
        <w:rPr>
          <w:rFonts w:hint="eastAsia" w:asciiTheme="minorEastAsia" w:hAnsiTheme="minorEastAsia" w:eastAsiaTheme="minorEastAsia" w:cstheme="minorEastAsia"/>
          <w:sz w:val="24"/>
          <w:szCs w:val="24"/>
        </w:rPr>
      </w:pPr>
    </w:p>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备注：</w:t>
      </w:r>
    </w:p>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①评标委员会分别对每一投标文件依据上表进行检查。</w:t>
      </w:r>
    </w:p>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②评标委员会决定投标的响应性只根据投标文件本身的真实无误的内容，而不依据外部的证据，但投标文件有不真实不正确的内容时除外。</w:t>
      </w:r>
    </w:p>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③满足要求的条款打“√”，否则为“×”。</w:t>
      </w:r>
    </w:p>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④对于投标文件中有任意一条不满足要求将导致其投标无效，不进入下一项评审。</w:t>
      </w:r>
    </w:p>
    <w:p>
      <w:pPr>
        <w:pStyle w:val="13"/>
        <w:ind w:firstLine="400"/>
      </w:pPr>
      <w:r>
        <w:rPr>
          <w:rFonts w:hint="eastAsia" w:asciiTheme="minorEastAsia" w:hAnsiTheme="minorEastAsia" w:eastAsiaTheme="minorEastAsia" w:cstheme="minorEastAsia"/>
          <w:sz w:val="24"/>
          <w:szCs w:val="24"/>
        </w:rPr>
        <w:br w:type="page"/>
      </w:r>
    </w:p>
    <w:p>
      <w:pPr>
        <w:spacing w:beforeLines="100" w:beforeAutospacing="0" w:afterLines="5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三、评分标准</w:t>
      </w:r>
    </w:p>
    <w:tbl>
      <w:tblPr>
        <w:tblStyle w:val="36"/>
        <w:tblW w:w="9043" w:type="dxa"/>
        <w:jc w:val="center"/>
        <w:tblLayout w:type="fixed"/>
        <w:tblCellMar>
          <w:top w:w="0" w:type="dxa"/>
          <w:left w:w="108" w:type="dxa"/>
          <w:bottom w:w="0" w:type="dxa"/>
          <w:right w:w="108" w:type="dxa"/>
        </w:tblCellMar>
      </w:tblPr>
      <w:tblGrid>
        <w:gridCol w:w="789"/>
        <w:gridCol w:w="1305"/>
        <w:gridCol w:w="915"/>
        <w:gridCol w:w="6034"/>
      </w:tblGrid>
      <w:tr>
        <w:tblPrEx>
          <w:tblCellMar>
            <w:top w:w="0" w:type="dxa"/>
            <w:left w:w="108" w:type="dxa"/>
            <w:bottom w:w="0" w:type="dxa"/>
            <w:right w:w="108" w:type="dxa"/>
          </w:tblCellMar>
        </w:tblPrEx>
        <w:trPr>
          <w:trHeight w:val="989" w:hRule="atLeast"/>
          <w:jc w:val="center"/>
        </w:trPr>
        <w:tc>
          <w:tcPr>
            <w:tcW w:w="3009" w:type="dxa"/>
            <w:gridSpan w:val="3"/>
            <w:tcBorders>
              <w:top w:val="single" w:color="auto" w:sz="4" w:space="0"/>
              <w:left w:val="single" w:color="auto" w:sz="4" w:space="0"/>
              <w:bottom w:val="single" w:color="auto" w:sz="4" w:space="0"/>
              <w:right w:val="single" w:color="auto" w:sz="4" w:space="0"/>
              <w:tl2br w:val="single" w:color="auto" w:sz="4" w:space="0"/>
            </w:tcBorders>
            <w:shd w:val="clear" w:color="000000" w:fill="FFFFFF"/>
            <w:vAlign w:val="center"/>
          </w:tcPr>
          <w:p>
            <w:pPr>
              <w:pStyle w:val="192"/>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评分细则</w:t>
            </w:r>
          </w:p>
          <w:p>
            <w:pPr>
              <w:pStyle w:val="192"/>
              <w:rPr>
                <w:rFonts w:hint="eastAsia" w:ascii="宋体" w:hAnsi="宋体" w:cs="宋体"/>
                <w:sz w:val="24"/>
                <w:szCs w:val="24"/>
              </w:rPr>
            </w:pPr>
          </w:p>
          <w:p>
            <w:pPr>
              <w:pStyle w:val="192"/>
              <w:rPr>
                <w:rFonts w:ascii="宋体" w:hAnsi="宋体" w:cs="宋体"/>
                <w:sz w:val="24"/>
                <w:szCs w:val="24"/>
              </w:rPr>
            </w:pPr>
            <w:r>
              <w:rPr>
                <w:rFonts w:hint="eastAsia" w:ascii="宋体" w:hAnsi="宋体" w:cs="宋体"/>
                <w:sz w:val="24"/>
                <w:szCs w:val="24"/>
              </w:rPr>
              <w:t>评分项及评分标准</w:t>
            </w:r>
          </w:p>
        </w:tc>
        <w:tc>
          <w:tcPr>
            <w:tcW w:w="6034" w:type="dxa"/>
            <w:tcBorders>
              <w:top w:val="single" w:color="auto" w:sz="4" w:space="0"/>
              <w:left w:val="nil"/>
              <w:bottom w:val="single" w:color="auto" w:sz="4" w:space="0"/>
              <w:right w:val="single" w:color="auto" w:sz="4" w:space="0"/>
            </w:tcBorders>
            <w:shd w:val="clear" w:color="000000" w:fill="FFFFFF"/>
            <w:vAlign w:val="center"/>
          </w:tcPr>
          <w:p>
            <w:pPr>
              <w:pStyle w:val="192"/>
              <w:rPr>
                <w:rFonts w:ascii="宋体" w:hAnsi="宋体" w:cs="宋体"/>
                <w:sz w:val="24"/>
                <w:szCs w:val="24"/>
              </w:rPr>
            </w:pPr>
            <w:r>
              <w:rPr>
                <w:rFonts w:hint="eastAsia" w:ascii="宋体" w:hAnsi="宋体" w:cs="宋体"/>
                <w:sz w:val="24"/>
                <w:szCs w:val="24"/>
              </w:rPr>
              <w:t>评分细则</w:t>
            </w:r>
          </w:p>
        </w:tc>
      </w:tr>
      <w:tr>
        <w:tblPrEx>
          <w:tblCellMar>
            <w:top w:w="0" w:type="dxa"/>
            <w:left w:w="108" w:type="dxa"/>
            <w:bottom w:w="0" w:type="dxa"/>
            <w:right w:w="108" w:type="dxa"/>
          </w:tblCellMar>
        </w:tblPrEx>
        <w:trPr>
          <w:trHeight w:val="810" w:hRule="atLeast"/>
          <w:jc w:val="center"/>
        </w:trPr>
        <w:tc>
          <w:tcPr>
            <w:tcW w:w="789" w:type="dxa"/>
            <w:tcBorders>
              <w:top w:val="nil"/>
              <w:left w:val="single" w:color="auto" w:sz="4" w:space="0"/>
              <w:bottom w:val="single" w:color="auto" w:sz="4" w:space="0"/>
              <w:right w:val="single" w:color="auto" w:sz="4" w:space="0"/>
            </w:tcBorders>
            <w:shd w:val="clear" w:color="000000" w:fill="FFFFFF"/>
            <w:vAlign w:val="center"/>
          </w:tcPr>
          <w:p>
            <w:pPr>
              <w:pStyle w:val="192"/>
              <w:rPr>
                <w:rFonts w:ascii="宋体" w:hAnsi="宋体" w:cs="宋体"/>
                <w:sz w:val="24"/>
                <w:szCs w:val="24"/>
              </w:rPr>
            </w:pPr>
            <w:r>
              <w:rPr>
                <w:rFonts w:hint="eastAsia" w:ascii="宋体" w:hAnsi="宋体" w:cs="宋体"/>
                <w:sz w:val="24"/>
                <w:szCs w:val="24"/>
              </w:rPr>
              <w:t xml:space="preserve">价格分 </w:t>
            </w:r>
            <w:r>
              <w:rPr>
                <w:rFonts w:hint="eastAsia" w:ascii="宋体" w:hAnsi="宋体" w:cs="宋体"/>
                <w:sz w:val="24"/>
                <w:szCs w:val="24"/>
              </w:rPr>
              <w:br w:type="textWrapping"/>
            </w:r>
            <w:r>
              <w:rPr>
                <w:rFonts w:hint="eastAsia" w:ascii="宋体" w:hAnsi="宋体" w:cs="宋体"/>
                <w:sz w:val="24"/>
                <w:szCs w:val="24"/>
              </w:rPr>
              <w:t>（10分）</w:t>
            </w:r>
          </w:p>
        </w:tc>
        <w:tc>
          <w:tcPr>
            <w:tcW w:w="1305" w:type="dxa"/>
            <w:tcBorders>
              <w:top w:val="nil"/>
              <w:left w:val="nil"/>
              <w:bottom w:val="single" w:color="auto" w:sz="4" w:space="0"/>
              <w:right w:val="single" w:color="auto" w:sz="4" w:space="0"/>
            </w:tcBorders>
            <w:shd w:val="clear" w:color="000000" w:fill="FFFFFF"/>
            <w:vAlign w:val="center"/>
          </w:tcPr>
          <w:p>
            <w:pPr>
              <w:pStyle w:val="192"/>
              <w:rPr>
                <w:rFonts w:ascii="宋体" w:hAnsi="宋体" w:cs="宋体"/>
                <w:sz w:val="24"/>
                <w:szCs w:val="24"/>
              </w:rPr>
            </w:pPr>
            <w:r>
              <w:rPr>
                <w:rFonts w:hint="eastAsia" w:ascii="宋体" w:hAnsi="宋体" w:cs="宋体"/>
                <w:sz w:val="24"/>
                <w:szCs w:val="24"/>
                <w:lang w:val="en-US" w:eastAsia="zh-CN"/>
              </w:rPr>
              <w:t>编制</w:t>
            </w:r>
            <w:r>
              <w:rPr>
                <w:rFonts w:hint="eastAsia" w:ascii="宋体" w:hAnsi="宋体" w:cs="宋体"/>
                <w:sz w:val="24"/>
                <w:szCs w:val="24"/>
              </w:rPr>
              <w:t>费报价</w:t>
            </w:r>
          </w:p>
        </w:tc>
        <w:tc>
          <w:tcPr>
            <w:tcW w:w="915" w:type="dxa"/>
            <w:tcBorders>
              <w:top w:val="nil"/>
              <w:left w:val="nil"/>
              <w:bottom w:val="single" w:color="auto" w:sz="4" w:space="0"/>
              <w:right w:val="single" w:color="auto" w:sz="4" w:space="0"/>
            </w:tcBorders>
            <w:shd w:val="clear" w:color="000000" w:fill="FFFFFF"/>
            <w:vAlign w:val="center"/>
          </w:tcPr>
          <w:p>
            <w:pPr>
              <w:pStyle w:val="192"/>
              <w:jc w:val="center"/>
              <w:rPr>
                <w:rFonts w:ascii="宋体" w:hAnsi="宋体" w:cs="宋体"/>
                <w:sz w:val="24"/>
                <w:szCs w:val="24"/>
              </w:rPr>
            </w:pPr>
            <w:r>
              <w:rPr>
                <w:rFonts w:hint="eastAsia" w:ascii="宋体" w:hAnsi="宋体" w:cs="宋体"/>
                <w:sz w:val="24"/>
                <w:szCs w:val="24"/>
              </w:rPr>
              <w:t>10</w:t>
            </w:r>
          </w:p>
        </w:tc>
        <w:tc>
          <w:tcPr>
            <w:tcW w:w="6034" w:type="dxa"/>
            <w:tcBorders>
              <w:top w:val="nil"/>
              <w:left w:val="nil"/>
              <w:bottom w:val="single" w:color="auto" w:sz="4" w:space="0"/>
              <w:right w:val="single" w:color="auto" w:sz="4" w:space="0"/>
            </w:tcBorders>
            <w:shd w:val="clear" w:color="000000" w:fill="FFFFFF"/>
            <w:vAlign w:val="center"/>
          </w:tcPr>
          <w:p>
            <w:pPr>
              <w:pStyle w:val="192"/>
              <w:rPr>
                <w:rFonts w:ascii="宋体" w:hAnsi="宋体" w:cs="宋体"/>
                <w:sz w:val="24"/>
                <w:szCs w:val="24"/>
              </w:rPr>
            </w:pPr>
            <w:r>
              <w:rPr>
                <w:rFonts w:hint="eastAsia" w:ascii="宋体" w:hAnsi="宋体" w:cs="宋体"/>
                <w:sz w:val="24"/>
                <w:szCs w:val="24"/>
              </w:rPr>
              <w:t>在价格评分时，满足招标文件要求且投标价格最低的投标报价为评标基准价，其价格分为满分。其他供应商的价格分统一按照下列公式计算：</w:t>
            </w:r>
          </w:p>
          <w:p>
            <w:pPr>
              <w:pStyle w:val="192"/>
              <w:rPr>
                <w:rFonts w:ascii="宋体" w:hAnsi="宋体" w:cs="宋体"/>
                <w:sz w:val="24"/>
                <w:szCs w:val="24"/>
              </w:rPr>
            </w:pPr>
            <w:r>
              <w:rPr>
                <w:rFonts w:hint="eastAsia" w:ascii="宋体" w:hAnsi="宋体" w:cs="宋体"/>
                <w:sz w:val="24"/>
                <w:szCs w:val="24"/>
              </w:rPr>
              <w:t>投标报价得分=(评标基准价／投标报价)×10%×100</w:t>
            </w:r>
          </w:p>
          <w:p>
            <w:pPr>
              <w:pStyle w:val="192"/>
              <w:rPr>
                <w:rFonts w:ascii="宋体" w:hAnsi="宋体" w:cs="宋体"/>
                <w:sz w:val="24"/>
                <w:szCs w:val="24"/>
              </w:rPr>
            </w:pPr>
            <w:r>
              <w:rPr>
                <w:rFonts w:hint="eastAsia" w:ascii="宋体" w:hAnsi="宋体" w:cs="宋体"/>
                <w:sz w:val="24"/>
                <w:szCs w:val="24"/>
              </w:rPr>
              <w:t>注：a、以按照招标文件规定修正后的所有合格供应商的最低价为评分基准价；b、评标委员会认为供应商的报价明显低于其他通过符合性审查供应商的报价，有可能影响服务质量或者不能诚信履约的，应当要求其在评标现场合理的时间内提供书面说明，必要时提交相关证明材料；供应商不能证明其报价合理性的，评标委员会应当将其作为无效投标处理。</w:t>
            </w:r>
          </w:p>
        </w:tc>
      </w:tr>
      <w:tr>
        <w:tblPrEx>
          <w:tblCellMar>
            <w:top w:w="0" w:type="dxa"/>
            <w:left w:w="108" w:type="dxa"/>
            <w:bottom w:w="0" w:type="dxa"/>
            <w:right w:w="108" w:type="dxa"/>
          </w:tblCellMar>
        </w:tblPrEx>
        <w:trPr>
          <w:trHeight w:val="285" w:hRule="atLeast"/>
          <w:jc w:val="center"/>
        </w:trPr>
        <w:tc>
          <w:tcPr>
            <w:tcW w:w="789" w:type="dxa"/>
            <w:vMerge w:val="restart"/>
            <w:tcBorders>
              <w:top w:val="nil"/>
              <w:left w:val="single" w:color="auto" w:sz="4" w:space="0"/>
              <w:right w:val="single" w:color="auto" w:sz="4" w:space="0"/>
            </w:tcBorders>
            <w:shd w:val="clear" w:color="000000" w:fill="FFFFFF"/>
            <w:vAlign w:val="center"/>
          </w:tcPr>
          <w:p>
            <w:pPr>
              <w:pStyle w:val="192"/>
              <w:rPr>
                <w:rFonts w:ascii="宋体" w:hAnsi="宋体" w:cs="宋体"/>
                <w:sz w:val="24"/>
                <w:szCs w:val="24"/>
              </w:rPr>
            </w:pPr>
            <w:r>
              <w:rPr>
                <w:rFonts w:hint="eastAsia" w:ascii="宋体" w:hAnsi="宋体" w:cs="宋体"/>
                <w:sz w:val="24"/>
                <w:szCs w:val="24"/>
              </w:rPr>
              <w:t>商务评审（40分）</w:t>
            </w:r>
          </w:p>
        </w:tc>
        <w:tc>
          <w:tcPr>
            <w:tcW w:w="1305"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业绩</w:t>
            </w:r>
          </w:p>
        </w:tc>
        <w:tc>
          <w:tcPr>
            <w:tcW w:w="915"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14</w:t>
            </w:r>
          </w:p>
        </w:tc>
        <w:tc>
          <w:tcPr>
            <w:tcW w:w="6034"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1、2017年1月1日起至今五年内具有类似的公共建筑项目可行性研究报告业绩。每提供一项获得2分，满分</w:t>
            </w:r>
            <w:r>
              <w:rPr>
                <w:rFonts w:hint="eastAsia" w:ascii="宋体" w:hAnsi="宋体" w:cs="宋体"/>
                <w:kern w:val="0"/>
                <w:sz w:val="24"/>
                <w:szCs w:val="24"/>
                <w:lang w:val="en-US" w:eastAsia="zh-CN"/>
              </w:rPr>
              <w:t>14</w:t>
            </w:r>
            <w:r>
              <w:rPr>
                <w:rFonts w:hint="eastAsia" w:ascii="宋体" w:hAnsi="宋体" w:cs="宋体"/>
                <w:kern w:val="0"/>
                <w:sz w:val="24"/>
                <w:szCs w:val="24"/>
              </w:rPr>
              <w:t>分。（附合同或中标通知书或竣工验收报告或其他同等效力证明材料。）未提供的不得分。</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lang w:val="en-US" w:eastAsia="zh-CN"/>
              </w:rPr>
              <w:t>2</w:t>
            </w:r>
            <w:r>
              <w:rPr>
                <w:rFonts w:hint="eastAsia" w:ascii="宋体" w:hAnsi="宋体" w:cs="宋体"/>
                <w:kern w:val="0"/>
                <w:sz w:val="24"/>
                <w:szCs w:val="24"/>
              </w:rPr>
              <w:t>、证明材料均不得涂改遮挡，如有因与该项目案例甲方签有保密协议而确需遮挡关键信息的情况，须同时提交该项目保密协议复印件，否则不予认定加分。所有证明材料需加盖公章；没有加盖公章，不予认定。</w:t>
            </w:r>
          </w:p>
        </w:tc>
      </w:tr>
      <w:tr>
        <w:tblPrEx>
          <w:tblCellMar>
            <w:top w:w="0" w:type="dxa"/>
            <w:left w:w="108" w:type="dxa"/>
            <w:bottom w:w="0" w:type="dxa"/>
            <w:right w:w="108" w:type="dxa"/>
          </w:tblCellMar>
        </w:tblPrEx>
        <w:trPr>
          <w:trHeight w:val="285" w:hRule="atLeast"/>
          <w:jc w:val="center"/>
        </w:trPr>
        <w:tc>
          <w:tcPr>
            <w:tcW w:w="789" w:type="dxa"/>
            <w:vMerge w:val="continue"/>
            <w:tcBorders>
              <w:top w:val="nil"/>
              <w:left w:val="single" w:color="auto" w:sz="4" w:space="0"/>
              <w:right w:val="single" w:color="auto" w:sz="4" w:space="0"/>
            </w:tcBorders>
            <w:shd w:val="clear" w:color="000000" w:fill="FFFFFF"/>
            <w:vAlign w:val="center"/>
          </w:tcPr>
          <w:p>
            <w:pPr>
              <w:pStyle w:val="192"/>
              <w:rPr>
                <w:rFonts w:ascii="宋体" w:hAnsi="宋体" w:cs="宋体"/>
                <w:sz w:val="24"/>
                <w:szCs w:val="24"/>
              </w:rPr>
            </w:pPr>
          </w:p>
        </w:tc>
        <w:tc>
          <w:tcPr>
            <w:tcW w:w="1305"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lang w:val="en-US" w:eastAsia="zh-CN"/>
              </w:rPr>
              <w:t>服务</w:t>
            </w:r>
            <w:r>
              <w:rPr>
                <w:rFonts w:hint="eastAsia" w:ascii="宋体" w:hAnsi="宋体" w:cs="宋体"/>
                <w:kern w:val="0"/>
                <w:sz w:val="24"/>
                <w:szCs w:val="24"/>
              </w:rPr>
              <w:t>周期</w:t>
            </w:r>
          </w:p>
        </w:tc>
        <w:tc>
          <w:tcPr>
            <w:tcW w:w="915"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3</w:t>
            </w:r>
          </w:p>
        </w:tc>
        <w:tc>
          <w:tcPr>
            <w:tcW w:w="6034"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lang w:val="en-US" w:eastAsia="zh-CN"/>
              </w:rPr>
              <w:t>服务</w:t>
            </w:r>
            <w:r>
              <w:rPr>
                <w:rFonts w:hint="eastAsia" w:ascii="宋体" w:hAnsi="宋体" w:cs="宋体"/>
                <w:kern w:val="0"/>
                <w:sz w:val="24"/>
                <w:szCs w:val="24"/>
              </w:rPr>
              <w:t>周期，每提前1天加0</w:t>
            </w:r>
            <w:r>
              <w:rPr>
                <w:rFonts w:ascii="宋体" w:hAnsi="宋体" w:cs="宋体"/>
                <w:kern w:val="0"/>
                <w:sz w:val="24"/>
                <w:szCs w:val="24"/>
              </w:rPr>
              <w:t>.5</w:t>
            </w:r>
            <w:r>
              <w:rPr>
                <w:rFonts w:hint="eastAsia" w:ascii="宋体" w:hAnsi="宋体" w:cs="宋体"/>
                <w:kern w:val="0"/>
                <w:sz w:val="24"/>
                <w:szCs w:val="24"/>
              </w:rPr>
              <w:t>分，满分3分。提供</w:t>
            </w:r>
            <w:r>
              <w:rPr>
                <w:rFonts w:hint="eastAsia" w:ascii="宋体" w:hAnsi="宋体" w:cs="宋体"/>
                <w:kern w:val="0"/>
                <w:sz w:val="24"/>
                <w:szCs w:val="24"/>
                <w:lang w:eastAsia="zh-CN"/>
              </w:rPr>
              <w:t>编制</w:t>
            </w:r>
            <w:r>
              <w:rPr>
                <w:rFonts w:hint="eastAsia" w:ascii="宋体" w:hAnsi="宋体" w:cs="宋体"/>
                <w:kern w:val="0"/>
                <w:sz w:val="24"/>
                <w:szCs w:val="24"/>
              </w:rPr>
              <w:t>周期声明函，及详细的</w:t>
            </w:r>
            <w:r>
              <w:rPr>
                <w:rFonts w:hint="eastAsia" w:ascii="宋体" w:hAnsi="宋体" w:cs="宋体"/>
                <w:kern w:val="0"/>
                <w:sz w:val="24"/>
                <w:szCs w:val="24"/>
                <w:lang w:eastAsia="zh-CN"/>
              </w:rPr>
              <w:t>编制</w:t>
            </w:r>
            <w:r>
              <w:rPr>
                <w:rFonts w:hint="eastAsia" w:ascii="宋体" w:hAnsi="宋体" w:cs="宋体"/>
                <w:kern w:val="0"/>
                <w:sz w:val="24"/>
                <w:szCs w:val="24"/>
              </w:rPr>
              <w:t>周期计划。未提供的不得分。</w:t>
            </w:r>
          </w:p>
        </w:tc>
      </w:tr>
      <w:tr>
        <w:tblPrEx>
          <w:tblCellMar>
            <w:top w:w="0" w:type="dxa"/>
            <w:left w:w="108" w:type="dxa"/>
            <w:bottom w:w="0" w:type="dxa"/>
            <w:right w:w="108" w:type="dxa"/>
          </w:tblCellMar>
        </w:tblPrEx>
        <w:trPr>
          <w:trHeight w:val="285" w:hRule="atLeast"/>
          <w:jc w:val="center"/>
        </w:trPr>
        <w:tc>
          <w:tcPr>
            <w:tcW w:w="789" w:type="dxa"/>
            <w:vMerge w:val="continue"/>
            <w:tcBorders>
              <w:left w:val="single" w:color="auto" w:sz="4" w:space="0"/>
              <w:right w:val="single" w:color="auto" w:sz="4" w:space="0"/>
            </w:tcBorders>
            <w:shd w:val="clear" w:color="000000" w:fill="FFFFFF"/>
            <w:vAlign w:val="center"/>
          </w:tcPr>
          <w:p>
            <w:pPr>
              <w:pStyle w:val="192"/>
              <w:rPr>
                <w:rFonts w:ascii="宋体" w:hAnsi="宋体" w:cs="宋体"/>
                <w:sz w:val="24"/>
                <w:szCs w:val="24"/>
              </w:rPr>
            </w:pPr>
          </w:p>
        </w:tc>
        <w:tc>
          <w:tcPr>
            <w:tcW w:w="1305"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项目团队</w:t>
            </w:r>
          </w:p>
        </w:tc>
        <w:tc>
          <w:tcPr>
            <w:tcW w:w="915"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21</w:t>
            </w:r>
          </w:p>
        </w:tc>
        <w:tc>
          <w:tcPr>
            <w:tcW w:w="6034"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lang w:val="en-US" w:eastAsia="zh-CN"/>
              </w:rPr>
              <w:t>1</w:t>
            </w:r>
            <w:r>
              <w:rPr>
                <w:rFonts w:hint="eastAsia" w:ascii="宋体" w:hAnsi="宋体" w:cs="宋体"/>
                <w:kern w:val="0"/>
                <w:sz w:val="24"/>
                <w:szCs w:val="24"/>
              </w:rPr>
              <w:t>、可行性研究报告项目负责人2017年1月1日起至今五年在类似的公共建筑项目中担任项目负责人，每提供一项获得</w:t>
            </w:r>
            <w:r>
              <w:rPr>
                <w:rFonts w:hint="eastAsia" w:ascii="宋体" w:hAnsi="宋体" w:cs="宋体"/>
                <w:kern w:val="0"/>
                <w:sz w:val="24"/>
                <w:szCs w:val="24"/>
                <w:lang w:val="en-US" w:eastAsia="zh-CN"/>
              </w:rPr>
              <w:t>3</w:t>
            </w:r>
            <w:r>
              <w:rPr>
                <w:rFonts w:hint="eastAsia" w:ascii="宋体" w:hAnsi="宋体" w:cs="宋体"/>
                <w:kern w:val="0"/>
                <w:sz w:val="24"/>
                <w:szCs w:val="24"/>
              </w:rPr>
              <w:t>分，满分</w:t>
            </w:r>
            <w:r>
              <w:rPr>
                <w:rFonts w:hint="eastAsia" w:ascii="宋体" w:hAnsi="宋体" w:cs="宋体"/>
                <w:kern w:val="0"/>
                <w:sz w:val="24"/>
                <w:szCs w:val="24"/>
                <w:lang w:val="en-US" w:eastAsia="zh-CN"/>
              </w:rPr>
              <w:t>6</w:t>
            </w:r>
            <w:r>
              <w:rPr>
                <w:rFonts w:hint="eastAsia" w:ascii="宋体" w:hAnsi="宋体" w:cs="宋体"/>
                <w:kern w:val="0"/>
                <w:sz w:val="24"/>
                <w:szCs w:val="24"/>
              </w:rPr>
              <w:t>分。（附合同或中标通知书或竣工验收报告或其他同等效力证明材料，需体现项目负责人姓名）</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lang w:val="en-US" w:eastAsia="zh-CN"/>
              </w:rPr>
              <w:t>2</w:t>
            </w:r>
            <w:r>
              <w:rPr>
                <w:rFonts w:hint="eastAsia" w:ascii="宋体" w:hAnsi="宋体" w:cs="宋体"/>
                <w:kern w:val="0"/>
                <w:sz w:val="24"/>
                <w:szCs w:val="24"/>
              </w:rPr>
              <w:t>、项目主要</w:t>
            </w:r>
            <w:r>
              <w:rPr>
                <w:rFonts w:hint="eastAsia" w:ascii="宋体" w:hAnsi="宋体" w:cs="宋体"/>
                <w:kern w:val="0"/>
                <w:sz w:val="24"/>
                <w:szCs w:val="24"/>
                <w:lang w:eastAsia="zh-CN"/>
              </w:rPr>
              <w:t>编制设计</w:t>
            </w:r>
            <w:r>
              <w:rPr>
                <w:rFonts w:hint="eastAsia" w:ascii="宋体" w:hAnsi="宋体" w:cs="宋体"/>
                <w:kern w:val="0"/>
                <w:sz w:val="24"/>
                <w:szCs w:val="24"/>
              </w:rPr>
              <w:t>人员必须提供简历，项目团队其他人员有相关证书，如注册咨询工程师（投资）或相关专业的中级工程师等，有1名得1分，满分</w:t>
            </w:r>
            <w:r>
              <w:rPr>
                <w:rFonts w:hint="eastAsia" w:ascii="宋体" w:hAnsi="宋体" w:cs="宋体"/>
                <w:kern w:val="0"/>
                <w:sz w:val="24"/>
                <w:szCs w:val="24"/>
                <w:lang w:val="en-US" w:eastAsia="zh-CN"/>
              </w:rPr>
              <w:t>10</w:t>
            </w:r>
            <w:r>
              <w:rPr>
                <w:rFonts w:hint="eastAsia" w:ascii="宋体" w:hAnsi="宋体" w:cs="宋体"/>
                <w:kern w:val="0"/>
                <w:sz w:val="24"/>
                <w:szCs w:val="24"/>
              </w:rPr>
              <w:t>分（需提供</w:t>
            </w:r>
            <w:r>
              <w:rPr>
                <w:rFonts w:hint="eastAsia" w:ascii="宋体" w:hAnsi="宋体" w:cs="宋体"/>
                <w:kern w:val="0"/>
                <w:sz w:val="24"/>
                <w:szCs w:val="24"/>
                <w:lang w:eastAsia="zh-CN"/>
              </w:rPr>
              <w:t>人员身份证、社保证明或劳动合同、</w:t>
            </w:r>
            <w:r>
              <w:rPr>
                <w:rFonts w:hint="eastAsia" w:ascii="宋体" w:hAnsi="宋体" w:cs="宋体"/>
                <w:kern w:val="0"/>
                <w:sz w:val="24"/>
                <w:szCs w:val="24"/>
              </w:rPr>
              <w:t>证书复印件</w:t>
            </w:r>
            <w:r>
              <w:rPr>
                <w:rFonts w:hint="eastAsia" w:ascii="宋体" w:hAnsi="宋体" w:cs="宋体"/>
                <w:kern w:val="0"/>
                <w:sz w:val="24"/>
                <w:szCs w:val="24"/>
                <w:lang w:eastAsia="zh-CN"/>
              </w:rPr>
              <w:t>等</w:t>
            </w:r>
            <w:r>
              <w:rPr>
                <w:rFonts w:hint="eastAsia" w:ascii="宋体" w:hAnsi="宋体" w:cs="宋体"/>
                <w:kern w:val="0"/>
                <w:sz w:val="24"/>
                <w:szCs w:val="24"/>
              </w:rPr>
              <w:t>）</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5、项目主要</w:t>
            </w:r>
            <w:r>
              <w:rPr>
                <w:rFonts w:hint="eastAsia" w:ascii="宋体" w:hAnsi="宋体" w:cs="宋体"/>
                <w:kern w:val="0"/>
                <w:sz w:val="24"/>
                <w:szCs w:val="24"/>
                <w:lang w:eastAsia="zh-CN"/>
              </w:rPr>
              <w:t>编制设计</w:t>
            </w:r>
            <w:r>
              <w:rPr>
                <w:rFonts w:hint="eastAsia" w:ascii="宋体" w:hAnsi="宋体" w:cs="宋体"/>
                <w:kern w:val="0"/>
                <w:sz w:val="24"/>
                <w:szCs w:val="24"/>
              </w:rPr>
              <w:t>人员2017年1月1日起至今五年有、类似的公共建筑项目可行性研究报告业绩的，每提供一个得</w:t>
            </w:r>
            <w:r>
              <w:rPr>
                <w:rFonts w:hint="eastAsia" w:ascii="宋体" w:hAnsi="宋体" w:cs="宋体"/>
                <w:kern w:val="0"/>
                <w:sz w:val="24"/>
                <w:szCs w:val="24"/>
                <w:lang w:val="en-US" w:eastAsia="zh-CN"/>
              </w:rPr>
              <w:t>1</w:t>
            </w:r>
            <w:r>
              <w:rPr>
                <w:rFonts w:hint="eastAsia" w:ascii="宋体" w:hAnsi="宋体" w:cs="宋体"/>
                <w:kern w:val="0"/>
                <w:sz w:val="24"/>
                <w:szCs w:val="24"/>
              </w:rPr>
              <w:t>分，满分</w:t>
            </w:r>
            <w:r>
              <w:rPr>
                <w:rFonts w:hint="eastAsia" w:ascii="宋体" w:hAnsi="宋体" w:cs="宋体"/>
                <w:kern w:val="0"/>
                <w:sz w:val="24"/>
                <w:szCs w:val="24"/>
                <w:lang w:val="en-US" w:eastAsia="zh-CN"/>
              </w:rPr>
              <w:t>5</w:t>
            </w:r>
            <w:r>
              <w:rPr>
                <w:rFonts w:hint="eastAsia" w:ascii="宋体" w:hAnsi="宋体" w:cs="宋体"/>
                <w:kern w:val="0"/>
                <w:sz w:val="24"/>
                <w:szCs w:val="24"/>
              </w:rPr>
              <w:t>分。（提供证明材料）</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以上内容，未提供的不得分。</w:t>
            </w:r>
          </w:p>
        </w:tc>
      </w:tr>
      <w:tr>
        <w:tblPrEx>
          <w:tblCellMar>
            <w:top w:w="0" w:type="dxa"/>
            <w:left w:w="108" w:type="dxa"/>
            <w:bottom w:w="0" w:type="dxa"/>
            <w:right w:w="108" w:type="dxa"/>
          </w:tblCellMar>
        </w:tblPrEx>
        <w:trPr>
          <w:trHeight w:val="285" w:hRule="atLeast"/>
          <w:jc w:val="center"/>
        </w:trPr>
        <w:tc>
          <w:tcPr>
            <w:tcW w:w="789" w:type="dxa"/>
            <w:vMerge w:val="continue"/>
            <w:tcBorders>
              <w:left w:val="single" w:color="auto" w:sz="4" w:space="0"/>
              <w:right w:val="single" w:color="auto" w:sz="4" w:space="0"/>
            </w:tcBorders>
            <w:shd w:val="clear" w:color="000000" w:fill="FFFFFF"/>
            <w:vAlign w:val="center"/>
          </w:tcPr>
          <w:p>
            <w:pPr>
              <w:pStyle w:val="192"/>
              <w:rPr>
                <w:rFonts w:ascii="宋体" w:hAnsi="宋体" w:cs="宋体"/>
                <w:sz w:val="24"/>
                <w:szCs w:val="24"/>
              </w:rPr>
            </w:pPr>
          </w:p>
        </w:tc>
        <w:tc>
          <w:tcPr>
            <w:tcW w:w="1305"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获得奖项</w:t>
            </w:r>
          </w:p>
        </w:tc>
        <w:tc>
          <w:tcPr>
            <w:tcW w:w="915"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2</w:t>
            </w:r>
          </w:p>
        </w:tc>
        <w:tc>
          <w:tcPr>
            <w:tcW w:w="6034"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2017年1月1日起至今五年</w:t>
            </w:r>
            <w:r>
              <w:rPr>
                <w:rFonts w:hint="eastAsia" w:ascii="宋体" w:hAnsi="宋体" w:cs="宋体"/>
                <w:kern w:val="0"/>
                <w:sz w:val="24"/>
                <w:szCs w:val="24"/>
                <w:lang w:eastAsia="zh-CN"/>
              </w:rPr>
              <w:t>供应商所</w:t>
            </w:r>
            <w:r>
              <w:rPr>
                <w:rFonts w:hint="eastAsia" w:ascii="宋体" w:hAnsi="宋体" w:cs="宋体"/>
                <w:kern w:val="0"/>
                <w:sz w:val="24"/>
                <w:szCs w:val="24"/>
              </w:rPr>
              <w:t>编制的可行性研究报告或者相关</w:t>
            </w:r>
            <w:r>
              <w:rPr>
                <w:rFonts w:hint="eastAsia" w:ascii="宋体" w:hAnsi="宋体" w:cs="宋体"/>
                <w:kern w:val="0"/>
                <w:sz w:val="24"/>
                <w:szCs w:val="24"/>
                <w:lang w:eastAsia="zh-CN"/>
              </w:rPr>
              <w:t>编制设计</w:t>
            </w:r>
            <w:r>
              <w:rPr>
                <w:rFonts w:hint="eastAsia" w:ascii="宋体" w:hAnsi="宋体" w:cs="宋体"/>
                <w:kern w:val="0"/>
                <w:sz w:val="24"/>
                <w:szCs w:val="24"/>
              </w:rPr>
              <w:t>项目获得过国家级奖项的每</w:t>
            </w:r>
            <w:r>
              <w:rPr>
                <w:rFonts w:hint="eastAsia" w:ascii="宋体" w:hAnsi="宋体" w:cs="宋体"/>
                <w:kern w:val="0"/>
                <w:sz w:val="24"/>
                <w:szCs w:val="24"/>
                <w:lang w:eastAsia="zh-CN"/>
              </w:rPr>
              <w:t>一个得</w:t>
            </w:r>
            <w:r>
              <w:rPr>
                <w:rFonts w:hint="eastAsia" w:ascii="宋体" w:hAnsi="宋体" w:cs="宋体"/>
                <w:kern w:val="0"/>
                <w:sz w:val="24"/>
                <w:szCs w:val="24"/>
              </w:rPr>
              <w:t>1分，满分2分</w:t>
            </w:r>
            <w:r>
              <w:rPr>
                <w:rFonts w:hint="eastAsia" w:ascii="宋体" w:hAnsi="宋体" w:cs="宋体"/>
                <w:kern w:val="0"/>
                <w:sz w:val="24"/>
                <w:szCs w:val="24"/>
                <w:lang w:eastAsia="zh-CN"/>
              </w:rPr>
              <w:t>。</w:t>
            </w:r>
            <w:r>
              <w:rPr>
                <w:rFonts w:hint="eastAsia" w:ascii="宋体" w:hAnsi="宋体" w:cs="宋体"/>
                <w:kern w:val="0"/>
                <w:sz w:val="24"/>
                <w:szCs w:val="24"/>
              </w:rPr>
              <w:t>提供证明材料</w:t>
            </w:r>
            <w:r>
              <w:rPr>
                <w:rFonts w:hint="eastAsia" w:ascii="宋体" w:hAnsi="宋体" w:cs="宋体"/>
                <w:kern w:val="0"/>
                <w:sz w:val="24"/>
                <w:szCs w:val="24"/>
                <w:lang w:eastAsia="zh-CN"/>
              </w:rPr>
              <w:t>，</w:t>
            </w:r>
            <w:r>
              <w:rPr>
                <w:rFonts w:hint="eastAsia" w:ascii="宋体" w:hAnsi="宋体" w:cs="宋体"/>
                <w:kern w:val="0"/>
                <w:sz w:val="24"/>
                <w:szCs w:val="24"/>
              </w:rPr>
              <w:t>未提供的不得分。</w:t>
            </w:r>
          </w:p>
        </w:tc>
      </w:tr>
      <w:tr>
        <w:tblPrEx>
          <w:tblCellMar>
            <w:top w:w="0" w:type="dxa"/>
            <w:left w:w="108" w:type="dxa"/>
            <w:bottom w:w="0" w:type="dxa"/>
            <w:right w:w="108" w:type="dxa"/>
          </w:tblCellMar>
        </w:tblPrEx>
        <w:trPr>
          <w:trHeight w:val="285" w:hRule="atLeast"/>
          <w:jc w:val="center"/>
        </w:trPr>
        <w:tc>
          <w:tcPr>
            <w:tcW w:w="789" w:type="dxa"/>
            <w:vMerge w:val="restart"/>
            <w:tcBorders>
              <w:top w:val="nil"/>
              <w:left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技术评审（50分）</w:t>
            </w:r>
          </w:p>
        </w:tc>
        <w:tc>
          <w:tcPr>
            <w:tcW w:w="1305" w:type="dxa"/>
            <w:vMerge w:val="restart"/>
            <w:tcBorders>
              <w:top w:val="nil"/>
              <w:left w:val="nil"/>
              <w:right w:val="single" w:color="auto" w:sz="4" w:space="0"/>
            </w:tcBorders>
            <w:shd w:val="clear" w:color="000000" w:fill="FFFFFF"/>
            <w:vAlign w:val="bottom"/>
          </w:tcPr>
          <w:p>
            <w:pPr>
              <w:widowControl/>
              <w:spacing w:before="0" w:beforeAutospacing="0" w:after="0" w:afterAutospacing="0" w:line="240" w:lineRule="auto"/>
              <w:jc w:val="center"/>
              <w:rPr>
                <w:rFonts w:hint="eastAsia" w:ascii="宋体" w:hAnsi="宋体" w:cs="宋体"/>
                <w:kern w:val="0"/>
                <w:sz w:val="24"/>
                <w:szCs w:val="24"/>
              </w:rPr>
            </w:pPr>
          </w:p>
          <w:p>
            <w:pPr>
              <w:widowControl/>
              <w:spacing w:before="0" w:beforeAutospacing="0" w:after="0" w:afterAutospacing="0" w:line="240" w:lineRule="auto"/>
              <w:jc w:val="center"/>
              <w:rPr>
                <w:rFonts w:hint="eastAsia" w:ascii="宋体" w:hAnsi="宋体" w:cs="宋体"/>
                <w:kern w:val="0"/>
                <w:sz w:val="24"/>
                <w:szCs w:val="24"/>
              </w:rPr>
            </w:pPr>
          </w:p>
          <w:p>
            <w:pPr>
              <w:widowControl/>
              <w:spacing w:before="0" w:beforeAutospacing="0" w:after="0" w:afterAutospacing="0" w:line="240" w:lineRule="auto"/>
              <w:jc w:val="center"/>
              <w:rPr>
                <w:rFonts w:hint="eastAsia" w:ascii="宋体" w:hAnsi="宋体" w:cs="宋体"/>
                <w:kern w:val="0"/>
                <w:sz w:val="24"/>
                <w:szCs w:val="24"/>
              </w:rPr>
            </w:pPr>
          </w:p>
          <w:p>
            <w:pPr>
              <w:widowControl/>
              <w:spacing w:before="0" w:beforeAutospacing="0" w:after="0" w:afterAutospacing="0" w:line="240" w:lineRule="auto"/>
              <w:jc w:val="center"/>
              <w:rPr>
                <w:rFonts w:hint="eastAsia" w:ascii="宋体" w:hAnsi="宋体" w:cs="宋体"/>
                <w:kern w:val="0"/>
                <w:sz w:val="24"/>
                <w:szCs w:val="24"/>
              </w:rPr>
            </w:pPr>
          </w:p>
          <w:p>
            <w:pPr>
              <w:widowControl/>
              <w:spacing w:before="0" w:beforeAutospacing="0" w:after="0" w:afterAutospacing="0" w:line="240" w:lineRule="auto"/>
              <w:jc w:val="center"/>
              <w:rPr>
                <w:rFonts w:hint="eastAsia" w:ascii="宋体" w:hAnsi="宋体" w:cs="宋体"/>
                <w:kern w:val="0"/>
                <w:sz w:val="24"/>
                <w:szCs w:val="24"/>
              </w:rPr>
            </w:pPr>
          </w:p>
          <w:p>
            <w:pPr>
              <w:widowControl/>
              <w:spacing w:before="0" w:beforeAutospacing="0" w:after="0" w:afterAutospacing="0" w:line="240" w:lineRule="auto"/>
              <w:jc w:val="center"/>
              <w:rPr>
                <w:rFonts w:hint="eastAsia" w:ascii="宋体" w:hAnsi="宋体" w:cs="宋体"/>
                <w:kern w:val="0"/>
                <w:sz w:val="24"/>
                <w:szCs w:val="24"/>
              </w:rPr>
            </w:pPr>
          </w:p>
          <w:p>
            <w:pPr>
              <w:widowControl/>
              <w:spacing w:before="0" w:beforeAutospacing="0" w:after="0" w:afterAutospacing="0" w:line="240" w:lineRule="auto"/>
              <w:jc w:val="center"/>
              <w:rPr>
                <w:rFonts w:hint="eastAsia" w:ascii="宋体" w:hAnsi="宋体" w:cs="宋体"/>
                <w:kern w:val="0"/>
                <w:sz w:val="24"/>
                <w:szCs w:val="24"/>
              </w:rPr>
            </w:pPr>
          </w:p>
          <w:p>
            <w:pPr>
              <w:widowControl/>
              <w:spacing w:before="0" w:beforeAutospacing="0" w:after="0" w:afterAutospacing="0" w:line="240" w:lineRule="auto"/>
              <w:jc w:val="center"/>
              <w:rPr>
                <w:rFonts w:hint="eastAsia" w:ascii="宋体" w:hAnsi="宋体" w:cs="宋体"/>
                <w:kern w:val="0"/>
                <w:sz w:val="24"/>
                <w:szCs w:val="24"/>
              </w:rPr>
            </w:pPr>
          </w:p>
          <w:p>
            <w:pPr>
              <w:widowControl/>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可研报告编制方案</w:t>
            </w:r>
          </w:p>
        </w:tc>
        <w:tc>
          <w:tcPr>
            <w:tcW w:w="915"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12</w:t>
            </w:r>
          </w:p>
        </w:tc>
        <w:tc>
          <w:tcPr>
            <w:tcW w:w="6034"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rPr>
                <w:rFonts w:ascii="宋体" w:hAnsi="宋体" w:cs="宋体"/>
                <w:kern w:val="0"/>
                <w:sz w:val="24"/>
                <w:szCs w:val="24"/>
              </w:rPr>
            </w:pPr>
            <w:r>
              <w:rPr>
                <w:rFonts w:hint="eastAsia" w:ascii="宋体" w:hAnsi="宋体" w:cs="宋体"/>
                <w:kern w:val="0"/>
                <w:sz w:val="24"/>
                <w:szCs w:val="24"/>
              </w:rPr>
              <w:t>说明可研报告编制方案工作范围和主要内容，内容充实详尽且对工作范围理解准确的得12分，内容较充实且对工作范围理解基本准确的得8分，内容空洞不够具体或对工作范围理解有偏差的得4分。未提供的不得分。</w:t>
            </w:r>
          </w:p>
        </w:tc>
      </w:tr>
      <w:tr>
        <w:tblPrEx>
          <w:tblCellMar>
            <w:top w:w="0" w:type="dxa"/>
            <w:left w:w="108" w:type="dxa"/>
            <w:bottom w:w="0" w:type="dxa"/>
            <w:right w:w="108" w:type="dxa"/>
          </w:tblCellMar>
        </w:tblPrEx>
        <w:trPr>
          <w:trHeight w:val="285" w:hRule="atLeast"/>
          <w:jc w:val="center"/>
        </w:trPr>
        <w:tc>
          <w:tcPr>
            <w:tcW w:w="789" w:type="dxa"/>
            <w:vMerge w:val="continue"/>
            <w:tcBorders>
              <w:left w:val="single" w:color="auto" w:sz="4" w:space="0"/>
              <w:right w:val="single" w:color="auto" w:sz="4" w:space="0"/>
            </w:tcBorders>
            <w:shd w:val="clear" w:color="000000" w:fill="FFFFFF"/>
            <w:vAlign w:val="center"/>
          </w:tcPr>
          <w:p>
            <w:pPr>
              <w:pStyle w:val="192"/>
              <w:rPr>
                <w:rFonts w:ascii="宋体" w:hAnsi="宋体" w:cs="宋体"/>
                <w:sz w:val="24"/>
                <w:szCs w:val="24"/>
              </w:rPr>
            </w:pPr>
          </w:p>
        </w:tc>
        <w:tc>
          <w:tcPr>
            <w:tcW w:w="1305" w:type="dxa"/>
            <w:vMerge w:val="continue"/>
            <w:tcBorders>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kern w:val="0"/>
                <w:sz w:val="24"/>
                <w:szCs w:val="24"/>
              </w:rPr>
            </w:pPr>
          </w:p>
        </w:tc>
        <w:tc>
          <w:tcPr>
            <w:tcW w:w="915"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18</w:t>
            </w:r>
          </w:p>
        </w:tc>
        <w:tc>
          <w:tcPr>
            <w:tcW w:w="6034"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编制</w:t>
            </w:r>
            <w:r>
              <w:rPr>
                <w:rFonts w:hint="eastAsia" w:ascii="宋体" w:hAnsi="宋体" w:cs="宋体"/>
                <w:kern w:val="0"/>
                <w:sz w:val="24"/>
                <w:szCs w:val="24"/>
              </w:rPr>
              <w:t>思路表述情况：</w:t>
            </w:r>
            <w:r>
              <w:rPr>
                <w:rFonts w:hint="eastAsia" w:ascii="宋体" w:hAnsi="宋体" w:cs="宋体"/>
                <w:kern w:val="0"/>
                <w:sz w:val="24"/>
                <w:szCs w:val="24"/>
                <w:lang w:val="en-US" w:eastAsia="zh-CN"/>
              </w:rPr>
              <w:t>编制</w:t>
            </w:r>
            <w:r>
              <w:rPr>
                <w:rFonts w:hint="eastAsia" w:ascii="宋体" w:hAnsi="宋体" w:cs="宋体"/>
                <w:kern w:val="0"/>
                <w:sz w:val="24"/>
                <w:szCs w:val="24"/>
              </w:rPr>
              <w:t>的论据和依据的合理性，形成的结论与成果逻辑性，</w:t>
            </w:r>
            <w:r>
              <w:rPr>
                <w:rFonts w:hint="eastAsia" w:ascii="宋体" w:hAnsi="宋体" w:cs="宋体"/>
                <w:kern w:val="0"/>
                <w:sz w:val="24"/>
                <w:szCs w:val="24"/>
                <w:lang w:eastAsia="zh-CN"/>
              </w:rPr>
              <w:t>编制思路</w:t>
            </w:r>
            <w:r>
              <w:rPr>
                <w:rFonts w:hint="eastAsia" w:ascii="宋体" w:hAnsi="宋体" w:cs="宋体"/>
                <w:kern w:val="0"/>
                <w:sz w:val="24"/>
                <w:szCs w:val="24"/>
              </w:rPr>
              <w:t>的清晰、完整、严谨、合理性。</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1）对问题分析完整、准确，</w:t>
            </w:r>
            <w:r>
              <w:rPr>
                <w:rFonts w:hint="eastAsia" w:ascii="宋体" w:hAnsi="宋体" w:cs="宋体"/>
                <w:kern w:val="0"/>
                <w:sz w:val="24"/>
                <w:szCs w:val="24"/>
                <w:lang w:eastAsia="zh-CN"/>
              </w:rPr>
              <w:t>编制思路</w:t>
            </w:r>
            <w:r>
              <w:rPr>
                <w:rFonts w:hint="eastAsia" w:ascii="宋体" w:hAnsi="宋体" w:cs="宋体"/>
                <w:kern w:val="0"/>
                <w:sz w:val="24"/>
                <w:szCs w:val="24"/>
              </w:rPr>
              <w:t>清晰、严谨：8分；</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2）对问题分析较为完整、准确，</w:t>
            </w:r>
            <w:r>
              <w:rPr>
                <w:rFonts w:hint="eastAsia" w:ascii="宋体" w:hAnsi="宋体" w:cs="宋体"/>
                <w:kern w:val="0"/>
                <w:sz w:val="24"/>
                <w:szCs w:val="24"/>
                <w:lang w:eastAsia="zh-CN"/>
              </w:rPr>
              <w:t>编制思路</w:t>
            </w:r>
            <w:r>
              <w:rPr>
                <w:rFonts w:hint="eastAsia" w:ascii="宋体" w:hAnsi="宋体" w:cs="宋体"/>
                <w:kern w:val="0"/>
                <w:sz w:val="24"/>
                <w:szCs w:val="24"/>
              </w:rPr>
              <w:t>较清晰、严谨： 6分；</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3）对问题分析不完整、较准确，</w:t>
            </w:r>
            <w:r>
              <w:rPr>
                <w:rFonts w:hint="eastAsia" w:ascii="宋体" w:hAnsi="宋体" w:cs="宋体"/>
                <w:kern w:val="0"/>
                <w:sz w:val="24"/>
                <w:szCs w:val="24"/>
                <w:lang w:eastAsia="zh-CN"/>
              </w:rPr>
              <w:t>编制思路</w:t>
            </w:r>
            <w:r>
              <w:rPr>
                <w:rFonts w:hint="eastAsia" w:ascii="宋体" w:hAnsi="宋体" w:cs="宋体"/>
                <w:kern w:val="0"/>
                <w:sz w:val="24"/>
                <w:szCs w:val="24"/>
              </w:rPr>
              <w:t>较混乱： 3分；</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4）</w:t>
            </w:r>
            <w:r>
              <w:rPr>
                <w:rFonts w:hint="eastAsia" w:ascii="宋体" w:hAnsi="宋体" w:cs="宋体"/>
                <w:kern w:val="0"/>
                <w:sz w:val="24"/>
                <w:szCs w:val="24"/>
                <w:lang w:eastAsia="zh-CN"/>
              </w:rPr>
              <w:t>编制思路</w:t>
            </w:r>
            <w:r>
              <w:rPr>
                <w:rFonts w:hint="eastAsia" w:ascii="宋体" w:hAnsi="宋体" w:cs="宋体"/>
                <w:kern w:val="0"/>
                <w:sz w:val="24"/>
                <w:szCs w:val="24"/>
              </w:rPr>
              <w:t>差，不准确：得0分。</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2、对项目的理解，</w:t>
            </w:r>
            <w:r>
              <w:rPr>
                <w:rFonts w:hint="eastAsia" w:ascii="宋体" w:hAnsi="宋体" w:cs="宋体"/>
                <w:kern w:val="0"/>
                <w:sz w:val="24"/>
                <w:szCs w:val="24"/>
                <w:lang w:val="en-US" w:eastAsia="zh-CN"/>
              </w:rPr>
              <w:t>编制</w:t>
            </w:r>
            <w:r>
              <w:rPr>
                <w:rFonts w:hint="eastAsia" w:ascii="宋体" w:hAnsi="宋体" w:cs="宋体"/>
                <w:kern w:val="0"/>
                <w:sz w:val="24"/>
                <w:szCs w:val="24"/>
              </w:rPr>
              <w:t>情况（是否充分理解项目，</w:t>
            </w:r>
            <w:r>
              <w:rPr>
                <w:rFonts w:hint="eastAsia" w:ascii="宋体" w:hAnsi="宋体" w:cs="宋体"/>
                <w:kern w:val="0"/>
                <w:sz w:val="24"/>
                <w:szCs w:val="24"/>
                <w:lang w:eastAsia="zh-CN"/>
              </w:rPr>
              <w:t>编制设计</w:t>
            </w:r>
            <w:r>
              <w:rPr>
                <w:rFonts w:hint="eastAsia" w:ascii="宋体" w:hAnsi="宋体" w:cs="宋体"/>
                <w:kern w:val="0"/>
                <w:sz w:val="24"/>
                <w:szCs w:val="24"/>
              </w:rPr>
              <w:t>方案是否清晰、完整合理，系统间衔接是否合理）。</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1）充分理解项目要求，</w:t>
            </w:r>
            <w:r>
              <w:rPr>
                <w:rFonts w:hint="eastAsia" w:ascii="宋体" w:hAnsi="宋体" w:cs="宋体"/>
                <w:kern w:val="0"/>
                <w:sz w:val="24"/>
                <w:szCs w:val="24"/>
                <w:lang w:eastAsia="zh-CN"/>
              </w:rPr>
              <w:t>可研编制</w:t>
            </w:r>
            <w:r>
              <w:rPr>
                <w:rFonts w:hint="eastAsia" w:ascii="宋体" w:hAnsi="宋体" w:cs="宋体"/>
                <w:kern w:val="0"/>
                <w:sz w:val="24"/>
                <w:szCs w:val="24"/>
              </w:rPr>
              <w:t>完整合理：得8分；</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2）较为理解项目要求，</w:t>
            </w:r>
            <w:r>
              <w:rPr>
                <w:rFonts w:hint="eastAsia" w:ascii="宋体" w:hAnsi="宋体" w:cs="宋体"/>
                <w:kern w:val="0"/>
                <w:sz w:val="24"/>
                <w:szCs w:val="24"/>
                <w:lang w:eastAsia="zh-CN"/>
              </w:rPr>
              <w:t>可研编制</w:t>
            </w:r>
            <w:r>
              <w:rPr>
                <w:rFonts w:hint="eastAsia" w:ascii="宋体" w:hAnsi="宋体" w:cs="宋体"/>
                <w:kern w:val="0"/>
                <w:sz w:val="24"/>
                <w:szCs w:val="24"/>
              </w:rPr>
              <w:t>较为完整合理：得6分；</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3）未充分理解项目要求，</w:t>
            </w:r>
            <w:r>
              <w:rPr>
                <w:rFonts w:hint="eastAsia" w:ascii="宋体" w:hAnsi="宋体" w:cs="宋体"/>
                <w:kern w:val="0"/>
                <w:sz w:val="24"/>
                <w:szCs w:val="24"/>
                <w:lang w:eastAsia="zh-CN"/>
              </w:rPr>
              <w:t>可研编制</w:t>
            </w:r>
            <w:r>
              <w:rPr>
                <w:rFonts w:hint="eastAsia" w:ascii="宋体" w:hAnsi="宋体" w:cs="宋体"/>
                <w:kern w:val="0"/>
                <w:sz w:val="24"/>
                <w:szCs w:val="24"/>
              </w:rPr>
              <w:t>欠完整：得3分；</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4）理解有明显偏差，</w:t>
            </w:r>
            <w:r>
              <w:rPr>
                <w:rFonts w:hint="eastAsia" w:ascii="宋体" w:hAnsi="宋体" w:cs="宋体"/>
                <w:kern w:val="0"/>
                <w:sz w:val="24"/>
                <w:szCs w:val="24"/>
                <w:lang w:eastAsia="zh-CN"/>
              </w:rPr>
              <w:t>可研编制</w:t>
            </w:r>
            <w:r>
              <w:rPr>
                <w:rFonts w:hint="eastAsia" w:ascii="宋体" w:hAnsi="宋体" w:cs="宋体"/>
                <w:kern w:val="0"/>
                <w:sz w:val="24"/>
                <w:szCs w:val="24"/>
              </w:rPr>
              <w:t>差：得0分。</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3、评价整体</w:t>
            </w:r>
            <w:r>
              <w:rPr>
                <w:rFonts w:hint="eastAsia" w:ascii="宋体" w:hAnsi="宋体" w:cs="宋体"/>
                <w:kern w:val="0"/>
                <w:sz w:val="24"/>
                <w:szCs w:val="24"/>
                <w:lang w:eastAsia="zh-CN"/>
              </w:rPr>
              <w:t>编制设计</w:t>
            </w:r>
            <w:r>
              <w:rPr>
                <w:rFonts w:hint="eastAsia" w:ascii="宋体" w:hAnsi="宋体" w:cs="宋体"/>
                <w:kern w:val="0"/>
                <w:sz w:val="24"/>
                <w:szCs w:val="24"/>
              </w:rPr>
              <w:t>说明的编制深度及完整性措施，工程概算合理性的保证措施。</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1）措施完整合理，得2分；</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2）措施较为完整合理，得1分；</w:t>
            </w:r>
          </w:p>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3）措施欠缺不合理，得0分。</w:t>
            </w:r>
          </w:p>
        </w:tc>
      </w:tr>
      <w:tr>
        <w:tblPrEx>
          <w:tblCellMar>
            <w:top w:w="0" w:type="dxa"/>
            <w:left w:w="108" w:type="dxa"/>
            <w:bottom w:w="0" w:type="dxa"/>
            <w:right w:w="108" w:type="dxa"/>
          </w:tblCellMar>
        </w:tblPrEx>
        <w:trPr>
          <w:trHeight w:val="285" w:hRule="atLeast"/>
          <w:jc w:val="center"/>
        </w:trPr>
        <w:tc>
          <w:tcPr>
            <w:tcW w:w="789" w:type="dxa"/>
            <w:vMerge w:val="continue"/>
            <w:tcBorders>
              <w:left w:val="single" w:color="auto" w:sz="4" w:space="0"/>
              <w:right w:val="single" w:color="auto" w:sz="4" w:space="0"/>
            </w:tcBorders>
            <w:shd w:val="clear" w:color="000000" w:fill="FFFFFF"/>
            <w:vAlign w:val="center"/>
          </w:tcPr>
          <w:p>
            <w:pPr>
              <w:pStyle w:val="192"/>
              <w:rPr>
                <w:rFonts w:ascii="宋体" w:hAnsi="宋体" w:cs="宋体"/>
                <w:sz w:val="24"/>
                <w:szCs w:val="24"/>
              </w:rPr>
            </w:pPr>
          </w:p>
        </w:tc>
        <w:tc>
          <w:tcPr>
            <w:tcW w:w="1305"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服务团队职责分工</w:t>
            </w:r>
          </w:p>
        </w:tc>
        <w:tc>
          <w:tcPr>
            <w:tcW w:w="915"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5</w:t>
            </w:r>
          </w:p>
        </w:tc>
        <w:tc>
          <w:tcPr>
            <w:tcW w:w="6034"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项目团队分工岗位划分明确，责任分工清晰，得5分，从整体看岗位划分混乱，责任不明确，或缺乏经验根据情况相应酌情扣分，扣完为止。</w:t>
            </w:r>
          </w:p>
        </w:tc>
      </w:tr>
      <w:tr>
        <w:tblPrEx>
          <w:tblCellMar>
            <w:top w:w="0" w:type="dxa"/>
            <w:left w:w="108" w:type="dxa"/>
            <w:bottom w:w="0" w:type="dxa"/>
            <w:right w:w="108" w:type="dxa"/>
          </w:tblCellMar>
        </w:tblPrEx>
        <w:trPr>
          <w:trHeight w:val="285" w:hRule="atLeast"/>
          <w:jc w:val="center"/>
        </w:trPr>
        <w:tc>
          <w:tcPr>
            <w:tcW w:w="789" w:type="dxa"/>
            <w:vMerge w:val="continue"/>
            <w:tcBorders>
              <w:left w:val="single" w:color="auto" w:sz="4" w:space="0"/>
              <w:right w:val="single" w:color="auto" w:sz="4" w:space="0"/>
            </w:tcBorders>
            <w:shd w:val="clear" w:color="000000" w:fill="FFFFFF"/>
            <w:vAlign w:val="center"/>
          </w:tcPr>
          <w:p>
            <w:pPr>
              <w:pStyle w:val="192"/>
              <w:rPr>
                <w:rFonts w:ascii="宋体" w:hAnsi="宋体" w:cs="宋体"/>
                <w:sz w:val="24"/>
                <w:szCs w:val="24"/>
              </w:rPr>
            </w:pPr>
          </w:p>
        </w:tc>
        <w:tc>
          <w:tcPr>
            <w:tcW w:w="1305"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内部管理制度</w:t>
            </w:r>
          </w:p>
        </w:tc>
        <w:tc>
          <w:tcPr>
            <w:tcW w:w="915"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3</w:t>
            </w:r>
          </w:p>
        </w:tc>
        <w:tc>
          <w:tcPr>
            <w:tcW w:w="6034"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left"/>
              <w:rPr>
                <w:rFonts w:ascii="宋体" w:hAnsi="宋体" w:cs="宋体"/>
                <w:kern w:val="0"/>
                <w:sz w:val="24"/>
                <w:szCs w:val="24"/>
              </w:rPr>
            </w:pPr>
            <w:r>
              <w:rPr>
                <w:rFonts w:hint="eastAsia" w:ascii="宋体" w:hAnsi="宋体" w:cs="宋体"/>
                <w:kern w:val="0"/>
                <w:sz w:val="24"/>
                <w:szCs w:val="24"/>
              </w:rPr>
              <w:t>有健全的项目管理制度、质量管理制度、财务管理制度、风险管理制度、经营管理制度和廉政管理制度的得3分，每缺一项扣0.5分。未提供的不得分。</w:t>
            </w:r>
          </w:p>
        </w:tc>
      </w:tr>
      <w:tr>
        <w:tblPrEx>
          <w:tblCellMar>
            <w:top w:w="0" w:type="dxa"/>
            <w:left w:w="108" w:type="dxa"/>
            <w:bottom w:w="0" w:type="dxa"/>
            <w:right w:w="108" w:type="dxa"/>
          </w:tblCellMar>
        </w:tblPrEx>
        <w:trPr>
          <w:trHeight w:val="285" w:hRule="atLeast"/>
          <w:jc w:val="center"/>
        </w:trPr>
        <w:tc>
          <w:tcPr>
            <w:tcW w:w="789" w:type="dxa"/>
            <w:vMerge w:val="continue"/>
            <w:tcBorders>
              <w:left w:val="single" w:color="auto" w:sz="4" w:space="0"/>
              <w:right w:val="single" w:color="auto" w:sz="4" w:space="0"/>
            </w:tcBorders>
            <w:shd w:val="clear" w:color="000000" w:fill="FFFFFF"/>
            <w:vAlign w:val="center"/>
          </w:tcPr>
          <w:p>
            <w:pPr>
              <w:pStyle w:val="192"/>
              <w:rPr>
                <w:rFonts w:ascii="宋体" w:hAnsi="宋体" w:cs="宋体"/>
                <w:sz w:val="24"/>
                <w:szCs w:val="24"/>
              </w:rPr>
            </w:pPr>
          </w:p>
        </w:tc>
        <w:tc>
          <w:tcPr>
            <w:tcW w:w="1305"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textAlignment w:val="center"/>
              <w:rPr>
                <w:rFonts w:ascii="宋体" w:hAnsi="宋体" w:cs="宋体"/>
                <w:kern w:val="0"/>
                <w:sz w:val="24"/>
                <w:szCs w:val="24"/>
              </w:rPr>
            </w:pPr>
            <w:r>
              <w:rPr>
                <w:rFonts w:hint="eastAsia" w:ascii="宋体" w:hAnsi="宋体" w:cs="宋体"/>
                <w:kern w:val="0"/>
                <w:sz w:val="24"/>
                <w:szCs w:val="24"/>
              </w:rPr>
              <w:t>服务承诺</w:t>
            </w:r>
          </w:p>
        </w:tc>
        <w:tc>
          <w:tcPr>
            <w:tcW w:w="915" w:type="dxa"/>
            <w:tcBorders>
              <w:top w:val="nil"/>
              <w:left w:val="nil"/>
              <w:bottom w:val="single" w:color="auto" w:sz="4" w:space="0"/>
              <w:right w:val="single" w:color="auto" w:sz="4" w:space="0"/>
            </w:tcBorders>
            <w:shd w:val="clear" w:color="000000" w:fill="FFFFFF"/>
            <w:vAlign w:val="center"/>
          </w:tcPr>
          <w:p>
            <w:pPr>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6</w:t>
            </w:r>
          </w:p>
        </w:tc>
        <w:tc>
          <w:tcPr>
            <w:tcW w:w="6034" w:type="dxa"/>
            <w:tcBorders>
              <w:top w:val="nil"/>
              <w:left w:val="nil"/>
              <w:bottom w:val="single" w:color="auto" w:sz="4" w:space="0"/>
              <w:right w:val="single" w:color="auto" w:sz="4" w:space="0"/>
            </w:tcBorders>
            <w:shd w:val="clear" w:color="000000" w:fill="FFFFFF"/>
            <w:vAlign w:val="center"/>
          </w:tcPr>
          <w:p>
            <w:pPr>
              <w:spacing w:before="0" w:beforeAutospacing="0" w:after="0" w:afterAutospacing="0" w:line="240" w:lineRule="auto"/>
              <w:rPr>
                <w:rFonts w:ascii="宋体" w:hAnsi="宋体" w:cs="宋体"/>
                <w:kern w:val="0"/>
                <w:sz w:val="24"/>
                <w:szCs w:val="24"/>
              </w:rPr>
            </w:pPr>
            <w:r>
              <w:rPr>
                <w:rFonts w:hint="eastAsia" w:ascii="宋体" w:hAnsi="宋体" w:cs="宋体"/>
                <w:kern w:val="0"/>
                <w:sz w:val="24"/>
                <w:szCs w:val="24"/>
              </w:rPr>
              <w:t>1、承诺细致、服务完备、满足用户要求，得2分，否则0分；</w:t>
            </w:r>
            <w:r>
              <w:rPr>
                <w:rFonts w:hint="eastAsia" w:ascii="宋体" w:hAnsi="宋体" w:cs="宋体"/>
                <w:kern w:val="0"/>
                <w:sz w:val="24"/>
                <w:szCs w:val="24"/>
              </w:rPr>
              <w:br w:type="textWrapping"/>
            </w:r>
            <w:r>
              <w:rPr>
                <w:rFonts w:hint="eastAsia" w:ascii="宋体" w:hAnsi="宋体" w:cs="宋体"/>
                <w:kern w:val="0"/>
                <w:sz w:val="24"/>
                <w:szCs w:val="24"/>
              </w:rPr>
              <w:t>2.承诺能够严格执行各种专业规范，积极配合方案及相关勘察、</w:t>
            </w:r>
            <w:r>
              <w:rPr>
                <w:rFonts w:hint="eastAsia" w:ascii="宋体" w:hAnsi="宋体" w:cs="宋体"/>
                <w:kern w:val="0"/>
                <w:sz w:val="24"/>
                <w:szCs w:val="24"/>
                <w:lang w:eastAsia="zh-CN"/>
              </w:rPr>
              <w:t>编制设计</w:t>
            </w:r>
            <w:r>
              <w:rPr>
                <w:rFonts w:hint="eastAsia" w:ascii="宋体" w:hAnsi="宋体" w:cs="宋体"/>
                <w:kern w:val="0"/>
                <w:sz w:val="24"/>
                <w:szCs w:val="24"/>
              </w:rPr>
              <w:t>成果审批时的各项修改，得2分，否则0分；</w:t>
            </w:r>
            <w:r>
              <w:rPr>
                <w:rFonts w:hint="eastAsia" w:ascii="宋体" w:hAnsi="宋体" w:cs="宋体"/>
                <w:kern w:val="0"/>
                <w:sz w:val="24"/>
                <w:szCs w:val="24"/>
              </w:rPr>
              <w:br w:type="textWrapping"/>
            </w:r>
            <w:r>
              <w:rPr>
                <w:rFonts w:hint="eastAsia" w:ascii="宋体" w:hAnsi="宋体" w:cs="宋体"/>
                <w:kern w:val="0"/>
                <w:sz w:val="24"/>
                <w:szCs w:val="24"/>
              </w:rPr>
              <w:t>3.承诺后期施工时的技术交底和</w:t>
            </w:r>
            <w:r>
              <w:rPr>
                <w:rFonts w:hint="eastAsia" w:ascii="宋体" w:hAnsi="宋体" w:cs="宋体"/>
                <w:kern w:val="0"/>
                <w:sz w:val="24"/>
                <w:szCs w:val="24"/>
                <w:lang w:eastAsia="zh-CN"/>
              </w:rPr>
              <w:t>编制设计</w:t>
            </w:r>
            <w:r>
              <w:rPr>
                <w:rFonts w:hint="eastAsia" w:ascii="宋体" w:hAnsi="宋体" w:cs="宋体"/>
                <w:kern w:val="0"/>
                <w:sz w:val="24"/>
                <w:szCs w:val="24"/>
              </w:rPr>
              <w:t>变更等相关配合，得1分，否则0分。</w:t>
            </w:r>
          </w:p>
          <w:p>
            <w:pPr>
              <w:spacing w:before="0" w:beforeAutospacing="0" w:after="0" w:afterAutospacing="0" w:line="240" w:lineRule="auto"/>
              <w:rPr>
                <w:rFonts w:ascii="宋体" w:hAnsi="宋体" w:cs="宋体"/>
                <w:kern w:val="0"/>
                <w:sz w:val="24"/>
                <w:szCs w:val="24"/>
              </w:rPr>
            </w:pPr>
            <w:r>
              <w:rPr>
                <w:rFonts w:hint="eastAsia" w:ascii="宋体" w:hAnsi="宋体" w:cs="宋体"/>
                <w:kern w:val="0"/>
                <w:sz w:val="24"/>
                <w:szCs w:val="24"/>
              </w:rPr>
              <w:t>4.针对本次</w:t>
            </w:r>
            <w:r>
              <w:rPr>
                <w:rFonts w:hint="eastAsia" w:ascii="宋体" w:hAnsi="宋体" w:cs="宋体"/>
                <w:kern w:val="0"/>
                <w:sz w:val="24"/>
                <w:szCs w:val="24"/>
                <w:lang w:eastAsia="zh-CN"/>
              </w:rPr>
              <w:t>编制设计</w:t>
            </w:r>
            <w:r>
              <w:rPr>
                <w:rFonts w:hint="eastAsia" w:ascii="宋体" w:hAnsi="宋体" w:cs="宋体"/>
                <w:kern w:val="0"/>
                <w:sz w:val="24"/>
                <w:szCs w:val="24"/>
              </w:rPr>
              <w:t>任务有具体的明确</w:t>
            </w:r>
            <w:r>
              <w:rPr>
                <w:rFonts w:hint="eastAsia" w:ascii="宋体" w:hAnsi="宋体" w:cs="宋体"/>
                <w:color w:val="000000"/>
                <w:kern w:val="0"/>
                <w:sz w:val="24"/>
                <w:szCs w:val="24"/>
              </w:rPr>
              <w:t>项目实施进度</w:t>
            </w:r>
            <w:r>
              <w:rPr>
                <w:rFonts w:hint="eastAsia" w:ascii="宋体" w:hAnsi="宋体" w:cs="宋体"/>
                <w:kern w:val="0"/>
                <w:sz w:val="24"/>
                <w:szCs w:val="24"/>
              </w:rPr>
              <w:t>，能够在承诺的时间内完成验收。针对本次</w:t>
            </w:r>
            <w:r>
              <w:rPr>
                <w:rFonts w:hint="eastAsia" w:ascii="宋体" w:hAnsi="宋体" w:cs="宋体"/>
                <w:kern w:val="0"/>
                <w:sz w:val="24"/>
                <w:szCs w:val="24"/>
                <w:lang w:eastAsia="zh-CN"/>
              </w:rPr>
              <w:t>编制设计</w:t>
            </w:r>
            <w:r>
              <w:rPr>
                <w:rFonts w:hint="eastAsia" w:ascii="宋体" w:hAnsi="宋体" w:cs="宋体"/>
                <w:kern w:val="0"/>
                <w:sz w:val="24"/>
                <w:szCs w:val="24"/>
              </w:rPr>
              <w:t>任务有具体的明确项目实施进度，进度控制保证措施完整、可行，能够在承诺的时间内完成验收得1分。</w:t>
            </w:r>
          </w:p>
          <w:p>
            <w:pPr>
              <w:spacing w:before="0" w:beforeAutospacing="0" w:after="0" w:afterAutospacing="0" w:line="240" w:lineRule="auto"/>
              <w:rPr>
                <w:rFonts w:ascii="宋体" w:hAnsi="宋体" w:cs="宋体"/>
                <w:kern w:val="0"/>
                <w:sz w:val="24"/>
                <w:szCs w:val="24"/>
              </w:rPr>
            </w:pPr>
            <w:r>
              <w:rPr>
                <w:rFonts w:hint="eastAsia" w:ascii="宋体" w:hAnsi="宋体" w:cs="宋体"/>
                <w:sz w:val="24"/>
                <w:szCs w:val="24"/>
              </w:rPr>
              <w:t>本项未提供的不得分。</w:t>
            </w:r>
          </w:p>
        </w:tc>
      </w:tr>
      <w:tr>
        <w:tblPrEx>
          <w:tblCellMar>
            <w:top w:w="0" w:type="dxa"/>
            <w:left w:w="108" w:type="dxa"/>
            <w:bottom w:w="0" w:type="dxa"/>
            <w:right w:w="108" w:type="dxa"/>
          </w:tblCellMar>
        </w:tblPrEx>
        <w:trPr>
          <w:trHeight w:val="285" w:hRule="atLeast"/>
          <w:jc w:val="center"/>
        </w:trPr>
        <w:tc>
          <w:tcPr>
            <w:tcW w:w="789" w:type="dxa"/>
            <w:vMerge w:val="continue"/>
            <w:tcBorders>
              <w:left w:val="single" w:color="auto" w:sz="4" w:space="0"/>
              <w:right w:val="single" w:color="auto" w:sz="4" w:space="0"/>
            </w:tcBorders>
            <w:shd w:val="clear" w:color="000000" w:fill="FFFFFF"/>
            <w:vAlign w:val="center"/>
          </w:tcPr>
          <w:p>
            <w:pPr>
              <w:pStyle w:val="192"/>
              <w:rPr>
                <w:rFonts w:ascii="宋体" w:hAnsi="宋体" w:cs="宋体"/>
                <w:sz w:val="24"/>
                <w:szCs w:val="24"/>
              </w:rPr>
            </w:pPr>
          </w:p>
        </w:tc>
        <w:tc>
          <w:tcPr>
            <w:tcW w:w="1305" w:type="dxa"/>
            <w:tcBorders>
              <w:top w:val="nil"/>
              <w:left w:val="nil"/>
              <w:bottom w:val="single" w:color="auto" w:sz="4" w:space="0"/>
              <w:right w:val="single" w:color="auto" w:sz="4" w:space="0"/>
            </w:tcBorders>
            <w:shd w:val="clear" w:color="000000" w:fill="FFFFFF"/>
            <w:vAlign w:val="center"/>
          </w:tcPr>
          <w:p>
            <w:pPr>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后期服务</w:t>
            </w:r>
          </w:p>
        </w:tc>
        <w:tc>
          <w:tcPr>
            <w:tcW w:w="915" w:type="dxa"/>
            <w:tcBorders>
              <w:top w:val="nil"/>
              <w:left w:val="nil"/>
              <w:bottom w:val="single" w:color="auto" w:sz="4" w:space="0"/>
              <w:right w:val="single" w:color="auto" w:sz="4" w:space="0"/>
            </w:tcBorders>
            <w:shd w:val="clear" w:color="000000" w:fill="FFFFFF"/>
            <w:vAlign w:val="center"/>
          </w:tcPr>
          <w:p>
            <w:pPr>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3</w:t>
            </w:r>
          </w:p>
        </w:tc>
        <w:tc>
          <w:tcPr>
            <w:tcW w:w="6034" w:type="dxa"/>
            <w:tcBorders>
              <w:top w:val="nil"/>
              <w:left w:val="nil"/>
              <w:bottom w:val="single" w:color="auto" w:sz="4" w:space="0"/>
              <w:right w:val="single" w:color="auto" w:sz="4" w:space="0"/>
            </w:tcBorders>
            <w:shd w:val="clear" w:color="000000" w:fill="FFFFFF"/>
            <w:vAlign w:val="center"/>
          </w:tcPr>
          <w:p>
            <w:pPr>
              <w:spacing w:before="0" w:beforeAutospacing="0" w:after="0" w:afterAutospacing="0" w:line="240" w:lineRule="auto"/>
              <w:rPr>
                <w:rFonts w:ascii="宋体" w:hAnsi="宋体" w:cs="宋体"/>
                <w:kern w:val="0"/>
                <w:sz w:val="24"/>
                <w:szCs w:val="24"/>
              </w:rPr>
            </w:pPr>
            <w:r>
              <w:rPr>
                <w:rFonts w:hint="eastAsia" w:ascii="宋体" w:hAnsi="宋体" w:cs="宋体"/>
                <w:kern w:val="0"/>
                <w:sz w:val="24"/>
                <w:szCs w:val="24"/>
              </w:rPr>
              <w:t>协助建设单位完成建设项目</w:t>
            </w:r>
            <w:r>
              <w:rPr>
                <w:rFonts w:hint="eastAsia" w:ascii="宋体" w:hAnsi="宋体" w:cs="宋体"/>
                <w:kern w:val="0"/>
                <w:sz w:val="24"/>
                <w:szCs w:val="24"/>
                <w:lang w:eastAsia="zh-CN"/>
              </w:rPr>
              <w:t>编制设计</w:t>
            </w:r>
            <w:r>
              <w:rPr>
                <w:rFonts w:hint="eastAsia" w:ascii="宋体" w:hAnsi="宋体" w:cs="宋体"/>
                <w:kern w:val="0"/>
                <w:sz w:val="24"/>
                <w:szCs w:val="24"/>
              </w:rPr>
              <w:t>评审和相关立项工作。对提供的方案和措施进行综合评价。</w:t>
            </w:r>
          </w:p>
          <w:p>
            <w:pPr>
              <w:spacing w:before="0" w:beforeAutospacing="0" w:after="0" w:afterAutospacing="0" w:line="240" w:lineRule="auto"/>
              <w:rPr>
                <w:rFonts w:ascii="宋体" w:hAnsi="宋体" w:cs="宋体"/>
                <w:kern w:val="0"/>
                <w:sz w:val="24"/>
                <w:szCs w:val="24"/>
              </w:rPr>
            </w:pPr>
            <w:r>
              <w:rPr>
                <w:rFonts w:hint="eastAsia" w:ascii="宋体" w:hAnsi="宋体" w:cs="宋体"/>
                <w:kern w:val="0"/>
                <w:sz w:val="24"/>
                <w:szCs w:val="24"/>
              </w:rPr>
              <w:t>1）方案合理，措施全面，提出合理建议：得3分；</w:t>
            </w:r>
          </w:p>
          <w:p>
            <w:pPr>
              <w:spacing w:before="0" w:beforeAutospacing="0" w:after="0" w:afterAutospacing="0" w:line="240" w:lineRule="auto"/>
              <w:rPr>
                <w:rFonts w:hint="eastAsia" w:ascii="宋体" w:hAnsi="宋体" w:cs="宋体"/>
                <w:kern w:val="0"/>
                <w:sz w:val="24"/>
                <w:szCs w:val="24"/>
              </w:rPr>
            </w:pPr>
            <w:r>
              <w:rPr>
                <w:rFonts w:hint="eastAsia" w:ascii="宋体" w:hAnsi="宋体" w:cs="宋体"/>
                <w:kern w:val="0"/>
                <w:sz w:val="24"/>
                <w:szCs w:val="24"/>
              </w:rPr>
              <w:t>2）方案较为合理，提出措施及建议：得2分；</w:t>
            </w:r>
          </w:p>
          <w:p>
            <w:pPr>
              <w:spacing w:before="0" w:beforeAutospacing="0" w:after="0" w:afterAutospacing="0" w:line="240" w:lineRule="auto"/>
              <w:rPr>
                <w:rFonts w:ascii="宋体" w:hAnsi="宋体" w:cs="宋体"/>
                <w:kern w:val="0"/>
                <w:sz w:val="24"/>
                <w:szCs w:val="24"/>
              </w:rPr>
            </w:pPr>
            <w:r>
              <w:rPr>
                <w:rFonts w:hint="eastAsia" w:ascii="宋体" w:hAnsi="宋体" w:cs="宋体"/>
                <w:kern w:val="0"/>
                <w:sz w:val="24"/>
                <w:szCs w:val="24"/>
              </w:rPr>
              <w:t>3）方案和措施无系统性，较为混乱：0分。</w:t>
            </w:r>
          </w:p>
        </w:tc>
      </w:tr>
      <w:tr>
        <w:tblPrEx>
          <w:tblCellMar>
            <w:top w:w="0" w:type="dxa"/>
            <w:left w:w="108" w:type="dxa"/>
            <w:bottom w:w="0" w:type="dxa"/>
            <w:right w:w="108" w:type="dxa"/>
          </w:tblCellMar>
        </w:tblPrEx>
        <w:trPr>
          <w:trHeight w:val="285" w:hRule="atLeast"/>
          <w:jc w:val="center"/>
        </w:trPr>
        <w:tc>
          <w:tcPr>
            <w:tcW w:w="789" w:type="dxa"/>
            <w:vMerge w:val="continue"/>
            <w:tcBorders>
              <w:left w:val="single" w:color="auto" w:sz="4" w:space="0"/>
              <w:bottom w:val="single" w:color="auto" w:sz="4" w:space="0"/>
              <w:right w:val="single" w:color="auto" w:sz="4" w:space="0"/>
            </w:tcBorders>
            <w:shd w:val="clear" w:color="000000" w:fill="FFFFFF"/>
            <w:vAlign w:val="center"/>
          </w:tcPr>
          <w:p>
            <w:pPr>
              <w:pStyle w:val="192"/>
              <w:rPr>
                <w:rFonts w:ascii="宋体" w:hAnsi="宋体" w:cs="宋体"/>
                <w:sz w:val="24"/>
                <w:szCs w:val="24"/>
              </w:rPr>
            </w:pPr>
            <w:bookmarkStart w:id="258" w:name="_GoBack" w:colFirst="3" w:colLast="3"/>
          </w:p>
        </w:tc>
        <w:tc>
          <w:tcPr>
            <w:tcW w:w="1305" w:type="dxa"/>
            <w:tcBorders>
              <w:top w:val="nil"/>
              <w:left w:val="nil"/>
              <w:bottom w:val="single" w:color="auto" w:sz="4" w:space="0"/>
              <w:right w:val="single" w:color="auto" w:sz="4" w:space="0"/>
            </w:tcBorders>
            <w:shd w:val="clear" w:color="000000" w:fill="FFFFFF"/>
            <w:vAlign w:val="center"/>
          </w:tcPr>
          <w:p>
            <w:pPr>
              <w:spacing w:before="0" w:beforeAutospacing="0" w:after="0" w:afterAutospacing="0" w:line="240" w:lineRule="auto"/>
              <w:jc w:val="center"/>
              <w:rPr>
                <w:rFonts w:ascii="宋体" w:hAnsi="宋体" w:cs="宋体"/>
                <w:kern w:val="0"/>
                <w:sz w:val="24"/>
                <w:szCs w:val="24"/>
              </w:rPr>
            </w:pPr>
            <w:r>
              <w:rPr>
                <w:rFonts w:hint="eastAsia" w:ascii="宋体" w:hAnsi="宋体" w:cs="宋体"/>
                <w:sz w:val="24"/>
                <w:szCs w:val="24"/>
              </w:rPr>
              <w:t>执行标准</w:t>
            </w:r>
          </w:p>
        </w:tc>
        <w:tc>
          <w:tcPr>
            <w:tcW w:w="915" w:type="dxa"/>
            <w:tcBorders>
              <w:top w:val="nil"/>
              <w:left w:val="nil"/>
              <w:bottom w:val="single" w:color="auto" w:sz="4" w:space="0"/>
              <w:right w:val="single" w:color="auto" w:sz="4" w:space="0"/>
            </w:tcBorders>
            <w:shd w:val="clear" w:color="000000" w:fill="FFFFFF"/>
            <w:vAlign w:val="center"/>
          </w:tcPr>
          <w:p>
            <w:pPr>
              <w:spacing w:before="0" w:beforeAutospacing="0" w:after="0" w:afterAutospacing="0" w:line="240" w:lineRule="auto"/>
              <w:jc w:val="center"/>
              <w:rPr>
                <w:rFonts w:ascii="宋体" w:hAnsi="宋体" w:cs="宋体"/>
                <w:kern w:val="0"/>
                <w:sz w:val="24"/>
                <w:szCs w:val="24"/>
              </w:rPr>
            </w:pPr>
            <w:r>
              <w:rPr>
                <w:rFonts w:hint="eastAsia" w:ascii="宋体" w:hAnsi="宋体" w:cs="宋体"/>
                <w:kern w:val="0"/>
                <w:sz w:val="24"/>
                <w:szCs w:val="24"/>
              </w:rPr>
              <w:t>3</w:t>
            </w:r>
          </w:p>
        </w:tc>
        <w:tc>
          <w:tcPr>
            <w:tcW w:w="6034" w:type="dxa"/>
            <w:tcBorders>
              <w:top w:val="nil"/>
              <w:left w:val="nil"/>
              <w:bottom w:val="single" w:color="auto" w:sz="4" w:space="0"/>
              <w:right w:val="single" w:color="auto" w:sz="4" w:space="0"/>
            </w:tcBorders>
            <w:shd w:val="clear" w:color="000000" w:fill="FFFFFF"/>
            <w:vAlign w:val="center"/>
          </w:tcPr>
          <w:p>
            <w:pPr>
              <w:spacing w:before="0" w:beforeAutospacing="0" w:after="0" w:afterAutospacing="0" w:line="240" w:lineRule="auto"/>
              <w:rPr>
                <w:rFonts w:ascii="宋体" w:hAnsi="宋体" w:cs="宋体"/>
                <w:sz w:val="24"/>
                <w:szCs w:val="24"/>
              </w:rPr>
            </w:pPr>
            <w:r>
              <w:rPr>
                <w:rFonts w:hint="eastAsia" w:ascii="宋体" w:hAnsi="宋体" w:cs="宋体"/>
                <w:sz w:val="24"/>
                <w:szCs w:val="24"/>
              </w:rPr>
              <w:t>说明报告编制采用法规、标准的原则，能列出执行的主要法规和标准清单的，每提供一个主要法规或标准加0</w:t>
            </w:r>
            <w:r>
              <w:rPr>
                <w:rFonts w:ascii="宋体" w:hAnsi="宋体" w:cs="宋体"/>
                <w:sz w:val="24"/>
                <w:szCs w:val="24"/>
              </w:rPr>
              <w:t>.5</w:t>
            </w:r>
            <w:r>
              <w:rPr>
                <w:rFonts w:hint="eastAsia" w:ascii="宋体" w:hAnsi="宋体" w:cs="宋体"/>
                <w:sz w:val="24"/>
                <w:szCs w:val="24"/>
              </w:rPr>
              <w:t>分，本项最高得3分。</w:t>
            </w:r>
          </w:p>
          <w:p>
            <w:pPr>
              <w:spacing w:before="0" w:beforeAutospacing="0" w:after="0" w:afterAutospacing="0" w:line="240" w:lineRule="auto"/>
              <w:rPr>
                <w:rFonts w:ascii="宋体" w:hAnsi="宋体" w:cs="宋体"/>
                <w:kern w:val="0"/>
                <w:sz w:val="24"/>
                <w:szCs w:val="24"/>
              </w:rPr>
            </w:pPr>
            <w:r>
              <w:rPr>
                <w:rFonts w:hint="eastAsia" w:ascii="宋体" w:hAnsi="宋体" w:cs="宋体"/>
                <w:sz w:val="24"/>
                <w:szCs w:val="24"/>
              </w:rPr>
              <w:t>未提供的不得分。</w:t>
            </w:r>
          </w:p>
        </w:tc>
      </w:tr>
      <w:bookmarkEnd w:id="258"/>
      <w:tr>
        <w:tblPrEx>
          <w:tblCellMar>
            <w:top w:w="0" w:type="dxa"/>
            <w:left w:w="108" w:type="dxa"/>
            <w:bottom w:w="0" w:type="dxa"/>
            <w:right w:w="108" w:type="dxa"/>
          </w:tblCellMar>
        </w:tblPrEx>
        <w:trPr>
          <w:trHeight w:val="465" w:hRule="atLeast"/>
          <w:jc w:val="center"/>
        </w:trPr>
        <w:tc>
          <w:tcPr>
            <w:tcW w:w="209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pStyle w:val="192"/>
              <w:jc w:val="center"/>
              <w:rPr>
                <w:rFonts w:ascii="宋体" w:hAnsi="宋体" w:cs="宋体"/>
                <w:sz w:val="24"/>
                <w:szCs w:val="24"/>
              </w:rPr>
            </w:pPr>
            <w:r>
              <w:rPr>
                <w:rFonts w:hint="eastAsia" w:ascii="宋体" w:hAnsi="宋体" w:cs="宋体"/>
                <w:sz w:val="24"/>
                <w:szCs w:val="24"/>
              </w:rPr>
              <w:t>得分</w:t>
            </w:r>
          </w:p>
        </w:tc>
        <w:tc>
          <w:tcPr>
            <w:tcW w:w="6949" w:type="dxa"/>
            <w:gridSpan w:val="2"/>
            <w:tcBorders>
              <w:top w:val="nil"/>
              <w:left w:val="nil"/>
              <w:bottom w:val="single" w:color="auto" w:sz="4" w:space="0"/>
              <w:right w:val="single" w:color="auto" w:sz="4" w:space="0"/>
            </w:tcBorders>
            <w:shd w:val="clear" w:color="000000" w:fill="FFFFFF"/>
            <w:vAlign w:val="center"/>
          </w:tcPr>
          <w:p>
            <w:pPr>
              <w:pStyle w:val="192"/>
              <w:jc w:val="center"/>
              <w:rPr>
                <w:rFonts w:ascii="宋体" w:hAnsi="宋体" w:cs="宋体"/>
                <w:sz w:val="24"/>
                <w:szCs w:val="24"/>
              </w:rPr>
            </w:pPr>
            <w:r>
              <w:rPr>
                <w:rFonts w:hint="eastAsia" w:ascii="宋体" w:hAnsi="宋体" w:cs="宋体"/>
                <w:sz w:val="24"/>
                <w:szCs w:val="24"/>
              </w:rPr>
              <w:t>100分</w:t>
            </w:r>
          </w:p>
        </w:tc>
      </w:tr>
    </w:tbl>
    <w:p>
      <w:pPr>
        <w:pStyle w:val="6"/>
        <w:rPr>
          <w:rFonts w:asciiTheme="minorEastAsia" w:hAnsiTheme="minorEastAsia" w:eastAsiaTheme="minorEastAsia" w:cstheme="minorEastAsia"/>
        </w:rPr>
      </w:pPr>
      <w:bookmarkStart w:id="63" w:name="_Toc8364"/>
      <w:bookmarkStart w:id="64" w:name="_Toc424213020"/>
      <w:bookmarkStart w:id="65" w:name="_Toc406671101"/>
      <w:bookmarkStart w:id="66" w:name="_Toc406671689"/>
      <w:bookmarkStart w:id="67" w:name="_Toc406672392"/>
      <w:bookmarkStart w:id="68" w:name="_Toc406670730"/>
      <w:r>
        <w:rPr>
          <w:rFonts w:hint="eastAsia" w:asciiTheme="minorEastAsia" w:hAnsiTheme="minorEastAsia" w:eastAsiaTheme="minorEastAsia" w:cstheme="minorEastAsia"/>
        </w:rPr>
        <w:t>第三节 废标条款</w:t>
      </w:r>
      <w:bookmarkEnd w:id="63"/>
      <w:bookmarkEnd w:id="64"/>
      <w:bookmarkEnd w:id="65"/>
      <w:bookmarkEnd w:id="66"/>
      <w:bookmarkEnd w:id="67"/>
      <w:bookmarkEnd w:id="68"/>
    </w:p>
    <w:p>
      <w:pPr>
        <w:spacing w:beforeLines="100" w:beforeAutospacing="0" w:afterLines="50" w:afterAutospacing="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出现下列情形之一的，本项目/品目作废标处理,项目/品目评审终止：</w:t>
      </w:r>
    </w:p>
    <w:p>
      <w:pPr>
        <w:spacing w:before="0" w:beforeAutospacing="0" w:after="0" w:afterAutospacing="0"/>
        <w:ind w:left="707" w:leftChars="228" w:hanging="228" w:hangingChars="9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1.符合专业条件的或对采购文件作实质响应的有效投标供应商不足三家的；</w:t>
      </w:r>
    </w:p>
    <w:p>
      <w:pPr>
        <w:spacing w:before="0" w:beforeAutospacing="0" w:after="0" w:afterAutospacing="0"/>
        <w:ind w:left="707" w:leftChars="228" w:hanging="228" w:hangingChars="9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2.出现影响采购公正的违法、违规行为的；</w:t>
      </w:r>
    </w:p>
    <w:p>
      <w:pPr>
        <w:spacing w:before="0" w:beforeAutospacing="0" w:after="0" w:afterAutospacing="0"/>
        <w:ind w:left="707" w:leftChars="228" w:hanging="228" w:hangingChars="9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3.供应商报价均超过了采购预算，采购人不能支付的；</w:t>
      </w:r>
    </w:p>
    <w:p>
      <w:pPr>
        <w:spacing w:before="0" w:beforeAutospacing="0" w:after="0" w:afterAutospacing="0"/>
        <w:ind w:left="707" w:leftChars="228" w:hanging="228" w:hangingChars="9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4.因重大变故，采购任务取消的；</w:t>
      </w:r>
    </w:p>
    <w:p>
      <w:pPr>
        <w:spacing w:before="0" w:beforeAutospacing="0" w:after="0" w:afterAutospacing="0"/>
        <w:ind w:left="707" w:leftChars="228" w:hanging="228" w:hangingChars="9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5.法律法规规定的其他情形</w:t>
      </w:r>
    </w:p>
    <w:p>
      <w:pPr>
        <w:pStyle w:val="6"/>
        <w:rPr>
          <w:rFonts w:asciiTheme="minorEastAsia" w:hAnsiTheme="minorEastAsia" w:eastAsiaTheme="minorEastAsia" w:cstheme="minorEastAsia"/>
        </w:rPr>
      </w:pPr>
      <w:bookmarkStart w:id="69" w:name="_Toc406672393"/>
      <w:bookmarkStart w:id="70" w:name="_Toc22467"/>
      <w:bookmarkStart w:id="71" w:name="_Toc406671102"/>
      <w:bookmarkStart w:id="72" w:name="_Toc406671690"/>
      <w:bookmarkStart w:id="73" w:name="_Toc424213021"/>
      <w:bookmarkStart w:id="74" w:name="_Toc406670731"/>
      <w:r>
        <w:rPr>
          <w:rFonts w:hint="eastAsia" w:asciiTheme="minorEastAsia" w:hAnsiTheme="minorEastAsia" w:eastAsiaTheme="minorEastAsia" w:cstheme="minorEastAsia"/>
        </w:rPr>
        <w:t>第四节 无效标条款</w:t>
      </w:r>
      <w:bookmarkEnd w:id="69"/>
      <w:bookmarkEnd w:id="70"/>
      <w:bookmarkEnd w:id="71"/>
      <w:bookmarkEnd w:id="72"/>
      <w:bookmarkEnd w:id="73"/>
      <w:bookmarkEnd w:id="74"/>
    </w:p>
    <w:p>
      <w:pPr>
        <w:spacing w:beforeLines="100" w:beforeAutospacing="0" w:afterLines="50" w:afterAutospacing="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出现下列情形之一的，供应商递交的响应文件作无效标处理，该供应商的响应文件不参与评审，且不计算入投标供应商家数：</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1.递交的响应文件不完整或未按采购文件要求加盖公章及签字的；</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2.供应商不符合国家及招标文件规定的资格条件的；</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3.项目接受联合体投标时，投标联合体未提交联合投标协议的；</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4.投标报价被评审委员会认定低于成本价的；</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5.投标报价高于财政采购预算采购人无法支付的；</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6.响应文件对采购文件的实质性要求和条件未作出响应的；</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7.供应商有串通投标、弄虚作假、行贿等违法行为的；</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r>
        <w:rPr>
          <w:rFonts w:asciiTheme="minorEastAsia" w:hAnsiTheme="minorEastAsia" w:eastAsiaTheme="minorEastAsia" w:cstheme="minorEastAsia"/>
          <w:sz w:val="24"/>
        </w:rPr>
        <w:t>有下列情形之一的，视为</w:t>
      </w:r>
      <w:r>
        <w:rPr>
          <w:rFonts w:hint="eastAsia" w:asciiTheme="minorEastAsia" w:hAnsiTheme="minorEastAsia" w:eastAsiaTheme="minorEastAsia" w:cstheme="minorEastAsia"/>
          <w:sz w:val="24"/>
        </w:rPr>
        <w:t>供应商</w:t>
      </w:r>
      <w:r>
        <w:rPr>
          <w:rFonts w:asciiTheme="minorEastAsia" w:hAnsiTheme="minorEastAsia" w:eastAsiaTheme="minorEastAsia" w:cstheme="minorEastAsia"/>
          <w:sz w:val="24"/>
        </w:rPr>
        <w:t>串通投标，其投标无效：</w:t>
      </w:r>
    </w:p>
    <w:p>
      <w:pPr>
        <w:spacing w:before="0" w:beforeAutospacing="0" w:after="0" w:afterAutospacing="0"/>
        <w:ind w:firstLine="484" w:firstLineChars="202"/>
        <w:rPr>
          <w:rFonts w:asciiTheme="minorEastAsia" w:hAnsiTheme="minorEastAsia" w:eastAsiaTheme="minorEastAsia" w:cstheme="minorEastAsia"/>
          <w:sz w:val="24"/>
        </w:rPr>
      </w:pPr>
      <w:r>
        <w:rPr>
          <w:rFonts w:asciiTheme="minorEastAsia" w:hAnsiTheme="minorEastAsia" w:eastAsiaTheme="minorEastAsia" w:cstheme="minorEastAsia"/>
          <w:sz w:val="24"/>
        </w:rPr>
        <w:t>（一）不同</w:t>
      </w:r>
      <w:r>
        <w:rPr>
          <w:rFonts w:hint="eastAsia" w:asciiTheme="minorEastAsia" w:hAnsiTheme="minorEastAsia" w:eastAsiaTheme="minorEastAsia" w:cstheme="minorEastAsia"/>
          <w:sz w:val="24"/>
        </w:rPr>
        <w:t>供应商</w:t>
      </w:r>
      <w:r>
        <w:rPr>
          <w:rFonts w:asciiTheme="minorEastAsia" w:hAnsiTheme="minorEastAsia" w:eastAsiaTheme="minorEastAsia" w:cstheme="minorEastAsia"/>
          <w:sz w:val="24"/>
        </w:rPr>
        <w:t>的</w:t>
      </w:r>
      <w:r>
        <w:rPr>
          <w:rFonts w:hint="eastAsia" w:asciiTheme="minorEastAsia" w:hAnsiTheme="minorEastAsia" w:eastAsiaTheme="minorEastAsia" w:cstheme="minorEastAsia"/>
          <w:sz w:val="24"/>
        </w:rPr>
        <w:t>响应文件</w:t>
      </w:r>
      <w:r>
        <w:rPr>
          <w:rFonts w:asciiTheme="minorEastAsia" w:hAnsiTheme="minorEastAsia" w:eastAsiaTheme="minorEastAsia" w:cstheme="minorEastAsia"/>
          <w:sz w:val="24"/>
        </w:rPr>
        <w:t>由同一单位或者个人编制；</w:t>
      </w:r>
    </w:p>
    <w:p>
      <w:pPr>
        <w:spacing w:before="0" w:beforeAutospacing="0" w:after="0" w:afterAutospacing="0"/>
        <w:ind w:firstLine="484" w:firstLineChars="202"/>
        <w:rPr>
          <w:rFonts w:asciiTheme="minorEastAsia" w:hAnsiTheme="minorEastAsia" w:eastAsiaTheme="minorEastAsia" w:cstheme="minorEastAsia"/>
          <w:sz w:val="24"/>
        </w:rPr>
      </w:pPr>
      <w:r>
        <w:rPr>
          <w:rFonts w:asciiTheme="minorEastAsia" w:hAnsiTheme="minorEastAsia" w:eastAsiaTheme="minorEastAsia" w:cstheme="minorEastAsia"/>
          <w:sz w:val="24"/>
        </w:rPr>
        <w:t>（二）不同</w:t>
      </w:r>
      <w:r>
        <w:rPr>
          <w:rFonts w:hint="eastAsia" w:asciiTheme="minorEastAsia" w:hAnsiTheme="minorEastAsia" w:eastAsiaTheme="minorEastAsia" w:cstheme="minorEastAsia"/>
          <w:sz w:val="24"/>
        </w:rPr>
        <w:t>供应商</w:t>
      </w:r>
      <w:r>
        <w:rPr>
          <w:rFonts w:asciiTheme="minorEastAsia" w:hAnsiTheme="minorEastAsia" w:eastAsiaTheme="minorEastAsia" w:cstheme="minorEastAsia"/>
          <w:sz w:val="24"/>
        </w:rPr>
        <w:t>委托同一单位或者个人办理投标事宜；</w:t>
      </w:r>
    </w:p>
    <w:p>
      <w:pPr>
        <w:spacing w:before="0" w:beforeAutospacing="0" w:after="0" w:afterAutospacing="0"/>
        <w:ind w:firstLine="484" w:firstLineChars="202"/>
        <w:rPr>
          <w:rFonts w:asciiTheme="minorEastAsia" w:hAnsiTheme="minorEastAsia" w:eastAsiaTheme="minorEastAsia" w:cstheme="minorEastAsia"/>
          <w:sz w:val="24"/>
        </w:rPr>
      </w:pPr>
      <w:r>
        <w:rPr>
          <w:rFonts w:asciiTheme="minorEastAsia" w:hAnsiTheme="minorEastAsia" w:eastAsiaTheme="minorEastAsia" w:cstheme="minorEastAsia"/>
          <w:sz w:val="24"/>
        </w:rPr>
        <w:t>（三）不同</w:t>
      </w:r>
      <w:r>
        <w:rPr>
          <w:rFonts w:hint="eastAsia" w:asciiTheme="minorEastAsia" w:hAnsiTheme="minorEastAsia" w:eastAsiaTheme="minorEastAsia" w:cstheme="minorEastAsia"/>
          <w:sz w:val="24"/>
        </w:rPr>
        <w:t>供应商</w:t>
      </w:r>
      <w:r>
        <w:rPr>
          <w:rFonts w:asciiTheme="minorEastAsia" w:hAnsiTheme="minorEastAsia" w:eastAsiaTheme="minorEastAsia" w:cstheme="minorEastAsia"/>
          <w:sz w:val="24"/>
        </w:rPr>
        <w:t>的</w:t>
      </w:r>
      <w:r>
        <w:rPr>
          <w:rFonts w:hint="eastAsia" w:asciiTheme="minorEastAsia" w:hAnsiTheme="minorEastAsia" w:eastAsiaTheme="minorEastAsia" w:cstheme="minorEastAsia"/>
          <w:sz w:val="24"/>
        </w:rPr>
        <w:t>响应文件</w:t>
      </w:r>
      <w:r>
        <w:rPr>
          <w:rFonts w:asciiTheme="minorEastAsia" w:hAnsiTheme="minorEastAsia" w:eastAsiaTheme="minorEastAsia" w:cstheme="minorEastAsia"/>
          <w:sz w:val="24"/>
        </w:rPr>
        <w:t>载明的项目管理成员或者联系人员为同一人；</w:t>
      </w:r>
    </w:p>
    <w:p>
      <w:pPr>
        <w:spacing w:before="0" w:beforeAutospacing="0" w:after="0" w:afterAutospacing="0"/>
        <w:ind w:firstLine="484" w:firstLineChars="202"/>
        <w:rPr>
          <w:rFonts w:asciiTheme="minorEastAsia" w:hAnsiTheme="minorEastAsia" w:eastAsiaTheme="minorEastAsia" w:cstheme="minorEastAsia"/>
          <w:sz w:val="24"/>
        </w:rPr>
      </w:pPr>
      <w:r>
        <w:rPr>
          <w:rFonts w:asciiTheme="minorEastAsia" w:hAnsiTheme="minorEastAsia" w:eastAsiaTheme="minorEastAsia" w:cstheme="minorEastAsia"/>
          <w:sz w:val="24"/>
        </w:rPr>
        <w:t>（四）不同</w:t>
      </w:r>
      <w:r>
        <w:rPr>
          <w:rFonts w:hint="eastAsia" w:asciiTheme="minorEastAsia" w:hAnsiTheme="minorEastAsia" w:eastAsiaTheme="minorEastAsia" w:cstheme="minorEastAsia"/>
          <w:sz w:val="24"/>
        </w:rPr>
        <w:t>供应商</w:t>
      </w:r>
      <w:r>
        <w:rPr>
          <w:rFonts w:asciiTheme="minorEastAsia" w:hAnsiTheme="minorEastAsia" w:eastAsiaTheme="minorEastAsia" w:cstheme="minorEastAsia"/>
          <w:sz w:val="24"/>
        </w:rPr>
        <w:t>的</w:t>
      </w:r>
      <w:r>
        <w:rPr>
          <w:rFonts w:hint="eastAsia" w:asciiTheme="minorEastAsia" w:hAnsiTheme="minorEastAsia" w:eastAsiaTheme="minorEastAsia" w:cstheme="minorEastAsia"/>
          <w:sz w:val="24"/>
        </w:rPr>
        <w:t>响应文件</w:t>
      </w:r>
      <w:r>
        <w:rPr>
          <w:rFonts w:asciiTheme="minorEastAsia" w:hAnsiTheme="minorEastAsia" w:eastAsiaTheme="minorEastAsia" w:cstheme="minorEastAsia"/>
          <w:sz w:val="24"/>
        </w:rPr>
        <w:t>异常一致或者投标报价呈规律性差异；</w:t>
      </w:r>
    </w:p>
    <w:p>
      <w:pPr>
        <w:spacing w:before="0" w:beforeAutospacing="0" w:after="0" w:afterAutospacing="0"/>
        <w:ind w:firstLine="484" w:firstLineChars="202"/>
        <w:rPr>
          <w:rFonts w:asciiTheme="minorEastAsia" w:hAnsiTheme="minorEastAsia" w:eastAsiaTheme="minorEastAsia" w:cstheme="minorEastAsia"/>
          <w:sz w:val="24"/>
        </w:rPr>
      </w:pPr>
      <w:r>
        <w:rPr>
          <w:rFonts w:asciiTheme="minorEastAsia" w:hAnsiTheme="minorEastAsia" w:eastAsiaTheme="minorEastAsia" w:cstheme="minorEastAsia"/>
          <w:sz w:val="24"/>
        </w:rPr>
        <w:t>（五）不同</w:t>
      </w:r>
      <w:r>
        <w:rPr>
          <w:rFonts w:hint="eastAsia" w:asciiTheme="minorEastAsia" w:hAnsiTheme="minorEastAsia" w:eastAsiaTheme="minorEastAsia" w:cstheme="minorEastAsia"/>
          <w:sz w:val="24"/>
        </w:rPr>
        <w:t>供应商</w:t>
      </w:r>
      <w:r>
        <w:rPr>
          <w:rFonts w:asciiTheme="minorEastAsia" w:hAnsiTheme="minorEastAsia" w:eastAsiaTheme="minorEastAsia" w:cstheme="minorEastAsia"/>
          <w:sz w:val="24"/>
        </w:rPr>
        <w:t>的</w:t>
      </w:r>
      <w:r>
        <w:rPr>
          <w:rFonts w:hint="eastAsia" w:asciiTheme="minorEastAsia" w:hAnsiTheme="minorEastAsia" w:eastAsiaTheme="minorEastAsia" w:cstheme="minorEastAsia"/>
          <w:sz w:val="24"/>
        </w:rPr>
        <w:t>响应文件</w:t>
      </w:r>
      <w:r>
        <w:rPr>
          <w:rFonts w:asciiTheme="minorEastAsia" w:hAnsiTheme="minorEastAsia" w:eastAsiaTheme="minorEastAsia" w:cstheme="minorEastAsia"/>
          <w:sz w:val="24"/>
        </w:rPr>
        <w:t>相互混装；</w:t>
      </w:r>
    </w:p>
    <w:p>
      <w:pPr>
        <w:spacing w:before="0" w:beforeAutospacing="0" w:after="0" w:afterAutospacing="0"/>
        <w:ind w:firstLine="484" w:firstLineChars="202"/>
        <w:rPr>
          <w:rFonts w:asciiTheme="minorEastAsia" w:hAnsiTheme="minorEastAsia" w:eastAsiaTheme="minorEastAsia" w:cstheme="minorEastAsia"/>
          <w:sz w:val="24"/>
        </w:rPr>
      </w:pPr>
      <w:r>
        <w:rPr>
          <w:rFonts w:asciiTheme="minorEastAsia" w:hAnsiTheme="minorEastAsia" w:eastAsiaTheme="minorEastAsia" w:cstheme="minorEastAsia"/>
          <w:sz w:val="24"/>
        </w:rPr>
        <w:t>（六）不同</w:t>
      </w:r>
      <w:r>
        <w:rPr>
          <w:rFonts w:hint="eastAsia" w:asciiTheme="minorEastAsia" w:hAnsiTheme="minorEastAsia" w:eastAsiaTheme="minorEastAsia" w:cstheme="minorEastAsia"/>
          <w:sz w:val="24"/>
        </w:rPr>
        <w:t>供应商</w:t>
      </w:r>
      <w:r>
        <w:rPr>
          <w:rFonts w:asciiTheme="minorEastAsia" w:hAnsiTheme="minorEastAsia" w:eastAsiaTheme="minorEastAsia" w:cstheme="minorEastAsia"/>
          <w:sz w:val="24"/>
        </w:rPr>
        <w:t>的投标保证金从同一单位或者个人的账户转出。</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9.响应文件未胶装成册的（采用打孔装订、活页夹等方式装订的响应文件作为无效投标处理）；</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10.未交纳投标保证金的；</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11.投标有效期不满足采购文件要求的；</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12.单位负责人为同一人或者存在直接控股、管理关系的不同供应商，不得参加同一合同项下的政府采购活动。</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13.为本项目提供整体设计、规范编制或者项目管理、监理、检测等服务的供应商参加本采购项目的。</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14.违反政府采购法律法规,足以导致响应文件无效的情形。</w:t>
      </w:r>
    </w:p>
    <w:p>
      <w:pPr>
        <w:pStyle w:val="4"/>
        <w:rPr>
          <w:rFonts w:asciiTheme="minorEastAsia" w:hAnsiTheme="minorEastAsia" w:eastAsiaTheme="minorEastAsia" w:cstheme="minorEastAsia"/>
        </w:rPr>
      </w:pPr>
      <w:bookmarkStart w:id="75" w:name="_Toc13941"/>
      <w:bookmarkStart w:id="76" w:name="_Toc406671103"/>
      <w:bookmarkStart w:id="77" w:name="_Toc406670732"/>
      <w:bookmarkStart w:id="78" w:name="_Toc406671691"/>
      <w:bookmarkStart w:id="79" w:name="_Toc406672394"/>
      <w:bookmarkStart w:id="80" w:name="_Toc424213022"/>
      <w:r>
        <w:rPr>
          <w:rFonts w:hint="eastAsia" w:asciiTheme="minorEastAsia" w:hAnsiTheme="minorEastAsia" w:eastAsiaTheme="minorEastAsia" w:cstheme="minorEastAsia"/>
        </w:rPr>
        <w:t>第二部分  通用部分</w:t>
      </w:r>
      <w:bookmarkEnd w:id="75"/>
      <w:bookmarkEnd w:id="76"/>
      <w:bookmarkEnd w:id="77"/>
      <w:bookmarkEnd w:id="78"/>
      <w:bookmarkEnd w:id="79"/>
      <w:bookmarkEnd w:id="80"/>
    </w:p>
    <w:p>
      <w:pPr>
        <w:pStyle w:val="5"/>
        <w:rPr>
          <w:rFonts w:ascii="宋体" w:hAnsi="宋体" w:eastAsia="宋体" w:cs="宋体"/>
          <w:sz w:val="24"/>
          <w:szCs w:val="24"/>
        </w:rPr>
      </w:pPr>
      <w:bookmarkStart w:id="81" w:name="_Toc406671692"/>
      <w:bookmarkStart w:id="82" w:name="_Toc406672395"/>
      <w:bookmarkStart w:id="83" w:name="_Toc406671104"/>
      <w:bookmarkStart w:id="84" w:name="_Toc406670733"/>
      <w:bookmarkStart w:id="85" w:name="_Toc2158"/>
      <w:bookmarkStart w:id="86" w:name="_Toc424213023"/>
      <w:r>
        <w:rPr>
          <w:rFonts w:hint="eastAsia" w:ascii="宋体" w:hAnsi="宋体" w:eastAsia="宋体" w:cs="宋体"/>
          <w:sz w:val="24"/>
          <w:szCs w:val="24"/>
        </w:rPr>
        <w:t xml:space="preserve">第四章  </w:t>
      </w:r>
      <w:bookmarkEnd w:id="81"/>
      <w:bookmarkEnd w:id="82"/>
      <w:bookmarkEnd w:id="83"/>
      <w:bookmarkEnd w:id="84"/>
      <w:bookmarkStart w:id="87" w:name="_Toc406670734"/>
      <w:bookmarkStart w:id="88" w:name="_Toc406672396"/>
      <w:bookmarkStart w:id="89" w:name="_Toc406671105"/>
      <w:bookmarkStart w:id="90" w:name="_Toc406671693"/>
      <w:r>
        <w:rPr>
          <w:rFonts w:hint="eastAsia" w:ascii="宋体" w:hAnsi="宋体" w:eastAsia="宋体" w:cs="宋体"/>
          <w:sz w:val="24"/>
          <w:szCs w:val="24"/>
        </w:rPr>
        <w:t>政府采购程序</w:t>
      </w:r>
      <w:bookmarkEnd w:id="85"/>
      <w:bookmarkEnd w:id="86"/>
    </w:p>
    <w:bookmarkEnd w:id="87"/>
    <w:bookmarkEnd w:id="88"/>
    <w:bookmarkEnd w:id="89"/>
    <w:bookmarkEnd w:id="90"/>
    <w:p>
      <w:pPr>
        <w:pStyle w:val="6"/>
        <w:rPr>
          <w:rFonts w:hint="eastAsia" w:asciiTheme="minorEastAsia" w:hAnsiTheme="minorEastAsia" w:eastAsiaTheme="minorEastAsia" w:cstheme="minorEastAsia"/>
        </w:rPr>
      </w:pPr>
      <w:bookmarkStart w:id="91" w:name="_Toc16022"/>
      <w:bookmarkStart w:id="92" w:name="_Toc407182675"/>
      <w:bookmarkStart w:id="93" w:name="_Toc18745"/>
      <w:bookmarkStart w:id="94" w:name="_Toc6789"/>
      <w:bookmarkStart w:id="95" w:name="_Toc406671703"/>
      <w:bookmarkStart w:id="96" w:name="_Toc424213034"/>
      <w:bookmarkStart w:id="97" w:name="_Toc406670744"/>
      <w:bookmarkStart w:id="98" w:name="_Toc406672406"/>
      <w:bookmarkStart w:id="99" w:name="_Toc406671115"/>
      <w:r>
        <w:rPr>
          <w:rFonts w:hint="eastAsia" w:asciiTheme="minorEastAsia" w:hAnsiTheme="minorEastAsia" w:eastAsiaTheme="minorEastAsia" w:cstheme="minorEastAsia"/>
        </w:rPr>
        <w:t>第一节 发布采购公告</w:t>
      </w:r>
      <w:bookmarkEnd w:id="91"/>
      <w:bookmarkEnd w:id="92"/>
      <w:bookmarkEnd w:id="93"/>
      <w:bookmarkEnd w:id="94"/>
    </w:p>
    <w:p>
      <w:pPr>
        <w:rPr>
          <w:rStyle w:val="39"/>
          <w:rFonts w:ascii="宋体" w:hAnsi="宋体" w:eastAsia="宋体" w:cs="宋体"/>
          <w:sz w:val="24"/>
        </w:rPr>
      </w:pPr>
      <w:r>
        <w:rPr>
          <w:rStyle w:val="39"/>
          <w:rFonts w:hint="eastAsia" w:ascii="宋体" w:hAnsi="宋体" w:eastAsia="宋体" w:cs="宋体"/>
          <w:sz w:val="24"/>
        </w:rPr>
        <w:t>一、公告发布媒体</w:t>
      </w:r>
    </w:p>
    <w:p>
      <w:pPr>
        <w:ind w:firstLine="480"/>
        <w:rPr>
          <w:rFonts w:ascii="宋体" w:hAnsi="宋体" w:cs="宋体"/>
          <w:sz w:val="24"/>
        </w:rPr>
      </w:pPr>
      <w:bookmarkStart w:id="100" w:name="_Hlk44944007"/>
      <w:r>
        <w:rPr>
          <w:rFonts w:hint="eastAsia" w:ascii="宋体" w:hAnsi="宋体" w:cs="宋体"/>
          <w:sz w:val="24"/>
        </w:rPr>
        <w:t>新疆政府采购网（http://www.ccgp-xinjiang.gov.cn/）</w:t>
      </w:r>
      <w:bookmarkEnd w:id="100"/>
      <w:r>
        <w:rPr>
          <w:rFonts w:hint="eastAsia" w:ascii="宋体" w:hAnsi="宋体" w:cs="宋体"/>
          <w:sz w:val="24"/>
        </w:rPr>
        <w:t>及法律法规规定的相关媒体。</w:t>
      </w:r>
    </w:p>
    <w:p>
      <w:pPr>
        <w:spacing w:beforeLines="50" w:afterLines="50" w:line="240" w:lineRule="auto"/>
        <w:rPr>
          <w:rFonts w:ascii="宋体" w:hAnsi="宋体" w:cs="宋体"/>
          <w:sz w:val="24"/>
        </w:rPr>
      </w:pPr>
      <w:r>
        <w:rPr>
          <w:rFonts w:hint="eastAsia" w:ascii="宋体" w:hAnsi="宋体" w:cs="宋体"/>
          <w:sz w:val="24"/>
        </w:rPr>
        <w:t>二、变更公告</w:t>
      </w:r>
    </w:p>
    <w:p>
      <w:pPr>
        <w:ind w:firstLine="480"/>
        <w:rPr>
          <w:rFonts w:ascii="宋体" w:hAnsi="宋体" w:cs="宋体"/>
          <w:sz w:val="24"/>
        </w:rPr>
      </w:pPr>
      <w:r>
        <w:rPr>
          <w:rFonts w:hint="eastAsia" w:ascii="宋体" w:hAnsi="宋体" w:cs="宋体"/>
          <w:sz w:val="24"/>
        </w:rPr>
        <w:t>本项目将根据实际情况及需要，发布技术参数、开评标时间调整等有关内容的变更公告。供应商须关注新疆政府采购网（http://www.ccgp-xinjiang.gov.cn/）变更公告栏及其他有关网站和媒体发布的关于本项目的变更公告。变更公告是采购文件的组成部分，与采购文件具有同等法律效力。</w:t>
      </w:r>
    </w:p>
    <w:p>
      <w:pPr>
        <w:pStyle w:val="6"/>
        <w:tabs>
          <w:tab w:val="left" w:pos="3402"/>
        </w:tabs>
        <w:spacing w:before="240" w:after="240"/>
        <w:rPr>
          <w:rFonts w:ascii="宋体" w:hAnsi="宋体" w:eastAsia="宋体" w:cs="宋体"/>
          <w:szCs w:val="24"/>
        </w:rPr>
      </w:pPr>
      <w:bookmarkStart w:id="101" w:name="_Toc407182676"/>
      <w:bookmarkStart w:id="102" w:name="_Toc5542"/>
      <w:bookmarkStart w:id="103" w:name="_Toc22195"/>
      <w:bookmarkStart w:id="104" w:name="_Toc24237"/>
      <w:r>
        <w:rPr>
          <w:rFonts w:hint="eastAsia" w:ascii="宋体" w:hAnsi="宋体" w:eastAsia="宋体" w:cs="宋体"/>
          <w:szCs w:val="24"/>
        </w:rPr>
        <w:t>第二节 获取采购文件</w:t>
      </w:r>
      <w:bookmarkEnd w:id="101"/>
      <w:bookmarkEnd w:id="102"/>
      <w:bookmarkEnd w:id="103"/>
      <w:bookmarkEnd w:id="104"/>
    </w:p>
    <w:p>
      <w:pPr>
        <w:pStyle w:val="67"/>
        <w:ind w:firstLine="0" w:firstLineChars="0"/>
        <w:rPr>
          <w:rStyle w:val="39"/>
          <w:rFonts w:ascii="宋体" w:hAnsi="宋体" w:eastAsia="宋体" w:cs="宋体"/>
          <w:sz w:val="24"/>
        </w:rPr>
      </w:pPr>
      <w:r>
        <w:rPr>
          <w:rStyle w:val="39"/>
          <w:rFonts w:hint="eastAsia" w:ascii="宋体" w:hAnsi="宋体" w:eastAsia="宋体" w:cs="宋体"/>
          <w:sz w:val="24"/>
        </w:rPr>
        <w:t>一、购买时间</w:t>
      </w:r>
    </w:p>
    <w:p>
      <w:pPr>
        <w:ind w:firstLine="480"/>
        <w:rPr>
          <w:rFonts w:ascii="宋体" w:hAnsi="宋体" w:cs="宋体"/>
          <w:b/>
          <w:sz w:val="24"/>
        </w:rPr>
      </w:pPr>
      <w:r>
        <w:rPr>
          <w:rFonts w:hint="eastAsia" w:ascii="宋体" w:hAnsi="宋体" w:cs="宋体"/>
          <w:sz w:val="24"/>
        </w:rPr>
        <w:t>以本项目公告时间为准。</w:t>
      </w:r>
    </w:p>
    <w:p>
      <w:pPr>
        <w:rPr>
          <w:rStyle w:val="39"/>
          <w:rFonts w:ascii="宋体" w:hAnsi="宋体" w:eastAsia="宋体" w:cs="宋体"/>
          <w:sz w:val="24"/>
        </w:rPr>
      </w:pPr>
      <w:r>
        <w:rPr>
          <w:rStyle w:val="39"/>
          <w:rFonts w:hint="eastAsia" w:ascii="宋体" w:hAnsi="宋体" w:eastAsia="宋体" w:cs="宋体"/>
          <w:sz w:val="24"/>
        </w:rPr>
        <w:t>二、购买方式</w:t>
      </w:r>
    </w:p>
    <w:p>
      <w:pPr>
        <w:rPr>
          <w:rFonts w:ascii="宋体" w:hAnsi="宋体" w:cs="宋体"/>
          <w:sz w:val="24"/>
        </w:rPr>
      </w:pPr>
      <w:r>
        <w:rPr>
          <w:rFonts w:hint="eastAsia" w:ascii="宋体" w:hAnsi="宋体" w:cs="宋体"/>
          <w:sz w:val="24"/>
        </w:rPr>
        <w:t>按本项目公告确定的方式进行购买。</w:t>
      </w:r>
    </w:p>
    <w:p>
      <w:pPr>
        <w:rPr>
          <w:rFonts w:ascii="宋体" w:hAnsi="宋体" w:cs="宋体"/>
          <w:sz w:val="24"/>
        </w:rPr>
      </w:pPr>
      <w:r>
        <w:rPr>
          <w:rStyle w:val="39"/>
          <w:rFonts w:hint="eastAsia" w:ascii="宋体" w:hAnsi="宋体" w:eastAsia="宋体" w:cs="宋体"/>
          <w:sz w:val="24"/>
        </w:rPr>
        <w:t>三、文件售价</w:t>
      </w:r>
      <w:r>
        <w:rPr>
          <w:rFonts w:hint="eastAsia" w:ascii="宋体" w:hAnsi="宋体" w:cs="宋体"/>
          <w:sz w:val="24"/>
        </w:rPr>
        <w:t>人民币</w:t>
      </w:r>
      <w:r>
        <w:rPr>
          <w:rFonts w:hint="eastAsia" w:ascii="宋体" w:hAnsi="宋体" w:cs="宋体"/>
          <w:sz w:val="24"/>
          <w:u w:val="single"/>
        </w:rPr>
        <w:t>300.00元整</w:t>
      </w:r>
      <w:r>
        <w:rPr>
          <w:rFonts w:hint="eastAsia" w:ascii="宋体" w:hAnsi="宋体" w:cs="宋体"/>
          <w:sz w:val="24"/>
        </w:rPr>
        <w:t>（售后不退）。</w:t>
      </w:r>
    </w:p>
    <w:p>
      <w:pPr>
        <w:spacing w:beforeLines="50" w:afterLines="50" w:line="240" w:lineRule="auto"/>
        <w:rPr>
          <w:rFonts w:ascii="宋体" w:hAnsi="宋体" w:cs="宋体"/>
          <w:sz w:val="24"/>
        </w:rPr>
      </w:pPr>
      <w:r>
        <w:rPr>
          <w:rFonts w:hint="eastAsia" w:ascii="宋体" w:hAnsi="宋体" w:cs="宋体"/>
          <w:sz w:val="24"/>
        </w:rPr>
        <w:t>四、采购文件的澄清和修改</w:t>
      </w:r>
    </w:p>
    <w:p>
      <w:pPr>
        <w:spacing w:beforeLines="100" w:afterLines="50"/>
        <w:ind w:firstLine="491" w:firstLineChars="205"/>
        <w:rPr>
          <w:rFonts w:ascii="宋体" w:hAnsi="宋体" w:cs="宋体"/>
          <w:sz w:val="24"/>
        </w:rPr>
      </w:pPr>
      <w:r>
        <w:rPr>
          <w:rFonts w:hint="eastAsia" w:ascii="宋体" w:hAnsi="宋体" w:cs="宋体"/>
          <w:sz w:val="24"/>
        </w:rPr>
        <w:t>（一）、采购文件的澄清和修改：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补充变更文件是采购文件的组成部分，对所有供应商均具有约束力。所有采购文件的补充、变更将以变更公告形式发布。</w:t>
      </w:r>
    </w:p>
    <w:p>
      <w:pPr>
        <w:spacing w:beforeLines="100" w:afterLines="50"/>
        <w:ind w:firstLine="491" w:firstLineChars="205"/>
        <w:rPr>
          <w:rFonts w:ascii="宋体" w:hAnsi="宋体" w:cs="宋体"/>
          <w:sz w:val="24"/>
        </w:rPr>
      </w:pPr>
      <w:r>
        <w:rPr>
          <w:rFonts w:hint="eastAsia" w:ascii="宋体" w:hAnsi="宋体" w:cs="宋体"/>
          <w:sz w:val="24"/>
        </w:rPr>
        <w:t>（二）采购文件的质疑：供应商或潜在供应商对采购文件中存在的任何含糊、遗漏、相互矛盾之处，或对技术规格及其他条件不清楚，或采购文件具有不合理、不公平、歧视性、限制性、指向性条款损害潜在供应商权益的，或供应商有疑问的其他事项，供应商或潜在供应商可向采购人或代理机构提出书面质疑，对采购人或采购代理机构质疑回复不满意的可向主管财政部门进行投诉。未递交质疑函的视为充分理解并认可采购文件及补充变更的所有内容。</w:t>
      </w:r>
    </w:p>
    <w:p>
      <w:pPr>
        <w:spacing w:beforeLines="50" w:afterLines="50" w:line="240" w:lineRule="auto"/>
        <w:ind w:firstLine="494" w:firstLineChars="205"/>
        <w:rPr>
          <w:rFonts w:ascii="宋体" w:hAnsi="宋体" w:cs="宋体"/>
          <w:sz w:val="24"/>
          <w:u w:val="single"/>
        </w:rPr>
      </w:pPr>
      <w:r>
        <w:rPr>
          <w:rFonts w:hint="eastAsia" w:ascii="宋体" w:hAnsi="宋体" w:cs="宋体"/>
          <w:b/>
          <w:sz w:val="24"/>
        </w:rPr>
        <w:t>采购文件质疑、投诉的具体要求和流程详见磋商采购文件第四章第六节：发布成交结果公告，第二点：政府采购活动的质疑投诉。</w:t>
      </w:r>
    </w:p>
    <w:p>
      <w:pPr>
        <w:ind w:firstLine="480"/>
        <w:rPr>
          <w:rFonts w:ascii="宋体" w:hAnsi="宋体" w:cs="宋体"/>
          <w:sz w:val="24"/>
        </w:rPr>
      </w:pPr>
    </w:p>
    <w:p>
      <w:pPr>
        <w:pStyle w:val="6"/>
        <w:tabs>
          <w:tab w:val="left" w:pos="3402"/>
        </w:tabs>
        <w:spacing w:before="240" w:after="240"/>
        <w:rPr>
          <w:rFonts w:ascii="宋体" w:hAnsi="宋体" w:eastAsia="宋体" w:cs="宋体"/>
          <w:szCs w:val="24"/>
        </w:rPr>
      </w:pPr>
      <w:bookmarkStart w:id="105" w:name="_Toc29637"/>
      <w:bookmarkStart w:id="106" w:name="_Toc407182677"/>
      <w:bookmarkStart w:id="107" w:name="_Toc14523"/>
      <w:bookmarkStart w:id="108" w:name="_Toc11806"/>
      <w:r>
        <w:rPr>
          <w:rFonts w:hint="eastAsia" w:ascii="宋体" w:hAnsi="宋体" w:eastAsia="宋体" w:cs="宋体"/>
          <w:szCs w:val="24"/>
        </w:rPr>
        <w:t>第三节 交纳投标保证金</w:t>
      </w:r>
      <w:bookmarkEnd w:id="105"/>
      <w:bookmarkEnd w:id="106"/>
      <w:bookmarkEnd w:id="107"/>
      <w:bookmarkEnd w:id="108"/>
    </w:p>
    <w:p>
      <w:pPr>
        <w:spacing w:beforeLines="100" w:afterLines="50"/>
        <w:rPr>
          <w:rFonts w:ascii="宋体" w:hAnsi="宋体" w:cs="宋体"/>
          <w:sz w:val="24"/>
        </w:rPr>
      </w:pPr>
      <w:r>
        <w:rPr>
          <w:rStyle w:val="39"/>
          <w:rFonts w:hint="eastAsia" w:ascii="宋体" w:hAnsi="宋体" w:eastAsia="宋体" w:cs="宋体"/>
          <w:sz w:val="24"/>
        </w:rPr>
        <w:t>一、交纳金额</w:t>
      </w:r>
      <w:r>
        <w:rPr>
          <w:rFonts w:hint="eastAsia" w:ascii="宋体" w:hAnsi="宋体" w:cs="宋体"/>
          <w:sz w:val="24"/>
        </w:rPr>
        <w:t>：</w:t>
      </w:r>
      <w:r>
        <w:rPr>
          <w:rFonts w:hint="eastAsia" w:ascii="宋体" w:hAnsi="宋体" w:cs="宋体"/>
          <w:sz w:val="24"/>
          <w:lang w:val="en-US" w:eastAsia="zh-CN"/>
        </w:rPr>
        <w:t>8000</w:t>
      </w:r>
      <w:r>
        <w:rPr>
          <w:rFonts w:hint="eastAsia" w:ascii="宋体" w:hAnsi="宋体" w:cs="宋体"/>
          <w:sz w:val="24"/>
        </w:rPr>
        <w:t>.00元整。</w:t>
      </w:r>
    </w:p>
    <w:p>
      <w:pPr>
        <w:rPr>
          <w:rFonts w:ascii="宋体" w:hAnsi="宋体" w:cs="宋体"/>
          <w:sz w:val="24"/>
        </w:rPr>
      </w:pPr>
      <w:r>
        <w:rPr>
          <w:rStyle w:val="39"/>
          <w:rFonts w:hint="eastAsia" w:ascii="宋体" w:hAnsi="宋体" w:eastAsia="宋体" w:cs="宋体"/>
          <w:sz w:val="24"/>
        </w:rPr>
        <w:t>二、交纳方式</w:t>
      </w:r>
      <w:r>
        <w:rPr>
          <w:rFonts w:hint="eastAsia" w:ascii="宋体" w:hAnsi="宋体" w:cs="宋体"/>
          <w:sz w:val="24"/>
        </w:rPr>
        <w:t>：对公转账或者电汇</w:t>
      </w:r>
    </w:p>
    <w:p>
      <w:pPr>
        <w:rPr>
          <w:rStyle w:val="39"/>
          <w:rFonts w:ascii="宋体" w:hAnsi="宋体" w:eastAsia="宋体" w:cs="宋体"/>
          <w:sz w:val="24"/>
        </w:rPr>
      </w:pPr>
      <w:r>
        <w:rPr>
          <w:rStyle w:val="39"/>
          <w:rFonts w:hint="eastAsia" w:ascii="宋体" w:hAnsi="宋体" w:eastAsia="宋体" w:cs="宋体"/>
          <w:sz w:val="24"/>
        </w:rPr>
        <w:t>三、交纳要求</w:t>
      </w:r>
    </w:p>
    <w:p>
      <w:pPr>
        <w:ind w:firstLine="480"/>
        <w:rPr>
          <w:rStyle w:val="39"/>
          <w:rFonts w:ascii="宋体" w:hAnsi="宋体" w:eastAsia="宋体" w:cs="宋体"/>
          <w:sz w:val="24"/>
        </w:rPr>
      </w:pPr>
      <w:r>
        <w:rPr>
          <w:rStyle w:val="39"/>
          <w:rFonts w:hint="eastAsia" w:ascii="宋体" w:hAnsi="宋体" w:eastAsia="宋体" w:cs="宋体"/>
          <w:sz w:val="24"/>
        </w:rPr>
        <w:t>投标保证金须按磋商文件规定的递交响应文件截止时间前完成交纳，并将投标保证金线上缴纳截图（见响应文件格式），编制在响应文件相应位置。投标保证金须从供应商/供应商基本账户或一般账户转出，不得由他人账户代交。保证金交纳须按项目名称、品目进行交纳。供应商为联合体的，可由联合体中的一方或者多方共同交纳保证金，其交纳的投标保证金对联合体各方均具有约束力。</w:t>
      </w:r>
    </w:p>
    <w:p>
      <w:pPr>
        <w:rPr>
          <w:rStyle w:val="39"/>
          <w:rFonts w:ascii="宋体" w:hAnsi="宋体" w:eastAsia="宋体" w:cs="宋体"/>
          <w:sz w:val="24"/>
        </w:rPr>
      </w:pPr>
      <w:r>
        <w:rPr>
          <w:rStyle w:val="39"/>
          <w:rFonts w:hint="eastAsia" w:ascii="宋体" w:hAnsi="宋体" w:eastAsia="宋体" w:cs="宋体"/>
          <w:sz w:val="24"/>
        </w:rPr>
        <w:t>四、保证金有效期</w:t>
      </w:r>
    </w:p>
    <w:p>
      <w:pPr>
        <w:ind w:firstLine="480"/>
        <w:rPr>
          <w:rFonts w:ascii="宋体" w:hAnsi="宋体" w:cs="宋体"/>
          <w:sz w:val="24"/>
        </w:rPr>
      </w:pPr>
      <w:r>
        <w:rPr>
          <w:rFonts w:hint="eastAsia" w:ascii="宋体" w:hAnsi="宋体" w:cs="宋体"/>
          <w:sz w:val="24"/>
        </w:rPr>
        <w:t>同投标有效期。</w:t>
      </w:r>
    </w:p>
    <w:p>
      <w:pPr>
        <w:pStyle w:val="6"/>
        <w:tabs>
          <w:tab w:val="left" w:pos="3402"/>
        </w:tabs>
        <w:spacing w:before="240" w:after="240"/>
        <w:rPr>
          <w:rFonts w:ascii="宋体" w:hAnsi="宋体" w:eastAsia="宋体" w:cs="宋体"/>
          <w:szCs w:val="24"/>
        </w:rPr>
      </w:pPr>
      <w:bookmarkStart w:id="109" w:name="_Toc32727"/>
      <w:bookmarkStart w:id="110" w:name="_Toc407182678"/>
      <w:bookmarkStart w:id="111" w:name="_Toc18575"/>
      <w:bookmarkStart w:id="112" w:name="_Toc12925"/>
      <w:r>
        <w:rPr>
          <w:rFonts w:hint="eastAsia" w:ascii="宋体" w:hAnsi="宋体" w:eastAsia="宋体" w:cs="宋体"/>
          <w:szCs w:val="24"/>
        </w:rPr>
        <w:t>第四节 递交响应文件</w:t>
      </w:r>
      <w:bookmarkEnd w:id="109"/>
      <w:bookmarkEnd w:id="110"/>
      <w:bookmarkEnd w:id="111"/>
      <w:bookmarkEnd w:id="112"/>
    </w:p>
    <w:p>
      <w:pPr>
        <w:rPr>
          <w:rStyle w:val="39"/>
          <w:rFonts w:ascii="宋体" w:hAnsi="宋体" w:eastAsia="宋体" w:cs="宋体"/>
          <w:sz w:val="24"/>
        </w:rPr>
      </w:pPr>
      <w:r>
        <w:rPr>
          <w:rStyle w:val="39"/>
          <w:rFonts w:hint="eastAsia" w:ascii="宋体" w:hAnsi="宋体" w:eastAsia="宋体" w:cs="宋体"/>
          <w:sz w:val="24"/>
        </w:rPr>
        <w:t>一、递交时间</w:t>
      </w:r>
    </w:p>
    <w:p>
      <w:pPr>
        <w:ind w:firstLine="480"/>
        <w:rPr>
          <w:rFonts w:ascii="宋体" w:hAnsi="宋体" w:cs="宋体"/>
          <w:sz w:val="24"/>
        </w:rPr>
      </w:pPr>
      <w:r>
        <w:rPr>
          <w:rFonts w:hint="eastAsia" w:ascii="宋体" w:hAnsi="宋体" w:cs="宋体"/>
          <w:sz w:val="24"/>
        </w:rPr>
        <w:t>以本项目公告时间为准，如本项目有变更公告的，以变更公告时间为准（供应商须在递交文件截止时间前递交密封的响应文件，代理机构工作人员对递交的响应文件进行登记。不接受逾时的响应文件）。</w:t>
      </w:r>
    </w:p>
    <w:p>
      <w:pPr>
        <w:rPr>
          <w:rStyle w:val="39"/>
          <w:rFonts w:hint="default" w:ascii="宋体" w:hAnsi="宋体" w:eastAsia="宋体" w:cs="宋体"/>
          <w:sz w:val="24"/>
          <w:lang w:val="en-US" w:eastAsia="zh-CN"/>
        </w:rPr>
      </w:pPr>
      <w:r>
        <w:rPr>
          <w:rStyle w:val="39"/>
          <w:rFonts w:hint="eastAsia" w:ascii="宋体" w:hAnsi="宋体" w:eastAsia="宋体" w:cs="宋体"/>
          <w:sz w:val="24"/>
        </w:rPr>
        <w:t>二、递交地点</w:t>
      </w:r>
      <w:r>
        <w:rPr>
          <w:rStyle w:val="39"/>
          <w:rFonts w:hint="eastAsia" w:ascii="宋体" w:hAnsi="宋体" w:cs="宋体"/>
          <w:sz w:val="24"/>
          <w:lang w:eastAsia="zh-CN"/>
        </w:rPr>
        <w:t>：</w:t>
      </w:r>
      <w:r>
        <w:rPr>
          <w:rStyle w:val="39"/>
          <w:rFonts w:hint="eastAsia" w:ascii="宋体" w:hAnsi="宋体" w:cs="宋体"/>
          <w:sz w:val="24"/>
          <w:lang w:val="en-US" w:eastAsia="zh-CN"/>
        </w:rPr>
        <w:t>见采购公告</w:t>
      </w:r>
    </w:p>
    <w:p>
      <w:pPr>
        <w:rPr>
          <w:rStyle w:val="39"/>
          <w:rFonts w:ascii="宋体" w:hAnsi="宋体" w:eastAsia="宋体" w:cs="宋体"/>
          <w:sz w:val="24"/>
        </w:rPr>
      </w:pPr>
      <w:r>
        <w:rPr>
          <w:rStyle w:val="39"/>
          <w:rFonts w:hint="eastAsia" w:ascii="宋体" w:hAnsi="宋体" w:eastAsia="宋体" w:cs="宋体"/>
          <w:sz w:val="24"/>
        </w:rPr>
        <w:t>三、递交要求</w:t>
      </w:r>
    </w:p>
    <w:p>
      <w:pPr>
        <w:ind w:firstLine="480"/>
        <w:rPr>
          <w:rFonts w:ascii="宋体" w:hAnsi="宋体" w:cs="宋体"/>
          <w:sz w:val="24"/>
        </w:rPr>
      </w:pPr>
      <w:r>
        <w:rPr>
          <w:rFonts w:hint="eastAsia" w:ascii="宋体" w:hAnsi="宋体" w:cs="宋体"/>
          <w:sz w:val="24"/>
        </w:rPr>
        <w:t>响应文件正本一份、副本</w:t>
      </w:r>
      <w:r>
        <w:rPr>
          <w:rFonts w:hint="eastAsia" w:ascii="宋体" w:hAnsi="宋体" w:cs="宋体"/>
          <w:sz w:val="24"/>
          <w:highlight w:val="yellow"/>
          <w:lang w:eastAsia="zh-CN"/>
        </w:rPr>
        <w:t>四份</w:t>
      </w:r>
      <w:r>
        <w:rPr>
          <w:rFonts w:hint="eastAsia" w:ascii="宋体" w:hAnsi="宋体" w:cs="宋体"/>
          <w:sz w:val="24"/>
        </w:rPr>
        <w:t>，响应文件电子文档</w:t>
      </w:r>
      <w:r>
        <w:rPr>
          <w:rFonts w:hint="eastAsia" w:ascii="宋体" w:hAnsi="宋体" w:cs="宋体"/>
          <w:sz w:val="24"/>
          <w:u w:val="single"/>
        </w:rPr>
        <w:t>1</w:t>
      </w:r>
      <w:r>
        <w:rPr>
          <w:rFonts w:hint="eastAsia" w:ascii="宋体" w:hAnsi="宋体" w:cs="宋体"/>
          <w:sz w:val="24"/>
        </w:rPr>
        <w:t>份（电子文档用U盘制作，不加密，须注明项目名称和供应商名称）。递交文件不完整的作无效投标处理。</w:t>
      </w:r>
    </w:p>
    <w:p>
      <w:pPr>
        <w:spacing w:beforeLines="100" w:afterLines="50"/>
        <w:ind w:firstLine="491" w:firstLineChars="205"/>
        <w:rPr>
          <w:rFonts w:ascii="宋体" w:hAnsi="宋体" w:cs="宋体"/>
          <w:sz w:val="24"/>
        </w:rPr>
      </w:pPr>
      <w:r>
        <w:rPr>
          <w:rFonts w:hint="eastAsia" w:ascii="宋体" w:hAnsi="宋体" w:cs="宋体"/>
          <w:sz w:val="24"/>
        </w:rPr>
        <w:t>四、投标响应文件的补充、修改和撤回</w:t>
      </w:r>
    </w:p>
    <w:p>
      <w:pPr>
        <w:spacing w:beforeLines="100" w:afterLines="50"/>
        <w:ind w:firstLine="491" w:firstLineChars="205"/>
        <w:rPr>
          <w:rFonts w:ascii="宋体" w:hAnsi="宋体" w:cs="宋体"/>
          <w:sz w:val="24"/>
        </w:rPr>
      </w:pPr>
      <w:r>
        <w:rPr>
          <w:rFonts w:hint="eastAsia" w:ascii="宋体" w:hAnsi="宋体" w:cs="宋体"/>
          <w:sz w:val="24"/>
        </w:rPr>
        <w:t>（1）供应商在提交投标响应文件后，在响应截止时间前可对其响应文件进行补充、修改或撤回。</w:t>
      </w:r>
    </w:p>
    <w:p>
      <w:pPr>
        <w:spacing w:beforeLines="100" w:afterLines="50"/>
        <w:ind w:firstLine="491" w:firstLineChars="205"/>
        <w:rPr>
          <w:rFonts w:ascii="宋体" w:hAnsi="宋体" w:cs="宋体"/>
          <w:sz w:val="24"/>
        </w:rPr>
      </w:pPr>
      <w:r>
        <w:rPr>
          <w:rFonts w:hint="eastAsia" w:ascii="宋体" w:hAnsi="宋体" w:cs="宋体"/>
          <w:sz w:val="24"/>
        </w:rPr>
        <w:t>（2）投标补充或修改文件必须加盖供应商单位公章并注明“补充或修改响应文件”字样和标识项目名称、品目名称、交易编号、单位名称信息，要求密封递交。</w:t>
      </w:r>
    </w:p>
    <w:p>
      <w:pPr>
        <w:spacing w:beforeLines="100" w:afterLines="50"/>
        <w:ind w:firstLine="491" w:firstLineChars="205"/>
        <w:rPr>
          <w:rFonts w:ascii="宋体" w:hAnsi="宋体" w:cs="宋体"/>
          <w:sz w:val="24"/>
        </w:rPr>
      </w:pPr>
      <w:r>
        <w:rPr>
          <w:rFonts w:hint="eastAsia" w:ascii="宋体" w:hAnsi="宋体" w:cs="宋体"/>
          <w:sz w:val="24"/>
        </w:rPr>
        <w:t>（3）响应文件撤回必须在投标截止时间前提交由项目授权代表签署的撤回响应文件的通知，采购代理机构可以退回其响应文件。</w:t>
      </w:r>
    </w:p>
    <w:p>
      <w:pPr>
        <w:rPr>
          <w:rFonts w:ascii="宋体" w:hAnsi="宋体" w:cs="宋体"/>
          <w:sz w:val="24"/>
        </w:rPr>
      </w:pPr>
      <w:r>
        <w:rPr>
          <w:rFonts w:hint="eastAsia" w:ascii="宋体" w:hAnsi="宋体" w:cs="宋体"/>
          <w:sz w:val="24"/>
        </w:rPr>
        <w:t>（4）投标截止时间以后不得补充、修改或撤回响应文件。</w:t>
      </w:r>
    </w:p>
    <w:p>
      <w:pPr>
        <w:pStyle w:val="6"/>
        <w:tabs>
          <w:tab w:val="left" w:pos="3402"/>
        </w:tabs>
        <w:spacing w:before="240" w:after="240"/>
        <w:rPr>
          <w:rFonts w:ascii="宋体" w:hAnsi="宋体" w:eastAsia="宋体" w:cs="宋体"/>
          <w:szCs w:val="24"/>
        </w:rPr>
      </w:pPr>
      <w:bookmarkStart w:id="113" w:name="_Toc26596"/>
      <w:bookmarkStart w:id="114" w:name="_Toc22357"/>
      <w:bookmarkStart w:id="115" w:name="_Toc407182679"/>
      <w:bookmarkStart w:id="116" w:name="_Toc27013"/>
      <w:r>
        <w:rPr>
          <w:rFonts w:hint="eastAsia" w:ascii="宋体" w:hAnsi="宋体" w:eastAsia="宋体" w:cs="宋体"/>
          <w:szCs w:val="24"/>
        </w:rPr>
        <w:t>第五节 竞争性磋商程序</w:t>
      </w:r>
      <w:bookmarkEnd w:id="113"/>
      <w:bookmarkEnd w:id="114"/>
      <w:bookmarkEnd w:id="115"/>
      <w:bookmarkEnd w:id="116"/>
    </w:p>
    <w:p>
      <w:pPr>
        <w:rPr>
          <w:rStyle w:val="39"/>
          <w:rFonts w:ascii="宋体" w:hAnsi="宋体" w:eastAsia="宋体" w:cs="宋体"/>
          <w:sz w:val="24"/>
        </w:rPr>
      </w:pPr>
      <w:r>
        <w:rPr>
          <w:rStyle w:val="39"/>
          <w:rFonts w:hint="eastAsia" w:ascii="宋体" w:hAnsi="宋体" w:eastAsia="宋体" w:cs="宋体"/>
          <w:sz w:val="24"/>
        </w:rPr>
        <w:t>一、磋商时间</w:t>
      </w:r>
    </w:p>
    <w:p>
      <w:pPr>
        <w:spacing w:beforeLines="100" w:afterLines="50"/>
        <w:ind w:firstLine="491" w:firstLineChars="205"/>
        <w:rPr>
          <w:rFonts w:ascii="宋体" w:hAnsi="宋体" w:cs="宋体"/>
          <w:sz w:val="24"/>
        </w:rPr>
      </w:pPr>
      <w:r>
        <w:rPr>
          <w:rFonts w:hint="eastAsia" w:ascii="宋体" w:hAnsi="宋体" w:cs="宋体"/>
          <w:sz w:val="24"/>
        </w:rPr>
        <w:t>以本项目公告时间为准。如发布变更公告的，以变更公告时间为准。</w:t>
      </w:r>
    </w:p>
    <w:p>
      <w:pPr>
        <w:rPr>
          <w:rStyle w:val="39"/>
          <w:rFonts w:ascii="宋体" w:hAnsi="宋体" w:eastAsia="宋体" w:cs="宋体"/>
          <w:sz w:val="24"/>
        </w:rPr>
      </w:pPr>
      <w:r>
        <w:rPr>
          <w:rStyle w:val="39"/>
          <w:rFonts w:hint="eastAsia" w:ascii="宋体" w:hAnsi="宋体" w:eastAsia="宋体" w:cs="宋体"/>
          <w:sz w:val="24"/>
        </w:rPr>
        <w:t>二、磋商地点</w:t>
      </w:r>
    </w:p>
    <w:p>
      <w:pPr>
        <w:ind w:firstLine="480"/>
        <w:rPr>
          <w:rFonts w:ascii="宋体" w:hAnsi="宋体" w:cs="宋体"/>
          <w:sz w:val="24"/>
        </w:rPr>
      </w:pPr>
      <w:r>
        <w:rPr>
          <w:rFonts w:hint="eastAsia" w:ascii="宋体" w:hAnsi="宋体" w:cs="宋体"/>
          <w:sz w:val="24"/>
          <w:lang w:eastAsia="zh-CN"/>
        </w:rPr>
        <w:t>新疆华域建设工程项目管理咨询有限公司</w:t>
      </w:r>
      <w:r>
        <w:rPr>
          <w:rFonts w:hint="eastAsia" w:ascii="宋体" w:hAnsi="宋体" w:cs="宋体"/>
          <w:sz w:val="24"/>
        </w:rPr>
        <w:t>，地址：</w:t>
      </w:r>
      <w:r>
        <w:rPr>
          <w:rFonts w:hint="eastAsia" w:ascii="宋体" w:hAnsi="宋体" w:cs="宋体"/>
          <w:sz w:val="24"/>
          <w:lang w:eastAsia="zh-CN"/>
        </w:rPr>
        <w:t>新疆华域建设工程项目管理咨询有限公司会议室</w:t>
      </w:r>
      <w:r>
        <w:rPr>
          <w:rFonts w:hint="eastAsia" w:ascii="宋体" w:hAnsi="宋体" w:cs="宋体"/>
          <w:sz w:val="24"/>
        </w:rPr>
        <w:t>。</w:t>
      </w:r>
    </w:p>
    <w:p>
      <w:pPr>
        <w:rPr>
          <w:rStyle w:val="39"/>
          <w:rFonts w:hint="eastAsia" w:ascii="宋体" w:hAnsi="宋体" w:eastAsia="宋体" w:cs="宋体"/>
          <w:sz w:val="24"/>
          <w:lang w:eastAsia="zh-CN"/>
        </w:rPr>
      </w:pPr>
      <w:r>
        <w:rPr>
          <w:rStyle w:val="39"/>
          <w:rFonts w:hint="eastAsia" w:ascii="宋体" w:hAnsi="宋体" w:eastAsia="宋体" w:cs="宋体"/>
          <w:sz w:val="24"/>
        </w:rPr>
        <w:t>三、磋商流程</w:t>
      </w:r>
      <w:r>
        <w:rPr>
          <w:rStyle w:val="39"/>
          <w:rFonts w:hint="eastAsia" w:ascii="宋体" w:hAnsi="宋体" w:cs="宋体"/>
          <w:sz w:val="24"/>
          <w:lang w:eastAsia="zh-CN"/>
        </w:rPr>
        <w:t>（</w:t>
      </w:r>
      <w:r>
        <w:rPr>
          <w:rStyle w:val="39"/>
          <w:rFonts w:hint="eastAsia" w:ascii="宋体" w:hAnsi="宋体" w:cs="宋体"/>
          <w:sz w:val="24"/>
          <w:lang w:val="en-US" w:eastAsia="zh-CN"/>
        </w:rPr>
        <w:t>竞争性磋商不进行唱标环节</w:t>
      </w:r>
      <w:r>
        <w:rPr>
          <w:rStyle w:val="39"/>
          <w:rFonts w:hint="eastAsia" w:ascii="宋体" w:hAnsi="宋体" w:cs="宋体"/>
          <w:sz w:val="24"/>
          <w:lang w:eastAsia="zh-CN"/>
        </w:rPr>
        <w:t>）</w:t>
      </w:r>
    </w:p>
    <w:p>
      <w:pPr>
        <w:ind w:firstLine="482"/>
        <w:rPr>
          <w:rFonts w:ascii="宋体" w:hAnsi="宋体" w:cs="宋体"/>
          <w:sz w:val="24"/>
        </w:rPr>
      </w:pPr>
      <w:r>
        <w:rPr>
          <w:rFonts w:hint="eastAsia" w:ascii="宋体" w:hAnsi="宋体" w:cs="宋体"/>
          <w:b/>
          <w:sz w:val="24"/>
        </w:rPr>
        <w:t>1.会议签到：</w:t>
      </w:r>
      <w:r>
        <w:rPr>
          <w:rFonts w:hint="eastAsia" w:ascii="宋体" w:hAnsi="宋体" w:cs="宋体"/>
          <w:sz w:val="24"/>
        </w:rPr>
        <w:t>采购人或代理机构工作人员于投标截止时间前30分钟到开标室组织采购人、供应商、监督部门相关人员签到。并将开评标环节所需表格文档资料填写、准备齐全。供应商签到并递交响应文件后在</w:t>
      </w:r>
      <w:r>
        <w:rPr>
          <w:rFonts w:hint="eastAsia" w:ascii="宋体" w:hAnsi="宋体" w:cs="宋体"/>
          <w:sz w:val="24"/>
          <w:lang w:eastAsia="zh-CN"/>
        </w:rPr>
        <w:t>新疆华域建设工程项目管理咨询有限公司会议室</w:t>
      </w:r>
      <w:r>
        <w:rPr>
          <w:rFonts w:hint="eastAsia" w:ascii="宋体" w:hAnsi="宋体" w:cs="宋体"/>
          <w:sz w:val="24"/>
        </w:rPr>
        <w:t>等候区等候，工作人员按照提交响应文件的先后顺序安排参加磋商。</w:t>
      </w:r>
    </w:p>
    <w:p>
      <w:pPr>
        <w:ind w:firstLine="482"/>
        <w:rPr>
          <w:rFonts w:ascii="宋体" w:hAnsi="宋体" w:cs="宋体"/>
          <w:sz w:val="24"/>
        </w:rPr>
      </w:pPr>
      <w:r>
        <w:rPr>
          <w:rFonts w:hint="eastAsia" w:ascii="宋体" w:hAnsi="宋体" w:cs="宋体"/>
          <w:b/>
          <w:sz w:val="24"/>
        </w:rPr>
        <w:t>2.专家签到：</w:t>
      </w:r>
      <w:r>
        <w:rPr>
          <w:rFonts w:hint="eastAsia" w:ascii="宋体" w:hAnsi="宋体" w:cs="宋体"/>
          <w:sz w:val="24"/>
        </w:rPr>
        <w:t>磋商专家需在磋商时间前到</w:t>
      </w:r>
      <w:r>
        <w:rPr>
          <w:rFonts w:hint="eastAsia" w:ascii="宋体" w:hAnsi="宋体" w:cs="宋体"/>
          <w:sz w:val="24"/>
          <w:lang w:eastAsia="zh-CN"/>
        </w:rPr>
        <w:t>新疆华域建设工程项目管理咨询有限公司会议室</w:t>
      </w:r>
      <w:r>
        <w:rPr>
          <w:rFonts w:hint="eastAsia" w:ascii="宋体" w:hAnsi="宋体" w:cs="宋体"/>
          <w:sz w:val="24"/>
        </w:rPr>
        <w:t>专家签到处，出示身份证、专家证等资料进行核验签到，并将手机等各种通信工具锁入指定位置。</w:t>
      </w:r>
    </w:p>
    <w:p>
      <w:pPr>
        <w:ind w:firstLine="482"/>
        <w:rPr>
          <w:rFonts w:ascii="宋体" w:hAnsi="宋体" w:cs="宋体"/>
          <w:sz w:val="24"/>
        </w:rPr>
      </w:pPr>
      <w:r>
        <w:rPr>
          <w:rFonts w:hint="eastAsia" w:ascii="宋体" w:hAnsi="宋体" w:cs="宋体"/>
          <w:b/>
          <w:sz w:val="24"/>
        </w:rPr>
        <w:t>3.宣读纪律：</w:t>
      </w:r>
      <w:r>
        <w:rPr>
          <w:rFonts w:hint="eastAsia" w:ascii="宋体" w:hAnsi="宋体" w:cs="宋体"/>
          <w:sz w:val="24"/>
        </w:rPr>
        <w:t>截止时间到，工作人员宣布竞争性磋商会开始，并宣读会场纪律和注意事项。</w:t>
      </w:r>
    </w:p>
    <w:p>
      <w:pPr>
        <w:ind w:firstLine="482"/>
        <w:rPr>
          <w:rFonts w:ascii="宋体" w:hAnsi="宋体" w:cs="宋体"/>
          <w:sz w:val="24"/>
        </w:rPr>
      </w:pPr>
      <w:r>
        <w:rPr>
          <w:rFonts w:hint="eastAsia" w:ascii="宋体" w:hAnsi="宋体" w:cs="宋体"/>
          <w:b/>
          <w:sz w:val="24"/>
        </w:rPr>
        <w:t>4.</w:t>
      </w:r>
      <w:r>
        <w:rPr>
          <w:rFonts w:hint="eastAsia"/>
        </w:rPr>
        <w:t xml:space="preserve"> </w:t>
      </w:r>
      <w:r>
        <w:rPr>
          <w:rFonts w:hint="eastAsia" w:ascii="宋体" w:hAnsi="宋体" w:cs="宋体"/>
          <w:b/>
          <w:sz w:val="24"/>
        </w:rPr>
        <w:t>投标文件初审：</w:t>
      </w:r>
      <w:r>
        <w:rPr>
          <w:rFonts w:hint="eastAsia" w:ascii="宋体" w:hAnsi="宋体" w:cs="宋体"/>
          <w:sz w:val="24"/>
        </w:rPr>
        <w:t>严格依据响应文件所提供的资料，对照招标文件所列内容对供应商进行资格性审查及符合性审查，审查通过的供应商进入磋商环节。未通过初步审查的响应文件不参与最后报价。通过初步审查的供应商不足三家的，本项目废标，磋商工作结束。</w:t>
      </w:r>
    </w:p>
    <w:p>
      <w:pPr>
        <w:ind w:firstLine="482"/>
        <w:rPr>
          <w:rFonts w:ascii="宋体" w:hAnsi="宋体" w:cs="宋体"/>
          <w:sz w:val="24"/>
        </w:rPr>
      </w:pPr>
      <w:r>
        <w:rPr>
          <w:rFonts w:hint="eastAsia" w:ascii="宋体" w:hAnsi="宋体" w:cs="宋体"/>
          <w:b/>
          <w:sz w:val="24"/>
        </w:rPr>
        <w:t>(1)资格性检查：</w:t>
      </w:r>
      <w:r>
        <w:rPr>
          <w:rFonts w:hint="eastAsia" w:ascii="宋体" w:hAnsi="宋体" w:cs="宋体"/>
          <w:sz w:val="24"/>
        </w:rPr>
        <w:t>采购人或采购代理机构依据法律法规和招标文件的规定，对投标文件中的资格证明等进行审查，以确定投标供应商是否具备投标资格，具体评审因素详见《资格性检查表》。</w:t>
      </w:r>
    </w:p>
    <w:p>
      <w:pPr>
        <w:ind w:firstLine="482"/>
        <w:rPr>
          <w:rFonts w:ascii="宋体" w:hAnsi="宋体" w:cs="宋体"/>
          <w:sz w:val="24"/>
        </w:rPr>
      </w:pPr>
      <w:r>
        <w:rPr>
          <w:rFonts w:hint="eastAsia" w:ascii="宋体" w:hAnsi="宋体" w:cs="宋体"/>
          <w:b/>
          <w:sz w:val="24"/>
        </w:rPr>
        <w:t>(2)符合性检查：</w:t>
      </w:r>
      <w:r>
        <w:rPr>
          <w:rFonts w:hint="eastAsia" w:ascii="宋体" w:hAnsi="宋体" w:cs="宋体"/>
          <w:sz w:val="24"/>
        </w:rPr>
        <w:t>磋商小组依据招标文件的规定，从投标文件的有效性、完整性和对招标文件的响应程度进行审查，以确定是否对招标文件的实质性要求作出响应，具体评审因素详见《符合性检查表》。</w:t>
      </w:r>
    </w:p>
    <w:p>
      <w:pPr>
        <w:ind w:firstLine="482"/>
        <w:rPr>
          <w:rFonts w:ascii="宋体" w:hAnsi="宋体" w:cs="宋体"/>
          <w:sz w:val="24"/>
        </w:rPr>
      </w:pPr>
      <w:r>
        <w:rPr>
          <w:rFonts w:hint="eastAsia" w:ascii="宋体" w:hAnsi="宋体" w:cs="宋体"/>
          <w:b/>
          <w:sz w:val="24"/>
        </w:rPr>
        <w:t>5.磋商、澄清有关问题：</w:t>
      </w:r>
      <w:r>
        <w:rPr>
          <w:rFonts w:hint="eastAsia" w:ascii="宋体" w:hAnsi="宋体" w:cs="宋体"/>
          <w:sz w:val="24"/>
        </w:rPr>
        <w:t>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并以书面形式通知所有参加磋商供应商。在磋商中，磋商的任何一方不得透露与磋商有关的其他供应商的技术资料、价格和其他信息。</w:t>
      </w:r>
    </w:p>
    <w:p>
      <w:pPr>
        <w:ind w:firstLine="482"/>
        <w:rPr>
          <w:rFonts w:ascii="宋体" w:hAnsi="宋体" w:cs="宋体"/>
          <w:sz w:val="24"/>
        </w:rPr>
      </w:pPr>
      <w:r>
        <w:rPr>
          <w:rFonts w:hint="eastAsia" w:ascii="宋体" w:hAnsi="宋体" w:cs="宋体"/>
          <w:sz w:val="24"/>
        </w:rPr>
        <w:t>磋商小组对投标文件中含义不明确、同类问题表述不一致或者有明显文字和计算错误的内容，以书面形式（应当由评标委员会专家签字）要求投标供应商做出必要的澄清、说明或者纠正。投标供应商的澄清、说明或者补正应当采用书面形式，由其授权的代表签字，并不得超出投标文件的范围或者改变投标文件的实质性内容。</w:t>
      </w:r>
    </w:p>
    <w:p>
      <w:pPr>
        <w:ind w:firstLine="482"/>
        <w:rPr>
          <w:rFonts w:ascii="宋体" w:hAnsi="宋体" w:cs="宋体"/>
          <w:sz w:val="24"/>
        </w:rPr>
      </w:pPr>
      <w:r>
        <w:rPr>
          <w:rFonts w:hint="eastAsia" w:ascii="宋体" w:hAnsi="宋体" w:cs="宋体"/>
          <w:sz w:val="24"/>
        </w:rPr>
        <w:t>磋商小组认为供应商的报价明显低于其他通过符合性审查供应商的报价， 有可能影响产品质量或者不能诚信履约的，应当要求其在评标现场合理的时间内提供书面说明，必要时提交相关证明材料；供应商不能证明其报价合理性的，评标委员会应当将其作为无效投标处理。</w:t>
      </w:r>
    </w:p>
    <w:p>
      <w:pPr>
        <w:ind w:firstLine="482"/>
        <w:rPr>
          <w:rFonts w:ascii="宋体" w:hAnsi="宋体" w:cs="宋体"/>
          <w:sz w:val="24"/>
        </w:rPr>
      </w:pPr>
      <w:r>
        <w:rPr>
          <w:rFonts w:hint="eastAsia" w:ascii="宋体" w:hAnsi="宋体" w:cs="宋体"/>
          <w:b/>
          <w:sz w:val="24"/>
        </w:rPr>
        <w:t>6.最后报价：</w:t>
      </w:r>
      <w:r>
        <w:rPr>
          <w:rFonts w:hint="eastAsia" w:ascii="宋体" w:hAnsi="宋体" w:cs="宋体"/>
          <w:sz w:val="24"/>
        </w:rPr>
        <w:t>磋商结束后，磋商小组要求所有参加磋商的供应商按照磋商文件的变动情况和磋商小组的要求在规定时间内进行最后报价</w:t>
      </w:r>
      <w:r>
        <w:rPr>
          <w:rFonts w:hint="eastAsia" w:ascii="宋体" w:hAnsi="宋体" w:cs="宋体"/>
          <w:b/>
          <w:sz w:val="24"/>
        </w:rPr>
        <w:t>（最终报价要求供应商写出最终报价的下浮率，然后自行计算出最终报价，便于项目业主新增某样标的产品、服务或工程量为价格提供指导依据。）</w:t>
      </w:r>
      <w:r>
        <w:rPr>
          <w:rFonts w:hint="eastAsia" w:ascii="宋体" w:hAnsi="宋体" w:cs="宋体"/>
          <w:sz w:val="24"/>
        </w:rPr>
        <w:t>并由其法定代表人或授权代表签字或者加盖公章。最后报价是供应商响应文件的有效组成部分。</w:t>
      </w:r>
    </w:p>
    <w:p>
      <w:pPr>
        <w:ind w:firstLine="482"/>
        <w:rPr>
          <w:rFonts w:ascii="宋体" w:hAnsi="宋体" w:cs="宋体"/>
          <w:sz w:val="24"/>
        </w:rPr>
      </w:pPr>
      <w:r>
        <w:rPr>
          <w:rFonts w:hint="eastAsia" w:ascii="宋体" w:hAnsi="宋体" w:cs="宋体"/>
          <w:b/>
          <w:sz w:val="24"/>
        </w:rPr>
        <w:t>7.综合评分</w:t>
      </w:r>
      <w:r>
        <w:rPr>
          <w:rFonts w:hint="eastAsia" w:ascii="宋体" w:hAnsi="宋体" w:cs="宋体"/>
          <w:sz w:val="24"/>
        </w:rPr>
        <w:t>：磋商专家严格按照评分表逐项对响应文件进行评分。评分依据为响应文件提供的有效资料。响应文件中未提供的资料、未明确的内容，磋商专家不得以个人的意愿、猜想、推测等方式得出的结论作为评分依据。磋商专家须独立评分，不得相互抄袭评分分值（价格分除外）。</w:t>
      </w:r>
    </w:p>
    <w:p>
      <w:pPr>
        <w:ind w:firstLine="482"/>
        <w:rPr>
          <w:rFonts w:ascii="宋体" w:hAnsi="宋体" w:cs="宋体"/>
          <w:sz w:val="24"/>
        </w:rPr>
      </w:pPr>
      <w:r>
        <w:rPr>
          <w:rFonts w:hint="eastAsia" w:ascii="宋体" w:hAnsi="宋体" w:cs="宋体"/>
          <w:b/>
          <w:sz w:val="24"/>
        </w:rPr>
        <w:t>8.评分汇总：</w:t>
      </w:r>
      <w:r>
        <w:rPr>
          <w:rFonts w:hint="eastAsia" w:ascii="宋体" w:hAnsi="宋体" w:cs="宋体"/>
          <w:sz w:val="24"/>
        </w:rPr>
        <w:t>磋商小组组长将各评审专家的评分表汇总到评分汇总表，评分汇总表保留两位小数，按最终得分由高至低依次对供应商进行推荐排序。得分相同的，按投标报价由低到高顺序排列，得分且投标报价相同的，按技术和商务优劣顺序排列。评分表交由磋商小组组长汇总后，评审专家不得再更改各项打分分值（价格分及总分计算错误除外）。</w:t>
      </w:r>
    </w:p>
    <w:p>
      <w:pPr>
        <w:ind w:firstLine="482"/>
        <w:rPr>
          <w:rFonts w:ascii="宋体" w:hAnsi="宋体" w:cs="宋体"/>
          <w:sz w:val="24"/>
        </w:rPr>
      </w:pPr>
      <w:r>
        <w:rPr>
          <w:rFonts w:hint="eastAsia" w:ascii="宋体" w:hAnsi="宋体" w:cs="宋体"/>
          <w:b/>
          <w:sz w:val="24"/>
        </w:rPr>
        <w:t>9.评审报告：</w:t>
      </w:r>
      <w:r>
        <w:rPr>
          <w:rFonts w:hint="eastAsia" w:ascii="宋体" w:hAnsi="宋体" w:cs="宋体"/>
          <w:sz w:val="24"/>
        </w:rPr>
        <w:t>评标组长根据评分汇总情况及排序情况，主持编写评标报告。评标报告按规定需涵盖公告发布情况、开评标情况、推荐排序及有关需要说明的情况等。评标委员会成员须在评标报告上签字确认。</w:t>
      </w:r>
    </w:p>
    <w:p>
      <w:pPr>
        <w:ind w:firstLine="482"/>
        <w:rPr>
          <w:rFonts w:ascii="宋体" w:hAnsi="宋体" w:cs="宋体"/>
          <w:sz w:val="24"/>
        </w:rPr>
      </w:pPr>
      <w:r>
        <w:rPr>
          <w:rFonts w:hint="eastAsia" w:ascii="宋体" w:hAnsi="宋体" w:cs="宋体"/>
          <w:b/>
          <w:sz w:val="24"/>
        </w:rPr>
        <w:t>10.评审复核：</w:t>
      </w:r>
      <w:r>
        <w:rPr>
          <w:rFonts w:hint="eastAsia" w:ascii="宋体" w:hAnsi="宋体" w:cs="宋体"/>
          <w:sz w:val="24"/>
        </w:rPr>
        <w:t>磋商小组对评审环节和评审结果进行复核。磋商小组可对评审过程和结果中存在的遗漏或偏差进行修正，完成复核后，确定磋商结果及推荐排序。评审报告应当由磋商小组全体人员签字认可。磋商小组成员对评审报告有异议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ind w:firstLine="482"/>
        <w:rPr>
          <w:rFonts w:ascii="宋体" w:hAnsi="宋体" w:cs="宋体"/>
          <w:sz w:val="24"/>
        </w:rPr>
      </w:pPr>
      <w:r>
        <w:rPr>
          <w:rFonts w:hint="eastAsia" w:ascii="宋体" w:hAnsi="宋体" w:cs="宋体"/>
          <w:b/>
          <w:sz w:val="24"/>
        </w:rPr>
        <w:t>11.磋商结束：</w:t>
      </w:r>
      <w:r>
        <w:rPr>
          <w:rFonts w:hint="eastAsia" w:ascii="宋体" w:hAnsi="宋体" w:cs="宋体"/>
          <w:sz w:val="24"/>
        </w:rPr>
        <w:t>磋商小组出具评审报告并复核无误后，磋商工作结束。待代理机构工作人员收理好响应文件资料，并发放评审费用后磋商专家方可离开磋商区。磋商过程中磋商专家不得擅自离开磋商室或进入其他开评标室。</w:t>
      </w:r>
    </w:p>
    <w:p>
      <w:pPr>
        <w:ind w:firstLine="482"/>
        <w:rPr>
          <w:rFonts w:ascii="宋体" w:hAnsi="宋体" w:cs="宋体"/>
          <w:sz w:val="24"/>
        </w:rPr>
      </w:pPr>
      <w:r>
        <w:rPr>
          <w:rFonts w:hint="eastAsia" w:ascii="宋体" w:hAnsi="宋体" w:cs="宋体"/>
          <w:b/>
          <w:sz w:val="24"/>
        </w:rPr>
        <w:t>注1：</w:t>
      </w:r>
      <w:r>
        <w:rPr>
          <w:rFonts w:hint="eastAsia" w:ascii="宋体" w:hAnsi="宋体" w:cs="宋体"/>
          <w:sz w:val="24"/>
        </w:rPr>
        <w:t>当初步审查结果确定有效供应商不足三家，或出现影响采购公正的违法违规行为，或供应商的报价均超过了采购预算采购人不能支付，或因重大变故采购任务取消的，或磋商文件存在重大歧义、重大缺陷导致评审工作无法进行时，或磋商文件内容违反国家有关规定的，评标程序终止。</w:t>
      </w:r>
    </w:p>
    <w:p>
      <w:pPr>
        <w:ind w:firstLine="482"/>
        <w:rPr>
          <w:rFonts w:ascii="宋体" w:hAnsi="宋体" w:cs="宋体"/>
          <w:sz w:val="24"/>
        </w:rPr>
      </w:pPr>
      <w:r>
        <w:rPr>
          <w:rFonts w:hint="eastAsia" w:ascii="宋体" w:hAnsi="宋体" w:cs="宋体"/>
          <w:b/>
          <w:sz w:val="24"/>
        </w:rPr>
        <w:t>注2：</w:t>
      </w:r>
      <w:r>
        <w:rPr>
          <w:rFonts w:hint="eastAsia" w:ascii="宋体" w:hAnsi="宋体" w:cs="宋体"/>
          <w:sz w:val="24"/>
        </w:rPr>
        <w:t>磋商之后，至成交公告发布之前，凡涉及响应文件的澄清、评价、推荐排序等需保密的信息，磋商小组成员、采购人和招标代理机构等人员均不得向供应商人或其他人员透露。</w:t>
      </w:r>
    </w:p>
    <w:p>
      <w:pPr>
        <w:ind w:firstLine="482"/>
        <w:rPr>
          <w:rFonts w:ascii="宋体" w:hAnsi="宋体" w:cs="宋体"/>
          <w:sz w:val="24"/>
        </w:rPr>
      </w:pPr>
      <w:r>
        <w:rPr>
          <w:rFonts w:hint="eastAsia" w:ascii="宋体" w:hAnsi="宋体" w:cs="宋体"/>
          <w:b/>
          <w:sz w:val="24"/>
        </w:rPr>
        <w:t>注3：</w:t>
      </w:r>
      <w:r>
        <w:rPr>
          <w:rFonts w:hint="eastAsia" w:ascii="宋体" w:hAnsi="宋体" w:cs="宋体"/>
          <w:sz w:val="24"/>
        </w:rPr>
        <w:t>磋商过程由</w:t>
      </w:r>
      <w:r>
        <w:rPr>
          <w:rFonts w:hint="eastAsia" w:ascii="宋体" w:hAnsi="宋体" w:cs="宋体"/>
          <w:sz w:val="24"/>
          <w:lang w:eastAsia="zh-CN"/>
        </w:rPr>
        <w:t>新疆华域建设工程项目管理咨询有限公司</w:t>
      </w:r>
      <w:r>
        <w:rPr>
          <w:rFonts w:hint="eastAsia" w:ascii="宋体" w:hAnsi="宋体" w:cs="宋体"/>
          <w:sz w:val="24"/>
        </w:rPr>
        <w:t>全程录音录像，相关录音录像资料由</w:t>
      </w:r>
      <w:r>
        <w:rPr>
          <w:rFonts w:hint="eastAsia" w:ascii="宋体" w:hAnsi="宋体" w:cs="宋体"/>
          <w:sz w:val="24"/>
          <w:lang w:eastAsia="zh-CN"/>
        </w:rPr>
        <w:t>新疆华域建设工程项目管理咨询有限公司</w:t>
      </w:r>
      <w:r>
        <w:rPr>
          <w:rFonts w:hint="eastAsia" w:ascii="宋体" w:hAnsi="宋体" w:cs="宋体"/>
          <w:sz w:val="24"/>
        </w:rPr>
        <w:t>存档，以便为财政、纪检监察等有关部门处理项目相关事宜提供资料。</w:t>
      </w:r>
    </w:p>
    <w:p>
      <w:pPr>
        <w:rPr>
          <w:rStyle w:val="39"/>
          <w:rFonts w:ascii="宋体" w:hAnsi="宋体" w:eastAsia="宋体" w:cs="宋体"/>
          <w:sz w:val="24"/>
        </w:rPr>
      </w:pPr>
      <w:r>
        <w:rPr>
          <w:rStyle w:val="39"/>
          <w:rFonts w:hint="eastAsia" w:ascii="宋体" w:hAnsi="宋体" w:eastAsia="宋体" w:cs="宋体"/>
          <w:sz w:val="24"/>
        </w:rPr>
        <w:t>四、磋商小组</w:t>
      </w:r>
    </w:p>
    <w:p>
      <w:pPr>
        <w:ind w:firstLine="480"/>
        <w:rPr>
          <w:rFonts w:ascii="宋体" w:hAnsi="宋体" w:cs="宋体"/>
          <w:sz w:val="24"/>
        </w:rPr>
      </w:pPr>
      <w:r>
        <w:rPr>
          <w:rFonts w:hint="eastAsia" w:ascii="宋体" w:hAnsi="宋体" w:cs="宋体"/>
          <w:sz w:val="24"/>
        </w:rPr>
        <w:t>竞争性磋商小组由采购人代表和评审专家共3人以上单数组成，其中评审专家人数不少于竞争性磋商小组成员总数的2/3。达到公开招标数额标准的货物或者服务采购项目，或者达到招标规模标准的政府采购工程，竞争性磋商小组由5人以上单数组成。技术复杂、专业性强的竞争性磋商采购项目，评审专家中应当包含1名法律专家。磋商小组成员应以科学、公正的态度参加政府采购的评审工作，在评审过程中不受任何干扰，独立、负责地提出评审意见，并对自己的评审意见承担责任。</w:t>
      </w:r>
    </w:p>
    <w:p>
      <w:pPr>
        <w:ind w:firstLine="482"/>
        <w:rPr>
          <w:rFonts w:ascii="宋体" w:hAnsi="宋体" w:cs="宋体"/>
          <w:b/>
          <w:sz w:val="24"/>
        </w:rPr>
      </w:pPr>
      <w:r>
        <w:rPr>
          <w:rFonts w:hint="eastAsia" w:ascii="宋体" w:hAnsi="宋体" w:cs="宋体"/>
          <w:b/>
          <w:sz w:val="24"/>
        </w:rPr>
        <w:t>1.磋商小组在采购活动过程中应当履行下列职责：</w:t>
      </w:r>
    </w:p>
    <w:p>
      <w:pPr>
        <w:ind w:firstLine="480"/>
        <w:rPr>
          <w:rFonts w:ascii="宋体" w:hAnsi="宋体" w:cs="宋体"/>
          <w:sz w:val="24"/>
        </w:rPr>
      </w:pPr>
      <w:r>
        <w:rPr>
          <w:rFonts w:hint="eastAsia" w:ascii="宋体" w:hAnsi="宋体" w:cs="宋体"/>
          <w:sz w:val="24"/>
        </w:rPr>
        <w:t xml:space="preserve">（1）确认或者制定磋商文件； </w:t>
      </w:r>
    </w:p>
    <w:p>
      <w:pPr>
        <w:ind w:firstLine="480"/>
        <w:rPr>
          <w:rFonts w:ascii="宋体" w:hAnsi="宋体" w:cs="宋体"/>
          <w:sz w:val="24"/>
        </w:rPr>
      </w:pPr>
      <w:r>
        <w:rPr>
          <w:rFonts w:hint="eastAsia" w:ascii="宋体" w:hAnsi="宋体" w:cs="宋体"/>
          <w:sz w:val="24"/>
        </w:rPr>
        <w:t>（2）从符合相应资格条件的供应商名单中确定不少于3家的供应商参加磋商；</w:t>
      </w:r>
    </w:p>
    <w:p>
      <w:pPr>
        <w:ind w:firstLine="480"/>
        <w:rPr>
          <w:rFonts w:ascii="宋体" w:hAnsi="宋体" w:cs="宋体"/>
          <w:sz w:val="24"/>
        </w:rPr>
      </w:pPr>
      <w:r>
        <w:rPr>
          <w:rFonts w:hint="eastAsia" w:ascii="宋体" w:hAnsi="宋体" w:cs="宋体"/>
          <w:sz w:val="24"/>
        </w:rPr>
        <w:t>（3）审查供应商的响应文件并作出评价；</w:t>
      </w:r>
    </w:p>
    <w:p>
      <w:pPr>
        <w:ind w:firstLine="480"/>
        <w:rPr>
          <w:rFonts w:ascii="宋体" w:hAnsi="宋体" w:cs="宋体"/>
          <w:sz w:val="24"/>
        </w:rPr>
      </w:pPr>
      <w:r>
        <w:rPr>
          <w:rFonts w:hint="eastAsia" w:ascii="宋体" w:hAnsi="宋体" w:cs="宋体"/>
          <w:sz w:val="24"/>
        </w:rPr>
        <w:t>（4）要求供应商解释或者澄清其响应文件；</w:t>
      </w:r>
    </w:p>
    <w:p>
      <w:pPr>
        <w:ind w:firstLine="480"/>
        <w:rPr>
          <w:rFonts w:ascii="宋体" w:hAnsi="宋体" w:cs="宋体"/>
          <w:sz w:val="24"/>
        </w:rPr>
      </w:pPr>
      <w:r>
        <w:rPr>
          <w:rFonts w:hint="eastAsia" w:ascii="宋体" w:hAnsi="宋体" w:cs="宋体"/>
          <w:sz w:val="24"/>
        </w:rPr>
        <w:t xml:space="preserve">（5）编写评审报告； </w:t>
      </w:r>
    </w:p>
    <w:p>
      <w:pPr>
        <w:ind w:firstLine="480"/>
        <w:rPr>
          <w:rFonts w:ascii="宋体" w:hAnsi="宋体" w:cs="宋体"/>
          <w:sz w:val="24"/>
        </w:rPr>
      </w:pPr>
      <w:r>
        <w:rPr>
          <w:rFonts w:hint="eastAsia" w:ascii="宋体" w:hAnsi="宋体" w:cs="宋体"/>
          <w:sz w:val="24"/>
        </w:rPr>
        <w:t>（6）告知采购人、采购代理机构在评审过程中发现的供应商的违法违规行为。</w:t>
      </w:r>
    </w:p>
    <w:p>
      <w:pPr>
        <w:ind w:firstLine="482"/>
        <w:rPr>
          <w:rFonts w:ascii="宋体" w:hAnsi="宋体" w:cs="宋体"/>
          <w:b/>
          <w:sz w:val="24"/>
        </w:rPr>
      </w:pPr>
      <w:r>
        <w:rPr>
          <w:rFonts w:hint="eastAsia" w:ascii="宋体" w:hAnsi="宋体" w:cs="宋体"/>
          <w:b/>
          <w:sz w:val="24"/>
        </w:rPr>
        <w:t>2.磋商小组成员应当履行下列义务：</w:t>
      </w:r>
    </w:p>
    <w:p>
      <w:pPr>
        <w:ind w:firstLine="480"/>
        <w:rPr>
          <w:rFonts w:ascii="宋体" w:hAnsi="宋体" w:cs="宋体"/>
          <w:sz w:val="24"/>
        </w:rPr>
      </w:pPr>
      <w:r>
        <w:rPr>
          <w:rFonts w:hint="eastAsia" w:ascii="宋体" w:hAnsi="宋体" w:cs="宋体"/>
          <w:sz w:val="24"/>
        </w:rPr>
        <w:t>（1）遵纪守法，客观、公正、廉洁地履行职责；</w:t>
      </w:r>
    </w:p>
    <w:p>
      <w:pPr>
        <w:ind w:firstLine="480"/>
        <w:rPr>
          <w:rFonts w:ascii="宋体" w:hAnsi="宋体" w:cs="宋体"/>
          <w:sz w:val="24"/>
        </w:rPr>
      </w:pPr>
      <w:r>
        <w:rPr>
          <w:rFonts w:hint="eastAsia" w:ascii="宋体" w:hAnsi="宋体" w:cs="宋体"/>
          <w:sz w:val="24"/>
        </w:rPr>
        <w:t>（2）根据采购文件的规定独立进行评审，对个人的评审意见承担法律责任；</w:t>
      </w:r>
    </w:p>
    <w:p>
      <w:pPr>
        <w:ind w:firstLine="480"/>
        <w:rPr>
          <w:rFonts w:ascii="宋体" w:hAnsi="宋体" w:cs="宋体"/>
          <w:sz w:val="24"/>
        </w:rPr>
      </w:pPr>
      <w:r>
        <w:rPr>
          <w:rFonts w:hint="eastAsia" w:ascii="宋体" w:hAnsi="宋体" w:cs="宋体"/>
          <w:sz w:val="24"/>
        </w:rPr>
        <w:t>（3）参与评审报告的起草；</w:t>
      </w:r>
    </w:p>
    <w:p>
      <w:pPr>
        <w:ind w:firstLine="480"/>
        <w:rPr>
          <w:rFonts w:ascii="宋体" w:hAnsi="宋体" w:cs="宋体"/>
          <w:sz w:val="24"/>
        </w:rPr>
      </w:pPr>
      <w:r>
        <w:rPr>
          <w:rFonts w:hint="eastAsia" w:ascii="宋体" w:hAnsi="宋体" w:cs="宋体"/>
          <w:sz w:val="24"/>
        </w:rPr>
        <w:t>（4）配合采购人、采购代理机构答复供应商提出的质疑；</w:t>
      </w:r>
    </w:p>
    <w:p>
      <w:pPr>
        <w:ind w:firstLine="480"/>
        <w:rPr>
          <w:rFonts w:ascii="宋体" w:hAnsi="宋体" w:cs="宋体"/>
          <w:sz w:val="24"/>
        </w:rPr>
      </w:pPr>
      <w:r>
        <w:rPr>
          <w:rFonts w:hint="eastAsia" w:ascii="宋体" w:hAnsi="宋体" w:cs="宋体"/>
          <w:sz w:val="24"/>
        </w:rPr>
        <w:t>（5）配合财政部门的投诉处理和监督检查工作。</w:t>
      </w:r>
    </w:p>
    <w:p>
      <w:pPr>
        <w:ind w:firstLine="480"/>
        <w:rPr>
          <w:rFonts w:ascii="宋体" w:hAnsi="宋体" w:cs="宋体"/>
          <w:sz w:val="24"/>
        </w:rPr>
      </w:pPr>
    </w:p>
    <w:p>
      <w:pPr>
        <w:pStyle w:val="6"/>
        <w:tabs>
          <w:tab w:val="left" w:pos="3402"/>
        </w:tabs>
        <w:spacing w:before="240" w:after="240"/>
        <w:rPr>
          <w:rFonts w:ascii="宋体" w:hAnsi="宋体" w:eastAsia="宋体" w:cs="宋体"/>
          <w:szCs w:val="24"/>
        </w:rPr>
      </w:pPr>
      <w:bookmarkStart w:id="117" w:name="_Toc407182680"/>
      <w:bookmarkStart w:id="118" w:name="_Toc28763"/>
      <w:bookmarkStart w:id="119" w:name="_Toc16189"/>
      <w:bookmarkStart w:id="120" w:name="_Toc4136"/>
      <w:r>
        <w:rPr>
          <w:rFonts w:hint="eastAsia" w:ascii="宋体" w:hAnsi="宋体" w:eastAsia="宋体" w:cs="宋体"/>
          <w:szCs w:val="24"/>
        </w:rPr>
        <w:t>第六节 发布成交</w:t>
      </w:r>
      <w:bookmarkEnd w:id="117"/>
      <w:r>
        <w:rPr>
          <w:rFonts w:hint="eastAsia" w:ascii="宋体" w:hAnsi="宋体" w:eastAsia="宋体" w:cs="宋体"/>
          <w:szCs w:val="24"/>
        </w:rPr>
        <w:t>公告</w:t>
      </w:r>
      <w:bookmarkEnd w:id="118"/>
      <w:bookmarkEnd w:id="119"/>
      <w:bookmarkEnd w:id="120"/>
    </w:p>
    <w:p>
      <w:pPr>
        <w:rPr>
          <w:rStyle w:val="39"/>
          <w:rFonts w:ascii="宋体" w:hAnsi="宋体" w:eastAsia="宋体" w:cs="宋体"/>
          <w:sz w:val="24"/>
        </w:rPr>
      </w:pPr>
      <w:r>
        <w:rPr>
          <w:rStyle w:val="39"/>
          <w:rFonts w:hint="eastAsia" w:ascii="宋体" w:hAnsi="宋体" w:eastAsia="宋体" w:cs="宋体"/>
          <w:sz w:val="24"/>
        </w:rPr>
        <w:t>一、公告发布媒体</w:t>
      </w:r>
    </w:p>
    <w:p>
      <w:pPr>
        <w:spacing w:beforeLines="100" w:afterLines="50"/>
        <w:ind w:firstLine="491" w:firstLineChars="205"/>
        <w:rPr>
          <w:rFonts w:ascii="宋体" w:hAnsi="宋体" w:cs="宋体"/>
          <w:sz w:val="24"/>
        </w:rPr>
      </w:pPr>
      <w:r>
        <w:rPr>
          <w:rFonts w:hint="eastAsia" w:ascii="宋体" w:hAnsi="宋体" w:cs="宋体"/>
          <w:sz w:val="24"/>
        </w:rPr>
        <w:t>新疆维吾尔自治区政府采购网（http://www.ccgp-xinjiang.gov.cn/）及法律法规规定的相关媒体。</w:t>
      </w:r>
    </w:p>
    <w:p>
      <w:pPr>
        <w:spacing w:beforeLines="100" w:afterLines="50"/>
        <w:ind w:firstLine="491" w:firstLineChars="205"/>
        <w:rPr>
          <w:rFonts w:ascii="宋体" w:hAnsi="宋体" w:cs="宋体"/>
          <w:sz w:val="24"/>
        </w:rPr>
      </w:pPr>
      <w:r>
        <w:rPr>
          <w:rFonts w:hint="eastAsia" w:ascii="宋体" w:hAnsi="宋体" w:cs="宋体"/>
          <w:sz w:val="24"/>
          <w:lang w:eastAsia="zh-CN"/>
        </w:rPr>
        <w:t>新疆华域建设工程项目管理咨询有限公司</w:t>
      </w:r>
      <w:r>
        <w:rPr>
          <w:rFonts w:hint="eastAsia" w:ascii="宋体" w:hAnsi="宋体" w:cs="宋体"/>
          <w:sz w:val="24"/>
        </w:rPr>
        <w:t>根据评标报告将成交候选人推荐排序及相关评标结果进行公告。供应商可在新疆维吾尔自治区政府采购网（http://www.ccgp-xinjiang.gov.cn/）及其他相关网站查询评标结果信息。</w:t>
      </w:r>
    </w:p>
    <w:p>
      <w:pPr>
        <w:spacing w:beforeLines="100" w:afterLines="50"/>
        <w:ind w:firstLine="491" w:firstLineChars="205"/>
        <w:rPr>
          <w:rFonts w:ascii="宋体" w:hAnsi="宋体" w:cs="宋体"/>
          <w:sz w:val="24"/>
        </w:rPr>
      </w:pPr>
      <w:r>
        <w:rPr>
          <w:rFonts w:hint="eastAsia" w:ascii="宋体" w:hAnsi="宋体" w:cs="宋体"/>
          <w:sz w:val="24"/>
        </w:rPr>
        <w:t>采购代理机构应当自评审结束之日起2个工作日内将评审报告送交采购人。采购人应当自收到评审报告之日起5个工作日内在评审报告推荐的成交或者成交候选人中按顺序确定成交或者成交供应商。采购人或者采购代理机构应当自成交、成交供应商确定之日起2个工作日内，发出成交、成交通知书。成交通知书对采购人和成交供应商具有同等法律效力。成交通知书发出后，采购人改变成交结果，或者成交供应商放弃成交，应当承担相应的法律责任。</w:t>
      </w:r>
    </w:p>
    <w:p>
      <w:pPr>
        <w:ind w:firstLine="480"/>
        <w:rPr>
          <w:rFonts w:ascii="宋体" w:hAnsi="宋体" w:cs="宋体"/>
          <w:sz w:val="24"/>
        </w:rPr>
      </w:pPr>
      <w:r>
        <w:rPr>
          <w:rFonts w:hint="eastAsia" w:ascii="宋体" w:hAnsi="宋体" w:cs="宋体"/>
          <w:sz w:val="24"/>
        </w:rPr>
        <w:t>成交、成交公告期结束后，若未收到任何质疑投诉，可向成交人发出成交、成交通知书。</w:t>
      </w:r>
    </w:p>
    <w:p>
      <w:pPr>
        <w:spacing w:beforeLines="50" w:afterLines="50" w:line="240" w:lineRule="auto"/>
        <w:ind w:firstLine="480"/>
        <w:rPr>
          <w:rFonts w:ascii="宋体" w:hAnsi="宋体" w:cs="宋体"/>
          <w:sz w:val="24"/>
        </w:rPr>
      </w:pPr>
      <w:bookmarkStart w:id="121" w:name="_Toc407182681"/>
      <w:r>
        <w:rPr>
          <w:rFonts w:hint="eastAsia" w:ascii="宋体" w:hAnsi="宋体" w:cs="宋体"/>
          <w:sz w:val="24"/>
        </w:rPr>
        <w:t>二、政府采购活动的质疑投诉</w:t>
      </w:r>
    </w:p>
    <w:p>
      <w:pPr>
        <w:spacing w:beforeLines="100" w:afterLines="50"/>
        <w:ind w:firstLine="491" w:firstLineChars="205"/>
        <w:rPr>
          <w:rFonts w:ascii="宋体" w:hAnsi="宋体" w:cs="宋体"/>
          <w:sz w:val="24"/>
        </w:rPr>
      </w:pPr>
      <w:r>
        <w:rPr>
          <w:rFonts w:hint="eastAsia" w:ascii="宋体" w:hAnsi="宋体" w:cs="宋体"/>
          <w:sz w:val="24"/>
        </w:rPr>
        <w:t>（一）质疑</w:t>
      </w:r>
    </w:p>
    <w:p>
      <w:pPr>
        <w:spacing w:beforeLines="100" w:afterLines="50"/>
        <w:ind w:firstLine="491" w:firstLineChars="205"/>
        <w:rPr>
          <w:rFonts w:ascii="宋体" w:hAnsi="宋体" w:cs="宋体"/>
          <w:sz w:val="24"/>
        </w:rPr>
      </w:pPr>
      <w:r>
        <w:rPr>
          <w:rFonts w:hint="eastAsia" w:ascii="宋体" w:hAnsi="宋体" w:cs="宋体"/>
          <w:sz w:val="24"/>
        </w:rPr>
        <w:t>供应商认为采购文件、采购过程和成交、成交结果使自己的权益受到损害的，可以在知道或者应知其权益受到损害之日</w:t>
      </w:r>
      <w:r>
        <w:rPr>
          <w:rFonts w:hint="eastAsia" w:ascii="宋体" w:hAnsi="宋体" w:cs="宋体"/>
          <w:b/>
          <w:sz w:val="24"/>
        </w:rPr>
        <w:t>（政府采购法第五十二条规定的供应商应知其权益受到损害之日，是指：（一）对可以质疑的采购文件提出质疑的，为收到采购文件之日或者采购文件公告期限届满之日；（二）对采购过程提出质疑的，为各采购程序环节结束之日；（三）对成交或者成交结果提出质疑的，为成交或者成交结果公告期限届满之日。</w:t>
      </w:r>
      <w:r>
        <w:rPr>
          <w:rFonts w:hint="eastAsia" w:ascii="宋体" w:hAnsi="宋体" w:cs="宋体"/>
          <w:sz w:val="24"/>
        </w:rPr>
        <w:t>）起七个工作日内，以书面形式向采购人提出质疑。</w:t>
      </w:r>
    </w:p>
    <w:p>
      <w:pPr>
        <w:spacing w:beforeLines="100" w:afterLines="50"/>
        <w:ind w:firstLine="480"/>
        <w:rPr>
          <w:rFonts w:ascii="宋体" w:hAnsi="宋体" w:cs="宋体"/>
          <w:sz w:val="24"/>
        </w:rPr>
      </w:pPr>
      <w:r>
        <w:rPr>
          <w:rFonts w:hint="eastAsia" w:ascii="宋体" w:hAnsi="宋体" w:cs="宋体"/>
          <w:sz w:val="24"/>
        </w:rPr>
        <w:t>（二）受理条件</w:t>
      </w:r>
    </w:p>
    <w:p>
      <w:pPr>
        <w:pStyle w:val="33"/>
        <w:spacing w:beforeAutospacing="0" w:afterAutospacing="0" w:line="432" w:lineRule="atLeast"/>
        <w:ind w:firstLine="480" w:firstLineChars="200"/>
        <w:rPr>
          <w:rFonts w:ascii="宋体" w:hAnsi="宋体" w:cs="宋体"/>
        </w:rPr>
      </w:pPr>
      <w:r>
        <w:rPr>
          <w:rFonts w:hint="eastAsia" w:ascii="宋体" w:hAnsi="宋体" w:cs="宋体"/>
        </w:rPr>
        <w:t>1、供应商所提出质疑，必须有认为采购文件、采购过程、成交和成交结果等使自已的利益受到损害的事实和依据，对与采购活动无关的供应商或者没有提出使自己的利益受到损害的事实和依据的质疑，可不予受理;</w:t>
      </w:r>
    </w:p>
    <w:p>
      <w:pPr>
        <w:pStyle w:val="33"/>
        <w:spacing w:beforeAutospacing="0" w:afterAutospacing="0" w:line="432" w:lineRule="atLeast"/>
        <w:ind w:firstLine="480" w:firstLineChars="200"/>
        <w:rPr>
          <w:rFonts w:ascii="宋体" w:hAnsi="宋体" w:cs="宋体"/>
        </w:rPr>
      </w:pPr>
      <w:r>
        <w:rPr>
          <w:rFonts w:hint="eastAsia" w:ascii="宋体" w:hAnsi="宋体" w:cs="宋体"/>
        </w:rPr>
        <w:t>2、质疑必须以书面形式提出并署名，质疑人为法人或其他组织的，质疑书应当加盖质疑单位公章，以口头形式提出的，可不予受理;</w:t>
      </w:r>
    </w:p>
    <w:p>
      <w:pPr>
        <w:spacing w:beforeLines="100" w:afterLines="50"/>
        <w:ind w:firstLine="480"/>
        <w:rPr>
          <w:rFonts w:ascii="宋体" w:hAnsi="宋体" w:cs="宋体"/>
          <w:sz w:val="24"/>
        </w:rPr>
      </w:pPr>
      <w:r>
        <w:rPr>
          <w:rFonts w:hint="eastAsia" w:ascii="宋体" w:hAnsi="宋体" w:cs="宋体"/>
          <w:sz w:val="24"/>
        </w:rPr>
        <w:t>3、在法定时间内提出质疑。供应商在认为采购过程、成交和成交结果等使自已的利益受到损害后的七个工作日内提出质疑;</w:t>
      </w:r>
    </w:p>
    <w:p>
      <w:pPr>
        <w:spacing w:beforeLines="100" w:afterLines="50"/>
        <w:ind w:firstLine="480"/>
        <w:rPr>
          <w:rFonts w:ascii="宋体" w:hAnsi="宋体" w:cs="宋体"/>
          <w:sz w:val="24"/>
        </w:rPr>
      </w:pPr>
      <w:r>
        <w:rPr>
          <w:rFonts w:hint="eastAsia" w:ascii="宋体" w:hAnsi="宋体" w:cs="宋体"/>
          <w:sz w:val="24"/>
        </w:rPr>
        <w:t>（三）质疑具体要求及注意事项：</w:t>
      </w:r>
    </w:p>
    <w:p>
      <w:pPr>
        <w:spacing w:beforeLines="100" w:afterLines="50"/>
        <w:ind w:firstLine="480"/>
        <w:rPr>
          <w:rFonts w:ascii="宋体" w:hAnsi="宋体" w:cs="宋体"/>
          <w:sz w:val="24"/>
        </w:rPr>
      </w:pPr>
      <w:r>
        <w:rPr>
          <w:rFonts w:hint="eastAsia" w:ascii="宋体" w:hAnsi="宋体" w:cs="宋体"/>
          <w:sz w:val="24"/>
        </w:rPr>
        <w:t>1.质疑文件递交要求：质疑须以书面形式提出，列明质疑事项及相关依据，联系人、联系电话、传真、详细地址、邮编等基本信息。质疑函一式两份，加盖公章后，一份送本项目代理机构，一份送采购人处，项目代理机构或采购人收悉质疑函后及时告知监管单位。</w:t>
      </w:r>
    </w:p>
    <w:p>
      <w:pPr>
        <w:spacing w:beforeLines="100" w:afterLines="50"/>
        <w:ind w:firstLine="491" w:firstLineChars="205"/>
        <w:rPr>
          <w:rFonts w:hint="eastAsia" w:ascii="宋体" w:hAnsi="宋体" w:eastAsia="宋体" w:cs="宋体"/>
          <w:sz w:val="24"/>
          <w:lang w:eastAsia="zh-CN"/>
        </w:rPr>
      </w:pPr>
      <w:r>
        <w:rPr>
          <w:rFonts w:hint="eastAsia" w:ascii="宋体" w:hAnsi="宋体" w:cs="宋体"/>
          <w:sz w:val="24"/>
        </w:rPr>
        <w:t>2.质疑文件递交地点：</w:t>
      </w:r>
      <w:r>
        <w:rPr>
          <w:rFonts w:hint="eastAsia" w:ascii="宋体" w:hAnsi="宋体" w:cs="宋体"/>
          <w:sz w:val="24"/>
          <w:lang w:eastAsia="zh-CN"/>
        </w:rPr>
        <w:t>新疆华域建设工程项目管理咨询有限公司</w:t>
      </w:r>
    </w:p>
    <w:p>
      <w:pPr>
        <w:spacing w:beforeLines="100" w:afterLines="50"/>
        <w:ind w:firstLine="480"/>
        <w:rPr>
          <w:rFonts w:ascii="宋体" w:hAnsi="宋体" w:cs="宋体"/>
          <w:b/>
          <w:sz w:val="24"/>
        </w:rPr>
      </w:pPr>
      <w:r>
        <w:rPr>
          <w:rFonts w:hint="eastAsia" w:ascii="宋体" w:hAnsi="宋体" w:cs="宋体"/>
          <w:sz w:val="24"/>
        </w:rPr>
        <w:t>3.竞争性磋商采购方式的时间原因，供应商对采购文件质疑的截止时间为：供应商领取采购文件文件之日起</w:t>
      </w:r>
      <w:r>
        <w:rPr>
          <w:rFonts w:hint="eastAsia" w:ascii="宋体" w:hAnsi="宋体" w:cs="宋体"/>
          <w:sz w:val="24"/>
          <w:u w:val="single"/>
        </w:rPr>
        <w:t>5</w:t>
      </w:r>
      <w:r>
        <w:rPr>
          <w:rFonts w:hint="eastAsia" w:ascii="宋体" w:hAnsi="宋体" w:cs="宋体"/>
          <w:sz w:val="24"/>
        </w:rPr>
        <w:t>个工作日内。</w:t>
      </w:r>
      <w:r>
        <w:rPr>
          <w:rFonts w:hint="eastAsia" w:ascii="宋体" w:hAnsi="宋体" w:cs="宋体"/>
          <w:b/>
          <w:sz w:val="24"/>
        </w:rPr>
        <w:t>供应商提供书面质疑文件的同时，向采购人或采购代理机构出示文件购买采购文件凭证的复印件并加盖公章。</w:t>
      </w:r>
    </w:p>
    <w:p>
      <w:pPr>
        <w:spacing w:beforeLines="100" w:afterLines="50"/>
        <w:ind w:firstLine="491" w:firstLineChars="205"/>
        <w:rPr>
          <w:rFonts w:ascii="宋体" w:hAnsi="宋体" w:cs="宋体"/>
          <w:sz w:val="24"/>
        </w:rPr>
      </w:pPr>
      <w:r>
        <w:rPr>
          <w:rFonts w:hint="eastAsia" w:ascii="宋体" w:hAnsi="宋体" w:cs="宋体"/>
          <w:sz w:val="24"/>
        </w:rPr>
        <w:t>（四）质疑答复：采购人或者采购代理机构应当在7个工作日内对供应商依法提出的询问作出答复。供应商提出的询问或者质疑超出采购人对采购代理机构委托授权范围的，采购代理机构应当告知供应商向采购人提出。政府采购评审专家应当配合采购人或者采购代理机构答复供应商的询问和质疑。</w:t>
      </w:r>
    </w:p>
    <w:p>
      <w:pPr>
        <w:ind w:firstLine="480"/>
        <w:rPr>
          <w:rFonts w:ascii="宋体" w:hAnsi="宋体" w:cs="宋体"/>
          <w:sz w:val="24"/>
        </w:rPr>
      </w:pPr>
      <w:r>
        <w:rPr>
          <w:rFonts w:hint="eastAsia" w:ascii="宋体" w:hAnsi="宋体" w:cs="宋体"/>
          <w:sz w:val="24"/>
        </w:rPr>
        <w:t>（五）提出质疑的供应商对采购人或代理机构的答复不满意或采购人、采购代理机构在规定的时间内未作出答复的，可在收到答复之日起或答复期满后十五个工作日内向采购人同级政府采购监督部门投诉。</w:t>
      </w:r>
    </w:p>
    <w:p>
      <w:pPr>
        <w:pStyle w:val="6"/>
        <w:tabs>
          <w:tab w:val="left" w:pos="3402"/>
        </w:tabs>
        <w:spacing w:before="240" w:after="240"/>
        <w:rPr>
          <w:rFonts w:hint="eastAsia" w:ascii="宋体" w:hAnsi="宋体" w:eastAsia="宋体" w:cs="宋体"/>
          <w:szCs w:val="24"/>
        </w:rPr>
      </w:pPr>
      <w:bookmarkStart w:id="122" w:name="_Toc27364"/>
      <w:bookmarkStart w:id="123" w:name="_Toc30704"/>
      <w:bookmarkStart w:id="124" w:name="_Toc4219"/>
      <w:r>
        <w:rPr>
          <w:rFonts w:hint="eastAsia" w:ascii="宋体" w:hAnsi="宋体" w:eastAsia="宋体" w:cs="宋体"/>
          <w:szCs w:val="24"/>
        </w:rPr>
        <w:t>第七节 支付代理服务费</w:t>
      </w:r>
      <w:bookmarkEnd w:id="121"/>
      <w:bookmarkEnd w:id="122"/>
      <w:bookmarkEnd w:id="123"/>
      <w:bookmarkEnd w:id="124"/>
    </w:p>
    <w:p>
      <w:pPr>
        <w:rPr>
          <w:rFonts w:hint="eastAsia" w:ascii="宋体" w:hAnsi="宋体" w:cs="宋体"/>
          <w:sz w:val="24"/>
        </w:rPr>
      </w:pPr>
      <w:r>
        <w:rPr>
          <w:rFonts w:hint="eastAsia" w:ascii="宋体" w:hAnsi="宋体" w:cs="宋体"/>
          <w:sz w:val="24"/>
        </w:rPr>
        <w:t>代理服务费及评标费由中标人向新疆华域建设工程项目管理咨询有限公司支付。</w:t>
      </w:r>
    </w:p>
    <w:p>
      <w:pPr>
        <w:pStyle w:val="6"/>
        <w:tabs>
          <w:tab w:val="left" w:pos="3402"/>
        </w:tabs>
        <w:spacing w:before="240" w:after="240"/>
        <w:rPr>
          <w:rFonts w:ascii="宋体" w:hAnsi="宋体" w:eastAsia="宋体" w:cs="宋体"/>
          <w:szCs w:val="24"/>
        </w:rPr>
      </w:pPr>
      <w:bookmarkStart w:id="125" w:name="_Toc407182682"/>
      <w:bookmarkStart w:id="126" w:name="_Toc17789"/>
      <w:bookmarkStart w:id="127" w:name="_Toc1218"/>
      <w:bookmarkStart w:id="128" w:name="_Toc21931"/>
      <w:r>
        <w:rPr>
          <w:rFonts w:hint="eastAsia" w:ascii="宋体" w:hAnsi="宋体" w:eastAsia="宋体" w:cs="宋体"/>
          <w:szCs w:val="24"/>
        </w:rPr>
        <w:t>第八节 签订政府采购合同</w:t>
      </w:r>
      <w:bookmarkEnd w:id="125"/>
      <w:bookmarkEnd w:id="126"/>
      <w:bookmarkEnd w:id="127"/>
      <w:bookmarkEnd w:id="128"/>
    </w:p>
    <w:p>
      <w:pPr>
        <w:spacing w:beforeLines="50" w:afterLines="50" w:line="240" w:lineRule="auto"/>
        <w:ind w:firstLine="480"/>
        <w:rPr>
          <w:rFonts w:ascii="宋体" w:hAnsi="宋体" w:cs="宋体"/>
          <w:sz w:val="24"/>
        </w:rPr>
      </w:pPr>
      <w:bookmarkStart w:id="129" w:name="_Toc407182683"/>
      <w:r>
        <w:rPr>
          <w:rFonts w:hint="eastAsia" w:ascii="宋体" w:hAnsi="宋体" w:cs="宋体"/>
          <w:sz w:val="24"/>
        </w:rPr>
        <w:t>一、签订时间</w:t>
      </w:r>
    </w:p>
    <w:p>
      <w:pPr>
        <w:spacing w:beforeLines="50" w:afterLines="50" w:line="300" w:lineRule="auto"/>
        <w:ind w:firstLine="480"/>
        <w:rPr>
          <w:rFonts w:ascii="宋体" w:hAnsi="宋体" w:cs="宋体"/>
          <w:sz w:val="24"/>
        </w:rPr>
      </w:pPr>
      <w:r>
        <w:rPr>
          <w:rFonts w:hint="eastAsia" w:ascii="宋体" w:hAnsi="宋体" w:cs="宋体"/>
          <w:sz w:val="24"/>
        </w:rPr>
        <w:t>《成交通知书》发出之日起三十日内。成交或者成交供应商拒绝与采购人签订合同的，采购人可以按照评审报告推荐的成交或者成交候选人名单排序，确定下一候选人为成交或者成交供应商，也可以重新开展政府采购活动。</w:t>
      </w:r>
    </w:p>
    <w:p>
      <w:pPr>
        <w:spacing w:beforeLines="50" w:afterLines="50" w:line="240" w:lineRule="auto"/>
        <w:ind w:firstLine="480"/>
        <w:rPr>
          <w:rFonts w:ascii="宋体" w:hAnsi="宋体" w:cs="宋体"/>
          <w:sz w:val="24"/>
        </w:rPr>
      </w:pPr>
      <w:r>
        <w:rPr>
          <w:rFonts w:hint="eastAsia" w:ascii="宋体" w:hAnsi="宋体" w:cs="宋体"/>
          <w:sz w:val="24"/>
        </w:rPr>
        <w:t>二、合同内容</w:t>
      </w:r>
    </w:p>
    <w:p>
      <w:pPr>
        <w:spacing w:beforeLines="100" w:afterLines="50"/>
        <w:ind w:firstLine="491" w:firstLineChars="205"/>
        <w:rPr>
          <w:rFonts w:ascii="宋体" w:hAnsi="宋体" w:cs="宋体"/>
          <w:sz w:val="24"/>
        </w:rPr>
      </w:pPr>
      <w:r>
        <w:rPr>
          <w:rFonts w:hint="eastAsia" w:ascii="宋体" w:hAnsi="宋体" w:cs="宋体"/>
          <w:sz w:val="24"/>
        </w:rPr>
        <w:t>本项目拟签订的政府采购合同见第五章有关内容。成交供应商与采购人须按照本项目的采购文件和响应文件所载内容，及评标过程中有关澄清文件内容签订政府采购合同。</w:t>
      </w:r>
    </w:p>
    <w:p>
      <w:pPr>
        <w:pStyle w:val="6"/>
        <w:tabs>
          <w:tab w:val="left" w:pos="3402"/>
        </w:tabs>
        <w:spacing w:before="240" w:after="240"/>
        <w:rPr>
          <w:rFonts w:ascii="宋体" w:hAnsi="宋体" w:eastAsia="宋体" w:cs="宋体"/>
          <w:szCs w:val="24"/>
        </w:rPr>
      </w:pPr>
      <w:bookmarkStart w:id="130" w:name="_Toc3192"/>
      <w:bookmarkStart w:id="131" w:name="_Toc24830"/>
      <w:bookmarkStart w:id="132" w:name="_Toc932"/>
      <w:r>
        <w:rPr>
          <w:rFonts w:hint="eastAsia" w:ascii="宋体" w:hAnsi="宋体" w:eastAsia="宋体" w:cs="宋体"/>
          <w:szCs w:val="24"/>
        </w:rPr>
        <w:t>第九节 退还投标保证金</w:t>
      </w:r>
      <w:bookmarkEnd w:id="129"/>
      <w:bookmarkEnd w:id="130"/>
      <w:bookmarkEnd w:id="131"/>
      <w:bookmarkEnd w:id="132"/>
    </w:p>
    <w:p>
      <w:pPr>
        <w:spacing w:beforeLines="50" w:afterLines="50" w:line="300" w:lineRule="auto"/>
        <w:ind w:firstLine="480"/>
        <w:rPr>
          <w:rFonts w:ascii="宋体" w:hAnsi="宋体" w:cs="宋体"/>
          <w:sz w:val="24"/>
        </w:rPr>
      </w:pPr>
      <w:r>
        <w:rPr>
          <w:rFonts w:hint="eastAsia" w:ascii="宋体" w:hAnsi="宋体" w:cs="宋体"/>
          <w:sz w:val="24"/>
        </w:rPr>
        <w:t>一、退还时间</w:t>
      </w:r>
    </w:p>
    <w:p>
      <w:pPr>
        <w:spacing w:beforeLines="50" w:afterLines="50" w:line="300" w:lineRule="auto"/>
        <w:ind w:firstLine="480"/>
        <w:rPr>
          <w:rFonts w:ascii="宋体" w:hAnsi="宋体" w:cs="宋体"/>
          <w:sz w:val="24"/>
        </w:rPr>
      </w:pPr>
      <w:r>
        <w:rPr>
          <w:rFonts w:hint="eastAsia" w:ascii="宋体" w:hAnsi="宋体" w:cs="宋体"/>
          <w:sz w:val="24"/>
        </w:rPr>
        <w:t>成交供应商与采购人签订采购合同后申请退还，未成交供应商在成交公示期满后申请退还，</w:t>
      </w:r>
      <w:r>
        <w:rPr>
          <w:rFonts w:hint="eastAsia" w:ascii="宋体" w:hAnsi="宋体" w:cs="宋体"/>
          <w:sz w:val="24"/>
          <w:lang w:eastAsia="zh-CN"/>
        </w:rPr>
        <w:t>新疆华域建设工程项目管理咨询有限公司</w:t>
      </w:r>
      <w:r>
        <w:rPr>
          <w:rFonts w:hint="eastAsia" w:ascii="宋体" w:hAnsi="宋体" w:cs="宋体"/>
          <w:sz w:val="24"/>
        </w:rPr>
        <w:t>在受理日起五个工作日内退还。</w:t>
      </w:r>
    </w:p>
    <w:p>
      <w:pPr>
        <w:spacing w:beforeLines="50" w:afterLines="50" w:line="300" w:lineRule="auto"/>
        <w:ind w:firstLine="480"/>
        <w:rPr>
          <w:rFonts w:ascii="宋体" w:hAnsi="宋体" w:cs="宋体"/>
          <w:sz w:val="24"/>
        </w:rPr>
      </w:pPr>
      <w:r>
        <w:rPr>
          <w:rFonts w:hint="eastAsia" w:ascii="宋体" w:hAnsi="宋体" w:cs="宋体"/>
          <w:sz w:val="24"/>
        </w:rPr>
        <w:t>二、退还方式</w:t>
      </w:r>
    </w:p>
    <w:p>
      <w:pPr>
        <w:spacing w:beforeLines="50" w:afterLines="50" w:line="300" w:lineRule="auto"/>
        <w:ind w:firstLine="480"/>
        <w:rPr>
          <w:rFonts w:ascii="宋体" w:hAnsi="宋体" w:cs="宋体"/>
          <w:sz w:val="24"/>
        </w:rPr>
      </w:pPr>
      <w:r>
        <w:rPr>
          <w:rFonts w:hint="eastAsia" w:ascii="宋体" w:hAnsi="宋体" w:cs="宋体"/>
          <w:sz w:val="24"/>
        </w:rPr>
        <w:t xml:space="preserve">    投标保证金退还为公对公账户电汇业务，我单位不退还现金。。</w:t>
      </w:r>
    </w:p>
    <w:p>
      <w:pPr>
        <w:spacing w:beforeLines="50" w:afterLines="50" w:line="300" w:lineRule="auto"/>
        <w:ind w:firstLine="480"/>
        <w:rPr>
          <w:rFonts w:ascii="宋体" w:hAnsi="宋体" w:cs="宋体"/>
          <w:sz w:val="24"/>
        </w:rPr>
      </w:pPr>
      <w:r>
        <w:rPr>
          <w:rFonts w:hint="eastAsia" w:ascii="宋体" w:hAnsi="宋体" w:cs="宋体"/>
          <w:sz w:val="24"/>
        </w:rPr>
        <w:t>三、提交资料</w:t>
      </w:r>
    </w:p>
    <w:p>
      <w:pPr>
        <w:spacing w:beforeLines="50" w:afterLines="50" w:line="300" w:lineRule="auto"/>
        <w:ind w:firstLine="480"/>
        <w:rPr>
          <w:rFonts w:ascii="宋体" w:hAnsi="宋体" w:cs="宋体"/>
          <w:sz w:val="24"/>
        </w:rPr>
      </w:pPr>
      <w:r>
        <w:rPr>
          <w:rFonts w:hint="eastAsia" w:ascii="宋体" w:hAnsi="宋体" w:cs="宋体"/>
          <w:sz w:val="24"/>
        </w:rPr>
        <w:t>成交供应商退保时，须将已签订的政府采购合同逐页扫描转换成一个PDF文件上传，PDF文件需清晰、完整，文件名写清楚为：XXX项目合同资料。</w:t>
      </w:r>
    </w:p>
    <w:p>
      <w:pPr>
        <w:spacing w:beforeLines="50" w:afterLines="50" w:line="300" w:lineRule="auto"/>
        <w:ind w:firstLine="480"/>
        <w:rPr>
          <w:rFonts w:ascii="宋体" w:hAnsi="宋体" w:cs="宋体"/>
          <w:sz w:val="24"/>
        </w:rPr>
      </w:pPr>
      <w:r>
        <w:rPr>
          <w:rFonts w:hint="eastAsia" w:ascii="宋体" w:hAnsi="宋体" w:cs="宋体"/>
          <w:sz w:val="24"/>
        </w:rPr>
        <w:t>办理保证金时间：工作日时间</w:t>
      </w:r>
    </w:p>
    <w:p>
      <w:pPr>
        <w:spacing w:beforeLines="50" w:afterLines="50" w:line="300" w:lineRule="auto"/>
        <w:ind w:firstLine="480"/>
        <w:rPr>
          <w:rFonts w:ascii="宋体" w:hAnsi="宋体" w:cs="宋体"/>
          <w:sz w:val="24"/>
        </w:rPr>
      </w:pPr>
      <w:r>
        <w:rPr>
          <w:rFonts w:hint="eastAsia" w:ascii="宋体" w:hAnsi="宋体" w:cs="宋体"/>
          <w:sz w:val="24"/>
        </w:rPr>
        <w:t>退还保证金收据一份，收据请按以下模板填写：</w:t>
      </w:r>
    </w:p>
    <w:p>
      <w:pPr>
        <w:spacing w:beforeLines="50" w:afterLines="50" w:line="300" w:lineRule="auto"/>
        <w:ind w:firstLine="480"/>
        <w:rPr>
          <w:rFonts w:ascii="宋体" w:hAnsi="宋体" w:cs="宋体"/>
          <w:sz w:val="24"/>
        </w:rPr>
      </w:pPr>
      <w:r>
        <w:rPr>
          <w:rFonts w:hint="eastAsia" w:ascii="宋体" w:hAnsi="宋体" w:cs="宋体"/>
          <w:sz w:val="24"/>
        </w:rPr>
        <w:t>如有疑问可致电咨询</w:t>
      </w:r>
      <w:r>
        <w:rPr>
          <w:rFonts w:hint="eastAsia" w:ascii="宋体" w:hAnsi="宋体" w:cs="宋体"/>
          <w:sz w:val="24"/>
          <w:lang w:eastAsia="zh-CN"/>
        </w:rPr>
        <w:t>新疆华域建设工程项目管理咨询有限公司</w:t>
      </w:r>
      <w:r>
        <w:rPr>
          <w:rFonts w:hint="eastAsia" w:ascii="宋体" w:hAnsi="宋体" w:cs="宋体"/>
          <w:sz w:val="24"/>
        </w:rPr>
        <w:t>财务部</w:t>
      </w:r>
    </w:p>
    <w:p>
      <w:pPr>
        <w:spacing w:beforeLines="50" w:afterLines="50" w:line="300" w:lineRule="auto"/>
        <w:ind w:firstLine="480"/>
        <w:rPr>
          <w:rFonts w:ascii="宋体" w:hAnsi="宋体" w:cs="宋体"/>
          <w:sz w:val="24"/>
        </w:rPr>
      </w:pPr>
      <w:r>
        <w:rPr>
          <w:rFonts w:hint="eastAsia" w:ascii="宋体" w:hAnsi="宋体" w:cs="宋体"/>
          <w:sz w:val="24"/>
        </w:rPr>
        <w:t>请在A4纸上提供以下信息并加盖单位公章:项目名称、项目编号/包号、投标保证金金额、单位名称、账号、行号、开户行地址、联系人、联系电话。</w:t>
      </w:r>
    </w:p>
    <w:p>
      <w:pPr>
        <w:spacing w:beforeLines="50" w:afterLines="50" w:line="300" w:lineRule="auto"/>
        <w:ind w:firstLine="480"/>
        <w:rPr>
          <w:rFonts w:ascii="宋体" w:hAnsi="宋体" w:cs="宋体"/>
          <w:sz w:val="24"/>
        </w:rPr>
      </w:pPr>
      <w:r>
        <w:rPr>
          <w:rFonts w:hint="eastAsia" w:ascii="宋体" w:hAnsi="宋体" w:cs="宋体"/>
          <w:sz w:val="24"/>
        </w:rPr>
        <w:t>四、发生下列情况之一的，投标保证金将不予退还：</w:t>
      </w:r>
    </w:p>
    <w:p>
      <w:pPr>
        <w:spacing w:beforeLines="50" w:afterLines="50" w:line="300" w:lineRule="auto"/>
        <w:ind w:firstLine="480"/>
        <w:rPr>
          <w:rFonts w:ascii="宋体" w:hAnsi="宋体" w:cs="宋体"/>
          <w:sz w:val="24"/>
        </w:rPr>
      </w:pPr>
      <w:r>
        <w:rPr>
          <w:rFonts w:hint="eastAsia" w:ascii="宋体" w:hAnsi="宋体" w:cs="宋体"/>
          <w:sz w:val="24"/>
        </w:rPr>
        <w:t xml:space="preserve">1.供应商有《中华人民共和国政府采购法》第七十七条所列行为的； </w:t>
      </w:r>
    </w:p>
    <w:p>
      <w:pPr>
        <w:spacing w:beforeLines="50" w:afterLines="50" w:line="300" w:lineRule="auto"/>
        <w:ind w:firstLine="480"/>
        <w:rPr>
          <w:rFonts w:ascii="宋体" w:hAnsi="宋体" w:cs="宋体"/>
          <w:sz w:val="24"/>
        </w:rPr>
      </w:pPr>
      <w:r>
        <w:rPr>
          <w:rFonts w:hint="eastAsia" w:ascii="宋体" w:hAnsi="宋体" w:cs="宋体"/>
          <w:sz w:val="24"/>
        </w:rPr>
        <w:t xml:space="preserve">2.开标后在投标有效期间内，供应商撤回响应文件的； </w:t>
      </w:r>
    </w:p>
    <w:p>
      <w:pPr>
        <w:spacing w:beforeLines="50" w:afterLines="50" w:line="300" w:lineRule="auto"/>
        <w:ind w:firstLine="480"/>
        <w:rPr>
          <w:rFonts w:ascii="宋体" w:hAnsi="宋体" w:cs="宋体"/>
          <w:sz w:val="24"/>
        </w:rPr>
      </w:pPr>
      <w:r>
        <w:rPr>
          <w:rFonts w:hint="eastAsia" w:ascii="宋体" w:hAnsi="宋体" w:cs="宋体"/>
          <w:sz w:val="24"/>
        </w:rPr>
        <w:t>3.成交供应商不按规定支付招标服务费的；</w:t>
      </w:r>
    </w:p>
    <w:p>
      <w:pPr>
        <w:spacing w:beforeLines="50" w:afterLines="50" w:line="300" w:lineRule="auto"/>
        <w:ind w:firstLine="480"/>
        <w:rPr>
          <w:rFonts w:ascii="宋体" w:hAnsi="宋体" w:cs="宋体"/>
          <w:sz w:val="24"/>
        </w:rPr>
      </w:pPr>
      <w:r>
        <w:rPr>
          <w:rFonts w:hint="eastAsia" w:ascii="宋体" w:hAnsi="宋体" w:cs="宋体"/>
          <w:sz w:val="24"/>
        </w:rPr>
        <w:t>4.违反《投标申请书》有关条款的；</w:t>
      </w:r>
    </w:p>
    <w:p>
      <w:pPr>
        <w:spacing w:beforeLines="50" w:afterLines="50" w:line="300" w:lineRule="auto"/>
        <w:ind w:firstLine="480"/>
        <w:rPr>
          <w:rFonts w:ascii="宋体" w:hAnsi="宋体" w:cs="宋体"/>
          <w:sz w:val="24"/>
        </w:rPr>
      </w:pPr>
      <w:r>
        <w:rPr>
          <w:rFonts w:hint="eastAsia" w:ascii="宋体" w:hAnsi="宋体" w:cs="宋体"/>
          <w:sz w:val="24"/>
        </w:rPr>
        <w:t>5.法律法规及采购文件规定的其他情形。</w:t>
      </w:r>
    </w:p>
    <w:p>
      <w:pPr>
        <w:spacing w:beforeLines="50" w:afterLines="50" w:line="300" w:lineRule="auto"/>
        <w:ind w:firstLine="480"/>
        <w:rPr>
          <w:rFonts w:ascii="宋体" w:hAnsi="宋体" w:cs="宋体"/>
          <w:sz w:val="24"/>
        </w:rPr>
      </w:pPr>
      <w:r>
        <w:rPr>
          <w:rFonts w:hint="eastAsia" w:ascii="宋体" w:hAnsi="宋体" w:cs="宋体"/>
          <w:sz w:val="24"/>
        </w:rPr>
        <w:t>五、下列任何情况发生时，投标保证金将不予退还，转为违约金：</w:t>
      </w:r>
    </w:p>
    <w:p>
      <w:pPr>
        <w:spacing w:beforeLines="50" w:afterLines="50" w:line="300" w:lineRule="auto"/>
        <w:ind w:firstLine="480"/>
        <w:rPr>
          <w:rFonts w:ascii="宋体" w:hAnsi="宋体" w:cs="宋体"/>
          <w:sz w:val="24"/>
        </w:rPr>
      </w:pPr>
      <w:r>
        <w:rPr>
          <w:rFonts w:hint="eastAsia" w:ascii="宋体" w:hAnsi="宋体" w:cs="宋体"/>
          <w:sz w:val="24"/>
        </w:rPr>
        <w:t>(1)  供应商在投标截止期后，投标有效期内撤回投标；</w:t>
      </w:r>
    </w:p>
    <w:p>
      <w:pPr>
        <w:spacing w:beforeLines="50" w:afterLines="50" w:line="300" w:lineRule="auto"/>
        <w:ind w:firstLine="480"/>
        <w:rPr>
          <w:rFonts w:ascii="宋体" w:hAnsi="宋体" w:cs="宋体"/>
          <w:sz w:val="24"/>
        </w:rPr>
      </w:pPr>
      <w:r>
        <w:rPr>
          <w:rFonts w:hint="eastAsia" w:ascii="宋体" w:hAnsi="宋体" w:cs="宋体"/>
          <w:sz w:val="24"/>
        </w:rPr>
        <w:t>(2)  供应商在规定期限内未按规定向采购人缴纳履约保证金；</w:t>
      </w:r>
    </w:p>
    <w:p>
      <w:pPr>
        <w:spacing w:beforeLines="50" w:afterLines="50" w:line="300" w:lineRule="auto"/>
        <w:ind w:firstLine="480"/>
        <w:rPr>
          <w:rFonts w:ascii="宋体" w:hAnsi="宋体" w:cs="宋体"/>
          <w:sz w:val="24"/>
        </w:rPr>
      </w:pPr>
      <w:r>
        <w:rPr>
          <w:rFonts w:hint="eastAsia" w:ascii="宋体" w:hAnsi="宋体" w:cs="宋体"/>
          <w:sz w:val="24"/>
        </w:rPr>
        <w:t>(3)  成交方未按供应商须知规定缴纳招标代理费；</w:t>
      </w:r>
    </w:p>
    <w:p>
      <w:pPr>
        <w:spacing w:beforeLines="50" w:afterLines="50" w:line="300" w:lineRule="auto"/>
        <w:ind w:firstLine="480"/>
        <w:rPr>
          <w:rFonts w:ascii="宋体" w:hAnsi="宋体" w:cs="宋体"/>
          <w:sz w:val="24"/>
        </w:rPr>
      </w:pPr>
      <w:r>
        <w:rPr>
          <w:rFonts w:hint="eastAsia" w:ascii="宋体" w:hAnsi="宋体" w:cs="宋体"/>
          <w:sz w:val="24"/>
        </w:rPr>
        <w:t>(4)  以他人名义投标或者以其他方式弄虚作假，骗取成交；</w:t>
      </w:r>
    </w:p>
    <w:p>
      <w:pPr>
        <w:spacing w:beforeLines="50" w:afterLines="50" w:line="300" w:lineRule="auto"/>
        <w:ind w:firstLine="480"/>
        <w:rPr>
          <w:rFonts w:ascii="宋体" w:hAnsi="宋体" w:cs="宋体"/>
          <w:sz w:val="24"/>
        </w:rPr>
      </w:pPr>
      <w:r>
        <w:rPr>
          <w:rFonts w:hint="eastAsia" w:ascii="宋体" w:hAnsi="宋体" w:cs="宋体"/>
          <w:sz w:val="24"/>
        </w:rPr>
        <w:t>(5)  打架斗殴，扰乱标场秩序；</w:t>
      </w:r>
    </w:p>
    <w:p>
      <w:pPr>
        <w:spacing w:beforeLines="50" w:afterLines="50" w:line="300" w:lineRule="auto"/>
        <w:ind w:firstLine="480"/>
        <w:rPr>
          <w:rFonts w:ascii="宋体" w:hAnsi="宋体" w:cs="宋体"/>
          <w:sz w:val="24"/>
        </w:rPr>
      </w:pPr>
      <w:r>
        <w:rPr>
          <w:rFonts w:hint="eastAsia" w:ascii="宋体" w:hAnsi="宋体" w:cs="宋体"/>
          <w:sz w:val="24"/>
        </w:rPr>
        <w:t>(6)  本磋商文件中或《政府采购货物和服务招标投标管理办法》第七十五条规定的其他不予退还投标保证金的情形。</w:t>
      </w:r>
    </w:p>
    <w:p>
      <w:pPr>
        <w:spacing w:beforeLines="50" w:beforeAutospacing="0" w:afterLines="50" w:afterAutospacing="0" w:line="480" w:lineRule="auto"/>
        <w:ind w:firstLine="420" w:firstLineChars="200"/>
        <w:rPr>
          <w:rFonts w:ascii="宋体" w:hAnsi="宋体" w:cs="宋体"/>
        </w:rPr>
        <w:sectPr>
          <w:pgSz w:w="11907" w:h="16840"/>
          <w:pgMar w:top="1304" w:right="1588" w:bottom="1304" w:left="1588" w:header="720" w:footer="720" w:gutter="0"/>
          <w:cols w:space="720" w:num="1"/>
          <w:docGrid w:linePitch="285" w:charSpace="0"/>
        </w:sectPr>
      </w:pPr>
    </w:p>
    <w:p>
      <w:pPr>
        <w:pStyle w:val="5"/>
        <w:rPr>
          <w:rFonts w:asciiTheme="minorEastAsia" w:hAnsiTheme="minorEastAsia" w:eastAsiaTheme="minorEastAsia" w:cstheme="minorEastAsia"/>
        </w:rPr>
      </w:pPr>
      <w:bookmarkStart w:id="133" w:name="_Toc9459"/>
      <w:r>
        <w:rPr>
          <w:rFonts w:hint="eastAsia" w:asciiTheme="minorEastAsia" w:hAnsiTheme="minorEastAsia" w:eastAsiaTheme="minorEastAsia" w:cstheme="minorEastAsia"/>
        </w:rPr>
        <w:t>第五章  政府采购合同</w:t>
      </w:r>
      <w:bookmarkEnd w:id="95"/>
      <w:bookmarkEnd w:id="96"/>
      <w:bookmarkEnd w:id="97"/>
      <w:bookmarkEnd w:id="98"/>
      <w:bookmarkEnd w:id="99"/>
      <w:bookmarkEnd w:id="133"/>
    </w:p>
    <w:p>
      <w:pPr>
        <w:pStyle w:val="6"/>
        <w:rPr>
          <w:rFonts w:asciiTheme="minorEastAsia" w:hAnsiTheme="minorEastAsia" w:eastAsiaTheme="minorEastAsia" w:cstheme="minorEastAsia"/>
        </w:rPr>
      </w:pPr>
      <w:bookmarkStart w:id="134" w:name="_Toc424213035"/>
      <w:bookmarkStart w:id="135" w:name="_Toc406671116"/>
      <w:bookmarkStart w:id="136" w:name="_Toc29932"/>
      <w:bookmarkStart w:id="137" w:name="_Toc406671704"/>
      <w:bookmarkStart w:id="138" w:name="_Toc406670745"/>
      <w:bookmarkStart w:id="139" w:name="_Toc406672407"/>
      <w:r>
        <w:rPr>
          <w:rFonts w:hint="eastAsia" w:asciiTheme="minorEastAsia" w:hAnsiTheme="minorEastAsia" w:eastAsiaTheme="minorEastAsia" w:cstheme="minorEastAsia"/>
        </w:rPr>
        <w:t>第一节  主要条款</w:t>
      </w:r>
      <w:bookmarkEnd w:id="134"/>
      <w:bookmarkEnd w:id="135"/>
      <w:bookmarkEnd w:id="136"/>
      <w:bookmarkEnd w:id="137"/>
      <w:bookmarkEnd w:id="138"/>
      <w:bookmarkEnd w:id="139"/>
    </w:p>
    <w:p>
      <w:pPr>
        <w:bidi w:val="0"/>
      </w:pPr>
      <w:r>
        <w:rPr>
          <w:rFonts w:hint="eastAsia"/>
        </w:rPr>
        <w:t>采购人或采购代理机构根据采购服务项目特点自行拟定包含但不仅限于以下内容：</w:t>
      </w:r>
    </w:p>
    <w:p>
      <w:pPr>
        <w:pStyle w:val="6"/>
        <w:numPr>
          <w:ilvl w:val="0"/>
          <w:numId w:val="1"/>
        </w:numPr>
        <w:jc w:val="left"/>
        <w:rPr>
          <w:rFonts w:asciiTheme="minorEastAsia" w:hAnsiTheme="minorEastAsia" w:eastAsiaTheme="minorEastAsia" w:cstheme="minorEastAsia"/>
        </w:rPr>
      </w:pPr>
      <w:bookmarkStart w:id="140" w:name="_Toc21427"/>
      <w:r>
        <w:rPr>
          <w:rFonts w:hint="eastAsia" w:asciiTheme="minorEastAsia" w:hAnsiTheme="minorEastAsia" w:eastAsiaTheme="minorEastAsia" w:cstheme="minorEastAsia"/>
        </w:rPr>
        <w:t>服务周期：</w:t>
      </w:r>
      <w:bookmarkEnd w:id="140"/>
      <w:r>
        <w:rPr>
          <w:rFonts w:hint="eastAsia" w:asciiTheme="minorEastAsia" w:hAnsiTheme="minorEastAsia" w:eastAsiaTheme="minorEastAsia" w:cstheme="minorEastAsia"/>
          <w:u w:val="single"/>
        </w:rPr>
        <w:t xml:space="preserve">                           </w:t>
      </w:r>
    </w:p>
    <w:p>
      <w:pPr>
        <w:pStyle w:val="6"/>
        <w:numPr>
          <w:ilvl w:val="0"/>
          <w:numId w:val="1"/>
        </w:numPr>
        <w:jc w:val="left"/>
        <w:rPr>
          <w:rFonts w:asciiTheme="minorEastAsia" w:hAnsiTheme="minorEastAsia" w:eastAsiaTheme="minorEastAsia" w:cstheme="minorEastAsia"/>
        </w:rPr>
      </w:pPr>
      <w:bookmarkStart w:id="141" w:name="_Toc14968"/>
      <w:r>
        <w:rPr>
          <w:rFonts w:hint="eastAsia" w:asciiTheme="minorEastAsia" w:hAnsiTheme="minorEastAsia" w:eastAsiaTheme="minorEastAsia" w:cstheme="minorEastAsia"/>
        </w:rPr>
        <w:t>质量标准及验收办法：</w:t>
      </w:r>
      <w:bookmarkEnd w:id="141"/>
      <w:r>
        <w:rPr>
          <w:rFonts w:hint="eastAsia" w:asciiTheme="minorEastAsia" w:hAnsiTheme="minorEastAsia" w:eastAsiaTheme="minorEastAsia" w:cstheme="minorEastAsia"/>
          <w:u w:val="single"/>
        </w:rPr>
        <w:t xml:space="preserve">                       </w:t>
      </w:r>
    </w:p>
    <w:p>
      <w:pPr>
        <w:pStyle w:val="6"/>
        <w:numPr>
          <w:ilvl w:val="0"/>
          <w:numId w:val="1"/>
        </w:numPr>
        <w:jc w:val="left"/>
        <w:rPr>
          <w:rFonts w:asciiTheme="minorEastAsia" w:hAnsiTheme="minorEastAsia" w:eastAsiaTheme="minorEastAsia" w:cstheme="minorEastAsia"/>
        </w:rPr>
      </w:pPr>
      <w:bookmarkStart w:id="142" w:name="_Toc28491"/>
      <w:r>
        <w:rPr>
          <w:rFonts w:hint="eastAsia" w:asciiTheme="minorEastAsia" w:hAnsiTheme="minorEastAsia" w:eastAsiaTheme="minorEastAsia" w:cstheme="minorEastAsia"/>
        </w:rPr>
        <w:t>付款方式：</w:t>
      </w:r>
      <w:bookmarkEnd w:id="142"/>
      <w:r>
        <w:rPr>
          <w:rFonts w:hint="eastAsia" w:asciiTheme="minorEastAsia" w:hAnsiTheme="minorEastAsia" w:eastAsiaTheme="minorEastAsia" w:cstheme="minorEastAsia"/>
          <w:u w:val="single"/>
        </w:rPr>
        <w:t xml:space="preserve">                                 </w:t>
      </w:r>
    </w:p>
    <w:p>
      <w:pPr>
        <w:pStyle w:val="6"/>
        <w:numPr>
          <w:ilvl w:val="0"/>
          <w:numId w:val="1"/>
        </w:numPr>
        <w:jc w:val="left"/>
        <w:rPr>
          <w:rFonts w:asciiTheme="minorEastAsia" w:hAnsiTheme="minorEastAsia" w:eastAsiaTheme="minorEastAsia" w:cstheme="minorEastAsia"/>
        </w:rPr>
      </w:pPr>
      <w:bookmarkStart w:id="143" w:name="_Toc32283"/>
      <w:r>
        <w:rPr>
          <w:rFonts w:hint="eastAsia" w:asciiTheme="minorEastAsia" w:hAnsiTheme="minorEastAsia" w:eastAsiaTheme="minorEastAsia" w:cstheme="minorEastAsia"/>
        </w:rPr>
        <w:t>考核评标体系：</w:t>
      </w:r>
      <w:bookmarkEnd w:id="143"/>
      <w:r>
        <w:rPr>
          <w:rFonts w:hint="eastAsia" w:asciiTheme="minorEastAsia" w:hAnsiTheme="minorEastAsia" w:eastAsiaTheme="minorEastAsia" w:cstheme="minorEastAsia"/>
          <w:u w:val="single"/>
        </w:rPr>
        <w:t xml:space="preserve">                    </w:t>
      </w:r>
    </w:p>
    <w:p>
      <w:pPr>
        <w:pStyle w:val="6"/>
        <w:numPr>
          <w:ilvl w:val="0"/>
          <w:numId w:val="1"/>
        </w:numPr>
        <w:jc w:val="left"/>
        <w:rPr>
          <w:rFonts w:asciiTheme="minorEastAsia" w:hAnsiTheme="minorEastAsia" w:eastAsiaTheme="minorEastAsia"/>
          <w:u w:val="single"/>
        </w:rPr>
      </w:pPr>
      <w:bookmarkStart w:id="144" w:name="_Toc20417"/>
      <w:r>
        <w:rPr>
          <w:rFonts w:hint="eastAsia" w:asciiTheme="minorEastAsia" w:hAnsiTheme="minorEastAsia" w:eastAsiaTheme="minorEastAsia"/>
        </w:rPr>
        <w:t>服</w:t>
      </w:r>
      <w:r>
        <w:rPr>
          <w:rFonts w:hint="eastAsia" w:asciiTheme="minorEastAsia" w:hAnsiTheme="minorEastAsia" w:eastAsiaTheme="minorEastAsia" w:cstheme="minorEastAsia"/>
        </w:rPr>
        <w:t>务</w:t>
      </w:r>
      <w:r>
        <w:rPr>
          <w:rFonts w:hint="eastAsia" w:asciiTheme="minorEastAsia" w:hAnsiTheme="minorEastAsia" w:eastAsiaTheme="minorEastAsia"/>
        </w:rPr>
        <w:t>周期清算办法：</w:t>
      </w:r>
      <w:bookmarkEnd w:id="144"/>
      <w:r>
        <w:rPr>
          <w:rFonts w:hint="eastAsia" w:asciiTheme="minorEastAsia" w:hAnsiTheme="minorEastAsia" w:eastAsiaTheme="minorEastAsia"/>
          <w:u w:val="single"/>
        </w:rPr>
        <w:t xml:space="preserve">            </w:t>
      </w:r>
    </w:p>
    <w:p>
      <w:pPr>
        <w:pStyle w:val="6"/>
        <w:numPr>
          <w:ilvl w:val="0"/>
          <w:numId w:val="1"/>
        </w:numPr>
        <w:jc w:val="left"/>
      </w:pPr>
      <w:bookmarkStart w:id="145" w:name="_Toc3775"/>
      <w:r>
        <w:rPr>
          <w:rFonts w:asciiTheme="minorEastAsia" w:hAnsiTheme="minorEastAsia" w:eastAsiaTheme="minorEastAsia" w:cstheme="minorEastAsia"/>
        </w:rPr>
        <w:t>……</w:t>
      </w:r>
      <w:r>
        <w:rPr>
          <w:rFonts w:hint="eastAsia"/>
        </w:rPr>
        <w:t>.</w:t>
      </w:r>
      <w:bookmarkEnd w:id="145"/>
    </w:p>
    <w:p>
      <w:pPr>
        <w:pStyle w:val="6"/>
        <w:rPr>
          <w:rFonts w:asciiTheme="minorEastAsia" w:hAnsiTheme="minorEastAsia" w:eastAsiaTheme="minorEastAsia" w:cstheme="minorEastAsia"/>
        </w:rPr>
      </w:pPr>
      <w:bookmarkStart w:id="146" w:name="_Toc406670752"/>
      <w:bookmarkStart w:id="147" w:name="_Toc406671123"/>
      <w:bookmarkStart w:id="148" w:name="_Toc406671711"/>
      <w:bookmarkStart w:id="149" w:name="_Toc406672409"/>
      <w:r>
        <w:rPr>
          <w:rFonts w:hint="eastAsia" w:asciiTheme="minorEastAsia" w:hAnsiTheme="minorEastAsia" w:eastAsiaTheme="minorEastAsia" w:cstheme="minorEastAsia"/>
        </w:rPr>
        <w:br w:type="page"/>
      </w:r>
      <w:bookmarkStart w:id="150" w:name="_Toc424213036"/>
      <w:bookmarkStart w:id="151" w:name="_Toc27497"/>
      <w:r>
        <w:rPr>
          <w:rFonts w:hint="eastAsia" w:asciiTheme="minorEastAsia" w:hAnsiTheme="minorEastAsia" w:eastAsiaTheme="minorEastAsia" w:cstheme="minorEastAsia"/>
        </w:rPr>
        <w:t>第二节  拟签订的政府采购合同</w:t>
      </w:r>
      <w:bookmarkEnd w:id="146"/>
      <w:bookmarkEnd w:id="147"/>
      <w:bookmarkEnd w:id="148"/>
      <w:bookmarkEnd w:id="149"/>
      <w:bookmarkEnd w:id="150"/>
      <w:bookmarkEnd w:id="151"/>
    </w:p>
    <w:p>
      <w:pPr>
        <w:tabs>
          <w:tab w:val="left" w:pos="7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政府采购</w:t>
      </w:r>
    </w:p>
    <w:p>
      <w:pPr>
        <w:tabs>
          <w:tab w:val="left" w:pos="720"/>
        </w:tabs>
        <w:jc w:val="center"/>
        <w:rPr>
          <w:rFonts w:asciiTheme="minorEastAsia" w:hAnsiTheme="minorEastAsia" w:eastAsiaTheme="minorEastAsia" w:cstheme="minorEastAsia"/>
          <w:b/>
          <w:sz w:val="72"/>
          <w:szCs w:val="72"/>
        </w:rPr>
      </w:pPr>
    </w:p>
    <w:p>
      <w:pPr>
        <w:tabs>
          <w:tab w:val="left" w:pos="7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合 同 书</w:t>
      </w:r>
    </w:p>
    <w:p>
      <w:pPr>
        <w:tabs>
          <w:tab w:val="left" w:pos="720"/>
        </w:tabs>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（服务类）</w:t>
      </w:r>
    </w:p>
    <w:p>
      <w:pPr>
        <w:tabs>
          <w:tab w:val="left" w:pos="720"/>
        </w:tabs>
        <w:rPr>
          <w:rFonts w:asciiTheme="minorEastAsia" w:hAnsiTheme="minorEastAsia" w:eastAsiaTheme="minorEastAsia" w:cstheme="minorEastAsia"/>
          <w:b/>
          <w:sz w:val="28"/>
          <w:szCs w:val="28"/>
        </w:rPr>
      </w:pPr>
    </w:p>
    <w:tbl>
      <w:tblPr>
        <w:tblStyle w:val="36"/>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rPr>
                <w:rFonts w:asciiTheme="minorEastAsia" w:hAnsiTheme="minorEastAsia" w:eastAsiaTheme="minorEastAsia" w:cstheme="minorEastAsia"/>
                <w:b/>
                <w:sz w:val="32"/>
                <w:szCs w:val="32"/>
                <w:u w:val="single"/>
              </w:rPr>
            </w:pPr>
            <w:r>
              <w:rPr>
                <w:rFonts w:hint="eastAsia" w:asciiTheme="minorEastAsia" w:hAnsiTheme="minorEastAsia" w:eastAsiaTheme="minorEastAsia" w:cstheme="minorEastAsia"/>
                <w:b/>
                <w:sz w:val="32"/>
                <w:szCs w:val="32"/>
              </w:rPr>
              <w:t>采购编号：</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rPr>
                <w:rFonts w:asciiTheme="minorEastAsia" w:hAnsiTheme="minorEastAsia" w:eastAsiaTheme="minorEastAsia" w:cstheme="minorEastAsia"/>
                <w:b/>
                <w:sz w:val="32"/>
                <w:szCs w:val="32"/>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项目名称：</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rPr>
                <w:rFonts w:asciiTheme="minorEastAsia" w:hAnsiTheme="minorEastAsia" w:eastAsiaTheme="minorEastAsia" w:cstheme="minorEastAsia"/>
                <w:b/>
                <w:sz w:val="28"/>
                <w:szCs w:val="28"/>
              </w:rPr>
            </w:pPr>
          </w:p>
        </w:tc>
      </w:tr>
    </w:tbl>
    <w:p>
      <w:pPr>
        <w:tabs>
          <w:tab w:val="left" w:pos="720"/>
        </w:tabs>
        <w:rPr>
          <w:rFonts w:asciiTheme="minorEastAsia" w:hAnsiTheme="minorEastAsia" w:eastAsiaTheme="minorEastAsia" w:cstheme="minorEastAsia"/>
          <w:sz w:val="28"/>
          <w:szCs w:val="28"/>
        </w:rPr>
      </w:pPr>
    </w:p>
    <w:p>
      <w:pPr>
        <w:tabs>
          <w:tab w:val="left" w:pos="720"/>
        </w:tabs>
        <w:rPr>
          <w:rFonts w:asciiTheme="minorEastAsia" w:hAnsiTheme="minorEastAsia" w:eastAsiaTheme="minorEastAsia" w:cstheme="minorEastAsia"/>
          <w:sz w:val="28"/>
          <w:szCs w:val="28"/>
        </w:rPr>
      </w:pPr>
    </w:p>
    <w:p>
      <w:pPr>
        <w:tabs>
          <w:tab w:val="left" w:pos="720"/>
        </w:tabs>
        <w:rPr>
          <w:rFonts w:asciiTheme="minorEastAsia" w:hAnsiTheme="minorEastAsia" w:eastAsiaTheme="minorEastAsia" w:cstheme="minorEastAsia"/>
          <w:sz w:val="28"/>
          <w:szCs w:val="28"/>
        </w:rPr>
      </w:pPr>
    </w:p>
    <w:p>
      <w:pPr>
        <w:tabs>
          <w:tab w:val="left" w:pos="720"/>
        </w:tabs>
        <w:rPr>
          <w:rFonts w:asciiTheme="minorEastAsia" w:hAnsiTheme="minorEastAsia" w:eastAsiaTheme="minorEastAsia" w:cstheme="minorEastAsia"/>
          <w:sz w:val="28"/>
          <w:szCs w:val="28"/>
        </w:rPr>
      </w:pPr>
    </w:p>
    <w:p>
      <w:pPr>
        <w:tabs>
          <w:tab w:val="left" w:pos="720"/>
        </w:tabs>
        <w:rPr>
          <w:rFonts w:asciiTheme="minorEastAsia" w:hAnsiTheme="minorEastAsia" w:eastAsiaTheme="minorEastAsia" w:cstheme="minorEastAsia"/>
          <w:sz w:val="28"/>
          <w:szCs w:val="28"/>
        </w:rPr>
      </w:pPr>
    </w:p>
    <w:p>
      <w:pPr>
        <w:pStyle w:val="21"/>
        <w:spacing w:beforeLines="100" w:beforeAutospacing="0" w:afterLines="5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甲方：（采购人全称）</w:t>
      </w:r>
    </w:p>
    <w:p>
      <w:pPr>
        <w:pStyle w:val="21"/>
        <w:spacing w:beforeLines="100" w:beforeAutospacing="0" w:afterLines="5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乙方：（供应商全称）</w:t>
      </w:r>
    </w:p>
    <w:p>
      <w:pPr>
        <w:pStyle w:val="21"/>
        <w:spacing w:beforeLines="100" w:beforeAutospacing="0" w:afterLines="5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甲、乙双方根据</w:t>
      </w:r>
      <w:r>
        <w:rPr>
          <w:rFonts w:hint="eastAsia" w:asciiTheme="minorEastAsia" w:hAnsiTheme="minorEastAsia" w:eastAsiaTheme="minorEastAsia" w:cstheme="minorEastAsia"/>
          <w:sz w:val="24"/>
          <w:szCs w:val="24"/>
          <w:u w:val="single"/>
        </w:rPr>
        <w:t xml:space="preserve">     项目名称       </w:t>
      </w:r>
      <w:r>
        <w:rPr>
          <w:rFonts w:hint="eastAsia" w:asciiTheme="minorEastAsia" w:hAnsiTheme="minorEastAsia" w:eastAsiaTheme="minorEastAsia" w:cstheme="minorEastAsia"/>
          <w:sz w:val="24"/>
          <w:szCs w:val="24"/>
        </w:rPr>
        <w:t>项目（交易编号：XXXX）的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招标 </w:t>
      </w:r>
      <w:r>
        <w:rPr>
          <w:rFonts w:hint="eastAsia" w:asciiTheme="minorEastAsia" w:hAnsiTheme="minorEastAsia" w:eastAsiaTheme="minorEastAsia" w:cstheme="minorEastAsia"/>
          <w:sz w:val="24"/>
          <w:szCs w:val="24"/>
        </w:rPr>
        <w:t>结果，甲方接受乙方为本项目的供应商。甲乙双方根据本项目采购文件、响应文件及招投标过程中确定的有关内容，签署本合同。</w:t>
      </w:r>
    </w:p>
    <w:p>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一、合同金额</w:t>
      </w:r>
    </w:p>
    <w:p>
      <w:pPr>
        <w:pStyle w:val="21"/>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合同金额为（大写）：_________________元（￥_______________元）人民币。</w:t>
      </w:r>
    </w:p>
    <w:p>
      <w:pPr>
        <w:numPr>
          <w:ilvl w:val="0"/>
          <w:numId w:val="5"/>
        </w:numPr>
        <w:spacing w:before="0" w:beforeAutospacing="0" w:after="0" w:afterAutospacing="0"/>
        <w:ind w:left="0" w:firstLine="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服务范围</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甲方聘请乙方提供以下服务：</w:t>
      </w:r>
    </w:p>
    <w:p>
      <w:pPr>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　　1．本合同项下的服务指。</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2．......</w:t>
      </w:r>
    </w:p>
    <w:p>
      <w:pPr>
        <w:numPr>
          <w:ilvl w:val="0"/>
          <w:numId w:val="6"/>
        </w:numPr>
        <w:spacing w:before="0" w:beforeAutospacing="0" w:after="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二、服务质量要求</w:t>
      </w:r>
    </w:p>
    <w:p>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三、甲方乙方的权利和义务</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（一） 甲方的权利和义务</w:t>
      </w:r>
    </w:p>
    <w:p>
      <w:pPr>
        <w:numPr>
          <w:ilvl w:val="0"/>
          <w:numId w:val="7"/>
        </w:numPr>
        <w:spacing w:before="0" w:beforeAutospacing="0" w:after="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乙方的权利和义务</w:t>
      </w:r>
    </w:p>
    <w:p>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四服务期间（项目完成期限）</w:t>
      </w:r>
    </w:p>
    <w:p>
      <w:pPr>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委托服务期间自______年______月至______年______月止。</w:t>
      </w:r>
    </w:p>
    <w:p>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五、验收及评价考核</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五、  付款方式</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由甲方按下列程序在内付款。</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1)在合同实施及服务人员到达服务地后__天内，甲方应将第一次付　　款总服务费的__(-%)付给乙方。</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2)第二次付款额应为总服务费的__(-%)，甲方应在乙方已经准备好，并递交了服务报告及其它相关文件，而这些报告和文件符合合同附件上的要求并被甲方验收后付给乙方。</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3)最后一次付款额应为总服务费的__(-%)，甲方应在乙方递交了服务总结报告和说明并完全履行合同完毕日内付给乙方。</w:t>
      </w:r>
    </w:p>
    <w:p>
      <w:pPr>
        <w:tabs>
          <w:tab w:val="left" w:pos="900"/>
        </w:tabs>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六、知识产权产权归属</w:t>
      </w:r>
    </w:p>
    <w:p>
      <w:pPr>
        <w:tabs>
          <w:tab w:val="left" w:pos="900"/>
        </w:tabs>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七、保密</w:t>
      </w:r>
    </w:p>
    <w:p>
      <w:pPr>
        <w:tabs>
          <w:tab w:val="left" w:pos="900"/>
        </w:tabs>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八、违约责任与赔偿损失</w:t>
      </w:r>
    </w:p>
    <w:p>
      <w:pPr>
        <w:tabs>
          <w:tab w:val="left" w:pos="900"/>
        </w:tabs>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乙方提供的服务不符合采购文件、报价文件或本合同规定的，甲方有权拒收，并且乙方须向甲方方支付本合同总价5%的违约金。</w:t>
      </w:r>
    </w:p>
    <w:p>
      <w:pPr>
        <w:tabs>
          <w:tab w:val="left" w:pos="720"/>
          <w:tab w:val="left" w:pos="900"/>
        </w:tabs>
        <w:ind w:right="21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 乙方未能按本合同规定的交货时间提供服务，从逾期之日起每日按本合同总价3‰的数额向甲方支付违约金；逾期半个月以上的，甲方有权终止合同，由此造成的甲方经济损失由乙方承担。</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 甲方无正当理由拒收接受服务，到期拒付服务款项的，甲方向乙方偿付本合同总的5%的违约金。甲方人逾期付款，则每日按本合同总价的3‰向乙方偿付违约金。</w:t>
      </w:r>
    </w:p>
    <w:p>
      <w:pP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 其它违约责任按《中华人民共和国合同法》处理。</w:t>
      </w:r>
    </w:p>
    <w:p>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九、争端的解决</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1)合同执行过程中发生的任何争议，如双方不能通过友好协商解决，按相关法律法规处理。</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十、不可抗力：</w:t>
      </w:r>
      <w:r>
        <w:rPr>
          <w:rFonts w:hint="eastAsia" w:asciiTheme="minorEastAsia" w:hAnsiTheme="minorEastAsia" w:eastAsiaTheme="minorEastAsia" w:cstheme="minorEastAsia"/>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十一、税费：</w:t>
      </w:r>
      <w:r>
        <w:rPr>
          <w:rFonts w:hint="eastAsia" w:asciiTheme="minorEastAsia" w:hAnsiTheme="minorEastAsia" w:eastAsiaTheme="minorEastAsia" w:cstheme="minorEastAsia"/>
          <w:sz w:val="24"/>
        </w:rPr>
        <w:t>在中国境内、外发生的与本合同执行有关的一切税费均由乙方负担。</w:t>
      </w:r>
    </w:p>
    <w:p>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十二、其它</w:t>
      </w:r>
    </w:p>
    <w:p>
      <w:pPr>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1)本合同所有附件、采购文件、响应文件、中标通知书通知书均为合同的有效组成部分，与本合同具有同等法律效力。</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 xml:space="preserve">2) </w:t>
      </w:r>
      <w:r>
        <w:rPr>
          <w:rFonts w:hint="eastAsia" w:asciiTheme="minorEastAsia" w:hAnsiTheme="minorEastAsia" w:eastAsiaTheme="minorEastAsia" w:cstheme="minorEastAsia"/>
          <w:sz w:val="24"/>
        </w:rPr>
        <w:t>在执行本合同的过程中，所有经双方签署确认的文件（包括会议纪要、补充协议、往来信函）即成为本合同的有效组成部分。</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 如一方地址、电话、传真号码有变更，应在变更当日内书面通知对方，否则，应承担相应责任。 </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 除甲方事先书面同意外，乙方不得部分或全部转让其应履行的合同项下的义务。</w:t>
      </w:r>
    </w:p>
    <w:p>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十二、合同生效：</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1）本合同在甲乙双方法人代表或其授权代表签字盖章后生效。</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2）合同一式份。</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3）同执行中涉及招标资金和招标内容修改或补充的，须经当地财政部门审批，并签订书面补充协议报监督管理部门备案，方可作为主合同不可分割的一部分。</w:t>
      </w:r>
    </w:p>
    <w:p>
      <w:pPr>
        <w:spacing w:line="340" w:lineRule="exact"/>
        <w:rPr>
          <w:rFonts w:asciiTheme="minorEastAsia" w:hAnsiTheme="minorEastAsia" w:eastAsiaTheme="minorEastAsia" w:cstheme="minorEastAsia"/>
          <w:b/>
          <w:sz w:val="24"/>
        </w:rPr>
      </w:pPr>
    </w:p>
    <w:p>
      <w:pPr>
        <w:pStyle w:val="21"/>
        <w:spacing w:beforeLines="100" w:beforeAutospacing="0" w:afterLines="50" w:afterAutospacing="0"/>
        <w:ind w:firstLine="437"/>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甲方：                                   乙方： </w:t>
      </w:r>
    </w:p>
    <w:p>
      <w:pPr>
        <w:pStyle w:val="21"/>
        <w:spacing w:beforeLines="100" w:beforeAutospacing="0" w:afterLines="50" w:afterAutospacing="0"/>
        <w:ind w:firstLine="437"/>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地址：                                   地址： </w:t>
      </w:r>
    </w:p>
    <w:p>
      <w:pPr>
        <w:pStyle w:val="21"/>
        <w:spacing w:beforeLines="100" w:beforeAutospacing="0" w:afterLines="50" w:afterAutospacing="0"/>
        <w:ind w:firstLine="437"/>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法定代表人：                             法定代表人：</w:t>
      </w:r>
    </w:p>
    <w:p>
      <w:pPr>
        <w:pStyle w:val="21"/>
        <w:spacing w:beforeLines="100" w:beforeAutospacing="0" w:afterLines="50" w:afterAutospacing="0"/>
        <w:ind w:firstLine="437"/>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授权委托代理人：                         授权委托代理人：</w:t>
      </w:r>
    </w:p>
    <w:p>
      <w:pPr>
        <w:pStyle w:val="21"/>
        <w:spacing w:beforeLines="100" w:beforeAutospacing="0" w:afterLines="50" w:afterAutospacing="0"/>
        <w:ind w:firstLine="437"/>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电话：                                   电话：   </w:t>
      </w:r>
    </w:p>
    <w:p>
      <w:pPr>
        <w:pStyle w:val="21"/>
        <w:spacing w:beforeLines="100" w:beforeAutospacing="0" w:afterLines="50" w:afterAutospacing="0"/>
        <w:ind w:firstLine="437"/>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传真：                                   传真：</w:t>
      </w:r>
    </w:p>
    <w:p>
      <w:pPr>
        <w:pStyle w:val="21"/>
        <w:spacing w:beforeLines="100" w:beforeAutospacing="0" w:afterLines="50" w:afterAutospacing="0"/>
        <w:ind w:firstLine="437"/>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邮政编码：                               邮政编码：</w:t>
      </w:r>
    </w:p>
    <w:p>
      <w:pPr>
        <w:pStyle w:val="21"/>
        <w:spacing w:beforeLines="100" w:beforeAutospacing="0" w:afterLines="50" w:afterAutospacing="0"/>
        <w:ind w:firstLine="437"/>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开户银行：</w:t>
      </w:r>
    </w:p>
    <w:p>
      <w:pPr>
        <w:pStyle w:val="21"/>
        <w:spacing w:beforeLines="100" w:beforeAutospacing="0" w:afterLines="50" w:afterAutospacing="0"/>
        <w:ind w:firstLine="437"/>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账号：</w:t>
      </w:r>
    </w:p>
    <w:p>
      <w:pPr>
        <w:pStyle w:val="21"/>
        <w:spacing w:beforeLines="100" w:beforeAutospacing="0" w:afterLines="50" w:afterAutospacing="0"/>
        <w:ind w:firstLine="437"/>
        <w:rPr>
          <w:rFonts w:asciiTheme="minorEastAsia" w:hAnsiTheme="minorEastAsia" w:eastAsiaTheme="minorEastAsia" w:cstheme="minorEastAsia"/>
          <w:sz w:val="24"/>
          <w:szCs w:val="24"/>
        </w:rPr>
      </w:pPr>
    </w:p>
    <w:p>
      <w:pPr>
        <w:spacing w:line="34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4"/>
        </w:rPr>
        <w:t>签订地点：                               签订日期：      年  月  日</w:t>
      </w:r>
    </w:p>
    <w:p>
      <w:pPr>
        <w:adjustRightInd w:val="0"/>
        <w:snapToGrid w:val="0"/>
        <w:rPr>
          <w:rFonts w:asciiTheme="minorEastAsia" w:hAnsiTheme="minorEastAsia" w:eastAsiaTheme="minorEastAsia" w:cstheme="minorEastAsia"/>
          <w:b/>
          <w:sz w:val="28"/>
          <w:szCs w:val="28"/>
        </w:rPr>
      </w:pPr>
    </w:p>
    <w:p>
      <w:pPr>
        <w:pStyle w:val="21"/>
        <w:spacing w:beforeLines="100" w:beforeAutospacing="0" w:afterLines="50" w:afterAutospacing="0"/>
        <w:ind w:firstLine="437"/>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注意事项：本合同条款未尽事宜，由甲乙双方以补充合同约定，原则上不能超越和违背招标及补充文件、响应文件及投标有关承诺的范围及内容。</w:t>
      </w:r>
    </w:p>
    <w:p>
      <w:pPr>
        <w:pStyle w:val="21"/>
        <w:spacing w:beforeLines="100" w:beforeAutospacing="0" w:afterLines="50" w:afterAutospacing="0"/>
        <w:ind w:firstLine="437"/>
        <w:rPr>
          <w:rFonts w:asciiTheme="minorEastAsia" w:hAnsiTheme="minorEastAsia" w:eastAsiaTheme="minorEastAsia" w:cstheme="minorEastAsia"/>
          <w:b/>
          <w:sz w:val="28"/>
          <w:szCs w:val="28"/>
        </w:rPr>
      </w:pPr>
    </w:p>
    <w:p>
      <w:pPr>
        <w:pStyle w:val="21"/>
        <w:spacing w:beforeLines="100" w:beforeAutospacing="0" w:afterLines="50" w:afterAutospacing="0"/>
        <w:ind w:firstLine="437"/>
        <w:rPr>
          <w:rFonts w:asciiTheme="minorEastAsia" w:hAnsiTheme="minorEastAsia" w:eastAsiaTheme="minorEastAsia" w:cstheme="minorEastAsia"/>
          <w:b/>
          <w:sz w:val="28"/>
          <w:szCs w:val="28"/>
        </w:rPr>
      </w:pPr>
    </w:p>
    <w:p>
      <w:pPr>
        <w:pStyle w:val="21"/>
        <w:spacing w:beforeLines="100" w:beforeAutospacing="0" w:afterLines="50" w:afterAutospacing="0"/>
        <w:ind w:firstLine="437"/>
        <w:rPr>
          <w:rFonts w:asciiTheme="minorEastAsia" w:hAnsiTheme="minorEastAsia" w:eastAsiaTheme="minorEastAsia" w:cstheme="minorEastAsia"/>
          <w:b/>
          <w:sz w:val="28"/>
          <w:szCs w:val="28"/>
        </w:rPr>
      </w:pPr>
    </w:p>
    <w:p>
      <w:pPr>
        <w:pStyle w:val="21"/>
        <w:spacing w:beforeLines="100" w:beforeAutospacing="0" w:afterLines="50" w:afterAutospacing="0"/>
        <w:ind w:firstLine="437"/>
        <w:rPr>
          <w:rFonts w:asciiTheme="minorEastAsia" w:hAnsiTheme="minorEastAsia" w:eastAsiaTheme="minorEastAsia" w:cstheme="minorEastAsia"/>
          <w:b/>
          <w:sz w:val="28"/>
          <w:szCs w:val="28"/>
        </w:rPr>
      </w:pPr>
    </w:p>
    <w:p>
      <w:pPr>
        <w:pStyle w:val="21"/>
        <w:spacing w:beforeLines="100" w:beforeAutospacing="0" w:afterLines="50" w:afterAutospacing="0"/>
        <w:ind w:firstLine="437"/>
        <w:rPr>
          <w:rFonts w:asciiTheme="minorEastAsia" w:hAnsiTheme="minorEastAsia" w:eastAsiaTheme="minorEastAsia" w:cstheme="minorEastAsia"/>
          <w:b/>
          <w:sz w:val="28"/>
          <w:szCs w:val="28"/>
        </w:rPr>
      </w:pPr>
    </w:p>
    <w:p>
      <w:pPr>
        <w:pStyle w:val="21"/>
        <w:spacing w:beforeLines="100" w:beforeAutospacing="0" w:afterLines="50" w:afterAutospacing="0"/>
        <w:ind w:firstLine="437"/>
        <w:rPr>
          <w:rFonts w:asciiTheme="minorEastAsia" w:hAnsiTheme="minorEastAsia" w:eastAsiaTheme="minorEastAsia" w:cstheme="minorEastAsia"/>
          <w:b/>
          <w:sz w:val="28"/>
          <w:szCs w:val="28"/>
        </w:rPr>
      </w:pPr>
    </w:p>
    <w:p>
      <w:pPr>
        <w:pStyle w:val="21"/>
        <w:spacing w:beforeLines="100" w:beforeAutospacing="0" w:afterLines="50" w:afterAutospacing="0"/>
        <w:rPr>
          <w:rFonts w:asciiTheme="minorEastAsia" w:hAnsiTheme="minorEastAsia" w:eastAsiaTheme="minorEastAsia" w:cstheme="minorEastAsia"/>
          <w:sz w:val="24"/>
          <w:szCs w:val="24"/>
        </w:rPr>
      </w:pPr>
    </w:p>
    <w:p>
      <w:pPr>
        <w:pStyle w:val="4"/>
        <w:rPr>
          <w:rFonts w:asciiTheme="minorEastAsia" w:hAnsiTheme="minorEastAsia" w:eastAsiaTheme="minorEastAsia" w:cstheme="minorEastAsia"/>
        </w:rPr>
      </w:pPr>
      <w:bookmarkStart w:id="152" w:name="_Toc406671714"/>
      <w:bookmarkStart w:id="153" w:name="_Toc406671142"/>
      <w:bookmarkStart w:id="154" w:name="_Toc406670771"/>
      <w:bookmarkStart w:id="155" w:name="_Toc406672410"/>
      <w:r>
        <w:rPr>
          <w:rFonts w:hint="eastAsia" w:asciiTheme="minorEastAsia" w:hAnsiTheme="minorEastAsia" w:eastAsiaTheme="minorEastAsia" w:cstheme="minorEastAsia"/>
        </w:rPr>
        <w:br w:type="page"/>
      </w:r>
      <w:bookmarkStart w:id="156" w:name="_Toc10285"/>
      <w:bookmarkStart w:id="157" w:name="_Toc424213037"/>
      <w:r>
        <w:rPr>
          <w:rFonts w:hint="eastAsia" w:asciiTheme="minorEastAsia" w:hAnsiTheme="minorEastAsia" w:eastAsiaTheme="minorEastAsia" w:cstheme="minorEastAsia"/>
        </w:rPr>
        <w:t xml:space="preserve">第三部分  </w:t>
      </w:r>
      <w:bookmarkEnd w:id="152"/>
      <w:bookmarkEnd w:id="153"/>
      <w:bookmarkEnd w:id="154"/>
      <w:bookmarkEnd w:id="155"/>
      <w:r>
        <w:rPr>
          <w:rFonts w:hint="eastAsia" w:asciiTheme="minorEastAsia" w:hAnsiTheme="minorEastAsia" w:eastAsiaTheme="minorEastAsia" w:cstheme="minorEastAsia"/>
        </w:rPr>
        <w:t>响应文件编制规范</w:t>
      </w:r>
      <w:bookmarkEnd w:id="156"/>
      <w:bookmarkEnd w:id="157"/>
    </w:p>
    <w:p>
      <w:pPr>
        <w:pStyle w:val="5"/>
        <w:rPr>
          <w:rFonts w:asciiTheme="minorEastAsia" w:hAnsiTheme="minorEastAsia" w:eastAsiaTheme="minorEastAsia" w:cstheme="minorEastAsia"/>
        </w:rPr>
      </w:pPr>
      <w:bookmarkStart w:id="158" w:name="_Toc406671143"/>
      <w:bookmarkStart w:id="159" w:name="_Toc406671715"/>
      <w:bookmarkStart w:id="160" w:name="_Toc406672411"/>
      <w:bookmarkStart w:id="161" w:name="_Toc406670772"/>
      <w:bookmarkStart w:id="162" w:name="_Toc23175"/>
      <w:bookmarkStart w:id="163" w:name="_Toc424213038"/>
      <w:r>
        <w:rPr>
          <w:rFonts w:hint="eastAsia" w:asciiTheme="minorEastAsia" w:hAnsiTheme="minorEastAsia" w:eastAsiaTheme="minorEastAsia" w:cstheme="minorEastAsia"/>
        </w:rPr>
        <w:t xml:space="preserve">第六章 </w:t>
      </w:r>
      <w:bookmarkEnd w:id="158"/>
      <w:bookmarkEnd w:id="159"/>
      <w:bookmarkEnd w:id="160"/>
      <w:bookmarkEnd w:id="161"/>
      <w:r>
        <w:rPr>
          <w:rFonts w:hint="eastAsia" w:asciiTheme="minorEastAsia" w:hAnsiTheme="minorEastAsia" w:eastAsiaTheme="minorEastAsia" w:cstheme="minorEastAsia"/>
        </w:rPr>
        <w:t>响应文件的编制</w:t>
      </w:r>
      <w:bookmarkEnd w:id="162"/>
      <w:bookmarkEnd w:id="163"/>
    </w:p>
    <w:p>
      <w:pPr>
        <w:pStyle w:val="6"/>
        <w:rPr>
          <w:rFonts w:asciiTheme="minorEastAsia" w:hAnsiTheme="minorEastAsia" w:eastAsiaTheme="minorEastAsia" w:cstheme="minorEastAsia"/>
        </w:rPr>
      </w:pPr>
      <w:bookmarkStart w:id="164" w:name="_Toc406671144"/>
      <w:bookmarkStart w:id="165" w:name="_Toc406670773"/>
      <w:bookmarkStart w:id="166" w:name="_Toc406672412"/>
      <w:bookmarkStart w:id="167" w:name="_Toc406671716"/>
      <w:bookmarkStart w:id="168" w:name="_Toc9913"/>
      <w:bookmarkStart w:id="169" w:name="_Toc424213039"/>
      <w:r>
        <w:rPr>
          <w:rFonts w:hint="eastAsia" w:asciiTheme="minorEastAsia" w:hAnsiTheme="minorEastAsia" w:eastAsiaTheme="minorEastAsia" w:cstheme="minorEastAsia"/>
        </w:rPr>
        <w:t>第一节 编制要求</w:t>
      </w:r>
      <w:bookmarkEnd w:id="164"/>
      <w:bookmarkEnd w:id="165"/>
      <w:bookmarkEnd w:id="166"/>
      <w:bookmarkEnd w:id="167"/>
      <w:bookmarkEnd w:id="168"/>
      <w:bookmarkEnd w:id="169"/>
    </w:p>
    <w:p>
      <w:pPr>
        <w:spacing w:beforeLines="50" w:beforeAutospacing="0" w:afterLines="50" w:afterAutospacing="0" w:line="240" w:lineRule="auto"/>
        <w:ind w:firstLine="480" w:firstLineChars="200"/>
        <w:rPr>
          <w:rFonts w:asciiTheme="minorEastAsia" w:hAnsiTheme="minorEastAsia" w:eastAsiaTheme="minorEastAsia" w:cstheme="minorEastAsia"/>
          <w:sz w:val="24"/>
        </w:rPr>
      </w:pPr>
      <w:bookmarkStart w:id="170" w:name="_Toc406670774"/>
      <w:bookmarkStart w:id="171" w:name="_Toc406671145"/>
      <w:r>
        <w:rPr>
          <w:rFonts w:hint="eastAsia" w:asciiTheme="minorEastAsia" w:hAnsiTheme="minorEastAsia" w:eastAsiaTheme="minorEastAsia" w:cstheme="minorEastAsia"/>
          <w:sz w:val="24"/>
        </w:rPr>
        <w:t>一、格式</w:t>
      </w:r>
      <w:bookmarkEnd w:id="170"/>
      <w:bookmarkEnd w:id="171"/>
    </w:p>
    <w:p>
      <w:pPr>
        <w:pStyle w:val="21"/>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响应文件及与投标有关的所有来往函电均使用中文简体字。原版为外文的证书类文件，以及由外国人做出的本人签名、外国公司的名称或外国印章等可以是外文，但应当提供中文翻译文件并加盖供应商公章。必要时评审委员会可以要求供应商提供附有公证书的中文翻译文件或者与原版文件签章相一致的中文翻译文件。对于未附有中文译本和中文译本不准确引起的对供应商的不利后果，由供应商自行负责。</w:t>
      </w:r>
    </w:p>
    <w:p>
      <w:pPr>
        <w:pStyle w:val="21"/>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2.响应文件中所使用的计量单位，除采购文件有要求的外，均使用国家法定计量单位。</w:t>
      </w:r>
    </w:p>
    <w:p>
      <w:pPr>
        <w:pStyle w:val="21"/>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3.响应文件中的图片资料、复印件等应清晰可见，不得随意放大缩小。内容不得倒置、歪斜，由于响应文件不清晰或不利于阅读所造成的后果，由供应商自行负责。</w:t>
      </w:r>
    </w:p>
    <w:p>
      <w:pPr>
        <w:pStyle w:val="21"/>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4.除法定代表人或法人授权代表签字或响应文件页码标注可以手写外，其余所有响应文件内容须采用打印字体，禁止手写，手写内容评标委员会可以不认同。</w:t>
      </w:r>
    </w:p>
    <w:p>
      <w:pPr>
        <w:pStyle w:val="21"/>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5.响应文件应严格按采购文件提供的响应文件格式范本填写，采购文件中未提供格式范本的，由供应商自行编制。</w:t>
      </w:r>
    </w:p>
    <w:p>
      <w:pPr>
        <w:spacing w:beforeLines="50" w:beforeAutospacing="0" w:afterLines="50" w:afterAutospacing="0" w:line="240" w:lineRule="auto"/>
        <w:ind w:firstLine="480" w:firstLineChars="200"/>
        <w:rPr>
          <w:rFonts w:asciiTheme="minorEastAsia" w:hAnsiTheme="minorEastAsia" w:eastAsiaTheme="minorEastAsia" w:cstheme="minorEastAsia"/>
          <w:sz w:val="24"/>
        </w:rPr>
      </w:pPr>
      <w:bookmarkStart w:id="172" w:name="_Toc406671146"/>
      <w:bookmarkStart w:id="173" w:name="_Toc406670775"/>
      <w:r>
        <w:rPr>
          <w:rFonts w:hint="eastAsia" w:asciiTheme="minorEastAsia" w:hAnsiTheme="minorEastAsia" w:eastAsiaTheme="minorEastAsia" w:cstheme="minorEastAsia"/>
          <w:sz w:val="24"/>
        </w:rPr>
        <w:t>二、装订</w:t>
      </w:r>
      <w:bookmarkEnd w:id="172"/>
      <w:bookmarkEnd w:id="173"/>
    </w:p>
    <w:p>
      <w:pPr>
        <w:pStyle w:val="21"/>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1.响应文件须按所投品目/包单独胶装成册，并在封面注明所投品目号/包号。所投品目/包响应文件供应商可根据投标的实际情况，自行选择是否统一或分开胶装成册。</w:t>
      </w:r>
    </w:p>
    <w:p>
      <w:pPr>
        <w:pStyle w:val="21"/>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响应文件须用A4纸打印，按照采购文件所规定的内容顺序，统一编目、编页码装订（响应文件中复印件及彩色宣传资料等均须与响应文件正文一起逐页编排页码）。超过A4幅的应以相应幅面打印，但应折叠为A4幅大小后装订，采购文件有提供图册等其它要求的除外。由于编排混乱导致响应文件被误读或查找不到，责任由供应商自行承担。</w:t>
      </w:r>
    </w:p>
    <w:p>
      <w:pPr>
        <w:pStyle w:val="21"/>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3.响应文件须胶装成册，不得采用活页、打孔等方式装订。</w:t>
      </w:r>
    </w:p>
    <w:p>
      <w:pPr>
        <w:pStyle w:val="21"/>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4.不推荐使用豪华装订，建议平装。</w:t>
      </w:r>
    </w:p>
    <w:p>
      <w:pPr>
        <w:spacing w:beforeLines="50" w:beforeAutospacing="0" w:afterLines="50" w:afterAutospacing="0" w:line="240" w:lineRule="auto"/>
        <w:ind w:firstLine="480" w:firstLineChars="200"/>
        <w:rPr>
          <w:rFonts w:asciiTheme="minorEastAsia" w:hAnsiTheme="minorEastAsia" w:eastAsiaTheme="minorEastAsia" w:cstheme="minorEastAsia"/>
          <w:sz w:val="24"/>
        </w:rPr>
      </w:pPr>
      <w:bookmarkStart w:id="174" w:name="_Toc406670776"/>
      <w:bookmarkStart w:id="175" w:name="_Toc406671147"/>
      <w:r>
        <w:rPr>
          <w:rFonts w:hint="eastAsia" w:asciiTheme="minorEastAsia" w:hAnsiTheme="minorEastAsia" w:eastAsiaTheme="minorEastAsia" w:cstheme="minorEastAsia"/>
          <w:sz w:val="24"/>
        </w:rPr>
        <w:t>三、签署与封装</w:t>
      </w:r>
      <w:bookmarkEnd w:id="174"/>
      <w:bookmarkEnd w:id="175"/>
    </w:p>
    <w:p>
      <w:pPr>
        <w:pStyle w:val="21"/>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签署：响应文件封面上须注明“正本”或“副本”或“电子响应文件”字样，并加盖封面单位公章和骑缝章。若正本与副本不符，以正本为准。响应文件中除标准页码外，不得涂改和增删。响应文件中所有复印件必须加盖供应商公章。响应文件范本中注明需要签章的地方，供应商均须进行签章。</w:t>
      </w:r>
    </w:p>
    <w:p>
      <w:pPr>
        <w:pStyle w:val="21"/>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2.封装：</w:t>
      </w:r>
    </w:p>
    <w:p>
      <w:pPr>
        <w:pStyle w:val="21"/>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2.1投标供应商可根据投标实际厚度，自行选择响应文件的外包封套的数量，对响应文件的外包封份数不作具体规定，但投标供应商应确保响应文件的外包封没有严重破损导致投标实质性内容泄露的情形。</w:t>
      </w:r>
    </w:p>
    <w:p>
      <w:pPr>
        <w:pStyle w:val="21"/>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2.2外包密封的封口（接口）处加盖带投标供应商公章，封装物上清楚注明项目名称、品目名称、供应商名称。</w:t>
      </w:r>
    </w:p>
    <w:p>
      <w:pPr>
        <w:pStyle w:val="21"/>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2.3外包封上有</w:t>
      </w:r>
      <w:r>
        <w:rPr>
          <w:rFonts w:asciiTheme="minorEastAsia" w:hAnsiTheme="minorEastAsia" w:eastAsiaTheme="minorEastAsia" w:cstheme="minorEastAsia"/>
          <w:sz w:val="24"/>
          <w:szCs w:val="24"/>
        </w:rPr>
        <w:t>重复</w:t>
      </w:r>
      <w:r>
        <w:rPr>
          <w:rFonts w:hint="eastAsia" w:asciiTheme="minorEastAsia" w:hAnsiTheme="minorEastAsia" w:eastAsiaTheme="minorEastAsia" w:cstheme="minorEastAsia"/>
          <w:sz w:val="24"/>
          <w:szCs w:val="24"/>
        </w:rPr>
        <w:t>或多余</w:t>
      </w:r>
      <w:r>
        <w:rPr>
          <w:rFonts w:asciiTheme="minorEastAsia" w:hAnsiTheme="minorEastAsia" w:eastAsiaTheme="minorEastAsia" w:cstheme="minorEastAsia"/>
          <w:sz w:val="24"/>
          <w:szCs w:val="24"/>
        </w:rPr>
        <w:t>标记</w:t>
      </w:r>
      <w:r>
        <w:rPr>
          <w:rFonts w:hint="eastAsia" w:asciiTheme="minorEastAsia" w:hAnsiTheme="minorEastAsia" w:eastAsiaTheme="minorEastAsia" w:cstheme="minorEastAsia"/>
          <w:sz w:val="24"/>
          <w:szCs w:val="24"/>
        </w:rPr>
        <w:t>，未对响应文件实质性响应产生影响的</w:t>
      </w:r>
      <w:r>
        <w:rPr>
          <w:rFonts w:asciiTheme="minorEastAsia" w:hAnsiTheme="minorEastAsia" w:eastAsiaTheme="minorEastAsia" w:cstheme="minorEastAsia"/>
          <w:sz w:val="24"/>
          <w:szCs w:val="24"/>
        </w:rPr>
        <w:t>，不作</w:t>
      </w:r>
      <w:r>
        <w:rPr>
          <w:rFonts w:hint="eastAsia" w:asciiTheme="minorEastAsia" w:hAnsiTheme="minorEastAsia" w:eastAsiaTheme="minorEastAsia" w:cstheme="minorEastAsia"/>
          <w:sz w:val="24"/>
          <w:szCs w:val="24"/>
        </w:rPr>
        <w:t>无效标</w:t>
      </w:r>
      <w:r>
        <w:rPr>
          <w:rFonts w:asciiTheme="minorEastAsia" w:hAnsiTheme="minorEastAsia" w:eastAsiaTheme="minorEastAsia" w:cstheme="minorEastAsia"/>
          <w:sz w:val="24"/>
          <w:szCs w:val="24"/>
        </w:rPr>
        <w:t>依据</w:t>
      </w:r>
      <w:r>
        <w:rPr>
          <w:rFonts w:hint="eastAsia" w:asciiTheme="minorEastAsia" w:hAnsiTheme="minorEastAsia" w:eastAsiaTheme="minorEastAsia" w:cstheme="minorEastAsia"/>
          <w:sz w:val="24"/>
          <w:szCs w:val="24"/>
        </w:rPr>
        <w:t>。</w:t>
      </w:r>
    </w:p>
    <w:p>
      <w:pPr>
        <w:pStyle w:val="21"/>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2.4投标供应商对外包封有异议的，应在开标会现场当场提出，由监督部门和招标人在开标现场当场判定是否作无效标处理，不得送至评标委员会判定。</w:t>
      </w:r>
    </w:p>
    <w:p>
      <w:pPr>
        <w:pStyle w:val="6"/>
        <w:rPr>
          <w:rFonts w:asciiTheme="minorEastAsia" w:hAnsiTheme="minorEastAsia" w:eastAsiaTheme="minorEastAsia" w:cstheme="minorEastAsia"/>
        </w:rPr>
      </w:pPr>
      <w:bookmarkStart w:id="176" w:name="_Toc406672413"/>
      <w:bookmarkStart w:id="177" w:name="_Toc212"/>
      <w:bookmarkStart w:id="178" w:name="_Toc424213040"/>
      <w:bookmarkStart w:id="179" w:name="_Toc406671717"/>
      <w:bookmarkStart w:id="180" w:name="_Toc406671148"/>
      <w:bookmarkStart w:id="181" w:name="_Toc406670777"/>
      <w:r>
        <w:rPr>
          <w:rFonts w:hint="eastAsia" w:asciiTheme="minorEastAsia" w:hAnsiTheme="minorEastAsia" w:eastAsiaTheme="minorEastAsia" w:cstheme="minorEastAsia"/>
        </w:rPr>
        <w:t>第二节 响应文件组成</w:t>
      </w:r>
      <w:bookmarkEnd w:id="176"/>
      <w:bookmarkEnd w:id="177"/>
      <w:bookmarkEnd w:id="178"/>
      <w:bookmarkEnd w:id="179"/>
      <w:bookmarkEnd w:id="180"/>
      <w:bookmarkEnd w:id="181"/>
    </w:p>
    <w:p>
      <w:pPr>
        <w:pStyle w:val="21"/>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一、政府采购响应文件类别</w:t>
      </w:r>
      <w:r>
        <w:rPr>
          <w:rFonts w:hint="eastAsia" w:asciiTheme="minorEastAsia" w:hAnsiTheme="minorEastAsia" w:eastAsiaTheme="minorEastAsia" w:cstheme="minorEastAsia"/>
          <w:sz w:val="24"/>
          <w:szCs w:val="24"/>
        </w:rPr>
        <w:t>：服务类响应文件。</w:t>
      </w:r>
    </w:p>
    <w:p>
      <w:pPr>
        <w:spacing w:beforeLines="50" w:beforeAutospacing="0" w:afterLines="50" w:afterAutospacing="0" w:line="24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二、组成</w:t>
      </w:r>
    </w:p>
    <w:p>
      <w:pPr>
        <w:pStyle w:val="21"/>
        <w:spacing w:before="0" w:beforeAutospacing="0" w:after="0" w:afterAutospacing="0"/>
        <w:rPr>
          <w:rFonts w:asciiTheme="minorEastAsia" w:hAnsiTheme="minorEastAsia" w:eastAsiaTheme="minorEastAsia" w:cstheme="minorEastAsia"/>
          <w:sz w:val="24"/>
          <w:szCs w:val="24"/>
        </w:rPr>
        <w:sectPr>
          <w:pgSz w:w="11907" w:h="16840"/>
          <w:pgMar w:top="1134" w:right="1418" w:bottom="1134" w:left="1418" w:header="720" w:footer="720" w:gutter="0"/>
          <w:cols w:space="425" w:num="1"/>
          <w:docGrid w:linePitch="285" w:charSpace="0"/>
        </w:sectPr>
      </w:pPr>
      <w:r>
        <w:rPr>
          <w:rFonts w:hint="eastAsia" w:asciiTheme="minorEastAsia" w:hAnsiTheme="minorEastAsia" w:eastAsiaTheme="minorEastAsia" w:cstheme="minorEastAsia"/>
          <w:sz w:val="24"/>
          <w:szCs w:val="24"/>
        </w:rPr>
        <w:t>各类响应文件由数据信息响应部分和佐证文件部分组成，具体详见响应文件格式文本。</w:t>
      </w:r>
    </w:p>
    <w:p>
      <w:pPr>
        <w:pStyle w:val="6"/>
        <w:rPr>
          <w:rFonts w:asciiTheme="minorEastAsia" w:hAnsiTheme="minorEastAsia" w:eastAsiaTheme="minorEastAsia" w:cstheme="minorEastAsia"/>
        </w:rPr>
      </w:pPr>
      <w:bookmarkStart w:id="182" w:name="_Toc406671718"/>
      <w:bookmarkStart w:id="183" w:name="_Toc406671149"/>
      <w:bookmarkStart w:id="184" w:name="_Toc406670778"/>
      <w:bookmarkStart w:id="185" w:name="_Toc424213041"/>
      <w:bookmarkStart w:id="186" w:name="_Toc406672414"/>
      <w:bookmarkStart w:id="187" w:name="_Toc15645"/>
      <w:r>
        <w:rPr>
          <w:rFonts w:hint="eastAsia" w:asciiTheme="minorEastAsia" w:hAnsiTheme="minorEastAsia" w:eastAsiaTheme="minorEastAsia" w:cstheme="minorEastAsia"/>
        </w:rPr>
        <w:t>第三节 响应文件格式范本</w:t>
      </w:r>
      <w:bookmarkEnd w:id="182"/>
      <w:bookmarkEnd w:id="183"/>
      <w:bookmarkEnd w:id="184"/>
      <w:bookmarkEnd w:id="185"/>
      <w:bookmarkEnd w:id="186"/>
      <w:bookmarkEnd w:id="187"/>
    </w:p>
    <w:p>
      <w:pPr>
        <w:spacing w:line="240" w:lineRule="auto"/>
        <w:rPr>
          <w:rFonts w:asciiTheme="minorEastAsia" w:hAnsiTheme="minorEastAsia" w:eastAsiaTheme="minorEastAsia" w:cstheme="minorEastAsia"/>
          <w:sz w:val="24"/>
        </w:rPr>
      </w:pPr>
    </w:p>
    <w:p>
      <w:pPr>
        <w:pStyle w:val="6"/>
        <w:spacing w:line="240" w:lineRule="auto"/>
        <w:jc w:val="left"/>
        <w:rPr>
          <w:rFonts w:asciiTheme="minorEastAsia" w:hAnsiTheme="minorEastAsia" w:eastAsiaTheme="minorEastAsia" w:cstheme="minorEastAsia"/>
          <w:sz w:val="28"/>
          <w:szCs w:val="28"/>
        </w:rPr>
      </w:pPr>
      <w:bookmarkStart w:id="188" w:name="_Toc21603"/>
      <w:r>
        <w:rPr>
          <w:rFonts w:hint="eastAsia" w:asciiTheme="minorEastAsia" w:hAnsiTheme="minorEastAsia" w:eastAsiaTheme="minorEastAsia" w:cstheme="minorEastAsia"/>
          <w:sz w:val="28"/>
          <w:szCs w:val="28"/>
        </w:rPr>
        <w:t>封面格式</w:t>
      </w:r>
      <w:bookmarkEnd w:id="188"/>
    </w:p>
    <w:p>
      <w:pPr>
        <w:pStyle w:val="6"/>
        <w:spacing w:line="240" w:lineRule="auto"/>
        <w:rPr>
          <w:rFonts w:asciiTheme="minorEastAsia" w:hAnsiTheme="minorEastAsia" w:eastAsiaTheme="minorEastAsia" w:cstheme="minorEastAsia"/>
          <w:sz w:val="28"/>
          <w:szCs w:val="28"/>
        </w:rPr>
      </w:pPr>
      <w:bookmarkStart w:id="189" w:name="_Toc26205"/>
      <w:r>
        <w:rPr>
          <w:rFonts w:hint="eastAsia" w:asciiTheme="minorEastAsia" w:hAnsiTheme="minorEastAsia" w:eastAsiaTheme="minorEastAsia" w:cstheme="minorEastAsia"/>
          <w:sz w:val="28"/>
          <w:szCs w:val="28"/>
        </w:rPr>
        <w:t>招标服务类响应文件格式范本</w:t>
      </w:r>
      <w:bookmarkEnd w:id="189"/>
    </w:p>
    <w:p>
      <w:pPr>
        <w:spacing w:line="240" w:lineRule="auto"/>
        <w:jc w:val="right"/>
        <w:rPr>
          <w:rFonts w:asciiTheme="minorEastAsia" w:hAnsiTheme="minorEastAsia" w:eastAsiaTheme="minorEastAsia" w:cstheme="minorEastAsia"/>
          <w:sz w:val="24"/>
        </w:rPr>
      </w:pPr>
    </w:p>
    <w:p>
      <w:pPr>
        <w:spacing w:beforeLines="50" w:beforeAutospacing="0" w:afterLines="50" w:afterAutospacing="0" w:line="240" w:lineRule="auto"/>
        <w:jc w:val="center"/>
        <w:rPr>
          <w:rFonts w:asciiTheme="minorEastAsia" w:hAnsiTheme="minorEastAsia" w:eastAsiaTheme="minorEastAsia" w:cstheme="minorEastAsia"/>
          <w:spacing w:val="20"/>
          <w:sz w:val="44"/>
          <w:szCs w:val="44"/>
        </w:rPr>
      </w:pPr>
      <w:r>
        <w:rPr>
          <w:rFonts w:hint="eastAsia" w:asciiTheme="minorEastAsia" w:hAnsiTheme="minorEastAsia" w:eastAsiaTheme="minorEastAsia" w:cstheme="minorEastAsia"/>
          <w:spacing w:val="20"/>
          <w:sz w:val="44"/>
          <w:szCs w:val="44"/>
        </w:rPr>
        <w:t>XXXXX（项目名称）</w:t>
      </w:r>
    </w:p>
    <w:p>
      <w:pPr>
        <w:spacing w:beforeLines="50" w:beforeAutospacing="0" w:afterLines="50" w:afterAutospacing="0" w:line="240" w:lineRule="auto"/>
        <w:jc w:val="center"/>
        <w:rPr>
          <w:rFonts w:asciiTheme="minorEastAsia" w:hAnsiTheme="minorEastAsia" w:eastAsiaTheme="minorEastAsia" w:cstheme="minorEastAsia"/>
          <w:spacing w:val="40"/>
          <w:w w:val="110"/>
          <w:sz w:val="44"/>
          <w:szCs w:val="44"/>
        </w:rPr>
      </w:pPr>
      <w:r>
        <w:rPr>
          <w:rFonts w:hint="eastAsia" w:asciiTheme="minorEastAsia" w:hAnsiTheme="minorEastAsia" w:eastAsiaTheme="minorEastAsia" w:cstheme="minorEastAsia"/>
          <w:spacing w:val="40"/>
          <w:w w:val="110"/>
          <w:sz w:val="44"/>
          <w:szCs w:val="44"/>
        </w:rPr>
        <w:t>响应文件</w:t>
      </w:r>
    </w:p>
    <w:p>
      <w:pPr>
        <w:spacing w:line="24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（正本 / 副本/电子响应文件）</w:t>
      </w:r>
    </w:p>
    <w:tbl>
      <w:tblPr>
        <w:tblStyle w:val="36"/>
        <w:tblW w:w="7719" w:type="dxa"/>
        <w:jc w:val="center"/>
        <w:tblLayout w:type="fixed"/>
        <w:tblCellMar>
          <w:top w:w="0" w:type="dxa"/>
          <w:left w:w="108" w:type="dxa"/>
          <w:bottom w:w="0" w:type="dxa"/>
          <w:right w:w="108" w:type="dxa"/>
        </w:tblCellMar>
      </w:tblPr>
      <w:tblGrid>
        <w:gridCol w:w="1590"/>
        <w:gridCol w:w="2221"/>
        <w:gridCol w:w="1350"/>
        <w:gridCol w:w="2558"/>
      </w:tblGrid>
      <w:tr>
        <w:tblPrEx>
          <w:tblCellMar>
            <w:top w:w="0" w:type="dxa"/>
            <w:left w:w="108" w:type="dxa"/>
            <w:bottom w:w="0" w:type="dxa"/>
            <w:right w:w="108" w:type="dxa"/>
          </w:tblCellMar>
        </w:tblPrEx>
        <w:trPr>
          <w:trHeight w:val="404" w:hRule="atLeast"/>
          <w:jc w:val="center"/>
        </w:trPr>
        <w:tc>
          <w:tcPr>
            <w:tcW w:w="1590" w:type="dxa"/>
            <w:vAlign w:val="bottom"/>
          </w:tcPr>
          <w:p>
            <w:pPr>
              <w:spacing w:before="0" w:beforeAutospacing="0" w:after="0" w:afterAutospacing="0" w:line="240" w:lineRule="auto"/>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6129" w:type="dxa"/>
            <w:gridSpan w:val="3"/>
            <w:tcBorders>
              <w:bottom w:val="single" w:color="000000" w:sz="4" w:space="0"/>
            </w:tcBorders>
            <w:vAlign w:val="bottom"/>
          </w:tcPr>
          <w:p>
            <w:pPr>
              <w:spacing w:before="0" w:beforeAutospacing="0" w:after="0" w:afterAutospacing="0" w:line="240" w:lineRule="auto"/>
              <w:jc w:val="left"/>
              <w:rPr>
                <w:rFonts w:asciiTheme="minorEastAsia" w:hAnsiTheme="minorEastAsia" w:eastAsiaTheme="minorEastAsia" w:cstheme="minorEastAsia"/>
                <w:sz w:val="24"/>
              </w:rPr>
            </w:pPr>
          </w:p>
        </w:tc>
      </w:tr>
      <w:tr>
        <w:tblPrEx>
          <w:tblCellMar>
            <w:top w:w="0" w:type="dxa"/>
            <w:left w:w="108" w:type="dxa"/>
            <w:bottom w:w="0" w:type="dxa"/>
            <w:right w:w="108" w:type="dxa"/>
          </w:tblCellMar>
        </w:tblPrEx>
        <w:trPr>
          <w:trHeight w:val="417" w:hRule="atLeast"/>
          <w:jc w:val="center"/>
        </w:trPr>
        <w:tc>
          <w:tcPr>
            <w:tcW w:w="1590" w:type="dxa"/>
            <w:vAlign w:val="bottom"/>
          </w:tcPr>
          <w:p>
            <w:pPr>
              <w:spacing w:before="0" w:beforeAutospacing="0" w:after="0" w:afterAutospacing="0" w:line="240" w:lineRule="auto"/>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品   目：</w:t>
            </w:r>
          </w:p>
        </w:tc>
        <w:tc>
          <w:tcPr>
            <w:tcW w:w="6129" w:type="dxa"/>
            <w:gridSpan w:val="3"/>
            <w:tcBorders>
              <w:top w:val="single" w:color="000000" w:sz="4" w:space="0"/>
              <w:bottom w:val="single" w:color="000000" w:sz="4" w:space="0"/>
            </w:tcBorders>
            <w:vAlign w:val="bottom"/>
          </w:tcPr>
          <w:p>
            <w:pPr>
              <w:spacing w:before="0" w:beforeAutospacing="0" w:after="0" w:afterAutospacing="0" w:line="240" w:lineRule="auto"/>
              <w:jc w:val="left"/>
              <w:rPr>
                <w:rFonts w:asciiTheme="minorEastAsia" w:hAnsiTheme="minorEastAsia" w:eastAsiaTheme="minorEastAsia" w:cstheme="minorEastAsia"/>
                <w:sz w:val="24"/>
              </w:rPr>
            </w:pPr>
          </w:p>
        </w:tc>
      </w:tr>
      <w:tr>
        <w:tblPrEx>
          <w:tblCellMar>
            <w:top w:w="0" w:type="dxa"/>
            <w:left w:w="108" w:type="dxa"/>
            <w:bottom w:w="0" w:type="dxa"/>
            <w:right w:w="108" w:type="dxa"/>
          </w:tblCellMar>
        </w:tblPrEx>
        <w:trPr>
          <w:trHeight w:val="417" w:hRule="atLeast"/>
          <w:jc w:val="center"/>
        </w:trPr>
        <w:tc>
          <w:tcPr>
            <w:tcW w:w="1590" w:type="dxa"/>
            <w:vAlign w:val="bottom"/>
          </w:tcPr>
          <w:p>
            <w:pPr>
              <w:spacing w:before="0" w:beforeAutospacing="0" w:after="0" w:afterAutospacing="0" w:line="240" w:lineRule="auto"/>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采购方式：</w:t>
            </w:r>
          </w:p>
        </w:tc>
        <w:tc>
          <w:tcPr>
            <w:tcW w:w="6129" w:type="dxa"/>
            <w:gridSpan w:val="3"/>
            <w:tcBorders>
              <w:top w:val="single" w:color="000000" w:sz="4" w:space="0"/>
              <w:bottom w:val="single" w:color="000000" w:sz="4" w:space="0"/>
            </w:tcBorders>
            <w:vAlign w:val="bottom"/>
          </w:tcPr>
          <w:p>
            <w:pPr>
              <w:spacing w:before="0" w:beforeAutospacing="0" w:after="0" w:afterAutospacing="0" w:line="240" w:lineRule="auto"/>
              <w:jc w:val="left"/>
              <w:rPr>
                <w:rFonts w:asciiTheme="minorEastAsia" w:hAnsiTheme="minorEastAsia" w:eastAsiaTheme="minorEastAsia" w:cstheme="minorEastAsia"/>
                <w:sz w:val="24"/>
              </w:rPr>
            </w:pPr>
          </w:p>
        </w:tc>
      </w:tr>
      <w:tr>
        <w:tblPrEx>
          <w:tblCellMar>
            <w:top w:w="0" w:type="dxa"/>
            <w:left w:w="108" w:type="dxa"/>
            <w:bottom w:w="0" w:type="dxa"/>
            <w:right w:w="108" w:type="dxa"/>
          </w:tblCellMar>
        </w:tblPrEx>
        <w:trPr>
          <w:trHeight w:val="417" w:hRule="atLeast"/>
          <w:jc w:val="center"/>
        </w:trPr>
        <w:tc>
          <w:tcPr>
            <w:tcW w:w="1590" w:type="dxa"/>
            <w:vAlign w:val="bottom"/>
          </w:tcPr>
          <w:p>
            <w:pPr>
              <w:spacing w:before="0" w:beforeAutospacing="0" w:after="0" w:afterAutospacing="0" w:line="240" w:lineRule="auto"/>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tc>
        <w:tc>
          <w:tcPr>
            <w:tcW w:w="6129" w:type="dxa"/>
            <w:gridSpan w:val="3"/>
            <w:tcBorders>
              <w:top w:val="single" w:color="000000" w:sz="4" w:space="0"/>
              <w:bottom w:val="single" w:color="000000" w:sz="4" w:space="0"/>
            </w:tcBorders>
            <w:vAlign w:val="bottom"/>
          </w:tcPr>
          <w:p>
            <w:pPr>
              <w:spacing w:before="0" w:beforeAutospacing="0" w:after="0" w:afterAutospacing="0" w:line="240" w:lineRule="auto"/>
              <w:jc w:val="left"/>
              <w:rPr>
                <w:rFonts w:asciiTheme="minorEastAsia" w:hAnsiTheme="minorEastAsia" w:eastAsiaTheme="minorEastAsia" w:cstheme="minorEastAsia"/>
                <w:sz w:val="24"/>
              </w:rPr>
            </w:pPr>
          </w:p>
        </w:tc>
      </w:tr>
      <w:tr>
        <w:tblPrEx>
          <w:tblCellMar>
            <w:top w:w="0" w:type="dxa"/>
            <w:left w:w="108" w:type="dxa"/>
            <w:bottom w:w="0" w:type="dxa"/>
            <w:right w:w="108" w:type="dxa"/>
          </w:tblCellMar>
        </w:tblPrEx>
        <w:trPr>
          <w:trHeight w:val="417" w:hRule="atLeast"/>
          <w:jc w:val="center"/>
        </w:trPr>
        <w:tc>
          <w:tcPr>
            <w:tcW w:w="1590" w:type="dxa"/>
            <w:vAlign w:val="bottom"/>
          </w:tcPr>
          <w:p>
            <w:pPr>
              <w:spacing w:before="0" w:beforeAutospacing="0" w:after="0" w:afterAutospacing="0" w:line="240" w:lineRule="auto"/>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w:t>
            </w:r>
          </w:p>
        </w:tc>
        <w:tc>
          <w:tcPr>
            <w:tcW w:w="6129" w:type="dxa"/>
            <w:gridSpan w:val="3"/>
            <w:tcBorders>
              <w:top w:val="single" w:color="000000" w:sz="4" w:space="0"/>
              <w:bottom w:val="single" w:color="000000" w:sz="4" w:space="0"/>
            </w:tcBorders>
            <w:vAlign w:val="bottom"/>
          </w:tcPr>
          <w:p>
            <w:pPr>
              <w:spacing w:before="0" w:beforeAutospacing="0" w:after="0" w:afterAutospacing="0" w:line="240" w:lineRule="auto"/>
              <w:jc w:val="left"/>
              <w:rPr>
                <w:rFonts w:asciiTheme="minorEastAsia" w:hAnsiTheme="minorEastAsia" w:eastAsiaTheme="minorEastAsia" w:cstheme="minorEastAsia"/>
                <w:sz w:val="24"/>
              </w:rPr>
            </w:pPr>
          </w:p>
        </w:tc>
      </w:tr>
      <w:tr>
        <w:tblPrEx>
          <w:tblCellMar>
            <w:top w:w="0" w:type="dxa"/>
            <w:left w:w="108" w:type="dxa"/>
            <w:bottom w:w="0" w:type="dxa"/>
            <w:right w:w="108" w:type="dxa"/>
          </w:tblCellMar>
        </w:tblPrEx>
        <w:trPr>
          <w:trHeight w:val="417" w:hRule="atLeast"/>
          <w:jc w:val="center"/>
        </w:trPr>
        <w:tc>
          <w:tcPr>
            <w:tcW w:w="1590" w:type="dxa"/>
            <w:vAlign w:val="bottom"/>
          </w:tcPr>
          <w:p>
            <w:pPr>
              <w:spacing w:before="0" w:beforeAutospacing="0" w:after="0" w:afterAutospacing="0" w:line="240" w:lineRule="auto"/>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详细地址：</w:t>
            </w:r>
          </w:p>
        </w:tc>
        <w:tc>
          <w:tcPr>
            <w:tcW w:w="6129" w:type="dxa"/>
            <w:gridSpan w:val="3"/>
            <w:tcBorders>
              <w:top w:val="single" w:color="000000" w:sz="4" w:space="0"/>
              <w:bottom w:val="single" w:color="000000" w:sz="4" w:space="0"/>
            </w:tcBorders>
            <w:vAlign w:val="bottom"/>
          </w:tcPr>
          <w:p>
            <w:pPr>
              <w:spacing w:before="0" w:beforeAutospacing="0" w:after="0" w:afterAutospacing="0" w:line="240" w:lineRule="auto"/>
              <w:jc w:val="left"/>
              <w:rPr>
                <w:rFonts w:asciiTheme="minorEastAsia" w:hAnsiTheme="minorEastAsia" w:eastAsiaTheme="minorEastAsia" w:cstheme="minorEastAsia"/>
                <w:sz w:val="24"/>
              </w:rPr>
            </w:pPr>
          </w:p>
        </w:tc>
      </w:tr>
      <w:tr>
        <w:tblPrEx>
          <w:tblCellMar>
            <w:top w:w="0" w:type="dxa"/>
            <w:left w:w="108" w:type="dxa"/>
            <w:bottom w:w="0" w:type="dxa"/>
            <w:right w:w="108" w:type="dxa"/>
          </w:tblCellMar>
        </w:tblPrEx>
        <w:trPr>
          <w:trHeight w:val="430" w:hRule="atLeast"/>
          <w:jc w:val="center"/>
        </w:trPr>
        <w:tc>
          <w:tcPr>
            <w:tcW w:w="1590" w:type="dxa"/>
            <w:vAlign w:val="bottom"/>
          </w:tcPr>
          <w:p>
            <w:pPr>
              <w:spacing w:before="0" w:beforeAutospacing="0" w:after="0" w:afterAutospacing="0" w:line="240" w:lineRule="auto"/>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p>
        </w:tc>
        <w:tc>
          <w:tcPr>
            <w:tcW w:w="2221" w:type="dxa"/>
            <w:tcBorders>
              <w:top w:val="single" w:color="000000" w:sz="4" w:space="0"/>
              <w:bottom w:val="single" w:color="000000" w:sz="4" w:space="0"/>
            </w:tcBorders>
            <w:vAlign w:val="bottom"/>
          </w:tcPr>
          <w:p>
            <w:pPr>
              <w:spacing w:before="0" w:beforeAutospacing="0" w:after="0" w:afterAutospacing="0" w:line="240" w:lineRule="auto"/>
              <w:jc w:val="center"/>
              <w:rPr>
                <w:rFonts w:asciiTheme="minorEastAsia" w:hAnsiTheme="minorEastAsia" w:eastAsiaTheme="minorEastAsia" w:cstheme="minorEastAsia"/>
                <w:sz w:val="24"/>
              </w:rPr>
            </w:pPr>
          </w:p>
        </w:tc>
        <w:tc>
          <w:tcPr>
            <w:tcW w:w="1350" w:type="dxa"/>
            <w:tcBorders>
              <w:top w:val="single" w:color="000000" w:sz="4" w:space="0"/>
            </w:tcBorders>
            <w:vAlign w:val="bottom"/>
          </w:tcPr>
          <w:p>
            <w:pPr>
              <w:spacing w:before="0" w:beforeAutospacing="0" w:after="0" w:afterAutospacing="0" w:line="24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  话：</w:t>
            </w:r>
          </w:p>
        </w:tc>
        <w:tc>
          <w:tcPr>
            <w:tcW w:w="2558" w:type="dxa"/>
            <w:tcBorders>
              <w:top w:val="single" w:color="000000" w:sz="4" w:space="0"/>
              <w:bottom w:val="single" w:color="000000" w:sz="4" w:space="0"/>
            </w:tcBorders>
            <w:vAlign w:val="bottom"/>
          </w:tcPr>
          <w:p>
            <w:pPr>
              <w:spacing w:before="0" w:beforeAutospacing="0" w:after="0" w:afterAutospacing="0" w:line="240" w:lineRule="auto"/>
              <w:jc w:val="center"/>
              <w:rPr>
                <w:rFonts w:asciiTheme="minorEastAsia" w:hAnsiTheme="minorEastAsia" w:eastAsiaTheme="minorEastAsia" w:cstheme="minorEastAsia"/>
                <w:sz w:val="24"/>
              </w:rPr>
            </w:pPr>
          </w:p>
        </w:tc>
      </w:tr>
    </w:tbl>
    <w:p>
      <w:pPr>
        <w:spacing w:line="240" w:lineRule="auto"/>
        <w:ind w:firstLine="4200" w:firstLineChars="1750"/>
        <w:rPr>
          <w:rFonts w:asciiTheme="minorEastAsia" w:hAnsiTheme="minorEastAsia" w:eastAsiaTheme="minorEastAsia" w:cstheme="minorEastAsia"/>
          <w:sz w:val="24"/>
        </w:rPr>
        <w:sectPr>
          <w:headerReference r:id="rId11" w:type="first"/>
          <w:headerReference r:id="rId9" w:type="default"/>
          <w:footerReference r:id="rId12" w:type="default"/>
          <w:headerReference r:id="rId10" w:type="even"/>
          <w:pgSz w:w="11907" w:h="16840"/>
          <w:pgMar w:top="1531" w:right="1418" w:bottom="1361" w:left="1418" w:header="720" w:footer="720" w:gutter="0"/>
          <w:cols w:space="425" w:num="1"/>
          <w:docGrid w:linePitch="285" w:charSpace="0"/>
        </w:sectPr>
      </w:pPr>
      <w:r>
        <w:rPr>
          <w:rFonts w:hint="eastAsia" w:asciiTheme="minorEastAsia" w:hAnsiTheme="minorEastAsia" w:eastAsiaTheme="minorEastAsia" w:cstheme="minorEastAsia"/>
          <w:sz w:val="24"/>
        </w:rPr>
        <w:t>2022年   月</w:t>
      </w:r>
    </w:p>
    <w:p>
      <w:pPr>
        <w:pStyle w:val="13"/>
        <w:ind w:firstLine="0" w:firstLineChars="0"/>
        <w:jc w:val="center"/>
        <w:outlineLvl w:val="1"/>
        <w:rPr>
          <w:rFonts w:asciiTheme="minorEastAsia" w:hAnsiTheme="minorEastAsia" w:eastAsiaTheme="minorEastAsia"/>
          <w:bCs/>
          <w:sz w:val="24"/>
        </w:rPr>
      </w:pPr>
      <w:bookmarkStart w:id="190" w:name="_Toc13434"/>
      <w:bookmarkStart w:id="191" w:name="_Toc175644396"/>
      <w:bookmarkStart w:id="192" w:name="_Toc101771381"/>
      <w:bookmarkStart w:id="193" w:name="_Toc41884710"/>
      <w:bookmarkStart w:id="194" w:name="_Toc50276167"/>
      <w:bookmarkStart w:id="195" w:name="_Toc42394519"/>
      <w:bookmarkStart w:id="196" w:name="_Toc101775134"/>
      <w:bookmarkStart w:id="197" w:name="_Toc42394520"/>
      <w:bookmarkStart w:id="198" w:name="_Toc50276168"/>
      <w:bookmarkStart w:id="199" w:name="_Toc41723940"/>
      <w:bookmarkStart w:id="200" w:name="_Toc98579071"/>
      <w:bookmarkStart w:id="201" w:name="_Toc42394676"/>
      <w:bookmarkStart w:id="202" w:name="_Toc42313175"/>
      <w:bookmarkStart w:id="203" w:name="_Toc41723939"/>
      <w:bookmarkStart w:id="204" w:name="_Toc101951272"/>
      <w:bookmarkStart w:id="205" w:name="_Toc98579013"/>
      <w:bookmarkStart w:id="206" w:name="_Toc41884709"/>
      <w:bookmarkStart w:id="207" w:name="_Toc98579612"/>
      <w:bookmarkStart w:id="208" w:name="_Toc38947809"/>
      <w:bookmarkStart w:id="209" w:name="_Toc40762377"/>
      <w:bookmarkStart w:id="210" w:name="_Toc40762378"/>
      <w:bookmarkStart w:id="211" w:name="_Toc38947810"/>
      <w:bookmarkStart w:id="212" w:name="_Toc98580295"/>
      <w:bookmarkStart w:id="213" w:name="_Toc42313176"/>
      <w:bookmarkStart w:id="214" w:name="_Toc175106977"/>
      <w:bookmarkStart w:id="215" w:name="_Toc101843134"/>
      <w:bookmarkStart w:id="216" w:name="_Toc42394675"/>
      <w:r>
        <w:rPr>
          <w:rFonts w:hint="eastAsia" w:asciiTheme="minorEastAsia" w:hAnsiTheme="minorEastAsia" w:eastAsiaTheme="minorEastAsia"/>
          <w:bCs/>
          <w:sz w:val="28"/>
        </w:rPr>
        <w:t>资格自查表</w:t>
      </w:r>
      <w:bookmarkEnd w:id="190"/>
    </w:p>
    <w:tbl>
      <w:tblPr>
        <w:tblStyle w:val="36"/>
        <w:tblW w:w="9287" w:type="dxa"/>
        <w:tblInd w:w="0" w:type="dxa"/>
        <w:tblLayout w:type="fixed"/>
        <w:tblCellMar>
          <w:top w:w="0" w:type="dxa"/>
          <w:left w:w="108" w:type="dxa"/>
          <w:bottom w:w="0" w:type="dxa"/>
          <w:right w:w="108" w:type="dxa"/>
        </w:tblCellMar>
      </w:tblPr>
      <w:tblGrid>
        <w:gridCol w:w="636"/>
        <w:gridCol w:w="1676"/>
        <w:gridCol w:w="5776"/>
        <w:gridCol w:w="1199"/>
      </w:tblGrid>
      <w:tr>
        <w:tblPrEx>
          <w:tblCellMar>
            <w:top w:w="0" w:type="dxa"/>
            <w:left w:w="108" w:type="dxa"/>
            <w:bottom w:w="0" w:type="dxa"/>
            <w:right w:w="108" w:type="dxa"/>
          </w:tblCellMar>
        </w:tblPrEx>
        <w:trPr>
          <w:trHeight w:val="550"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序号</w:t>
            </w:r>
          </w:p>
        </w:tc>
        <w:tc>
          <w:tcPr>
            <w:tcW w:w="1676"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资格要求</w:t>
            </w:r>
          </w:p>
        </w:tc>
        <w:tc>
          <w:tcPr>
            <w:tcW w:w="5776"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评审内容</w:t>
            </w:r>
          </w:p>
        </w:tc>
        <w:tc>
          <w:tcPr>
            <w:tcW w:w="1199"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对应页码</w:t>
            </w:r>
          </w:p>
        </w:tc>
      </w:tr>
      <w:tr>
        <w:tblPrEx>
          <w:tblCellMar>
            <w:top w:w="0" w:type="dxa"/>
            <w:left w:w="108" w:type="dxa"/>
            <w:bottom w:w="0" w:type="dxa"/>
            <w:right w:w="108" w:type="dxa"/>
          </w:tblCellMar>
        </w:tblPrEx>
        <w:trPr>
          <w:trHeight w:val="1400" w:hRule="atLeast"/>
        </w:trPr>
        <w:tc>
          <w:tcPr>
            <w:tcW w:w="636"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167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具有独立承担民事责任的能力</w:t>
            </w:r>
          </w:p>
        </w:tc>
        <w:tc>
          <w:tcPr>
            <w:tcW w:w="577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ascii="宋体" w:hAnsi="宋体" w:cs="宋体"/>
                <w:color w:val="000000"/>
                <w:kern w:val="0"/>
                <w:szCs w:val="21"/>
              </w:rPr>
            </w:pPr>
            <w:r>
              <w:rPr>
                <w:rFonts w:hint="eastAsia" w:ascii="宋体" w:hAnsi="宋体" w:cs="宋体"/>
                <w:color w:val="000000"/>
                <w:kern w:val="0"/>
                <w:szCs w:val="21"/>
              </w:rPr>
              <w:t>（1）投标人是企业（包括合伙企业），提供有效 的营业执照。</w:t>
            </w:r>
            <w:r>
              <w:rPr>
                <w:rFonts w:hint="eastAsia" w:ascii="宋体" w:hAnsi="宋体" w:cs="宋体"/>
                <w:color w:val="000000"/>
                <w:kern w:val="0"/>
                <w:szCs w:val="21"/>
              </w:rPr>
              <w:br w:type="textWrapping"/>
            </w:r>
            <w:r>
              <w:rPr>
                <w:rFonts w:hint="eastAsia" w:ascii="宋体" w:hAnsi="宋体" w:cs="宋体"/>
                <w:color w:val="000000"/>
                <w:kern w:val="0"/>
                <w:szCs w:val="21"/>
              </w:rPr>
              <w:t>（2）投标人是事业单位，提供有效的事业单位法人证书。</w:t>
            </w:r>
            <w:r>
              <w:rPr>
                <w:rFonts w:hint="eastAsia" w:ascii="宋体" w:hAnsi="宋体" w:cs="宋体"/>
                <w:color w:val="000000"/>
                <w:kern w:val="0"/>
                <w:szCs w:val="21"/>
              </w:rPr>
              <w:br w:type="textWrapping"/>
            </w:r>
            <w:r>
              <w:rPr>
                <w:rFonts w:hint="eastAsia" w:ascii="宋体" w:hAnsi="宋体" w:cs="宋体"/>
                <w:color w:val="000000"/>
                <w:kern w:val="0"/>
                <w:szCs w:val="21"/>
              </w:rPr>
              <w:t>（3）投标人是非企业专业服务机构的，提供有效的执业许可证等证明文件。</w:t>
            </w:r>
            <w:r>
              <w:rPr>
                <w:rFonts w:hint="eastAsia" w:ascii="宋体" w:hAnsi="宋体" w:cs="宋体"/>
                <w:color w:val="000000"/>
                <w:kern w:val="0"/>
                <w:szCs w:val="21"/>
              </w:rPr>
              <w:br w:type="textWrapping"/>
            </w:r>
            <w:r>
              <w:rPr>
                <w:rFonts w:hint="eastAsia" w:ascii="宋体" w:hAnsi="宋体" w:cs="宋体"/>
                <w:color w:val="000000"/>
                <w:kern w:val="0"/>
                <w:szCs w:val="21"/>
              </w:rPr>
              <w:t>（4）投标人是个体工商户，提供有效的个体工商户营业执照。</w:t>
            </w:r>
            <w:r>
              <w:rPr>
                <w:rFonts w:hint="eastAsia" w:ascii="宋体" w:hAnsi="宋体" w:cs="宋体"/>
                <w:color w:val="000000"/>
                <w:kern w:val="0"/>
                <w:szCs w:val="21"/>
              </w:rPr>
              <w:br w:type="textWrapping"/>
            </w:r>
            <w:r>
              <w:rPr>
                <w:rFonts w:hint="eastAsia" w:ascii="宋体" w:hAnsi="宋体" w:cs="宋体"/>
                <w:color w:val="000000"/>
                <w:kern w:val="0"/>
                <w:szCs w:val="21"/>
              </w:rPr>
              <w:t>（5）投标人是自然人，提供有效的自然人身份证明。</w:t>
            </w:r>
          </w:p>
        </w:tc>
        <w:tc>
          <w:tcPr>
            <w:tcW w:w="1199"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10" w:hRule="atLeast"/>
        </w:trPr>
        <w:tc>
          <w:tcPr>
            <w:tcW w:w="636"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167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具有良好的商业信誉和健全的财务会计制度</w:t>
            </w:r>
          </w:p>
        </w:tc>
        <w:tc>
          <w:tcPr>
            <w:tcW w:w="577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ascii="宋体" w:hAnsi="宋体" w:cs="宋体"/>
                <w:color w:val="000000"/>
                <w:kern w:val="0"/>
                <w:szCs w:val="21"/>
              </w:rPr>
            </w:pPr>
            <w:r>
              <w:rPr>
                <w:rFonts w:hint="eastAsia" w:ascii="宋体" w:hAnsi="宋体" w:cs="宋体"/>
                <w:color w:val="000000"/>
                <w:kern w:val="0"/>
                <w:szCs w:val="21"/>
              </w:rPr>
              <w:t>（1）投标人是法人且成立一年或以上的,提供上一年度经审计的财务报告（上市公司或大型企业上一年度经审计的财务报告未完成的，提供投标截止日前6六个月中任意1个月的财务报告，财务报告至少应包含：资产负债表、利润表、现金流量表及附注等）；成立未满一年的，提供成立之日后的财务报告。财务报告至少应包含：资产负债表、利润表、现金流量表及附注等。（复印件加盖公章）。</w:t>
            </w:r>
            <w:r>
              <w:rPr>
                <w:rFonts w:hint="eastAsia" w:ascii="宋体" w:hAnsi="宋体" w:cs="宋体"/>
                <w:color w:val="000000"/>
                <w:kern w:val="0"/>
                <w:szCs w:val="21"/>
              </w:rPr>
              <w:br w:type="textWrapping"/>
            </w:r>
            <w:r>
              <w:rPr>
                <w:rFonts w:hint="eastAsia" w:ascii="宋体" w:hAnsi="宋体" w:cs="宋体"/>
                <w:color w:val="000000"/>
                <w:kern w:val="0"/>
                <w:szCs w:val="21"/>
              </w:rPr>
              <w:t>（2）无法按第（1）条提供财务报告的投标人可 以提供银行出具的资信证明。</w:t>
            </w:r>
            <w:r>
              <w:rPr>
                <w:rFonts w:hint="eastAsia" w:ascii="宋体" w:hAnsi="宋体" w:cs="宋体"/>
                <w:color w:val="000000"/>
                <w:kern w:val="0"/>
                <w:szCs w:val="21"/>
              </w:rPr>
              <w:br w:type="textWrapping"/>
            </w:r>
            <w:r>
              <w:rPr>
                <w:rFonts w:hint="eastAsia" w:ascii="宋体" w:hAnsi="宋体" w:cs="宋体"/>
                <w:color w:val="000000"/>
                <w:kern w:val="0"/>
                <w:szCs w:val="21"/>
              </w:rPr>
              <w:t>（3）投标人也可以提供财政部门认可的政府采购专业担保机构出具的投标担保函（原件），代替财务状况报告。</w:t>
            </w:r>
          </w:p>
        </w:tc>
        <w:tc>
          <w:tcPr>
            <w:tcW w:w="1199"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740" w:hRule="atLeast"/>
        </w:trPr>
        <w:tc>
          <w:tcPr>
            <w:tcW w:w="636"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167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具有履行合同所必需的设备和专业技术能力</w:t>
            </w:r>
          </w:p>
        </w:tc>
        <w:tc>
          <w:tcPr>
            <w:tcW w:w="577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ascii="宋体" w:hAnsi="宋体" w:cs="宋体"/>
                <w:color w:val="000000"/>
                <w:kern w:val="0"/>
                <w:szCs w:val="21"/>
              </w:rPr>
            </w:pPr>
            <w:r>
              <w:rPr>
                <w:rFonts w:hint="eastAsia" w:ascii="宋体" w:hAnsi="宋体" w:cs="宋体"/>
                <w:color w:val="000000"/>
                <w:kern w:val="0"/>
                <w:szCs w:val="21"/>
              </w:rPr>
              <w:t>提供具备足够数量的设施设备及技术人员的证明材料或承诺。</w:t>
            </w:r>
          </w:p>
        </w:tc>
        <w:tc>
          <w:tcPr>
            <w:tcW w:w="1199"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170" w:hRule="atLeast"/>
        </w:trPr>
        <w:tc>
          <w:tcPr>
            <w:tcW w:w="636"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167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有依法缴纳税收和社会保障资金的良好记录</w:t>
            </w:r>
          </w:p>
        </w:tc>
        <w:tc>
          <w:tcPr>
            <w:tcW w:w="577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ascii="宋体" w:hAnsi="宋体" w:cs="宋体"/>
                <w:color w:val="000000"/>
                <w:kern w:val="0"/>
                <w:szCs w:val="21"/>
              </w:rPr>
            </w:pPr>
            <w:r>
              <w:rPr>
                <w:rFonts w:hint="eastAsia" w:ascii="宋体" w:hAnsi="宋体" w:cs="宋体"/>
                <w:color w:val="000000"/>
                <w:kern w:val="0"/>
                <w:szCs w:val="21"/>
              </w:rPr>
              <w:t>有依法缴纳税收和社会保障资金的良好记录，由投标人对以下内容提供书面承诺及声明，或提供相应证明材料。</w:t>
            </w:r>
            <w:r>
              <w:rPr>
                <w:rFonts w:hint="eastAsia" w:ascii="宋体" w:hAnsi="宋体" w:cs="宋体"/>
                <w:color w:val="000000"/>
                <w:kern w:val="0"/>
                <w:szCs w:val="21"/>
              </w:rPr>
              <w:br w:type="textWrapping"/>
            </w:r>
            <w:r>
              <w:rPr>
                <w:rFonts w:hint="eastAsia" w:ascii="宋体" w:hAnsi="宋体" w:cs="宋体"/>
                <w:color w:val="000000"/>
                <w:kern w:val="0"/>
                <w:szCs w:val="21"/>
              </w:rPr>
              <w:t>（1） 投标人依法交纳税收的证明材料：本项目公告发布时间前 6 个月内（至少提供 1 个月）交纳增值税、企业所得税的凭据（完税证、缴款书、印花税票、银行代扣（代缴）转账凭证等均可）；</w:t>
            </w:r>
            <w:r>
              <w:rPr>
                <w:rFonts w:hint="eastAsia" w:ascii="宋体" w:hAnsi="宋体" w:cs="宋体"/>
                <w:color w:val="000000"/>
                <w:kern w:val="0"/>
                <w:szCs w:val="21"/>
              </w:rPr>
              <w:br w:type="textWrapping"/>
            </w:r>
            <w:r>
              <w:rPr>
                <w:rFonts w:hint="eastAsia" w:ascii="宋体" w:hAnsi="宋体" w:cs="宋体"/>
                <w:color w:val="000000"/>
                <w:kern w:val="0"/>
                <w:szCs w:val="21"/>
              </w:rPr>
              <w:t>（2） 投标人依法交纳社会保障资金的证明材料： 本项目公告发布时间前6 个月内（至少提供1 个月） 交纳社会保险的凭据（专用收据或社会保险交纳清单）；</w:t>
            </w:r>
            <w:r>
              <w:rPr>
                <w:rFonts w:hint="eastAsia" w:ascii="宋体" w:hAnsi="宋体" w:cs="宋体"/>
                <w:color w:val="000000"/>
                <w:kern w:val="0"/>
                <w:szCs w:val="21"/>
              </w:rPr>
              <w:br w:type="textWrapping"/>
            </w:r>
            <w:r>
              <w:rPr>
                <w:rFonts w:hint="eastAsia" w:ascii="宋体" w:hAnsi="宋体" w:cs="宋体"/>
                <w:color w:val="000000"/>
                <w:kern w:val="0"/>
                <w:szCs w:val="21"/>
              </w:rPr>
              <w:t>（3） 投标人为其他组织或自然人的，也需要按此项规定提供交纳税收的凭据和交纳社会保险的凭据；</w:t>
            </w:r>
            <w:r>
              <w:rPr>
                <w:rFonts w:hint="eastAsia" w:ascii="宋体" w:hAnsi="宋体" w:cs="宋体"/>
                <w:color w:val="000000"/>
                <w:kern w:val="0"/>
                <w:szCs w:val="21"/>
              </w:rPr>
              <w:br w:type="textWrapping"/>
            </w:r>
            <w:r>
              <w:rPr>
                <w:rFonts w:hint="eastAsia" w:ascii="宋体" w:hAnsi="宋体" w:cs="宋体"/>
                <w:color w:val="000000"/>
                <w:kern w:val="0"/>
                <w:szCs w:val="21"/>
              </w:rPr>
              <w:t>（4） 依法免税或不需要交纳社会保障资金的投标人，应提供相应文件证明其依法免税或不需要交纳社会保障资金。</w:t>
            </w:r>
          </w:p>
        </w:tc>
        <w:tc>
          <w:tcPr>
            <w:tcW w:w="1199"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1440" w:hRule="atLeast"/>
        </w:trPr>
        <w:tc>
          <w:tcPr>
            <w:tcW w:w="636"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5</w:t>
            </w:r>
          </w:p>
        </w:tc>
        <w:tc>
          <w:tcPr>
            <w:tcW w:w="167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参加政府采购活动前三年内，在经营活动中没有重大违法记录</w:t>
            </w:r>
          </w:p>
        </w:tc>
        <w:tc>
          <w:tcPr>
            <w:tcW w:w="577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按照招标文件投标文件格式附件的格式要求，根据相关法规规定，提交书面声明。</w:t>
            </w:r>
          </w:p>
        </w:tc>
        <w:tc>
          <w:tcPr>
            <w:tcW w:w="1199"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890" w:hRule="atLeast"/>
        </w:trPr>
        <w:tc>
          <w:tcPr>
            <w:tcW w:w="636"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167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法律、行政法规规定的其他条件</w:t>
            </w:r>
          </w:p>
        </w:tc>
        <w:tc>
          <w:tcPr>
            <w:tcW w:w="577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如国家对生产和销售相关产品或提供相关服务有专门法律、行政法规规定的，须提供相关许可的证明材料。</w:t>
            </w:r>
          </w:p>
        </w:tc>
        <w:tc>
          <w:tcPr>
            <w:tcW w:w="1199"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290" w:hRule="atLeast"/>
        </w:trPr>
        <w:tc>
          <w:tcPr>
            <w:tcW w:w="636"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7</w:t>
            </w:r>
          </w:p>
        </w:tc>
        <w:tc>
          <w:tcPr>
            <w:tcW w:w="167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未被列入失信被执行人、重大税收违法案件当事人名单，未被列入政府采购严重违法失信行为</w:t>
            </w:r>
            <w:r>
              <w:rPr>
                <w:rFonts w:hint="eastAsia" w:ascii="宋体" w:hAnsi="宋体" w:cs="宋体"/>
                <w:color w:val="000000"/>
                <w:kern w:val="0"/>
                <w:szCs w:val="21"/>
              </w:rPr>
              <w:br w:type="textWrapping"/>
            </w:r>
            <w:r>
              <w:rPr>
                <w:rFonts w:hint="eastAsia" w:ascii="宋体" w:hAnsi="宋体" w:cs="宋体"/>
                <w:color w:val="000000"/>
                <w:kern w:val="0"/>
                <w:szCs w:val="21"/>
              </w:rPr>
              <w:t>记录名单</w:t>
            </w:r>
          </w:p>
        </w:tc>
        <w:tc>
          <w:tcPr>
            <w:tcW w:w="577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以投标截止当日，采购人或采购代理机构查询投标人在“信用中国”（www.creditchina.gov.cn）未被列入重大税收违法案件当事人名单、“中国执行信息公开网”（http://zxgk.court.gov.cn/）未被列入失信被执行人、“中国政府采购网”（www.ccgp.gov.cn）网站上未被列入政府采购严重违法失信行为记录名单；</w:t>
            </w:r>
          </w:p>
        </w:tc>
        <w:tc>
          <w:tcPr>
            <w:tcW w:w="1199"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690" w:hRule="atLeast"/>
        </w:trPr>
        <w:tc>
          <w:tcPr>
            <w:tcW w:w="636"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8</w:t>
            </w:r>
          </w:p>
        </w:tc>
        <w:tc>
          <w:tcPr>
            <w:tcW w:w="1676"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资质要求</w:t>
            </w:r>
          </w:p>
        </w:tc>
        <w:tc>
          <w:tcPr>
            <w:tcW w:w="5776"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left"/>
              <w:rPr>
                <w:rFonts w:hint="eastAsia" w:ascii="宋体" w:hAnsi="宋体" w:cs="宋体"/>
                <w:color w:val="000000"/>
                <w:kern w:val="0"/>
                <w:szCs w:val="21"/>
                <w:highlight w:val="yellow"/>
              </w:rPr>
            </w:pPr>
            <w:r>
              <w:rPr>
                <w:rFonts w:hint="eastAsia" w:ascii="宋体" w:hAnsi="宋体" w:cs="宋体"/>
                <w:color w:val="000000"/>
                <w:kern w:val="0"/>
                <w:szCs w:val="21"/>
                <w:highlight w:val="yellow"/>
              </w:rPr>
              <w:t>供应商须在《全国投资项目在线审批监管平台》备案，在平台“中介服务”的咨询单位名录中，且咨询专业包含建筑</w:t>
            </w:r>
            <w:r>
              <w:rPr>
                <w:rFonts w:hint="eastAsia" w:ascii="宋体" w:hAnsi="宋体" w:cs="宋体"/>
                <w:color w:val="000000"/>
                <w:kern w:val="0"/>
                <w:szCs w:val="21"/>
                <w:highlight w:val="yellow"/>
                <w:lang w:eastAsia="zh-CN"/>
              </w:rPr>
              <w:t>、市政公用工程</w:t>
            </w:r>
            <w:r>
              <w:rPr>
                <w:rFonts w:hint="eastAsia" w:ascii="宋体" w:hAnsi="宋体" w:cs="宋体"/>
                <w:color w:val="000000"/>
                <w:kern w:val="0"/>
                <w:szCs w:val="21"/>
                <w:highlight w:val="yellow"/>
              </w:rPr>
              <w:t>，服务范围包括项目咨询；</w:t>
            </w:r>
          </w:p>
          <w:p>
            <w:pPr>
              <w:widowControl/>
              <w:spacing w:before="0" w:beforeAutospacing="0" w:after="0" w:afterAutospacing="0" w:line="240" w:lineRule="auto"/>
              <w:jc w:val="left"/>
              <w:rPr>
                <w:rFonts w:ascii="宋体" w:hAnsi="宋体" w:cs="宋体"/>
                <w:color w:val="000000"/>
                <w:kern w:val="0"/>
                <w:szCs w:val="21"/>
                <w:highlight w:val="yellow"/>
              </w:rPr>
            </w:pPr>
            <w:r>
              <w:rPr>
                <w:rFonts w:hint="eastAsia" w:ascii="宋体" w:hAnsi="宋体" w:cs="宋体"/>
                <w:color w:val="000000"/>
                <w:kern w:val="0"/>
                <w:szCs w:val="21"/>
                <w:highlight w:val="yellow"/>
                <w:lang w:val="en-US" w:eastAsia="zh-CN"/>
              </w:rPr>
              <w:t>供应商委派的项目负责人具备高级工程师及以上职称或注册咨询师，各专业负责人具有中级工程师及以上职称或相应专业注册咨询师；</w:t>
            </w:r>
          </w:p>
        </w:tc>
        <w:tc>
          <w:tcPr>
            <w:tcW w:w="1199"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690" w:hRule="atLeast"/>
        </w:trPr>
        <w:tc>
          <w:tcPr>
            <w:tcW w:w="636"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9</w:t>
            </w:r>
          </w:p>
        </w:tc>
        <w:tc>
          <w:tcPr>
            <w:tcW w:w="1676"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投标保证金</w:t>
            </w:r>
          </w:p>
        </w:tc>
        <w:tc>
          <w:tcPr>
            <w:tcW w:w="5776"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保证金按招标文件要求递交</w:t>
            </w:r>
          </w:p>
        </w:tc>
        <w:tc>
          <w:tcPr>
            <w:tcW w:w="1199"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690" w:hRule="atLeast"/>
        </w:trPr>
        <w:tc>
          <w:tcPr>
            <w:tcW w:w="636"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10</w:t>
            </w:r>
          </w:p>
        </w:tc>
        <w:tc>
          <w:tcPr>
            <w:tcW w:w="1676"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法定代表人身份证明或法定代表人授权委托书</w:t>
            </w:r>
          </w:p>
        </w:tc>
        <w:tc>
          <w:tcPr>
            <w:tcW w:w="5776"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按要求提供法定代表人身份证明或法定代表人授权委托书；</w:t>
            </w:r>
          </w:p>
        </w:tc>
        <w:tc>
          <w:tcPr>
            <w:tcW w:w="1199"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　</w:t>
            </w:r>
          </w:p>
        </w:tc>
      </w:tr>
    </w:tbl>
    <w:p>
      <w:pPr>
        <w:widowControl/>
        <w:spacing w:before="0" w:beforeAutospacing="0" w:after="0" w:afterAutospacing="0"/>
        <w:jc w:val="left"/>
        <w:rPr>
          <w:rFonts w:ascii="宋体" w:hAnsi="宋体" w:cs="宋体"/>
          <w:color w:val="000000"/>
          <w:kern w:val="0"/>
          <w:szCs w:val="21"/>
        </w:rPr>
      </w:pPr>
      <w:r>
        <w:rPr>
          <w:rFonts w:hint="eastAsia" w:ascii="宋体" w:hAnsi="宋体" w:cs="宋体"/>
          <w:color w:val="000000"/>
          <w:kern w:val="0"/>
          <w:szCs w:val="21"/>
        </w:rPr>
        <w:t>投标人应按资格审查表提供相应资质证明文件。</w:t>
      </w:r>
    </w:p>
    <w:p>
      <w:pPr>
        <w:widowControl/>
        <w:spacing w:before="0" w:beforeAutospacing="0" w:after="0" w:afterAutospacing="0"/>
        <w:jc w:val="left"/>
        <w:rPr>
          <w:rFonts w:ascii="宋体" w:hAnsi="宋体" w:cs="宋体"/>
          <w:color w:val="000000"/>
          <w:kern w:val="0"/>
          <w:szCs w:val="21"/>
        </w:rPr>
      </w:pPr>
      <w:r>
        <w:rPr>
          <w:rFonts w:hint="eastAsia" w:ascii="宋体" w:hAnsi="宋体" w:cs="宋体"/>
          <w:color w:val="000000"/>
          <w:kern w:val="0"/>
          <w:szCs w:val="21"/>
        </w:rPr>
        <w:t>所有证书、证明文件包括按要求提供的官网截图必须是真实、有效、可查证的，须注明资料来源。资格证明文件应为原件的扫描件，投标文件中须编入清晰的扫描件或复印件。所有证明材料须清晰可辨认，如因证明材料模糊无法辨认， 缺页、漏页导致无法进行评审认定的责任由投标人自负。如发现弄虚作假将按照有关规定严肃处理。</w:t>
      </w:r>
    </w:p>
    <w:p>
      <w:pPr>
        <w:widowControl/>
        <w:spacing w:before="0" w:beforeAutospacing="0" w:after="0" w:afterAutospacing="0"/>
        <w:jc w:val="left"/>
        <w:rPr>
          <w:rFonts w:ascii="宋体" w:hAnsi="宋体" w:cs="宋体"/>
          <w:color w:val="000000"/>
          <w:kern w:val="0"/>
          <w:szCs w:val="21"/>
        </w:rPr>
      </w:pPr>
      <w:r>
        <w:rPr>
          <w:rFonts w:hint="eastAsia" w:ascii="宋体" w:hAnsi="宋体" w:cs="宋体"/>
          <w:color w:val="000000"/>
          <w:kern w:val="0"/>
          <w:szCs w:val="21"/>
        </w:rPr>
        <w:t>证明材料仅限于投标单位本身，参股或控股单位及独立法人子公司的材料不能作为证明材料，但投标单位兼并的企业的材料可作为证明材料。</w:t>
      </w:r>
    </w:p>
    <w:p>
      <w:pPr>
        <w:pStyle w:val="13"/>
        <w:ind w:firstLine="0" w:firstLineChars="0"/>
        <w:jc w:val="center"/>
        <w:rPr>
          <w:rFonts w:asciiTheme="minorEastAsia" w:hAnsiTheme="minorEastAsia" w:eastAsiaTheme="minorEastAsia"/>
          <w:bCs/>
          <w:sz w:val="28"/>
        </w:rPr>
      </w:pPr>
    </w:p>
    <w:p>
      <w:pPr>
        <w:widowControl/>
        <w:spacing w:before="0" w:beforeAutospacing="0" w:after="0" w:afterAutospacing="0" w:line="240" w:lineRule="auto"/>
        <w:jc w:val="left"/>
        <w:rPr>
          <w:rFonts w:asciiTheme="minorEastAsia" w:hAnsiTheme="minorEastAsia" w:eastAsiaTheme="minorEastAsia"/>
          <w:bCs/>
          <w:kern w:val="0"/>
          <w:sz w:val="28"/>
        </w:rPr>
      </w:pPr>
      <w:r>
        <w:rPr>
          <w:rFonts w:asciiTheme="minorEastAsia" w:hAnsiTheme="minorEastAsia" w:eastAsiaTheme="minorEastAsia"/>
          <w:bCs/>
          <w:sz w:val="28"/>
        </w:rPr>
        <w:br w:type="page"/>
      </w:r>
    </w:p>
    <w:p>
      <w:pPr>
        <w:pStyle w:val="13"/>
        <w:ind w:firstLine="0" w:firstLineChars="0"/>
        <w:jc w:val="center"/>
        <w:outlineLvl w:val="1"/>
        <w:rPr>
          <w:rFonts w:asciiTheme="minorEastAsia" w:hAnsiTheme="minorEastAsia" w:eastAsiaTheme="minorEastAsia"/>
          <w:bCs/>
          <w:sz w:val="28"/>
        </w:rPr>
      </w:pPr>
      <w:bookmarkStart w:id="217" w:name="_Toc23473"/>
      <w:r>
        <w:rPr>
          <w:rFonts w:hint="eastAsia" w:asciiTheme="minorEastAsia" w:hAnsiTheme="minorEastAsia" w:eastAsiaTheme="minorEastAsia"/>
          <w:bCs/>
          <w:sz w:val="28"/>
        </w:rPr>
        <w:t>符合性自查表</w:t>
      </w:r>
      <w:bookmarkEnd w:id="217"/>
    </w:p>
    <w:tbl>
      <w:tblPr>
        <w:tblStyle w:val="36"/>
        <w:tblW w:w="9287" w:type="dxa"/>
        <w:tblInd w:w="0" w:type="dxa"/>
        <w:tblLayout w:type="fixed"/>
        <w:tblCellMar>
          <w:top w:w="0" w:type="dxa"/>
          <w:left w:w="108" w:type="dxa"/>
          <w:bottom w:w="0" w:type="dxa"/>
          <w:right w:w="108" w:type="dxa"/>
        </w:tblCellMar>
      </w:tblPr>
      <w:tblGrid>
        <w:gridCol w:w="636"/>
        <w:gridCol w:w="6896"/>
        <w:gridCol w:w="1755"/>
      </w:tblGrid>
      <w:tr>
        <w:tblPrEx>
          <w:tblCellMar>
            <w:top w:w="0" w:type="dxa"/>
            <w:left w:w="108" w:type="dxa"/>
            <w:bottom w:w="0" w:type="dxa"/>
            <w:right w:w="108" w:type="dxa"/>
          </w:tblCellMar>
        </w:tblPrEx>
        <w:trPr>
          <w:trHeight w:val="550"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序号</w:t>
            </w:r>
          </w:p>
        </w:tc>
        <w:tc>
          <w:tcPr>
            <w:tcW w:w="6896"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审核内容</w:t>
            </w:r>
          </w:p>
        </w:tc>
        <w:tc>
          <w:tcPr>
            <w:tcW w:w="1755"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对应页码</w:t>
            </w:r>
          </w:p>
        </w:tc>
      </w:tr>
      <w:tr>
        <w:tblPrEx>
          <w:tblCellMar>
            <w:top w:w="0" w:type="dxa"/>
            <w:left w:w="108" w:type="dxa"/>
            <w:bottom w:w="0" w:type="dxa"/>
            <w:right w:w="108" w:type="dxa"/>
          </w:tblCellMar>
        </w:tblPrEx>
        <w:trPr>
          <w:trHeight w:val="440" w:hRule="atLeast"/>
        </w:trPr>
        <w:tc>
          <w:tcPr>
            <w:tcW w:w="636"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689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ascii="宋体" w:hAnsi="宋体" w:cs="宋体"/>
                <w:color w:val="000000"/>
                <w:kern w:val="0"/>
                <w:sz w:val="21"/>
                <w:szCs w:val="21"/>
              </w:rPr>
            </w:pPr>
            <w:r>
              <w:rPr>
                <w:rFonts w:hint="eastAsia" w:ascii="宋体" w:hAnsi="宋体" w:cs="宋体"/>
                <w:color w:val="000000"/>
                <w:kern w:val="0"/>
                <w:sz w:val="21"/>
                <w:szCs w:val="21"/>
              </w:rPr>
              <w:t>按照招标文件规定要求签署、盖章</w:t>
            </w:r>
          </w:p>
        </w:tc>
        <w:tc>
          <w:tcPr>
            <w:tcW w:w="175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600" w:hRule="atLeast"/>
        </w:trPr>
        <w:tc>
          <w:tcPr>
            <w:tcW w:w="636"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2</w:t>
            </w:r>
          </w:p>
        </w:tc>
        <w:tc>
          <w:tcPr>
            <w:tcW w:w="689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ascii="宋体" w:hAnsi="宋体" w:cs="宋体"/>
                <w:color w:val="000000"/>
                <w:kern w:val="0"/>
                <w:sz w:val="21"/>
                <w:szCs w:val="21"/>
              </w:rPr>
            </w:pPr>
            <w:r>
              <w:rPr>
                <w:rFonts w:hint="eastAsia" w:ascii="宋体" w:hAnsi="宋体" w:cs="宋体"/>
                <w:color w:val="000000"/>
                <w:kern w:val="0"/>
                <w:sz w:val="21"/>
                <w:szCs w:val="21"/>
              </w:rPr>
              <w:t>按照招标文件要求进行有效报价，不存在高于最高限价或低于成本价，不存在恶意报价损害采购人利益的行为；</w:t>
            </w:r>
          </w:p>
        </w:tc>
        <w:tc>
          <w:tcPr>
            <w:tcW w:w="175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40" w:hRule="atLeast"/>
        </w:trPr>
        <w:tc>
          <w:tcPr>
            <w:tcW w:w="636"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3</w:t>
            </w:r>
          </w:p>
        </w:tc>
        <w:tc>
          <w:tcPr>
            <w:tcW w:w="689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ascii="宋体" w:hAnsi="宋体" w:cs="宋体"/>
                <w:color w:val="000000"/>
                <w:kern w:val="0"/>
                <w:sz w:val="21"/>
                <w:szCs w:val="21"/>
              </w:rPr>
            </w:pPr>
            <w:r>
              <w:rPr>
                <w:rFonts w:hint="eastAsia" w:ascii="宋体" w:hAnsi="宋体" w:cs="宋体"/>
                <w:color w:val="000000"/>
                <w:kern w:val="0"/>
                <w:sz w:val="21"/>
                <w:szCs w:val="21"/>
              </w:rPr>
              <w:t>投标有效期满足招标文件规定</w:t>
            </w:r>
          </w:p>
        </w:tc>
        <w:tc>
          <w:tcPr>
            <w:tcW w:w="175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40" w:hRule="atLeast"/>
        </w:trPr>
        <w:tc>
          <w:tcPr>
            <w:tcW w:w="636"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4</w:t>
            </w:r>
          </w:p>
        </w:tc>
        <w:tc>
          <w:tcPr>
            <w:tcW w:w="689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ascii="宋体" w:hAnsi="宋体" w:cs="宋体"/>
                <w:color w:val="000000"/>
                <w:kern w:val="0"/>
                <w:sz w:val="21"/>
                <w:szCs w:val="21"/>
              </w:rPr>
            </w:pPr>
            <w:r>
              <w:rPr>
                <w:rFonts w:hint="eastAsia" w:ascii="宋体" w:hAnsi="宋体" w:cs="宋体"/>
                <w:color w:val="000000"/>
                <w:kern w:val="0"/>
                <w:sz w:val="21"/>
                <w:szCs w:val="21"/>
              </w:rPr>
              <w:t>投标文件中未附有采购人不能接受条件</w:t>
            </w:r>
          </w:p>
        </w:tc>
        <w:tc>
          <w:tcPr>
            <w:tcW w:w="175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40" w:hRule="atLeast"/>
        </w:trPr>
        <w:tc>
          <w:tcPr>
            <w:tcW w:w="636"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5</w:t>
            </w:r>
          </w:p>
        </w:tc>
        <w:tc>
          <w:tcPr>
            <w:tcW w:w="689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ascii="宋体" w:hAnsi="宋体" w:cs="宋体"/>
                <w:color w:val="000000"/>
                <w:kern w:val="0"/>
                <w:sz w:val="21"/>
                <w:szCs w:val="21"/>
              </w:rPr>
            </w:pPr>
            <w:r>
              <w:rPr>
                <w:rFonts w:hint="eastAsia" w:ascii="宋体" w:hAnsi="宋体" w:cs="宋体"/>
                <w:color w:val="000000"/>
                <w:kern w:val="0"/>
                <w:sz w:val="21"/>
                <w:szCs w:val="21"/>
              </w:rPr>
              <w:t>投标文件满足招标文件商务、技术等实质性要求（标注“*” 号的条款）</w:t>
            </w:r>
          </w:p>
        </w:tc>
        <w:tc>
          <w:tcPr>
            <w:tcW w:w="175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40" w:hRule="atLeast"/>
        </w:trPr>
        <w:tc>
          <w:tcPr>
            <w:tcW w:w="636"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6</w:t>
            </w:r>
          </w:p>
        </w:tc>
        <w:tc>
          <w:tcPr>
            <w:tcW w:w="689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ascii="宋体" w:hAnsi="宋体" w:cs="宋体"/>
                <w:color w:val="000000"/>
                <w:kern w:val="0"/>
                <w:sz w:val="21"/>
                <w:szCs w:val="21"/>
              </w:rPr>
            </w:pPr>
            <w:r>
              <w:rPr>
                <w:rFonts w:hint="eastAsia" w:ascii="宋体" w:hAnsi="宋体" w:cs="宋体"/>
                <w:color w:val="000000"/>
                <w:kern w:val="0"/>
                <w:sz w:val="21"/>
                <w:szCs w:val="21"/>
              </w:rPr>
              <w:t>投标人未出现招标文件中规定无效投标的其它条款</w:t>
            </w:r>
          </w:p>
        </w:tc>
        <w:tc>
          <w:tcPr>
            <w:tcW w:w="175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1690" w:hRule="atLeast"/>
        </w:trPr>
        <w:tc>
          <w:tcPr>
            <w:tcW w:w="636"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7</w:t>
            </w:r>
          </w:p>
        </w:tc>
        <w:tc>
          <w:tcPr>
            <w:tcW w:w="689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ascii="宋体" w:hAnsi="宋体" w:cs="宋体"/>
                <w:color w:val="000000"/>
                <w:kern w:val="0"/>
                <w:sz w:val="21"/>
                <w:szCs w:val="21"/>
              </w:rPr>
            </w:pPr>
            <w:r>
              <w:rPr>
                <w:rFonts w:hint="eastAsia" w:ascii="宋体" w:hAnsi="宋体" w:cs="宋体"/>
                <w:color w:val="000000"/>
                <w:kern w:val="0"/>
                <w:sz w:val="21"/>
                <w:szCs w:val="21"/>
              </w:rPr>
              <w:t>投标人未有下列任一情形：</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（1） 不同投标人的投标文件由同一单位或者个人编制</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（2） 不同投标人委托同一单位或者个人办理投标事宜</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（3） 不同投标人的投标文件载明的项目管理成员或者联系人员为同一人</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（4） 不同投标人的投标文件异常一致或者投标报价呈规律性差异</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（5） 不同投标人的投标文件相互混装</w:t>
            </w:r>
          </w:p>
        </w:tc>
        <w:tc>
          <w:tcPr>
            <w:tcW w:w="175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600" w:hRule="atLeast"/>
        </w:trPr>
        <w:tc>
          <w:tcPr>
            <w:tcW w:w="636"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8</w:t>
            </w:r>
          </w:p>
        </w:tc>
        <w:tc>
          <w:tcPr>
            <w:tcW w:w="689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ascii="宋体" w:hAnsi="宋体" w:cs="宋体"/>
                <w:color w:val="000000"/>
                <w:kern w:val="0"/>
                <w:sz w:val="21"/>
                <w:szCs w:val="21"/>
              </w:rPr>
            </w:pPr>
            <w:r>
              <w:rPr>
                <w:rFonts w:hint="eastAsia" w:ascii="宋体" w:hAnsi="宋体" w:cs="宋体"/>
                <w:color w:val="000000"/>
                <w:kern w:val="0"/>
                <w:sz w:val="21"/>
                <w:szCs w:val="21"/>
              </w:rPr>
              <w:t>按要求递交正本1份，副本3份，且响应文件对招标文件的实质性要求作出响应；</w:t>
            </w:r>
          </w:p>
        </w:tc>
        <w:tc>
          <w:tcPr>
            <w:tcW w:w="175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　</w:t>
            </w:r>
          </w:p>
        </w:tc>
      </w:tr>
    </w:tbl>
    <w:p>
      <w:pPr>
        <w:rPr>
          <w:b/>
          <w:bCs/>
          <w:sz w:val="28"/>
          <w:szCs w:val="28"/>
        </w:rPr>
      </w:pPr>
      <w:r>
        <w:rPr>
          <w:rFonts w:hint="eastAsia"/>
          <w:b/>
          <w:bCs/>
          <w:sz w:val="28"/>
          <w:szCs w:val="28"/>
        </w:rPr>
        <w:t xml:space="preserve">评标导航表 </w:t>
      </w:r>
    </w:p>
    <w:p>
      <w:pPr>
        <w:rPr>
          <w:b/>
          <w:bCs/>
          <w:sz w:val="28"/>
          <w:szCs w:val="28"/>
        </w:rPr>
      </w:pPr>
      <w:r>
        <w:rPr>
          <w:rFonts w:hint="eastAsia"/>
          <w:b/>
          <w:bCs/>
          <w:sz w:val="28"/>
          <w:szCs w:val="28"/>
        </w:rPr>
        <w:t>备注：为方便评委评标，投标投标人可根据招标文件中载明的《评分标准》， 将具体响应情况及投标文件中对应页码在上表中注明。</w:t>
      </w:r>
    </w:p>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Pr>
        <w:widowControl/>
        <w:spacing w:before="0" w:beforeAutospacing="0" w:after="0" w:afterAutospacing="0" w:line="240" w:lineRule="auto"/>
        <w:jc w:val="left"/>
        <w:rPr>
          <w:rFonts w:ascii="宋体" w:hAnsi="宋体"/>
          <w:b/>
          <w:kern w:val="0"/>
          <w:sz w:val="28"/>
          <w:szCs w:val="28"/>
          <w:lang w:val="zh-CN"/>
        </w:rPr>
      </w:pPr>
      <w:r>
        <w:rPr>
          <w:rFonts w:hAnsi="宋体"/>
          <w:b/>
          <w:sz w:val="28"/>
          <w:szCs w:val="28"/>
        </w:rPr>
        <w:br w:type="page"/>
      </w:r>
    </w:p>
    <w:p>
      <w:pPr>
        <w:pStyle w:val="183"/>
        <w:spacing w:line="360" w:lineRule="auto"/>
        <w:jc w:val="center"/>
        <w:rPr>
          <w:rFonts w:hAnsi="宋体"/>
          <w:b/>
          <w:sz w:val="28"/>
          <w:szCs w:val="28"/>
        </w:rPr>
      </w:pPr>
      <w:r>
        <w:rPr>
          <w:rFonts w:hint="eastAsia" w:hAnsi="宋体"/>
          <w:b/>
          <w:sz w:val="28"/>
          <w:szCs w:val="28"/>
        </w:rPr>
        <w:t>投标承诺函</w:t>
      </w:r>
    </w:p>
    <w:p>
      <w:pPr>
        <w:pStyle w:val="113"/>
        <w:spacing w:line="360" w:lineRule="auto"/>
        <w:ind w:right="84" w:rightChars="4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新疆华域建设工程项目管理咨询有限公司</w:t>
      </w:r>
      <w:r>
        <w:rPr>
          <w:rFonts w:hint="eastAsia" w:asciiTheme="minorEastAsia" w:hAnsiTheme="minorEastAsia" w:eastAsiaTheme="minorEastAsia"/>
          <w:sz w:val="24"/>
          <w:szCs w:val="24"/>
        </w:rPr>
        <w:t>：</w:t>
      </w:r>
    </w:p>
    <w:p>
      <w:pPr>
        <w:pStyle w:val="113"/>
        <w:tabs>
          <w:tab w:val="left" w:pos="9450"/>
        </w:tabs>
        <w:spacing w:line="360" w:lineRule="auto"/>
        <w:ind w:right="84" w:rightChars="4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我方确认收到贵方提供的“</w:t>
      </w:r>
      <w:r>
        <w:rPr>
          <w:rFonts w:hint="eastAsia" w:asciiTheme="minorEastAsia" w:hAnsiTheme="minorEastAsia" w:eastAsiaTheme="minorEastAsia"/>
          <w:sz w:val="24"/>
          <w:szCs w:val="24"/>
          <w:lang w:eastAsia="zh-CN"/>
        </w:rPr>
        <w:t>乌鲁木齐职业大学北辰校区建设项目可行性研究报告编制技术服务项目</w:t>
      </w:r>
      <w:r>
        <w:rPr>
          <w:rFonts w:hint="eastAsia" w:asciiTheme="minorEastAsia" w:hAnsiTheme="minorEastAsia" w:eastAsiaTheme="minorEastAsia"/>
          <w:sz w:val="24"/>
          <w:szCs w:val="24"/>
        </w:rPr>
        <w:t>”(项目编号：</w:t>
      </w:r>
      <w:r>
        <w:rPr>
          <w:rFonts w:hint="eastAsia" w:asciiTheme="minorEastAsia" w:hAnsiTheme="minorEastAsia" w:eastAsiaTheme="minorEastAsia"/>
          <w:sz w:val="24"/>
          <w:szCs w:val="24"/>
          <w:lang w:eastAsia="zh-CN"/>
        </w:rPr>
        <w:t>ZFCGHY-20220096</w:t>
      </w:r>
      <w:r>
        <w:rPr>
          <w:rFonts w:hint="eastAsia" w:asciiTheme="minorEastAsia" w:hAnsiTheme="minorEastAsia" w:eastAsiaTheme="minorEastAsia"/>
          <w:sz w:val="24"/>
          <w:szCs w:val="24"/>
        </w:rPr>
        <w:t>)的招标文件，已完全理解招标文件的所有内容。决定投标本项目，据此我方承诺如下：</w:t>
      </w:r>
    </w:p>
    <w:p>
      <w:pPr>
        <w:pStyle w:val="138"/>
        <w:keepNext w:val="0"/>
        <w:keepLines w:val="0"/>
        <w:numPr>
          <w:ilvl w:val="0"/>
          <w:numId w:val="8"/>
        </w:numPr>
        <w:autoSpaceDE w:val="0"/>
        <w:autoSpaceDN w:val="0"/>
        <w:adjustRightInd w:val="0"/>
        <w:snapToGrid w:val="0"/>
        <w:spacing w:before="0" w:after="0" w:line="360" w:lineRule="auto"/>
        <w:rPr>
          <w:rFonts w:ascii="宋体" w:hAnsi="宋体" w:eastAsia="宋体"/>
          <w:bCs/>
          <w:sz w:val="24"/>
          <w:szCs w:val="24"/>
        </w:rPr>
      </w:pPr>
      <w:bookmarkStart w:id="218" w:name="_Toc6229"/>
      <w:r>
        <w:rPr>
          <w:rFonts w:hint="eastAsia" w:ascii="宋体" w:hAnsi="宋体" w:eastAsia="宋体"/>
          <w:bCs/>
          <w:sz w:val="24"/>
          <w:szCs w:val="24"/>
        </w:rPr>
        <w:t>我方的响应文件在投标截止日后90天（日历天）内保持有效，如中标，有效期将延至本项目《 政府采购合同》执行期满日为止。</w:t>
      </w:r>
      <w:bookmarkEnd w:id="218"/>
    </w:p>
    <w:p>
      <w:pPr>
        <w:pStyle w:val="138"/>
        <w:keepNext w:val="0"/>
        <w:keepLines w:val="0"/>
        <w:numPr>
          <w:ilvl w:val="0"/>
          <w:numId w:val="8"/>
        </w:numPr>
        <w:autoSpaceDE w:val="0"/>
        <w:autoSpaceDN w:val="0"/>
        <w:adjustRightInd w:val="0"/>
        <w:snapToGrid w:val="0"/>
        <w:spacing w:before="0" w:after="0" w:line="360" w:lineRule="auto"/>
        <w:rPr>
          <w:rFonts w:ascii="宋体" w:hAnsi="宋体" w:eastAsia="宋体"/>
          <w:bCs/>
          <w:sz w:val="24"/>
          <w:szCs w:val="24"/>
        </w:rPr>
      </w:pPr>
      <w:bookmarkStart w:id="219" w:name="_Toc22206"/>
      <w:r>
        <w:rPr>
          <w:rFonts w:ascii="宋体" w:hAnsi="宋体" w:eastAsia="宋体"/>
          <w:bCs/>
          <w:sz w:val="24"/>
          <w:szCs w:val="24"/>
        </w:rPr>
        <w:t>我方在参与投标前已仔细研究了招标文件和所有相关资料，我方完全明白并认为此招标文件没有倾向性，也没有存在排斥潜在</w:t>
      </w:r>
      <w:r>
        <w:rPr>
          <w:rFonts w:hint="eastAsia" w:ascii="宋体" w:hAnsi="宋体" w:eastAsia="宋体"/>
          <w:bCs/>
          <w:sz w:val="24"/>
          <w:szCs w:val="24"/>
        </w:rPr>
        <w:t>供应商</w:t>
      </w:r>
      <w:r>
        <w:rPr>
          <w:rFonts w:ascii="宋体" w:hAnsi="宋体" w:eastAsia="宋体"/>
          <w:bCs/>
          <w:sz w:val="24"/>
          <w:szCs w:val="24"/>
        </w:rPr>
        <w:t>的内容，我方同意招标文件的相关条款，放弃对招标文件提出误解和质疑的一切权</w:t>
      </w:r>
      <w:r>
        <w:rPr>
          <w:rFonts w:hint="eastAsia" w:ascii="宋体" w:hAnsi="宋体" w:eastAsia="宋体"/>
          <w:bCs/>
          <w:sz w:val="24"/>
          <w:szCs w:val="24"/>
        </w:rPr>
        <w:t>利</w:t>
      </w:r>
      <w:r>
        <w:rPr>
          <w:rFonts w:ascii="宋体" w:hAnsi="宋体" w:eastAsia="宋体"/>
          <w:bCs/>
          <w:sz w:val="24"/>
          <w:szCs w:val="24"/>
        </w:rPr>
        <w:t>。</w:t>
      </w:r>
      <w:bookmarkEnd w:id="219"/>
    </w:p>
    <w:p>
      <w:pPr>
        <w:pStyle w:val="138"/>
        <w:keepNext w:val="0"/>
        <w:keepLines w:val="0"/>
        <w:numPr>
          <w:ilvl w:val="0"/>
          <w:numId w:val="8"/>
        </w:numPr>
        <w:autoSpaceDE w:val="0"/>
        <w:autoSpaceDN w:val="0"/>
        <w:adjustRightInd w:val="0"/>
        <w:snapToGrid w:val="0"/>
        <w:spacing w:before="0" w:after="0" w:line="360" w:lineRule="auto"/>
        <w:rPr>
          <w:rFonts w:ascii="宋体" w:hAnsi="宋体" w:eastAsia="宋体"/>
          <w:bCs/>
          <w:sz w:val="24"/>
          <w:szCs w:val="24"/>
        </w:rPr>
      </w:pPr>
      <w:bookmarkStart w:id="220" w:name="_Toc23797"/>
      <w:r>
        <w:rPr>
          <w:rFonts w:hint="eastAsia" w:ascii="宋体" w:hAnsi="宋体" w:eastAsia="宋体"/>
          <w:bCs/>
          <w:sz w:val="24"/>
          <w:szCs w:val="24"/>
        </w:rPr>
        <w:t>我方声明响应文件及所提供的一切资料均真实无误及有效。由于我方提供资料不实而造成的责任和后果由我方承担。我方同意按照贵方可能提出的要求，提供与投标有关的任何其它数据或信息。</w:t>
      </w:r>
      <w:bookmarkEnd w:id="220"/>
    </w:p>
    <w:p>
      <w:pPr>
        <w:pStyle w:val="138"/>
        <w:keepNext w:val="0"/>
        <w:keepLines w:val="0"/>
        <w:numPr>
          <w:ilvl w:val="0"/>
          <w:numId w:val="8"/>
        </w:numPr>
        <w:autoSpaceDE w:val="0"/>
        <w:autoSpaceDN w:val="0"/>
        <w:adjustRightInd w:val="0"/>
        <w:snapToGrid w:val="0"/>
        <w:spacing w:before="0" w:after="0" w:line="360" w:lineRule="auto"/>
        <w:rPr>
          <w:rFonts w:ascii="宋体" w:hAnsi="宋体" w:eastAsia="宋体"/>
          <w:bCs/>
          <w:sz w:val="24"/>
          <w:szCs w:val="24"/>
        </w:rPr>
      </w:pPr>
      <w:bookmarkStart w:id="221" w:name="_Toc27309"/>
      <w:r>
        <w:rPr>
          <w:rFonts w:hint="eastAsia" w:ascii="宋体" w:hAnsi="宋体" w:eastAsia="宋体"/>
          <w:bCs/>
          <w:sz w:val="24"/>
          <w:szCs w:val="24"/>
        </w:rPr>
        <w:t>我方理解贵方不一定接受最低报价的投标。</w:t>
      </w:r>
      <w:bookmarkEnd w:id="221"/>
    </w:p>
    <w:p>
      <w:pPr>
        <w:pStyle w:val="138"/>
        <w:keepNext w:val="0"/>
        <w:keepLines w:val="0"/>
        <w:numPr>
          <w:ilvl w:val="0"/>
          <w:numId w:val="8"/>
        </w:numPr>
        <w:autoSpaceDE w:val="0"/>
        <w:autoSpaceDN w:val="0"/>
        <w:adjustRightInd w:val="0"/>
        <w:snapToGrid w:val="0"/>
        <w:spacing w:before="0" w:after="0" w:line="360" w:lineRule="auto"/>
        <w:rPr>
          <w:rFonts w:ascii="宋体" w:hAnsi="宋体" w:eastAsia="宋体"/>
          <w:bCs/>
          <w:sz w:val="24"/>
          <w:szCs w:val="24"/>
        </w:rPr>
      </w:pPr>
      <w:bookmarkStart w:id="222" w:name="_Toc29281"/>
      <w:r>
        <w:rPr>
          <w:rFonts w:hint="eastAsia" w:ascii="宋体" w:hAnsi="宋体" w:eastAsia="宋体"/>
          <w:bCs/>
          <w:sz w:val="24"/>
          <w:szCs w:val="24"/>
        </w:rPr>
        <w:t>我方同意如在本项目开标后、投标有效期之内撤销响应文件，或中标后未在规定期限内签订合同并送贵方备案的，贵方将不退还投标保证金（如有）。</w:t>
      </w:r>
      <w:bookmarkEnd w:id="222"/>
    </w:p>
    <w:p>
      <w:pPr>
        <w:pStyle w:val="138"/>
        <w:keepNext w:val="0"/>
        <w:keepLines w:val="0"/>
        <w:numPr>
          <w:ilvl w:val="0"/>
          <w:numId w:val="8"/>
        </w:numPr>
        <w:autoSpaceDE w:val="0"/>
        <w:autoSpaceDN w:val="0"/>
        <w:adjustRightInd w:val="0"/>
        <w:snapToGrid w:val="0"/>
        <w:spacing w:before="0" w:after="0" w:line="360" w:lineRule="auto"/>
        <w:rPr>
          <w:rFonts w:ascii="宋体" w:hAnsi="宋体" w:eastAsia="宋体"/>
          <w:bCs/>
          <w:sz w:val="24"/>
          <w:szCs w:val="24"/>
        </w:rPr>
      </w:pPr>
      <w:bookmarkStart w:id="223" w:name="_Toc21213"/>
      <w:r>
        <w:rPr>
          <w:rFonts w:hint="eastAsia" w:ascii="宋体" w:hAnsi="宋体" w:eastAsia="宋体"/>
          <w:bCs/>
          <w:sz w:val="24"/>
          <w:szCs w:val="24"/>
        </w:rPr>
        <w:t>我方接受按采购人委托向贵方支付招标代理服务费，如果中标，保证履行响应文件中承诺的全部责任和义务，切实履行《 政府采购合同》中的全部条款，投标总报价已包含招标代理服务费（（招标代理服务费）按照招标文件第一章供应商须知中所列收费标准计算），并承诺向贵单位足额支付。</w:t>
      </w:r>
      <w:bookmarkEnd w:id="223"/>
    </w:p>
    <w:p>
      <w:pPr>
        <w:pStyle w:val="138"/>
        <w:keepNext w:val="0"/>
        <w:keepLines w:val="0"/>
        <w:numPr>
          <w:ilvl w:val="0"/>
          <w:numId w:val="8"/>
        </w:numPr>
        <w:autoSpaceDE w:val="0"/>
        <w:autoSpaceDN w:val="0"/>
        <w:adjustRightInd w:val="0"/>
        <w:snapToGrid w:val="0"/>
        <w:spacing w:before="0" w:after="0" w:line="360" w:lineRule="auto"/>
        <w:rPr>
          <w:rFonts w:ascii="宋体" w:hAnsi="宋体" w:eastAsia="宋体"/>
          <w:bCs/>
          <w:sz w:val="24"/>
          <w:szCs w:val="24"/>
        </w:rPr>
      </w:pPr>
      <w:bookmarkStart w:id="224" w:name="_Toc27660"/>
      <w:r>
        <w:rPr>
          <w:rFonts w:hint="eastAsia" w:ascii="宋体" w:hAnsi="宋体" w:eastAsia="宋体"/>
          <w:bCs/>
          <w:sz w:val="24"/>
          <w:szCs w:val="24"/>
        </w:rPr>
        <w:t>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bookmarkEnd w:id="224"/>
    </w:p>
    <w:p>
      <w:pPr>
        <w:pStyle w:val="138"/>
        <w:keepNext w:val="0"/>
        <w:keepLines w:val="0"/>
        <w:numPr>
          <w:ilvl w:val="0"/>
          <w:numId w:val="8"/>
        </w:numPr>
        <w:autoSpaceDE w:val="0"/>
        <w:autoSpaceDN w:val="0"/>
        <w:adjustRightInd w:val="0"/>
        <w:snapToGrid w:val="0"/>
        <w:spacing w:before="0" w:after="0" w:line="360" w:lineRule="auto"/>
        <w:rPr>
          <w:rFonts w:ascii="宋体" w:hAnsi="宋体" w:eastAsia="宋体"/>
          <w:bCs/>
          <w:sz w:val="24"/>
          <w:szCs w:val="24"/>
        </w:rPr>
      </w:pPr>
      <w:bookmarkStart w:id="225" w:name="_Toc19526"/>
      <w:r>
        <w:rPr>
          <w:rFonts w:hint="eastAsia" w:ascii="宋体" w:hAnsi="宋体" w:eastAsia="宋体"/>
          <w:bCs/>
          <w:sz w:val="24"/>
          <w:szCs w:val="24"/>
        </w:rPr>
        <w:t>所有与本项目有关的函件请发往下列地址：</w:t>
      </w:r>
      <w:bookmarkEnd w:id="225"/>
    </w:p>
    <w:tbl>
      <w:tblPr>
        <w:tblStyle w:val="36"/>
        <w:tblW w:w="902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420"/>
        <w:gridCol w:w="1800"/>
        <w:gridCol w:w="90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113"/>
              <w:tabs>
                <w:tab w:val="left" w:pos="0"/>
              </w:tabs>
              <w:spacing w:line="360" w:lineRule="auto"/>
              <w:ind w:right="25" w:rightChars="12"/>
              <w:rPr>
                <w:rFonts w:asciiTheme="minorEastAsia" w:hAnsiTheme="minorEastAsia" w:eastAsiaTheme="minorEastAsia"/>
                <w:sz w:val="24"/>
                <w:szCs w:val="24"/>
              </w:rPr>
            </w:pPr>
            <w:r>
              <w:rPr>
                <w:rFonts w:hint="eastAsia" w:asciiTheme="minorEastAsia" w:hAnsiTheme="minorEastAsia" w:eastAsiaTheme="minorEastAsia"/>
                <w:sz w:val="24"/>
                <w:szCs w:val="24"/>
              </w:rPr>
              <w:t>地址（邮编）</w:t>
            </w:r>
          </w:p>
        </w:tc>
        <w:tc>
          <w:tcPr>
            <w:tcW w:w="5220" w:type="dxa"/>
            <w:gridSpan w:val="2"/>
          </w:tcPr>
          <w:p>
            <w:pPr>
              <w:pStyle w:val="113"/>
              <w:tabs>
                <w:tab w:val="left" w:pos="0"/>
              </w:tabs>
              <w:spacing w:line="360" w:lineRule="auto"/>
              <w:ind w:right="25" w:rightChars="12"/>
              <w:rPr>
                <w:rFonts w:asciiTheme="minorEastAsia" w:hAnsiTheme="minorEastAsia" w:eastAsiaTheme="minorEastAsia"/>
                <w:sz w:val="24"/>
                <w:szCs w:val="24"/>
              </w:rPr>
            </w:pPr>
          </w:p>
        </w:tc>
        <w:tc>
          <w:tcPr>
            <w:tcW w:w="900" w:type="dxa"/>
          </w:tcPr>
          <w:p>
            <w:pPr>
              <w:pStyle w:val="113"/>
              <w:tabs>
                <w:tab w:val="left" w:pos="0"/>
              </w:tabs>
              <w:spacing w:line="360" w:lineRule="auto"/>
              <w:ind w:right="25" w:rightChars="12"/>
              <w:rPr>
                <w:rFonts w:asciiTheme="minorEastAsia" w:hAnsiTheme="minorEastAsia" w:eastAsiaTheme="minorEastAsia"/>
                <w:sz w:val="24"/>
                <w:szCs w:val="24"/>
              </w:rPr>
            </w:pPr>
            <w:r>
              <w:rPr>
                <w:rFonts w:hint="eastAsia" w:asciiTheme="minorEastAsia" w:hAnsiTheme="minorEastAsia" w:eastAsiaTheme="minorEastAsia"/>
                <w:sz w:val="24"/>
                <w:szCs w:val="24"/>
              </w:rPr>
              <w:t>传真</w:t>
            </w:r>
          </w:p>
        </w:tc>
        <w:tc>
          <w:tcPr>
            <w:tcW w:w="1280" w:type="dxa"/>
          </w:tcPr>
          <w:p>
            <w:pPr>
              <w:pStyle w:val="113"/>
              <w:tabs>
                <w:tab w:val="left" w:pos="0"/>
              </w:tabs>
              <w:spacing w:line="360" w:lineRule="auto"/>
              <w:ind w:right="25" w:rightChars="12"/>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113"/>
              <w:tabs>
                <w:tab w:val="left" w:pos="0"/>
              </w:tabs>
              <w:spacing w:line="360" w:lineRule="auto"/>
              <w:ind w:right="25" w:rightChars="12"/>
              <w:rPr>
                <w:rFonts w:asciiTheme="minorEastAsia" w:hAnsiTheme="minorEastAsia" w:eastAsiaTheme="minorEastAsia"/>
                <w:sz w:val="24"/>
                <w:szCs w:val="24"/>
              </w:rPr>
            </w:pPr>
            <w:r>
              <w:rPr>
                <w:rFonts w:hint="eastAsia" w:asciiTheme="minorEastAsia" w:hAnsiTheme="minorEastAsia" w:eastAsiaTheme="minorEastAsia"/>
                <w:sz w:val="24"/>
                <w:szCs w:val="24"/>
              </w:rPr>
              <w:t>电话、手机</w:t>
            </w:r>
          </w:p>
        </w:tc>
        <w:tc>
          <w:tcPr>
            <w:tcW w:w="3420" w:type="dxa"/>
          </w:tcPr>
          <w:p>
            <w:pPr>
              <w:pStyle w:val="113"/>
              <w:tabs>
                <w:tab w:val="left" w:pos="0"/>
              </w:tabs>
              <w:spacing w:line="360" w:lineRule="auto"/>
              <w:ind w:right="25" w:rightChars="12"/>
              <w:rPr>
                <w:rFonts w:asciiTheme="minorEastAsia" w:hAnsiTheme="minorEastAsia" w:eastAsiaTheme="minorEastAsia"/>
                <w:sz w:val="24"/>
                <w:szCs w:val="24"/>
              </w:rPr>
            </w:pPr>
          </w:p>
        </w:tc>
        <w:tc>
          <w:tcPr>
            <w:tcW w:w="1800" w:type="dxa"/>
          </w:tcPr>
          <w:p>
            <w:pPr>
              <w:pStyle w:val="113"/>
              <w:tabs>
                <w:tab w:val="left" w:pos="0"/>
              </w:tabs>
              <w:spacing w:line="360" w:lineRule="auto"/>
              <w:ind w:right="25" w:rightChars="12"/>
              <w:rPr>
                <w:rFonts w:asciiTheme="minorEastAsia" w:hAnsiTheme="minorEastAsia" w:eastAsiaTheme="minorEastAsia"/>
                <w:sz w:val="24"/>
                <w:szCs w:val="24"/>
              </w:rPr>
            </w:pPr>
            <w:r>
              <w:rPr>
                <w:rFonts w:hint="eastAsia" w:asciiTheme="minorEastAsia" w:hAnsiTheme="minorEastAsia" w:eastAsiaTheme="minorEastAsia"/>
                <w:sz w:val="24"/>
                <w:szCs w:val="24"/>
              </w:rPr>
              <w:t>联系人（职务）</w:t>
            </w:r>
          </w:p>
        </w:tc>
        <w:tc>
          <w:tcPr>
            <w:tcW w:w="2180" w:type="dxa"/>
            <w:gridSpan w:val="2"/>
          </w:tcPr>
          <w:p>
            <w:pPr>
              <w:pStyle w:val="113"/>
              <w:tabs>
                <w:tab w:val="left" w:pos="0"/>
              </w:tabs>
              <w:spacing w:line="360" w:lineRule="auto"/>
              <w:ind w:right="25" w:rightChars="12"/>
              <w:rPr>
                <w:rFonts w:asciiTheme="minorEastAsia" w:hAnsiTheme="minorEastAsia" w:eastAsiaTheme="minorEastAsia"/>
                <w:sz w:val="24"/>
                <w:szCs w:val="24"/>
              </w:rPr>
            </w:pPr>
          </w:p>
        </w:tc>
      </w:tr>
    </w:tbl>
    <w:p>
      <w:pPr>
        <w:pStyle w:val="113"/>
        <w:spacing w:line="360" w:lineRule="auto"/>
        <w:ind w:right="84" w:rightChars="40" w:firstLine="4080" w:firstLineChars="170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法定代表人或被授权人（签字或盖章）：</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p>
    <w:p>
      <w:pPr>
        <w:pStyle w:val="113"/>
        <w:spacing w:line="360" w:lineRule="auto"/>
        <w:ind w:right="84" w:rightChars="40" w:firstLine="4080" w:firstLineChars="17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单位名称（盖章）：</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p>
    <w:p>
      <w:pPr>
        <w:pStyle w:val="113"/>
        <w:spacing w:line="360" w:lineRule="auto"/>
        <w:ind w:right="84" w:rightChars="40" w:firstLine="4080" w:firstLineChars="170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w:t>
      </w:r>
      <w:r>
        <w:rPr>
          <w:rFonts w:hint="eastAsia" w:cs="Arial" w:asciiTheme="minorEastAsia" w:hAnsiTheme="minorEastAsia" w:eastAsiaTheme="minorEastAsia"/>
          <w:sz w:val="24"/>
          <w:szCs w:val="24"/>
        </w:rPr>
        <w:t>2022年   月   日</w:t>
      </w:r>
    </w:p>
    <w:p>
      <w:pPr>
        <w:pStyle w:val="113"/>
        <w:spacing w:line="360" w:lineRule="auto"/>
        <w:ind w:right="84" w:rightChars="40" w:firstLine="4080" w:firstLineChars="17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pStyle w:val="113"/>
      </w:pPr>
      <w:bookmarkStart w:id="226" w:name="_Toc37581429"/>
      <w:r>
        <w:rPr>
          <w:rFonts w:hint="eastAsia" w:cs="Arial" w:asciiTheme="minorEastAsia" w:hAnsiTheme="minorEastAsia" w:eastAsiaTheme="minorEastAsia"/>
          <w:bCs/>
          <w:sz w:val="24"/>
          <w:szCs w:val="24"/>
        </w:rPr>
        <w:t>说明：</w:t>
      </w:r>
      <w:r>
        <w:rPr>
          <w:rFonts w:cs="Arial" w:asciiTheme="minorEastAsia" w:hAnsiTheme="minorEastAsia" w:eastAsiaTheme="minorEastAsia"/>
          <w:bCs/>
          <w:sz w:val="24"/>
          <w:szCs w:val="24"/>
        </w:rPr>
        <w:t>本格式文件内容不得擅自删改。</w:t>
      </w:r>
      <w:bookmarkEnd w:id="226"/>
    </w:p>
    <w:p>
      <w:pPr>
        <w:pStyle w:val="195"/>
        <w:pageBreakBefore/>
        <w:spacing w:line="360" w:lineRule="auto"/>
        <w:jc w:val="center"/>
        <w:rPr>
          <w:rFonts w:hAnsi="宋体" w:cs="Arial"/>
          <w:bCs/>
          <w:sz w:val="28"/>
          <w:szCs w:val="28"/>
        </w:rPr>
      </w:pPr>
      <w:r>
        <w:rPr>
          <w:rFonts w:hint="eastAsia" w:hAnsi="宋体"/>
          <w:b/>
          <w:sz w:val="28"/>
          <w:szCs w:val="28"/>
        </w:rPr>
        <w:t>法人授权委托证明书</w:t>
      </w:r>
    </w:p>
    <w:p>
      <w:pPr>
        <w:pStyle w:val="197"/>
        <w:spacing w:line="360" w:lineRule="auto"/>
        <w:ind w:firstLine="424" w:firstLineChars="177"/>
        <w:rPr>
          <w:rFonts w:hAnsi="宋体"/>
          <w:bCs/>
          <w:sz w:val="24"/>
          <w:szCs w:val="24"/>
        </w:rPr>
      </w:pPr>
      <w:r>
        <w:rPr>
          <w:rFonts w:hint="eastAsia" w:hAnsi="宋体"/>
          <w:bCs/>
          <w:sz w:val="24"/>
          <w:szCs w:val="24"/>
        </w:rPr>
        <w:t>兹授权</w:t>
      </w:r>
      <w:r>
        <w:rPr>
          <w:rFonts w:hint="eastAsia" w:hAnsi="宋体"/>
          <w:bCs/>
          <w:sz w:val="24"/>
          <w:szCs w:val="24"/>
          <w:u w:val="single"/>
        </w:rPr>
        <w:t xml:space="preserve">                  </w:t>
      </w:r>
      <w:r>
        <w:rPr>
          <w:rFonts w:hint="eastAsia" w:hAnsi="宋体"/>
          <w:bCs/>
          <w:sz w:val="24"/>
          <w:szCs w:val="24"/>
        </w:rPr>
        <w:t>（委托代理人姓名）为我方委托代理人，其权限是：</w:t>
      </w:r>
      <w:r>
        <w:rPr>
          <w:rFonts w:hint="eastAsia" w:hAnsi="宋体"/>
          <w:sz w:val="24"/>
          <w:szCs w:val="24"/>
        </w:rPr>
        <w:t>办理</w:t>
      </w:r>
      <w:r>
        <w:rPr>
          <w:rFonts w:hint="eastAsia" w:hAnsi="宋体"/>
          <w:sz w:val="24"/>
          <w:szCs w:val="24"/>
          <w:lang w:eastAsia="zh-CN"/>
        </w:rPr>
        <w:t>新疆华域建设工程项目管理咨询有限公司</w:t>
      </w:r>
      <w:r>
        <w:rPr>
          <w:rFonts w:hint="eastAsia" w:hAnsi="宋体"/>
          <w:sz w:val="24"/>
          <w:szCs w:val="24"/>
        </w:rPr>
        <w:t>组织的</w:t>
      </w:r>
      <w:bookmarkStart w:id="227" w:name="_Hlk45755316"/>
      <w:r>
        <w:rPr>
          <w:rFonts w:hint="eastAsia" w:hAnsi="宋体"/>
          <w:sz w:val="24"/>
          <w:szCs w:val="24"/>
        </w:rPr>
        <w:t>“</w:t>
      </w:r>
      <w:r>
        <w:rPr>
          <w:rFonts w:hint="eastAsia" w:hAnsi="宋体"/>
          <w:sz w:val="24"/>
          <w:szCs w:val="24"/>
          <w:lang w:eastAsia="zh-CN"/>
        </w:rPr>
        <w:t>乌鲁木齐职业大学北辰校区建设项目可行性研究报告编制技术服务项目</w:t>
      </w:r>
      <w:r>
        <w:rPr>
          <w:rFonts w:hint="eastAsia" w:hAnsi="宋体"/>
          <w:sz w:val="24"/>
          <w:szCs w:val="24"/>
        </w:rPr>
        <w:t>” (项目编号：</w:t>
      </w:r>
      <w:r>
        <w:rPr>
          <w:rFonts w:hint="eastAsia" w:hAnsi="宋体"/>
          <w:sz w:val="24"/>
          <w:szCs w:val="24"/>
          <w:lang w:eastAsia="zh-CN"/>
        </w:rPr>
        <w:t>ZFCGHY-20220096</w:t>
      </w:r>
      <w:r>
        <w:rPr>
          <w:rFonts w:hint="eastAsia" w:hAnsi="宋体"/>
          <w:sz w:val="24"/>
          <w:szCs w:val="24"/>
        </w:rPr>
        <w:t>)</w:t>
      </w:r>
      <w:bookmarkEnd w:id="227"/>
      <w:r>
        <w:rPr>
          <w:rFonts w:hint="eastAsia" w:hAnsi="宋体"/>
          <w:sz w:val="24"/>
          <w:szCs w:val="24"/>
        </w:rPr>
        <w:t>的投标事宜。</w:t>
      </w:r>
      <w:r>
        <w:rPr>
          <w:rFonts w:hint="eastAsia" w:hAnsi="宋体"/>
          <w:sz w:val="24"/>
          <w:szCs w:val="24"/>
          <w:lang w:val="en-GB"/>
        </w:rPr>
        <w:t>本</w:t>
      </w:r>
      <w:r>
        <w:rPr>
          <w:rFonts w:hint="eastAsia" w:hAnsi="宋体"/>
          <w:sz w:val="24"/>
          <w:szCs w:val="24"/>
        </w:rPr>
        <w:t>授权书</w:t>
      </w:r>
      <w:r>
        <w:rPr>
          <w:rFonts w:hint="eastAsia" w:hAnsi="宋体"/>
          <w:sz w:val="24"/>
          <w:szCs w:val="24"/>
          <w:lang w:val="en-GB"/>
        </w:rPr>
        <w:t>有效期与我方响应文件中标注的投标有效期相同，自签章之日起生效。</w:t>
      </w:r>
    </w:p>
    <w:p>
      <w:pPr>
        <w:pStyle w:val="197"/>
        <w:spacing w:line="360" w:lineRule="auto"/>
        <w:ind w:firstLine="480" w:firstLineChars="200"/>
        <w:rPr>
          <w:rFonts w:hAnsi="宋体"/>
          <w:sz w:val="24"/>
          <w:szCs w:val="24"/>
          <w:u w:val="single"/>
        </w:rPr>
      </w:pPr>
      <w:r>
        <w:rPr>
          <w:rFonts w:hint="eastAsia" w:hAnsi="宋体"/>
          <w:sz w:val="24"/>
          <w:szCs w:val="24"/>
        </w:rPr>
        <w:t>附：代理人性别：</w:t>
      </w:r>
      <w:r>
        <w:rPr>
          <w:rFonts w:hint="eastAsia" w:hAnsi="宋体"/>
          <w:sz w:val="24"/>
          <w:szCs w:val="24"/>
          <w:u w:val="single"/>
        </w:rPr>
        <w:t xml:space="preserve">    </w:t>
      </w:r>
      <w:r>
        <w:rPr>
          <w:rFonts w:hint="eastAsia" w:hAnsi="宋体"/>
          <w:sz w:val="24"/>
          <w:szCs w:val="24"/>
        </w:rPr>
        <w:t xml:space="preserve">   年龄：</w:t>
      </w:r>
      <w:r>
        <w:rPr>
          <w:rFonts w:hint="eastAsia" w:hAnsi="宋体"/>
          <w:sz w:val="24"/>
          <w:szCs w:val="24"/>
          <w:u w:val="single"/>
        </w:rPr>
        <w:t xml:space="preserve">     </w:t>
      </w:r>
      <w:r>
        <w:rPr>
          <w:rFonts w:hint="eastAsia" w:hAnsi="宋体"/>
          <w:sz w:val="24"/>
          <w:szCs w:val="24"/>
        </w:rPr>
        <w:t xml:space="preserve">   职务：</w:t>
      </w:r>
      <w:r>
        <w:rPr>
          <w:rFonts w:hint="eastAsia" w:hAnsi="宋体"/>
          <w:sz w:val="24"/>
          <w:szCs w:val="24"/>
          <w:u w:val="single"/>
        </w:rPr>
        <w:t xml:space="preserve">               </w:t>
      </w:r>
    </w:p>
    <w:p>
      <w:pPr>
        <w:pStyle w:val="197"/>
        <w:spacing w:line="360" w:lineRule="auto"/>
        <w:ind w:firstLine="480" w:firstLineChars="200"/>
        <w:rPr>
          <w:rFonts w:hAnsi="宋体"/>
          <w:sz w:val="24"/>
          <w:szCs w:val="24"/>
          <w:u w:val="single"/>
        </w:rPr>
      </w:pPr>
      <w:r>
        <w:rPr>
          <w:rFonts w:hint="eastAsia" w:hAnsi="宋体"/>
          <w:sz w:val="24"/>
          <w:szCs w:val="24"/>
        </w:rPr>
        <w:t>　　身份证号码：</w:t>
      </w:r>
      <w:r>
        <w:rPr>
          <w:rFonts w:hint="eastAsia" w:hAnsi="宋体"/>
          <w:sz w:val="24"/>
          <w:szCs w:val="24"/>
          <w:u w:val="single"/>
        </w:rPr>
        <w:t xml:space="preserve">                     </w:t>
      </w:r>
    </w:p>
    <w:p>
      <w:pPr>
        <w:pStyle w:val="197"/>
        <w:spacing w:line="360" w:lineRule="auto"/>
        <w:ind w:firstLine="480" w:firstLineChars="200"/>
        <w:rPr>
          <w:rFonts w:hAnsi="宋体"/>
          <w:sz w:val="24"/>
          <w:szCs w:val="24"/>
        </w:rPr>
      </w:pPr>
      <w:r>
        <w:rPr>
          <w:rFonts w:hint="eastAsia" w:hAnsi="宋体"/>
          <w:sz w:val="24"/>
          <w:szCs w:val="24"/>
        </w:rPr>
        <w:t>　　附法定代表人及被授权人身份证复印件</w:t>
      </w:r>
    </w:p>
    <w:tbl>
      <w:tblPr>
        <w:tblStyle w:val="37"/>
        <w:tblW w:w="8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8346" w:type="dxa"/>
          </w:tcPr>
          <w:p>
            <w:pPr>
              <w:pStyle w:val="195"/>
              <w:spacing w:line="360" w:lineRule="auto"/>
              <w:jc w:val="center"/>
              <w:rPr>
                <w:rFonts w:hint="eastAsia" w:hAnsi="宋体"/>
                <w:sz w:val="24"/>
                <w:szCs w:val="24"/>
              </w:rPr>
            </w:pPr>
          </w:p>
          <w:p>
            <w:pPr>
              <w:pStyle w:val="195"/>
              <w:spacing w:line="360" w:lineRule="auto"/>
              <w:jc w:val="center"/>
              <w:rPr>
                <w:rFonts w:hint="eastAsia" w:hAnsi="宋体"/>
                <w:sz w:val="24"/>
                <w:szCs w:val="24"/>
              </w:rPr>
            </w:pPr>
          </w:p>
          <w:p>
            <w:pPr>
              <w:pStyle w:val="195"/>
              <w:spacing w:line="360" w:lineRule="auto"/>
              <w:jc w:val="center"/>
              <w:rPr>
                <w:rFonts w:hint="eastAsia" w:hAnsi="宋体" w:eastAsia="宋体"/>
                <w:sz w:val="24"/>
                <w:szCs w:val="24"/>
                <w:vertAlign w:val="baseline"/>
                <w:lang w:eastAsia="zh-CN"/>
              </w:rPr>
            </w:pPr>
            <w:r>
              <w:rPr>
                <w:rFonts w:hint="eastAsia" w:hAnsi="宋体"/>
                <w:sz w:val="24"/>
                <w:szCs w:val="24"/>
              </w:rPr>
              <w:t>法定代表人身份证</w:t>
            </w:r>
            <w:r>
              <w:rPr>
                <w:rFonts w:hint="eastAsia" w:hAnsi="宋体"/>
                <w:sz w:val="24"/>
                <w:szCs w:val="24"/>
                <w:lang w:eastAsia="zh-CN"/>
              </w:rPr>
              <w:t>正反面</w:t>
            </w:r>
          </w:p>
        </w:tc>
      </w:tr>
    </w:tbl>
    <w:p>
      <w:pPr>
        <w:pStyle w:val="113"/>
        <w:spacing w:line="360" w:lineRule="auto"/>
        <w:ind w:right="84" w:rightChars="40" w:firstLine="4080" w:firstLineChars="1700"/>
        <w:jc w:val="center"/>
        <w:rPr>
          <w:rFonts w:ascii="宋体" w:hAnsi="宋体"/>
          <w:sz w:val="24"/>
          <w:szCs w:val="24"/>
        </w:rPr>
      </w:pPr>
    </w:p>
    <w:tbl>
      <w:tblPr>
        <w:tblStyle w:val="37"/>
        <w:tblW w:w="8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8346" w:type="dxa"/>
          </w:tcPr>
          <w:p>
            <w:pPr>
              <w:pStyle w:val="195"/>
              <w:spacing w:line="360" w:lineRule="auto"/>
              <w:jc w:val="center"/>
              <w:rPr>
                <w:rFonts w:hint="eastAsia" w:hAnsi="宋体"/>
                <w:sz w:val="24"/>
                <w:szCs w:val="24"/>
              </w:rPr>
            </w:pPr>
          </w:p>
          <w:p>
            <w:pPr>
              <w:pStyle w:val="195"/>
              <w:spacing w:line="360" w:lineRule="auto"/>
              <w:jc w:val="center"/>
              <w:rPr>
                <w:rFonts w:hint="eastAsia" w:hAnsi="宋体"/>
                <w:sz w:val="24"/>
                <w:szCs w:val="24"/>
              </w:rPr>
            </w:pPr>
          </w:p>
          <w:p>
            <w:pPr>
              <w:pStyle w:val="195"/>
              <w:spacing w:line="360" w:lineRule="auto"/>
              <w:jc w:val="center"/>
              <w:rPr>
                <w:rFonts w:hAnsi="宋体"/>
                <w:sz w:val="24"/>
                <w:szCs w:val="24"/>
                <w:vertAlign w:val="baseline"/>
              </w:rPr>
            </w:pPr>
            <w:r>
              <w:rPr>
                <w:rFonts w:hint="eastAsia" w:hAnsi="宋体"/>
                <w:sz w:val="24"/>
                <w:szCs w:val="24"/>
              </w:rPr>
              <w:t>被授权人身份证</w:t>
            </w:r>
            <w:r>
              <w:rPr>
                <w:rFonts w:hint="eastAsia" w:hAnsi="宋体"/>
                <w:sz w:val="24"/>
                <w:szCs w:val="24"/>
                <w:lang w:eastAsia="zh-CN"/>
              </w:rPr>
              <w:t>正反面</w:t>
            </w:r>
          </w:p>
        </w:tc>
      </w:tr>
    </w:tbl>
    <w:p>
      <w:pPr>
        <w:pStyle w:val="113"/>
        <w:spacing w:line="360" w:lineRule="auto"/>
        <w:ind w:right="84" w:rightChars="40" w:firstLine="4080" w:firstLineChars="1700"/>
        <w:rPr>
          <w:rFonts w:ascii="宋体" w:hAnsi="宋体"/>
          <w:sz w:val="24"/>
          <w:szCs w:val="24"/>
        </w:rPr>
      </w:pPr>
    </w:p>
    <w:p>
      <w:pPr>
        <w:pStyle w:val="113"/>
        <w:spacing w:line="360" w:lineRule="auto"/>
        <w:ind w:right="84" w:rightChars="40" w:firstLine="4080" w:firstLineChars="1700"/>
        <w:rPr>
          <w:rFonts w:ascii="宋体" w:hAnsi="宋体"/>
          <w:sz w:val="24"/>
          <w:szCs w:val="24"/>
        </w:rPr>
      </w:pPr>
    </w:p>
    <w:p>
      <w:pPr>
        <w:pStyle w:val="113"/>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jc w:val="right"/>
        <w:rPr>
          <w:rFonts w:ascii="宋体" w:hAnsi="宋体"/>
          <w:sz w:val="24"/>
          <w:szCs w:val="24"/>
        </w:rPr>
      </w:pPr>
      <w:r>
        <w:rPr>
          <w:rFonts w:hint="eastAsia" w:ascii="宋体" w:hAnsi="宋体"/>
          <w:sz w:val="24"/>
          <w:szCs w:val="24"/>
        </w:rPr>
        <w:t>日期：</w:t>
      </w:r>
      <w:r>
        <w:rPr>
          <w:rFonts w:hint="eastAsia" w:ascii="宋体" w:hAnsi="宋体" w:cs="Arial"/>
          <w:sz w:val="24"/>
          <w:szCs w:val="24"/>
        </w:rPr>
        <w:t>2022年   月   日</w:t>
      </w:r>
    </w:p>
    <w:p>
      <w:pPr>
        <w:pStyle w:val="195"/>
        <w:rPr>
          <w:rFonts w:hAnsi="宋体"/>
          <w:sz w:val="24"/>
          <w:szCs w:val="24"/>
          <w:lang w:val="en-US"/>
        </w:rPr>
      </w:pPr>
    </w:p>
    <w:p>
      <w:pPr>
        <w:pStyle w:val="195"/>
        <w:rPr>
          <w:rFonts w:hAnsi="宋体"/>
          <w:sz w:val="24"/>
          <w:szCs w:val="24"/>
        </w:rPr>
      </w:pPr>
    </w:p>
    <w:p>
      <w:pPr>
        <w:pStyle w:val="195"/>
        <w:spacing w:line="460" w:lineRule="exact"/>
        <w:ind w:left="720" w:hanging="720" w:hangingChars="300"/>
        <w:jc w:val="both"/>
        <w:rPr>
          <w:rFonts w:hAnsi="宋体" w:cs="仿宋_GB2312"/>
          <w:color w:val="000000"/>
          <w:sz w:val="24"/>
          <w:szCs w:val="24"/>
        </w:rPr>
      </w:pPr>
      <w:r>
        <w:rPr>
          <w:rFonts w:hint="eastAsia" w:hAnsi="宋体" w:cs="仿宋_GB2312"/>
          <w:color w:val="000000"/>
          <w:sz w:val="24"/>
          <w:szCs w:val="24"/>
        </w:rPr>
        <w:t>说明：</w:t>
      </w:r>
      <w:r>
        <w:rPr>
          <w:rFonts w:hAnsi="宋体" w:cs="仿宋_GB2312"/>
          <w:color w:val="000000"/>
          <w:sz w:val="24"/>
          <w:szCs w:val="24"/>
        </w:rPr>
        <w:t>法定代表人亲自</w:t>
      </w:r>
      <w:r>
        <w:rPr>
          <w:rFonts w:hint="eastAsia" w:hAnsi="宋体" w:cs="仿宋_GB2312"/>
          <w:color w:val="000000"/>
          <w:sz w:val="24"/>
          <w:szCs w:val="24"/>
        </w:rPr>
        <w:t>办理投标事宜的</w:t>
      </w:r>
      <w:r>
        <w:rPr>
          <w:rFonts w:hAnsi="宋体" w:cs="仿宋_GB2312"/>
          <w:color w:val="000000"/>
          <w:sz w:val="24"/>
          <w:szCs w:val="24"/>
        </w:rPr>
        <w:t>，无需提交本授权委托</w:t>
      </w:r>
      <w:r>
        <w:rPr>
          <w:rFonts w:hint="eastAsia" w:hAnsi="宋体" w:cs="仿宋_GB2312"/>
          <w:color w:val="000000"/>
          <w:sz w:val="24"/>
          <w:szCs w:val="24"/>
        </w:rPr>
        <w:t>证明书</w:t>
      </w:r>
      <w:r>
        <w:rPr>
          <w:rFonts w:hAnsi="宋体" w:cs="仿宋_GB2312"/>
          <w:color w:val="000000"/>
          <w:sz w:val="24"/>
          <w:szCs w:val="24"/>
        </w:rPr>
        <w:t>。</w:t>
      </w:r>
    </w:p>
    <w:p>
      <w:pPr>
        <w:pStyle w:val="195"/>
        <w:spacing w:line="460" w:lineRule="exact"/>
        <w:ind w:left="720" w:hanging="720" w:hangingChars="300"/>
        <w:jc w:val="both"/>
        <w:rPr>
          <w:rFonts w:hAnsi="宋体" w:cs="仿宋_GB2312"/>
          <w:color w:val="000000"/>
          <w:sz w:val="24"/>
          <w:szCs w:val="24"/>
        </w:rPr>
      </w:pPr>
    </w:p>
    <w:p>
      <w:pPr>
        <w:pStyle w:val="195"/>
        <w:spacing w:line="460" w:lineRule="exact"/>
        <w:ind w:left="720" w:hanging="720" w:hangingChars="300"/>
        <w:jc w:val="both"/>
        <w:rPr>
          <w:rFonts w:hAnsi="宋体" w:cs="仿宋_GB2312"/>
          <w:color w:val="000000"/>
          <w:sz w:val="24"/>
          <w:szCs w:val="24"/>
        </w:rPr>
      </w:pPr>
    </w:p>
    <w:p>
      <w:pPr>
        <w:shd w:val="clear" w:color="auto" w:fill="FFFFFF" w:themeFill="background1"/>
        <w:spacing w:line="240" w:lineRule="auto"/>
        <w:ind w:left="-10" w:firstLine="8"/>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法定代表人身份证明</w:t>
      </w:r>
    </w:p>
    <w:p>
      <w:pPr>
        <w:pStyle w:val="18"/>
        <w:shd w:val="clear" w:color="auto" w:fill="FFFFFF" w:themeFill="background1"/>
        <w:spacing w:before="240" w:beforeAutospacing="0" w:after="120" w:afterAutospacing="0" w:line="240" w:lineRule="auto"/>
        <w:ind w:firstLine="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致（采购代理机构）：</w:t>
      </w:r>
    </w:p>
    <w:p>
      <w:pPr>
        <w:pStyle w:val="18"/>
        <w:shd w:val="clear" w:color="auto" w:fill="FFFFFF" w:themeFill="background1"/>
        <w:spacing w:before="240" w:beforeAutospacing="0" w:after="120" w:afterAutospacing="0" w:line="240" w:lineRule="auto"/>
        <w:ind w:firstLine="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u w:val="single"/>
        </w:rPr>
        <w:t xml:space="preserve">（投标单位全称） </w:t>
      </w:r>
      <w:r>
        <w:rPr>
          <w:rFonts w:hint="eastAsia" w:asciiTheme="minorEastAsia" w:hAnsiTheme="minorEastAsia" w:eastAsiaTheme="minorEastAsia" w:cstheme="minorEastAsia"/>
          <w:szCs w:val="24"/>
        </w:rPr>
        <w:t>法定代表人</w:t>
      </w:r>
      <w:r>
        <w:rPr>
          <w:rFonts w:hint="eastAsia" w:asciiTheme="minorEastAsia" w:hAnsiTheme="minorEastAsia" w:eastAsiaTheme="minorEastAsia" w:cstheme="minorEastAsia"/>
          <w:szCs w:val="24"/>
          <w:u w:val="single"/>
        </w:rPr>
        <w:t xml:space="preserve"> 姓名</w:t>
      </w:r>
      <w:r>
        <w:rPr>
          <w:rFonts w:hint="eastAsia" w:asciiTheme="minorEastAsia" w:hAnsiTheme="minorEastAsia" w:eastAsiaTheme="minorEastAsia" w:cstheme="minorEastAsia"/>
          <w:szCs w:val="24"/>
        </w:rPr>
        <w:t>（身份证号码：），参加贵方组织的项目名称“</w:t>
      </w:r>
      <w:r>
        <w:rPr>
          <w:rFonts w:hint="eastAsia" w:asciiTheme="minorEastAsia" w:hAnsiTheme="minorEastAsia" w:eastAsiaTheme="minorEastAsia" w:cstheme="minorEastAsia"/>
          <w:szCs w:val="24"/>
          <w:lang w:eastAsia="zh-CN"/>
        </w:rPr>
        <w:t>乌鲁木齐职业大学北辰校区建设项目可行性研究报告编制技术服务项目</w:t>
      </w:r>
      <w:r>
        <w:rPr>
          <w:rFonts w:hint="eastAsia" w:asciiTheme="minorEastAsia" w:hAnsiTheme="minorEastAsia" w:eastAsiaTheme="minorEastAsia" w:cstheme="minorEastAsia"/>
          <w:szCs w:val="24"/>
        </w:rPr>
        <w:t>”(</w:t>
      </w:r>
      <w:r>
        <w:rPr>
          <w:rFonts w:hint="eastAsia" w:hAnsi="宋体"/>
          <w:szCs w:val="24"/>
        </w:rPr>
        <w:t>项目编号：</w:t>
      </w:r>
      <w:r>
        <w:rPr>
          <w:rFonts w:hint="eastAsia" w:hAnsi="宋体"/>
          <w:szCs w:val="24"/>
          <w:lang w:eastAsia="zh-CN"/>
        </w:rPr>
        <w:t>ZFCGHY-20220096</w:t>
      </w:r>
      <w:r>
        <w:rPr>
          <w:rFonts w:hint="eastAsia" w:hAnsi="宋体"/>
          <w:szCs w:val="24"/>
        </w:rPr>
        <w:t>)</w:t>
      </w:r>
      <w:r>
        <w:rPr>
          <w:rFonts w:hint="eastAsia" w:asciiTheme="minorEastAsia" w:hAnsiTheme="minorEastAsia" w:eastAsiaTheme="minorEastAsia" w:cstheme="minorEastAsia"/>
          <w:szCs w:val="24"/>
        </w:rPr>
        <w:t>的招标投标活动，代表本公司处理招标投标活动中的一切事宜。</w:t>
      </w:r>
    </w:p>
    <w:tbl>
      <w:tblPr>
        <w:tblStyle w:val="3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trPr>
        <w:tc>
          <w:tcPr>
            <w:tcW w:w="4560" w:type="dxa"/>
            <w:vAlign w:val="center"/>
          </w:tcPr>
          <w:p>
            <w:pPr>
              <w:pStyle w:val="18"/>
              <w:shd w:val="clear" w:color="auto" w:fill="FFFFFF" w:themeFill="background1"/>
              <w:spacing w:before="240" w:beforeAutospacing="0" w:after="120" w:afterAutospacing="0" w:line="240" w:lineRule="auto"/>
              <w:ind w:firstLine="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法定代表人身份证复印件</w:t>
            </w:r>
          </w:p>
          <w:p>
            <w:pPr>
              <w:pStyle w:val="18"/>
              <w:shd w:val="clear" w:color="auto" w:fill="FFFFFF" w:themeFill="background1"/>
              <w:spacing w:before="240" w:beforeAutospacing="0" w:after="120" w:afterAutospacing="0" w:line="240" w:lineRule="auto"/>
              <w:ind w:firstLine="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正面</w:t>
            </w:r>
          </w:p>
          <w:p>
            <w:pPr>
              <w:pStyle w:val="18"/>
              <w:shd w:val="clear" w:color="auto" w:fill="FFFFFF" w:themeFill="background1"/>
              <w:spacing w:before="240" w:beforeAutospacing="0" w:after="120" w:afterAutospacing="0" w:line="240" w:lineRule="auto"/>
              <w:ind w:firstLine="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（身份证复印件需清晰可辨认）</w:t>
            </w:r>
          </w:p>
        </w:tc>
        <w:tc>
          <w:tcPr>
            <w:tcW w:w="4512" w:type="dxa"/>
            <w:vAlign w:val="center"/>
          </w:tcPr>
          <w:p>
            <w:pPr>
              <w:pStyle w:val="18"/>
              <w:shd w:val="clear" w:color="auto" w:fill="FFFFFF" w:themeFill="background1"/>
              <w:spacing w:before="240" w:beforeAutospacing="0" w:after="120" w:afterAutospacing="0" w:line="240" w:lineRule="auto"/>
              <w:ind w:firstLine="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法定代表人身份证复印件</w:t>
            </w:r>
          </w:p>
          <w:p>
            <w:pPr>
              <w:pStyle w:val="18"/>
              <w:shd w:val="clear" w:color="auto" w:fill="FFFFFF" w:themeFill="background1"/>
              <w:spacing w:before="240" w:beforeAutospacing="0" w:after="120" w:afterAutospacing="0" w:line="240" w:lineRule="auto"/>
              <w:ind w:firstLine="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反面</w:t>
            </w:r>
          </w:p>
          <w:p>
            <w:pPr>
              <w:pStyle w:val="18"/>
              <w:shd w:val="clear" w:color="auto" w:fill="FFFFFF" w:themeFill="background1"/>
              <w:spacing w:before="240" w:beforeAutospacing="0" w:after="120" w:afterAutospacing="0" w:line="240" w:lineRule="auto"/>
              <w:ind w:firstLine="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（身份证复印件需清晰可辨认）</w:t>
            </w:r>
          </w:p>
        </w:tc>
      </w:tr>
    </w:tbl>
    <w:p>
      <w:pPr>
        <w:pStyle w:val="18"/>
        <w:shd w:val="clear" w:color="auto" w:fill="FFFFFF" w:themeFill="background1"/>
        <w:spacing w:before="240" w:beforeAutospacing="0" w:after="120" w:afterAutospacing="0" w:line="240" w:lineRule="auto"/>
        <w:ind w:firstLine="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注：身份证复印件如为粘贴的，须在身份证复印件与本页接缝处加盖公章；</w:t>
      </w:r>
    </w:p>
    <w:p>
      <w:pPr>
        <w:pStyle w:val="18"/>
        <w:shd w:val="clear" w:color="auto" w:fill="FFFFFF" w:themeFill="background1"/>
        <w:spacing w:before="240" w:beforeAutospacing="0" w:after="120" w:afterAutospacing="0" w:line="240" w:lineRule="auto"/>
        <w:ind w:firstLine="0"/>
        <w:rPr>
          <w:rFonts w:asciiTheme="minorEastAsia" w:hAnsiTheme="minorEastAsia" w:eastAsiaTheme="minorEastAsia" w:cstheme="minorEastAsia"/>
          <w:szCs w:val="24"/>
        </w:rPr>
      </w:pPr>
    </w:p>
    <w:p>
      <w:pPr>
        <w:pStyle w:val="18"/>
        <w:shd w:val="clear" w:color="auto" w:fill="FFFFFF" w:themeFill="background1"/>
        <w:spacing w:before="240" w:beforeAutospacing="0" w:after="120" w:afterAutospacing="0" w:line="240" w:lineRule="auto"/>
        <w:ind w:firstLine="0"/>
        <w:jc w:val="righ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法定代表人（签字或盖章）：  </w:t>
      </w:r>
    </w:p>
    <w:p>
      <w:pPr>
        <w:pStyle w:val="18"/>
        <w:shd w:val="clear" w:color="auto" w:fill="FFFFFF" w:themeFill="background1"/>
        <w:spacing w:before="240" w:beforeAutospacing="0" w:after="120" w:afterAutospacing="0" w:line="240" w:lineRule="auto"/>
        <w:ind w:firstLine="0"/>
        <w:jc w:val="righ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Cs w:val="24"/>
        </w:rPr>
        <w:t>供应商（公章）：</w:t>
      </w:r>
    </w:p>
    <w:p>
      <w:pPr>
        <w:pStyle w:val="195"/>
        <w:spacing w:line="460" w:lineRule="exact"/>
        <w:ind w:left="720" w:hanging="720" w:hangingChars="300"/>
        <w:jc w:val="both"/>
        <w:rPr>
          <w:rFonts w:hAnsi="宋体" w:cs="仿宋_GB2312"/>
          <w:color w:val="000000"/>
          <w:sz w:val="24"/>
          <w:szCs w:val="24"/>
        </w:rPr>
      </w:pPr>
    </w:p>
    <w:p>
      <w:pPr>
        <w:pStyle w:val="195"/>
        <w:spacing w:line="460" w:lineRule="exact"/>
        <w:ind w:left="720" w:hanging="720" w:hangingChars="300"/>
        <w:jc w:val="both"/>
        <w:rPr>
          <w:rFonts w:hAnsi="宋体" w:cs="仿宋_GB2312"/>
          <w:color w:val="000000"/>
          <w:sz w:val="24"/>
          <w:szCs w:val="24"/>
        </w:rPr>
      </w:pPr>
      <w:r>
        <w:rPr>
          <w:rFonts w:hint="eastAsia" w:hAnsi="宋体" w:cs="仿宋_GB2312"/>
          <w:color w:val="000000"/>
          <w:sz w:val="24"/>
          <w:szCs w:val="24"/>
        </w:rPr>
        <w:t>说明：</w:t>
      </w:r>
      <w:r>
        <w:rPr>
          <w:rFonts w:hAnsi="宋体" w:cs="仿宋_GB2312"/>
          <w:color w:val="000000"/>
          <w:sz w:val="24"/>
          <w:szCs w:val="24"/>
        </w:rPr>
        <w:t>法定代表人亲自</w:t>
      </w:r>
      <w:r>
        <w:rPr>
          <w:rFonts w:hint="eastAsia" w:hAnsi="宋体" w:cs="仿宋_GB2312"/>
          <w:color w:val="000000"/>
          <w:sz w:val="24"/>
          <w:szCs w:val="24"/>
        </w:rPr>
        <w:t>办理投标事宜的</w:t>
      </w:r>
      <w:r>
        <w:rPr>
          <w:rFonts w:hAnsi="宋体" w:cs="仿宋_GB2312"/>
          <w:color w:val="000000"/>
          <w:sz w:val="24"/>
          <w:szCs w:val="24"/>
        </w:rPr>
        <w:t>，需提交本</w:t>
      </w:r>
      <w:r>
        <w:rPr>
          <w:rFonts w:hint="eastAsia" w:hAnsi="宋体" w:cs="仿宋_GB2312"/>
          <w:color w:val="000000"/>
          <w:sz w:val="24"/>
          <w:szCs w:val="24"/>
        </w:rPr>
        <w:t>证明文件</w:t>
      </w:r>
      <w:r>
        <w:rPr>
          <w:rFonts w:hAnsi="宋体" w:cs="仿宋_GB2312"/>
          <w:color w:val="000000"/>
          <w:sz w:val="24"/>
          <w:szCs w:val="24"/>
        </w:rPr>
        <w:t>。</w:t>
      </w:r>
    </w:p>
    <w:p>
      <w:pPr>
        <w:pStyle w:val="198"/>
        <w:spacing w:line="360" w:lineRule="auto"/>
        <w:jc w:val="center"/>
        <w:rPr>
          <w:rFonts w:ascii="宋体" w:hAnsi="宋体"/>
          <w:b/>
          <w:sz w:val="28"/>
          <w:szCs w:val="28"/>
        </w:rPr>
      </w:pPr>
    </w:p>
    <w:p>
      <w:pPr>
        <w:keepNext/>
        <w:keepLines/>
        <w:spacing w:before="260" w:after="260" w:line="415" w:lineRule="auto"/>
        <w:ind w:firstLine="138" w:firstLineChars="49"/>
        <w:jc w:val="center"/>
        <w:outlineLvl w:val="2"/>
        <w:rPr>
          <w:rFonts w:ascii="宋体" w:hAnsi="宋体"/>
          <w:sz w:val="23"/>
          <w:szCs w:val="23"/>
        </w:rPr>
      </w:pPr>
      <w:r>
        <w:rPr>
          <w:rFonts w:ascii="宋体" w:hAnsi="宋体"/>
          <w:b/>
          <w:sz w:val="28"/>
          <w:szCs w:val="28"/>
        </w:rPr>
        <w:br w:type="page"/>
      </w:r>
      <w:bookmarkStart w:id="228" w:name="_Toc21813"/>
      <w:r>
        <w:rPr>
          <w:rFonts w:hint="eastAsia" w:ascii="宋体" w:hAnsi="宋体"/>
          <w:bCs/>
          <w:sz w:val="28"/>
          <w:szCs w:val="28"/>
        </w:rPr>
        <w:t>供应商</w:t>
      </w:r>
      <w:r>
        <w:rPr>
          <w:rFonts w:ascii="宋体" w:hAnsi="宋体"/>
          <w:bCs/>
          <w:sz w:val="28"/>
          <w:szCs w:val="28"/>
        </w:rPr>
        <w:t>基本情况表</w:t>
      </w:r>
      <w:bookmarkEnd w:id="228"/>
    </w:p>
    <w:tbl>
      <w:tblPr>
        <w:tblStyle w:val="36"/>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hint="eastAsia" w:ascii="宋体" w:hAnsi="宋体"/>
                <w:szCs w:val="21"/>
              </w:rPr>
              <w:t>供应商</w:t>
            </w:r>
            <w:r>
              <w:rPr>
                <w:rFonts w:ascii="宋体" w:hAnsi="宋体"/>
                <w:szCs w:val="21"/>
              </w:rPr>
              <w:t>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hint="eastAsia" w:ascii="宋体" w:hAnsi="宋体"/>
                <w:szCs w:val="21"/>
              </w:rPr>
              <w:t>办公地址</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rFonts w:ascii="宋体" w:hAnsi="宋体"/>
                <w:szCs w:val="21"/>
              </w:rPr>
            </w:pPr>
            <w:r>
              <w:rPr>
                <w:rFonts w:ascii="宋体" w:hAnsi="宋体"/>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hint="eastAsia" w:ascii="宋体" w:hAnsi="宋体"/>
                <w:szCs w:val="21"/>
              </w:rPr>
              <w:t>正</w:t>
            </w:r>
            <w:r>
              <w:rPr>
                <w:rFonts w:ascii="宋体" w:hAnsi="宋体"/>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hint="eastAsia" w:ascii="宋体" w:hAnsi="宋体"/>
                <w:szCs w:val="21"/>
              </w:rPr>
              <w:t>副</w:t>
            </w:r>
            <w:r>
              <w:rPr>
                <w:rFonts w:ascii="宋体" w:hAnsi="宋体"/>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r>
              <w:rPr>
                <w:rFonts w:hint="eastAsia" w:ascii="宋体" w:hAnsi="宋体"/>
                <w:szCs w:val="21"/>
              </w:rPr>
              <w:t>其他</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10" w:firstLineChars="100"/>
              <w:jc w:val="center"/>
              <w:rPr>
                <w:rFonts w:ascii="宋体" w:hAnsi="宋体"/>
                <w:szCs w:val="21"/>
              </w:rPr>
            </w:pPr>
            <w:r>
              <w:rPr>
                <w:rFonts w:ascii="宋体" w:hAnsi="宋体"/>
                <w:szCs w:val="21"/>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bl>
    <w:p>
      <w:pPr>
        <w:widowControl/>
        <w:spacing w:before="0" w:beforeAutospacing="0" w:after="0" w:afterAutospacing="0" w:line="240" w:lineRule="auto"/>
        <w:jc w:val="left"/>
        <w:rPr>
          <w:rFonts w:ascii="宋体" w:hAnsi="宋体"/>
          <w:b/>
          <w:sz w:val="28"/>
          <w:szCs w:val="28"/>
        </w:rPr>
      </w:pPr>
    </w:p>
    <w:p>
      <w:pPr>
        <w:widowControl/>
        <w:spacing w:before="0" w:beforeAutospacing="0" w:after="0" w:afterAutospacing="0" w:line="240" w:lineRule="auto"/>
        <w:jc w:val="left"/>
        <w:rPr>
          <w:rFonts w:ascii="宋体" w:hAnsi="宋体"/>
          <w:b/>
          <w:sz w:val="28"/>
          <w:szCs w:val="28"/>
        </w:rPr>
      </w:pPr>
    </w:p>
    <w:p>
      <w:pPr>
        <w:pStyle w:val="113"/>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widowControl/>
        <w:spacing w:before="0" w:beforeAutospacing="0" w:after="0" w:afterAutospacing="0" w:line="240" w:lineRule="auto"/>
        <w:ind w:firstLine="4080" w:firstLineChars="1700"/>
        <w:jc w:val="left"/>
        <w:rPr>
          <w:rFonts w:ascii="宋体" w:hAnsi="宋体"/>
          <w:b/>
          <w:sz w:val="28"/>
          <w:szCs w:val="28"/>
        </w:rPr>
      </w:pPr>
      <w:r>
        <w:rPr>
          <w:rFonts w:hint="eastAsia" w:ascii="宋体" w:hAnsi="宋体"/>
          <w:sz w:val="24"/>
        </w:rPr>
        <w:t>日期：</w:t>
      </w:r>
      <w:r>
        <w:rPr>
          <w:rFonts w:hint="eastAsia" w:ascii="宋体" w:hAnsi="宋体" w:cs="Arial"/>
          <w:sz w:val="24"/>
        </w:rPr>
        <w:t>2022年   月   日</w:t>
      </w:r>
    </w:p>
    <w:p>
      <w:pPr>
        <w:widowControl/>
        <w:spacing w:before="0" w:beforeAutospacing="0" w:after="0" w:afterAutospacing="0" w:line="240" w:lineRule="auto"/>
        <w:jc w:val="left"/>
        <w:rPr>
          <w:rFonts w:ascii="宋体" w:hAnsi="宋体"/>
          <w:b/>
          <w:sz w:val="28"/>
          <w:szCs w:val="28"/>
        </w:rPr>
      </w:pPr>
    </w:p>
    <w:p>
      <w:pPr>
        <w:widowControl/>
        <w:spacing w:before="0" w:beforeAutospacing="0" w:after="0" w:afterAutospacing="0" w:line="240" w:lineRule="auto"/>
        <w:jc w:val="left"/>
        <w:rPr>
          <w:rFonts w:ascii="宋体" w:hAnsi="宋体"/>
          <w:b/>
          <w:sz w:val="28"/>
          <w:szCs w:val="28"/>
        </w:rPr>
      </w:pPr>
    </w:p>
    <w:p>
      <w:pPr>
        <w:pStyle w:val="198"/>
        <w:spacing w:line="360" w:lineRule="auto"/>
        <w:jc w:val="center"/>
        <w:rPr>
          <w:rFonts w:ascii="宋体" w:hAnsi="宋体"/>
          <w:b/>
          <w:sz w:val="28"/>
          <w:szCs w:val="28"/>
        </w:rPr>
      </w:pPr>
      <w:r>
        <w:rPr>
          <w:rFonts w:hint="eastAsia" w:ascii="宋体" w:hAnsi="宋体"/>
          <w:b/>
          <w:sz w:val="28"/>
          <w:szCs w:val="28"/>
        </w:rPr>
        <w:t>开标一览表</w:t>
      </w:r>
    </w:p>
    <w:p>
      <w:pPr>
        <w:pStyle w:val="198"/>
        <w:autoSpaceDE w:val="0"/>
        <w:autoSpaceDN w:val="0"/>
        <w:adjustRightInd w:val="0"/>
        <w:spacing w:line="360" w:lineRule="auto"/>
        <w:jc w:val="left"/>
        <w:rPr>
          <w:rFonts w:hint="eastAsia" w:ascii="宋体" w:hAnsi="宋体" w:eastAsia="宋体"/>
          <w:sz w:val="24"/>
          <w:szCs w:val="24"/>
          <w:lang w:eastAsia="zh-CN"/>
        </w:rPr>
      </w:pPr>
      <w:r>
        <w:rPr>
          <w:rFonts w:hint="eastAsia" w:hAnsi="宋体"/>
          <w:sz w:val="24"/>
          <w:szCs w:val="24"/>
        </w:rPr>
        <w:t>项目名</w:t>
      </w:r>
      <w:r>
        <w:rPr>
          <w:rFonts w:hint="eastAsia" w:ascii="宋体" w:hAnsi="宋体"/>
          <w:sz w:val="24"/>
          <w:szCs w:val="24"/>
        </w:rPr>
        <w:t>称：</w:t>
      </w:r>
      <w:r>
        <w:rPr>
          <w:rFonts w:hint="eastAsia" w:ascii="宋体" w:hAnsi="宋体"/>
          <w:sz w:val="24"/>
          <w:szCs w:val="24"/>
          <w:lang w:eastAsia="zh-CN"/>
        </w:rPr>
        <w:t>乌鲁木齐职业大学北辰校区建设项目可行性研究报告编制技术服务项目</w:t>
      </w:r>
    </w:p>
    <w:p>
      <w:pPr>
        <w:pStyle w:val="198"/>
        <w:autoSpaceDE w:val="0"/>
        <w:autoSpaceDN w:val="0"/>
        <w:adjustRightInd w:val="0"/>
        <w:spacing w:line="360" w:lineRule="auto"/>
        <w:jc w:val="left"/>
        <w:rPr>
          <w:rFonts w:hint="eastAsia" w:ascii="宋体" w:hAnsi="宋体" w:eastAsia="宋体"/>
          <w:sz w:val="24"/>
          <w:szCs w:val="24"/>
          <w:lang w:eastAsia="zh-CN"/>
        </w:rPr>
      </w:pPr>
      <w:r>
        <w:rPr>
          <w:rFonts w:hint="eastAsia" w:ascii="宋体" w:hAnsi="宋体"/>
          <w:sz w:val="24"/>
          <w:szCs w:val="24"/>
        </w:rPr>
        <w:t>项目编号：</w:t>
      </w:r>
      <w:r>
        <w:rPr>
          <w:rFonts w:hint="eastAsia" w:ascii="宋体" w:hAnsi="宋体"/>
          <w:sz w:val="24"/>
          <w:szCs w:val="24"/>
          <w:lang w:eastAsia="zh-CN"/>
        </w:rPr>
        <w:t>ZFCGHY-20220096</w:t>
      </w:r>
    </w:p>
    <w:p>
      <w:pPr>
        <w:pStyle w:val="199"/>
        <w:wordWrap w:val="0"/>
        <w:spacing w:line="360" w:lineRule="auto"/>
        <w:jc w:val="right"/>
        <w:rPr>
          <w:rFonts w:hAnsi="宋体"/>
          <w:sz w:val="24"/>
          <w:szCs w:val="24"/>
        </w:rPr>
      </w:pPr>
      <w:r>
        <w:rPr>
          <w:rFonts w:hint="eastAsia" w:hAnsi="宋体"/>
          <w:sz w:val="24"/>
          <w:szCs w:val="24"/>
        </w:rPr>
        <w:t xml:space="preserve">       [货币单位：人民币元]</w:t>
      </w:r>
    </w:p>
    <w:tbl>
      <w:tblPr>
        <w:tblStyle w:val="36"/>
        <w:tblW w:w="8647" w:type="dxa"/>
        <w:tblInd w:w="30" w:type="dxa"/>
        <w:tblLayout w:type="fixed"/>
        <w:tblCellMar>
          <w:top w:w="0" w:type="dxa"/>
          <w:left w:w="30" w:type="dxa"/>
          <w:bottom w:w="0" w:type="dxa"/>
          <w:right w:w="30" w:type="dxa"/>
        </w:tblCellMar>
      </w:tblPr>
      <w:tblGrid>
        <w:gridCol w:w="2652"/>
        <w:gridCol w:w="5995"/>
      </w:tblGrid>
      <w:tr>
        <w:tblPrEx>
          <w:tblCellMar>
            <w:top w:w="0" w:type="dxa"/>
            <w:left w:w="30" w:type="dxa"/>
            <w:bottom w:w="0" w:type="dxa"/>
            <w:right w:w="30" w:type="dxa"/>
          </w:tblCellMar>
        </w:tblPrEx>
        <w:trPr>
          <w:cantSplit/>
          <w:trHeight w:val="454" w:hRule="atLeast"/>
        </w:trPr>
        <w:tc>
          <w:tcPr>
            <w:tcW w:w="2652" w:type="dxa"/>
            <w:tcBorders>
              <w:top w:val="single" w:color="auto" w:sz="4" w:space="0"/>
              <w:left w:val="single" w:color="auto" w:sz="4" w:space="0"/>
              <w:bottom w:val="single" w:color="auto" w:sz="4" w:space="0"/>
              <w:right w:val="single" w:color="auto" w:sz="6" w:space="0"/>
            </w:tcBorders>
            <w:vAlign w:val="center"/>
          </w:tcPr>
          <w:p>
            <w:pPr>
              <w:pStyle w:val="198"/>
              <w:autoSpaceDE w:val="0"/>
              <w:autoSpaceDN w:val="0"/>
              <w:adjustRightInd w:val="0"/>
              <w:spacing w:line="360" w:lineRule="auto"/>
              <w:jc w:val="center"/>
              <w:rPr>
                <w:rFonts w:ascii="宋体" w:hAnsi="宋体"/>
                <w:sz w:val="24"/>
                <w:szCs w:val="24"/>
              </w:rPr>
            </w:pPr>
            <w:r>
              <w:rPr>
                <w:rFonts w:hint="eastAsia" w:ascii="宋体" w:hAnsi="宋体"/>
                <w:sz w:val="24"/>
                <w:szCs w:val="24"/>
              </w:rPr>
              <w:t>分项</w:t>
            </w:r>
          </w:p>
        </w:tc>
        <w:tc>
          <w:tcPr>
            <w:tcW w:w="5995" w:type="dxa"/>
            <w:tcBorders>
              <w:top w:val="single" w:color="auto" w:sz="4" w:space="0"/>
              <w:left w:val="single" w:color="auto" w:sz="6" w:space="0"/>
              <w:bottom w:val="single" w:color="auto" w:sz="4" w:space="0"/>
              <w:right w:val="single" w:color="auto" w:sz="4" w:space="0"/>
            </w:tcBorders>
            <w:vAlign w:val="center"/>
          </w:tcPr>
          <w:p>
            <w:pPr>
              <w:pStyle w:val="198"/>
              <w:autoSpaceDE w:val="0"/>
              <w:autoSpaceDN w:val="0"/>
              <w:adjustRightInd w:val="0"/>
              <w:spacing w:line="360" w:lineRule="auto"/>
              <w:jc w:val="center"/>
              <w:rPr>
                <w:rFonts w:ascii="宋体" w:hAnsi="宋体"/>
                <w:sz w:val="24"/>
                <w:szCs w:val="24"/>
              </w:rPr>
            </w:pPr>
            <w:r>
              <w:rPr>
                <w:rFonts w:hint="eastAsia" w:ascii="宋体" w:hAnsi="宋体"/>
                <w:sz w:val="24"/>
                <w:szCs w:val="24"/>
              </w:rPr>
              <w:t>分项内容</w:t>
            </w:r>
          </w:p>
        </w:tc>
      </w:tr>
      <w:tr>
        <w:tblPrEx>
          <w:tblCellMar>
            <w:top w:w="0" w:type="dxa"/>
            <w:left w:w="30" w:type="dxa"/>
            <w:bottom w:w="0" w:type="dxa"/>
            <w:right w:w="30" w:type="dxa"/>
          </w:tblCellMar>
        </w:tblPrEx>
        <w:trPr>
          <w:cantSplit/>
          <w:trHeight w:val="454" w:hRule="atLeast"/>
        </w:trPr>
        <w:tc>
          <w:tcPr>
            <w:tcW w:w="2652" w:type="dxa"/>
            <w:tcBorders>
              <w:top w:val="single" w:color="auto" w:sz="6" w:space="0"/>
              <w:left w:val="single" w:color="auto" w:sz="4" w:space="0"/>
              <w:bottom w:val="single" w:color="auto" w:sz="6" w:space="0"/>
              <w:right w:val="single" w:color="auto" w:sz="6" w:space="0"/>
            </w:tcBorders>
            <w:vAlign w:val="center"/>
          </w:tcPr>
          <w:p>
            <w:pPr>
              <w:pStyle w:val="198"/>
              <w:autoSpaceDE w:val="0"/>
              <w:autoSpaceDN w:val="0"/>
              <w:adjustRightInd w:val="0"/>
              <w:spacing w:line="360" w:lineRule="auto"/>
              <w:jc w:val="center"/>
              <w:rPr>
                <w:rFonts w:ascii="宋体" w:hAnsi="宋体"/>
                <w:sz w:val="24"/>
                <w:szCs w:val="24"/>
              </w:rPr>
            </w:pPr>
            <w:r>
              <w:rPr>
                <w:rFonts w:hint="eastAsia" w:ascii="宋体" w:hAnsi="宋体"/>
                <w:sz w:val="24"/>
                <w:szCs w:val="24"/>
              </w:rPr>
              <w:t>投标总报价</w:t>
            </w:r>
          </w:p>
        </w:tc>
        <w:tc>
          <w:tcPr>
            <w:tcW w:w="5995" w:type="dxa"/>
            <w:tcBorders>
              <w:top w:val="single" w:color="auto" w:sz="6" w:space="0"/>
              <w:left w:val="single" w:color="auto" w:sz="6" w:space="0"/>
              <w:bottom w:val="single" w:color="auto" w:sz="6" w:space="0"/>
              <w:right w:val="single" w:color="auto" w:sz="4" w:space="0"/>
            </w:tcBorders>
            <w:vAlign w:val="center"/>
          </w:tcPr>
          <w:p>
            <w:pPr>
              <w:pStyle w:val="198"/>
              <w:autoSpaceDE w:val="0"/>
              <w:autoSpaceDN w:val="0"/>
              <w:adjustRightInd w:val="0"/>
              <w:spacing w:line="360" w:lineRule="auto"/>
              <w:jc w:val="left"/>
              <w:rPr>
                <w:rFonts w:ascii="宋体" w:hAnsi="宋体"/>
                <w:sz w:val="24"/>
                <w:szCs w:val="24"/>
              </w:rPr>
            </w:pPr>
            <w:r>
              <w:rPr>
                <w:rFonts w:hint="eastAsia" w:ascii="宋体" w:hAnsi="宋体"/>
                <w:sz w:val="24"/>
                <w:szCs w:val="24"/>
              </w:rPr>
              <w:t>小写：</w:t>
            </w:r>
            <w:r>
              <w:rPr>
                <w:rFonts w:ascii="宋体" w:hAnsi="宋体"/>
                <w:sz w:val="24"/>
                <w:szCs w:val="24"/>
              </w:rPr>
              <w:t>元</w:t>
            </w:r>
          </w:p>
          <w:p>
            <w:pPr>
              <w:pStyle w:val="198"/>
              <w:autoSpaceDE w:val="0"/>
              <w:autoSpaceDN w:val="0"/>
              <w:adjustRightInd w:val="0"/>
              <w:spacing w:line="360" w:lineRule="auto"/>
              <w:jc w:val="left"/>
              <w:rPr>
                <w:rFonts w:ascii="宋体" w:hAnsi="宋体"/>
                <w:sz w:val="24"/>
                <w:szCs w:val="24"/>
              </w:rPr>
            </w:pPr>
            <w:r>
              <w:rPr>
                <w:rFonts w:hint="eastAsia" w:ascii="宋体" w:hAnsi="宋体"/>
                <w:sz w:val="24"/>
                <w:szCs w:val="24"/>
              </w:rPr>
              <w:t>大写：元</w:t>
            </w:r>
          </w:p>
        </w:tc>
      </w:tr>
      <w:tr>
        <w:tblPrEx>
          <w:tblCellMar>
            <w:top w:w="0" w:type="dxa"/>
            <w:left w:w="30" w:type="dxa"/>
            <w:bottom w:w="0" w:type="dxa"/>
            <w:right w:w="30" w:type="dxa"/>
          </w:tblCellMar>
        </w:tblPrEx>
        <w:trPr>
          <w:cantSplit/>
          <w:trHeight w:val="454" w:hRule="atLeast"/>
        </w:trPr>
        <w:tc>
          <w:tcPr>
            <w:tcW w:w="2652" w:type="dxa"/>
            <w:tcBorders>
              <w:top w:val="single" w:color="auto" w:sz="6" w:space="0"/>
              <w:left w:val="single" w:color="auto" w:sz="4" w:space="0"/>
              <w:bottom w:val="single" w:color="auto" w:sz="6" w:space="0"/>
              <w:right w:val="single" w:color="auto" w:sz="6" w:space="0"/>
            </w:tcBorders>
            <w:vAlign w:val="center"/>
          </w:tcPr>
          <w:p>
            <w:pPr>
              <w:pStyle w:val="198"/>
              <w:autoSpaceDE w:val="0"/>
              <w:autoSpaceDN w:val="0"/>
              <w:adjustRightInd w:val="0"/>
              <w:spacing w:line="360" w:lineRule="auto"/>
              <w:jc w:val="center"/>
              <w:rPr>
                <w:rFonts w:ascii="宋体" w:hAnsi="宋体"/>
                <w:sz w:val="24"/>
                <w:szCs w:val="24"/>
              </w:rPr>
            </w:pPr>
            <w:r>
              <w:rPr>
                <w:rFonts w:hint="eastAsia" w:ascii="宋体" w:hAnsi="宋体"/>
                <w:sz w:val="24"/>
                <w:szCs w:val="24"/>
                <w:lang w:val="en-US" w:eastAsia="zh-CN"/>
              </w:rPr>
              <w:t>服务</w:t>
            </w:r>
            <w:r>
              <w:rPr>
                <w:rFonts w:hint="eastAsia" w:ascii="宋体" w:hAnsi="宋体"/>
                <w:sz w:val="24"/>
                <w:szCs w:val="24"/>
              </w:rPr>
              <w:t>周期</w:t>
            </w:r>
          </w:p>
        </w:tc>
        <w:tc>
          <w:tcPr>
            <w:tcW w:w="5995" w:type="dxa"/>
            <w:tcBorders>
              <w:top w:val="single" w:color="auto" w:sz="6" w:space="0"/>
              <w:left w:val="single" w:color="auto" w:sz="6" w:space="0"/>
              <w:bottom w:val="single" w:color="auto" w:sz="6" w:space="0"/>
              <w:right w:val="single" w:color="auto" w:sz="4" w:space="0"/>
            </w:tcBorders>
            <w:vAlign w:val="center"/>
          </w:tcPr>
          <w:p>
            <w:pPr>
              <w:pStyle w:val="198"/>
              <w:autoSpaceDE w:val="0"/>
              <w:autoSpaceDN w:val="0"/>
              <w:adjustRightInd w:val="0"/>
              <w:spacing w:line="360" w:lineRule="auto"/>
              <w:rPr>
                <w:rFonts w:hint="eastAsia" w:ascii="宋体" w:hAnsi="宋体" w:eastAsia="宋体"/>
                <w:sz w:val="24"/>
                <w:szCs w:val="24"/>
                <w:lang w:val="en-US" w:eastAsia="zh-CN"/>
              </w:rPr>
            </w:pPr>
            <w:r>
              <w:rPr>
                <w:rFonts w:hint="eastAsia" w:asciiTheme="minorEastAsia" w:hAnsiTheme="minorEastAsia" w:eastAsiaTheme="minorEastAsia" w:cstheme="minorEastAsia"/>
                <w:sz w:val="24"/>
                <w:lang w:val="en-US" w:eastAsia="zh-CN"/>
              </w:rPr>
              <w:t xml:space="preserve"> </w:t>
            </w:r>
          </w:p>
        </w:tc>
      </w:tr>
    </w:tbl>
    <w:p>
      <w:pPr>
        <w:pStyle w:val="199"/>
        <w:spacing w:line="360" w:lineRule="auto"/>
        <w:ind w:left="850" w:hanging="849" w:hangingChars="354"/>
        <w:rPr>
          <w:rFonts w:hAnsi="宋体"/>
          <w:sz w:val="24"/>
          <w:szCs w:val="24"/>
        </w:rPr>
      </w:pPr>
      <w:r>
        <w:rPr>
          <w:rFonts w:hint="eastAsia" w:hAnsi="宋体"/>
          <w:sz w:val="24"/>
          <w:szCs w:val="24"/>
        </w:rPr>
        <w:t>填报要求：</w:t>
      </w:r>
    </w:p>
    <w:p>
      <w:pPr>
        <w:pStyle w:val="199"/>
        <w:numPr>
          <w:ilvl w:val="0"/>
          <w:numId w:val="9"/>
        </w:numPr>
        <w:spacing w:line="360" w:lineRule="auto"/>
        <w:rPr>
          <w:rFonts w:hAnsi="宋体"/>
          <w:sz w:val="24"/>
          <w:szCs w:val="24"/>
        </w:rPr>
      </w:pPr>
      <w:r>
        <w:rPr>
          <w:rFonts w:hint="eastAsia" w:hAnsi="宋体"/>
          <w:sz w:val="24"/>
          <w:szCs w:val="24"/>
        </w:rPr>
        <w:t>投标总报价包含所有税费。</w:t>
      </w:r>
    </w:p>
    <w:p>
      <w:pPr>
        <w:pStyle w:val="199"/>
        <w:numPr>
          <w:ilvl w:val="0"/>
          <w:numId w:val="9"/>
        </w:numPr>
        <w:spacing w:line="360" w:lineRule="auto"/>
        <w:rPr>
          <w:rFonts w:hAnsi="宋体"/>
          <w:sz w:val="24"/>
          <w:szCs w:val="24"/>
        </w:rPr>
      </w:pPr>
      <w:r>
        <w:rPr>
          <w:rFonts w:hint="eastAsia" w:hAnsi="宋体"/>
          <w:sz w:val="24"/>
          <w:szCs w:val="24"/>
        </w:rPr>
        <w:t>如供应商报价低于最高限价40%的，必须在《实质性响应条款一览表》内说明报价理由。</w:t>
      </w:r>
    </w:p>
    <w:p>
      <w:pPr>
        <w:pStyle w:val="199"/>
        <w:numPr>
          <w:ilvl w:val="0"/>
          <w:numId w:val="9"/>
        </w:numPr>
        <w:spacing w:line="360" w:lineRule="auto"/>
        <w:ind w:left="0" w:firstLine="0"/>
        <w:rPr>
          <w:rFonts w:hAnsi="宋体"/>
          <w:sz w:val="24"/>
          <w:szCs w:val="24"/>
        </w:rPr>
      </w:pPr>
      <w:r>
        <w:rPr>
          <w:rFonts w:hint="eastAsia" w:hAnsi="宋体"/>
          <w:sz w:val="24"/>
          <w:szCs w:val="24"/>
        </w:rPr>
        <w:t>需另行单独密封递交，具体见供应商须知。</w:t>
      </w:r>
    </w:p>
    <w:p>
      <w:pPr>
        <w:pStyle w:val="113"/>
        <w:spacing w:line="360" w:lineRule="auto"/>
        <w:ind w:right="84" w:rightChars="40" w:firstLine="4080" w:firstLineChars="1700"/>
        <w:rPr>
          <w:rFonts w:ascii="宋体" w:hAnsi="宋体"/>
          <w:sz w:val="24"/>
          <w:szCs w:val="24"/>
        </w:rPr>
      </w:pPr>
    </w:p>
    <w:p>
      <w:pPr>
        <w:pStyle w:val="113"/>
        <w:spacing w:line="360" w:lineRule="auto"/>
        <w:ind w:right="84" w:rightChars="40" w:firstLine="4080" w:firstLineChars="1700"/>
        <w:rPr>
          <w:rFonts w:ascii="宋体" w:hAnsi="宋体"/>
          <w:sz w:val="24"/>
          <w:szCs w:val="24"/>
        </w:rPr>
      </w:pPr>
    </w:p>
    <w:p>
      <w:pPr>
        <w:pStyle w:val="113"/>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jc w:val="right"/>
        <w:rPr>
          <w:rFonts w:ascii="宋体" w:hAnsi="宋体"/>
          <w:sz w:val="24"/>
          <w:szCs w:val="24"/>
        </w:rPr>
      </w:pPr>
      <w:r>
        <w:rPr>
          <w:rFonts w:hint="eastAsia" w:ascii="宋体" w:hAnsi="宋体"/>
          <w:sz w:val="24"/>
          <w:szCs w:val="24"/>
        </w:rPr>
        <w:t>日期：</w:t>
      </w:r>
      <w:r>
        <w:rPr>
          <w:rFonts w:hint="eastAsia" w:ascii="宋体" w:hAnsi="宋体" w:cs="Arial"/>
          <w:sz w:val="24"/>
          <w:szCs w:val="24"/>
        </w:rPr>
        <w:t>2022年   月   日</w:t>
      </w:r>
    </w:p>
    <w:p>
      <w:pPr>
        <w:pStyle w:val="198"/>
        <w:rPr>
          <w:rFonts w:ascii="宋体" w:hAnsi="宋体"/>
          <w:sz w:val="24"/>
          <w:szCs w:val="24"/>
        </w:rPr>
      </w:pPr>
    </w:p>
    <w:p>
      <w:pPr>
        <w:pStyle w:val="198"/>
        <w:rPr>
          <w:rFonts w:ascii="宋体" w:hAnsi="宋体"/>
          <w:sz w:val="24"/>
          <w:szCs w:val="24"/>
        </w:rPr>
      </w:pPr>
    </w:p>
    <w:p>
      <w:pPr>
        <w:pStyle w:val="198"/>
        <w:rPr>
          <w:rFonts w:ascii="宋体" w:hAnsi="宋体"/>
          <w:sz w:val="24"/>
          <w:szCs w:val="24"/>
        </w:rPr>
      </w:pPr>
    </w:p>
    <w:p>
      <w:pPr>
        <w:pStyle w:val="198"/>
        <w:rPr>
          <w:rFonts w:ascii="宋体" w:hAnsi="宋体"/>
          <w:sz w:val="24"/>
          <w:szCs w:val="24"/>
        </w:rPr>
      </w:pPr>
    </w:p>
    <w:p>
      <w:pPr>
        <w:pStyle w:val="198"/>
        <w:rPr>
          <w:rFonts w:ascii="宋体" w:hAnsi="宋体"/>
          <w:sz w:val="24"/>
          <w:szCs w:val="24"/>
        </w:rPr>
      </w:pPr>
    </w:p>
    <w:p>
      <w:pPr>
        <w:pStyle w:val="198"/>
        <w:rPr>
          <w:rFonts w:ascii="宋体" w:hAnsi="宋体"/>
          <w:sz w:val="24"/>
          <w:szCs w:val="24"/>
        </w:rPr>
      </w:pPr>
      <w:r>
        <w:rPr>
          <w:rFonts w:ascii="宋体" w:hAnsi="宋体"/>
          <w:sz w:val="24"/>
          <w:szCs w:val="24"/>
        </w:rPr>
        <w:br w:type="page"/>
      </w:r>
    </w:p>
    <w:p>
      <w:pPr>
        <w:pStyle w:val="201"/>
        <w:spacing w:line="360" w:lineRule="auto"/>
        <w:jc w:val="center"/>
        <w:outlineLvl w:val="2"/>
        <w:rPr>
          <w:rFonts w:ascii="宋体" w:hAnsi="宋体"/>
          <w:b/>
          <w:sz w:val="28"/>
          <w:szCs w:val="28"/>
        </w:rPr>
      </w:pPr>
      <w:bookmarkStart w:id="229" w:name="_Toc43086031"/>
      <w:bookmarkStart w:id="230" w:name="_Toc30402"/>
      <w:bookmarkStart w:id="231" w:name="_Toc43086619"/>
      <w:bookmarkStart w:id="232" w:name="_Toc43627848"/>
      <w:bookmarkStart w:id="233" w:name="_Toc37581431"/>
      <w:r>
        <w:rPr>
          <w:rFonts w:hint="eastAsia" w:ascii="宋体" w:hAnsi="宋体"/>
          <w:b/>
          <w:sz w:val="28"/>
          <w:szCs w:val="28"/>
        </w:rPr>
        <w:t>报价明细表</w:t>
      </w:r>
      <w:bookmarkEnd w:id="229"/>
      <w:bookmarkEnd w:id="230"/>
      <w:bookmarkEnd w:id="231"/>
    </w:p>
    <w:p>
      <w:pPr>
        <w:pStyle w:val="199"/>
        <w:spacing w:line="360" w:lineRule="auto"/>
        <w:rPr>
          <w:rFonts w:hint="eastAsia" w:hAnsi="宋体" w:eastAsia="宋体"/>
          <w:sz w:val="24"/>
          <w:szCs w:val="24"/>
          <w:lang w:eastAsia="zh-CN"/>
        </w:rPr>
      </w:pPr>
      <w:r>
        <w:rPr>
          <w:rFonts w:hint="eastAsia" w:hAnsi="宋体"/>
          <w:sz w:val="24"/>
          <w:szCs w:val="24"/>
        </w:rPr>
        <w:t>项目名称：</w:t>
      </w:r>
      <w:r>
        <w:rPr>
          <w:rFonts w:hint="eastAsia" w:hAnsi="宋体"/>
          <w:sz w:val="24"/>
          <w:szCs w:val="24"/>
          <w:u w:val="single"/>
          <w:lang w:eastAsia="zh-CN"/>
        </w:rPr>
        <w:t>乌鲁木齐职业大学北辰校区建设项目可行性研究报告编制技术服务项目</w:t>
      </w:r>
    </w:p>
    <w:p>
      <w:pPr>
        <w:pStyle w:val="199"/>
        <w:spacing w:line="360" w:lineRule="auto"/>
        <w:rPr>
          <w:rFonts w:hint="eastAsia" w:hAnsi="宋体" w:eastAsia="宋体"/>
          <w:sz w:val="24"/>
          <w:szCs w:val="24"/>
          <w:lang w:eastAsia="zh-CN"/>
        </w:rPr>
      </w:pPr>
      <w:r>
        <w:rPr>
          <w:rFonts w:hint="eastAsia" w:hAnsi="宋体"/>
          <w:sz w:val="24"/>
          <w:szCs w:val="24"/>
        </w:rPr>
        <w:t>项目编号：</w:t>
      </w:r>
      <w:r>
        <w:rPr>
          <w:rFonts w:hint="eastAsia" w:hAnsi="宋体"/>
          <w:sz w:val="24"/>
          <w:szCs w:val="24"/>
          <w:u w:val="single"/>
          <w:lang w:eastAsia="zh-CN"/>
        </w:rPr>
        <w:t>ZFCGHY-20220096</w:t>
      </w:r>
    </w:p>
    <w:p>
      <w:pPr>
        <w:pStyle w:val="201"/>
        <w:spacing w:line="360" w:lineRule="auto"/>
        <w:jc w:val="right"/>
        <w:rPr>
          <w:rFonts w:ascii="宋体" w:hAnsi="宋体"/>
          <w:sz w:val="24"/>
        </w:rPr>
      </w:pPr>
      <w:r>
        <w:rPr>
          <w:rFonts w:hint="eastAsia" w:ascii="宋体" w:hAnsi="宋体"/>
          <w:sz w:val="24"/>
        </w:rPr>
        <w:t xml:space="preserve"> [货币单位：人民币元]</w:t>
      </w:r>
      <w:bookmarkEnd w:id="232"/>
      <w:bookmarkEnd w:id="233"/>
    </w:p>
    <w:tbl>
      <w:tblPr>
        <w:tblStyle w:val="36"/>
        <w:tblW w:w="8950" w:type="dxa"/>
        <w:tblInd w:w="0" w:type="dxa"/>
        <w:tblLayout w:type="fixed"/>
        <w:tblCellMar>
          <w:top w:w="0" w:type="dxa"/>
          <w:left w:w="30" w:type="dxa"/>
          <w:bottom w:w="0" w:type="dxa"/>
          <w:right w:w="30" w:type="dxa"/>
        </w:tblCellMar>
      </w:tblPr>
      <w:tblGrid>
        <w:gridCol w:w="523"/>
        <w:gridCol w:w="1620"/>
        <w:gridCol w:w="1491"/>
        <w:gridCol w:w="1124"/>
        <w:gridCol w:w="782"/>
        <w:gridCol w:w="1089"/>
        <w:gridCol w:w="2321"/>
      </w:tblGrid>
      <w:tr>
        <w:tblPrEx>
          <w:tblCellMar>
            <w:top w:w="0" w:type="dxa"/>
            <w:left w:w="30" w:type="dxa"/>
            <w:bottom w:w="0" w:type="dxa"/>
            <w:right w:w="30" w:type="dxa"/>
          </w:tblCellMar>
        </w:tblPrEx>
        <w:trPr>
          <w:cantSplit/>
          <w:trHeight w:val="530" w:hRule="atLeast"/>
        </w:trPr>
        <w:tc>
          <w:tcPr>
            <w:tcW w:w="523" w:type="dxa"/>
            <w:tcBorders>
              <w:top w:val="single" w:color="auto" w:sz="4" w:space="0"/>
              <w:left w:val="single" w:color="auto" w:sz="4" w:space="0"/>
              <w:bottom w:val="single" w:color="auto" w:sz="4"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序号</w:t>
            </w:r>
          </w:p>
        </w:tc>
        <w:tc>
          <w:tcPr>
            <w:tcW w:w="1620" w:type="dxa"/>
            <w:tcBorders>
              <w:top w:val="single" w:color="auto" w:sz="4" w:space="0"/>
              <w:left w:val="single" w:color="auto" w:sz="6" w:space="0"/>
              <w:bottom w:val="single" w:color="auto" w:sz="4"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报价项目</w:t>
            </w:r>
          </w:p>
        </w:tc>
        <w:tc>
          <w:tcPr>
            <w:tcW w:w="1491" w:type="dxa"/>
            <w:tcBorders>
              <w:top w:val="single" w:color="auto" w:sz="4" w:space="0"/>
              <w:left w:val="single" w:color="auto" w:sz="6" w:space="0"/>
              <w:bottom w:val="single" w:color="auto" w:sz="4"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项目主要内容描述</w:t>
            </w:r>
          </w:p>
        </w:tc>
        <w:tc>
          <w:tcPr>
            <w:tcW w:w="1124" w:type="dxa"/>
            <w:tcBorders>
              <w:top w:val="single" w:color="auto" w:sz="4" w:space="0"/>
              <w:left w:val="single" w:color="auto" w:sz="6" w:space="0"/>
              <w:bottom w:val="single" w:color="auto" w:sz="4"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报价依据</w:t>
            </w:r>
          </w:p>
        </w:tc>
        <w:tc>
          <w:tcPr>
            <w:tcW w:w="782" w:type="dxa"/>
            <w:tcBorders>
              <w:top w:val="single" w:color="auto" w:sz="4" w:space="0"/>
              <w:left w:val="single" w:color="auto" w:sz="6" w:space="0"/>
              <w:bottom w:val="single" w:color="auto" w:sz="4" w:space="0"/>
              <w:right w:val="single" w:color="auto" w:sz="4" w:space="0"/>
            </w:tcBorders>
            <w:vAlign w:val="center"/>
          </w:tcPr>
          <w:p>
            <w:pPr>
              <w:pStyle w:val="202"/>
              <w:spacing w:line="360" w:lineRule="auto"/>
              <w:ind w:right="84" w:rightChars="40"/>
              <w:jc w:val="center"/>
              <w:rPr>
                <w:rFonts w:hAnsi="宋体"/>
                <w:kern w:val="2"/>
                <w:sz w:val="24"/>
                <w:szCs w:val="24"/>
                <w:lang w:val="en-US"/>
              </w:rPr>
            </w:pPr>
            <w:r>
              <w:rPr>
                <w:rFonts w:hint="eastAsia" w:hAnsi="宋体"/>
                <w:kern w:val="2"/>
                <w:sz w:val="24"/>
                <w:szCs w:val="24"/>
                <w:lang w:val="en-US"/>
              </w:rPr>
              <w:t>单价</w:t>
            </w:r>
          </w:p>
        </w:tc>
        <w:tc>
          <w:tcPr>
            <w:tcW w:w="1089" w:type="dxa"/>
            <w:tcBorders>
              <w:top w:val="single" w:color="auto" w:sz="4" w:space="0"/>
              <w:left w:val="single" w:color="auto" w:sz="4" w:space="0"/>
              <w:bottom w:val="single" w:color="auto" w:sz="4" w:space="0"/>
              <w:right w:val="single" w:color="auto" w:sz="6" w:space="0"/>
            </w:tcBorders>
            <w:vAlign w:val="center"/>
          </w:tcPr>
          <w:p>
            <w:pPr>
              <w:pStyle w:val="202"/>
              <w:spacing w:line="360" w:lineRule="auto"/>
              <w:ind w:right="84" w:rightChars="40"/>
              <w:jc w:val="center"/>
              <w:rPr>
                <w:rFonts w:hAnsi="宋体"/>
                <w:kern w:val="2"/>
                <w:sz w:val="24"/>
                <w:szCs w:val="24"/>
                <w:lang w:val="en-US"/>
              </w:rPr>
            </w:pPr>
            <w:r>
              <w:rPr>
                <w:rFonts w:hint="eastAsia" w:hAnsi="宋体"/>
                <w:kern w:val="2"/>
                <w:sz w:val="24"/>
                <w:szCs w:val="24"/>
                <w:lang w:val="en-US"/>
              </w:rPr>
              <w:t>总价</w:t>
            </w:r>
          </w:p>
        </w:tc>
        <w:tc>
          <w:tcPr>
            <w:tcW w:w="2321" w:type="dxa"/>
            <w:tcBorders>
              <w:top w:val="single" w:color="auto" w:sz="4" w:space="0"/>
              <w:left w:val="single" w:color="auto" w:sz="6" w:space="0"/>
              <w:bottom w:val="single" w:color="auto" w:sz="4"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备注</w:t>
            </w:r>
          </w:p>
        </w:tc>
      </w:tr>
      <w:tr>
        <w:tblPrEx>
          <w:tblCellMar>
            <w:top w:w="0" w:type="dxa"/>
            <w:left w:w="30" w:type="dxa"/>
            <w:bottom w:w="0" w:type="dxa"/>
            <w:right w:w="30" w:type="dxa"/>
          </w:tblCellMar>
        </w:tblPrEx>
        <w:trPr>
          <w:cantSplit/>
          <w:trHeight w:val="318" w:hRule="atLeast"/>
        </w:trPr>
        <w:tc>
          <w:tcPr>
            <w:tcW w:w="523" w:type="dxa"/>
            <w:tcBorders>
              <w:top w:val="single" w:color="auto" w:sz="4"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1</w:t>
            </w:r>
          </w:p>
        </w:tc>
        <w:tc>
          <w:tcPr>
            <w:tcW w:w="1620" w:type="dxa"/>
            <w:tcBorders>
              <w:top w:val="single" w:color="auto" w:sz="4" w:space="0"/>
              <w:left w:val="single" w:color="auto" w:sz="6" w:space="0"/>
              <w:bottom w:val="single" w:color="auto" w:sz="6" w:space="0"/>
              <w:right w:val="single" w:color="auto" w:sz="6" w:space="0"/>
            </w:tcBorders>
          </w:tcPr>
          <w:p>
            <w:pPr>
              <w:pStyle w:val="201"/>
              <w:spacing w:line="360" w:lineRule="auto"/>
              <w:ind w:right="84" w:rightChars="40"/>
              <w:jc w:val="center"/>
              <w:rPr>
                <w:rFonts w:ascii="宋体" w:hAnsi="宋体"/>
                <w:sz w:val="24"/>
              </w:rPr>
            </w:pPr>
          </w:p>
        </w:tc>
        <w:tc>
          <w:tcPr>
            <w:tcW w:w="1491" w:type="dxa"/>
            <w:tcBorders>
              <w:top w:val="single" w:color="auto" w:sz="4"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124" w:type="dxa"/>
            <w:tcBorders>
              <w:top w:val="single" w:color="auto" w:sz="4"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782" w:type="dxa"/>
            <w:tcBorders>
              <w:top w:val="single" w:color="auto" w:sz="4"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089" w:type="dxa"/>
            <w:tcBorders>
              <w:top w:val="single" w:color="auto" w:sz="4"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2321" w:type="dxa"/>
            <w:tcBorders>
              <w:top w:val="single" w:color="auto" w:sz="4"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r>
      <w:tr>
        <w:tblPrEx>
          <w:tblCellMar>
            <w:top w:w="0" w:type="dxa"/>
            <w:left w:w="30" w:type="dxa"/>
            <w:bottom w:w="0" w:type="dxa"/>
            <w:right w:w="30" w:type="dxa"/>
          </w:tblCellMar>
        </w:tblPrEx>
        <w:trPr>
          <w:cantSplit/>
          <w:trHeight w:val="318" w:hRule="atLeast"/>
        </w:trPr>
        <w:tc>
          <w:tcPr>
            <w:tcW w:w="523"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2</w:t>
            </w:r>
          </w:p>
        </w:tc>
        <w:tc>
          <w:tcPr>
            <w:tcW w:w="1620" w:type="dxa"/>
            <w:tcBorders>
              <w:top w:val="single" w:color="auto" w:sz="6" w:space="0"/>
              <w:left w:val="single" w:color="auto" w:sz="6" w:space="0"/>
              <w:bottom w:val="single" w:color="auto" w:sz="6" w:space="0"/>
              <w:right w:val="single" w:color="auto" w:sz="6" w:space="0"/>
            </w:tcBorders>
          </w:tcPr>
          <w:p>
            <w:pPr>
              <w:pStyle w:val="201"/>
              <w:spacing w:line="360" w:lineRule="auto"/>
              <w:ind w:right="84" w:rightChars="40"/>
              <w:jc w:val="center"/>
              <w:rPr>
                <w:rFonts w:ascii="宋体" w:hAnsi="宋体"/>
                <w:sz w:val="24"/>
              </w:rPr>
            </w:pPr>
          </w:p>
        </w:tc>
        <w:tc>
          <w:tcPr>
            <w:tcW w:w="1491"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124"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782"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089"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2321"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r>
      <w:tr>
        <w:tblPrEx>
          <w:tblCellMar>
            <w:top w:w="0" w:type="dxa"/>
            <w:left w:w="30" w:type="dxa"/>
            <w:bottom w:w="0" w:type="dxa"/>
            <w:right w:w="30" w:type="dxa"/>
          </w:tblCellMar>
        </w:tblPrEx>
        <w:trPr>
          <w:cantSplit/>
          <w:trHeight w:val="318" w:hRule="atLeast"/>
        </w:trPr>
        <w:tc>
          <w:tcPr>
            <w:tcW w:w="523"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3</w:t>
            </w:r>
          </w:p>
        </w:tc>
        <w:tc>
          <w:tcPr>
            <w:tcW w:w="1620" w:type="dxa"/>
            <w:tcBorders>
              <w:top w:val="single" w:color="auto" w:sz="6" w:space="0"/>
              <w:left w:val="single" w:color="auto" w:sz="6" w:space="0"/>
              <w:bottom w:val="single" w:color="auto" w:sz="6" w:space="0"/>
              <w:right w:val="single" w:color="auto" w:sz="6" w:space="0"/>
            </w:tcBorders>
          </w:tcPr>
          <w:p>
            <w:pPr>
              <w:pStyle w:val="201"/>
              <w:spacing w:line="360" w:lineRule="auto"/>
              <w:ind w:right="84" w:rightChars="40"/>
              <w:jc w:val="center"/>
              <w:rPr>
                <w:rFonts w:ascii="宋体" w:hAnsi="宋体"/>
                <w:sz w:val="24"/>
              </w:rPr>
            </w:pPr>
          </w:p>
        </w:tc>
        <w:tc>
          <w:tcPr>
            <w:tcW w:w="1491"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124"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782"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089"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2321"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r>
      <w:tr>
        <w:tblPrEx>
          <w:tblCellMar>
            <w:top w:w="0" w:type="dxa"/>
            <w:left w:w="30" w:type="dxa"/>
            <w:bottom w:w="0" w:type="dxa"/>
            <w:right w:w="30" w:type="dxa"/>
          </w:tblCellMar>
        </w:tblPrEx>
        <w:trPr>
          <w:cantSplit/>
          <w:trHeight w:val="318" w:hRule="atLeast"/>
        </w:trPr>
        <w:tc>
          <w:tcPr>
            <w:tcW w:w="523"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4</w:t>
            </w:r>
          </w:p>
        </w:tc>
        <w:tc>
          <w:tcPr>
            <w:tcW w:w="1620" w:type="dxa"/>
            <w:tcBorders>
              <w:top w:val="single" w:color="auto" w:sz="6" w:space="0"/>
              <w:left w:val="single" w:color="auto" w:sz="6" w:space="0"/>
              <w:bottom w:val="single" w:color="auto" w:sz="6" w:space="0"/>
              <w:right w:val="single" w:color="auto" w:sz="6" w:space="0"/>
            </w:tcBorders>
          </w:tcPr>
          <w:p>
            <w:pPr>
              <w:pStyle w:val="201"/>
              <w:spacing w:line="360" w:lineRule="auto"/>
              <w:ind w:right="84" w:rightChars="40"/>
              <w:jc w:val="center"/>
              <w:rPr>
                <w:rFonts w:ascii="宋体" w:hAnsi="宋体"/>
                <w:sz w:val="24"/>
              </w:rPr>
            </w:pPr>
          </w:p>
        </w:tc>
        <w:tc>
          <w:tcPr>
            <w:tcW w:w="1491"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124"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782"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089"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2321"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r>
      <w:tr>
        <w:tblPrEx>
          <w:tblCellMar>
            <w:top w:w="0" w:type="dxa"/>
            <w:left w:w="30" w:type="dxa"/>
            <w:bottom w:w="0" w:type="dxa"/>
            <w:right w:w="30" w:type="dxa"/>
          </w:tblCellMar>
        </w:tblPrEx>
        <w:trPr>
          <w:cantSplit/>
          <w:trHeight w:val="318" w:hRule="atLeast"/>
        </w:trPr>
        <w:tc>
          <w:tcPr>
            <w:tcW w:w="523"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5</w:t>
            </w:r>
          </w:p>
        </w:tc>
        <w:tc>
          <w:tcPr>
            <w:tcW w:w="1620" w:type="dxa"/>
            <w:tcBorders>
              <w:top w:val="single" w:color="auto" w:sz="6" w:space="0"/>
              <w:left w:val="single" w:color="auto" w:sz="6" w:space="0"/>
              <w:bottom w:val="single" w:color="auto" w:sz="6" w:space="0"/>
              <w:right w:val="single" w:color="auto" w:sz="6" w:space="0"/>
            </w:tcBorders>
          </w:tcPr>
          <w:p>
            <w:pPr>
              <w:pStyle w:val="201"/>
              <w:spacing w:line="360" w:lineRule="auto"/>
              <w:ind w:right="84" w:rightChars="40"/>
              <w:jc w:val="center"/>
              <w:rPr>
                <w:rFonts w:ascii="宋体" w:hAnsi="宋体"/>
                <w:sz w:val="24"/>
              </w:rPr>
            </w:pPr>
          </w:p>
        </w:tc>
        <w:tc>
          <w:tcPr>
            <w:tcW w:w="1491"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124"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782"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089"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2321"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r>
      <w:tr>
        <w:tblPrEx>
          <w:tblCellMar>
            <w:top w:w="0" w:type="dxa"/>
            <w:left w:w="30" w:type="dxa"/>
            <w:bottom w:w="0" w:type="dxa"/>
            <w:right w:w="30" w:type="dxa"/>
          </w:tblCellMar>
        </w:tblPrEx>
        <w:trPr>
          <w:cantSplit/>
          <w:trHeight w:val="318" w:hRule="atLeast"/>
        </w:trPr>
        <w:tc>
          <w:tcPr>
            <w:tcW w:w="523"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6</w:t>
            </w:r>
          </w:p>
        </w:tc>
        <w:tc>
          <w:tcPr>
            <w:tcW w:w="1620" w:type="dxa"/>
            <w:tcBorders>
              <w:top w:val="single" w:color="auto" w:sz="6" w:space="0"/>
              <w:left w:val="single" w:color="auto" w:sz="6" w:space="0"/>
              <w:bottom w:val="single" w:color="auto" w:sz="6" w:space="0"/>
              <w:right w:val="single" w:color="auto" w:sz="6" w:space="0"/>
            </w:tcBorders>
          </w:tcPr>
          <w:p>
            <w:pPr>
              <w:pStyle w:val="201"/>
              <w:spacing w:line="360" w:lineRule="auto"/>
              <w:ind w:right="84" w:rightChars="40"/>
              <w:jc w:val="center"/>
              <w:rPr>
                <w:rFonts w:ascii="宋体" w:hAnsi="宋体"/>
                <w:sz w:val="24"/>
              </w:rPr>
            </w:pPr>
          </w:p>
        </w:tc>
        <w:tc>
          <w:tcPr>
            <w:tcW w:w="1491"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124"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782"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089"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2321"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r>
      <w:tr>
        <w:tblPrEx>
          <w:tblCellMar>
            <w:top w:w="0" w:type="dxa"/>
            <w:left w:w="30" w:type="dxa"/>
            <w:bottom w:w="0" w:type="dxa"/>
            <w:right w:w="30" w:type="dxa"/>
          </w:tblCellMar>
        </w:tblPrEx>
        <w:trPr>
          <w:cantSplit/>
          <w:trHeight w:val="318" w:hRule="atLeast"/>
        </w:trPr>
        <w:tc>
          <w:tcPr>
            <w:tcW w:w="523"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7</w:t>
            </w:r>
          </w:p>
        </w:tc>
        <w:tc>
          <w:tcPr>
            <w:tcW w:w="1620" w:type="dxa"/>
            <w:tcBorders>
              <w:top w:val="single" w:color="auto" w:sz="6" w:space="0"/>
              <w:left w:val="single" w:color="auto" w:sz="6" w:space="0"/>
              <w:bottom w:val="single" w:color="auto" w:sz="6" w:space="0"/>
              <w:right w:val="single" w:color="auto" w:sz="6" w:space="0"/>
            </w:tcBorders>
          </w:tcPr>
          <w:p>
            <w:pPr>
              <w:pStyle w:val="201"/>
              <w:spacing w:line="360" w:lineRule="auto"/>
              <w:ind w:right="84" w:rightChars="40"/>
              <w:jc w:val="center"/>
              <w:rPr>
                <w:rFonts w:ascii="宋体" w:hAnsi="宋体"/>
                <w:sz w:val="24"/>
              </w:rPr>
            </w:pPr>
          </w:p>
        </w:tc>
        <w:tc>
          <w:tcPr>
            <w:tcW w:w="1491"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124"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782"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089"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2321"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r>
      <w:tr>
        <w:tblPrEx>
          <w:tblCellMar>
            <w:top w:w="0" w:type="dxa"/>
            <w:left w:w="30" w:type="dxa"/>
            <w:bottom w:w="0" w:type="dxa"/>
            <w:right w:w="30" w:type="dxa"/>
          </w:tblCellMar>
        </w:tblPrEx>
        <w:trPr>
          <w:cantSplit/>
          <w:trHeight w:val="318" w:hRule="atLeast"/>
        </w:trPr>
        <w:tc>
          <w:tcPr>
            <w:tcW w:w="523"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8</w:t>
            </w:r>
          </w:p>
        </w:tc>
        <w:tc>
          <w:tcPr>
            <w:tcW w:w="1620" w:type="dxa"/>
            <w:tcBorders>
              <w:top w:val="single" w:color="auto" w:sz="6" w:space="0"/>
              <w:left w:val="single" w:color="auto" w:sz="6" w:space="0"/>
              <w:bottom w:val="single" w:color="auto" w:sz="6" w:space="0"/>
              <w:right w:val="single" w:color="auto" w:sz="6" w:space="0"/>
            </w:tcBorders>
          </w:tcPr>
          <w:p>
            <w:pPr>
              <w:pStyle w:val="201"/>
              <w:spacing w:line="360" w:lineRule="auto"/>
              <w:ind w:right="84" w:rightChars="40"/>
              <w:jc w:val="center"/>
              <w:rPr>
                <w:rFonts w:ascii="宋体" w:hAnsi="宋体"/>
                <w:sz w:val="24"/>
              </w:rPr>
            </w:pPr>
          </w:p>
        </w:tc>
        <w:tc>
          <w:tcPr>
            <w:tcW w:w="1491"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124"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782"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089"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2321"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r>
      <w:tr>
        <w:tblPrEx>
          <w:tblCellMar>
            <w:top w:w="0" w:type="dxa"/>
            <w:left w:w="30" w:type="dxa"/>
            <w:bottom w:w="0" w:type="dxa"/>
            <w:right w:w="30" w:type="dxa"/>
          </w:tblCellMar>
        </w:tblPrEx>
        <w:trPr>
          <w:cantSplit/>
          <w:trHeight w:val="318" w:hRule="atLeast"/>
        </w:trPr>
        <w:tc>
          <w:tcPr>
            <w:tcW w:w="523"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9</w:t>
            </w:r>
          </w:p>
        </w:tc>
        <w:tc>
          <w:tcPr>
            <w:tcW w:w="1620" w:type="dxa"/>
            <w:tcBorders>
              <w:top w:val="single" w:color="auto" w:sz="6" w:space="0"/>
              <w:left w:val="single" w:color="auto" w:sz="6" w:space="0"/>
              <w:bottom w:val="single" w:color="auto" w:sz="6" w:space="0"/>
              <w:right w:val="single" w:color="auto" w:sz="6" w:space="0"/>
            </w:tcBorders>
          </w:tcPr>
          <w:p>
            <w:pPr>
              <w:pStyle w:val="201"/>
              <w:spacing w:line="360" w:lineRule="auto"/>
              <w:ind w:right="84" w:rightChars="40"/>
              <w:jc w:val="center"/>
              <w:rPr>
                <w:rFonts w:ascii="宋体" w:hAnsi="宋体"/>
                <w:sz w:val="24"/>
              </w:rPr>
            </w:pPr>
          </w:p>
        </w:tc>
        <w:tc>
          <w:tcPr>
            <w:tcW w:w="1491"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124"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782"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089"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2321"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r>
      <w:tr>
        <w:tblPrEx>
          <w:tblCellMar>
            <w:top w:w="0" w:type="dxa"/>
            <w:left w:w="30" w:type="dxa"/>
            <w:bottom w:w="0" w:type="dxa"/>
            <w:right w:w="30" w:type="dxa"/>
          </w:tblCellMar>
        </w:tblPrEx>
        <w:trPr>
          <w:cantSplit/>
          <w:trHeight w:val="318" w:hRule="atLeast"/>
        </w:trPr>
        <w:tc>
          <w:tcPr>
            <w:tcW w:w="523"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10</w:t>
            </w:r>
          </w:p>
        </w:tc>
        <w:tc>
          <w:tcPr>
            <w:tcW w:w="1620" w:type="dxa"/>
            <w:tcBorders>
              <w:top w:val="single" w:color="auto" w:sz="6" w:space="0"/>
              <w:left w:val="single" w:color="auto" w:sz="6" w:space="0"/>
              <w:bottom w:val="single" w:color="auto" w:sz="6" w:space="0"/>
              <w:right w:val="single" w:color="auto" w:sz="6" w:space="0"/>
            </w:tcBorders>
            <w:vAlign w:val="center"/>
          </w:tcPr>
          <w:p>
            <w:pPr>
              <w:pStyle w:val="201"/>
              <w:spacing w:line="360" w:lineRule="auto"/>
              <w:ind w:right="84" w:rightChars="40"/>
              <w:jc w:val="center"/>
              <w:rPr>
                <w:rFonts w:ascii="宋体" w:hAnsi="宋体"/>
                <w:sz w:val="24"/>
              </w:rPr>
            </w:pPr>
          </w:p>
        </w:tc>
        <w:tc>
          <w:tcPr>
            <w:tcW w:w="1491"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124"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782"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089"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2321"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r>
      <w:tr>
        <w:tblPrEx>
          <w:tblCellMar>
            <w:top w:w="0" w:type="dxa"/>
            <w:left w:w="30" w:type="dxa"/>
            <w:bottom w:w="0" w:type="dxa"/>
            <w:right w:w="30" w:type="dxa"/>
          </w:tblCellMar>
        </w:tblPrEx>
        <w:trPr>
          <w:cantSplit/>
          <w:trHeight w:val="318" w:hRule="atLeast"/>
        </w:trPr>
        <w:tc>
          <w:tcPr>
            <w:tcW w:w="523"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w:t>
            </w:r>
          </w:p>
        </w:tc>
        <w:tc>
          <w:tcPr>
            <w:tcW w:w="1620" w:type="dxa"/>
            <w:tcBorders>
              <w:top w:val="single" w:color="auto" w:sz="6" w:space="0"/>
              <w:left w:val="single" w:color="auto" w:sz="6" w:space="0"/>
              <w:bottom w:val="single" w:color="auto" w:sz="6" w:space="0"/>
              <w:right w:val="single" w:color="auto" w:sz="6" w:space="0"/>
            </w:tcBorders>
            <w:vAlign w:val="center"/>
          </w:tcPr>
          <w:p>
            <w:pPr>
              <w:pStyle w:val="201"/>
              <w:spacing w:line="360" w:lineRule="auto"/>
              <w:ind w:right="84" w:rightChars="40"/>
              <w:jc w:val="center"/>
              <w:rPr>
                <w:rFonts w:ascii="宋体" w:hAnsi="宋体"/>
                <w:sz w:val="24"/>
              </w:rPr>
            </w:pPr>
          </w:p>
        </w:tc>
        <w:tc>
          <w:tcPr>
            <w:tcW w:w="1491"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124"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782"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089"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2321"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r>
      <w:tr>
        <w:tblPrEx>
          <w:tblCellMar>
            <w:top w:w="0" w:type="dxa"/>
            <w:left w:w="30" w:type="dxa"/>
            <w:bottom w:w="0" w:type="dxa"/>
            <w:right w:w="30" w:type="dxa"/>
          </w:tblCellMar>
        </w:tblPrEx>
        <w:trPr>
          <w:gridAfter w:val="6"/>
          <w:wAfter w:w="8427" w:type="dxa"/>
          <w:cantSplit/>
          <w:trHeight w:val="410" w:hRule="atLeast"/>
        </w:trPr>
        <w:tc>
          <w:tcPr>
            <w:tcW w:w="523" w:type="dxa"/>
            <w:tcBorders>
              <w:top w:val="single" w:color="auto" w:sz="6" w:space="0"/>
              <w:left w:val="single" w:color="auto" w:sz="4" w:space="0"/>
              <w:bottom w:val="single" w:color="auto" w:sz="4"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合计</w:t>
            </w:r>
          </w:p>
        </w:tc>
      </w:tr>
    </w:tbl>
    <w:p>
      <w:pPr>
        <w:pStyle w:val="202"/>
        <w:spacing w:line="360" w:lineRule="auto"/>
        <w:rPr>
          <w:rFonts w:hAnsi="宋体"/>
          <w:sz w:val="24"/>
          <w:szCs w:val="24"/>
        </w:rPr>
      </w:pPr>
      <w:r>
        <w:rPr>
          <w:rFonts w:hint="eastAsia" w:hAnsi="宋体"/>
          <w:sz w:val="24"/>
          <w:szCs w:val="24"/>
        </w:rPr>
        <w:t>填报要求：</w:t>
      </w:r>
    </w:p>
    <w:p>
      <w:pPr>
        <w:pStyle w:val="202"/>
        <w:spacing w:line="360" w:lineRule="auto"/>
        <w:rPr>
          <w:rFonts w:hAnsi="宋体"/>
          <w:sz w:val="24"/>
          <w:szCs w:val="24"/>
        </w:rPr>
      </w:pPr>
      <w:r>
        <w:rPr>
          <w:rFonts w:hint="eastAsia" w:hAnsi="宋体"/>
          <w:sz w:val="24"/>
          <w:szCs w:val="24"/>
        </w:rPr>
        <w:t>1、此表为《开标一览表》的报价明细表，如有缺项、漏项（数量不符合将被视为漏项），均视为报价中已包含相关费用，采购人无须另外支付任何费用。</w:t>
      </w:r>
    </w:p>
    <w:p>
      <w:pPr>
        <w:pStyle w:val="202"/>
        <w:spacing w:line="360" w:lineRule="auto"/>
        <w:rPr>
          <w:rFonts w:hAnsi="宋体"/>
          <w:sz w:val="24"/>
          <w:szCs w:val="24"/>
        </w:rPr>
      </w:pPr>
      <w:r>
        <w:rPr>
          <w:rFonts w:hint="eastAsia" w:hAnsi="宋体"/>
          <w:sz w:val="24"/>
          <w:szCs w:val="24"/>
        </w:rPr>
        <w:t xml:space="preserve">2、请尽量完整、准确的填写，否则将影响供应商的得分。  </w:t>
      </w:r>
    </w:p>
    <w:p>
      <w:pPr>
        <w:pStyle w:val="202"/>
        <w:spacing w:line="360" w:lineRule="auto"/>
        <w:rPr>
          <w:rFonts w:hAnsi="宋体"/>
          <w:sz w:val="24"/>
          <w:szCs w:val="24"/>
        </w:rPr>
      </w:pPr>
    </w:p>
    <w:p>
      <w:pPr>
        <w:pStyle w:val="113"/>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jc w:val="right"/>
        <w:rPr>
          <w:rFonts w:ascii="宋体" w:hAnsi="宋体"/>
          <w:sz w:val="24"/>
          <w:szCs w:val="24"/>
        </w:rPr>
      </w:pPr>
      <w:r>
        <w:rPr>
          <w:rFonts w:hint="eastAsia" w:ascii="宋体" w:hAnsi="宋体"/>
          <w:sz w:val="24"/>
          <w:szCs w:val="24"/>
        </w:rPr>
        <w:t>日期：</w:t>
      </w:r>
      <w:r>
        <w:rPr>
          <w:rFonts w:hint="eastAsia" w:ascii="宋体" w:hAnsi="宋体" w:cs="Arial"/>
          <w:sz w:val="24"/>
          <w:szCs w:val="24"/>
        </w:rPr>
        <w:t>2022年   月   日</w:t>
      </w:r>
    </w:p>
    <w:p>
      <w:pPr>
        <w:pStyle w:val="202"/>
        <w:spacing w:line="360" w:lineRule="auto"/>
        <w:rPr>
          <w:rFonts w:hAnsi="宋体"/>
          <w:sz w:val="24"/>
          <w:szCs w:val="24"/>
        </w:rPr>
      </w:pPr>
    </w:p>
    <w:p>
      <w:pPr>
        <w:pStyle w:val="204"/>
        <w:spacing w:line="360" w:lineRule="auto"/>
        <w:jc w:val="center"/>
        <w:rPr>
          <w:rFonts w:hint="eastAsia" w:ascii="宋体" w:hAnsi="宋体"/>
          <w:b/>
          <w:sz w:val="28"/>
          <w:szCs w:val="28"/>
        </w:rPr>
      </w:pPr>
    </w:p>
    <w:p>
      <w:pPr>
        <w:pStyle w:val="204"/>
        <w:spacing w:line="360" w:lineRule="auto"/>
        <w:jc w:val="center"/>
        <w:rPr>
          <w:rFonts w:ascii="宋体" w:hAnsi="宋体"/>
          <w:b/>
          <w:sz w:val="28"/>
          <w:szCs w:val="28"/>
        </w:rPr>
      </w:pPr>
      <w:r>
        <w:rPr>
          <w:rFonts w:hint="eastAsia" w:ascii="宋体" w:hAnsi="宋体"/>
          <w:b/>
          <w:sz w:val="28"/>
          <w:szCs w:val="28"/>
        </w:rPr>
        <w:t>实质性响应条款一览表</w:t>
      </w:r>
    </w:p>
    <w:p>
      <w:pPr>
        <w:pStyle w:val="199"/>
        <w:spacing w:line="360" w:lineRule="auto"/>
        <w:rPr>
          <w:rFonts w:hint="eastAsia" w:hAnsi="宋体" w:eastAsia="宋体"/>
          <w:sz w:val="24"/>
          <w:szCs w:val="24"/>
          <w:lang w:eastAsia="zh-CN"/>
        </w:rPr>
      </w:pPr>
      <w:r>
        <w:rPr>
          <w:rFonts w:hint="eastAsia" w:hAnsi="宋体"/>
          <w:sz w:val="24"/>
          <w:szCs w:val="24"/>
        </w:rPr>
        <w:t>项目名称：</w:t>
      </w:r>
      <w:r>
        <w:rPr>
          <w:rFonts w:hint="eastAsia" w:hAnsi="宋体"/>
          <w:sz w:val="24"/>
          <w:szCs w:val="24"/>
          <w:u w:val="single"/>
          <w:lang w:eastAsia="zh-CN"/>
        </w:rPr>
        <w:t>乌鲁木齐职业大学北辰校区建设项目可行性研究报告编制技术服务项目</w:t>
      </w:r>
    </w:p>
    <w:p>
      <w:pPr>
        <w:pStyle w:val="199"/>
        <w:spacing w:line="360" w:lineRule="auto"/>
        <w:rPr>
          <w:rFonts w:hint="eastAsia" w:hAnsi="宋体" w:eastAsia="宋体"/>
          <w:sz w:val="24"/>
          <w:szCs w:val="24"/>
          <w:lang w:eastAsia="zh-CN"/>
        </w:rPr>
      </w:pPr>
      <w:r>
        <w:rPr>
          <w:rFonts w:hint="eastAsia" w:hAnsi="宋体"/>
          <w:sz w:val="24"/>
          <w:szCs w:val="24"/>
        </w:rPr>
        <w:t>项目编号：</w:t>
      </w:r>
      <w:r>
        <w:rPr>
          <w:rFonts w:hint="eastAsia" w:hAnsi="宋体"/>
          <w:sz w:val="24"/>
          <w:szCs w:val="24"/>
          <w:u w:val="single"/>
          <w:lang w:eastAsia="zh-CN"/>
        </w:rPr>
        <w:t>ZFCGHY-20220096</w:t>
      </w:r>
    </w:p>
    <w:tbl>
      <w:tblPr>
        <w:tblStyle w:val="36"/>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807"/>
        <w:gridCol w:w="2880"/>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pStyle w:val="204"/>
              <w:spacing w:line="360" w:lineRule="auto"/>
              <w:jc w:val="center"/>
              <w:rPr>
                <w:rFonts w:ascii="宋体" w:hAnsi="宋体"/>
                <w:sz w:val="24"/>
              </w:rPr>
            </w:pPr>
            <w:r>
              <w:rPr>
                <w:rFonts w:hint="eastAsia" w:ascii="宋体" w:hAnsi="宋体"/>
                <w:sz w:val="24"/>
              </w:rPr>
              <w:t>序号</w:t>
            </w:r>
          </w:p>
        </w:tc>
        <w:tc>
          <w:tcPr>
            <w:tcW w:w="3807" w:type="dxa"/>
            <w:tcBorders>
              <w:top w:val="single" w:color="auto" w:sz="4" w:space="0"/>
              <w:left w:val="single" w:color="auto" w:sz="4" w:space="0"/>
              <w:bottom w:val="single" w:color="auto" w:sz="4" w:space="0"/>
              <w:right w:val="single" w:color="auto" w:sz="4" w:space="0"/>
            </w:tcBorders>
          </w:tcPr>
          <w:p>
            <w:pPr>
              <w:pStyle w:val="204"/>
              <w:spacing w:line="360" w:lineRule="auto"/>
              <w:jc w:val="center"/>
              <w:rPr>
                <w:rFonts w:ascii="宋体" w:hAnsi="宋体"/>
                <w:sz w:val="24"/>
              </w:rPr>
            </w:pPr>
            <w:r>
              <w:rPr>
                <w:rFonts w:hint="eastAsia" w:ascii="宋体" w:hAnsi="宋体"/>
                <w:sz w:val="24"/>
              </w:rPr>
              <w:t>实质性响应条款</w:t>
            </w:r>
          </w:p>
        </w:tc>
        <w:tc>
          <w:tcPr>
            <w:tcW w:w="2880" w:type="dxa"/>
            <w:tcBorders>
              <w:top w:val="single" w:color="auto" w:sz="4" w:space="0"/>
              <w:left w:val="single" w:color="auto" w:sz="4" w:space="0"/>
              <w:bottom w:val="single" w:color="auto" w:sz="4" w:space="0"/>
              <w:right w:val="single" w:color="auto" w:sz="4" w:space="0"/>
            </w:tcBorders>
          </w:tcPr>
          <w:p>
            <w:pPr>
              <w:pStyle w:val="204"/>
              <w:spacing w:line="360" w:lineRule="auto"/>
              <w:jc w:val="center"/>
              <w:rPr>
                <w:rFonts w:ascii="宋体" w:hAnsi="宋体"/>
                <w:sz w:val="24"/>
              </w:rPr>
            </w:pPr>
            <w:r>
              <w:rPr>
                <w:rFonts w:hint="eastAsia" w:ascii="宋体" w:hAnsi="宋体"/>
                <w:sz w:val="24"/>
              </w:rPr>
              <w:t>供应商响应情况</w:t>
            </w:r>
          </w:p>
        </w:tc>
        <w:tc>
          <w:tcPr>
            <w:tcW w:w="1807" w:type="dxa"/>
            <w:tcBorders>
              <w:top w:val="single" w:color="auto" w:sz="4" w:space="0"/>
              <w:left w:val="single" w:color="auto" w:sz="4" w:space="0"/>
              <w:bottom w:val="single" w:color="auto" w:sz="4" w:space="0"/>
              <w:right w:val="single" w:color="auto" w:sz="4" w:space="0"/>
            </w:tcBorders>
          </w:tcPr>
          <w:p>
            <w:pPr>
              <w:pStyle w:val="204"/>
              <w:spacing w:line="360" w:lineRule="auto"/>
              <w:jc w:val="center"/>
              <w:rPr>
                <w:rFonts w:ascii="宋体" w:hAnsi="宋体"/>
                <w:sz w:val="24"/>
              </w:rPr>
            </w:pPr>
            <w:r>
              <w:rPr>
                <w:rFonts w:hint="eastAsia" w:ascii="宋体" w:hAnsi="宋体"/>
                <w:sz w:val="24"/>
              </w:rPr>
              <w:t>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8" w:type="dxa"/>
            <w:tcBorders>
              <w:top w:val="single" w:color="auto" w:sz="4" w:space="0"/>
              <w:left w:val="single" w:color="auto" w:sz="4" w:space="0"/>
              <w:bottom w:val="single" w:color="auto" w:sz="4" w:space="0"/>
              <w:right w:val="single" w:color="auto" w:sz="4" w:space="0"/>
            </w:tcBorders>
          </w:tcPr>
          <w:p>
            <w:pPr>
              <w:pStyle w:val="204"/>
              <w:spacing w:line="360" w:lineRule="auto"/>
              <w:jc w:val="center"/>
              <w:rPr>
                <w:rFonts w:ascii="宋体" w:hAnsi="宋体"/>
                <w:sz w:val="24"/>
              </w:rPr>
            </w:pPr>
            <w:r>
              <w:rPr>
                <w:rFonts w:hint="eastAsia" w:ascii="宋体" w:hAnsi="宋体"/>
                <w:sz w:val="24"/>
              </w:rPr>
              <w:t>1</w:t>
            </w:r>
          </w:p>
        </w:tc>
        <w:tc>
          <w:tcPr>
            <w:tcW w:w="3807" w:type="dxa"/>
            <w:tcBorders>
              <w:top w:val="single" w:color="auto" w:sz="4" w:space="0"/>
              <w:left w:val="single" w:color="auto" w:sz="4" w:space="0"/>
              <w:bottom w:val="single" w:color="auto" w:sz="4" w:space="0"/>
              <w:right w:val="single" w:color="auto" w:sz="4" w:space="0"/>
            </w:tcBorders>
          </w:tcPr>
          <w:p>
            <w:pPr>
              <w:pStyle w:val="204"/>
              <w:rPr>
                <w:rFonts w:ascii="宋体" w:hAnsi="宋体"/>
                <w:sz w:val="24"/>
              </w:rPr>
            </w:pPr>
            <w:r>
              <w:rPr>
                <w:rFonts w:hint="eastAsia" w:ascii="宋体" w:hAnsi="宋体"/>
                <w:color w:val="FF0000"/>
                <w:sz w:val="24"/>
              </w:rPr>
              <w:t>★</w:t>
            </w:r>
            <w:r>
              <w:rPr>
                <w:rFonts w:hint="eastAsia" w:ascii="宋体" w:hAnsi="宋体"/>
                <w:sz w:val="24"/>
              </w:rPr>
              <w:t>如供应商报价低于最高限价</w:t>
            </w:r>
            <w:r>
              <w:rPr>
                <w:rFonts w:hint="eastAsia" w:ascii="宋体" w:hAnsi="宋体"/>
                <w:sz w:val="24"/>
                <w:highlight w:val="magenta"/>
              </w:rPr>
              <w:t>40%</w:t>
            </w:r>
            <w:r>
              <w:rPr>
                <w:rFonts w:hint="eastAsia" w:ascii="宋体" w:hAnsi="宋体"/>
                <w:sz w:val="24"/>
              </w:rPr>
              <w:t>的，必须说明报价理由。</w:t>
            </w:r>
          </w:p>
        </w:tc>
        <w:tc>
          <w:tcPr>
            <w:tcW w:w="2880"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r>
              <w:rPr>
                <w:rFonts w:hint="eastAsia" w:ascii="宋体" w:hAnsi="宋体"/>
                <w:sz w:val="24"/>
              </w:rPr>
              <w:t>理由：</w:t>
            </w:r>
          </w:p>
        </w:tc>
        <w:tc>
          <w:tcPr>
            <w:tcW w:w="1807" w:type="dxa"/>
            <w:tcBorders>
              <w:top w:val="single" w:color="auto" w:sz="4" w:space="0"/>
              <w:left w:val="single" w:color="auto" w:sz="4" w:space="0"/>
              <w:bottom w:val="single" w:color="auto" w:sz="4" w:space="0"/>
              <w:right w:val="single" w:color="auto" w:sz="4" w:space="0"/>
            </w:tcBorders>
          </w:tcPr>
          <w:p>
            <w:pPr>
              <w:pStyle w:val="204"/>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pStyle w:val="204"/>
              <w:spacing w:line="360" w:lineRule="auto"/>
              <w:jc w:val="center"/>
              <w:rPr>
                <w:rFonts w:ascii="宋体" w:hAnsi="宋体"/>
                <w:sz w:val="24"/>
              </w:rPr>
            </w:pPr>
            <w:r>
              <w:rPr>
                <w:rFonts w:hint="eastAsia" w:ascii="宋体" w:hAnsi="宋体"/>
                <w:sz w:val="24"/>
              </w:rPr>
              <w:t>2</w:t>
            </w:r>
          </w:p>
        </w:tc>
        <w:tc>
          <w:tcPr>
            <w:tcW w:w="3807" w:type="dxa"/>
            <w:tcBorders>
              <w:top w:val="single" w:color="auto" w:sz="4" w:space="0"/>
              <w:left w:val="single" w:color="auto" w:sz="4" w:space="0"/>
              <w:bottom w:val="single" w:color="auto" w:sz="4" w:space="0"/>
              <w:right w:val="single" w:color="auto" w:sz="4" w:space="0"/>
            </w:tcBorders>
          </w:tcPr>
          <w:p>
            <w:pPr>
              <w:pStyle w:val="204"/>
              <w:rPr>
                <w:rFonts w:ascii="宋体" w:hAnsi="宋体"/>
                <w:sz w:val="24"/>
              </w:rPr>
            </w:pPr>
            <w:r>
              <w:rPr>
                <w:rFonts w:hint="eastAsia" w:ascii="宋体" w:hAnsi="宋体"/>
                <w:color w:val="FF0000"/>
                <w:sz w:val="24"/>
              </w:rPr>
              <w:t>★</w:t>
            </w:r>
            <w:r>
              <w:rPr>
                <w:rFonts w:hint="eastAsia" w:ascii="宋体" w:hAnsi="宋体"/>
                <w:sz w:val="24"/>
              </w:rPr>
              <w:t>本次采购服务产品为非进口产品</w:t>
            </w:r>
            <w:r>
              <w:rPr>
                <w:rFonts w:hint="eastAsia" w:ascii="宋体" w:hAnsi="宋体" w:cs="Arial"/>
                <w:sz w:val="24"/>
              </w:rPr>
              <w:t>（进口产品指通过中国海关报关验放进入中国境内且产自关境外的产品）。</w:t>
            </w:r>
          </w:p>
        </w:tc>
        <w:tc>
          <w:tcPr>
            <w:tcW w:w="2880"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p>
        </w:tc>
        <w:tc>
          <w:tcPr>
            <w:tcW w:w="1807"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pStyle w:val="204"/>
              <w:rPr>
                <w:rFonts w:ascii="宋体" w:hAnsi="宋体"/>
                <w:sz w:val="24"/>
              </w:rPr>
            </w:pPr>
            <w:r>
              <w:rPr>
                <w:rFonts w:hint="eastAsia" w:ascii="宋体" w:hAnsi="宋体"/>
                <w:sz w:val="24"/>
              </w:rPr>
              <w:t>3</w:t>
            </w:r>
          </w:p>
        </w:tc>
        <w:tc>
          <w:tcPr>
            <w:tcW w:w="3807" w:type="dxa"/>
            <w:tcBorders>
              <w:top w:val="single" w:color="auto" w:sz="4" w:space="0"/>
              <w:left w:val="single" w:color="auto" w:sz="4" w:space="0"/>
              <w:bottom w:val="single" w:color="auto" w:sz="4" w:space="0"/>
              <w:right w:val="single" w:color="auto" w:sz="4" w:space="0"/>
            </w:tcBorders>
          </w:tcPr>
          <w:p>
            <w:pPr>
              <w:pStyle w:val="204"/>
              <w:rPr>
                <w:rFonts w:ascii="宋体" w:hAnsi="宋体"/>
                <w:sz w:val="24"/>
              </w:rPr>
            </w:pPr>
            <w:r>
              <w:rPr>
                <w:rFonts w:hint="eastAsia" w:ascii="宋体" w:hAnsi="宋体"/>
                <w:sz w:val="24"/>
              </w:rPr>
              <w:t>以下内容根据第二章服务要求★号条款详细列举</w:t>
            </w:r>
          </w:p>
        </w:tc>
        <w:tc>
          <w:tcPr>
            <w:tcW w:w="2880"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p>
        </w:tc>
        <w:tc>
          <w:tcPr>
            <w:tcW w:w="1807"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pStyle w:val="204"/>
              <w:spacing w:line="360" w:lineRule="auto"/>
              <w:jc w:val="center"/>
              <w:rPr>
                <w:rFonts w:ascii="宋体" w:hAnsi="宋体"/>
                <w:sz w:val="24"/>
              </w:rPr>
            </w:pPr>
            <w:r>
              <w:rPr>
                <w:rFonts w:hint="eastAsia" w:ascii="宋体" w:hAnsi="宋体"/>
                <w:sz w:val="24"/>
              </w:rPr>
              <w:t>…</w:t>
            </w:r>
          </w:p>
        </w:tc>
        <w:tc>
          <w:tcPr>
            <w:tcW w:w="3807"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p>
        </w:tc>
        <w:tc>
          <w:tcPr>
            <w:tcW w:w="2880"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p>
        </w:tc>
        <w:tc>
          <w:tcPr>
            <w:tcW w:w="1807"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pStyle w:val="204"/>
              <w:spacing w:line="360" w:lineRule="auto"/>
              <w:jc w:val="center"/>
              <w:rPr>
                <w:rFonts w:ascii="宋体" w:hAnsi="宋体"/>
                <w:sz w:val="24"/>
              </w:rPr>
            </w:pPr>
          </w:p>
        </w:tc>
        <w:tc>
          <w:tcPr>
            <w:tcW w:w="3807"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p>
        </w:tc>
        <w:tc>
          <w:tcPr>
            <w:tcW w:w="2880"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p>
        </w:tc>
        <w:tc>
          <w:tcPr>
            <w:tcW w:w="1807"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pStyle w:val="204"/>
              <w:spacing w:line="360" w:lineRule="auto"/>
              <w:jc w:val="center"/>
              <w:rPr>
                <w:rFonts w:ascii="宋体" w:hAnsi="宋体"/>
                <w:sz w:val="24"/>
              </w:rPr>
            </w:pPr>
          </w:p>
        </w:tc>
        <w:tc>
          <w:tcPr>
            <w:tcW w:w="3807"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p>
        </w:tc>
        <w:tc>
          <w:tcPr>
            <w:tcW w:w="2880"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p>
        </w:tc>
        <w:tc>
          <w:tcPr>
            <w:tcW w:w="1807"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pStyle w:val="204"/>
              <w:spacing w:line="360" w:lineRule="auto"/>
              <w:jc w:val="center"/>
              <w:rPr>
                <w:rFonts w:ascii="宋体" w:hAnsi="宋体"/>
                <w:sz w:val="24"/>
              </w:rPr>
            </w:pPr>
          </w:p>
        </w:tc>
        <w:tc>
          <w:tcPr>
            <w:tcW w:w="3807"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p>
        </w:tc>
        <w:tc>
          <w:tcPr>
            <w:tcW w:w="2880"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p>
        </w:tc>
        <w:tc>
          <w:tcPr>
            <w:tcW w:w="1807"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p>
        </w:tc>
      </w:tr>
    </w:tbl>
    <w:p>
      <w:pPr>
        <w:pStyle w:val="204"/>
        <w:spacing w:line="360" w:lineRule="auto"/>
        <w:rPr>
          <w:rFonts w:ascii="宋体" w:hAnsi="宋体"/>
          <w:sz w:val="24"/>
        </w:rPr>
      </w:pPr>
      <w:r>
        <w:rPr>
          <w:rFonts w:hint="eastAsia" w:ascii="宋体" w:hAnsi="宋体"/>
          <w:sz w:val="24"/>
        </w:rPr>
        <w:t>说明：</w:t>
      </w:r>
    </w:p>
    <w:p>
      <w:pPr>
        <w:pStyle w:val="204"/>
        <w:numPr>
          <w:ilvl w:val="0"/>
          <w:numId w:val="10"/>
        </w:numPr>
        <w:tabs>
          <w:tab w:val="left" w:pos="-426"/>
          <w:tab w:val="clear" w:pos="360"/>
        </w:tabs>
        <w:spacing w:line="360" w:lineRule="auto"/>
        <w:ind w:left="0" w:right="-57" w:rightChars="-27" w:firstLine="0"/>
        <w:rPr>
          <w:rFonts w:ascii="宋体" w:hAnsi="宋体"/>
          <w:sz w:val="24"/>
        </w:rPr>
      </w:pPr>
      <w:r>
        <w:rPr>
          <w:rFonts w:hint="eastAsia" w:ascii="宋体" w:hAnsi="宋体"/>
          <w:sz w:val="24"/>
        </w:rPr>
        <w:t>本表所列条款必须一一予以响应，“供应商响应情况”一栏应</w:t>
      </w:r>
      <w:r>
        <w:rPr>
          <w:rFonts w:hint="eastAsia" w:ascii="宋体" w:hAnsi="宋体"/>
          <w:b/>
          <w:sz w:val="24"/>
        </w:rPr>
        <w:t>填写具体的响应内容，有差异的</w:t>
      </w:r>
      <w:r>
        <w:rPr>
          <w:rFonts w:hint="eastAsia" w:ascii="宋体" w:hAnsi="宋体"/>
          <w:sz w:val="24"/>
        </w:rPr>
        <w:t>要具体说明。</w:t>
      </w:r>
    </w:p>
    <w:p>
      <w:pPr>
        <w:pStyle w:val="204"/>
        <w:numPr>
          <w:ilvl w:val="0"/>
          <w:numId w:val="10"/>
        </w:numPr>
        <w:tabs>
          <w:tab w:val="left" w:pos="-426"/>
          <w:tab w:val="clear" w:pos="360"/>
        </w:tabs>
        <w:spacing w:line="360" w:lineRule="auto"/>
        <w:ind w:left="0" w:right="-483" w:rightChars="-230" w:firstLine="0"/>
        <w:rPr>
          <w:rFonts w:ascii="宋体" w:hAnsi="宋体"/>
          <w:sz w:val="24"/>
        </w:rPr>
      </w:pPr>
      <w:r>
        <w:rPr>
          <w:rFonts w:hint="eastAsia" w:ascii="宋体" w:hAnsi="宋体"/>
          <w:sz w:val="24"/>
        </w:rPr>
        <w:t>请供应商认真填写本表内容，如填写错误将可能导致投标无效。</w:t>
      </w:r>
    </w:p>
    <w:p>
      <w:pPr>
        <w:pStyle w:val="204"/>
        <w:spacing w:line="360" w:lineRule="auto"/>
        <w:ind w:right="-483" w:rightChars="-230"/>
        <w:rPr>
          <w:rFonts w:ascii="宋体" w:hAnsi="宋体"/>
          <w:sz w:val="24"/>
        </w:rPr>
      </w:pPr>
    </w:p>
    <w:p>
      <w:pPr>
        <w:pStyle w:val="202"/>
        <w:spacing w:line="360" w:lineRule="auto"/>
        <w:rPr>
          <w:rFonts w:hAnsi="宋体"/>
          <w:sz w:val="24"/>
          <w:szCs w:val="24"/>
        </w:rPr>
      </w:pPr>
    </w:p>
    <w:p>
      <w:pPr>
        <w:pStyle w:val="113"/>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jc w:val="right"/>
        <w:rPr>
          <w:rFonts w:ascii="宋体" w:hAnsi="宋体" w:cs="Arial"/>
          <w:sz w:val="24"/>
          <w:szCs w:val="24"/>
        </w:rPr>
      </w:pPr>
      <w:r>
        <w:rPr>
          <w:rFonts w:hint="eastAsia" w:ascii="宋体" w:hAnsi="宋体"/>
          <w:sz w:val="24"/>
          <w:szCs w:val="24"/>
        </w:rPr>
        <w:t>日期：</w:t>
      </w:r>
      <w:r>
        <w:rPr>
          <w:rFonts w:hint="eastAsia" w:ascii="宋体" w:hAnsi="宋体" w:cs="Arial"/>
          <w:sz w:val="24"/>
          <w:szCs w:val="24"/>
        </w:rPr>
        <w:t>2022年   月   日</w:t>
      </w:r>
    </w:p>
    <w:p>
      <w:pPr>
        <w:pStyle w:val="113"/>
        <w:spacing w:line="360" w:lineRule="auto"/>
        <w:ind w:right="84" w:rightChars="40" w:firstLine="4080" w:firstLineChars="1700"/>
        <w:jc w:val="right"/>
        <w:rPr>
          <w:rFonts w:ascii="宋体" w:hAnsi="宋体" w:cs="Arial"/>
          <w:sz w:val="24"/>
          <w:szCs w:val="24"/>
        </w:rPr>
      </w:pPr>
    </w:p>
    <w:p>
      <w:pPr>
        <w:pStyle w:val="113"/>
        <w:spacing w:line="360" w:lineRule="auto"/>
        <w:ind w:right="84" w:rightChars="40" w:firstLine="4080" w:firstLineChars="1700"/>
        <w:jc w:val="right"/>
        <w:rPr>
          <w:rFonts w:ascii="宋体" w:hAnsi="宋体" w:cs="Arial"/>
          <w:sz w:val="24"/>
          <w:szCs w:val="24"/>
        </w:rPr>
      </w:pPr>
    </w:p>
    <w:p>
      <w:pPr>
        <w:pStyle w:val="113"/>
        <w:spacing w:line="360" w:lineRule="auto"/>
        <w:ind w:right="84" w:rightChars="40" w:firstLine="4080" w:firstLineChars="1700"/>
        <w:jc w:val="right"/>
        <w:rPr>
          <w:rFonts w:ascii="宋体" w:hAnsi="宋体" w:cs="Arial"/>
          <w:sz w:val="24"/>
          <w:szCs w:val="24"/>
        </w:rPr>
      </w:pPr>
    </w:p>
    <w:p>
      <w:pPr>
        <w:pStyle w:val="113"/>
        <w:spacing w:line="360" w:lineRule="auto"/>
        <w:ind w:right="84" w:rightChars="40" w:firstLine="4080" w:firstLineChars="1700"/>
        <w:jc w:val="right"/>
        <w:rPr>
          <w:rFonts w:ascii="宋体" w:hAnsi="宋体" w:cs="Arial"/>
          <w:sz w:val="24"/>
          <w:szCs w:val="24"/>
        </w:rPr>
      </w:pPr>
    </w:p>
    <w:p>
      <w:pPr>
        <w:pStyle w:val="204"/>
        <w:rPr>
          <w:rFonts w:ascii="宋体" w:hAnsi="宋体"/>
          <w:sz w:val="24"/>
        </w:rPr>
      </w:pPr>
    </w:p>
    <w:p>
      <w:pPr>
        <w:keepNext/>
        <w:keepLines/>
        <w:spacing w:before="260" w:after="260" w:line="415" w:lineRule="auto"/>
        <w:ind w:firstLine="137" w:firstLineChars="49"/>
        <w:jc w:val="center"/>
        <w:outlineLvl w:val="2"/>
        <w:rPr>
          <w:rFonts w:ascii="宋体" w:hAnsi="宋体"/>
          <w:bCs/>
          <w:sz w:val="28"/>
          <w:szCs w:val="28"/>
        </w:rPr>
      </w:pPr>
      <w:bookmarkStart w:id="234" w:name="_Toc29053"/>
      <w:r>
        <w:rPr>
          <w:rFonts w:hint="eastAsia" w:ascii="宋体" w:hAnsi="宋体"/>
          <w:bCs/>
          <w:sz w:val="28"/>
          <w:szCs w:val="28"/>
        </w:rPr>
        <w:t>项目负责人</w:t>
      </w:r>
      <w:r>
        <w:rPr>
          <w:rFonts w:ascii="宋体" w:hAnsi="宋体"/>
          <w:bCs/>
          <w:sz w:val="28"/>
          <w:szCs w:val="28"/>
        </w:rPr>
        <w:t>简历表</w:t>
      </w:r>
      <w:bookmarkEnd w:id="234"/>
    </w:p>
    <w:p>
      <w:pPr>
        <w:pStyle w:val="204"/>
        <w:tabs>
          <w:tab w:val="left" w:pos="-426"/>
        </w:tabs>
        <w:spacing w:line="360" w:lineRule="auto"/>
        <w:ind w:right="-483" w:rightChars="-230" w:firstLine="480" w:firstLineChars="200"/>
        <w:rPr>
          <w:rFonts w:hint="eastAsia" w:ascii="宋体" w:hAnsi="宋体"/>
          <w:sz w:val="24"/>
        </w:rPr>
      </w:pPr>
      <w:r>
        <w:rPr>
          <w:rFonts w:hint="eastAsia" w:ascii="宋体" w:hAnsi="宋体"/>
          <w:sz w:val="24"/>
        </w:rPr>
        <w:t>“项目负责人简历表”应附负责人注册证、身份证、职称证、学历证、社保证明，</w:t>
      </w:r>
    </w:p>
    <w:p>
      <w:pPr>
        <w:pStyle w:val="204"/>
        <w:tabs>
          <w:tab w:val="left" w:pos="-426"/>
        </w:tabs>
        <w:spacing w:line="360" w:lineRule="auto"/>
        <w:ind w:right="-483" w:rightChars="-230" w:firstLine="480" w:firstLineChars="200"/>
        <w:rPr>
          <w:rFonts w:ascii="宋体" w:hAnsi="宋体"/>
          <w:sz w:val="23"/>
          <w:szCs w:val="23"/>
        </w:rPr>
      </w:pPr>
      <w:r>
        <w:rPr>
          <w:rFonts w:hint="eastAsia" w:ascii="宋体" w:hAnsi="宋体"/>
          <w:sz w:val="24"/>
        </w:rPr>
        <w:t>项目业绩须附合同书复印件中标通知书或竣工验收报告；</w:t>
      </w:r>
    </w:p>
    <w:tbl>
      <w:tblPr>
        <w:tblStyle w:val="3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065"/>
        <w:gridCol w:w="706"/>
        <w:gridCol w:w="1261"/>
        <w:gridCol w:w="163"/>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pPr>
              <w:spacing w:line="440" w:lineRule="exact"/>
              <w:jc w:val="center"/>
              <w:rPr>
                <w:rFonts w:ascii="宋体" w:hAnsi="宋体"/>
                <w:szCs w:val="21"/>
              </w:rPr>
            </w:pPr>
            <w:r>
              <w:rPr>
                <w:rFonts w:ascii="宋体" w:hAnsi="宋体"/>
                <w:szCs w:val="21"/>
              </w:rPr>
              <w:t>姓  名</w:t>
            </w:r>
          </w:p>
        </w:tc>
        <w:tc>
          <w:tcPr>
            <w:tcW w:w="1079" w:type="dxa"/>
            <w:gridSpan w:val="2"/>
            <w:vAlign w:val="center"/>
          </w:tcPr>
          <w:p>
            <w:pPr>
              <w:spacing w:line="440" w:lineRule="exact"/>
              <w:jc w:val="center"/>
              <w:rPr>
                <w:rFonts w:ascii="宋体" w:hAnsi="宋体"/>
                <w:szCs w:val="21"/>
              </w:rPr>
            </w:pPr>
          </w:p>
        </w:tc>
        <w:tc>
          <w:tcPr>
            <w:tcW w:w="927" w:type="dxa"/>
            <w:vAlign w:val="center"/>
          </w:tcPr>
          <w:p>
            <w:pPr>
              <w:spacing w:line="440" w:lineRule="exact"/>
              <w:jc w:val="center"/>
              <w:rPr>
                <w:rFonts w:ascii="宋体" w:hAnsi="宋体"/>
                <w:szCs w:val="21"/>
              </w:rPr>
            </w:pPr>
            <w:r>
              <w:rPr>
                <w:rFonts w:ascii="宋体" w:hAnsi="宋体"/>
                <w:szCs w:val="21"/>
              </w:rPr>
              <w:t>年 龄</w:t>
            </w:r>
          </w:p>
        </w:tc>
        <w:tc>
          <w:tcPr>
            <w:tcW w:w="1065" w:type="dxa"/>
            <w:vAlign w:val="center"/>
          </w:tcPr>
          <w:p>
            <w:pPr>
              <w:spacing w:line="440" w:lineRule="exact"/>
              <w:jc w:val="center"/>
              <w:rPr>
                <w:rFonts w:ascii="宋体" w:hAnsi="宋体"/>
                <w:szCs w:val="21"/>
              </w:rPr>
            </w:pPr>
          </w:p>
        </w:tc>
        <w:tc>
          <w:tcPr>
            <w:tcW w:w="2130" w:type="dxa"/>
            <w:gridSpan w:val="3"/>
            <w:vAlign w:val="center"/>
          </w:tcPr>
          <w:p>
            <w:pPr>
              <w:spacing w:line="440" w:lineRule="exact"/>
              <w:jc w:val="center"/>
              <w:rPr>
                <w:rFonts w:ascii="宋体" w:hAnsi="宋体"/>
                <w:szCs w:val="21"/>
              </w:rPr>
            </w:pPr>
            <w:r>
              <w:rPr>
                <w:rFonts w:ascii="宋体" w:hAnsi="宋体"/>
                <w:szCs w:val="21"/>
              </w:rPr>
              <w:t>学历</w:t>
            </w:r>
          </w:p>
        </w:tc>
        <w:tc>
          <w:tcPr>
            <w:tcW w:w="213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pPr>
              <w:spacing w:line="440" w:lineRule="exact"/>
              <w:jc w:val="center"/>
              <w:rPr>
                <w:rFonts w:ascii="宋体" w:hAnsi="宋体"/>
                <w:szCs w:val="21"/>
              </w:rPr>
            </w:pPr>
            <w:r>
              <w:rPr>
                <w:rFonts w:ascii="宋体" w:hAnsi="宋体"/>
                <w:szCs w:val="21"/>
              </w:rPr>
              <w:t>职  称</w:t>
            </w:r>
          </w:p>
        </w:tc>
        <w:tc>
          <w:tcPr>
            <w:tcW w:w="1079" w:type="dxa"/>
            <w:gridSpan w:val="2"/>
            <w:vAlign w:val="center"/>
          </w:tcPr>
          <w:p>
            <w:pPr>
              <w:spacing w:line="440" w:lineRule="exact"/>
              <w:jc w:val="center"/>
              <w:rPr>
                <w:rFonts w:ascii="宋体" w:hAnsi="宋体"/>
                <w:szCs w:val="21"/>
              </w:rPr>
            </w:pPr>
          </w:p>
        </w:tc>
        <w:tc>
          <w:tcPr>
            <w:tcW w:w="927" w:type="dxa"/>
            <w:vAlign w:val="center"/>
          </w:tcPr>
          <w:p>
            <w:pPr>
              <w:spacing w:line="440" w:lineRule="exact"/>
              <w:jc w:val="center"/>
              <w:rPr>
                <w:rFonts w:ascii="宋体" w:hAnsi="宋体"/>
                <w:szCs w:val="21"/>
              </w:rPr>
            </w:pPr>
            <w:r>
              <w:rPr>
                <w:rFonts w:ascii="宋体" w:hAnsi="宋体"/>
                <w:szCs w:val="21"/>
              </w:rPr>
              <w:t>职 务</w:t>
            </w:r>
          </w:p>
        </w:tc>
        <w:tc>
          <w:tcPr>
            <w:tcW w:w="1065" w:type="dxa"/>
            <w:vAlign w:val="center"/>
          </w:tcPr>
          <w:p>
            <w:pPr>
              <w:spacing w:line="440" w:lineRule="exact"/>
              <w:jc w:val="center"/>
              <w:rPr>
                <w:rFonts w:ascii="宋体" w:hAnsi="宋体"/>
                <w:szCs w:val="21"/>
              </w:rPr>
            </w:pPr>
          </w:p>
        </w:tc>
        <w:tc>
          <w:tcPr>
            <w:tcW w:w="2130" w:type="dxa"/>
            <w:gridSpan w:val="3"/>
            <w:vAlign w:val="center"/>
          </w:tcPr>
          <w:p>
            <w:pPr>
              <w:spacing w:line="440" w:lineRule="exact"/>
              <w:jc w:val="center"/>
              <w:rPr>
                <w:rFonts w:ascii="宋体" w:hAnsi="宋体"/>
                <w:szCs w:val="21"/>
              </w:rPr>
            </w:pPr>
            <w:r>
              <w:rPr>
                <w:rFonts w:ascii="宋体" w:hAnsi="宋体"/>
                <w:szCs w:val="21"/>
              </w:rPr>
              <w:t>拟在本</w:t>
            </w:r>
            <w:r>
              <w:rPr>
                <w:rFonts w:hint="eastAsia" w:ascii="宋体" w:hAnsi="宋体"/>
                <w:szCs w:val="21"/>
              </w:rPr>
              <w:t>项目</w:t>
            </w:r>
            <w:r>
              <w:rPr>
                <w:rFonts w:ascii="宋体" w:hAnsi="宋体"/>
                <w:szCs w:val="21"/>
              </w:rPr>
              <w:t>任</w:t>
            </w:r>
            <w:r>
              <w:rPr>
                <w:rFonts w:hint="eastAsia" w:ascii="宋体" w:hAnsi="宋体"/>
                <w:szCs w:val="21"/>
              </w:rPr>
              <w:t>职务</w:t>
            </w:r>
          </w:p>
        </w:tc>
        <w:tc>
          <w:tcPr>
            <w:tcW w:w="213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pPr>
              <w:spacing w:line="440" w:lineRule="exact"/>
              <w:jc w:val="center"/>
              <w:rPr>
                <w:rFonts w:ascii="宋体" w:hAnsi="宋体"/>
                <w:szCs w:val="21"/>
              </w:rPr>
            </w:pPr>
            <w:r>
              <w:rPr>
                <w:rFonts w:ascii="宋体" w:hAnsi="宋体"/>
                <w:szCs w:val="21"/>
              </w:rPr>
              <w:t>毕业学校</w:t>
            </w:r>
          </w:p>
        </w:tc>
        <w:tc>
          <w:tcPr>
            <w:tcW w:w="7335" w:type="dxa"/>
            <w:gridSpan w:val="8"/>
          </w:tcPr>
          <w:p>
            <w:pPr>
              <w:spacing w:line="440" w:lineRule="exact"/>
              <w:ind w:firstLine="945" w:firstLineChars="450"/>
              <w:rPr>
                <w:rFonts w:ascii="宋体" w:hAnsi="宋体"/>
                <w:szCs w:val="21"/>
              </w:rPr>
            </w:pPr>
            <w:r>
              <w:rPr>
                <w:rFonts w:ascii="宋体" w:hAnsi="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vAlign w:val="center"/>
          </w:tcPr>
          <w:p>
            <w:pPr>
              <w:spacing w:line="440" w:lineRule="exact"/>
              <w:rPr>
                <w:rFonts w:ascii="宋体" w:hAnsi="宋体"/>
                <w:szCs w:val="21"/>
              </w:rPr>
            </w:pPr>
            <w:r>
              <w:rPr>
                <w:rFonts w:ascii="宋体" w:hAnsi="宋体"/>
                <w:szCs w:val="21"/>
              </w:rPr>
              <w:t>时  间</w:t>
            </w:r>
          </w:p>
        </w:tc>
        <w:tc>
          <w:tcPr>
            <w:tcW w:w="3420" w:type="dxa"/>
            <w:gridSpan w:val="4"/>
            <w:vAlign w:val="center"/>
          </w:tcPr>
          <w:p>
            <w:pPr>
              <w:spacing w:line="440" w:lineRule="exact"/>
              <w:rPr>
                <w:rFonts w:ascii="宋体" w:hAnsi="宋体"/>
                <w:szCs w:val="21"/>
              </w:rPr>
            </w:pPr>
            <w:r>
              <w:rPr>
                <w:rFonts w:ascii="宋体" w:hAnsi="宋体"/>
                <w:szCs w:val="21"/>
              </w:rPr>
              <w:t>参加过的类似项目</w:t>
            </w:r>
          </w:p>
        </w:tc>
        <w:tc>
          <w:tcPr>
            <w:tcW w:w="1261" w:type="dxa"/>
            <w:vAlign w:val="center"/>
          </w:tcPr>
          <w:p>
            <w:pPr>
              <w:spacing w:line="440" w:lineRule="exact"/>
              <w:rPr>
                <w:rFonts w:ascii="宋体" w:hAnsi="宋体"/>
                <w:szCs w:val="21"/>
              </w:rPr>
            </w:pPr>
            <w:r>
              <w:rPr>
                <w:rFonts w:ascii="宋体" w:hAnsi="宋体"/>
                <w:szCs w:val="21"/>
              </w:rPr>
              <w:t>担任职务</w:t>
            </w:r>
          </w:p>
        </w:tc>
        <w:tc>
          <w:tcPr>
            <w:tcW w:w="2297" w:type="dxa"/>
            <w:gridSpan w:val="2"/>
            <w:vAlign w:val="center"/>
          </w:tcPr>
          <w:p>
            <w:pPr>
              <w:spacing w:line="440" w:lineRule="exact"/>
              <w:rPr>
                <w:rFonts w:ascii="宋体" w:hAnsi="宋体"/>
                <w:szCs w:val="21"/>
              </w:rPr>
            </w:pPr>
            <w:r>
              <w:rPr>
                <w:rFonts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7"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宋体" w:hAnsi="宋体"/>
                <w:szCs w:val="21"/>
                <w:highlight w:val="green"/>
              </w:rPr>
            </w:pPr>
          </w:p>
        </w:tc>
        <w:tc>
          <w:tcPr>
            <w:tcW w:w="3420" w:type="dxa"/>
            <w:gridSpan w:val="4"/>
          </w:tcPr>
          <w:p>
            <w:pPr>
              <w:spacing w:line="440" w:lineRule="exact"/>
              <w:rPr>
                <w:rFonts w:ascii="宋体" w:hAnsi="宋体"/>
                <w:szCs w:val="21"/>
                <w:highlight w:val="green"/>
              </w:rPr>
            </w:pPr>
          </w:p>
        </w:tc>
        <w:tc>
          <w:tcPr>
            <w:tcW w:w="1261" w:type="dxa"/>
          </w:tcPr>
          <w:p>
            <w:pPr>
              <w:spacing w:line="440" w:lineRule="exact"/>
              <w:rPr>
                <w:rFonts w:ascii="宋体" w:hAnsi="宋体"/>
                <w:szCs w:val="21"/>
                <w:highlight w:val="green"/>
              </w:rPr>
            </w:pPr>
          </w:p>
        </w:tc>
        <w:tc>
          <w:tcPr>
            <w:tcW w:w="2297" w:type="dxa"/>
            <w:gridSpan w:val="2"/>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宋体" w:hAnsi="宋体"/>
                <w:szCs w:val="21"/>
                <w:highlight w:val="green"/>
              </w:rPr>
            </w:pPr>
          </w:p>
        </w:tc>
        <w:tc>
          <w:tcPr>
            <w:tcW w:w="3420" w:type="dxa"/>
            <w:gridSpan w:val="4"/>
          </w:tcPr>
          <w:p>
            <w:pPr>
              <w:spacing w:line="440" w:lineRule="exact"/>
              <w:rPr>
                <w:rFonts w:ascii="宋体" w:hAnsi="宋体"/>
                <w:szCs w:val="21"/>
                <w:highlight w:val="green"/>
              </w:rPr>
            </w:pPr>
          </w:p>
        </w:tc>
        <w:tc>
          <w:tcPr>
            <w:tcW w:w="1261" w:type="dxa"/>
          </w:tcPr>
          <w:p>
            <w:pPr>
              <w:spacing w:line="440" w:lineRule="exact"/>
              <w:rPr>
                <w:rFonts w:ascii="宋体" w:hAnsi="宋体"/>
                <w:szCs w:val="21"/>
                <w:highlight w:val="green"/>
              </w:rPr>
            </w:pPr>
          </w:p>
        </w:tc>
        <w:tc>
          <w:tcPr>
            <w:tcW w:w="2297" w:type="dxa"/>
            <w:gridSpan w:val="2"/>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tbl>
    <w:p>
      <w:pPr>
        <w:pStyle w:val="202"/>
        <w:spacing w:line="360" w:lineRule="auto"/>
        <w:rPr>
          <w:rFonts w:hAnsi="宋体"/>
          <w:sz w:val="24"/>
          <w:szCs w:val="24"/>
        </w:rPr>
      </w:pPr>
    </w:p>
    <w:p>
      <w:pPr>
        <w:pStyle w:val="113"/>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jc w:val="right"/>
        <w:rPr>
          <w:rFonts w:ascii="宋体" w:hAnsi="宋体"/>
          <w:sz w:val="24"/>
          <w:szCs w:val="24"/>
        </w:rPr>
      </w:pPr>
      <w:r>
        <w:rPr>
          <w:rFonts w:hint="eastAsia" w:ascii="宋体" w:hAnsi="宋体"/>
          <w:sz w:val="24"/>
          <w:szCs w:val="24"/>
        </w:rPr>
        <w:t>日期：</w:t>
      </w:r>
      <w:r>
        <w:rPr>
          <w:rFonts w:hint="eastAsia" w:ascii="宋体" w:hAnsi="宋体" w:cs="Arial"/>
          <w:sz w:val="24"/>
          <w:szCs w:val="24"/>
        </w:rPr>
        <w:t>2022年   月   日</w:t>
      </w:r>
    </w:p>
    <w:p>
      <w:pPr>
        <w:pStyle w:val="205"/>
        <w:outlineLvl w:val="9"/>
        <w:rPr>
          <w:rFonts w:hAnsi="宋体"/>
          <w:sz w:val="28"/>
          <w:szCs w:val="28"/>
          <w:highlight w:val="green"/>
        </w:rPr>
      </w:pPr>
    </w:p>
    <w:p>
      <w:pPr>
        <w:pStyle w:val="204"/>
      </w:pPr>
      <w:bookmarkStart w:id="235" w:name="_Toc394307580"/>
    </w:p>
    <w:p>
      <w:pPr>
        <w:keepNext/>
        <w:keepLines/>
        <w:spacing w:before="260" w:after="260" w:line="415" w:lineRule="auto"/>
        <w:ind w:firstLine="137" w:firstLineChars="49"/>
        <w:jc w:val="center"/>
        <w:outlineLvl w:val="2"/>
        <w:rPr>
          <w:rFonts w:ascii="宋体" w:hAnsi="宋体"/>
          <w:bCs/>
          <w:sz w:val="28"/>
          <w:szCs w:val="28"/>
        </w:rPr>
      </w:pPr>
      <w:bookmarkStart w:id="236" w:name="_Toc26073"/>
      <w:r>
        <w:rPr>
          <w:rFonts w:hint="eastAsia" w:ascii="宋体" w:hAnsi="宋体"/>
          <w:bCs/>
          <w:sz w:val="28"/>
          <w:szCs w:val="28"/>
        </w:rPr>
        <w:t>主要</w:t>
      </w:r>
      <w:r>
        <w:rPr>
          <w:rFonts w:hint="eastAsia" w:ascii="宋体" w:hAnsi="宋体"/>
          <w:bCs/>
          <w:sz w:val="28"/>
          <w:szCs w:val="28"/>
          <w:lang w:eastAsia="zh-CN"/>
        </w:rPr>
        <w:t>编制设计</w:t>
      </w:r>
      <w:r>
        <w:rPr>
          <w:rFonts w:hint="eastAsia" w:ascii="宋体" w:hAnsi="宋体"/>
          <w:bCs/>
          <w:sz w:val="28"/>
          <w:szCs w:val="28"/>
        </w:rPr>
        <w:t>人员</w:t>
      </w:r>
      <w:r>
        <w:rPr>
          <w:rFonts w:ascii="宋体" w:hAnsi="宋体"/>
          <w:bCs/>
          <w:sz w:val="28"/>
          <w:szCs w:val="28"/>
        </w:rPr>
        <w:t>表</w:t>
      </w:r>
      <w:bookmarkEnd w:id="236"/>
    </w:p>
    <w:p>
      <w:pPr>
        <w:keepNext/>
        <w:keepLines/>
        <w:spacing w:before="260" w:after="260" w:line="415" w:lineRule="auto"/>
        <w:ind w:firstLine="117" w:firstLineChars="49"/>
        <w:outlineLvl w:val="2"/>
        <w:rPr>
          <w:rFonts w:ascii="宋体" w:hAnsi="宋体"/>
          <w:bCs/>
          <w:sz w:val="28"/>
          <w:szCs w:val="28"/>
        </w:rPr>
      </w:pPr>
      <w:bookmarkStart w:id="237" w:name="_Toc4876"/>
      <w:r>
        <w:rPr>
          <w:rFonts w:hint="eastAsia" w:ascii="宋体" w:hAnsi="宋体"/>
          <w:sz w:val="24"/>
        </w:rPr>
        <w:t>“主要</w:t>
      </w:r>
      <w:r>
        <w:rPr>
          <w:rFonts w:hint="eastAsia" w:ascii="宋体" w:hAnsi="宋体"/>
          <w:sz w:val="24"/>
          <w:lang w:eastAsia="zh-CN"/>
        </w:rPr>
        <w:t>编制设计</w:t>
      </w:r>
      <w:r>
        <w:rPr>
          <w:rFonts w:hint="eastAsia" w:ascii="宋体" w:hAnsi="宋体"/>
          <w:sz w:val="24"/>
        </w:rPr>
        <w:t>人员表”应附</w:t>
      </w:r>
      <w:r>
        <w:rPr>
          <w:rFonts w:hint="eastAsia" w:ascii="宋体" w:hAnsi="宋体"/>
          <w:sz w:val="24"/>
          <w:lang w:eastAsia="zh-CN"/>
        </w:rPr>
        <w:t>编制设计</w:t>
      </w:r>
      <w:r>
        <w:rPr>
          <w:rFonts w:hint="eastAsia" w:ascii="宋体" w:hAnsi="宋体"/>
          <w:sz w:val="24"/>
        </w:rPr>
        <w:t>人注册证或职称证、身份证、学历证、社保证明。</w:t>
      </w:r>
      <w:bookmarkEnd w:id="237"/>
    </w:p>
    <w:tbl>
      <w:tblPr>
        <w:tblStyle w:val="36"/>
        <w:tblW w:w="90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1048"/>
        <w:gridCol w:w="1080"/>
        <w:gridCol w:w="1335"/>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spacing w:line="440" w:lineRule="exact"/>
              <w:jc w:val="center"/>
              <w:rPr>
                <w:rFonts w:ascii="宋体" w:hAnsi="宋体"/>
                <w:szCs w:val="21"/>
              </w:rPr>
            </w:pPr>
            <w:r>
              <w:rPr>
                <w:rFonts w:hint="eastAsia" w:ascii="宋体" w:hAnsi="宋体"/>
                <w:szCs w:val="21"/>
              </w:rPr>
              <w:t>序号</w:t>
            </w:r>
          </w:p>
        </w:tc>
        <w:tc>
          <w:tcPr>
            <w:tcW w:w="721" w:type="dxa"/>
            <w:vAlign w:val="center"/>
          </w:tcPr>
          <w:p>
            <w:pPr>
              <w:spacing w:line="440" w:lineRule="exact"/>
              <w:jc w:val="center"/>
              <w:rPr>
                <w:rFonts w:ascii="宋体" w:hAnsi="宋体"/>
                <w:szCs w:val="21"/>
              </w:rPr>
            </w:pPr>
            <w:r>
              <w:rPr>
                <w:rFonts w:ascii="宋体" w:hAnsi="宋体"/>
                <w:szCs w:val="21"/>
              </w:rPr>
              <w:t>姓名</w:t>
            </w:r>
          </w:p>
        </w:tc>
        <w:tc>
          <w:tcPr>
            <w:tcW w:w="719" w:type="dxa"/>
            <w:vAlign w:val="center"/>
          </w:tcPr>
          <w:p>
            <w:pPr>
              <w:spacing w:line="440" w:lineRule="exact"/>
              <w:jc w:val="center"/>
              <w:rPr>
                <w:rFonts w:ascii="宋体" w:hAnsi="宋体"/>
                <w:szCs w:val="21"/>
              </w:rPr>
            </w:pPr>
            <w:r>
              <w:rPr>
                <w:rFonts w:ascii="宋体" w:hAnsi="宋体"/>
                <w:szCs w:val="21"/>
              </w:rPr>
              <w:t>职称</w:t>
            </w:r>
          </w:p>
        </w:tc>
        <w:tc>
          <w:tcPr>
            <w:tcW w:w="1081" w:type="dxa"/>
            <w:vAlign w:val="center"/>
          </w:tcPr>
          <w:p>
            <w:pPr>
              <w:spacing w:line="440" w:lineRule="exact"/>
              <w:jc w:val="center"/>
              <w:rPr>
                <w:rFonts w:ascii="宋体" w:hAnsi="宋体"/>
                <w:szCs w:val="21"/>
              </w:rPr>
            </w:pPr>
            <w:r>
              <w:rPr>
                <w:rFonts w:ascii="宋体" w:hAnsi="宋体"/>
                <w:szCs w:val="21"/>
              </w:rPr>
              <w:t>证书名称</w:t>
            </w:r>
          </w:p>
        </w:tc>
        <w:tc>
          <w:tcPr>
            <w:tcW w:w="1048" w:type="dxa"/>
            <w:vAlign w:val="center"/>
          </w:tcPr>
          <w:p>
            <w:pPr>
              <w:spacing w:line="440" w:lineRule="exact"/>
              <w:jc w:val="center"/>
              <w:rPr>
                <w:rFonts w:ascii="宋体" w:hAnsi="宋体"/>
                <w:szCs w:val="21"/>
              </w:rPr>
            </w:pPr>
            <w:r>
              <w:rPr>
                <w:rFonts w:ascii="宋体" w:hAnsi="宋体"/>
                <w:szCs w:val="21"/>
              </w:rPr>
              <w:t>级别</w:t>
            </w:r>
          </w:p>
        </w:tc>
        <w:tc>
          <w:tcPr>
            <w:tcW w:w="1080" w:type="dxa"/>
            <w:vAlign w:val="center"/>
          </w:tcPr>
          <w:p>
            <w:pPr>
              <w:spacing w:line="440" w:lineRule="exact"/>
              <w:jc w:val="center"/>
              <w:rPr>
                <w:rFonts w:ascii="宋体" w:hAnsi="宋体"/>
                <w:szCs w:val="21"/>
              </w:rPr>
            </w:pPr>
            <w:r>
              <w:rPr>
                <w:rFonts w:ascii="宋体" w:hAnsi="宋体"/>
                <w:szCs w:val="21"/>
              </w:rPr>
              <w:t>证号</w:t>
            </w:r>
          </w:p>
        </w:tc>
        <w:tc>
          <w:tcPr>
            <w:tcW w:w="1335" w:type="dxa"/>
            <w:vAlign w:val="center"/>
          </w:tcPr>
          <w:p>
            <w:pPr>
              <w:spacing w:line="440" w:lineRule="exact"/>
              <w:jc w:val="center"/>
              <w:rPr>
                <w:rFonts w:ascii="宋体" w:hAnsi="宋体"/>
                <w:szCs w:val="21"/>
              </w:rPr>
            </w:pPr>
            <w:r>
              <w:rPr>
                <w:rFonts w:ascii="宋体" w:hAnsi="宋体"/>
                <w:szCs w:val="21"/>
              </w:rPr>
              <w:t>专业</w:t>
            </w:r>
          </w:p>
        </w:tc>
        <w:tc>
          <w:tcPr>
            <w:tcW w:w="2460" w:type="dxa"/>
            <w:vAlign w:val="center"/>
          </w:tcPr>
          <w:p>
            <w:pPr>
              <w:spacing w:line="440" w:lineRule="exact"/>
              <w:jc w:val="center"/>
              <w:rPr>
                <w:rFonts w:ascii="宋体" w:hAnsi="宋体"/>
                <w:szCs w:val="21"/>
              </w:rPr>
            </w:pPr>
            <w:r>
              <w:rPr>
                <w:rFonts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highlight w:val="magenta"/>
              </w:rPr>
            </w:pPr>
          </w:p>
        </w:tc>
        <w:tc>
          <w:tcPr>
            <w:tcW w:w="721" w:type="dxa"/>
          </w:tcPr>
          <w:p>
            <w:pPr>
              <w:spacing w:line="440" w:lineRule="exact"/>
              <w:jc w:val="center"/>
              <w:rPr>
                <w:rFonts w:ascii="宋体" w:hAnsi="宋体"/>
                <w:szCs w:val="21"/>
                <w:highlight w:val="magenta"/>
              </w:rPr>
            </w:pPr>
          </w:p>
        </w:tc>
        <w:tc>
          <w:tcPr>
            <w:tcW w:w="719" w:type="dxa"/>
          </w:tcPr>
          <w:p>
            <w:pPr>
              <w:spacing w:line="440" w:lineRule="exact"/>
              <w:jc w:val="center"/>
              <w:rPr>
                <w:rFonts w:ascii="宋体" w:hAnsi="宋体"/>
                <w:szCs w:val="21"/>
                <w:highlight w:val="magenta"/>
              </w:rPr>
            </w:pPr>
          </w:p>
        </w:tc>
        <w:tc>
          <w:tcPr>
            <w:tcW w:w="1081" w:type="dxa"/>
          </w:tcPr>
          <w:p>
            <w:pPr>
              <w:spacing w:line="440" w:lineRule="exact"/>
              <w:jc w:val="center"/>
              <w:rPr>
                <w:rFonts w:ascii="宋体" w:hAnsi="宋体"/>
                <w:szCs w:val="21"/>
                <w:highlight w:val="magenta"/>
              </w:rPr>
            </w:pPr>
          </w:p>
        </w:tc>
        <w:tc>
          <w:tcPr>
            <w:tcW w:w="1048" w:type="dxa"/>
          </w:tcPr>
          <w:p>
            <w:pPr>
              <w:spacing w:line="440" w:lineRule="exact"/>
              <w:jc w:val="center"/>
              <w:rPr>
                <w:rFonts w:ascii="宋体" w:hAnsi="宋体"/>
                <w:szCs w:val="21"/>
                <w:highlight w:val="magenta"/>
              </w:rPr>
            </w:pPr>
          </w:p>
        </w:tc>
        <w:tc>
          <w:tcPr>
            <w:tcW w:w="1080" w:type="dxa"/>
          </w:tcPr>
          <w:p>
            <w:pPr>
              <w:spacing w:line="440" w:lineRule="exact"/>
              <w:jc w:val="center"/>
              <w:rPr>
                <w:rFonts w:ascii="宋体" w:hAnsi="宋体"/>
                <w:szCs w:val="21"/>
                <w:highlight w:val="magenta"/>
              </w:rPr>
            </w:pPr>
          </w:p>
        </w:tc>
        <w:tc>
          <w:tcPr>
            <w:tcW w:w="1335" w:type="dxa"/>
          </w:tcPr>
          <w:p>
            <w:pPr>
              <w:spacing w:line="440" w:lineRule="exact"/>
              <w:jc w:val="center"/>
              <w:rPr>
                <w:rFonts w:ascii="宋体" w:hAnsi="宋体"/>
                <w:szCs w:val="21"/>
                <w:highlight w:val="magenta"/>
              </w:rPr>
            </w:pPr>
          </w:p>
        </w:tc>
        <w:tc>
          <w:tcPr>
            <w:tcW w:w="2460" w:type="dxa"/>
          </w:tcPr>
          <w:p>
            <w:pPr>
              <w:spacing w:line="440" w:lineRule="exact"/>
              <w:jc w:val="center"/>
              <w:rPr>
                <w:rFonts w:ascii="宋体" w:hAnsi="宋体"/>
                <w:szCs w:val="2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highlight w:val="magenta"/>
              </w:rPr>
            </w:pPr>
          </w:p>
        </w:tc>
        <w:tc>
          <w:tcPr>
            <w:tcW w:w="721" w:type="dxa"/>
          </w:tcPr>
          <w:p>
            <w:pPr>
              <w:spacing w:line="440" w:lineRule="exact"/>
              <w:jc w:val="center"/>
              <w:rPr>
                <w:rFonts w:ascii="宋体" w:hAnsi="宋体"/>
                <w:szCs w:val="21"/>
                <w:highlight w:val="magenta"/>
              </w:rPr>
            </w:pPr>
          </w:p>
        </w:tc>
        <w:tc>
          <w:tcPr>
            <w:tcW w:w="719" w:type="dxa"/>
          </w:tcPr>
          <w:p>
            <w:pPr>
              <w:spacing w:line="440" w:lineRule="exact"/>
              <w:jc w:val="center"/>
              <w:rPr>
                <w:rFonts w:ascii="宋体" w:hAnsi="宋体"/>
                <w:szCs w:val="21"/>
                <w:highlight w:val="magenta"/>
              </w:rPr>
            </w:pPr>
          </w:p>
        </w:tc>
        <w:tc>
          <w:tcPr>
            <w:tcW w:w="1081" w:type="dxa"/>
          </w:tcPr>
          <w:p>
            <w:pPr>
              <w:spacing w:line="440" w:lineRule="exact"/>
              <w:jc w:val="center"/>
              <w:rPr>
                <w:rFonts w:ascii="宋体" w:hAnsi="宋体"/>
                <w:szCs w:val="21"/>
                <w:highlight w:val="magenta"/>
              </w:rPr>
            </w:pPr>
          </w:p>
        </w:tc>
        <w:tc>
          <w:tcPr>
            <w:tcW w:w="1048" w:type="dxa"/>
          </w:tcPr>
          <w:p>
            <w:pPr>
              <w:spacing w:line="440" w:lineRule="exact"/>
              <w:jc w:val="center"/>
              <w:rPr>
                <w:rFonts w:ascii="宋体" w:hAnsi="宋体"/>
                <w:szCs w:val="21"/>
                <w:highlight w:val="magenta"/>
              </w:rPr>
            </w:pPr>
          </w:p>
        </w:tc>
        <w:tc>
          <w:tcPr>
            <w:tcW w:w="1080" w:type="dxa"/>
          </w:tcPr>
          <w:p>
            <w:pPr>
              <w:spacing w:line="440" w:lineRule="exact"/>
              <w:jc w:val="center"/>
              <w:rPr>
                <w:rFonts w:ascii="宋体" w:hAnsi="宋体"/>
                <w:szCs w:val="21"/>
                <w:highlight w:val="magenta"/>
              </w:rPr>
            </w:pPr>
          </w:p>
        </w:tc>
        <w:tc>
          <w:tcPr>
            <w:tcW w:w="1335" w:type="dxa"/>
          </w:tcPr>
          <w:p>
            <w:pPr>
              <w:spacing w:line="440" w:lineRule="exact"/>
              <w:jc w:val="center"/>
              <w:rPr>
                <w:rFonts w:ascii="宋体" w:hAnsi="宋体"/>
                <w:szCs w:val="21"/>
                <w:highlight w:val="magenta"/>
              </w:rPr>
            </w:pPr>
          </w:p>
        </w:tc>
        <w:tc>
          <w:tcPr>
            <w:tcW w:w="2460" w:type="dxa"/>
          </w:tcPr>
          <w:p>
            <w:pPr>
              <w:spacing w:line="440" w:lineRule="exact"/>
              <w:jc w:val="center"/>
              <w:rPr>
                <w:rFonts w:ascii="宋体" w:hAnsi="宋体"/>
                <w:szCs w:val="2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highlight w:val="magenta"/>
              </w:rPr>
            </w:pPr>
          </w:p>
        </w:tc>
        <w:tc>
          <w:tcPr>
            <w:tcW w:w="721" w:type="dxa"/>
          </w:tcPr>
          <w:p>
            <w:pPr>
              <w:spacing w:line="440" w:lineRule="exact"/>
              <w:jc w:val="center"/>
              <w:rPr>
                <w:rFonts w:ascii="宋体" w:hAnsi="宋体"/>
                <w:szCs w:val="21"/>
                <w:highlight w:val="magenta"/>
              </w:rPr>
            </w:pPr>
          </w:p>
        </w:tc>
        <w:tc>
          <w:tcPr>
            <w:tcW w:w="719" w:type="dxa"/>
          </w:tcPr>
          <w:p>
            <w:pPr>
              <w:spacing w:line="440" w:lineRule="exact"/>
              <w:jc w:val="center"/>
              <w:rPr>
                <w:rFonts w:ascii="宋体" w:hAnsi="宋体"/>
                <w:szCs w:val="21"/>
                <w:highlight w:val="magenta"/>
              </w:rPr>
            </w:pPr>
          </w:p>
        </w:tc>
        <w:tc>
          <w:tcPr>
            <w:tcW w:w="1081" w:type="dxa"/>
          </w:tcPr>
          <w:p>
            <w:pPr>
              <w:spacing w:line="440" w:lineRule="exact"/>
              <w:jc w:val="center"/>
              <w:rPr>
                <w:rFonts w:ascii="宋体" w:hAnsi="宋体"/>
                <w:szCs w:val="21"/>
                <w:highlight w:val="magenta"/>
              </w:rPr>
            </w:pPr>
          </w:p>
        </w:tc>
        <w:tc>
          <w:tcPr>
            <w:tcW w:w="1048" w:type="dxa"/>
          </w:tcPr>
          <w:p>
            <w:pPr>
              <w:spacing w:line="440" w:lineRule="exact"/>
              <w:jc w:val="center"/>
              <w:rPr>
                <w:rFonts w:ascii="宋体" w:hAnsi="宋体"/>
                <w:szCs w:val="21"/>
                <w:highlight w:val="magenta"/>
              </w:rPr>
            </w:pPr>
          </w:p>
        </w:tc>
        <w:tc>
          <w:tcPr>
            <w:tcW w:w="1080" w:type="dxa"/>
          </w:tcPr>
          <w:p>
            <w:pPr>
              <w:spacing w:line="440" w:lineRule="exact"/>
              <w:jc w:val="center"/>
              <w:rPr>
                <w:rFonts w:ascii="宋体" w:hAnsi="宋体"/>
                <w:szCs w:val="21"/>
                <w:highlight w:val="magenta"/>
              </w:rPr>
            </w:pPr>
          </w:p>
        </w:tc>
        <w:tc>
          <w:tcPr>
            <w:tcW w:w="1335" w:type="dxa"/>
          </w:tcPr>
          <w:p>
            <w:pPr>
              <w:spacing w:line="440" w:lineRule="exact"/>
              <w:jc w:val="center"/>
              <w:rPr>
                <w:rFonts w:ascii="宋体" w:hAnsi="宋体"/>
                <w:szCs w:val="21"/>
                <w:highlight w:val="magenta"/>
              </w:rPr>
            </w:pPr>
          </w:p>
        </w:tc>
        <w:tc>
          <w:tcPr>
            <w:tcW w:w="2460" w:type="dxa"/>
          </w:tcPr>
          <w:p>
            <w:pPr>
              <w:spacing w:line="440" w:lineRule="exact"/>
              <w:jc w:val="center"/>
              <w:rPr>
                <w:rFonts w:ascii="宋体" w:hAnsi="宋体"/>
                <w:szCs w:val="2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highlight w:val="magenta"/>
              </w:rPr>
            </w:pPr>
          </w:p>
        </w:tc>
        <w:tc>
          <w:tcPr>
            <w:tcW w:w="721" w:type="dxa"/>
          </w:tcPr>
          <w:p>
            <w:pPr>
              <w:spacing w:line="440" w:lineRule="exact"/>
              <w:jc w:val="center"/>
              <w:rPr>
                <w:rFonts w:ascii="宋体" w:hAnsi="宋体"/>
                <w:szCs w:val="21"/>
                <w:highlight w:val="magenta"/>
              </w:rPr>
            </w:pPr>
          </w:p>
        </w:tc>
        <w:tc>
          <w:tcPr>
            <w:tcW w:w="719" w:type="dxa"/>
          </w:tcPr>
          <w:p>
            <w:pPr>
              <w:spacing w:line="440" w:lineRule="exact"/>
              <w:jc w:val="center"/>
              <w:rPr>
                <w:rFonts w:ascii="宋体" w:hAnsi="宋体"/>
                <w:szCs w:val="21"/>
                <w:highlight w:val="magenta"/>
              </w:rPr>
            </w:pPr>
          </w:p>
        </w:tc>
        <w:tc>
          <w:tcPr>
            <w:tcW w:w="1081" w:type="dxa"/>
          </w:tcPr>
          <w:p>
            <w:pPr>
              <w:spacing w:line="440" w:lineRule="exact"/>
              <w:jc w:val="center"/>
              <w:rPr>
                <w:rFonts w:ascii="宋体" w:hAnsi="宋体"/>
                <w:szCs w:val="21"/>
                <w:highlight w:val="magenta"/>
              </w:rPr>
            </w:pPr>
          </w:p>
        </w:tc>
        <w:tc>
          <w:tcPr>
            <w:tcW w:w="1048" w:type="dxa"/>
          </w:tcPr>
          <w:p>
            <w:pPr>
              <w:spacing w:line="440" w:lineRule="exact"/>
              <w:jc w:val="center"/>
              <w:rPr>
                <w:rFonts w:ascii="宋体" w:hAnsi="宋体"/>
                <w:szCs w:val="21"/>
                <w:highlight w:val="magenta"/>
              </w:rPr>
            </w:pPr>
          </w:p>
        </w:tc>
        <w:tc>
          <w:tcPr>
            <w:tcW w:w="1080" w:type="dxa"/>
          </w:tcPr>
          <w:p>
            <w:pPr>
              <w:spacing w:line="440" w:lineRule="exact"/>
              <w:jc w:val="center"/>
              <w:rPr>
                <w:rFonts w:ascii="宋体" w:hAnsi="宋体"/>
                <w:szCs w:val="21"/>
                <w:highlight w:val="magenta"/>
              </w:rPr>
            </w:pPr>
          </w:p>
        </w:tc>
        <w:tc>
          <w:tcPr>
            <w:tcW w:w="1335" w:type="dxa"/>
          </w:tcPr>
          <w:p>
            <w:pPr>
              <w:spacing w:line="440" w:lineRule="exact"/>
              <w:jc w:val="center"/>
              <w:rPr>
                <w:rFonts w:ascii="宋体" w:hAnsi="宋体"/>
                <w:szCs w:val="21"/>
                <w:highlight w:val="magenta"/>
              </w:rPr>
            </w:pPr>
          </w:p>
        </w:tc>
        <w:tc>
          <w:tcPr>
            <w:tcW w:w="2460" w:type="dxa"/>
          </w:tcPr>
          <w:p>
            <w:pPr>
              <w:spacing w:line="440" w:lineRule="exact"/>
              <w:jc w:val="center"/>
              <w:rPr>
                <w:rFonts w:ascii="宋体" w:hAnsi="宋体"/>
                <w:szCs w:val="2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highlight w:val="magenta"/>
              </w:rPr>
            </w:pPr>
          </w:p>
        </w:tc>
        <w:tc>
          <w:tcPr>
            <w:tcW w:w="721" w:type="dxa"/>
          </w:tcPr>
          <w:p>
            <w:pPr>
              <w:spacing w:line="440" w:lineRule="exact"/>
              <w:jc w:val="center"/>
              <w:rPr>
                <w:rFonts w:ascii="宋体" w:hAnsi="宋体"/>
                <w:szCs w:val="21"/>
                <w:highlight w:val="magenta"/>
              </w:rPr>
            </w:pPr>
          </w:p>
        </w:tc>
        <w:tc>
          <w:tcPr>
            <w:tcW w:w="719" w:type="dxa"/>
          </w:tcPr>
          <w:p>
            <w:pPr>
              <w:spacing w:line="440" w:lineRule="exact"/>
              <w:jc w:val="center"/>
              <w:rPr>
                <w:rFonts w:ascii="宋体" w:hAnsi="宋体"/>
                <w:szCs w:val="21"/>
                <w:highlight w:val="magenta"/>
              </w:rPr>
            </w:pPr>
          </w:p>
        </w:tc>
        <w:tc>
          <w:tcPr>
            <w:tcW w:w="1081" w:type="dxa"/>
          </w:tcPr>
          <w:p>
            <w:pPr>
              <w:spacing w:line="440" w:lineRule="exact"/>
              <w:jc w:val="center"/>
              <w:rPr>
                <w:rFonts w:ascii="宋体" w:hAnsi="宋体"/>
                <w:szCs w:val="21"/>
                <w:highlight w:val="magenta"/>
              </w:rPr>
            </w:pPr>
          </w:p>
        </w:tc>
        <w:tc>
          <w:tcPr>
            <w:tcW w:w="1048" w:type="dxa"/>
          </w:tcPr>
          <w:p>
            <w:pPr>
              <w:spacing w:line="440" w:lineRule="exact"/>
              <w:jc w:val="center"/>
              <w:rPr>
                <w:rFonts w:ascii="宋体" w:hAnsi="宋体"/>
                <w:szCs w:val="21"/>
                <w:highlight w:val="magenta"/>
              </w:rPr>
            </w:pPr>
          </w:p>
        </w:tc>
        <w:tc>
          <w:tcPr>
            <w:tcW w:w="1080" w:type="dxa"/>
          </w:tcPr>
          <w:p>
            <w:pPr>
              <w:spacing w:line="440" w:lineRule="exact"/>
              <w:jc w:val="center"/>
              <w:rPr>
                <w:rFonts w:ascii="宋体" w:hAnsi="宋体"/>
                <w:szCs w:val="21"/>
                <w:highlight w:val="magenta"/>
              </w:rPr>
            </w:pPr>
          </w:p>
        </w:tc>
        <w:tc>
          <w:tcPr>
            <w:tcW w:w="1335" w:type="dxa"/>
          </w:tcPr>
          <w:p>
            <w:pPr>
              <w:spacing w:line="440" w:lineRule="exact"/>
              <w:jc w:val="center"/>
              <w:rPr>
                <w:rFonts w:ascii="宋体" w:hAnsi="宋体"/>
                <w:szCs w:val="21"/>
                <w:highlight w:val="magenta"/>
              </w:rPr>
            </w:pPr>
          </w:p>
        </w:tc>
        <w:tc>
          <w:tcPr>
            <w:tcW w:w="2460" w:type="dxa"/>
          </w:tcPr>
          <w:p>
            <w:pPr>
              <w:spacing w:line="440" w:lineRule="exact"/>
              <w:jc w:val="center"/>
              <w:rPr>
                <w:rFonts w:ascii="宋体" w:hAnsi="宋体"/>
                <w:szCs w:val="2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highlight w:val="magenta"/>
              </w:rPr>
            </w:pPr>
          </w:p>
        </w:tc>
        <w:tc>
          <w:tcPr>
            <w:tcW w:w="721" w:type="dxa"/>
          </w:tcPr>
          <w:p>
            <w:pPr>
              <w:spacing w:line="440" w:lineRule="exact"/>
              <w:jc w:val="center"/>
              <w:rPr>
                <w:rFonts w:ascii="宋体" w:hAnsi="宋体"/>
                <w:szCs w:val="21"/>
                <w:highlight w:val="magenta"/>
              </w:rPr>
            </w:pPr>
          </w:p>
        </w:tc>
        <w:tc>
          <w:tcPr>
            <w:tcW w:w="719" w:type="dxa"/>
          </w:tcPr>
          <w:p>
            <w:pPr>
              <w:spacing w:line="440" w:lineRule="exact"/>
              <w:jc w:val="center"/>
              <w:rPr>
                <w:rFonts w:ascii="宋体" w:hAnsi="宋体"/>
                <w:szCs w:val="21"/>
                <w:highlight w:val="magenta"/>
              </w:rPr>
            </w:pPr>
          </w:p>
        </w:tc>
        <w:tc>
          <w:tcPr>
            <w:tcW w:w="1081" w:type="dxa"/>
          </w:tcPr>
          <w:p>
            <w:pPr>
              <w:spacing w:line="440" w:lineRule="exact"/>
              <w:jc w:val="center"/>
              <w:rPr>
                <w:rFonts w:ascii="宋体" w:hAnsi="宋体"/>
                <w:szCs w:val="21"/>
                <w:highlight w:val="magenta"/>
              </w:rPr>
            </w:pPr>
          </w:p>
        </w:tc>
        <w:tc>
          <w:tcPr>
            <w:tcW w:w="1048" w:type="dxa"/>
          </w:tcPr>
          <w:p>
            <w:pPr>
              <w:spacing w:line="440" w:lineRule="exact"/>
              <w:jc w:val="center"/>
              <w:rPr>
                <w:rFonts w:ascii="宋体" w:hAnsi="宋体"/>
                <w:szCs w:val="21"/>
                <w:highlight w:val="magenta"/>
              </w:rPr>
            </w:pPr>
          </w:p>
        </w:tc>
        <w:tc>
          <w:tcPr>
            <w:tcW w:w="1080" w:type="dxa"/>
          </w:tcPr>
          <w:p>
            <w:pPr>
              <w:spacing w:line="440" w:lineRule="exact"/>
              <w:jc w:val="center"/>
              <w:rPr>
                <w:rFonts w:ascii="宋体" w:hAnsi="宋体"/>
                <w:szCs w:val="21"/>
                <w:highlight w:val="magenta"/>
              </w:rPr>
            </w:pPr>
          </w:p>
        </w:tc>
        <w:tc>
          <w:tcPr>
            <w:tcW w:w="1335" w:type="dxa"/>
          </w:tcPr>
          <w:p>
            <w:pPr>
              <w:spacing w:line="440" w:lineRule="exact"/>
              <w:jc w:val="center"/>
              <w:rPr>
                <w:rFonts w:ascii="宋体" w:hAnsi="宋体"/>
                <w:szCs w:val="21"/>
                <w:highlight w:val="magenta"/>
              </w:rPr>
            </w:pPr>
          </w:p>
        </w:tc>
        <w:tc>
          <w:tcPr>
            <w:tcW w:w="2460" w:type="dxa"/>
          </w:tcPr>
          <w:p>
            <w:pPr>
              <w:spacing w:line="440" w:lineRule="exact"/>
              <w:jc w:val="center"/>
              <w:rPr>
                <w:rFonts w:ascii="宋体" w:hAnsi="宋体"/>
                <w:szCs w:val="2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bl>
    <w:p>
      <w:pPr>
        <w:pStyle w:val="202"/>
        <w:spacing w:line="360" w:lineRule="auto"/>
        <w:rPr>
          <w:rFonts w:hAnsi="宋体"/>
          <w:sz w:val="24"/>
          <w:szCs w:val="24"/>
        </w:rPr>
      </w:pPr>
    </w:p>
    <w:p>
      <w:pPr>
        <w:pStyle w:val="113"/>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jc w:val="right"/>
        <w:rPr>
          <w:rFonts w:ascii="宋体" w:hAnsi="宋体"/>
          <w:sz w:val="24"/>
          <w:szCs w:val="24"/>
        </w:rPr>
      </w:pPr>
      <w:r>
        <w:rPr>
          <w:rFonts w:hint="eastAsia" w:ascii="宋体" w:hAnsi="宋体"/>
          <w:sz w:val="24"/>
          <w:szCs w:val="24"/>
        </w:rPr>
        <w:t>日期：</w:t>
      </w:r>
      <w:r>
        <w:rPr>
          <w:rFonts w:hint="eastAsia" w:ascii="宋体" w:hAnsi="宋体" w:cs="Arial"/>
          <w:sz w:val="24"/>
          <w:szCs w:val="24"/>
        </w:rPr>
        <w:t>2022年   月   日</w:t>
      </w:r>
    </w:p>
    <w:p/>
    <w:p>
      <w:pPr>
        <w:pStyle w:val="204"/>
      </w:pPr>
    </w:p>
    <w:p>
      <w:pPr>
        <w:keepNext/>
        <w:keepLines/>
        <w:spacing w:before="260" w:after="260" w:line="415" w:lineRule="auto"/>
        <w:ind w:firstLine="137" w:firstLineChars="49"/>
        <w:jc w:val="center"/>
        <w:outlineLvl w:val="2"/>
        <w:rPr>
          <w:rFonts w:ascii="宋体" w:hAnsi="宋体"/>
          <w:bCs/>
          <w:sz w:val="28"/>
          <w:szCs w:val="28"/>
        </w:rPr>
      </w:pPr>
      <w:bookmarkStart w:id="238" w:name="_Toc1227"/>
      <w:r>
        <w:rPr>
          <w:rFonts w:hint="eastAsia" w:hAnsi="宋体"/>
          <w:sz w:val="28"/>
          <w:szCs w:val="28"/>
        </w:rPr>
        <w:t>主要</w:t>
      </w:r>
      <w:r>
        <w:rPr>
          <w:rFonts w:hint="eastAsia" w:hAnsi="宋体"/>
          <w:sz w:val="28"/>
          <w:szCs w:val="28"/>
          <w:lang w:eastAsia="zh-CN"/>
        </w:rPr>
        <w:t>编制设计</w:t>
      </w:r>
      <w:r>
        <w:rPr>
          <w:rFonts w:hint="eastAsia" w:hAnsi="宋体"/>
          <w:sz w:val="28"/>
          <w:szCs w:val="28"/>
        </w:rPr>
        <w:t>人员</w:t>
      </w:r>
      <w:r>
        <w:rPr>
          <w:rFonts w:hint="eastAsia" w:ascii="宋体" w:hAnsi="宋体"/>
          <w:bCs/>
          <w:sz w:val="28"/>
          <w:szCs w:val="28"/>
        </w:rPr>
        <w:t>业绩</w:t>
      </w:r>
      <w:r>
        <w:rPr>
          <w:rFonts w:ascii="宋体" w:hAnsi="宋体"/>
          <w:bCs/>
          <w:sz w:val="28"/>
          <w:szCs w:val="28"/>
        </w:rPr>
        <w:t>表</w:t>
      </w:r>
      <w:bookmarkEnd w:id="238"/>
    </w:p>
    <w:p>
      <w:pPr>
        <w:keepNext/>
        <w:keepLines/>
        <w:spacing w:before="260" w:after="260" w:line="415" w:lineRule="auto"/>
        <w:ind w:firstLine="117" w:firstLineChars="49"/>
        <w:outlineLvl w:val="2"/>
        <w:rPr>
          <w:rFonts w:ascii="宋体" w:hAnsi="宋体"/>
          <w:sz w:val="23"/>
          <w:szCs w:val="23"/>
        </w:rPr>
      </w:pPr>
      <w:bookmarkStart w:id="239" w:name="_Toc15098"/>
      <w:r>
        <w:rPr>
          <w:rFonts w:hint="eastAsia" w:ascii="宋体" w:hAnsi="宋体"/>
          <w:sz w:val="24"/>
        </w:rPr>
        <w:t>“主要</w:t>
      </w:r>
      <w:r>
        <w:rPr>
          <w:rFonts w:hint="eastAsia" w:ascii="宋体" w:hAnsi="宋体"/>
          <w:sz w:val="24"/>
          <w:lang w:eastAsia="zh-CN"/>
        </w:rPr>
        <w:t>编制设计</w:t>
      </w:r>
      <w:r>
        <w:rPr>
          <w:rFonts w:hint="eastAsia" w:ascii="宋体" w:hAnsi="宋体"/>
          <w:sz w:val="24"/>
        </w:rPr>
        <w:t>人员业绩表”应附</w:t>
      </w:r>
      <w:r>
        <w:rPr>
          <w:rFonts w:hint="eastAsia" w:ascii="宋体" w:hAnsi="宋体"/>
          <w:sz w:val="24"/>
          <w:lang w:eastAsia="zh-CN"/>
        </w:rPr>
        <w:t>编制设计</w:t>
      </w:r>
      <w:r>
        <w:rPr>
          <w:rFonts w:hint="eastAsia" w:ascii="宋体" w:hAnsi="宋体"/>
          <w:sz w:val="24"/>
        </w:rPr>
        <w:t>人注册证或职称证、身份证、学历证、社保证明，项目业绩须附合同书复印件中标通知书或竣工验收报告；</w:t>
      </w:r>
      <w:bookmarkEnd w:id="239"/>
    </w:p>
    <w:tbl>
      <w:tblPr>
        <w:tblStyle w:val="3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065"/>
        <w:gridCol w:w="706"/>
        <w:gridCol w:w="1261"/>
        <w:gridCol w:w="163"/>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pPr>
              <w:spacing w:line="440" w:lineRule="exact"/>
              <w:jc w:val="center"/>
              <w:rPr>
                <w:rFonts w:ascii="宋体" w:hAnsi="宋体"/>
                <w:szCs w:val="21"/>
              </w:rPr>
            </w:pPr>
            <w:r>
              <w:rPr>
                <w:rFonts w:ascii="宋体" w:hAnsi="宋体"/>
                <w:szCs w:val="21"/>
              </w:rPr>
              <w:t>姓  名</w:t>
            </w:r>
          </w:p>
        </w:tc>
        <w:tc>
          <w:tcPr>
            <w:tcW w:w="1079" w:type="dxa"/>
            <w:gridSpan w:val="2"/>
            <w:vAlign w:val="center"/>
          </w:tcPr>
          <w:p>
            <w:pPr>
              <w:spacing w:line="440" w:lineRule="exact"/>
              <w:jc w:val="center"/>
              <w:rPr>
                <w:rFonts w:ascii="宋体" w:hAnsi="宋体"/>
                <w:szCs w:val="21"/>
              </w:rPr>
            </w:pPr>
          </w:p>
        </w:tc>
        <w:tc>
          <w:tcPr>
            <w:tcW w:w="927" w:type="dxa"/>
            <w:vAlign w:val="center"/>
          </w:tcPr>
          <w:p>
            <w:pPr>
              <w:spacing w:line="440" w:lineRule="exact"/>
              <w:jc w:val="center"/>
              <w:rPr>
                <w:rFonts w:ascii="宋体" w:hAnsi="宋体"/>
                <w:szCs w:val="21"/>
              </w:rPr>
            </w:pPr>
            <w:r>
              <w:rPr>
                <w:rFonts w:ascii="宋体" w:hAnsi="宋体"/>
                <w:szCs w:val="21"/>
              </w:rPr>
              <w:t>年 龄</w:t>
            </w:r>
          </w:p>
        </w:tc>
        <w:tc>
          <w:tcPr>
            <w:tcW w:w="1065" w:type="dxa"/>
            <w:vAlign w:val="center"/>
          </w:tcPr>
          <w:p>
            <w:pPr>
              <w:spacing w:line="440" w:lineRule="exact"/>
              <w:jc w:val="center"/>
              <w:rPr>
                <w:rFonts w:ascii="宋体" w:hAnsi="宋体"/>
                <w:szCs w:val="21"/>
              </w:rPr>
            </w:pPr>
          </w:p>
        </w:tc>
        <w:tc>
          <w:tcPr>
            <w:tcW w:w="2130" w:type="dxa"/>
            <w:gridSpan w:val="3"/>
            <w:vAlign w:val="center"/>
          </w:tcPr>
          <w:p>
            <w:pPr>
              <w:spacing w:line="440" w:lineRule="exact"/>
              <w:jc w:val="center"/>
              <w:rPr>
                <w:rFonts w:ascii="宋体" w:hAnsi="宋体"/>
                <w:szCs w:val="21"/>
              </w:rPr>
            </w:pPr>
            <w:r>
              <w:rPr>
                <w:rFonts w:ascii="宋体" w:hAnsi="宋体"/>
                <w:szCs w:val="21"/>
              </w:rPr>
              <w:t>学历</w:t>
            </w:r>
          </w:p>
        </w:tc>
        <w:tc>
          <w:tcPr>
            <w:tcW w:w="213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pPr>
              <w:spacing w:line="440" w:lineRule="exact"/>
              <w:jc w:val="center"/>
              <w:rPr>
                <w:rFonts w:ascii="宋体" w:hAnsi="宋体"/>
                <w:szCs w:val="21"/>
              </w:rPr>
            </w:pPr>
            <w:r>
              <w:rPr>
                <w:rFonts w:ascii="宋体" w:hAnsi="宋体"/>
                <w:szCs w:val="21"/>
              </w:rPr>
              <w:t>职  称</w:t>
            </w:r>
          </w:p>
        </w:tc>
        <w:tc>
          <w:tcPr>
            <w:tcW w:w="1079" w:type="dxa"/>
            <w:gridSpan w:val="2"/>
            <w:vAlign w:val="center"/>
          </w:tcPr>
          <w:p>
            <w:pPr>
              <w:spacing w:line="440" w:lineRule="exact"/>
              <w:jc w:val="center"/>
              <w:rPr>
                <w:rFonts w:ascii="宋体" w:hAnsi="宋体"/>
                <w:szCs w:val="21"/>
              </w:rPr>
            </w:pPr>
          </w:p>
        </w:tc>
        <w:tc>
          <w:tcPr>
            <w:tcW w:w="927" w:type="dxa"/>
            <w:vAlign w:val="center"/>
          </w:tcPr>
          <w:p>
            <w:pPr>
              <w:spacing w:line="440" w:lineRule="exact"/>
              <w:jc w:val="center"/>
              <w:rPr>
                <w:rFonts w:ascii="宋体" w:hAnsi="宋体"/>
                <w:szCs w:val="21"/>
              </w:rPr>
            </w:pPr>
            <w:r>
              <w:rPr>
                <w:rFonts w:ascii="宋体" w:hAnsi="宋体"/>
                <w:szCs w:val="21"/>
              </w:rPr>
              <w:t>职 务</w:t>
            </w:r>
          </w:p>
        </w:tc>
        <w:tc>
          <w:tcPr>
            <w:tcW w:w="1065" w:type="dxa"/>
            <w:vAlign w:val="center"/>
          </w:tcPr>
          <w:p>
            <w:pPr>
              <w:spacing w:line="440" w:lineRule="exact"/>
              <w:jc w:val="center"/>
              <w:rPr>
                <w:rFonts w:ascii="宋体" w:hAnsi="宋体"/>
                <w:szCs w:val="21"/>
              </w:rPr>
            </w:pPr>
          </w:p>
        </w:tc>
        <w:tc>
          <w:tcPr>
            <w:tcW w:w="2130" w:type="dxa"/>
            <w:gridSpan w:val="3"/>
            <w:vAlign w:val="center"/>
          </w:tcPr>
          <w:p>
            <w:pPr>
              <w:spacing w:line="440" w:lineRule="exact"/>
              <w:jc w:val="center"/>
              <w:rPr>
                <w:rFonts w:ascii="宋体" w:hAnsi="宋体"/>
                <w:szCs w:val="21"/>
              </w:rPr>
            </w:pPr>
            <w:r>
              <w:rPr>
                <w:rFonts w:ascii="宋体" w:hAnsi="宋体"/>
                <w:szCs w:val="21"/>
              </w:rPr>
              <w:t>拟在本</w:t>
            </w:r>
            <w:r>
              <w:rPr>
                <w:rFonts w:hint="eastAsia" w:ascii="宋体" w:hAnsi="宋体"/>
                <w:szCs w:val="21"/>
              </w:rPr>
              <w:t>项目</w:t>
            </w:r>
            <w:r>
              <w:rPr>
                <w:rFonts w:ascii="宋体" w:hAnsi="宋体"/>
                <w:szCs w:val="21"/>
              </w:rPr>
              <w:t>任</w:t>
            </w:r>
            <w:r>
              <w:rPr>
                <w:rFonts w:hint="eastAsia" w:ascii="宋体" w:hAnsi="宋体"/>
                <w:szCs w:val="21"/>
              </w:rPr>
              <w:t>职务</w:t>
            </w:r>
          </w:p>
        </w:tc>
        <w:tc>
          <w:tcPr>
            <w:tcW w:w="213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pPr>
              <w:spacing w:line="440" w:lineRule="exact"/>
              <w:jc w:val="center"/>
              <w:rPr>
                <w:rFonts w:ascii="宋体" w:hAnsi="宋体"/>
                <w:szCs w:val="21"/>
              </w:rPr>
            </w:pPr>
            <w:r>
              <w:rPr>
                <w:rFonts w:ascii="宋体" w:hAnsi="宋体"/>
                <w:szCs w:val="21"/>
              </w:rPr>
              <w:t>毕业学校</w:t>
            </w:r>
          </w:p>
        </w:tc>
        <w:tc>
          <w:tcPr>
            <w:tcW w:w="7335" w:type="dxa"/>
            <w:gridSpan w:val="8"/>
          </w:tcPr>
          <w:p>
            <w:pPr>
              <w:spacing w:line="440" w:lineRule="exact"/>
              <w:ind w:firstLine="945" w:firstLineChars="450"/>
              <w:rPr>
                <w:rFonts w:ascii="宋体" w:hAnsi="宋体"/>
                <w:szCs w:val="21"/>
              </w:rPr>
            </w:pPr>
            <w:r>
              <w:rPr>
                <w:rFonts w:ascii="宋体" w:hAnsi="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vAlign w:val="center"/>
          </w:tcPr>
          <w:p>
            <w:pPr>
              <w:spacing w:line="440" w:lineRule="exact"/>
              <w:jc w:val="center"/>
              <w:rPr>
                <w:rFonts w:ascii="宋体" w:hAnsi="宋体"/>
                <w:szCs w:val="21"/>
              </w:rPr>
            </w:pPr>
            <w:r>
              <w:rPr>
                <w:rFonts w:ascii="宋体" w:hAnsi="宋体"/>
                <w:szCs w:val="21"/>
              </w:rPr>
              <w:t>时  间</w:t>
            </w:r>
          </w:p>
        </w:tc>
        <w:tc>
          <w:tcPr>
            <w:tcW w:w="3420" w:type="dxa"/>
            <w:gridSpan w:val="4"/>
            <w:vAlign w:val="center"/>
          </w:tcPr>
          <w:p>
            <w:pPr>
              <w:spacing w:line="440" w:lineRule="exact"/>
              <w:jc w:val="center"/>
              <w:rPr>
                <w:rFonts w:ascii="宋体" w:hAnsi="宋体"/>
                <w:szCs w:val="21"/>
              </w:rPr>
            </w:pPr>
            <w:r>
              <w:rPr>
                <w:rFonts w:ascii="宋体" w:hAnsi="宋体"/>
                <w:szCs w:val="21"/>
              </w:rPr>
              <w:t>参加过的类似项目</w:t>
            </w:r>
          </w:p>
        </w:tc>
        <w:tc>
          <w:tcPr>
            <w:tcW w:w="1261" w:type="dxa"/>
            <w:vAlign w:val="center"/>
          </w:tcPr>
          <w:p>
            <w:pPr>
              <w:spacing w:line="440" w:lineRule="exact"/>
              <w:jc w:val="center"/>
              <w:rPr>
                <w:rFonts w:ascii="宋体" w:hAnsi="宋体"/>
                <w:szCs w:val="21"/>
              </w:rPr>
            </w:pPr>
            <w:r>
              <w:rPr>
                <w:rFonts w:ascii="宋体" w:hAnsi="宋体"/>
                <w:szCs w:val="21"/>
              </w:rPr>
              <w:t>担任职务</w:t>
            </w:r>
          </w:p>
        </w:tc>
        <w:tc>
          <w:tcPr>
            <w:tcW w:w="2297" w:type="dxa"/>
            <w:gridSpan w:val="2"/>
            <w:vAlign w:val="center"/>
          </w:tcPr>
          <w:p>
            <w:pPr>
              <w:spacing w:line="440" w:lineRule="exact"/>
              <w:jc w:val="center"/>
              <w:rPr>
                <w:rFonts w:ascii="宋体" w:hAnsi="宋体"/>
                <w:szCs w:val="21"/>
              </w:rPr>
            </w:pPr>
            <w:r>
              <w:rPr>
                <w:rFonts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7"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宋体" w:hAnsi="宋体"/>
                <w:szCs w:val="21"/>
                <w:highlight w:val="green"/>
              </w:rPr>
            </w:pPr>
          </w:p>
        </w:tc>
        <w:tc>
          <w:tcPr>
            <w:tcW w:w="3420" w:type="dxa"/>
            <w:gridSpan w:val="4"/>
          </w:tcPr>
          <w:p>
            <w:pPr>
              <w:spacing w:line="440" w:lineRule="exact"/>
              <w:rPr>
                <w:rFonts w:ascii="宋体" w:hAnsi="宋体"/>
                <w:szCs w:val="21"/>
                <w:highlight w:val="green"/>
              </w:rPr>
            </w:pPr>
          </w:p>
        </w:tc>
        <w:tc>
          <w:tcPr>
            <w:tcW w:w="1261" w:type="dxa"/>
          </w:tcPr>
          <w:p>
            <w:pPr>
              <w:spacing w:line="440" w:lineRule="exact"/>
              <w:rPr>
                <w:rFonts w:ascii="宋体" w:hAnsi="宋体"/>
                <w:szCs w:val="21"/>
                <w:highlight w:val="green"/>
              </w:rPr>
            </w:pPr>
          </w:p>
        </w:tc>
        <w:tc>
          <w:tcPr>
            <w:tcW w:w="2297" w:type="dxa"/>
            <w:gridSpan w:val="2"/>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宋体" w:hAnsi="宋体"/>
                <w:szCs w:val="21"/>
                <w:highlight w:val="green"/>
              </w:rPr>
            </w:pPr>
          </w:p>
        </w:tc>
        <w:tc>
          <w:tcPr>
            <w:tcW w:w="3420" w:type="dxa"/>
            <w:gridSpan w:val="4"/>
          </w:tcPr>
          <w:p>
            <w:pPr>
              <w:spacing w:line="440" w:lineRule="exact"/>
              <w:rPr>
                <w:rFonts w:ascii="宋体" w:hAnsi="宋体"/>
                <w:szCs w:val="21"/>
                <w:highlight w:val="green"/>
              </w:rPr>
            </w:pPr>
          </w:p>
        </w:tc>
        <w:tc>
          <w:tcPr>
            <w:tcW w:w="1261" w:type="dxa"/>
          </w:tcPr>
          <w:p>
            <w:pPr>
              <w:spacing w:line="440" w:lineRule="exact"/>
              <w:rPr>
                <w:rFonts w:ascii="宋体" w:hAnsi="宋体"/>
                <w:szCs w:val="21"/>
                <w:highlight w:val="green"/>
              </w:rPr>
            </w:pPr>
          </w:p>
        </w:tc>
        <w:tc>
          <w:tcPr>
            <w:tcW w:w="2297" w:type="dxa"/>
            <w:gridSpan w:val="2"/>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bookmarkEnd w:id="235"/>
    </w:tbl>
    <w:p>
      <w:pPr>
        <w:pStyle w:val="210"/>
        <w:widowControl/>
        <w:spacing w:line="360" w:lineRule="auto"/>
        <w:ind w:right="84" w:rightChars="40"/>
        <w:jc w:val="left"/>
        <w:rPr>
          <w:rFonts w:ascii="宋体" w:hAnsi="宋体"/>
          <w:sz w:val="24"/>
        </w:rPr>
      </w:pPr>
    </w:p>
    <w:p>
      <w:pPr>
        <w:pStyle w:val="210"/>
        <w:widowControl/>
        <w:spacing w:line="360" w:lineRule="auto"/>
        <w:ind w:right="84" w:rightChars="40"/>
        <w:jc w:val="left"/>
        <w:rPr>
          <w:rFonts w:ascii="宋体" w:hAnsi="宋体"/>
          <w:sz w:val="24"/>
        </w:rPr>
      </w:pPr>
    </w:p>
    <w:p>
      <w:pPr>
        <w:pStyle w:val="202"/>
        <w:spacing w:line="360" w:lineRule="auto"/>
        <w:rPr>
          <w:rFonts w:hAnsi="宋体"/>
          <w:sz w:val="24"/>
          <w:szCs w:val="24"/>
        </w:rPr>
      </w:pPr>
    </w:p>
    <w:p>
      <w:pPr>
        <w:pStyle w:val="113"/>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jc w:val="right"/>
        <w:rPr>
          <w:rFonts w:ascii="宋体" w:hAnsi="宋体"/>
          <w:sz w:val="24"/>
          <w:szCs w:val="24"/>
        </w:rPr>
      </w:pPr>
      <w:r>
        <w:rPr>
          <w:rFonts w:hint="eastAsia" w:ascii="宋体" w:hAnsi="宋体"/>
          <w:sz w:val="24"/>
          <w:szCs w:val="24"/>
        </w:rPr>
        <w:t>日期：</w:t>
      </w:r>
      <w:r>
        <w:rPr>
          <w:rFonts w:hint="eastAsia" w:ascii="宋体" w:hAnsi="宋体" w:cs="Arial"/>
          <w:sz w:val="24"/>
          <w:szCs w:val="24"/>
        </w:rPr>
        <w:t>2022年   月   日</w:t>
      </w:r>
    </w:p>
    <w:p>
      <w:pPr>
        <w:pStyle w:val="210"/>
        <w:widowControl/>
        <w:spacing w:line="360" w:lineRule="auto"/>
        <w:ind w:right="84" w:rightChars="40"/>
        <w:jc w:val="left"/>
        <w:rPr>
          <w:rFonts w:ascii="宋体" w:hAnsi="宋体"/>
          <w:sz w:val="24"/>
        </w:rPr>
      </w:pPr>
    </w:p>
    <w:p>
      <w:pPr>
        <w:widowControl/>
        <w:spacing w:before="0" w:beforeAutospacing="0" w:after="0" w:afterAutospacing="0" w:line="240" w:lineRule="auto"/>
        <w:jc w:val="left"/>
        <w:rPr>
          <w:rFonts w:ascii="宋体" w:hAnsi="宋体"/>
          <w:b/>
          <w:sz w:val="28"/>
          <w:szCs w:val="28"/>
        </w:rPr>
      </w:pPr>
      <w:r>
        <w:rPr>
          <w:rFonts w:ascii="宋体" w:hAnsi="宋体"/>
          <w:b/>
          <w:sz w:val="28"/>
          <w:szCs w:val="28"/>
        </w:rPr>
        <w:br w:type="page"/>
      </w:r>
    </w:p>
    <w:p>
      <w:pPr>
        <w:pStyle w:val="211"/>
        <w:spacing w:line="360" w:lineRule="auto"/>
        <w:jc w:val="center"/>
        <w:rPr>
          <w:rFonts w:ascii="宋体" w:hAnsi="宋体"/>
          <w:b/>
          <w:sz w:val="28"/>
          <w:szCs w:val="28"/>
        </w:rPr>
      </w:pPr>
      <w:r>
        <w:rPr>
          <w:rFonts w:hint="eastAsia" w:ascii="宋体" w:hAnsi="宋体"/>
          <w:b/>
          <w:sz w:val="28"/>
          <w:szCs w:val="28"/>
        </w:rPr>
        <w:t>供应商业绩一览表</w:t>
      </w:r>
    </w:p>
    <w:p>
      <w:pPr>
        <w:pStyle w:val="199"/>
        <w:spacing w:line="360" w:lineRule="auto"/>
        <w:rPr>
          <w:rFonts w:hint="eastAsia" w:hAnsi="宋体" w:eastAsia="宋体"/>
          <w:sz w:val="24"/>
          <w:szCs w:val="24"/>
          <w:lang w:eastAsia="zh-CN"/>
        </w:rPr>
      </w:pPr>
      <w:r>
        <w:rPr>
          <w:rFonts w:hint="eastAsia" w:hAnsi="宋体"/>
          <w:sz w:val="24"/>
          <w:szCs w:val="24"/>
        </w:rPr>
        <w:t>项目名称：</w:t>
      </w:r>
      <w:r>
        <w:rPr>
          <w:rFonts w:hint="eastAsia" w:hAnsi="宋体"/>
          <w:sz w:val="24"/>
          <w:szCs w:val="24"/>
          <w:u w:val="single"/>
          <w:lang w:eastAsia="zh-CN"/>
        </w:rPr>
        <w:t>乌鲁木齐职业大学北辰校区建设项目可行性研究报告编制技术服务项目</w:t>
      </w:r>
    </w:p>
    <w:p>
      <w:pPr>
        <w:pStyle w:val="199"/>
        <w:spacing w:line="360" w:lineRule="auto"/>
        <w:rPr>
          <w:rFonts w:hint="eastAsia" w:hAnsi="宋体" w:eastAsia="宋体"/>
          <w:sz w:val="24"/>
          <w:szCs w:val="24"/>
          <w:lang w:eastAsia="zh-CN"/>
        </w:rPr>
      </w:pPr>
      <w:r>
        <w:rPr>
          <w:rFonts w:hint="eastAsia" w:hAnsi="宋体"/>
          <w:sz w:val="24"/>
          <w:szCs w:val="24"/>
        </w:rPr>
        <w:t>项目编号：</w:t>
      </w:r>
      <w:r>
        <w:rPr>
          <w:rFonts w:hint="eastAsia" w:hAnsi="宋体"/>
          <w:sz w:val="24"/>
          <w:szCs w:val="24"/>
          <w:u w:val="single"/>
          <w:lang w:eastAsia="zh-CN"/>
        </w:rPr>
        <w:t>ZFCGHY-20220096</w:t>
      </w:r>
    </w:p>
    <w:tbl>
      <w:tblPr>
        <w:tblStyle w:val="36"/>
        <w:tblW w:w="954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293"/>
        <w:gridCol w:w="1575"/>
        <w:gridCol w:w="1260"/>
        <w:gridCol w:w="1452"/>
        <w:gridCol w:w="1383"/>
        <w:gridCol w:w="20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6" w:space="0"/>
              <w:left w:val="single" w:color="auto" w:sz="6" w:space="0"/>
              <w:bottom w:val="single" w:color="auto" w:sz="6" w:space="0"/>
              <w:right w:val="single" w:color="auto" w:sz="6" w:space="0"/>
            </w:tcBorders>
            <w:vAlign w:val="center"/>
          </w:tcPr>
          <w:p>
            <w:pPr>
              <w:pStyle w:val="211"/>
              <w:jc w:val="center"/>
              <w:rPr>
                <w:rFonts w:ascii="宋体" w:hAnsi="宋体" w:cs="Arial"/>
                <w:bCs/>
                <w:sz w:val="24"/>
              </w:rPr>
            </w:pPr>
            <w:r>
              <w:rPr>
                <w:rFonts w:hint="eastAsia" w:ascii="宋体" w:hAnsi="宋体" w:cs="Arial"/>
                <w:bCs/>
                <w:sz w:val="24"/>
              </w:rPr>
              <w:t>序号</w:t>
            </w:r>
          </w:p>
        </w:tc>
        <w:tc>
          <w:tcPr>
            <w:tcW w:w="1293" w:type="dxa"/>
            <w:tcBorders>
              <w:top w:val="single" w:color="auto" w:sz="6" w:space="0"/>
              <w:left w:val="single" w:color="auto" w:sz="6" w:space="0"/>
              <w:bottom w:val="single" w:color="auto" w:sz="6" w:space="0"/>
              <w:right w:val="single" w:color="auto" w:sz="6" w:space="0"/>
            </w:tcBorders>
            <w:vAlign w:val="center"/>
          </w:tcPr>
          <w:p>
            <w:pPr>
              <w:pStyle w:val="211"/>
              <w:jc w:val="center"/>
              <w:rPr>
                <w:rFonts w:ascii="宋体" w:hAnsi="宋体" w:cs="Arial"/>
                <w:bCs/>
                <w:sz w:val="24"/>
              </w:rPr>
            </w:pPr>
            <w:r>
              <w:rPr>
                <w:rFonts w:hint="eastAsia" w:ascii="宋体" w:hAnsi="宋体" w:cs="Arial"/>
                <w:bCs/>
                <w:sz w:val="24"/>
              </w:rPr>
              <w:t>项目名称</w:t>
            </w:r>
          </w:p>
        </w:tc>
        <w:tc>
          <w:tcPr>
            <w:tcW w:w="1575" w:type="dxa"/>
            <w:tcBorders>
              <w:top w:val="single" w:color="auto" w:sz="6" w:space="0"/>
              <w:left w:val="single" w:color="auto" w:sz="6" w:space="0"/>
              <w:bottom w:val="single" w:color="auto" w:sz="6" w:space="0"/>
              <w:right w:val="single" w:color="auto" w:sz="6" w:space="0"/>
            </w:tcBorders>
            <w:vAlign w:val="center"/>
          </w:tcPr>
          <w:p>
            <w:pPr>
              <w:pStyle w:val="211"/>
              <w:jc w:val="center"/>
              <w:rPr>
                <w:rFonts w:ascii="宋体" w:hAnsi="宋体" w:cs="Arial"/>
                <w:bCs/>
                <w:sz w:val="24"/>
              </w:rPr>
            </w:pPr>
            <w:r>
              <w:rPr>
                <w:rFonts w:hint="eastAsia" w:ascii="宋体" w:hAnsi="宋体" w:cs="Arial"/>
                <w:bCs/>
                <w:sz w:val="24"/>
              </w:rPr>
              <w:t>项目建设内容及规模</w:t>
            </w:r>
          </w:p>
        </w:tc>
        <w:tc>
          <w:tcPr>
            <w:tcW w:w="1260" w:type="dxa"/>
            <w:tcBorders>
              <w:top w:val="single" w:color="auto" w:sz="6" w:space="0"/>
              <w:left w:val="single" w:color="auto" w:sz="6" w:space="0"/>
              <w:bottom w:val="single" w:color="auto" w:sz="6" w:space="0"/>
              <w:right w:val="single" w:color="auto" w:sz="6" w:space="0"/>
            </w:tcBorders>
            <w:vAlign w:val="center"/>
          </w:tcPr>
          <w:p>
            <w:pPr>
              <w:pStyle w:val="211"/>
              <w:jc w:val="center"/>
              <w:rPr>
                <w:rFonts w:ascii="宋体" w:hAnsi="宋体" w:cs="Arial"/>
                <w:bCs/>
                <w:sz w:val="24"/>
              </w:rPr>
            </w:pPr>
            <w:r>
              <w:rPr>
                <w:rFonts w:hint="eastAsia" w:ascii="宋体" w:hAnsi="宋体" w:cs="Arial"/>
                <w:bCs/>
                <w:sz w:val="24"/>
              </w:rPr>
              <w:t>合同总价</w:t>
            </w:r>
          </w:p>
        </w:tc>
        <w:tc>
          <w:tcPr>
            <w:tcW w:w="1452" w:type="dxa"/>
            <w:tcBorders>
              <w:top w:val="single" w:color="auto" w:sz="6" w:space="0"/>
              <w:left w:val="single" w:color="auto" w:sz="6" w:space="0"/>
              <w:bottom w:val="single" w:color="auto" w:sz="6" w:space="0"/>
              <w:right w:val="single" w:color="auto" w:sz="6" w:space="0"/>
            </w:tcBorders>
            <w:vAlign w:val="center"/>
          </w:tcPr>
          <w:p>
            <w:pPr>
              <w:pStyle w:val="211"/>
              <w:jc w:val="center"/>
              <w:rPr>
                <w:rFonts w:ascii="宋体" w:hAnsi="宋体" w:cs="Arial"/>
                <w:bCs/>
                <w:color w:val="0000FF"/>
                <w:sz w:val="24"/>
              </w:rPr>
            </w:pPr>
            <w:r>
              <w:rPr>
                <w:rFonts w:hint="eastAsia" w:ascii="宋体" w:hAnsi="宋体" w:cs="Arial"/>
                <w:bCs/>
                <w:sz w:val="24"/>
              </w:rPr>
              <w:t>完成时间</w:t>
            </w:r>
          </w:p>
        </w:tc>
        <w:tc>
          <w:tcPr>
            <w:tcW w:w="1383" w:type="dxa"/>
            <w:tcBorders>
              <w:top w:val="single" w:color="auto" w:sz="6" w:space="0"/>
              <w:left w:val="single" w:color="auto" w:sz="6" w:space="0"/>
              <w:bottom w:val="single" w:color="auto" w:sz="6" w:space="0"/>
              <w:right w:val="single" w:color="auto" w:sz="6" w:space="0"/>
            </w:tcBorders>
            <w:vAlign w:val="center"/>
          </w:tcPr>
          <w:p>
            <w:pPr>
              <w:pStyle w:val="211"/>
              <w:jc w:val="center"/>
              <w:rPr>
                <w:rFonts w:ascii="宋体" w:hAnsi="宋体" w:cs="Arial"/>
                <w:bCs/>
                <w:sz w:val="24"/>
              </w:rPr>
            </w:pPr>
            <w:r>
              <w:rPr>
                <w:rFonts w:hint="eastAsia" w:ascii="宋体" w:hAnsi="宋体" w:cs="Arial"/>
                <w:bCs/>
                <w:sz w:val="24"/>
              </w:rPr>
              <w:t>项目质量</w:t>
            </w:r>
          </w:p>
        </w:tc>
        <w:tc>
          <w:tcPr>
            <w:tcW w:w="2037" w:type="dxa"/>
            <w:tcBorders>
              <w:top w:val="single" w:color="auto" w:sz="6" w:space="0"/>
              <w:left w:val="single" w:color="auto" w:sz="6" w:space="0"/>
              <w:bottom w:val="single" w:color="auto" w:sz="6" w:space="0"/>
              <w:right w:val="single" w:color="auto" w:sz="6" w:space="0"/>
            </w:tcBorders>
            <w:vAlign w:val="center"/>
          </w:tcPr>
          <w:p>
            <w:pPr>
              <w:pStyle w:val="211"/>
              <w:jc w:val="center"/>
              <w:rPr>
                <w:rFonts w:ascii="宋体" w:hAnsi="宋体" w:cs="Arial"/>
                <w:bCs/>
                <w:sz w:val="24"/>
              </w:rPr>
            </w:pPr>
            <w:r>
              <w:rPr>
                <w:rFonts w:hint="eastAsia" w:ascii="宋体" w:hAnsi="宋体" w:cs="Arial"/>
                <w:bCs/>
                <w:sz w:val="24"/>
              </w:rPr>
              <w:t>项目单位联系人电话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40" w:type="dxa"/>
            <w:tcBorders>
              <w:top w:val="single" w:color="auto" w:sz="6" w:space="0"/>
              <w:left w:val="single" w:color="auto" w:sz="6" w:space="0"/>
              <w:bottom w:val="single" w:color="auto" w:sz="6" w:space="0"/>
              <w:right w:val="single" w:color="auto" w:sz="6" w:space="0"/>
            </w:tcBorders>
          </w:tcPr>
          <w:p>
            <w:pPr>
              <w:pStyle w:val="211"/>
              <w:spacing w:line="360" w:lineRule="auto"/>
              <w:jc w:val="center"/>
              <w:rPr>
                <w:rFonts w:ascii="宋体" w:hAnsi="宋体" w:cs="Arial"/>
                <w:sz w:val="24"/>
              </w:rPr>
            </w:pPr>
            <w:r>
              <w:rPr>
                <w:rFonts w:hint="eastAsia" w:ascii="宋体" w:hAnsi="宋体" w:cs="Arial"/>
                <w:sz w:val="24"/>
              </w:rPr>
              <w:t>1</w:t>
            </w:r>
          </w:p>
        </w:tc>
        <w:tc>
          <w:tcPr>
            <w:tcW w:w="1293"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575"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260"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452"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383"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2037"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40" w:type="dxa"/>
            <w:tcBorders>
              <w:top w:val="single" w:color="auto" w:sz="6" w:space="0"/>
              <w:left w:val="single" w:color="auto" w:sz="6" w:space="0"/>
              <w:bottom w:val="single" w:color="auto" w:sz="6" w:space="0"/>
              <w:right w:val="single" w:color="auto" w:sz="6" w:space="0"/>
            </w:tcBorders>
          </w:tcPr>
          <w:p>
            <w:pPr>
              <w:pStyle w:val="211"/>
              <w:spacing w:line="360" w:lineRule="auto"/>
              <w:jc w:val="center"/>
              <w:rPr>
                <w:rFonts w:ascii="宋体" w:hAnsi="宋体" w:cs="Arial"/>
                <w:sz w:val="24"/>
              </w:rPr>
            </w:pPr>
            <w:r>
              <w:rPr>
                <w:rFonts w:hint="eastAsia" w:ascii="宋体" w:hAnsi="宋体" w:cs="Arial"/>
                <w:sz w:val="24"/>
              </w:rPr>
              <w:t>2</w:t>
            </w:r>
          </w:p>
        </w:tc>
        <w:tc>
          <w:tcPr>
            <w:tcW w:w="1293"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575"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260"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452"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383"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2037"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40" w:type="dxa"/>
            <w:tcBorders>
              <w:top w:val="single" w:color="auto" w:sz="6" w:space="0"/>
              <w:left w:val="single" w:color="auto" w:sz="6" w:space="0"/>
              <w:bottom w:val="single" w:color="auto" w:sz="6" w:space="0"/>
              <w:right w:val="single" w:color="auto" w:sz="6" w:space="0"/>
            </w:tcBorders>
          </w:tcPr>
          <w:p>
            <w:pPr>
              <w:pStyle w:val="211"/>
              <w:spacing w:line="360" w:lineRule="auto"/>
              <w:jc w:val="center"/>
              <w:rPr>
                <w:rFonts w:ascii="宋体" w:hAnsi="宋体" w:cs="Arial"/>
                <w:sz w:val="24"/>
              </w:rPr>
            </w:pPr>
            <w:r>
              <w:rPr>
                <w:rFonts w:hint="eastAsia" w:ascii="宋体" w:hAnsi="宋体" w:cs="Arial"/>
                <w:sz w:val="24"/>
              </w:rPr>
              <w:t>3</w:t>
            </w:r>
          </w:p>
        </w:tc>
        <w:tc>
          <w:tcPr>
            <w:tcW w:w="1293"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575"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260"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452"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383"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2037"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40"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r>
              <w:rPr>
                <w:rFonts w:hint="eastAsia" w:ascii="宋体" w:hAnsi="宋体" w:cs="Arial"/>
                <w:sz w:val="24"/>
              </w:rPr>
              <w:t>…</w:t>
            </w:r>
          </w:p>
        </w:tc>
        <w:tc>
          <w:tcPr>
            <w:tcW w:w="1293"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575"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260"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452"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383"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2037"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40"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293"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575"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260"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452"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383"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2037"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40"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293"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575"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260"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452"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383"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2037"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r>
    </w:tbl>
    <w:p>
      <w:pPr>
        <w:pStyle w:val="211"/>
        <w:tabs>
          <w:tab w:val="left" w:pos="1050"/>
          <w:tab w:val="left" w:pos="1838"/>
        </w:tabs>
        <w:spacing w:line="360" w:lineRule="auto"/>
        <w:rPr>
          <w:rFonts w:ascii="宋体" w:hAnsi="宋体"/>
          <w:sz w:val="24"/>
        </w:rPr>
      </w:pPr>
      <w:r>
        <w:rPr>
          <w:rFonts w:hint="eastAsia" w:ascii="宋体" w:hAnsi="宋体"/>
          <w:sz w:val="24"/>
        </w:rPr>
        <w:t xml:space="preserve"> 填报要求：</w:t>
      </w:r>
    </w:p>
    <w:p>
      <w:pPr>
        <w:pStyle w:val="211"/>
        <w:numPr>
          <w:ilvl w:val="0"/>
          <w:numId w:val="11"/>
        </w:numPr>
        <w:tabs>
          <w:tab w:val="left" w:pos="0"/>
        </w:tabs>
        <w:spacing w:line="360" w:lineRule="auto"/>
        <w:ind w:left="0" w:firstLine="141" w:firstLineChars="59"/>
        <w:rPr>
          <w:rFonts w:ascii="宋体" w:hAnsi="宋体"/>
          <w:sz w:val="24"/>
        </w:rPr>
      </w:pPr>
      <w:r>
        <w:rPr>
          <w:rFonts w:hint="eastAsia" w:ascii="宋体" w:hAnsi="宋体"/>
          <w:sz w:val="24"/>
        </w:rPr>
        <w:t>依据商务评审中的业绩要求填写本表并提供相关证明材料中标（成交）通知书或者合同或发票等证明文件，合同可只提供首页、含金额页、盖章页。</w:t>
      </w:r>
    </w:p>
    <w:p>
      <w:pPr>
        <w:pStyle w:val="211"/>
        <w:numPr>
          <w:ilvl w:val="0"/>
          <w:numId w:val="11"/>
        </w:numPr>
        <w:tabs>
          <w:tab w:val="left" w:pos="0"/>
        </w:tabs>
        <w:spacing w:line="360" w:lineRule="auto"/>
        <w:ind w:left="0" w:firstLine="141" w:firstLineChars="59"/>
        <w:rPr>
          <w:rFonts w:ascii="宋体" w:hAnsi="宋体"/>
          <w:sz w:val="24"/>
        </w:rPr>
      </w:pPr>
      <w:r>
        <w:rPr>
          <w:rFonts w:hint="eastAsia" w:ascii="宋体" w:hAnsi="宋体"/>
          <w:sz w:val="24"/>
        </w:rPr>
        <w:t>请供应商严格按照要求提交相关证明材料，否则有可能影响评审结果。</w:t>
      </w:r>
    </w:p>
    <w:p>
      <w:pPr>
        <w:pStyle w:val="211"/>
        <w:tabs>
          <w:tab w:val="left" w:pos="0"/>
        </w:tabs>
        <w:spacing w:line="360" w:lineRule="auto"/>
        <w:rPr>
          <w:rFonts w:ascii="宋体" w:hAnsi="宋体"/>
          <w:sz w:val="24"/>
        </w:rPr>
      </w:pPr>
    </w:p>
    <w:p>
      <w:pPr>
        <w:pStyle w:val="211"/>
        <w:tabs>
          <w:tab w:val="left" w:pos="0"/>
        </w:tabs>
        <w:spacing w:line="360" w:lineRule="auto"/>
        <w:rPr>
          <w:rFonts w:ascii="宋体" w:hAnsi="宋体"/>
          <w:sz w:val="24"/>
        </w:rPr>
      </w:pPr>
    </w:p>
    <w:p>
      <w:pPr>
        <w:pStyle w:val="202"/>
        <w:spacing w:line="360" w:lineRule="auto"/>
        <w:rPr>
          <w:rFonts w:hAnsi="宋体"/>
          <w:sz w:val="24"/>
          <w:szCs w:val="24"/>
        </w:rPr>
      </w:pPr>
    </w:p>
    <w:p>
      <w:pPr>
        <w:pStyle w:val="113"/>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jc w:val="right"/>
        <w:rPr>
          <w:rFonts w:ascii="宋体" w:hAnsi="宋体"/>
          <w:sz w:val="24"/>
          <w:szCs w:val="24"/>
        </w:rPr>
      </w:pPr>
      <w:r>
        <w:rPr>
          <w:rFonts w:hint="eastAsia" w:ascii="宋体" w:hAnsi="宋体"/>
          <w:sz w:val="24"/>
          <w:szCs w:val="24"/>
        </w:rPr>
        <w:t>日期：</w:t>
      </w:r>
      <w:r>
        <w:rPr>
          <w:rFonts w:hint="eastAsia" w:ascii="宋体" w:hAnsi="宋体" w:cs="Arial"/>
          <w:sz w:val="24"/>
          <w:szCs w:val="24"/>
        </w:rPr>
        <w:t>2022年   月   日</w:t>
      </w:r>
    </w:p>
    <w:p>
      <w:pPr>
        <w:pStyle w:val="211"/>
        <w:tabs>
          <w:tab w:val="left" w:pos="0"/>
        </w:tabs>
        <w:spacing w:line="360" w:lineRule="auto"/>
        <w:rPr>
          <w:rFonts w:ascii="宋体" w:hAnsi="宋体"/>
          <w:sz w:val="24"/>
        </w:rPr>
      </w:pPr>
      <w:r>
        <w:rPr>
          <w:rFonts w:ascii="宋体" w:hAnsi="宋体"/>
          <w:sz w:val="24"/>
        </w:rPr>
        <w:br w:type="page"/>
      </w:r>
    </w:p>
    <w:p>
      <w:pPr>
        <w:pStyle w:val="211"/>
        <w:tabs>
          <w:tab w:val="left" w:pos="1050"/>
          <w:tab w:val="left" w:pos="1838"/>
        </w:tabs>
        <w:spacing w:line="360" w:lineRule="auto"/>
        <w:ind w:left="2"/>
        <w:rPr>
          <w:rFonts w:ascii="宋体" w:hAnsi="宋体"/>
          <w:sz w:val="24"/>
        </w:rPr>
      </w:pPr>
    </w:p>
    <w:p>
      <w:pPr>
        <w:pStyle w:val="212"/>
        <w:spacing w:line="360" w:lineRule="auto"/>
        <w:jc w:val="center"/>
        <w:rPr>
          <w:rFonts w:ascii="宋体" w:hAnsi="宋体"/>
          <w:b/>
          <w:sz w:val="28"/>
          <w:szCs w:val="28"/>
        </w:rPr>
      </w:pPr>
      <w:r>
        <w:rPr>
          <w:rFonts w:hint="eastAsia" w:ascii="宋体" w:hAnsi="宋体"/>
          <w:b/>
          <w:sz w:val="28"/>
          <w:szCs w:val="28"/>
        </w:rPr>
        <w:t>证书一览表</w:t>
      </w:r>
    </w:p>
    <w:p>
      <w:pPr>
        <w:pStyle w:val="199"/>
        <w:spacing w:line="360" w:lineRule="auto"/>
        <w:rPr>
          <w:rFonts w:hint="eastAsia" w:hAnsi="宋体" w:eastAsia="宋体"/>
          <w:sz w:val="24"/>
          <w:szCs w:val="24"/>
          <w:u w:val="single"/>
          <w:lang w:eastAsia="zh-CN"/>
        </w:rPr>
      </w:pPr>
      <w:r>
        <w:rPr>
          <w:rFonts w:hint="eastAsia" w:hAnsi="宋体"/>
          <w:sz w:val="24"/>
          <w:szCs w:val="24"/>
        </w:rPr>
        <w:t>项目名称：</w:t>
      </w:r>
      <w:r>
        <w:rPr>
          <w:rFonts w:hint="eastAsia" w:hAnsi="宋体"/>
          <w:sz w:val="24"/>
          <w:szCs w:val="24"/>
          <w:u w:val="single"/>
          <w:lang w:eastAsia="zh-CN"/>
        </w:rPr>
        <w:t>乌鲁木齐职业大学北辰校区建设项目可行性研究报告编制技术服务项目</w:t>
      </w:r>
    </w:p>
    <w:p>
      <w:pPr>
        <w:pStyle w:val="199"/>
        <w:spacing w:line="360" w:lineRule="auto"/>
        <w:rPr>
          <w:rFonts w:hint="eastAsia" w:hAnsi="宋体" w:eastAsia="宋体"/>
          <w:sz w:val="24"/>
          <w:szCs w:val="24"/>
          <w:lang w:eastAsia="zh-CN"/>
        </w:rPr>
      </w:pPr>
      <w:r>
        <w:rPr>
          <w:rFonts w:hint="eastAsia" w:hAnsi="宋体"/>
          <w:sz w:val="24"/>
          <w:szCs w:val="24"/>
        </w:rPr>
        <w:t>项目编号：</w:t>
      </w:r>
      <w:r>
        <w:rPr>
          <w:rFonts w:hint="eastAsia" w:hAnsi="宋体"/>
          <w:sz w:val="24"/>
          <w:szCs w:val="24"/>
          <w:u w:val="single"/>
          <w:lang w:eastAsia="zh-CN"/>
        </w:rPr>
        <w:t>ZFCGHY-20220096</w:t>
      </w:r>
    </w:p>
    <w:tbl>
      <w:tblPr>
        <w:tblStyle w:val="36"/>
        <w:tblW w:w="928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6"/>
        <w:gridCol w:w="2487"/>
        <w:gridCol w:w="2489"/>
        <w:gridCol w:w="225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056" w:type="dxa"/>
            <w:tcBorders>
              <w:top w:val="single" w:color="auto" w:sz="4" w:space="0"/>
              <w:left w:val="single" w:color="auto" w:sz="4" w:space="0"/>
              <w:bottom w:val="single" w:color="auto" w:sz="4" w:space="0"/>
            </w:tcBorders>
          </w:tcPr>
          <w:p>
            <w:pPr>
              <w:pStyle w:val="212"/>
              <w:spacing w:line="360" w:lineRule="auto"/>
              <w:jc w:val="center"/>
              <w:rPr>
                <w:rFonts w:ascii="宋体" w:hAnsi="宋体" w:cs="Arial"/>
                <w:bCs/>
                <w:sz w:val="24"/>
                <w:szCs w:val="24"/>
              </w:rPr>
            </w:pPr>
            <w:r>
              <w:rPr>
                <w:rFonts w:hint="eastAsia" w:ascii="宋体" w:hAnsi="宋体" w:cs="Arial"/>
                <w:bCs/>
                <w:sz w:val="24"/>
                <w:szCs w:val="24"/>
              </w:rPr>
              <w:t>证书名称</w:t>
            </w:r>
          </w:p>
        </w:tc>
        <w:tc>
          <w:tcPr>
            <w:tcW w:w="2487" w:type="dxa"/>
            <w:tcBorders>
              <w:top w:val="single" w:color="auto" w:sz="4" w:space="0"/>
              <w:bottom w:val="single" w:color="auto" w:sz="4" w:space="0"/>
            </w:tcBorders>
          </w:tcPr>
          <w:p>
            <w:pPr>
              <w:pStyle w:val="212"/>
              <w:spacing w:line="360" w:lineRule="auto"/>
              <w:jc w:val="center"/>
              <w:rPr>
                <w:rFonts w:ascii="宋体" w:hAnsi="宋体" w:cs="Arial"/>
                <w:bCs/>
                <w:sz w:val="24"/>
                <w:szCs w:val="24"/>
              </w:rPr>
            </w:pPr>
            <w:r>
              <w:rPr>
                <w:rFonts w:hint="eastAsia" w:ascii="宋体" w:hAnsi="宋体" w:cs="Arial"/>
                <w:bCs/>
                <w:sz w:val="24"/>
                <w:szCs w:val="24"/>
              </w:rPr>
              <w:t>发证单位</w:t>
            </w:r>
          </w:p>
        </w:tc>
        <w:tc>
          <w:tcPr>
            <w:tcW w:w="2489" w:type="dxa"/>
            <w:tcBorders>
              <w:top w:val="single" w:color="auto" w:sz="4" w:space="0"/>
              <w:bottom w:val="single" w:color="auto" w:sz="4" w:space="0"/>
            </w:tcBorders>
          </w:tcPr>
          <w:p>
            <w:pPr>
              <w:pStyle w:val="212"/>
              <w:spacing w:line="360" w:lineRule="auto"/>
              <w:jc w:val="center"/>
              <w:rPr>
                <w:rFonts w:ascii="宋体" w:hAnsi="宋体" w:cs="Arial"/>
                <w:bCs/>
                <w:sz w:val="24"/>
                <w:szCs w:val="24"/>
              </w:rPr>
            </w:pPr>
            <w:r>
              <w:rPr>
                <w:rFonts w:hint="eastAsia" w:ascii="宋体" w:hAnsi="宋体" w:cs="Arial"/>
                <w:bCs/>
                <w:sz w:val="24"/>
                <w:szCs w:val="24"/>
              </w:rPr>
              <w:t>证书等级</w:t>
            </w:r>
          </w:p>
        </w:tc>
        <w:tc>
          <w:tcPr>
            <w:tcW w:w="2255" w:type="dxa"/>
            <w:tcBorders>
              <w:top w:val="single" w:color="auto" w:sz="4" w:space="0"/>
              <w:bottom w:val="single" w:color="auto" w:sz="4" w:space="0"/>
              <w:right w:val="single" w:color="auto" w:sz="4" w:space="0"/>
            </w:tcBorders>
          </w:tcPr>
          <w:p>
            <w:pPr>
              <w:pStyle w:val="212"/>
              <w:spacing w:line="360" w:lineRule="auto"/>
              <w:jc w:val="center"/>
              <w:rPr>
                <w:rFonts w:ascii="宋体" w:hAnsi="宋体" w:cs="Arial"/>
                <w:bCs/>
                <w:sz w:val="24"/>
                <w:szCs w:val="24"/>
              </w:rPr>
            </w:pPr>
            <w:r>
              <w:rPr>
                <w:rFonts w:hint="eastAsia" w:ascii="宋体" w:hAnsi="宋体" w:cs="Arial"/>
                <w:bCs/>
                <w:sz w:val="24"/>
                <w:szCs w:val="24"/>
              </w:rPr>
              <w:t>证书有效期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056" w:type="dxa"/>
            <w:tcBorders>
              <w:top w:val="single" w:color="auto" w:sz="4" w:space="0"/>
              <w:left w:val="single" w:color="auto" w:sz="4" w:space="0"/>
            </w:tcBorders>
          </w:tcPr>
          <w:p>
            <w:pPr>
              <w:pStyle w:val="212"/>
              <w:spacing w:line="360" w:lineRule="auto"/>
              <w:jc w:val="center"/>
              <w:rPr>
                <w:rFonts w:ascii="宋体" w:hAnsi="宋体" w:cs="Arial"/>
                <w:sz w:val="24"/>
                <w:szCs w:val="24"/>
              </w:rPr>
            </w:pPr>
          </w:p>
        </w:tc>
        <w:tc>
          <w:tcPr>
            <w:tcW w:w="2487" w:type="dxa"/>
            <w:tcBorders>
              <w:top w:val="single" w:color="auto" w:sz="4" w:space="0"/>
            </w:tcBorders>
          </w:tcPr>
          <w:p>
            <w:pPr>
              <w:pStyle w:val="212"/>
              <w:spacing w:line="360" w:lineRule="auto"/>
              <w:jc w:val="center"/>
              <w:rPr>
                <w:rFonts w:ascii="宋体" w:hAnsi="宋体" w:cs="Arial"/>
                <w:sz w:val="24"/>
                <w:szCs w:val="24"/>
              </w:rPr>
            </w:pPr>
          </w:p>
        </w:tc>
        <w:tc>
          <w:tcPr>
            <w:tcW w:w="2489" w:type="dxa"/>
            <w:tcBorders>
              <w:top w:val="single" w:color="auto" w:sz="4" w:space="0"/>
            </w:tcBorders>
          </w:tcPr>
          <w:p>
            <w:pPr>
              <w:pStyle w:val="212"/>
              <w:spacing w:line="360" w:lineRule="auto"/>
              <w:jc w:val="center"/>
              <w:rPr>
                <w:rFonts w:ascii="宋体" w:hAnsi="宋体" w:cs="Arial"/>
                <w:sz w:val="24"/>
                <w:szCs w:val="24"/>
              </w:rPr>
            </w:pPr>
          </w:p>
        </w:tc>
        <w:tc>
          <w:tcPr>
            <w:tcW w:w="2255" w:type="dxa"/>
            <w:tcBorders>
              <w:top w:val="single" w:color="auto" w:sz="4" w:space="0"/>
              <w:right w:val="single" w:color="auto" w:sz="4" w:space="0"/>
            </w:tcBorders>
          </w:tcPr>
          <w:p>
            <w:pPr>
              <w:pStyle w:val="212"/>
              <w:spacing w:line="360" w:lineRule="auto"/>
              <w:jc w:val="center"/>
              <w:rPr>
                <w:rFonts w:ascii="宋体" w:hAnsi="宋体" w:cs="Arial"/>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056" w:type="dxa"/>
            <w:tcBorders>
              <w:left w:val="single" w:color="auto" w:sz="4" w:space="0"/>
            </w:tcBorders>
          </w:tcPr>
          <w:p>
            <w:pPr>
              <w:pStyle w:val="212"/>
              <w:spacing w:line="360" w:lineRule="auto"/>
              <w:jc w:val="center"/>
              <w:rPr>
                <w:rFonts w:ascii="宋体" w:hAnsi="宋体" w:cs="Arial"/>
                <w:sz w:val="24"/>
                <w:szCs w:val="24"/>
              </w:rPr>
            </w:pPr>
          </w:p>
        </w:tc>
        <w:tc>
          <w:tcPr>
            <w:tcW w:w="2487" w:type="dxa"/>
          </w:tcPr>
          <w:p>
            <w:pPr>
              <w:pStyle w:val="212"/>
              <w:spacing w:line="360" w:lineRule="auto"/>
              <w:jc w:val="center"/>
              <w:rPr>
                <w:rFonts w:ascii="宋体" w:hAnsi="宋体" w:cs="Arial"/>
                <w:sz w:val="24"/>
                <w:szCs w:val="24"/>
              </w:rPr>
            </w:pPr>
          </w:p>
        </w:tc>
        <w:tc>
          <w:tcPr>
            <w:tcW w:w="2489" w:type="dxa"/>
          </w:tcPr>
          <w:p>
            <w:pPr>
              <w:pStyle w:val="212"/>
              <w:spacing w:line="360" w:lineRule="auto"/>
              <w:jc w:val="center"/>
              <w:rPr>
                <w:rFonts w:ascii="宋体" w:hAnsi="宋体" w:cs="Arial"/>
                <w:sz w:val="24"/>
                <w:szCs w:val="24"/>
              </w:rPr>
            </w:pPr>
          </w:p>
        </w:tc>
        <w:tc>
          <w:tcPr>
            <w:tcW w:w="2255" w:type="dxa"/>
            <w:tcBorders>
              <w:right w:val="single" w:color="auto" w:sz="4" w:space="0"/>
            </w:tcBorders>
          </w:tcPr>
          <w:p>
            <w:pPr>
              <w:pStyle w:val="212"/>
              <w:spacing w:line="360" w:lineRule="auto"/>
              <w:jc w:val="center"/>
              <w:rPr>
                <w:rFonts w:ascii="宋体" w:hAnsi="宋体" w:cs="Arial"/>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056" w:type="dxa"/>
            <w:tcBorders>
              <w:left w:val="single" w:color="auto" w:sz="4" w:space="0"/>
            </w:tcBorders>
          </w:tcPr>
          <w:p>
            <w:pPr>
              <w:pStyle w:val="212"/>
              <w:spacing w:line="360" w:lineRule="auto"/>
              <w:jc w:val="center"/>
              <w:rPr>
                <w:rFonts w:ascii="宋体" w:hAnsi="宋体" w:cs="Arial"/>
                <w:sz w:val="24"/>
                <w:szCs w:val="24"/>
              </w:rPr>
            </w:pPr>
          </w:p>
        </w:tc>
        <w:tc>
          <w:tcPr>
            <w:tcW w:w="2487" w:type="dxa"/>
          </w:tcPr>
          <w:p>
            <w:pPr>
              <w:pStyle w:val="212"/>
              <w:spacing w:line="360" w:lineRule="auto"/>
              <w:jc w:val="center"/>
              <w:rPr>
                <w:rFonts w:ascii="宋体" w:hAnsi="宋体" w:cs="Arial"/>
                <w:sz w:val="24"/>
                <w:szCs w:val="24"/>
              </w:rPr>
            </w:pPr>
          </w:p>
        </w:tc>
        <w:tc>
          <w:tcPr>
            <w:tcW w:w="2489" w:type="dxa"/>
          </w:tcPr>
          <w:p>
            <w:pPr>
              <w:pStyle w:val="212"/>
              <w:spacing w:line="360" w:lineRule="auto"/>
              <w:jc w:val="center"/>
              <w:rPr>
                <w:rFonts w:ascii="宋体" w:hAnsi="宋体" w:cs="Arial"/>
                <w:sz w:val="24"/>
                <w:szCs w:val="24"/>
              </w:rPr>
            </w:pPr>
          </w:p>
        </w:tc>
        <w:tc>
          <w:tcPr>
            <w:tcW w:w="2255" w:type="dxa"/>
            <w:tcBorders>
              <w:right w:val="single" w:color="auto" w:sz="4" w:space="0"/>
            </w:tcBorders>
          </w:tcPr>
          <w:p>
            <w:pPr>
              <w:pStyle w:val="212"/>
              <w:spacing w:line="360" w:lineRule="auto"/>
              <w:jc w:val="center"/>
              <w:rPr>
                <w:rFonts w:ascii="宋体" w:hAnsi="宋体" w:cs="Arial"/>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056" w:type="dxa"/>
            <w:tcBorders>
              <w:left w:val="single" w:color="auto" w:sz="4" w:space="0"/>
            </w:tcBorders>
          </w:tcPr>
          <w:p>
            <w:pPr>
              <w:pStyle w:val="212"/>
              <w:spacing w:line="360" w:lineRule="auto"/>
              <w:jc w:val="center"/>
              <w:rPr>
                <w:rFonts w:ascii="宋体" w:hAnsi="宋体" w:cs="Arial"/>
                <w:sz w:val="24"/>
                <w:szCs w:val="24"/>
              </w:rPr>
            </w:pPr>
          </w:p>
        </w:tc>
        <w:tc>
          <w:tcPr>
            <w:tcW w:w="2487" w:type="dxa"/>
          </w:tcPr>
          <w:p>
            <w:pPr>
              <w:pStyle w:val="212"/>
              <w:spacing w:line="360" w:lineRule="auto"/>
              <w:jc w:val="center"/>
              <w:rPr>
                <w:rFonts w:ascii="宋体" w:hAnsi="宋体" w:cs="Arial"/>
                <w:sz w:val="24"/>
                <w:szCs w:val="24"/>
              </w:rPr>
            </w:pPr>
          </w:p>
        </w:tc>
        <w:tc>
          <w:tcPr>
            <w:tcW w:w="2489" w:type="dxa"/>
          </w:tcPr>
          <w:p>
            <w:pPr>
              <w:pStyle w:val="212"/>
              <w:spacing w:line="360" w:lineRule="auto"/>
              <w:jc w:val="center"/>
              <w:rPr>
                <w:rFonts w:ascii="宋体" w:hAnsi="宋体" w:cs="Arial"/>
                <w:sz w:val="24"/>
                <w:szCs w:val="24"/>
              </w:rPr>
            </w:pPr>
          </w:p>
        </w:tc>
        <w:tc>
          <w:tcPr>
            <w:tcW w:w="2255" w:type="dxa"/>
            <w:tcBorders>
              <w:right w:val="single" w:color="auto" w:sz="4" w:space="0"/>
            </w:tcBorders>
          </w:tcPr>
          <w:p>
            <w:pPr>
              <w:pStyle w:val="212"/>
              <w:spacing w:line="360" w:lineRule="auto"/>
              <w:jc w:val="center"/>
              <w:rPr>
                <w:rFonts w:ascii="宋体" w:hAnsi="宋体" w:cs="Arial"/>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056" w:type="dxa"/>
            <w:tcBorders>
              <w:left w:val="single" w:color="auto" w:sz="4" w:space="0"/>
            </w:tcBorders>
          </w:tcPr>
          <w:p>
            <w:pPr>
              <w:pStyle w:val="212"/>
              <w:spacing w:line="360" w:lineRule="auto"/>
              <w:jc w:val="center"/>
              <w:rPr>
                <w:rFonts w:ascii="宋体" w:hAnsi="宋体" w:cs="Arial"/>
                <w:sz w:val="24"/>
                <w:szCs w:val="24"/>
              </w:rPr>
            </w:pPr>
          </w:p>
        </w:tc>
        <w:tc>
          <w:tcPr>
            <w:tcW w:w="2487" w:type="dxa"/>
          </w:tcPr>
          <w:p>
            <w:pPr>
              <w:pStyle w:val="212"/>
              <w:spacing w:line="360" w:lineRule="auto"/>
              <w:jc w:val="center"/>
              <w:rPr>
                <w:rFonts w:ascii="宋体" w:hAnsi="宋体" w:cs="Arial"/>
                <w:sz w:val="24"/>
                <w:szCs w:val="24"/>
              </w:rPr>
            </w:pPr>
          </w:p>
        </w:tc>
        <w:tc>
          <w:tcPr>
            <w:tcW w:w="2489" w:type="dxa"/>
          </w:tcPr>
          <w:p>
            <w:pPr>
              <w:pStyle w:val="212"/>
              <w:spacing w:line="360" w:lineRule="auto"/>
              <w:jc w:val="center"/>
              <w:rPr>
                <w:rFonts w:ascii="宋体" w:hAnsi="宋体" w:cs="Arial"/>
                <w:sz w:val="24"/>
                <w:szCs w:val="24"/>
              </w:rPr>
            </w:pPr>
          </w:p>
        </w:tc>
        <w:tc>
          <w:tcPr>
            <w:tcW w:w="2255" w:type="dxa"/>
            <w:tcBorders>
              <w:right w:val="single" w:color="auto" w:sz="4" w:space="0"/>
            </w:tcBorders>
          </w:tcPr>
          <w:p>
            <w:pPr>
              <w:pStyle w:val="212"/>
              <w:spacing w:line="360" w:lineRule="auto"/>
              <w:jc w:val="center"/>
              <w:rPr>
                <w:rFonts w:ascii="宋体" w:hAnsi="宋体" w:cs="Arial"/>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056" w:type="dxa"/>
            <w:tcBorders>
              <w:left w:val="single" w:color="auto" w:sz="4" w:space="0"/>
              <w:bottom w:val="single" w:color="auto" w:sz="4" w:space="0"/>
            </w:tcBorders>
          </w:tcPr>
          <w:p>
            <w:pPr>
              <w:pStyle w:val="212"/>
              <w:spacing w:line="360" w:lineRule="auto"/>
              <w:jc w:val="center"/>
              <w:rPr>
                <w:rFonts w:ascii="宋体" w:hAnsi="宋体" w:cs="Arial"/>
                <w:sz w:val="24"/>
                <w:szCs w:val="24"/>
              </w:rPr>
            </w:pPr>
          </w:p>
        </w:tc>
        <w:tc>
          <w:tcPr>
            <w:tcW w:w="2487" w:type="dxa"/>
            <w:tcBorders>
              <w:bottom w:val="single" w:color="auto" w:sz="4" w:space="0"/>
            </w:tcBorders>
          </w:tcPr>
          <w:p>
            <w:pPr>
              <w:pStyle w:val="212"/>
              <w:spacing w:line="360" w:lineRule="auto"/>
              <w:jc w:val="center"/>
              <w:rPr>
                <w:rFonts w:ascii="宋体" w:hAnsi="宋体" w:cs="Arial"/>
                <w:sz w:val="24"/>
                <w:szCs w:val="24"/>
              </w:rPr>
            </w:pPr>
          </w:p>
        </w:tc>
        <w:tc>
          <w:tcPr>
            <w:tcW w:w="2489" w:type="dxa"/>
            <w:tcBorders>
              <w:bottom w:val="single" w:color="auto" w:sz="4" w:space="0"/>
            </w:tcBorders>
          </w:tcPr>
          <w:p>
            <w:pPr>
              <w:pStyle w:val="212"/>
              <w:spacing w:line="360" w:lineRule="auto"/>
              <w:jc w:val="center"/>
              <w:rPr>
                <w:rFonts w:ascii="宋体" w:hAnsi="宋体" w:cs="Arial"/>
                <w:sz w:val="24"/>
                <w:szCs w:val="24"/>
              </w:rPr>
            </w:pPr>
          </w:p>
        </w:tc>
        <w:tc>
          <w:tcPr>
            <w:tcW w:w="2255" w:type="dxa"/>
            <w:tcBorders>
              <w:bottom w:val="single" w:color="auto" w:sz="4" w:space="0"/>
              <w:right w:val="single" w:color="auto" w:sz="4" w:space="0"/>
            </w:tcBorders>
          </w:tcPr>
          <w:p>
            <w:pPr>
              <w:pStyle w:val="212"/>
              <w:spacing w:line="360" w:lineRule="auto"/>
              <w:jc w:val="center"/>
              <w:rPr>
                <w:rFonts w:ascii="宋体" w:hAnsi="宋体" w:cs="Arial"/>
                <w:sz w:val="24"/>
                <w:szCs w:val="24"/>
              </w:rPr>
            </w:pPr>
          </w:p>
        </w:tc>
      </w:tr>
    </w:tbl>
    <w:p>
      <w:pPr>
        <w:pStyle w:val="212"/>
        <w:tabs>
          <w:tab w:val="left" w:pos="1050"/>
        </w:tabs>
        <w:spacing w:line="360" w:lineRule="auto"/>
        <w:jc w:val="both"/>
        <w:rPr>
          <w:rFonts w:ascii="宋体" w:hAnsi="宋体"/>
          <w:sz w:val="24"/>
          <w:szCs w:val="24"/>
        </w:rPr>
      </w:pPr>
      <w:r>
        <w:rPr>
          <w:rFonts w:hint="eastAsia" w:ascii="宋体" w:hAnsi="宋体"/>
          <w:sz w:val="24"/>
          <w:szCs w:val="24"/>
        </w:rPr>
        <w:t>填报要求：</w:t>
      </w:r>
    </w:p>
    <w:p>
      <w:pPr>
        <w:pStyle w:val="80"/>
        <w:widowControl/>
        <w:numPr>
          <w:ilvl w:val="0"/>
          <w:numId w:val="12"/>
        </w:numPr>
        <w:tabs>
          <w:tab w:val="left" w:pos="0"/>
        </w:tabs>
        <w:spacing w:before="0" w:beforeAutospacing="0" w:after="0" w:afterAutospacing="0"/>
        <w:ind w:left="0" w:firstLine="0" w:firstLineChars="0"/>
        <w:outlineLvl w:val="0"/>
        <w:rPr>
          <w:rFonts w:ascii="宋体" w:hAnsi="宋体"/>
          <w:color w:val="0000FF"/>
          <w:sz w:val="24"/>
        </w:rPr>
      </w:pPr>
      <w:bookmarkStart w:id="240" w:name="_Toc20445"/>
      <w:r>
        <w:rPr>
          <w:rFonts w:hint="eastAsia" w:ascii="宋体" w:hAnsi="宋体"/>
          <w:sz w:val="24"/>
        </w:rPr>
        <w:t>填写供应商获得资质、认证或企业信誉证书。</w:t>
      </w:r>
      <w:r>
        <w:rPr>
          <w:rFonts w:hint="eastAsia" w:ascii="宋体" w:hAnsi="宋体"/>
          <w:color w:val="0000FF"/>
          <w:sz w:val="24"/>
        </w:rPr>
        <w:t>（或根据评分项对应内容的要求填写）</w:t>
      </w:r>
      <w:bookmarkEnd w:id="240"/>
    </w:p>
    <w:p>
      <w:pPr>
        <w:pStyle w:val="80"/>
        <w:widowControl/>
        <w:numPr>
          <w:ilvl w:val="0"/>
          <w:numId w:val="12"/>
        </w:numPr>
        <w:tabs>
          <w:tab w:val="left" w:pos="1050"/>
        </w:tabs>
        <w:spacing w:before="0" w:beforeAutospacing="0" w:after="0" w:afterAutospacing="0"/>
        <w:ind w:firstLineChars="0"/>
        <w:outlineLvl w:val="0"/>
        <w:rPr>
          <w:rFonts w:ascii="宋体" w:hAnsi="宋体"/>
          <w:sz w:val="24"/>
        </w:rPr>
      </w:pPr>
      <w:bookmarkStart w:id="241" w:name="_Toc7634"/>
      <w:r>
        <w:rPr>
          <w:rFonts w:hint="eastAsia" w:ascii="宋体" w:hAnsi="宋体"/>
          <w:sz w:val="24"/>
        </w:rPr>
        <w:t>请提供本表所列的证书资料。</w:t>
      </w:r>
      <w:bookmarkEnd w:id="241"/>
    </w:p>
    <w:p>
      <w:pPr>
        <w:pStyle w:val="212"/>
        <w:rPr>
          <w:rFonts w:ascii="宋体" w:hAnsi="宋体"/>
          <w:sz w:val="24"/>
          <w:szCs w:val="24"/>
        </w:rPr>
      </w:pPr>
    </w:p>
    <w:p>
      <w:pPr>
        <w:pStyle w:val="212"/>
      </w:pPr>
    </w:p>
    <w:p>
      <w:pPr>
        <w:pStyle w:val="213"/>
      </w:pPr>
    </w:p>
    <w:p>
      <w:pPr>
        <w:pStyle w:val="213"/>
      </w:pPr>
    </w:p>
    <w:p>
      <w:pPr>
        <w:pStyle w:val="213"/>
      </w:pPr>
    </w:p>
    <w:p>
      <w:pPr>
        <w:pStyle w:val="202"/>
        <w:spacing w:line="360" w:lineRule="auto"/>
        <w:rPr>
          <w:rFonts w:hAnsi="宋体"/>
          <w:sz w:val="24"/>
          <w:szCs w:val="24"/>
        </w:rPr>
      </w:pPr>
    </w:p>
    <w:p>
      <w:pPr>
        <w:pStyle w:val="113"/>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jc w:val="right"/>
        <w:rPr>
          <w:rFonts w:ascii="宋体" w:hAnsi="宋体"/>
          <w:sz w:val="24"/>
          <w:szCs w:val="24"/>
        </w:rPr>
      </w:pPr>
      <w:r>
        <w:rPr>
          <w:rFonts w:hint="eastAsia" w:ascii="宋体" w:hAnsi="宋体"/>
          <w:sz w:val="24"/>
          <w:szCs w:val="24"/>
        </w:rPr>
        <w:t>日期：</w:t>
      </w:r>
      <w:r>
        <w:rPr>
          <w:rFonts w:hint="eastAsia" w:ascii="宋体" w:hAnsi="宋体" w:cs="Arial"/>
          <w:sz w:val="24"/>
          <w:szCs w:val="24"/>
        </w:rPr>
        <w:t>2022年   月   日</w:t>
      </w:r>
    </w:p>
    <w:p>
      <w:pPr>
        <w:pStyle w:val="213"/>
      </w:pPr>
    </w:p>
    <w:p>
      <w:pPr>
        <w:widowControl/>
        <w:spacing w:before="0" w:beforeAutospacing="0" w:after="0" w:afterAutospacing="0" w:line="240" w:lineRule="auto"/>
        <w:jc w:val="left"/>
        <w:rPr>
          <w:rFonts w:ascii="宋体" w:hAnsi="宋体"/>
          <w:b/>
          <w:kern w:val="0"/>
          <w:sz w:val="28"/>
          <w:szCs w:val="28"/>
        </w:rPr>
      </w:pPr>
      <w:bookmarkStart w:id="242" w:name="_Toc394307583"/>
      <w:r>
        <w:rPr>
          <w:rFonts w:hAnsi="宋体"/>
          <w:sz w:val="28"/>
          <w:szCs w:val="28"/>
        </w:rPr>
        <w:br w:type="page"/>
      </w:r>
    </w:p>
    <w:p>
      <w:pPr>
        <w:pStyle w:val="219"/>
        <w:outlineLvl w:val="9"/>
        <w:rPr>
          <w:rFonts w:hAnsi="宋体"/>
          <w:sz w:val="28"/>
          <w:szCs w:val="28"/>
        </w:rPr>
      </w:pPr>
      <w:bookmarkStart w:id="243" w:name="_Toc13635"/>
      <w:r>
        <w:rPr>
          <w:rFonts w:hint="eastAsia" w:hAnsi="宋体"/>
          <w:sz w:val="28"/>
          <w:szCs w:val="28"/>
        </w:rPr>
        <w:t>后期服务情况表</w:t>
      </w:r>
      <w:bookmarkEnd w:id="242"/>
      <w:bookmarkEnd w:id="243"/>
    </w:p>
    <w:p>
      <w:pPr>
        <w:pStyle w:val="199"/>
        <w:spacing w:line="360" w:lineRule="auto"/>
        <w:rPr>
          <w:rFonts w:hint="eastAsia" w:hAnsi="宋体" w:eastAsia="宋体"/>
          <w:sz w:val="24"/>
          <w:szCs w:val="24"/>
          <w:lang w:eastAsia="zh-CN"/>
        </w:rPr>
      </w:pPr>
      <w:r>
        <w:rPr>
          <w:rFonts w:hint="eastAsia" w:hAnsi="宋体"/>
          <w:sz w:val="24"/>
          <w:szCs w:val="24"/>
        </w:rPr>
        <w:t>项目名称：</w:t>
      </w:r>
      <w:r>
        <w:rPr>
          <w:rFonts w:hint="eastAsia" w:hAnsi="宋体"/>
          <w:sz w:val="24"/>
          <w:szCs w:val="24"/>
          <w:u w:val="single"/>
          <w:lang w:eastAsia="zh-CN"/>
        </w:rPr>
        <w:t>乌鲁木齐职业大学北辰校区建设项目可行性研究报告编制技术服务项目</w:t>
      </w:r>
    </w:p>
    <w:p>
      <w:pPr>
        <w:pStyle w:val="199"/>
        <w:spacing w:line="360" w:lineRule="auto"/>
        <w:rPr>
          <w:rFonts w:hint="eastAsia" w:hAnsi="宋体" w:eastAsia="宋体"/>
          <w:sz w:val="24"/>
          <w:szCs w:val="24"/>
          <w:lang w:eastAsia="zh-CN"/>
        </w:rPr>
      </w:pPr>
      <w:r>
        <w:rPr>
          <w:rFonts w:hint="eastAsia" w:hAnsi="宋体"/>
          <w:sz w:val="24"/>
          <w:szCs w:val="24"/>
        </w:rPr>
        <w:t>项目编号：</w:t>
      </w:r>
      <w:r>
        <w:rPr>
          <w:rFonts w:hint="eastAsia" w:hAnsi="宋体"/>
          <w:sz w:val="24"/>
          <w:szCs w:val="24"/>
          <w:u w:val="single"/>
          <w:lang w:eastAsia="zh-CN"/>
        </w:rPr>
        <w:t>ZFCGHY-20220096</w:t>
      </w:r>
    </w:p>
    <w:tbl>
      <w:tblPr>
        <w:tblStyle w:val="3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564"/>
        <w:gridCol w:w="4424"/>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pPr>
              <w:pStyle w:val="221"/>
              <w:spacing w:line="360" w:lineRule="auto"/>
              <w:jc w:val="center"/>
              <w:rPr>
                <w:rFonts w:ascii="宋体" w:hAnsi="宋体" w:cs="Arial"/>
                <w:sz w:val="24"/>
              </w:rPr>
            </w:pPr>
            <w:r>
              <w:rPr>
                <w:rFonts w:hint="eastAsia" w:ascii="宋体" w:hAnsi="宋体" w:cs="Arial"/>
                <w:sz w:val="24"/>
              </w:rPr>
              <w:t>序号</w:t>
            </w:r>
          </w:p>
        </w:tc>
        <w:tc>
          <w:tcPr>
            <w:tcW w:w="2564" w:type="dxa"/>
            <w:tcBorders>
              <w:top w:val="single" w:color="auto" w:sz="4" w:space="0"/>
              <w:left w:val="single" w:color="auto" w:sz="4" w:space="0"/>
              <w:bottom w:val="single" w:color="auto" w:sz="4" w:space="0"/>
              <w:right w:val="single" w:color="auto" w:sz="4" w:space="0"/>
            </w:tcBorders>
            <w:vAlign w:val="center"/>
          </w:tcPr>
          <w:p>
            <w:pPr>
              <w:pStyle w:val="221"/>
              <w:spacing w:line="360" w:lineRule="auto"/>
              <w:jc w:val="center"/>
              <w:rPr>
                <w:rFonts w:ascii="宋体" w:hAnsi="宋体" w:cs="Arial"/>
                <w:sz w:val="24"/>
              </w:rPr>
            </w:pPr>
            <w:r>
              <w:rPr>
                <w:rFonts w:hint="eastAsia" w:ascii="宋体" w:hAnsi="宋体" w:cs="Arial"/>
                <w:sz w:val="24"/>
              </w:rPr>
              <w:t>项目</w:t>
            </w:r>
          </w:p>
        </w:tc>
        <w:tc>
          <w:tcPr>
            <w:tcW w:w="4424" w:type="dxa"/>
            <w:tcBorders>
              <w:top w:val="single" w:color="auto" w:sz="4" w:space="0"/>
              <w:left w:val="single" w:color="auto" w:sz="4" w:space="0"/>
              <w:bottom w:val="single" w:color="auto" w:sz="4" w:space="0"/>
              <w:right w:val="single" w:color="auto" w:sz="4" w:space="0"/>
            </w:tcBorders>
            <w:vAlign w:val="center"/>
          </w:tcPr>
          <w:p>
            <w:pPr>
              <w:pStyle w:val="221"/>
              <w:spacing w:line="360" w:lineRule="auto"/>
              <w:jc w:val="center"/>
              <w:rPr>
                <w:rFonts w:ascii="宋体" w:hAnsi="宋体" w:cs="Arial"/>
                <w:sz w:val="24"/>
              </w:rPr>
            </w:pPr>
            <w:r>
              <w:rPr>
                <w:rFonts w:hint="eastAsia" w:ascii="宋体" w:hAnsi="宋体" w:cs="Arial"/>
                <w:sz w:val="24"/>
              </w:rPr>
              <w:t>供应商承诺</w:t>
            </w:r>
          </w:p>
        </w:tc>
        <w:tc>
          <w:tcPr>
            <w:tcW w:w="1496" w:type="dxa"/>
            <w:tcBorders>
              <w:top w:val="single" w:color="auto" w:sz="4" w:space="0"/>
              <w:left w:val="single" w:color="auto" w:sz="4" w:space="0"/>
              <w:bottom w:val="single" w:color="auto" w:sz="4" w:space="0"/>
              <w:right w:val="single" w:color="auto" w:sz="4" w:space="0"/>
            </w:tcBorders>
            <w:vAlign w:val="center"/>
          </w:tcPr>
          <w:p>
            <w:pPr>
              <w:pStyle w:val="221"/>
              <w:spacing w:line="360" w:lineRule="auto"/>
              <w:jc w:val="center"/>
              <w:rPr>
                <w:rFonts w:ascii="宋体" w:hAnsi="宋体" w:cs="Arial"/>
                <w:sz w:val="24"/>
              </w:rPr>
            </w:pPr>
            <w:r>
              <w:rPr>
                <w:rFonts w:hint="eastAsia" w:ascii="宋体" w:hAnsi="宋体" w:cs="Arial"/>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803" w:type="dxa"/>
            <w:vMerge w:val="restart"/>
            <w:tcBorders>
              <w:top w:val="single" w:color="auto" w:sz="4" w:space="0"/>
              <w:left w:val="single" w:color="auto" w:sz="4" w:space="0"/>
              <w:bottom w:val="single" w:color="auto" w:sz="4" w:space="0"/>
              <w:right w:val="single" w:color="auto" w:sz="4" w:space="0"/>
            </w:tcBorders>
            <w:vAlign w:val="center"/>
          </w:tcPr>
          <w:p>
            <w:pPr>
              <w:pStyle w:val="221"/>
              <w:spacing w:line="360" w:lineRule="auto"/>
              <w:jc w:val="center"/>
              <w:rPr>
                <w:rFonts w:ascii="宋体" w:hAnsi="宋体" w:cs="Arial"/>
                <w:bCs/>
                <w:sz w:val="24"/>
              </w:rPr>
            </w:pPr>
            <w:r>
              <w:rPr>
                <w:rFonts w:hint="eastAsia" w:ascii="宋体" w:hAnsi="宋体" w:cs="Arial"/>
                <w:bCs/>
                <w:sz w:val="24"/>
              </w:rPr>
              <w:t>1</w:t>
            </w:r>
          </w:p>
        </w:tc>
        <w:tc>
          <w:tcPr>
            <w:tcW w:w="2564" w:type="dxa"/>
            <w:vMerge w:val="restart"/>
            <w:tcBorders>
              <w:top w:val="single" w:color="auto" w:sz="4" w:space="0"/>
              <w:left w:val="single" w:color="auto" w:sz="4" w:space="0"/>
              <w:bottom w:val="single" w:color="auto" w:sz="4" w:space="0"/>
              <w:right w:val="single" w:color="auto" w:sz="4" w:space="0"/>
            </w:tcBorders>
            <w:vAlign w:val="center"/>
          </w:tcPr>
          <w:p>
            <w:pPr>
              <w:pStyle w:val="221"/>
              <w:spacing w:line="360" w:lineRule="auto"/>
              <w:rPr>
                <w:rFonts w:ascii="宋体" w:hAnsi="宋体" w:cs="Arial"/>
                <w:bCs/>
                <w:sz w:val="24"/>
              </w:rPr>
            </w:pPr>
            <w:r>
              <w:rPr>
                <w:rFonts w:hint="eastAsia" w:ascii="宋体" w:hAnsi="宋体" w:cs="Arial"/>
                <w:bCs/>
                <w:sz w:val="24"/>
              </w:rPr>
              <w:t>项目后期服务情况(可用附页和宣传材料)</w:t>
            </w:r>
          </w:p>
        </w:tc>
        <w:tc>
          <w:tcPr>
            <w:tcW w:w="4424" w:type="dxa"/>
            <w:vMerge w:val="restart"/>
            <w:tcBorders>
              <w:top w:val="single" w:color="auto" w:sz="4" w:space="0"/>
              <w:left w:val="single" w:color="auto" w:sz="4" w:space="0"/>
              <w:right w:val="single" w:color="auto" w:sz="4" w:space="0"/>
            </w:tcBorders>
            <w:vAlign w:val="center"/>
          </w:tcPr>
          <w:p>
            <w:pPr>
              <w:pStyle w:val="221"/>
              <w:spacing w:line="360" w:lineRule="auto"/>
              <w:jc w:val="both"/>
              <w:rPr>
                <w:rFonts w:ascii="宋体" w:hAnsi="宋体" w:cs="Arial"/>
                <w:bCs/>
                <w:sz w:val="24"/>
              </w:rPr>
            </w:pPr>
            <w:r>
              <w:rPr>
                <w:rFonts w:hint="eastAsia" w:ascii="宋体" w:hAnsi="宋体" w:cs="Arial"/>
                <w:bCs/>
                <w:sz w:val="24"/>
              </w:rPr>
              <w:t>可行性研究报告后期服务情况：</w:t>
            </w:r>
          </w:p>
        </w:tc>
        <w:tc>
          <w:tcPr>
            <w:tcW w:w="1496" w:type="dxa"/>
            <w:tcBorders>
              <w:top w:val="single" w:color="auto" w:sz="4" w:space="0"/>
              <w:left w:val="single" w:color="auto" w:sz="4" w:space="0"/>
              <w:bottom w:val="single" w:color="auto" w:sz="4" w:space="0"/>
              <w:right w:val="single" w:color="auto" w:sz="4" w:space="0"/>
            </w:tcBorders>
          </w:tcPr>
          <w:p>
            <w:pPr>
              <w:pStyle w:val="221"/>
              <w:spacing w:line="360" w:lineRule="auto"/>
              <w:rPr>
                <w:rFonts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803" w:type="dxa"/>
            <w:vMerge w:val="continue"/>
            <w:tcBorders>
              <w:top w:val="single" w:color="auto" w:sz="4" w:space="0"/>
              <w:left w:val="single" w:color="auto" w:sz="4" w:space="0"/>
              <w:bottom w:val="single" w:color="auto" w:sz="4" w:space="0"/>
              <w:right w:val="single" w:color="auto" w:sz="4" w:space="0"/>
            </w:tcBorders>
            <w:vAlign w:val="center"/>
          </w:tcPr>
          <w:p>
            <w:pPr>
              <w:pStyle w:val="221"/>
              <w:widowControl/>
              <w:jc w:val="left"/>
              <w:rPr>
                <w:rFonts w:ascii="宋体" w:hAnsi="宋体" w:cs="Arial"/>
                <w:bCs/>
                <w:sz w:val="24"/>
              </w:rPr>
            </w:pPr>
          </w:p>
        </w:tc>
        <w:tc>
          <w:tcPr>
            <w:tcW w:w="2564" w:type="dxa"/>
            <w:vMerge w:val="continue"/>
            <w:tcBorders>
              <w:top w:val="single" w:color="auto" w:sz="4" w:space="0"/>
              <w:left w:val="single" w:color="auto" w:sz="4" w:space="0"/>
              <w:bottom w:val="single" w:color="auto" w:sz="4" w:space="0"/>
              <w:right w:val="single" w:color="auto" w:sz="4" w:space="0"/>
            </w:tcBorders>
            <w:vAlign w:val="center"/>
          </w:tcPr>
          <w:p>
            <w:pPr>
              <w:pStyle w:val="221"/>
              <w:widowControl/>
              <w:jc w:val="left"/>
              <w:rPr>
                <w:rFonts w:ascii="宋体" w:hAnsi="宋体" w:cs="Arial"/>
                <w:bCs/>
                <w:sz w:val="24"/>
              </w:rPr>
            </w:pPr>
          </w:p>
        </w:tc>
        <w:tc>
          <w:tcPr>
            <w:tcW w:w="4424" w:type="dxa"/>
            <w:vMerge w:val="continue"/>
            <w:tcBorders>
              <w:left w:val="single" w:color="auto" w:sz="4" w:space="0"/>
              <w:bottom w:val="single" w:color="auto" w:sz="4" w:space="0"/>
              <w:right w:val="single" w:color="auto" w:sz="4" w:space="0"/>
            </w:tcBorders>
          </w:tcPr>
          <w:p>
            <w:pPr>
              <w:pStyle w:val="221"/>
              <w:spacing w:line="360" w:lineRule="auto"/>
              <w:rPr>
                <w:rFonts w:ascii="宋体" w:hAnsi="宋体" w:cs="Arial"/>
                <w:bCs/>
                <w:sz w:val="24"/>
              </w:rPr>
            </w:pPr>
          </w:p>
        </w:tc>
        <w:tc>
          <w:tcPr>
            <w:tcW w:w="1496" w:type="dxa"/>
            <w:tcBorders>
              <w:top w:val="single" w:color="auto" w:sz="4" w:space="0"/>
              <w:left w:val="single" w:color="auto" w:sz="4" w:space="0"/>
              <w:bottom w:val="single" w:color="auto" w:sz="4" w:space="0"/>
              <w:right w:val="single" w:color="auto" w:sz="4" w:space="0"/>
            </w:tcBorders>
          </w:tcPr>
          <w:p>
            <w:pPr>
              <w:pStyle w:val="221"/>
              <w:spacing w:line="360" w:lineRule="auto"/>
              <w:jc w:val="left"/>
              <w:rPr>
                <w:rFonts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exact"/>
          <w:jc w:val="center"/>
        </w:trPr>
        <w:tc>
          <w:tcPr>
            <w:tcW w:w="803" w:type="dxa"/>
            <w:vMerge w:val="restart"/>
            <w:tcBorders>
              <w:top w:val="single" w:color="auto" w:sz="4" w:space="0"/>
              <w:left w:val="single" w:color="auto" w:sz="4" w:space="0"/>
              <w:right w:val="single" w:color="auto" w:sz="4" w:space="0"/>
            </w:tcBorders>
            <w:vAlign w:val="center"/>
          </w:tcPr>
          <w:p>
            <w:pPr>
              <w:pStyle w:val="221"/>
              <w:spacing w:line="360" w:lineRule="auto"/>
              <w:rPr>
                <w:rFonts w:ascii="宋体" w:hAnsi="宋体" w:cs="Arial"/>
                <w:bCs/>
                <w:sz w:val="24"/>
              </w:rPr>
            </w:pPr>
            <w:r>
              <w:rPr>
                <w:rFonts w:hint="eastAsia" w:ascii="宋体" w:hAnsi="宋体" w:cs="Arial"/>
                <w:bCs/>
                <w:sz w:val="24"/>
              </w:rPr>
              <w:t>2</w:t>
            </w:r>
          </w:p>
        </w:tc>
        <w:tc>
          <w:tcPr>
            <w:tcW w:w="2564" w:type="dxa"/>
            <w:vMerge w:val="restart"/>
            <w:tcBorders>
              <w:top w:val="single" w:color="auto" w:sz="4" w:space="0"/>
              <w:left w:val="single" w:color="auto" w:sz="4" w:space="0"/>
              <w:right w:val="single" w:color="auto" w:sz="4" w:space="0"/>
            </w:tcBorders>
            <w:vAlign w:val="center"/>
          </w:tcPr>
          <w:p>
            <w:pPr>
              <w:pStyle w:val="221"/>
              <w:spacing w:line="360" w:lineRule="auto"/>
              <w:rPr>
                <w:rFonts w:ascii="宋体" w:hAnsi="宋体" w:cs="Arial"/>
                <w:bCs/>
                <w:sz w:val="24"/>
              </w:rPr>
            </w:pPr>
            <w:r>
              <w:rPr>
                <w:rFonts w:hint="eastAsia" w:ascii="宋体" w:hAnsi="宋体" w:cs="Arial"/>
                <w:bCs/>
                <w:sz w:val="24"/>
              </w:rPr>
              <w:t>项目完成文件交付份数</w:t>
            </w:r>
          </w:p>
        </w:tc>
        <w:tc>
          <w:tcPr>
            <w:tcW w:w="4424" w:type="dxa"/>
            <w:vMerge w:val="restart"/>
            <w:tcBorders>
              <w:top w:val="single" w:color="auto" w:sz="4" w:space="0"/>
              <w:left w:val="single" w:color="auto" w:sz="4" w:space="0"/>
              <w:right w:val="single" w:color="auto" w:sz="4" w:space="0"/>
            </w:tcBorders>
            <w:vAlign w:val="center"/>
          </w:tcPr>
          <w:p>
            <w:pPr>
              <w:pStyle w:val="221"/>
              <w:spacing w:line="360" w:lineRule="auto"/>
              <w:jc w:val="both"/>
              <w:rPr>
                <w:rFonts w:ascii="宋体" w:hAnsi="宋体" w:cs="Arial"/>
                <w:bCs/>
                <w:sz w:val="24"/>
              </w:rPr>
            </w:pPr>
            <w:r>
              <w:rPr>
                <w:rFonts w:hint="eastAsia" w:ascii="宋体" w:hAnsi="宋体" w:cs="Arial"/>
                <w:bCs/>
                <w:sz w:val="24"/>
              </w:rPr>
              <w:t>可行性研究报告交付：</w:t>
            </w:r>
          </w:p>
        </w:tc>
        <w:tc>
          <w:tcPr>
            <w:tcW w:w="1496" w:type="dxa"/>
            <w:tcBorders>
              <w:top w:val="single" w:color="auto" w:sz="4" w:space="0"/>
              <w:left w:val="single" w:color="auto" w:sz="4" w:space="0"/>
              <w:bottom w:val="single" w:color="auto" w:sz="4" w:space="0"/>
              <w:right w:val="single" w:color="auto" w:sz="4" w:space="0"/>
            </w:tcBorders>
          </w:tcPr>
          <w:p>
            <w:pPr>
              <w:pStyle w:val="221"/>
              <w:widowControl/>
              <w:spacing w:line="360" w:lineRule="auto"/>
              <w:jc w:val="left"/>
              <w:rPr>
                <w:rFonts w:ascii="宋体" w:hAnsi="宋体" w:cs="Arial"/>
                <w:bCs/>
                <w:sz w:val="24"/>
              </w:rPr>
            </w:pPr>
          </w:p>
          <w:p>
            <w:pPr>
              <w:pStyle w:val="221"/>
              <w:widowControl/>
              <w:spacing w:line="360" w:lineRule="auto"/>
              <w:jc w:val="left"/>
              <w:rPr>
                <w:rFonts w:ascii="宋体" w:hAnsi="宋体" w:cs="Arial"/>
                <w:bCs/>
                <w:sz w:val="24"/>
              </w:rPr>
            </w:pPr>
          </w:p>
          <w:p>
            <w:pPr>
              <w:pStyle w:val="221"/>
              <w:spacing w:line="360" w:lineRule="auto"/>
              <w:rPr>
                <w:rFonts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jc w:val="center"/>
        </w:trPr>
        <w:tc>
          <w:tcPr>
            <w:tcW w:w="803" w:type="dxa"/>
            <w:vMerge w:val="continue"/>
            <w:tcBorders>
              <w:left w:val="single" w:color="auto" w:sz="4" w:space="0"/>
              <w:bottom w:val="single" w:color="auto" w:sz="4" w:space="0"/>
              <w:right w:val="single" w:color="auto" w:sz="4" w:space="0"/>
            </w:tcBorders>
            <w:vAlign w:val="center"/>
          </w:tcPr>
          <w:p>
            <w:pPr>
              <w:pStyle w:val="221"/>
              <w:spacing w:line="360" w:lineRule="auto"/>
              <w:ind w:firstLine="240" w:firstLineChars="100"/>
              <w:rPr>
                <w:rFonts w:ascii="宋体" w:hAnsi="宋体" w:cs="Arial"/>
                <w:bCs/>
                <w:sz w:val="24"/>
              </w:rPr>
            </w:pPr>
          </w:p>
        </w:tc>
        <w:tc>
          <w:tcPr>
            <w:tcW w:w="2564" w:type="dxa"/>
            <w:vMerge w:val="continue"/>
            <w:tcBorders>
              <w:left w:val="single" w:color="auto" w:sz="4" w:space="0"/>
              <w:bottom w:val="single" w:color="auto" w:sz="4" w:space="0"/>
              <w:right w:val="single" w:color="auto" w:sz="4" w:space="0"/>
            </w:tcBorders>
            <w:vAlign w:val="center"/>
          </w:tcPr>
          <w:p>
            <w:pPr>
              <w:pStyle w:val="221"/>
              <w:spacing w:line="360" w:lineRule="auto"/>
              <w:rPr>
                <w:rFonts w:ascii="宋体" w:hAnsi="宋体" w:cs="Arial"/>
                <w:bCs/>
                <w:sz w:val="24"/>
              </w:rPr>
            </w:pPr>
          </w:p>
        </w:tc>
        <w:tc>
          <w:tcPr>
            <w:tcW w:w="4424" w:type="dxa"/>
            <w:vMerge w:val="continue"/>
            <w:tcBorders>
              <w:left w:val="single" w:color="auto" w:sz="4" w:space="0"/>
              <w:bottom w:val="single" w:color="auto" w:sz="4" w:space="0"/>
              <w:right w:val="single" w:color="auto" w:sz="4" w:space="0"/>
            </w:tcBorders>
            <w:vAlign w:val="center"/>
          </w:tcPr>
          <w:p>
            <w:pPr>
              <w:pStyle w:val="221"/>
              <w:spacing w:line="360" w:lineRule="auto"/>
              <w:jc w:val="both"/>
              <w:rPr>
                <w:rFonts w:ascii="宋体" w:hAnsi="宋体" w:cs="Arial"/>
                <w:bCs/>
                <w:sz w:val="24"/>
              </w:rPr>
            </w:pPr>
          </w:p>
        </w:tc>
        <w:tc>
          <w:tcPr>
            <w:tcW w:w="1496" w:type="dxa"/>
            <w:tcBorders>
              <w:top w:val="single" w:color="auto" w:sz="4" w:space="0"/>
              <w:left w:val="single" w:color="auto" w:sz="4" w:space="0"/>
              <w:bottom w:val="single" w:color="auto" w:sz="4" w:space="0"/>
              <w:right w:val="single" w:color="auto" w:sz="4" w:space="0"/>
            </w:tcBorders>
          </w:tcPr>
          <w:p>
            <w:pPr>
              <w:pStyle w:val="221"/>
              <w:widowControl/>
              <w:spacing w:line="360" w:lineRule="auto"/>
              <w:jc w:val="left"/>
              <w:rPr>
                <w:rFonts w:ascii="宋体" w:hAnsi="宋体" w:cs="Arial"/>
                <w:bCs/>
                <w:sz w:val="24"/>
              </w:rPr>
            </w:pPr>
          </w:p>
          <w:p>
            <w:pPr>
              <w:pStyle w:val="221"/>
              <w:widowControl/>
              <w:spacing w:line="360" w:lineRule="auto"/>
              <w:jc w:val="left"/>
              <w:rPr>
                <w:rFonts w:ascii="宋体" w:hAnsi="宋体" w:cs="Arial"/>
                <w:bCs/>
                <w:sz w:val="24"/>
              </w:rPr>
            </w:pPr>
          </w:p>
          <w:p>
            <w:pPr>
              <w:pStyle w:val="221"/>
              <w:spacing w:line="360" w:lineRule="auto"/>
              <w:rPr>
                <w:rFonts w:ascii="宋体" w:hAnsi="宋体" w:cs="Arial"/>
                <w:bCs/>
                <w:sz w:val="24"/>
              </w:rPr>
            </w:pPr>
          </w:p>
        </w:tc>
      </w:tr>
    </w:tbl>
    <w:p>
      <w:pPr>
        <w:pStyle w:val="221"/>
        <w:rPr>
          <w:rFonts w:ascii="宋体" w:hAnsi="宋体"/>
          <w:sz w:val="24"/>
        </w:rPr>
      </w:pPr>
    </w:p>
    <w:p>
      <w:pPr>
        <w:pStyle w:val="221"/>
        <w:rPr>
          <w:rFonts w:ascii="宋体" w:hAnsi="宋体"/>
          <w:sz w:val="24"/>
        </w:rPr>
      </w:pPr>
    </w:p>
    <w:p>
      <w:pPr>
        <w:pStyle w:val="202"/>
        <w:spacing w:line="360" w:lineRule="auto"/>
        <w:rPr>
          <w:rFonts w:hAnsi="宋体"/>
          <w:sz w:val="24"/>
          <w:szCs w:val="24"/>
        </w:rPr>
      </w:pPr>
    </w:p>
    <w:p>
      <w:pPr>
        <w:pStyle w:val="113"/>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jc w:val="right"/>
        <w:rPr>
          <w:rFonts w:ascii="宋体" w:hAnsi="宋体"/>
          <w:sz w:val="24"/>
          <w:szCs w:val="24"/>
        </w:rPr>
      </w:pPr>
      <w:r>
        <w:rPr>
          <w:rFonts w:hint="eastAsia" w:ascii="宋体" w:hAnsi="宋体"/>
          <w:sz w:val="24"/>
          <w:szCs w:val="24"/>
        </w:rPr>
        <w:t>日期：</w:t>
      </w:r>
      <w:r>
        <w:rPr>
          <w:rFonts w:hint="eastAsia" w:ascii="宋体" w:hAnsi="宋体" w:cs="Arial"/>
          <w:sz w:val="24"/>
          <w:szCs w:val="24"/>
        </w:rPr>
        <w:t>2022年   月   日</w:t>
      </w:r>
    </w:p>
    <w:p>
      <w:pPr>
        <w:pStyle w:val="222"/>
      </w:pPr>
      <w:r>
        <w:br w:type="page"/>
      </w:r>
    </w:p>
    <w:p>
      <w:pPr>
        <w:pStyle w:val="224"/>
        <w:jc w:val="center"/>
        <w:rPr>
          <w:rFonts w:ascii="宋体" w:hAnsi="宋体"/>
          <w:b/>
          <w:sz w:val="28"/>
          <w:szCs w:val="28"/>
        </w:rPr>
      </w:pPr>
      <w:r>
        <w:rPr>
          <w:rFonts w:hint="eastAsia" w:ascii="宋体" w:hAnsi="宋体"/>
          <w:b/>
          <w:sz w:val="28"/>
          <w:szCs w:val="28"/>
        </w:rPr>
        <w:t>技术方案一般性条款响应差异表</w:t>
      </w:r>
    </w:p>
    <w:p>
      <w:pPr>
        <w:pStyle w:val="199"/>
        <w:spacing w:line="360" w:lineRule="auto"/>
        <w:rPr>
          <w:rFonts w:hint="eastAsia" w:hAnsi="宋体" w:eastAsia="宋体"/>
          <w:sz w:val="24"/>
          <w:szCs w:val="24"/>
          <w:lang w:eastAsia="zh-CN"/>
        </w:rPr>
      </w:pPr>
      <w:r>
        <w:rPr>
          <w:rFonts w:hint="eastAsia" w:hAnsi="宋体"/>
          <w:sz w:val="24"/>
          <w:szCs w:val="24"/>
        </w:rPr>
        <w:t>项目名称：</w:t>
      </w:r>
      <w:r>
        <w:rPr>
          <w:rFonts w:hint="eastAsia" w:hAnsi="宋体"/>
          <w:sz w:val="24"/>
          <w:szCs w:val="24"/>
          <w:u w:val="single"/>
          <w:lang w:eastAsia="zh-CN"/>
        </w:rPr>
        <w:t>乌鲁木齐职业大学北辰校区建设项目可行性研究报告编制技术服务项目</w:t>
      </w:r>
    </w:p>
    <w:p>
      <w:pPr>
        <w:pStyle w:val="199"/>
        <w:spacing w:line="360" w:lineRule="auto"/>
        <w:rPr>
          <w:rFonts w:hint="eastAsia" w:hAnsi="宋体" w:eastAsia="宋体"/>
          <w:sz w:val="24"/>
          <w:szCs w:val="24"/>
          <w:lang w:eastAsia="zh-CN"/>
        </w:rPr>
      </w:pPr>
      <w:r>
        <w:rPr>
          <w:rFonts w:hint="eastAsia" w:hAnsi="宋体"/>
          <w:sz w:val="24"/>
          <w:szCs w:val="24"/>
        </w:rPr>
        <w:t>项目编号：</w:t>
      </w:r>
      <w:r>
        <w:rPr>
          <w:rFonts w:hint="eastAsia" w:hAnsi="宋体"/>
          <w:sz w:val="24"/>
          <w:szCs w:val="24"/>
          <w:u w:val="single"/>
          <w:lang w:eastAsia="zh-CN"/>
        </w:rPr>
        <w:t>ZFCGHY-20220096</w:t>
      </w:r>
    </w:p>
    <w:tbl>
      <w:tblPr>
        <w:tblStyle w:val="36"/>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601"/>
        <w:gridCol w:w="1921"/>
        <w:gridCol w:w="1763"/>
        <w:gridCol w:w="1601"/>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962" w:type="dxa"/>
            <w:vAlign w:val="center"/>
          </w:tcPr>
          <w:p>
            <w:pPr>
              <w:pStyle w:val="224"/>
              <w:spacing w:line="360" w:lineRule="auto"/>
              <w:ind w:right="84" w:rightChars="40"/>
              <w:rPr>
                <w:rFonts w:ascii="宋体" w:hAnsi="宋体"/>
                <w:b/>
                <w:szCs w:val="21"/>
              </w:rPr>
            </w:pPr>
            <w:r>
              <w:rPr>
                <w:rFonts w:hint="eastAsia" w:ascii="宋体" w:hAnsi="宋体"/>
                <w:b/>
                <w:szCs w:val="21"/>
              </w:rPr>
              <w:t>序号</w:t>
            </w:r>
          </w:p>
        </w:tc>
        <w:tc>
          <w:tcPr>
            <w:tcW w:w="1601" w:type="dxa"/>
            <w:vAlign w:val="center"/>
          </w:tcPr>
          <w:p>
            <w:pPr>
              <w:pStyle w:val="224"/>
              <w:spacing w:line="360" w:lineRule="auto"/>
              <w:ind w:right="84" w:rightChars="40"/>
              <w:jc w:val="center"/>
              <w:rPr>
                <w:rFonts w:ascii="宋体" w:hAnsi="宋体"/>
                <w:b/>
                <w:sz w:val="24"/>
                <w:szCs w:val="24"/>
              </w:rPr>
            </w:pPr>
            <w:r>
              <w:rPr>
                <w:rFonts w:hint="eastAsia" w:ascii="宋体" w:hAnsi="宋体"/>
                <w:b/>
                <w:sz w:val="24"/>
                <w:szCs w:val="24"/>
              </w:rPr>
              <w:t>分项名称</w:t>
            </w:r>
          </w:p>
        </w:tc>
        <w:tc>
          <w:tcPr>
            <w:tcW w:w="1921" w:type="dxa"/>
            <w:vAlign w:val="center"/>
          </w:tcPr>
          <w:p>
            <w:pPr>
              <w:pStyle w:val="224"/>
              <w:spacing w:line="360" w:lineRule="auto"/>
              <w:ind w:right="84" w:rightChars="40"/>
              <w:jc w:val="center"/>
              <w:rPr>
                <w:rFonts w:ascii="宋体" w:hAnsi="宋体"/>
                <w:b/>
                <w:sz w:val="24"/>
                <w:szCs w:val="24"/>
              </w:rPr>
            </w:pPr>
            <w:r>
              <w:rPr>
                <w:rFonts w:hint="eastAsia" w:ascii="宋体" w:hAnsi="宋体"/>
                <w:b/>
                <w:sz w:val="24"/>
                <w:szCs w:val="24"/>
              </w:rPr>
              <w:t>招标标准</w:t>
            </w:r>
          </w:p>
        </w:tc>
        <w:tc>
          <w:tcPr>
            <w:tcW w:w="1763" w:type="dxa"/>
            <w:vAlign w:val="center"/>
          </w:tcPr>
          <w:p>
            <w:pPr>
              <w:pStyle w:val="224"/>
              <w:spacing w:line="360" w:lineRule="auto"/>
              <w:ind w:right="84" w:rightChars="40"/>
              <w:jc w:val="center"/>
              <w:rPr>
                <w:rFonts w:ascii="宋体" w:hAnsi="宋体"/>
                <w:b/>
                <w:sz w:val="24"/>
                <w:szCs w:val="24"/>
              </w:rPr>
            </w:pPr>
            <w:r>
              <w:rPr>
                <w:rFonts w:hint="eastAsia" w:ascii="宋体" w:hAnsi="宋体"/>
                <w:b/>
                <w:sz w:val="24"/>
                <w:szCs w:val="24"/>
              </w:rPr>
              <w:t>投标标准</w:t>
            </w:r>
          </w:p>
        </w:tc>
        <w:tc>
          <w:tcPr>
            <w:tcW w:w="1601" w:type="dxa"/>
            <w:vAlign w:val="center"/>
          </w:tcPr>
          <w:p>
            <w:pPr>
              <w:pStyle w:val="224"/>
              <w:spacing w:line="360" w:lineRule="auto"/>
              <w:ind w:right="84" w:rightChars="40"/>
              <w:jc w:val="center"/>
              <w:rPr>
                <w:rFonts w:ascii="宋体" w:hAnsi="宋体"/>
                <w:b/>
                <w:sz w:val="24"/>
                <w:szCs w:val="24"/>
              </w:rPr>
            </w:pPr>
            <w:r>
              <w:rPr>
                <w:rFonts w:hint="eastAsia" w:ascii="宋体" w:hAnsi="宋体"/>
                <w:b/>
                <w:sz w:val="24"/>
                <w:szCs w:val="24"/>
              </w:rPr>
              <w:t>偏离情况</w:t>
            </w:r>
          </w:p>
        </w:tc>
        <w:tc>
          <w:tcPr>
            <w:tcW w:w="1439" w:type="dxa"/>
            <w:vAlign w:val="center"/>
          </w:tcPr>
          <w:p>
            <w:pPr>
              <w:pStyle w:val="224"/>
              <w:spacing w:line="360" w:lineRule="auto"/>
              <w:ind w:right="84" w:rightChars="40"/>
              <w:jc w:val="center"/>
              <w:rPr>
                <w:rFonts w:ascii="宋体" w:hAnsi="宋体"/>
                <w:b/>
                <w:sz w:val="24"/>
                <w:szCs w:val="24"/>
              </w:rPr>
            </w:pPr>
            <w:r>
              <w:rPr>
                <w:rFonts w:hint="eastAsia" w:ascii="宋体" w:hAnsi="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962" w:type="dxa"/>
            <w:vAlign w:val="center"/>
          </w:tcPr>
          <w:p>
            <w:pPr>
              <w:pStyle w:val="224"/>
              <w:spacing w:line="360" w:lineRule="auto"/>
              <w:ind w:right="84" w:rightChars="40"/>
              <w:jc w:val="center"/>
              <w:rPr>
                <w:rFonts w:ascii="宋体" w:hAnsi="宋体"/>
                <w:sz w:val="24"/>
                <w:szCs w:val="24"/>
              </w:rPr>
            </w:pPr>
            <w:r>
              <w:rPr>
                <w:rFonts w:hint="eastAsia" w:ascii="宋体" w:hAnsi="宋体"/>
                <w:sz w:val="24"/>
                <w:szCs w:val="24"/>
              </w:rPr>
              <w:t>1</w:t>
            </w:r>
          </w:p>
        </w:tc>
        <w:tc>
          <w:tcPr>
            <w:tcW w:w="1601" w:type="dxa"/>
            <w:vAlign w:val="center"/>
          </w:tcPr>
          <w:p>
            <w:pPr>
              <w:pStyle w:val="224"/>
              <w:spacing w:line="360" w:lineRule="auto"/>
              <w:ind w:right="84" w:rightChars="40"/>
              <w:jc w:val="center"/>
              <w:rPr>
                <w:rFonts w:ascii="宋体" w:hAnsi="宋体"/>
                <w:sz w:val="24"/>
                <w:szCs w:val="24"/>
              </w:rPr>
            </w:pPr>
          </w:p>
        </w:tc>
        <w:tc>
          <w:tcPr>
            <w:tcW w:w="1921" w:type="dxa"/>
            <w:vAlign w:val="center"/>
          </w:tcPr>
          <w:p>
            <w:pPr>
              <w:pStyle w:val="224"/>
              <w:spacing w:line="360" w:lineRule="auto"/>
              <w:ind w:right="84" w:rightChars="40"/>
              <w:jc w:val="center"/>
              <w:rPr>
                <w:rFonts w:ascii="宋体" w:hAnsi="宋体"/>
                <w:sz w:val="24"/>
                <w:szCs w:val="24"/>
              </w:rPr>
            </w:pPr>
          </w:p>
        </w:tc>
        <w:tc>
          <w:tcPr>
            <w:tcW w:w="1763" w:type="dxa"/>
            <w:vAlign w:val="center"/>
          </w:tcPr>
          <w:p>
            <w:pPr>
              <w:pStyle w:val="224"/>
              <w:spacing w:line="360" w:lineRule="auto"/>
              <w:ind w:right="84" w:rightChars="40"/>
              <w:jc w:val="center"/>
              <w:rPr>
                <w:rFonts w:ascii="宋体" w:hAnsi="宋体"/>
                <w:sz w:val="24"/>
                <w:szCs w:val="24"/>
              </w:rPr>
            </w:pPr>
          </w:p>
        </w:tc>
        <w:tc>
          <w:tcPr>
            <w:tcW w:w="1601" w:type="dxa"/>
            <w:vAlign w:val="center"/>
          </w:tcPr>
          <w:p>
            <w:pPr>
              <w:pStyle w:val="224"/>
              <w:spacing w:line="360" w:lineRule="auto"/>
              <w:ind w:right="84" w:rightChars="40"/>
              <w:jc w:val="center"/>
              <w:rPr>
                <w:rFonts w:ascii="宋体" w:hAnsi="宋体"/>
                <w:sz w:val="24"/>
                <w:szCs w:val="24"/>
              </w:rPr>
            </w:pPr>
          </w:p>
        </w:tc>
        <w:tc>
          <w:tcPr>
            <w:tcW w:w="1439" w:type="dxa"/>
            <w:vAlign w:val="center"/>
          </w:tcPr>
          <w:p>
            <w:pPr>
              <w:pStyle w:val="224"/>
              <w:spacing w:line="360" w:lineRule="auto"/>
              <w:ind w:right="84" w:rightChars="4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962" w:type="dxa"/>
            <w:vAlign w:val="center"/>
          </w:tcPr>
          <w:p>
            <w:pPr>
              <w:pStyle w:val="224"/>
              <w:spacing w:line="360" w:lineRule="auto"/>
              <w:ind w:right="84" w:rightChars="40"/>
              <w:jc w:val="center"/>
              <w:rPr>
                <w:rFonts w:ascii="宋体" w:hAnsi="宋体"/>
                <w:sz w:val="24"/>
                <w:szCs w:val="24"/>
              </w:rPr>
            </w:pPr>
            <w:r>
              <w:rPr>
                <w:rFonts w:hint="eastAsia" w:ascii="宋体" w:hAnsi="宋体"/>
                <w:sz w:val="24"/>
                <w:szCs w:val="24"/>
              </w:rPr>
              <w:t>2</w:t>
            </w:r>
          </w:p>
        </w:tc>
        <w:tc>
          <w:tcPr>
            <w:tcW w:w="1601" w:type="dxa"/>
            <w:vAlign w:val="center"/>
          </w:tcPr>
          <w:p>
            <w:pPr>
              <w:pStyle w:val="224"/>
              <w:spacing w:line="360" w:lineRule="auto"/>
              <w:ind w:right="84" w:rightChars="40"/>
              <w:jc w:val="center"/>
              <w:rPr>
                <w:rFonts w:ascii="宋体" w:hAnsi="宋体"/>
                <w:sz w:val="24"/>
                <w:szCs w:val="24"/>
              </w:rPr>
            </w:pPr>
          </w:p>
        </w:tc>
        <w:tc>
          <w:tcPr>
            <w:tcW w:w="1921" w:type="dxa"/>
            <w:vAlign w:val="center"/>
          </w:tcPr>
          <w:p>
            <w:pPr>
              <w:pStyle w:val="224"/>
              <w:spacing w:line="360" w:lineRule="auto"/>
              <w:ind w:right="84" w:rightChars="40"/>
              <w:jc w:val="center"/>
              <w:rPr>
                <w:rFonts w:ascii="宋体" w:hAnsi="宋体"/>
                <w:sz w:val="24"/>
                <w:szCs w:val="24"/>
              </w:rPr>
            </w:pPr>
          </w:p>
        </w:tc>
        <w:tc>
          <w:tcPr>
            <w:tcW w:w="1763" w:type="dxa"/>
            <w:vAlign w:val="center"/>
          </w:tcPr>
          <w:p>
            <w:pPr>
              <w:pStyle w:val="224"/>
              <w:spacing w:line="360" w:lineRule="auto"/>
              <w:ind w:right="84" w:rightChars="40"/>
              <w:jc w:val="center"/>
              <w:rPr>
                <w:rFonts w:ascii="宋体" w:hAnsi="宋体"/>
                <w:sz w:val="24"/>
                <w:szCs w:val="24"/>
              </w:rPr>
            </w:pPr>
          </w:p>
        </w:tc>
        <w:tc>
          <w:tcPr>
            <w:tcW w:w="1601" w:type="dxa"/>
            <w:vAlign w:val="center"/>
          </w:tcPr>
          <w:p>
            <w:pPr>
              <w:pStyle w:val="224"/>
              <w:spacing w:line="360" w:lineRule="auto"/>
              <w:ind w:right="84" w:rightChars="40"/>
              <w:jc w:val="center"/>
              <w:rPr>
                <w:rFonts w:ascii="宋体" w:hAnsi="宋体"/>
                <w:sz w:val="24"/>
                <w:szCs w:val="24"/>
              </w:rPr>
            </w:pPr>
          </w:p>
        </w:tc>
        <w:tc>
          <w:tcPr>
            <w:tcW w:w="1439" w:type="dxa"/>
            <w:vAlign w:val="center"/>
          </w:tcPr>
          <w:p>
            <w:pPr>
              <w:pStyle w:val="224"/>
              <w:spacing w:line="360" w:lineRule="auto"/>
              <w:ind w:right="84" w:rightChars="4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962" w:type="dxa"/>
            <w:vAlign w:val="center"/>
          </w:tcPr>
          <w:p>
            <w:pPr>
              <w:pStyle w:val="224"/>
              <w:spacing w:line="360" w:lineRule="auto"/>
              <w:ind w:right="84" w:rightChars="40"/>
              <w:jc w:val="center"/>
              <w:rPr>
                <w:rFonts w:ascii="宋体" w:hAnsi="宋体"/>
                <w:sz w:val="24"/>
                <w:szCs w:val="24"/>
              </w:rPr>
            </w:pPr>
            <w:r>
              <w:rPr>
                <w:rFonts w:hint="eastAsia" w:ascii="宋体" w:hAnsi="宋体"/>
                <w:sz w:val="24"/>
                <w:szCs w:val="24"/>
              </w:rPr>
              <w:t>3</w:t>
            </w:r>
          </w:p>
        </w:tc>
        <w:tc>
          <w:tcPr>
            <w:tcW w:w="1601" w:type="dxa"/>
            <w:vAlign w:val="center"/>
          </w:tcPr>
          <w:p>
            <w:pPr>
              <w:pStyle w:val="224"/>
              <w:spacing w:line="360" w:lineRule="auto"/>
              <w:ind w:right="84" w:rightChars="40"/>
              <w:jc w:val="center"/>
              <w:rPr>
                <w:rFonts w:ascii="宋体" w:hAnsi="宋体"/>
                <w:sz w:val="24"/>
                <w:szCs w:val="24"/>
              </w:rPr>
            </w:pPr>
          </w:p>
        </w:tc>
        <w:tc>
          <w:tcPr>
            <w:tcW w:w="1921" w:type="dxa"/>
            <w:vAlign w:val="center"/>
          </w:tcPr>
          <w:p>
            <w:pPr>
              <w:pStyle w:val="224"/>
              <w:spacing w:line="360" w:lineRule="auto"/>
              <w:ind w:right="84" w:rightChars="40"/>
              <w:jc w:val="center"/>
              <w:rPr>
                <w:rFonts w:ascii="宋体" w:hAnsi="宋体"/>
                <w:sz w:val="24"/>
                <w:szCs w:val="24"/>
              </w:rPr>
            </w:pPr>
          </w:p>
        </w:tc>
        <w:tc>
          <w:tcPr>
            <w:tcW w:w="1763" w:type="dxa"/>
            <w:vAlign w:val="center"/>
          </w:tcPr>
          <w:p>
            <w:pPr>
              <w:pStyle w:val="224"/>
              <w:spacing w:line="360" w:lineRule="auto"/>
              <w:ind w:right="84" w:rightChars="40"/>
              <w:jc w:val="center"/>
              <w:rPr>
                <w:rFonts w:ascii="宋体" w:hAnsi="宋体"/>
                <w:sz w:val="24"/>
                <w:szCs w:val="24"/>
              </w:rPr>
            </w:pPr>
          </w:p>
        </w:tc>
        <w:tc>
          <w:tcPr>
            <w:tcW w:w="1601" w:type="dxa"/>
            <w:vAlign w:val="center"/>
          </w:tcPr>
          <w:p>
            <w:pPr>
              <w:pStyle w:val="224"/>
              <w:spacing w:line="360" w:lineRule="auto"/>
              <w:ind w:right="84" w:rightChars="40"/>
              <w:jc w:val="center"/>
              <w:rPr>
                <w:rFonts w:ascii="宋体" w:hAnsi="宋体"/>
                <w:sz w:val="24"/>
                <w:szCs w:val="24"/>
              </w:rPr>
            </w:pPr>
          </w:p>
        </w:tc>
        <w:tc>
          <w:tcPr>
            <w:tcW w:w="1439" w:type="dxa"/>
            <w:vAlign w:val="center"/>
          </w:tcPr>
          <w:p>
            <w:pPr>
              <w:pStyle w:val="224"/>
              <w:spacing w:line="360" w:lineRule="auto"/>
              <w:ind w:right="84" w:rightChars="4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962" w:type="dxa"/>
            <w:vAlign w:val="center"/>
          </w:tcPr>
          <w:p>
            <w:pPr>
              <w:pStyle w:val="224"/>
              <w:spacing w:line="360" w:lineRule="auto"/>
              <w:ind w:right="84" w:rightChars="40"/>
              <w:jc w:val="center"/>
              <w:rPr>
                <w:rFonts w:ascii="宋体" w:hAnsi="宋体"/>
                <w:sz w:val="24"/>
                <w:szCs w:val="24"/>
              </w:rPr>
            </w:pPr>
            <w:r>
              <w:rPr>
                <w:rFonts w:hint="eastAsia" w:ascii="宋体" w:hAnsi="宋体"/>
                <w:sz w:val="24"/>
                <w:szCs w:val="24"/>
              </w:rPr>
              <w:t>…</w:t>
            </w:r>
          </w:p>
        </w:tc>
        <w:tc>
          <w:tcPr>
            <w:tcW w:w="1601" w:type="dxa"/>
            <w:vAlign w:val="center"/>
          </w:tcPr>
          <w:p>
            <w:pPr>
              <w:pStyle w:val="224"/>
              <w:spacing w:line="360" w:lineRule="auto"/>
              <w:ind w:right="84" w:rightChars="40"/>
              <w:jc w:val="center"/>
              <w:rPr>
                <w:rFonts w:ascii="宋体" w:hAnsi="宋体"/>
                <w:sz w:val="24"/>
                <w:szCs w:val="24"/>
              </w:rPr>
            </w:pPr>
          </w:p>
        </w:tc>
        <w:tc>
          <w:tcPr>
            <w:tcW w:w="1921" w:type="dxa"/>
            <w:vAlign w:val="center"/>
          </w:tcPr>
          <w:p>
            <w:pPr>
              <w:pStyle w:val="224"/>
              <w:spacing w:line="360" w:lineRule="auto"/>
              <w:ind w:right="84" w:rightChars="40"/>
              <w:jc w:val="center"/>
              <w:rPr>
                <w:rFonts w:ascii="宋体" w:hAnsi="宋体"/>
                <w:sz w:val="24"/>
                <w:szCs w:val="24"/>
              </w:rPr>
            </w:pPr>
          </w:p>
        </w:tc>
        <w:tc>
          <w:tcPr>
            <w:tcW w:w="1763" w:type="dxa"/>
            <w:vAlign w:val="center"/>
          </w:tcPr>
          <w:p>
            <w:pPr>
              <w:pStyle w:val="224"/>
              <w:spacing w:line="360" w:lineRule="auto"/>
              <w:ind w:right="84" w:rightChars="40"/>
              <w:jc w:val="center"/>
              <w:rPr>
                <w:rFonts w:ascii="宋体" w:hAnsi="宋体"/>
                <w:sz w:val="24"/>
                <w:szCs w:val="24"/>
              </w:rPr>
            </w:pPr>
          </w:p>
        </w:tc>
        <w:tc>
          <w:tcPr>
            <w:tcW w:w="1601" w:type="dxa"/>
            <w:vAlign w:val="center"/>
          </w:tcPr>
          <w:p>
            <w:pPr>
              <w:pStyle w:val="224"/>
              <w:spacing w:line="360" w:lineRule="auto"/>
              <w:ind w:right="84" w:rightChars="40"/>
              <w:jc w:val="center"/>
              <w:rPr>
                <w:rFonts w:ascii="宋体" w:hAnsi="宋体"/>
                <w:sz w:val="24"/>
                <w:szCs w:val="24"/>
              </w:rPr>
            </w:pPr>
          </w:p>
        </w:tc>
        <w:tc>
          <w:tcPr>
            <w:tcW w:w="1439" w:type="dxa"/>
            <w:vAlign w:val="center"/>
          </w:tcPr>
          <w:p>
            <w:pPr>
              <w:pStyle w:val="224"/>
              <w:spacing w:line="360" w:lineRule="auto"/>
              <w:ind w:right="84" w:rightChars="4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962" w:type="dxa"/>
            <w:vAlign w:val="center"/>
          </w:tcPr>
          <w:p>
            <w:pPr>
              <w:pStyle w:val="224"/>
              <w:spacing w:line="360" w:lineRule="auto"/>
              <w:ind w:right="84" w:rightChars="40"/>
              <w:jc w:val="center"/>
              <w:rPr>
                <w:rFonts w:ascii="宋体" w:hAnsi="宋体"/>
                <w:sz w:val="24"/>
                <w:szCs w:val="24"/>
              </w:rPr>
            </w:pPr>
          </w:p>
        </w:tc>
        <w:tc>
          <w:tcPr>
            <w:tcW w:w="1601" w:type="dxa"/>
            <w:vAlign w:val="center"/>
          </w:tcPr>
          <w:p>
            <w:pPr>
              <w:pStyle w:val="224"/>
              <w:spacing w:line="360" w:lineRule="auto"/>
              <w:ind w:right="84" w:rightChars="40"/>
              <w:jc w:val="center"/>
              <w:rPr>
                <w:rFonts w:ascii="宋体" w:hAnsi="宋体"/>
                <w:sz w:val="24"/>
                <w:szCs w:val="24"/>
              </w:rPr>
            </w:pPr>
          </w:p>
        </w:tc>
        <w:tc>
          <w:tcPr>
            <w:tcW w:w="1921" w:type="dxa"/>
            <w:vAlign w:val="center"/>
          </w:tcPr>
          <w:p>
            <w:pPr>
              <w:pStyle w:val="224"/>
              <w:spacing w:line="360" w:lineRule="auto"/>
              <w:ind w:right="84" w:rightChars="40"/>
              <w:jc w:val="center"/>
              <w:rPr>
                <w:rFonts w:ascii="宋体" w:hAnsi="宋体"/>
                <w:sz w:val="24"/>
                <w:szCs w:val="24"/>
              </w:rPr>
            </w:pPr>
          </w:p>
        </w:tc>
        <w:tc>
          <w:tcPr>
            <w:tcW w:w="1763" w:type="dxa"/>
            <w:vAlign w:val="center"/>
          </w:tcPr>
          <w:p>
            <w:pPr>
              <w:pStyle w:val="224"/>
              <w:spacing w:line="360" w:lineRule="auto"/>
              <w:ind w:right="84" w:rightChars="40"/>
              <w:jc w:val="center"/>
              <w:rPr>
                <w:rFonts w:ascii="宋体" w:hAnsi="宋体"/>
                <w:sz w:val="24"/>
                <w:szCs w:val="24"/>
              </w:rPr>
            </w:pPr>
          </w:p>
        </w:tc>
        <w:tc>
          <w:tcPr>
            <w:tcW w:w="1601" w:type="dxa"/>
            <w:vAlign w:val="center"/>
          </w:tcPr>
          <w:p>
            <w:pPr>
              <w:pStyle w:val="224"/>
              <w:spacing w:line="360" w:lineRule="auto"/>
              <w:ind w:right="84" w:rightChars="40"/>
              <w:jc w:val="center"/>
              <w:rPr>
                <w:rFonts w:ascii="宋体" w:hAnsi="宋体"/>
                <w:sz w:val="24"/>
                <w:szCs w:val="24"/>
              </w:rPr>
            </w:pPr>
          </w:p>
        </w:tc>
        <w:tc>
          <w:tcPr>
            <w:tcW w:w="1439" w:type="dxa"/>
            <w:vAlign w:val="center"/>
          </w:tcPr>
          <w:p>
            <w:pPr>
              <w:pStyle w:val="224"/>
              <w:spacing w:line="360" w:lineRule="auto"/>
              <w:ind w:right="84" w:rightChars="4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962" w:type="dxa"/>
            <w:vAlign w:val="center"/>
          </w:tcPr>
          <w:p>
            <w:pPr>
              <w:pStyle w:val="224"/>
              <w:spacing w:line="360" w:lineRule="auto"/>
              <w:ind w:right="84" w:rightChars="40"/>
              <w:jc w:val="center"/>
              <w:rPr>
                <w:rFonts w:ascii="宋体" w:hAnsi="宋体"/>
                <w:sz w:val="24"/>
                <w:szCs w:val="24"/>
              </w:rPr>
            </w:pPr>
          </w:p>
        </w:tc>
        <w:tc>
          <w:tcPr>
            <w:tcW w:w="1601" w:type="dxa"/>
            <w:vAlign w:val="center"/>
          </w:tcPr>
          <w:p>
            <w:pPr>
              <w:pStyle w:val="224"/>
              <w:spacing w:line="360" w:lineRule="auto"/>
              <w:ind w:right="84" w:rightChars="40"/>
              <w:jc w:val="center"/>
              <w:rPr>
                <w:rFonts w:ascii="宋体" w:hAnsi="宋体"/>
                <w:sz w:val="24"/>
                <w:szCs w:val="24"/>
              </w:rPr>
            </w:pPr>
          </w:p>
        </w:tc>
        <w:tc>
          <w:tcPr>
            <w:tcW w:w="1921" w:type="dxa"/>
            <w:vAlign w:val="center"/>
          </w:tcPr>
          <w:p>
            <w:pPr>
              <w:pStyle w:val="224"/>
              <w:spacing w:line="360" w:lineRule="auto"/>
              <w:ind w:right="84" w:rightChars="40"/>
              <w:jc w:val="center"/>
              <w:rPr>
                <w:rFonts w:ascii="宋体" w:hAnsi="宋体"/>
                <w:sz w:val="24"/>
                <w:szCs w:val="24"/>
              </w:rPr>
            </w:pPr>
          </w:p>
        </w:tc>
        <w:tc>
          <w:tcPr>
            <w:tcW w:w="1763" w:type="dxa"/>
            <w:vAlign w:val="center"/>
          </w:tcPr>
          <w:p>
            <w:pPr>
              <w:pStyle w:val="224"/>
              <w:spacing w:line="360" w:lineRule="auto"/>
              <w:ind w:right="84" w:rightChars="40"/>
              <w:jc w:val="center"/>
              <w:rPr>
                <w:rFonts w:ascii="宋体" w:hAnsi="宋体"/>
                <w:sz w:val="24"/>
                <w:szCs w:val="24"/>
              </w:rPr>
            </w:pPr>
          </w:p>
        </w:tc>
        <w:tc>
          <w:tcPr>
            <w:tcW w:w="1601" w:type="dxa"/>
            <w:vAlign w:val="center"/>
          </w:tcPr>
          <w:p>
            <w:pPr>
              <w:pStyle w:val="224"/>
              <w:spacing w:line="360" w:lineRule="auto"/>
              <w:ind w:right="84" w:rightChars="40"/>
              <w:jc w:val="center"/>
              <w:rPr>
                <w:rFonts w:ascii="宋体" w:hAnsi="宋体"/>
                <w:sz w:val="24"/>
                <w:szCs w:val="24"/>
              </w:rPr>
            </w:pPr>
          </w:p>
        </w:tc>
        <w:tc>
          <w:tcPr>
            <w:tcW w:w="1439" w:type="dxa"/>
            <w:vAlign w:val="center"/>
          </w:tcPr>
          <w:p>
            <w:pPr>
              <w:pStyle w:val="224"/>
              <w:spacing w:line="360" w:lineRule="auto"/>
              <w:ind w:right="84" w:rightChars="4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962" w:type="dxa"/>
            <w:vAlign w:val="center"/>
          </w:tcPr>
          <w:p>
            <w:pPr>
              <w:pStyle w:val="224"/>
              <w:spacing w:line="360" w:lineRule="auto"/>
              <w:ind w:right="84" w:rightChars="40"/>
              <w:jc w:val="center"/>
              <w:rPr>
                <w:rFonts w:ascii="宋体" w:hAnsi="宋体"/>
                <w:sz w:val="24"/>
                <w:szCs w:val="24"/>
              </w:rPr>
            </w:pPr>
          </w:p>
        </w:tc>
        <w:tc>
          <w:tcPr>
            <w:tcW w:w="1601" w:type="dxa"/>
            <w:vAlign w:val="center"/>
          </w:tcPr>
          <w:p>
            <w:pPr>
              <w:pStyle w:val="224"/>
              <w:spacing w:line="360" w:lineRule="auto"/>
              <w:ind w:right="84" w:rightChars="40"/>
              <w:jc w:val="center"/>
              <w:rPr>
                <w:rFonts w:ascii="宋体" w:hAnsi="宋体"/>
                <w:sz w:val="24"/>
                <w:szCs w:val="24"/>
              </w:rPr>
            </w:pPr>
          </w:p>
        </w:tc>
        <w:tc>
          <w:tcPr>
            <w:tcW w:w="1921" w:type="dxa"/>
            <w:vAlign w:val="center"/>
          </w:tcPr>
          <w:p>
            <w:pPr>
              <w:pStyle w:val="224"/>
              <w:spacing w:line="360" w:lineRule="auto"/>
              <w:ind w:right="84" w:rightChars="40"/>
              <w:jc w:val="center"/>
              <w:rPr>
                <w:rFonts w:ascii="宋体" w:hAnsi="宋体"/>
                <w:sz w:val="24"/>
                <w:szCs w:val="24"/>
              </w:rPr>
            </w:pPr>
          </w:p>
        </w:tc>
        <w:tc>
          <w:tcPr>
            <w:tcW w:w="1763" w:type="dxa"/>
            <w:vAlign w:val="center"/>
          </w:tcPr>
          <w:p>
            <w:pPr>
              <w:pStyle w:val="224"/>
              <w:spacing w:line="360" w:lineRule="auto"/>
              <w:ind w:right="84" w:rightChars="40"/>
              <w:jc w:val="center"/>
              <w:rPr>
                <w:rFonts w:ascii="宋体" w:hAnsi="宋体"/>
                <w:sz w:val="24"/>
                <w:szCs w:val="24"/>
              </w:rPr>
            </w:pPr>
          </w:p>
        </w:tc>
        <w:tc>
          <w:tcPr>
            <w:tcW w:w="1601" w:type="dxa"/>
            <w:vAlign w:val="center"/>
          </w:tcPr>
          <w:p>
            <w:pPr>
              <w:pStyle w:val="224"/>
              <w:spacing w:line="360" w:lineRule="auto"/>
              <w:ind w:right="84" w:rightChars="40"/>
              <w:jc w:val="center"/>
              <w:rPr>
                <w:rFonts w:ascii="宋体" w:hAnsi="宋体"/>
                <w:sz w:val="24"/>
                <w:szCs w:val="24"/>
              </w:rPr>
            </w:pPr>
          </w:p>
        </w:tc>
        <w:tc>
          <w:tcPr>
            <w:tcW w:w="1439" w:type="dxa"/>
            <w:vAlign w:val="center"/>
          </w:tcPr>
          <w:p>
            <w:pPr>
              <w:pStyle w:val="224"/>
              <w:spacing w:line="360" w:lineRule="auto"/>
              <w:ind w:right="84" w:rightChars="4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962" w:type="dxa"/>
            <w:vAlign w:val="center"/>
          </w:tcPr>
          <w:p>
            <w:pPr>
              <w:pStyle w:val="224"/>
              <w:spacing w:line="360" w:lineRule="auto"/>
              <w:ind w:right="84" w:rightChars="40"/>
              <w:jc w:val="center"/>
              <w:rPr>
                <w:rFonts w:ascii="宋体" w:hAnsi="宋体"/>
                <w:sz w:val="24"/>
                <w:szCs w:val="24"/>
              </w:rPr>
            </w:pPr>
          </w:p>
        </w:tc>
        <w:tc>
          <w:tcPr>
            <w:tcW w:w="1601" w:type="dxa"/>
            <w:vAlign w:val="center"/>
          </w:tcPr>
          <w:p>
            <w:pPr>
              <w:pStyle w:val="224"/>
              <w:spacing w:line="360" w:lineRule="auto"/>
              <w:ind w:right="84" w:rightChars="40"/>
              <w:jc w:val="center"/>
              <w:rPr>
                <w:rFonts w:ascii="宋体" w:hAnsi="宋体"/>
                <w:sz w:val="24"/>
                <w:szCs w:val="24"/>
              </w:rPr>
            </w:pPr>
          </w:p>
        </w:tc>
        <w:tc>
          <w:tcPr>
            <w:tcW w:w="1921" w:type="dxa"/>
            <w:vAlign w:val="center"/>
          </w:tcPr>
          <w:p>
            <w:pPr>
              <w:pStyle w:val="224"/>
              <w:spacing w:line="360" w:lineRule="auto"/>
              <w:ind w:right="84" w:rightChars="40"/>
              <w:jc w:val="center"/>
              <w:rPr>
                <w:rFonts w:ascii="宋体" w:hAnsi="宋体"/>
                <w:sz w:val="24"/>
                <w:szCs w:val="24"/>
              </w:rPr>
            </w:pPr>
          </w:p>
        </w:tc>
        <w:tc>
          <w:tcPr>
            <w:tcW w:w="1763" w:type="dxa"/>
            <w:vAlign w:val="center"/>
          </w:tcPr>
          <w:p>
            <w:pPr>
              <w:pStyle w:val="224"/>
              <w:spacing w:line="360" w:lineRule="auto"/>
              <w:ind w:right="84" w:rightChars="40"/>
              <w:jc w:val="center"/>
              <w:rPr>
                <w:rFonts w:ascii="宋体" w:hAnsi="宋体"/>
                <w:sz w:val="24"/>
                <w:szCs w:val="24"/>
              </w:rPr>
            </w:pPr>
          </w:p>
        </w:tc>
        <w:tc>
          <w:tcPr>
            <w:tcW w:w="1601" w:type="dxa"/>
            <w:vAlign w:val="center"/>
          </w:tcPr>
          <w:p>
            <w:pPr>
              <w:pStyle w:val="224"/>
              <w:spacing w:line="360" w:lineRule="auto"/>
              <w:ind w:right="84" w:rightChars="40"/>
              <w:jc w:val="center"/>
              <w:rPr>
                <w:rFonts w:ascii="宋体" w:hAnsi="宋体"/>
                <w:sz w:val="24"/>
                <w:szCs w:val="24"/>
              </w:rPr>
            </w:pPr>
          </w:p>
        </w:tc>
        <w:tc>
          <w:tcPr>
            <w:tcW w:w="1439" w:type="dxa"/>
            <w:vAlign w:val="center"/>
          </w:tcPr>
          <w:p>
            <w:pPr>
              <w:pStyle w:val="224"/>
              <w:spacing w:line="360" w:lineRule="auto"/>
              <w:ind w:right="84" w:rightChars="4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962" w:type="dxa"/>
            <w:vAlign w:val="center"/>
          </w:tcPr>
          <w:p>
            <w:pPr>
              <w:pStyle w:val="224"/>
              <w:spacing w:line="360" w:lineRule="auto"/>
              <w:ind w:right="84" w:rightChars="40"/>
              <w:rPr>
                <w:rFonts w:ascii="宋体" w:hAnsi="宋体"/>
                <w:sz w:val="24"/>
                <w:szCs w:val="24"/>
              </w:rPr>
            </w:pPr>
          </w:p>
        </w:tc>
        <w:tc>
          <w:tcPr>
            <w:tcW w:w="1601" w:type="dxa"/>
            <w:vAlign w:val="center"/>
          </w:tcPr>
          <w:p>
            <w:pPr>
              <w:pStyle w:val="224"/>
              <w:spacing w:line="360" w:lineRule="auto"/>
              <w:ind w:right="84" w:rightChars="40"/>
              <w:jc w:val="center"/>
              <w:rPr>
                <w:rFonts w:ascii="宋体" w:hAnsi="宋体"/>
                <w:sz w:val="24"/>
                <w:szCs w:val="24"/>
              </w:rPr>
            </w:pPr>
          </w:p>
        </w:tc>
        <w:tc>
          <w:tcPr>
            <w:tcW w:w="1921" w:type="dxa"/>
            <w:vAlign w:val="center"/>
          </w:tcPr>
          <w:p>
            <w:pPr>
              <w:pStyle w:val="224"/>
              <w:spacing w:line="360" w:lineRule="auto"/>
              <w:ind w:right="84" w:rightChars="40"/>
              <w:jc w:val="center"/>
              <w:rPr>
                <w:rFonts w:ascii="宋体" w:hAnsi="宋体"/>
                <w:sz w:val="24"/>
                <w:szCs w:val="24"/>
              </w:rPr>
            </w:pPr>
          </w:p>
        </w:tc>
        <w:tc>
          <w:tcPr>
            <w:tcW w:w="1763" w:type="dxa"/>
            <w:vAlign w:val="center"/>
          </w:tcPr>
          <w:p>
            <w:pPr>
              <w:pStyle w:val="224"/>
              <w:spacing w:line="360" w:lineRule="auto"/>
              <w:ind w:right="84" w:rightChars="40"/>
              <w:jc w:val="center"/>
              <w:rPr>
                <w:rFonts w:ascii="宋体" w:hAnsi="宋体"/>
                <w:sz w:val="24"/>
                <w:szCs w:val="24"/>
              </w:rPr>
            </w:pPr>
          </w:p>
        </w:tc>
        <w:tc>
          <w:tcPr>
            <w:tcW w:w="1601" w:type="dxa"/>
            <w:vAlign w:val="center"/>
          </w:tcPr>
          <w:p>
            <w:pPr>
              <w:pStyle w:val="224"/>
              <w:spacing w:line="360" w:lineRule="auto"/>
              <w:ind w:right="84" w:rightChars="40"/>
              <w:jc w:val="center"/>
              <w:rPr>
                <w:rFonts w:ascii="宋体" w:hAnsi="宋体"/>
                <w:sz w:val="24"/>
                <w:szCs w:val="24"/>
              </w:rPr>
            </w:pPr>
          </w:p>
        </w:tc>
        <w:tc>
          <w:tcPr>
            <w:tcW w:w="1439" w:type="dxa"/>
            <w:vAlign w:val="center"/>
          </w:tcPr>
          <w:p>
            <w:pPr>
              <w:pStyle w:val="224"/>
              <w:spacing w:line="360" w:lineRule="auto"/>
              <w:ind w:right="84" w:rightChars="4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962" w:type="dxa"/>
            <w:tcBorders>
              <w:bottom w:val="single" w:color="auto" w:sz="4" w:space="0"/>
            </w:tcBorders>
            <w:vAlign w:val="center"/>
          </w:tcPr>
          <w:p>
            <w:pPr>
              <w:pStyle w:val="224"/>
              <w:spacing w:line="360" w:lineRule="auto"/>
              <w:ind w:right="84" w:rightChars="40"/>
              <w:rPr>
                <w:rFonts w:ascii="宋体" w:hAnsi="宋体"/>
                <w:sz w:val="24"/>
                <w:szCs w:val="24"/>
              </w:rPr>
            </w:pPr>
          </w:p>
        </w:tc>
        <w:tc>
          <w:tcPr>
            <w:tcW w:w="1601" w:type="dxa"/>
            <w:tcBorders>
              <w:bottom w:val="single" w:color="auto" w:sz="4" w:space="0"/>
            </w:tcBorders>
            <w:vAlign w:val="center"/>
          </w:tcPr>
          <w:p>
            <w:pPr>
              <w:pStyle w:val="224"/>
              <w:spacing w:line="360" w:lineRule="auto"/>
              <w:ind w:right="84" w:rightChars="40"/>
              <w:jc w:val="center"/>
              <w:rPr>
                <w:rFonts w:ascii="宋体" w:hAnsi="宋体"/>
                <w:sz w:val="24"/>
                <w:szCs w:val="24"/>
              </w:rPr>
            </w:pPr>
          </w:p>
        </w:tc>
        <w:tc>
          <w:tcPr>
            <w:tcW w:w="1921" w:type="dxa"/>
            <w:tcBorders>
              <w:bottom w:val="single" w:color="auto" w:sz="4" w:space="0"/>
            </w:tcBorders>
            <w:vAlign w:val="center"/>
          </w:tcPr>
          <w:p>
            <w:pPr>
              <w:pStyle w:val="224"/>
              <w:spacing w:line="360" w:lineRule="auto"/>
              <w:ind w:right="84" w:rightChars="40"/>
              <w:jc w:val="center"/>
              <w:rPr>
                <w:rFonts w:ascii="宋体" w:hAnsi="宋体"/>
                <w:sz w:val="24"/>
                <w:szCs w:val="24"/>
              </w:rPr>
            </w:pPr>
          </w:p>
        </w:tc>
        <w:tc>
          <w:tcPr>
            <w:tcW w:w="1763" w:type="dxa"/>
            <w:tcBorders>
              <w:bottom w:val="single" w:color="auto" w:sz="4" w:space="0"/>
            </w:tcBorders>
            <w:vAlign w:val="center"/>
          </w:tcPr>
          <w:p>
            <w:pPr>
              <w:pStyle w:val="224"/>
              <w:spacing w:line="360" w:lineRule="auto"/>
              <w:ind w:right="84" w:rightChars="40"/>
              <w:jc w:val="center"/>
              <w:rPr>
                <w:rFonts w:ascii="宋体" w:hAnsi="宋体"/>
                <w:sz w:val="24"/>
                <w:szCs w:val="24"/>
              </w:rPr>
            </w:pPr>
          </w:p>
        </w:tc>
        <w:tc>
          <w:tcPr>
            <w:tcW w:w="1601" w:type="dxa"/>
            <w:tcBorders>
              <w:bottom w:val="single" w:color="auto" w:sz="4" w:space="0"/>
            </w:tcBorders>
            <w:vAlign w:val="center"/>
          </w:tcPr>
          <w:p>
            <w:pPr>
              <w:pStyle w:val="224"/>
              <w:spacing w:line="360" w:lineRule="auto"/>
              <w:ind w:right="84" w:rightChars="40"/>
              <w:jc w:val="center"/>
              <w:rPr>
                <w:rFonts w:ascii="宋体" w:hAnsi="宋体"/>
                <w:sz w:val="24"/>
                <w:szCs w:val="24"/>
              </w:rPr>
            </w:pPr>
          </w:p>
        </w:tc>
        <w:tc>
          <w:tcPr>
            <w:tcW w:w="1439" w:type="dxa"/>
            <w:tcBorders>
              <w:bottom w:val="single" w:color="auto" w:sz="4" w:space="0"/>
            </w:tcBorders>
            <w:vAlign w:val="center"/>
          </w:tcPr>
          <w:p>
            <w:pPr>
              <w:pStyle w:val="224"/>
              <w:spacing w:line="360" w:lineRule="auto"/>
              <w:ind w:right="84" w:rightChars="40"/>
              <w:rPr>
                <w:rFonts w:ascii="宋体" w:hAnsi="宋体"/>
                <w:sz w:val="24"/>
                <w:szCs w:val="24"/>
              </w:rPr>
            </w:pPr>
          </w:p>
        </w:tc>
      </w:tr>
    </w:tbl>
    <w:p>
      <w:pPr>
        <w:pStyle w:val="224"/>
        <w:spacing w:line="360" w:lineRule="auto"/>
        <w:ind w:right="84" w:rightChars="40"/>
        <w:rPr>
          <w:rFonts w:ascii="宋体" w:hAnsi="宋体"/>
          <w:sz w:val="24"/>
          <w:szCs w:val="24"/>
        </w:rPr>
      </w:pPr>
      <w:r>
        <w:rPr>
          <w:rFonts w:hint="eastAsia" w:ascii="宋体" w:hAnsi="宋体"/>
          <w:sz w:val="24"/>
          <w:szCs w:val="24"/>
        </w:rPr>
        <w:t>填报要求：</w:t>
      </w:r>
    </w:p>
    <w:p>
      <w:pPr>
        <w:pStyle w:val="224"/>
        <w:widowControl/>
        <w:numPr>
          <w:ilvl w:val="0"/>
          <w:numId w:val="13"/>
        </w:numPr>
        <w:tabs>
          <w:tab w:val="left" w:pos="360"/>
          <w:tab w:val="clear" w:pos="1264"/>
        </w:tabs>
        <w:spacing w:line="360" w:lineRule="auto"/>
        <w:ind w:left="360" w:right="84" w:rightChars="40" w:hanging="360"/>
        <w:jc w:val="left"/>
        <w:rPr>
          <w:rFonts w:ascii="宋体" w:hAnsi="宋体"/>
          <w:sz w:val="24"/>
          <w:szCs w:val="24"/>
        </w:rPr>
      </w:pPr>
      <w:r>
        <w:rPr>
          <w:rFonts w:hint="eastAsia" w:ascii="宋体" w:hAnsi="宋体"/>
          <w:sz w:val="24"/>
          <w:szCs w:val="24"/>
        </w:rPr>
        <w:t>本表的分项名称须与《报价明细表》一致。</w:t>
      </w:r>
    </w:p>
    <w:p>
      <w:pPr>
        <w:pStyle w:val="224"/>
        <w:widowControl/>
        <w:numPr>
          <w:ilvl w:val="0"/>
          <w:numId w:val="13"/>
        </w:numPr>
        <w:tabs>
          <w:tab w:val="left" w:pos="360"/>
          <w:tab w:val="clear" w:pos="1264"/>
        </w:tabs>
        <w:spacing w:line="360" w:lineRule="auto"/>
        <w:ind w:left="360" w:right="84" w:rightChars="40" w:hanging="360"/>
        <w:jc w:val="left"/>
        <w:rPr>
          <w:rFonts w:ascii="宋体" w:hAnsi="宋体"/>
          <w:sz w:val="24"/>
          <w:szCs w:val="24"/>
        </w:rPr>
      </w:pPr>
      <w:r>
        <w:rPr>
          <w:rFonts w:hint="eastAsia" w:ascii="宋体" w:hAnsi="宋体"/>
          <w:sz w:val="24"/>
          <w:szCs w:val="24"/>
        </w:rPr>
        <w:t>供应商必须按招标标准的格式描述投标标准，并在偏离情况栏标明“无偏离”、“正偏离”或“负偏离”。</w:t>
      </w:r>
    </w:p>
    <w:p>
      <w:pPr>
        <w:pStyle w:val="224"/>
        <w:widowControl/>
        <w:numPr>
          <w:ilvl w:val="0"/>
          <w:numId w:val="13"/>
        </w:numPr>
        <w:tabs>
          <w:tab w:val="left" w:pos="360"/>
          <w:tab w:val="clear" w:pos="1264"/>
        </w:tabs>
        <w:spacing w:line="360" w:lineRule="auto"/>
        <w:ind w:left="360" w:right="84" w:rightChars="40" w:hanging="360"/>
        <w:jc w:val="left"/>
        <w:rPr>
          <w:rFonts w:ascii="宋体" w:hAnsi="宋体"/>
          <w:sz w:val="24"/>
          <w:szCs w:val="24"/>
        </w:rPr>
      </w:pPr>
      <w:r>
        <w:rPr>
          <w:rFonts w:hint="eastAsia" w:ascii="宋体" w:hAnsi="宋体"/>
          <w:sz w:val="24"/>
          <w:szCs w:val="24"/>
        </w:rPr>
        <w:t>投标执行的标准必须与国家、自治区、地方执行的相关专业标准一致。</w:t>
      </w:r>
    </w:p>
    <w:p>
      <w:pPr>
        <w:pStyle w:val="224"/>
      </w:pPr>
    </w:p>
    <w:p>
      <w:pPr>
        <w:pStyle w:val="202"/>
        <w:spacing w:line="360" w:lineRule="auto"/>
        <w:rPr>
          <w:rFonts w:hAnsi="宋体"/>
          <w:sz w:val="24"/>
          <w:szCs w:val="24"/>
        </w:rPr>
      </w:pPr>
      <w:r>
        <w:rPr>
          <w:rFonts w:hint="eastAsia" w:hAnsi="宋体"/>
          <w:color w:val="000080"/>
        </w:rPr>
        <w:t xml:space="preserve"> </w:t>
      </w:r>
    </w:p>
    <w:p>
      <w:pPr>
        <w:pStyle w:val="113"/>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jc w:val="right"/>
        <w:rPr>
          <w:rFonts w:ascii="宋体" w:hAnsi="宋体"/>
          <w:sz w:val="24"/>
          <w:szCs w:val="24"/>
        </w:rPr>
      </w:pPr>
      <w:r>
        <w:rPr>
          <w:rFonts w:hint="eastAsia" w:ascii="宋体" w:hAnsi="宋体"/>
          <w:sz w:val="24"/>
          <w:szCs w:val="24"/>
        </w:rPr>
        <w:t>日期：</w:t>
      </w:r>
      <w:r>
        <w:rPr>
          <w:rFonts w:hint="eastAsia" w:ascii="宋体" w:hAnsi="宋体" w:cs="Arial"/>
          <w:sz w:val="24"/>
          <w:szCs w:val="24"/>
        </w:rPr>
        <w:t>2022年   月   日</w:t>
      </w:r>
    </w:p>
    <w:p>
      <w:pPr>
        <w:rPr>
          <w:rFonts w:ascii="宋体" w:hAnsi="宋体"/>
          <w:color w:val="000080"/>
          <w:sz w:val="20"/>
        </w:rPr>
      </w:pPr>
    </w:p>
    <w:p>
      <w:pPr>
        <w:pStyle w:val="21"/>
        <w:shd w:val="clear" w:color="auto" w:fill="FFFFFF" w:themeFill="background1"/>
        <w:spacing w:before="0" w:beforeAutospacing="0" w:after="0" w:afterAutospacing="0"/>
        <w:rPr>
          <w:rFonts w:asciiTheme="minorEastAsia" w:hAnsiTheme="minorEastAsia" w:eastAsiaTheme="minorEastAsia" w:cstheme="minorEastAsia"/>
          <w:sz w:val="24"/>
          <w:szCs w:val="24"/>
        </w:rPr>
        <w:sectPr>
          <w:headerReference r:id="rId15" w:type="first"/>
          <w:footerReference r:id="rId18" w:type="first"/>
          <w:headerReference r:id="rId13" w:type="default"/>
          <w:footerReference r:id="rId16" w:type="default"/>
          <w:headerReference r:id="rId14" w:type="even"/>
          <w:footerReference r:id="rId17" w:type="even"/>
          <w:pgSz w:w="11907" w:h="16840"/>
          <w:pgMar w:top="1134" w:right="1418" w:bottom="1134" w:left="1418" w:header="720" w:footer="720" w:gutter="0"/>
          <w:cols w:space="425" w:num="1"/>
          <w:docGrid w:linePitch="285" w:charSpace="0"/>
        </w:sectPr>
      </w:pPr>
    </w:p>
    <w:p>
      <w:pPr>
        <w:shd w:val="clear" w:color="auto" w:fill="FFFFFF" w:themeFill="background1"/>
        <w:spacing w:before="0" w:beforeAutospacing="0" w:after="0" w:afterAutospacing="0" w:line="240" w:lineRule="atLeast"/>
        <w:rPr>
          <w:rFonts w:asciiTheme="minorEastAsia" w:hAnsiTheme="minorEastAsia" w:eastAsiaTheme="minorEastAsia" w:cstheme="minorEastAsia"/>
          <w:b/>
        </w:rPr>
      </w:pPr>
      <w:bookmarkStart w:id="244" w:name="_Toc406671154"/>
      <w:bookmarkStart w:id="245" w:name="_Toc406670783"/>
    </w:p>
    <w:p>
      <w:pPr>
        <w:shd w:val="clear" w:color="auto" w:fill="FFFFFF" w:themeFill="background1"/>
        <w:spacing w:before="0" w:beforeAutospacing="0" w:after="0" w:afterAutospacing="0" w:line="240" w:lineRule="atLeas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参加政府采购活动前3年内在经营活动中没有重大违法记录的书面声明</w:t>
      </w:r>
    </w:p>
    <w:p>
      <w:pPr>
        <w:shd w:val="clear" w:color="auto" w:fill="FFFFFF" w:themeFill="background1"/>
        <w:spacing w:before="0" w:beforeAutospacing="0" w:after="0" w:afterAutospacing="0" w:line="240" w:lineRule="atLeas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     </w:t>
      </w:r>
    </w:p>
    <w:p>
      <w:pPr>
        <w:shd w:val="clear" w:color="auto" w:fill="FFFFFF" w:themeFill="background1"/>
        <w:spacing w:before="0" w:beforeAutospacing="0" w:after="0" w:afterAutospacing="0" w:line="240" w:lineRule="atLeast"/>
        <w:rPr>
          <w:rFonts w:asciiTheme="minorEastAsia" w:hAnsiTheme="minorEastAsia" w:eastAsiaTheme="minorEastAsia" w:cstheme="minorEastAsia"/>
        </w:rPr>
      </w:pPr>
    </w:p>
    <w:p>
      <w:pPr>
        <w:shd w:val="clear" w:color="auto" w:fill="FFFFFF" w:themeFill="background1"/>
        <w:spacing w:before="0" w:beforeAutospacing="0" w:after="0" w:afterAutospacing="0" w:line="240" w:lineRule="atLeast"/>
        <w:rPr>
          <w:rFonts w:asciiTheme="minorEastAsia" w:hAnsiTheme="minorEastAsia" w:eastAsiaTheme="minorEastAsia" w:cstheme="minorEastAsia"/>
        </w:rPr>
      </w:pPr>
    </w:p>
    <w:p>
      <w:pPr>
        <w:shd w:val="clear" w:color="auto" w:fill="FFFFFF" w:themeFill="background1"/>
        <w:spacing w:before="0" w:beforeAutospacing="0" w:after="0" w:afterAutospacing="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无重大违法记录的声明函</w:t>
      </w:r>
    </w:p>
    <w:p>
      <w:pPr>
        <w:shd w:val="clear" w:color="auto" w:fill="FFFFFF" w:themeFill="background1"/>
        <w:spacing w:before="0" w:beforeAutospacing="0" w:after="0" w:afterAutospacing="0"/>
        <w:rPr>
          <w:rFonts w:asciiTheme="minorEastAsia" w:hAnsiTheme="minorEastAsia" w:eastAsiaTheme="minorEastAsia" w:cstheme="minorEastAsia"/>
          <w:szCs w:val="21"/>
        </w:rPr>
      </w:pPr>
    </w:p>
    <w:p>
      <w:pPr>
        <w:shd w:val="clear" w:color="auto" w:fill="FFFFFF" w:themeFill="background1"/>
        <w:spacing w:before="0" w:beforeAutospacing="0" w:after="0" w:afterAutospacing="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 xml:space="preserve">   （采购人或采购代理机构）     </w:t>
      </w:r>
    </w:p>
    <w:p>
      <w:pPr>
        <w:shd w:val="clear" w:color="auto" w:fill="FFFFFF" w:themeFill="background1"/>
        <w:spacing w:before="0" w:beforeAutospacing="0" w:after="0" w:afterAutospacing="0"/>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（供应商全称）            </w:t>
      </w:r>
      <w:r>
        <w:rPr>
          <w:rFonts w:hint="eastAsia" w:asciiTheme="minorEastAsia" w:hAnsiTheme="minorEastAsia" w:eastAsiaTheme="minorEastAsia" w:cstheme="minorEastAsia"/>
          <w:sz w:val="24"/>
          <w:szCs w:val="24"/>
        </w:rPr>
        <w:t>，参加贵单位组织的交易编号为：，项目名称：的政府采购活动，在此郑重声明：我单位在参加本项目政府采购活动前3年内在经营活动中未因违法经营受到刑事处罚或者责令停产停业、吊销许可证或者执照、较大数额罚款等行政处罚。</w:t>
      </w:r>
    </w:p>
    <w:p>
      <w:pPr>
        <w:shd w:val="clear" w:color="auto" w:fill="FFFFFF" w:themeFill="background1"/>
        <w:spacing w:before="0" w:beforeAutospacing="0" w:after="0" w:afterAutospacing="0"/>
        <w:ind w:firstLine="420"/>
        <w:rPr>
          <w:rFonts w:asciiTheme="minorEastAsia" w:hAnsiTheme="minorEastAsia" w:eastAsiaTheme="minorEastAsia" w:cstheme="minorEastAsia"/>
          <w:sz w:val="24"/>
          <w:szCs w:val="24"/>
        </w:rPr>
      </w:pPr>
    </w:p>
    <w:p>
      <w:pPr>
        <w:shd w:val="clear" w:color="auto" w:fill="FFFFFF" w:themeFill="background1"/>
        <w:spacing w:before="0" w:beforeAutospacing="0" w:after="0" w:afterAutospacing="0"/>
        <w:rPr>
          <w:rFonts w:asciiTheme="minorEastAsia" w:hAnsiTheme="minorEastAsia" w:eastAsiaTheme="minorEastAsia" w:cstheme="minorEastAsia"/>
          <w:sz w:val="24"/>
          <w:szCs w:val="24"/>
        </w:rPr>
      </w:pPr>
    </w:p>
    <w:p>
      <w:pPr>
        <w:shd w:val="clear" w:color="auto" w:fill="FFFFFF" w:themeFill="background1"/>
        <w:spacing w:before="0" w:beforeAutospacing="0" w:after="0" w:afterAutospacing="0"/>
        <w:rPr>
          <w:rFonts w:asciiTheme="minorEastAsia" w:hAnsiTheme="minorEastAsia" w:eastAsiaTheme="minorEastAsia" w:cstheme="minorEastAsia"/>
          <w:sz w:val="24"/>
          <w:szCs w:val="24"/>
        </w:rPr>
      </w:pPr>
    </w:p>
    <w:p>
      <w:pPr>
        <w:shd w:val="clear" w:color="auto" w:fill="FFFFFF" w:themeFill="background1"/>
        <w:spacing w:before="0" w:beforeAutospacing="0" w:after="0" w:afterAutospacing="0"/>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投标供应商：（公章或电子印章）</w:t>
      </w:r>
    </w:p>
    <w:p>
      <w:pPr>
        <w:shd w:val="clear" w:color="auto" w:fill="FFFFFF" w:themeFill="background1"/>
        <w:spacing w:before="0" w:beforeAutospacing="0" w:after="0" w:afterAutospacing="0"/>
        <w:jc w:val="center"/>
        <w:outlineLvl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bookmarkStart w:id="246" w:name="_Toc13681"/>
      <w:r>
        <w:rPr>
          <w:rFonts w:hint="eastAsia" w:asciiTheme="minorEastAsia" w:hAnsiTheme="minorEastAsia" w:eastAsiaTheme="minorEastAsia" w:cstheme="minorEastAsia"/>
          <w:sz w:val="24"/>
          <w:szCs w:val="24"/>
        </w:rPr>
        <w:t>声明时间：</w:t>
      </w:r>
      <w:bookmarkEnd w:id="246"/>
    </w:p>
    <w:p>
      <w:pPr>
        <w:shd w:val="clear" w:color="auto" w:fill="FFFFFF" w:themeFill="background1"/>
        <w:spacing w:before="0" w:beforeAutospacing="0" w:after="0" w:afterAutospacing="0" w:line="240" w:lineRule="atLeast"/>
        <w:rPr>
          <w:rFonts w:asciiTheme="minorEastAsia" w:hAnsiTheme="minorEastAsia" w:eastAsiaTheme="minorEastAsia" w:cstheme="minorEastAsia"/>
        </w:rPr>
      </w:pPr>
    </w:p>
    <w:p>
      <w:pPr>
        <w:shd w:val="clear" w:color="auto" w:fill="FFFFFF" w:themeFill="background1"/>
        <w:spacing w:before="0" w:beforeAutospacing="0" w:after="0" w:afterAutospacing="0" w:line="240" w:lineRule="atLeast"/>
        <w:jc w:val="left"/>
        <w:rPr>
          <w:rFonts w:asciiTheme="minorEastAsia" w:hAnsiTheme="minorEastAsia" w:eastAsiaTheme="minorEastAsia" w:cstheme="minorEastAsia"/>
          <w:b/>
          <w:sz w:val="28"/>
          <w:szCs w:val="28"/>
        </w:rPr>
      </w:pPr>
    </w:p>
    <w:p>
      <w:pPr>
        <w:shd w:val="clear" w:color="auto" w:fill="FFFFFF" w:themeFill="background1"/>
        <w:spacing w:before="0" w:beforeAutospacing="0" w:after="0" w:afterAutospacing="0" w:line="240" w:lineRule="atLeast"/>
        <w:jc w:val="left"/>
        <w:rPr>
          <w:rFonts w:asciiTheme="minorEastAsia" w:hAnsiTheme="minorEastAsia" w:eastAsiaTheme="minorEastAsia" w:cstheme="minorEastAsia"/>
          <w:b/>
          <w:sz w:val="28"/>
          <w:szCs w:val="28"/>
        </w:rPr>
      </w:pPr>
    </w:p>
    <w:p>
      <w:pPr>
        <w:shd w:val="clear" w:color="auto" w:fill="FFFFFF" w:themeFill="background1"/>
        <w:spacing w:before="0" w:beforeAutospacing="0" w:after="0" w:afterAutospacing="0" w:line="240" w:lineRule="atLeast"/>
        <w:jc w:val="left"/>
        <w:rPr>
          <w:rFonts w:asciiTheme="minorEastAsia" w:hAnsiTheme="minorEastAsia" w:eastAsiaTheme="minorEastAsia" w:cstheme="minorEastAsia"/>
          <w:b/>
          <w:sz w:val="28"/>
          <w:szCs w:val="28"/>
        </w:rPr>
      </w:pPr>
    </w:p>
    <w:p>
      <w:pPr>
        <w:shd w:val="clear" w:color="auto" w:fill="FFFFFF" w:themeFill="background1"/>
        <w:spacing w:before="0" w:beforeAutospacing="0" w:after="0" w:afterAutospacing="0" w:line="240" w:lineRule="atLeast"/>
        <w:jc w:val="left"/>
        <w:rPr>
          <w:rFonts w:asciiTheme="minorEastAsia" w:hAnsiTheme="minorEastAsia" w:eastAsiaTheme="minorEastAsia" w:cstheme="minorEastAsia"/>
          <w:b/>
          <w:sz w:val="28"/>
          <w:szCs w:val="28"/>
        </w:rPr>
      </w:pPr>
    </w:p>
    <w:p>
      <w:pPr>
        <w:shd w:val="clear" w:color="auto" w:fill="FFFFFF" w:themeFill="background1"/>
        <w:spacing w:before="0" w:beforeAutospacing="0" w:after="0" w:afterAutospacing="0" w:line="240" w:lineRule="atLeast"/>
        <w:jc w:val="left"/>
        <w:rPr>
          <w:rFonts w:asciiTheme="minorEastAsia" w:hAnsiTheme="minorEastAsia" w:eastAsiaTheme="minorEastAsia" w:cstheme="minorEastAsia"/>
          <w:b/>
          <w:sz w:val="28"/>
          <w:szCs w:val="28"/>
        </w:rPr>
      </w:pPr>
    </w:p>
    <w:p>
      <w:pPr>
        <w:shd w:val="clear" w:color="auto" w:fill="FFFFFF" w:themeFill="background1"/>
        <w:spacing w:before="0" w:beforeAutospacing="0" w:after="0" w:afterAutospacing="0" w:line="240" w:lineRule="atLeast"/>
        <w:jc w:val="left"/>
        <w:rPr>
          <w:rFonts w:asciiTheme="minorEastAsia" w:hAnsiTheme="minorEastAsia" w:eastAsiaTheme="minorEastAsia" w:cstheme="minorEastAsia"/>
          <w:b/>
          <w:sz w:val="28"/>
          <w:szCs w:val="28"/>
        </w:rPr>
      </w:pPr>
    </w:p>
    <w:p>
      <w:pPr>
        <w:shd w:val="clear" w:color="auto" w:fill="FFFFFF" w:themeFill="background1"/>
        <w:spacing w:before="0" w:beforeAutospacing="0" w:after="0" w:afterAutospacing="0" w:line="240" w:lineRule="atLeast"/>
        <w:jc w:val="left"/>
        <w:rPr>
          <w:rFonts w:asciiTheme="minorEastAsia" w:hAnsiTheme="minorEastAsia" w:eastAsiaTheme="minorEastAsia" w:cstheme="minorEastAsia"/>
          <w:b/>
          <w:sz w:val="28"/>
          <w:szCs w:val="28"/>
        </w:rPr>
      </w:pPr>
    </w:p>
    <w:p>
      <w:pPr>
        <w:shd w:val="clear" w:color="auto" w:fill="FFFFFF" w:themeFill="background1"/>
        <w:spacing w:before="0" w:beforeAutospacing="0" w:after="0" w:afterAutospacing="0" w:line="240" w:lineRule="atLeast"/>
        <w:jc w:val="left"/>
        <w:rPr>
          <w:rFonts w:asciiTheme="minorEastAsia" w:hAnsiTheme="minorEastAsia" w:eastAsiaTheme="minorEastAsia" w:cstheme="minorEastAsia"/>
          <w:b/>
          <w:sz w:val="28"/>
          <w:szCs w:val="28"/>
        </w:rPr>
      </w:pPr>
    </w:p>
    <w:p>
      <w:pPr>
        <w:shd w:val="clear" w:color="auto" w:fill="FFFFFF" w:themeFill="background1"/>
        <w:spacing w:before="0" w:beforeAutospacing="0" w:after="0" w:afterAutospacing="0" w:line="240" w:lineRule="atLeast"/>
        <w:jc w:val="left"/>
        <w:rPr>
          <w:rFonts w:asciiTheme="minorEastAsia" w:hAnsiTheme="minorEastAsia" w:eastAsiaTheme="minorEastAsia" w:cstheme="minorEastAsia"/>
          <w:b/>
          <w:sz w:val="28"/>
          <w:szCs w:val="28"/>
        </w:rPr>
      </w:pPr>
    </w:p>
    <w:p>
      <w:pPr>
        <w:shd w:val="clear" w:color="auto" w:fill="FFFFFF" w:themeFill="background1"/>
        <w:spacing w:before="0" w:beforeAutospacing="0" w:after="0" w:afterAutospacing="0" w:line="240" w:lineRule="atLeast"/>
        <w:jc w:val="left"/>
        <w:rPr>
          <w:rFonts w:asciiTheme="minorEastAsia" w:hAnsiTheme="minorEastAsia" w:eastAsiaTheme="minorEastAsia" w:cstheme="minorEastAsia"/>
        </w:rPr>
      </w:pPr>
    </w:p>
    <w:p>
      <w:pPr>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br w:type="page"/>
      </w:r>
      <w:r>
        <w:rPr>
          <w:rFonts w:hint="eastAsia" w:asciiTheme="minorEastAsia" w:hAnsiTheme="minorEastAsia" w:eastAsiaTheme="minorEastAsia" w:cstheme="minorEastAsia"/>
          <w:b/>
          <w:sz w:val="28"/>
          <w:szCs w:val="28"/>
        </w:rPr>
        <w:t>投 标 申 请 书</w:t>
      </w:r>
    </w:p>
    <w:p>
      <w:pPr>
        <w:shd w:val="clear" w:color="auto" w:fill="FFFFFF" w:themeFill="background1"/>
        <w:spacing w:before="0" w:beforeAutospacing="0" w:after="0" w:afterAutospacing="0"/>
        <w:rPr>
          <w:rFonts w:asciiTheme="minorEastAsia" w:hAnsiTheme="minorEastAsia" w:eastAsiaTheme="minorEastAsia" w:cstheme="minorEastAsia"/>
          <w:sz w:val="24"/>
        </w:rPr>
      </w:pPr>
    </w:p>
    <w:p>
      <w:pPr>
        <w:shd w:val="clear" w:color="auto" w:fill="FFFFFF" w:themeFill="background1"/>
        <w:spacing w:before="0" w:beforeAutospacing="0" w:after="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新疆华域建设工程项目管理咨询有限公司</w:t>
      </w:r>
      <w:r>
        <w:rPr>
          <w:rFonts w:hint="eastAsia" w:asciiTheme="minorEastAsia" w:hAnsiTheme="minorEastAsia" w:eastAsiaTheme="minorEastAsia" w:cstheme="minorEastAsia"/>
          <w:sz w:val="24"/>
        </w:rPr>
        <w:t>：</w:t>
      </w:r>
    </w:p>
    <w:p>
      <w:pPr>
        <w:shd w:val="clear" w:color="auto" w:fill="FFFFFF" w:themeFill="background1"/>
        <w:spacing w:before="0" w:beforeAutospacing="0" w:after="0" w:afterAutospacing="0"/>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我单位经过认真审阅</w:t>
      </w:r>
      <w:r>
        <w:rPr>
          <w:rFonts w:hint="eastAsia" w:asciiTheme="minorEastAsia" w:hAnsiTheme="minorEastAsia" w:eastAsiaTheme="minorEastAsia" w:cstheme="minorEastAsia"/>
          <w:sz w:val="24"/>
          <w:u w:val="single"/>
        </w:rPr>
        <w:t xml:space="preserve">   （采购人名称）    </w:t>
      </w:r>
      <w:r>
        <w:rPr>
          <w:rFonts w:hint="eastAsia" w:asciiTheme="minorEastAsia" w:hAnsiTheme="minorEastAsia" w:eastAsiaTheme="minorEastAsia" w:cstheme="minorEastAsia"/>
          <w:sz w:val="24"/>
        </w:rPr>
        <w:t>的</w:t>
      </w:r>
      <w:r>
        <w:rPr>
          <w:rFonts w:hint="eastAsia" w:hAnsi="宋体" w:eastAsiaTheme="minorEastAsia"/>
          <w:sz w:val="24"/>
          <w:u w:val="single"/>
          <w:lang w:eastAsia="zh-CN"/>
        </w:rPr>
        <w:t>乌鲁木齐职业大学北辰校区建设项目可行性研究报告编制技术服务项目</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ZFCGHY-20220096</w:t>
      </w:r>
      <w:r>
        <w:rPr>
          <w:rFonts w:hint="eastAsia" w:asciiTheme="minorEastAsia" w:hAnsiTheme="minorEastAsia" w:eastAsiaTheme="minorEastAsia" w:cstheme="minorEastAsia"/>
          <w:sz w:val="24"/>
        </w:rPr>
        <w:t>）招标文件，已明确知晓所有文件之条款，完全了解项目有关情况，我单位已做好投标相关准备工作，并按照招标文件要求将投标保证金（大写）             元（￥：         ）汇入指定账户，现决定参加在贵中心举行的上述项目招投标活动，若报名获得通过，我单位郑重承诺如下：</w:t>
      </w:r>
    </w:p>
    <w:p>
      <w:pPr>
        <w:shd w:val="clear" w:color="auto" w:fill="FFFFFF" w:themeFill="background1"/>
        <w:spacing w:before="0" w:beforeAutospacing="0" w:after="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一、对招标文件（含答疑、补充文件）的所有条款无异议并全部接受。</w:t>
      </w:r>
    </w:p>
    <w:p>
      <w:pPr>
        <w:shd w:val="clear" w:color="auto" w:fill="FFFFFF" w:themeFill="background1"/>
        <w:spacing w:before="0" w:beforeAutospacing="0" w:after="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二、依法参与该项目招投标活动，杜绝围标串标、弄虚作假、敲诈勒索、贿赂等违法违纪行为。</w:t>
      </w:r>
    </w:p>
    <w:p>
      <w:pPr>
        <w:shd w:val="clear" w:color="auto" w:fill="FFFFFF" w:themeFill="background1"/>
        <w:spacing w:before="0" w:beforeAutospacing="0" w:after="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三、按时递交响应文件。</w:t>
      </w:r>
    </w:p>
    <w:p>
      <w:pPr>
        <w:shd w:val="clear" w:color="auto" w:fill="FFFFFF" w:themeFill="background1"/>
        <w:spacing w:before="0" w:beforeAutospacing="0" w:after="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四、若被确定为中标候选人将不放弃中标候选人资格，若被确定为中标人，将按照招标文件和响应文件与招标人签订有关合同、协议。</w:t>
      </w:r>
    </w:p>
    <w:p>
      <w:pPr>
        <w:shd w:val="clear" w:color="auto" w:fill="FFFFFF" w:themeFill="background1"/>
        <w:spacing w:before="0" w:beforeAutospacing="0" w:after="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以上是我单位对贵</w:t>
      </w:r>
      <w:r>
        <w:rPr>
          <w:rFonts w:hint="eastAsia" w:asciiTheme="minorEastAsia" w:hAnsiTheme="minorEastAsia" w:eastAsiaTheme="minorEastAsia" w:cstheme="minorEastAsia"/>
          <w:sz w:val="24"/>
          <w:lang w:val="en-US" w:eastAsia="zh-CN"/>
        </w:rPr>
        <w:t>公司</w:t>
      </w:r>
      <w:r>
        <w:rPr>
          <w:rFonts w:hint="eastAsia" w:asciiTheme="minorEastAsia" w:hAnsiTheme="minorEastAsia" w:eastAsiaTheme="minorEastAsia" w:cstheme="minorEastAsia"/>
          <w:sz w:val="24"/>
        </w:rPr>
        <w:t>和招标人作出的郑重承诺。</w:t>
      </w:r>
    </w:p>
    <w:p>
      <w:pPr>
        <w:shd w:val="clear" w:color="auto" w:fill="FFFFFF" w:themeFill="background1"/>
        <w:spacing w:before="0" w:beforeAutospacing="0" w:after="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联系人:                          联系电话：                         </w:t>
      </w:r>
    </w:p>
    <w:p>
      <w:pPr>
        <w:shd w:val="clear" w:color="auto" w:fill="FFFFFF" w:themeFill="background1"/>
        <w:adjustRightInd w:val="0"/>
        <w:spacing w:line="240" w:lineRule="auto"/>
        <w:ind w:firstLine="480"/>
        <w:jc w:val="right"/>
        <w:rPr>
          <w:rFonts w:asciiTheme="minorEastAsia" w:hAnsiTheme="minorEastAsia" w:eastAsiaTheme="minorEastAsia" w:cstheme="minorEastAsia"/>
          <w:sz w:val="24"/>
        </w:rPr>
      </w:pPr>
    </w:p>
    <w:p>
      <w:pPr>
        <w:shd w:val="clear" w:color="auto" w:fill="FFFFFF" w:themeFill="background1"/>
        <w:adjustRightInd w:val="0"/>
        <w:spacing w:line="240" w:lineRule="auto"/>
        <w:ind w:firstLine="480"/>
        <w:jc w:val="righ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供应商名称（盖章）：XXXXXXX有限公司</w:t>
      </w:r>
    </w:p>
    <w:p>
      <w:pPr>
        <w:shd w:val="clear" w:color="auto" w:fill="FFFFFF" w:themeFill="background1"/>
        <w:adjustRightInd w:val="0"/>
        <w:spacing w:line="240" w:lineRule="auto"/>
        <w:ind w:firstLine="480"/>
        <w:jc w:val="righ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法定代表人或授权代表（签字或盖章）：                </w:t>
      </w:r>
    </w:p>
    <w:p>
      <w:pPr>
        <w:shd w:val="clear" w:color="auto" w:fill="FFFFFF" w:themeFill="background1"/>
        <w:spacing w:before="0" w:beforeAutospacing="0" w:after="0" w:afterAutospacing="0" w:line="240" w:lineRule="atLeast"/>
        <w:jc w:val="center"/>
        <w:outlineLvl w:val="0"/>
        <w:rPr>
          <w:rFonts w:asciiTheme="minorEastAsia" w:hAnsiTheme="minorEastAsia" w:eastAsiaTheme="minorEastAsia" w:cstheme="minorEastAsia"/>
        </w:rPr>
      </w:pPr>
      <w:r>
        <w:rPr>
          <w:rFonts w:hint="eastAsia" w:asciiTheme="minorEastAsia" w:hAnsiTheme="minorEastAsia" w:eastAsiaTheme="minorEastAsia" w:cstheme="minorEastAsia"/>
          <w:sz w:val="24"/>
        </w:rPr>
        <w:t xml:space="preserve">               </w:t>
      </w:r>
      <w:bookmarkStart w:id="247" w:name="_Toc16919"/>
      <w:r>
        <w:rPr>
          <w:rFonts w:hint="eastAsia" w:asciiTheme="minorEastAsia" w:hAnsiTheme="minorEastAsia" w:eastAsiaTheme="minorEastAsia" w:cstheme="minorEastAsia"/>
          <w:sz w:val="24"/>
        </w:rPr>
        <w:t>日期：</w:t>
      </w:r>
      <w:bookmarkEnd w:id="247"/>
    </w:p>
    <w:p>
      <w:pPr>
        <w:shd w:val="clear" w:color="auto" w:fill="FFFFFF" w:themeFill="background1"/>
        <w:spacing w:before="0" w:beforeAutospacing="0" w:after="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bookmarkEnd w:id="244"/>
      <w:bookmarkEnd w:id="245"/>
    </w:p>
    <w:p>
      <w:pPr>
        <w:spacing w:line="240" w:lineRule="auto"/>
        <w:ind w:right="420"/>
        <w:jc w:val="right"/>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spacing w:line="240" w:lineRule="auto"/>
        <w:ind w:right="420"/>
        <w:jc w:val="right"/>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供应商遵守政府采购法规的声明承诺函</w:t>
      </w:r>
    </w:p>
    <w:p>
      <w:pPr>
        <w:spacing w:before="0" w:beforeAutospacing="0" w:after="0" w:afterAutospacing="0" w:line="240" w:lineRule="atLeast"/>
        <w:rPr>
          <w:rFonts w:asciiTheme="minorEastAsia" w:hAnsiTheme="minorEastAsia" w:eastAsiaTheme="minorEastAsia" w:cstheme="minorEastAsia"/>
          <w:b/>
        </w:rPr>
      </w:pPr>
    </w:p>
    <w:p>
      <w:pPr>
        <w:spacing w:before="0" w:beforeAutospacing="0" w:after="0" w:afterAutospacing="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采购人名称</w:t>
      </w:r>
    </w:p>
    <w:p>
      <w:pPr>
        <w:spacing w:before="0" w:beforeAutospacing="0" w:after="0" w:afterAutospacing="0"/>
        <w:rPr>
          <w:rFonts w:asciiTheme="minorEastAsia" w:hAnsiTheme="minorEastAsia" w:eastAsiaTheme="minorEastAsia" w:cstheme="minorEastAsia"/>
          <w:sz w:val="24"/>
          <w:szCs w:val="24"/>
          <w:u w:val="single"/>
        </w:rPr>
      </w:pPr>
    </w:p>
    <w:p>
      <w:pPr>
        <w:spacing w:before="0" w:beforeAutospacing="0" w:after="0" w:afterAutospacing="0"/>
        <w:ind w:firstLine="470" w:firstLineChars="196"/>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我公司自愿参加</w:t>
      </w:r>
      <w:r>
        <w:rPr>
          <w:rFonts w:hint="eastAsia" w:asciiTheme="minorEastAsia" w:hAnsiTheme="minorEastAsia" w:eastAsiaTheme="minorEastAsia" w:cstheme="minorEastAsia"/>
          <w:sz w:val="24"/>
          <w:szCs w:val="24"/>
          <w:u w:val="single"/>
        </w:rPr>
        <w:t xml:space="preserve">     （采购名称）   </w:t>
      </w:r>
      <w:r>
        <w:rPr>
          <w:rFonts w:hint="eastAsia" w:asciiTheme="minorEastAsia" w:hAnsiTheme="minorEastAsia" w:eastAsiaTheme="minorEastAsia" w:cstheme="minorEastAsia"/>
          <w:sz w:val="24"/>
          <w:szCs w:val="24"/>
        </w:rPr>
        <w:t xml:space="preserve">的 </w:t>
      </w:r>
      <w:r>
        <w:rPr>
          <w:rFonts w:hint="eastAsia" w:asciiTheme="minorEastAsia" w:hAnsiTheme="minorEastAsia" w:eastAsiaTheme="minorEastAsia" w:cstheme="minorEastAsia"/>
          <w:sz w:val="24"/>
          <w:szCs w:val="24"/>
          <w:u w:val="single"/>
        </w:rPr>
        <w:t xml:space="preserve">   （项目名称、品目编号及名称）</w:t>
      </w:r>
      <w:r>
        <w:rPr>
          <w:rFonts w:hint="eastAsia" w:asciiTheme="minorEastAsia" w:hAnsiTheme="minorEastAsia" w:eastAsiaTheme="minorEastAsia" w:cstheme="minorEastAsia"/>
          <w:sz w:val="24"/>
          <w:szCs w:val="24"/>
        </w:rPr>
        <w:t>的投标，并慎重作出如下声明承诺：</w:t>
      </w:r>
    </w:p>
    <w:p>
      <w:pPr>
        <w:spacing w:before="0" w:beforeAutospacing="0" w:after="0" w:afterAutospacing="0"/>
        <w:outlineLvl w:val="0"/>
        <w:rPr>
          <w:rFonts w:asciiTheme="minorEastAsia" w:hAnsiTheme="minorEastAsia" w:eastAsiaTheme="minorEastAsia" w:cstheme="minorEastAsia"/>
          <w:sz w:val="24"/>
          <w:szCs w:val="24"/>
        </w:rPr>
      </w:pPr>
      <w:bookmarkStart w:id="248" w:name="_Toc4745"/>
      <w:r>
        <w:rPr>
          <w:rFonts w:hint="eastAsia" w:asciiTheme="minorEastAsia" w:hAnsiTheme="minorEastAsia" w:eastAsiaTheme="minorEastAsia" w:cstheme="minorEastAsia"/>
          <w:sz w:val="24"/>
          <w:szCs w:val="24"/>
        </w:rPr>
        <w:t>一、针对《中华人民共和国政府采购法》</w:t>
      </w:r>
      <w:bookmarkEnd w:id="248"/>
    </w:p>
    <w:p>
      <w:pPr>
        <w:spacing w:before="0" w:beforeAutospacing="0" w:after="0" w:afterAutospacing="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(一)提供虚假材料谋取中标、成交的；</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(二)采取不正当手段诋毁、排挤其他供应商的；</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(三)与采购人、其他供应商或者采购代理机构恶意串通的；</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(四)向采购人、采购代理机构行贿或者提供其他不正当利益的；</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(五)在招标采购过程中与采购人进行协商谈判的；</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(六)拒绝有关部门监督检查或者提供虚假情况的。</w:t>
      </w:r>
    </w:p>
    <w:p>
      <w:pPr>
        <w:spacing w:before="0" w:beforeAutospacing="0" w:after="0" w:afterAutospacing="0"/>
        <w:rPr>
          <w:rFonts w:asciiTheme="minorEastAsia" w:hAnsiTheme="minorEastAsia" w:eastAsiaTheme="minorEastAsia" w:cstheme="minorEastAsia"/>
          <w:sz w:val="24"/>
          <w:szCs w:val="24"/>
        </w:rPr>
      </w:pPr>
    </w:p>
    <w:p>
      <w:pPr>
        <w:spacing w:before="0" w:beforeAutospacing="0" w:after="0" w:afterAutospacing="0"/>
        <w:outlineLvl w:val="0"/>
        <w:rPr>
          <w:rFonts w:asciiTheme="minorEastAsia" w:hAnsiTheme="minorEastAsia" w:eastAsiaTheme="minorEastAsia" w:cstheme="minorEastAsia"/>
          <w:sz w:val="24"/>
          <w:szCs w:val="24"/>
        </w:rPr>
      </w:pPr>
      <w:bookmarkStart w:id="249" w:name="_Toc9270"/>
      <w:r>
        <w:rPr>
          <w:rFonts w:hint="eastAsia" w:asciiTheme="minorEastAsia" w:hAnsiTheme="minorEastAsia" w:eastAsiaTheme="minorEastAsia" w:cstheme="minorEastAsia"/>
          <w:sz w:val="24"/>
          <w:szCs w:val="24"/>
        </w:rPr>
        <w:t>二、《中华人民共和国政府采购法实施条例》</w:t>
      </w:r>
      <w:bookmarkEnd w:id="249"/>
    </w:p>
    <w:p>
      <w:pPr>
        <w:spacing w:before="0" w:beforeAutospacing="0" w:after="0" w:afterAutospacing="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第七十二条　供应商有下列情形之一的，依照政府采购法第七十七条第一款的规定追究法律责任：</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（一）向评标委员会、竞争性谈判小组或者询价小组成员行贿或者提供其他不正当利益；</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（二）中标或者成交后无正当理由拒不与采购人签订政府采购合同；</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（三）未按照采购文件确定的事项签订政府采购合同；</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（四）将政府采购合同转包；</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（五）提供假冒伪劣产品；</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（六）擅自变更、中止或者终止政府采购合同。</w:t>
      </w:r>
    </w:p>
    <w:p>
      <w:pPr>
        <w:spacing w:before="0" w:beforeAutospacing="0" w:after="0" w:afterAutospacing="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第七十三条</w:t>
      </w:r>
      <w:r>
        <w:rPr>
          <w:rFonts w:hint="eastAsia" w:asciiTheme="minorEastAsia" w:hAnsiTheme="minorEastAsia" w:eastAsiaTheme="minorEastAsia" w:cstheme="minorEastAsia"/>
          <w:sz w:val="24"/>
          <w:szCs w:val="24"/>
        </w:rPr>
        <w:t>　供应商捏造事实、提供虚假材料或者以非法手段取得证明材料进行投诉的，由财政部门列入不良行为记录名单，禁止其1至3年内参加政府采购活动。</w:t>
      </w:r>
    </w:p>
    <w:p>
      <w:pPr>
        <w:spacing w:before="0" w:beforeAutospacing="0" w:after="0" w:afterAutospacing="0"/>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第三十四条</w:t>
      </w:r>
      <w:r>
        <w:rPr>
          <w:rFonts w:hint="eastAsia" w:asciiTheme="minorEastAsia" w:hAnsiTheme="minorEastAsia" w:eastAsiaTheme="minorEastAsia" w:cstheme="minorEastAsia"/>
          <w:bCs/>
          <w:sz w:val="24"/>
          <w:szCs w:val="24"/>
        </w:rPr>
        <w:t>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spacing w:before="0" w:beforeAutospacing="0" w:after="0" w:afterAutospacing="0"/>
        <w:rPr>
          <w:rFonts w:asciiTheme="minorEastAsia" w:hAnsiTheme="minorEastAsia" w:eastAsiaTheme="minorEastAsia" w:cstheme="minorEastAsia"/>
          <w:bCs/>
          <w:sz w:val="24"/>
          <w:szCs w:val="24"/>
        </w:rPr>
      </w:pPr>
    </w:p>
    <w:p>
      <w:pPr>
        <w:spacing w:before="0" w:beforeAutospacing="0" w:after="0" w:afterAutospacing="0"/>
        <w:outlineLvl w:val="0"/>
        <w:rPr>
          <w:rFonts w:asciiTheme="minorEastAsia" w:hAnsiTheme="minorEastAsia" w:eastAsiaTheme="minorEastAsia" w:cstheme="minorEastAsia"/>
          <w:sz w:val="24"/>
          <w:szCs w:val="24"/>
        </w:rPr>
      </w:pPr>
      <w:bookmarkStart w:id="250" w:name="_Toc29584"/>
      <w:r>
        <w:rPr>
          <w:rFonts w:hint="eastAsia" w:asciiTheme="minorEastAsia" w:hAnsiTheme="minorEastAsia" w:eastAsiaTheme="minorEastAsia" w:cstheme="minorEastAsia"/>
          <w:sz w:val="24"/>
          <w:szCs w:val="24"/>
        </w:rPr>
        <w:t>三、财政部87号令</w:t>
      </w:r>
      <w:r>
        <w:rPr>
          <w:rFonts w:asciiTheme="minorEastAsia" w:hAnsiTheme="minorEastAsia" w:eastAsiaTheme="minorEastAsia" w:cstheme="minorEastAsia"/>
          <w:sz w:val="24"/>
          <w:szCs w:val="24"/>
        </w:rPr>
        <w:t>第三十七条 有下列情形之一的，视为</w:t>
      </w:r>
      <w:r>
        <w:rPr>
          <w:rFonts w:hint="eastAsia" w:asciiTheme="minorEastAsia" w:hAnsiTheme="minorEastAsia" w:eastAsiaTheme="minorEastAsia" w:cstheme="minorEastAsia"/>
          <w:sz w:val="24"/>
          <w:szCs w:val="24"/>
        </w:rPr>
        <w:t>供应商</w:t>
      </w:r>
      <w:r>
        <w:rPr>
          <w:rFonts w:asciiTheme="minorEastAsia" w:hAnsiTheme="minorEastAsia" w:eastAsiaTheme="minorEastAsia" w:cstheme="minorEastAsia"/>
          <w:sz w:val="24"/>
          <w:szCs w:val="24"/>
        </w:rPr>
        <w:t>串通投标，其投标无效：</w:t>
      </w:r>
      <w:bookmarkEnd w:id="250"/>
    </w:p>
    <w:p>
      <w:pPr>
        <w:spacing w:before="0" w:beforeAutospacing="0" w:after="0" w:afterAutospacing="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（一）不同</w:t>
      </w:r>
      <w:r>
        <w:rPr>
          <w:rFonts w:hint="eastAsia" w:asciiTheme="minorEastAsia" w:hAnsiTheme="minorEastAsia" w:eastAsiaTheme="minorEastAsia" w:cstheme="minorEastAsia"/>
          <w:sz w:val="24"/>
          <w:szCs w:val="24"/>
        </w:rPr>
        <w:t>供应商</w:t>
      </w:r>
      <w:r>
        <w:rPr>
          <w:rFonts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rPr>
        <w:t>响应文件</w:t>
      </w:r>
      <w:r>
        <w:rPr>
          <w:rFonts w:asciiTheme="minorEastAsia" w:hAnsiTheme="minorEastAsia" w:eastAsiaTheme="minorEastAsia" w:cstheme="minorEastAsia"/>
          <w:sz w:val="24"/>
          <w:szCs w:val="24"/>
        </w:rPr>
        <w:t>由同一单位或者个人编制；</w:t>
      </w:r>
    </w:p>
    <w:p>
      <w:pPr>
        <w:spacing w:before="0" w:beforeAutospacing="0" w:after="0" w:afterAutospacing="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（二）不同</w:t>
      </w:r>
      <w:r>
        <w:rPr>
          <w:rFonts w:hint="eastAsia" w:asciiTheme="minorEastAsia" w:hAnsiTheme="minorEastAsia" w:eastAsiaTheme="minorEastAsia" w:cstheme="minorEastAsia"/>
          <w:sz w:val="24"/>
          <w:szCs w:val="24"/>
        </w:rPr>
        <w:t>供应商</w:t>
      </w:r>
      <w:r>
        <w:rPr>
          <w:rFonts w:asciiTheme="minorEastAsia" w:hAnsiTheme="minorEastAsia" w:eastAsiaTheme="minorEastAsia" w:cstheme="minorEastAsia"/>
          <w:sz w:val="24"/>
          <w:szCs w:val="24"/>
        </w:rPr>
        <w:t>委托同一单位或者个人办理投标事宜；</w:t>
      </w:r>
    </w:p>
    <w:p>
      <w:pPr>
        <w:spacing w:before="0" w:beforeAutospacing="0" w:after="0" w:afterAutospacing="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（三）不同</w:t>
      </w:r>
      <w:r>
        <w:rPr>
          <w:rFonts w:hint="eastAsia" w:asciiTheme="minorEastAsia" w:hAnsiTheme="minorEastAsia" w:eastAsiaTheme="minorEastAsia" w:cstheme="minorEastAsia"/>
          <w:sz w:val="24"/>
          <w:szCs w:val="24"/>
        </w:rPr>
        <w:t>供应商</w:t>
      </w:r>
      <w:r>
        <w:rPr>
          <w:rFonts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rPr>
        <w:t>响应文件</w:t>
      </w:r>
      <w:r>
        <w:rPr>
          <w:rFonts w:asciiTheme="minorEastAsia" w:hAnsiTheme="minorEastAsia" w:eastAsiaTheme="minorEastAsia" w:cstheme="minorEastAsia"/>
          <w:sz w:val="24"/>
          <w:szCs w:val="24"/>
        </w:rPr>
        <w:t>载明的项目管理成员或者联系人员为同一人；</w:t>
      </w:r>
    </w:p>
    <w:p>
      <w:pPr>
        <w:spacing w:before="0" w:beforeAutospacing="0" w:after="0" w:afterAutospacing="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（四）不同</w:t>
      </w:r>
      <w:r>
        <w:rPr>
          <w:rFonts w:hint="eastAsia" w:asciiTheme="minorEastAsia" w:hAnsiTheme="minorEastAsia" w:eastAsiaTheme="minorEastAsia" w:cstheme="minorEastAsia"/>
          <w:sz w:val="24"/>
          <w:szCs w:val="24"/>
        </w:rPr>
        <w:t>供应商</w:t>
      </w:r>
      <w:r>
        <w:rPr>
          <w:rFonts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rPr>
        <w:t>响应文件</w:t>
      </w:r>
      <w:r>
        <w:rPr>
          <w:rFonts w:asciiTheme="minorEastAsia" w:hAnsiTheme="minorEastAsia" w:eastAsiaTheme="minorEastAsia" w:cstheme="minorEastAsia"/>
          <w:sz w:val="24"/>
          <w:szCs w:val="24"/>
        </w:rPr>
        <w:t>异常一致或者投标报价呈规律性差异；</w:t>
      </w:r>
    </w:p>
    <w:p>
      <w:pPr>
        <w:spacing w:before="0" w:beforeAutospacing="0" w:after="0" w:afterAutospacing="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（五）不同</w:t>
      </w:r>
      <w:r>
        <w:rPr>
          <w:rFonts w:hint="eastAsia" w:asciiTheme="minorEastAsia" w:hAnsiTheme="minorEastAsia" w:eastAsiaTheme="minorEastAsia" w:cstheme="minorEastAsia"/>
          <w:sz w:val="24"/>
          <w:szCs w:val="24"/>
        </w:rPr>
        <w:t>供应商</w:t>
      </w:r>
      <w:r>
        <w:rPr>
          <w:rFonts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rPr>
        <w:t>响应文件</w:t>
      </w:r>
      <w:r>
        <w:rPr>
          <w:rFonts w:asciiTheme="minorEastAsia" w:hAnsiTheme="minorEastAsia" w:eastAsiaTheme="minorEastAsia" w:cstheme="minorEastAsia"/>
          <w:sz w:val="24"/>
          <w:szCs w:val="24"/>
        </w:rPr>
        <w:t>相互混装；</w:t>
      </w:r>
    </w:p>
    <w:p>
      <w:pPr>
        <w:spacing w:before="0" w:beforeAutospacing="0" w:after="0" w:afterAutospacing="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（六）不同</w:t>
      </w:r>
      <w:r>
        <w:rPr>
          <w:rFonts w:hint="eastAsia" w:asciiTheme="minorEastAsia" w:hAnsiTheme="minorEastAsia" w:eastAsiaTheme="minorEastAsia" w:cstheme="minorEastAsia"/>
          <w:sz w:val="24"/>
          <w:szCs w:val="24"/>
        </w:rPr>
        <w:t>供应商</w:t>
      </w:r>
      <w:r>
        <w:rPr>
          <w:rFonts w:asciiTheme="minorEastAsia" w:hAnsiTheme="minorEastAsia" w:eastAsiaTheme="minorEastAsia" w:cstheme="minorEastAsia"/>
          <w:sz w:val="24"/>
          <w:szCs w:val="24"/>
        </w:rPr>
        <w:t>的投标保证金从同一单位或者个人的账户转出。</w:t>
      </w:r>
    </w:p>
    <w:p>
      <w:pPr>
        <w:spacing w:before="0" w:beforeAutospacing="0" w:after="0" w:afterAutospacing="0"/>
        <w:ind w:firstLine="235" w:firstLineChars="98"/>
        <w:rPr>
          <w:rFonts w:asciiTheme="minorEastAsia" w:hAnsiTheme="minorEastAsia" w:eastAsiaTheme="minorEastAsia" w:cstheme="minorEastAsia"/>
          <w:sz w:val="24"/>
          <w:szCs w:val="24"/>
        </w:rPr>
      </w:pPr>
    </w:p>
    <w:p>
      <w:pPr>
        <w:spacing w:before="0" w:beforeAutospacing="0" w:after="0" w:afterAutospacing="0"/>
        <w:outlineLvl w:val="0"/>
        <w:rPr>
          <w:rFonts w:asciiTheme="minorEastAsia" w:hAnsiTheme="minorEastAsia" w:eastAsiaTheme="minorEastAsia" w:cstheme="minorEastAsia"/>
          <w:b/>
          <w:sz w:val="24"/>
          <w:szCs w:val="24"/>
        </w:rPr>
      </w:pPr>
      <w:bookmarkStart w:id="251" w:name="_Toc4108"/>
      <w:r>
        <w:rPr>
          <w:rFonts w:hint="eastAsia" w:asciiTheme="minorEastAsia" w:hAnsiTheme="minorEastAsia" w:eastAsiaTheme="minorEastAsia" w:cstheme="minorEastAsia"/>
          <w:sz w:val="24"/>
          <w:szCs w:val="24"/>
        </w:rPr>
        <w:t>四、政府采购针对供应商投标行为的其他规定</w:t>
      </w:r>
      <w:bookmarkEnd w:id="251"/>
    </w:p>
    <w:p>
      <w:pPr>
        <w:spacing w:before="0" w:beforeAutospacing="0" w:after="0" w:afterAutospacing="0"/>
        <w:rPr>
          <w:rFonts w:asciiTheme="minorEastAsia" w:hAnsiTheme="minorEastAsia" w:eastAsiaTheme="minorEastAsia" w:cstheme="minorEastAsia"/>
          <w:b/>
          <w:sz w:val="24"/>
          <w:szCs w:val="24"/>
        </w:rPr>
      </w:pPr>
    </w:p>
    <w:p>
      <w:pPr>
        <w:spacing w:before="0" w:beforeAutospacing="0" w:after="0" w:afterAutospacing="0"/>
        <w:ind w:firstLine="472" w:firstLineChars="19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我公司声明承诺本项目的政府采购投标活动，严格遵守以上政府采购相关法律对供应商投标行为的规定，如声明承诺不实，将承担由此发生的全部法律责任。</w:t>
      </w:r>
    </w:p>
    <w:p>
      <w:pPr>
        <w:spacing w:before="0" w:beforeAutospacing="0" w:after="0" w:afterAutospacing="0"/>
        <w:rPr>
          <w:rFonts w:asciiTheme="minorEastAsia" w:hAnsiTheme="minorEastAsia" w:eastAsiaTheme="minorEastAsia" w:cstheme="minorEastAsia"/>
          <w:b/>
          <w:sz w:val="24"/>
          <w:szCs w:val="24"/>
        </w:rPr>
      </w:pP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sz w:val="24"/>
          <w:szCs w:val="24"/>
        </w:rPr>
        <w:t>投标供应商：（盖章）</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日期：年   月   日</w:t>
      </w:r>
    </w:p>
    <w:p>
      <w:pPr>
        <w:spacing w:line="240" w:lineRule="auto"/>
        <w:ind w:left="-10" w:leftChars="-5" w:firstLine="430" w:firstLineChars="205"/>
        <w:jc w:val="righ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rPr>
          <w:rFonts w:asciiTheme="minorEastAsia" w:hAnsiTheme="minorEastAsia" w:eastAsiaTheme="minorEastAsia" w:cstheme="minorEastAsia"/>
          <w:b/>
        </w:rPr>
      </w:pPr>
      <w:r>
        <w:rPr>
          <w:rFonts w:hint="eastAsia" w:asciiTheme="minorEastAsia" w:hAnsiTheme="minorEastAsia" w:eastAsiaTheme="minorEastAsia" w:cstheme="minorEastAsia"/>
          <w:b/>
        </w:rPr>
        <w:br w:type="page"/>
      </w:r>
    </w:p>
    <w:p>
      <w:pPr>
        <w:spacing w:beforeLines="50" w:afterLines="5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（六）优惠性政策情况</w:t>
      </w:r>
    </w:p>
    <w:p>
      <w:pPr>
        <w:spacing w:beforeLines="50" w:beforeAutospacing="0" w:afterLines="50" w:afterAutospacing="0" w:line="24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投标报价符合优惠性政策情况表</w:t>
      </w:r>
    </w:p>
    <w:p>
      <w:pPr>
        <w:pStyle w:val="21"/>
        <w:spacing w:beforeLines="100" w:beforeAutospacing="0" w:afterLines="50" w:afterAutospacing="0"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交易编号：                       项目名称：                     品目号：</w:t>
      </w:r>
    </w:p>
    <w:tbl>
      <w:tblPr>
        <w:tblStyle w:val="36"/>
        <w:tblpPr w:leftFromText="181" w:rightFromText="181" w:vertAnchor="text" w:horzAnchor="margin" w:tblpY="1"/>
        <w:tblW w:w="951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5"/>
        <w:gridCol w:w="3511"/>
        <w:gridCol w:w="3132"/>
        <w:gridCol w:w="22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75" w:type="dxa"/>
            <w:tcBorders>
              <w:top w:val="single" w:color="auto" w:sz="4" w:space="0"/>
              <w:left w:val="single" w:color="auto" w:sz="4" w:space="0"/>
              <w:bottom w:val="single" w:color="auto" w:sz="4" w:space="0"/>
              <w:right w:val="single" w:color="auto" w:sz="4" w:space="0"/>
            </w:tcBorders>
            <w:vAlign w:val="center"/>
          </w:tcPr>
          <w:p>
            <w:pPr>
              <w:pStyle w:val="21"/>
              <w:spacing w:line="24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3511" w:type="dxa"/>
            <w:tcBorders>
              <w:top w:val="single" w:color="auto" w:sz="4" w:space="0"/>
              <w:left w:val="single" w:color="auto" w:sz="4" w:space="0"/>
              <w:bottom w:val="single" w:color="auto" w:sz="4" w:space="0"/>
              <w:right w:val="single" w:color="auto" w:sz="4" w:space="0"/>
            </w:tcBorders>
            <w:vAlign w:val="center"/>
          </w:tcPr>
          <w:p>
            <w:pPr>
              <w:pStyle w:val="21"/>
              <w:spacing w:line="24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优惠性政府名称</w:t>
            </w:r>
          </w:p>
        </w:tc>
        <w:tc>
          <w:tcPr>
            <w:tcW w:w="3132" w:type="dxa"/>
            <w:tcBorders>
              <w:top w:val="single" w:color="auto" w:sz="4" w:space="0"/>
              <w:left w:val="single" w:color="auto" w:sz="4" w:space="0"/>
              <w:bottom w:val="single" w:color="auto" w:sz="4" w:space="0"/>
              <w:right w:val="single" w:color="auto" w:sz="4" w:space="0"/>
            </w:tcBorders>
            <w:vAlign w:val="center"/>
          </w:tcPr>
          <w:p>
            <w:pPr>
              <w:pStyle w:val="21"/>
              <w:spacing w:line="24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投标供应商享受优惠政策的情况说明</w:t>
            </w:r>
          </w:p>
        </w:tc>
        <w:tc>
          <w:tcPr>
            <w:tcW w:w="2294" w:type="dxa"/>
            <w:tcBorders>
              <w:top w:val="single" w:color="auto" w:sz="4" w:space="0"/>
              <w:left w:val="single" w:color="auto" w:sz="4" w:space="0"/>
              <w:bottom w:val="single" w:color="auto" w:sz="4" w:space="0"/>
              <w:right w:val="single" w:color="auto" w:sz="4" w:space="0"/>
            </w:tcBorders>
            <w:vAlign w:val="center"/>
          </w:tcPr>
          <w:p>
            <w:pPr>
              <w:pStyle w:val="21"/>
              <w:spacing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信息数据来源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575" w:type="dxa"/>
            <w:tcBorders>
              <w:top w:val="single" w:color="auto" w:sz="4" w:space="0"/>
              <w:left w:val="single" w:color="auto" w:sz="4" w:space="0"/>
              <w:right w:val="single" w:color="auto" w:sz="4" w:space="0"/>
            </w:tcBorders>
            <w:vAlign w:val="center"/>
          </w:tcPr>
          <w:p>
            <w:pPr>
              <w:pStyle w:val="21"/>
              <w:spacing w:line="240" w:lineRule="auto"/>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511" w:type="dxa"/>
            <w:tcBorders>
              <w:top w:val="single" w:color="auto" w:sz="4" w:space="0"/>
              <w:left w:val="single" w:color="auto" w:sz="4" w:space="0"/>
              <w:right w:val="single" w:color="auto" w:sz="4" w:space="0"/>
            </w:tcBorders>
            <w:vAlign w:val="center"/>
          </w:tcPr>
          <w:p>
            <w:pPr>
              <w:pStyle w:val="21"/>
              <w:spacing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《政府采购促进中小企业发展暂行办法》</w:t>
            </w:r>
          </w:p>
        </w:tc>
        <w:tc>
          <w:tcPr>
            <w:tcW w:w="3132" w:type="dxa"/>
            <w:tcBorders>
              <w:top w:val="single" w:color="auto" w:sz="4" w:space="0"/>
              <w:left w:val="single" w:color="auto" w:sz="4" w:space="0"/>
              <w:right w:val="single" w:color="auto" w:sz="4" w:space="0"/>
            </w:tcBorders>
            <w:vAlign w:val="center"/>
          </w:tcPr>
          <w:p>
            <w:pPr>
              <w:pStyle w:val="21"/>
              <w:spacing w:line="240" w:lineRule="auto"/>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声明函（格式附后）</w:t>
            </w:r>
          </w:p>
        </w:tc>
        <w:tc>
          <w:tcPr>
            <w:tcW w:w="2294" w:type="dxa"/>
            <w:tcBorders>
              <w:top w:val="single" w:color="auto" w:sz="4" w:space="0"/>
              <w:left w:val="single" w:color="auto" w:sz="4" w:space="0"/>
              <w:right w:val="single" w:color="auto" w:sz="4" w:space="0"/>
            </w:tcBorders>
            <w:vAlign w:val="center"/>
          </w:tcPr>
          <w:p>
            <w:pPr>
              <w:pStyle w:val="21"/>
              <w:spacing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来源于响应文件部分，第页，佐证材料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575" w:type="dxa"/>
            <w:tcBorders>
              <w:top w:val="single" w:color="auto" w:sz="4" w:space="0"/>
              <w:left w:val="single" w:color="auto" w:sz="4" w:space="0"/>
              <w:right w:val="single" w:color="auto" w:sz="4" w:space="0"/>
            </w:tcBorders>
            <w:vAlign w:val="center"/>
          </w:tcPr>
          <w:p>
            <w:pPr>
              <w:pStyle w:val="21"/>
              <w:spacing w:line="240" w:lineRule="auto"/>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511" w:type="dxa"/>
            <w:tcBorders>
              <w:top w:val="single" w:color="auto" w:sz="4" w:space="0"/>
              <w:left w:val="single" w:color="auto" w:sz="4" w:space="0"/>
              <w:right w:val="single" w:color="auto" w:sz="4" w:space="0"/>
            </w:tcBorders>
            <w:vAlign w:val="center"/>
          </w:tcPr>
          <w:p>
            <w:pPr>
              <w:pStyle w:val="21"/>
              <w:spacing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《促进残疾人就业政府采购政策的通知》</w:t>
            </w:r>
          </w:p>
        </w:tc>
        <w:tc>
          <w:tcPr>
            <w:tcW w:w="3132" w:type="dxa"/>
            <w:tcBorders>
              <w:top w:val="single" w:color="auto" w:sz="4" w:space="0"/>
              <w:left w:val="single" w:color="auto" w:sz="4" w:space="0"/>
              <w:right w:val="single" w:color="auto" w:sz="4" w:space="0"/>
            </w:tcBorders>
            <w:vAlign w:val="center"/>
          </w:tcPr>
          <w:p>
            <w:pPr>
              <w:pStyle w:val="21"/>
              <w:spacing w:line="240" w:lineRule="auto"/>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声明函（格式附后）</w:t>
            </w:r>
          </w:p>
        </w:tc>
        <w:tc>
          <w:tcPr>
            <w:tcW w:w="2294" w:type="dxa"/>
            <w:tcBorders>
              <w:top w:val="single" w:color="auto" w:sz="4" w:space="0"/>
              <w:left w:val="single" w:color="auto" w:sz="4" w:space="0"/>
              <w:right w:val="single" w:color="auto" w:sz="4" w:space="0"/>
            </w:tcBorders>
            <w:vAlign w:val="center"/>
          </w:tcPr>
          <w:p>
            <w:pPr>
              <w:pStyle w:val="21"/>
              <w:spacing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来源于响应文件部分，第页，佐证材料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575" w:type="dxa"/>
            <w:tcBorders>
              <w:top w:val="single" w:color="auto" w:sz="4" w:space="0"/>
              <w:left w:val="single" w:color="auto" w:sz="4" w:space="0"/>
              <w:right w:val="single" w:color="auto" w:sz="4" w:space="0"/>
            </w:tcBorders>
            <w:vAlign w:val="center"/>
          </w:tcPr>
          <w:p>
            <w:pPr>
              <w:pStyle w:val="21"/>
              <w:spacing w:line="240" w:lineRule="auto"/>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511" w:type="dxa"/>
            <w:tcBorders>
              <w:top w:val="single" w:color="auto" w:sz="4" w:space="0"/>
              <w:left w:val="single" w:color="auto" w:sz="4" w:space="0"/>
              <w:right w:val="single" w:color="auto" w:sz="4" w:space="0"/>
            </w:tcBorders>
            <w:vAlign w:val="center"/>
          </w:tcPr>
          <w:p>
            <w:pPr>
              <w:pStyle w:val="21"/>
              <w:spacing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关于政府采购支持监狱企业发展有关问题的通知</w:t>
            </w:r>
            <w:r>
              <w:rPr>
                <w:rFonts w:hint="eastAsia" w:asciiTheme="minorEastAsia" w:hAnsiTheme="minorEastAsia" w:eastAsiaTheme="minorEastAsia" w:cstheme="minorEastAsia"/>
                <w:sz w:val="24"/>
                <w:szCs w:val="24"/>
              </w:rPr>
              <w:t>》</w:t>
            </w:r>
          </w:p>
        </w:tc>
        <w:tc>
          <w:tcPr>
            <w:tcW w:w="3132" w:type="dxa"/>
            <w:tcBorders>
              <w:top w:val="single" w:color="auto" w:sz="4" w:space="0"/>
              <w:left w:val="single" w:color="auto" w:sz="4" w:space="0"/>
              <w:right w:val="single" w:color="auto" w:sz="4" w:space="0"/>
            </w:tcBorders>
            <w:vAlign w:val="center"/>
          </w:tcPr>
          <w:p>
            <w:pPr>
              <w:pStyle w:val="21"/>
              <w:spacing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声明函（格式附后）</w:t>
            </w:r>
          </w:p>
        </w:tc>
        <w:tc>
          <w:tcPr>
            <w:tcW w:w="2294" w:type="dxa"/>
            <w:tcBorders>
              <w:top w:val="single" w:color="auto" w:sz="4" w:space="0"/>
              <w:left w:val="single" w:color="auto" w:sz="4" w:space="0"/>
              <w:right w:val="single" w:color="auto" w:sz="4" w:space="0"/>
            </w:tcBorders>
            <w:vAlign w:val="center"/>
          </w:tcPr>
          <w:p>
            <w:pPr>
              <w:pStyle w:val="21"/>
              <w:spacing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来源于响应文件部分，第页，佐证材料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75"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120" w:firstLineChars="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3511" w:type="dxa"/>
            <w:tcBorders>
              <w:top w:val="single" w:color="auto" w:sz="4" w:space="0"/>
              <w:left w:val="single" w:color="auto" w:sz="4" w:space="0"/>
              <w:bottom w:val="single" w:color="auto" w:sz="4" w:space="0"/>
              <w:right w:val="single" w:color="auto" w:sz="4" w:space="0"/>
            </w:tcBorders>
            <w:vAlign w:val="center"/>
          </w:tcPr>
          <w:p>
            <w:pPr>
              <w:pStyle w:val="21"/>
              <w:spacing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招标文件已规定享受的其他优惠政策……（如《政府采购实施条例》第六条：扶持不发达地区和少数民族地区等政策）【可根据招标文件规定和要求自行添加】</w:t>
            </w:r>
          </w:p>
        </w:tc>
        <w:tc>
          <w:tcPr>
            <w:tcW w:w="3132" w:type="dxa"/>
            <w:tcBorders>
              <w:top w:val="single" w:color="auto" w:sz="4" w:space="0"/>
              <w:left w:val="single" w:color="auto" w:sz="4" w:space="0"/>
              <w:bottom w:val="single" w:color="auto" w:sz="4" w:space="0"/>
              <w:right w:val="single" w:color="auto" w:sz="4" w:space="0"/>
            </w:tcBorders>
            <w:vAlign w:val="center"/>
          </w:tcPr>
          <w:p>
            <w:pPr>
              <w:pStyle w:val="21"/>
              <w:spacing w:line="240" w:lineRule="auto"/>
              <w:rPr>
                <w:rFonts w:asciiTheme="minorEastAsia" w:hAnsiTheme="minorEastAsia" w:eastAsiaTheme="minorEastAsia" w:cstheme="minorEastAsia"/>
                <w:sz w:val="24"/>
                <w:szCs w:val="24"/>
              </w:rPr>
            </w:pPr>
          </w:p>
        </w:tc>
        <w:tc>
          <w:tcPr>
            <w:tcW w:w="2294" w:type="dxa"/>
            <w:tcBorders>
              <w:top w:val="single" w:color="auto" w:sz="4" w:space="0"/>
              <w:left w:val="single" w:color="auto" w:sz="4" w:space="0"/>
              <w:bottom w:val="single" w:color="auto" w:sz="4" w:space="0"/>
              <w:right w:val="single" w:color="auto" w:sz="4" w:space="0"/>
            </w:tcBorders>
            <w:vAlign w:val="center"/>
          </w:tcPr>
          <w:p>
            <w:pPr>
              <w:pStyle w:val="21"/>
              <w:spacing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来源于响应文件部分，第页，佐证材料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75"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120" w:firstLineChars="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3511" w:type="dxa"/>
            <w:tcBorders>
              <w:top w:val="single" w:color="auto" w:sz="4" w:space="0"/>
              <w:left w:val="single" w:color="auto" w:sz="4" w:space="0"/>
              <w:bottom w:val="single" w:color="auto" w:sz="4" w:space="0"/>
              <w:right w:val="single" w:color="auto" w:sz="4" w:space="0"/>
            </w:tcBorders>
            <w:vAlign w:val="center"/>
          </w:tcPr>
          <w:p>
            <w:pPr>
              <w:pStyle w:val="21"/>
              <w:spacing w:line="240" w:lineRule="auto"/>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w:t>
            </w:r>
          </w:p>
        </w:tc>
        <w:tc>
          <w:tcPr>
            <w:tcW w:w="3132" w:type="dxa"/>
            <w:tcBorders>
              <w:top w:val="single" w:color="auto" w:sz="4" w:space="0"/>
              <w:left w:val="single" w:color="auto" w:sz="4" w:space="0"/>
              <w:bottom w:val="single" w:color="auto" w:sz="4" w:space="0"/>
              <w:right w:val="single" w:color="auto" w:sz="4" w:space="0"/>
            </w:tcBorders>
            <w:vAlign w:val="center"/>
          </w:tcPr>
          <w:p>
            <w:pPr>
              <w:pStyle w:val="21"/>
              <w:spacing w:line="240" w:lineRule="auto"/>
              <w:rPr>
                <w:rFonts w:asciiTheme="minorEastAsia" w:hAnsiTheme="minorEastAsia" w:eastAsiaTheme="minorEastAsia" w:cstheme="minorEastAsia"/>
                <w:sz w:val="24"/>
                <w:szCs w:val="24"/>
              </w:rPr>
            </w:pPr>
          </w:p>
        </w:tc>
        <w:tc>
          <w:tcPr>
            <w:tcW w:w="2294" w:type="dxa"/>
            <w:tcBorders>
              <w:top w:val="single" w:color="auto" w:sz="4" w:space="0"/>
              <w:left w:val="single" w:color="auto" w:sz="4" w:space="0"/>
              <w:bottom w:val="single" w:color="auto" w:sz="4" w:space="0"/>
              <w:right w:val="single" w:color="auto" w:sz="4" w:space="0"/>
            </w:tcBorders>
            <w:vAlign w:val="center"/>
          </w:tcPr>
          <w:p>
            <w:pPr>
              <w:pStyle w:val="21"/>
              <w:spacing w:line="240" w:lineRule="auto"/>
              <w:rPr>
                <w:rFonts w:asciiTheme="minorEastAsia" w:hAnsiTheme="minorEastAsia" w:eastAsiaTheme="minorEastAsia" w:cstheme="minorEastAsia"/>
                <w:sz w:val="24"/>
                <w:szCs w:val="24"/>
              </w:rPr>
            </w:pPr>
          </w:p>
        </w:tc>
      </w:tr>
    </w:tbl>
    <w:p>
      <w:pPr>
        <w:spacing w:line="24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p>
      <w:pPr>
        <w:spacing w:line="240" w:lineRule="auto"/>
        <w:ind w:right="315"/>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投标供应商：（盖章）</w:t>
      </w:r>
    </w:p>
    <w:p>
      <w:pPr>
        <w:spacing w:before="0" w:beforeAutospacing="0" w:after="0" w:afterAutospacing="0" w:line="240" w:lineRule="atLeast"/>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p>
      <w:pPr>
        <w:spacing w:before="0" w:beforeAutospacing="0" w:after="0" w:afterAutospacing="0" w:line="240" w:lineRule="atLeast"/>
        <w:rPr>
          <w:rFonts w:asciiTheme="minorEastAsia" w:hAnsiTheme="minorEastAsia" w:eastAsiaTheme="minorEastAsia" w:cstheme="minorEastAsia"/>
          <w:sz w:val="24"/>
          <w:szCs w:val="24"/>
        </w:rPr>
      </w:pPr>
    </w:p>
    <w:p>
      <w:pPr>
        <w:spacing w:before="0" w:beforeAutospacing="0" w:after="0" w:afterAutospacing="0" w:line="240" w:lineRule="atLeast"/>
        <w:rPr>
          <w:rFonts w:asciiTheme="minorEastAsia" w:hAnsiTheme="minorEastAsia" w:eastAsiaTheme="minorEastAsia" w:cstheme="minorEastAsia"/>
          <w:sz w:val="24"/>
          <w:szCs w:val="24"/>
        </w:rPr>
      </w:pPr>
    </w:p>
    <w:p>
      <w:pPr>
        <w:spacing w:before="0" w:beforeAutospacing="0" w:after="0" w:afterAutospacing="0" w:line="240" w:lineRule="atLeast"/>
        <w:rPr>
          <w:rFonts w:asciiTheme="minorEastAsia" w:hAnsiTheme="minorEastAsia" w:eastAsiaTheme="minorEastAsia" w:cstheme="minorEastAsia"/>
          <w:sz w:val="24"/>
          <w:szCs w:val="24"/>
        </w:rPr>
      </w:pPr>
    </w:p>
    <w:p>
      <w:pPr>
        <w:spacing w:before="0" w:beforeAutospacing="0" w:after="0" w:afterAutospacing="0" w:line="240" w:lineRule="atLeast"/>
        <w:rPr>
          <w:rFonts w:asciiTheme="minorEastAsia" w:hAnsiTheme="minorEastAsia" w:eastAsiaTheme="minorEastAsia" w:cstheme="minorEastAsia"/>
          <w:sz w:val="24"/>
          <w:szCs w:val="24"/>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1.中小微企业声明（格式如下）</w:t>
      </w:r>
    </w:p>
    <w:p>
      <w:pPr>
        <w:ind w:firstLine="482" w:firstLineChars="200"/>
        <w:jc w:val="center"/>
        <w:rPr>
          <w:b/>
          <w:bCs/>
          <w:color w:val="000000"/>
          <w:sz w:val="24"/>
          <w:szCs w:val="24"/>
        </w:rPr>
      </w:pPr>
      <w:r>
        <w:rPr>
          <w:rFonts w:hint="eastAsia"/>
          <w:b/>
          <w:bCs/>
          <w:color w:val="000000"/>
          <w:sz w:val="24"/>
          <w:szCs w:val="24"/>
        </w:rPr>
        <w:t>中小企业声明函（工程、服务）</w:t>
      </w:r>
    </w:p>
    <w:p>
      <w:pPr>
        <w:ind w:firstLine="480" w:firstLineChars="200"/>
        <w:rPr>
          <w:color w:val="000000"/>
          <w:sz w:val="24"/>
          <w:szCs w:val="24"/>
        </w:rPr>
      </w:pPr>
      <w:r>
        <w:rPr>
          <w:rFonts w:hint="eastAsia"/>
          <w:color w:val="000000"/>
          <w:sz w:val="24"/>
          <w:szCs w:val="24"/>
        </w:rPr>
        <w:t>本公司（联合体） 郑重声明， 根据《政府采购促进中小企业发展管理办法》（财库﹝ 2020﹞ 46 号） 的规定， 本公司（联合体） 参加（单位名称） 的</w:t>
      </w:r>
      <w:r>
        <w:rPr>
          <w:rFonts w:hint="eastAsia"/>
          <w:color w:val="000000"/>
          <w:sz w:val="24"/>
          <w:szCs w:val="24"/>
          <w:u w:val="single"/>
        </w:rPr>
        <w:t>（项目名称）</w:t>
      </w:r>
      <w:r>
        <w:rPr>
          <w:rFonts w:hint="eastAsia"/>
          <w:color w:val="000000"/>
          <w:sz w:val="24"/>
          <w:szCs w:val="24"/>
        </w:rPr>
        <w:t xml:space="preserve"> 采购活动， 工程的运营单位全部为符合政策要求的中小企业（或者： 服务全部由符合政策要求的中小企业承接）</w:t>
      </w:r>
      <w:r>
        <w:rPr>
          <w:rFonts w:hint="eastAsia"/>
          <w:color w:val="000000"/>
          <w:sz w:val="24"/>
          <w:szCs w:val="24"/>
          <w:lang w:eastAsia="zh-CN"/>
        </w:rPr>
        <w:t>。</w:t>
      </w:r>
      <w:r>
        <w:rPr>
          <w:rFonts w:hint="eastAsia"/>
          <w:color w:val="000000"/>
          <w:sz w:val="24"/>
          <w:szCs w:val="24"/>
        </w:rPr>
        <w:t>相关企业（ 含联合体中的中小企业、 签订分包意向协议的中小企业） 的具体情况如下：</w:t>
      </w:r>
    </w:p>
    <w:p>
      <w:pPr>
        <w:ind w:firstLine="480" w:firstLineChars="200"/>
        <w:rPr>
          <w:color w:val="000000"/>
          <w:sz w:val="24"/>
          <w:szCs w:val="24"/>
        </w:rPr>
      </w:pPr>
      <w:r>
        <w:rPr>
          <w:rFonts w:hint="eastAsia"/>
          <w:color w:val="000000"/>
          <w:sz w:val="24"/>
          <w:szCs w:val="24"/>
        </w:rPr>
        <w:t xml:space="preserve">1. </w:t>
      </w:r>
      <w:r>
        <w:rPr>
          <w:rFonts w:hint="eastAsia"/>
          <w:color w:val="000000"/>
          <w:sz w:val="24"/>
          <w:szCs w:val="24"/>
          <w:u w:val="single"/>
        </w:rPr>
        <w:t xml:space="preserve">（标的名称） </w:t>
      </w:r>
      <w:r>
        <w:rPr>
          <w:rFonts w:hint="eastAsia"/>
          <w:color w:val="000000"/>
          <w:sz w:val="24"/>
          <w:szCs w:val="24"/>
        </w:rPr>
        <w:t>， 属于</w:t>
      </w:r>
      <w:r>
        <w:rPr>
          <w:rFonts w:hint="eastAsia"/>
          <w:color w:val="000000"/>
          <w:sz w:val="24"/>
          <w:szCs w:val="24"/>
          <w:u w:val="single"/>
        </w:rPr>
        <w:t>（采购文件中明确的所属行业）</w:t>
      </w:r>
      <w:r>
        <w:rPr>
          <w:rFonts w:hint="eastAsia"/>
          <w:color w:val="000000"/>
          <w:sz w:val="24"/>
          <w:szCs w:val="24"/>
        </w:rPr>
        <w:t>；承建（ 承接） 企业为</w:t>
      </w:r>
      <w:r>
        <w:rPr>
          <w:rFonts w:hint="eastAsia"/>
          <w:color w:val="000000"/>
          <w:sz w:val="24"/>
          <w:szCs w:val="24"/>
          <w:u w:val="single"/>
        </w:rPr>
        <w:t>（企业名称）</w:t>
      </w:r>
      <w:r>
        <w:rPr>
          <w:rFonts w:hint="eastAsia"/>
          <w:color w:val="000000"/>
          <w:sz w:val="24"/>
          <w:szCs w:val="24"/>
        </w:rPr>
        <w:t>， 从业人员</w:t>
      </w:r>
      <w:r>
        <w:rPr>
          <w:rFonts w:hint="eastAsia"/>
          <w:color w:val="000000"/>
          <w:sz w:val="24"/>
          <w:szCs w:val="24"/>
          <w:u w:val="single"/>
        </w:rPr>
        <w:t xml:space="preserve">   </w:t>
      </w:r>
      <w:r>
        <w:rPr>
          <w:rFonts w:hint="eastAsia"/>
          <w:color w:val="000000"/>
          <w:sz w:val="24"/>
          <w:szCs w:val="24"/>
        </w:rPr>
        <w:t>人， 营业收入为</w:t>
      </w:r>
      <w:r>
        <w:rPr>
          <w:rFonts w:hint="eastAsia"/>
          <w:color w:val="000000"/>
          <w:sz w:val="24"/>
          <w:szCs w:val="24"/>
          <w:u w:val="single"/>
        </w:rPr>
        <w:t xml:space="preserve">    </w:t>
      </w:r>
      <w:r>
        <w:rPr>
          <w:rFonts w:hint="eastAsia"/>
          <w:color w:val="000000"/>
          <w:sz w:val="24"/>
          <w:szCs w:val="24"/>
        </w:rPr>
        <w:t>万元， 资产总额为</w:t>
      </w:r>
      <w:r>
        <w:rPr>
          <w:rFonts w:hint="eastAsia"/>
          <w:color w:val="000000"/>
          <w:sz w:val="24"/>
          <w:szCs w:val="24"/>
          <w:u w:val="single"/>
        </w:rPr>
        <w:t xml:space="preserve">    </w:t>
      </w:r>
      <w:r>
        <w:rPr>
          <w:rFonts w:hint="eastAsia"/>
          <w:color w:val="000000"/>
          <w:sz w:val="24"/>
          <w:szCs w:val="24"/>
        </w:rPr>
        <w:t>万元</w:t>
      </w:r>
      <w:r>
        <w:rPr>
          <w:rFonts w:hint="eastAsia"/>
          <w:color w:val="000000"/>
          <w:sz w:val="24"/>
          <w:szCs w:val="24"/>
          <w:vertAlign w:val="superscript"/>
        </w:rPr>
        <w:t>1</w:t>
      </w:r>
      <w:r>
        <w:rPr>
          <w:rFonts w:hint="eastAsia"/>
          <w:color w:val="000000"/>
          <w:sz w:val="24"/>
          <w:szCs w:val="24"/>
        </w:rPr>
        <w:t>， 属于</w:t>
      </w:r>
      <w:r>
        <w:rPr>
          <w:rFonts w:hint="eastAsia"/>
          <w:color w:val="000000"/>
          <w:sz w:val="24"/>
          <w:szCs w:val="24"/>
          <w:u w:val="single"/>
        </w:rPr>
        <w:t>（中型企业、小型企业、 微型企业）</w:t>
      </w:r>
      <w:r>
        <w:rPr>
          <w:rFonts w:hint="eastAsia"/>
          <w:color w:val="000000"/>
          <w:sz w:val="24"/>
          <w:szCs w:val="24"/>
        </w:rPr>
        <w:t>；</w:t>
      </w:r>
    </w:p>
    <w:p>
      <w:pPr>
        <w:ind w:firstLine="480" w:firstLineChars="200"/>
        <w:rPr>
          <w:color w:val="000000"/>
          <w:sz w:val="24"/>
          <w:szCs w:val="24"/>
        </w:rPr>
      </w:pPr>
      <w:r>
        <w:rPr>
          <w:rFonts w:hint="eastAsia"/>
          <w:color w:val="000000"/>
          <w:sz w:val="24"/>
          <w:szCs w:val="24"/>
        </w:rPr>
        <w:t xml:space="preserve">2. </w:t>
      </w:r>
      <w:r>
        <w:rPr>
          <w:rFonts w:hint="eastAsia"/>
          <w:color w:val="000000"/>
          <w:sz w:val="24"/>
          <w:szCs w:val="24"/>
          <w:u w:val="single"/>
        </w:rPr>
        <w:t>（标的名称）</w:t>
      </w:r>
      <w:r>
        <w:rPr>
          <w:rFonts w:hint="eastAsia"/>
          <w:color w:val="000000"/>
          <w:sz w:val="24"/>
          <w:szCs w:val="24"/>
        </w:rPr>
        <w:t xml:space="preserve"> ， 属于</w:t>
      </w:r>
      <w:r>
        <w:rPr>
          <w:rFonts w:hint="eastAsia"/>
          <w:color w:val="000000"/>
          <w:sz w:val="24"/>
          <w:szCs w:val="24"/>
          <w:u w:val="single"/>
        </w:rPr>
        <w:t>（采购文件中明确的所属行业）</w:t>
      </w:r>
      <w:r>
        <w:rPr>
          <w:rFonts w:hint="eastAsia"/>
          <w:color w:val="000000"/>
          <w:sz w:val="24"/>
          <w:szCs w:val="24"/>
        </w:rPr>
        <w:t>；承建（ 承接） 企业为</w:t>
      </w:r>
      <w:r>
        <w:rPr>
          <w:rFonts w:hint="eastAsia"/>
          <w:color w:val="000000"/>
          <w:sz w:val="24"/>
          <w:szCs w:val="24"/>
          <w:u w:val="single"/>
        </w:rPr>
        <w:t>（企业名称）</w:t>
      </w:r>
      <w:r>
        <w:rPr>
          <w:rFonts w:hint="eastAsia"/>
          <w:color w:val="000000"/>
          <w:sz w:val="24"/>
          <w:szCs w:val="24"/>
        </w:rPr>
        <w:t>， 从业人员</w:t>
      </w:r>
      <w:r>
        <w:rPr>
          <w:rFonts w:hint="eastAsia"/>
          <w:color w:val="000000"/>
          <w:sz w:val="24"/>
          <w:szCs w:val="24"/>
          <w:u w:val="single"/>
        </w:rPr>
        <w:t xml:space="preserve">   </w:t>
      </w:r>
      <w:r>
        <w:rPr>
          <w:rFonts w:hint="eastAsia"/>
          <w:color w:val="000000"/>
          <w:sz w:val="24"/>
          <w:szCs w:val="24"/>
        </w:rPr>
        <w:t>人， 营业收入为</w:t>
      </w:r>
      <w:r>
        <w:rPr>
          <w:rFonts w:hint="eastAsia"/>
          <w:color w:val="000000"/>
          <w:sz w:val="24"/>
          <w:szCs w:val="24"/>
          <w:u w:val="single"/>
        </w:rPr>
        <w:t xml:space="preserve">    </w:t>
      </w:r>
      <w:r>
        <w:rPr>
          <w:rFonts w:hint="eastAsia"/>
          <w:color w:val="000000"/>
          <w:sz w:val="24"/>
          <w:szCs w:val="24"/>
        </w:rPr>
        <w:t>万元， 资产总额为</w:t>
      </w:r>
      <w:r>
        <w:rPr>
          <w:rFonts w:hint="eastAsia"/>
          <w:color w:val="000000"/>
          <w:sz w:val="24"/>
          <w:szCs w:val="24"/>
          <w:u w:val="single"/>
        </w:rPr>
        <w:t xml:space="preserve">    </w:t>
      </w:r>
      <w:r>
        <w:rPr>
          <w:rFonts w:hint="eastAsia"/>
          <w:color w:val="000000"/>
          <w:sz w:val="24"/>
          <w:szCs w:val="24"/>
        </w:rPr>
        <w:t>万元， 属于</w:t>
      </w:r>
      <w:r>
        <w:rPr>
          <w:rFonts w:hint="eastAsia"/>
          <w:color w:val="000000"/>
          <w:sz w:val="24"/>
          <w:szCs w:val="24"/>
          <w:u w:val="single"/>
        </w:rPr>
        <w:t>（中型企业、小型企业、 微型企业）</w:t>
      </w:r>
      <w:r>
        <w:rPr>
          <w:rFonts w:hint="eastAsia"/>
          <w:color w:val="000000"/>
          <w:sz w:val="24"/>
          <w:szCs w:val="24"/>
        </w:rPr>
        <w:t>；</w:t>
      </w:r>
    </w:p>
    <w:p>
      <w:pPr>
        <w:ind w:firstLine="480" w:firstLineChars="200"/>
        <w:rPr>
          <w:color w:val="000000"/>
          <w:sz w:val="24"/>
          <w:szCs w:val="24"/>
        </w:rPr>
      </w:pPr>
      <w:r>
        <w:rPr>
          <w:rFonts w:hint="eastAsia"/>
          <w:color w:val="000000"/>
          <w:sz w:val="24"/>
          <w:szCs w:val="24"/>
        </w:rPr>
        <w:t>……</w:t>
      </w:r>
    </w:p>
    <w:p>
      <w:pPr>
        <w:ind w:firstLine="480" w:firstLineChars="200"/>
        <w:rPr>
          <w:color w:val="000000"/>
          <w:sz w:val="24"/>
          <w:szCs w:val="24"/>
        </w:rPr>
      </w:pPr>
      <w:r>
        <w:rPr>
          <w:rFonts w:hint="eastAsia"/>
          <w:color w:val="000000"/>
          <w:sz w:val="24"/>
          <w:szCs w:val="24"/>
        </w:rPr>
        <w:t>以上企业， 不属于大企业的分支机构， 不存在控股股东为大企业的情形， 也不存在与大企业的负责人为同一人的情形。本企业对上述声明内容的真实性负责。 如有虚假， 将依法承担相应责任。</w:t>
      </w:r>
    </w:p>
    <w:p>
      <w:pPr>
        <w:ind w:firstLine="480" w:firstLineChars="200"/>
        <w:rPr>
          <w:color w:val="000000"/>
          <w:sz w:val="24"/>
          <w:szCs w:val="24"/>
        </w:rPr>
      </w:pPr>
      <w:r>
        <w:rPr>
          <w:rFonts w:hint="eastAsia"/>
          <w:color w:val="000000"/>
          <w:sz w:val="24"/>
          <w:szCs w:val="24"/>
        </w:rPr>
        <w:t>企业名称（盖章）：</w:t>
      </w:r>
    </w:p>
    <w:p>
      <w:pPr>
        <w:ind w:firstLine="480" w:firstLineChars="200"/>
        <w:rPr>
          <w:color w:val="000000"/>
          <w:sz w:val="24"/>
          <w:szCs w:val="24"/>
        </w:rPr>
      </w:pPr>
      <w:r>
        <w:rPr>
          <w:rFonts w:hint="eastAsia"/>
          <w:color w:val="000000"/>
          <w:sz w:val="24"/>
          <w:szCs w:val="24"/>
        </w:rPr>
        <w:t>日 期：</w:t>
      </w:r>
    </w:p>
    <w:p>
      <w:pPr>
        <w:ind w:firstLine="480" w:firstLineChars="200"/>
        <w:rPr>
          <w:color w:val="000000"/>
          <w:sz w:val="24"/>
          <w:szCs w:val="24"/>
        </w:rPr>
      </w:pPr>
      <w:r>
        <w:rPr>
          <w:rFonts w:hint="eastAsia"/>
          <w:color w:val="000000"/>
          <w:sz w:val="24"/>
          <w:szCs w:val="24"/>
          <w:vertAlign w:val="superscript"/>
        </w:rPr>
        <w:t xml:space="preserve">1 </w:t>
      </w:r>
      <w:r>
        <w:rPr>
          <w:rFonts w:hint="eastAsia"/>
          <w:color w:val="000000"/>
          <w:sz w:val="24"/>
          <w:szCs w:val="24"/>
        </w:rPr>
        <w:t>从业人员、 营业收入、 资产总额填报上一年度数据， 无上一年度数据的新成立企业可不填报。</w:t>
      </w:r>
    </w:p>
    <w:p>
      <w:pPr>
        <w:spacing w:before="0" w:beforeAutospacing="0" w:after="0" w:afterAutospacing="0" w:line="240" w:lineRule="atLeast"/>
        <w:rPr>
          <w:rFonts w:asciiTheme="minorEastAsia" w:hAnsiTheme="minorEastAsia" w:eastAsiaTheme="minorEastAsia" w:cstheme="minorEastAsia"/>
          <w:sz w:val="24"/>
          <w:szCs w:val="24"/>
        </w:rPr>
      </w:pPr>
    </w:p>
    <w:p>
      <w:pPr>
        <w:spacing w:before="0" w:beforeAutospacing="0" w:after="0" w:afterAutospacing="0" w:line="240" w:lineRule="atLeast"/>
        <w:rPr>
          <w:rFonts w:asciiTheme="minorEastAsia" w:hAnsiTheme="minorEastAsia" w:eastAsiaTheme="minorEastAsia" w:cstheme="minorEastAsia"/>
          <w:sz w:val="24"/>
          <w:szCs w:val="24"/>
        </w:rPr>
      </w:pPr>
    </w:p>
    <w:p>
      <w:pPr>
        <w:spacing w:line="240" w:lineRule="atLeast"/>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2.残疾人福利性单位声明函</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   关于促进残疾人就业政府采购政策的通知</w:t>
      </w:r>
    </w:p>
    <w:p>
      <w:pPr>
        <w:spacing w:line="240" w:lineRule="atLeast"/>
        <w:ind w:firstLine="480"/>
        <w:jc w:val="center"/>
        <w:outlineLvl w:val="0"/>
        <w:rPr>
          <w:rFonts w:asciiTheme="minorEastAsia" w:hAnsiTheme="minorEastAsia" w:eastAsiaTheme="minorEastAsia" w:cstheme="minorEastAsia"/>
          <w:sz w:val="24"/>
          <w:szCs w:val="24"/>
        </w:rPr>
      </w:pPr>
      <w:bookmarkStart w:id="252" w:name="_Toc5099"/>
      <w:r>
        <w:rPr>
          <w:rFonts w:hint="eastAsia" w:asciiTheme="minorEastAsia" w:hAnsiTheme="minorEastAsia" w:eastAsiaTheme="minorEastAsia" w:cstheme="minorEastAsia"/>
          <w:sz w:val="24"/>
          <w:szCs w:val="24"/>
        </w:rPr>
        <w:t>关于促进残疾人就业政府采购政策的通知</w:t>
      </w:r>
      <w:bookmarkEnd w:id="252"/>
    </w:p>
    <w:p>
      <w:pPr>
        <w:spacing w:line="240" w:lineRule="atLeast"/>
        <w:ind w:firstLine="480"/>
        <w:jc w:val="center"/>
        <w:outlineLvl w:val="0"/>
        <w:rPr>
          <w:rFonts w:asciiTheme="minorEastAsia" w:hAnsiTheme="minorEastAsia" w:eastAsiaTheme="minorEastAsia" w:cstheme="minorEastAsia"/>
          <w:sz w:val="24"/>
          <w:szCs w:val="24"/>
        </w:rPr>
      </w:pPr>
      <w:bookmarkStart w:id="253" w:name="_Toc20868"/>
      <w:r>
        <w:rPr>
          <w:rFonts w:hint="eastAsia" w:asciiTheme="minorEastAsia" w:hAnsiTheme="minorEastAsia" w:eastAsiaTheme="minorEastAsia" w:cstheme="minorEastAsia"/>
          <w:sz w:val="24"/>
          <w:szCs w:val="24"/>
        </w:rPr>
        <w:t>财库〔2017〕</w:t>
      </w:r>
      <w:r>
        <w:rPr>
          <w:rFonts w:asciiTheme="minorEastAsia" w:hAnsiTheme="minorEastAsia" w:eastAsiaTheme="minorEastAsia" w:cstheme="minorEastAsia"/>
          <w:sz w:val="24"/>
          <w:szCs w:val="24"/>
        </w:rPr>
        <w:t>141</w:t>
      </w:r>
      <w:r>
        <w:rPr>
          <w:rFonts w:hint="eastAsia" w:asciiTheme="minorEastAsia" w:hAnsiTheme="minorEastAsia" w:eastAsiaTheme="minorEastAsia" w:cstheme="minorEastAsia"/>
          <w:sz w:val="24"/>
          <w:szCs w:val="24"/>
        </w:rPr>
        <w:t>号</w:t>
      </w:r>
      <w:bookmarkEnd w:id="253"/>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为了发挥政府采购促进残疾人就业的作用，进一步保障残疾人权益，依照《政府采购法》、《残疾人保障法》等法律法规及相关规定，现就促进残疾人就业政府采购政策通知如下：</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一、享受政府采购支持政策的残疾人福利性单位应当同时满足以下条件：</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（一）安置的残疾人占本单位在职职工人数的比例不低于</w:t>
      </w:r>
      <w:r>
        <w:rPr>
          <w:rFonts w:asciiTheme="minorEastAsia" w:hAnsiTheme="minorEastAsia" w:eastAsiaTheme="minorEastAsia" w:cstheme="minorEastAsia"/>
          <w:sz w:val="24"/>
          <w:szCs w:val="24"/>
        </w:rPr>
        <w:t>25%</w:t>
      </w:r>
      <w:r>
        <w:rPr>
          <w:rFonts w:hint="eastAsia" w:asciiTheme="minorEastAsia" w:hAnsiTheme="minorEastAsia" w:eastAsiaTheme="minorEastAsia" w:cstheme="minorEastAsia"/>
          <w:sz w:val="24"/>
          <w:szCs w:val="24"/>
        </w:rPr>
        <w:t>（含</w:t>
      </w:r>
      <w:r>
        <w:rPr>
          <w:rFonts w:asciiTheme="minorEastAsia" w:hAnsiTheme="minorEastAsia" w:eastAsiaTheme="minorEastAsia" w:cstheme="minorEastAsia"/>
          <w:sz w:val="24"/>
          <w:szCs w:val="24"/>
        </w:rPr>
        <w:t>25%</w:t>
      </w:r>
      <w:r>
        <w:rPr>
          <w:rFonts w:hint="eastAsia" w:asciiTheme="minorEastAsia" w:hAnsiTheme="minorEastAsia" w:eastAsiaTheme="minorEastAsia" w:cstheme="minorEastAsia"/>
          <w:sz w:val="24"/>
          <w:szCs w:val="24"/>
        </w:rPr>
        <w:t>），并且安置的残疾人人数不少于</w:t>
      </w:r>
      <w:r>
        <w:rPr>
          <w:rFonts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t>人（含</w:t>
      </w:r>
      <w:r>
        <w:rPr>
          <w:rFonts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t>人）；</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（二）依法与安置的每位残疾人签订了一年以上（含一年）的劳动合同或服务协议；</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（三）为安置的每位残疾人按月足额缴纳了基本养老保险、基本医疗保险、失业保险、工伤保险和生育保险等社会保险费；</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（四）通过银行等金融机构向安置的每位残疾人，按月支付了不低于单位所在区县适用的经省级人民政府批准的月最低工资标准的工资；</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（五）提供本单位制造的货物、承担的工程或者服务（以下简称产品），或者提供其他残疾人福利性单位制造的货物（不包括使用非残疾人福利性单位注册商标的货物）。</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前款所称残疾人是指法定劳动年龄内，持有《中华人民共和国残疾人证》或者《中华人民共和国残疾军人证（</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至</w:t>
      </w:r>
      <w:r>
        <w:rPr>
          <w:rFonts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t>级）》的自然人，包括具有劳动条件和劳动意愿的精神残疾人。在职职工人数是指与残疾人福利性单位建立劳动关系并依法签订劳动合同或者服务协议的雇员人数。</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中标、成交供应商为残疾人福利性单位的，采购人或者其委托的采购代理机构应当随中标、成交结果同时公告其《残疾人福利性单位声明函》，接受社会监督。</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供应商提供的《残疾人福利性单位声明函》与事实不符的，依照《政府采购法》第七十七条第一款的规定追究法律责任。</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四、采购人采购公开招标数额标准以上的货物或者服务，因落实促进残疾人就业政策的需要，依法履行有关报批程序后，可采用公开招标以外的采购方式。</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七、本通知自2017年</w:t>
      </w:r>
      <w:r>
        <w:rPr>
          <w:rFonts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t>月</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日起执行。</w:t>
      </w:r>
    </w:p>
    <w:p>
      <w:pPr>
        <w:spacing w:line="240" w:lineRule="atLeast"/>
        <w:ind w:firstLine="480"/>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财政部</w:t>
      </w:r>
      <w:r>
        <w:rPr>
          <w:rFonts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rPr>
        <w:t>民政部</w:t>
      </w:r>
      <w:r>
        <w:rPr>
          <w:rFonts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rPr>
        <w:t>中国残疾人联合会</w:t>
      </w:r>
    </w:p>
    <w:p>
      <w:pPr>
        <w:spacing w:line="240" w:lineRule="atLeast"/>
        <w:ind w:firstLine="480"/>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rPr>
        <w:t>2017年</w:t>
      </w:r>
      <w:r>
        <w:rPr>
          <w:rFonts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t>月</w:t>
      </w:r>
      <w:r>
        <w:rPr>
          <w:rFonts w:asciiTheme="minorEastAsia" w:hAnsiTheme="minorEastAsia" w:eastAsiaTheme="minorEastAsia" w:cstheme="minorEastAsia"/>
          <w:sz w:val="24"/>
          <w:szCs w:val="24"/>
        </w:rPr>
        <w:t>22</w:t>
      </w:r>
      <w:r>
        <w:rPr>
          <w:rFonts w:hint="eastAsia" w:asciiTheme="minorEastAsia" w:hAnsiTheme="minorEastAsia" w:eastAsiaTheme="minorEastAsia" w:cstheme="minorEastAsia"/>
          <w:sz w:val="24"/>
          <w:szCs w:val="24"/>
        </w:rPr>
        <w:t>日</w:t>
      </w:r>
    </w:p>
    <w:p>
      <w:pPr>
        <w:spacing w:line="588" w:lineRule="exact"/>
        <w:ind w:firstLine="480"/>
        <w:rPr>
          <w:rFonts w:ascii="宋体" w:hAnsi="宋体" w:cs="宋体"/>
          <w:color w:val="666666"/>
          <w:kern w:val="0"/>
          <w:sz w:val="24"/>
          <w:szCs w:val="24"/>
        </w:rPr>
      </w:pPr>
    </w:p>
    <w:p>
      <w:pPr>
        <w:spacing w:line="588" w:lineRule="exact"/>
        <w:ind w:firstLine="480"/>
        <w:rPr>
          <w:rFonts w:ascii="宋体" w:hAnsi="宋体" w:cs="宋体"/>
          <w:color w:val="666666"/>
          <w:kern w:val="0"/>
        </w:rPr>
      </w:pPr>
    </w:p>
    <w:p>
      <w:pPr>
        <w:spacing w:line="588" w:lineRule="exact"/>
        <w:ind w:firstLine="480"/>
        <w:rPr>
          <w:rFonts w:ascii="宋体" w:hAnsi="宋体" w:cs="宋体"/>
          <w:color w:val="666666"/>
          <w:kern w:val="0"/>
        </w:rPr>
      </w:pPr>
    </w:p>
    <w:p>
      <w:pPr>
        <w:spacing w:line="588" w:lineRule="exact"/>
        <w:rPr>
          <w:rFonts w:ascii="宋体" w:hAnsi="宋体" w:cs="宋体"/>
          <w:color w:val="666666"/>
          <w:kern w:val="0"/>
        </w:rPr>
      </w:pPr>
    </w:p>
    <w:p>
      <w:pPr>
        <w:rPr>
          <w:rFonts w:ascii="宋体" w:hAnsi="宋体" w:cs="宋体"/>
          <w:color w:val="666666"/>
          <w:kern w:val="0"/>
        </w:rPr>
      </w:pPr>
    </w:p>
    <w:p>
      <w:pPr>
        <w:spacing w:line="588" w:lineRule="exact"/>
        <w:ind w:firstLine="480"/>
        <w:rPr>
          <w:rFonts w:ascii="宋体" w:hAnsi="宋体" w:cs="宋体"/>
          <w:color w:val="666666"/>
          <w:kern w:val="0"/>
          <w:sz w:val="24"/>
          <w:szCs w:val="24"/>
        </w:rPr>
      </w:pPr>
      <w:r>
        <w:rPr>
          <w:rFonts w:hint="eastAsia" w:ascii="宋体" w:hAnsi="宋体" w:cs="宋体"/>
          <w:color w:val="666666"/>
          <w:kern w:val="0"/>
          <w:sz w:val="24"/>
          <w:szCs w:val="24"/>
        </w:rPr>
        <w:t>2.2声明函</w:t>
      </w:r>
    </w:p>
    <w:p>
      <w:pPr>
        <w:spacing w:line="588" w:lineRule="exact"/>
        <w:ind w:firstLine="723"/>
        <w:jc w:val="center"/>
        <w:outlineLvl w:val="0"/>
        <w:rPr>
          <w:rFonts w:asciiTheme="minorEastAsia" w:hAnsiTheme="minorEastAsia" w:eastAsiaTheme="minorEastAsia" w:cstheme="minorEastAsia"/>
          <w:b/>
          <w:kern w:val="0"/>
          <w:sz w:val="36"/>
          <w:szCs w:val="36"/>
        </w:rPr>
      </w:pPr>
      <w:bookmarkStart w:id="254" w:name="_Toc32137"/>
      <w:r>
        <w:rPr>
          <w:rFonts w:hint="eastAsia" w:asciiTheme="minorEastAsia" w:hAnsiTheme="minorEastAsia" w:eastAsiaTheme="minorEastAsia" w:cstheme="minorEastAsia"/>
          <w:b/>
          <w:kern w:val="0"/>
          <w:sz w:val="36"/>
          <w:szCs w:val="36"/>
        </w:rPr>
        <w:t>残疾人福利性单位声明函</w:t>
      </w:r>
      <w:bookmarkEnd w:id="254"/>
    </w:p>
    <w:p>
      <w:pPr>
        <w:spacing w:line="588" w:lineRule="exact"/>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本单位郑重声明，根据《财政部</w:t>
      </w: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民政部</w:t>
      </w: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中国残疾人联合会关于促进残疾人就业政府采购政策的通知》（财库〔2017〕</w:t>
      </w:r>
      <w:r>
        <w:rPr>
          <w:rFonts w:asciiTheme="minorEastAsia" w:hAnsiTheme="minorEastAsia" w:eastAsiaTheme="minorEastAsia" w:cstheme="minorEastAsia"/>
          <w:kern w:val="0"/>
          <w:sz w:val="24"/>
          <w:szCs w:val="24"/>
        </w:rPr>
        <w:t xml:space="preserve"> 141</w:t>
      </w:r>
      <w:r>
        <w:rPr>
          <w:rFonts w:hint="eastAsia" w:asciiTheme="minorEastAsia" w:hAnsiTheme="minorEastAsia" w:eastAsiaTheme="minorEastAsia" w:cstheme="minorEastAsia"/>
          <w:kern w:val="0"/>
          <w:sz w:val="24"/>
          <w:szCs w:val="24"/>
        </w:rPr>
        <w:t>号）的规定，本单位为符合条件的残疾人福利性单位，且本单位参加</w:t>
      </w:r>
      <w:r>
        <w:rPr>
          <w:rFonts w:asciiTheme="minorEastAsia" w:hAnsiTheme="minorEastAsia" w:eastAsiaTheme="minorEastAsia" w:cstheme="minorEastAsia"/>
          <w:kern w:val="0"/>
          <w:sz w:val="24"/>
          <w:szCs w:val="24"/>
        </w:rPr>
        <w:t>______</w:t>
      </w:r>
      <w:r>
        <w:rPr>
          <w:rFonts w:hint="eastAsia" w:asciiTheme="minorEastAsia" w:hAnsiTheme="minorEastAsia" w:eastAsiaTheme="minorEastAsia" w:cstheme="minorEastAsia"/>
          <w:kern w:val="0"/>
          <w:sz w:val="24"/>
          <w:szCs w:val="24"/>
        </w:rPr>
        <w:t>单位的</w:t>
      </w:r>
      <w:r>
        <w:rPr>
          <w:rFonts w:asciiTheme="minorEastAsia" w:hAnsiTheme="minorEastAsia" w:eastAsiaTheme="minorEastAsia" w:cstheme="minorEastAsia"/>
          <w:kern w:val="0"/>
          <w:sz w:val="24"/>
          <w:szCs w:val="24"/>
        </w:rPr>
        <w:t>______</w:t>
      </w:r>
      <w:r>
        <w:rPr>
          <w:rFonts w:hint="eastAsia" w:asciiTheme="minorEastAsia" w:hAnsiTheme="minorEastAsia" w:eastAsiaTheme="minorEastAsia" w:cstheme="minorEastAsia"/>
          <w:kern w:val="0"/>
          <w:sz w:val="24"/>
          <w:szCs w:val="24"/>
        </w:rPr>
        <w:t>项目采购活动提供本单位制造的货物（由本单位承担工程</w:t>
      </w:r>
      <w:r>
        <w:rPr>
          <w:rFonts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rPr>
        <w:t>提供服务），或者提供其他残疾人福利性单位制造的货物（不包括使用非残疾人福利性单位注册商标的货物）。</w:t>
      </w:r>
    </w:p>
    <w:p>
      <w:pPr>
        <w:spacing w:line="588" w:lineRule="exact"/>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本单位对上述声明的真实性负责。如有虚假，将依法承担相应责任。</w:t>
      </w:r>
    </w:p>
    <w:p>
      <w:pPr>
        <w:spacing w:line="588" w:lineRule="exact"/>
        <w:ind w:firstLine="480"/>
        <w:rPr>
          <w:rFonts w:asciiTheme="minorEastAsia" w:hAnsiTheme="minorEastAsia" w:eastAsiaTheme="minorEastAsia" w:cstheme="minorEastAsia"/>
          <w:kern w:val="0"/>
          <w:sz w:val="24"/>
          <w:szCs w:val="24"/>
        </w:rPr>
      </w:pPr>
    </w:p>
    <w:p>
      <w:pPr>
        <w:spacing w:line="588" w:lineRule="exact"/>
        <w:ind w:firstLine="480"/>
        <w:rPr>
          <w:rFonts w:asciiTheme="minorEastAsia" w:hAnsiTheme="minorEastAsia" w:eastAsiaTheme="minorEastAsia" w:cstheme="minorEastAsia"/>
          <w:kern w:val="0"/>
          <w:sz w:val="24"/>
          <w:szCs w:val="24"/>
        </w:rPr>
      </w:pPr>
    </w:p>
    <w:p>
      <w:pPr>
        <w:tabs>
          <w:tab w:val="left" w:pos="4860"/>
        </w:tabs>
        <w:spacing w:line="588" w:lineRule="exact"/>
        <w:ind w:right="1560" w:firstLine="480"/>
        <w:jc w:val="right"/>
        <w:rPr>
          <w:rFonts w:asciiTheme="minorEastAsia" w:hAnsiTheme="minorEastAsia" w:eastAsiaTheme="minorEastAsia" w:cstheme="minorEastAsia"/>
          <w:kern w:val="0"/>
          <w:sz w:val="24"/>
          <w:szCs w:val="24"/>
        </w:rPr>
      </w:pP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单位名称（盖章）：</w:t>
      </w:r>
    </w:p>
    <w:p>
      <w:pPr>
        <w:tabs>
          <w:tab w:val="left" w:pos="4860"/>
        </w:tabs>
        <w:spacing w:line="588" w:lineRule="exact"/>
        <w:ind w:right="1560" w:firstLine="480"/>
        <w:jc w:val="righ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日</w:t>
      </w: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期：</w:t>
      </w:r>
    </w:p>
    <w:p>
      <w:pPr>
        <w:ind w:firstLine="482"/>
        <w:jc w:val="right"/>
        <w:rPr>
          <w:rFonts w:asciiTheme="minorEastAsia" w:hAnsiTheme="minorEastAsia" w:eastAsiaTheme="minorEastAsia" w:cstheme="minorEastAsia"/>
          <w:b/>
        </w:rPr>
      </w:pPr>
    </w:p>
    <w:p>
      <w:pPr>
        <w:spacing w:line="240" w:lineRule="auto"/>
        <w:ind w:firstLine="482"/>
        <w:jc w:val="center"/>
        <w:rPr>
          <w:rFonts w:asciiTheme="minorEastAsia" w:hAnsiTheme="minorEastAsia" w:eastAsiaTheme="minorEastAsia" w:cstheme="minorEastAsia"/>
          <w:b/>
        </w:rPr>
      </w:pPr>
    </w:p>
    <w:p>
      <w:pPr>
        <w:spacing w:line="240" w:lineRule="auto"/>
        <w:ind w:firstLine="482"/>
        <w:jc w:val="center"/>
        <w:rPr>
          <w:rFonts w:asciiTheme="minorEastAsia" w:hAnsiTheme="minorEastAsia" w:eastAsiaTheme="minorEastAsia" w:cstheme="minorEastAsia"/>
          <w:b/>
        </w:rPr>
      </w:pPr>
    </w:p>
    <w:p>
      <w:pPr>
        <w:spacing w:line="240" w:lineRule="auto"/>
        <w:ind w:firstLine="482"/>
        <w:jc w:val="center"/>
        <w:rPr>
          <w:rFonts w:asciiTheme="minorEastAsia" w:hAnsiTheme="minorEastAsia" w:eastAsiaTheme="minorEastAsia" w:cstheme="minorEastAsia"/>
          <w:b/>
        </w:rPr>
      </w:pPr>
    </w:p>
    <w:p>
      <w:pPr>
        <w:rPr>
          <w:rFonts w:asciiTheme="minorEastAsia" w:hAnsiTheme="minorEastAsia" w:eastAsiaTheme="minorEastAsia" w:cstheme="minorEastAsia"/>
          <w:b/>
        </w:rPr>
      </w:pPr>
    </w:p>
    <w:p>
      <w:pPr>
        <w:spacing w:line="240" w:lineRule="auto"/>
        <w:ind w:firstLine="482"/>
        <w:rPr>
          <w:rFonts w:hint="eastAsia" w:asciiTheme="minorEastAsia" w:hAnsiTheme="minorEastAsia" w:eastAsiaTheme="minorEastAsia" w:cstheme="minorEastAsia"/>
          <w:b/>
        </w:rPr>
      </w:pPr>
    </w:p>
    <w:p>
      <w:pPr>
        <w:spacing w:line="240" w:lineRule="auto"/>
        <w:ind w:firstLine="482"/>
        <w:rPr>
          <w:rFonts w:hint="eastAsia" w:asciiTheme="minorEastAsia" w:hAnsiTheme="minorEastAsia" w:eastAsiaTheme="minorEastAsia" w:cstheme="minorEastAsia"/>
          <w:b/>
        </w:rPr>
      </w:pPr>
    </w:p>
    <w:p>
      <w:pPr>
        <w:spacing w:line="240" w:lineRule="auto"/>
        <w:ind w:firstLine="48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rPr>
        <w:t>3</w:t>
      </w:r>
      <w:r>
        <w:rPr>
          <w:rFonts w:hint="eastAsia" w:asciiTheme="minorEastAsia" w:hAnsiTheme="minorEastAsia" w:eastAsiaTheme="minorEastAsia" w:cstheme="minorEastAsia"/>
          <w:b/>
          <w:sz w:val="24"/>
          <w:szCs w:val="24"/>
        </w:rPr>
        <w:t>.监狱企业声明函</w:t>
      </w:r>
    </w:p>
    <w:p>
      <w:pPr>
        <w:widowControl/>
        <w:ind w:firstLine="482"/>
        <w:outlineLvl w:val="0"/>
        <w:rPr>
          <w:rFonts w:hint="eastAsia" w:asciiTheme="minorEastAsia" w:hAnsiTheme="minorEastAsia" w:eastAsiaTheme="minorEastAsia" w:cstheme="minorEastAsia"/>
          <w:kern w:val="0"/>
          <w:sz w:val="24"/>
          <w:szCs w:val="24"/>
        </w:rPr>
      </w:pPr>
      <w:bookmarkStart w:id="255" w:name="_Toc18876"/>
      <w:r>
        <w:rPr>
          <w:rFonts w:hint="eastAsia" w:asciiTheme="minorEastAsia" w:hAnsiTheme="minorEastAsia" w:eastAsiaTheme="minorEastAsia" w:cstheme="minorEastAsia"/>
          <w:b/>
          <w:sz w:val="24"/>
          <w:szCs w:val="24"/>
        </w:rPr>
        <w:t>3.1</w:t>
      </w:r>
      <w:r>
        <w:rPr>
          <w:rFonts w:hint="eastAsia" w:asciiTheme="minorEastAsia" w:hAnsiTheme="minorEastAsia" w:eastAsiaTheme="minorEastAsia" w:cstheme="minorEastAsia"/>
          <w:kern w:val="0"/>
          <w:sz w:val="24"/>
          <w:szCs w:val="24"/>
        </w:rPr>
        <w:t>监狱企业发展有关问题的通知 财库〔2014〕68号</w:t>
      </w:r>
      <w:bookmarkEnd w:id="255"/>
    </w:p>
    <w:tbl>
      <w:tblPr>
        <w:tblStyle w:val="36"/>
        <w:tblW w:w="8135" w:type="dxa"/>
        <w:jc w:val="center"/>
        <w:tblCellSpacing w:w="0" w:type="dxa"/>
        <w:tblLayout w:type="fixed"/>
        <w:tblCellMar>
          <w:top w:w="0" w:type="dxa"/>
          <w:left w:w="0" w:type="dxa"/>
          <w:bottom w:w="0" w:type="dxa"/>
          <w:right w:w="0" w:type="dxa"/>
        </w:tblCellMar>
      </w:tblPr>
      <w:tblGrid>
        <w:gridCol w:w="8135"/>
      </w:tblGrid>
      <w:tr>
        <w:tblPrEx>
          <w:tblCellMar>
            <w:top w:w="0" w:type="dxa"/>
            <w:left w:w="0" w:type="dxa"/>
            <w:bottom w:w="0" w:type="dxa"/>
            <w:right w:w="0" w:type="dxa"/>
          </w:tblCellMar>
        </w:tblPrEx>
        <w:trPr>
          <w:trHeight w:val="960" w:hRule="atLeast"/>
          <w:tblCellSpacing w:w="0" w:type="dxa"/>
          <w:jc w:val="center"/>
        </w:trPr>
        <w:tc>
          <w:tcPr>
            <w:tcW w:w="8135" w:type="dxa"/>
            <w:vAlign w:val="center"/>
          </w:tcPr>
          <w:p>
            <w:pPr>
              <w:widowControl/>
              <w:ind w:firstLine="522"/>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财政部 司法部关于政府采购支持监狱企业发展有关问题的通知(财库〔2014〕68号)</w:t>
            </w:r>
          </w:p>
        </w:tc>
      </w:tr>
      <w:tr>
        <w:tblPrEx>
          <w:tblCellMar>
            <w:top w:w="0" w:type="dxa"/>
            <w:left w:w="0" w:type="dxa"/>
            <w:bottom w:w="0" w:type="dxa"/>
            <w:right w:w="0" w:type="dxa"/>
          </w:tblCellMar>
        </w:tblPrEx>
        <w:trPr>
          <w:tblCellSpacing w:w="0" w:type="dxa"/>
          <w:jc w:val="center"/>
        </w:trPr>
        <w:tc>
          <w:tcPr>
            <w:tcW w:w="8135" w:type="dxa"/>
            <w:vAlign w:val="center"/>
          </w:tcPr>
          <w:p>
            <w:pPr>
              <w:widowControl/>
              <w:ind w:firstLine="48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财政部 司法部关于政府采购支持</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监狱企业发展有关问题的通知</w:t>
            </w:r>
          </w:p>
          <w:p>
            <w:pPr>
              <w:widowControl/>
              <w:ind w:firstLine="48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财库〔2014〕68号</w:t>
            </w:r>
          </w:p>
          <w:p>
            <w:pPr>
              <w:widowControl/>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　　四、各地区可以结合本地区实际，对监狱企业生产的办公用品、家具用具、车辆维修和提供的保养服务、消防设备等，提出预留份额等政府采购支持措施，加大对监狱企业产品的采购力度。</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pPr>
              <w:widowControl/>
              <w:ind w:firstLine="480"/>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中华人民共和国财政部</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中华人民共和国司法部</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2014年6月10日</w:t>
            </w:r>
          </w:p>
        </w:tc>
      </w:tr>
    </w:tbl>
    <w:p>
      <w:pPr>
        <w:spacing w:line="240" w:lineRule="auto"/>
        <w:ind w:firstLine="482"/>
        <w:rPr>
          <w:rFonts w:asciiTheme="minorEastAsia" w:hAnsiTheme="minorEastAsia" w:eastAsiaTheme="minorEastAsia" w:cstheme="minorEastAsia"/>
          <w:b/>
        </w:rPr>
      </w:pPr>
    </w:p>
    <w:p>
      <w:pPr>
        <w:spacing w:line="240" w:lineRule="auto"/>
        <w:ind w:firstLine="482"/>
        <w:rPr>
          <w:rFonts w:asciiTheme="minorEastAsia" w:hAnsiTheme="minorEastAsia" w:eastAsiaTheme="minorEastAsia" w:cstheme="minorEastAsia"/>
          <w:b/>
        </w:rPr>
      </w:pPr>
    </w:p>
    <w:p>
      <w:pPr>
        <w:spacing w:line="240" w:lineRule="auto"/>
        <w:ind w:firstLine="482"/>
        <w:rPr>
          <w:rFonts w:asciiTheme="minorEastAsia" w:hAnsiTheme="minorEastAsia" w:eastAsiaTheme="minorEastAsia" w:cstheme="minorEastAsia"/>
          <w:b/>
        </w:rPr>
      </w:pPr>
    </w:p>
    <w:p>
      <w:pPr>
        <w:spacing w:line="240" w:lineRule="auto"/>
        <w:ind w:firstLine="482"/>
        <w:rPr>
          <w:rFonts w:asciiTheme="minorEastAsia" w:hAnsiTheme="minorEastAsia" w:eastAsiaTheme="minorEastAsia" w:cstheme="minorEastAsia"/>
          <w:b/>
        </w:rPr>
      </w:pPr>
    </w:p>
    <w:p>
      <w:pPr>
        <w:spacing w:line="240" w:lineRule="auto"/>
        <w:ind w:firstLine="482"/>
        <w:rPr>
          <w:rFonts w:asciiTheme="minorEastAsia" w:hAnsiTheme="minorEastAsia" w:eastAsiaTheme="minorEastAsia" w:cstheme="minorEastAsia"/>
          <w:b/>
        </w:rPr>
      </w:pPr>
    </w:p>
    <w:p>
      <w:pPr>
        <w:spacing w:line="240" w:lineRule="auto"/>
        <w:ind w:firstLine="482"/>
        <w:rPr>
          <w:rFonts w:asciiTheme="minorEastAsia" w:hAnsiTheme="minorEastAsia" w:eastAsiaTheme="minorEastAsia" w:cstheme="minorEastAsia"/>
          <w:b/>
        </w:rPr>
      </w:pPr>
    </w:p>
    <w:p>
      <w:pPr>
        <w:spacing w:line="240" w:lineRule="auto"/>
        <w:ind w:firstLine="482"/>
        <w:rPr>
          <w:rFonts w:asciiTheme="minorEastAsia" w:hAnsiTheme="minorEastAsia" w:eastAsiaTheme="minorEastAsia" w:cstheme="minorEastAsia"/>
          <w:b/>
        </w:rPr>
      </w:pPr>
    </w:p>
    <w:p>
      <w:pPr>
        <w:spacing w:line="240" w:lineRule="auto"/>
        <w:ind w:firstLine="482"/>
        <w:rPr>
          <w:rFonts w:asciiTheme="minorEastAsia" w:hAnsiTheme="minorEastAsia" w:eastAsiaTheme="minorEastAsia" w:cstheme="minorEastAsia"/>
          <w:b/>
        </w:rPr>
      </w:pPr>
    </w:p>
    <w:p>
      <w:pPr>
        <w:rPr>
          <w:rFonts w:asciiTheme="minorEastAsia" w:hAnsiTheme="minorEastAsia" w:eastAsiaTheme="minorEastAsia" w:cstheme="minorEastAsia"/>
          <w:b/>
        </w:rPr>
      </w:pPr>
      <w:r>
        <w:rPr>
          <w:rFonts w:hint="eastAsia" w:asciiTheme="minorEastAsia" w:hAnsiTheme="minorEastAsia" w:eastAsiaTheme="minorEastAsia" w:cstheme="minorEastAsia"/>
          <w:b/>
        </w:rPr>
        <w:br w:type="page"/>
      </w:r>
    </w:p>
    <w:p>
      <w:pPr>
        <w:spacing w:line="240" w:lineRule="auto"/>
        <w:ind w:firstLine="482"/>
        <w:outlineLvl w:val="0"/>
        <w:rPr>
          <w:rFonts w:hint="eastAsia" w:asciiTheme="minorEastAsia" w:hAnsiTheme="minorEastAsia" w:eastAsiaTheme="minorEastAsia" w:cstheme="minorEastAsia"/>
          <w:b/>
          <w:sz w:val="24"/>
          <w:szCs w:val="24"/>
        </w:rPr>
      </w:pPr>
      <w:bookmarkStart w:id="256" w:name="_Toc14417"/>
      <w:r>
        <w:rPr>
          <w:rFonts w:hint="eastAsia" w:asciiTheme="minorEastAsia" w:hAnsiTheme="minorEastAsia" w:eastAsiaTheme="minorEastAsia" w:cstheme="minorEastAsia"/>
          <w:b/>
          <w:sz w:val="24"/>
          <w:szCs w:val="24"/>
        </w:rPr>
        <w:t>3.2  声明函格式</w:t>
      </w:r>
      <w:bookmarkEnd w:id="256"/>
      <w:r>
        <w:rPr>
          <w:rFonts w:hint="eastAsia" w:asciiTheme="minorEastAsia" w:hAnsiTheme="minorEastAsia" w:eastAsiaTheme="minorEastAsia" w:cstheme="minorEastAsia"/>
          <w:b/>
          <w:sz w:val="24"/>
          <w:szCs w:val="24"/>
        </w:rPr>
        <w:t xml:space="preserve">               </w:t>
      </w:r>
    </w:p>
    <w:p>
      <w:pPr>
        <w:spacing w:line="588"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监狱性单位声明函</w:t>
      </w:r>
    </w:p>
    <w:p>
      <w:pPr>
        <w:spacing w:line="588" w:lineRule="exact"/>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本单位郑重声明，根据《财政部 司法部关于政府采购支持监狱企业发展有关问题的通知》(财库〔2014〕68号)的规定，本单位为符合条件的监狱性单位，且本单位参加______单位的______项目采购活动提供本单位制造的货物（由本单位承担工程/提供服务），享受预留份额、评审中价格扣除等政府采购促进中小企业发展的政府采购政策。</w:t>
      </w:r>
    </w:p>
    <w:p>
      <w:pPr>
        <w:spacing w:line="588" w:lineRule="exact"/>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本单位对上述声明的真实性负责。如有虚假，将依法承担相应责任。</w:t>
      </w:r>
    </w:p>
    <w:p>
      <w:pPr>
        <w:spacing w:line="588" w:lineRule="exact"/>
        <w:ind w:firstLine="480"/>
        <w:rPr>
          <w:rFonts w:hint="eastAsia" w:asciiTheme="minorEastAsia" w:hAnsiTheme="minorEastAsia" w:eastAsiaTheme="minorEastAsia" w:cstheme="minorEastAsia"/>
          <w:kern w:val="0"/>
          <w:sz w:val="24"/>
          <w:szCs w:val="24"/>
        </w:rPr>
      </w:pPr>
    </w:p>
    <w:p>
      <w:pPr>
        <w:tabs>
          <w:tab w:val="left" w:pos="4860"/>
        </w:tabs>
        <w:spacing w:line="588" w:lineRule="exact"/>
        <w:ind w:right="1560" w:firstLine="480"/>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单位名称（盖章）：</w:t>
      </w:r>
    </w:p>
    <w:p>
      <w:pPr>
        <w:spacing w:line="240" w:lineRule="auto"/>
        <w:ind w:right="480" w:firstLine="480"/>
        <w:jc w:val="righ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rPr>
        <w:t>日  期：</w:t>
      </w:r>
    </w:p>
    <w:p>
      <w:pPr>
        <w:spacing w:line="24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附件：狱企业参加政府采购活动时，应当提供由省级以上监狱管理局、戒毒管理局（含新疆生产建设兵团）出具的属于监狱企业的证明文件</w:t>
      </w:r>
    </w:p>
    <w:p>
      <w:pPr>
        <w:spacing w:before="0" w:beforeAutospacing="0" w:after="0" w:afterAutospacing="0" w:line="240" w:lineRule="atLeast"/>
        <w:rPr>
          <w:rFonts w:asciiTheme="minorEastAsia" w:hAnsiTheme="minorEastAsia" w:eastAsiaTheme="minorEastAsia" w:cstheme="minorEastAsia"/>
        </w:rPr>
      </w:pPr>
    </w:p>
    <w:p>
      <w:pPr>
        <w:widowControl/>
        <w:spacing w:before="0" w:beforeAutospacing="0" w:after="0" w:afterAutospacing="0" w:line="240" w:lineRule="auto"/>
        <w:jc w:val="left"/>
        <w:rPr>
          <w:rFonts w:asciiTheme="minorEastAsia" w:hAnsiTheme="minorEastAsia" w:eastAsiaTheme="minorEastAsia" w:cstheme="minorEastAsia"/>
        </w:rPr>
      </w:pPr>
      <w:r>
        <w:rPr>
          <w:rFonts w:asciiTheme="minorEastAsia" w:hAnsiTheme="minorEastAsia" w:eastAsiaTheme="minorEastAsia" w:cstheme="minorEastAsia"/>
        </w:rPr>
        <w:br w:type="page"/>
      </w: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0" w:lineRule="atLeast"/>
        <w:ind w:firstLine="42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（七）技术标方案</w:t>
      </w:r>
    </w:p>
    <w:p>
      <w:pPr>
        <w:spacing w:line="240" w:lineRule="auto"/>
        <w:ind w:firstLine="360" w:firstLineChars="15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rPr>
        <w:t>供应商根据招标文件要求，独立编写项目技术标方案。（格式自拟）</w:t>
      </w:r>
    </w:p>
    <w:p>
      <w:pPr>
        <w:spacing w:line="240" w:lineRule="auto"/>
        <w:jc w:val="center"/>
        <w:rPr>
          <w:rFonts w:asciiTheme="minorEastAsia" w:hAnsiTheme="minorEastAsia" w:eastAsiaTheme="minorEastAsia" w:cstheme="minorEastAsia"/>
          <w:b/>
          <w:sz w:val="24"/>
          <w:szCs w:val="24"/>
        </w:rPr>
      </w:pPr>
    </w:p>
    <w:p>
      <w:pPr>
        <w:spacing w:line="240" w:lineRule="auto"/>
        <w:jc w:val="center"/>
        <w:outlineLvl w:val="0"/>
        <w:rPr>
          <w:rFonts w:asciiTheme="minorEastAsia" w:hAnsiTheme="minorEastAsia" w:eastAsiaTheme="minorEastAsia" w:cstheme="minorEastAsia"/>
          <w:b/>
          <w:sz w:val="24"/>
          <w:szCs w:val="24"/>
        </w:rPr>
      </w:pPr>
      <w:bookmarkStart w:id="257" w:name="_Toc26421"/>
      <w:r>
        <w:rPr>
          <w:rFonts w:hint="eastAsia" w:asciiTheme="minorEastAsia" w:hAnsiTheme="minorEastAsia" w:eastAsiaTheme="minorEastAsia" w:cstheme="minorEastAsia"/>
          <w:b/>
          <w:sz w:val="24"/>
          <w:szCs w:val="24"/>
        </w:rPr>
        <w:t>第四    其他</w:t>
      </w:r>
      <w:bookmarkEnd w:id="257"/>
    </w:p>
    <w:p>
      <w:pPr>
        <w:spacing w:line="24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1.投标供应商认为与采购项目相关的其他佐证文件、声明及承诺（格式自拟，复印或扫描件须加盖投标供应商公章）：非国家行政机关出具的证明文件，由专家评标委员会评审其有效性。</w:t>
      </w:r>
    </w:p>
    <w:p>
      <w:pPr>
        <w:spacing w:line="240" w:lineRule="auto"/>
        <w:jc w:val="left"/>
        <w:rPr>
          <w:rFonts w:asciiTheme="minorEastAsia" w:hAnsiTheme="minorEastAsia" w:eastAsiaTheme="minorEastAsia" w:cstheme="minorEastAsia"/>
          <w:sz w:val="24"/>
          <w:szCs w:val="24"/>
        </w:rPr>
      </w:pPr>
    </w:p>
    <w:sectPr>
      <w:headerReference r:id="rId21" w:type="first"/>
      <w:headerReference r:id="rId19" w:type="default"/>
      <w:headerReference r:id="rId20" w:type="even"/>
      <w:footerReference r:id="rId22" w:type="even"/>
      <w:pgSz w:w="11906" w:h="16838"/>
      <w:pgMar w:top="1531" w:right="1418" w:bottom="1361"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方正书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43723"/>
    </w:sdtPr>
    <w:sdtContent>
      <w:sdt>
        <w:sdtPr>
          <w:id w:val="10443724"/>
        </w:sdtPr>
        <w:sdtContent>
          <w:p>
            <w:pPr>
              <w:pStyle w:val="25"/>
              <w:jc w:val="center"/>
            </w:pPr>
            <w:r>
              <w:rPr>
                <w:b/>
                <w:sz w:val="24"/>
              </w:rPr>
              <w:fldChar w:fldCharType="begin"/>
            </w:r>
            <w:r>
              <w:rPr>
                <w:b/>
              </w:rPr>
              <w:instrText xml:space="preserve">PAGE</w:instrText>
            </w:r>
            <w:r>
              <w:rPr>
                <w:b/>
                <w:sz w:val="24"/>
              </w:rPr>
              <w:fldChar w:fldCharType="separate"/>
            </w:r>
            <w:r>
              <w:rPr>
                <w:b/>
              </w:rPr>
              <w:t>13</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77</w:t>
            </w:r>
            <w:r>
              <w:rPr>
                <w:b/>
                <w:sz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eastAsia" w:eastAsia="宋体"/>
        <w:lang w:eastAsia="zh-CN"/>
      </w:rPr>
    </w:pPr>
    <w:r>
      <w:rPr>
        <w:rFonts w:hint="eastAsia"/>
      </w:rPr>
      <w:t>编制单位：</w:t>
    </w:r>
    <w:r>
      <w:rPr>
        <w:rFonts w:hint="eastAsia"/>
        <w:lang w:eastAsia="zh-CN"/>
      </w:rPr>
      <w:t>新疆华域建设工程项目管理咨询有限公司</w:t>
    </w:r>
    <w:r>
      <w:rPr>
        <w:rFonts w:hint="eastAsia"/>
      </w:rPr>
      <w:t xml:space="preserve">                                  咨询电话0991-</w:t>
    </w:r>
    <w:r>
      <w:rPr>
        <w:rFonts w:hint="eastAsia"/>
        <w:lang w:eastAsia="zh-CN"/>
      </w:rPr>
      <w:t>4630336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535"/>
      </w:tabs>
      <w:jc w:val="both"/>
      <w:rPr>
        <w:rFonts w:hint="eastAsia" w:eastAsia="宋体"/>
        <w:lang w:eastAsia="zh-CN"/>
      </w:rPr>
    </w:pPr>
    <w:r>
      <w:rPr>
        <w:rFonts w:hint="eastAsia"/>
        <w:b/>
        <w:bCs/>
        <w:lang w:eastAsia="zh-CN"/>
      </w:rPr>
      <w:t>新疆华域建设工程项目管理咨询有限公司</w:t>
    </w:r>
    <w:r>
      <w:rPr>
        <w:b/>
        <w:bCs/>
      </w:rPr>
      <w:tab/>
    </w:r>
    <w:r>
      <w:rPr>
        <w:b/>
        <w:bCs/>
      </w:rPr>
      <w:tab/>
    </w:r>
    <w:r>
      <w:rPr>
        <w:b/>
        <w:bCs/>
      </w:rPr>
      <w:fldChar w:fldCharType="begin"/>
    </w:r>
    <w:r>
      <w:rPr>
        <w:b/>
        <w:bCs/>
      </w:rPr>
      <w:instrText xml:space="preserve">PAGE  \* Arabic  \* MERGEFORMAT</w:instrText>
    </w:r>
    <w:r>
      <w:rPr>
        <w:b/>
        <w:bCs/>
      </w:rPr>
      <w:fldChar w:fldCharType="separate"/>
    </w:r>
    <w:r>
      <w:rPr>
        <w:b/>
        <w:bCs/>
      </w:rPr>
      <w:t>77</w:t>
    </w:r>
    <w:r>
      <w:rPr>
        <w:b/>
        <w:bCs/>
      </w:rPr>
      <w:fldChar w:fldCharType="end"/>
    </w:r>
    <w:r>
      <w:rPr>
        <w:lang w:val="zh-CN"/>
      </w:rPr>
      <w:t xml:space="preserve"> / </w:t>
    </w:r>
    <w:r>
      <w:fldChar w:fldCharType="begin"/>
    </w:r>
    <w:r>
      <w:instrText xml:space="preserve">NUMPAGES  \* Arabic  \* MERGEFORMAT</w:instrText>
    </w:r>
    <w:r>
      <w:fldChar w:fldCharType="separate"/>
    </w:r>
    <w:r>
      <w:rPr>
        <w:b/>
        <w:bCs/>
      </w:rPr>
      <w:t>77</w:t>
    </w:r>
    <w:r>
      <w:rPr>
        <w:b/>
        <w:bCs/>
      </w:rPr>
      <w:fldChar w:fldCharType="end"/>
    </w:r>
    <w:r>
      <w:rPr>
        <w:b/>
        <w:bCs/>
      </w:rPr>
      <w:t xml:space="preserve">                    </w:t>
    </w:r>
    <w:r>
      <w:rPr>
        <w:rFonts w:hint="eastAsia"/>
        <w:b/>
        <w:bCs/>
      </w:rPr>
      <w:t>联系电话：0991-</w:t>
    </w:r>
    <w:r>
      <w:rPr>
        <w:rFonts w:hint="eastAsia"/>
        <w:b/>
        <w:bCs/>
        <w:lang w:eastAsia="zh-CN"/>
      </w:rPr>
      <w:t>4630336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0"/>
      </w:rPr>
    </w:pPr>
    <w:r>
      <w:fldChar w:fldCharType="begin"/>
    </w:r>
    <w:r>
      <w:rPr>
        <w:rStyle w:val="40"/>
      </w:rPr>
      <w:instrText xml:space="preserve">PAGE  </w:instrText>
    </w:r>
    <w:r>
      <w:fldChar w:fldCharType="end"/>
    </w:r>
  </w:p>
  <w:p>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 PAGE  \* MERGEFORMAT </w:instrText>
    </w:r>
    <w:r>
      <w:fldChar w:fldCharType="separate"/>
    </w:r>
    <w:r>
      <w:t>86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rPr>
        <w:rStyle w:val="40"/>
      </w:rPr>
    </w:pPr>
    <w:r>
      <w:fldChar w:fldCharType="begin"/>
    </w:r>
    <w:r>
      <w:rPr>
        <w:rStyle w:val="40"/>
      </w:rPr>
      <w:instrText xml:space="preserve">PAGE  </w:instrText>
    </w:r>
    <w:r>
      <w:fldChar w:fldCharType="separate"/>
    </w:r>
    <w:r>
      <w:rPr>
        <w:rStyle w:val="40"/>
      </w:rPr>
      <w:t>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pPr>
    <w:r>
      <w:rPr>
        <w:rFonts w:hint="eastAsia" w:ascii="楷体" w:hAnsi="楷体" w:eastAsia="楷体"/>
      </w:rPr>
      <w:t>竞争性磋商文件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pPr>
    <w:r>
      <w:rPr>
        <w:rFonts w:hint="eastAsia"/>
      </w:rPr>
      <w:t>竞争性磋商文件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5136515" cy="8856345"/>
          <wp:effectExtent l="0" t="0" r="6985" b="1905"/>
          <wp:wrapNone/>
          <wp:docPr id="16" name="WordPictureWatermark1522537338"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PictureWatermark1522537338"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5136515" cy="8856345"/>
          <wp:effectExtent l="0" t="0" r="6985" b="1905"/>
          <wp:wrapNone/>
          <wp:docPr id="15" name="WordPictureWatermark1522537337"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PictureWatermark1522537337"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136515" cy="8856345"/>
          <wp:effectExtent l="0" t="0" r="6985" b="1905"/>
          <wp:wrapNone/>
          <wp:docPr id="10" name="WordPictureWatermark1522537329"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1522537329"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136515" cy="8856345"/>
          <wp:effectExtent l="0" t="0" r="6985" b="1905"/>
          <wp:wrapNone/>
          <wp:docPr id="9" name="WordPictureWatermark1522537328"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1522537328"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pPr>
    <w:r>
      <w:rPr>
        <w:rFonts w:hint="eastAsia"/>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136515" cy="8856345"/>
          <wp:effectExtent l="0" t="0" r="6985" b="1905"/>
          <wp:wrapNone/>
          <wp:docPr id="14" name="WordPictureWatermark152253733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PictureWatermark1522537332"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136515" cy="8856345"/>
          <wp:effectExtent l="0" t="0" r="6985" b="1905"/>
          <wp:wrapNone/>
          <wp:docPr id="12" name="WordPictureWatermark152253733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PictureWatermark1522537331"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pPr>
    <w:r>
      <w:rPr>
        <w:rFonts w:hint="eastAsia"/>
      </w:rPr>
      <w:t>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137150" cy="885698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a:xfrm>
                    <a:off x="0" y="0"/>
                    <a:ext cx="5137150" cy="8856980"/>
                  </a:xfrm>
                  <a:prstGeom prst="rect">
                    <a:avLst/>
                  </a:prstGeom>
                  <a:noFill/>
                </pic:spPr>
              </pic:pic>
            </a:graphicData>
          </a:graphic>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137150" cy="885698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a:xfrm>
                    <a:off x="0" y="0"/>
                    <a:ext cx="5137150" cy="885698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745145"/>
    <w:multiLevelType w:val="multilevel"/>
    <w:tmpl w:val="02745145"/>
    <w:lvl w:ilvl="0" w:tentative="0">
      <w:start w:val="2"/>
      <w:numFmt w:val="japaneseCounting"/>
      <w:lvlText w:val="（%1）"/>
      <w:lvlJc w:val="left"/>
      <w:pPr>
        <w:ind w:left="1416" w:hanging="864"/>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66004AB"/>
    <w:multiLevelType w:val="multilevel"/>
    <w:tmpl w:val="166004A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7"/>
      <w:lvlText w:val="%4."/>
      <w:lvlJc w:val="left"/>
      <w:pPr>
        <w:ind w:left="1680" w:hanging="420"/>
      </w:pPr>
    </w:lvl>
    <w:lvl w:ilvl="4" w:tentative="0">
      <w:start w:val="1"/>
      <w:numFmt w:val="lowerLetter"/>
      <w:pStyle w:val="8"/>
      <w:lvlText w:val="%5)"/>
      <w:lvlJc w:val="left"/>
      <w:pPr>
        <w:ind w:left="2100" w:hanging="420"/>
      </w:pPr>
    </w:lvl>
    <w:lvl w:ilvl="5" w:tentative="0">
      <w:start w:val="1"/>
      <w:numFmt w:val="lowerRoman"/>
      <w:pStyle w:val="9"/>
      <w:lvlText w:val="%6."/>
      <w:lvlJc w:val="right"/>
      <w:pPr>
        <w:ind w:left="2520" w:hanging="420"/>
      </w:pPr>
    </w:lvl>
    <w:lvl w:ilvl="6" w:tentative="0">
      <w:start w:val="1"/>
      <w:numFmt w:val="decimal"/>
      <w:pStyle w:val="10"/>
      <w:lvlText w:val="%7."/>
      <w:lvlJc w:val="left"/>
      <w:pPr>
        <w:ind w:left="2940" w:hanging="420"/>
      </w:pPr>
    </w:lvl>
    <w:lvl w:ilvl="7" w:tentative="0">
      <w:start w:val="1"/>
      <w:numFmt w:val="lowerLetter"/>
      <w:pStyle w:val="11"/>
      <w:lvlText w:val="%8)"/>
      <w:lvlJc w:val="left"/>
      <w:pPr>
        <w:ind w:left="3360" w:hanging="420"/>
      </w:pPr>
    </w:lvl>
    <w:lvl w:ilvl="8" w:tentative="0">
      <w:start w:val="1"/>
      <w:numFmt w:val="lowerRoman"/>
      <w:lvlText w:val="%9."/>
      <w:lvlJc w:val="right"/>
      <w:pPr>
        <w:ind w:left="3780" w:hanging="420"/>
      </w:pPr>
    </w:lvl>
  </w:abstractNum>
  <w:abstractNum w:abstractNumId="2">
    <w:nsid w:val="183C604A"/>
    <w:multiLevelType w:val="singleLevel"/>
    <w:tmpl w:val="183C604A"/>
    <w:lvl w:ilvl="0" w:tentative="0">
      <w:start w:val="1"/>
      <w:numFmt w:val="japaneseCounting"/>
      <w:lvlText w:val="%1、"/>
      <w:lvlJc w:val="left"/>
      <w:pPr>
        <w:tabs>
          <w:tab w:val="left" w:pos="622"/>
        </w:tabs>
        <w:ind w:left="622" w:hanging="480"/>
      </w:pPr>
    </w:lvl>
  </w:abstractNum>
  <w:abstractNum w:abstractNumId="3">
    <w:nsid w:val="1E139FDA"/>
    <w:multiLevelType w:val="singleLevel"/>
    <w:tmpl w:val="1E139FDA"/>
    <w:lvl w:ilvl="0" w:tentative="0">
      <w:start w:val="2"/>
      <w:numFmt w:val="chineseCounting"/>
      <w:suff w:val="nothing"/>
      <w:lvlText w:val="第%1章　"/>
      <w:lvlJc w:val="left"/>
      <w:rPr>
        <w:rFonts w:hint="eastAsia"/>
      </w:rPr>
    </w:lvl>
  </w:abstractNum>
  <w:abstractNum w:abstractNumId="4">
    <w:nsid w:val="3C581645"/>
    <w:multiLevelType w:val="singleLevel"/>
    <w:tmpl w:val="3C581645"/>
    <w:lvl w:ilvl="0" w:tentative="0">
      <w:start w:val="2"/>
      <w:numFmt w:val="chineseCounting"/>
      <w:pStyle w:val="12"/>
      <w:suff w:val="nothing"/>
      <w:lvlText w:val="%1、"/>
      <w:lvlJc w:val="left"/>
      <w:rPr>
        <w:rFonts w:hint="eastAsia"/>
      </w:rPr>
    </w:lvl>
  </w:abstractNum>
  <w:abstractNum w:abstractNumId="5">
    <w:nsid w:val="543A08E2"/>
    <w:multiLevelType w:val="multilevel"/>
    <w:tmpl w:val="543A08E2"/>
    <w:lvl w:ilvl="0" w:tentative="0">
      <w:start w:val="3"/>
      <w:numFmt w:val="decimal"/>
      <w:lvlText w:val="%1．"/>
      <w:lvlJc w:val="left"/>
      <w:pPr>
        <w:ind w:left="128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6E6F60ED"/>
    <w:multiLevelType w:val="multilevel"/>
    <w:tmpl w:val="6E6F60ED"/>
    <w:lvl w:ilvl="0" w:tentative="0">
      <w:start w:val="1"/>
      <w:numFmt w:val="decimal"/>
      <w:pStyle w:val="112"/>
      <w:lvlText w:val="%1"/>
      <w:lvlJc w:val="left"/>
      <w:pPr>
        <w:ind w:left="432" w:hanging="432"/>
      </w:pPr>
    </w:lvl>
    <w:lvl w:ilvl="1" w:tentative="0">
      <w:start w:val="1"/>
      <w:numFmt w:val="decimal"/>
      <w:lvlText w:val="%1.%2"/>
      <w:lvlJc w:val="left"/>
      <w:pPr>
        <w:ind w:left="576" w:hanging="576"/>
      </w:pPr>
    </w:lvl>
    <w:lvl w:ilvl="2" w:tentative="0">
      <w:start w:val="1"/>
      <w:numFmt w:val="decimal"/>
      <w:pStyle w:val="138"/>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pStyle w:val="190"/>
      <w:lvlText w:val="%1.%2.%3.%4.%5.%6.%7.%8.%9"/>
      <w:lvlJc w:val="left"/>
      <w:pPr>
        <w:ind w:left="1584" w:hanging="1584"/>
      </w:pPr>
    </w:lvl>
  </w:abstractNum>
  <w:abstractNum w:abstractNumId="7">
    <w:nsid w:val="6E6F60EF"/>
    <w:multiLevelType w:val="multilevel"/>
    <w:tmpl w:val="6E6F60E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E6F60F0"/>
    <w:multiLevelType w:val="multilevel"/>
    <w:tmpl w:val="6E6F60F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E6F60F2"/>
    <w:multiLevelType w:val="multilevel"/>
    <w:tmpl w:val="6E6F60F2"/>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0">
    <w:nsid w:val="6E6F60F3"/>
    <w:multiLevelType w:val="multilevel"/>
    <w:tmpl w:val="6E6F60F3"/>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E6F60F5"/>
    <w:multiLevelType w:val="multilevel"/>
    <w:tmpl w:val="6E6F60F5"/>
    <w:lvl w:ilvl="0" w:tentative="0">
      <w:start w:val="1"/>
      <w:numFmt w:val="decimal"/>
      <w:lvlText w:val="%1."/>
      <w:lvlJc w:val="left"/>
      <w:pPr>
        <w:tabs>
          <w:tab w:val="left" w:pos="1264"/>
        </w:tabs>
        <w:ind w:left="1264"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53A044A"/>
    <w:multiLevelType w:val="multilevel"/>
    <w:tmpl w:val="753A044A"/>
    <w:lvl w:ilvl="0" w:tentative="0">
      <w:start w:val="1"/>
      <w:numFmt w:val="decimal"/>
      <w:lvlText w:val="%1."/>
      <w:lvlJc w:val="left"/>
      <w:pPr>
        <w:ind w:left="962" w:hanging="420"/>
      </w:pPr>
      <w:rPr>
        <w:rFonts w:hint="default"/>
      </w:rPr>
    </w:lvl>
    <w:lvl w:ilvl="1" w:tentative="0">
      <w:start w:val="1"/>
      <w:numFmt w:val="lowerLetter"/>
      <w:lvlText w:val="%2)"/>
      <w:lvlJc w:val="left"/>
      <w:pPr>
        <w:ind w:left="1382" w:hanging="420"/>
      </w:pPr>
    </w:lvl>
    <w:lvl w:ilvl="2" w:tentative="0">
      <w:start w:val="1"/>
      <w:numFmt w:val="lowerRoman"/>
      <w:lvlText w:val="%3."/>
      <w:lvlJc w:val="right"/>
      <w:pPr>
        <w:ind w:left="1802" w:hanging="420"/>
      </w:pPr>
    </w:lvl>
    <w:lvl w:ilvl="3" w:tentative="0">
      <w:start w:val="1"/>
      <w:numFmt w:val="decimal"/>
      <w:lvlText w:val="%4."/>
      <w:lvlJc w:val="left"/>
      <w:pPr>
        <w:ind w:left="2222" w:hanging="420"/>
      </w:pPr>
    </w:lvl>
    <w:lvl w:ilvl="4" w:tentative="0">
      <w:start w:val="1"/>
      <w:numFmt w:val="lowerLetter"/>
      <w:lvlText w:val="%5)"/>
      <w:lvlJc w:val="left"/>
      <w:pPr>
        <w:ind w:left="2642" w:hanging="420"/>
      </w:pPr>
    </w:lvl>
    <w:lvl w:ilvl="5" w:tentative="0">
      <w:start w:val="1"/>
      <w:numFmt w:val="lowerRoman"/>
      <w:lvlText w:val="%6."/>
      <w:lvlJc w:val="right"/>
      <w:pPr>
        <w:ind w:left="3062" w:hanging="420"/>
      </w:pPr>
    </w:lvl>
    <w:lvl w:ilvl="6" w:tentative="0">
      <w:start w:val="1"/>
      <w:numFmt w:val="decimal"/>
      <w:lvlText w:val="%7."/>
      <w:lvlJc w:val="left"/>
      <w:pPr>
        <w:ind w:left="3482" w:hanging="420"/>
      </w:pPr>
    </w:lvl>
    <w:lvl w:ilvl="7" w:tentative="0">
      <w:start w:val="1"/>
      <w:numFmt w:val="lowerLetter"/>
      <w:lvlText w:val="%8)"/>
      <w:lvlJc w:val="left"/>
      <w:pPr>
        <w:ind w:left="3902" w:hanging="420"/>
      </w:pPr>
    </w:lvl>
    <w:lvl w:ilvl="8" w:tentative="0">
      <w:start w:val="1"/>
      <w:numFmt w:val="lowerRoman"/>
      <w:lvlText w:val="%9."/>
      <w:lvlJc w:val="right"/>
      <w:pPr>
        <w:ind w:left="4322" w:hanging="420"/>
      </w:pPr>
    </w:lvl>
  </w:abstractNum>
  <w:num w:numId="1">
    <w:abstractNumId w:val="1"/>
  </w:num>
  <w:num w:numId="2">
    <w:abstractNumId w:val="4"/>
  </w:num>
  <w:num w:numId="3">
    <w:abstractNumId w:val="6"/>
  </w:num>
  <w:num w:numId="4">
    <w:abstractNumId w:val="3"/>
  </w:num>
  <w:num w:numId="5">
    <w:abstractNumId w:val="2"/>
    <w:lvlOverride w:ilvl="0">
      <w:startOverride w:val="1"/>
    </w:lvlOverride>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
  </w:num>
  <w:num w:numId="10">
    <w:abstractNumId w:val="8"/>
  </w:num>
  <w:num w:numId="11">
    <w:abstractNumId w:val="9"/>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U1NTY0YTU4NGNiOGNjZWQ5Y2E0NDRlMjhjZGUzYmEifQ=="/>
  </w:docVars>
  <w:rsids>
    <w:rsidRoot w:val="00A776B4"/>
    <w:rsid w:val="0000021D"/>
    <w:rsid w:val="00000502"/>
    <w:rsid w:val="0000073E"/>
    <w:rsid w:val="000010B4"/>
    <w:rsid w:val="0000205D"/>
    <w:rsid w:val="00002ADE"/>
    <w:rsid w:val="000042EF"/>
    <w:rsid w:val="000044DE"/>
    <w:rsid w:val="00005890"/>
    <w:rsid w:val="00006516"/>
    <w:rsid w:val="00006B04"/>
    <w:rsid w:val="00006C8E"/>
    <w:rsid w:val="000078E5"/>
    <w:rsid w:val="0001113B"/>
    <w:rsid w:val="000119A0"/>
    <w:rsid w:val="00011C58"/>
    <w:rsid w:val="00012720"/>
    <w:rsid w:val="0001294F"/>
    <w:rsid w:val="00013E0E"/>
    <w:rsid w:val="000157CA"/>
    <w:rsid w:val="00016586"/>
    <w:rsid w:val="000176B4"/>
    <w:rsid w:val="000178A8"/>
    <w:rsid w:val="00017A0E"/>
    <w:rsid w:val="00020EBC"/>
    <w:rsid w:val="00023F1E"/>
    <w:rsid w:val="00024809"/>
    <w:rsid w:val="00024B42"/>
    <w:rsid w:val="00024B9A"/>
    <w:rsid w:val="00024BC8"/>
    <w:rsid w:val="00025011"/>
    <w:rsid w:val="000257CC"/>
    <w:rsid w:val="00026100"/>
    <w:rsid w:val="00027184"/>
    <w:rsid w:val="000273AB"/>
    <w:rsid w:val="0003104A"/>
    <w:rsid w:val="000337D3"/>
    <w:rsid w:val="00035926"/>
    <w:rsid w:val="00035C4F"/>
    <w:rsid w:val="0003657C"/>
    <w:rsid w:val="0003713C"/>
    <w:rsid w:val="00037CC2"/>
    <w:rsid w:val="000408B6"/>
    <w:rsid w:val="00041493"/>
    <w:rsid w:val="000419FB"/>
    <w:rsid w:val="000429F1"/>
    <w:rsid w:val="0004301D"/>
    <w:rsid w:val="0004478F"/>
    <w:rsid w:val="00044A34"/>
    <w:rsid w:val="0004535C"/>
    <w:rsid w:val="00045E5B"/>
    <w:rsid w:val="00051C37"/>
    <w:rsid w:val="00052870"/>
    <w:rsid w:val="000531D3"/>
    <w:rsid w:val="00053547"/>
    <w:rsid w:val="000549D7"/>
    <w:rsid w:val="00055660"/>
    <w:rsid w:val="00055FD2"/>
    <w:rsid w:val="000568E4"/>
    <w:rsid w:val="000575EC"/>
    <w:rsid w:val="00060A19"/>
    <w:rsid w:val="00062E59"/>
    <w:rsid w:val="00065133"/>
    <w:rsid w:val="00066590"/>
    <w:rsid w:val="00070C9A"/>
    <w:rsid w:val="00070E62"/>
    <w:rsid w:val="00071784"/>
    <w:rsid w:val="00072037"/>
    <w:rsid w:val="00073408"/>
    <w:rsid w:val="00074614"/>
    <w:rsid w:val="00074E41"/>
    <w:rsid w:val="00075283"/>
    <w:rsid w:val="00075CAD"/>
    <w:rsid w:val="00075CD3"/>
    <w:rsid w:val="00075D6F"/>
    <w:rsid w:val="00076B27"/>
    <w:rsid w:val="00076E11"/>
    <w:rsid w:val="00081B70"/>
    <w:rsid w:val="00082A26"/>
    <w:rsid w:val="00082A5E"/>
    <w:rsid w:val="00082E65"/>
    <w:rsid w:val="00082ECB"/>
    <w:rsid w:val="000852C3"/>
    <w:rsid w:val="00085732"/>
    <w:rsid w:val="000879A4"/>
    <w:rsid w:val="00087AE5"/>
    <w:rsid w:val="00087ECB"/>
    <w:rsid w:val="0009058F"/>
    <w:rsid w:val="00092309"/>
    <w:rsid w:val="00092916"/>
    <w:rsid w:val="00092FF4"/>
    <w:rsid w:val="000943FE"/>
    <w:rsid w:val="00095A26"/>
    <w:rsid w:val="00095B11"/>
    <w:rsid w:val="00097194"/>
    <w:rsid w:val="000A136D"/>
    <w:rsid w:val="000A2BFA"/>
    <w:rsid w:val="000A5025"/>
    <w:rsid w:val="000A5376"/>
    <w:rsid w:val="000A550F"/>
    <w:rsid w:val="000A56A5"/>
    <w:rsid w:val="000A5ED2"/>
    <w:rsid w:val="000A6E79"/>
    <w:rsid w:val="000A72D0"/>
    <w:rsid w:val="000A7723"/>
    <w:rsid w:val="000A7CC1"/>
    <w:rsid w:val="000A7EEE"/>
    <w:rsid w:val="000B0F18"/>
    <w:rsid w:val="000B2304"/>
    <w:rsid w:val="000B2465"/>
    <w:rsid w:val="000B2CC4"/>
    <w:rsid w:val="000B3627"/>
    <w:rsid w:val="000B3937"/>
    <w:rsid w:val="000B6E08"/>
    <w:rsid w:val="000B6F50"/>
    <w:rsid w:val="000B7FAE"/>
    <w:rsid w:val="000C223E"/>
    <w:rsid w:val="000C32B4"/>
    <w:rsid w:val="000C38C4"/>
    <w:rsid w:val="000C3E14"/>
    <w:rsid w:val="000C4281"/>
    <w:rsid w:val="000C5FAD"/>
    <w:rsid w:val="000C76DD"/>
    <w:rsid w:val="000C792D"/>
    <w:rsid w:val="000D0AA2"/>
    <w:rsid w:val="000D1A96"/>
    <w:rsid w:val="000D3237"/>
    <w:rsid w:val="000D47B2"/>
    <w:rsid w:val="000D48F8"/>
    <w:rsid w:val="000D5ABE"/>
    <w:rsid w:val="000D776F"/>
    <w:rsid w:val="000E032C"/>
    <w:rsid w:val="000E090C"/>
    <w:rsid w:val="000E1FAF"/>
    <w:rsid w:val="000E2EA8"/>
    <w:rsid w:val="000E56D6"/>
    <w:rsid w:val="000E5DBE"/>
    <w:rsid w:val="000E6F19"/>
    <w:rsid w:val="000E7F0B"/>
    <w:rsid w:val="000F129F"/>
    <w:rsid w:val="000F16F0"/>
    <w:rsid w:val="000F18B1"/>
    <w:rsid w:val="000F1BCA"/>
    <w:rsid w:val="000F3E33"/>
    <w:rsid w:val="000F47C1"/>
    <w:rsid w:val="001003B9"/>
    <w:rsid w:val="00101643"/>
    <w:rsid w:val="001016B2"/>
    <w:rsid w:val="00101D88"/>
    <w:rsid w:val="00103E5F"/>
    <w:rsid w:val="001049F1"/>
    <w:rsid w:val="0010761A"/>
    <w:rsid w:val="00110479"/>
    <w:rsid w:val="00111930"/>
    <w:rsid w:val="00112DC1"/>
    <w:rsid w:val="001136C9"/>
    <w:rsid w:val="00114514"/>
    <w:rsid w:val="001172CE"/>
    <w:rsid w:val="00121D28"/>
    <w:rsid w:val="00121EDA"/>
    <w:rsid w:val="00122904"/>
    <w:rsid w:val="00123652"/>
    <w:rsid w:val="00123693"/>
    <w:rsid w:val="001243D3"/>
    <w:rsid w:val="00124763"/>
    <w:rsid w:val="0012523B"/>
    <w:rsid w:val="0012599F"/>
    <w:rsid w:val="001259F6"/>
    <w:rsid w:val="00126910"/>
    <w:rsid w:val="00131CDC"/>
    <w:rsid w:val="00132F01"/>
    <w:rsid w:val="00133B0B"/>
    <w:rsid w:val="0013489F"/>
    <w:rsid w:val="0013605F"/>
    <w:rsid w:val="00136450"/>
    <w:rsid w:val="001366B2"/>
    <w:rsid w:val="00136CB8"/>
    <w:rsid w:val="00136F2F"/>
    <w:rsid w:val="00140D62"/>
    <w:rsid w:val="00140EBD"/>
    <w:rsid w:val="0014193A"/>
    <w:rsid w:val="0014290E"/>
    <w:rsid w:val="00144C80"/>
    <w:rsid w:val="00145D16"/>
    <w:rsid w:val="00145F0B"/>
    <w:rsid w:val="001479FC"/>
    <w:rsid w:val="0015044A"/>
    <w:rsid w:val="001506FF"/>
    <w:rsid w:val="00151E5F"/>
    <w:rsid w:val="00154946"/>
    <w:rsid w:val="00156DBC"/>
    <w:rsid w:val="001571F5"/>
    <w:rsid w:val="0015720F"/>
    <w:rsid w:val="00157285"/>
    <w:rsid w:val="001605B5"/>
    <w:rsid w:val="00163F93"/>
    <w:rsid w:val="0016430E"/>
    <w:rsid w:val="00166495"/>
    <w:rsid w:val="00167281"/>
    <w:rsid w:val="00167BFE"/>
    <w:rsid w:val="0017180E"/>
    <w:rsid w:val="0017451F"/>
    <w:rsid w:val="00175996"/>
    <w:rsid w:val="00176714"/>
    <w:rsid w:val="0018021D"/>
    <w:rsid w:val="00180AFB"/>
    <w:rsid w:val="00181D2E"/>
    <w:rsid w:val="00181D7D"/>
    <w:rsid w:val="0018241D"/>
    <w:rsid w:val="00183354"/>
    <w:rsid w:val="001836D6"/>
    <w:rsid w:val="001846AB"/>
    <w:rsid w:val="0018490B"/>
    <w:rsid w:val="001849A8"/>
    <w:rsid w:val="00184CD6"/>
    <w:rsid w:val="00185477"/>
    <w:rsid w:val="001857D8"/>
    <w:rsid w:val="001863D7"/>
    <w:rsid w:val="001865A1"/>
    <w:rsid w:val="00191350"/>
    <w:rsid w:val="001924ED"/>
    <w:rsid w:val="00192843"/>
    <w:rsid w:val="00192E20"/>
    <w:rsid w:val="00193492"/>
    <w:rsid w:val="00193E06"/>
    <w:rsid w:val="00193E4C"/>
    <w:rsid w:val="00195314"/>
    <w:rsid w:val="00195AEB"/>
    <w:rsid w:val="00197CB7"/>
    <w:rsid w:val="001A00DD"/>
    <w:rsid w:val="001A02AA"/>
    <w:rsid w:val="001A3570"/>
    <w:rsid w:val="001A3B27"/>
    <w:rsid w:val="001A456F"/>
    <w:rsid w:val="001A498F"/>
    <w:rsid w:val="001A612E"/>
    <w:rsid w:val="001B0832"/>
    <w:rsid w:val="001B0A34"/>
    <w:rsid w:val="001B0DA5"/>
    <w:rsid w:val="001B2DE3"/>
    <w:rsid w:val="001B3342"/>
    <w:rsid w:val="001B6905"/>
    <w:rsid w:val="001B6E73"/>
    <w:rsid w:val="001B72B3"/>
    <w:rsid w:val="001B7465"/>
    <w:rsid w:val="001B7565"/>
    <w:rsid w:val="001B7C5E"/>
    <w:rsid w:val="001C0BFE"/>
    <w:rsid w:val="001C1167"/>
    <w:rsid w:val="001C1C90"/>
    <w:rsid w:val="001C2250"/>
    <w:rsid w:val="001C5963"/>
    <w:rsid w:val="001C6ABF"/>
    <w:rsid w:val="001C6D5A"/>
    <w:rsid w:val="001C6F8A"/>
    <w:rsid w:val="001D0BFA"/>
    <w:rsid w:val="001D0F33"/>
    <w:rsid w:val="001D220D"/>
    <w:rsid w:val="001D5750"/>
    <w:rsid w:val="001D6804"/>
    <w:rsid w:val="001E0E5C"/>
    <w:rsid w:val="001E3D62"/>
    <w:rsid w:val="001E4350"/>
    <w:rsid w:val="001E4A12"/>
    <w:rsid w:val="001E61E8"/>
    <w:rsid w:val="001E7A3D"/>
    <w:rsid w:val="001F05C2"/>
    <w:rsid w:val="001F179C"/>
    <w:rsid w:val="001F2233"/>
    <w:rsid w:val="001F24DC"/>
    <w:rsid w:val="001F2B5A"/>
    <w:rsid w:val="001F335D"/>
    <w:rsid w:val="001F369A"/>
    <w:rsid w:val="001F3995"/>
    <w:rsid w:val="001F47BC"/>
    <w:rsid w:val="00200C5A"/>
    <w:rsid w:val="00202206"/>
    <w:rsid w:val="002027BC"/>
    <w:rsid w:val="00203394"/>
    <w:rsid w:val="00204551"/>
    <w:rsid w:val="00204D60"/>
    <w:rsid w:val="00205AA3"/>
    <w:rsid w:val="00206999"/>
    <w:rsid w:val="00210815"/>
    <w:rsid w:val="0021093D"/>
    <w:rsid w:val="00212353"/>
    <w:rsid w:val="002124F8"/>
    <w:rsid w:val="00213979"/>
    <w:rsid w:val="002146C2"/>
    <w:rsid w:val="00214867"/>
    <w:rsid w:val="002152E3"/>
    <w:rsid w:val="0021538C"/>
    <w:rsid w:val="00215AC3"/>
    <w:rsid w:val="002164F7"/>
    <w:rsid w:val="00216FD1"/>
    <w:rsid w:val="00220ACF"/>
    <w:rsid w:val="002212A3"/>
    <w:rsid w:val="00224394"/>
    <w:rsid w:val="00224A59"/>
    <w:rsid w:val="00225EFF"/>
    <w:rsid w:val="002260E5"/>
    <w:rsid w:val="00230678"/>
    <w:rsid w:val="00230BFB"/>
    <w:rsid w:val="0023320E"/>
    <w:rsid w:val="00234348"/>
    <w:rsid w:val="0023505E"/>
    <w:rsid w:val="002355A2"/>
    <w:rsid w:val="00235A05"/>
    <w:rsid w:val="00235B0E"/>
    <w:rsid w:val="002403DE"/>
    <w:rsid w:val="00241125"/>
    <w:rsid w:val="00242707"/>
    <w:rsid w:val="00243345"/>
    <w:rsid w:val="00243422"/>
    <w:rsid w:val="00250241"/>
    <w:rsid w:val="002524FE"/>
    <w:rsid w:val="00252989"/>
    <w:rsid w:val="00253243"/>
    <w:rsid w:val="00254D1B"/>
    <w:rsid w:val="00254E11"/>
    <w:rsid w:val="002558A4"/>
    <w:rsid w:val="00260845"/>
    <w:rsid w:val="00262968"/>
    <w:rsid w:val="00262971"/>
    <w:rsid w:val="002678A5"/>
    <w:rsid w:val="00272482"/>
    <w:rsid w:val="00272713"/>
    <w:rsid w:val="00272B22"/>
    <w:rsid w:val="00273CEA"/>
    <w:rsid w:val="0027636A"/>
    <w:rsid w:val="00277392"/>
    <w:rsid w:val="0027760F"/>
    <w:rsid w:val="00277A44"/>
    <w:rsid w:val="00280DD1"/>
    <w:rsid w:val="002810C2"/>
    <w:rsid w:val="002826C8"/>
    <w:rsid w:val="0028332C"/>
    <w:rsid w:val="00283C1A"/>
    <w:rsid w:val="00283F1B"/>
    <w:rsid w:val="00284AD0"/>
    <w:rsid w:val="00284E27"/>
    <w:rsid w:val="002852CF"/>
    <w:rsid w:val="0028622C"/>
    <w:rsid w:val="00287D78"/>
    <w:rsid w:val="002902DE"/>
    <w:rsid w:val="00290C02"/>
    <w:rsid w:val="00291052"/>
    <w:rsid w:val="00291089"/>
    <w:rsid w:val="00291D10"/>
    <w:rsid w:val="00292323"/>
    <w:rsid w:val="002927C2"/>
    <w:rsid w:val="002937E0"/>
    <w:rsid w:val="002969EF"/>
    <w:rsid w:val="00296C26"/>
    <w:rsid w:val="00296D0B"/>
    <w:rsid w:val="002973D0"/>
    <w:rsid w:val="002976F8"/>
    <w:rsid w:val="00297EC4"/>
    <w:rsid w:val="002A00DC"/>
    <w:rsid w:val="002A0540"/>
    <w:rsid w:val="002A2CF2"/>
    <w:rsid w:val="002A5B66"/>
    <w:rsid w:val="002A7993"/>
    <w:rsid w:val="002A7B40"/>
    <w:rsid w:val="002A7E25"/>
    <w:rsid w:val="002B0AA5"/>
    <w:rsid w:val="002B45A0"/>
    <w:rsid w:val="002B4D51"/>
    <w:rsid w:val="002B5035"/>
    <w:rsid w:val="002B6A9B"/>
    <w:rsid w:val="002B74C7"/>
    <w:rsid w:val="002C033C"/>
    <w:rsid w:val="002C1339"/>
    <w:rsid w:val="002C1815"/>
    <w:rsid w:val="002C4E9E"/>
    <w:rsid w:val="002C5045"/>
    <w:rsid w:val="002C65EF"/>
    <w:rsid w:val="002C6F30"/>
    <w:rsid w:val="002D04C9"/>
    <w:rsid w:val="002D1D59"/>
    <w:rsid w:val="002D1F90"/>
    <w:rsid w:val="002D2FC7"/>
    <w:rsid w:val="002D4156"/>
    <w:rsid w:val="002D46D2"/>
    <w:rsid w:val="002D572C"/>
    <w:rsid w:val="002D6463"/>
    <w:rsid w:val="002D76A8"/>
    <w:rsid w:val="002E28B6"/>
    <w:rsid w:val="002E3AF9"/>
    <w:rsid w:val="002E4AEA"/>
    <w:rsid w:val="002E5A46"/>
    <w:rsid w:val="002E7209"/>
    <w:rsid w:val="002E76CC"/>
    <w:rsid w:val="002F0018"/>
    <w:rsid w:val="002F0E88"/>
    <w:rsid w:val="002F130F"/>
    <w:rsid w:val="002F1ACA"/>
    <w:rsid w:val="002F292F"/>
    <w:rsid w:val="002F52A9"/>
    <w:rsid w:val="002F5AF5"/>
    <w:rsid w:val="002F6FF1"/>
    <w:rsid w:val="002F7A4A"/>
    <w:rsid w:val="0030042C"/>
    <w:rsid w:val="0030124D"/>
    <w:rsid w:val="00304458"/>
    <w:rsid w:val="00304A8B"/>
    <w:rsid w:val="003062CE"/>
    <w:rsid w:val="00310255"/>
    <w:rsid w:val="00310F57"/>
    <w:rsid w:val="00313888"/>
    <w:rsid w:val="00314ACB"/>
    <w:rsid w:val="00314EDA"/>
    <w:rsid w:val="00314F85"/>
    <w:rsid w:val="003155E8"/>
    <w:rsid w:val="0031577A"/>
    <w:rsid w:val="00315F37"/>
    <w:rsid w:val="0031680C"/>
    <w:rsid w:val="00320F0E"/>
    <w:rsid w:val="00324D61"/>
    <w:rsid w:val="00325033"/>
    <w:rsid w:val="00327418"/>
    <w:rsid w:val="00327654"/>
    <w:rsid w:val="00327A05"/>
    <w:rsid w:val="00327D50"/>
    <w:rsid w:val="00330314"/>
    <w:rsid w:val="003322DE"/>
    <w:rsid w:val="00332D2F"/>
    <w:rsid w:val="00334162"/>
    <w:rsid w:val="00334B1A"/>
    <w:rsid w:val="00336004"/>
    <w:rsid w:val="00336BB7"/>
    <w:rsid w:val="00336F65"/>
    <w:rsid w:val="003379A6"/>
    <w:rsid w:val="0034056D"/>
    <w:rsid w:val="003406C6"/>
    <w:rsid w:val="00341763"/>
    <w:rsid w:val="00341D9D"/>
    <w:rsid w:val="0034326C"/>
    <w:rsid w:val="00343F79"/>
    <w:rsid w:val="00350C51"/>
    <w:rsid w:val="0035139B"/>
    <w:rsid w:val="00351716"/>
    <w:rsid w:val="00352FB9"/>
    <w:rsid w:val="00353441"/>
    <w:rsid w:val="00354139"/>
    <w:rsid w:val="00355AFB"/>
    <w:rsid w:val="00356308"/>
    <w:rsid w:val="0035695A"/>
    <w:rsid w:val="00357681"/>
    <w:rsid w:val="003611A9"/>
    <w:rsid w:val="00361312"/>
    <w:rsid w:val="00362D78"/>
    <w:rsid w:val="00363373"/>
    <w:rsid w:val="00364145"/>
    <w:rsid w:val="003642A8"/>
    <w:rsid w:val="00365FA6"/>
    <w:rsid w:val="003663A5"/>
    <w:rsid w:val="00366AC3"/>
    <w:rsid w:val="00366D44"/>
    <w:rsid w:val="00367042"/>
    <w:rsid w:val="00370286"/>
    <w:rsid w:val="00370FE4"/>
    <w:rsid w:val="00371AE2"/>
    <w:rsid w:val="003722FB"/>
    <w:rsid w:val="00373719"/>
    <w:rsid w:val="003757F6"/>
    <w:rsid w:val="00376582"/>
    <w:rsid w:val="00376D88"/>
    <w:rsid w:val="0038006F"/>
    <w:rsid w:val="003806EF"/>
    <w:rsid w:val="0038175B"/>
    <w:rsid w:val="0038495F"/>
    <w:rsid w:val="00385DEE"/>
    <w:rsid w:val="00386197"/>
    <w:rsid w:val="003861DA"/>
    <w:rsid w:val="00386F67"/>
    <w:rsid w:val="003872DE"/>
    <w:rsid w:val="003872E4"/>
    <w:rsid w:val="00390507"/>
    <w:rsid w:val="003906A9"/>
    <w:rsid w:val="00392096"/>
    <w:rsid w:val="003926B2"/>
    <w:rsid w:val="0039356E"/>
    <w:rsid w:val="0039470A"/>
    <w:rsid w:val="003955C3"/>
    <w:rsid w:val="00395C7F"/>
    <w:rsid w:val="00397312"/>
    <w:rsid w:val="003978C5"/>
    <w:rsid w:val="003A016A"/>
    <w:rsid w:val="003A2771"/>
    <w:rsid w:val="003A4049"/>
    <w:rsid w:val="003A5F94"/>
    <w:rsid w:val="003A61DE"/>
    <w:rsid w:val="003B1AB3"/>
    <w:rsid w:val="003B1D58"/>
    <w:rsid w:val="003B2F8A"/>
    <w:rsid w:val="003B3A4C"/>
    <w:rsid w:val="003B41A5"/>
    <w:rsid w:val="003B59B6"/>
    <w:rsid w:val="003B7580"/>
    <w:rsid w:val="003C0D0C"/>
    <w:rsid w:val="003C15A6"/>
    <w:rsid w:val="003C1DD0"/>
    <w:rsid w:val="003C2D4B"/>
    <w:rsid w:val="003C3FE5"/>
    <w:rsid w:val="003C6EBC"/>
    <w:rsid w:val="003C72FE"/>
    <w:rsid w:val="003D47DC"/>
    <w:rsid w:val="003D4B4E"/>
    <w:rsid w:val="003D4F73"/>
    <w:rsid w:val="003D4FAC"/>
    <w:rsid w:val="003D58A3"/>
    <w:rsid w:val="003E0484"/>
    <w:rsid w:val="003E19D7"/>
    <w:rsid w:val="003E4632"/>
    <w:rsid w:val="003E4B90"/>
    <w:rsid w:val="003E68B1"/>
    <w:rsid w:val="003E6E84"/>
    <w:rsid w:val="003F0751"/>
    <w:rsid w:val="003F17E2"/>
    <w:rsid w:val="003F23DF"/>
    <w:rsid w:val="003F439A"/>
    <w:rsid w:val="003F439E"/>
    <w:rsid w:val="003F531A"/>
    <w:rsid w:val="003F587D"/>
    <w:rsid w:val="003F6422"/>
    <w:rsid w:val="003F7408"/>
    <w:rsid w:val="003F79C1"/>
    <w:rsid w:val="003F7B19"/>
    <w:rsid w:val="003F7CD9"/>
    <w:rsid w:val="00402688"/>
    <w:rsid w:val="00403111"/>
    <w:rsid w:val="00404049"/>
    <w:rsid w:val="00404085"/>
    <w:rsid w:val="0040436A"/>
    <w:rsid w:val="0041039D"/>
    <w:rsid w:val="00412E80"/>
    <w:rsid w:val="00413785"/>
    <w:rsid w:val="004139B8"/>
    <w:rsid w:val="0041662A"/>
    <w:rsid w:val="00416866"/>
    <w:rsid w:val="00417229"/>
    <w:rsid w:val="00417463"/>
    <w:rsid w:val="00417F1A"/>
    <w:rsid w:val="00420BE8"/>
    <w:rsid w:val="00421639"/>
    <w:rsid w:val="004222B0"/>
    <w:rsid w:val="004228FE"/>
    <w:rsid w:val="00422F22"/>
    <w:rsid w:val="004246F7"/>
    <w:rsid w:val="00424AD9"/>
    <w:rsid w:val="00426C31"/>
    <w:rsid w:val="004279DF"/>
    <w:rsid w:val="00427A84"/>
    <w:rsid w:val="004325B9"/>
    <w:rsid w:val="0043424C"/>
    <w:rsid w:val="00435C8C"/>
    <w:rsid w:val="00436619"/>
    <w:rsid w:val="00436C60"/>
    <w:rsid w:val="00440320"/>
    <w:rsid w:val="004427E2"/>
    <w:rsid w:val="004442FC"/>
    <w:rsid w:val="00444F17"/>
    <w:rsid w:val="00445418"/>
    <w:rsid w:val="004461AB"/>
    <w:rsid w:val="00447A5D"/>
    <w:rsid w:val="00451411"/>
    <w:rsid w:val="00452D3E"/>
    <w:rsid w:val="00453433"/>
    <w:rsid w:val="00454653"/>
    <w:rsid w:val="004551CA"/>
    <w:rsid w:val="00456000"/>
    <w:rsid w:val="0045737B"/>
    <w:rsid w:val="004602E3"/>
    <w:rsid w:val="0046047A"/>
    <w:rsid w:val="00460DC6"/>
    <w:rsid w:val="004618FF"/>
    <w:rsid w:val="00461DD8"/>
    <w:rsid w:val="0046250C"/>
    <w:rsid w:val="00465927"/>
    <w:rsid w:val="00465AC2"/>
    <w:rsid w:val="00471976"/>
    <w:rsid w:val="00471C09"/>
    <w:rsid w:val="00471C78"/>
    <w:rsid w:val="00473F49"/>
    <w:rsid w:val="00474396"/>
    <w:rsid w:val="00474A39"/>
    <w:rsid w:val="00475344"/>
    <w:rsid w:val="00476212"/>
    <w:rsid w:val="004762AA"/>
    <w:rsid w:val="00476D4B"/>
    <w:rsid w:val="00477252"/>
    <w:rsid w:val="004778BE"/>
    <w:rsid w:val="004815D2"/>
    <w:rsid w:val="004815E5"/>
    <w:rsid w:val="00481BA3"/>
    <w:rsid w:val="004829A7"/>
    <w:rsid w:val="004829AA"/>
    <w:rsid w:val="00482DC5"/>
    <w:rsid w:val="00484265"/>
    <w:rsid w:val="0048443B"/>
    <w:rsid w:val="004845CD"/>
    <w:rsid w:val="00487E72"/>
    <w:rsid w:val="00491461"/>
    <w:rsid w:val="00493A0B"/>
    <w:rsid w:val="004949C1"/>
    <w:rsid w:val="00494F57"/>
    <w:rsid w:val="0049662C"/>
    <w:rsid w:val="00496E17"/>
    <w:rsid w:val="004A279A"/>
    <w:rsid w:val="004A4CD1"/>
    <w:rsid w:val="004A5018"/>
    <w:rsid w:val="004A5CBB"/>
    <w:rsid w:val="004A5EDD"/>
    <w:rsid w:val="004A640A"/>
    <w:rsid w:val="004A6679"/>
    <w:rsid w:val="004A6CD9"/>
    <w:rsid w:val="004A6EAE"/>
    <w:rsid w:val="004A6F39"/>
    <w:rsid w:val="004A75CD"/>
    <w:rsid w:val="004B00E8"/>
    <w:rsid w:val="004B11F5"/>
    <w:rsid w:val="004B19B3"/>
    <w:rsid w:val="004B1FA5"/>
    <w:rsid w:val="004B2DEF"/>
    <w:rsid w:val="004B3527"/>
    <w:rsid w:val="004B43E2"/>
    <w:rsid w:val="004B48FD"/>
    <w:rsid w:val="004B53DC"/>
    <w:rsid w:val="004B5E21"/>
    <w:rsid w:val="004B6C9F"/>
    <w:rsid w:val="004B6DC5"/>
    <w:rsid w:val="004B70AA"/>
    <w:rsid w:val="004B7819"/>
    <w:rsid w:val="004B7D08"/>
    <w:rsid w:val="004C03A3"/>
    <w:rsid w:val="004C0C62"/>
    <w:rsid w:val="004C2784"/>
    <w:rsid w:val="004C4D60"/>
    <w:rsid w:val="004C7092"/>
    <w:rsid w:val="004C73B9"/>
    <w:rsid w:val="004D02EF"/>
    <w:rsid w:val="004D1994"/>
    <w:rsid w:val="004D2196"/>
    <w:rsid w:val="004D2D50"/>
    <w:rsid w:val="004D345C"/>
    <w:rsid w:val="004D3A8E"/>
    <w:rsid w:val="004D5028"/>
    <w:rsid w:val="004D5A9E"/>
    <w:rsid w:val="004D5B04"/>
    <w:rsid w:val="004D6136"/>
    <w:rsid w:val="004D63BF"/>
    <w:rsid w:val="004D6B99"/>
    <w:rsid w:val="004D794D"/>
    <w:rsid w:val="004E09E5"/>
    <w:rsid w:val="004E2009"/>
    <w:rsid w:val="004E52CA"/>
    <w:rsid w:val="004E66C6"/>
    <w:rsid w:val="004E6CF9"/>
    <w:rsid w:val="004F00F1"/>
    <w:rsid w:val="004F06B9"/>
    <w:rsid w:val="004F0D66"/>
    <w:rsid w:val="004F1819"/>
    <w:rsid w:val="004F20A3"/>
    <w:rsid w:val="004F3AD2"/>
    <w:rsid w:val="004F49E2"/>
    <w:rsid w:val="004F5129"/>
    <w:rsid w:val="004F61E7"/>
    <w:rsid w:val="004F6A1D"/>
    <w:rsid w:val="004F7261"/>
    <w:rsid w:val="004F7A93"/>
    <w:rsid w:val="00500741"/>
    <w:rsid w:val="005009A2"/>
    <w:rsid w:val="00502261"/>
    <w:rsid w:val="005035ED"/>
    <w:rsid w:val="00504010"/>
    <w:rsid w:val="00504CD6"/>
    <w:rsid w:val="00505187"/>
    <w:rsid w:val="005052C1"/>
    <w:rsid w:val="0050535C"/>
    <w:rsid w:val="00505552"/>
    <w:rsid w:val="005068D6"/>
    <w:rsid w:val="005110B7"/>
    <w:rsid w:val="005122CC"/>
    <w:rsid w:val="00512548"/>
    <w:rsid w:val="00512F24"/>
    <w:rsid w:val="0051364D"/>
    <w:rsid w:val="0051391B"/>
    <w:rsid w:val="00514CCA"/>
    <w:rsid w:val="00516632"/>
    <w:rsid w:val="00516DC6"/>
    <w:rsid w:val="0051708F"/>
    <w:rsid w:val="0051720B"/>
    <w:rsid w:val="005202B4"/>
    <w:rsid w:val="005211CF"/>
    <w:rsid w:val="00521510"/>
    <w:rsid w:val="00521A25"/>
    <w:rsid w:val="005236F2"/>
    <w:rsid w:val="00523AA5"/>
    <w:rsid w:val="00524D51"/>
    <w:rsid w:val="0052696B"/>
    <w:rsid w:val="00527018"/>
    <w:rsid w:val="0052768C"/>
    <w:rsid w:val="005312F8"/>
    <w:rsid w:val="005316C3"/>
    <w:rsid w:val="0053182F"/>
    <w:rsid w:val="00531E64"/>
    <w:rsid w:val="00531FFB"/>
    <w:rsid w:val="00532062"/>
    <w:rsid w:val="00533A31"/>
    <w:rsid w:val="0053436B"/>
    <w:rsid w:val="00535830"/>
    <w:rsid w:val="0053610A"/>
    <w:rsid w:val="005364DE"/>
    <w:rsid w:val="00536808"/>
    <w:rsid w:val="00536839"/>
    <w:rsid w:val="00536ACE"/>
    <w:rsid w:val="005371B9"/>
    <w:rsid w:val="00537A1C"/>
    <w:rsid w:val="0054082D"/>
    <w:rsid w:val="00541B52"/>
    <w:rsid w:val="005421CA"/>
    <w:rsid w:val="005427C1"/>
    <w:rsid w:val="005434E1"/>
    <w:rsid w:val="00543F59"/>
    <w:rsid w:val="00545E0D"/>
    <w:rsid w:val="00547BE6"/>
    <w:rsid w:val="005513D2"/>
    <w:rsid w:val="005520A6"/>
    <w:rsid w:val="00554122"/>
    <w:rsid w:val="00554C1E"/>
    <w:rsid w:val="00555999"/>
    <w:rsid w:val="00557066"/>
    <w:rsid w:val="00557C4D"/>
    <w:rsid w:val="00557D91"/>
    <w:rsid w:val="00560F73"/>
    <w:rsid w:val="00561CAC"/>
    <w:rsid w:val="0056289D"/>
    <w:rsid w:val="00563278"/>
    <w:rsid w:val="0056340A"/>
    <w:rsid w:val="005642B6"/>
    <w:rsid w:val="00564EA7"/>
    <w:rsid w:val="00565AA8"/>
    <w:rsid w:val="005663EA"/>
    <w:rsid w:val="00566ED8"/>
    <w:rsid w:val="005705E2"/>
    <w:rsid w:val="0057267E"/>
    <w:rsid w:val="00573449"/>
    <w:rsid w:val="00573B2F"/>
    <w:rsid w:val="00573DC6"/>
    <w:rsid w:val="005742B9"/>
    <w:rsid w:val="005762B2"/>
    <w:rsid w:val="00576ED6"/>
    <w:rsid w:val="00577348"/>
    <w:rsid w:val="00577737"/>
    <w:rsid w:val="00581839"/>
    <w:rsid w:val="00581D8A"/>
    <w:rsid w:val="00581DAD"/>
    <w:rsid w:val="005844D8"/>
    <w:rsid w:val="00586568"/>
    <w:rsid w:val="00587228"/>
    <w:rsid w:val="0058750D"/>
    <w:rsid w:val="00587B81"/>
    <w:rsid w:val="00587C5C"/>
    <w:rsid w:val="00587EB4"/>
    <w:rsid w:val="005904D2"/>
    <w:rsid w:val="005918CA"/>
    <w:rsid w:val="00594BD5"/>
    <w:rsid w:val="00596270"/>
    <w:rsid w:val="00596694"/>
    <w:rsid w:val="00597DBA"/>
    <w:rsid w:val="005A29A7"/>
    <w:rsid w:val="005A312A"/>
    <w:rsid w:val="005A4EA6"/>
    <w:rsid w:val="005A549A"/>
    <w:rsid w:val="005A5EDF"/>
    <w:rsid w:val="005A5F19"/>
    <w:rsid w:val="005A7071"/>
    <w:rsid w:val="005B188B"/>
    <w:rsid w:val="005B3B4A"/>
    <w:rsid w:val="005B470E"/>
    <w:rsid w:val="005B48E1"/>
    <w:rsid w:val="005B5951"/>
    <w:rsid w:val="005B5C4C"/>
    <w:rsid w:val="005B6A9E"/>
    <w:rsid w:val="005B790E"/>
    <w:rsid w:val="005B7B85"/>
    <w:rsid w:val="005C04D2"/>
    <w:rsid w:val="005C0A07"/>
    <w:rsid w:val="005C1DBC"/>
    <w:rsid w:val="005C3A7C"/>
    <w:rsid w:val="005C5B23"/>
    <w:rsid w:val="005C6F11"/>
    <w:rsid w:val="005D0175"/>
    <w:rsid w:val="005D0FAA"/>
    <w:rsid w:val="005D1F15"/>
    <w:rsid w:val="005D22B8"/>
    <w:rsid w:val="005D2FD7"/>
    <w:rsid w:val="005D304C"/>
    <w:rsid w:val="005D4B83"/>
    <w:rsid w:val="005D559C"/>
    <w:rsid w:val="005D5836"/>
    <w:rsid w:val="005D5C84"/>
    <w:rsid w:val="005D69D5"/>
    <w:rsid w:val="005E26BE"/>
    <w:rsid w:val="005E4295"/>
    <w:rsid w:val="005E45A1"/>
    <w:rsid w:val="005E5895"/>
    <w:rsid w:val="005E6E80"/>
    <w:rsid w:val="005E7A75"/>
    <w:rsid w:val="005F12D6"/>
    <w:rsid w:val="005F1C57"/>
    <w:rsid w:val="005F2358"/>
    <w:rsid w:val="005F24F6"/>
    <w:rsid w:val="005F4351"/>
    <w:rsid w:val="005F508B"/>
    <w:rsid w:val="005F62A0"/>
    <w:rsid w:val="005F7724"/>
    <w:rsid w:val="006006E5"/>
    <w:rsid w:val="00601419"/>
    <w:rsid w:val="006062DE"/>
    <w:rsid w:val="00606336"/>
    <w:rsid w:val="00607345"/>
    <w:rsid w:val="006101E0"/>
    <w:rsid w:val="006103AD"/>
    <w:rsid w:val="006106CF"/>
    <w:rsid w:val="0061198B"/>
    <w:rsid w:val="00616F9E"/>
    <w:rsid w:val="006202C1"/>
    <w:rsid w:val="006206F2"/>
    <w:rsid w:val="00621A69"/>
    <w:rsid w:val="00621A6A"/>
    <w:rsid w:val="00623AFD"/>
    <w:rsid w:val="0062459B"/>
    <w:rsid w:val="00625193"/>
    <w:rsid w:val="00625BF9"/>
    <w:rsid w:val="00625C83"/>
    <w:rsid w:val="006267F5"/>
    <w:rsid w:val="00630F2F"/>
    <w:rsid w:val="0063186E"/>
    <w:rsid w:val="0063246E"/>
    <w:rsid w:val="0063441A"/>
    <w:rsid w:val="00635F27"/>
    <w:rsid w:val="00636303"/>
    <w:rsid w:val="006373A6"/>
    <w:rsid w:val="006415D4"/>
    <w:rsid w:val="00641DCF"/>
    <w:rsid w:val="00642772"/>
    <w:rsid w:val="00643A0E"/>
    <w:rsid w:val="00644725"/>
    <w:rsid w:val="00644EC8"/>
    <w:rsid w:val="00645D70"/>
    <w:rsid w:val="00651721"/>
    <w:rsid w:val="00653C0D"/>
    <w:rsid w:val="00653DFE"/>
    <w:rsid w:val="00654A36"/>
    <w:rsid w:val="006558A7"/>
    <w:rsid w:val="006562E5"/>
    <w:rsid w:val="00656AFD"/>
    <w:rsid w:val="00657744"/>
    <w:rsid w:val="0066004A"/>
    <w:rsid w:val="006618CE"/>
    <w:rsid w:val="006626EB"/>
    <w:rsid w:val="00662ABE"/>
    <w:rsid w:val="0066312A"/>
    <w:rsid w:val="0066383E"/>
    <w:rsid w:val="00664170"/>
    <w:rsid w:val="00664528"/>
    <w:rsid w:val="0066491C"/>
    <w:rsid w:val="006658A9"/>
    <w:rsid w:val="006660F0"/>
    <w:rsid w:val="00666E4D"/>
    <w:rsid w:val="00670007"/>
    <w:rsid w:val="0067065A"/>
    <w:rsid w:val="00674DBD"/>
    <w:rsid w:val="006803AA"/>
    <w:rsid w:val="00680871"/>
    <w:rsid w:val="00683F1D"/>
    <w:rsid w:val="006841A4"/>
    <w:rsid w:val="0068515F"/>
    <w:rsid w:val="00685249"/>
    <w:rsid w:val="006852FF"/>
    <w:rsid w:val="006864E9"/>
    <w:rsid w:val="00687A40"/>
    <w:rsid w:val="00691439"/>
    <w:rsid w:val="0069164A"/>
    <w:rsid w:val="006917BB"/>
    <w:rsid w:val="00693F01"/>
    <w:rsid w:val="00694282"/>
    <w:rsid w:val="00696A5C"/>
    <w:rsid w:val="00696C45"/>
    <w:rsid w:val="006A043E"/>
    <w:rsid w:val="006A1A67"/>
    <w:rsid w:val="006A1BF9"/>
    <w:rsid w:val="006A236F"/>
    <w:rsid w:val="006A2EB1"/>
    <w:rsid w:val="006A2F32"/>
    <w:rsid w:val="006A3E39"/>
    <w:rsid w:val="006A51E6"/>
    <w:rsid w:val="006B1C33"/>
    <w:rsid w:val="006B1E94"/>
    <w:rsid w:val="006B4727"/>
    <w:rsid w:val="006B55FA"/>
    <w:rsid w:val="006B5F75"/>
    <w:rsid w:val="006C01FA"/>
    <w:rsid w:val="006C051E"/>
    <w:rsid w:val="006C2B6F"/>
    <w:rsid w:val="006C4D28"/>
    <w:rsid w:val="006C4F4C"/>
    <w:rsid w:val="006C5339"/>
    <w:rsid w:val="006C536F"/>
    <w:rsid w:val="006C540B"/>
    <w:rsid w:val="006C728A"/>
    <w:rsid w:val="006D29E0"/>
    <w:rsid w:val="006D30E9"/>
    <w:rsid w:val="006D3F73"/>
    <w:rsid w:val="006D4588"/>
    <w:rsid w:val="006D4728"/>
    <w:rsid w:val="006D4C83"/>
    <w:rsid w:val="006D7DD2"/>
    <w:rsid w:val="006E045C"/>
    <w:rsid w:val="006E1783"/>
    <w:rsid w:val="006E17A7"/>
    <w:rsid w:val="006E23F3"/>
    <w:rsid w:val="006E29A6"/>
    <w:rsid w:val="006E375F"/>
    <w:rsid w:val="006E3B39"/>
    <w:rsid w:val="006E6154"/>
    <w:rsid w:val="006F0383"/>
    <w:rsid w:val="006F0B23"/>
    <w:rsid w:val="006F1C7F"/>
    <w:rsid w:val="006F55D8"/>
    <w:rsid w:val="006F5AAF"/>
    <w:rsid w:val="006F6224"/>
    <w:rsid w:val="006F72B6"/>
    <w:rsid w:val="00700D02"/>
    <w:rsid w:val="007025E3"/>
    <w:rsid w:val="00703307"/>
    <w:rsid w:val="00703A68"/>
    <w:rsid w:val="00704FA9"/>
    <w:rsid w:val="00705F60"/>
    <w:rsid w:val="0071149E"/>
    <w:rsid w:val="00712BBA"/>
    <w:rsid w:val="00713364"/>
    <w:rsid w:val="00713554"/>
    <w:rsid w:val="00713B2B"/>
    <w:rsid w:val="007159C4"/>
    <w:rsid w:val="00715E24"/>
    <w:rsid w:val="0071651B"/>
    <w:rsid w:val="007175FF"/>
    <w:rsid w:val="007178DD"/>
    <w:rsid w:val="007200AE"/>
    <w:rsid w:val="0072073F"/>
    <w:rsid w:val="00720D52"/>
    <w:rsid w:val="00721B66"/>
    <w:rsid w:val="00723000"/>
    <w:rsid w:val="00723853"/>
    <w:rsid w:val="00723AAA"/>
    <w:rsid w:val="00724BC9"/>
    <w:rsid w:val="00727816"/>
    <w:rsid w:val="00731919"/>
    <w:rsid w:val="00731B26"/>
    <w:rsid w:val="00731C4A"/>
    <w:rsid w:val="0073236A"/>
    <w:rsid w:val="00732CAC"/>
    <w:rsid w:val="00734172"/>
    <w:rsid w:val="00735199"/>
    <w:rsid w:val="00737866"/>
    <w:rsid w:val="00737BD4"/>
    <w:rsid w:val="0074103A"/>
    <w:rsid w:val="0074147A"/>
    <w:rsid w:val="007417B2"/>
    <w:rsid w:val="00742678"/>
    <w:rsid w:val="00743168"/>
    <w:rsid w:val="00744B92"/>
    <w:rsid w:val="0074640A"/>
    <w:rsid w:val="00746659"/>
    <w:rsid w:val="007472AC"/>
    <w:rsid w:val="00751E51"/>
    <w:rsid w:val="00752D75"/>
    <w:rsid w:val="00752F91"/>
    <w:rsid w:val="00755E63"/>
    <w:rsid w:val="00756248"/>
    <w:rsid w:val="007571D1"/>
    <w:rsid w:val="007571FD"/>
    <w:rsid w:val="00757793"/>
    <w:rsid w:val="00757F5D"/>
    <w:rsid w:val="00764342"/>
    <w:rsid w:val="00765877"/>
    <w:rsid w:val="00772554"/>
    <w:rsid w:val="007757DD"/>
    <w:rsid w:val="00775C78"/>
    <w:rsid w:val="0077770B"/>
    <w:rsid w:val="0078069E"/>
    <w:rsid w:val="007810F0"/>
    <w:rsid w:val="00781D99"/>
    <w:rsid w:val="00782C6A"/>
    <w:rsid w:val="00784E94"/>
    <w:rsid w:val="00785D04"/>
    <w:rsid w:val="00786650"/>
    <w:rsid w:val="0078786D"/>
    <w:rsid w:val="00791A24"/>
    <w:rsid w:val="007946C3"/>
    <w:rsid w:val="007956E9"/>
    <w:rsid w:val="007A00F1"/>
    <w:rsid w:val="007A0623"/>
    <w:rsid w:val="007A19A2"/>
    <w:rsid w:val="007A2AD5"/>
    <w:rsid w:val="007A382B"/>
    <w:rsid w:val="007A452D"/>
    <w:rsid w:val="007A4530"/>
    <w:rsid w:val="007A4620"/>
    <w:rsid w:val="007A4DB1"/>
    <w:rsid w:val="007A4DE4"/>
    <w:rsid w:val="007A5B6C"/>
    <w:rsid w:val="007A6DBA"/>
    <w:rsid w:val="007A7151"/>
    <w:rsid w:val="007A79B8"/>
    <w:rsid w:val="007B0DBD"/>
    <w:rsid w:val="007B0FD1"/>
    <w:rsid w:val="007B1064"/>
    <w:rsid w:val="007B11B5"/>
    <w:rsid w:val="007B1BBA"/>
    <w:rsid w:val="007B2F1C"/>
    <w:rsid w:val="007B3159"/>
    <w:rsid w:val="007B3833"/>
    <w:rsid w:val="007B4D22"/>
    <w:rsid w:val="007B5653"/>
    <w:rsid w:val="007B6635"/>
    <w:rsid w:val="007B6C6C"/>
    <w:rsid w:val="007B76FB"/>
    <w:rsid w:val="007C06F7"/>
    <w:rsid w:val="007C1756"/>
    <w:rsid w:val="007C2A38"/>
    <w:rsid w:val="007C3AF2"/>
    <w:rsid w:val="007C5359"/>
    <w:rsid w:val="007C565B"/>
    <w:rsid w:val="007C5B17"/>
    <w:rsid w:val="007C72B5"/>
    <w:rsid w:val="007D2CC6"/>
    <w:rsid w:val="007D4A8D"/>
    <w:rsid w:val="007D52F6"/>
    <w:rsid w:val="007D5A62"/>
    <w:rsid w:val="007D6190"/>
    <w:rsid w:val="007D6E24"/>
    <w:rsid w:val="007D759B"/>
    <w:rsid w:val="007E05C5"/>
    <w:rsid w:val="007E0C21"/>
    <w:rsid w:val="007E1DB8"/>
    <w:rsid w:val="007E20D4"/>
    <w:rsid w:val="007E2ABF"/>
    <w:rsid w:val="007E4094"/>
    <w:rsid w:val="007E430E"/>
    <w:rsid w:val="007E48DA"/>
    <w:rsid w:val="007E61EA"/>
    <w:rsid w:val="007E714B"/>
    <w:rsid w:val="007E7198"/>
    <w:rsid w:val="007F115A"/>
    <w:rsid w:val="007F239E"/>
    <w:rsid w:val="007F37C8"/>
    <w:rsid w:val="007F5956"/>
    <w:rsid w:val="007F5FB6"/>
    <w:rsid w:val="007F6477"/>
    <w:rsid w:val="007F7D7F"/>
    <w:rsid w:val="007F7E45"/>
    <w:rsid w:val="0080420F"/>
    <w:rsid w:val="00807FD1"/>
    <w:rsid w:val="00810945"/>
    <w:rsid w:val="00811097"/>
    <w:rsid w:val="0081180E"/>
    <w:rsid w:val="00812015"/>
    <w:rsid w:val="0081247B"/>
    <w:rsid w:val="008139D4"/>
    <w:rsid w:val="00814A52"/>
    <w:rsid w:val="00814FDD"/>
    <w:rsid w:val="0081518E"/>
    <w:rsid w:val="00815998"/>
    <w:rsid w:val="008169C8"/>
    <w:rsid w:val="008203DD"/>
    <w:rsid w:val="0082048B"/>
    <w:rsid w:val="008214D2"/>
    <w:rsid w:val="008236AB"/>
    <w:rsid w:val="0082418E"/>
    <w:rsid w:val="00824DDE"/>
    <w:rsid w:val="00826EB3"/>
    <w:rsid w:val="00827141"/>
    <w:rsid w:val="00827C9D"/>
    <w:rsid w:val="00830C89"/>
    <w:rsid w:val="00831129"/>
    <w:rsid w:val="008334C1"/>
    <w:rsid w:val="00833EA6"/>
    <w:rsid w:val="00833F3E"/>
    <w:rsid w:val="00834DE0"/>
    <w:rsid w:val="00834F93"/>
    <w:rsid w:val="00835E08"/>
    <w:rsid w:val="00840B3D"/>
    <w:rsid w:val="008413F6"/>
    <w:rsid w:val="00841487"/>
    <w:rsid w:val="008418FB"/>
    <w:rsid w:val="0084215B"/>
    <w:rsid w:val="0084272C"/>
    <w:rsid w:val="008462B1"/>
    <w:rsid w:val="00850718"/>
    <w:rsid w:val="0085177C"/>
    <w:rsid w:val="00852E94"/>
    <w:rsid w:val="00853877"/>
    <w:rsid w:val="00853DE9"/>
    <w:rsid w:val="00854C9E"/>
    <w:rsid w:val="008576CE"/>
    <w:rsid w:val="008603A2"/>
    <w:rsid w:val="0086121A"/>
    <w:rsid w:val="00862AF3"/>
    <w:rsid w:val="00862C27"/>
    <w:rsid w:val="0086369F"/>
    <w:rsid w:val="00864F28"/>
    <w:rsid w:val="00865B2F"/>
    <w:rsid w:val="00865B59"/>
    <w:rsid w:val="00866185"/>
    <w:rsid w:val="00866D87"/>
    <w:rsid w:val="00867113"/>
    <w:rsid w:val="00867450"/>
    <w:rsid w:val="00867F34"/>
    <w:rsid w:val="00870BB9"/>
    <w:rsid w:val="00870C48"/>
    <w:rsid w:val="00871903"/>
    <w:rsid w:val="008755A6"/>
    <w:rsid w:val="008759E1"/>
    <w:rsid w:val="00876147"/>
    <w:rsid w:val="00876458"/>
    <w:rsid w:val="00877E4B"/>
    <w:rsid w:val="0088047D"/>
    <w:rsid w:val="00881138"/>
    <w:rsid w:val="00886377"/>
    <w:rsid w:val="00887D35"/>
    <w:rsid w:val="00887F36"/>
    <w:rsid w:val="008901BE"/>
    <w:rsid w:val="0089106F"/>
    <w:rsid w:val="0089184A"/>
    <w:rsid w:val="0089235A"/>
    <w:rsid w:val="008925B4"/>
    <w:rsid w:val="008946F9"/>
    <w:rsid w:val="00894AB2"/>
    <w:rsid w:val="00897B9D"/>
    <w:rsid w:val="008A066B"/>
    <w:rsid w:val="008A0C2A"/>
    <w:rsid w:val="008A0C33"/>
    <w:rsid w:val="008A118F"/>
    <w:rsid w:val="008A1FC2"/>
    <w:rsid w:val="008A420D"/>
    <w:rsid w:val="008A54BD"/>
    <w:rsid w:val="008A56C1"/>
    <w:rsid w:val="008A57F4"/>
    <w:rsid w:val="008A5EE6"/>
    <w:rsid w:val="008A7D95"/>
    <w:rsid w:val="008B0836"/>
    <w:rsid w:val="008B1F7A"/>
    <w:rsid w:val="008B2492"/>
    <w:rsid w:val="008B287B"/>
    <w:rsid w:val="008B3570"/>
    <w:rsid w:val="008B36BD"/>
    <w:rsid w:val="008B4325"/>
    <w:rsid w:val="008B7453"/>
    <w:rsid w:val="008C0B0A"/>
    <w:rsid w:val="008C2059"/>
    <w:rsid w:val="008C233B"/>
    <w:rsid w:val="008C2CF4"/>
    <w:rsid w:val="008C3AB2"/>
    <w:rsid w:val="008C587E"/>
    <w:rsid w:val="008C5F36"/>
    <w:rsid w:val="008C7A6F"/>
    <w:rsid w:val="008D36B2"/>
    <w:rsid w:val="008D37B6"/>
    <w:rsid w:val="008D3C76"/>
    <w:rsid w:val="008D40D3"/>
    <w:rsid w:val="008D6718"/>
    <w:rsid w:val="008D728A"/>
    <w:rsid w:val="008D770F"/>
    <w:rsid w:val="008E2C03"/>
    <w:rsid w:val="008E3441"/>
    <w:rsid w:val="008E347B"/>
    <w:rsid w:val="008E3547"/>
    <w:rsid w:val="008E375F"/>
    <w:rsid w:val="008E37B0"/>
    <w:rsid w:val="008E5056"/>
    <w:rsid w:val="008E5406"/>
    <w:rsid w:val="008E6EAD"/>
    <w:rsid w:val="008F07AB"/>
    <w:rsid w:val="008F1306"/>
    <w:rsid w:val="008F1D3F"/>
    <w:rsid w:val="008F1F24"/>
    <w:rsid w:val="008F24BA"/>
    <w:rsid w:val="008F25C1"/>
    <w:rsid w:val="008F3227"/>
    <w:rsid w:val="008F3BE8"/>
    <w:rsid w:val="008F3D3D"/>
    <w:rsid w:val="008F5D22"/>
    <w:rsid w:val="008F6048"/>
    <w:rsid w:val="008F6CAE"/>
    <w:rsid w:val="00900761"/>
    <w:rsid w:val="0090184D"/>
    <w:rsid w:val="00902C04"/>
    <w:rsid w:val="009040D8"/>
    <w:rsid w:val="00905772"/>
    <w:rsid w:val="00905DB0"/>
    <w:rsid w:val="009068EB"/>
    <w:rsid w:val="00906F8C"/>
    <w:rsid w:val="00910E7A"/>
    <w:rsid w:val="00912AF7"/>
    <w:rsid w:val="00914209"/>
    <w:rsid w:val="00914621"/>
    <w:rsid w:val="00916A3E"/>
    <w:rsid w:val="00916F30"/>
    <w:rsid w:val="0091724A"/>
    <w:rsid w:val="009176E1"/>
    <w:rsid w:val="009218FB"/>
    <w:rsid w:val="00922B59"/>
    <w:rsid w:val="0092311E"/>
    <w:rsid w:val="00924395"/>
    <w:rsid w:val="009243B4"/>
    <w:rsid w:val="0092515B"/>
    <w:rsid w:val="00925774"/>
    <w:rsid w:val="00925955"/>
    <w:rsid w:val="00926ED9"/>
    <w:rsid w:val="009275A5"/>
    <w:rsid w:val="0092765D"/>
    <w:rsid w:val="0093136F"/>
    <w:rsid w:val="0093161D"/>
    <w:rsid w:val="00932984"/>
    <w:rsid w:val="00932FCD"/>
    <w:rsid w:val="00933BEE"/>
    <w:rsid w:val="009340A5"/>
    <w:rsid w:val="009343B9"/>
    <w:rsid w:val="00935C21"/>
    <w:rsid w:val="00935CA4"/>
    <w:rsid w:val="00935DCD"/>
    <w:rsid w:val="00936CF5"/>
    <w:rsid w:val="0093744E"/>
    <w:rsid w:val="0094034C"/>
    <w:rsid w:val="00940626"/>
    <w:rsid w:val="0094116F"/>
    <w:rsid w:val="009417B7"/>
    <w:rsid w:val="00941930"/>
    <w:rsid w:val="0094325B"/>
    <w:rsid w:val="00943FD2"/>
    <w:rsid w:val="00944CAD"/>
    <w:rsid w:val="00944E05"/>
    <w:rsid w:val="00945709"/>
    <w:rsid w:val="00945BDA"/>
    <w:rsid w:val="0095106D"/>
    <w:rsid w:val="00951E65"/>
    <w:rsid w:val="0095431C"/>
    <w:rsid w:val="009543E8"/>
    <w:rsid w:val="009565F2"/>
    <w:rsid w:val="009605B6"/>
    <w:rsid w:val="00961F08"/>
    <w:rsid w:val="00962362"/>
    <w:rsid w:val="00962836"/>
    <w:rsid w:val="009642D0"/>
    <w:rsid w:val="009653E7"/>
    <w:rsid w:val="00965BAF"/>
    <w:rsid w:val="009666E3"/>
    <w:rsid w:val="0096694D"/>
    <w:rsid w:val="00967F89"/>
    <w:rsid w:val="00970CF9"/>
    <w:rsid w:val="00970D45"/>
    <w:rsid w:val="0097137C"/>
    <w:rsid w:val="0097179D"/>
    <w:rsid w:val="00971869"/>
    <w:rsid w:val="009728DC"/>
    <w:rsid w:val="00973810"/>
    <w:rsid w:val="00974B75"/>
    <w:rsid w:val="009757E4"/>
    <w:rsid w:val="00977C63"/>
    <w:rsid w:val="0098061D"/>
    <w:rsid w:val="00980704"/>
    <w:rsid w:val="009816F5"/>
    <w:rsid w:val="00981B73"/>
    <w:rsid w:val="009842D6"/>
    <w:rsid w:val="00985E9E"/>
    <w:rsid w:val="009868AF"/>
    <w:rsid w:val="009870BB"/>
    <w:rsid w:val="00987153"/>
    <w:rsid w:val="00987F39"/>
    <w:rsid w:val="00990C4D"/>
    <w:rsid w:val="009917FE"/>
    <w:rsid w:val="009928DD"/>
    <w:rsid w:val="00992AAF"/>
    <w:rsid w:val="00992FD0"/>
    <w:rsid w:val="00995018"/>
    <w:rsid w:val="0099662D"/>
    <w:rsid w:val="00996D9F"/>
    <w:rsid w:val="00997572"/>
    <w:rsid w:val="00997779"/>
    <w:rsid w:val="009A22F1"/>
    <w:rsid w:val="009A2860"/>
    <w:rsid w:val="009A3895"/>
    <w:rsid w:val="009A4DD5"/>
    <w:rsid w:val="009A4F26"/>
    <w:rsid w:val="009A55BA"/>
    <w:rsid w:val="009A58A6"/>
    <w:rsid w:val="009A70C5"/>
    <w:rsid w:val="009A7ABB"/>
    <w:rsid w:val="009A7EE4"/>
    <w:rsid w:val="009B0000"/>
    <w:rsid w:val="009B2EDF"/>
    <w:rsid w:val="009B2F9C"/>
    <w:rsid w:val="009B31D9"/>
    <w:rsid w:val="009B368F"/>
    <w:rsid w:val="009B39E0"/>
    <w:rsid w:val="009B3AD6"/>
    <w:rsid w:val="009B3DEE"/>
    <w:rsid w:val="009B44D3"/>
    <w:rsid w:val="009B62C0"/>
    <w:rsid w:val="009B6E79"/>
    <w:rsid w:val="009B725E"/>
    <w:rsid w:val="009C03E3"/>
    <w:rsid w:val="009C173F"/>
    <w:rsid w:val="009C44C7"/>
    <w:rsid w:val="009C6C51"/>
    <w:rsid w:val="009C77E3"/>
    <w:rsid w:val="009C7F0C"/>
    <w:rsid w:val="009D0297"/>
    <w:rsid w:val="009D1339"/>
    <w:rsid w:val="009D2647"/>
    <w:rsid w:val="009D3773"/>
    <w:rsid w:val="009D41FD"/>
    <w:rsid w:val="009D48CF"/>
    <w:rsid w:val="009D6388"/>
    <w:rsid w:val="009D741F"/>
    <w:rsid w:val="009E3400"/>
    <w:rsid w:val="009E3AB5"/>
    <w:rsid w:val="009E4682"/>
    <w:rsid w:val="009E4E8D"/>
    <w:rsid w:val="009E5CCB"/>
    <w:rsid w:val="009E76AE"/>
    <w:rsid w:val="009F090E"/>
    <w:rsid w:val="009F0C06"/>
    <w:rsid w:val="009F3C22"/>
    <w:rsid w:val="009F6C06"/>
    <w:rsid w:val="009F6E15"/>
    <w:rsid w:val="00A003B0"/>
    <w:rsid w:val="00A0058B"/>
    <w:rsid w:val="00A0081B"/>
    <w:rsid w:val="00A008A1"/>
    <w:rsid w:val="00A00B3E"/>
    <w:rsid w:val="00A00D99"/>
    <w:rsid w:val="00A0193C"/>
    <w:rsid w:val="00A03E90"/>
    <w:rsid w:val="00A05BBC"/>
    <w:rsid w:val="00A06528"/>
    <w:rsid w:val="00A06EA2"/>
    <w:rsid w:val="00A0751B"/>
    <w:rsid w:val="00A077F7"/>
    <w:rsid w:val="00A105FB"/>
    <w:rsid w:val="00A10E6E"/>
    <w:rsid w:val="00A123A2"/>
    <w:rsid w:val="00A12742"/>
    <w:rsid w:val="00A12DAC"/>
    <w:rsid w:val="00A1380A"/>
    <w:rsid w:val="00A13C65"/>
    <w:rsid w:val="00A142B1"/>
    <w:rsid w:val="00A154EF"/>
    <w:rsid w:val="00A20ECC"/>
    <w:rsid w:val="00A21068"/>
    <w:rsid w:val="00A2109C"/>
    <w:rsid w:val="00A21AD2"/>
    <w:rsid w:val="00A23D1F"/>
    <w:rsid w:val="00A24061"/>
    <w:rsid w:val="00A24CDC"/>
    <w:rsid w:val="00A25836"/>
    <w:rsid w:val="00A30D69"/>
    <w:rsid w:val="00A34696"/>
    <w:rsid w:val="00A36CD9"/>
    <w:rsid w:val="00A3704E"/>
    <w:rsid w:val="00A40CB6"/>
    <w:rsid w:val="00A40DE3"/>
    <w:rsid w:val="00A41F8D"/>
    <w:rsid w:val="00A42CCD"/>
    <w:rsid w:val="00A478F5"/>
    <w:rsid w:val="00A50C3E"/>
    <w:rsid w:val="00A50C88"/>
    <w:rsid w:val="00A530F9"/>
    <w:rsid w:val="00A53CFD"/>
    <w:rsid w:val="00A54F4E"/>
    <w:rsid w:val="00A55B57"/>
    <w:rsid w:val="00A56FF4"/>
    <w:rsid w:val="00A5756E"/>
    <w:rsid w:val="00A57BDB"/>
    <w:rsid w:val="00A6013C"/>
    <w:rsid w:val="00A62F14"/>
    <w:rsid w:val="00A63E02"/>
    <w:rsid w:val="00A6455A"/>
    <w:rsid w:val="00A655FE"/>
    <w:rsid w:val="00A70A11"/>
    <w:rsid w:val="00A740F4"/>
    <w:rsid w:val="00A74127"/>
    <w:rsid w:val="00A742B0"/>
    <w:rsid w:val="00A74921"/>
    <w:rsid w:val="00A753DF"/>
    <w:rsid w:val="00A7593D"/>
    <w:rsid w:val="00A75CCD"/>
    <w:rsid w:val="00A7630F"/>
    <w:rsid w:val="00A776B4"/>
    <w:rsid w:val="00A812F2"/>
    <w:rsid w:val="00A822D8"/>
    <w:rsid w:val="00A82D91"/>
    <w:rsid w:val="00A842C6"/>
    <w:rsid w:val="00A84699"/>
    <w:rsid w:val="00A8607B"/>
    <w:rsid w:val="00A8685C"/>
    <w:rsid w:val="00A90E8C"/>
    <w:rsid w:val="00A92725"/>
    <w:rsid w:val="00A930AC"/>
    <w:rsid w:val="00A93886"/>
    <w:rsid w:val="00A95DE7"/>
    <w:rsid w:val="00A978AC"/>
    <w:rsid w:val="00A9793A"/>
    <w:rsid w:val="00AA0424"/>
    <w:rsid w:val="00AA13DE"/>
    <w:rsid w:val="00AA22D1"/>
    <w:rsid w:val="00AA273D"/>
    <w:rsid w:val="00AA2E03"/>
    <w:rsid w:val="00AA3481"/>
    <w:rsid w:val="00AA44FC"/>
    <w:rsid w:val="00AA5267"/>
    <w:rsid w:val="00AA62C9"/>
    <w:rsid w:val="00AA6EA1"/>
    <w:rsid w:val="00AB0152"/>
    <w:rsid w:val="00AB0558"/>
    <w:rsid w:val="00AB0E18"/>
    <w:rsid w:val="00AB1BEA"/>
    <w:rsid w:val="00AB2B45"/>
    <w:rsid w:val="00AB2F56"/>
    <w:rsid w:val="00AB32C0"/>
    <w:rsid w:val="00AB501C"/>
    <w:rsid w:val="00AB59F6"/>
    <w:rsid w:val="00AB63ED"/>
    <w:rsid w:val="00AB65CA"/>
    <w:rsid w:val="00AB6F55"/>
    <w:rsid w:val="00AB7B17"/>
    <w:rsid w:val="00AC14E2"/>
    <w:rsid w:val="00AC2CCB"/>
    <w:rsid w:val="00AC3A78"/>
    <w:rsid w:val="00AC44B8"/>
    <w:rsid w:val="00AC46E6"/>
    <w:rsid w:val="00AC5D8B"/>
    <w:rsid w:val="00AC72E8"/>
    <w:rsid w:val="00AD0324"/>
    <w:rsid w:val="00AD0768"/>
    <w:rsid w:val="00AD189F"/>
    <w:rsid w:val="00AD18F4"/>
    <w:rsid w:val="00AD19F8"/>
    <w:rsid w:val="00AD402A"/>
    <w:rsid w:val="00AD460A"/>
    <w:rsid w:val="00AD46BD"/>
    <w:rsid w:val="00AD4F27"/>
    <w:rsid w:val="00AD50E7"/>
    <w:rsid w:val="00AD6F57"/>
    <w:rsid w:val="00AD6F81"/>
    <w:rsid w:val="00AD789E"/>
    <w:rsid w:val="00AD7A26"/>
    <w:rsid w:val="00AD7AD1"/>
    <w:rsid w:val="00AE0FBE"/>
    <w:rsid w:val="00AE14D8"/>
    <w:rsid w:val="00AE2359"/>
    <w:rsid w:val="00AE27CE"/>
    <w:rsid w:val="00AE2FFB"/>
    <w:rsid w:val="00AE3FE0"/>
    <w:rsid w:val="00AE458C"/>
    <w:rsid w:val="00AE4A66"/>
    <w:rsid w:val="00AE4DD7"/>
    <w:rsid w:val="00AE4ED9"/>
    <w:rsid w:val="00AE57C4"/>
    <w:rsid w:val="00AE6259"/>
    <w:rsid w:val="00AF0342"/>
    <w:rsid w:val="00AF0548"/>
    <w:rsid w:val="00AF08D0"/>
    <w:rsid w:val="00AF0DF6"/>
    <w:rsid w:val="00AF10E3"/>
    <w:rsid w:val="00AF2AF2"/>
    <w:rsid w:val="00AF2DAB"/>
    <w:rsid w:val="00AF3E51"/>
    <w:rsid w:val="00AF6D6A"/>
    <w:rsid w:val="00AF6DF3"/>
    <w:rsid w:val="00AF77B5"/>
    <w:rsid w:val="00AF7C01"/>
    <w:rsid w:val="00B00095"/>
    <w:rsid w:val="00B003A0"/>
    <w:rsid w:val="00B011EF"/>
    <w:rsid w:val="00B01F1D"/>
    <w:rsid w:val="00B04986"/>
    <w:rsid w:val="00B056DC"/>
    <w:rsid w:val="00B05964"/>
    <w:rsid w:val="00B113CD"/>
    <w:rsid w:val="00B11B3B"/>
    <w:rsid w:val="00B11CCC"/>
    <w:rsid w:val="00B11EE0"/>
    <w:rsid w:val="00B12121"/>
    <w:rsid w:val="00B128A0"/>
    <w:rsid w:val="00B12AFF"/>
    <w:rsid w:val="00B141B1"/>
    <w:rsid w:val="00B156BC"/>
    <w:rsid w:val="00B1780B"/>
    <w:rsid w:val="00B17F63"/>
    <w:rsid w:val="00B20BEB"/>
    <w:rsid w:val="00B2181C"/>
    <w:rsid w:val="00B2281A"/>
    <w:rsid w:val="00B231C6"/>
    <w:rsid w:val="00B233CB"/>
    <w:rsid w:val="00B24CDD"/>
    <w:rsid w:val="00B257A2"/>
    <w:rsid w:val="00B26226"/>
    <w:rsid w:val="00B268B2"/>
    <w:rsid w:val="00B3018D"/>
    <w:rsid w:val="00B31FCC"/>
    <w:rsid w:val="00B33546"/>
    <w:rsid w:val="00B3438A"/>
    <w:rsid w:val="00B378E6"/>
    <w:rsid w:val="00B4075E"/>
    <w:rsid w:val="00B4091D"/>
    <w:rsid w:val="00B40A2E"/>
    <w:rsid w:val="00B4131C"/>
    <w:rsid w:val="00B428B9"/>
    <w:rsid w:val="00B42B05"/>
    <w:rsid w:val="00B43345"/>
    <w:rsid w:val="00B43713"/>
    <w:rsid w:val="00B4388F"/>
    <w:rsid w:val="00B442D3"/>
    <w:rsid w:val="00B44315"/>
    <w:rsid w:val="00B447A2"/>
    <w:rsid w:val="00B45059"/>
    <w:rsid w:val="00B458BE"/>
    <w:rsid w:val="00B47742"/>
    <w:rsid w:val="00B50927"/>
    <w:rsid w:val="00B50954"/>
    <w:rsid w:val="00B53073"/>
    <w:rsid w:val="00B5672F"/>
    <w:rsid w:val="00B5709C"/>
    <w:rsid w:val="00B60D17"/>
    <w:rsid w:val="00B60FDC"/>
    <w:rsid w:val="00B62F05"/>
    <w:rsid w:val="00B6352F"/>
    <w:rsid w:val="00B63710"/>
    <w:rsid w:val="00B63F50"/>
    <w:rsid w:val="00B65DEE"/>
    <w:rsid w:val="00B67278"/>
    <w:rsid w:val="00B67280"/>
    <w:rsid w:val="00B704DF"/>
    <w:rsid w:val="00B70D91"/>
    <w:rsid w:val="00B715D7"/>
    <w:rsid w:val="00B71BCF"/>
    <w:rsid w:val="00B71EFA"/>
    <w:rsid w:val="00B72C90"/>
    <w:rsid w:val="00B73D31"/>
    <w:rsid w:val="00B75C6F"/>
    <w:rsid w:val="00B76B37"/>
    <w:rsid w:val="00B76DFA"/>
    <w:rsid w:val="00B80B16"/>
    <w:rsid w:val="00B81AB9"/>
    <w:rsid w:val="00B821F3"/>
    <w:rsid w:val="00B8221F"/>
    <w:rsid w:val="00B82989"/>
    <w:rsid w:val="00B8524C"/>
    <w:rsid w:val="00B8570F"/>
    <w:rsid w:val="00B85FB6"/>
    <w:rsid w:val="00B87F72"/>
    <w:rsid w:val="00B92265"/>
    <w:rsid w:val="00B93998"/>
    <w:rsid w:val="00B94821"/>
    <w:rsid w:val="00B94E0E"/>
    <w:rsid w:val="00B97B85"/>
    <w:rsid w:val="00BA06A0"/>
    <w:rsid w:val="00BA1049"/>
    <w:rsid w:val="00BA18BA"/>
    <w:rsid w:val="00BA1F2B"/>
    <w:rsid w:val="00BA2F3D"/>
    <w:rsid w:val="00BA3695"/>
    <w:rsid w:val="00BA390A"/>
    <w:rsid w:val="00BA407C"/>
    <w:rsid w:val="00BA4FD3"/>
    <w:rsid w:val="00BA5B9D"/>
    <w:rsid w:val="00BA73B3"/>
    <w:rsid w:val="00BA7894"/>
    <w:rsid w:val="00BB0646"/>
    <w:rsid w:val="00BB0785"/>
    <w:rsid w:val="00BB0E5F"/>
    <w:rsid w:val="00BB0EC6"/>
    <w:rsid w:val="00BB1DEF"/>
    <w:rsid w:val="00BB5CE8"/>
    <w:rsid w:val="00BB6EF2"/>
    <w:rsid w:val="00BB7F86"/>
    <w:rsid w:val="00BB7FFC"/>
    <w:rsid w:val="00BC046B"/>
    <w:rsid w:val="00BC083C"/>
    <w:rsid w:val="00BC1290"/>
    <w:rsid w:val="00BC22EE"/>
    <w:rsid w:val="00BC3B5D"/>
    <w:rsid w:val="00BC4D83"/>
    <w:rsid w:val="00BC6080"/>
    <w:rsid w:val="00BC6651"/>
    <w:rsid w:val="00BC66A3"/>
    <w:rsid w:val="00BC720E"/>
    <w:rsid w:val="00BC78B2"/>
    <w:rsid w:val="00BD0049"/>
    <w:rsid w:val="00BD0681"/>
    <w:rsid w:val="00BD139F"/>
    <w:rsid w:val="00BD1EC2"/>
    <w:rsid w:val="00BD2595"/>
    <w:rsid w:val="00BD3521"/>
    <w:rsid w:val="00BD45F8"/>
    <w:rsid w:val="00BD4BD8"/>
    <w:rsid w:val="00BD6A16"/>
    <w:rsid w:val="00BD6ECA"/>
    <w:rsid w:val="00BD7E89"/>
    <w:rsid w:val="00BE0A4C"/>
    <w:rsid w:val="00BE0DF6"/>
    <w:rsid w:val="00BE1457"/>
    <w:rsid w:val="00BE37A8"/>
    <w:rsid w:val="00BE43F2"/>
    <w:rsid w:val="00BE49FB"/>
    <w:rsid w:val="00BE5908"/>
    <w:rsid w:val="00BE6C10"/>
    <w:rsid w:val="00BE7D95"/>
    <w:rsid w:val="00BF0AF1"/>
    <w:rsid w:val="00BF0D44"/>
    <w:rsid w:val="00BF1F5E"/>
    <w:rsid w:val="00BF289B"/>
    <w:rsid w:val="00BF59D9"/>
    <w:rsid w:val="00BF678D"/>
    <w:rsid w:val="00C02D44"/>
    <w:rsid w:val="00C04DC1"/>
    <w:rsid w:val="00C06192"/>
    <w:rsid w:val="00C07A16"/>
    <w:rsid w:val="00C110D6"/>
    <w:rsid w:val="00C12A55"/>
    <w:rsid w:val="00C13517"/>
    <w:rsid w:val="00C149E4"/>
    <w:rsid w:val="00C15267"/>
    <w:rsid w:val="00C162CE"/>
    <w:rsid w:val="00C169FA"/>
    <w:rsid w:val="00C1750D"/>
    <w:rsid w:val="00C17C5E"/>
    <w:rsid w:val="00C20FA8"/>
    <w:rsid w:val="00C22B5C"/>
    <w:rsid w:val="00C255A2"/>
    <w:rsid w:val="00C25E6C"/>
    <w:rsid w:val="00C262E1"/>
    <w:rsid w:val="00C27150"/>
    <w:rsid w:val="00C278C9"/>
    <w:rsid w:val="00C27AAB"/>
    <w:rsid w:val="00C32FD7"/>
    <w:rsid w:val="00C33050"/>
    <w:rsid w:val="00C33B01"/>
    <w:rsid w:val="00C34BE5"/>
    <w:rsid w:val="00C363CC"/>
    <w:rsid w:val="00C377BB"/>
    <w:rsid w:val="00C37BDB"/>
    <w:rsid w:val="00C40B4A"/>
    <w:rsid w:val="00C4267A"/>
    <w:rsid w:val="00C44738"/>
    <w:rsid w:val="00C44EDF"/>
    <w:rsid w:val="00C4508D"/>
    <w:rsid w:val="00C4520B"/>
    <w:rsid w:val="00C503EC"/>
    <w:rsid w:val="00C5298E"/>
    <w:rsid w:val="00C52E0B"/>
    <w:rsid w:val="00C542AB"/>
    <w:rsid w:val="00C5565E"/>
    <w:rsid w:val="00C57451"/>
    <w:rsid w:val="00C57CF4"/>
    <w:rsid w:val="00C57FEA"/>
    <w:rsid w:val="00C62702"/>
    <w:rsid w:val="00C634E4"/>
    <w:rsid w:val="00C6461D"/>
    <w:rsid w:val="00C712E2"/>
    <w:rsid w:val="00C7146D"/>
    <w:rsid w:val="00C71FA7"/>
    <w:rsid w:val="00C73F9B"/>
    <w:rsid w:val="00C743B3"/>
    <w:rsid w:val="00C747CD"/>
    <w:rsid w:val="00C74E16"/>
    <w:rsid w:val="00C74FC2"/>
    <w:rsid w:val="00C754E7"/>
    <w:rsid w:val="00C75CD3"/>
    <w:rsid w:val="00C7769C"/>
    <w:rsid w:val="00C77D62"/>
    <w:rsid w:val="00C801F8"/>
    <w:rsid w:val="00C82247"/>
    <w:rsid w:val="00C84706"/>
    <w:rsid w:val="00C85459"/>
    <w:rsid w:val="00C8580A"/>
    <w:rsid w:val="00C86938"/>
    <w:rsid w:val="00C86BAD"/>
    <w:rsid w:val="00C86CDE"/>
    <w:rsid w:val="00C87132"/>
    <w:rsid w:val="00C90F1F"/>
    <w:rsid w:val="00C9238A"/>
    <w:rsid w:val="00C92A7F"/>
    <w:rsid w:val="00C92D86"/>
    <w:rsid w:val="00C93954"/>
    <w:rsid w:val="00C95744"/>
    <w:rsid w:val="00C95795"/>
    <w:rsid w:val="00CA276E"/>
    <w:rsid w:val="00CA34CB"/>
    <w:rsid w:val="00CA4077"/>
    <w:rsid w:val="00CA4DDC"/>
    <w:rsid w:val="00CA7D9B"/>
    <w:rsid w:val="00CB099F"/>
    <w:rsid w:val="00CB0B7A"/>
    <w:rsid w:val="00CB2257"/>
    <w:rsid w:val="00CB3B1E"/>
    <w:rsid w:val="00CB430F"/>
    <w:rsid w:val="00CB4CD4"/>
    <w:rsid w:val="00CB5345"/>
    <w:rsid w:val="00CB5482"/>
    <w:rsid w:val="00CB65A0"/>
    <w:rsid w:val="00CC0048"/>
    <w:rsid w:val="00CC267B"/>
    <w:rsid w:val="00CC2CD0"/>
    <w:rsid w:val="00CC3DE1"/>
    <w:rsid w:val="00CD0DED"/>
    <w:rsid w:val="00CD101B"/>
    <w:rsid w:val="00CD2678"/>
    <w:rsid w:val="00CD37FD"/>
    <w:rsid w:val="00CD40EC"/>
    <w:rsid w:val="00CD4CFE"/>
    <w:rsid w:val="00CD5339"/>
    <w:rsid w:val="00CD6558"/>
    <w:rsid w:val="00CD6736"/>
    <w:rsid w:val="00CD6AA2"/>
    <w:rsid w:val="00CE05E1"/>
    <w:rsid w:val="00CE07E2"/>
    <w:rsid w:val="00CE125E"/>
    <w:rsid w:val="00CE18C2"/>
    <w:rsid w:val="00CE2538"/>
    <w:rsid w:val="00CE2619"/>
    <w:rsid w:val="00CE32FD"/>
    <w:rsid w:val="00CE452B"/>
    <w:rsid w:val="00CE5632"/>
    <w:rsid w:val="00CF042F"/>
    <w:rsid w:val="00CF08EB"/>
    <w:rsid w:val="00CF10D5"/>
    <w:rsid w:val="00CF1DBB"/>
    <w:rsid w:val="00CF2EFD"/>
    <w:rsid w:val="00CF33D9"/>
    <w:rsid w:val="00CF34F1"/>
    <w:rsid w:val="00CF4FCF"/>
    <w:rsid w:val="00CF5598"/>
    <w:rsid w:val="00CF70B5"/>
    <w:rsid w:val="00CF7E33"/>
    <w:rsid w:val="00D01F97"/>
    <w:rsid w:val="00D0406F"/>
    <w:rsid w:val="00D04184"/>
    <w:rsid w:val="00D04395"/>
    <w:rsid w:val="00D059F8"/>
    <w:rsid w:val="00D0653E"/>
    <w:rsid w:val="00D06AB2"/>
    <w:rsid w:val="00D074A8"/>
    <w:rsid w:val="00D07CC5"/>
    <w:rsid w:val="00D1013C"/>
    <w:rsid w:val="00D1050E"/>
    <w:rsid w:val="00D1070A"/>
    <w:rsid w:val="00D113FC"/>
    <w:rsid w:val="00D11668"/>
    <w:rsid w:val="00D123FF"/>
    <w:rsid w:val="00D13416"/>
    <w:rsid w:val="00D136DA"/>
    <w:rsid w:val="00D15901"/>
    <w:rsid w:val="00D17C67"/>
    <w:rsid w:val="00D17F02"/>
    <w:rsid w:val="00D20599"/>
    <w:rsid w:val="00D20A6C"/>
    <w:rsid w:val="00D21D2F"/>
    <w:rsid w:val="00D24059"/>
    <w:rsid w:val="00D24B5A"/>
    <w:rsid w:val="00D27322"/>
    <w:rsid w:val="00D273A2"/>
    <w:rsid w:val="00D30B14"/>
    <w:rsid w:val="00D30EA5"/>
    <w:rsid w:val="00D317A9"/>
    <w:rsid w:val="00D326F8"/>
    <w:rsid w:val="00D32991"/>
    <w:rsid w:val="00D35E25"/>
    <w:rsid w:val="00D3606A"/>
    <w:rsid w:val="00D36C04"/>
    <w:rsid w:val="00D370C2"/>
    <w:rsid w:val="00D37EA4"/>
    <w:rsid w:val="00D407E8"/>
    <w:rsid w:val="00D4107D"/>
    <w:rsid w:val="00D42284"/>
    <w:rsid w:val="00D42939"/>
    <w:rsid w:val="00D43190"/>
    <w:rsid w:val="00D447B8"/>
    <w:rsid w:val="00D452F7"/>
    <w:rsid w:val="00D45307"/>
    <w:rsid w:val="00D45FC4"/>
    <w:rsid w:val="00D46D74"/>
    <w:rsid w:val="00D50C63"/>
    <w:rsid w:val="00D521F6"/>
    <w:rsid w:val="00D52FC6"/>
    <w:rsid w:val="00D5329D"/>
    <w:rsid w:val="00D532D6"/>
    <w:rsid w:val="00D5534A"/>
    <w:rsid w:val="00D56008"/>
    <w:rsid w:val="00D56719"/>
    <w:rsid w:val="00D6069B"/>
    <w:rsid w:val="00D60B8B"/>
    <w:rsid w:val="00D60F8A"/>
    <w:rsid w:val="00D61627"/>
    <w:rsid w:val="00D635F0"/>
    <w:rsid w:val="00D648EF"/>
    <w:rsid w:val="00D657FB"/>
    <w:rsid w:val="00D65B4B"/>
    <w:rsid w:val="00D67C56"/>
    <w:rsid w:val="00D72E90"/>
    <w:rsid w:val="00D733FF"/>
    <w:rsid w:val="00D7456B"/>
    <w:rsid w:val="00D74890"/>
    <w:rsid w:val="00D74F2B"/>
    <w:rsid w:val="00D75121"/>
    <w:rsid w:val="00D75F84"/>
    <w:rsid w:val="00D760C2"/>
    <w:rsid w:val="00D77B8C"/>
    <w:rsid w:val="00D8129D"/>
    <w:rsid w:val="00D8433B"/>
    <w:rsid w:val="00D84E14"/>
    <w:rsid w:val="00D84E88"/>
    <w:rsid w:val="00D855E6"/>
    <w:rsid w:val="00D85F94"/>
    <w:rsid w:val="00D866BD"/>
    <w:rsid w:val="00D8771F"/>
    <w:rsid w:val="00D87CC3"/>
    <w:rsid w:val="00D9016F"/>
    <w:rsid w:val="00D924FB"/>
    <w:rsid w:val="00D934D0"/>
    <w:rsid w:val="00D94734"/>
    <w:rsid w:val="00D949B9"/>
    <w:rsid w:val="00D95484"/>
    <w:rsid w:val="00DA1C41"/>
    <w:rsid w:val="00DA33AB"/>
    <w:rsid w:val="00DA35AA"/>
    <w:rsid w:val="00DA4B64"/>
    <w:rsid w:val="00DA4F34"/>
    <w:rsid w:val="00DA5664"/>
    <w:rsid w:val="00DA57F3"/>
    <w:rsid w:val="00DA6E27"/>
    <w:rsid w:val="00DB01D5"/>
    <w:rsid w:val="00DB01EC"/>
    <w:rsid w:val="00DB0330"/>
    <w:rsid w:val="00DB0769"/>
    <w:rsid w:val="00DB2F5C"/>
    <w:rsid w:val="00DB3258"/>
    <w:rsid w:val="00DB4A9A"/>
    <w:rsid w:val="00DB5687"/>
    <w:rsid w:val="00DB570F"/>
    <w:rsid w:val="00DB689F"/>
    <w:rsid w:val="00DB6CC4"/>
    <w:rsid w:val="00DB70BB"/>
    <w:rsid w:val="00DC0F28"/>
    <w:rsid w:val="00DC2617"/>
    <w:rsid w:val="00DC2D3E"/>
    <w:rsid w:val="00DC2FFE"/>
    <w:rsid w:val="00DC458A"/>
    <w:rsid w:val="00DC4655"/>
    <w:rsid w:val="00DC5F51"/>
    <w:rsid w:val="00DC6421"/>
    <w:rsid w:val="00DC73E0"/>
    <w:rsid w:val="00DC7A5D"/>
    <w:rsid w:val="00DD16EC"/>
    <w:rsid w:val="00DD4AE6"/>
    <w:rsid w:val="00DD55F6"/>
    <w:rsid w:val="00DD560A"/>
    <w:rsid w:val="00DD714C"/>
    <w:rsid w:val="00DE04DA"/>
    <w:rsid w:val="00DE052B"/>
    <w:rsid w:val="00DE05FD"/>
    <w:rsid w:val="00DE34B4"/>
    <w:rsid w:val="00DE35B2"/>
    <w:rsid w:val="00DE3A2F"/>
    <w:rsid w:val="00DE5031"/>
    <w:rsid w:val="00DE5A44"/>
    <w:rsid w:val="00DF0437"/>
    <w:rsid w:val="00DF151F"/>
    <w:rsid w:val="00DF1EEF"/>
    <w:rsid w:val="00DF248D"/>
    <w:rsid w:val="00DF2897"/>
    <w:rsid w:val="00DF373A"/>
    <w:rsid w:val="00DF551A"/>
    <w:rsid w:val="00DF5995"/>
    <w:rsid w:val="00E02A87"/>
    <w:rsid w:val="00E0337F"/>
    <w:rsid w:val="00E03C25"/>
    <w:rsid w:val="00E0486F"/>
    <w:rsid w:val="00E04D59"/>
    <w:rsid w:val="00E0532C"/>
    <w:rsid w:val="00E07B8B"/>
    <w:rsid w:val="00E105ED"/>
    <w:rsid w:val="00E11E96"/>
    <w:rsid w:val="00E13919"/>
    <w:rsid w:val="00E13C57"/>
    <w:rsid w:val="00E153E8"/>
    <w:rsid w:val="00E16623"/>
    <w:rsid w:val="00E170CB"/>
    <w:rsid w:val="00E17212"/>
    <w:rsid w:val="00E17A41"/>
    <w:rsid w:val="00E17BEF"/>
    <w:rsid w:val="00E222D0"/>
    <w:rsid w:val="00E2257C"/>
    <w:rsid w:val="00E22839"/>
    <w:rsid w:val="00E24489"/>
    <w:rsid w:val="00E245AD"/>
    <w:rsid w:val="00E24E73"/>
    <w:rsid w:val="00E256E4"/>
    <w:rsid w:val="00E2607F"/>
    <w:rsid w:val="00E260C2"/>
    <w:rsid w:val="00E27AB8"/>
    <w:rsid w:val="00E27C9E"/>
    <w:rsid w:val="00E30659"/>
    <w:rsid w:val="00E3298A"/>
    <w:rsid w:val="00E33D84"/>
    <w:rsid w:val="00E340FD"/>
    <w:rsid w:val="00E34111"/>
    <w:rsid w:val="00E34E0C"/>
    <w:rsid w:val="00E356F8"/>
    <w:rsid w:val="00E36239"/>
    <w:rsid w:val="00E363DB"/>
    <w:rsid w:val="00E3756A"/>
    <w:rsid w:val="00E3757F"/>
    <w:rsid w:val="00E40B1C"/>
    <w:rsid w:val="00E40E84"/>
    <w:rsid w:val="00E41666"/>
    <w:rsid w:val="00E418FE"/>
    <w:rsid w:val="00E42410"/>
    <w:rsid w:val="00E4270D"/>
    <w:rsid w:val="00E42A8C"/>
    <w:rsid w:val="00E42AF0"/>
    <w:rsid w:val="00E42E4F"/>
    <w:rsid w:val="00E4335A"/>
    <w:rsid w:val="00E4347A"/>
    <w:rsid w:val="00E44582"/>
    <w:rsid w:val="00E44780"/>
    <w:rsid w:val="00E448BD"/>
    <w:rsid w:val="00E4548E"/>
    <w:rsid w:val="00E45C2A"/>
    <w:rsid w:val="00E4602B"/>
    <w:rsid w:val="00E46B11"/>
    <w:rsid w:val="00E47D9D"/>
    <w:rsid w:val="00E51E42"/>
    <w:rsid w:val="00E52802"/>
    <w:rsid w:val="00E53138"/>
    <w:rsid w:val="00E538FA"/>
    <w:rsid w:val="00E53C85"/>
    <w:rsid w:val="00E55936"/>
    <w:rsid w:val="00E6075C"/>
    <w:rsid w:val="00E60ECF"/>
    <w:rsid w:val="00E63981"/>
    <w:rsid w:val="00E644C3"/>
    <w:rsid w:val="00E65020"/>
    <w:rsid w:val="00E6706B"/>
    <w:rsid w:val="00E67444"/>
    <w:rsid w:val="00E706DD"/>
    <w:rsid w:val="00E74CF5"/>
    <w:rsid w:val="00E74D65"/>
    <w:rsid w:val="00E75792"/>
    <w:rsid w:val="00E7695B"/>
    <w:rsid w:val="00E81CB5"/>
    <w:rsid w:val="00E92C1E"/>
    <w:rsid w:val="00E948DB"/>
    <w:rsid w:val="00EA0116"/>
    <w:rsid w:val="00EA066A"/>
    <w:rsid w:val="00EA19D7"/>
    <w:rsid w:val="00EA25A1"/>
    <w:rsid w:val="00EA25FC"/>
    <w:rsid w:val="00EA413C"/>
    <w:rsid w:val="00EA45B1"/>
    <w:rsid w:val="00EA4882"/>
    <w:rsid w:val="00EA4DBE"/>
    <w:rsid w:val="00EA533D"/>
    <w:rsid w:val="00EA6116"/>
    <w:rsid w:val="00EA6213"/>
    <w:rsid w:val="00EA6238"/>
    <w:rsid w:val="00EA75CD"/>
    <w:rsid w:val="00EA7A0E"/>
    <w:rsid w:val="00EB07A1"/>
    <w:rsid w:val="00EB0B7C"/>
    <w:rsid w:val="00EB1089"/>
    <w:rsid w:val="00EB312B"/>
    <w:rsid w:val="00EB5CC8"/>
    <w:rsid w:val="00EB60A5"/>
    <w:rsid w:val="00EB6802"/>
    <w:rsid w:val="00EB68C7"/>
    <w:rsid w:val="00EC0C42"/>
    <w:rsid w:val="00EC1323"/>
    <w:rsid w:val="00EC1497"/>
    <w:rsid w:val="00EC1A75"/>
    <w:rsid w:val="00EC28DD"/>
    <w:rsid w:val="00EC4277"/>
    <w:rsid w:val="00EC45B3"/>
    <w:rsid w:val="00EC469A"/>
    <w:rsid w:val="00EC48E5"/>
    <w:rsid w:val="00EC4AE4"/>
    <w:rsid w:val="00EC5517"/>
    <w:rsid w:val="00EC59D2"/>
    <w:rsid w:val="00EC5A84"/>
    <w:rsid w:val="00EC7843"/>
    <w:rsid w:val="00ED0453"/>
    <w:rsid w:val="00ED0A6C"/>
    <w:rsid w:val="00ED1252"/>
    <w:rsid w:val="00ED182E"/>
    <w:rsid w:val="00ED1AF0"/>
    <w:rsid w:val="00ED2B86"/>
    <w:rsid w:val="00ED3827"/>
    <w:rsid w:val="00ED44EB"/>
    <w:rsid w:val="00ED53B2"/>
    <w:rsid w:val="00ED5EA7"/>
    <w:rsid w:val="00ED6B94"/>
    <w:rsid w:val="00EE0286"/>
    <w:rsid w:val="00EE157D"/>
    <w:rsid w:val="00EE4362"/>
    <w:rsid w:val="00EE4A21"/>
    <w:rsid w:val="00EE4E36"/>
    <w:rsid w:val="00EE534D"/>
    <w:rsid w:val="00EE6F03"/>
    <w:rsid w:val="00EE7EDC"/>
    <w:rsid w:val="00EE7FBB"/>
    <w:rsid w:val="00EF0916"/>
    <w:rsid w:val="00EF2CAB"/>
    <w:rsid w:val="00EF3C4A"/>
    <w:rsid w:val="00EF4263"/>
    <w:rsid w:val="00EF45B9"/>
    <w:rsid w:val="00EF5877"/>
    <w:rsid w:val="00F0194F"/>
    <w:rsid w:val="00F03A89"/>
    <w:rsid w:val="00F03BF2"/>
    <w:rsid w:val="00F03DBD"/>
    <w:rsid w:val="00F04833"/>
    <w:rsid w:val="00F06CDA"/>
    <w:rsid w:val="00F1082A"/>
    <w:rsid w:val="00F1232C"/>
    <w:rsid w:val="00F212A6"/>
    <w:rsid w:val="00F21671"/>
    <w:rsid w:val="00F23062"/>
    <w:rsid w:val="00F23BBD"/>
    <w:rsid w:val="00F241CE"/>
    <w:rsid w:val="00F24C2F"/>
    <w:rsid w:val="00F256CC"/>
    <w:rsid w:val="00F3024E"/>
    <w:rsid w:val="00F31B36"/>
    <w:rsid w:val="00F32951"/>
    <w:rsid w:val="00F32955"/>
    <w:rsid w:val="00F32EF3"/>
    <w:rsid w:val="00F3378C"/>
    <w:rsid w:val="00F33A97"/>
    <w:rsid w:val="00F35514"/>
    <w:rsid w:val="00F359B1"/>
    <w:rsid w:val="00F35C36"/>
    <w:rsid w:val="00F365AE"/>
    <w:rsid w:val="00F36AF9"/>
    <w:rsid w:val="00F37432"/>
    <w:rsid w:val="00F40987"/>
    <w:rsid w:val="00F40FE8"/>
    <w:rsid w:val="00F411E0"/>
    <w:rsid w:val="00F427D2"/>
    <w:rsid w:val="00F43893"/>
    <w:rsid w:val="00F459E2"/>
    <w:rsid w:val="00F53FF6"/>
    <w:rsid w:val="00F54BDE"/>
    <w:rsid w:val="00F5503C"/>
    <w:rsid w:val="00F570C6"/>
    <w:rsid w:val="00F619DA"/>
    <w:rsid w:val="00F62802"/>
    <w:rsid w:val="00F62CC4"/>
    <w:rsid w:val="00F63F48"/>
    <w:rsid w:val="00F65430"/>
    <w:rsid w:val="00F66A3F"/>
    <w:rsid w:val="00F70627"/>
    <w:rsid w:val="00F706B3"/>
    <w:rsid w:val="00F70C84"/>
    <w:rsid w:val="00F72E6A"/>
    <w:rsid w:val="00F72FE7"/>
    <w:rsid w:val="00F736AD"/>
    <w:rsid w:val="00F74823"/>
    <w:rsid w:val="00F74C83"/>
    <w:rsid w:val="00F75FDE"/>
    <w:rsid w:val="00F771D5"/>
    <w:rsid w:val="00F77997"/>
    <w:rsid w:val="00F8202C"/>
    <w:rsid w:val="00F836E0"/>
    <w:rsid w:val="00F843FD"/>
    <w:rsid w:val="00F84843"/>
    <w:rsid w:val="00F84BFD"/>
    <w:rsid w:val="00F84E8F"/>
    <w:rsid w:val="00F864B6"/>
    <w:rsid w:val="00F919B9"/>
    <w:rsid w:val="00F9220B"/>
    <w:rsid w:val="00F923C8"/>
    <w:rsid w:val="00F93D2F"/>
    <w:rsid w:val="00F946F6"/>
    <w:rsid w:val="00F94F02"/>
    <w:rsid w:val="00FA1D05"/>
    <w:rsid w:val="00FA2D8C"/>
    <w:rsid w:val="00FA6696"/>
    <w:rsid w:val="00FA77E3"/>
    <w:rsid w:val="00FA7A26"/>
    <w:rsid w:val="00FB0C80"/>
    <w:rsid w:val="00FB0C8C"/>
    <w:rsid w:val="00FB2CBA"/>
    <w:rsid w:val="00FB32F9"/>
    <w:rsid w:val="00FB3E56"/>
    <w:rsid w:val="00FB45BA"/>
    <w:rsid w:val="00FB6531"/>
    <w:rsid w:val="00FB671C"/>
    <w:rsid w:val="00FB6A65"/>
    <w:rsid w:val="00FB728B"/>
    <w:rsid w:val="00FB72D7"/>
    <w:rsid w:val="00FB7E7E"/>
    <w:rsid w:val="00FB7F0F"/>
    <w:rsid w:val="00FC0167"/>
    <w:rsid w:val="00FC2267"/>
    <w:rsid w:val="00FC2BE9"/>
    <w:rsid w:val="00FC3A47"/>
    <w:rsid w:val="00FC4C1D"/>
    <w:rsid w:val="00FC599C"/>
    <w:rsid w:val="00FC5A8F"/>
    <w:rsid w:val="00FC64A8"/>
    <w:rsid w:val="00FC66F0"/>
    <w:rsid w:val="00FD1097"/>
    <w:rsid w:val="00FD2F95"/>
    <w:rsid w:val="00FD4E17"/>
    <w:rsid w:val="00FD5A7E"/>
    <w:rsid w:val="00FD5ED5"/>
    <w:rsid w:val="00FD76EC"/>
    <w:rsid w:val="00FE0EFB"/>
    <w:rsid w:val="00FE0FA2"/>
    <w:rsid w:val="00FE3E74"/>
    <w:rsid w:val="00FE4198"/>
    <w:rsid w:val="00FE429A"/>
    <w:rsid w:val="00FE565F"/>
    <w:rsid w:val="00FE5BED"/>
    <w:rsid w:val="00FE5F7B"/>
    <w:rsid w:val="00FE7C3B"/>
    <w:rsid w:val="00FE7D9D"/>
    <w:rsid w:val="00FF0DC1"/>
    <w:rsid w:val="00FF11D0"/>
    <w:rsid w:val="00FF1660"/>
    <w:rsid w:val="00FF256A"/>
    <w:rsid w:val="00FF41B0"/>
    <w:rsid w:val="00FF449A"/>
    <w:rsid w:val="00FF6CBE"/>
    <w:rsid w:val="00FF73A3"/>
    <w:rsid w:val="00FF750E"/>
    <w:rsid w:val="0113496B"/>
    <w:rsid w:val="01B7145D"/>
    <w:rsid w:val="02067EF8"/>
    <w:rsid w:val="023616D1"/>
    <w:rsid w:val="024C73CD"/>
    <w:rsid w:val="02B92D9B"/>
    <w:rsid w:val="03A86EAF"/>
    <w:rsid w:val="047E1FD3"/>
    <w:rsid w:val="04C35540"/>
    <w:rsid w:val="04DA1F9F"/>
    <w:rsid w:val="053B15C7"/>
    <w:rsid w:val="05C94CCC"/>
    <w:rsid w:val="0603333C"/>
    <w:rsid w:val="06832BD7"/>
    <w:rsid w:val="06A43013"/>
    <w:rsid w:val="07167E44"/>
    <w:rsid w:val="07300BC0"/>
    <w:rsid w:val="092C4454"/>
    <w:rsid w:val="098C5E1E"/>
    <w:rsid w:val="09A17C56"/>
    <w:rsid w:val="0A085ACE"/>
    <w:rsid w:val="0B321B7C"/>
    <w:rsid w:val="0BBE0B81"/>
    <w:rsid w:val="0BC12F14"/>
    <w:rsid w:val="0C155642"/>
    <w:rsid w:val="0C6976C6"/>
    <w:rsid w:val="0D356A3A"/>
    <w:rsid w:val="0D4A6627"/>
    <w:rsid w:val="0DA43871"/>
    <w:rsid w:val="0DAF23AA"/>
    <w:rsid w:val="0F1D3E6E"/>
    <w:rsid w:val="0FC202A4"/>
    <w:rsid w:val="10104AB5"/>
    <w:rsid w:val="106F2C80"/>
    <w:rsid w:val="11505995"/>
    <w:rsid w:val="11AD3902"/>
    <w:rsid w:val="11B56CEF"/>
    <w:rsid w:val="11CC4724"/>
    <w:rsid w:val="13B90B6E"/>
    <w:rsid w:val="13EC3053"/>
    <w:rsid w:val="159A7278"/>
    <w:rsid w:val="16944F21"/>
    <w:rsid w:val="16B11481"/>
    <w:rsid w:val="16B55431"/>
    <w:rsid w:val="17587206"/>
    <w:rsid w:val="182761A1"/>
    <w:rsid w:val="18E9484C"/>
    <w:rsid w:val="18FB74AE"/>
    <w:rsid w:val="19464D68"/>
    <w:rsid w:val="195811A1"/>
    <w:rsid w:val="19D83E64"/>
    <w:rsid w:val="1A116E06"/>
    <w:rsid w:val="1AE53AD4"/>
    <w:rsid w:val="1B4435E9"/>
    <w:rsid w:val="1B6E1478"/>
    <w:rsid w:val="1B7A7A0E"/>
    <w:rsid w:val="1BC03000"/>
    <w:rsid w:val="1BCC0031"/>
    <w:rsid w:val="1C2A0AF4"/>
    <w:rsid w:val="1CD31138"/>
    <w:rsid w:val="1D5B2D9D"/>
    <w:rsid w:val="1D72294E"/>
    <w:rsid w:val="1E161725"/>
    <w:rsid w:val="1E29267F"/>
    <w:rsid w:val="1E4E34E0"/>
    <w:rsid w:val="1F0F4FAF"/>
    <w:rsid w:val="1F985821"/>
    <w:rsid w:val="1FC22ABC"/>
    <w:rsid w:val="1FC25144"/>
    <w:rsid w:val="1FD1733E"/>
    <w:rsid w:val="20791FAC"/>
    <w:rsid w:val="20823699"/>
    <w:rsid w:val="208939FD"/>
    <w:rsid w:val="20DC7B06"/>
    <w:rsid w:val="21997F89"/>
    <w:rsid w:val="21ED6E4F"/>
    <w:rsid w:val="220719E5"/>
    <w:rsid w:val="22272FB0"/>
    <w:rsid w:val="22B70F31"/>
    <w:rsid w:val="22C50E97"/>
    <w:rsid w:val="22D40FE4"/>
    <w:rsid w:val="22F5297C"/>
    <w:rsid w:val="233102CC"/>
    <w:rsid w:val="234D2DE2"/>
    <w:rsid w:val="23C330CE"/>
    <w:rsid w:val="23E71639"/>
    <w:rsid w:val="23F32093"/>
    <w:rsid w:val="253075D2"/>
    <w:rsid w:val="2571148E"/>
    <w:rsid w:val="25945024"/>
    <w:rsid w:val="25D76444"/>
    <w:rsid w:val="25F12BEF"/>
    <w:rsid w:val="26017AA7"/>
    <w:rsid w:val="265A5097"/>
    <w:rsid w:val="267C419F"/>
    <w:rsid w:val="274F036F"/>
    <w:rsid w:val="27555755"/>
    <w:rsid w:val="28841720"/>
    <w:rsid w:val="28A15563"/>
    <w:rsid w:val="29737617"/>
    <w:rsid w:val="299351F5"/>
    <w:rsid w:val="29AA28BF"/>
    <w:rsid w:val="2A3556F5"/>
    <w:rsid w:val="2B9E6F8C"/>
    <w:rsid w:val="2C1953AB"/>
    <w:rsid w:val="2C450BBC"/>
    <w:rsid w:val="2C833F08"/>
    <w:rsid w:val="2CA117DC"/>
    <w:rsid w:val="2CD25AE1"/>
    <w:rsid w:val="2D542FF2"/>
    <w:rsid w:val="2D7C6E9F"/>
    <w:rsid w:val="2F1B0242"/>
    <w:rsid w:val="2F26666F"/>
    <w:rsid w:val="2F493F4E"/>
    <w:rsid w:val="308C6FA5"/>
    <w:rsid w:val="30980BBB"/>
    <w:rsid w:val="30F26301"/>
    <w:rsid w:val="3109187D"/>
    <w:rsid w:val="318425E2"/>
    <w:rsid w:val="32361E19"/>
    <w:rsid w:val="325460EC"/>
    <w:rsid w:val="33797021"/>
    <w:rsid w:val="3387041A"/>
    <w:rsid w:val="33AE0749"/>
    <w:rsid w:val="33F1168E"/>
    <w:rsid w:val="348B009A"/>
    <w:rsid w:val="349221B6"/>
    <w:rsid w:val="34CA262F"/>
    <w:rsid w:val="34E7414B"/>
    <w:rsid w:val="35007529"/>
    <w:rsid w:val="35F74575"/>
    <w:rsid w:val="35FC47E2"/>
    <w:rsid w:val="360F414E"/>
    <w:rsid w:val="361C1DCE"/>
    <w:rsid w:val="36515312"/>
    <w:rsid w:val="36676237"/>
    <w:rsid w:val="366D3948"/>
    <w:rsid w:val="366E3DE3"/>
    <w:rsid w:val="36DE0CEB"/>
    <w:rsid w:val="38CE4CBA"/>
    <w:rsid w:val="38DF7D66"/>
    <w:rsid w:val="38E23EFA"/>
    <w:rsid w:val="3909510A"/>
    <w:rsid w:val="390A360F"/>
    <w:rsid w:val="392A28FE"/>
    <w:rsid w:val="39502FA6"/>
    <w:rsid w:val="39CF5F84"/>
    <w:rsid w:val="3A186E30"/>
    <w:rsid w:val="3A7D7757"/>
    <w:rsid w:val="3AA509EA"/>
    <w:rsid w:val="3ACB4B13"/>
    <w:rsid w:val="3AF26849"/>
    <w:rsid w:val="3B4E0AC9"/>
    <w:rsid w:val="3BF51E06"/>
    <w:rsid w:val="3C2E6C18"/>
    <w:rsid w:val="3C3156A7"/>
    <w:rsid w:val="3D342E0F"/>
    <w:rsid w:val="3DB908BB"/>
    <w:rsid w:val="3E43640F"/>
    <w:rsid w:val="3EE6073A"/>
    <w:rsid w:val="3EFB5EB1"/>
    <w:rsid w:val="3F665DE4"/>
    <w:rsid w:val="3FDE034B"/>
    <w:rsid w:val="403A3878"/>
    <w:rsid w:val="40C03BBB"/>
    <w:rsid w:val="40F351D6"/>
    <w:rsid w:val="414A736E"/>
    <w:rsid w:val="417415F0"/>
    <w:rsid w:val="41CD0EED"/>
    <w:rsid w:val="42354882"/>
    <w:rsid w:val="42797495"/>
    <w:rsid w:val="438A429D"/>
    <w:rsid w:val="43A47EDC"/>
    <w:rsid w:val="43C00CC0"/>
    <w:rsid w:val="43EF1073"/>
    <w:rsid w:val="4578139D"/>
    <w:rsid w:val="45AE618D"/>
    <w:rsid w:val="45F43B5D"/>
    <w:rsid w:val="45FB79D8"/>
    <w:rsid w:val="46E60816"/>
    <w:rsid w:val="478B012A"/>
    <w:rsid w:val="486663EC"/>
    <w:rsid w:val="48D131F1"/>
    <w:rsid w:val="48DE4A1A"/>
    <w:rsid w:val="48F217B8"/>
    <w:rsid w:val="490479D2"/>
    <w:rsid w:val="49A91EF7"/>
    <w:rsid w:val="49B265F0"/>
    <w:rsid w:val="4AA70700"/>
    <w:rsid w:val="4B154BFA"/>
    <w:rsid w:val="4B261F3E"/>
    <w:rsid w:val="4B52341D"/>
    <w:rsid w:val="4CA46B26"/>
    <w:rsid w:val="4DEB6CC8"/>
    <w:rsid w:val="4DFE566D"/>
    <w:rsid w:val="4E52715B"/>
    <w:rsid w:val="4EFD1A97"/>
    <w:rsid w:val="4F2D40F6"/>
    <w:rsid w:val="50673E61"/>
    <w:rsid w:val="510612CE"/>
    <w:rsid w:val="51D10AE5"/>
    <w:rsid w:val="51DD6D47"/>
    <w:rsid w:val="52336B66"/>
    <w:rsid w:val="5312047E"/>
    <w:rsid w:val="535A35E6"/>
    <w:rsid w:val="535E1EC2"/>
    <w:rsid w:val="53D22E3E"/>
    <w:rsid w:val="54CF598B"/>
    <w:rsid w:val="5555041D"/>
    <w:rsid w:val="55735841"/>
    <w:rsid w:val="55C64583"/>
    <w:rsid w:val="56025341"/>
    <w:rsid w:val="563E475C"/>
    <w:rsid w:val="567B6651"/>
    <w:rsid w:val="57187C69"/>
    <w:rsid w:val="58335943"/>
    <w:rsid w:val="587C100D"/>
    <w:rsid w:val="58D57163"/>
    <w:rsid w:val="598916E3"/>
    <w:rsid w:val="598C2D91"/>
    <w:rsid w:val="59B12D96"/>
    <w:rsid w:val="5A22301E"/>
    <w:rsid w:val="5A237E74"/>
    <w:rsid w:val="5A6E0B0C"/>
    <w:rsid w:val="5B1C2837"/>
    <w:rsid w:val="5B261EE5"/>
    <w:rsid w:val="5B4608DC"/>
    <w:rsid w:val="5B6E6BCE"/>
    <w:rsid w:val="5BE10E2F"/>
    <w:rsid w:val="5C0F5779"/>
    <w:rsid w:val="5C3614CE"/>
    <w:rsid w:val="5CFE3360"/>
    <w:rsid w:val="5E154DCE"/>
    <w:rsid w:val="5E2A0160"/>
    <w:rsid w:val="5E2B6A81"/>
    <w:rsid w:val="5EC9247B"/>
    <w:rsid w:val="5ED44DD5"/>
    <w:rsid w:val="5EF45970"/>
    <w:rsid w:val="5F2E07BF"/>
    <w:rsid w:val="5F3F40CA"/>
    <w:rsid w:val="60582CCD"/>
    <w:rsid w:val="61B2709D"/>
    <w:rsid w:val="61F17AFA"/>
    <w:rsid w:val="62D819E9"/>
    <w:rsid w:val="63110B10"/>
    <w:rsid w:val="635F77A4"/>
    <w:rsid w:val="6399040D"/>
    <w:rsid w:val="63BD114C"/>
    <w:rsid w:val="63E9309D"/>
    <w:rsid w:val="63F46290"/>
    <w:rsid w:val="64271D95"/>
    <w:rsid w:val="64C51C76"/>
    <w:rsid w:val="64F64710"/>
    <w:rsid w:val="653B1A15"/>
    <w:rsid w:val="663850D8"/>
    <w:rsid w:val="666F1AEF"/>
    <w:rsid w:val="667525FE"/>
    <w:rsid w:val="679B2D4E"/>
    <w:rsid w:val="67C1337B"/>
    <w:rsid w:val="69AA0688"/>
    <w:rsid w:val="69BD29AE"/>
    <w:rsid w:val="69C43892"/>
    <w:rsid w:val="6A6E185A"/>
    <w:rsid w:val="6A9C1491"/>
    <w:rsid w:val="6AC23F3C"/>
    <w:rsid w:val="6B042207"/>
    <w:rsid w:val="6B285BE6"/>
    <w:rsid w:val="6B331489"/>
    <w:rsid w:val="6BB03F6F"/>
    <w:rsid w:val="6C27014A"/>
    <w:rsid w:val="6CAB5C38"/>
    <w:rsid w:val="6CB13616"/>
    <w:rsid w:val="6CDA05AF"/>
    <w:rsid w:val="6CDF6397"/>
    <w:rsid w:val="6F0627BC"/>
    <w:rsid w:val="6F0639A1"/>
    <w:rsid w:val="6F647B0C"/>
    <w:rsid w:val="6F7914AB"/>
    <w:rsid w:val="6FC01453"/>
    <w:rsid w:val="702D1BBF"/>
    <w:rsid w:val="706E76A1"/>
    <w:rsid w:val="70B501A0"/>
    <w:rsid w:val="71887A31"/>
    <w:rsid w:val="729E7F84"/>
    <w:rsid w:val="72A22C15"/>
    <w:rsid w:val="73544F1B"/>
    <w:rsid w:val="74007477"/>
    <w:rsid w:val="74150229"/>
    <w:rsid w:val="74AB6E57"/>
    <w:rsid w:val="757E59DB"/>
    <w:rsid w:val="75B7311D"/>
    <w:rsid w:val="76317B69"/>
    <w:rsid w:val="766E5C99"/>
    <w:rsid w:val="76794D4D"/>
    <w:rsid w:val="7694691F"/>
    <w:rsid w:val="76991AF2"/>
    <w:rsid w:val="76FE4F3D"/>
    <w:rsid w:val="77535A34"/>
    <w:rsid w:val="77A40CDC"/>
    <w:rsid w:val="77FF2336"/>
    <w:rsid w:val="78720CAA"/>
    <w:rsid w:val="790D67F3"/>
    <w:rsid w:val="79435F05"/>
    <w:rsid w:val="794D3BB3"/>
    <w:rsid w:val="79CA2C31"/>
    <w:rsid w:val="79EA30E2"/>
    <w:rsid w:val="7A0E1007"/>
    <w:rsid w:val="7A2300B0"/>
    <w:rsid w:val="7ABD6707"/>
    <w:rsid w:val="7B522918"/>
    <w:rsid w:val="7B8C1D15"/>
    <w:rsid w:val="7C9C759D"/>
    <w:rsid w:val="7CF547C5"/>
    <w:rsid w:val="7D5546C9"/>
    <w:rsid w:val="7E0F1305"/>
    <w:rsid w:val="7FC24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semiHidden="0" w:name="Table Web 2"/>
    <w:lsdException w:uiPriority="99" w:semiHidden="0" w:name="Table Web 3"/>
    <w:lsdException w:qFormat="1" w:uiPriority="0" w:semiHidden="0" w:name="Balloon Text"/>
    <w:lsdException w:qFormat="1" w:unhideWhenUsed="0" w:uiPriority="0" w:semiHidden="0" w:name="Table Grid"/>
    <w:lsdException w:uiPriority="99"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00" w:beforeAutospacing="1" w:after="100" w:afterAutospacing="1" w:line="360"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5"/>
    <w:qFormat/>
    <w:uiPriority w:val="0"/>
    <w:pPr>
      <w:keepNext/>
      <w:keepLines/>
      <w:jc w:val="center"/>
      <w:outlineLvl w:val="0"/>
    </w:pPr>
    <w:rPr>
      <w:rFonts w:eastAsia="方正小标宋简体"/>
      <w:bCs/>
      <w:kern w:val="44"/>
      <w:sz w:val="32"/>
      <w:szCs w:val="44"/>
    </w:rPr>
  </w:style>
  <w:style w:type="paragraph" w:styleId="5">
    <w:name w:val="heading 2"/>
    <w:basedOn w:val="1"/>
    <w:next w:val="1"/>
    <w:link w:val="46"/>
    <w:unhideWhenUsed/>
    <w:qFormat/>
    <w:uiPriority w:val="0"/>
    <w:pPr>
      <w:keepNext/>
      <w:keepLines/>
      <w:jc w:val="center"/>
      <w:outlineLvl w:val="1"/>
    </w:pPr>
    <w:rPr>
      <w:rFonts w:ascii="Cambria" w:hAnsi="Cambria" w:eastAsia="方正小标宋简体"/>
      <w:bCs/>
      <w:kern w:val="0"/>
      <w:sz w:val="28"/>
      <w:szCs w:val="32"/>
    </w:rPr>
  </w:style>
  <w:style w:type="paragraph" w:styleId="6">
    <w:name w:val="heading 3"/>
    <w:basedOn w:val="1"/>
    <w:next w:val="1"/>
    <w:link w:val="47"/>
    <w:unhideWhenUsed/>
    <w:qFormat/>
    <w:uiPriority w:val="0"/>
    <w:pPr>
      <w:keepNext/>
      <w:keepLines/>
      <w:jc w:val="center"/>
      <w:outlineLvl w:val="2"/>
    </w:pPr>
    <w:rPr>
      <w:rFonts w:eastAsia="黑体"/>
      <w:bCs/>
      <w:kern w:val="0"/>
      <w:sz w:val="24"/>
      <w:szCs w:val="32"/>
    </w:rPr>
  </w:style>
  <w:style w:type="paragraph" w:styleId="7">
    <w:name w:val="heading 4"/>
    <w:basedOn w:val="1"/>
    <w:next w:val="1"/>
    <w:link w:val="48"/>
    <w:qFormat/>
    <w:uiPriority w:val="0"/>
    <w:pPr>
      <w:keepNext/>
      <w:keepLines/>
      <w:widowControl/>
      <w:numPr>
        <w:ilvl w:val="3"/>
        <w:numId w:val="1"/>
      </w:numPr>
      <w:tabs>
        <w:tab w:val="left" w:pos="864"/>
      </w:tabs>
      <w:spacing w:before="280" w:beforeAutospacing="0" w:after="290" w:afterAutospacing="0" w:line="372" w:lineRule="auto"/>
      <w:jc w:val="left"/>
      <w:outlineLvl w:val="3"/>
    </w:pPr>
    <w:rPr>
      <w:rFonts w:ascii="Arial" w:hAnsi="Arial" w:eastAsia="黑体"/>
      <w:b/>
      <w:kern w:val="0"/>
      <w:sz w:val="28"/>
      <w:szCs w:val="20"/>
      <w:lang w:val="zh-CN"/>
    </w:rPr>
  </w:style>
  <w:style w:type="paragraph" w:styleId="8">
    <w:name w:val="heading 5"/>
    <w:basedOn w:val="1"/>
    <w:next w:val="1"/>
    <w:link w:val="49"/>
    <w:qFormat/>
    <w:uiPriority w:val="0"/>
    <w:pPr>
      <w:keepNext/>
      <w:keepLines/>
      <w:widowControl/>
      <w:numPr>
        <w:ilvl w:val="4"/>
        <w:numId w:val="1"/>
      </w:numPr>
      <w:tabs>
        <w:tab w:val="left" w:pos="1008"/>
      </w:tabs>
      <w:spacing w:before="280" w:beforeAutospacing="0" w:after="290" w:afterAutospacing="0" w:line="372" w:lineRule="auto"/>
      <w:jc w:val="left"/>
      <w:outlineLvl w:val="4"/>
    </w:pPr>
    <w:rPr>
      <w:rFonts w:eastAsia="Arial Unicode MS"/>
      <w:b/>
      <w:kern w:val="0"/>
      <w:sz w:val="28"/>
      <w:szCs w:val="20"/>
      <w:lang w:val="zh-CN"/>
    </w:rPr>
  </w:style>
  <w:style w:type="paragraph" w:styleId="9">
    <w:name w:val="heading 6"/>
    <w:basedOn w:val="1"/>
    <w:next w:val="1"/>
    <w:link w:val="50"/>
    <w:qFormat/>
    <w:uiPriority w:val="0"/>
    <w:pPr>
      <w:keepNext/>
      <w:keepLines/>
      <w:widowControl/>
      <w:numPr>
        <w:ilvl w:val="5"/>
        <w:numId w:val="1"/>
      </w:numPr>
      <w:tabs>
        <w:tab w:val="left" w:pos="1152"/>
      </w:tabs>
      <w:spacing w:before="240" w:beforeAutospacing="0" w:after="64" w:afterAutospacing="0" w:line="317" w:lineRule="auto"/>
      <w:jc w:val="left"/>
      <w:outlineLvl w:val="5"/>
    </w:pPr>
    <w:rPr>
      <w:rFonts w:ascii="Arial" w:hAnsi="Arial" w:eastAsia="黑体"/>
      <w:b/>
      <w:kern w:val="0"/>
      <w:sz w:val="24"/>
      <w:szCs w:val="20"/>
      <w:lang w:val="zh-CN"/>
    </w:rPr>
  </w:style>
  <w:style w:type="paragraph" w:styleId="10">
    <w:name w:val="heading 7"/>
    <w:basedOn w:val="1"/>
    <w:next w:val="1"/>
    <w:link w:val="51"/>
    <w:qFormat/>
    <w:uiPriority w:val="0"/>
    <w:pPr>
      <w:keepNext/>
      <w:keepLines/>
      <w:widowControl/>
      <w:numPr>
        <w:ilvl w:val="6"/>
        <w:numId w:val="1"/>
      </w:numPr>
      <w:tabs>
        <w:tab w:val="left" w:pos="1296"/>
      </w:tabs>
      <w:spacing w:before="240" w:beforeAutospacing="0" w:after="64" w:afterAutospacing="0" w:line="317" w:lineRule="auto"/>
      <w:jc w:val="left"/>
      <w:outlineLvl w:val="6"/>
    </w:pPr>
    <w:rPr>
      <w:b/>
      <w:kern w:val="0"/>
      <w:sz w:val="24"/>
      <w:szCs w:val="20"/>
      <w:lang w:val="zh-CN"/>
    </w:rPr>
  </w:style>
  <w:style w:type="paragraph" w:styleId="11">
    <w:name w:val="heading 8"/>
    <w:basedOn w:val="1"/>
    <w:next w:val="1"/>
    <w:link w:val="52"/>
    <w:qFormat/>
    <w:uiPriority w:val="0"/>
    <w:pPr>
      <w:keepNext/>
      <w:keepLines/>
      <w:widowControl/>
      <w:numPr>
        <w:ilvl w:val="7"/>
        <w:numId w:val="1"/>
      </w:numPr>
      <w:tabs>
        <w:tab w:val="left" w:pos="1440"/>
      </w:tabs>
      <w:spacing w:before="240" w:beforeAutospacing="0" w:after="64" w:afterAutospacing="0" w:line="317" w:lineRule="auto"/>
      <w:jc w:val="left"/>
      <w:outlineLvl w:val="7"/>
    </w:pPr>
    <w:rPr>
      <w:rFonts w:ascii="Arial" w:hAnsi="Arial" w:eastAsia="黑体"/>
      <w:kern w:val="0"/>
      <w:sz w:val="24"/>
      <w:szCs w:val="20"/>
      <w:lang w:val="zh-CN"/>
    </w:rPr>
  </w:style>
  <w:style w:type="paragraph" w:styleId="12">
    <w:name w:val="heading 9"/>
    <w:basedOn w:val="1"/>
    <w:next w:val="1"/>
    <w:link w:val="53"/>
    <w:qFormat/>
    <w:uiPriority w:val="0"/>
    <w:pPr>
      <w:keepNext/>
      <w:keepLines/>
      <w:widowControl/>
      <w:numPr>
        <w:ilvl w:val="0"/>
        <w:numId w:val="2"/>
      </w:numPr>
      <w:tabs>
        <w:tab w:val="left" w:pos="1584"/>
      </w:tabs>
      <w:spacing w:before="240" w:beforeAutospacing="0" w:after="64" w:afterAutospacing="0" w:line="317" w:lineRule="auto"/>
      <w:jc w:val="left"/>
      <w:outlineLvl w:val="8"/>
    </w:pPr>
    <w:rPr>
      <w:rFonts w:ascii="Arial" w:hAnsi="Arial" w:eastAsia="黑体"/>
      <w:kern w:val="0"/>
      <w:szCs w:val="20"/>
      <w:lang w:val="zh-CN"/>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567"/>
      </w:tabs>
      <w:spacing w:after="120"/>
      <w:ind w:firstLine="420" w:firstLineChars="100"/>
    </w:pPr>
    <w:rPr>
      <w:rFonts w:ascii="Times New Roman" w:hAnsi="Times New Roman"/>
      <w:sz w:val="21"/>
    </w:rPr>
  </w:style>
  <w:style w:type="paragraph" w:styleId="3">
    <w:name w:val="Body Text"/>
    <w:basedOn w:val="1"/>
    <w:next w:val="1"/>
    <w:link w:val="58"/>
    <w:unhideWhenUsed/>
    <w:qFormat/>
    <w:uiPriority w:val="0"/>
    <w:pPr>
      <w:spacing w:after="120"/>
    </w:pPr>
    <w:rPr>
      <w:rFonts w:ascii="Calibri" w:hAnsi="Calibri"/>
      <w:szCs w:val="22"/>
    </w:rPr>
  </w:style>
  <w:style w:type="paragraph" w:styleId="13">
    <w:name w:val="Normal Indent"/>
    <w:basedOn w:val="1"/>
    <w:next w:val="1"/>
    <w:link w:val="56"/>
    <w:qFormat/>
    <w:uiPriority w:val="0"/>
    <w:pPr>
      <w:ind w:firstLine="420" w:firstLineChars="200"/>
    </w:pPr>
    <w:rPr>
      <w:kern w:val="0"/>
      <w:sz w:val="20"/>
    </w:rPr>
  </w:style>
  <w:style w:type="paragraph" w:styleId="14">
    <w:name w:val="caption"/>
    <w:basedOn w:val="1"/>
    <w:next w:val="1"/>
    <w:qFormat/>
    <w:uiPriority w:val="0"/>
    <w:pPr>
      <w:spacing w:before="0" w:beforeAutospacing="0" w:after="0" w:afterAutospacing="0" w:line="240" w:lineRule="auto"/>
    </w:pPr>
    <w:rPr>
      <w:rFonts w:ascii="Cambria" w:hAnsi="Cambria" w:eastAsia="黑体"/>
      <w:sz w:val="20"/>
      <w:szCs w:val="20"/>
    </w:rPr>
  </w:style>
  <w:style w:type="paragraph" w:styleId="15">
    <w:name w:val="Document Map"/>
    <w:basedOn w:val="1"/>
    <w:link w:val="57"/>
    <w:unhideWhenUsed/>
    <w:qFormat/>
    <w:uiPriority w:val="0"/>
    <w:rPr>
      <w:rFonts w:ascii="宋体"/>
      <w:kern w:val="0"/>
      <w:sz w:val="18"/>
      <w:szCs w:val="18"/>
    </w:rPr>
  </w:style>
  <w:style w:type="paragraph" w:styleId="16">
    <w:name w:val="annotation text"/>
    <w:basedOn w:val="1"/>
    <w:link w:val="54"/>
    <w:unhideWhenUsed/>
    <w:qFormat/>
    <w:uiPriority w:val="0"/>
    <w:pPr>
      <w:jc w:val="left"/>
    </w:pPr>
    <w:rPr>
      <w:rFonts w:ascii="Calibri" w:hAnsi="Calibri"/>
      <w:kern w:val="0"/>
      <w:sz w:val="20"/>
      <w:szCs w:val="20"/>
    </w:rPr>
  </w:style>
  <w:style w:type="paragraph" w:styleId="17">
    <w:name w:val="Body Text 3"/>
    <w:basedOn w:val="1"/>
    <w:link w:val="83"/>
    <w:unhideWhenUsed/>
    <w:qFormat/>
    <w:uiPriority w:val="0"/>
    <w:pPr>
      <w:spacing w:after="120"/>
    </w:pPr>
    <w:rPr>
      <w:sz w:val="16"/>
      <w:szCs w:val="16"/>
    </w:rPr>
  </w:style>
  <w:style w:type="paragraph" w:styleId="18">
    <w:name w:val="Body Text Indent"/>
    <w:basedOn w:val="1"/>
    <w:link w:val="59"/>
    <w:qFormat/>
    <w:uiPriority w:val="0"/>
    <w:pPr>
      <w:spacing w:line="380" w:lineRule="exact"/>
      <w:ind w:firstLine="480"/>
    </w:pPr>
    <w:rPr>
      <w:rFonts w:eastAsia="方正书宋简体"/>
      <w:kern w:val="0"/>
      <w:sz w:val="24"/>
      <w:szCs w:val="20"/>
    </w:rPr>
  </w:style>
  <w:style w:type="paragraph" w:styleId="19">
    <w:name w:val="index 4"/>
    <w:basedOn w:val="1"/>
    <w:next w:val="1"/>
    <w:qFormat/>
    <w:uiPriority w:val="0"/>
    <w:pPr>
      <w:spacing w:before="0" w:beforeAutospacing="0" w:after="0" w:afterAutospacing="0" w:line="240" w:lineRule="auto"/>
      <w:ind w:left="600" w:leftChars="600"/>
    </w:pPr>
  </w:style>
  <w:style w:type="paragraph" w:styleId="20">
    <w:name w:val="toc 3"/>
    <w:basedOn w:val="1"/>
    <w:next w:val="1"/>
    <w:unhideWhenUsed/>
    <w:qFormat/>
    <w:uiPriority w:val="39"/>
    <w:pPr>
      <w:widowControl/>
      <w:tabs>
        <w:tab w:val="right" w:leader="dot" w:pos="9061"/>
      </w:tabs>
      <w:spacing w:before="0" w:beforeAutospacing="0" w:after="0" w:afterAutospacing="0" w:line="300" w:lineRule="exact"/>
      <w:ind w:left="442"/>
      <w:jc w:val="left"/>
    </w:pPr>
    <w:rPr>
      <w:rFonts w:ascii="仿宋_GB2312" w:hAnsi="Calibri" w:eastAsia="仿宋_GB2312"/>
      <w:kern w:val="0"/>
      <w:sz w:val="24"/>
    </w:rPr>
  </w:style>
  <w:style w:type="paragraph" w:styleId="21">
    <w:name w:val="Plain Text"/>
    <w:basedOn w:val="1"/>
    <w:link w:val="60"/>
    <w:qFormat/>
    <w:uiPriority w:val="0"/>
    <w:rPr>
      <w:rFonts w:ascii="宋体" w:hAnsi="Courier New"/>
      <w:kern w:val="0"/>
      <w:sz w:val="20"/>
      <w:szCs w:val="20"/>
    </w:rPr>
  </w:style>
  <w:style w:type="paragraph" w:styleId="22">
    <w:name w:val="Date"/>
    <w:basedOn w:val="1"/>
    <w:next w:val="1"/>
    <w:link w:val="61"/>
    <w:unhideWhenUsed/>
    <w:qFormat/>
    <w:uiPriority w:val="0"/>
    <w:pPr>
      <w:ind w:left="100" w:leftChars="2500"/>
    </w:pPr>
    <w:rPr>
      <w:rFonts w:ascii="Calibri" w:hAnsi="Calibri"/>
      <w:szCs w:val="22"/>
    </w:rPr>
  </w:style>
  <w:style w:type="paragraph" w:styleId="23">
    <w:name w:val="Body Text Indent 2"/>
    <w:basedOn w:val="1"/>
    <w:link w:val="122"/>
    <w:qFormat/>
    <w:uiPriority w:val="0"/>
    <w:pPr>
      <w:spacing w:before="0" w:beforeAutospacing="0" w:after="0" w:afterAutospacing="0" w:line="440" w:lineRule="exact"/>
      <w:ind w:firstLine="412" w:firstLineChars="200"/>
    </w:pPr>
    <w:rPr>
      <w:rFonts w:ascii="宋体" w:hAnsi="宋体"/>
      <w:b/>
      <w:szCs w:val="20"/>
    </w:rPr>
  </w:style>
  <w:style w:type="paragraph" w:styleId="24">
    <w:name w:val="Balloon Text"/>
    <w:basedOn w:val="1"/>
    <w:link w:val="62"/>
    <w:unhideWhenUsed/>
    <w:qFormat/>
    <w:uiPriority w:val="0"/>
    <w:rPr>
      <w:rFonts w:ascii="Calibri" w:hAnsi="Calibri"/>
      <w:kern w:val="0"/>
      <w:sz w:val="18"/>
      <w:szCs w:val="18"/>
    </w:rPr>
  </w:style>
  <w:style w:type="paragraph" w:styleId="25">
    <w:name w:val="footer"/>
    <w:basedOn w:val="1"/>
    <w:link w:val="63"/>
    <w:qFormat/>
    <w:uiPriority w:val="0"/>
    <w:pPr>
      <w:tabs>
        <w:tab w:val="center" w:pos="4153"/>
        <w:tab w:val="right" w:pos="8306"/>
      </w:tabs>
      <w:snapToGrid w:val="0"/>
      <w:jc w:val="left"/>
    </w:pPr>
    <w:rPr>
      <w:kern w:val="0"/>
      <w:sz w:val="18"/>
      <w:szCs w:val="18"/>
    </w:rPr>
  </w:style>
  <w:style w:type="paragraph" w:styleId="26">
    <w:name w:val="header"/>
    <w:basedOn w:val="1"/>
    <w:link w:val="64"/>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unhideWhenUsed/>
    <w:qFormat/>
    <w:uiPriority w:val="39"/>
    <w:pPr>
      <w:widowControl/>
      <w:tabs>
        <w:tab w:val="right" w:leader="dot" w:pos="9061"/>
      </w:tabs>
      <w:spacing w:beforeLines="100" w:beforeAutospacing="0" w:afterLines="50" w:afterAutospacing="0" w:line="240" w:lineRule="auto"/>
      <w:jc w:val="center"/>
    </w:pPr>
    <w:rPr>
      <w:rFonts w:ascii="黑体" w:hAnsi="黑体" w:eastAsia="黑体"/>
      <w:kern w:val="0"/>
      <w:sz w:val="30"/>
      <w:szCs w:val="30"/>
    </w:rPr>
  </w:style>
  <w:style w:type="paragraph" w:styleId="28">
    <w:name w:val="Subtitle"/>
    <w:basedOn w:val="1"/>
    <w:next w:val="1"/>
    <w:link w:val="145"/>
    <w:qFormat/>
    <w:uiPriority w:val="0"/>
    <w:pPr>
      <w:widowControl/>
      <w:spacing w:before="0" w:beforeAutospacing="0" w:after="200" w:afterAutospacing="0" w:line="276" w:lineRule="auto"/>
      <w:jc w:val="left"/>
    </w:pPr>
    <w:rPr>
      <w:rFonts w:ascii="Cambria" w:hAnsi="Cambria"/>
      <w:i/>
      <w:iCs/>
      <w:color w:val="4F81BD"/>
      <w:spacing w:val="15"/>
      <w:kern w:val="0"/>
      <w:sz w:val="24"/>
      <w:lang w:eastAsia="en-US" w:bidi="en-US"/>
    </w:rPr>
  </w:style>
  <w:style w:type="paragraph" w:styleId="29">
    <w:name w:val="Body Text Indent 3"/>
    <w:basedOn w:val="1"/>
    <w:link w:val="65"/>
    <w:qFormat/>
    <w:uiPriority w:val="0"/>
    <w:pPr>
      <w:spacing w:after="120"/>
      <w:ind w:left="420" w:leftChars="200"/>
    </w:pPr>
    <w:rPr>
      <w:kern w:val="0"/>
      <w:sz w:val="16"/>
      <w:szCs w:val="16"/>
    </w:rPr>
  </w:style>
  <w:style w:type="paragraph" w:styleId="30">
    <w:name w:val="toc 2"/>
    <w:basedOn w:val="1"/>
    <w:next w:val="1"/>
    <w:unhideWhenUsed/>
    <w:qFormat/>
    <w:uiPriority w:val="39"/>
    <w:pPr>
      <w:widowControl/>
      <w:tabs>
        <w:tab w:val="right" w:leader="dot" w:pos="9061"/>
      </w:tabs>
      <w:spacing w:beforeLines="50" w:beforeAutospacing="0" w:afterLines="50" w:afterAutospacing="0" w:line="300" w:lineRule="exact"/>
      <w:ind w:left="221"/>
      <w:jc w:val="left"/>
    </w:pPr>
    <w:rPr>
      <w:rFonts w:ascii="黑体" w:hAnsi="黑体" w:eastAsia="黑体"/>
      <w:kern w:val="0"/>
      <w:sz w:val="24"/>
    </w:rPr>
  </w:style>
  <w:style w:type="paragraph" w:styleId="31">
    <w:name w:val="Body Text 2"/>
    <w:basedOn w:val="1"/>
    <w:link w:val="102"/>
    <w:qFormat/>
    <w:uiPriority w:val="0"/>
    <w:pPr>
      <w:spacing w:before="0" w:beforeAutospacing="0" w:after="0" w:afterAutospacing="0" w:line="240" w:lineRule="auto"/>
    </w:pPr>
    <w:rPr>
      <w:rFonts w:ascii="宋体" w:hAnsi="宋体"/>
      <w:sz w:val="18"/>
      <w:szCs w:val="20"/>
    </w:rPr>
  </w:style>
  <w:style w:type="paragraph" w:styleId="32">
    <w:name w:val="List Continue 2"/>
    <w:basedOn w:val="1"/>
    <w:qFormat/>
    <w:uiPriority w:val="0"/>
    <w:pPr>
      <w:spacing w:before="0" w:beforeAutospacing="0" w:after="120" w:afterAutospacing="0" w:line="240" w:lineRule="auto"/>
      <w:ind w:left="840" w:leftChars="400"/>
    </w:pPr>
    <w:rPr>
      <w:szCs w:val="20"/>
    </w:rPr>
  </w:style>
  <w:style w:type="paragraph" w:styleId="33">
    <w:name w:val="Normal (Web)"/>
    <w:basedOn w:val="1"/>
    <w:unhideWhenUsed/>
    <w:qFormat/>
    <w:uiPriority w:val="0"/>
    <w:pPr>
      <w:spacing w:before="0" w:beforeAutospacing="1" w:after="0" w:afterAutospacing="1"/>
      <w:ind w:left="0" w:right="0"/>
      <w:jc w:val="left"/>
    </w:pPr>
    <w:rPr>
      <w:kern w:val="0"/>
      <w:sz w:val="24"/>
      <w:lang w:val="en-US" w:eastAsia="zh-CN" w:bidi="ar"/>
    </w:rPr>
  </w:style>
  <w:style w:type="paragraph" w:styleId="34">
    <w:name w:val="Title"/>
    <w:basedOn w:val="1"/>
    <w:next w:val="1"/>
    <w:link w:val="66"/>
    <w:qFormat/>
    <w:uiPriority w:val="0"/>
    <w:pPr>
      <w:spacing w:before="240" w:after="60"/>
      <w:jc w:val="center"/>
      <w:outlineLvl w:val="0"/>
    </w:pPr>
    <w:rPr>
      <w:rFonts w:ascii="Cambria" w:hAnsi="Cambria"/>
      <w:b/>
      <w:bCs/>
      <w:kern w:val="0"/>
      <w:sz w:val="32"/>
      <w:szCs w:val="32"/>
    </w:rPr>
  </w:style>
  <w:style w:type="paragraph" w:styleId="35">
    <w:name w:val="annotation subject"/>
    <w:basedOn w:val="16"/>
    <w:next w:val="16"/>
    <w:link w:val="55"/>
    <w:unhideWhenUsed/>
    <w:qFormat/>
    <w:uiPriority w:val="0"/>
    <w:rPr>
      <w:rFonts w:ascii="Times New Roman" w:hAnsi="Times New Roman"/>
      <w:b/>
      <w:bCs/>
      <w:szCs w:val="24"/>
    </w:rPr>
  </w:style>
  <w:style w:type="table" w:styleId="37">
    <w:name w:val="Table Grid"/>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9">
    <w:name w:val="Strong"/>
    <w:qFormat/>
    <w:uiPriority w:val="0"/>
    <w:rPr>
      <w:rFonts w:eastAsia="黑体"/>
      <w:bCs/>
    </w:rPr>
  </w:style>
  <w:style w:type="character" w:styleId="40">
    <w:name w:val="page number"/>
    <w:basedOn w:val="38"/>
    <w:qFormat/>
    <w:uiPriority w:val="0"/>
  </w:style>
  <w:style w:type="character" w:styleId="41">
    <w:name w:val="Emphasis"/>
    <w:qFormat/>
    <w:uiPriority w:val="0"/>
    <w:rPr>
      <w:i/>
      <w:iCs/>
    </w:rPr>
  </w:style>
  <w:style w:type="character" w:styleId="42">
    <w:name w:val="Hyperlink"/>
    <w:unhideWhenUsed/>
    <w:qFormat/>
    <w:uiPriority w:val="99"/>
    <w:rPr>
      <w:color w:val="0000FF"/>
      <w:u w:val="single"/>
    </w:rPr>
  </w:style>
  <w:style w:type="character" w:styleId="43">
    <w:name w:val="annotation reference"/>
    <w:unhideWhenUsed/>
    <w:qFormat/>
    <w:uiPriority w:val="0"/>
    <w:rPr>
      <w:sz w:val="21"/>
      <w:szCs w:val="21"/>
    </w:rPr>
  </w:style>
  <w:style w:type="character" w:styleId="44">
    <w:name w:val="HTML Sample"/>
    <w:basedOn w:val="38"/>
    <w:semiHidden/>
    <w:unhideWhenUsed/>
    <w:qFormat/>
    <w:uiPriority w:val="99"/>
    <w:rPr>
      <w:rFonts w:ascii="Courier New" w:hAnsi="Courier New"/>
    </w:rPr>
  </w:style>
  <w:style w:type="character" w:customStyle="1" w:styleId="45">
    <w:name w:val="标题 1 Char1"/>
    <w:link w:val="4"/>
    <w:qFormat/>
    <w:uiPriority w:val="9"/>
    <w:rPr>
      <w:rFonts w:ascii="Times New Roman" w:hAnsi="Times New Roman" w:eastAsia="方正小标宋简体" w:cs="Times New Roman"/>
      <w:bCs/>
      <w:kern w:val="44"/>
      <w:sz w:val="32"/>
      <w:szCs w:val="44"/>
    </w:rPr>
  </w:style>
  <w:style w:type="character" w:customStyle="1" w:styleId="46">
    <w:name w:val="标题 2 Char1"/>
    <w:link w:val="5"/>
    <w:qFormat/>
    <w:uiPriority w:val="9"/>
    <w:rPr>
      <w:rFonts w:ascii="Cambria" w:hAnsi="Cambria" w:eastAsia="方正小标宋简体" w:cs="Times New Roman"/>
      <w:bCs/>
      <w:sz w:val="28"/>
      <w:szCs w:val="32"/>
    </w:rPr>
  </w:style>
  <w:style w:type="character" w:customStyle="1" w:styleId="47">
    <w:name w:val="标题 3 Char1"/>
    <w:link w:val="6"/>
    <w:qFormat/>
    <w:uiPriority w:val="9"/>
    <w:rPr>
      <w:rFonts w:ascii="Times New Roman" w:hAnsi="Times New Roman" w:eastAsia="黑体" w:cs="Times New Roman"/>
      <w:bCs/>
      <w:sz w:val="24"/>
      <w:szCs w:val="32"/>
    </w:rPr>
  </w:style>
  <w:style w:type="character" w:customStyle="1" w:styleId="48">
    <w:name w:val="标题 4 Char"/>
    <w:link w:val="7"/>
    <w:qFormat/>
    <w:uiPriority w:val="0"/>
    <w:rPr>
      <w:rFonts w:ascii="Arial" w:hAnsi="Arial" w:eastAsia="黑体"/>
      <w:b/>
      <w:sz w:val="28"/>
      <w:lang w:val="zh-CN" w:eastAsia="zh-CN"/>
    </w:rPr>
  </w:style>
  <w:style w:type="character" w:customStyle="1" w:styleId="49">
    <w:name w:val="标题 5 Char"/>
    <w:link w:val="8"/>
    <w:qFormat/>
    <w:uiPriority w:val="0"/>
    <w:rPr>
      <w:rFonts w:ascii="Times New Roman" w:hAnsi="Times New Roman" w:eastAsia="Arial Unicode MS"/>
      <w:b/>
      <w:sz w:val="28"/>
      <w:lang w:val="zh-CN" w:eastAsia="zh-CN"/>
    </w:rPr>
  </w:style>
  <w:style w:type="character" w:customStyle="1" w:styleId="50">
    <w:name w:val="标题 6 Char"/>
    <w:link w:val="9"/>
    <w:qFormat/>
    <w:uiPriority w:val="0"/>
    <w:rPr>
      <w:rFonts w:ascii="Arial" w:hAnsi="Arial" w:eastAsia="黑体"/>
      <w:b/>
      <w:sz w:val="24"/>
      <w:lang w:val="zh-CN" w:eastAsia="zh-CN"/>
    </w:rPr>
  </w:style>
  <w:style w:type="character" w:customStyle="1" w:styleId="51">
    <w:name w:val="标题 7 Char"/>
    <w:link w:val="10"/>
    <w:qFormat/>
    <w:uiPriority w:val="0"/>
    <w:rPr>
      <w:rFonts w:ascii="Times New Roman" w:hAnsi="Times New Roman"/>
      <w:b/>
      <w:sz w:val="24"/>
      <w:lang w:val="zh-CN" w:eastAsia="zh-CN"/>
    </w:rPr>
  </w:style>
  <w:style w:type="character" w:customStyle="1" w:styleId="52">
    <w:name w:val="标题 8 Char"/>
    <w:link w:val="11"/>
    <w:qFormat/>
    <w:uiPriority w:val="0"/>
    <w:rPr>
      <w:rFonts w:ascii="Arial" w:hAnsi="Arial" w:eastAsia="黑体"/>
      <w:sz w:val="24"/>
      <w:lang w:val="zh-CN" w:eastAsia="zh-CN"/>
    </w:rPr>
  </w:style>
  <w:style w:type="character" w:customStyle="1" w:styleId="53">
    <w:name w:val="标题 9 Char"/>
    <w:link w:val="12"/>
    <w:qFormat/>
    <w:uiPriority w:val="0"/>
    <w:rPr>
      <w:rFonts w:ascii="Arial" w:hAnsi="Arial" w:eastAsia="黑体"/>
      <w:sz w:val="21"/>
      <w:lang w:val="zh-CN" w:eastAsia="zh-CN"/>
    </w:rPr>
  </w:style>
  <w:style w:type="character" w:customStyle="1" w:styleId="54">
    <w:name w:val="批注文字 Char2"/>
    <w:link w:val="16"/>
    <w:qFormat/>
    <w:uiPriority w:val="99"/>
    <w:rPr>
      <w:rFonts w:ascii="Calibri" w:hAnsi="Calibri" w:eastAsia="宋体" w:cs="Times New Roman"/>
    </w:rPr>
  </w:style>
  <w:style w:type="character" w:customStyle="1" w:styleId="55">
    <w:name w:val="批注主题 Char3"/>
    <w:link w:val="35"/>
    <w:qFormat/>
    <w:uiPriority w:val="99"/>
    <w:rPr>
      <w:rFonts w:ascii="Times New Roman" w:hAnsi="Times New Roman" w:eastAsia="宋体" w:cs="Times New Roman"/>
      <w:b/>
      <w:bCs/>
      <w:szCs w:val="24"/>
    </w:rPr>
  </w:style>
  <w:style w:type="character" w:customStyle="1" w:styleId="56">
    <w:name w:val="正文缩进 Char"/>
    <w:link w:val="13"/>
    <w:qFormat/>
    <w:uiPriority w:val="0"/>
    <w:rPr>
      <w:rFonts w:ascii="Times New Roman" w:hAnsi="Times New Roman" w:eastAsia="宋体" w:cs="Times New Roman"/>
      <w:szCs w:val="24"/>
    </w:rPr>
  </w:style>
  <w:style w:type="character" w:customStyle="1" w:styleId="57">
    <w:name w:val="文档结构图 Char2"/>
    <w:link w:val="15"/>
    <w:qFormat/>
    <w:uiPriority w:val="99"/>
    <w:rPr>
      <w:rFonts w:ascii="宋体" w:hAnsi="Times New Roman" w:eastAsia="宋体" w:cs="Times New Roman"/>
      <w:sz w:val="18"/>
      <w:szCs w:val="18"/>
    </w:rPr>
  </w:style>
  <w:style w:type="character" w:customStyle="1" w:styleId="58">
    <w:name w:val="正文文本 Char2"/>
    <w:basedOn w:val="38"/>
    <w:link w:val="3"/>
    <w:qFormat/>
    <w:uiPriority w:val="99"/>
  </w:style>
  <w:style w:type="character" w:customStyle="1" w:styleId="59">
    <w:name w:val="正文文本缩进 Char1"/>
    <w:link w:val="18"/>
    <w:qFormat/>
    <w:uiPriority w:val="0"/>
    <w:rPr>
      <w:rFonts w:ascii="Times New Roman" w:hAnsi="Times New Roman" w:eastAsia="方正书宋简体" w:cs="Times New Roman"/>
      <w:sz w:val="24"/>
      <w:szCs w:val="20"/>
    </w:rPr>
  </w:style>
  <w:style w:type="character" w:customStyle="1" w:styleId="60">
    <w:name w:val="纯文本 Char1"/>
    <w:link w:val="21"/>
    <w:qFormat/>
    <w:uiPriority w:val="0"/>
    <w:rPr>
      <w:rFonts w:ascii="宋体" w:hAnsi="Courier New" w:eastAsia="宋体" w:cs="Times New Roman"/>
      <w:szCs w:val="20"/>
    </w:rPr>
  </w:style>
  <w:style w:type="character" w:customStyle="1" w:styleId="61">
    <w:name w:val="日期 Char4"/>
    <w:basedOn w:val="38"/>
    <w:link w:val="22"/>
    <w:qFormat/>
    <w:uiPriority w:val="99"/>
  </w:style>
  <w:style w:type="character" w:customStyle="1" w:styleId="62">
    <w:name w:val="批注框文本 Char2"/>
    <w:link w:val="24"/>
    <w:qFormat/>
    <w:uiPriority w:val="99"/>
    <w:rPr>
      <w:sz w:val="18"/>
      <w:szCs w:val="18"/>
    </w:rPr>
  </w:style>
  <w:style w:type="character" w:customStyle="1" w:styleId="63">
    <w:name w:val="页脚 Char1"/>
    <w:link w:val="25"/>
    <w:qFormat/>
    <w:uiPriority w:val="99"/>
    <w:rPr>
      <w:rFonts w:ascii="Times New Roman" w:hAnsi="Times New Roman" w:eastAsia="宋体" w:cs="Times New Roman"/>
      <w:sz w:val="18"/>
      <w:szCs w:val="18"/>
    </w:rPr>
  </w:style>
  <w:style w:type="character" w:customStyle="1" w:styleId="64">
    <w:name w:val="页眉 Char1"/>
    <w:link w:val="26"/>
    <w:qFormat/>
    <w:uiPriority w:val="0"/>
    <w:rPr>
      <w:rFonts w:ascii="Times New Roman" w:hAnsi="Times New Roman" w:eastAsia="宋体" w:cs="Times New Roman"/>
      <w:sz w:val="18"/>
      <w:szCs w:val="18"/>
    </w:rPr>
  </w:style>
  <w:style w:type="character" w:customStyle="1" w:styleId="65">
    <w:name w:val="正文文本缩进 3 Char1"/>
    <w:link w:val="29"/>
    <w:qFormat/>
    <w:uiPriority w:val="0"/>
    <w:rPr>
      <w:rFonts w:ascii="Times New Roman" w:hAnsi="Times New Roman" w:eastAsia="宋体" w:cs="Times New Roman"/>
      <w:sz w:val="16"/>
      <w:szCs w:val="16"/>
    </w:rPr>
  </w:style>
  <w:style w:type="character" w:customStyle="1" w:styleId="66">
    <w:name w:val="标题 Char2"/>
    <w:link w:val="34"/>
    <w:qFormat/>
    <w:uiPriority w:val="0"/>
    <w:rPr>
      <w:rFonts w:ascii="Cambria" w:hAnsi="Cambria"/>
      <w:b/>
      <w:bCs/>
      <w:sz w:val="32"/>
      <w:szCs w:val="32"/>
    </w:rPr>
  </w:style>
  <w:style w:type="paragraph" w:customStyle="1" w:styleId="67">
    <w:name w:val="列出段落1"/>
    <w:basedOn w:val="1"/>
    <w:qFormat/>
    <w:uiPriority w:val="0"/>
    <w:pPr>
      <w:ind w:firstLine="420" w:firstLineChars="200"/>
    </w:pPr>
  </w:style>
  <w:style w:type="paragraph" w:customStyle="1" w:styleId="68">
    <w:name w:val="Char1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9">
    <w:name w:val="Char1"/>
    <w:basedOn w:val="1"/>
    <w:qFormat/>
    <w:uiPriority w:val="0"/>
    <w:pPr>
      <w:widowControl/>
      <w:snapToGrid w:val="0"/>
      <w:ind w:left="-3" w:right="-28" w:rightChars="-10"/>
    </w:pPr>
    <w:rPr>
      <w:rFonts w:ascii="Tahoma" w:hAnsi="Tahoma" w:cs="Tahoma"/>
      <w:sz w:val="24"/>
    </w:rPr>
  </w:style>
  <w:style w:type="character" w:customStyle="1" w:styleId="70">
    <w:name w:val="标题 Char1"/>
    <w:qFormat/>
    <w:uiPriority w:val="0"/>
    <w:rPr>
      <w:rFonts w:ascii="Cambria" w:hAnsi="Cambria" w:eastAsia="宋体" w:cs="Times New Roman"/>
      <w:b/>
      <w:bCs/>
      <w:sz w:val="32"/>
      <w:szCs w:val="32"/>
    </w:rPr>
  </w:style>
  <w:style w:type="character" w:customStyle="1" w:styleId="71">
    <w:name w:val="Char Char"/>
    <w:qFormat/>
    <w:uiPriority w:val="0"/>
    <w:rPr>
      <w:rFonts w:ascii="Cambria" w:hAnsi="Cambria" w:eastAsia="宋体" w:cs="Times New Roman"/>
      <w:b/>
      <w:bCs/>
      <w:sz w:val="32"/>
      <w:szCs w:val="32"/>
    </w:rPr>
  </w:style>
  <w:style w:type="paragraph" w:customStyle="1" w:styleId="72">
    <w:name w:val="样式 标题 5 + 右侧:  -0.18 字符"/>
    <w:basedOn w:val="1"/>
    <w:qFormat/>
    <w:uiPriority w:val="0"/>
    <w:pPr>
      <w:tabs>
        <w:tab w:val="left" w:pos="1008"/>
      </w:tabs>
      <w:ind w:left="2108" w:hanging="420"/>
    </w:pPr>
  </w:style>
  <w:style w:type="paragraph" w:customStyle="1" w:styleId="73">
    <w:name w:val="TOC 标题1"/>
    <w:basedOn w:val="4"/>
    <w:next w:val="1"/>
    <w:unhideWhenUsed/>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74">
    <w:name w:val="修订1"/>
    <w:hidden/>
    <w:semiHidden/>
    <w:qFormat/>
    <w:uiPriority w:val="99"/>
    <w:pPr>
      <w:spacing w:before="100" w:beforeAutospacing="1" w:after="100" w:afterAutospacing="1" w:line="360" w:lineRule="auto"/>
      <w:jc w:val="center"/>
    </w:pPr>
    <w:rPr>
      <w:rFonts w:ascii="Times New Roman" w:hAnsi="Times New Roman" w:eastAsia="宋体" w:cs="Times New Roman"/>
      <w:kern w:val="2"/>
      <w:sz w:val="21"/>
      <w:szCs w:val="24"/>
      <w:lang w:val="en-US" w:eastAsia="zh-CN" w:bidi="ar-SA"/>
    </w:rPr>
  </w:style>
  <w:style w:type="paragraph" w:customStyle="1" w:styleId="75">
    <w:name w:val="列出段落11"/>
    <w:basedOn w:val="1"/>
    <w:qFormat/>
    <w:uiPriority w:val="34"/>
    <w:pPr>
      <w:ind w:firstLine="420" w:firstLineChars="200"/>
    </w:pPr>
  </w:style>
  <w:style w:type="character" w:customStyle="1" w:styleId="76">
    <w:name w:val="表正文 Char2"/>
    <w:qFormat/>
    <w:uiPriority w:val="0"/>
    <w:rPr>
      <w:rFonts w:ascii="Times New Roman" w:hAnsi="Times New Roman" w:eastAsia="宋体" w:cs="Times New Roman"/>
      <w:kern w:val="0"/>
      <w:sz w:val="20"/>
      <w:szCs w:val="24"/>
    </w:rPr>
  </w:style>
  <w:style w:type="paragraph" w:customStyle="1" w:styleId="77">
    <w:name w:val="TOC 标题11"/>
    <w:basedOn w:val="4"/>
    <w:next w:val="1"/>
    <w:unhideWhenUsed/>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78">
    <w:name w:val="样式 标题 2 + Times New Roman 四号 非加粗 段前: 5 磅 段后: 0 磅 行距: 固定值 20..."/>
    <w:basedOn w:val="5"/>
    <w:qFormat/>
    <w:uiPriority w:val="0"/>
    <w:pPr>
      <w:spacing w:beforeAutospacing="0" w:after="0" w:afterAutospacing="0" w:line="400" w:lineRule="exact"/>
      <w:jc w:val="both"/>
    </w:pPr>
    <w:rPr>
      <w:rFonts w:ascii="Times New Roman" w:hAnsi="Times New Roman" w:eastAsia="黑体" w:cs="宋体"/>
      <w:bCs w:val="0"/>
      <w:kern w:val="2"/>
      <w:szCs w:val="20"/>
    </w:rPr>
  </w:style>
  <w:style w:type="paragraph" w:customStyle="1" w:styleId="79">
    <w:name w:val="列出段落2"/>
    <w:basedOn w:val="1"/>
    <w:qFormat/>
    <w:uiPriority w:val="34"/>
    <w:pPr>
      <w:ind w:firstLine="420" w:firstLineChars="200"/>
    </w:pPr>
  </w:style>
  <w:style w:type="paragraph" w:styleId="80">
    <w:name w:val="List Paragraph"/>
    <w:basedOn w:val="1"/>
    <w:unhideWhenUsed/>
    <w:qFormat/>
    <w:uiPriority w:val="1"/>
    <w:pPr>
      <w:ind w:firstLine="420" w:firstLineChars="200"/>
    </w:pPr>
  </w:style>
  <w:style w:type="paragraph" w:styleId="81">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2">
    <w:name w:val="表内文本"/>
    <w:qFormat/>
    <w:uiPriority w:val="0"/>
    <w:pPr>
      <w:widowControl w:val="0"/>
      <w:adjustRightInd w:val="0"/>
      <w:snapToGrid w:val="0"/>
      <w:jc w:val="center"/>
    </w:pPr>
    <w:rPr>
      <w:rFonts w:ascii="Times New Roman" w:hAnsi="Times New Roman" w:eastAsia="仿宋" w:cs="Times New Roman"/>
      <w:spacing w:val="-20"/>
      <w:kern w:val="2"/>
      <w:sz w:val="28"/>
      <w:szCs w:val="21"/>
      <w:lang w:val="en-US" w:eastAsia="zh-CN" w:bidi="ar-SA"/>
    </w:rPr>
  </w:style>
  <w:style w:type="character" w:customStyle="1" w:styleId="83">
    <w:name w:val="正文文本 3 Char1"/>
    <w:basedOn w:val="38"/>
    <w:link w:val="17"/>
    <w:qFormat/>
    <w:uiPriority w:val="99"/>
    <w:rPr>
      <w:rFonts w:ascii="Times New Roman" w:hAnsi="Times New Roman"/>
      <w:kern w:val="2"/>
      <w:sz w:val="16"/>
      <w:szCs w:val="16"/>
    </w:rPr>
  </w:style>
  <w:style w:type="paragraph" w:customStyle="1" w:styleId="84">
    <w:name w:val="1"/>
    <w:basedOn w:val="1"/>
    <w:next w:val="21"/>
    <w:qFormat/>
    <w:uiPriority w:val="0"/>
    <w:pPr>
      <w:spacing w:before="0" w:beforeAutospacing="0" w:after="0" w:afterAutospacing="0" w:line="240" w:lineRule="auto"/>
    </w:pPr>
    <w:rPr>
      <w:rFonts w:ascii="宋体" w:hAnsi="Courier New"/>
      <w:szCs w:val="22"/>
    </w:rPr>
  </w:style>
  <w:style w:type="character" w:customStyle="1" w:styleId="85">
    <w:name w:val="标题 4 字符"/>
    <w:basedOn w:val="38"/>
    <w:semiHidden/>
    <w:qFormat/>
    <w:uiPriority w:val="9"/>
    <w:rPr>
      <w:rFonts w:asciiTheme="majorHAnsi" w:hAnsiTheme="majorHAnsi" w:eastAsiaTheme="majorEastAsia" w:cstheme="majorBidi"/>
      <w:b/>
      <w:bCs/>
      <w:kern w:val="2"/>
      <w:sz w:val="28"/>
      <w:szCs w:val="28"/>
    </w:rPr>
  </w:style>
  <w:style w:type="character" w:customStyle="1" w:styleId="86">
    <w:name w:val="标题 5 字符"/>
    <w:basedOn w:val="38"/>
    <w:semiHidden/>
    <w:qFormat/>
    <w:uiPriority w:val="9"/>
    <w:rPr>
      <w:rFonts w:ascii="Times New Roman" w:hAnsi="Times New Roman"/>
      <w:b/>
      <w:bCs/>
      <w:kern w:val="2"/>
      <w:sz w:val="28"/>
      <w:szCs w:val="28"/>
    </w:rPr>
  </w:style>
  <w:style w:type="character" w:customStyle="1" w:styleId="87">
    <w:name w:val="标题 6 字符"/>
    <w:basedOn w:val="38"/>
    <w:semiHidden/>
    <w:qFormat/>
    <w:uiPriority w:val="9"/>
    <w:rPr>
      <w:rFonts w:asciiTheme="majorHAnsi" w:hAnsiTheme="majorHAnsi" w:eastAsiaTheme="majorEastAsia" w:cstheme="majorBidi"/>
      <w:b/>
      <w:bCs/>
      <w:kern w:val="2"/>
      <w:sz w:val="24"/>
      <w:szCs w:val="24"/>
    </w:rPr>
  </w:style>
  <w:style w:type="character" w:customStyle="1" w:styleId="88">
    <w:name w:val="标题 7 字符"/>
    <w:basedOn w:val="38"/>
    <w:semiHidden/>
    <w:qFormat/>
    <w:uiPriority w:val="9"/>
    <w:rPr>
      <w:rFonts w:ascii="Times New Roman" w:hAnsi="Times New Roman"/>
      <w:b/>
      <w:bCs/>
      <w:kern w:val="2"/>
      <w:sz w:val="24"/>
      <w:szCs w:val="24"/>
    </w:rPr>
  </w:style>
  <w:style w:type="character" w:customStyle="1" w:styleId="89">
    <w:name w:val="标题 8 字符"/>
    <w:basedOn w:val="38"/>
    <w:semiHidden/>
    <w:qFormat/>
    <w:uiPriority w:val="9"/>
    <w:rPr>
      <w:rFonts w:asciiTheme="majorHAnsi" w:hAnsiTheme="majorHAnsi" w:eastAsiaTheme="majorEastAsia" w:cstheme="majorBidi"/>
      <w:kern w:val="2"/>
      <w:sz w:val="24"/>
      <w:szCs w:val="24"/>
    </w:rPr>
  </w:style>
  <w:style w:type="character" w:customStyle="1" w:styleId="90">
    <w:name w:val="标题 9 字符"/>
    <w:basedOn w:val="38"/>
    <w:semiHidden/>
    <w:qFormat/>
    <w:uiPriority w:val="9"/>
    <w:rPr>
      <w:rFonts w:asciiTheme="majorHAnsi" w:hAnsiTheme="majorHAnsi" w:eastAsiaTheme="majorEastAsia" w:cstheme="majorBidi"/>
      <w:kern w:val="2"/>
      <w:sz w:val="21"/>
      <w:szCs w:val="21"/>
    </w:rPr>
  </w:style>
  <w:style w:type="paragraph" w:customStyle="1" w:styleId="91">
    <w:name w:val="列出段落1_0"/>
    <w:basedOn w:val="1"/>
    <w:qFormat/>
    <w:uiPriority w:val="34"/>
    <w:pPr>
      <w:ind w:firstLine="420"/>
    </w:pPr>
  </w:style>
  <w:style w:type="paragraph" w:customStyle="1" w:styleId="92">
    <w:name w:val="TOC 标题1_0"/>
    <w:basedOn w:val="4"/>
    <w:next w:val="1"/>
    <w:unhideWhenUsed/>
    <w:qFormat/>
    <w:uiPriority w:val="39"/>
    <w:pPr>
      <w:widowControl/>
      <w:spacing w:before="480" w:after="0" w:line="276" w:lineRule="auto"/>
      <w:jc w:val="left"/>
      <w:outlineLvl w:val="9"/>
    </w:pPr>
    <w:rPr>
      <w:rFonts w:ascii="Cambria" w:hAnsi="Cambria" w:eastAsia="宋体"/>
      <w:color w:val="365F91"/>
      <w:kern w:val="0"/>
      <w:sz w:val="28"/>
      <w:szCs w:val="28"/>
    </w:rPr>
  </w:style>
  <w:style w:type="character" w:customStyle="1" w:styleId="93">
    <w:name w:val="正文文本 Char1"/>
    <w:qFormat/>
    <w:uiPriority w:val="0"/>
    <w:rPr>
      <w:kern w:val="2"/>
      <w:sz w:val="21"/>
      <w:szCs w:val="22"/>
    </w:rPr>
  </w:style>
  <w:style w:type="character" w:customStyle="1" w:styleId="94">
    <w:name w:val="font21"/>
    <w:qFormat/>
    <w:uiPriority w:val="0"/>
    <w:rPr>
      <w:rFonts w:hint="eastAsia" w:ascii="宋体" w:hAnsi="宋体" w:eastAsia="宋体" w:cs="宋体"/>
      <w:color w:val="000000"/>
      <w:sz w:val="24"/>
      <w:szCs w:val="24"/>
      <w:u w:val="none"/>
    </w:rPr>
  </w:style>
  <w:style w:type="character" w:customStyle="1" w:styleId="95">
    <w:name w:val="日期 Char3"/>
    <w:qFormat/>
    <w:uiPriority w:val="0"/>
    <w:rPr>
      <w:rFonts w:ascii="宋体" w:hAnsi="宋体"/>
      <w:kern w:val="2"/>
      <w:sz w:val="21"/>
      <w:szCs w:val="24"/>
    </w:rPr>
  </w:style>
  <w:style w:type="character" w:customStyle="1" w:styleId="96">
    <w:name w:val="font01"/>
    <w:qFormat/>
    <w:uiPriority w:val="0"/>
    <w:rPr>
      <w:rFonts w:hint="eastAsia" w:ascii="宋体" w:hAnsi="宋体" w:eastAsia="宋体" w:cs="宋体"/>
      <w:b/>
      <w:color w:val="000000"/>
      <w:sz w:val="24"/>
      <w:szCs w:val="24"/>
      <w:u w:val="none"/>
    </w:rPr>
  </w:style>
  <w:style w:type="character" w:customStyle="1" w:styleId="97">
    <w:name w:val="批注框文本 Char1"/>
    <w:qFormat/>
    <w:uiPriority w:val="0"/>
    <w:rPr>
      <w:kern w:val="2"/>
      <w:sz w:val="18"/>
      <w:szCs w:val="18"/>
    </w:rPr>
  </w:style>
  <w:style w:type="character" w:customStyle="1" w:styleId="98">
    <w:name w:val="文档结构图 Char1"/>
    <w:qFormat/>
    <w:uiPriority w:val="0"/>
    <w:rPr>
      <w:rFonts w:ascii="宋体"/>
      <w:kern w:val="2"/>
      <w:sz w:val="18"/>
      <w:szCs w:val="18"/>
    </w:rPr>
  </w:style>
  <w:style w:type="character" w:customStyle="1" w:styleId="99">
    <w:name w:val="日期 Char"/>
    <w:qFormat/>
    <w:uiPriority w:val="0"/>
    <w:rPr>
      <w:rFonts w:ascii="宋体"/>
      <w:sz w:val="28"/>
      <w:lang w:bidi="ar-SA"/>
    </w:rPr>
  </w:style>
  <w:style w:type="character" w:customStyle="1" w:styleId="100">
    <w:name w:val="正文文本缩进 Char"/>
    <w:qFormat/>
    <w:uiPriority w:val="0"/>
    <w:rPr>
      <w:rFonts w:eastAsia="楷体_GB2312"/>
      <w:kern w:val="2"/>
      <w:sz w:val="30"/>
    </w:rPr>
  </w:style>
  <w:style w:type="character" w:customStyle="1" w:styleId="101">
    <w:name w:val="Char Char18"/>
    <w:qFormat/>
    <w:uiPriority w:val="0"/>
    <w:rPr>
      <w:rFonts w:ascii="新宋体" w:hAnsi="Arial" w:eastAsia="新宋体"/>
      <w:b/>
      <w:bCs/>
      <w:kern w:val="2"/>
      <w:sz w:val="24"/>
      <w:szCs w:val="24"/>
      <w:lang w:val="en-US" w:eastAsia="zh-CN" w:bidi="ar-SA"/>
    </w:rPr>
  </w:style>
  <w:style w:type="character" w:customStyle="1" w:styleId="102">
    <w:name w:val="正文文本 2 Char"/>
    <w:link w:val="31"/>
    <w:qFormat/>
    <w:uiPriority w:val="0"/>
    <w:rPr>
      <w:rFonts w:ascii="宋体" w:hAnsi="宋体"/>
      <w:kern w:val="2"/>
      <w:sz w:val="18"/>
    </w:rPr>
  </w:style>
  <w:style w:type="character" w:customStyle="1" w:styleId="103">
    <w:name w:val="正文文本 2 字符"/>
    <w:basedOn w:val="38"/>
    <w:semiHidden/>
    <w:qFormat/>
    <w:uiPriority w:val="99"/>
    <w:rPr>
      <w:rFonts w:ascii="Times New Roman" w:hAnsi="Times New Roman"/>
      <w:kern w:val="2"/>
      <w:sz w:val="21"/>
      <w:szCs w:val="24"/>
    </w:rPr>
  </w:style>
  <w:style w:type="character" w:customStyle="1" w:styleId="104">
    <w:name w:val="Char Char11"/>
    <w:qFormat/>
    <w:uiPriority w:val="0"/>
    <w:rPr>
      <w:rFonts w:ascii="Calibri" w:hAnsi="Calibri" w:eastAsia="宋体"/>
      <w:kern w:val="2"/>
      <w:sz w:val="18"/>
      <w:szCs w:val="18"/>
      <w:lang w:val="en-US" w:eastAsia="zh-CN" w:bidi="ar-SA"/>
    </w:rPr>
  </w:style>
  <w:style w:type="character" w:customStyle="1" w:styleId="105">
    <w:name w:val="Char Char23"/>
    <w:qFormat/>
    <w:uiPriority w:val="0"/>
    <w:rPr>
      <w:rFonts w:ascii="新宋体" w:hAnsi="宋体" w:eastAsia="新宋体"/>
      <w:b/>
      <w:bCs/>
      <w:kern w:val="44"/>
      <w:sz w:val="36"/>
      <w:szCs w:val="44"/>
      <w:lang w:val="en-US" w:eastAsia="zh-CN" w:bidi="ar-SA"/>
    </w:rPr>
  </w:style>
  <w:style w:type="character" w:customStyle="1" w:styleId="106">
    <w:name w:val="页脚 Char"/>
    <w:qFormat/>
    <w:uiPriority w:val="0"/>
    <w:rPr>
      <w:kern w:val="2"/>
      <w:sz w:val="18"/>
    </w:rPr>
  </w:style>
  <w:style w:type="character" w:customStyle="1" w:styleId="107">
    <w:name w:val="Char Char12"/>
    <w:qFormat/>
    <w:uiPriority w:val="0"/>
    <w:rPr>
      <w:rFonts w:ascii="Calibri" w:hAnsi="Calibri" w:eastAsia="宋体"/>
      <w:kern w:val="2"/>
      <w:sz w:val="18"/>
      <w:szCs w:val="18"/>
      <w:lang w:val="en-US" w:eastAsia="zh-CN" w:bidi="ar-SA"/>
    </w:rPr>
  </w:style>
  <w:style w:type="character" w:customStyle="1" w:styleId="108">
    <w:name w:val="明显强调1"/>
    <w:qFormat/>
    <w:uiPriority w:val="0"/>
    <w:rPr>
      <w:b/>
      <w:bCs/>
      <w:i/>
      <w:iCs/>
      <w:color w:val="4F81BD"/>
    </w:rPr>
  </w:style>
  <w:style w:type="character" w:customStyle="1" w:styleId="109">
    <w:name w:val="批注文字 Char"/>
    <w:qFormat/>
    <w:uiPriority w:val="0"/>
    <w:rPr>
      <w:rFonts w:ascii="Calibri" w:hAnsi="Calibri" w:eastAsia="宋体"/>
      <w:sz w:val="22"/>
      <w:szCs w:val="22"/>
      <w:lang w:val="en-US" w:eastAsia="en-US" w:bidi="en-US"/>
    </w:rPr>
  </w:style>
  <w:style w:type="character" w:customStyle="1" w:styleId="110">
    <w:name w:val="Char Char20"/>
    <w:qFormat/>
    <w:uiPriority w:val="0"/>
    <w:rPr>
      <w:rFonts w:ascii="新宋体" w:hAnsi="Arial" w:eastAsia="新宋体"/>
      <w:b/>
      <w:bCs/>
      <w:kern w:val="2"/>
      <w:sz w:val="24"/>
      <w:szCs w:val="28"/>
      <w:lang w:val="en-US" w:eastAsia="zh-CN" w:bidi="ar-SA"/>
    </w:rPr>
  </w:style>
  <w:style w:type="character" w:customStyle="1" w:styleId="111">
    <w:name w:val="标题 1 Char"/>
    <w:link w:val="112"/>
    <w:qFormat/>
    <w:uiPriority w:val="0"/>
    <w:rPr>
      <w:rFonts w:ascii="华文细黑" w:eastAsia="华文细黑"/>
      <w:b/>
      <w:sz w:val="52"/>
    </w:rPr>
  </w:style>
  <w:style w:type="paragraph" w:customStyle="1" w:styleId="112">
    <w:name w:val="标题 1_0"/>
    <w:basedOn w:val="113"/>
    <w:next w:val="113"/>
    <w:link w:val="111"/>
    <w:qFormat/>
    <w:uiPriority w:val="0"/>
    <w:pPr>
      <w:keepNext/>
      <w:keepLines/>
      <w:numPr>
        <w:ilvl w:val="0"/>
        <w:numId w:val="3"/>
      </w:numPr>
      <w:spacing w:before="120" w:after="120" w:line="360" w:lineRule="auto"/>
      <w:ind w:left="0" w:hanging="431" w:hangingChars="205"/>
      <w:outlineLvl w:val="0"/>
    </w:pPr>
    <w:rPr>
      <w:rFonts w:ascii="华文细黑" w:eastAsia="华文细黑"/>
      <w:b/>
      <w:kern w:val="0"/>
      <w:sz w:val="52"/>
      <w:szCs w:val="20"/>
    </w:rPr>
  </w:style>
  <w:style w:type="paragraph" w:customStyle="1" w:styleId="113">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4">
    <w:name w:val="正文文本缩进 3 Char"/>
    <w:qFormat/>
    <w:uiPriority w:val="0"/>
    <w:rPr>
      <w:rFonts w:ascii="宋体" w:hAnsi="宋体"/>
      <w:kern w:val="2"/>
      <w:sz w:val="21"/>
    </w:rPr>
  </w:style>
  <w:style w:type="character" w:customStyle="1" w:styleId="115">
    <w:name w:val="Char Char22"/>
    <w:qFormat/>
    <w:uiPriority w:val="0"/>
    <w:rPr>
      <w:rFonts w:ascii="新宋体" w:hAnsi="Arial" w:eastAsia="新宋体"/>
      <w:b/>
      <w:bCs/>
      <w:kern w:val="2"/>
      <w:sz w:val="32"/>
      <w:szCs w:val="32"/>
      <w:lang w:val="en-US" w:eastAsia="zh-CN" w:bidi="ar-SA"/>
    </w:rPr>
  </w:style>
  <w:style w:type="character" w:customStyle="1" w:styleId="116">
    <w:name w:val="Char Char3"/>
    <w:qFormat/>
    <w:uiPriority w:val="0"/>
    <w:rPr>
      <w:rFonts w:ascii="Calibri" w:hAnsi="Calibri" w:eastAsia="宋体"/>
      <w:color w:val="000000"/>
      <w:sz w:val="22"/>
      <w:szCs w:val="18"/>
      <w:lang w:val="en-US" w:eastAsia="en-US" w:bidi="en-US"/>
    </w:rPr>
  </w:style>
  <w:style w:type="character" w:customStyle="1" w:styleId="117">
    <w:name w:val="Char Char21"/>
    <w:qFormat/>
    <w:uiPriority w:val="0"/>
    <w:rPr>
      <w:rFonts w:ascii="新宋体" w:hAnsi="宋体" w:eastAsia="新宋体"/>
      <w:b/>
      <w:bCs/>
      <w:kern w:val="2"/>
      <w:sz w:val="28"/>
      <w:szCs w:val="32"/>
      <w:lang w:val="en-US" w:eastAsia="zh-CN" w:bidi="ar-SA"/>
    </w:rPr>
  </w:style>
  <w:style w:type="character" w:customStyle="1" w:styleId="118">
    <w:name w:val="批注框文本 Char"/>
    <w:qFormat/>
    <w:uiPriority w:val="0"/>
    <w:rPr>
      <w:kern w:val="2"/>
      <w:sz w:val="18"/>
      <w:szCs w:val="18"/>
    </w:rPr>
  </w:style>
  <w:style w:type="character" w:customStyle="1" w:styleId="119">
    <w:name w:val="Char Char17"/>
    <w:qFormat/>
    <w:uiPriority w:val="0"/>
    <w:rPr>
      <w:rFonts w:ascii="新宋体" w:hAnsi="宋体" w:eastAsia="新宋体"/>
      <w:b/>
      <w:bCs/>
      <w:kern w:val="2"/>
      <w:sz w:val="24"/>
      <w:szCs w:val="24"/>
      <w:lang w:val="en-US" w:eastAsia="zh-CN" w:bidi="ar-SA"/>
    </w:rPr>
  </w:style>
  <w:style w:type="character" w:customStyle="1" w:styleId="120">
    <w:name w:val="Char Char19"/>
    <w:qFormat/>
    <w:uiPriority w:val="0"/>
    <w:rPr>
      <w:rFonts w:ascii="新宋体" w:hAnsi="宋体" w:eastAsia="新宋体"/>
      <w:b/>
      <w:bCs/>
      <w:kern w:val="2"/>
      <w:sz w:val="24"/>
      <w:szCs w:val="28"/>
      <w:lang w:val="en-US" w:eastAsia="zh-CN" w:bidi="ar-SA"/>
    </w:rPr>
  </w:style>
  <w:style w:type="character" w:customStyle="1" w:styleId="121">
    <w:name w:val="Char Char9"/>
    <w:qFormat/>
    <w:uiPriority w:val="0"/>
    <w:rPr>
      <w:rFonts w:ascii="Calibri" w:hAnsi="Calibri" w:eastAsia="宋体"/>
      <w:kern w:val="2"/>
      <w:sz w:val="18"/>
      <w:szCs w:val="18"/>
      <w:lang w:val="en-US" w:eastAsia="zh-CN" w:bidi="ar-SA"/>
    </w:rPr>
  </w:style>
  <w:style w:type="character" w:customStyle="1" w:styleId="122">
    <w:name w:val="正文文本缩进 2 Char"/>
    <w:link w:val="23"/>
    <w:qFormat/>
    <w:uiPriority w:val="0"/>
    <w:rPr>
      <w:rFonts w:ascii="宋体" w:hAnsi="宋体"/>
      <w:b/>
      <w:kern w:val="2"/>
      <w:sz w:val="21"/>
    </w:rPr>
  </w:style>
  <w:style w:type="character" w:customStyle="1" w:styleId="123">
    <w:name w:val="正文文本缩进 2 字符"/>
    <w:basedOn w:val="38"/>
    <w:semiHidden/>
    <w:qFormat/>
    <w:uiPriority w:val="99"/>
    <w:rPr>
      <w:rFonts w:ascii="Times New Roman" w:hAnsi="Times New Roman"/>
      <w:kern w:val="2"/>
      <w:sz w:val="21"/>
      <w:szCs w:val="24"/>
    </w:rPr>
  </w:style>
  <w:style w:type="character" w:customStyle="1" w:styleId="124">
    <w:name w:val="页眉 Char"/>
    <w:qFormat/>
    <w:uiPriority w:val="0"/>
    <w:rPr>
      <w:kern w:val="2"/>
      <w:sz w:val="18"/>
    </w:rPr>
  </w:style>
  <w:style w:type="character" w:customStyle="1" w:styleId="125">
    <w:name w:val="引用 Char"/>
    <w:link w:val="126"/>
    <w:qFormat/>
    <w:uiPriority w:val="0"/>
    <w:rPr>
      <w:i/>
      <w:iCs/>
      <w:color w:val="000000"/>
      <w:sz w:val="22"/>
      <w:szCs w:val="22"/>
      <w:lang w:eastAsia="en-US" w:bidi="en-US"/>
    </w:rPr>
  </w:style>
  <w:style w:type="paragraph" w:styleId="126">
    <w:name w:val="Quote"/>
    <w:basedOn w:val="1"/>
    <w:next w:val="1"/>
    <w:link w:val="125"/>
    <w:qFormat/>
    <w:uiPriority w:val="0"/>
    <w:pPr>
      <w:widowControl/>
      <w:spacing w:before="0" w:beforeAutospacing="0" w:after="200" w:afterAutospacing="0" w:line="276" w:lineRule="auto"/>
      <w:jc w:val="left"/>
    </w:pPr>
    <w:rPr>
      <w:rFonts w:ascii="Calibri" w:hAnsi="Calibri"/>
      <w:i/>
      <w:iCs/>
      <w:color w:val="000000"/>
      <w:kern w:val="0"/>
      <w:sz w:val="22"/>
      <w:szCs w:val="22"/>
      <w:lang w:eastAsia="en-US" w:bidi="en-US"/>
    </w:rPr>
  </w:style>
  <w:style w:type="character" w:customStyle="1" w:styleId="127">
    <w:name w:val="引用 字符"/>
    <w:basedOn w:val="38"/>
    <w:qFormat/>
    <w:uiPriority w:val="99"/>
    <w:rPr>
      <w:rFonts w:ascii="Times New Roman" w:hAnsi="Times New Roman"/>
      <w:i/>
      <w:iCs/>
      <w:color w:val="3F3F3F" w:themeColor="text1" w:themeTint="BF"/>
      <w:kern w:val="2"/>
      <w:sz w:val="21"/>
      <w:szCs w:val="24"/>
    </w:rPr>
  </w:style>
  <w:style w:type="character" w:customStyle="1" w:styleId="128">
    <w:name w:val="正文文本 Char"/>
    <w:qFormat/>
    <w:uiPriority w:val="0"/>
    <w:rPr>
      <w:rFonts w:eastAsia="楷体_GB2312"/>
      <w:kern w:val="2"/>
      <w:sz w:val="30"/>
    </w:rPr>
  </w:style>
  <w:style w:type="character" w:customStyle="1" w:styleId="129">
    <w:name w:val="Char Char15"/>
    <w:qFormat/>
    <w:uiPriority w:val="0"/>
    <w:rPr>
      <w:rFonts w:ascii="Cambria" w:hAnsi="Cambria" w:eastAsia="宋体"/>
      <w:i/>
      <w:iCs/>
      <w:color w:val="404040"/>
      <w:lang w:val="en-US" w:eastAsia="en-US" w:bidi="en-US"/>
    </w:rPr>
  </w:style>
  <w:style w:type="character" w:customStyle="1" w:styleId="130">
    <w:name w:val="正文文本 3 Char"/>
    <w:qFormat/>
    <w:uiPriority w:val="0"/>
    <w:rPr>
      <w:color w:val="000000"/>
      <w:kern w:val="2"/>
      <w:sz w:val="21"/>
    </w:rPr>
  </w:style>
  <w:style w:type="character" w:customStyle="1" w:styleId="131">
    <w:name w:val="Char Char8"/>
    <w:qFormat/>
    <w:uiPriority w:val="0"/>
    <w:rPr>
      <w:rFonts w:ascii="Calibri" w:hAnsi="Calibri" w:eastAsia="楷体_GB2312"/>
      <w:sz w:val="30"/>
      <w:szCs w:val="22"/>
      <w:lang w:val="en-US" w:eastAsia="en-US" w:bidi="en-US"/>
    </w:rPr>
  </w:style>
  <w:style w:type="character" w:customStyle="1" w:styleId="132">
    <w:name w:val="Char Char7"/>
    <w:qFormat/>
    <w:uiPriority w:val="0"/>
    <w:rPr>
      <w:rFonts w:ascii="Calibri" w:hAnsi="Calibri" w:eastAsia="楷体_GB2312"/>
      <w:sz w:val="30"/>
      <w:szCs w:val="22"/>
      <w:lang w:val="en-US" w:eastAsia="en-US" w:bidi="en-US"/>
    </w:rPr>
  </w:style>
  <w:style w:type="character" w:customStyle="1" w:styleId="133">
    <w:name w:val="标题 2 Char"/>
    <w:link w:val="134"/>
    <w:qFormat/>
    <w:uiPriority w:val="0"/>
    <w:rPr>
      <w:rFonts w:ascii="华文细黑" w:hAnsi="Arial" w:eastAsia="华文细黑"/>
      <w:b/>
      <w:sz w:val="44"/>
    </w:rPr>
  </w:style>
  <w:style w:type="paragraph" w:customStyle="1" w:styleId="134">
    <w:name w:val="标题 2_0"/>
    <w:basedOn w:val="113"/>
    <w:next w:val="113"/>
    <w:link w:val="133"/>
    <w:qFormat/>
    <w:uiPriority w:val="0"/>
    <w:pPr>
      <w:keepNext/>
      <w:keepLines/>
      <w:spacing w:before="260" w:after="260" w:line="416" w:lineRule="auto"/>
      <w:ind w:left="576" w:hanging="576"/>
      <w:outlineLvl w:val="1"/>
    </w:pPr>
    <w:rPr>
      <w:rFonts w:ascii="华文细黑" w:hAnsi="Arial" w:eastAsia="华文细黑"/>
      <w:b/>
      <w:kern w:val="0"/>
      <w:sz w:val="44"/>
      <w:szCs w:val="20"/>
    </w:rPr>
  </w:style>
  <w:style w:type="character" w:customStyle="1" w:styleId="135">
    <w:name w:val="Char Char5"/>
    <w:qFormat/>
    <w:uiPriority w:val="0"/>
    <w:rPr>
      <w:rFonts w:ascii="宋体" w:hAnsi="宋体" w:eastAsia="宋体"/>
      <w:sz w:val="18"/>
      <w:szCs w:val="22"/>
      <w:lang w:val="en-US" w:eastAsia="en-US" w:bidi="en-US"/>
    </w:rPr>
  </w:style>
  <w:style w:type="character" w:customStyle="1" w:styleId="136">
    <w:name w:val="Char Char6"/>
    <w:qFormat/>
    <w:uiPriority w:val="0"/>
    <w:rPr>
      <w:rFonts w:ascii="宋体" w:hAnsi="宋体" w:eastAsia="宋体"/>
      <w:b/>
      <w:bCs/>
      <w:sz w:val="22"/>
      <w:szCs w:val="22"/>
      <w:lang w:val="en-US" w:eastAsia="en-US" w:bidi="en-US"/>
    </w:rPr>
  </w:style>
  <w:style w:type="character" w:customStyle="1" w:styleId="137">
    <w:name w:val="标题 3 Char"/>
    <w:link w:val="138"/>
    <w:qFormat/>
    <w:uiPriority w:val="9"/>
    <w:rPr>
      <w:rFonts w:eastAsia="华文细黑"/>
      <w:sz w:val="36"/>
    </w:rPr>
  </w:style>
  <w:style w:type="paragraph" w:customStyle="1" w:styleId="138">
    <w:name w:val="标题 3_0"/>
    <w:basedOn w:val="113"/>
    <w:next w:val="113"/>
    <w:link w:val="137"/>
    <w:qFormat/>
    <w:uiPriority w:val="9"/>
    <w:pPr>
      <w:keepNext/>
      <w:keepLines/>
      <w:numPr>
        <w:ilvl w:val="2"/>
        <w:numId w:val="3"/>
      </w:numPr>
      <w:spacing w:before="260" w:after="260" w:line="416" w:lineRule="auto"/>
      <w:outlineLvl w:val="2"/>
    </w:pPr>
    <w:rPr>
      <w:rFonts w:eastAsia="华文细黑"/>
      <w:kern w:val="0"/>
      <w:sz w:val="36"/>
      <w:szCs w:val="20"/>
    </w:rPr>
  </w:style>
  <w:style w:type="character" w:customStyle="1" w:styleId="139">
    <w:name w:val="批注主题 Char"/>
    <w:qFormat/>
    <w:uiPriority w:val="0"/>
    <w:rPr>
      <w:rFonts w:ascii="Calibri" w:hAnsi="Calibri" w:eastAsia="宋体"/>
      <w:b/>
      <w:bCs/>
      <w:sz w:val="22"/>
      <w:szCs w:val="22"/>
      <w:lang w:val="en-US" w:eastAsia="en-US" w:bidi="en-US"/>
    </w:rPr>
  </w:style>
  <w:style w:type="character" w:customStyle="1" w:styleId="140">
    <w:name w:val="Char Char13"/>
    <w:qFormat/>
    <w:uiPriority w:val="0"/>
    <w:rPr>
      <w:rFonts w:eastAsia="宋体"/>
      <w:kern w:val="2"/>
      <w:sz w:val="21"/>
      <w:szCs w:val="24"/>
      <w:lang w:val="en-US" w:eastAsia="zh-CN" w:bidi="ar-SA"/>
    </w:rPr>
  </w:style>
  <w:style w:type="character" w:customStyle="1" w:styleId="141">
    <w:name w:val="Char Char4"/>
    <w:qFormat/>
    <w:uiPriority w:val="0"/>
    <w:rPr>
      <w:rFonts w:ascii="宋体" w:hAnsi="宋体" w:eastAsia="宋体"/>
      <w:sz w:val="22"/>
      <w:szCs w:val="22"/>
      <w:lang w:val="en-US" w:eastAsia="en-US" w:bidi="en-US"/>
    </w:rPr>
  </w:style>
  <w:style w:type="character" w:customStyle="1" w:styleId="142">
    <w:name w:val="Char Char16"/>
    <w:qFormat/>
    <w:uiPriority w:val="0"/>
    <w:rPr>
      <w:rFonts w:ascii="Cambria" w:hAnsi="Cambria" w:eastAsia="宋体"/>
      <w:color w:val="4F81BD"/>
      <w:lang w:val="en-US" w:eastAsia="en-US" w:bidi="en-US"/>
    </w:rPr>
  </w:style>
  <w:style w:type="character" w:customStyle="1" w:styleId="143">
    <w:name w:val="标题 Char"/>
    <w:qFormat/>
    <w:uiPriority w:val="0"/>
    <w:rPr>
      <w:rFonts w:ascii="新宋体" w:hAnsi="Arial" w:eastAsia="新宋体" w:cs="Arial"/>
      <w:b/>
      <w:bCs/>
      <w:kern w:val="2"/>
      <w:sz w:val="32"/>
      <w:szCs w:val="32"/>
    </w:rPr>
  </w:style>
  <w:style w:type="character" w:customStyle="1" w:styleId="144">
    <w:name w:val="文档结构图 Char"/>
    <w:qFormat/>
    <w:uiPriority w:val="0"/>
    <w:rPr>
      <w:kern w:val="2"/>
      <w:sz w:val="21"/>
      <w:shd w:val="clear" w:color="auto" w:fill="000080"/>
    </w:rPr>
  </w:style>
  <w:style w:type="character" w:customStyle="1" w:styleId="145">
    <w:name w:val="副标题 Char"/>
    <w:link w:val="28"/>
    <w:qFormat/>
    <w:uiPriority w:val="0"/>
    <w:rPr>
      <w:rFonts w:ascii="Cambria" w:hAnsi="Cambria"/>
      <w:i/>
      <w:iCs/>
      <w:color w:val="4F81BD"/>
      <w:spacing w:val="15"/>
      <w:sz w:val="24"/>
      <w:szCs w:val="24"/>
      <w:lang w:eastAsia="en-US" w:bidi="en-US"/>
    </w:rPr>
  </w:style>
  <w:style w:type="character" w:customStyle="1" w:styleId="146">
    <w:name w:val="副标题 字符"/>
    <w:basedOn w:val="38"/>
    <w:qFormat/>
    <w:uiPriority w:val="11"/>
    <w:rPr>
      <w:rFonts w:asciiTheme="minorHAnsi" w:hAnsiTheme="minorHAnsi" w:eastAsiaTheme="minorEastAsia" w:cstheme="minorBidi"/>
      <w:b/>
      <w:bCs/>
      <w:kern w:val="28"/>
      <w:sz w:val="32"/>
      <w:szCs w:val="32"/>
    </w:rPr>
  </w:style>
  <w:style w:type="character" w:customStyle="1" w:styleId="147">
    <w:name w:val="明显引用 Char"/>
    <w:link w:val="148"/>
    <w:qFormat/>
    <w:uiPriority w:val="0"/>
    <w:rPr>
      <w:b/>
      <w:bCs/>
      <w:i/>
      <w:iCs/>
      <w:color w:val="4F81BD"/>
      <w:sz w:val="22"/>
      <w:szCs w:val="22"/>
      <w:lang w:eastAsia="en-US" w:bidi="en-US"/>
    </w:rPr>
  </w:style>
  <w:style w:type="paragraph" w:styleId="148">
    <w:name w:val="Intense Quote"/>
    <w:basedOn w:val="1"/>
    <w:next w:val="1"/>
    <w:link w:val="147"/>
    <w:qFormat/>
    <w:uiPriority w:val="0"/>
    <w:pPr>
      <w:widowControl/>
      <w:pBdr>
        <w:bottom w:val="single" w:color="4F81BD" w:sz="4" w:space="4"/>
      </w:pBdr>
      <w:spacing w:before="200" w:beforeAutospacing="0" w:after="280" w:afterAutospacing="0" w:line="276" w:lineRule="auto"/>
      <w:ind w:left="936" w:right="936"/>
      <w:jc w:val="left"/>
    </w:pPr>
    <w:rPr>
      <w:rFonts w:ascii="Calibri" w:hAnsi="Calibri"/>
      <w:b/>
      <w:bCs/>
      <w:i/>
      <w:iCs/>
      <w:color w:val="4F81BD"/>
      <w:kern w:val="0"/>
      <w:sz w:val="22"/>
      <w:szCs w:val="22"/>
      <w:lang w:eastAsia="en-US" w:bidi="en-US"/>
    </w:rPr>
  </w:style>
  <w:style w:type="character" w:customStyle="1" w:styleId="149">
    <w:name w:val="明显引用 字符"/>
    <w:basedOn w:val="38"/>
    <w:qFormat/>
    <w:uiPriority w:val="99"/>
    <w:rPr>
      <w:rFonts w:ascii="Times New Roman" w:hAnsi="Times New Roman"/>
      <w:i/>
      <w:iCs/>
      <w:color w:val="4F81BD" w:themeColor="accent1"/>
      <w:kern w:val="2"/>
      <w:sz w:val="21"/>
      <w:szCs w:val="24"/>
    </w:rPr>
  </w:style>
  <w:style w:type="character" w:customStyle="1" w:styleId="150">
    <w:name w:val="标题4 Char Char"/>
    <w:link w:val="151"/>
    <w:qFormat/>
    <w:uiPriority w:val="0"/>
    <w:rPr>
      <w:rFonts w:ascii="Arial" w:hAnsi="Arial"/>
      <w:b/>
      <w:bCs/>
      <w:sz w:val="24"/>
      <w:szCs w:val="32"/>
    </w:rPr>
  </w:style>
  <w:style w:type="paragraph" w:customStyle="1" w:styleId="151">
    <w:name w:val="标题4"/>
    <w:basedOn w:val="5"/>
    <w:next w:val="19"/>
    <w:link w:val="150"/>
    <w:qFormat/>
    <w:uiPriority w:val="0"/>
    <w:pPr>
      <w:spacing w:before="260" w:beforeAutospacing="0" w:after="260" w:afterAutospacing="0" w:line="413" w:lineRule="auto"/>
      <w:jc w:val="both"/>
    </w:pPr>
    <w:rPr>
      <w:rFonts w:ascii="Arial" w:hAnsi="Arial" w:eastAsia="宋体"/>
      <w:b/>
      <w:sz w:val="24"/>
    </w:rPr>
  </w:style>
  <w:style w:type="character" w:customStyle="1" w:styleId="152">
    <w:name w:val="批注主题 Char1"/>
    <w:qFormat/>
    <w:uiPriority w:val="0"/>
    <w:rPr>
      <w:b/>
      <w:bCs/>
      <w:kern w:val="2"/>
      <w:sz w:val="21"/>
      <w:szCs w:val="22"/>
    </w:rPr>
  </w:style>
  <w:style w:type="character" w:customStyle="1" w:styleId="153">
    <w:name w:val="不明显参考1"/>
    <w:qFormat/>
    <w:uiPriority w:val="0"/>
    <w:rPr>
      <w:smallCaps/>
      <w:color w:val="C0504D"/>
      <w:u w:val="single"/>
    </w:rPr>
  </w:style>
  <w:style w:type="character" w:customStyle="1" w:styleId="154">
    <w:name w:val="书籍标题1"/>
    <w:qFormat/>
    <w:uiPriority w:val="0"/>
    <w:rPr>
      <w:b/>
      <w:bCs/>
      <w:smallCaps/>
      <w:spacing w:val="5"/>
    </w:rPr>
  </w:style>
  <w:style w:type="character" w:customStyle="1" w:styleId="155">
    <w:name w:val="日期 Char2"/>
    <w:qFormat/>
    <w:uiPriority w:val="0"/>
    <w:rPr>
      <w:kern w:val="2"/>
      <w:sz w:val="21"/>
    </w:rPr>
  </w:style>
  <w:style w:type="character" w:customStyle="1" w:styleId="156">
    <w:name w:val="明显引用 Char1"/>
    <w:qFormat/>
    <w:uiPriority w:val="0"/>
    <w:rPr>
      <w:b/>
      <w:bCs/>
      <w:i/>
      <w:iCs/>
      <w:color w:val="4F81BD"/>
      <w:kern w:val="2"/>
      <w:sz w:val="21"/>
    </w:rPr>
  </w:style>
  <w:style w:type="character" w:customStyle="1" w:styleId="157">
    <w:name w:val="日期 Char1"/>
    <w:qFormat/>
    <w:uiPriority w:val="0"/>
    <w:rPr>
      <w:kern w:val="2"/>
      <w:sz w:val="21"/>
      <w:szCs w:val="22"/>
    </w:rPr>
  </w:style>
  <w:style w:type="character" w:customStyle="1" w:styleId="158">
    <w:name w:val="明显参考1"/>
    <w:qFormat/>
    <w:uiPriority w:val="0"/>
    <w:rPr>
      <w:b/>
      <w:bCs/>
      <w:smallCaps/>
      <w:color w:val="C0504D"/>
      <w:spacing w:val="5"/>
      <w:u w:val="single"/>
    </w:rPr>
  </w:style>
  <w:style w:type="character" w:customStyle="1" w:styleId="159">
    <w:name w:val="副标题 Char1"/>
    <w:qFormat/>
    <w:uiPriority w:val="0"/>
    <w:rPr>
      <w:rFonts w:ascii="Cambria" w:hAnsi="Cambria" w:cs="Times New Roman"/>
      <w:b/>
      <w:bCs/>
      <w:kern w:val="28"/>
      <w:sz w:val="32"/>
      <w:szCs w:val="32"/>
    </w:rPr>
  </w:style>
  <w:style w:type="character" w:customStyle="1" w:styleId="160">
    <w:name w:val="批注文字 Char1"/>
    <w:qFormat/>
    <w:uiPriority w:val="0"/>
    <w:rPr>
      <w:kern w:val="2"/>
      <w:sz w:val="21"/>
    </w:rPr>
  </w:style>
  <w:style w:type="character" w:customStyle="1" w:styleId="161">
    <w:name w:val="textcontents"/>
    <w:qFormat/>
    <w:uiPriority w:val="0"/>
    <w:rPr>
      <w:rFonts w:cs="Times New Roman"/>
    </w:rPr>
  </w:style>
  <w:style w:type="character" w:customStyle="1" w:styleId="162">
    <w:name w:val="引用 Char1"/>
    <w:qFormat/>
    <w:uiPriority w:val="0"/>
    <w:rPr>
      <w:i/>
      <w:iCs/>
      <w:color w:val="000000"/>
      <w:kern w:val="2"/>
      <w:sz w:val="21"/>
    </w:rPr>
  </w:style>
  <w:style w:type="character" w:customStyle="1" w:styleId="163">
    <w:name w:val="标题5 Char Char"/>
    <w:link w:val="164"/>
    <w:qFormat/>
    <w:uiPriority w:val="0"/>
    <w:rPr>
      <w:rFonts w:ascii="Arial" w:hAnsi="Arial"/>
      <w:b/>
      <w:bCs/>
      <w:sz w:val="24"/>
      <w:szCs w:val="32"/>
    </w:rPr>
  </w:style>
  <w:style w:type="paragraph" w:customStyle="1" w:styleId="164">
    <w:name w:val="标题5"/>
    <w:basedOn w:val="6"/>
    <w:link w:val="163"/>
    <w:qFormat/>
    <w:uiPriority w:val="0"/>
    <w:pPr>
      <w:spacing w:before="260" w:beforeAutospacing="0" w:after="260" w:afterAutospacing="0" w:line="413" w:lineRule="auto"/>
      <w:jc w:val="both"/>
    </w:pPr>
    <w:rPr>
      <w:rFonts w:ascii="Arial" w:hAnsi="Arial" w:eastAsia="宋体"/>
      <w:b/>
    </w:rPr>
  </w:style>
  <w:style w:type="character" w:customStyle="1" w:styleId="165">
    <w:name w:val="不明显强调1"/>
    <w:qFormat/>
    <w:uiPriority w:val="0"/>
    <w:rPr>
      <w:i/>
      <w:iCs/>
      <w:color w:val="808080"/>
    </w:rPr>
  </w:style>
  <w:style w:type="character" w:customStyle="1" w:styleId="166">
    <w:name w:val="批注主题 Char2"/>
    <w:qFormat/>
    <w:uiPriority w:val="0"/>
    <w:rPr>
      <w:b/>
      <w:bCs/>
      <w:kern w:val="2"/>
      <w:sz w:val="21"/>
    </w:rPr>
  </w:style>
  <w:style w:type="paragraph" w:customStyle="1" w:styleId="167">
    <w:name w:val="Char Char Char"/>
    <w:basedOn w:val="1"/>
    <w:qFormat/>
    <w:uiPriority w:val="0"/>
    <w:pPr>
      <w:spacing w:before="0" w:beforeAutospacing="0" w:after="0" w:afterAutospacing="0" w:line="240" w:lineRule="auto"/>
    </w:pPr>
  </w:style>
  <w:style w:type="paragraph" w:customStyle="1" w:styleId="168">
    <w:name w:val="_Style 21"/>
    <w:basedOn w:val="1"/>
    <w:qFormat/>
    <w:uiPriority w:val="0"/>
    <w:pPr>
      <w:spacing w:before="0" w:beforeAutospacing="0" w:after="0" w:afterAutospacing="0" w:line="240" w:lineRule="auto"/>
    </w:pPr>
  </w:style>
  <w:style w:type="paragraph" w:customStyle="1" w:styleId="169">
    <w:name w:val="xl25"/>
    <w:basedOn w:val="1"/>
    <w:qFormat/>
    <w:uiPriority w:val="0"/>
    <w:pPr>
      <w:widowControl/>
      <w:spacing w:line="240" w:lineRule="auto"/>
      <w:textAlignment w:val="center"/>
    </w:pPr>
    <w:rPr>
      <w:rFonts w:ascii="宋体" w:hAnsi="宋体"/>
      <w:kern w:val="0"/>
      <w:sz w:val="18"/>
      <w:szCs w:val="20"/>
    </w:rPr>
  </w:style>
  <w:style w:type="paragraph" w:customStyle="1" w:styleId="170">
    <w:name w:val="xl37"/>
    <w:basedOn w:val="1"/>
    <w:qFormat/>
    <w:uiPriority w:val="0"/>
    <w:pPr>
      <w:widowControl/>
      <w:pBdr>
        <w:left w:val="single" w:color="auto" w:sz="8" w:space="0"/>
        <w:right w:val="single" w:color="auto" w:sz="4" w:space="0"/>
      </w:pBdr>
      <w:spacing w:line="240" w:lineRule="auto"/>
      <w:jc w:val="center"/>
      <w:textAlignment w:val="center"/>
    </w:pPr>
    <w:rPr>
      <w:rFonts w:ascii="宋体" w:hAnsi="宋体"/>
      <w:kern w:val="0"/>
      <w:sz w:val="18"/>
      <w:szCs w:val="20"/>
    </w:rPr>
  </w:style>
  <w:style w:type="paragraph" w:customStyle="1" w:styleId="171">
    <w:name w:val="font5"/>
    <w:basedOn w:val="1"/>
    <w:qFormat/>
    <w:uiPriority w:val="0"/>
    <w:pPr>
      <w:widowControl/>
      <w:spacing w:line="240" w:lineRule="auto"/>
      <w:jc w:val="left"/>
    </w:pPr>
    <w:rPr>
      <w:rFonts w:ascii="宋体" w:hAnsi="宋体" w:cs="宋体"/>
      <w:kern w:val="0"/>
      <w:sz w:val="18"/>
      <w:szCs w:val="18"/>
    </w:rPr>
  </w:style>
  <w:style w:type="paragraph" w:customStyle="1" w:styleId="172">
    <w:name w:val="修订2"/>
    <w:qFormat/>
    <w:uiPriority w:val="0"/>
    <w:rPr>
      <w:rFonts w:ascii="Times New Roman" w:hAnsi="Times New Roman" w:eastAsia="宋体" w:cs="Times New Roman"/>
      <w:kern w:val="2"/>
      <w:sz w:val="21"/>
      <w:szCs w:val="24"/>
      <w:lang w:val="en-US" w:eastAsia="zh-CN" w:bidi="ar-SA"/>
    </w:rPr>
  </w:style>
  <w:style w:type="paragraph" w:customStyle="1" w:styleId="173">
    <w:name w:val="Char"/>
    <w:basedOn w:val="1"/>
    <w:qFormat/>
    <w:uiPriority w:val="0"/>
    <w:pPr>
      <w:spacing w:before="0" w:beforeAutospacing="0" w:after="0" w:afterAutospacing="0" w:line="240" w:lineRule="auto"/>
    </w:pPr>
    <w:rPr>
      <w:szCs w:val="21"/>
    </w:rPr>
  </w:style>
  <w:style w:type="paragraph" w:customStyle="1" w:styleId="174">
    <w:name w:val="GZTB表格样式"/>
    <w:basedOn w:val="1"/>
    <w:qFormat/>
    <w:uiPriority w:val="0"/>
    <w:pPr>
      <w:spacing w:before="0" w:beforeAutospacing="0" w:after="200" w:afterAutospacing="0" w:line="440" w:lineRule="exact"/>
    </w:pPr>
    <w:rPr>
      <w:rFonts w:ascii="新宋体" w:hAnsi="新宋体" w:eastAsia="新宋体"/>
      <w:szCs w:val="22"/>
    </w:rPr>
  </w:style>
  <w:style w:type="paragraph" w:customStyle="1" w:styleId="175">
    <w:name w:val="列表段落1"/>
    <w:basedOn w:val="1"/>
    <w:qFormat/>
    <w:uiPriority w:val="0"/>
    <w:pPr>
      <w:spacing w:before="0" w:beforeAutospacing="0" w:after="0" w:afterAutospacing="0" w:line="240" w:lineRule="auto"/>
      <w:ind w:firstLine="420" w:firstLineChars="200"/>
    </w:pPr>
    <w:rPr>
      <w:rFonts w:ascii="Calibri" w:hAnsi="Calibri"/>
      <w:szCs w:val="22"/>
    </w:rPr>
  </w:style>
  <w:style w:type="paragraph" w:customStyle="1" w:styleId="176">
    <w:name w:val="样式 标题 3 + (中文) 黑体 小四 非加粗 段前: 7.8 磅 段后: 0 磅 行距: 固定值 20 磅"/>
    <w:basedOn w:val="6"/>
    <w:qFormat/>
    <w:uiPriority w:val="0"/>
    <w:pPr>
      <w:spacing w:before="0" w:beforeAutospacing="0" w:after="0" w:afterAutospacing="0" w:line="400" w:lineRule="exact"/>
      <w:jc w:val="both"/>
    </w:pPr>
    <w:rPr>
      <w:rFonts w:cs="宋体"/>
      <w:bCs w:val="0"/>
      <w:szCs w:val="20"/>
      <w:lang w:val="zh-CN"/>
    </w:rPr>
  </w:style>
  <w:style w:type="paragraph" w:customStyle="1" w:styleId="177">
    <w:name w:val="GZTB段落样式"/>
    <w:basedOn w:val="1"/>
    <w:qFormat/>
    <w:uiPriority w:val="0"/>
    <w:pPr>
      <w:spacing w:before="0" w:beforeAutospacing="0" w:after="200" w:afterAutospacing="0" w:line="440" w:lineRule="exact"/>
      <w:ind w:firstLine="420" w:firstLineChars="200"/>
    </w:pPr>
    <w:rPr>
      <w:rFonts w:ascii="新宋体" w:hAnsi="新宋体" w:eastAsia="新宋体"/>
      <w:szCs w:val="22"/>
    </w:rPr>
  </w:style>
  <w:style w:type="paragraph" w:customStyle="1" w:styleId="178">
    <w:name w:val="TOC 标题2"/>
    <w:basedOn w:val="4"/>
    <w:next w:val="1"/>
    <w:qFormat/>
    <w:uiPriority w:val="39"/>
    <w:pPr>
      <w:spacing w:before="340" w:beforeAutospacing="0" w:after="330" w:afterAutospacing="0" w:line="576" w:lineRule="auto"/>
      <w:jc w:val="both"/>
      <w:outlineLvl w:val="9"/>
    </w:pPr>
    <w:rPr>
      <w:rFonts w:ascii="Calibri" w:hAnsi="Calibri" w:eastAsia="宋体"/>
      <w:b/>
      <w:sz w:val="44"/>
      <w:lang w:val="zh-CN"/>
    </w:rPr>
  </w:style>
  <w:style w:type="paragraph" w:customStyle="1" w:styleId="179">
    <w:name w:val="空半行"/>
    <w:basedOn w:val="1"/>
    <w:qFormat/>
    <w:uiPriority w:val="0"/>
    <w:pPr>
      <w:adjustRightInd w:val="0"/>
      <w:spacing w:before="0" w:beforeAutospacing="0" w:after="0" w:afterAutospacing="0" w:line="120" w:lineRule="exact"/>
      <w:textAlignment w:val="baseline"/>
    </w:pPr>
    <w:rPr>
      <w:rFonts w:eastAsia="仿宋_GB2312"/>
      <w:color w:val="FFFFFF"/>
      <w:kern w:val="0"/>
      <w:sz w:val="30"/>
      <w:szCs w:val="20"/>
    </w:rPr>
  </w:style>
  <w:style w:type="paragraph" w:customStyle="1" w:styleId="180">
    <w:name w:val="flNote"/>
    <w:basedOn w:val="1"/>
    <w:qFormat/>
    <w:uiPriority w:val="0"/>
    <w:pPr>
      <w:adjustRightInd w:val="0"/>
      <w:spacing w:before="320" w:beforeAutospacing="0" w:after="160" w:afterAutospacing="0" w:line="360" w:lineRule="atLeast"/>
      <w:jc w:val="center"/>
      <w:textAlignment w:val="baseline"/>
    </w:pPr>
    <w:rPr>
      <w:rFonts w:ascii="Arial" w:eastAsia="黑体"/>
      <w:kern w:val="0"/>
      <w:sz w:val="30"/>
      <w:szCs w:val="20"/>
    </w:rPr>
  </w:style>
  <w:style w:type="paragraph" w:customStyle="1" w:styleId="181">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82">
    <w:name w:val="正文_1"/>
    <w:qFormat/>
    <w:uiPriority w:val="0"/>
    <w:rPr>
      <w:rFonts w:ascii="Times New Roman" w:hAnsi="Times New Roman" w:eastAsia="宋体" w:cs="Times New Roman"/>
      <w:sz w:val="21"/>
      <w:lang w:val="en-US" w:eastAsia="zh-CN" w:bidi="ar-SA"/>
    </w:rPr>
  </w:style>
  <w:style w:type="paragraph" w:customStyle="1" w:styleId="183">
    <w:name w:val="纯文本_0"/>
    <w:basedOn w:val="113"/>
    <w:link w:val="184"/>
    <w:unhideWhenUsed/>
    <w:qFormat/>
    <w:uiPriority w:val="0"/>
    <w:pPr>
      <w:widowControl/>
      <w:jc w:val="left"/>
    </w:pPr>
    <w:rPr>
      <w:rFonts w:ascii="宋体" w:hAnsi="Courier New"/>
      <w:kern w:val="0"/>
      <w:sz w:val="20"/>
      <w:szCs w:val="21"/>
      <w:lang w:val="zh-CN"/>
    </w:rPr>
  </w:style>
  <w:style w:type="character" w:customStyle="1" w:styleId="184">
    <w:name w:val="纯文本 Char_0"/>
    <w:link w:val="183"/>
    <w:qFormat/>
    <w:locked/>
    <w:uiPriority w:val="0"/>
    <w:rPr>
      <w:rFonts w:ascii="宋体" w:hAnsi="Courier New"/>
      <w:szCs w:val="21"/>
      <w:lang w:val="zh-CN" w:eastAsia="zh-CN"/>
    </w:rPr>
  </w:style>
  <w:style w:type="paragraph" w:customStyle="1" w:styleId="185">
    <w:name w:val="标题 4_0"/>
    <w:basedOn w:val="113"/>
    <w:next w:val="113"/>
    <w:qFormat/>
    <w:uiPriority w:val="9"/>
    <w:pPr>
      <w:keepNext/>
      <w:keepLines/>
      <w:spacing w:before="280" w:after="290" w:line="376" w:lineRule="auto"/>
      <w:ind w:left="864" w:hanging="864"/>
      <w:outlineLvl w:val="3"/>
    </w:pPr>
    <w:rPr>
      <w:rFonts w:ascii="Cambria" w:hAnsi="Cambria"/>
      <w:b/>
      <w:bCs/>
      <w:kern w:val="0"/>
      <w:sz w:val="28"/>
      <w:szCs w:val="28"/>
      <w:lang w:val="zh-CN"/>
    </w:rPr>
  </w:style>
  <w:style w:type="paragraph" w:customStyle="1" w:styleId="186">
    <w:name w:val="标题 5_0"/>
    <w:basedOn w:val="113"/>
    <w:next w:val="113"/>
    <w:qFormat/>
    <w:uiPriority w:val="9"/>
    <w:pPr>
      <w:keepNext/>
      <w:keepLines/>
      <w:spacing w:before="280" w:after="290" w:line="376" w:lineRule="auto"/>
      <w:ind w:left="1008" w:hanging="1008"/>
      <w:outlineLvl w:val="4"/>
    </w:pPr>
    <w:rPr>
      <w:b/>
      <w:bCs/>
      <w:kern w:val="0"/>
      <w:sz w:val="28"/>
      <w:szCs w:val="28"/>
      <w:lang w:val="zh-CN"/>
    </w:rPr>
  </w:style>
  <w:style w:type="paragraph" w:customStyle="1" w:styleId="187">
    <w:name w:val="标题 6_0"/>
    <w:basedOn w:val="113"/>
    <w:next w:val="113"/>
    <w:qFormat/>
    <w:uiPriority w:val="9"/>
    <w:pPr>
      <w:keepNext/>
      <w:keepLines/>
      <w:spacing w:before="240" w:after="64" w:line="320" w:lineRule="auto"/>
      <w:ind w:left="1152" w:hanging="1152"/>
      <w:outlineLvl w:val="5"/>
    </w:pPr>
    <w:rPr>
      <w:rFonts w:ascii="Cambria" w:hAnsi="Cambria"/>
      <w:b/>
      <w:bCs/>
      <w:kern w:val="0"/>
      <w:sz w:val="24"/>
      <w:szCs w:val="24"/>
      <w:lang w:val="zh-CN"/>
    </w:rPr>
  </w:style>
  <w:style w:type="paragraph" w:customStyle="1" w:styleId="188">
    <w:name w:val="标题 7_0"/>
    <w:basedOn w:val="113"/>
    <w:next w:val="113"/>
    <w:qFormat/>
    <w:uiPriority w:val="9"/>
    <w:pPr>
      <w:keepNext/>
      <w:keepLines/>
      <w:spacing w:before="240" w:after="64" w:line="320" w:lineRule="auto"/>
      <w:ind w:left="1296" w:hanging="1296"/>
      <w:outlineLvl w:val="6"/>
    </w:pPr>
    <w:rPr>
      <w:b/>
      <w:bCs/>
      <w:kern w:val="0"/>
      <w:sz w:val="24"/>
      <w:szCs w:val="24"/>
      <w:lang w:val="zh-CN"/>
    </w:rPr>
  </w:style>
  <w:style w:type="paragraph" w:customStyle="1" w:styleId="189">
    <w:name w:val="标题 8_0"/>
    <w:basedOn w:val="113"/>
    <w:next w:val="113"/>
    <w:qFormat/>
    <w:uiPriority w:val="9"/>
    <w:pPr>
      <w:keepNext/>
      <w:keepLines/>
      <w:spacing w:before="240" w:after="64" w:line="320" w:lineRule="auto"/>
      <w:ind w:left="1440" w:hanging="1440"/>
      <w:outlineLvl w:val="7"/>
    </w:pPr>
    <w:rPr>
      <w:rFonts w:ascii="Cambria" w:hAnsi="Cambria"/>
      <w:kern w:val="0"/>
      <w:sz w:val="24"/>
      <w:szCs w:val="24"/>
      <w:lang w:val="zh-CN"/>
    </w:rPr>
  </w:style>
  <w:style w:type="paragraph" w:customStyle="1" w:styleId="190">
    <w:name w:val="标题 9_0"/>
    <w:basedOn w:val="113"/>
    <w:next w:val="113"/>
    <w:qFormat/>
    <w:uiPriority w:val="9"/>
    <w:pPr>
      <w:keepNext/>
      <w:keepLines/>
      <w:numPr>
        <w:ilvl w:val="8"/>
        <w:numId w:val="3"/>
      </w:numPr>
      <w:spacing w:before="240" w:after="64" w:line="320" w:lineRule="auto"/>
      <w:outlineLvl w:val="8"/>
    </w:pPr>
    <w:rPr>
      <w:rFonts w:ascii="Cambria" w:hAnsi="Cambria"/>
      <w:kern w:val="0"/>
      <w:sz w:val="20"/>
      <w:szCs w:val="21"/>
      <w:lang w:val="zh-CN"/>
    </w:rPr>
  </w:style>
  <w:style w:type="paragraph" w:customStyle="1" w:styleId="191">
    <w:name w:val="纯文本_0_0"/>
    <w:basedOn w:val="192"/>
    <w:link w:val="193"/>
    <w:unhideWhenUsed/>
    <w:qFormat/>
    <w:uiPriority w:val="0"/>
    <w:pPr>
      <w:widowControl/>
      <w:jc w:val="left"/>
    </w:pPr>
    <w:rPr>
      <w:rFonts w:ascii="宋体" w:hAnsi="Courier New"/>
      <w:kern w:val="0"/>
      <w:sz w:val="20"/>
      <w:szCs w:val="21"/>
      <w:lang w:val="zh-CN"/>
    </w:rPr>
  </w:style>
  <w:style w:type="paragraph" w:customStyle="1" w:styleId="192">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3">
    <w:name w:val="纯文本 Char_0_0"/>
    <w:link w:val="191"/>
    <w:qFormat/>
    <w:locked/>
    <w:uiPriority w:val="0"/>
    <w:rPr>
      <w:rFonts w:ascii="宋体" w:hAnsi="Courier New"/>
      <w:szCs w:val="21"/>
      <w:lang w:val="zh-CN" w:eastAsia="zh-CN"/>
    </w:rPr>
  </w:style>
  <w:style w:type="paragraph" w:customStyle="1" w:styleId="194">
    <w:name w:val="Normal_5"/>
    <w:qFormat/>
    <w:uiPriority w:val="0"/>
    <w:rPr>
      <w:rFonts w:ascii="Times New Roman" w:hAnsi="Times New Roman" w:eastAsia="宋体" w:cs="Times New Roman"/>
      <w:sz w:val="21"/>
      <w:lang w:val="en-US" w:eastAsia="zh-CN" w:bidi="ar-SA"/>
    </w:rPr>
  </w:style>
  <w:style w:type="paragraph" w:customStyle="1" w:styleId="195">
    <w:name w:val="纯文本_1"/>
    <w:basedOn w:val="1"/>
    <w:link w:val="196"/>
    <w:qFormat/>
    <w:uiPriority w:val="0"/>
    <w:pPr>
      <w:widowControl/>
      <w:spacing w:before="0" w:beforeAutospacing="0" w:after="0" w:afterAutospacing="0" w:line="240" w:lineRule="auto"/>
      <w:jc w:val="left"/>
    </w:pPr>
    <w:rPr>
      <w:rFonts w:ascii="宋体" w:hAnsi="Courier New"/>
      <w:kern w:val="0"/>
      <w:sz w:val="20"/>
      <w:szCs w:val="21"/>
      <w:lang w:val="zh-CN"/>
    </w:rPr>
  </w:style>
  <w:style w:type="character" w:customStyle="1" w:styleId="196">
    <w:name w:val="纯文本 Char_1"/>
    <w:link w:val="195"/>
    <w:qFormat/>
    <w:locked/>
    <w:uiPriority w:val="0"/>
    <w:rPr>
      <w:rFonts w:ascii="宋体" w:hAnsi="Courier New"/>
      <w:szCs w:val="21"/>
      <w:lang w:val="zh-CN" w:eastAsia="zh-CN"/>
    </w:rPr>
  </w:style>
  <w:style w:type="paragraph" w:customStyle="1" w:styleId="197">
    <w:name w:val="1_0"/>
    <w:basedOn w:val="1"/>
    <w:next w:val="195"/>
    <w:qFormat/>
    <w:uiPriority w:val="0"/>
    <w:pPr>
      <w:spacing w:before="0" w:beforeAutospacing="0" w:after="0" w:afterAutospacing="0" w:line="240" w:lineRule="auto"/>
    </w:pPr>
    <w:rPr>
      <w:rFonts w:ascii="宋体" w:hAnsi="Courier New"/>
      <w:szCs w:val="20"/>
    </w:rPr>
  </w:style>
  <w:style w:type="paragraph" w:customStyle="1" w:styleId="19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9">
    <w:name w:val="纯文本_2"/>
    <w:basedOn w:val="198"/>
    <w:link w:val="200"/>
    <w:unhideWhenUsed/>
    <w:qFormat/>
    <w:uiPriority w:val="0"/>
    <w:pPr>
      <w:widowControl/>
      <w:jc w:val="left"/>
    </w:pPr>
    <w:rPr>
      <w:rFonts w:ascii="宋体" w:hAnsi="Courier New"/>
      <w:kern w:val="0"/>
      <w:sz w:val="20"/>
      <w:szCs w:val="21"/>
      <w:lang w:val="zh-CN"/>
    </w:rPr>
  </w:style>
  <w:style w:type="character" w:customStyle="1" w:styleId="200">
    <w:name w:val="纯文本 Char_2"/>
    <w:link w:val="199"/>
    <w:qFormat/>
    <w:locked/>
    <w:uiPriority w:val="0"/>
    <w:rPr>
      <w:rFonts w:ascii="宋体" w:hAnsi="Courier New"/>
      <w:szCs w:val="21"/>
      <w:lang w:val="zh-CN" w:eastAsia="zh-CN"/>
    </w:rPr>
  </w:style>
  <w:style w:type="paragraph" w:customStyle="1" w:styleId="201">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纯文本_3"/>
    <w:basedOn w:val="201"/>
    <w:link w:val="203"/>
    <w:qFormat/>
    <w:uiPriority w:val="0"/>
    <w:rPr>
      <w:rFonts w:ascii="宋体" w:hAnsi="Courier New"/>
      <w:kern w:val="0"/>
      <w:sz w:val="20"/>
      <w:szCs w:val="20"/>
      <w:lang w:val="zh-CN"/>
    </w:rPr>
  </w:style>
  <w:style w:type="character" w:customStyle="1" w:styleId="203">
    <w:name w:val="纯文本 Char_3"/>
    <w:link w:val="202"/>
    <w:qFormat/>
    <w:uiPriority w:val="0"/>
    <w:rPr>
      <w:rFonts w:ascii="宋体" w:hAnsi="Courier New"/>
      <w:lang w:val="zh-CN" w:eastAsia="zh-CN"/>
    </w:rPr>
  </w:style>
  <w:style w:type="paragraph" w:customStyle="1" w:styleId="204">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
    <w:name w:val="样式1_0"/>
    <w:basedOn w:val="1"/>
    <w:link w:val="206"/>
    <w:qFormat/>
    <w:uiPriority w:val="0"/>
    <w:pPr>
      <w:keepNext/>
      <w:keepLines/>
      <w:widowControl/>
      <w:tabs>
        <w:tab w:val="left" w:pos="420"/>
      </w:tabs>
      <w:adjustRightInd w:val="0"/>
      <w:snapToGrid w:val="0"/>
      <w:spacing w:before="0" w:beforeAutospacing="0" w:after="0" w:afterAutospacing="0"/>
      <w:ind w:left="420" w:hanging="420"/>
      <w:jc w:val="center"/>
      <w:outlineLvl w:val="1"/>
    </w:pPr>
    <w:rPr>
      <w:rFonts w:ascii="宋体" w:hAnsi="Arial"/>
      <w:b/>
      <w:kern w:val="0"/>
      <w:sz w:val="32"/>
      <w:szCs w:val="20"/>
    </w:rPr>
  </w:style>
  <w:style w:type="character" w:customStyle="1" w:styleId="206">
    <w:name w:val="样式1 Char"/>
    <w:link w:val="205"/>
    <w:qFormat/>
    <w:uiPriority w:val="0"/>
    <w:rPr>
      <w:rFonts w:ascii="宋体" w:hAnsi="Arial"/>
      <w:b/>
      <w:sz w:val="32"/>
    </w:rPr>
  </w:style>
  <w:style w:type="paragraph" w:customStyle="1" w:styleId="207">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样式1_0_0"/>
    <w:basedOn w:val="1"/>
    <w:link w:val="209"/>
    <w:qFormat/>
    <w:uiPriority w:val="0"/>
    <w:pPr>
      <w:keepNext/>
      <w:keepLines/>
      <w:widowControl/>
      <w:tabs>
        <w:tab w:val="left" w:pos="420"/>
      </w:tabs>
      <w:adjustRightInd w:val="0"/>
      <w:snapToGrid w:val="0"/>
      <w:spacing w:before="0" w:beforeAutospacing="0" w:after="0" w:afterAutospacing="0"/>
      <w:ind w:left="420" w:hanging="420"/>
      <w:jc w:val="center"/>
      <w:outlineLvl w:val="1"/>
    </w:pPr>
    <w:rPr>
      <w:rFonts w:ascii="宋体" w:hAnsi="Arial"/>
      <w:b/>
      <w:kern w:val="0"/>
      <w:sz w:val="32"/>
      <w:szCs w:val="20"/>
    </w:rPr>
  </w:style>
  <w:style w:type="character" w:customStyle="1" w:styleId="209">
    <w:name w:val="样式1 Char_0"/>
    <w:link w:val="208"/>
    <w:qFormat/>
    <w:uiPriority w:val="0"/>
    <w:rPr>
      <w:rFonts w:ascii="宋体" w:hAnsi="Arial"/>
      <w:b/>
      <w:sz w:val="32"/>
    </w:rPr>
  </w:style>
  <w:style w:type="paragraph" w:customStyle="1" w:styleId="210">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Normal_14"/>
    <w:qFormat/>
    <w:uiPriority w:val="0"/>
    <w:rPr>
      <w:rFonts w:ascii="Times New Roman" w:hAnsi="Times New Roman" w:eastAsia="宋体" w:cs="Times New Roman"/>
      <w:sz w:val="21"/>
      <w:lang w:val="en-US" w:eastAsia="zh-CN" w:bidi="ar-SA"/>
    </w:rPr>
  </w:style>
  <w:style w:type="paragraph" w:customStyle="1" w:styleId="213">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4">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
    <w:name w:val="Normal_21"/>
    <w:qFormat/>
    <w:uiPriority w:val="0"/>
    <w:rPr>
      <w:rFonts w:ascii="Times New Roman" w:hAnsi="Times New Roman" w:eastAsia="宋体" w:cs="Times New Roman"/>
      <w:sz w:val="21"/>
      <w:lang w:val="en-US" w:eastAsia="zh-CN" w:bidi="ar-SA"/>
    </w:rPr>
  </w:style>
  <w:style w:type="paragraph" w:customStyle="1" w:styleId="217">
    <w:name w:val="Normal_23"/>
    <w:qFormat/>
    <w:uiPriority w:val="0"/>
    <w:rPr>
      <w:rFonts w:ascii="Times New Roman" w:hAnsi="Times New Roman" w:eastAsia="宋体" w:cs="Times New Roman"/>
      <w:sz w:val="21"/>
      <w:lang w:val="en-US" w:eastAsia="zh-CN" w:bidi="ar-SA"/>
    </w:rPr>
  </w:style>
  <w:style w:type="paragraph" w:customStyle="1" w:styleId="218">
    <w:name w:val="Normal_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9">
    <w:name w:val="样式1_1"/>
    <w:basedOn w:val="1"/>
    <w:link w:val="220"/>
    <w:qFormat/>
    <w:uiPriority w:val="0"/>
    <w:pPr>
      <w:keepNext/>
      <w:keepLines/>
      <w:widowControl/>
      <w:tabs>
        <w:tab w:val="left" w:pos="420"/>
      </w:tabs>
      <w:adjustRightInd w:val="0"/>
      <w:snapToGrid w:val="0"/>
      <w:spacing w:before="0" w:beforeAutospacing="0" w:after="0" w:afterAutospacing="0"/>
      <w:ind w:left="420" w:hanging="420"/>
      <w:jc w:val="center"/>
      <w:outlineLvl w:val="1"/>
    </w:pPr>
    <w:rPr>
      <w:rFonts w:ascii="宋体" w:hAnsi="Arial"/>
      <w:b/>
      <w:kern w:val="0"/>
      <w:sz w:val="32"/>
      <w:szCs w:val="20"/>
    </w:rPr>
  </w:style>
  <w:style w:type="character" w:customStyle="1" w:styleId="220">
    <w:name w:val="样式1 Char_1"/>
    <w:link w:val="219"/>
    <w:qFormat/>
    <w:uiPriority w:val="0"/>
    <w:rPr>
      <w:rFonts w:ascii="宋体" w:hAnsi="Arial"/>
      <w:b/>
      <w:sz w:val="32"/>
    </w:rPr>
  </w:style>
  <w:style w:type="paragraph" w:customStyle="1" w:styleId="221">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正文_18"/>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5">
    <w:name w:val="纯文本 Char"/>
    <w:qFormat/>
    <w:uiPriority w:val="0"/>
    <w:rPr>
      <w:rFonts w:eastAsia="宋体"/>
      <w:kern w:val="2"/>
      <w:sz w:val="24"/>
      <w:lang w:val="en-US" w:eastAsia="zh-CN" w:bidi="ar-SA"/>
    </w:rPr>
  </w:style>
  <w:style w:type="character" w:customStyle="1" w:styleId="226">
    <w:name w:val="p0 Char"/>
    <w:link w:val="227"/>
    <w:qFormat/>
    <w:uiPriority w:val="0"/>
    <w:rPr>
      <w:sz w:val="21"/>
      <w:szCs w:val="21"/>
    </w:rPr>
  </w:style>
  <w:style w:type="paragraph" w:customStyle="1" w:styleId="227">
    <w:name w:val="p0"/>
    <w:basedOn w:val="1"/>
    <w:link w:val="226"/>
    <w:qFormat/>
    <w:uiPriority w:val="0"/>
    <w:pPr>
      <w:widowControl/>
      <w:spacing w:before="0" w:beforeAutospacing="0" w:after="0" w:afterAutospacing="0" w:line="240" w:lineRule="auto"/>
    </w:pPr>
    <w:rPr>
      <w:rFonts w:ascii="Calibri" w:hAnsi="Calibri"/>
      <w:kern w:val="0"/>
      <w:szCs w:val="21"/>
    </w:rPr>
  </w:style>
  <w:style w:type="paragraph" w:customStyle="1" w:styleId="228">
    <w:name w:val="标题 51"/>
    <w:basedOn w:val="1"/>
    <w:qFormat/>
    <w:uiPriority w:val="1"/>
    <w:pPr>
      <w:autoSpaceDE w:val="0"/>
      <w:autoSpaceDN w:val="0"/>
      <w:adjustRightInd w:val="0"/>
      <w:spacing w:before="151" w:beforeAutospacing="0" w:after="0" w:afterAutospacing="0" w:line="240" w:lineRule="auto"/>
      <w:ind w:left="597"/>
      <w:jc w:val="left"/>
      <w:outlineLvl w:val="4"/>
    </w:pPr>
    <w:rPr>
      <w:rFonts w:ascii="宋体" w:cs="宋体"/>
      <w:b/>
      <w:bCs/>
      <w:kern w:val="0"/>
      <w:sz w:val="24"/>
    </w:rPr>
  </w:style>
  <w:style w:type="paragraph" w:customStyle="1" w:styleId="229">
    <w:name w:val="Table Paragraph"/>
    <w:basedOn w:val="1"/>
    <w:qFormat/>
    <w:uiPriority w:val="1"/>
  </w:style>
  <w:style w:type="paragraph" w:customStyle="1" w:styleId="230">
    <w:name w:val="WPSOffice手动目录 1"/>
    <w:qFormat/>
    <w:uiPriority w:val="0"/>
    <w:pPr>
      <w:ind w:leftChars="0"/>
    </w:pPr>
    <w:rPr>
      <w:rFonts w:ascii="Times New Roman" w:hAnsi="Times New Roman" w:eastAsia="宋体" w:cs="Times New Roman"/>
      <w:sz w:val="20"/>
      <w:szCs w:val="20"/>
    </w:rPr>
  </w:style>
  <w:style w:type="paragraph" w:customStyle="1" w:styleId="231">
    <w:name w:val="WPSOffice手动目录 2"/>
    <w:qFormat/>
    <w:uiPriority w:val="0"/>
    <w:pPr>
      <w:ind w:leftChars="200"/>
    </w:pPr>
    <w:rPr>
      <w:rFonts w:ascii="Times New Roman" w:hAnsi="Times New Roman" w:eastAsia="宋体" w:cs="Times New Roman"/>
      <w:sz w:val="20"/>
      <w:szCs w:val="20"/>
    </w:rPr>
  </w:style>
  <w:style w:type="paragraph" w:customStyle="1" w:styleId="232">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image" Target="media/image2.jpeg"/><Relationship Id="rId23" Type="http://schemas.openxmlformats.org/officeDocument/2006/relationships/theme" Target="theme/theme1.xml"/><Relationship Id="rId22" Type="http://schemas.openxmlformats.org/officeDocument/2006/relationships/footer" Target="footer6.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5.xml"/><Relationship Id="rId17" Type="http://schemas.openxmlformats.org/officeDocument/2006/relationships/footer" Target="footer4.xml"/><Relationship Id="rId16" Type="http://schemas.openxmlformats.org/officeDocument/2006/relationships/footer" Target="footer3.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footer" Target="footer2.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52C07-33B5-4907-A762-58719BCEB39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74</Pages>
  <Words>31785</Words>
  <Characters>33203</Characters>
  <Lines>300</Lines>
  <Paragraphs>84</Paragraphs>
  <TotalTime>25</TotalTime>
  <ScaleCrop>false</ScaleCrop>
  <LinksUpToDate>false</LinksUpToDate>
  <CharactersWithSpaces>35781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2022-04-21T16:42:00Z</dcterms:created>
  <dc:creator>jiangbo</dc:creator>
  <cp:lastModifiedBy>mEng</cp:lastModifiedBy>
  <cp:lastPrinted>2022-08-05T06:42:00Z</cp:lastPrinted>
  <dcterms:modified xsi:type="dcterms:W3CDTF">2022-08-24T02:48:47Z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F00EDD73DA854ADB9B90789DFADC1CD0</vt:lpwstr>
  </property>
  <property fmtid="{D5CDD505-2E9C-101B-9397-08002B2CF9AE}" pid="4" name="commondata">
    <vt:lpwstr>eyJoZGlkIjoiNmJlYjJmNDk0MWJkMzUzZDQ2MTA3MDQzNDNiMDlhNjMifQ==</vt:lpwstr>
  </property>
</Properties>
</file>