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hAnsi="宋体"/>
          <w:b/>
          <w:bCs/>
          <w:color w:val="000000"/>
          <w:sz w:val="52"/>
          <w:szCs w:val="44"/>
          <w:highlight w:val="none"/>
        </w:rPr>
      </w:pPr>
    </w:p>
    <w:p>
      <w:pPr>
        <w:spacing w:line="780" w:lineRule="exact"/>
        <w:jc w:val="center"/>
        <w:rPr>
          <w:rFonts w:hint="eastAsia" w:hAnsi="宋体" w:eastAsia="宋体"/>
          <w:b/>
          <w:color w:val="000000"/>
          <w:sz w:val="48"/>
          <w:szCs w:val="44"/>
          <w:highlight w:val="none"/>
          <w:lang w:eastAsia="zh-CN"/>
        </w:rPr>
      </w:pPr>
      <w:r>
        <w:rPr>
          <w:rFonts w:hint="eastAsia" w:hAnsi="宋体"/>
          <w:b/>
          <w:bCs/>
          <w:color w:val="000000"/>
          <w:sz w:val="48"/>
          <w:szCs w:val="44"/>
          <w:highlight w:val="none"/>
          <w:lang w:eastAsia="zh-CN"/>
        </w:rPr>
        <w:t>新疆广播电视局六三五台高压配电室设备升级改造项目</w:t>
      </w:r>
    </w:p>
    <w:p>
      <w:pPr>
        <w:spacing w:line="360" w:lineRule="auto"/>
        <w:jc w:val="center"/>
        <w:rPr>
          <w:rFonts w:hAnsi="宋体"/>
          <w:b/>
          <w:color w:val="000000"/>
          <w:sz w:val="52"/>
          <w:szCs w:val="44"/>
          <w:highlight w:val="none"/>
        </w:rPr>
      </w:pPr>
    </w:p>
    <w:p>
      <w:pPr>
        <w:jc w:val="center"/>
        <w:rPr>
          <w:b/>
          <w:color w:val="000000"/>
          <w:sz w:val="30"/>
          <w:szCs w:val="30"/>
          <w:highlight w:val="none"/>
        </w:rPr>
      </w:pPr>
      <w:r>
        <w:rPr>
          <w:rFonts w:hint="eastAsia" w:hAnsi="宋体"/>
          <w:b/>
          <w:color w:val="000000"/>
          <w:sz w:val="84"/>
          <w:szCs w:val="84"/>
          <w:highlight w:val="none"/>
        </w:rPr>
        <w:t>采购文件</w:t>
      </w:r>
    </w:p>
    <w:p>
      <w:pPr>
        <w:ind w:firstLine="904" w:firstLineChars="300"/>
        <w:rPr>
          <w:b/>
          <w:color w:val="000000"/>
          <w:sz w:val="30"/>
          <w:szCs w:val="30"/>
          <w:highlight w:val="none"/>
        </w:rPr>
      </w:pPr>
      <w:r>
        <w:rPr>
          <w:b/>
          <w:color w:val="000000"/>
          <w:sz w:val="30"/>
          <w:szCs w:val="30"/>
          <w:highlight w:val="none"/>
        </w:rPr>
        <w:t xml:space="preserve">                      </w:t>
      </w:r>
    </w:p>
    <w:p>
      <w:pPr>
        <w:jc w:val="center"/>
        <w:rPr>
          <w:b/>
          <w:color w:val="000000"/>
          <w:highlight w:val="none"/>
        </w:rPr>
      </w:pPr>
      <w:r>
        <w:rPr>
          <w:b/>
          <w:bCs/>
          <w:color w:val="000000"/>
          <w:highlight w:val="none"/>
        </w:rPr>
        <w:pict>
          <v:shape id="_x0000_i1025" o:spt="75" type="#_x0000_t75" style="height:171.1pt;width:134pt;" filled="f" o:preferrelative="t" stroked="f" coordsize="21600,21600">
            <v:path/>
            <v:fill on="f" focussize="0,0"/>
            <v:stroke on="f" joinstyle="miter"/>
            <v:imagedata r:id="rId5" r:href="rId6" o:title=""/>
            <o:lock v:ext="edit" aspectratio="t"/>
            <w10:wrap type="none"/>
            <w10:anchorlock/>
          </v:shape>
        </w:pict>
      </w:r>
    </w:p>
    <w:p>
      <w:pPr>
        <w:jc w:val="center"/>
        <w:rPr>
          <w:b/>
          <w:color w:val="000000"/>
          <w:w w:val="80"/>
          <w:sz w:val="32"/>
          <w:highlight w:val="none"/>
        </w:rPr>
      </w:pPr>
    </w:p>
    <w:p>
      <w:pPr>
        <w:jc w:val="center"/>
        <w:rPr>
          <w:b/>
          <w:color w:val="000000"/>
          <w:w w:val="80"/>
          <w:sz w:val="32"/>
          <w:highlight w:val="none"/>
        </w:rPr>
      </w:pPr>
    </w:p>
    <w:p>
      <w:pPr>
        <w:pStyle w:val="20"/>
        <w:ind w:firstLine="427" w:firstLineChars="152"/>
        <w:rPr>
          <w:rFonts w:hint="eastAsia" w:hAnsi="宋体" w:eastAsia="宋体"/>
          <w:b/>
          <w:color w:val="000000"/>
          <w:sz w:val="28"/>
          <w:szCs w:val="28"/>
          <w:highlight w:val="none"/>
          <w:lang w:eastAsia="zh-CN"/>
        </w:rPr>
      </w:pPr>
      <w:r>
        <w:rPr>
          <w:rFonts w:hint="eastAsia" w:hAnsi="宋体"/>
          <w:b/>
          <w:color w:val="000000"/>
          <w:sz w:val="28"/>
          <w:szCs w:val="28"/>
          <w:highlight w:val="none"/>
        </w:rPr>
        <w:t>采   购</w:t>
      </w:r>
      <w:r>
        <w:rPr>
          <w:rFonts w:hAnsi="宋体"/>
          <w:b/>
          <w:color w:val="000000"/>
          <w:sz w:val="28"/>
          <w:szCs w:val="28"/>
          <w:highlight w:val="none"/>
        </w:rPr>
        <w:t xml:space="preserve">   人：</w:t>
      </w:r>
      <w:r>
        <w:rPr>
          <w:rFonts w:hint="eastAsia" w:hAnsi="宋体"/>
          <w:b/>
          <w:color w:val="000000"/>
          <w:sz w:val="28"/>
          <w:szCs w:val="28"/>
          <w:highlight w:val="none"/>
          <w:lang w:eastAsia="zh-CN"/>
        </w:rPr>
        <w:t>新疆维吾尔自治区广播电视局六三五台</w:t>
      </w:r>
    </w:p>
    <w:p>
      <w:pPr>
        <w:pStyle w:val="20"/>
        <w:ind w:firstLine="427" w:firstLineChars="152"/>
        <w:rPr>
          <w:rFonts w:hAnsi="宋体"/>
          <w:b/>
          <w:color w:val="000000"/>
          <w:sz w:val="28"/>
          <w:szCs w:val="28"/>
          <w:highlight w:val="none"/>
        </w:rPr>
      </w:pPr>
    </w:p>
    <w:p>
      <w:pPr>
        <w:pStyle w:val="20"/>
        <w:ind w:firstLine="427" w:firstLineChars="152"/>
        <w:rPr>
          <w:rFonts w:hAnsi="宋体"/>
          <w:b/>
          <w:color w:val="000000"/>
          <w:sz w:val="28"/>
          <w:szCs w:val="28"/>
          <w:highlight w:val="none"/>
        </w:rPr>
      </w:pPr>
      <w:r>
        <w:rPr>
          <w:rFonts w:hAnsi="宋体"/>
          <w:b/>
          <w:color w:val="000000"/>
          <w:sz w:val="28"/>
          <w:szCs w:val="28"/>
          <w:highlight w:val="none"/>
        </w:rPr>
        <w:t xml:space="preserve">招标代理机构: </w:t>
      </w:r>
      <w:r>
        <w:rPr>
          <w:rFonts w:hint="eastAsia" w:hAnsi="宋体"/>
          <w:b/>
          <w:color w:val="000000"/>
          <w:sz w:val="28"/>
          <w:szCs w:val="28"/>
          <w:highlight w:val="none"/>
        </w:rPr>
        <w:t>新疆华域建设工程项目管理咨询有限公司</w:t>
      </w:r>
    </w:p>
    <w:p>
      <w:pPr>
        <w:pStyle w:val="20"/>
        <w:ind w:firstLine="427" w:firstLineChars="152"/>
        <w:rPr>
          <w:rFonts w:hAnsi="宋体"/>
          <w:b/>
          <w:color w:val="000000"/>
          <w:sz w:val="28"/>
          <w:szCs w:val="28"/>
          <w:highlight w:val="none"/>
        </w:rPr>
      </w:pPr>
    </w:p>
    <w:p>
      <w:pPr>
        <w:pStyle w:val="20"/>
        <w:ind w:firstLine="427" w:firstLineChars="152"/>
        <w:rPr>
          <w:rFonts w:hint="eastAsia" w:hAnsi="宋体" w:eastAsia="宋体"/>
          <w:b/>
          <w:color w:val="000000"/>
          <w:sz w:val="28"/>
          <w:szCs w:val="28"/>
          <w:highlight w:val="none"/>
          <w:lang w:eastAsia="zh-CN"/>
        </w:rPr>
      </w:pPr>
      <w:r>
        <w:rPr>
          <w:rFonts w:hint="eastAsia" w:hAnsi="宋体"/>
          <w:b/>
          <w:color w:val="000000"/>
          <w:sz w:val="28"/>
          <w:szCs w:val="28"/>
          <w:highlight w:val="none"/>
        </w:rPr>
        <w:t>招标文件编号：</w:t>
      </w:r>
      <w:r>
        <w:rPr>
          <w:rFonts w:hint="eastAsia" w:hAnsi="宋体"/>
          <w:b/>
          <w:color w:val="000000"/>
          <w:sz w:val="28"/>
          <w:szCs w:val="28"/>
          <w:highlight w:val="none"/>
          <w:lang w:eastAsia="zh-CN"/>
        </w:rPr>
        <w:t>ZFCGHY-20220122</w:t>
      </w:r>
    </w:p>
    <w:p>
      <w:pPr>
        <w:spacing w:line="360" w:lineRule="auto"/>
        <w:ind w:right="84" w:rightChars="40" w:firstLine="2249" w:firstLineChars="800"/>
        <w:rPr>
          <w:rFonts w:ascii="宋体" w:cs="宋体"/>
          <w:b/>
          <w:sz w:val="28"/>
          <w:szCs w:val="28"/>
          <w:highlight w:val="none"/>
        </w:rPr>
      </w:pPr>
    </w:p>
    <w:p>
      <w:pPr>
        <w:widowControl/>
        <w:jc w:val="left"/>
        <w:rPr>
          <w:rFonts w:ascii="宋体" w:cs="宋体"/>
          <w:sz w:val="24"/>
          <w:szCs w:val="24"/>
          <w:highlight w:val="none"/>
        </w:rPr>
      </w:pPr>
      <w:r>
        <w:rPr>
          <w:rFonts w:ascii="宋体" w:cs="宋体"/>
          <w:sz w:val="24"/>
          <w:szCs w:val="24"/>
          <w:highlight w:val="none"/>
        </w:rPr>
        <w:br w:type="page"/>
      </w:r>
    </w:p>
    <w:p>
      <w:pPr>
        <w:pStyle w:val="71"/>
        <w:jc w:val="center"/>
        <w:rPr>
          <w:rFonts w:ascii="宋体" w:cs="宋体"/>
          <w:b/>
          <w:color w:val="auto"/>
          <w:highlight w:val="none"/>
        </w:rPr>
      </w:pPr>
      <w:r>
        <w:rPr>
          <w:rFonts w:hint="eastAsia" w:ascii="宋体" w:hAnsi="宋体" w:cs="宋体"/>
          <w:b/>
          <w:color w:val="auto"/>
          <w:highlight w:val="none"/>
          <w:lang w:val="zh-CN"/>
        </w:rPr>
        <w:t>目录</w:t>
      </w:r>
    </w:p>
    <w:p>
      <w:pPr>
        <w:pStyle w:val="26"/>
        <w:tabs>
          <w:tab w:val="right" w:leader="dot" w:pos="8296"/>
        </w:tabs>
        <w:jc w:val="center"/>
        <w:rPr>
          <w:kern w:val="2"/>
          <w:sz w:val="21"/>
          <w:highlight w:val="none"/>
        </w:rPr>
      </w:pPr>
      <w:r>
        <w:rPr>
          <w:rFonts w:ascii="宋体" w:hAnsi="宋体" w:cs="宋体"/>
          <w:highlight w:val="none"/>
        </w:rPr>
        <w:fldChar w:fldCharType="begin"/>
      </w:r>
      <w:r>
        <w:rPr>
          <w:rFonts w:ascii="宋体" w:hAnsi="宋体" w:cs="宋体"/>
          <w:highlight w:val="none"/>
        </w:rPr>
        <w:instrText xml:space="preserve"> TOC \o "1-3" \h \z \u </w:instrText>
      </w:r>
      <w:r>
        <w:rPr>
          <w:rFonts w:ascii="宋体" w:hAnsi="宋体" w:cs="宋体"/>
          <w:highlight w:val="none"/>
        </w:rPr>
        <w:fldChar w:fldCharType="separate"/>
      </w:r>
      <w:r>
        <w:rPr>
          <w:highlight w:val="none"/>
        </w:rPr>
        <w:fldChar w:fldCharType="begin"/>
      </w:r>
      <w:r>
        <w:rPr>
          <w:highlight w:val="none"/>
        </w:rPr>
        <w:instrText xml:space="preserve"> HYPERLINK \l "_Toc517776504" </w:instrText>
      </w:r>
      <w:r>
        <w:rPr>
          <w:highlight w:val="none"/>
        </w:rPr>
        <w:fldChar w:fldCharType="separate"/>
      </w:r>
      <w:r>
        <w:rPr>
          <w:rStyle w:val="42"/>
          <w:rFonts w:hint="eastAsia" w:ascii="宋体" w:hAnsi="宋体" w:cs="宋体"/>
          <w:highlight w:val="none"/>
        </w:rPr>
        <w:t>第二章</w:t>
      </w:r>
      <w:r>
        <w:rPr>
          <w:rStyle w:val="42"/>
          <w:rFonts w:ascii="宋体" w:hAnsi="宋体" w:cs="宋体"/>
          <w:highlight w:val="none"/>
        </w:rPr>
        <w:t xml:space="preserve"> </w:t>
      </w:r>
      <w:r>
        <w:rPr>
          <w:rStyle w:val="42"/>
          <w:rFonts w:hint="eastAsia" w:ascii="宋体" w:hAnsi="宋体" w:cs="宋体"/>
          <w:highlight w:val="none"/>
        </w:rPr>
        <w:t>投标人须知</w:t>
      </w:r>
      <w:r>
        <w:rPr>
          <w:highlight w:val="none"/>
        </w:rPr>
        <w:tab/>
      </w:r>
      <w:r>
        <w:rPr>
          <w:highlight w:val="none"/>
        </w:rPr>
        <w:fldChar w:fldCharType="begin"/>
      </w:r>
      <w:r>
        <w:rPr>
          <w:highlight w:val="none"/>
        </w:rPr>
        <w:instrText xml:space="preserve"> PAGEREF _Toc517776504 \h </w:instrText>
      </w:r>
      <w:r>
        <w:rPr>
          <w:highlight w:val="none"/>
        </w:rPr>
        <w:fldChar w:fldCharType="separate"/>
      </w:r>
      <w:r>
        <w:rPr>
          <w:highlight w:val="none"/>
        </w:rPr>
        <w:t>6</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"_Toc517776505" </w:instrText>
      </w:r>
      <w:r>
        <w:rPr>
          <w:highlight w:val="none"/>
        </w:rPr>
        <w:fldChar w:fldCharType="separate"/>
      </w:r>
      <w:r>
        <w:rPr>
          <w:rStyle w:val="42"/>
          <w:rFonts w:hint="eastAsia" w:ascii="宋体" w:hAnsi="宋体" w:cs="宋体"/>
          <w:highlight w:val="none"/>
        </w:rPr>
        <w:t>一、说明</w:t>
      </w:r>
      <w:r>
        <w:rPr>
          <w:highlight w:val="none"/>
        </w:rPr>
        <w:tab/>
      </w:r>
      <w:r>
        <w:rPr>
          <w:highlight w:val="none"/>
        </w:rPr>
        <w:fldChar w:fldCharType="begin"/>
      </w:r>
      <w:r>
        <w:rPr>
          <w:highlight w:val="none"/>
        </w:rPr>
        <w:instrText xml:space="preserve"> PAGEREF _Toc517776505 \h </w:instrText>
      </w:r>
      <w:r>
        <w:rPr>
          <w:highlight w:val="none"/>
        </w:rPr>
        <w:fldChar w:fldCharType="separate"/>
      </w:r>
      <w:r>
        <w:rPr>
          <w:highlight w:val="none"/>
        </w:rPr>
        <w:t>10</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"_Toc517776506" </w:instrText>
      </w:r>
      <w:r>
        <w:rPr>
          <w:highlight w:val="none"/>
        </w:rPr>
        <w:fldChar w:fldCharType="separate"/>
      </w:r>
      <w:r>
        <w:rPr>
          <w:rStyle w:val="42"/>
          <w:rFonts w:hint="eastAsia" w:ascii="宋体" w:hAnsi="宋体" w:cs="宋体"/>
          <w:highlight w:val="none"/>
        </w:rPr>
        <w:t>二、采购文件</w:t>
      </w:r>
      <w:r>
        <w:rPr>
          <w:highlight w:val="none"/>
        </w:rPr>
        <w:tab/>
      </w:r>
      <w:r>
        <w:rPr>
          <w:highlight w:val="none"/>
        </w:rPr>
        <w:fldChar w:fldCharType="begin"/>
      </w:r>
      <w:r>
        <w:rPr>
          <w:highlight w:val="none"/>
        </w:rPr>
        <w:instrText xml:space="preserve"> PAGEREF _Toc517776506 \h </w:instrText>
      </w:r>
      <w:r>
        <w:rPr>
          <w:highlight w:val="none"/>
        </w:rPr>
        <w:fldChar w:fldCharType="separate"/>
      </w:r>
      <w:r>
        <w:rPr>
          <w:highlight w:val="none"/>
        </w:rPr>
        <w:t>11</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"_Toc517776507" </w:instrText>
      </w:r>
      <w:r>
        <w:rPr>
          <w:highlight w:val="none"/>
        </w:rPr>
        <w:fldChar w:fldCharType="separate"/>
      </w:r>
      <w:r>
        <w:rPr>
          <w:rStyle w:val="42"/>
          <w:rFonts w:hint="eastAsia" w:ascii="宋体" w:hAnsi="宋体" w:cs="宋体"/>
          <w:highlight w:val="none"/>
        </w:rPr>
        <w:t>三、投标文件的编制</w:t>
      </w:r>
      <w:r>
        <w:rPr>
          <w:highlight w:val="none"/>
        </w:rPr>
        <w:tab/>
      </w:r>
      <w:r>
        <w:rPr>
          <w:highlight w:val="none"/>
        </w:rPr>
        <w:fldChar w:fldCharType="begin"/>
      </w:r>
      <w:r>
        <w:rPr>
          <w:highlight w:val="none"/>
        </w:rPr>
        <w:instrText xml:space="preserve"> PAGEREF _Toc517776507 \h </w:instrText>
      </w:r>
      <w:r>
        <w:rPr>
          <w:highlight w:val="none"/>
        </w:rPr>
        <w:fldChar w:fldCharType="separate"/>
      </w:r>
      <w:r>
        <w:rPr>
          <w:highlight w:val="none"/>
        </w:rPr>
        <w:t>14</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"_Toc517776508" </w:instrText>
      </w:r>
      <w:r>
        <w:rPr>
          <w:highlight w:val="none"/>
        </w:rPr>
        <w:fldChar w:fldCharType="separate"/>
      </w:r>
      <w:r>
        <w:rPr>
          <w:rStyle w:val="42"/>
          <w:rFonts w:hint="eastAsia" w:ascii="宋体" w:hAnsi="宋体" w:cs="宋体"/>
          <w:highlight w:val="none"/>
        </w:rPr>
        <w:t>四、投标文件的递交</w:t>
      </w:r>
      <w:r>
        <w:rPr>
          <w:highlight w:val="none"/>
        </w:rPr>
        <w:tab/>
      </w:r>
      <w:r>
        <w:rPr>
          <w:highlight w:val="none"/>
        </w:rPr>
        <w:fldChar w:fldCharType="begin"/>
      </w:r>
      <w:r>
        <w:rPr>
          <w:highlight w:val="none"/>
        </w:rPr>
        <w:instrText xml:space="preserve"> PAGEREF _Toc517776508 \h </w:instrText>
      </w:r>
      <w:r>
        <w:rPr>
          <w:highlight w:val="none"/>
        </w:rPr>
        <w:fldChar w:fldCharType="separate"/>
      </w:r>
      <w:r>
        <w:rPr>
          <w:highlight w:val="none"/>
        </w:rPr>
        <w:t>18</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"_Toc517776509" </w:instrText>
      </w:r>
      <w:r>
        <w:rPr>
          <w:highlight w:val="none"/>
        </w:rPr>
        <w:fldChar w:fldCharType="separate"/>
      </w:r>
      <w:r>
        <w:rPr>
          <w:rStyle w:val="42"/>
          <w:rFonts w:hint="eastAsia" w:ascii="宋体" w:hAnsi="宋体" w:cs="宋体"/>
          <w:highlight w:val="none"/>
        </w:rPr>
        <w:t>五、开标、评标和定标</w:t>
      </w:r>
      <w:r>
        <w:rPr>
          <w:highlight w:val="none"/>
        </w:rPr>
        <w:tab/>
      </w:r>
      <w:r>
        <w:rPr>
          <w:highlight w:val="none"/>
        </w:rPr>
        <w:fldChar w:fldCharType="begin"/>
      </w:r>
      <w:r>
        <w:rPr>
          <w:highlight w:val="none"/>
        </w:rPr>
        <w:instrText xml:space="preserve"> PAGEREF _Toc517776509 \h </w:instrText>
      </w:r>
      <w:r>
        <w:rPr>
          <w:highlight w:val="none"/>
        </w:rPr>
        <w:fldChar w:fldCharType="separate"/>
      </w:r>
      <w:r>
        <w:rPr>
          <w:highlight w:val="none"/>
        </w:rPr>
        <w:t>19</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"_Toc517776510" </w:instrText>
      </w:r>
      <w:r>
        <w:rPr>
          <w:highlight w:val="none"/>
        </w:rPr>
        <w:fldChar w:fldCharType="separate"/>
      </w:r>
      <w:r>
        <w:rPr>
          <w:rStyle w:val="42"/>
          <w:rFonts w:hint="eastAsia" w:ascii="宋体" w:hAnsi="宋体" w:cs="宋体"/>
          <w:highlight w:val="none"/>
        </w:rPr>
        <w:t>六、评审方法及标准</w:t>
      </w:r>
      <w:r>
        <w:rPr>
          <w:highlight w:val="none"/>
        </w:rPr>
        <w:tab/>
      </w:r>
      <w:r>
        <w:rPr>
          <w:highlight w:val="none"/>
        </w:rPr>
        <w:fldChar w:fldCharType="begin"/>
      </w:r>
      <w:r>
        <w:rPr>
          <w:highlight w:val="none"/>
        </w:rPr>
        <w:instrText xml:space="preserve"> PAGEREF _Toc517776510 \h </w:instrText>
      </w:r>
      <w:r>
        <w:rPr>
          <w:highlight w:val="none"/>
        </w:rPr>
        <w:fldChar w:fldCharType="separate"/>
      </w:r>
      <w:r>
        <w:rPr>
          <w:highlight w:val="none"/>
        </w:rPr>
        <w:t>24</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"_Toc517776511" </w:instrText>
      </w:r>
      <w:r>
        <w:rPr>
          <w:highlight w:val="none"/>
        </w:rPr>
        <w:fldChar w:fldCharType="separate"/>
      </w:r>
      <w:r>
        <w:rPr>
          <w:rStyle w:val="42"/>
          <w:rFonts w:hint="eastAsia" w:ascii="宋体" w:hAnsi="宋体" w:cs="宋体"/>
          <w:highlight w:val="none"/>
        </w:rPr>
        <w:t>七、授予合同</w:t>
      </w:r>
      <w:r>
        <w:rPr>
          <w:highlight w:val="none"/>
        </w:rPr>
        <w:tab/>
      </w:r>
      <w:r>
        <w:rPr>
          <w:highlight w:val="none"/>
        </w:rPr>
        <w:fldChar w:fldCharType="begin"/>
      </w:r>
      <w:r>
        <w:rPr>
          <w:highlight w:val="none"/>
        </w:rPr>
        <w:instrText xml:space="preserve"> PAGEREF _Toc517776511 \h </w:instrText>
      </w:r>
      <w:r>
        <w:rPr>
          <w:highlight w:val="none"/>
        </w:rPr>
        <w:fldChar w:fldCharType="separate"/>
      </w:r>
      <w:r>
        <w:rPr>
          <w:highlight w:val="none"/>
        </w:rPr>
        <w:t>27</w:t>
      </w:r>
      <w:r>
        <w:rPr>
          <w:highlight w:val="none"/>
        </w:rPr>
        <w:fldChar w:fldCharType="end"/>
      </w:r>
      <w:r>
        <w:rPr>
          <w:highlight w:val="none"/>
        </w:rPr>
        <w:fldChar w:fldCharType="end"/>
      </w:r>
    </w:p>
    <w:p>
      <w:pPr>
        <w:pStyle w:val="26"/>
        <w:tabs>
          <w:tab w:val="right" w:leader="dot" w:pos="8296"/>
        </w:tabs>
        <w:jc w:val="center"/>
        <w:rPr>
          <w:highlight w:val="none"/>
        </w:rPr>
      </w:pPr>
      <w:r>
        <w:rPr>
          <w:rFonts w:hint="eastAsia"/>
          <w:highlight w:val="none"/>
        </w:rPr>
        <w:t>第三章</w:t>
      </w:r>
      <w:r>
        <w:rPr>
          <w:highlight w:val="none"/>
        </w:rPr>
        <w:fldChar w:fldCharType="begin"/>
      </w:r>
      <w:r>
        <w:rPr>
          <w:highlight w:val="none"/>
        </w:rPr>
        <w:instrText xml:space="preserve"> HYPERLINK \l "_Toc517776512" </w:instrText>
      </w:r>
      <w:r>
        <w:rPr>
          <w:highlight w:val="none"/>
        </w:rPr>
        <w:fldChar w:fldCharType="separate"/>
      </w:r>
      <w:r>
        <w:rPr>
          <w:rFonts w:hint="eastAsia"/>
          <w:highlight w:val="none"/>
        </w:rPr>
        <w:t xml:space="preserve"> 用户需求：</w:t>
      </w:r>
      <w:r>
        <w:rPr>
          <w:highlight w:val="none"/>
        </w:rPr>
        <w:tab/>
      </w:r>
      <w:r>
        <w:rPr>
          <w:highlight w:val="none"/>
        </w:rPr>
        <w:fldChar w:fldCharType="begin"/>
      </w:r>
      <w:r>
        <w:rPr>
          <w:highlight w:val="none"/>
        </w:rPr>
        <w:instrText xml:space="preserve"> PAGEREF _Toc517776512 \h </w:instrText>
      </w:r>
      <w:r>
        <w:rPr>
          <w:highlight w:val="none"/>
        </w:rPr>
        <w:fldChar w:fldCharType="separate"/>
      </w:r>
      <w:r>
        <w:rPr>
          <w:highlight w:val="none"/>
        </w:rPr>
        <w:t>29</w:t>
      </w:r>
      <w:r>
        <w:rPr>
          <w:highlight w:val="none"/>
        </w:rPr>
        <w:fldChar w:fldCharType="end"/>
      </w:r>
      <w:r>
        <w:rPr>
          <w:highlight w:val="none"/>
        </w:rPr>
        <w:fldChar w:fldCharType="end"/>
      </w:r>
    </w:p>
    <w:p>
      <w:pPr>
        <w:pStyle w:val="26"/>
        <w:tabs>
          <w:tab w:val="right" w:leader="dot" w:pos="8296"/>
        </w:tabs>
        <w:jc w:val="center"/>
        <w:rPr>
          <w:kern w:val="2"/>
          <w:sz w:val="21"/>
          <w:highlight w:val="none"/>
        </w:rPr>
      </w:pPr>
      <w:r>
        <w:rPr>
          <w:highlight w:val="none"/>
        </w:rPr>
        <w:fldChar w:fldCharType="begin"/>
      </w:r>
      <w:r>
        <w:rPr>
          <w:highlight w:val="none"/>
        </w:rPr>
        <w:instrText xml:space="preserve"> HYPERLINK \l "_Toc517776520" </w:instrText>
      </w:r>
      <w:r>
        <w:rPr>
          <w:highlight w:val="none"/>
        </w:rPr>
        <w:fldChar w:fldCharType="separate"/>
      </w:r>
      <w:r>
        <w:rPr>
          <w:rStyle w:val="42"/>
          <w:rFonts w:hint="eastAsia"/>
          <w:highlight w:val="none"/>
        </w:rPr>
        <w:t>第四章</w:t>
      </w:r>
      <w:r>
        <w:rPr>
          <w:rStyle w:val="42"/>
          <w:rFonts w:ascii="宋体" w:hAnsi="宋体" w:cs="宋体"/>
          <w:highlight w:val="none"/>
        </w:rPr>
        <w:t xml:space="preserve"> </w:t>
      </w:r>
      <w:r>
        <w:rPr>
          <w:rStyle w:val="42"/>
          <w:rFonts w:hint="eastAsia" w:ascii="宋体" w:hAnsi="宋体" w:cs="宋体"/>
          <w:highlight w:val="none"/>
        </w:rPr>
        <w:t>合同</w:t>
      </w:r>
      <w:r>
        <w:rPr>
          <w:highlight w:val="none"/>
        </w:rPr>
        <w:tab/>
      </w:r>
      <w:r>
        <w:rPr>
          <w:highlight w:val="none"/>
        </w:rPr>
        <w:fldChar w:fldCharType="begin"/>
      </w:r>
      <w:r>
        <w:rPr>
          <w:highlight w:val="none"/>
        </w:rPr>
        <w:instrText xml:space="preserve"> PAGEREF _Toc517776520 \h </w:instrText>
      </w:r>
      <w:r>
        <w:rPr>
          <w:highlight w:val="none"/>
        </w:rPr>
        <w:fldChar w:fldCharType="separate"/>
      </w:r>
      <w:r>
        <w:rPr>
          <w:highlight w:val="none"/>
        </w:rPr>
        <w:t>38</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"_Toc517776521" </w:instrText>
      </w:r>
      <w:r>
        <w:rPr>
          <w:highlight w:val="none"/>
        </w:rPr>
        <w:fldChar w:fldCharType="separate"/>
      </w:r>
      <w:r>
        <w:rPr>
          <w:rStyle w:val="42"/>
          <w:rFonts w:hint="eastAsia" w:ascii="宋体" w:hAnsi="宋体" w:cs="宋体"/>
          <w:highlight w:val="none"/>
        </w:rPr>
        <w:t>一、合同一般条款</w:t>
      </w:r>
      <w:r>
        <w:rPr>
          <w:highlight w:val="none"/>
        </w:rPr>
        <w:tab/>
      </w:r>
      <w:r>
        <w:rPr>
          <w:highlight w:val="none"/>
        </w:rPr>
        <w:fldChar w:fldCharType="begin"/>
      </w:r>
      <w:r>
        <w:rPr>
          <w:highlight w:val="none"/>
        </w:rPr>
        <w:instrText xml:space="preserve"> PAGEREF _Toc517776521 \h </w:instrText>
      </w:r>
      <w:r>
        <w:rPr>
          <w:highlight w:val="none"/>
        </w:rPr>
        <w:fldChar w:fldCharType="separate"/>
      </w:r>
      <w:r>
        <w:rPr>
          <w:highlight w:val="none"/>
        </w:rPr>
        <w:t>38</w:t>
      </w:r>
      <w:r>
        <w:rPr>
          <w:highlight w:val="none"/>
        </w:rPr>
        <w:fldChar w:fldCharType="end"/>
      </w:r>
      <w:r>
        <w:rPr>
          <w:highlight w:val="none"/>
        </w:rPr>
        <w:fldChar w:fldCharType="end"/>
      </w:r>
    </w:p>
    <w:p>
      <w:pPr>
        <w:pStyle w:val="26"/>
        <w:tabs>
          <w:tab w:val="right" w:leader="dot" w:pos="8296"/>
        </w:tabs>
        <w:jc w:val="center"/>
        <w:rPr>
          <w:kern w:val="2"/>
          <w:sz w:val="21"/>
          <w:highlight w:val="none"/>
        </w:rPr>
      </w:pPr>
      <w:r>
        <w:rPr>
          <w:highlight w:val="none"/>
        </w:rPr>
        <w:fldChar w:fldCharType="begin"/>
      </w:r>
      <w:r>
        <w:rPr>
          <w:highlight w:val="none"/>
        </w:rPr>
        <w:instrText xml:space="preserve"> HYPERLINK \l "_Toc517776522" </w:instrText>
      </w:r>
      <w:r>
        <w:rPr>
          <w:highlight w:val="none"/>
        </w:rPr>
        <w:fldChar w:fldCharType="separate"/>
      </w:r>
      <w:r>
        <w:rPr>
          <w:rStyle w:val="42"/>
          <w:rFonts w:hint="eastAsia" w:ascii="宋体" w:hAnsi="宋体" w:cs="宋体"/>
          <w:highlight w:val="none"/>
        </w:rPr>
        <w:t>第五章</w:t>
      </w:r>
      <w:r>
        <w:rPr>
          <w:rStyle w:val="42"/>
          <w:rFonts w:ascii="宋体" w:hAnsi="宋体" w:cs="宋体"/>
          <w:highlight w:val="none"/>
        </w:rPr>
        <w:t xml:space="preserve"> </w:t>
      </w:r>
      <w:r>
        <w:rPr>
          <w:rStyle w:val="42"/>
          <w:rFonts w:hint="eastAsia" w:ascii="宋体" w:hAnsi="宋体" w:cs="宋体"/>
          <w:highlight w:val="none"/>
        </w:rPr>
        <w:t>投标文件格式</w:t>
      </w:r>
      <w:r>
        <w:rPr>
          <w:highlight w:val="none"/>
        </w:rPr>
        <w:tab/>
      </w:r>
      <w:r>
        <w:rPr>
          <w:highlight w:val="none"/>
        </w:rPr>
        <w:fldChar w:fldCharType="begin"/>
      </w:r>
      <w:r>
        <w:rPr>
          <w:highlight w:val="none"/>
        </w:rPr>
        <w:instrText xml:space="preserve"> PAGEREF _Toc517776522 \h </w:instrText>
      </w:r>
      <w:r>
        <w:rPr>
          <w:highlight w:val="none"/>
        </w:rPr>
        <w:fldChar w:fldCharType="separate"/>
      </w:r>
      <w:r>
        <w:rPr>
          <w:highlight w:val="none"/>
        </w:rPr>
        <w:t>45</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"_Toc517776523" </w:instrText>
      </w:r>
      <w:r>
        <w:rPr>
          <w:highlight w:val="none"/>
        </w:rPr>
        <w:fldChar w:fldCharType="separate"/>
      </w:r>
      <w:r>
        <w:rPr>
          <w:rStyle w:val="42"/>
          <w:rFonts w:hint="eastAsia" w:ascii="宋体" w:hAnsi="宋体" w:cs="宋体"/>
          <w:highlight w:val="none"/>
        </w:rPr>
        <w:t>二、目录</w:t>
      </w:r>
      <w:r>
        <w:rPr>
          <w:highlight w:val="none"/>
        </w:rPr>
        <w:tab/>
      </w:r>
      <w:r>
        <w:rPr>
          <w:highlight w:val="none"/>
        </w:rPr>
        <w:fldChar w:fldCharType="begin"/>
      </w:r>
      <w:r>
        <w:rPr>
          <w:highlight w:val="none"/>
        </w:rPr>
        <w:instrText xml:space="preserve"> PAGEREF _Toc517776523 \h </w:instrText>
      </w:r>
      <w:r>
        <w:rPr>
          <w:highlight w:val="none"/>
        </w:rPr>
        <w:fldChar w:fldCharType="separate"/>
      </w:r>
      <w:r>
        <w:rPr>
          <w:highlight w:val="none"/>
        </w:rPr>
        <w:t>48</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"_Toc517776524" </w:instrText>
      </w:r>
      <w:r>
        <w:rPr>
          <w:highlight w:val="none"/>
        </w:rPr>
        <w:fldChar w:fldCharType="separate"/>
      </w:r>
      <w:r>
        <w:rPr>
          <w:rStyle w:val="42"/>
          <w:rFonts w:hint="eastAsia" w:ascii="宋体" w:hAnsi="宋体" w:cs="宋体"/>
          <w:highlight w:val="none"/>
        </w:rPr>
        <w:t>三、投标函</w:t>
      </w:r>
      <w:r>
        <w:rPr>
          <w:highlight w:val="none"/>
        </w:rPr>
        <w:tab/>
      </w:r>
      <w:r>
        <w:rPr>
          <w:highlight w:val="none"/>
        </w:rPr>
        <w:fldChar w:fldCharType="begin"/>
      </w:r>
      <w:r>
        <w:rPr>
          <w:highlight w:val="none"/>
        </w:rPr>
        <w:instrText xml:space="preserve"> PAGEREF _Toc517776524 \h </w:instrText>
      </w:r>
      <w:r>
        <w:rPr>
          <w:highlight w:val="none"/>
        </w:rPr>
        <w:fldChar w:fldCharType="separate"/>
      </w:r>
      <w:r>
        <w:rPr>
          <w:highlight w:val="none"/>
        </w:rPr>
        <w:t>49</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"_Toc517776525" </w:instrText>
      </w:r>
      <w:r>
        <w:rPr>
          <w:highlight w:val="none"/>
        </w:rPr>
        <w:fldChar w:fldCharType="separate"/>
      </w:r>
      <w:r>
        <w:rPr>
          <w:rStyle w:val="42"/>
          <w:rFonts w:hint="eastAsia" w:ascii="宋体" w:hAnsi="宋体" w:cs="宋体"/>
          <w:highlight w:val="none"/>
        </w:rPr>
        <w:t>四、报价一览表</w:t>
      </w:r>
      <w:r>
        <w:rPr>
          <w:highlight w:val="none"/>
        </w:rPr>
        <w:tab/>
      </w:r>
      <w:r>
        <w:rPr>
          <w:highlight w:val="none"/>
        </w:rPr>
        <w:fldChar w:fldCharType="begin"/>
      </w:r>
      <w:r>
        <w:rPr>
          <w:highlight w:val="none"/>
        </w:rPr>
        <w:instrText xml:space="preserve"> PAGEREF _Toc517776525 \h </w:instrText>
      </w:r>
      <w:r>
        <w:rPr>
          <w:highlight w:val="none"/>
        </w:rPr>
        <w:fldChar w:fldCharType="separate"/>
      </w:r>
      <w:r>
        <w:rPr>
          <w:highlight w:val="none"/>
        </w:rPr>
        <w:t>50</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"_Toc517776526" </w:instrText>
      </w:r>
      <w:r>
        <w:rPr>
          <w:highlight w:val="none"/>
        </w:rPr>
        <w:fldChar w:fldCharType="separate"/>
      </w:r>
      <w:r>
        <w:rPr>
          <w:rStyle w:val="42"/>
          <w:rFonts w:hint="eastAsia" w:ascii="宋体" w:hAnsi="宋体" w:cs="宋体"/>
          <w:highlight w:val="none"/>
        </w:rPr>
        <w:t>五、法人代表授权委托书</w:t>
      </w:r>
      <w:r>
        <w:rPr>
          <w:highlight w:val="none"/>
        </w:rPr>
        <w:tab/>
      </w:r>
      <w:r>
        <w:rPr>
          <w:highlight w:val="none"/>
        </w:rPr>
        <w:fldChar w:fldCharType="begin"/>
      </w:r>
      <w:r>
        <w:rPr>
          <w:highlight w:val="none"/>
        </w:rPr>
        <w:instrText xml:space="preserve"> PAGEREF _Toc517776526 \h </w:instrText>
      </w:r>
      <w:r>
        <w:rPr>
          <w:highlight w:val="none"/>
        </w:rPr>
        <w:fldChar w:fldCharType="separate"/>
      </w:r>
      <w:r>
        <w:rPr>
          <w:highlight w:val="none"/>
        </w:rPr>
        <w:t>51</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"_Toc517776527" </w:instrText>
      </w:r>
      <w:r>
        <w:rPr>
          <w:highlight w:val="none"/>
        </w:rPr>
        <w:fldChar w:fldCharType="separate"/>
      </w:r>
      <w:r>
        <w:rPr>
          <w:rStyle w:val="42"/>
          <w:rFonts w:hint="eastAsia" w:ascii="宋体" w:hAnsi="宋体" w:cs="宋体"/>
          <w:highlight w:val="none"/>
        </w:rPr>
        <w:t>六、投标人资格说明</w:t>
      </w:r>
      <w:r>
        <w:rPr>
          <w:highlight w:val="none"/>
        </w:rPr>
        <w:tab/>
      </w:r>
      <w:r>
        <w:rPr>
          <w:highlight w:val="none"/>
        </w:rPr>
        <w:fldChar w:fldCharType="begin"/>
      </w:r>
      <w:r>
        <w:rPr>
          <w:highlight w:val="none"/>
        </w:rPr>
        <w:instrText xml:space="preserve"> PAGEREF _Toc517776527 \h </w:instrText>
      </w:r>
      <w:r>
        <w:rPr>
          <w:highlight w:val="none"/>
        </w:rPr>
        <w:fldChar w:fldCharType="separate"/>
      </w:r>
      <w:r>
        <w:rPr>
          <w:highlight w:val="none"/>
        </w:rPr>
        <w:t>52</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"_Toc517776528" </w:instrText>
      </w:r>
      <w:r>
        <w:rPr>
          <w:highlight w:val="none"/>
        </w:rPr>
        <w:fldChar w:fldCharType="separate"/>
      </w:r>
      <w:r>
        <w:rPr>
          <w:rStyle w:val="42"/>
          <w:rFonts w:hint="eastAsia" w:ascii="宋体" w:hAnsi="宋体" w:cs="宋体"/>
          <w:highlight w:val="none"/>
        </w:rPr>
        <w:t>七、分项报价表</w:t>
      </w:r>
      <w:r>
        <w:rPr>
          <w:highlight w:val="none"/>
        </w:rPr>
        <w:tab/>
      </w:r>
      <w:r>
        <w:rPr>
          <w:highlight w:val="none"/>
        </w:rPr>
        <w:fldChar w:fldCharType="begin"/>
      </w:r>
      <w:r>
        <w:rPr>
          <w:highlight w:val="none"/>
        </w:rPr>
        <w:instrText xml:space="preserve"> PAGEREF _Toc517776528 \h </w:instrText>
      </w:r>
      <w:r>
        <w:rPr>
          <w:highlight w:val="none"/>
        </w:rPr>
        <w:fldChar w:fldCharType="separate"/>
      </w:r>
      <w:r>
        <w:rPr>
          <w:highlight w:val="none"/>
        </w:rPr>
        <w:t>53</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"_Toc517776529" </w:instrText>
      </w:r>
      <w:r>
        <w:rPr>
          <w:highlight w:val="none"/>
        </w:rPr>
        <w:fldChar w:fldCharType="separate"/>
      </w:r>
      <w:r>
        <w:rPr>
          <w:rStyle w:val="42"/>
          <w:rFonts w:hint="eastAsia" w:ascii="宋体" w:hAnsi="宋体" w:cs="宋体"/>
          <w:highlight w:val="none"/>
        </w:rPr>
        <w:t>八、企业完成同类项目一览表</w:t>
      </w:r>
      <w:r>
        <w:rPr>
          <w:highlight w:val="none"/>
        </w:rPr>
        <w:tab/>
      </w:r>
      <w:r>
        <w:rPr>
          <w:highlight w:val="none"/>
        </w:rPr>
        <w:fldChar w:fldCharType="begin"/>
      </w:r>
      <w:r>
        <w:rPr>
          <w:highlight w:val="none"/>
        </w:rPr>
        <w:instrText xml:space="preserve"> PAGEREF _Toc517776529 \h </w:instrText>
      </w:r>
      <w:r>
        <w:rPr>
          <w:highlight w:val="none"/>
        </w:rPr>
        <w:fldChar w:fldCharType="separate"/>
      </w:r>
      <w:r>
        <w:rPr>
          <w:highlight w:val="none"/>
        </w:rPr>
        <w:t>54</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"_Toc517776530" </w:instrText>
      </w:r>
      <w:r>
        <w:rPr>
          <w:highlight w:val="none"/>
        </w:rPr>
        <w:fldChar w:fldCharType="separate"/>
      </w:r>
      <w:r>
        <w:rPr>
          <w:rStyle w:val="42"/>
          <w:rFonts w:hint="eastAsia" w:ascii="宋体" w:hAnsi="宋体" w:cs="宋体"/>
          <w:highlight w:val="none"/>
        </w:rPr>
        <w:t>九、售后及维护能力（格式自定）</w:t>
      </w:r>
      <w:r>
        <w:rPr>
          <w:highlight w:val="none"/>
        </w:rPr>
        <w:tab/>
      </w:r>
      <w:r>
        <w:rPr>
          <w:highlight w:val="none"/>
        </w:rPr>
        <w:fldChar w:fldCharType="begin"/>
      </w:r>
      <w:r>
        <w:rPr>
          <w:highlight w:val="none"/>
        </w:rPr>
        <w:instrText xml:space="preserve"> PAGEREF _Toc517776530 \h </w:instrText>
      </w:r>
      <w:r>
        <w:rPr>
          <w:highlight w:val="none"/>
        </w:rPr>
        <w:fldChar w:fldCharType="separate"/>
      </w:r>
      <w:r>
        <w:rPr>
          <w:highlight w:val="none"/>
        </w:rPr>
        <w:t>55</w:t>
      </w:r>
      <w:r>
        <w:rPr>
          <w:highlight w:val="none"/>
        </w:rPr>
        <w:fldChar w:fldCharType="end"/>
      </w:r>
      <w:r>
        <w:rPr>
          <w:highlight w:val="none"/>
        </w:rPr>
        <w:fldChar w:fldCharType="end"/>
      </w:r>
    </w:p>
    <w:p>
      <w:pPr>
        <w:spacing w:beforeLines="50" w:afterLines="50" w:line="360" w:lineRule="auto"/>
        <w:ind w:left="459" w:leftChars="203" w:hanging="33" w:hangingChars="16"/>
        <w:jc w:val="center"/>
        <w:rPr>
          <w:rFonts w:ascii="宋体" w:hAnsi="宋体" w:cs="宋体"/>
          <w:highlight w:val="none"/>
        </w:rPr>
      </w:pPr>
      <w:r>
        <w:rPr>
          <w:rFonts w:ascii="宋体" w:hAnsi="宋体" w:cs="宋体"/>
          <w:highlight w:val="none"/>
        </w:rPr>
        <w:fldChar w:fldCharType="end"/>
      </w:r>
    </w:p>
    <w:p>
      <w:pPr>
        <w:spacing w:beforeLines="50" w:afterLines="50" w:line="360" w:lineRule="auto"/>
        <w:ind w:left="459" w:leftChars="203" w:hanging="33" w:hangingChars="16"/>
        <w:jc w:val="center"/>
        <w:rPr>
          <w:rFonts w:ascii="宋体" w:hAnsi="宋体" w:cs="宋体"/>
          <w:highlight w:val="none"/>
        </w:rPr>
      </w:pPr>
    </w:p>
    <w:p>
      <w:pPr>
        <w:spacing w:beforeLines="50" w:afterLines="50" w:line="360" w:lineRule="auto"/>
        <w:ind w:left="459" w:leftChars="203" w:hanging="33" w:hangingChars="16"/>
        <w:jc w:val="center"/>
        <w:rPr>
          <w:rFonts w:ascii="宋体" w:hAnsi="宋体" w:cs="宋体"/>
          <w:highlight w:val="none"/>
        </w:rPr>
      </w:pPr>
    </w:p>
    <w:p>
      <w:pPr>
        <w:spacing w:beforeLines="50" w:afterLines="50" w:line="360" w:lineRule="auto"/>
        <w:ind w:left="459" w:leftChars="203" w:hanging="33" w:hangingChars="16"/>
        <w:jc w:val="center"/>
        <w:rPr>
          <w:rFonts w:ascii="宋体" w:hAnsi="宋体" w:cs="宋体"/>
          <w:highlight w:val="none"/>
        </w:rPr>
      </w:pPr>
    </w:p>
    <w:p>
      <w:pPr>
        <w:spacing w:beforeLines="50" w:afterLines="50" w:line="360" w:lineRule="auto"/>
        <w:ind w:left="459" w:leftChars="203" w:hanging="33" w:hangingChars="16"/>
        <w:jc w:val="center"/>
        <w:rPr>
          <w:rFonts w:ascii="宋体" w:hAnsi="宋体" w:cs="宋体"/>
          <w:highlight w:val="none"/>
        </w:rPr>
      </w:pPr>
    </w:p>
    <w:p>
      <w:pPr>
        <w:spacing w:beforeLines="50" w:afterLines="50" w:line="360" w:lineRule="auto"/>
        <w:ind w:left="459" w:leftChars="203" w:hanging="33" w:hangingChars="16"/>
        <w:jc w:val="center"/>
        <w:rPr>
          <w:rFonts w:ascii="宋体" w:hAnsi="宋体" w:cs="宋体"/>
          <w:highlight w:val="none"/>
        </w:rPr>
      </w:pPr>
    </w:p>
    <w:p>
      <w:pPr>
        <w:spacing w:beforeLines="50" w:afterLines="50" w:line="360" w:lineRule="auto"/>
        <w:ind w:left="-5" w:leftChars="-24" w:hanging="45" w:hangingChars="16"/>
        <w:jc w:val="center"/>
        <w:rPr>
          <w:rFonts w:hint="eastAsia" w:ascii="宋体" w:hAnsi="宋体" w:cs="宋体"/>
          <w:b/>
          <w:sz w:val="28"/>
          <w:szCs w:val="22"/>
          <w:highlight w:val="none"/>
          <w:lang w:eastAsia="zh-CN"/>
        </w:rPr>
      </w:pPr>
      <w:r>
        <w:rPr>
          <w:rFonts w:hint="eastAsia" w:ascii="宋体" w:hAnsi="宋体" w:cs="宋体"/>
          <w:b/>
          <w:sz w:val="28"/>
          <w:szCs w:val="22"/>
          <w:highlight w:val="none"/>
          <w:lang w:eastAsia="zh-CN"/>
        </w:rPr>
        <w:t>新疆广播电视局六三五台高压配电室设备升级改造项目竞争性磋商公告</w:t>
      </w:r>
    </w:p>
    <w:p>
      <w:pPr>
        <w:spacing w:beforeLines="50" w:afterLines="50" w:line="360" w:lineRule="auto"/>
        <w:ind w:firstLine="480" w:firstLineChars="200"/>
        <w:rPr>
          <w:rFonts w:ascii="宋体" w:cs="宋体"/>
          <w:sz w:val="24"/>
          <w:szCs w:val="24"/>
          <w:highlight w:val="none"/>
        </w:rPr>
      </w:pPr>
      <w:r>
        <w:rPr>
          <w:rFonts w:hint="eastAsia" w:ascii="宋体" w:hAnsi="宋体" w:cs="宋体"/>
          <w:sz w:val="24"/>
          <w:szCs w:val="24"/>
          <w:highlight w:val="none"/>
        </w:rPr>
        <w:t>新疆华域建设工程项目管理咨询有限公司受</w:t>
      </w:r>
      <w:r>
        <w:rPr>
          <w:rFonts w:hint="eastAsia" w:ascii="宋体" w:hAnsi="宋体" w:cs="宋体"/>
          <w:sz w:val="24"/>
          <w:szCs w:val="24"/>
          <w:highlight w:val="none"/>
          <w:lang w:eastAsia="zh-CN"/>
        </w:rPr>
        <w:t>新疆维吾尔自治区广播电视局六三五台</w:t>
      </w:r>
      <w:r>
        <w:rPr>
          <w:rFonts w:hint="eastAsia" w:ascii="宋体" w:hAnsi="宋体" w:cs="宋体"/>
          <w:sz w:val="24"/>
          <w:szCs w:val="24"/>
          <w:highlight w:val="none"/>
        </w:rPr>
        <w:t>的委托，拟以竞争性磋商的方式对</w:t>
      </w:r>
      <w:r>
        <w:rPr>
          <w:rFonts w:hint="eastAsia" w:ascii="宋体" w:hAnsi="宋体" w:cs="宋体"/>
          <w:sz w:val="24"/>
          <w:szCs w:val="24"/>
          <w:highlight w:val="none"/>
          <w:lang w:eastAsia="zh-CN"/>
        </w:rPr>
        <w:t>新疆广播电视局六三五台高压配电室设备升级改造项目</w:t>
      </w:r>
      <w:r>
        <w:rPr>
          <w:rFonts w:hint="eastAsia" w:ascii="宋体" w:hAnsi="宋体" w:cs="宋体"/>
          <w:sz w:val="24"/>
          <w:szCs w:val="24"/>
          <w:highlight w:val="none"/>
        </w:rPr>
        <w:t>进行竞争性磋商。现欢迎合格的竞标人前来投标。</w:t>
      </w:r>
    </w:p>
    <w:p>
      <w:pPr>
        <w:spacing w:beforeLines="50" w:afterLines="50" w:line="360" w:lineRule="auto"/>
        <w:rPr>
          <w:rFonts w:hint="eastAsia" w:ascii="宋体" w:eastAsia="宋体" w:cs="宋体"/>
          <w:sz w:val="24"/>
          <w:szCs w:val="24"/>
          <w:highlight w:val="none"/>
          <w:lang w:eastAsia="zh-CN"/>
        </w:rPr>
      </w:pPr>
      <w:r>
        <w:rPr>
          <w:rFonts w:hint="eastAsia" w:ascii="宋体" w:hAnsi="宋体" w:cs="宋体"/>
          <w:sz w:val="24"/>
          <w:szCs w:val="24"/>
          <w:highlight w:val="none"/>
        </w:rPr>
        <w:t>项目编号：ZFCGHY-</w:t>
      </w:r>
      <w:r>
        <w:rPr>
          <w:rFonts w:hint="eastAsia" w:ascii="宋体" w:hAnsi="宋体" w:cs="宋体"/>
          <w:sz w:val="24"/>
          <w:szCs w:val="24"/>
          <w:highlight w:val="none"/>
          <w:lang w:eastAsia="zh-CN"/>
        </w:rPr>
        <w:t>20220122</w:t>
      </w:r>
    </w:p>
    <w:p>
      <w:pPr>
        <w:widowControl/>
        <w:numPr>
          <w:ilvl w:val="0"/>
          <w:numId w:val="5"/>
        </w:numPr>
        <w:shd w:val="clear" w:color="auto" w:fill="FFFFFF"/>
        <w:spacing w:beforeLines="50" w:afterLines="50" w:line="360" w:lineRule="auto"/>
        <w:rPr>
          <w:rFonts w:ascii="宋体" w:cs="宋体"/>
          <w:sz w:val="24"/>
          <w:szCs w:val="24"/>
          <w:highlight w:val="none"/>
        </w:rPr>
      </w:pPr>
      <w:r>
        <w:rPr>
          <w:rFonts w:hint="eastAsia" w:ascii="宋体" w:hAnsi="宋体" w:cs="宋体"/>
          <w:color w:val="000000"/>
          <w:kern w:val="0"/>
          <w:sz w:val="24"/>
          <w:szCs w:val="24"/>
          <w:highlight w:val="none"/>
        </w:rPr>
        <w:t>采购项目名称：</w:t>
      </w:r>
      <w:r>
        <w:rPr>
          <w:rFonts w:hint="eastAsia" w:ascii="宋体" w:hAnsi="宋体" w:cs="宋体"/>
          <w:sz w:val="24"/>
          <w:szCs w:val="24"/>
          <w:highlight w:val="none"/>
          <w:lang w:eastAsia="zh-CN"/>
        </w:rPr>
        <w:t>新疆广播电视局六三五台高压配电室设备升级改造项目</w:t>
      </w:r>
    </w:p>
    <w:p>
      <w:pPr>
        <w:widowControl/>
        <w:shd w:val="clear" w:color="auto" w:fill="FFFFFF"/>
        <w:spacing w:beforeLines="50" w:afterLines="50" w:line="360" w:lineRule="auto"/>
        <w:rPr>
          <w:rFonts w:hint="eastAsia" w:ascii="宋体" w:eastAsia="宋体" w:cs="宋体"/>
          <w:sz w:val="24"/>
          <w:szCs w:val="24"/>
          <w:highlight w:val="none"/>
          <w:lang w:eastAsia="zh-CN"/>
        </w:rPr>
      </w:pPr>
      <w:r>
        <w:rPr>
          <w:rFonts w:hint="eastAsia" w:ascii="宋体" w:hAnsi="宋体" w:cs="宋体"/>
          <w:sz w:val="24"/>
          <w:szCs w:val="24"/>
          <w:highlight w:val="none"/>
        </w:rPr>
        <w:t>二、采购单位名称：</w:t>
      </w:r>
      <w:r>
        <w:rPr>
          <w:rFonts w:hint="eastAsia" w:ascii="宋体" w:hAnsi="宋体" w:cs="宋体"/>
          <w:sz w:val="24"/>
          <w:szCs w:val="24"/>
          <w:highlight w:val="none"/>
          <w:lang w:eastAsia="zh-CN"/>
        </w:rPr>
        <w:t>新疆维吾尔自治区广播电视局六三五台</w:t>
      </w:r>
    </w:p>
    <w:p>
      <w:pPr>
        <w:widowControl/>
        <w:shd w:val="clear" w:color="auto" w:fill="FFFFFF"/>
        <w:spacing w:beforeLines="50" w:afterLines="50" w:line="360" w:lineRule="auto"/>
        <w:rPr>
          <w:rFonts w:ascii="宋体" w:cs="宋体"/>
          <w:sz w:val="24"/>
          <w:szCs w:val="24"/>
          <w:highlight w:val="none"/>
        </w:rPr>
      </w:pPr>
      <w:r>
        <w:rPr>
          <w:rFonts w:hint="eastAsia" w:ascii="宋体" w:hAnsi="宋体" w:cs="宋体"/>
          <w:sz w:val="24"/>
          <w:szCs w:val="24"/>
          <w:highlight w:val="none"/>
        </w:rPr>
        <w:t>三、采购机构名称：新疆华域建设工程项目管理咨询有限公司</w:t>
      </w:r>
    </w:p>
    <w:p>
      <w:pPr>
        <w:spacing w:line="440" w:lineRule="exact"/>
        <w:rPr>
          <w:rFonts w:ascii="宋体" w:cs="宋体"/>
          <w:sz w:val="24"/>
          <w:szCs w:val="24"/>
          <w:highlight w:val="none"/>
        </w:rPr>
      </w:pPr>
      <w:r>
        <w:rPr>
          <w:rFonts w:hint="eastAsia" w:ascii="宋体" w:hAnsi="宋体" w:cs="宋体"/>
          <w:sz w:val="24"/>
          <w:szCs w:val="24"/>
          <w:highlight w:val="none"/>
        </w:rPr>
        <w:t>四、采购内容：详见采购文件用户需求书。</w:t>
      </w:r>
      <w:r>
        <w:rPr>
          <w:rFonts w:hint="eastAsia" w:ascii="宋体" w:cs="宋体"/>
          <w:sz w:val="24"/>
          <w:szCs w:val="24"/>
          <w:highlight w:val="none"/>
        </w:rPr>
        <w:t>采购</w:t>
      </w:r>
      <w:r>
        <w:rPr>
          <w:rFonts w:hint="eastAsia" w:ascii="宋体" w:hAnsi="宋体" w:cs="宋体"/>
          <w:sz w:val="24"/>
          <w:szCs w:val="24"/>
          <w:highlight w:val="none"/>
        </w:rPr>
        <w:t>预算金额：</w:t>
      </w:r>
      <w:r>
        <w:rPr>
          <w:rFonts w:hint="eastAsia" w:ascii="宋体" w:hAnsi="宋体" w:cs="宋体"/>
          <w:sz w:val="24"/>
          <w:szCs w:val="24"/>
          <w:highlight w:val="none"/>
          <w:lang w:val="en-US" w:eastAsia="zh-CN"/>
        </w:rPr>
        <w:t>277200.00</w:t>
      </w:r>
      <w:r>
        <w:rPr>
          <w:rFonts w:hint="eastAsia" w:ascii="宋体" w:hAnsi="宋体" w:cs="宋体"/>
          <w:sz w:val="24"/>
          <w:szCs w:val="24"/>
          <w:highlight w:val="none"/>
        </w:rPr>
        <w:t>元。</w:t>
      </w:r>
    </w:p>
    <w:p>
      <w:pPr>
        <w:widowControl/>
        <w:tabs>
          <w:tab w:val="left" w:pos="450"/>
          <w:tab w:val="center" w:pos="4153"/>
        </w:tabs>
        <w:spacing w:beforeLines="50" w:line="360" w:lineRule="auto"/>
        <w:jc w:val="left"/>
        <w:rPr>
          <w:rFonts w:ascii="宋体" w:cs="宋体"/>
          <w:sz w:val="24"/>
          <w:szCs w:val="24"/>
          <w:highlight w:val="none"/>
        </w:rPr>
      </w:pPr>
      <w:r>
        <w:rPr>
          <w:rFonts w:hint="eastAsia" w:ascii="宋体" w:hAnsi="宋体" w:cs="宋体"/>
          <w:sz w:val="24"/>
          <w:szCs w:val="24"/>
          <w:highlight w:val="none"/>
        </w:rPr>
        <w:t>五、投标人基本资质要求：</w:t>
      </w:r>
    </w:p>
    <w:p>
      <w:pPr>
        <w:widowControl/>
        <w:shd w:val="clear" w:color="auto" w:fill="FFFFFF"/>
        <w:spacing w:beforeLines="50" w:afterLines="50" w:line="360" w:lineRule="auto"/>
        <w:ind w:left="426"/>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）需符合《政府采购法》第</w:t>
      </w:r>
      <w:r>
        <w:rPr>
          <w:rFonts w:ascii="宋体" w:hAnsi="宋体" w:cs="宋体"/>
          <w:sz w:val="24"/>
          <w:szCs w:val="24"/>
          <w:highlight w:val="none"/>
        </w:rPr>
        <w:t>22</w:t>
      </w:r>
      <w:r>
        <w:rPr>
          <w:rFonts w:hint="eastAsia" w:ascii="宋体" w:hAnsi="宋体" w:cs="宋体"/>
          <w:sz w:val="24"/>
          <w:szCs w:val="24"/>
          <w:highlight w:val="none"/>
        </w:rPr>
        <w:t>条规定；</w:t>
      </w:r>
    </w:p>
    <w:p>
      <w:pPr>
        <w:widowControl/>
        <w:shd w:val="clear" w:color="auto" w:fill="FFFFFF"/>
        <w:spacing w:beforeLines="50" w:afterLines="50" w:line="360" w:lineRule="auto"/>
        <w:ind w:left="426"/>
        <w:rPr>
          <w:rFonts w:hint="eastAsia"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）有依法缴纳社会保障资金的良好记录；</w:t>
      </w:r>
    </w:p>
    <w:p>
      <w:pPr>
        <w:widowControl/>
        <w:shd w:val="clear" w:color="auto" w:fill="FFFFFF"/>
        <w:spacing w:beforeLines="50" w:afterLines="50" w:line="360" w:lineRule="auto"/>
        <w:ind w:left="426"/>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）具有有效的营业执照副本、组织机构代码证副本、税务登记证、开户许可证；</w:t>
      </w:r>
    </w:p>
    <w:p>
      <w:pPr>
        <w:widowControl/>
        <w:shd w:val="clear" w:color="auto" w:fill="FFFFFF"/>
        <w:spacing w:beforeLines="50" w:afterLines="50" w:line="360" w:lineRule="auto"/>
        <w:ind w:left="426"/>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rPr>
        <w:t>）提供法人授权委托书原件及被授权人身份证原件、法定代表人身份证复印件；</w:t>
      </w:r>
    </w:p>
    <w:p>
      <w:pPr>
        <w:widowControl/>
        <w:shd w:val="clear" w:color="auto" w:fill="FFFFFF"/>
        <w:spacing w:beforeLines="50" w:afterLines="50" w:line="360" w:lineRule="auto"/>
        <w:ind w:left="426"/>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5</w:t>
      </w:r>
      <w:r>
        <w:rPr>
          <w:rFonts w:hint="eastAsia" w:ascii="宋体" w:hAnsi="宋体" w:cs="宋体"/>
          <w:sz w:val="24"/>
          <w:szCs w:val="24"/>
          <w:highlight w:val="none"/>
        </w:rPr>
        <w:t>）投标人应在信用中国网站（</w:t>
      </w:r>
      <w:r>
        <w:rPr>
          <w:rFonts w:ascii="宋体" w:hAnsi="宋体" w:cs="宋体"/>
          <w:sz w:val="24"/>
          <w:szCs w:val="24"/>
          <w:highlight w:val="none"/>
        </w:rPr>
        <w:t>www.creditchina.gov.cn</w:t>
      </w:r>
      <w:r>
        <w:rPr>
          <w:rFonts w:hint="eastAsia" w:ascii="宋体" w:hAnsi="宋体" w:cs="宋体"/>
          <w:sz w:val="24"/>
          <w:szCs w:val="24"/>
          <w:highlight w:val="none"/>
        </w:rPr>
        <w:t>）“信用信息”、中国政府采购网（</w:t>
      </w:r>
      <w:r>
        <w:rPr>
          <w:rFonts w:ascii="宋体" w:hAnsi="宋体" w:cs="宋体"/>
          <w:sz w:val="24"/>
          <w:szCs w:val="24"/>
          <w:highlight w:val="none"/>
        </w:rPr>
        <w:t>www.ccgp.gov.cn</w:t>
      </w:r>
      <w:r>
        <w:rPr>
          <w:rFonts w:hint="eastAsia" w:ascii="宋体" w:hAnsi="宋体" w:cs="宋体"/>
          <w:sz w:val="24"/>
          <w:szCs w:val="24"/>
          <w:highlight w:val="none"/>
        </w:rPr>
        <w:t>）“政府采购严重违法失信行为信息记录”信用记录查询结果（需注明截止时间，不得早于竞争性磋商公告发布日期）打印页面并加盖公章；</w:t>
      </w:r>
    </w:p>
    <w:p>
      <w:pPr>
        <w:widowControl/>
        <w:shd w:val="clear" w:color="auto" w:fill="FFFFFF"/>
        <w:spacing w:beforeLines="50" w:afterLines="50" w:line="360" w:lineRule="auto"/>
        <w:ind w:left="426"/>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6</w:t>
      </w:r>
      <w:r>
        <w:rPr>
          <w:rFonts w:hint="eastAsia" w:ascii="宋体" w:hAnsi="宋体" w:cs="宋体"/>
          <w:sz w:val="24"/>
          <w:szCs w:val="24"/>
          <w:highlight w:val="none"/>
        </w:rPr>
        <w:t>）在本地区具有售后服务和后续服务能力，本项目不接受联合体投标。</w:t>
      </w:r>
    </w:p>
    <w:p>
      <w:pPr>
        <w:widowControl/>
        <w:shd w:val="clear" w:color="auto" w:fill="FFFFFF"/>
        <w:spacing w:beforeLines="50" w:afterLines="50" w:line="360" w:lineRule="auto"/>
        <w:ind w:left="426" w:firstLine="480" w:firstLineChars="200"/>
        <w:rPr>
          <w:rFonts w:ascii="宋体" w:cs="宋体"/>
          <w:sz w:val="24"/>
          <w:szCs w:val="24"/>
          <w:highlight w:val="none"/>
        </w:rPr>
      </w:pPr>
      <w:r>
        <w:rPr>
          <w:rFonts w:hint="eastAsia" w:ascii="宋体" w:hAnsi="宋体" w:cs="宋体"/>
          <w:sz w:val="24"/>
          <w:szCs w:val="24"/>
          <w:highlight w:val="none"/>
        </w:rPr>
        <w:t>符合要求的投标单位可在新疆华域建设工程项目管理咨询有限公司查阅竞争性磋商文件。</w:t>
      </w:r>
    </w:p>
    <w:p>
      <w:pPr>
        <w:widowControl/>
        <w:shd w:val="clear" w:color="auto" w:fill="FFFFFF"/>
        <w:spacing w:beforeLines="50" w:afterLines="50" w:line="360" w:lineRule="auto"/>
        <w:rPr>
          <w:rFonts w:ascii="宋体" w:cs="宋体"/>
          <w:sz w:val="24"/>
          <w:szCs w:val="24"/>
          <w:highlight w:val="none"/>
        </w:rPr>
      </w:pPr>
      <w:r>
        <w:rPr>
          <w:rFonts w:hint="eastAsia" w:ascii="宋体" w:hAnsi="宋体" w:cs="宋体"/>
          <w:sz w:val="24"/>
          <w:szCs w:val="24"/>
          <w:highlight w:val="none"/>
        </w:rPr>
        <w:t>六、购买竞争性磋商文件：</w:t>
      </w:r>
      <w:r>
        <w:rPr>
          <w:rFonts w:ascii="宋体" w:hAnsi="宋体" w:cs="宋体"/>
          <w:sz w:val="24"/>
          <w:szCs w:val="24"/>
          <w:highlight w:val="none"/>
        </w:rPr>
        <w:t xml:space="preserve"> </w:t>
      </w:r>
    </w:p>
    <w:p>
      <w:pPr>
        <w:widowControl/>
        <w:shd w:val="clear" w:color="auto" w:fill="FFFFFF"/>
        <w:spacing w:beforeLines="50" w:afterLines="50" w:line="360" w:lineRule="auto"/>
        <w:ind w:left="426" w:firstLine="480" w:firstLineChars="200"/>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sz w:val="24"/>
          <w:szCs w:val="24"/>
          <w:highlight w:val="none"/>
          <w:lang w:eastAsia="zh-CN"/>
        </w:rPr>
        <w:t>2022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3</w:t>
      </w:r>
      <w:r>
        <w:rPr>
          <w:rFonts w:hint="eastAsia" w:ascii="宋体" w:hAnsi="宋体" w:cs="宋体"/>
          <w:sz w:val="24"/>
          <w:szCs w:val="24"/>
          <w:highlight w:val="none"/>
        </w:rPr>
        <w:t>日起至</w:t>
      </w:r>
      <w:r>
        <w:rPr>
          <w:rFonts w:hint="eastAsia" w:ascii="宋体" w:hAnsi="宋体" w:cs="宋体"/>
          <w:sz w:val="24"/>
          <w:szCs w:val="24"/>
          <w:highlight w:val="none"/>
          <w:lang w:eastAsia="zh-CN"/>
        </w:rPr>
        <w:t>2022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9</w:t>
      </w:r>
      <w:r>
        <w:rPr>
          <w:rFonts w:hint="eastAsia" w:ascii="宋体" w:hAnsi="宋体" w:cs="宋体"/>
          <w:sz w:val="24"/>
          <w:szCs w:val="24"/>
          <w:highlight w:val="none"/>
        </w:rPr>
        <w:t>日（每天</w:t>
      </w:r>
      <w:r>
        <w:rPr>
          <w:rFonts w:ascii="宋体" w:hAnsi="宋体" w:cs="宋体"/>
          <w:sz w:val="24"/>
          <w:szCs w:val="24"/>
          <w:highlight w:val="none"/>
        </w:rPr>
        <w:t>10 : 30</w:t>
      </w:r>
      <w:r>
        <w:rPr>
          <w:rFonts w:hint="eastAsia" w:ascii="宋体" w:hAnsi="宋体" w:cs="宋体"/>
          <w:sz w:val="24"/>
          <w:szCs w:val="24"/>
          <w:highlight w:val="none"/>
        </w:rPr>
        <w:t>时至</w:t>
      </w:r>
      <w:r>
        <w:rPr>
          <w:rFonts w:ascii="宋体" w:hAnsi="宋体" w:cs="宋体"/>
          <w:sz w:val="24"/>
          <w:szCs w:val="24"/>
          <w:highlight w:val="none"/>
        </w:rPr>
        <w:t>19</w:t>
      </w:r>
      <w:r>
        <w:rPr>
          <w:rFonts w:hint="eastAsia" w:ascii="宋体" w:hAnsi="宋体" w:cs="宋体"/>
          <w:sz w:val="24"/>
          <w:szCs w:val="24"/>
          <w:highlight w:val="none"/>
        </w:rPr>
        <w:t>：</w:t>
      </w:r>
      <w:r>
        <w:rPr>
          <w:rFonts w:ascii="宋体" w:hAnsi="宋体" w:cs="宋体"/>
          <w:sz w:val="24"/>
          <w:szCs w:val="24"/>
          <w:highlight w:val="none"/>
        </w:rPr>
        <w:t>00</w:t>
      </w:r>
      <w:r>
        <w:rPr>
          <w:rFonts w:hint="eastAsia" w:ascii="宋体" w:hAnsi="宋体" w:cs="宋体"/>
          <w:sz w:val="24"/>
          <w:szCs w:val="24"/>
          <w:highlight w:val="none"/>
        </w:rPr>
        <w:t>时、节假日休息）</w:t>
      </w:r>
    </w:p>
    <w:p>
      <w:pPr>
        <w:widowControl/>
        <w:shd w:val="clear" w:color="auto" w:fill="FFFFFF"/>
        <w:spacing w:beforeLines="50" w:afterLines="50" w:line="360" w:lineRule="auto"/>
        <w:ind w:left="426" w:firstLine="480" w:firstLineChars="200"/>
        <w:rPr>
          <w:rFonts w:ascii="宋体" w:hAnsi="宋体" w:cs="宋体"/>
          <w:sz w:val="24"/>
          <w:szCs w:val="24"/>
          <w:highlight w:val="none"/>
        </w:rPr>
      </w:pPr>
      <w:r>
        <w:rPr>
          <w:rFonts w:hint="eastAsia" w:ascii="宋体" w:hAnsi="宋体" w:cs="宋体"/>
          <w:sz w:val="24"/>
          <w:szCs w:val="24"/>
          <w:highlight w:val="none"/>
        </w:rPr>
        <w:t>地点：乌鲁木齐市五星北路</w:t>
      </w:r>
      <w:r>
        <w:rPr>
          <w:rFonts w:ascii="宋体" w:hAnsi="宋体" w:cs="宋体"/>
          <w:sz w:val="24"/>
          <w:szCs w:val="24"/>
          <w:highlight w:val="none"/>
        </w:rPr>
        <w:t>194</w:t>
      </w:r>
      <w:r>
        <w:rPr>
          <w:rFonts w:hint="eastAsia" w:ascii="宋体" w:hAnsi="宋体" w:cs="宋体"/>
          <w:sz w:val="24"/>
          <w:szCs w:val="24"/>
          <w:highlight w:val="none"/>
        </w:rPr>
        <w:t>号新地园大厦</w:t>
      </w:r>
      <w:r>
        <w:rPr>
          <w:rFonts w:ascii="宋体" w:hAnsi="宋体" w:cs="宋体"/>
          <w:sz w:val="24"/>
          <w:szCs w:val="24"/>
          <w:highlight w:val="none"/>
        </w:rPr>
        <w:t>13</w:t>
      </w:r>
      <w:r>
        <w:rPr>
          <w:rFonts w:hint="eastAsia" w:ascii="宋体" w:hAnsi="宋体" w:cs="宋体"/>
          <w:sz w:val="24"/>
          <w:szCs w:val="24"/>
          <w:highlight w:val="none"/>
        </w:rPr>
        <w:t>楼</w:t>
      </w:r>
    </w:p>
    <w:p>
      <w:pPr>
        <w:widowControl/>
        <w:shd w:val="clear" w:color="auto" w:fill="FFFFFF"/>
        <w:spacing w:beforeLines="50" w:afterLines="50" w:line="360" w:lineRule="auto"/>
        <w:ind w:left="426" w:firstLine="480" w:firstLineChars="200"/>
        <w:rPr>
          <w:rFonts w:ascii="宋体" w:hAnsi="宋体" w:cs="宋体"/>
          <w:sz w:val="24"/>
          <w:szCs w:val="24"/>
          <w:highlight w:val="none"/>
        </w:rPr>
      </w:pPr>
      <w:r>
        <w:rPr>
          <w:rFonts w:hint="eastAsia" w:ascii="宋体" w:hAnsi="宋体" w:cs="宋体"/>
          <w:sz w:val="24"/>
          <w:szCs w:val="24"/>
          <w:highlight w:val="none"/>
        </w:rPr>
        <w:t>购买竞争性磋商文件时须携带本公告第五条、资质要求（</w:t>
      </w:r>
      <w:r>
        <w:rPr>
          <w:rFonts w:ascii="宋体" w:hAnsi="宋体" w:cs="宋体"/>
          <w:sz w:val="24"/>
          <w:szCs w:val="24"/>
          <w:highlight w:val="none"/>
        </w:rPr>
        <w:t>2</w:t>
      </w:r>
      <w:r>
        <w:rPr>
          <w:rFonts w:hint="eastAsia" w:ascii="宋体" w:hAnsi="宋体" w:cs="宋体"/>
          <w:sz w:val="24"/>
          <w:szCs w:val="24"/>
          <w:highlight w:val="none"/>
        </w:rPr>
        <w:t>项</w:t>
      </w:r>
      <w:r>
        <w:rPr>
          <w:rFonts w:ascii="宋体" w:hAnsi="宋体" w:cs="宋体"/>
          <w:sz w:val="24"/>
          <w:szCs w:val="24"/>
          <w:highlight w:val="none"/>
        </w:rPr>
        <w:t>-5</w:t>
      </w:r>
      <w:r>
        <w:rPr>
          <w:rFonts w:hint="eastAsia" w:ascii="宋体" w:hAnsi="宋体" w:cs="宋体"/>
          <w:sz w:val="24"/>
          <w:szCs w:val="24"/>
          <w:highlight w:val="none"/>
        </w:rPr>
        <w:t>项）规定的资格证明文件（均为原件）。以上均需提供原件查验并提供</w:t>
      </w:r>
      <w:r>
        <w:rPr>
          <w:rFonts w:ascii="宋体" w:hAnsi="宋体" w:cs="宋体"/>
          <w:sz w:val="24"/>
          <w:szCs w:val="24"/>
          <w:highlight w:val="none"/>
        </w:rPr>
        <w:t>2</w:t>
      </w:r>
      <w:r>
        <w:rPr>
          <w:rFonts w:hint="eastAsia" w:ascii="宋体" w:hAnsi="宋体" w:cs="宋体"/>
          <w:sz w:val="24"/>
          <w:szCs w:val="24"/>
          <w:highlight w:val="none"/>
        </w:rPr>
        <w:t>套加盖公章的复印件留存。</w:t>
      </w:r>
    </w:p>
    <w:p>
      <w:pPr>
        <w:widowControl/>
        <w:shd w:val="clear" w:color="auto" w:fill="FFFFFF"/>
        <w:spacing w:beforeLines="50" w:afterLines="50" w:line="360" w:lineRule="auto"/>
        <w:rPr>
          <w:rFonts w:ascii="宋体" w:cs="宋体"/>
          <w:sz w:val="24"/>
          <w:szCs w:val="24"/>
          <w:highlight w:val="none"/>
        </w:rPr>
      </w:pPr>
      <w:r>
        <w:rPr>
          <w:rFonts w:hint="eastAsia" w:ascii="宋体" w:hAnsi="宋体" w:cs="宋体"/>
          <w:sz w:val="24"/>
          <w:szCs w:val="24"/>
          <w:highlight w:val="none"/>
        </w:rPr>
        <w:t>七、开标时间：</w:t>
      </w:r>
      <w:r>
        <w:rPr>
          <w:rFonts w:hint="eastAsia" w:ascii="宋体" w:hAnsi="宋体" w:cs="宋体"/>
          <w:sz w:val="24"/>
          <w:szCs w:val="24"/>
          <w:highlight w:val="none"/>
          <w:lang w:eastAsia="zh-CN"/>
        </w:rPr>
        <w:t>2022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15</w:t>
      </w:r>
      <w:r>
        <w:rPr>
          <w:rFonts w:hint="eastAsia" w:ascii="宋体" w:hAnsi="宋体" w:cs="宋体"/>
          <w:sz w:val="24"/>
          <w:szCs w:val="24"/>
          <w:highlight w:val="none"/>
        </w:rPr>
        <w:t>日</w:t>
      </w:r>
      <w:r>
        <w:rPr>
          <w:rFonts w:hint="eastAsia" w:ascii="宋体" w:hAnsi="宋体" w:cs="宋体"/>
          <w:sz w:val="24"/>
          <w:szCs w:val="24"/>
          <w:highlight w:val="none"/>
          <w:lang w:val="en-US" w:eastAsia="zh-CN"/>
        </w:rPr>
        <w:t>11</w:t>
      </w:r>
      <w:r>
        <w:rPr>
          <w:rFonts w:hint="eastAsia" w:ascii="宋体" w:hAnsi="宋体" w:cs="宋体"/>
          <w:sz w:val="24"/>
          <w:szCs w:val="24"/>
          <w:highlight w:val="none"/>
        </w:rPr>
        <w:t>：</w:t>
      </w:r>
      <w:r>
        <w:rPr>
          <w:rFonts w:hint="eastAsia" w:ascii="宋体" w:cs="宋体"/>
          <w:sz w:val="24"/>
          <w:szCs w:val="24"/>
          <w:highlight w:val="none"/>
          <w:lang w:val="en-US" w:eastAsia="zh-CN"/>
        </w:rPr>
        <w:t>0</w:t>
      </w:r>
      <w:r>
        <w:rPr>
          <w:rFonts w:ascii="宋体" w:cs="宋体"/>
          <w:sz w:val="24"/>
          <w:szCs w:val="24"/>
          <w:highlight w:val="none"/>
        </w:rPr>
        <w:t>0</w:t>
      </w:r>
      <w:r>
        <w:rPr>
          <w:rFonts w:hint="eastAsia" w:ascii="宋体" w:hAnsi="宋体" w:cs="宋体"/>
          <w:sz w:val="24"/>
          <w:szCs w:val="24"/>
          <w:highlight w:val="none"/>
        </w:rPr>
        <w:t>时（北京时间）。</w:t>
      </w:r>
    </w:p>
    <w:p>
      <w:pPr>
        <w:widowControl/>
        <w:shd w:val="clear" w:color="auto" w:fill="FFFFFF"/>
        <w:spacing w:beforeLines="50" w:afterLines="50" w:line="360" w:lineRule="auto"/>
        <w:rPr>
          <w:rFonts w:ascii="宋体" w:cs="宋体"/>
          <w:sz w:val="24"/>
          <w:szCs w:val="24"/>
          <w:highlight w:val="none"/>
        </w:rPr>
      </w:pPr>
      <w:r>
        <w:rPr>
          <w:rFonts w:hint="eastAsia" w:ascii="宋体" w:hAnsi="宋体" w:cs="宋体"/>
          <w:sz w:val="24"/>
          <w:szCs w:val="24"/>
          <w:highlight w:val="none"/>
        </w:rPr>
        <w:t>八、联系方式：</w:t>
      </w:r>
    </w:p>
    <w:p>
      <w:pPr>
        <w:widowControl/>
        <w:shd w:val="clear" w:color="auto" w:fill="FFFFFF"/>
        <w:spacing w:beforeLines="50" w:afterLines="50"/>
        <w:ind w:left="720"/>
        <w:rPr>
          <w:rFonts w:ascii="宋体" w:cs="宋体"/>
          <w:sz w:val="24"/>
          <w:szCs w:val="24"/>
          <w:highlight w:val="none"/>
        </w:rPr>
      </w:pPr>
      <w:r>
        <w:rPr>
          <w:rFonts w:hint="eastAsia" w:ascii="宋体" w:hAnsi="宋体" w:cs="宋体"/>
          <w:sz w:val="24"/>
          <w:szCs w:val="24"/>
          <w:highlight w:val="none"/>
        </w:rPr>
        <w:t>采购代理机构名称：新疆华域建设工程项目管理咨询有限公司</w:t>
      </w:r>
    </w:p>
    <w:p>
      <w:pPr>
        <w:widowControl/>
        <w:shd w:val="clear" w:color="auto" w:fill="FFFFFF"/>
        <w:spacing w:beforeLines="50" w:afterLines="50"/>
        <w:ind w:left="720"/>
        <w:rPr>
          <w:rFonts w:ascii="宋体" w:cs="宋体"/>
          <w:sz w:val="24"/>
          <w:szCs w:val="24"/>
          <w:highlight w:val="none"/>
        </w:rPr>
      </w:pPr>
      <w:r>
        <w:rPr>
          <w:rFonts w:hint="eastAsia" w:ascii="宋体" w:hAnsi="宋体" w:cs="宋体"/>
          <w:sz w:val="24"/>
          <w:szCs w:val="24"/>
          <w:highlight w:val="none"/>
        </w:rPr>
        <w:t>详细地址：乌鲁木齐市五星北路</w:t>
      </w:r>
      <w:r>
        <w:rPr>
          <w:rFonts w:ascii="宋体" w:hAnsi="宋体" w:cs="宋体"/>
          <w:sz w:val="24"/>
          <w:szCs w:val="24"/>
          <w:highlight w:val="none"/>
        </w:rPr>
        <w:t>194</w:t>
      </w:r>
      <w:r>
        <w:rPr>
          <w:rFonts w:hint="eastAsia" w:ascii="宋体" w:hAnsi="宋体" w:cs="宋体"/>
          <w:sz w:val="24"/>
          <w:szCs w:val="24"/>
          <w:highlight w:val="none"/>
        </w:rPr>
        <w:t>号新地园大厦</w:t>
      </w:r>
      <w:r>
        <w:rPr>
          <w:rFonts w:ascii="宋体" w:hAnsi="宋体" w:cs="宋体"/>
          <w:sz w:val="24"/>
          <w:szCs w:val="24"/>
          <w:highlight w:val="none"/>
        </w:rPr>
        <w:t>13</w:t>
      </w:r>
      <w:r>
        <w:rPr>
          <w:rFonts w:hint="eastAsia" w:ascii="宋体" w:hAnsi="宋体" w:cs="宋体"/>
          <w:sz w:val="24"/>
          <w:szCs w:val="24"/>
          <w:highlight w:val="none"/>
        </w:rPr>
        <w:t>楼</w:t>
      </w:r>
    </w:p>
    <w:p>
      <w:pPr>
        <w:widowControl/>
        <w:shd w:val="clear" w:color="auto" w:fill="FFFFFF"/>
        <w:spacing w:beforeLines="50" w:afterLines="50"/>
        <w:ind w:left="720"/>
        <w:rPr>
          <w:rFonts w:ascii="宋体" w:cs="宋体"/>
          <w:sz w:val="24"/>
          <w:szCs w:val="24"/>
          <w:highlight w:val="none"/>
        </w:rPr>
      </w:pPr>
      <w:r>
        <w:rPr>
          <w:rFonts w:hint="eastAsia" w:ascii="宋体" w:hAnsi="宋体" w:cs="宋体"/>
          <w:sz w:val="24"/>
          <w:szCs w:val="24"/>
          <w:highlight w:val="none"/>
        </w:rPr>
        <w:t>联</w:t>
      </w:r>
      <w:r>
        <w:rPr>
          <w:rFonts w:ascii="宋体" w:hAnsi="宋体" w:cs="宋体"/>
          <w:sz w:val="24"/>
          <w:szCs w:val="24"/>
          <w:highlight w:val="none"/>
        </w:rPr>
        <w:t xml:space="preserve"> </w:t>
      </w:r>
      <w:r>
        <w:rPr>
          <w:rFonts w:hint="eastAsia" w:ascii="宋体" w:hAnsi="宋体" w:cs="宋体"/>
          <w:sz w:val="24"/>
          <w:szCs w:val="24"/>
          <w:highlight w:val="none"/>
        </w:rPr>
        <w:t>系</w:t>
      </w:r>
      <w:r>
        <w:rPr>
          <w:rFonts w:ascii="宋体" w:hAnsi="宋体" w:cs="宋体"/>
          <w:sz w:val="24"/>
          <w:szCs w:val="24"/>
          <w:highlight w:val="none"/>
        </w:rPr>
        <w:t xml:space="preserve"> </w:t>
      </w:r>
      <w:r>
        <w:rPr>
          <w:rFonts w:hint="eastAsia" w:ascii="宋体" w:hAnsi="宋体" w:cs="宋体"/>
          <w:sz w:val="24"/>
          <w:szCs w:val="24"/>
          <w:highlight w:val="none"/>
        </w:rPr>
        <w:t>人：王鹤宇</w:t>
      </w:r>
      <w:r>
        <w:rPr>
          <w:rFonts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ascii="宋体" w:hAnsi="宋体" w:cs="宋体"/>
          <w:sz w:val="24"/>
          <w:szCs w:val="24"/>
          <w:highlight w:val="none"/>
        </w:rPr>
        <w:t xml:space="preserve">  </w:t>
      </w:r>
    </w:p>
    <w:p>
      <w:pPr>
        <w:widowControl/>
        <w:shd w:val="clear" w:color="auto" w:fill="FFFFFF"/>
        <w:spacing w:beforeLines="50" w:afterLines="50"/>
        <w:ind w:left="720"/>
        <w:rPr>
          <w:rFonts w:ascii="宋体" w:cs="宋体"/>
          <w:sz w:val="24"/>
          <w:szCs w:val="24"/>
          <w:highlight w:val="none"/>
        </w:rPr>
      </w:pPr>
      <w:r>
        <w:rPr>
          <w:rFonts w:hint="eastAsia" w:ascii="宋体" w:hAnsi="宋体" w:cs="宋体"/>
          <w:sz w:val="24"/>
          <w:szCs w:val="24"/>
          <w:highlight w:val="none"/>
        </w:rPr>
        <w:t>电话：</w:t>
      </w:r>
      <w:r>
        <w:rPr>
          <w:rFonts w:ascii="宋体" w:hAnsi="宋体" w:cs="宋体"/>
          <w:sz w:val="24"/>
          <w:szCs w:val="24"/>
          <w:highlight w:val="none"/>
        </w:rPr>
        <w:t xml:space="preserve"> 18997972745  0991-4630336</w:t>
      </w:r>
    </w:p>
    <w:p>
      <w:pPr>
        <w:widowControl/>
        <w:shd w:val="clear" w:color="auto" w:fill="FFFFFF"/>
        <w:spacing w:beforeLines="50" w:afterLines="50" w:line="360" w:lineRule="auto"/>
        <w:ind w:left="426" w:firstLine="240" w:firstLineChars="100"/>
        <w:rPr>
          <w:rFonts w:hint="eastAsia" w:ascii="宋体" w:hAnsi="宋体" w:cs="宋体"/>
          <w:sz w:val="24"/>
          <w:szCs w:val="24"/>
          <w:highlight w:val="none"/>
          <w:lang w:eastAsia="zh-CN"/>
        </w:rPr>
      </w:pPr>
      <w:r>
        <w:rPr>
          <w:rFonts w:hint="eastAsia" w:ascii="宋体" w:hAnsi="宋体" w:cs="宋体"/>
          <w:sz w:val="24"/>
          <w:szCs w:val="24"/>
          <w:highlight w:val="none"/>
        </w:rPr>
        <w:t>采购人名称：</w:t>
      </w:r>
      <w:r>
        <w:rPr>
          <w:rFonts w:hint="eastAsia" w:ascii="宋体" w:hAnsi="宋体" w:cs="宋体"/>
          <w:sz w:val="24"/>
          <w:szCs w:val="24"/>
          <w:highlight w:val="none"/>
          <w:lang w:eastAsia="zh-CN"/>
        </w:rPr>
        <w:t>新疆维吾尔自治区广播电视局六三五台</w:t>
      </w:r>
    </w:p>
    <w:p>
      <w:pPr>
        <w:widowControl/>
        <w:shd w:val="clear" w:color="auto" w:fill="FFFFFF"/>
        <w:spacing w:beforeLines="50" w:afterLines="50" w:line="360" w:lineRule="auto"/>
        <w:ind w:left="719"/>
        <w:rPr>
          <w:rFonts w:ascii="宋体" w:cs="宋体"/>
          <w:sz w:val="24"/>
          <w:szCs w:val="24"/>
          <w:highlight w:val="none"/>
        </w:rPr>
      </w:pPr>
    </w:p>
    <w:p>
      <w:pPr>
        <w:pStyle w:val="4"/>
      </w:pPr>
    </w:p>
    <w:p>
      <w:pPr>
        <w:pStyle w:val="4"/>
        <w:rPr>
          <w:rFonts w:ascii="宋体" w:cs="宋体"/>
          <w:sz w:val="24"/>
          <w:szCs w:val="24"/>
          <w:highlight w:val="none"/>
        </w:rPr>
      </w:pPr>
    </w:p>
    <w:p>
      <w:pPr>
        <w:rPr>
          <w:rFonts w:ascii="宋体" w:cs="宋体"/>
          <w:sz w:val="24"/>
          <w:szCs w:val="24"/>
          <w:highlight w:val="none"/>
        </w:rPr>
      </w:pPr>
    </w:p>
    <w:p>
      <w:pPr>
        <w:pStyle w:val="4"/>
      </w:pPr>
    </w:p>
    <w:p>
      <w:pPr>
        <w:pStyle w:val="4"/>
      </w:pPr>
    </w:p>
    <w:p>
      <w:pPr>
        <w:pStyle w:val="4"/>
        <w:rPr>
          <w:rFonts w:ascii="宋体" w:cs="宋体"/>
          <w:sz w:val="24"/>
          <w:szCs w:val="24"/>
          <w:highlight w:val="none"/>
        </w:rPr>
      </w:pPr>
    </w:p>
    <w:p/>
    <w:p>
      <w:pPr>
        <w:widowControl/>
        <w:shd w:val="clear" w:color="auto" w:fill="FFFFFF"/>
        <w:spacing w:beforeLines="50" w:afterLines="50" w:line="360" w:lineRule="auto"/>
        <w:ind w:left="719"/>
        <w:rPr>
          <w:rFonts w:ascii="宋体" w:cs="宋体"/>
          <w:sz w:val="24"/>
          <w:szCs w:val="24"/>
          <w:highlight w:val="none"/>
        </w:rPr>
      </w:pPr>
    </w:p>
    <w:p>
      <w:pPr>
        <w:pStyle w:val="3"/>
        <w:spacing w:beforeLines="265"/>
        <w:ind w:firstLine="2570" w:firstLineChars="800"/>
        <w:jc w:val="both"/>
        <w:rPr>
          <w:rFonts w:ascii="宋体" w:cs="宋体"/>
          <w:highlight w:val="none"/>
        </w:rPr>
      </w:pPr>
      <w:bookmarkStart w:id="0" w:name="_Toc517776504"/>
      <w:r>
        <w:rPr>
          <w:rFonts w:hint="eastAsia" w:ascii="宋体" w:hAnsi="宋体" w:cs="宋体"/>
          <w:highlight w:val="none"/>
        </w:rPr>
        <w:t>第二章</w:t>
      </w:r>
      <w:r>
        <w:rPr>
          <w:rFonts w:ascii="宋体" w:hAnsi="宋体" w:cs="宋体"/>
          <w:highlight w:val="none"/>
        </w:rPr>
        <w:t xml:space="preserve"> </w:t>
      </w:r>
      <w:r>
        <w:rPr>
          <w:rFonts w:hint="eastAsia" w:ascii="宋体" w:hAnsi="宋体" w:cs="宋体"/>
          <w:highlight w:val="none"/>
        </w:rPr>
        <w:t>投标人须知</w:t>
      </w:r>
      <w:bookmarkEnd w:id="0"/>
    </w:p>
    <w:p>
      <w:pPr>
        <w:spacing w:line="360" w:lineRule="auto"/>
        <w:rPr>
          <w:rFonts w:ascii="宋体" w:cs="宋体"/>
          <w:sz w:val="24"/>
          <w:szCs w:val="24"/>
          <w:highlight w:val="none"/>
        </w:rPr>
      </w:pPr>
      <w:r>
        <w:rPr>
          <w:rFonts w:hint="eastAsia" w:ascii="宋体" w:hAnsi="宋体" w:cs="宋体"/>
          <w:sz w:val="24"/>
          <w:szCs w:val="24"/>
          <w:highlight w:val="none"/>
        </w:rPr>
        <w:t>投标人须知前附表</w:t>
      </w:r>
    </w:p>
    <w:tbl>
      <w:tblPr>
        <w:tblStyle w:val="36"/>
        <w:tblW w:w="9195" w:type="dxa"/>
        <w:tblInd w:w="-264" w:type="dxa"/>
        <w:tblLayout w:type="fixed"/>
        <w:tblCellMar>
          <w:top w:w="0" w:type="dxa"/>
          <w:left w:w="108" w:type="dxa"/>
          <w:bottom w:w="0" w:type="dxa"/>
          <w:right w:w="108" w:type="dxa"/>
        </w:tblCellMar>
      </w:tblPr>
      <w:tblGrid>
        <w:gridCol w:w="705"/>
        <w:gridCol w:w="1935"/>
        <w:gridCol w:w="6555"/>
      </w:tblGrid>
      <w:tr>
        <w:trPr>
          <w:tblHeader/>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b/>
                <w:sz w:val="24"/>
                <w:szCs w:val="24"/>
                <w:highlight w:val="none"/>
              </w:rPr>
            </w:pPr>
            <w:r>
              <w:rPr>
                <w:rFonts w:hint="eastAsia" w:ascii="宋体" w:hAnsi="宋体" w:cs="宋体"/>
                <w:b/>
                <w:sz w:val="24"/>
                <w:szCs w:val="24"/>
                <w:highlight w:val="none"/>
              </w:rPr>
              <w:t>序号</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b/>
                <w:sz w:val="24"/>
                <w:szCs w:val="24"/>
                <w:highlight w:val="none"/>
              </w:rPr>
            </w:pPr>
            <w:r>
              <w:rPr>
                <w:rFonts w:hint="eastAsia" w:ascii="宋体" w:hAnsi="宋体" w:cs="宋体"/>
                <w:b/>
                <w:sz w:val="24"/>
                <w:szCs w:val="24"/>
                <w:highlight w:val="none"/>
              </w:rPr>
              <w:t>条款名称</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b/>
                <w:sz w:val="24"/>
                <w:szCs w:val="24"/>
                <w:highlight w:val="none"/>
              </w:rPr>
            </w:pPr>
            <w:r>
              <w:rPr>
                <w:rFonts w:hint="eastAsia" w:ascii="宋体" w:hAnsi="宋体" w:cs="宋体"/>
                <w:b/>
                <w:sz w:val="24"/>
                <w:szCs w:val="24"/>
                <w:highlight w:val="none"/>
              </w:rPr>
              <w:t>编列内容</w:t>
            </w:r>
          </w:p>
        </w:tc>
      </w:tr>
      <w:tr>
        <w:tblPrEx>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1</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招标人</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eastAsia="宋体" w:cs="宋体"/>
                <w:sz w:val="24"/>
                <w:szCs w:val="24"/>
                <w:highlight w:val="none"/>
                <w:lang w:eastAsia="zh-CN"/>
              </w:rPr>
            </w:pPr>
            <w:r>
              <w:rPr>
                <w:rFonts w:hint="eastAsia" w:ascii="宋体" w:hAnsi="宋体" w:cs="宋体"/>
                <w:sz w:val="24"/>
                <w:szCs w:val="24"/>
                <w:highlight w:val="none"/>
              </w:rPr>
              <w:t>名称：</w:t>
            </w:r>
            <w:r>
              <w:rPr>
                <w:rFonts w:hint="eastAsia" w:ascii="宋体" w:hAnsi="宋体" w:cs="宋体"/>
                <w:sz w:val="24"/>
                <w:szCs w:val="24"/>
                <w:highlight w:val="none"/>
                <w:lang w:eastAsia="zh-CN"/>
              </w:rPr>
              <w:t>新疆维吾尔自治区广播电视局六三五台</w:t>
            </w:r>
          </w:p>
        </w:tc>
      </w:tr>
      <w:tr>
        <w:tblPrEx>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2</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招标代理机构</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ind w:left="720" w:hanging="720" w:hangingChars="300"/>
              <w:rPr>
                <w:rFonts w:ascii="宋体" w:cs="宋体"/>
                <w:sz w:val="24"/>
                <w:szCs w:val="24"/>
                <w:highlight w:val="none"/>
              </w:rPr>
            </w:pPr>
            <w:r>
              <w:rPr>
                <w:rFonts w:hint="eastAsia" w:ascii="宋体" w:hAnsi="宋体" w:cs="宋体"/>
                <w:sz w:val="24"/>
                <w:szCs w:val="24"/>
                <w:highlight w:val="none"/>
              </w:rPr>
              <w:t>名称：新疆华域建设工程项目管理咨询有限公司</w:t>
            </w:r>
          </w:p>
          <w:p>
            <w:pPr>
              <w:spacing w:line="440" w:lineRule="exact"/>
              <w:ind w:left="720" w:hanging="720" w:hangingChars="300"/>
              <w:rPr>
                <w:rFonts w:ascii="宋体" w:cs="宋体"/>
                <w:sz w:val="24"/>
                <w:szCs w:val="24"/>
                <w:highlight w:val="none"/>
              </w:rPr>
            </w:pPr>
            <w:r>
              <w:rPr>
                <w:rFonts w:hint="eastAsia" w:ascii="宋体" w:hAnsi="宋体" w:cs="宋体"/>
                <w:sz w:val="24"/>
                <w:szCs w:val="24"/>
                <w:highlight w:val="none"/>
              </w:rPr>
              <w:t>详细地址：乌鲁木齐市五星北路</w:t>
            </w:r>
            <w:r>
              <w:rPr>
                <w:rFonts w:ascii="宋体" w:hAnsi="宋体" w:cs="宋体"/>
                <w:sz w:val="24"/>
                <w:szCs w:val="24"/>
                <w:highlight w:val="none"/>
              </w:rPr>
              <w:t>194</w:t>
            </w:r>
            <w:r>
              <w:rPr>
                <w:rFonts w:hint="eastAsia" w:ascii="宋体" w:hAnsi="宋体" w:cs="宋体"/>
                <w:sz w:val="24"/>
                <w:szCs w:val="24"/>
                <w:highlight w:val="none"/>
              </w:rPr>
              <w:t>号新地园大厦</w:t>
            </w:r>
            <w:r>
              <w:rPr>
                <w:rFonts w:ascii="宋体" w:hAnsi="宋体" w:cs="宋体"/>
                <w:sz w:val="24"/>
                <w:szCs w:val="24"/>
                <w:highlight w:val="none"/>
              </w:rPr>
              <w:t>13</w:t>
            </w:r>
            <w:r>
              <w:rPr>
                <w:rFonts w:hint="eastAsia" w:ascii="宋体" w:hAnsi="宋体" w:cs="宋体"/>
                <w:sz w:val="24"/>
                <w:szCs w:val="24"/>
                <w:highlight w:val="none"/>
              </w:rPr>
              <w:t>楼</w:t>
            </w:r>
          </w:p>
          <w:p>
            <w:pPr>
              <w:spacing w:line="440" w:lineRule="exact"/>
              <w:ind w:left="720" w:hanging="720" w:hangingChars="300"/>
              <w:rPr>
                <w:rFonts w:ascii="宋体" w:hAnsi="宋体" w:cs="宋体"/>
                <w:sz w:val="24"/>
                <w:szCs w:val="24"/>
                <w:highlight w:val="none"/>
              </w:rPr>
            </w:pPr>
            <w:r>
              <w:rPr>
                <w:rFonts w:hint="eastAsia" w:ascii="宋体" w:hAnsi="宋体" w:cs="宋体"/>
                <w:sz w:val="24"/>
                <w:szCs w:val="24"/>
                <w:highlight w:val="none"/>
              </w:rPr>
              <w:t>联</w:t>
            </w:r>
            <w:r>
              <w:rPr>
                <w:rFonts w:ascii="宋体" w:hAnsi="宋体" w:cs="宋体"/>
                <w:sz w:val="24"/>
                <w:szCs w:val="24"/>
                <w:highlight w:val="none"/>
              </w:rPr>
              <w:t xml:space="preserve"> </w:t>
            </w:r>
            <w:r>
              <w:rPr>
                <w:rFonts w:hint="eastAsia" w:ascii="宋体" w:hAnsi="宋体" w:cs="宋体"/>
                <w:sz w:val="24"/>
                <w:szCs w:val="24"/>
                <w:highlight w:val="none"/>
              </w:rPr>
              <w:t>系</w:t>
            </w:r>
            <w:r>
              <w:rPr>
                <w:rFonts w:ascii="宋体" w:hAnsi="宋体" w:cs="宋体"/>
                <w:sz w:val="24"/>
                <w:szCs w:val="24"/>
                <w:highlight w:val="none"/>
              </w:rPr>
              <w:t xml:space="preserve"> </w:t>
            </w:r>
            <w:r>
              <w:rPr>
                <w:rFonts w:hint="eastAsia" w:ascii="宋体" w:hAnsi="宋体" w:cs="宋体"/>
                <w:sz w:val="24"/>
                <w:szCs w:val="24"/>
                <w:highlight w:val="none"/>
              </w:rPr>
              <w:t>人：王鹤宇</w:t>
            </w:r>
            <w:r>
              <w:rPr>
                <w:rFonts w:ascii="宋体" w:hAnsi="宋体" w:cs="宋体"/>
                <w:sz w:val="24"/>
                <w:szCs w:val="24"/>
                <w:highlight w:val="none"/>
              </w:rPr>
              <w:t xml:space="preserve">  </w:t>
            </w:r>
          </w:p>
          <w:p>
            <w:pPr>
              <w:spacing w:line="440" w:lineRule="exact"/>
              <w:ind w:left="720" w:hanging="720" w:hangingChars="300"/>
              <w:rPr>
                <w:rFonts w:ascii="宋体" w:cs="宋体"/>
                <w:sz w:val="24"/>
                <w:szCs w:val="24"/>
                <w:highlight w:val="none"/>
              </w:rPr>
            </w:pPr>
            <w:r>
              <w:rPr>
                <w:rFonts w:hint="eastAsia" w:ascii="宋体" w:hAnsi="宋体" w:cs="宋体"/>
                <w:sz w:val="24"/>
                <w:szCs w:val="24"/>
                <w:highlight w:val="none"/>
              </w:rPr>
              <w:t>电话：</w:t>
            </w:r>
            <w:r>
              <w:rPr>
                <w:rFonts w:ascii="宋体" w:hAnsi="宋体" w:cs="宋体"/>
                <w:sz w:val="24"/>
                <w:szCs w:val="24"/>
                <w:highlight w:val="none"/>
              </w:rPr>
              <w:t>18997972745  0991-4630336</w:t>
            </w:r>
          </w:p>
          <w:p>
            <w:pPr>
              <w:spacing w:line="440" w:lineRule="exact"/>
              <w:rPr>
                <w:rFonts w:ascii="宋体" w:cs="宋体"/>
                <w:sz w:val="24"/>
                <w:szCs w:val="24"/>
                <w:highlight w:val="none"/>
              </w:rPr>
            </w:pPr>
            <w:r>
              <w:rPr>
                <w:rFonts w:hint="eastAsia" w:ascii="宋体" w:hAnsi="宋体" w:cs="宋体"/>
                <w:sz w:val="24"/>
                <w:szCs w:val="24"/>
                <w:highlight w:val="none"/>
              </w:rPr>
              <w:t>传真：</w:t>
            </w:r>
            <w:r>
              <w:rPr>
                <w:rFonts w:ascii="宋体" w:hAnsi="宋体" w:cs="宋体"/>
                <w:sz w:val="24"/>
                <w:szCs w:val="24"/>
                <w:highlight w:val="none"/>
              </w:rPr>
              <w:t>0991-4605577</w:t>
            </w:r>
          </w:p>
        </w:tc>
      </w:tr>
      <w:tr>
        <w:tblPrEx>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3</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项目名称</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eastAsia="宋体" w:cs="宋体"/>
                <w:sz w:val="24"/>
                <w:szCs w:val="24"/>
                <w:highlight w:val="none"/>
                <w:lang w:eastAsia="zh-CN"/>
              </w:rPr>
            </w:pPr>
            <w:r>
              <w:rPr>
                <w:rFonts w:hint="eastAsia" w:ascii="宋体" w:hAnsi="宋体" w:cs="宋体"/>
                <w:sz w:val="24"/>
                <w:szCs w:val="24"/>
                <w:highlight w:val="none"/>
                <w:lang w:eastAsia="zh-CN"/>
              </w:rPr>
              <w:t>新疆广播电视局六三五台高压配电室设备升级改造项目</w:t>
            </w:r>
          </w:p>
        </w:tc>
      </w:tr>
      <w:tr>
        <w:tblPrEx>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4</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项目地点</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highlight w:val="none"/>
              </w:rPr>
            </w:pPr>
            <w:r>
              <w:rPr>
                <w:rFonts w:hint="eastAsia" w:ascii="宋体" w:hAnsi="宋体" w:cs="宋体"/>
                <w:sz w:val="24"/>
                <w:szCs w:val="24"/>
                <w:highlight w:val="none"/>
              </w:rPr>
              <w:t>采购人指定地点</w:t>
            </w:r>
          </w:p>
        </w:tc>
      </w:tr>
      <w:tr>
        <w:tblPrEx>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5</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资金落实情况</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highlight w:val="none"/>
              </w:rPr>
            </w:pPr>
            <w:r>
              <w:rPr>
                <w:rFonts w:hint="eastAsia" w:ascii="宋体" w:hAnsi="宋体" w:cs="宋体"/>
                <w:sz w:val="24"/>
                <w:szCs w:val="24"/>
                <w:highlight w:val="none"/>
              </w:rPr>
              <w:t>已到位</w:t>
            </w:r>
          </w:p>
        </w:tc>
      </w:tr>
      <w:tr>
        <w:tblPrEx>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6</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招标范围</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cs="宋体"/>
                <w:sz w:val="24"/>
                <w:szCs w:val="24"/>
                <w:highlight w:val="none"/>
              </w:rPr>
            </w:pPr>
            <w:r>
              <w:rPr>
                <w:rFonts w:hint="eastAsia" w:ascii="宋体" w:hAnsi="宋体" w:cs="宋体"/>
                <w:sz w:val="24"/>
                <w:szCs w:val="24"/>
                <w:highlight w:val="none"/>
              </w:rPr>
              <w:t>本项目采购文件所有内容。</w:t>
            </w:r>
          </w:p>
          <w:p>
            <w:pPr>
              <w:spacing w:line="480" w:lineRule="exact"/>
              <w:rPr>
                <w:rFonts w:ascii="宋体" w:cs="宋体"/>
                <w:sz w:val="24"/>
                <w:szCs w:val="24"/>
                <w:highlight w:val="none"/>
              </w:rPr>
            </w:pPr>
            <w:r>
              <w:rPr>
                <w:rFonts w:hint="eastAsia" w:ascii="宋体" w:hAnsi="宋体" w:cs="宋体"/>
                <w:sz w:val="24"/>
                <w:szCs w:val="24"/>
                <w:highlight w:val="none"/>
              </w:rPr>
              <w:t>预算金额：</w:t>
            </w:r>
            <w:r>
              <w:rPr>
                <w:rFonts w:hint="eastAsia" w:ascii="宋体" w:hAnsi="宋体" w:cs="宋体"/>
                <w:sz w:val="24"/>
                <w:szCs w:val="24"/>
                <w:highlight w:val="none"/>
                <w:lang w:val="en-US" w:eastAsia="zh-CN"/>
              </w:rPr>
              <w:t>277200.00</w:t>
            </w:r>
            <w:r>
              <w:rPr>
                <w:rFonts w:hint="eastAsia" w:ascii="宋体" w:hAnsi="宋体" w:cs="宋体"/>
                <w:sz w:val="24"/>
                <w:szCs w:val="24"/>
                <w:highlight w:val="none"/>
              </w:rPr>
              <w:t>元</w:t>
            </w:r>
          </w:p>
          <w:p>
            <w:pPr>
              <w:spacing w:line="480" w:lineRule="exact"/>
              <w:rPr>
                <w:rFonts w:ascii="宋体" w:cs="宋体"/>
                <w:bCs/>
                <w:color w:val="000000"/>
                <w:sz w:val="24"/>
                <w:szCs w:val="24"/>
                <w:highlight w:val="none"/>
              </w:rPr>
            </w:pPr>
            <w:r>
              <w:rPr>
                <w:rFonts w:hint="eastAsia" w:ascii="宋体" w:hAnsi="宋体" w:cs="宋体"/>
                <w:sz w:val="24"/>
                <w:szCs w:val="24"/>
                <w:highlight w:val="none"/>
              </w:rPr>
              <w:t>投标人所报投标总价若超出此限价，作废标处理</w:t>
            </w:r>
          </w:p>
        </w:tc>
      </w:tr>
      <w:tr>
        <w:tblPrEx>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7</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投标人资质条件、能力</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cs="宋体"/>
                <w:color w:val="2B2B2B"/>
                <w:sz w:val="24"/>
                <w:szCs w:val="24"/>
                <w:highlight w:val="none"/>
                <w:shd w:val="clear" w:color="auto" w:fill="FFFFFF"/>
              </w:rPr>
            </w:pPr>
            <w:r>
              <w:rPr>
                <w:rFonts w:hint="eastAsia" w:ascii="宋体" w:cs="宋体"/>
                <w:color w:val="2B2B2B"/>
                <w:sz w:val="24"/>
                <w:szCs w:val="24"/>
                <w:highlight w:val="none"/>
                <w:shd w:val="clear" w:color="auto" w:fill="FFFFFF"/>
              </w:rPr>
              <w:t>（1）需符合《政府采购法》第22条规定；</w:t>
            </w:r>
          </w:p>
          <w:p>
            <w:pPr>
              <w:spacing w:line="440" w:lineRule="exact"/>
              <w:rPr>
                <w:rFonts w:hint="eastAsia" w:ascii="宋体" w:cs="宋体"/>
                <w:color w:val="2B2B2B"/>
                <w:sz w:val="24"/>
                <w:szCs w:val="24"/>
                <w:highlight w:val="none"/>
                <w:shd w:val="clear" w:color="auto" w:fill="FFFFFF"/>
              </w:rPr>
            </w:pPr>
            <w:r>
              <w:rPr>
                <w:rFonts w:hint="eastAsia" w:ascii="宋体" w:cs="宋体"/>
                <w:color w:val="2B2B2B"/>
                <w:sz w:val="24"/>
                <w:szCs w:val="24"/>
                <w:highlight w:val="none"/>
                <w:shd w:val="clear" w:color="auto" w:fill="FFFFFF"/>
              </w:rPr>
              <w:t>（2）有依法缴纳社会保障资金的良好记录；</w:t>
            </w:r>
          </w:p>
          <w:p>
            <w:pPr>
              <w:spacing w:line="440" w:lineRule="exact"/>
              <w:rPr>
                <w:rFonts w:hint="eastAsia" w:ascii="宋体" w:cs="宋体"/>
                <w:color w:val="2B2B2B"/>
                <w:sz w:val="24"/>
                <w:szCs w:val="24"/>
                <w:highlight w:val="none"/>
                <w:shd w:val="clear" w:color="auto" w:fill="FFFFFF"/>
              </w:rPr>
            </w:pPr>
            <w:r>
              <w:rPr>
                <w:rFonts w:hint="eastAsia" w:ascii="宋体" w:cs="宋体"/>
                <w:color w:val="2B2B2B"/>
                <w:sz w:val="24"/>
                <w:szCs w:val="24"/>
                <w:highlight w:val="none"/>
                <w:shd w:val="clear" w:color="auto" w:fill="FFFFFF"/>
              </w:rPr>
              <w:t>（3）具有有效的营业执照副本、组织机构代码证副本、税务登记证、开户许可证；</w:t>
            </w:r>
          </w:p>
          <w:p>
            <w:pPr>
              <w:spacing w:line="440" w:lineRule="exact"/>
              <w:rPr>
                <w:rFonts w:hint="eastAsia" w:ascii="宋体" w:cs="宋体"/>
                <w:color w:val="2B2B2B"/>
                <w:sz w:val="24"/>
                <w:szCs w:val="24"/>
                <w:highlight w:val="none"/>
                <w:shd w:val="clear" w:color="auto" w:fill="FFFFFF"/>
              </w:rPr>
            </w:pPr>
            <w:r>
              <w:rPr>
                <w:rFonts w:hint="eastAsia" w:ascii="宋体" w:cs="宋体"/>
                <w:color w:val="2B2B2B"/>
                <w:sz w:val="24"/>
                <w:szCs w:val="24"/>
                <w:highlight w:val="none"/>
                <w:shd w:val="clear" w:color="auto" w:fill="FFFFFF"/>
              </w:rPr>
              <w:t>（4）提供法人授权委托书原件及被授权人身份证原件、法定代表人身份证复印件；</w:t>
            </w:r>
          </w:p>
          <w:p>
            <w:pPr>
              <w:spacing w:line="440" w:lineRule="exact"/>
              <w:rPr>
                <w:rFonts w:hint="eastAsia" w:ascii="宋体" w:cs="宋体"/>
                <w:color w:val="2B2B2B"/>
                <w:sz w:val="24"/>
                <w:szCs w:val="24"/>
                <w:highlight w:val="none"/>
                <w:shd w:val="clear" w:color="auto" w:fill="FFFFFF"/>
              </w:rPr>
            </w:pPr>
            <w:r>
              <w:rPr>
                <w:rFonts w:hint="eastAsia" w:ascii="宋体" w:cs="宋体"/>
                <w:color w:val="2B2B2B"/>
                <w:sz w:val="24"/>
                <w:szCs w:val="24"/>
                <w:highlight w:val="none"/>
                <w:shd w:val="clear" w:color="auto" w:fill="FFFFFF"/>
              </w:rPr>
              <w:t>（5）投标人应在信用中国网站（www.creditchina.gov.cn）“信用信息”、中国政府采购网（www.ccgp.gov.cn）“政府采购严重违法失信行为信息记录”信用记录查询结果（需注明截止时间，不得早于竞争性磋商公告发布日期）打印页面并加盖公章；</w:t>
            </w:r>
          </w:p>
          <w:p>
            <w:pPr>
              <w:spacing w:line="440" w:lineRule="exact"/>
              <w:rPr>
                <w:rFonts w:ascii="宋体" w:cs="宋体"/>
                <w:color w:val="2B2B2B"/>
                <w:sz w:val="24"/>
                <w:szCs w:val="24"/>
                <w:highlight w:val="none"/>
                <w:shd w:val="clear" w:color="auto" w:fill="FFFFFF"/>
              </w:rPr>
            </w:pPr>
            <w:r>
              <w:rPr>
                <w:rFonts w:hint="eastAsia" w:ascii="宋体" w:cs="宋体"/>
                <w:color w:val="2B2B2B"/>
                <w:sz w:val="24"/>
                <w:szCs w:val="24"/>
                <w:highlight w:val="none"/>
                <w:shd w:val="clear" w:color="auto" w:fill="FFFFFF"/>
              </w:rPr>
              <w:t>（6）在本地区具有售后服务和后续服务能力，本项目不接受联合体投标。</w:t>
            </w:r>
          </w:p>
        </w:tc>
      </w:tr>
      <w:tr>
        <w:tblPrEx>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8</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投标人要求澄清采购文件的截止时间</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highlight w:val="none"/>
              </w:rPr>
            </w:pPr>
            <w:r>
              <w:rPr>
                <w:rFonts w:hint="eastAsia" w:ascii="宋体" w:hAnsi="宋体" w:cs="宋体"/>
                <w:sz w:val="24"/>
                <w:szCs w:val="24"/>
                <w:highlight w:val="none"/>
              </w:rPr>
              <w:t>投标截止时间前</w:t>
            </w:r>
            <w:r>
              <w:rPr>
                <w:rFonts w:ascii="宋体" w:hAnsi="宋体" w:cs="宋体"/>
                <w:sz w:val="24"/>
                <w:szCs w:val="24"/>
                <w:highlight w:val="none"/>
              </w:rPr>
              <w:t>5</w:t>
            </w:r>
            <w:r>
              <w:rPr>
                <w:rFonts w:hint="eastAsia" w:ascii="宋体" w:hAnsi="宋体" w:cs="宋体"/>
                <w:sz w:val="24"/>
                <w:szCs w:val="24"/>
                <w:highlight w:val="none"/>
              </w:rPr>
              <w:t>天</w:t>
            </w:r>
          </w:p>
        </w:tc>
      </w:tr>
      <w:tr>
        <w:tblPrEx>
          <w:tblCellMar>
            <w:top w:w="0" w:type="dxa"/>
            <w:left w:w="108" w:type="dxa"/>
            <w:bottom w:w="0" w:type="dxa"/>
            <w:right w:w="108" w:type="dxa"/>
          </w:tblCellMar>
        </w:tblPrEx>
        <w:trPr>
          <w:trHeight w:val="475"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9</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投标截止时间</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highlight w:val="none"/>
              </w:rPr>
            </w:pPr>
            <w:r>
              <w:rPr>
                <w:rFonts w:hint="eastAsia" w:ascii="宋体" w:hAnsi="宋体" w:cs="宋体"/>
                <w:sz w:val="24"/>
                <w:szCs w:val="24"/>
                <w:highlight w:val="none"/>
                <w:u w:val="single"/>
                <w:lang w:eastAsia="zh-CN"/>
              </w:rPr>
              <w:t>2022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15</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11</w:t>
            </w:r>
            <w:r>
              <w:rPr>
                <w:rFonts w:hint="eastAsia" w:ascii="宋体" w:hAnsi="宋体" w:cs="宋体"/>
                <w:sz w:val="24"/>
                <w:szCs w:val="24"/>
                <w:highlight w:val="none"/>
              </w:rPr>
              <w:t>时</w:t>
            </w:r>
            <w:r>
              <w:rPr>
                <w:rFonts w:hint="eastAsia" w:ascii="宋体" w:cs="宋体"/>
                <w:sz w:val="24"/>
                <w:szCs w:val="24"/>
                <w:highlight w:val="none"/>
                <w:u w:val="single"/>
                <w:lang w:val="en-US" w:eastAsia="zh-CN"/>
              </w:rPr>
              <w:t xml:space="preserve"> 00</w:t>
            </w:r>
            <w:r>
              <w:rPr>
                <w:rFonts w:hint="eastAsia" w:ascii="宋体" w:hAnsi="宋体" w:cs="宋体"/>
                <w:sz w:val="24"/>
                <w:szCs w:val="24"/>
                <w:highlight w:val="none"/>
              </w:rPr>
              <w:t>分</w:t>
            </w:r>
          </w:p>
        </w:tc>
      </w:tr>
      <w:tr>
        <w:tblPrEx>
          <w:tblCellMar>
            <w:top w:w="0" w:type="dxa"/>
            <w:left w:w="108" w:type="dxa"/>
            <w:bottom w:w="0" w:type="dxa"/>
            <w:right w:w="108" w:type="dxa"/>
          </w:tblCellMar>
        </w:tblPrEx>
        <w:trPr>
          <w:trHeight w:val="460"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10</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投标有效期</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highlight w:val="none"/>
              </w:rPr>
            </w:pPr>
            <w:r>
              <w:rPr>
                <w:rFonts w:ascii="宋体" w:hAnsi="宋体" w:cs="宋体"/>
                <w:sz w:val="24"/>
                <w:szCs w:val="24"/>
                <w:highlight w:val="none"/>
              </w:rPr>
              <w:t>90</w:t>
            </w:r>
            <w:r>
              <w:rPr>
                <w:rFonts w:hint="eastAsia" w:ascii="宋体" w:hAnsi="宋体" w:cs="宋体"/>
                <w:sz w:val="24"/>
                <w:szCs w:val="24"/>
                <w:highlight w:val="none"/>
              </w:rPr>
              <w:t>天</w:t>
            </w:r>
          </w:p>
        </w:tc>
      </w:tr>
      <w:tr>
        <w:tblPrEx>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11</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投标保证金</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cs="宋体"/>
                <w:sz w:val="24"/>
                <w:szCs w:val="24"/>
                <w:highlight w:val="none"/>
              </w:rPr>
            </w:pPr>
            <w:r>
              <w:rPr>
                <w:rFonts w:hint="eastAsia" w:ascii="宋体" w:hAnsi="宋体" w:cs="宋体"/>
                <w:sz w:val="24"/>
                <w:szCs w:val="24"/>
                <w:highlight w:val="none"/>
              </w:rPr>
              <w:t>投标保证金如采用电汇或网银转账，必须在投标截止时间前交纳至新疆华域建设工程项目管理咨询有限公司。（开标时请提供加盖公章的汇款凭证复印件以便开标时查验）</w:t>
            </w:r>
          </w:p>
          <w:p>
            <w:pPr>
              <w:overflowPunct w:val="0"/>
              <w:spacing w:line="440" w:lineRule="exact"/>
              <w:rPr>
                <w:rFonts w:hint="eastAsia" w:ascii="宋体" w:hAnsi="宋体" w:cs="宋体"/>
                <w:b/>
                <w:sz w:val="24"/>
                <w:highlight w:val="none"/>
                <w:lang w:val="en-US" w:eastAsia="zh-CN"/>
              </w:rPr>
            </w:pPr>
            <w:r>
              <w:rPr>
                <w:rFonts w:hint="eastAsia" w:ascii="宋体" w:hAnsi="宋体" w:cs="宋体"/>
                <w:b/>
                <w:sz w:val="24"/>
                <w:highlight w:val="none"/>
                <w:lang w:val="en-US" w:eastAsia="zh-CN"/>
              </w:rPr>
              <w:t>投标保证金：10000.00元（壹万元整）</w:t>
            </w:r>
          </w:p>
          <w:p>
            <w:pPr>
              <w:spacing w:line="440" w:lineRule="exact"/>
              <w:rPr>
                <w:rFonts w:ascii="宋体" w:cs="宋体"/>
                <w:b/>
                <w:sz w:val="24"/>
                <w:szCs w:val="24"/>
                <w:highlight w:val="none"/>
              </w:rPr>
            </w:pPr>
            <w:r>
              <w:rPr>
                <w:rFonts w:hint="eastAsia" w:ascii="宋体" w:hAnsi="宋体" w:cs="宋体"/>
                <w:b/>
                <w:sz w:val="24"/>
                <w:highlight w:val="none"/>
                <w:lang w:val="en-US" w:eastAsia="zh-CN"/>
              </w:rPr>
              <w:t>投标保证金的形式：银行电汇或网银</w:t>
            </w:r>
            <w:r>
              <w:rPr>
                <w:rFonts w:hint="eastAsia" w:ascii="宋体" w:hAnsi="宋体" w:cs="宋体"/>
                <w:b/>
                <w:sz w:val="24"/>
                <w:highlight w:val="none"/>
                <w:lang w:val="en-US" w:eastAsia="zh-CN"/>
              </w:rPr>
              <w:br w:type="textWrapping"/>
            </w:r>
            <w:r>
              <w:rPr>
                <w:rFonts w:hint="eastAsia" w:ascii="宋体" w:hAnsi="宋体" w:cs="宋体"/>
                <w:b/>
                <w:sz w:val="24"/>
                <w:highlight w:val="none"/>
                <w:lang w:val="en-US" w:eastAsia="zh-CN"/>
              </w:rPr>
              <w:t>开户单位名称：新疆华域建设工程项目管理咨询有限公司</w:t>
            </w:r>
            <w:r>
              <w:rPr>
                <w:rFonts w:hint="eastAsia" w:ascii="宋体" w:hAnsi="宋体" w:cs="宋体"/>
                <w:b/>
                <w:sz w:val="24"/>
                <w:highlight w:val="none"/>
                <w:lang w:val="en-US" w:eastAsia="zh-CN"/>
              </w:rPr>
              <w:br w:type="textWrapping"/>
            </w:r>
            <w:r>
              <w:rPr>
                <w:rFonts w:hint="eastAsia" w:ascii="宋体" w:hAnsi="宋体" w:cs="宋体"/>
                <w:b/>
                <w:sz w:val="24"/>
                <w:highlight w:val="none"/>
                <w:lang w:val="en-US" w:eastAsia="zh-CN"/>
              </w:rPr>
              <w:t>账号：107083025521</w:t>
            </w:r>
            <w:r>
              <w:rPr>
                <w:rFonts w:hint="eastAsia" w:ascii="宋体" w:hAnsi="宋体" w:cs="宋体"/>
                <w:b/>
                <w:sz w:val="24"/>
                <w:highlight w:val="none"/>
                <w:lang w:val="en-US" w:eastAsia="zh-CN"/>
              </w:rPr>
              <w:br w:type="textWrapping"/>
            </w:r>
            <w:r>
              <w:rPr>
                <w:rFonts w:hint="eastAsia" w:ascii="宋体" w:hAnsi="宋体" w:cs="宋体"/>
                <w:b/>
                <w:sz w:val="24"/>
                <w:highlight w:val="none"/>
                <w:lang w:val="en-US" w:eastAsia="zh-CN"/>
              </w:rPr>
              <w:t>开户银行：中国银行乌鲁木齐市南湖东路支行</w:t>
            </w:r>
            <w:r>
              <w:rPr>
                <w:rFonts w:hint="eastAsia" w:ascii="宋体" w:hAnsi="宋体" w:cs="宋体"/>
                <w:b/>
                <w:sz w:val="24"/>
                <w:highlight w:val="none"/>
                <w:lang w:val="en-US" w:eastAsia="zh-CN"/>
              </w:rPr>
              <w:br w:type="textWrapping"/>
            </w:r>
            <w:r>
              <w:rPr>
                <w:rFonts w:hint="eastAsia" w:ascii="宋体" w:hAnsi="宋体" w:cs="宋体"/>
                <w:b/>
                <w:sz w:val="24"/>
                <w:highlight w:val="none"/>
                <w:lang w:val="en-US" w:eastAsia="zh-CN"/>
              </w:rPr>
              <w:t>开户行行号：104881006151</w:t>
            </w:r>
            <w:r>
              <w:rPr>
                <w:rFonts w:hint="eastAsia" w:ascii="宋体" w:hAnsi="宋体" w:cs="宋体"/>
                <w:b/>
                <w:sz w:val="24"/>
                <w:highlight w:val="none"/>
                <w:lang w:val="en-US" w:eastAsia="zh-CN"/>
              </w:rPr>
              <w:br w:type="textWrapping"/>
            </w:r>
            <w:r>
              <w:rPr>
                <w:rFonts w:hint="eastAsia" w:ascii="宋体" w:hAnsi="宋体" w:cs="宋体"/>
                <w:b/>
                <w:sz w:val="24"/>
                <w:highlight w:val="none"/>
                <w:lang w:val="en-US" w:eastAsia="zh-CN"/>
              </w:rPr>
              <w:t>投标保证金的缴纳形式：投标保证金于投标截止时间（北京时间，以到账时间为准）之前，从投标人基本账户以银行电汇、网银的形式汇至或递交至招标代理机构账户，各投标单位缴纳投标保证金时在附加信息及用途栏内注明“项目名称简写”</w:t>
            </w:r>
            <w:r>
              <w:rPr>
                <w:rFonts w:hint="eastAsia" w:ascii="宋体" w:hAnsi="宋体" w:cs="宋体"/>
                <w:b/>
                <w:sz w:val="24"/>
                <w:highlight w:val="none"/>
              </w:rPr>
              <w:t>（转）款时，应在用途栏（备注栏）准确注明“</w:t>
            </w:r>
            <w:r>
              <w:rPr>
                <w:rFonts w:hint="eastAsia" w:ascii="宋体" w:hAnsi="宋体" w:cs="宋体"/>
                <w:b/>
                <w:sz w:val="24"/>
                <w:highlight w:val="none"/>
                <w:u w:val="single"/>
              </w:rPr>
              <w:t xml:space="preserve">        </w:t>
            </w:r>
            <w:r>
              <w:rPr>
                <w:rFonts w:hint="eastAsia" w:ascii="宋体" w:hAnsi="宋体" w:cs="宋体"/>
                <w:b/>
                <w:sz w:val="24"/>
                <w:highlight w:val="none"/>
              </w:rPr>
              <w:t>（简写项目名称）投标保证金”字样，由于未按要求注明信息而导致的一切后果由投标人承担。</w:t>
            </w:r>
          </w:p>
        </w:tc>
      </w:tr>
      <w:tr>
        <w:tblPrEx>
          <w:tblCellMar>
            <w:top w:w="0" w:type="dxa"/>
            <w:left w:w="108" w:type="dxa"/>
            <w:bottom w:w="0" w:type="dxa"/>
            <w:right w:w="108" w:type="dxa"/>
          </w:tblCellMar>
        </w:tblPrEx>
        <w:trPr>
          <w:trHeight w:val="490"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12</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签字或盖章要求</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highlight w:val="none"/>
              </w:rPr>
            </w:pPr>
            <w:r>
              <w:rPr>
                <w:rFonts w:hint="eastAsia" w:ascii="宋体" w:hAnsi="宋体" w:cs="宋体"/>
                <w:sz w:val="24"/>
                <w:szCs w:val="24"/>
                <w:highlight w:val="none"/>
              </w:rPr>
              <w:t>单位公章</w:t>
            </w:r>
            <w:r>
              <w:rPr>
                <w:rFonts w:ascii="宋体" w:cs="宋体"/>
                <w:sz w:val="24"/>
                <w:szCs w:val="24"/>
                <w:highlight w:val="none"/>
              </w:rPr>
              <w:t>,</w:t>
            </w:r>
            <w:r>
              <w:rPr>
                <w:rFonts w:hint="eastAsia" w:ascii="宋体" w:hAnsi="宋体" w:cs="宋体"/>
                <w:sz w:val="24"/>
                <w:szCs w:val="24"/>
                <w:highlight w:val="none"/>
              </w:rPr>
              <w:t>法人或法人代表委托人签章。</w:t>
            </w:r>
          </w:p>
        </w:tc>
      </w:tr>
      <w:tr>
        <w:tblPrEx>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13</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投标文件副本份数</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highlight w:val="none"/>
              </w:rPr>
            </w:pPr>
            <w:r>
              <w:rPr>
                <w:rFonts w:hint="eastAsia" w:ascii="宋体" w:hAnsi="宋体" w:cs="宋体"/>
                <w:sz w:val="24"/>
                <w:szCs w:val="24"/>
                <w:highlight w:val="none"/>
              </w:rPr>
              <w:t>投标文件正本</w:t>
            </w:r>
            <w:r>
              <w:rPr>
                <w:rFonts w:ascii="宋体" w:hAnsi="宋体" w:cs="宋体"/>
                <w:sz w:val="24"/>
                <w:szCs w:val="24"/>
                <w:highlight w:val="none"/>
              </w:rPr>
              <w:fldChar w:fldCharType="begin"/>
            </w:r>
            <w:r>
              <w:rPr>
                <w:rFonts w:ascii="宋体" w:hAnsi="宋体" w:cs="宋体"/>
                <w:sz w:val="24"/>
                <w:szCs w:val="24"/>
                <w:highlight w:val="none"/>
              </w:rPr>
              <w:instrText xml:space="preserve"> = 1 \* CHINESENUM2 </w:instrText>
            </w:r>
            <w:r>
              <w:rPr>
                <w:rFonts w:ascii="宋体" w:hAnsi="宋体" w:cs="宋体"/>
                <w:sz w:val="24"/>
                <w:szCs w:val="24"/>
                <w:highlight w:val="none"/>
              </w:rPr>
              <w:fldChar w:fldCharType="separate"/>
            </w:r>
            <w:r>
              <w:rPr>
                <w:rFonts w:hint="eastAsia" w:ascii="宋体" w:hAnsi="宋体" w:cs="宋体"/>
                <w:sz w:val="24"/>
                <w:szCs w:val="24"/>
                <w:highlight w:val="none"/>
              </w:rPr>
              <w:t>壹</w:t>
            </w:r>
            <w:r>
              <w:rPr>
                <w:rFonts w:ascii="宋体" w:hAnsi="宋体" w:cs="宋体"/>
                <w:sz w:val="24"/>
                <w:szCs w:val="24"/>
                <w:highlight w:val="none"/>
              </w:rPr>
              <w:fldChar w:fldCharType="end"/>
            </w:r>
            <w:r>
              <w:rPr>
                <w:rFonts w:hint="eastAsia" w:ascii="宋体" w:hAnsi="宋体" w:cs="宋体"/>
                <w:sz w:val="24"/>
                <w:szCs w:val="24"/>
                <w:highlight w:val="none"/>
              </w:rPr>
              <w:t>份，副本肆份，电子标书</w:t>
            </w:r>
            <w:r>
              <w:rPr>
                <w:rFonts w:ascii="宋体" w:hAnsi="宋体" w:cs="宋体"/>
                <w:sz w:val="24"/>
                <w:szCs w:val="24"/>
                <w:highlight w:val="none"/>
              </w:rPr>
              <w:t>U</w:t>
            </w:r>
            <w:r>
              <w:rPr>
                <w:rFonts w:hint="eastAsia" w:ascii="宋体" w:hAnsi="宋体" w:cs="宋体"/>
                <w:sz w:val="24"/>
                <w:szCs w:val="24"/>
                <w:highlight w:val="none"/>
              </w:rPr>
              <w:t>盘提供</w:t>
            </w:r>
            <w:r>
              <w:rPr>
                <w:rFonts w:ascii="宋体" w:hAnsi="宋体" w:cs="宋体"/>
                <w:sz w:val="24"/>
                <w:szCs w:val="24"/>
                <w:highlight w:val="none"/>
              </w:rPr>
              <w:t>1</w:t>
            </w:r>
            <w:r>
              <w:rPr>
                <w:rFonts w:hint="eastAsia" w:ascii="宋体" w:hAnsi="宋体" w:cs="宋体"/>
                <w:sz w:val="24"/>
                <w:szCs w:val="24"/>
                <w:highlight w:val="none"/>
              </w:rPr>
              <w:t>份。电子版文件：一份（以</w:t>
            </w:r>
            <w:r>
              <w:rPr>
                <w:rFonts w:ascii="宋体" w:hAnsi="宋体" w:cs="宋体"/>
                <w:sz w:val="24"/>
                <w:szCs w:val="24"/>
                <w:highlight w:val="none"/>
              </w:rPr>
              <w:t>U</w:t>
            </w:r>
            <w:r>
              <w:rPr>
                <w:rFonts w:hint="eastAsia" w:ascii="宋体" w:hAnsi="宋体" w:cs="宋体"/>
                <w:sz w:val="24"/>
                <w:szCs w:val="24"/>
                <w:highlight w:val="none"/>
              </w:rPr>
              <w:t>盘形式递交，</w:t>
            </w:r>
            <w:r>
              <w:rPr>
                <w:rFonts w:ascii="宋体" w:hAnsi="宋体" w:cs="宋体"/>
                <w:sz w:val="24"/>
                <w:szCs w:val="24"/>
                <w:highlight w:val="none"/>
              </w:rPr>
              <w:t>U</w:t>
            </w:r>
            <w:r>
              <w:rPr>
                <w:rFonts w:hint="eastAsia" w:ascii="宋体" w:hAnsi="宋体" w:cs="宋体"/>
                <w:sz w:val="24"/>
                <w:szCs w:val="24"/>
                <w:highlight w:val="none"/>
              </w:rPr>
              <w:t>盘内不得附带任何与本次招标无关内容，投标文件内容为</w:t>
            </w:r>
            <w:r>
              <w:rPr>
                <w:rFonts w:ascii="宋体" w:hAnsi="宋体" w:cs="宋体"/>
                <w:sz w:val="24"/>
                <w:szCs w:val="24"/>
                <w:highlight w:val="none"/>
              </w:rPr>
              <w:t>word</w:t>
            </w:r>
            <w:r>
              <w:rPr>
                <w:rFonts w:hint="eastAsia" w:ascii="宋体" w:hAnsi="宋体" w:cs="宋体"/>
                <w:sz w:val="24"/>
                <w:szCs w:val="24"/>
                <w:highlight w:val="none"/>
              </w:rPr>
              <w:t>格式）；</w:t>
            </w:r>
          </w:p>
          <w:p>
            <w:pPr>
              <w:spacing w:line="440" w:lineRule="exact"/>
              <w:rPr>
                <w:rFonts w:asci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、投标文件电子版要求包含采购文件全部内容，投标文件电子版与纸质版不一致时以纸质文件为准。</w:t>
            </w:r>
          </w:p>
          <w:p>
            <w:pPr>
              <w:spacing w:line="440" w:lineRule="exact"/>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、投标文件要求按包编制，不允许将两个或两个以上包的投标文件编制、装订、密封在一起。</w:t>
            </w:r>
          </w:p>
        </w:tc>
      </w:tr>
      <w:tr>
        <w:tblPrEx>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14</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装订要求</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highlight w:val="none"/>
              </w:rPr>
            </w:pPr>
            <w:r>
              <w:rPr>
                <w:rFonts w:hint="eastAsia" w:ascii="宋体" w:hAnsi="宋体" w:cs="宋体"/>
                <w:sz w:val="24"/>
                <w:szCs w:val="24"/>
                <w:highlight w:val="none"/>
              </w:rPr>
              <w:t>必须胶装成册，不得使用散页或活页夹</w:t>
            </w:r>
            <w:r>
              <w:rPr>
                <w:rFonts w:ascii="宋体" w:cs="宋体"/>
                <w:sz w:val="24"/>
                <w:szCs w:val="24"/>
                <w:highlight w:val="none"/>
              </w:rPr>
              <w:t>,</w:t>
            </w:r>
            <w:r>
              <w:rPr>
                <w:rFonts w:hint="eastAsia" w:ascii="宋体" w:hAnsi="宋体" w:cs="宋体"/>
                <w:sz w:val="24"/>
                <w:szCs w:val="24"/>
                <w:highlight w:val="none"/>
              </w:rPr>
              <w:t>否则视为对采购文件的不响应</w:t>
            </w:r>
          </w:p>
        </w:tc>
      </w:tr>
      <w:tr>
        <w:tblPrEx>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15</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封套上应载明的信息</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highlight w:val="none"/>
              </w:rPr>
            </w:pPr>
            <w:r>
              <w:rPr>
                <w:rFonts w:hint="eastAsia" w:ascii="宋体" w:hAnsi="宋体" w:cs="宋体"/>
                <w:sz w:val="24"/>
                <w:szCs w:val="24"/>
                <w:highlight w:val="none"/>
              </w:rPr>
              <w:t>（项目名称）投标文件</w:t>
            </w:r>
          </w:p>
          <w:p>
            <w:pPr>
              <w:spacing w:line="440" w:lineRule="exact"/>
              <w:rPr>
                <w:rFonts w:ascii="宋体" w:cs="宋体"/>
                <w:sz w:val="24"/>
                <w:szCs w:val="24"/>
                <w:highlight w:val="none"/>
              </w:rPr>
            </w:pPr>
            <w:r>
              <w:rPr>
                <w:rFonts w:hint="eastAsia" w:ascii="宋体" w:hAnsi="宋体" w:cs="宋体"/>
                <w:sz w:val="24"/>
                <w:szCs w:val="24"/>
                <w:highlight w:val="none"/>
              </w:rPr>
              <w:t>在</w:t>
            </w:r>
            <w:r>
              <w:rPr>
                <w:rFonts w:hint="eastAsia" w:ascii="宋体" w:hAnsi="宋体" w:cs="宋体"/>
                <w:sz w:val="24"/>
                <w:szCs w:val="24"/>
                <w:highlight w:val="none"/>
                <w:u w:val="single"/>
                <w:lang w:val="en-US" w:eastAsia="zh-CN"/>
              </w:rPr>
              <w:t>2022</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 xml:space="preserve"> 11</w:t>
            </w:r>
            <w:r>
              <w:rPr>
                <w:rFonts w:hint="eastAsia" w:ascii="宋体" w:hAnsi="宋体" w:cs="宋体"/>
                <w:sz w:val="24"/>
                <w:szCs w:val="24"/>
                <w:highlight w:val="none"/>
              </w:rPr>
              <w:t>时</w:t>
            </w:r>
            <w:r>
              <w:rPr>
                <w:rFonts w:hint="eastAsia" w:ascii="宋体" w:cs="宋体"/>
                <w:sz w:val="24"/>
                <w:szCs w:val="24"/>
                <w:highlight w:val="none"/>
                <w:u w:val="single"/>
                <w:lang w:val="en-US" w:eastAsia="zh-CN"/>
              </w:rPr>
              <w:t>00</w:t>
            </w:r>
            <w:r>
              <w:rPr>
                <w:rFonts w:hint="eastAsia" w:ascii="宋体" w:hAnsi="宋体" w:cs="宋体"/>
                <w:sz w:val="24"/>
                <w:szCs w:val="24"/>
                <w:highlight w:val="none"/>
              </w:rPr>
              <w:t>分前不得开启</w:t>
            </w:r>
          </w:p>
        </w:tc>
      </w:tr>
      <w:tr>
        <w:tblPrEx>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16</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递交投标文件地点</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highlight w:val="none"/>
              </w:rPr>
            </w:pPr>
            <w:r>
              <w:rPr>
                <w:rFonts w:hint="eastAsia" w:ascii="宋体" w:hAnsi="宋体" w:cs="宋体"/>
                <w:sz w:val="24"/>
                <w:szCs w:val="24"/>
                <w:highlight w:val="none"/>
              </w:rPr>
              <w:t>新疆华域建设工程项目管理咨询有限公司会议室</w:t>
            </w:r>
          </w:p>
        </w:tc>
      </w:tr>
      <w:tr>
        <w:tblPrEx>
          <w:tblCellMar>
            <w:top w:w="0" w:type="dxa"/>
            <w:left w:w="108" w:type="dxa"/>
            <w:bottom w:w="0" w:type="dxa"/>
            <w:right w:w="108" w:type="dxa"/>
          </w:tblCellMar>
        </w:tblPrEx>
        <w:trPr>
          <w:trHeight w:val="880"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17</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开标时间和地点</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highlight w:val="none"/>
              </w:rPr>
            </w:pPr>
            <w:r>
              <w:rPr>
                <w:rFonts w:hint="eastAsia" w:ascii="宋体" w:hAnsi="宋体" w:cs="宋体"/>
                <w:sz w:val="24"/>
                <w:szCs w:val="24"/>
                <w:highlight w:val="none"/>
              </w:rPr>
              <w:t>开标时间：</w:t>
            </w:r>
            <w:r>
              <w:rPr>
                <w:rFonts w:hint="eastAsia" w:ascii="宋体" w:hAnsi="宋体" w:cs="宋体"/>
                <w:sz w:val="24"/>
                <w:szCs w:val="24"/>
                <w:highlight w:val="none"/>
                <w:u w:val="single"/>
                <w:lang w:eastAsia="zh-CN"/>
              </w:rPr>
              <w:t>2022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15</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11</w:t>
            </w:r>
            <w:r>
              <w:rPr>
                <w:rFonts w:hint="eastAsia" w:ascii="宋体" w:hAnsi="宋体" w:cs="宋体"/>
                <w:sz w:val="24"/>
                <w:szCs w:val="24"/>
                <w:highlight w:val="none"/>
              </w:rPr>
              <w:t>时</w:t>
            </w:r>
            <w:r>
              <w:rPr>
                <w:rFonts w:hint="eastAsia" w:ascii="宋体" w:cs="宋体"/>
                <w:sz w:val="24"/>
                <w:szCs w:val="24"/>
                <w:highlight w:val="none"/>
                <w:u w:val="single"/>
                <w:lang w:val="en-US" w:eastAsia="zh-CN"/>
              </w:rPr>
              <w:t>00</w:t>
            </w:r>
            <w:r>
              <w:rPr>
                <w:rFonts w:hint="eastAsia" w:ascii="宋体" w:hAnsi="宋体" w:cs="宋体"/>
                <w:sz w:val="24"/>
                <w:szCs w:val="24"/>
                <w:highlight w:val="none"/>
              </w:rPr>
              <w:t>分</w:t>
            </w:r>
          </w:p>
          <w:p>
            <w:pPr>
              <w:spacing w:line="440" w:lineRule="exact"/>
              <w:rPr>
                <w:rFonts w:ascii="宋体" w:cs="宋体"/>
                <w:sz w:val="24"/>
                <w:szCs w:val="24"/>
                <w:highlight w:val="none"/>
              </w:rPr>
            </w:pPr>
            <w:r>
              <w:rPr>
                <w:rFonts w:hint="eastAsia" w:ascii="宋体" w:hAnsi="宋体" w:cs="宋体"/>
                <w:sz w:val="24"/>
                <w:szCs w:val="24"/>
                <w:highlight w:val="none"/>
              </w:rPr>
              <w:t>开标地点：新疆华域建设工程项目管理咨询有限公司会议室</w:t>
            </w:r>
          </w:p>
        </w:tc>
      </w:tr>
      <w:tr>
        <w:tblPrEx>
          <w:tblCellMar>
            <w:top w:w="0" w:type="dxa"/>
            <w:left w:w="108" w:type="dxa"/>
            <w:bottom w:w="0" w:type="dxa"/>
            <w:right w:w="108" w:type="dxa"/>
          </w:tblCellMar>
        </w:tblPrEx>
        <w:trPr>
          <w:trHeight w:val="880"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18</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评标委员会的组建</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highlight w:val="none"/>
              </w:rPr>
            </w:pPr>
            <w:r>
              <w:rPr>
                <w:rFonts w:hint="eastAsia" w:ascii="宋体" w:hAnsi="宋体" w:cs="宋体"/>
                <w:sz w:val="24"/>
                <w:szCs w:val="24"/>
                <w:highlight w:val="none"/>
              </w:rPr>
              <w:t>评标委员会构成由招标人代表及专家组成；</w:t>
            </w:r>
          </w:p>
        </w:tc>
      </w:tr>
      <w:tr>
        <w:tblPrEx>
          <w:tblCellMar>
            <w:top w:w="0" w:type="dxa"/>
            <w:left w:w="108" w:type="dxa"/>
            <w:bottom w:w="0" w:type="dxa"/>
            <w:right w:w="108" w:type="dxa"/>
          </w:tblCellMar>
        </w:tblPrEx>
        <w:trPr>
          <w:trHeight w:val="1100"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19</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是否授权评标委员会确定中标人</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highlight w:val="none"/>
              </w:rPr>
            </w:pPr>
            <w:r>
              <w:rPr>
                <w:rFonts w:hint="eastAsia" w:ascii="宋体" w:hAnsi="Wingdings" w:cs="宋体"/>
                <w:sz w:val="24"/>
                <w:szCs w:val="24"/>
                <w:highlight w:val="none"/>
              </w:rPr>
              <w:sym w:font="Wingdings" w:char="F0FE"/>
            </w:r>
            <w:r>
              <w:rPr>
                <w:rFonts w:hint="eastAsia" w:ascii="宋体" w:hAnsi="宋体" w:cs="宋体"/>
                <w:sz w:val="24"/>
                <w:szCs w:val="24"/>
                <w:highlight w:val="none"/>
              </w:rPr>
              <w:t>是</w:t>
            </w:r>
            <w:r>
              <w:rPr>
                <w:rFonts w:ascii="宋体" w:hAnsi="宋体" w:cs="宋体"/>
                <w:sz w:val="24"/>
                <w:szCs w:val="24"/>
                <w:highlight w:val="none"/>
              </w:rPr>
              <w:t xml:space="preserve">     </w:t>
            </w:r>
            <w:r>
              <w:rPr>
                <w:rFonts w:hint="eastAsia" w:ascii="宋体" w:hAnsi="宋体" w:cs="宋体"/>
                <w:sz w:val="24"/>
                <w:szCs w:val="24"/>
                <w:highlight w:val="none"/>
              </w:rPr>
              <w:t>□否</w:t>
            </w:r>
          </w:p>
        </w:tc>
      </w:tr>
      <w:tr>
        <w:tblPrEx>
          <w:tblCellMar>
            <w:top w:w="0" w:type="dxa"/>
            <w:left w:w="108" w:type="dxa"/>
            <w:bottom w:w="0" w:type="dxa"/>
            <w:right w:w="108" w:type="dxa"/>
          </w:tblCellMar>
        </w:tblPrEx>
        <w:trPr>
          <w:trHeight w:val="1567"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20</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资格预审</w:t>
            </w:r>
          </w:p>
        </w:tc>
        <w:tc>
          <w:tcPr>
            <w:tcW w:w="6555" w:type="dxa"/>
            <w:tcBorders>
              <w:top w:val="single" w:color="auto" w:sz="4" w:space="0"/>
              <w:left w:val="single" w:color="auto" w:sz="4" w:space="0"/>
              <w:bottom w:val="single" w:color="auto" w:sz="4" w:space="0"/>
              <w:right w:val="single" w:color="auto" w:sz="4" w:space="0"/>
            </w:tcBorders>
            <w:vAlign w:val="center"/>
          </w:tcPr>
          <w:p>
            <w:pPr>
              <w:tabs>
                <w:tab w:val="center" w:pos="4422"/>
                <w:tab w:val="left" w:pos="7920"/>
              </w:tabs>
              <w:spacing w:line="360" w:lineRule="exact"/>
              <w:rPr>
                <w:rFonts w:ascii="宋体" w:cs="宋体"/>
                <w:b/>
                <w:bCs/>
                <w:color w:val="000000"/>
                <w:sz w:val="24"/>
                <w:szCs w:val="24"/>
                <w:highlight w:val="none"/>
              </w:rPr>
            </w:pPr>
            <w:r>
              <w:rPr>
                <w:rFonts w:hint="eastAsia" w:ascii="宋体" w:hAnsi="宋体" w:cs="宋体"/>
                <w:b/>
                <w:bCs/>
                <w:color w:val="000000"/>
                <w:sz w:val="24"/>
                <w:szCs w:val="24"/>
                <w:highlight w:val="none"/>
              </w:rPr>
              <w:t>招标时供应商必须出示以下</w:t>
            </w:r>
          </w:p>
          <w:p>
            <w:pPr>
              <w:tabs>
                <w:tab w:val="center" w:pos="4422"/>
                <w:tab w:val="left" w:pos="7920"/>
              </w:tabs>
              <w:spacing w:line="360" w:lineRule="exact"/>
              <w:rPr>
                <w:rFonts w:ascii="宋体" w:cs="宋体"/>
                <w:b/>
                <w:bCs/>
                <w:color w:val="000000"/>
                <w:sz w:val="24"/>
                <w:szCs w:val="24"/>
                <w:highlight w:val="none"/>
              </w:rPr>
            </w:pPr>
            <w:r>
              <w:rPr>
                <w:rFonts w:hint="eastAsia" w:ascii="宋体" w:hAnsi="宋体" w:cs="宋体"/>
                <w:b/>
                <w:bCs/>
                <w:color w:val="000000"/>
                <w:sz w:val="24"/>
                <w:szCs w:val="24"/>
                <w:highlight w:val="none"/>
              </w:rPr>
              <w:t>证件以备现场资格审查：</w:t>
            </w:r>
          </w:p>
          <w:p>
            <w:pPr>
              <w:spacing w:line="360" w:lineRule="exact"/>
              <w:rPr>
                <w:rFonts w:ascii="宋体" w:cs="宋体"/>
                <w:b/>
                <w:color w:val="000000"/>
                <w:sz w:val="24"/>
                <w:szCs w:val="24"/>
                <w:highlight w:val="none"/>
              </w:rPr>
            </w:pPr>
            <w:r>
              <w:rPr>
                <w:rFonts w:ascii="宋体" w:hAnsi="宋体" w:cs="宋体"/>
                <w:b/>
                <w:bCs/>
                <w:color w:val="000000"/>
                <w:sz w:val="24"/>
                <w:szCs w:val="24"/>
                <w:highlight w:val="none"/>
              </w:rPr>
              <w:t>1</w:t>
            </w:r>
            <w:r>
              <w:rPr>
                <w:rFonts w:hint="eastAsia" w:ascii="宋体" w:hAnsi="宋体" w:cs="宋体"/>
                <w:color w:val="000000"/>
                <w:sz w:val="24"/>
                <w:szCs w:val="24"/>
                <w:highlight w:val="none"/>
              </w:rPr>
              <w:t>、</w:t>
            </w:r>
            <w:r>
              <w:rPr>
                <w:rFonts w:hint="eastAsia" w:ascii="宋体" w:hAnsi="宋体" w:cs="宋体"/>
                <w:b/>
                <w:bCs/>
                <w:color w:val="000000"/>
                <w:sz w:val="24"/>
                <w:szCs w:val="24"/>
                <w:highlight w:val="none"/>
              </w:rPr>
              <w:t>“三证合一”的营业执照原件或者加盖投标人公章的复印件</w:t>
            </w:r>
            <w:r>
              <w:rPr>
                <w:rFonts w:hint="eastAsia" w:ascii="宋体" w:hAnsi="宋体" w:cs="宋体"/>
                <w:b/>
                <w:color w:val="000000"/>
                <w:sz w:val="24"/>
                <w:szCs w:val="24"/>
                <w:highlight w:val="none"/>
              </w:rPr>
              <w:t>、法定代表人授权委托书（原件）及被委托人身份证（原件）；</w:t>
            </w:r>
          </w:p>
          <w:p>
            <w:pPr>
              <w:spacing w:line="440" w:lineRule="exact"/>
              <w:ind w:firstLine="120" w:firstLineChars="50"/>
              <w:rPr>
                <w:rFonts w:ascii="宋体" w:cs="宋体"/>
                <w:sz w:val="24"/>
                <w:szCs w:val="24"/>
                <w:highlight w:val="none"/>
              </w:rPr>
            </w:pPr>
            <w:r>
              <w:rPr>
                <w:rFonts w:hint="eastAsia" w:ascii="宋体" w:hAnsi="宋体" w:cs="宋体"/>
                <w:b/>
                <w:bCs/>
                <w:color w:val="000000"/>
                <w:sz w:val="24"/>
                <w:szCs w:val="24"/>
                <w:highlight w:val="none"/>
              </w:rPr>
              <w:t>上述证件齐全、满足要求的投标人为有效投标人。</w:t>
            </w:r>
          </w:p>
        </w:tc>
      </w:tr>
      <w:tr>
        <w:tblPrEx>
          <w:tblCellMar>
            <w:top w:w="0" w:type="dxa"/>
            <w:left w:w="108" w:type="dxa"/>
            <w:bottom w:w="0" w:type="dxa"/>
            <w:right w:w="108" w:type="dxa"/>
          </w:tblCellMar>
        </w:tblPrEx>
        <w:trPr>
          <w:trHeight w:val="636"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21</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付款方式</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cs="宋体"/>
                <w:sz w:val="24"/>
                <w:szCs w:val="24"/>
                <w:highlight w:val="none"/>
              </w:rPr>
            </w:pPr>
            <w:r>
              <w:rPr>
                <w:rFonts w:hint="eastAsia" w:ascii="宋体" w:hAnsi="宋体" w:cs="宋体"/>
                <w:sz w:val="24"/>
                <w:szCs w:val="24"/>
                <w:highlight w:val="none"/>
              </w:rPr>
              <w:t>签订合同时约定</w:t>
            </w:r>
          </w:p>
        </w:tc>
      </w:tr>
      <w:tr>
        <w:tblPrEx>
          <w:tblCellMar>
            <w:top w:w="0" w:type="dxa"/>
            <w:left w:w="108" w:type="dxa"/>
            <w:bottom w:w="0" w:type="dxa"/>
            <w:right w:w="108" w:type="dxa"/>
          </w:tblCellMar>
        </w:tblPrEx>
        <w:trPr>
          <w:trHeight w:val="561"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22</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完工期</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highlight w:val="none"/>
              </w:rPr>
            </w:pPr>
            <w:r>
              <w:rPr>
                <w:rFonts w:hint="eastAsia" w:ascii="宋体" w:hAnsi="宋体" w:cs="宋体"/>
                <w:sz w:val="24"/>
                <w:szCs w:val="24"/>
                <w:highlight w:val="none"/>
              </w:rPr>
              <w:t>签订合同时约定</w:t>
            </w:r>
          </w:p>
        </w:tc>
      </w:tr>
      <w:tr>
        <w:tblPrEx>
          <w:tblCellMar>
            <w:top w:w="0" w:type="dxa"/>
            <w:left w:w="108" w:type="dxa"/>
            <w:bottom w:w="0" w:type="dxa"/>
            <w:right w:w="108" w:type="dxa"/>
          </w:tblCellMar>
        </w:tblPrEx>
        <w:trPr>
          <w:trHeight w:val="985"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23</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中小企业政策</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ind w:left="29" w:hanging="28" w:hangingChars="12"/>
              <w:jc w:val="left"/>
              <w:rPr>
                <w:rFonts w:ascii="宋体" w:cs="宋体"/>
                <w:sz w:val="24"/>
                <w:szCs w:val="24"/>
                <w:highlight w:val="none"/>
              </w:rPr>
            </w:pPr>
            <w:r>
              <w:rPr>
                <w:rFonts w:hint="eastAsia" w:ascii="宋体" w:hAnsi="宋体" w:cs="宋体"/>
                <w:sz w:val="24"/>
                <w:szCs w:val="24"/>
                <w:highlight w:val="none"/>
              </w:rPr>
              <w:t>支持中小企业发展：对小型和微型企业产品的最终价格给予</w:t>
            </w:r>
            <w:r>
              <w:rPr>
                <w:rFonts w:ascii="宋体" w:hAnsi="宋体" w:cs="宋体"/>
                <w:sz w:val="24"/>
                <w:szCs w:val="24"/>
                <w:highlight w:val="none"/>
              </w:rPr>
              <w:t>6%</w:t>
            </w:r>
            <w:r>
              <w:rPr>
                <w:rFonts w:hint="eastAsia" w:ascii="宋体" w:hAnsi="宋体" w:cs="宋体"/>
                <w:sz w:val="24"/>
                <w:szCs w:val="24"/>
                <w:highlight w:val="none"/>
              </w:rPr>
              <w:t>的扣除，用扣除后的价格参与评审（如所投产品为小型或微型企业生产产品，须提供《中小企业声明函》及相关证明材料，因所提供材料不全导致评标委员会无法评定时，评标价格不予扣除），监狱企业、残疾人福利性单位视同为小微企业。本项目具体扣除比例为</w:t>
            </w:r>
            <w:r>
              <w:rPr>
                <w:rFonts w:ascii="宋体" w:hAnsi="宋体" w:cs="宋体"/>
                <w:sz w:val="24"/>
                <w:szCs w:val="24"/>
                <w:highlight w:val="none"/>
              </w:rPr>
              <w:t>6%</w:t>
            </w:r>
            <w:r>
              <w:rPr>
                <w:rFonts w:hint="eastAsia" w:ascii="宋体" w:hAnsi="宋体" w:cs="宋体"/>
                <w:sz w:val="24"/>
                <w:szCs w:val="24"/>
                <w:highlight w:val="none"/>
              </w:rPr>
              <w:t>。小型和微型企业适用价格扣除办法时应提供的相关资料：</w:t>
            </w:r>
          </w:p>
          <w:p>
            <w:pPr>
              <w:spacing w:line="440" w:lineRule="exact"/>
              <w:ind w:left="29" w:hanging="28" w:hangingChars="12"/>
              <w:jc w:val="left"/>
              <w:rPr>
                <w:rFonts w:ascii="宋体" w:cs="宋体"/>
                <w:sz w:val="24"/>
                <w:szCs w:val="24"/>
                <w:highlight w:val="none"/>
              </w:rPr>
            </w:pPr>
            <w:r>
              <w:rPr>
                <w:rFonts w:hint="eastAsia" w:ascii="宋体" w:hAnsi="宋体" w:cs="宋体"/>
                <w:sz w:val="24"/>
                <w:szCs w:val="24"/>
                <w:highlight w:val="none"/>
              </w:rPr>
              <w:t>①、《中小企业声明函》；或供残疾人福利性单位声明函</w:t>
            </w:r>
          </w:p>
          <w:p>
            <w:pPr>
              <w:spacing w:line="440" w:lineRule="exact"/>
              <w:ind w:left="29" w:hanging="28" w:hangingChars="12"/>
              <w:jc w:val="left"/>
              <w:rPr>
                <w:rFonts w:ascii="宋体" w:cs="宋体"/>
                <w:sz w:val="24"/>
                <w:szCs w:val="24"/>
                <w:highlight w:val="none"/>
              </w:rPr>
            </w:pPr>
            <w:r>
              <w:rPr>
                <w:rFonts w:hint="eastAsia" w:ascii="宋体" w:hAnsi="宋体" w:cs="宋体"/>
                <w:sz w:val="24"/>
                <w:szCs w:val="24"/>
                <w:highlight w:val="none"/>
              </w:rPr>
              <w:t>②、提供投标人工商行政登记所在地管理部门出具的小微企业证明文件。</w:t>
            </w:r>
          </w:p>
          <w:p>
            <w:pPr>
              <w:spacing w:line="440" w:lineRule="exact"/>
              <w:ind w:left="29" w:hanging="28" w:hangingChars="12"/>
              <w:jc w:val="left"/>
              <w:rPr>
                <w:rFonts w:ascii="宋体" w:cs="宋体"/>
                <w:sz w:val="24"/>
                <w:szCs w:val="24"/>
                <w:highlight w:val="none"/>
              </w:rPr>
            </w:pPr>
            <w:r>
              <w:rPr>
                <w:rFonts w:hint="eastAsia" w:ascii="宋体" w:hAnsi="宋体" w:cs="宋体"/>
                <w:sz w:val="24"/>
                <w:szCs w:val="24"/>
                <w:highlight w:val="none"/>
              </w:rPr>
              <w:t>③、提供所代理产品生产厂家的属地主管部门出具的小微企业或监狱企业证明文件；</w:t>
            </w:r>
          </w:p>
        </w:tc>
      </w:tr>
      <w:tr>
        <w:tblPrEx>
          <w:tblCellMar>
            <w:top w:w="0" w:type="dxa"/>
            <w:left w:w="108" w:type="dxa"/>
            <w:bottom w:w="0" w:type="dxa"/>
            <w:right w:w="108" w:type="dxa"/>
          </w:tblCellMar>
        </w:tblPrEx>
        <w:trPr>
          <w:trHeight w:val="1745" w:hRule="atLeast"/>
        </w:trPr>
        <w:tc>
          <w:tcPr>
            <w:tcW w:w="705" w:type="dxa"/>
            <w:vMerge w:val="restart"/>
            <w:tcBorders>
              <w:top w:val="single" w:color="auto" w:sz="4" w:space="0"/>
              <w:left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24</w:t>
            </w:r>
          </w:p>
        </w:tc>
        <w:tc>
          <w:tcPr>
            <w:tcW w:w="1935" w:type="dxa"/>
            <w:vMerge w:val="restart"/>
            <w:tcBorders>
              <w:top w:val="single" w:color="auto" w:sz="4" w:space="0"/>
              <w:left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节能环保政策</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ind w:left="29" w:hanging="28" w:hangingChars="12"/>
              <w:jc w:val="left"/>
              <w:rPr>
                <w:rFonts w:ascii="宋体" w:cs="宋体"/>
                <w:sz w:val="24"/>
                <w:szCs w:val="24"/>
                <w:highlight w:val="none"/>
              </w:rPr>
            </w:pPr>
            <w:r>
              <w:rPr>
                <w:rFonts w:hint="eastAsia" w:ascii="宋体" w:hAnsi="宋体" w:cs="宋体"/>
                <w:sz w:val="24"/>
                <w:szCs w:val="24"/>
                <w:highlight w:val="none"/>
              </w:rPr>
              <w:t>政府采购优先采购：</w:t>
            </w:r>
            <w:r>
              <w:rPr>
                <w:rFonts w:ascii="宋体" w:hAnsi="宋体" w:cs="宋体"/>
                <w:sz w:val="24"/>
                <w:szCs w:val="24"/>
                <w:highlight w:val="none"/>
              </w:rPr>
              <w:t>(1)</w:t>
            </w:r>
            <w:r>
              <w:rPr>
                <w:rFonts w:hint="eastAsia" w:ascii="宋体" w:hAnsi="宋体" w:cs="宋体"/>
                <w:sz w:val="24"/>
                <w:szCs w:val="24"/>
                <w:highlight w:val="none"/>
              </w:rPr>
              <w:t>非标记★符号的节能产品；</w:t>
            </w:r>
            <w:r>
              <w:rPr>
                <w:rFonts w:ascii="宋体" w:hAnsi="宋体" w:cs="宋体"/>
                <w:sz w:val="24"/>
                <w:szCs w:val="24"/>
                <w:highlight w:val="none"/>
              </w:rPr>
              <w:t>(2)</w:t>
            </w:r>
            <w:r>
              <w:rPr>
                <w:rFonts w:hint="eastAsia" w:ascii="宋体" w:hAnsi="宋体" w:cs="宋体"/>
                <w:sz w:val="24"/>
                <w:szCs w:val="24"/>
                <w:highlight w:val="none"/>
              </w:rPr>
              <w:t>环境标志产品</w:t>
            </w:r>
          </w:p>
          <w:p>
            <w:pPr>
              <w:spacing w:line="440" w:lineRule="exact"/>
              <w:ind w:left="29" w:hanging="28" w:hangingChars="12"/>
              <w:jc w:val="left"/>
              <w:rPr>
                <w:rFonts w:ascii="宋体" w:cs="宋体"/>
                <w:sz w:val="24"/>
                <w:szCs w:val="24"/>
                <w:highlight w:val="none"/>
              </w:rPr>
            </w:pPr>
            <w:r>
              <w:rPr>
                <w:rFonts w:hint="eastAsia" w:ascii="宋体" w:hAnsi="宋体" w:cs="宋体"/>
                <w:sz w:val="24"/>
                <w:szCs w:val="24"/>
                <w:highlight w:val="none"/>
              </w:rPr>
              <w:t>采购产品为《节能产品政府采购清单》内非标记★符号的节能产品及《环境标志产品政府采购清单》内的产品：</w:t>
            </w:r>
          </w:p>
          <w:p>
            <w:pPr>
              <w:spacing w:line="440" w:lineRule="exact"/>
              <w:ind w:left="29" w:hanging="28" w:hangingChars="12"/>
              <w:jc w:val="left"/>
              <w:rPr>
                <w:rFonts w:asci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CellMar>
            <w:top w:w="0" w:type="dxa"/>
            <w:left w:w="108" w:type="dxa"/>
            <w:bottom w:w="0" w:type="dxa"/>
            <w:right w:w="108" w:type="dxa"/>
          </w:tblCellMar>
        </w:tblPrEx>
        <w:trPr>
          <w:trHeight w:val="790" w:hRule="atLeast"/>
        </w:trPr>
        <w:tc>
          <w:tcPr>
            <w:tcW w:w="70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p>
        </w:tc>
        <w:tc>
          <w:tcPr>
            <w:tcW w:w="193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ind w:left="29" w:hanging="28" w:hangingChars="12"/>
              <w:jc w:val="left"/>
              <w:rPr>
                <w:rFonts w:ascii="宋体" w:cs="宋体"/>
                <w:sz w:val="24"/>
                <w:szCs w:val="24"/>
                <w:highlight w:val="none"/>
              </w:rPr>
            </w:pPr>
            <w:r>
              <w:rPr>
                <w:rFonts w:hint="eastAsia" w:ascii="宋体" w:hAnsi="宋体" w:cs="宋体"/>
                <w:sz w:val="24"/>
                <w:szCs w:val="24"/>
                <w:highlight w:val="none"/>
              </w:rPr>
              <w:t>政府采购强制采购：标记★符号的节能产品</w:t>
            </w:r>
          </w:p>
          <w:p>
            <w:pPr>
              <w:spacing w:line="440" w:lineRule="exact"/>
              <w:ind w:left="29" w:hanging="28" w:hangingChars="12"/>
              <w:jc w:val="left"/>
              <w:rPr>
                <w:rFonts w:ascii="宋体" w:cs="宋体"/>
                <w:sz w:val="24"/>
                <w:szCs w:val="24"/>
                <w:highlight w:val="none"/>
              </w:rPr>
            </w:pPr>
            <w:r>
              <w:rPr>
                <w:rFonts w:hint="eastAsia" w:ascii="宋体" w:hAnsi="宋体" w:cs="宋体"/>
                <w:sz w:val="24"/>
                <w:szCs w:val="24"/>
                <w:highlight w:val="none"/>
              </w:rPr>
              <w:t>符合《节能产品政府采购清单》目录内的强制采购节能产品</w:t>
            </w:r>
          </w:p>
        </w:tc>
      </w:tr>
      <w:tr>
        <w:tblPrEx>
          <w:tblCellMar>
            <w:top w:w="0" w:type="dxa"/>
            <w:left w:w="108" w:type="dxa"/>
            <w:bottom w:w="0" w:type="dxa"/>
            <w:right w:w="108" w:type="dxa"/>
          </w:tblCellMar>
        </w:tblPrEx>
        <w:trPr>
          <w:trHeight w:val="1745"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25</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同品牌原则</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ind w:left="29" w:hanging="28" w:hangingChars="12"/>
              <w:jc w:val="left"/>
              <w:rPr>
                <w:rFonts w:ascii="宋体" w:cs="宋体"/>
                <w:sz w:val="24"/>
                <w:szCs w:val="24"/>
                <w:highlight w:val="none"/>
              </w:rPr>
            </w:pPr>
            <w:r>
              <w:rPr>
                <w:rFonts w:hint="eastAsia" w:ascii="宋体" w:hAnsi="宋体" w:cs="宋体"/>
                <w:sz w:val="24"/>
                <w:szCs w:val="24"/>
                <w:highlight w:val="none"/>
              </w:rPr>
              <w:t>同品牌多家投标人处理原则：相同品牌产品且通过资格审查、符合性审查的不同投标人参加同一合同项下投标的，按一家投标人计算，评审后得分最高的同品牌投标人获得中标人推荐资格；评审得分相同的，按照以下方式确定一个投标人获得中标人推荐资格，其他同品牌投标人不作为中标候选人。</w:t>
            </w:r>
          </w:p>
          <w:p>
            <w:pPr>
              <w:spacing w:line="440" w:lineRule="exact"/>
              <w:ind w:left="29" w:hanging="28" w:hangingChars="12"/>
              <w:jc w:val="left"/>
              <w:rPr>
                <w:rFonts w:ascii="宋体" w:cs="宋体"/>
                <w:sz w:val="24"/>
                <w:szCs w:val="24"/>
                <w:highlight w:val="none"/>
              </w:rPr>
            </w:pPr>
            <w:r>
              <w:rPr>
                <w:rFonts w:hint="eastAsia" w:ascii="宋体" w:hAnsi="宋体" w:cs="宋体"/>
                <w:sz w:val="24"/>
                <w:szCs w:val="24"/>
                <w:highlight w:val="none"/>
              </w:rPr>
              <w:t>□√随机抽取</w:t>
            </w:r>
          </w:p>
          <w:p>
            <w:pPr>
              <w:spacing w:line="440" w:lineRule="exact"/>
              <w:ind w:left="29" w:hanging="28" w:hangingChars="12"/>
              <w:jc w:val="left"/>
              <w:rPr>
                <w:rFonts w:ascii="宋体" w:cs="宋体"/>
                <w:sz w:val="24"/>
                <w:szCs w:val="24"/>
                <w:highlight w:val="none"/>
              </w:rPr>
            </w:pPr>
            <w:r>
              <w:rPr>
                <w:rFonts w:hint="eastAsia" w:ascii="宋体" w:hAnsi="宋体" w:cs="宋体"/>
                <w:sz w:val="24"/>
                <w:szCs w:val="24"/>
                <w:highlight w:val="none"/>
              </w:rPr>
              <w:t>□其他</w:t>
            </w:r>
            <w:r>
              <w:rPr>
                <w:rFonts w:ascii="宋体" w:hAnsi="宋体" w:cs="宋体"/>
                <w:sz w:val="24"/>
                <w:szCs w:val="24"/>
                <w:highlight w:val="none"/>
              </w:rPr>
              <w:t>____________________</w:t>
            </w:r>
          </w:p>
        </w:tc>
      </w:tr>
      <w:tr>
        <w:tblPrEx>
          <w:tblCellMar>
            <w:top w:w="0" w:type="dxa"/>
            <w:left w:w="108" w:type="dxa"/>
            <w:bottom w:w="0" w:type="dxa"/>
            <w:right w:w="108" w:type="dxa"/>
          </w:tblCellMar>
        </w:tblPrEx>
        <w:trPr>
          <w:trHeight w:val="1475"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26</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报价形式</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ind w:left="29" w:hanging="28" w:hangingChars="12"/>
              <w:jc w:val="left"/>
              <w:rPr>
                <w:rFonts w:ascii="宋体" w:cs="宋体"/>
                <w:sz w:val="24"/>
                <w:szCs w:val="24"/>
                <w:highlight w:val="none"/>
              </w:rPr>
            </w:pPr>
            <w:r>
              <w:rPr>
                <w:rFonts w:hint="eastAsia" w:ascii="宋体" w:hAnsi="宋体" w:cs="宋体"/>
                <w:sz w:val="24"/>
                <w:szCs w:val="24"/>
                <w:highlight w:val="none"/>
              </w:rPr>
              <w:t>本项目为竞争性磋商方式采购，报价环节原则上为两轮（投标文件书面报价为一轮，评标现场报价为二轮），具体由磋商小组视情况决定</w:t>
            </w:r>
          </w:p>
        </w:tc>
      </w:tr>
      <w:tr>
        <w:tblPrEx>
          <w:tblCellMar>
            <w:top w:w="0" w:type="dxa"/>
            <w:left w:w="108" w:type="dxa"/>
            <w:bottom w:w="0" w:type="dxa"/>
            <w:right w:w="108" w:type="dxa"/>
          </w:tblCellMar>
        </w:tblPrEx>
        <w:trPr>
          <w:trHeight w:val="1129"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27</w:t>
            </w:r>
          </w:p>
        </w:tc>
        <w:tc>
          <w:tcPr>
            <w:tcW w:w="849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left="28" w:leftChars="0" w:hanging="28" w:hangingChars="12"/>
              <w:jc w:val="left"/>
              <w:rPr>
                <w:rFonts w:hint="eastAsia" w:ascii="宋体" w:hAnsi="宋体" w:cs="宋体"/>
                <w:sz w:val="24"/>
                <w:szCs w:val="24"/>
                <w:highlight w:val="none"/>
              </w:rPr>
            </w:pPr>
            <w:r>
              <w:rPr>
                <w:rFonts w:hint="eastAsia" w:ascii="宋体" w:hAnsi="宋体" w:cs="宋体"/>
                <w:sz w:val="24"/>
                <w:szCs w:val="24"/>
                <w:highlight w:val="none"/>
              </w:rPr>
              <w:t>本次招标向中标人收取的招标代理费</w:t>
            </w:r>
            <w:r>
              <w:rPr>
                <w:rFonts w:hint="eastAsia" w:ascii="宋体" w:hAnsi="宋体" w:cs="宋体"/>
                <w:sz w:val="24"/>
                <w:szCs w:val="24"/>
                <w:highlight w:val="none"/>
                <w:lang w:val="en-US" w:eastAsia="zh-CN"/>
              </w:rPr>
              <w:t>及评审费</w:t>
            </w:r>
            <w:r>
              <w:rPr>
                <w:rFonts w:hint="eastAsia" w:ascii="宋体" w:hAnsi="宋体" w:cs="宋体"/>
                <w:sz w:val="24"/>
                <w:szCs w:val="24"/>
                <w:highlight w:val="none"/>
              </w:rPr>
              <w:t>，按国家有关规定执行，招标代理费计入投标总价中，但不单独列项。</w:t>
            </w:r>
          </w:p>
        </w:tc>
      </w:tr>
    </w:tbl>
    <w:p>
      <w:pPr>
        <w:widowControl/>
        <w:jc w:val="left"/>
        <w:rPr>
          <w:rFonts w:ascii="宋体" w:cs="宋体"/>
          <w:sz w:val="24"/>
          <w:szCs w:val="24"/>
          <w:highlight w:val="none"/>
        </w:rPr>
      </w:pPr>
    </w:p>
    <w:p>
      <w:pPr>
        <w:jc w:val="center"/>
        <w:rPr>
          <w:rFonts w:ascii="宋体" w:cs="宋体"/>
          <w:b/>
          <w:sz w:val="28"/>
          <w:szCs w:val="28"/>
          <w:highlight w:val="none"/>
        </w:rPr>
      </w:pPr>
      <w:r>
        <w:rPr>
          <w:rFonts w:ascii="宋体" w:cs="宋体"/>
          <w:b/>
          <w:sz w:val="28"/>
          <w:szCs w:val="28"/>
          <w:highlight w:val="none"/>
        </w:rPr>
        <w:br w:type="page"/>
      </w:r>
      <w:r>
        <w:rPr>
          <w:rFonts w:hint="eastAsia" w:ascii="宋体" w:hAnsi="宋体" w:cs="宋体"/>
          <w:b/>
          <w:sz w:val="28"/>
          <w:szCs w:val="28"/>
          <w:highlight w:val="none"/>
        </w:rPr>
        <w:t>投标人须知</w:t>
      </w:r>
    </w:p>
    <w:p>
      <w:pPr>
        <w:pStyle w:val="4"/>
        <w:rPr>
          <w:rFonts w:ascii="宋体" w:cs="宋体"/>
          <w:highlight w:val="none"/>
        </w:rPr>
      </w:pPr>
      <w:bookmarkStart w:id="1" w:name="_Toc517776505"/>
      <w:r>
        <w:rPr>
          <w:rFonts w:hint="eastAsia" w:ascii="宋体" w:hAnsi="宋体" w:cs="宋体"/>
          <w:highlight w:val="none"/>
        </w:rPr>
        <w:t>一、说明</w:t>
      </w:r>
      <w:bookmarkEnd w:id="1"/>
    </w:p>
    <w:p>
      <w:pPr>
        <w:spacing w:line="360" w:lineRule="auto"/>
        <w:rPr>
          <w:rFonts w:asci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适用范围和法律</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1.1</w:t>
      </w:r>
      <w:r>
        <w:rPr>
          <w:rFonts w:hint="eastAsia" w:ascii="宋体" w:hAnsi="宋体" w:cs="宋体"/>
          <w:sz w:val="24"/>
          <w:szCs w:val="24"/>
          <w:highlight w:val="none"/>
        </w:rPr>
        <w:t>本采购文件适用于本投标邀请中所述项目的政府采购。</w:t>
      </w:r>
    </w:p>
    <w:p>
      <w:pPr>
        <w:spacing w:line="360" w:lineRule="auto"/>
        <w:ind w:firstLine="477" w:firstLineChars="199"/>
        <w:rPr>
          <w:rFonts w:ascii="宋体" w:cs="宋体"/>
          <w:sz w:val="24"/>
          <w:szCs w:val="24"/>
          <w:highlight w:val="none"/>
        </w:rPr>
      </w:pPr>
      <w:r>
        <w:rPr>
          <w:rFonts w:ascii="宋体" w:hAnsi="宋体" w:cs="宋体"/>
          <w:sz w:val="24"/>
          <w:szCs w:val="24"/>
          <w:highlight w:val="none"/>
        </w:rPr>
        <w:t>1.2</w:t>
      </w:r>
      <w:r>
        <w:rPr>
          <w:rFonts w:hint="eastAsia" w:ascii="宋体" w:hAnsi="宋体" w:cs="宋体"/>
          <w:sz w:val="24"/>
          <w:szCs w:val="24"/>
          <w:highlight w:val="none"/>
        </w:rPr>
        <w:t>适用于《中华人民共和国政府采购法》、《政府采购货物和服务招标投标管理办法》及政府采购其它相关法规。</w:t>
      </w:r>
    </w:p>
    <w:p>
      <w:pPr>
        <w:spacing w:line="360" w:lineRule="auto"/>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定义</w:t>
      </w:r>
    </w:p>
    <w:p>
      <w:pPr>
        <w:spacing w:line="360" w:lineRule="auto"/>
        <w:ind w:firstLine="477" w:firstLineChars="199"/>
        <w:rPr>
          <w:rFonts w:ascii="宋体" w:cs="宋体"/>
          <w:sz w:val="24"/>
          <w:szCs w:val="24"/>
          <w:highlight w:val="none"/>
        </w:rPr>
      </w:pPr>
      <w:r>
        <w:rPr>
          <w:rFonts w:ascii="宋体" w:hAnsi="宋体" w:cs="宋体"/>
          <w:sz w:val="24"/>
          <w:szCs w:val="24"/>
          <w:highlight w:val="none"/>
        </w:rPr>
        <w:t>2.1</w:t>
      </w:r>
      <w:r>
        <w:rPr>
          <w:rFonts w:hint="eastAsia" w:ascii="宋体" w:hAnsi="宋体" w:cs="宋体"/>
          <w:sz w:val="24"/>
          <w:szCs w:val="24"/>
          <w:highlight w:val="none"/>
        </w:rPr>
        <w:t>“采购人”：是指投标人须知前附表说明的单位，在招标阶段称为采购人，</w:t>
      </w:r>
      <w:r>
        <w:rPr>
          <w:rFonts w:ascii="宋体" w:hAnsi="宋体" w:cs="宋体"/>
          <w:sz w:val="24"/>
          <w:szCs w:val="24"/>
          <w:highlight w:val="none"/>
        </w:rPr>
        <w:t xml:space="preserve">  </w:t>
      </w:r>
      <w:r>
        <w:rPr>
          <w:rFonts w:hint="eastAsia" w:ascii="宋体" w:hAnsi="宋体" w:cs="宋体"/>
          <w:sz w:val="24"/>
          <w:szCs w:val="24"/>
          <w:highlight w:val="none"/>
        </w:rPr>
        <w:t>在签订和执行合同阶段或被称为建设单位或业主或甲方或买方。为便于采购文件及附件直接转化为经济合同条款，在采购文件中被称为建设单位或业主或甲方或买方的招标投标阶段均指采购人。</w:t>
      </w:r>
    </w:p>
    <w:p>
      <w:pPr>
        <w:spacing w:line="360" w:lineRule="auto"/>
        <w:ind w:firstLine="477" w:firstLineChars="199"/>
        <w:rPr>
          <w:rFonts w:ascii="宋体" w:cs="宋体"/>
          <w:sz w:val="24"/>
          <w:szCs w:val="24"/>
          <w:highlight w:val="none"/>
        </w:rPr>
      </w:pPr>
      <w:r>
        <w:rPr>
          <w:rFonts w:ascii="宋体" w:hAnsi="宋体" w:cs="宋体"/>
          <w:sz w:val="24"/>
          <w:szCs w:val="24"/>
          <w:highlight w:val="none"/>
        </w:rPr>
        <w:t>2.2</w:t>
      </w:r>
      <w:r>
        <w:rPr>
          <w:rFonts w:hint="eastAsia" w:ascii="宋体" w:hAnsi="宋体" w:cs="宋体"/>
          <w:sz w:val="24"/>
          <w:szCs w:val="24"/>
          <w:highlight w:val="none"/>
        </w:rPr>
        <w:t>“监督管理部门”：是指投标人须知前附表说明的部门。负责对采购人、</w:t>
      </w:r>
      <w:r>
        <w:rPr>
          <w:rFonts w:ascii="宋体" w:hAnsi="宋体" w:cs="宋体"/>
          <w:sz w:val="24"/>
          <w:szCs w:val="24"/>
          <w:highlight w:val="none"/>
        </w:rPr>
        <w:t xml:space="preserve"> </w:t>
      </w:r>
      <w:r>
        <w:rPr>
          <w:rFonts w:hint="eastAsia" w:ascii="宋体" w:hAnsi="宋体" w:cs="宋体"/>
          <w:sz w:val="24"/>
          <w:szCs w:val="24"/>
          <w:highlight w:val="none"/>
        </w:rPr>
        <w:t>采购代理机构、投标人和评审专家的监督检查。</w:t>
      </w:r>
    </w:p>
    <w:p>
      <w:pPr>
        <w:spacing w:line="360" w:lineRule="auto"/>
        <w:ind w:firstLine="477" w:firstLineChars="199"/>
        <w:rPr>
          <w:rFonts w:ascii="宋体" w:cs="宋体"/>
          <w:sz w:val="24"/>
          <w:szCs w:val="24"/>
          <w:highlight w:val="none"/>
        </w:rPr>
      </w:pPr>
      <w:r>
        <w:rPr>
          <w:rFonts w:ascii="宋体" w:hAnsi="宋体" w:cs="宋体"/>
          <w:sz w:val="24"/>
          <w:szCs w:val="24"/>
          <w:highlight w:val="none"/>
        </w:rPr>
        <w:t>2.3</w:t>
      </w:r>
      <w:r>
        <w:rPr>
          <w:rFonts w:hint="eastAsia" w:ascii="宋体" w:hAnsi="宋体" w:cs="宋体"/>
          <w:sz w:val="24"/>
          <w:szCs w:val="24"/>
          <w:highlight w:val="none"/>
        </w:rPr>
        <w:t>“采购代理机构”：是指依法取得招标资格、从事招标代理业务并提供相关服务的专门机构，本文特指新疆华域建设工程项目管理咨询有限公司。是本次整个采购活动的组织者，依法负责编制和发布采购文件，对采购文件拥有最终的解释权。</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2.4</w:t>
      </w:r>
      <w:r>
        <w:rPr>
          <w:rFonts w:hint="eastAsia" w:ascii="宋体" w:hAnsi="宋体" w:cs="宋体"/>
          <w:sz w:val="24"/>
          <w:szCs w:val="24"/>
          <w:highlight w:val="none"/>
        </w:rPr>
        <w:t>“招标采购单位”：是指采购人，政府采购代理机构。</w:t>
      </w:r>
    </w:p>
    <w:p>
      <w:pPr>
        <w:spacing w:line="360" w:lineRule="auto"/>
        <w:ind w:firstLine="477" w:firstLineChars="199"/>
        <w:rPr>
          <w:rFonts w:ascii="宋体" w:cs="宋体"/>
          <w:sz w:val="24"/>
          <w:szCs w:val="24"/>
          <w:highlight w:val="none"/>
        </w:rPr>
      </w:pPr>
      <w:r>
        <w:rPr>
          <w:rFonts w:ascii="宋体" w:hAnsi="宋体" w:cs="宋体"/>
          <w:sz w:val="24"/>
          <w:szCs w:val="24"/>
          <w:highlight w:val="none"/>
        </w:rPr>
        <w:t>2.5</w:t>
      </w:r>
      <w:r>
        <w:rPr>
          <w:rFonts w:hint="eastAsia" w:ascii="宋体" w:hAnsi="宋体" w:cs="宋体"/>
          <w:sz w:val="24"/>
          <w:szCs w:val="24"/>
          <w:highlight w:val="none"/>
        </w:rPr>
        <w:t>“日期、天数、时间”：除非本采购文件另有规定，均为公历日（天）及</w:t>
      </w:r>
      <w:r>
        <w:rPr>
          <w:rFonts w:ascii="宋体" w:hAnsi="宋体" w:cs="宋体"/>
          <w:sz w:val="24"/>
          <w:szCs w:val="24"/>
          <w:highlight w:val="none"/>
        </w:rPr>
        <w:t xml:space="preserve"> </w:t>
      </w:r>
      <w:r>
        <w:rPr>
          <w:rFonts w:hint="eastAsia" w:ascii="宋体" w:hAnsi="宋体" w:cs="宋体"/>
          <w:sz w:val="24"/>
          <w:szCs w:val="24"/>
          <w:highlight w:val="none"/>
        </w:rPr>
        <w:t>北京时间。</w:t>
      </w:r>
    </w:p>
    <w:p>
      <w:pPr>
        <w:spacing w:line="360" w:lineRule="auto"/>
        <w:rPr>
          <w:rFonts w:asci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合格的货物、工程和服务</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3.1</w:t>
      </w:r>
      <w:r>
        <w:rPr>
          <w:rFonts w:hint="eastAsia" w:ascii="宋体" w:hAnsi="宋体" w:cs="宋体"/>
          <w:sz w:val="24"/>
          <w:szCs w:val="24"/>
          <w:highlight w:val="none"/>
        </w:rPr>
        <w:t>本次招标项目是满足本采购文件第三章用户需求书的招标。</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3.2</w:t>
      </w:r>
      <w:r>
        <w:rPr>
          <w:rFonts w:hint="eastAsia" w:ascii="宋体" w:hAnsi="宋体" w:cs="宋体"/>
          <w:sz w:val="24"/>
          <w:szCs w:val="24"/>
          <w:highlight w:val="none"/>
        </w:rPr>
        <w:t>“货物”是指各种形态和种类的物品，包括原材料、燃料、设备、产品等。“合格的货物”是指投标人制造或组织符合采购文件要求的全新的货物等。采购文件没有提及招标货物来源地的，根据《中华人民共和国政府采购法》的相关规定均应是本国货物，如本次采购文件第二章中已说明，允许部分或全部产品采购进口产品，投标人既可提供本国产品，也可以提供进口产品，进口产品是指通过中国海关报关验放进入中国境内且产自关境外的产品。招标优先采购节能、环保产品。投标货物的设计、制造、包装和运输必须符合中华人民共和国的相关国家标准、行业标准或企业标准（如有）的强制性规定，并满足采购文件规定的规格、参数、质量、价格、有效期、售后服务等要求。</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3.3</w:t>
      </w:r>
      <w:r>
        <w:rPr>
          <w:rFonts w:hint="eastAsia" w:ascii="宋体" w:hAnsi="宋体" w:cs="宋体"/>
          <w:sz w:val="24"/>
          <w:szCs w:val="24"/>
          <w:highlight w:val="none"/>
        </w:rPr>
        <w:t>“工程”是指建设工程，包括建筑物和构筑物的新建、改建、扩建、装修、拆除、修缮等。“合格的工程”是指满足中华人民共和国的相关法律、法规、规章的规定（包括规划、设计、质量以及安全文明施工等规定和要求）并符合相关国家标准、行业标准或地方（或企业）标准（如有）的规定或规范要求，经竣工验收达到采购文件规定的质量验收等级标准的建设工程。</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3.4</w:t>
      </w:r>
      <w:r>
        <w:rPr>
          <w:rFonts w:hint="eastAsia" w:ascii="宋体" w:hAnsi="宋体" w:cs="宋体"/>
          <w:sz w:val="24"/>
          <w:szCs w:val="24"/>
          <w:highlight w:val="none"/>
        </w:rPr>
        <w:t>“服务”是指除货物和工程以外的其他采购对象。“合格的服务”是指投标人按采购文件的规定，依据中华人民共和国的相关法律、法规、规章以及相关国家标准、行业标准或地方（或企业）标准（如有）的规定或规范要求，向采购人提供的满足采购文件规定的需求或特定目标的服务。</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3.5</w:t>
      </w:r>
      <w:r>
        <w:rPr>
          <w:rFonts w:hint="eastAsia" w:ascii="宋体" w:hAnsi="宋体" w:cs="宋体"/>
          <w:sz w:val="24"/>
          <w:szCs w:val="24"/>
          <w:highlight w:val="none"/>
        </w:rPr>
        <w:t>投标人须保证，采购人在中华人民共和国接受和使用投标人所提供的货物、工程和服务的全部或任何一部分时，或者在享有合同的全部或部分权益时，免受第三方以侵犯其合法权益（例如侵犯其专利权、商标权、著作权或其它知识产权等等）而提出的任何求偿责任起诉。否则，投标人须承担采购人与此相关的一切损失（包括且不限于：诉讼费、律师费、经裁定由采购人承担的任何费用、导致采购人需重新采购所产生的一切费用及时间费用损失等等）。</w:t>
      </w:r>
    </w:p>
    <w:p>
      <w:pPr>
        <w:spacing w:line="360" w:lineRule="auto"/>
        <w:rPr>
          <w:rFonts w:ascii="宋体" w:cs="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合格的投标人、中标人</w:t>
      </w:r>
    </w:p>
    <w:p>
      <w:pPr>
        <w:spacing w:line="360" w:lineRule="auto"/>
        <w:ind w:left="479" w:leftChars="228"/>
        <w:rPr>
          <w:rFonts w:ascii="宋体" w:cs="宋体"/>
          <w:sz w:val="24"/>
          <w:szCs w:val="24"/>
          <w:highlight w:val="none"/>
        </w:rPr>
      </w:pPr>
      <w:r>
        <w:rPr>
          <w:rFonts w:ascii="宋体" w:hAnsi="宋体" w:cs="宋体"/>
          <w:sz w:val="24"/>
          <w:szCs w:val="24"/>
          <w:highlight w:val="none"/>
        </w:rPr>
        <w:t>4.1</w:t>
      </w:r>
      <w:r>
        <w:rPr>
          <w:rFonts w:hint="eastAsia" w:ascii="宋体" w:hAnsi="宋体" w:cs="宋体"/>
          <w:sz w:val="24"/>
          <w:szCs w:val="24"/>
          <w:highlight w:val="none"/>
        </w:rPr>
        <w:t>投标人除应具备《政府采购法》第二十二条投标人资格条件外，还应满足采购文件第一章“竞争性磋商公告”中所规定的投标人的资格条件。</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4.2</w:t>
      </w:r>
      <w:r>
        <w:rPr>
          <w:rFonts w:hint="eastAsia" w:ascii="宋体" w:hAnsi="宋体" w:cs="宋体"/>
          <w:sz w:val="24"/>
          <w:szCs w:val="24"/>
          <w:highlight w:val="none"/>
        </w:rPr>
        <w:t>投标人必须在采购代理机构登记报名并购买了采购文件。</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4.3</w:t>
      </w:r>
      <w:r>
        <w:rPr>
          <w:rFonts w:hint="eastAsia" w:ascii="宋体" w:hAnsi="宋体" w:cs="宋体"/>
          <w:sz w:val="24"/>
          <w:szCs w:val="24"/>
          <w:highlight w:val="none"/>
        </w:rPr>
        <w:t>“中标人”：指经法定程序确定并授予合同的投标人。</w:t>
      </w:r>
    </w:p>
    <w:p>
      <w:pPr>
        <w:spacing w:line="360" w:lineRule="auto"/>
        <w:rPr>
          <w:rFonts w:ascii="宋体" w:cs="宋体"/>
          <w:sz w:val="24"/>
          <w:szCs w:val="24"/>
          <w:highlight w:val="none"/>
        </w:rPr>
      </w:pPr>
      <w:r>
        <w:rPr>
          <w:rFonts w:ascii="宋体" w:hAnsi="宋体" w:cs="宋体"/>
          <w:sz w:val="24"/>
          <w:szCs w:val="24"/>
          <w:highlight w:val="none"/>
        </w:rPr>
        <w:t>5.</w:t>
      </w:r>
      <w:r>
        <w:rPr>
          <w:rFonts w:hint="eastAsia" w:ascii="宋体" w:hAnsi="宋体" w:cs="宋体"/>
          <w:sz w:val="24"/>
          <w:szCs w:val="24"/>
          <w:highlight w:val="none"/>
        </w:rPr>
        <w:t>投标费用</w:t>
      </w:r>
    </w:p>
    <w:p>
      <w:pPr>
        <w:spacing w:line="360" w:lineRule="auto"/>
        <w:ind w:left="479" w:leftChars="228"/>
        <w:rPr>
          <w:rFonts w:ascii="宋体" w:cs="宋体"/>
          <w:sz w:val="24"/>
          <w:szCs w:val="24"/>
          <w:highlight w:val="none"/>
        </w:rPr>
      </w:pPr>
      <w:r>
        <w:rPr>
          <w:rFonts w:ascii="宋体" w:hAnsi="宋体" w:cs="宋体"/>
          <w:sz w:val="24"/>
          <w:szCs w:val="24"/>
          <w:highlight w:val="none"/>
        </w:rPr>
        <w:t>5.1</w:t>
      </w:r>
      <w:r>
        <w:rPr>
          <w:rFonts w:hint="eastAsia" w:ascii="宋体" w:hAnsi="宋体" w:cs="宋体"/>
          <w:sz w:val="24"/>
          <w:szCs w:val="24"/>
          <w:highlight w:val="none"/>
        </w:rPr>
        <w:t>投标人应承担所有与准备和参加投标有关的费用。不论投标结果如何，采购人及采购代理机构均无义务和责任承担任何此类费用。</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5.2</w:t>
      </w:r>
      <w:r>
        <w:rPr>
          <w:rFonts w:hint="eastAsia" w:ascii="宋体" w:hAnsi="宋体" w:cs="宋体"/>
          <w:sz w:val="24"/>
          <w:szCs w:val="24"/>
          <w:highlight w:val="none"/>
        </w:rPr>
        <w:t>本次招标向中标人收取的招标代理费，按国家有关规定执行，招标代理费计入投标总价中，但不单独列项。</w:t>
      </w:r>
    </w:p>
    <w:p>
      <w:pPr>
        <w:pStyle w:val="4"/>
        <w:rPr>
          <w:rFonts w:ascii="宋体" w:cs="宋体"/>
          <w:highlight w:val="none"/>
        </w:rPr>
      </w:pPr>
      <w:bookmarkStart w:id="2" w:name="_Toc517776506"/>
      <w:r>
        <w:rPr>
          <w:rFonts w:hint="eastAsia" w:ascii="宋体" w:hAnsi="宋体" w:cs="宋体"/>
          <w:highlight w:val="none"/>
        </w:rPr>
        <w:t>二、采购文件</w:t>
      </w:r>
      <w:bookmarkEnd w:id="2"/>
    </w:p>
    <w:p>
      <w:pPr>
        <w:spacing w:line="360" w:lineRule="auto"/>
        <w:rPr>
          <w:rFonts w:ascii="宋体" w:cs="宋体"/>
          <w:sz w:val="24"/>
          <w:szCs w:val="24"/>
          <w:highlight w:val="none"/>
        </w:rPr>
      </w:pPr>
      <w:r>
        <w:rPr>
          <w:rFonts w:ascii="宋体" w:hAnsi="宋体" w:cs="宋体"/>
          <w:sz w:val="24"/>
          <w:szCs w:val="24"/>
          <w:highlight w:val="none"/>
        </w:rPr>
        <w:t>6.</w:t>
      </w:r>
      <w:r>
        <w:rPr>
          <w:rFonts w:hint="eastAsia" w:ascii="宋体" w:hAnsi="宋体" w:cs="宋体"/>
          <w:sz w:val="24"/>
          <w:szCs w:val="24"/>
          <w:highlight w:val="none"/>
        </w:rPr>
        <w:t>采购文件的组成和语言</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6.1</w:t>
      </w:r>
      <w:r>
        <w:rPr>
          <w:rFonts w:hint="eastAsia" w:ascii="宋体" w:hAnsi="宋体" w:cs="宋体"/>
          <w:sz w:val="24"/>
          <w:szCs w:val="24"/>
          <w:highlight w:val="none"/>
        </w:rPr>
        <w:t>采购文件由下列文件以及在招标过程中发出的修正和补充文件组成，共包含以下内容：</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（一）竞争性磋商公告（二）投标人须知（三）用户需求书（四）合同</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（五）投标文件格式</w:t>
      </w:r>
    </w:p>
    <w:p>
      <w:pPr>
        <w:spacing w:line="360" w:lineRule="auto"/>
        <w:ind w:left="239" w:leftChars="114"/>
        <w:rPr>
          <w:rFonts w:ascii="宋体" w:cs="宋体"/>
          <w:sz w:val="24"/>
          <w:szCs w:val="24"/>
          <w:highlight w:val="none"/>
        </w:rPr>
      </w:pPr>
      <w:r>
        <w:rPr>
          <w:rFonts w:ascii="宋体" w:hAnsi="宋体" w:cs="宋体"/>
          <w:sz w:val="24"/>
          <w:szCs w:val="24"/>
          <w:highlight w:val="none"/>
        </w:rPr>
        <w:t>6.2</w:t>
      </w:r>
      <w:r>
        <w:rPr>
          <w:rFonts w:hint="eastAsia" w:ascii="宋体" w:hAnsi="宋体" w:cs="宋体"/>
          <w:sz w:val="24"/>
          <w:szCs w:val="24"/>
          <w:highlight w:val="none"/>
        </w:rPr>
        <w:t>除上述内容外，采购人在规定时间内以书面形式发出的对采购文件的澄清或修改内容，均为采购文件的组成部分，对采购人和投标人起约束作用。</w:t>
      </w:r>
    </w:p>
    <w:p>
      <w:pPr>
        <w:spacing w:line="360" w:lineRule="auto"/>
        <w:ind w:left="239" w:leftChars="114"/>
        <w:rPr>
          <w:rFonts w:ascii="宋体" w:cs="宋体"/>
          <w:sz w:val="24"/>
          <w:szCs w:val="24"/>
          <w:highlight w:val="none"/>
        </w:rPr>
      </w:pPr>
      <w:r>
        <w:rPr>
          <w:rFonts w:ascii="宋体" w:hAnsi="宋体" w:cs="宋体"/>
          <w:sz w:val="24"/>
          <w:szCs w:val="24"/>
          <w:highlight w:val="none"/>
        </w:rPr>
        <w:t>6.3</w:t>
      </w:r>
      <w:r>
        <w:rPr>
          <w:rFonts w:hint="eastAsia" w:ascii="宋体" w:hAnsi="宋体" w:cs="宋体"/>
          <w:sz w:val="24"/>
          <w:szCs w:val="24"/>
          <w:highlight w:val="none"/>
        </w:rPr>
        <w:t>本文件的专业技术内容如涉及到有官方强制性要求或行业标准规范限制和禁止性内容时，应以官方强制性要求或行业标准规范为准；否则，以本采购文件约定的技术要求为准。</w:t>
      </w:r>
    </w:p>
    <w:p>
      <w:pPr>
        <w:spacing w:line="360" w:lineRule="auto"/>
        <w:ind w:left="239" w:leftChars="114"/>
        <w:rPr>
          <w:rFonts w:ascii="宋体" w:cs="宋体"/>
          <w:sz w:val="24"/>
          <w:szCs w:val="24"/>
          <w:highlight w:val="none"/>
        </w:rPr>
      </w:pPr>
      <w:r>
        <w:rPr>
          <w:rFonts w:ascii="宋体" w:hAnsi="宋体" w:cs="宋体"/>
          <w:sz w:val="24"/>
          <w:szCs w:val="24"/>
          <w:highlight w:val="none"/>
        </w:rPr>
        <w:t>6.4</w:t>
      </w:r>
      <w:r>
        <w:rPr>
          <w:rFonts w:hint="eastAsia" w:ascii="宋体" w:hAnsi="宋体" w:cs="宋体"/>
          <w:sz w:val="24"/>
          <w:szCs w:val="24"/>
          <w:highlight w:val="none"/>
        </w:rPr>
        <w:t>采购人约定对个别产品需要制造商出具技术服务或经销代理资格等证明书时，签证方必须是合法的生产制造企业或其驻中国大陆合法注册的直辖专属机构。签证方须同时负有监督管理供货渠道，确保产品质量和伴随的售后服务，履行相关连带责任和义务。</w:t>
      </w:r>
    </w:p>
    <w:p>
      <w:pPr>
        <w:spacing w:line="360" w:lineRule="auto"/>
        <w:ind w:left="239" w:leftChars="114"/>
        <w:rPr>
          <w:rFonts w:ascii="宋体" w:cs="宋体"/>
          <w:sz w:val="24"/>
          <w:szCs w:val="24"/>
          <w:highlight w:val="none"/>
        </w:rPr>
      </w:pPr>
      <w:r>
        <w:rPr>
          <w:rFonts w:ascii="宋体" w:hAnsi="宋体" w:cs="宋体"/>
          <w:sz w:val="24"/>
          <w:szCs w:val="24"/>
          <w:highlight w:val="none"/>
        </w:rPr>
        <w:t>6.5</w:t>
      </w:r>
      <w:r>
        <w:rPr>
          <w:rFonts w:hint="eastAsia" w:ascii="宋体" w:hAnsi="宋体" w:cs="宋体"/>
          <w:sz w:val="24"/>
          <w:szCs w:val="24"/>
          <w:highlight w:val="none"/>
        </w:rPr>
        <w:t>如采购文件约定投标人投标产品合法来源证明资料，是类指制造商向投标人出具的授权销售证明书或投标人获得的投标产品合法取得始终连续的证明文件等，以保证采购人所使用的产品为投标人合法渠道所生产或获得。</w:t>
      </w:r>
    </w:p>
    <w:p>
      <w:pPr>
        <w:spacing w:line="360" w:lineRule="auto"/>
        <w:rPr>
          <w:rFonts w:ascii="宋体" w:cs="宋体"/>
          <w:sz w:val="24"/>
          <w:szCs w:val="24"/>
          <w:highlight w:val="none"/>
        </w:rPr>
      </w:pPr>
      <w:r>
        <w:rPr>
          <w:rFonts w:ascii="宋体" w:hAnsi="宋体" w:cs="宋体"/>
          <w:sz w:val="24"/>
          <w:szCs w:val="24"/>
          <w:highlight w:val="none"/>
        </w:rPr>
        <w:t>6.6</w:t>
      </w:r>
      <w:r>
        <w:rPr>
          <w:rFonts w:hint="eastAsia" w:ascii="宋体" w:hAnsi="宋体" w:cs="宋体"/>
          <w:sz w:val="24"/>
          <w:szCs w:val="24"/>
          <w:highlight w:val="none"/>
        </w:rPr>
        <w:t>未有注明具体相关服务，均以行业通用标准为准。</w:t>
      </w:r>
    </w:p>
    <w:p>
      <w:pPr>
        <w:spacing w:line="360" w:lineRule="auto"/>
        <w:rPr>
          <w:rFonts w:ascii="宋体" w:cs="宋体"/>
          <w:sz w:val="24"/>
          <w:szCs w:val="24"/>
          <w:highlight w:val="none"/>
        </w:rPr>
      </w:pPr>
      <w:r>
        <w:rPr>
          <w:rFonts w:ascii="宋体" w:hAnsi="宋体" w:cs="宋体"/>
          <w:sz w:val="24"/>
          <w:szCs w:val="24"/>
          <w:highlight w:val="none"/>
        </w:rPr>
        <w:t>6.7</w:t>
      </w:r>
      <w:r>
        <w:rPr>
          <w:rFonts w:hint="eastAsia" w:ascii="宋体" w:hAnsi="宋体" w:cs="宋体"/>
          <w:sz w:val="24"/>
          <w:szCs w:val="24"/>
          <w:highlight w:val="none"/>
        </w:rPr>
        <w:t>采购人在没有特别要求时，只允许参与投标的投标人提供唯一最具代表性和竞争力的投标方案，对提供含糊不清、不确定或可选的方案者均作无效投标处理。</w:t>
      </w:r>
    </w:p>
    <w:p>
      <w:pPr>
        <w:spacing w:line="360" w:lineRule="auto"/>
        <w:rPr>
          <w:rFonts w:ascii="宋体" w:cs="宋体"/>
          <w:sz w:val="24"/>
          <w:szCs w:val="24"/>
          <w:highlight w:val="none"/>
        </w:rPr>
      </w:pPr>
      <w:r>
        <w:rPr>
          <w:rFonts w:ascii="宋体" w:hAnsi="宋体" w:cs="宋体"/>
          <w:sz w:val="24"/>
          <w:szCs w:val="24"/>
          <w:highlight w:val="none"/>
        </w:rPr>
        <w:t>6.8</w:t>
      </w:r>
      <w:r>
        <w:rPr>
          <w:rFonts w:hint="eastAsia" w:ascii="宋体" w:hAnsi="宋体" w:cs="宋体"/>
          <w:sz w:val="24"/>
          <w:szCs w:val="24"/>
          <w:highlight w:val="none"/>
        </w:rPr>
        <w:t>答疑会及踏勘现场</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对于有计划举行项目答疑会时，投标人的项目主要负责人等须按时出席，主办方将围绕采购文件的内容现场澄清、解答投标人提出的问题，对个别内容确有必要作澄清修正时，采购人或采购代理机构将按照极大地促进公平竞争的原则，集中统一后以书面形式通知各投标人，各投标人收悉后须及时予以确认。</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）投标人出席答疑会及踏勘现场的费用、过失责任及风险均自行承担。</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）对未有计划举行项目答疑会时，投标人应及时主动向采购人或招标代理机构了解项目详情。</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6.9</w:t>
      </w:r>
      <w:r>
        <w:rPr>
          <w:rFonts w:hint="eastAsia" w:ascii="宋体" w:hAnsi="宋体" w:cs="宋体"/>
          <w:sz w:val="24"/>
          <w:szCs w:val="24"/>
          <w:highlight w:val="none"/>
        </w:rPr>
        <w:t>投标人应认真阅读、并充分理解采购文件的全部内容（包括所有的补充、修改内容、重要事项、格式、条款和技术规范、参数及要求等）。投标人没有按照采购文件要求提交全部资料，或者投标没有对采购文件在各方面都做出实质性响应，将为投标人带来风险，有可能导致其投标被拒绝，或被认定为无效投标。</w:t>
      </w:r>
    </w:p>
    <w:p>
      <w:pPr>
        <w:spacing w:line="360" w:lineRule="auto"/>
        <w:rPr>
          <w:rFonts w:ascii="宋体" w:cs="宋体"/>
          <w:sz w:val="24"/>
          <w:szCs w:val="24"/>
          <w:highlight w:val="none"/>
        </w:rPr>
      </w:pPr>
      <w:r>
        <w:rPr>
          <w:rFonts w:ascii="宋体" w:hAnsi="宋体" w:cs="宋体"/>
          <w:sz w:val="24"/>
          <w:szCs w:val="24"/>
          <w:highlight w:val="none"/>
        </w:rPr>
        <w:t>7.</w:t>
      </w:r>
      <w:r>
        <w:rPr>
          <w:rFonts w:hint="eastAsia" w:ascii="宋体" w:hAnsi="宋体" w:cs="宋体"/>
          <w:sz w:val="24"/>
          <w:szCs w:val="24"/>
          <w:highlight w:val="none"/>
        </w:rPr>
        <w:t>采购文件的澄清</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7.1</w:t>
      </w:r>
      <w:r>
        <w:rPr>
          <w:rFonts w:hint="eastAsia" w:ascii="宋体" w:hAnsi="宋体" w:cs="宋体"/>
          <w:sz w:val="24"/>
          <w:szCs w:val="24"/>
          <w:highlight w:val="none"/>
        </w:rPr>
        <w:t>任何要求对采购文件进行澄清的投标人，均应以书面形式并加盖投标人公章（注明联系人及联系电话、联系地址）在投标截止时间的五个工作日以前通知采购代理机构和采购人。采购代理机构将组织采购人对投标人所要求澄清的内容以书面形式予以答复。必要时，采购代理机构和采购人将组织有关专家召开答疑会，并将会议内容以书面的形式发给每个报名并购买了采购文件的投标人（答复中不包括问题的来源）。投标人在收到该澄清（答疑）文件后，应于二十四小时内予以书面回复收悉。该澄清（答疑）文件的内容为采购文件的组成部分，具有约束作用。若投标人在规定时间内没有回复收悉并经采购代理机构催告后仍不作为的，视其投标已充分考虑了该澄清（答疑）的内容，并视为已放弃对该澄清（答疑）内容收悉的质疑权。</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7.2</w:t>
      </w:r>
      <w:r>
        <w:rPr>
          <w:rFonts w:hint="eastAsia" w:ascii="宋体" w:hAnsi="宋体" w:cs="宋体"/>
          <w:sz w:val="24"/>
          <w:szCs w:val="24"/>
          <w:highlight w:val="none"/>
        </w:rPr>
        <w:t>在规定的时间内未对采购文件提出疑问或澄清要求的投标人，采购人将视为已充分阅读并正确理解采购文件的全部内容且无异议。开标后，如投标人的投标文件显示其对采购文件中的描述有歧意或采购文件的前后内容有不一致的地方，则评标委员会有权依据采购文件及项目需求进行合理评判，但对同一条款的评判应适用于每个投标人。</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7.3</w:t>
      </w:r>
      <w:r>
        <w:rPr>
          <w:rFonts w:hint="eastAsia" w:ascii="宋体" w:hAnsi="宋体" w:cs="宋体"/>
          <w:sz w:val="24"/>
          <w:szCs w:val="24"/>
          <w:highlight w:val="none"/>
        </w:rPr>
        <w:t>采购人或采购代理机构发出澄清文件的时间距投标截止时间不足五个工作日的，在征得已获取采购文件的投标人同意并书面确认后，可不改变投标截止时间。所有澄清内容将同时在发布招标公告网站上发布。</w:t>
      </w:r>
    </w:p>
    <w:p>
      <w:pPr>
        <w:spacing w:line="360" w:lineRule="auto"/>
        <w:rPr>
          <w:rFonts w:ascii="宋体" w:cs="宋体"/>
          <w:sz w:val="24"/>
          <w:szCs w:val="24"/>
          <w:highlight w:val="none"/>
        </w:rPr>
      </w:pPr>
      <w:r>
        <w:rPr>
          <w:rFonts w:ascii="宋体" w:hAnsi="宋体" w:cs="宋体"/>
          <w:sz w:val="24"/>
          <w:szCs w:val="24"/>
          <w:highlight w:val="none"/>
        </w:rPr>
        <w:t>8.</w:t>
      </w:r>
      <w:r>
        <w:rPr>
          <w:rFonts w:hint="eastAsia" w:ascii="宋体" w:hAnsi="宋体" w:cs="宋体"/>
          <w:sz w:val="24"/>
          <w:szCs w:val="24"/>
          <w:highlight w:val="none"/>
        </w:rPr>
        <w:t>采购文件的修改</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8.1</w:t>
      </w:r>
      <w:r>
        <w:rPr>
          <w:rFonts w:hint="eastAsia" w:ascii="宋体" w:hAnsi="宋体" w:cs="宋体"/>
          <w:sz w:val="24"/>
          <w:szCs w:val="24"/>
          <w:highlight w:val="none"/>
        </w:rPr>
        <w:t>在投标截止时间的五天以前，无论出于何种原因，采购人和采购代理机构可主动地或在解答投标人提出的疑问时对采购文件进行修改。</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8.2</w:t>
      </w:r>
      <w:r>
        <w:rPr>
          <w:rFonts w:hint="eastAsia" w:ascii="宋体" w:hAnsi="宋体" w:cs="宋体"/>
          <w:sz w:val="24"/>
          <w:szCs w:val="24"/>
          <w:highlight w:val="none"/>
        </w:rPr>
        <w:t>采购文件的修改将以书面形式通知所有已报名并购买了采购文件的投标人。投标人在收到该修改通知后，应于二十四小时内予以书面回复收悉。该修改通知的内容为采购文件的组成部分，具有约束作用。若投标人在规定时间内没有回复收悉并经采购代理机构催告后仍不作为的，视其投标已充分考虑了该修改通知的内容，并视为已放弃对该修改通知的内容收悉的质疑权。</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8.3</w:t>
      </w:r>
      <w:r>
        <w:rPr>
          <w:rFonts w:hint="eastAsia" w:ascii="宋体" w:hAnsi="宋体" w:cs="宋体"/>
          <w:sz w:val="24"/>
          <w:szCs w:val="24"/>
          <w:highlight w:val="none"/>
        </w:rPr>
        <w:t>采购人或采购代理机构发出修改文件的时间距投标截止时间不足十五天的，在征得已获取采购文件的投标人同意并书面确认后，可不改变投标截止时间。所有修改和更正内容将同时在发布招标公告网站上发布。</w:t>
      </w:r>
    </w:p>
    <w:p>
      <w:pPr>
        <w:pStyle w:val="4"/>
        <w:rPr>
          <w:rFonts w:ascii="宋体" w:cs="宋体"/>
          <w:highlight w:val="none"/>
        </w:rPr>
      </w:pPr>
      <w:bookmarkStart w:id="3" w:name="_Toc517776507"/>
      <w:r>
        <w:rPr>
          <w:rFonts w:hint="eastAsia" w:ascii="宋体" w:hAnsi="宋体" w:cs="宋体"/>
          <w:highlight w:val="none"/>
        </w:rPr>
        <w:t>三、投标文件的编制</w:t>
      </w:r>
      <w:bookmarkEnd w:id="3"/>
    </w:p>
    <w:p>
      <w:pPr>
        <w:spacing w:line="360" w:lineRule="auto"/>
        <w:rPr>
          <w:rFonts w:ascii="宋体" w:cs="宋体"/>
          <w:sz w:val="24"/>
          <w:szCs w:val="24"/>
          <w:highlight w:val="none"/>
        </w:rPr>
      </w:pPr>
      <w:r>
        <w:rPr>
          <w:rFonts w:ascii="宋体" w:hAnsi="宋体" w:cs="宋体"/>
          <w:sz w:val="24"/>
          <w:szCs w:val="24"/>
          <w:highlight w:val="none"/>
        </w:rPr>
        <w:t>9.</w:t>
      </w:r>
      <w:r>
        <w:rPr>
          <w:rFonts w:hint="eastAsia" w:ascii="宋体" w:hAnsi="宋体" w:cs="宋体"/>
          <w:sz w:val="24"/>
          <w:szCs w:val="24"/>
          <w:highlight w:val="none"/>
        </w:rPr>
        <w:t>投标文件的语言和计量单位</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9.1</w:t>
      </w:r>
      <w:r>
        <w:rPr>
          <w:rFonts w:hint="eastAsia" w:ascii="宋体" w:hAnsi="宋体" w:cs="宋体"/>
          <w:sz w:val="24"/>
          <w:szCs w:val="24"/>
          <w:highlight w:val="none"/>
        </w:rPr>
        <w:t>投标文件的语言：投标人提交的投标文件以及投标人与采购人就有关投标的所有往来函电均应采用中文书写。投标人提交的支持性文件和印刷的文献可以用另一种语言，但均应提交中文译本，并在其后的投标和评标活动中，以中文译本为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9.2</w:t>
      </w:r>
      <w:r>
        <w:rPr>
          <w:rFonts w:hint="eastAsia" w:ascii="宋体" w:hAnsi="宋体" w:cs="宋体"/>
          <w:sz w:val="24"/>
          <w:szCs w:val="24"/>
          <w:highlight w:val="none"/>
        </w:rPr>
        <w:t>投标文件的计量单位：除采购文件及其附件资料中有特殊要求外，投标文件中的所有计量单位均应采用中华人民共和国法定计量单位制，等同于国际单位制。</w:t>
      </w:r>
    </w:p>
    <w:p>
      <w:pPr>
        <w:spacing w:line="360" w:lineRule="auto"/>
        <w:rPr>
          <w:rFonts w:ascii="宋体" w:cs="宋体"/>
          <w:sz w:val="24"/>
          <w:szCs w:val="24"/>
          <w:highlight w:val="none"/>
        </w:rPr>
      </w:pPr>
      <w:r>
        <w:rPr>
          <w:rFonts w:ascii="宋体" w:hAnsi="宋体" w:cs="宋体"/>
          <w:sz w:val="24"/>
          <w:szCs w:val="24"/>
          <w:highlight w:val="none"/>
        </w:rPr>
        <w:t>10.</w:t>
      </w:r>
      <w:r>
        <w:rPr>
          <w:rFonts w:hint="eastAsia" w:ascii="宋体" w:hAnsi="宋体" w:cs="宋体"/>
          <w:sz w:val="24"/>
          <w:szCs w:val="24"/>
          <w:highlight w:val="none"/>
        </w:rPr>
        <w:t>投标文件的组成</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10.1</w:t>
      </w:r>
      <w:r>
        <w:rPr>
          <w:rFonts w:hint="eastAsia" w:ascii="宋体" w:hAnsi="宋体" w:cs="宋体"/>
          <w:sz w:val="24"/>
          <w:szCs w:val="24"/>
          <w:highlight w:val="none"/>
        </w:rPr>
        <w:t>投标人编写的投标文件应包括下列部分（具体内容详见“第五章投标文件格式”）。</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10.2</w:t>
      </w:r>
      <w:r>
        <w:rPr>
          <w:rFonts w:hint="eastAsia" w:ascii="宋体" w:hAnsi="宋体" w:cs="宋体"/>
          <w:sz w:val="24"/>
          <w:szCs w:val="24"/>
          <w:highlight w:val="none"/>
        </w:rPr>
        <w:t>投标文件所提供的资料必须符合诚实信用、客观真实的原则，对弄虚作假或违背诚信的违法行为，应承担相应的后果及法律责任。</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10.3</w:t>
      </w:r>
      <w:r>
        <w:rPr>
          <w:rFonts w:hint="eastAsia" w:ascii="宋体" w:hAnsi="宋体" w:cs="宋体"/>
          <w:b/>
          <w:sz w:val="24"/>
          <w:szCs w:val="24"/>
          <w:highlight w:val="none"/>
        </w:rPr>
        <w:t>投标人应按上述</w:t>
      </w:r>
      <w:r>
        <w:rPr>
          <w:rFonts w:ascii="宋体" w:hAnsi="宋体" w:cs="宋体"/>
          <w:b/>
          <w:sz w:val="24"/>
          <w:szCs w:val="24"/>
          <w:highlight w:val="none"/>
        </w:rPr>
        <w:t>2</w:t>
      </w:r>
      <w:r>
        <w:rPr>
          <w:rFonts w:hint="eastAsia" w:ascii="宋体" w:hAnsi="宋体" w:cs="宋体"/>
          <w:b/>
          <w:sz w:val="24"/>
          <w:szCs w:val="24"/>
          <w:highlight w:val="none"/>
        </w:rPr>
        <w:t>条的内容认真编写投标文件，并使用</w:t>
      </w:r>
      <w:r>
        <w:rPr>
          <w:rFonts w:ascii="宋体" w:hAnsi="宋体" w:cs="宋体"/>
          <w:b/>
          <w:sz w:val="24"/>
          <w:szCs w:val="24"/>
          <w:highlight w:val="none"/>
        </w:rPr>
        <w:t>A4</w:t>
      </w:r>
      <w:r>
        <w:rPr>
          <w:rFonts w:hint="eastAsia" w:ascii="宋体" w:hAnsi="宋体" w:cs="宋体"/>
          <w:b/>
          <w:sz w:val="24"/>
          <w:szCs w:val="24"/>
          <w:highlight w:val="none"/>
        </w:rPr>
        <w:t>规格纸张打印，按规定签字盖章后，将投标文件牢固装订成册（订口在长边，装订线应位于左侧）。投标文件必须编写目录页码（页码应连续），并牢固装订成册。牢固装订成册是指用适当的办法</w:t>
      </w:r>
      <w:r>
        <w:rPr>
          <w:rFonts w:ascii="宋体" w:cs="宋体"/>
          <w:b/>
          <w:sz w:val="24"/>
          <w:szCs w:val="24"/>
          <w:highlight w:val="none"/>
        </w:rPr>
        <w:t>,</w:t>
      </w:r>
      <w:r>
        <w:rPr>
          <w:rFonts w:hint="eastAsia" w:ascii="宋体" w:hAnsi="宋体" w:cs="宋体"/>
          <w:b/>
          <w:sz w:val="24"/>
          <w:szCs w:val="24"/>
          <w:highlight w:val="none"/>
        </w:rPr>
        <w:t>牢固紧密扎紧，以保证投标文件在翻阅过程中不至于散开或用简单办法不能将任何一页在没有任何损坏的情况下取出或插入。各种用活页夹、文件夹、塑料方便式书脊（插入式或穿孔式）装订均不认为是牢固装订。评标过程中由于投标文件没有牢固装订造成散落影响评标结果时，后果由投标企业自负。</w:t>
      </w:r>
    </w:p>
    <w:p>
      <w:pPr>
        <w:spacing w:line="360" w:lineRule="auto"/>
        <w:rPr>
          <w:rFonts w:ascii="宋体" w:cs="宋体"/>
          <w:sz w:val="24"/>
          <w:szCs w:val="24"/>
          <w:highlight w:val="none"/>
        </w:rPr>
      </w:pPr>
      <w:r>
        <w:rPr>
          <w:rFonts w:ascii="宋体" w:hAnsi="宋体" w:cs="宋体"/>
          <w:sz w:val="24"/>
          <w:szCs w:val="24"/>
          <w:highlight w:val="none"/>
        </w:rPr>
        <w:t>11.</w:t>
      </w:r>
      <w:r>
        <w:rPr>
          <w:rFonts w:hint="eastAsia" w:ascii="宋体" w:hAnsi="宋体" w:cs="宋体"/>
          <w:sz w:val="24"/>
          <w:szCs w:val="24"/>
          <w:highlight w:val="none"/>
        </w:rPr>
        <w:t>投标文件格式</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11.1</w:t>
      </w:r>
      <w:r>
        <w:rPr>
          <w:rFonts w:hint="eastAsia" w:ascii="宋体" w:hAnsi="宋体" w:cs="宋体"/>
          <w:sz w:val="24"/>
          <w:szCs w:val="24"/>
          <w:highlight w:val="none"/>
        </w:rPr>
        <w:t>投标人应按采购文件附件中提供的“投标文件格式”填写“投标函”等附件。</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11.2</w:t>
      </w:r>
      <w:r>
        <w:rPr>
          <w:rFonts w:hint="eastAsia" w:ascii="宋体" w:hAnsi="宋体" w:cs="宋体"/>
          <w:sz w:val="24"/>
          <w:szCs w:val="24"/>
          <w:highlight w:val="none"/>
        </w:rPr>
        <w:t>投标人不得将同一分包中的内容拆开投标，否则将导致其投标无效。</w:t>
      </w:r>
    </w:p>
    <w:p>
      <w:pPr>
        <w:spacing w:line="360" w:lineRule="auto"/>
        <w:rPr>
          <w:rFonts w:ascii="宋体" w:cs="宋体"/>
          <w:sz w:val="24"/>
          <w:szCs w:val="24"/>
          <w:highlight w:val="none"/>
        </w:rPr>
      </w:pPr>
      <w:r>
        <w:rPr>
          <w:rFonts w:ascii="宋体" w:hAnsi="宋体" w:cs="宋体"/>
          <w:sz w:val="24"/>
          <w:szCs w:val="24"/>
          <w:highlight w:val="none"/>
        </w:rPr>
        <w:t>12.</w:t>
      </w:r>
      <w:r>
        <w:rPr>
          <w:rFonts w:hint="eastAsia" w:ascii="宋体" w:hAnsi="宋体" w:cs="宋体"/>
          <w:sz w:val="24"/>
          <w:szCs w:val="24"/>
          <w:highlight w:val="none"/>
        </w:rPr>
        <w:t>投标货币要求</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12.1</w:t>
      </w:r>
      <w:r>
        <w:rPr>
          <w:rFonts w:hint="eastAsia" w:ascii="宋体" w:hAnsi="宋体" w:cs="宋体"/>
          <w:sz w:val="24"/>
          <w:szCs w:val="24"/>
          <w:highlight w:val="none"/>
        </w:rPr>
        <w:t>除非采购文件另有规定或许可，投标人提供的所有工程、货物和服务均应以人民币进行报价。</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12.2</w:t>
      </w:r>
      <w:r>
        <w:rPr>
          <w:rFonts w:hint="eastAsia" w:ascii="宋体" w:hAnsi="宋体" w:cs="宋体"/>
          <w:sz w:val="24"/>
          <w:szCs w:val="24"/>
          <w:highlight w:val="none"/>
        </w:rPr>
        <w:t>采购文件除非另有规定的，否则只允许投标人提交一个投标方案</w:t>
      </w:r>
      <w:r>
        <w:rPr>
          <w:rFonts w:ascii="宋体" w:cs="宋体"/>
          <w:sz w:val="24"/>
          <w:szCs w:val="24"/>
          <w:highlight w:val="none"/>
        </w:rPr>
        <w:t>,</w:t>
      </w:r>
      <w:r>
        <w:rPr>
          <w:rFonts w:hint="eastAsia" w:ascii="宋体" w:hAnsi="宋体" w:cs="宋体"/>
          <w:sz w:val="24"/>
          <w:szCs w:val="24"/>
          <w:highlight w:val="none"/>
        </w:rPr>
        <w:t>任何有选择性的投标方案其投标将被视为无效投标。</w:t>
      </w:r>
    </w:p>
    <w:p>
      <w:pPr>
        <w:spacing w:line="360" w:lineRule="auto"/>
        <w:rPr>
          <w:rFonts w:ascii="宋体" w:cs="宋体"/>
          <w:sz w:val="24"/>
          <w:szCs w:val="24"/>
          <w:highlight w:val="none"/>
        </w:rPr>
      </w:pPr>
      <w:r>
        <w:rPr>
          <w:rFonts w:ascii="宋体" w:hAnsi="宋体" w:cs="宋体"/>
          <w:sz w:val="24"/>
          <w:szCs w:val="24"/>
          <w:highlight w:val="none"/>
        </w:rPr>
        <w:t>13.</w:t>
      </w:r>
      <w:r>
        <w:rPr>
          <w:rFonts w:hint="eastAsia" w:ascii="宋体" w:hAnsi="宋体" w:cs="宋体"/>
          <w:sz w:val="24"/>
          <w:szCs w:val="24"/>
          <w:highlight w:val="none"/>
        </w:rPr>
        <w:t>投标人资格的证明文件</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13.1</w:t>
      </w:r>
      <w:r>
        <w:rPr>
          <w:rFonts w:hint="eastAsia" w:ascii="宋体" w:hAnsi="宋体" w:cs="宋体"/>
          <w:sz w:val="24"/>
          <w:szCs w:val="24"/>
          <w:highlight w:val="none"/>
        </w:rPr>
        <w:t>投标人应提交证明其有资格参加投标和中标后有能力履行合同的文件，并作为其投标文件的一部分。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13.2</w:t>
      </w:r>
      <w:r>
        <w:rPr>
          <w:rFonts w:hint="eastAsia" w:ascii="宋体" w:hAnsi="宋体" w:cs="宋体"/>
          <w:sz w:val="24"/>
          <w:szCs w:val="24"/>
          <w:highlight w:val="none"/>
        </w:rPr>
        <w:t>如果本次招标允许联合体参加投标，可根据投标人资格要求组成联合体。两个以上法人或者其他组织可以组成一个联合体，以一个投标人的身份共同投标。联合体各方均应当具备承担招标项目的相应能力；国家有关规定或者采购文件对投标人资格条件有规定的，联合体各方均应当具备规定的相应资格条件。由同一专业的单位组成的联合体，按照资质等级较低的单位确定资质等级。联合体各方应当签订共同投标协议，注明主办人，明确约定各方拟承担的工作和责任，并将共同投标协议连同投标文件一并提交采购代理机构。联合体中标的，联合体各方应当共同与采购人签订合同，就中标项目向采购人承担连带责任。</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13.3</w:t>
      </w:r>
      <w:r>
        <w:rPr>
          <w:rFonts w:hint="eastAsia" w:ascii="宋体" w:hAnsi="宋体" w:cs="宋体"/>
          <w:sz w:val="24"/>
          <w:szCs w:val="24"/>
          <w:highlight w:val="none"/>
        </w:rPr>
        <w:t>投标人应符合采购文件第一章中规定的投标人资格标准，资格证明文件必须真实有效。</w:t>
      </w:r>
    </w:p>
    <w:p>
      <w:pPr>
        <w:spacing w:line="360" w:lineRule="auto"/>
        <w:rPr>
          <w:rFonts w:ascii="宋体" w:cs="宋体"/>
          <w:sz w:val="24"/>
          <w:szCs w:val="24"/>
          <w:highlight w:val="none"/>
        </w:rPr>
      </w:pPr>
      <w:r>
        <w:rPr>
          <w:rFonts w:ascii="宋体" w:hAnsi="宋体" w:cs="宋体"/>
          <w:sz w:val="24"/>
          <w:szCs w:val="24"/>
          <w:highlight w:val="none"/>
        </w:rPr>
        <w:t>14.</w:t>
      </w:r>
      <w:r>
        <w:rPr>
          <w:rFonts w:hint="eastAsia" w:ascii="宋体" w:hAnsi="宋体" w:cs="宋体"/>
          <w:sz w:val="24"/>
          <w:szCs w:val="24"/>
          <w:highlight w:val="none"/>
        </w:rPr>
        <w:t>证明货物、服务或工程的合格性和符合采购文件规定的文件</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14.1</w:t>
      </w:r>
      <w:r>
        <w:rPr>
          <w:rFonts w:hint="eastAsia" w:ascii="宋体" w:hAnsi="宋体" w:cs="宋体"/>
          <w:sz w:val="24"/>
          <w:szCs w:val="24"/>
          <w:highlight w:val="none"/>
        </w:rPr>
        <w:t>投标人应提交证明文件证明其拟供的合同项下的货物、服务或工程的合格性符合采购文件规定。该证明文件作为投标文件的一部分。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14.2</w:t>
      </w:r>
      <w:r>
        <w:rPr>
          <w:rFonts w:hint="eastAsia" w:ascii="宋体" w:hAnsi="宋体" w:cs="宋体"/>
          <w:sz w:val="24"/>
          <w:szCs w:val="24"/>
          <w:highlight w:val="none"/>
        </w:rPr>
        <w:t>证明货物、服务或工程与采购文件的要求相一致的文件，可以是文字资料、图纸和数据。</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14.3</w:t>
      </w:r>
      <w:r>
        <w:rPr>
          <w:rFonts w:hint="eastAsia" w:ascii="宋体" w:hAnsi="宋体" w:cs="宋体"/>
          <w:sz w:val="24"/>
          <w:szCs w:val="24"/>
          <w:highlight w:val="none"/>
        </w:rPr>
        <w:t>对照采购文件要求，逐条说明所提供的货物、服务或工程已对采购人的要求做出了实质性的响应，或申明与要求的偏差和例外。</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14.4</w:t>
      </w:r>
      <w:r>
        <w:rPr>
          <w:rFonts w:hint="eastAsia" w:ascii="宋体" w:hAnsi="宋体" w:cs="宋体"/>
          <w:sz w:val="24"/>
          <w:szCs w:val="24"/>
          <w:highlight w:val="none"/>
        </w:rPr>
        <w:t>评标委员会对投标人所提供的证明货物、服务或工程的合格性的文件进行审查，审查不合格的投标将认定为无效投标。</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14.5</w:t>
      </w:r>
      <w:r>
        <w:rPr>
          <w:rFonts w:hint="eastAsia" w:ascii="宋体" w:hAnsi="宋体" w:cs="宋体"/>
          <w:sz w:val="24"/>
          <w:szCs w:val="24"/>
          <w:highlight w:val="none"/>
        </w:rPr>
        <w:t>投标人必须对投标文件所提供的全部资料的真实性承担法律责任，并无条件接受采购代理机构、采购人及政府采购监督管理部门等对其中任何资料进行核实的要求。</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14.6</w:t>
      </w:r>
      <w:r>
        <w:rPr>
          <w:rFonts w:hint="eastAsia" w:ascii="宋体" w:hAnsi="宋体" w:cs="宋体"/>
          <w:sz w:val="24"/>
          <w:szCs w:val="24"/>
          <w:highlight w:val="none"/>
        </w:rPr>
        <w:t>如果因为投标人投标文件填报的内容不详，或没有提供采购文件中所要求的全部资料及数据，由此造成的后果，其责任由投标人承担。</w:t>
      </w:r>
    </w:p>
    <w:p>
      <w:pPr>
        <w:spacing w:line="360" w:lineRule="auto"/>
        <w:rPr>
          <w:rFonts w:ascii="宋体" w:cs="宋体"/>
          <w:sz w:val="24"/>
          <w:szCs w:val="24"/>
          <w:highlight w:val="none"/>
        </w:rPr>
      </w:pPr>
      <w:r>
        <w:rPr>
          <w:rFonts w:ascii="宋体" w:hAnsi="宋体" w:cs="宋体"/>
          <w:sz w:val="24"/>
          <w:szCs w:val="24"/>
          <w:highlight w:val="none"/>
        </w:rPr>
        <w:t>15.</w:t>
      </w:r>
      <w:r>
        <w:rPr>
          <w:rFonts w:hint="eastAsia" w:ascii="宋体" w:hAnsi="宋体" w:cs="宋体"/>
          <w:sz w:val="24"/>
          <w:szCs w:val="24"/>
          <w:highlight w:val="none"/>
        </w:rPr>
        <w:t>投标保证金</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15.1</w:t>
      </w:r>
      <w:r>
        <w:rPr>
          <w:rFonts w:hint="eastAsia" w:ascii="宋体" w:hAnsi="宋体" w:cs="宋体"/>
          <w:sz w:val="24"/>
          <w:szCs w:val="24"/>
          <w:highlight w:val="none"/>
        </w:rPr>
        <w:t>投标人应向采购代理机构提交投标保证金金额为投标人须知前附表规定的数额，并作为其投标的一部分。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15.2</w:t>
      </w:r>
      <w:r>
        <w:rPr>
          <w:rFonts w:hint="eastAsia" w:ascii="宋体" w:hAnsi="宋体" w:cs="宋体"/>
          <w:sz w:val="24"/>
          <w:szCs w:val="24"/>
          <w:highlight w:val="none"/>
        </w:rPr>
        <w:t>投标保证金是为了保护采购代理机构和采购人免遭因投标人的行为而蒙受损失。采购代理机构和采购人在因投标人的行为受到损害时可根据本须知有关规定没收投标人的投标保证金。</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15.3</w:t>
      </w:r>
      <w:r>
        <w:rPr>
          <w:rFonts w:hint="eastAsia" w:ascii="宋体" w:hAnsi="宋体" w:cs="宋体"/>
          <w:sz w:val="24"/>
          <w:szCs w:val="24"/>
          <w:highlight w:val="none"/>
        </w:rPr>
        <w:t>投标保证金应用投标货币即人民币，并采用投标人须知前附表规定的形式提交。</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15.4</w:t>
      </w:r>
      <w:r>
        <w:rPr>
          <w:rFonts w:hint="eastAsia" w:ascii="宋体" w:hAnsi="宋体" w:cs="宋体"/>
          <w:sz w:val="24"/>
          <w:szCs w:val="24"/>
          <w:highlight w:val="none"/>
        </w:rPr>
        <w:t>以上形式的保证金须在投标人须知前附表规定的时间之前到帐。</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15.5</w:t>
      </w:r>
      <w:r>
        <w:rPr>
          <w:rFonts w:hint="eastAsia" w:ascii="宋体" w:hAnsi="宋体" w:cs="宋体"/>
          <w:sz w:val="24"/>
          <w:szCs w:val="24"/>
          <w:highlight w:val="none"/>
        </w:rPr>
        <w:t>投标保证金请按以下帐号提供：见投标人须知前附表。</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15.6</w:t>
      </w:r>
      <w:r>
        <w:rPr>
          <w:rFonts w:hint="eastAsia" w:ascii="宋体" w:hAnsi="宋体" w:cs="宋体"/>
          <w:sz w:val="24"/>
          <w:szCs w:val="24"/>
          <w:highlight w:val="none"/>
        </w:rPr>
        <w:t>凡没有按照本须知规定随附有效的投标保证金的投标，应按本须知有关规定视为非响应性投标予以作为无效投标处理。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15.7</w:t>
      </w:r>
      <w:r>
        <w:rPr>
          <w:rFonts w:hint="eastAsia" w:ascii="宋体" w:hAnsi="宋体" w:cs="宋体"/>
          <w:sz w:val="24"/>
          <w:szCs w:val="24"/>
          <w:highlight w:val="none"/>
        </w:rPr>
        <w:t>未中标的投标人的投标保证金，将在中标人签订合同后三日内原额不计息退还投标人。</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15.8</w:t>
      </w:r>
      <w:r>
        <w:rPr>
          <w:rFonts w:hint="eastAsia" w:ascii="宋体" w:hAnsi="宋体" w:cs="宋体"/>
          <w:sz w:val="24"/>
          <w:szCs w:val="24"/>
          <w:highlight w:val="none"/>
        </w:rPr>
        <w:t>中标人的投标保证金的退还，必须同时满足以下要求：</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15.8.1</w:t>
      </w:r>
      <w:r>
        <w:rPr>
          <w:rFonts w:hint="eastAsia" w:ascii="宋体" w:hAnsi="宋体" w:cs="宋体"/>
          <w:sz w:val="24"/>
          <w:szCs w:val="24"/>
          <w:highlight w:val="none"/>
        </w:rPr>
        <w:t>中标人按投标人须知的规定签订合同。</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15.9</w:t>
      </w:r>
      <w:r>
        <w:rPr>
          <w:rFonts w:hint="eastAsia" w:ascii="宋体" w:hAnsi="宋体" w:cs="宋体"/>
          <w:sz w:val="24"/>
          <w:szCs w:val="24"/>
          <w:highlight w:val="none"/>
        </w:rPr>
        <w:t>下列任何一种情况发生时，投标保证金将被没收：</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15.9.1</w:t>
      </w:r>
      <w:r>
        <w:rPr>
          <w:rFonts w:hint="eastAsia" w:ascii="宋体" w:hAnsi="宋体" w:cs="宋体"/>
          <w:sz w:val="24"/>
          <w:szCs w:val="24"/>
          <w:highlight w:val="none"/>
        </w:rPr>
        <w:t>投标人在投标文件中响应的投标有效期内撤回其投标；</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15.9.2</w:t>
      </w:r>
      <w:r>
        <w:rPr>
          <w:rFonts w:hint="eastAsia" w:ascii="宋体" w:hAnsi="宋体" w:cs="宋体"/>
          <w:sz w:val="24"/>
          <w:szCs w:val="24"/>
          <w:highlight w:val="none"/>
        </w:rPr>
        <w:t>中标人在规定期限内未能根据投标人须知的规定签订合同；</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15.9.3</w:t>
      </w:r>
      <w:r>
        <w:rPr>
          <w:rFonts w:hint="eastAsia" w:ascii="宋体" w:hAnsi="宋体" w:cs="宋体"/>
          <w:sz w:val="24"/>
          <w:szCs w:val="24"/>
          <w:highlight w:val="none"/>
        </w:rPr>
        <w:t>投标人有不真实投标或有违法违规行为的。</w:t>
      </w:r>
    </w:p>
    <w:p>
      <w:pPr>
        <w:spacing w:line="360" w:lineRule="auto"/>
        <w:rPr>
          <w:rFonts w:ascii="宋体" w:cs="宋体"/>
          <w:sz w:val="24"/>
          <w:szCs w:val="24"/>
          <w:highlight w:val="none"/>
        </w:rPr>
      </w:pPr>
      <w:r>
        <w:rPr>
          <w:rFonts w:ascii="宋体" w:hAnsi="宋体" w:cs="宋体"/>
          <w:sz w:val="24"/>
          <w:szCs w:val="24"/>
          <w:highlight w:val="none"/>
        </w:rPr>
        <w:t>16.</w:t>
      </w:r>
      <w:r>
        <w:rPr>
          <w:rFonts w:hint="eastAsia" w:ascii="宋体" w:hAnsi="宋体" w:cs="宋体"/>
          <w:sz w:val="24"/>
          <w:szCs w:val="24"/>
          <w:highlight w:val="none"/>
        </w:rPr>
        <w:t>投标的截止期</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16.1</w:t>
      </w:r>
      <w:r>
        <w:rPr>
          <w:rFonts w:hint="eastAsia" w:ascii="宋体" w:hAnsi="宋体" w:cs="宋体"/>
          <w:sz w:val="24"/>
          <w:szCs w:val="24"/>
          <w:highlight w:val="none"/>
        </w:rPr>
        <w:t>超过截止时点后的投标为无效投标。</w:t>
      </w:r>
    </w:p>
    <w:p>
      <w:pPr>
        <w:spacing w:line="360" w:lineRule="auto"/>
        <w:rPr>
          <w:rFonts w:ascii="宋体" w:cs="宋体"/>
          <w:sz w:val="24"/>
          <w:szCs w:val="24"/>
          <w:highlight w:val="none"/>
        </w:rPr>
      </w:pPr>
      <w:r>
        <w:rPr>
          <w:rFonts w:ascii="宋体" w:hAnsi="宋体" w:cs="宋体"/>
          <w:sz w:val="24"/>
          <w:szCs w:val="24"/>
          <w:highlight w:val="none"/>
        </w:rPr>
        <w:t>17.</w:t>
      </w:r>
      <w:r>
        <w:rPr>
          <w:rFonts w:hint="eastAsia" w:ascii="宋体" w:hAnsi="宋体" w:cs="宋体"/>
          <w:sz w:val="24"/>
          <w:szCs w:val="24"/>
          <w:highlight w:val="none"/>
        </w:rPr>
        <w:t>投标有效期</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17.1</w:t>
      </w:r>
      <w:r>
        <w:rPr>
          <w:rFonts w:hint="eastAsia" w:ascii="宋体" w:hAnsi="宋体" w:cs="宋体"/>
          <w:sz w:val="24"/>
          <w:szCs w:val="24"/>
          <w:highlight w:val="none"/>
        </w:rPr>
        <w:t>投标有效期为投标截止日期后投标人须知前附表规定的天数，投标人的投标文件应在投标有效期内保持有效。投标有效期不足的将被视为实质性不响应采购文件而被宣布无效投标。</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17.2</w:t>
      </w:r>
      <w:r>
        <w:rPr>
          <w:rFonts w:hint="eastAsia" w:ascii="宋体" w:hAnsi="宋体" w:cs="宋体"/>
          <w:sz w:val="24"/>
          <w:szCs w:val="24"/>
          <w:highlight w:val="none"/>
        </w:rPr>
        <w:t>特殊情况下，在原投标有效期截止之前，采购人可要求投标人同意延长其投标有效期。这种要求和答复均应以书面形式提供。投标人可拒绝采购人的这种要求。接受延长投标有效期的投标人将不会被要求和允许修正其投标，而只会被要求相应的延长其投标保证金的有效期，在这种情况下，本须知有关投标保证金的退还和没收的规定将在延长了的有效期内继续有效。</w:t>
      </w:r>
    </w:p>
    <w:p>
      <w:pPr>
        <w:spacing w:line="360" w:lineRule="auto"/>
        <w:rPr>
          <w:rFonts w:ascii="宋体" w:cs="宋体"/>
          <w:sz w:val="24"/>
          <w:szCs w:val="24"/>
          <w:highlight w:val="none"/>
        </w:rPr>
      </w:pPr>
      <w:r>
        <w:rPr>
          <w:rFonts w:ascii="宋体" w:hAnsi="宋体" w:cs="宋体"/>
          <w:sz w:val="24"/>
          <w:szCs w:val="24"/>
          <w:highlight w:val="none"/>
        </w:rPr>
        <w:t>18.</w:t>
      </w:r>
      <w:r>
        <w:rPr>
          <w:rFonts w:hint="eastAsia" w:ascii="宋体" w:hAnsi="宋体" w:cs="宋体"/>
          <w:sz w:val="24"/>
          <w:szCs w:val="24"/>
          <w:highlight w:val="none"/>
        </w:rPr>
        <w:t>投标文件的编制和签署</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18.1</w:t>
      </w:r>
      <w:r>
        <w:rPr>
          <w:rFonts w:hint="eastAsia" w:ascii="宋体" w:hAnsi="宋体" w:cs="宋体"/>
          <w:sz w:val="24"/>
          <w:szCs w:val="24"/>
          <w:highlight w:val="none"/>
        </w:rPr>
        <w:t>投标文件应按照本须知有关规定内容及采购文件第五章“投标文件格式”的要求进行编写，并使用</w:t>
      </w:r>
      <w:r>
        <w:rPr>
          <w:rFonts w:ascii="宋体" w:hAnsi="宋体" w:cs="宋体"/>
          <w:sz w:val="24"/>
          <w:szCs w:val="24"/>
          <w:highlight w:val="none"/>
        </w:rPr>
        <w:t>A4</w:t>
      </w:r>
      <w:r>
        <w:rPr>
          <w:rFonts w:hint="eastAsia" w:ascii="宋体" w:hAnsi="宋体" w:cs="宋体"/>
          <w:sz w:val="24"/>
          <w:szCs w:val="24"/>
          <w:highlight w:val="none"/>
        </w:rPr>
        <w:t>规格纸张打印，按规定签字盖章后，将投标文件牢固装订成册（订口在长边，装订线应位于左侧）。投标文件必须编写目录页码（页码应连续），并牢固装订成册。牢固装订成册是指用适当的办法</w:t>
      </w:r>
      <w:r>
        <w:rPr>
          <w:rFonts w:ascii="宋体" w:cs="宋体"/>
          <w:sz w:val="24"/>
          <w:szCs w:val="24"/>
          <w:highlight w:val="none"/>
        </w:rPr>
        <w:t>,</w:t>
      </w:r>
      <w:r>
        <w:rPr>
          <w:rFonts w:hint="eastAsia" w:ascii="宋体" w:hAnsi="宋体" w:cs="宋体"/>
          <w:sz w:val="24"/>
          <w:szCs w:val="24"/>
          <w:highlight w:val="none"/>
        </w:rPr>
        <w:t>牢固紧密扎紧，以保证投标文件在翻阅过程中不至于散开或用简单办法不能将任何一页在没有任何损坏的情况下取出或插入。各种用活页夹、文件夹、塑料方便式书脊（插入式或穿孔式）装订均不认为是牢固装订。评标过程中由于投标文件没有牢固装订造成散落影响评标结果时，后果由投标企业自负。</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18.2</w:t>
      </w:r>
      <w:r>
        <w:rPr>
          <w:rFonts w:hint="eastAsia" w:ascii="宋体" w:hAnsi="宋体" w:cs="宋体"/>
          <w:sz w:val="24"/>
          <w:szCs w:val="24"/>
          <w:highlight w:val="none"/>
        </w:rPr>
        <w:t>投标文件中所引用的顺序和编号应与采购文件的要求相一致。投标人在具体的投标内容中应逐条进行回应，可以增加说明或描述性文字。投标文件对采购文件未提出异议的条款，均被视为接受和同意。投标文件与采购文件的任何差异之处，均应按本采购文件第五章投标文件格式中的《项目需求相应表》的格式在表中逐一说明。</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18.3</w:t>
      </w:r>
      <w:r>
        <w:rPr>
          <w:rFonts w:hint="eastAsia" w:ascii="宋体" w:hAnsi="宋体" w:cs="宋体"/>
          <w:sz w:val="24"/>
          <w:szCs w:val="24"/>
          <w:highlight w:val="none"/>
        </w:rPr>
        <w:t>投标人应编制投标文件正本和副本的数量详见投标人须知前附表。并在投标文件封面上清楚地标明“正本”或“副本”字样。若正本和副本、电子版（如有）不符，则以正本为准。</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18.4</w:t>
      </w:r>
      <w:r>
        <w:rPr>
          <w:rFonts w:hint="eastAsia" w:ascii="宋体" w:hAnsi="宋体" w:cs="宋体"/>
          <w:sz w:val="24"/>
          <w:szCs w:val="24"/>
          <w:highlight w:val="none"/>
        </w:rPr>
        <w:t>投标文件的正本需打印或用不褪色墨水书写，并在封面及内容格式有提示的地方由投标人的法定代表人或经法定代表人正式授权的代表签字及加盖单位公章。如为授权代表签字，则须以第五章“投标文件格式”规定的格式出具“授权书”原件并附在投标文件中。投标文件的副本可采用签字盖章后的正本的复印件。所有投标文件（包括正本和副本）均须在封面和骑缝加盖公章，所有的复印件（包括正本中的投标资料）均应保证清晰可辨，否则评标委员会有权予以对其作出无效投标的认定。</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18.5</w:t>
      </w:r>
      <w:r>
        <w:rPr>
          <w:rFonts w:hint="eastAsia" w:ascii="宋体" w:hAnsi="宋体" w:cs="宋体"/>
          <w:sz w:val="24"/>
          <w:szCs w:val="24"/>
          <w:highlight w:val="none"/>
        </w:rPr>
        <w:t>投标文件中任何行间插字、涂改和增删，必须由投标文件签字人在旁边签字并加盖投标人公章后方为有效。</w:t>
      </w:r>
    </w:p>
    <w:p>
      <w:pPr>
        <w:pStyle w:val="4"/>
        <w:rPr>
          <w:rFonts w:ascii="宋体" w:cs="宋体"/>
          <w:highlight w:val="none"/>
        </w:rPr>
      </w:pPr>
      <w:bookmarkStart w:id="4" w:name="_Toc517776508"/>
      <w:r>
        <w:rPr>
          <w:rFonts w:hint="eastAsia" w:ascii="宋体" w:hAnsi="宋体" w:cs="宋体"/>
          <w:highlight w:val="none"/>
        </w:rPr>
        <w:t>四、投标文件的递交</w:t>
      </w:r>
      <w:bookmarkEnd w:id="4"/>
    </w:p>
    <w:p>
      <w:pPr>
        <w:spacing w:line="360" w:lineRule="auto"/>
        <w:rPr>
          <w:rFonts w:ascii="宋体" w:cs="宋体"/>
          <w:sz w:val="24"/>
          <w:szCs w:val="24"/>
          <w:highlight w:val="none"/>
        </w:rPr>
      </w:pPr>
      <w:r>
        <w:rPr>
          <w:rFonts w:ascii="宋体" w:hAnsi="宋体" w:cs="宋体"/>
          <w:sz w:val="24"/>
          <w:szCs w:val="24"/>
          <w:highlight w:val="none"/>
        </w:rPr>
        <w:t>19.</w:t>
      </w:r>
      <w:r>
        <w:rPr>
          <w:rFonts w:hint="eastAsia" w:ascii="宋体" w:hAnsi="宋体" w:cs="宋体"/>
          <w:sz w:val="24"/>
          <w:szCs w:val="24"/>
          <w:highlight w:val="none"/>
        </w:rPr>
        <w:t>投标文件的密封、标记和递交</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19.1</w:t>
      </w:r>
      <w:r>
        <w:rPr>
          <w:rFonts w:hint="eastAsia" w:ascii="宋体" w:hAnsi="宋体" w:cs="宋体"/>
          <w:sz w:val="24"/>
          <w:szCs w:val="24"/>
          <w:highlight w:val="none"/>
        </w:rPr>
        <w:t>投标人可将投标文件正本和所有的副本分别用密封袋密封，亦可将所有的投标文件装在同一密封袋中密封；无论如何密封，所有密封袋的封口处均须骑缝加盖投标人公章，并按格式要求标注密封袋封面，否则其投标将被拒绝（投标文件密封袋封面格式见第五章投标文件格式）。</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19.2</w:t>
      </w:r>
      <w:r>
        <w:rPr>
          <w:rFonts w:hint="eastAsia" w:ascii="宋体" w:hAnsi="宋体" w:cs="宋体"/>
          <w:sz w:val="24"/>
          <w:szCs w:val="24"/>
          <w:highlight w:val="none"/>
        </w:rPr>
        <w:t>所有的密封包装外均应注明以下内容：</w:t>
      </w:r>
    </w:p>
    <w:p>
      <w:pPr>
        <w:spacing w:line="360" w:lineRule="auto"/>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）清楚标明递交至：新疆华域建设工程项目管理咨询有限公司</w:t>
      </w:r>
    </w:p>
    <w:p>
      <w:pPr>
        <w:spacing w:line="360" w:lineRule="auto"/>
        <w:ind w:left="240" w:hanging="240" w:hanging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）项目名称、项目编号、所投包号、投标文件内容名称（“开标一览表”、“投标文件”、“正本”、“副本”）；</w:t>
      </w:r>
    </w:p>
    <w:p>
      <w:pPr>
        <w:spacing w:line="360" w:lineRule="auto"/>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）“在年月日时分（注：指开标时间）之前不得启封”的字样；</w:t>
      </w:r>
    </w:p>
    <w:p>
      <w:pPr>
        <w:spacing w:line="360" w:lineRule="auto"/>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rPr>
        <w:t>）投标人名称和地址，以便若其投标被宣布为“迟到”投标时，能原封退回。</w:t>
      </w:r>
    </w:p>
    <w:p>
      <w:pPr>
        <w:spacing w:line="360" w:lineRule="auto"/>
        <w:ind w:left="480" w:hanging="480" w:hanging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5</w:t>
      </w:r>
      <w:r>
        <w:rPr>
          <w:rFonts w:hint="eastAsia" w:ascii="宋体" w:hAnsi="宋体" w:cs="宋体"/>
          <w:sz w:val="24"/>
          <w:szCs w:val="24"/>
          <w:highlight w:val="none"/>
        </w:rPr>
        <w:t>）如果投标文件未能按上述要求进行密封包装和加写标记，则采购人及采购代理机构将拒绝接收受理。</w:t>
      </w:r>
    </w:p>
    <w:p>
      <w:pPr>
        <w:spacing w:line="360" w:lineRule="auto"/>
        <w:rPr>
          <w:rFonts w:ascii="宋体" w:cs="宋体"/>
          <w:sz w:val="24"/>
          <w:szCs w:val="24"/>
          <w:highlight w:val="none"/>
        </w:rPr>
      </w:pPr>
      <w:r>
        <w:rPr>
          <w:rFonts w:ascii="宋体" w:hAnsi="宋体" w:cs="宋体"/>
          <w:sz w:val="24"/>
          <w:szCs w:val="24"/>
          <w:highlight w:val="none"/>
        </w:rPr>
        <w:t>20.</w:t>
      </w:r>
      <w:r>
        <w:rPr>
          <w:rFonts w:hint="eastAsia" w:ascii="宋体" w:hAnsi="宋体" w:cs="宋体"/>
          <w:sz w:val="24"/>
          <w:szCs w:val="24"/>
          <w:highlight w:val="none"/>
        </w:rPr>
        <w:t>投标截止时间及投标地址</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20.1</w:t>
      </w:r>
      <w:r>
        <w:rPr>
          <w:rFonts w:hint="eastAsia" w:ascii="宋体" w:hAnsi="宋体" w:cs="宋体"/>
          <w:sz w:val="24"/>
          <w:szCs w:val="24"/>
          <w:highlight w:val="none"/>
        </w:rPr>
        <w:t>投标截止时间及投标地址详见第一章竞争性磋商公告的规定。</w:t>
      </w:r>
    </w:p>
    <w:p>
      <w:pPr>
        <w:spacing w:line="360" w:lineRule="auto"/>
        <w:ind w:left="239" w:leftChars="114"/>
        <w:rPr>
          <w:rFonts w:ascii="宋体" w:cs="宋体"/>
          <w:sz w:val="24"/>
          <w:szCs w:val="24"/>
          <w:highlight w:val="none"/>
        </w:rPr>
      </w:pPr>
      <w:r>
        <w:rPr>
          <w:rFonts w:ascii="宋体" w:hAnsi="宋体" w:cs="宋体"/>
          <w:sz w:val="24"/>
          <w:szCs w:val="24"/>
          <w:highlight w:val="none"/>
        </w:rPr>
        <w:t>20.2</w:t>
      </w:r>
      <w:r>
        <w:rPr>
          <w:rFonts w:hint="eastAsia" w:ascii="宋体" w:hAnsi="宋体" w:cs="宋体"/>
          <w:sz w:val="24"/>
          <w:szCs w:val="24"/>
          <w:highlight w:val="none"/>
        </w:rPr>
        <w:t>采购人及采购代理机构将拒绝受理迟于投标截止时间送达的投标文件，亦不受理未按规定的投标地址送达的投标文件。</w:t>
      </w:r>
    </w:p>
    <w:p>
      <w:pPr>
        <w:spacing w:line="360" w:lineRule="auto"/>
        <w:ind w:left="239" w:leftChars="114"/>
        <w:rPr>
          <w:rFonts w:ascii="宋体" w:cs="宋体"/>
          <w:sz w:val="24"/>
          <w:szCs w:val="24"/>
          <w:highlight w:val="none"/>
        </w:rPr>
      </w:pPr>
      <w:r>
        <w:rPr>
          <w:rFonts w:ascii="宋体" w:hAnsi="宋体" w:cs="宋体"/>
          <w:sz w:val="24"/>
          <w:szCs w:val="24"/>
          <w:highlight w:val="none"/>
        </w:rPr>
        <w:t>20.3</w:t>
      </w:r>
      <w:r>
        <w:rPr>
          <w:rFonts w:hint="eastAsia" w:ascii="宋体" w:hAnsi="宋体" w:cs="宋体"/>
          <w:sz w:val="24"/>
          <w:szCs w:val="24"/>
          <w:highlight w:val="none"/>
        </w:rPr>
        <w:t>根据本须知“采购文件的修改”规定，采购人有权通过修改采购文件而适当延长投标截止时间。在此情况下，采购人和投标人受投标截止时间制约的所有权利和义务均应延长至新的截止时间。</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20.4</w:t>
      </w:r>
      <w:r>
        <w:rPr>
          <w:rFonts w:hint="eastAsia" w:ascii="宋体" w:hAnsi="宋体" w:cs="宋体"/>
          <w:sz w:val="24"/>
          <w:szCs w:val="24"/>
          <w:highlight w:val="none"/>
        </w:rPr>
        <w:t>采购代理机构于开标截止时间前见投标人须知前附表开始接收投标文件。</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20.5</w:t>
      </w:r>
      <w:r>
        <w:rPr>
          <w:rFonts w:hint="eastAsia" w:ascii="宋体" w:hAnsi="宋体" w:cs="宋体"/>
          <w:sz w:val="24"/>
          <w:szCs w:val="24"/>
          <w:highlight w:val="none"/>
        </w:rPr>
        <w:t>投标人代表以密封包装当面递交，不接受邮递方式或第三方转交方式。</w:t>
      </w:r>
    </w:p>
    <w:p>
      <w:pPr>
        <w:spacing w:line="360" w:lineRule="auto"/>
        <w:rPr>
          <w:rFonts w:ascii="宋体" w:cs="宋体"/>
          <w:sz w:val="24"/>
          <w:szCs w:val="24"/>
          <w:highlight w:val="none"/>
        </w:rPr>
      </w:pPr>
      <w:r>
        <w:rPr>
          <w:rFonts w:ascii="宋体" w:hAnsi="宋体" w:cs="宋体"/>
          <w:sz w:val="24"/>
          <w:szCs w:val="24"/>
          <w:highlight w:val="none"/>
        </w:rPr>
        <w:t>21.</w:t>
      </w:r>
      <w:r>
        <w:rPr>
          <w:rFonts w:hint="eastAsia" w:ascii="宋体" w:hAnsi="宋体" w:cs="宋体"/>
          <w:sz w:val="24"/>
          <w:szCs w:val="24"/>
          <w:highlight w:val="none"/>
        </w:rPr>
        <w:t>迟到的投标文件</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21.1</w:t>
      </w:r>
      <w:r>
        <w:rPr>
          <w:rFonts w:hint="eastAsia" w:ascii="宋体" w:hAnsi="宋体" w:cs="宋体"/>
          <w:sz w:val="24"/>
          <w:szCs w:val="24"/>
          <w:highlight w:val="none"/>
        </w:rPr>
        <w:t>采购人将拒绝并原封退回本次招标投标截止时间后收到的任何投标文件。</w:t>
      </w:r>
    </w:p>
    <w:p>
      <w:pPr>
        <w:spacing w:line="360" w:lineRule="auto"/>
        <w:rPr>
          <w:rFonts w:ascii="宋体" w:cs="宋体"/>
          <w:sz w:val="24"/>
          <w:szCs w:val="24"/>
          <w:highlight w:val="none"/>
        </w:rPr>
      </w:pPr>
      <w:r>
        <w:rPr>
          <w:rFonts w:ascii="宋体" w:hAnsi="宋体" w:cs="宋体"/>
          <w:sz w:val="24"/>
          <w:szCs w:val="24"/>
          <w:highlight w:val="none"/>
        </w:rPr>
        <w:t>22.</w:t>
      </w:r>
      <w:r>
        <w:rPr>
          <w:rFonts w:hint="eastAsia" w:ascii="宋体" w:hAnsi="宋体" w:cs="宋体"/>
          <w:sz w:val="24"/>
          <w:szCs w:val="24"/>
          <w:highlight w:val="none"/>
        </w:rPr>
        <w:t>投标文件的修改与撤回</w:t>
      </w:r>
    </w:p>
    <w:p>
      <w:pPr>
        <w:spacing w:line="360" w:lineRule="auto"/>
        <w:ind w:left="239" w:leftChars="114"/>
        <w:rPr>
          <w:rFonts w:ascii="宋体" w:cs="宋体"/>
          <w:sz w:val="24"/>
          <w:szCs w:val="24"/>
          <w:highlight w:val="none"/>
        </w:rPr>
      </w:pPr>
      <w:r>
        <w:rPr>
          <w:rFonts w:ascii="宋体" w:hAnsi="宋体" w:cs="宋体"/>
          <w:sz w:val="24"/>
          <w:szCs w:val="24"/>
          <w:highlight w:val="none"/>
        </w:rPr>
        <w:t>22.1</w:t>
      </w:r>
      <w:r>
        <w:rPr>
          <w:rFonts w:hint="eastAsia" w:ascii="宋体" w:hAnsi="宋体" w:cs="宋体"/>
          <w:sz w:val="24"/>
          <w:szCs w:val="24"/>
          <w:highlight w:val="none"/>
        </w:rPr>
        <w:t>投标人在投标截止时间前，可对所递交的投标文件进行补充、修改或者撤回，并书面通知招标采购单位。补充、修改的内容应当按采购文件要求签署、盖章，并作为投标文件的组成部分。在投标截止时点之后，投标人不得对其投标文件做任何修改和补充。</w:t>
      </w:r>
    </w:p>
    <w:p>
      <w:pPr>
        <w:spacing w:line="360" w:lineRule="auto"/>
        <w:ind w:left="239" w:leftChars="114"/>
        <w:rPr>
          <w:rFonts w:ascii="宋体" w:cs="宋体"/>
          <w:sz w:val="24"/>
          <w:szCs w:val="24"/>
          <w:highlight w:val="none"/>
        </w:rPr>
      </w:pPr>
      <w:r>
        <w:rPr>
          <w:rFonts w:ascii="宋体" w:hAnsi="宋体" w:cs="宋体"/>
          <w:sz w:val="24"/>
          <w:szCs w:val="24"/>
          <w:highlight w:val="none"/>
        </w:rPr>
        <w:t>22.2</w:t>
      </w:r>
      <w:r>
        <w:rPr>
          <w:rFonts w:hint="eastAsia" w:ascii="宋体" w:hAnsi="宋体" w:cs="宋体"/>
          <w:sz w:val="24"/>
          <w:szCs w:val="24"/>
          <w:highlight w:val="none"/>
        </w:rPr>
        <w:t>投标人在递交投标文件后，可以撤回其投标，但投标人必须在规定的投标截止时点前以书面形式告知采购代理机构。</w:t>
      </w:r>
    </w:p>
    <w:p>
      <w:pPr>
        <w:spacing w:line="360" w:lineRule="auto"/>
        <w:ind w:left="239" w:leftChars="114"/>
        <w:rPr>
          <w:rFonts w:ascii="宋体" w:cs="宋体"/>
          <w:sz w:val="24"/>
          <w:szCs w:val="24"/>
          <w:highlight w:val="none"/>
        </w:rPr>
      </w:pPr>
      <w:r>
        <w:rPr>
          <w:rFonts w:ascii="宋体" w:hAnsi="宋体" w:cs="宋体"/>
          <w:sz w:val="24"/>
          <w:szCs w:val="24"/>
          <w:highlight w:val="none"/>
        </w:rPr>
        <w:t>22.3</w:t>
      </w:r>
      <w:r>
        <w:rPr>
          <w:rFonts w:hint="eastAsia" w:ascii="宋体" w:hAnsi="宋体" w:cs="宋体"/>
          <w:sz w:val="24"/>
          <w:szCs w:val="24"/>
          <w:highlight w:val="none"/>
        </w:rPr>
        <w:t>从投标截止期至投标人在投标函格式中确定的投标有效期期满这段时间内，投标人不得撤回其投标，否则其投标保证金将按照本须知的规定被没收。</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22.4</w:t>
      </w:r>
      <w:r>
        <w:rPr>
          <w:rFonts w:hint="eastAsia" w:ascii="宋体" w:hAnsi="宋体" w:cs="宋体"/>
          <w:sz w:val="24"/>
          <w:szCs w:val="24"/>
          <w:highlight w:val="none"/>
        </w:rPr>
        <w:t>投标人所提交的投标文件在评标结束后，无论中标与否都不退还。</w:t>
      </w:r>
    </w:p>
    <w:p>
      <w:pPr>
        <w:pStyle w:val="4"/>
        <w:rPr>
          <w:rFonts w:ascii="宋体" w:cs="宋体"/>
          <w:highlight w:val="none"/>
        </w:rPr>
      </w:pPr>
      <w:bookmarkStart w:id="5" w:name="_Toc517776509"/>
      <w:r>
        <w:rPr>
          <w:rFonts w:hint="eastAsia" w:ascii="宋体" w:hAnsi="宋体" w:cs="宋体"/>
          <w:highlight w:val="none"/>
        </w:rPr>
        <w:t>五、开标、评标和定标</w:t>
      </w:r>
      <w:bookmarkEnd w:id="5"/>
    </w:p>
    <w:p>
      <w:pPr>
        <w:spacing w:line="360" w:lineRule="auto"/>
        <w:rPr>
          <w:rFonts w:ascii="宋体" w:cs="宋体"/>
          <w:sz w:val="24"/>
          <w:szCs w:val="24"/>
          <w:highlight w:val="none"/>
        </w:rPr>
      </w:pPr>
      <w:r>
        <w:rPr>
          <w:rFonts w:ascii="宋体" w:hAnsi="宋体" w:cs="宋体"/>
          <w:sz w:val="24"/>
          <w:szCs w:val="24"/>
          <w:highlight w:val="none"/>
        </w:rPr>
        <w:t>23.</w:t>
      </w:r>
      <w:r>
        <w:rPr>
          <w:rFonts w:hint="eastAsia" w:ascii="宋体" w:hAnsi="宋体" w:cs="宋体"/>
          <w:sz w:val="24"/>
          <w:szCs w:val="24"/>
          <w:highlight w:val="none"/>
        </w:rPr>
        <w:t>开标</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23.1</w:t>
      </w:r>
      <w:r>
        <w:rPr>
          <w:rFonts w:hint="eastAsia" w:ascii="宋体" w:hAnsi="宋体" w:cs="宋体"/>
          <w:sz w:val="24"/>
          <w:szCs w:val="24"/>
          <w:highlight w:val="none"/>
        </w:rPr>
        <w:t>采购代理机构在《招标招标公告》中规定的日期、时间和地点组织开标。投标人代表及被邀请的有关代表均应依时参加。参加开标的代表应签到以证明其出席。</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23.2</w:t>
      </w:r>
      <w:r>
        <w:rPr>
          <w:rFonts w:hint="eastAsia" w:ascii="宋体" w:hAnsi="宋体" w:cs="宋体"/>
          <w:sz w:val="24"/>
          <w:szCs w:val="24"/>
          <w:highlight w:val="none"/>
        </w:rPr>
        <w:t>投标人代表必须按照投标人须知前附表规定的要求参加开标会议。</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23.3</w:t>
      </w:r>
      <w:r>
        <w:rPr>
          <w:rFonts w:hint="eastAsia" w:ascii="宋体" w:hAnsi="宋体" w:cs="宋体"/>
          <w:sz w:val="24"/>
          <w:szCs w:val="24"/>
          <w:highlight w:val="none"/>
        </w:rPr>
        <w:t>开标前，由投标人或其推选的代表检查投标文件的密封情况，也可以由采购人委托的机构检查并见证，经确认无误后由招标工作人员当众拆封。任何密封性文件的包装，均以不会损害各投标当事人的合法权益为合格标准。对于构成直接、明显的侵权行为和事实时，侵权者将作为无效投标处理。投标人授权代表需签署投标文件密封确认表。唱标将宣读投标人名称、投标文件的其他主要内容和采购文件允许提供的备选投标方案。</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23.4</w:t>
      </w:r>
      <w:r>
        <w:rPr>
          <w:rFonts w:hint="eastAsia" w:ascii="宋体" w:hAnsi="宋体" w:cs="宋体"/>
          <w:sz w:val="24"/>
          <w:szCs w:val="24"/>
          <w:highlight w:val="none"/>
        </w:rPr>
        <w:t>除了按照本须知“迟到的投标文件”规定原封退回迟到的投标之外，开标时将不得拒绝任何投标。</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23.5</w:t>
      </w:r>
      <w:r>
        <w:rPr>
          <w:rFonts w:hint="eastAsia" w:ascii="宋体" w:hAnsi="宋体" w:cs="宋体"/>
          <w:sz w:val="24"/>
          <w:szCs w:val="24"/>
          <w:highlight w:val="none"/>
        </w:rPr>
        <w:t>在开标时没有启封和读出的投标文件（包括按照本须知投标文件的修改与撤回递交的修改书），在评标时将不予考虑。没有启封和读出的投标文件将原封退回给投标人。</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23.6</w:t>
      </w:r>
      <w:r>
        <w:rPr>
          <w:rFonts w:hint="eastAsia" w:ascii="宋体" w:hAnsi="宋体" w:cs="宋体"/>
          <w:sz w:val="24"/>
          <w:szCs w:val="24"/>
          <w:highlight w:val="none"/>
        </w:rPr>
        <w:t>采购代理机构将在开标记录表上记录唱标内容，并当场公示。如开标记录表上内容与投标文件不一致时，投标人代表须当场提出。开标记录表由记录人、唱标人、投标人代表和有关人员共同签字确认。</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23.7</w:t>
      </w:r>
      <w:r>
        <w:rPr>
          <w:rFonts w:hint="eastAsia" w:ascii="宋体" w:hAnsi="宋体" w:cs="宋体"/>
          <w:sz w:val="24"/>
          <w:szCs w:val="24"/>
          <w:highlight w:val="none"/>
        </w:rPr>
        <w:t>磋商程序</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、代理机构按竞争性磋商文件规定的时间、地点组织开标、磋商。采购单位代表及有关工作人员参加，政府采购监管部门视情况参与。</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、供应商应委派法人或授权代表磋商活动，参加磋商的人员须持本人身份证原件签名报到，授权代表还需提供法人授权委托书。</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开标会议由代理机构主持。开标时，由监督人员对供应商的资格条件、磋商保证金提交等内容进行审查，在监督人员的监督下由供应商检查响应文件的密封。对检查未通过的，采购人将拒绝并原封退回其响应文件。</w:t>
      </w:r>
      <w:r>
        <w:rPr>
          <w:rFonts w:ascii="宋体" w:hAnsi="宋体" w:cs="宋体"/>
          <w:sz w:val="24"/>
          <w:szCs w:val="24"/>
          <w:highlight w:val="none"/>
        </w:rPr>
        <w:t xml:space="preserve"> </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、磋商会议由磋商小组组长主持。磋商小组首先对各响应文件进行初步审查，初步审查包括资格性审查和符合性审查，未通过审查的为无效标。</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⑴资格性检查：磋商小组将根据法律法规和竞争性磋商文件的规定，对响应文件的资格证明文件、磋商保证金等进行审查，以确定供应商是否具备竞争性磋商资格。</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供应商响应文件中所述服务质量、技术、规格、数量、交货时间和交货地点是否满足竞争性磋商文件要求。重大偏离的认定须经竞争性磋商小组三分之二以上组员同意。</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5</w:t>
      </w:r>
      <w:r>
        <w:rPr>
          <w:rFonts w:hint="eastAsia" w:ascii="宋体" w:hAnsi="宋体" w:cs="宋体"/>
          <w:sz w:val="24"/>
          <w:szCs w:val="24"/>
          <w:highlight w:val="none"/>
        </w:rPr>
        <w:t>、磋商小组判断“响应文件”的响应性，仅基于“响应文件”本身而不靠外部证据。对非实质性响应的响应文件，供应商不能通过修正或撤销不符之处，而使其成为实质性响应。</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6</w:t>
      </w:r>
      <w:r>
        <w:rPr>
          <w:rFonts w:hint="eastAsia" w:ascii="宋体" w:hAnsi="宋体" w:cs="宋体"/>
          <w:sz w:val="24"/>
          <w:szCs w:val="24"/>
          <w:highlight w:val="none"/>
        </w:rPr>
        <w:t>、磋商小组根据竞争性磋商文件要求，讨论、通过磋商工作流程和磋商要点。</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7</w:t>
      </w:r>
      <w:r>
        <w:rPr>
          <w:rFonts w:hint="eastAsia" w:ascii="宋体" w:hAnsi="宋体" w:cs="宋体"/>
          <w:sz w:val="24"/>
          <w:szCs w:val="24"/>
          <w:highlight w:val="none"/>
        </w:rPr>
        <w:t>、采购人按照投标人签到逆顺序通知有效供应商磋商。</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参与二次报价及服务承诺的人员须是供应商法定代表人或其授权代表（核对身份证）。</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8</w:t>
      </w:r>
      <w:r>
        <w:rPr>
          <w:rFonts w:hint="eastAsia" w:ascii="宋体" w:hAnsi="宋体" w:cs="宋体"/>
          <w:sz w:val="24"/>
          <w:szCs w:val="24"/>
          <w:highlight w:val="none"/>
        </w:rPr>
        <w:t>、围绕磋商要点，磋商小组全体成员集中与单一供应商分别进行磋商，逐家磋商一次为一个轮次，磋商轮次原则上为两轮，具体由磋商小组视情况决定。</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9</w:t>
      </w:r>
      <w:r>
        <w:rPr>
          <w:rFonts w:hint="eastAsia" w:ascii="宋体" w:hAnsi="宋体" w:cs="宋体"/>
          <w:sz w:val="24"/>
          <w:szCs w:val="24"/>
          <w:highlight w:val="none"/>
        </w:rPr>
        <w:t>、竞争性磋商文件有较大变动的，磋商小组将以书面形式通知所有参加磋商的供应商。</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10</w:t>
      </w:r>
      <w:r>
        <w:rPr>
          <w:rFonts w:hint="eastAsia" w:ascii="宋体" w:hAnsi="宋体" w:cs="宋体"/>
          <w:sz w:val="24"/>
          <w:szCs w:val="24"/>
          <w:highlight w:val="none"/>
        </w:rPr>
        <w:t>、供应商未及时参与磋商的，视为自动放弃参与磋商的资格</w:t>
      </w:r>
      <w:r>
        <w:rPr>
          <w:rFonts w:ascii="宋体" w:hAnsi="宋体" w:cs="宋体"/>
          <w:sz w:val="24"/>
          <w:szCs w:val="24"/>
          <w:highlight w:val="none"/>
        </w:rPr>
        <w:t xml:space="preserve"> </w:t>
      </w:r>
    </w:p>
    <w:p>
      <w:pPr>
        <w:spacing w:line="360" w:lineRule="auto"/>
        <w:ind w:firstLine="240" w:firstLineChars="100"/>
        <w:rPr>
          <w:rFonts w:ascii="宋体" w:cs="宋体"/>
          <w:b/>
          <w:sz w:val="24"/>
          <w:szCs w:val="24"/>
          <w:highlight w:val="none"/>
        </w:rPr>
      </w:pPr>
      <w:r>
        <w:rPr>
          <w:rFonts w:hint="eastAsia" w:ascii="宋体" w:hAnsi="宋体" w:cs="宋体"/>
          <w:sz w:val="24"/>
          <w:szCs w:val="24"/>
          <w:highlight w:val="none"/>
        </w:rPr>
        <w:t>磋商结束后，磋商小组将要求所有有效供应商在规定时间内提交最终报价及服务承诺</w:t>
      </w:r>
    </w:p>
    <w:p>
      <w:pPr>
        <w:spacing w:line="360" w:lineRule="auto"/>
        <w:rPr>
          <w:rFonts w:ascii="宋体" w:cs="宋体"/>
          <w:sz w:val="24"/>
          <w:szCs w:val="24"/>
          <w:highlight w:val="none"/>
        </w:rPr>
      </w:pPr>
      <w:r>
        <w:rPr>
          <w:rFonts w:ascii="宋体" w:hAnsi="宋体" w:cs="宋体"/>
          <w:sz w:val="24"/>
          <w:szCs w:val="24"/>
          <w:highlight w:val="none"/>
        </w:rPr>
        <w:t>24.</w:t>
      </w:r>
      <w:r>
        <w:rPr>
          <w:rFonts w:hint="eastAsia" w:ascii="宋体" w:hAnsi="宋体" w:cs="宋体"/>
          <w:sz w:val="24"/>
          <w:szCs w:val="24"/>
          <w:highlight w:val="none"/>
        </w:rPr>
        <w:t>评标委员会的组成及评审工作要求</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24.1</w:t>
      </w:r>
      <w:r>
        <w:rPr>
          <w:rFonts w:hint="eastAsia" w:ascii="宋体" w:hAnsi="宋体" w:cs="宋体"/>
          <w:sz w:val="24"/>
          <w:szCs w:val="24"/>
          <w:highlight w:val="none"/>
        </w:rPr>
        <w:t>评标由采购代理机构依照政府采购法律、法规、规章、政策的规定，组建的评标委员会负责。评标委员会成员由采购人代表和（技术、经济等）方面的评审专家组成，采购人代表人数、专家人数及专业构成按政府采购规定确定。评标委员会成员依法从政府采购专家库中随机抽取。</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24.2</w:t>
      </w:r>
      <w:r>
        <w:rPr>
          <w:rFonts w:hint="eastAsia" w:ascii="宋体" w:hAnsi="宋体" w:cs="宋体"/>
          <w:sz w:val="24"/>
          <w:szCs w:val="24"/>
          <w:highlight w:val="none"/>
        </w:rPr>
        <w:t>评标委员会将按照采购文件确定的评标方法进行评标。评标委员会对投标文件的评审分为符合性检查和商务评审、技术评审、价格评审。</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24.3</w:t>
      </w:r>
      <w:r>
        <w:rPr>
          <w:rFonts w:hint="eastAsia" w:ascii="宋体" w:hAnsi="宋体" w:cs="宋体"/>
          <w:sz w:val="24"/>
          <w:szCs w:val="24"/>
          <w:highlight w:val="none"/>
        </w:rPr>
        <w:t>评标委员会将本着公平、公正、科学、择优的原则，严格按照法律法规和采购文件的要求推荐评审结果。如发现评标委员会的工作明显偏离采购文件的要求，或违反国家法律法规，采购人和采购代理机构可会同监管部门有权解散评标委员会，重新组织招标或评标。</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24.4</w:t>
      </w:r>
      <w:r>
        <w:rPr>
          <w:rFonts w:hint="eastAsia" w:ascii="宋体" w:hAnsi="宋体" w:cs="宋体"/>
          <w:sz w:val="24"/>
          <w:szCs w:val="24"/>
          <w:highlight w:val="none"/>
        </w:rPr>
        <w:t>评审期间，采购人、采购代理机构、评标委员会不得对采购文件中一些涉及竞争的公平、公正性重要内容进行现场临时修改调整，也不得单独与投标人进行联系接触。</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24.5</w:t>
      </w:r>
      <w:r>
        <w:rPr>
          <w:rFonts w:hint="eastAsia" w:ascii="宋体" w:hAnsi="宋体" w:cs="宋体"/>
          <w:sz w:val="24"/>
          <w:szCs w:val="24"/>
          <w:highlight w:val="none"/>
        </w:rPr>
        <w:t>评标委员会判断投标文件的有效性、合格性和响应情况，仅依赖于投标人最基本的商业诚信和所递交一切文件的真实表述，不额外主动寻求外部证据，不受与本项目无直接关联的外部信息、传言而影响自身的专业判断。</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24.6</w:t>
      </w:r>
      <w:r>
        <w:rPr>
          <w:rFonts w:hint="eastAsia" w:ascii="宋体" w:hAnsi="宋体" w:cs="宋体"/>
          <w:sz w:val="24"/>
          <w:szCs w:val="24"/>
          <w:highlight w:val="none"/>
        </w:rPr>
        <w:t>如对采购文件、投标文件及相关补充文件的理解存有歧义时，评标委员会可对这些文件或向有关方面进行查证了解质询，并通过集体讨论或表决达成一致处理意见。任何形式的决定，须以合法公正和有利于项目的安全顺利实施为前提。</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24.7</w:t>
      </w:r>
      <w:r>
        <w:rPr>
          <w:rFonts w:hint="eastAsia" w:ascii="宋体" w:hAnsi="宋体" w:cs="宋体"/>
          <w:sz w:val="24"/>
          <w:szCs w:val="24"/>
          <w:highlight w:val="none"/>
        </w:rPr>
        <w:t>评标委员会只就投标文件中所载明的情况进行评审，严格按照采购文件规定的评标方法和评标标准进行评标，独立对每个有效投标人的投标文件进行评价、打分。</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24.8</w:t>
      </w:r>
      <w:r>
        <w:rPr>
          <w:rFonts w:hint="eastAsia" w:ascii="宋体" w:hAnsi="宋体" w:cs="宋体"/>
          <w:sz w:val="24"/>
          <w:szCs w:val="24"/>
          <w:highlight w:val="none"/>
        </w:rPr>
        <w:t>评分按四舍五入的原则精确至小数点后两位。</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24.9</w:t>
      </w:r>
      <w:r>
        <w:rPr>
          <w:rFonts w:hint="eastAsia" w:ascii="宋体" w:hAnsi="宋体" w:cs="宋体"/>
          <w:sz w:val="24"/>
          <w:szCs w:val="24"/>
          <w:highlight w:val="none"/>
        </w:rPr>
        <w:t>评标委员会不向投标人退还投标文件。</w:t>
      </w:r>
    </w:p>
    <w:p>
      <w:pPr>
        <w:spacing w:line="360" w:lineRule="auto"/>
        <w:rPr>
          <w:rFonts w:ascii="宋体" w:cs="宋体"/>
          <w:sz w:val="24"/>
          <w:szCs w:val="24"/>
          <w:highlight w:val="none"/>
        </w:rPr>
      </w:pPr>
      <w:r>
        <w:rPr>
          <w:rFonts w:ascii="宋体" w:hAnsi="宋体" w:cs="宋体"/>
          <w:sz w:val="24"/>
          <w:szCs w:val="24"/>
          <w:highlight w:val="none"/>
        </w:rPr>
        <w:t>25.</w:t>
      </w:r>
      <w:r>
        <w:rPr>
          <w:rFonts w:hint="eastAsia" w:ascii="宋体" w:hAnsi="宋体" w:cs="宋体"/>
          <w:sz w:val="24"/>
          <w:szCs w:val="24"/>
          <w:highlight w:val="none"/>
        </w:rPr>
        <w:t>投标文件初审</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初审分为资格性审查和符合性审查。</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25.1</w:t>
      </w:r>
      <w:r>
        <w:rPr>
          <w:rFonts w:hint="eastAsia" w:ascii="宋体" w:hAnsi="宋体" w:cs="宋体"/>
          <w:sz w:val="24"/>
          <w:szCs w:val="24"/>
          <w:highlight w:val="none"/>
        </w:rPr>
        <w:t>资格性审查：依据法律法规和采购文件的规定，对照采购文件中“投标人资格要求”的内容进行审查，以确定投标人是否符合投标资格。</w:t>
      </w:r>
    </w:p>
    <w:tbl>
      <w:tblPr>
        <w:tblStyle w:val="36"/>
        <w:tblpPr w:leftFromText="180" w:rightFromText="180" w:vertAnchor="text" w:horzAnchor="page" w:tblpX="1612" w:tblpY="475"/>
        <w:tblOverlap w:val="never"/>
        <w:tblW w:w="9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225" w:type="dxa"/>
            <w:gridSpan w:val="2"/>
            <w:vAlign w:val="center"/>
          </w:tcPr>
          <w:p>
            <w:pPr>
              <w:jc w:val="center"/>
              <w:rPr>
                <w:rFonts w:ascii="宋体"/>
                <w:sz w:val="24"/>
                <w:szCs w:val="24"/>
                <w:highlight w:val="none"/>
              </w:rPr>
            </w:pPr>
            <w:r>
              <w:rPr>
                <w:rFonts w:hint="eastAsia" w:ascii="宋体" w:hAnsi="宋体"/>
                <w:sz w:val="24"/>
                <w:szCs w:val="24"/>
                <w:highlight w:val="none"/>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40" w:type="dxa"/>
            <w:vAlign w:val="center"/>
          </w:tcPr>
          <w:p>
            <w:pPr>
              <w:jc w:val="center"/>
              <w:rPr>
                <w:rFonts w:ascii="宋体"/>
                <w:sz w:val="24"/>
                <w:szCs w:val="24"/>
                <w:highlight w:val="none"/>
              </w:rPr>
            </w:pPr>
            <w:r>
              <w:rPr>
                <w:rFonts w:hint="eastAsia" w:ascii="宋体" w:hAnsi="宋体"/>
                <w:sz w:val="24"/>
                <w:szCs w:val="24"/>
                <w:highlight w:val="none"/>
              </w:rPr>
              <w:t>序号</w:t>
            </w:r>
          </w:p>
        </w:tc>
        <w:tc>
          <w:tcPr>
            <w:tcW w:w="8385" w:type="dxa"/>
            <w:vAlign w:val="center"/>
          </w:tcPr>
          <w:p>
            <w:pPr>
              <w:ind w:firstLine="3120" w:firstLineChars="1300"/>
              <w:rPr>
                <w:rFonts w:ascii="宋体"/>
                <w:sz w:val="24"/>
                <w:szCs w:val="24"/>
                <w:highlight w:val="none"/>
              </w:rPr>
            </w:pPr>
            <w:r>
              <w:rPr>
                <w:rFonts w:hint="eastAsia" w:ascii="宋体" w:hAnsi="宋体"/>
                <w:sz w:val="24"/>
                <w:szCs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40" w:type="dxa"/>
            <w:vAlign w:val="center"/>
          </w:tcPr>
          <w:p>
            <w:pPr>
              <w:jc w:val="center"/>
              <w:rPr>
                <w:rFonts w:ascii="宋体"/>
                <w:sz w:val="24"/>
                <w:szCs w:val="24"/>
                <w:highlight w:val="none"/>
              </w:rPr>
            </w:pPr>
            <w:r>
              <w:rPr>
                <w:rFonts w:ascii="宋体" w:hAnsi="宋体"/>
                <w:sz w:val="24"/>
                <w:szCs w:val="24"/>
                <w:highlight w:val="none"/>
              </w:rPr>
              <w:t>1</w:t>
            </w:r>
          </w:p>
        </w:tc>
        <w:tc>
          <w:tcPr>
            <w:tcW w:w="8385" w:type="dxa"/>
            <w:vAlign w:val="center"/>
          </w:tcPr>
          <w:p>
            <w:pPr>
              <w:jc w:val="center"/>
              <w:rPr>
                <w:rFonts w:ascii="宋体"/>
                <w:sz w:val="24"/>
                <w:szCs w:val="24"/>
                <w:highlight w:val="none"/>
              </w:rPr>
            </w:pPr>
            <w:r>
              <w:rPr>
                <w:rFonts w:hint="eastAsia" w:ascii="宋体" w:hAnsi="宋体"/>
                <w:sz w:val="24"/>
                <w:szCs w:val="24"/>
                <w:highlight w:val="none"/>
              </w:rPr>
              <w:t>法定代表人授权委托书原件及被授权人《居民身份证》原件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40" w:type="dxa"/>
            <w:vAlign w:val="center"/>
          </w:tcPr>
          <w:p>
            <w:pPr>
              <w:jc w:val="center"/>
              <w:rPr>
                <w:rFonts w:ascii="宋体"/>
                <w:sz w:val="24"/>
                <w:szCs w:val="24"/>
                <w:highlight w:val="none"/>
              </w:rPr>
            </w:pPr>
            <w:r>
              <w:rPr>
                <w:rFonts w:ascii="宋体" w:hAnsi="宋体"/>
                <w:sz w:val="24"/>
                <w:szCs w:val="24"/>
                <w:highlight w:val="none"/>
              </w:rPr>
              <w:t>2</w:t>
            </w:r>
          </w:p>
        </w:tc>
        <w:tc>
          <w:tcPr>
            <w:tcW w:w="8385" w:type="dxa"/>
            <w:vAlign w:val="center"/>
          </w:tcPr>
          <w:p>
            <w:pPr>
              <w:jc w:val="center"/>
              <w:rPr>
                <w:rFonts w:ascii="宋体"/>
                <w:sz w:val="24"/>
                <w:szCs w:val="24"/>
                <w:highlight w:val="none"/>
              </w:rPr>
            </w:pPr>
            <w:r>
              <w:rPr>
                <w:rFonts w:hint="eastAsia" w:ascii="宋体" w:hAnsi="宋体"/>
                <w:sz w:val="24"/>
                <w:szCs w:val="24"/>
                <w:highlight w:val="none"/>
              </w:rPr>
              <w:t>“三证合一”的企业法人营业执照原件</w:t>
            </w:r>
          </w:p>
        </w:tc>
      </w:tr>
    </w:tbl>
    <w:p>
      <w:pPr>
        <w:spacing w:line="360" w:lineRule="auto"/>
        <w:rPr>
          <w:rFonts w:ascii="宋体" w:cs="宋体"/>
          <w:sz w:val="24"/>
          <w:szCs w:val="24"/>
          <w:highlight w:val="none"/>
        </w:rPr>
      </w:pPr>
    </w:p>
    <w:p>
      <w:pPr>
        <w:spacing w:line="360" w:lineRule="auto"/>
        <w:ind w:firstLine="480" w:firstLineChars="200"/>
        <w:rPr>
          <w:rFonts w:ascii="宋体"/>
          <w:sz w:val="24"/>
          <w:szCs w:val="24"/>
          <w:highlight w:val="none"/>
        </w:rPr>
      </w:pPr>
      <w:r>
        <w:rPr>
          <w:rFonts w:ascii="宋体" w:hAnsi="宋体" w:cs="宋体"/>
          <w:sz w:val="24"/>
          <w:szCs w:val="24"/>
          <w:highlight w:val="none"/>
        </w:rPr>
        <w:t>25.2</w:t>
      </w:r>
      <w:r>
        <w:rPr>
          <w:rFonts w:hint="eastAsia" w:ascii="宋体" w:hAnsi="宋体" w:cs="宋体"/>
          <w:sz w:val="24"/>
          <w:szCs w:val="24"/>
          <w:highlight w:val="none"/>
        </w:rPr>
        <w:t>符合性审查：</w:t>
      </w:r>
      <w:r>
        <w:rPr>
          <w:rFonts w:hint="eastAsia" w:ascii="宋体" w:hAnsi="宋体"/>
          <w:sz w:val="24"/>
          <w:szCs w:val="24"/>
          <w:highlight w:val="none"/>
        </w:rPr>
        <w:t>依据采购文件的规定，从投标文件的有效性、完整性和对采购文件的响应程度进行审查，以确定是否对采购文件的实质性要求作出响应。</w:t>
      </w:r>
    </w:p>
    <w:p>
      <w:pPr>
        <w:spacing w:line="360" w:lineRule="auto"/>
        <w:rPr>
          <w:rFonts w:ascii="宋体"/>
          <w:sz w:val="24"/>
          <w:szCs w:val="24"/>
          <w:highlight w:val="none"/>
        </w:rPr>
      </w:pPr>
      <w:r>
        <w:rPr>
          <w:rFonts w:hint="eastAsia" w:ascii="宋体" w:hAnsi="宋体"/>
          <w:sz w:val="24"/>
          <w:szCs w:val="24"/>
          <w:highlight w:val="none"/>
        </w:rPr>
        <w:t>实质性响应的投标是指投标符合采购文件的所有条款、条件和规定，且没有重大偏离或保留。重大偏离或保留系指将会影响到采购文件中标的清单及技术参数的要求，或限制了采购人权力和投标人义务的规定，而纠正这些偏离将影响到其他投标人的公平竞争地位。</w:t>
      </w:r>
    </w:p>
    <w:p>
      <w:pPr>
        <w:spacing w:line="360" w:lineRule="auto"/>
        <w:ind w:firstLine="480" w:firstLineChars="200"/>
        <w:rPr>
          <w:rFonts w:ascii="宋体"/>
          <w:sz w:val="24"/>
          <w:szCs w:val="24"/>
          <w:highlight w:val="none"/>
        </w:rPr>
      </w:pPr>
      <w:r>
        <w:rPr>
          <w:rFonts w:hint="eastAsia" w:ascii="宋体" w:hAnsi="宋体"/>
          <w:sz w:val="24"/>
          <w:szCs w:val="24"/>
          <w:highlight w:val="none"/>
        </w:rPr>
        <w:t>招标人将拒绝被确定为非实质性响应的投标人。</w:t>
      </w:r>
    </w:p>
    <w:p>
      <w:pPr>
        <w:spacing w:line="360" w:lineRule="auto"/>
        <w:ind w:firstLine="480" w:firstLineChars="200"/>
        <w:rPr>
          <w:rFonts w:ascii="宋体"/>
          <w:sz w:val="24"/>
          <w:szCs w:val="24"/>
          <w:highlight w:val="none"/>
        </w:rPr>
      </w:pPr>
      <w:r>
        <w:rPr>
          <w:rFonts w:hint="eastAsia" w:ascii="宋体" w:hAnsi="宋体"/>
          <w:sz w:val="24"/>
          <w:szCs w:val="24"/>
          <w:highlight w:val="none"/>
        </w:rPr>
        <w:t>符合性审查内容详见下表：</w:t>
      </w:r>
    </w:p>
    <w:tbl>
      <w:tblPr>
        <w:tblStyle w:val="36"/>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8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095" w:type="dxa"/>
            <w:gridSpan w:val="2"/>
            <w:vAlign w:val="center"/>
          </w:tcPr>
          <w:p>
            <w:pPr>
              <w:jc w:val="center"/>
              <w:rPr>
                <w:rFonts w:ascii="宋体"/>
                <w:sz w:val="24"/>
                <w:szCs w:val="24"/>
                <w:highlight w:val="none"/>
              </w:rPr>
            </w:pPr>
            <w:r>
              <w:rPr>
                <w:rFonts w:hint="eastAsia" w:ascii="宋体" w:hAnsi="宋体"/>
                <w:sz w:val="24"/>
                <w:szCs w:val="24"/>
                <w:highlight w:val="none"/>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49" w:type="dxa"/>
            <w:vAlign w:val="center"/>
          </w:tcPr>
          <w:p>
            <w:pPr>
              <w:jc w:val="center"/>
              <w:rPr>
                <w:rFonts w:ascii="宋体"/>
                <w:sz w:val="24"/>
                <w:szCs w:val="24"/>
                <w:highlight w:val="none"/>
              </w:rPr>
            </w:pPr>
            <w:r>
              <w:rPr>
                <w:rFonts w:hint="eastAsia" w:ascii="宋体" w:hAnsi="宋体"/>
                <w:sz w:val="24"/>
                <w:szCs w:val="24"/>
                <w:highlight w:val="none"/>
              </w:rPr>
              <w:t>序号</w:t>
            </w:r>
          </w:p>
        </w:tc>
        <w:tc>
          <w:tcPr>
            <w:tcW w:w="8346" w:type="dxa"/>
            <w:vAlign w:val="center"/>
          </w:tcPr>
          <w:p>
            <w:pPr>
              <w:ind w:firstLine="3120" w:firstLineChars="1300"/>
              <w:rPr>
                <w:rFonts w:ascii="宋体"/>
                <w:sz w:val="24"/>
                <w:szCs w:val="24"/>
                <w:highlight w:val="none"/>
              </w:rPr>
            </w:pPr>
            <w:r>
              <w:rPr>
                <w:rFonts w:hint="eastAsia" w:ascii="宋体" w:hAnsi="宋体"/>
                <w:sz w:val="24"/>
                <w:szCs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49" w:type="dxa"/>
            <w:vAlign w:val="center"/>
          </w:tcPr>
          <w:p>
            <w:pPr>
              <w:jc w:val="center"/>
              <w:rPr>
                <w:rFonts w:ascii="宋体"/>
                <w:sz w:val="24"/>
                <w:szCs w:val="24"/>
                <w:highlight w:val="none"/>
              </w:rPr>
            </w:pPr>
            <w:r>
              <w:rPr>
                <w:rFonts w:ascii="宋体" w:hAnsi="宋体"/>
                <w:sz w:val="24"/>
                <w:szCs w:val="24"/>
                <w:highlight w:val="none"/>
              </w:rPr>
              <w:t>1</w:t>
            </w:r>
          </w:p>
        </w:tc>
        <w:tc>
          <w:tcPr>
            <w:tcW w:w="8346" w:type="dxa"/>
            <w:vAlign w:val="center"/>
          </w:tcPr>
          <w:p>
            <w:pPr>
              <w:jc w:val="center"/>
              <w:rPr>
                <w:rFonts w:ascii="宋体"/>
                <w:sz w:val="24"/>
                <w:szCs w:val="24"/>
                <w:highlight w:val="none"/>
              </w:rPr>
            </w:pPr>
            <w:r>
              <w:rPr>
                <w:rFonts w:hint="eastAsia" w:ascii="宋体" w:hAnsi="宋体"/>
                <w:sz w:val="24"/>
                <w:szCs w:val="24"/>
                <w:highlight w:val="none"/>
              </w:rPr>
              <w:t>没有按照采购文件要求提供投标保证金的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49" w:type="dxa"/>
            <w:vAlign w:val="center"/>
          </w:tcPr>
          <w:p>
            <w:pPr>
              <w:jc w:val="center"/>
              <w:rPr>
                <w:rFonts w:ascii="宋体"/>
                <w:sz w:val="24"/>
                <w:szCs w:val="24"/>
                <w:highlight w:val="none"/>
              </w:rPr>
            </w:pPr>
            <w:r>
              <w:rPr>
                <w:rFonts w:ascii="宋体" w:hAnsi="宋体"/>
                <w:sz w:val="24"/>
                <w:szCs w:val="24"/>
                <w:highlight w:val="none"/>
              </w:rPr>
              <w:t>2</w:t>
            </w:r>
          </w:p>
        </w:tc>
        <w:tc>
          <w:tcPr>
            <w:tcW w:w="8346" w:type="dxa"/>
            <w:vAlign w:val="center"/>
          </w:tcPr>
          <w:p>
            <w:pPr>
              <w:jc w:val="center"/>
              <w:rPr>
                <w:rFonts w:ascii="宋体"/>
                <w:sz w:val="24"/>
                <w:szCs w:val="24"/>
                <w:highlight w:val="none"/>
              </w:rPr>
            </w:pPr>
            <w:r>
              <w:rPr>
                <w:rFonts w:hint="eastAsia" w:ascii="宋体" w:hAnsi="宋体"/>
                <w:sz w:val="24"/>
                <w:szCs w:val="24"/>
                <w:highlight w:val="none"/>
              </w:rPr>
              <w:t>未按采购文件要求截止时间之前递交投标文件的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49" w:type="dxa"/>
            <w:vAlign w:val="center"/>
          </w:tcPr>
          <w:p>
            <w:pPr>
              <w:jc w:val="center"/>
              <w:rPr>
                <w:rFonts w:ascii="宋体"/>
                <w:sz w:val="24"/>
                <w:szCs w:val="24"/>
                <w:highlight w:val="none"/>
              </w:rPr>
            </w:pPr>
            <w:r>
              <w:rPr>
                <w:rFonts w:ascii="宋体" w:hAnsi="宋体"/>
                <w:sz w:val="24"/>
                <w:szCs w:val="24"/>
                <w:highlight w:val="none"/>
              </w:rPr>
              <w:t>3</w:t>
            </w:r>
          </w:p>
        </w:tc>
        <w:tc>
          <w:tcPr>
            <w:tcW w:w="8346" w:type="dxa"/>
            <w:vAlign w:val="center"/>
          </w:tcPr>
          <w:p>
            <w:pPr>
              <w:jc w:val="center"/>
              <w:rPr>
                <w:rFonts w:ascii="宋体"/>
                <w:sz w:val="24"/>
                <w:szCs w:val="24"/>
                <w:highlight w:val="none"/>
              </w:rPr>
            </w:pPr>
            <w:r>
              <w:rPr>
                <w:rFonts w:hint="eastAsia" w:ascii="宋体" w:hAnsi="宋体"/>
                <w:sz w:val="24"/>
                <w:szCs w:val="24"/>
                <w:highlight w:val="none"/>
              </w:rPr>
              <w:t>投标文件没有投标人授权代表签字和加盖公章的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49" w:type="dxa"/>
            <w:vAlign w:val="center"/>
          </w:tcPr>
          <w:p>
            <w:pPr>
              <w:jc w:val="center"/>
              <w:rPr>
                <w:rFonts w:ascii="宋体"/>
                <w:sz w:val="24"/>
                <w:szCs w:val="24"/>
                <w:highlight w:val="none"/>
              </w:rPr>
            </w:pPr>
            <w:r>
              <w:rPr>
                <w:rFonts w:ascii="宋体" w:hAnsi="宋体"/>
                <w:sz w:val="24"/>
                <w:szCs w:val="24"/>
                <w:highlight w:val="none"/>
              </w:rPr>
              <w:t>4</w:t>
            </w:r>
          </w:p>
        </w:tc>
        <w:tc>
          <w:tcPr>
            <w:tcW w:w="8346" w:type="dxa"/>
            <w:vAlign w:val="center"/>
          </w:tcPr>
          <w:p>
            <w:pPr>
              <w:jc w:val="center"/>
              <w:rPr>
                <w:rFonts w:ascii="宋体"/>
                <w:sz w:val="24"/>
                <w:szCs w:val="24"/>
                <w:highlight w:val="none"/>
              </w:rPr>
            </w:pPr>
            <w:r>
              <w:rPr>
                <w:rFonts w:hint="eastAsia" w:ascii="宋体" w:hAnsi="宋体"/>
                <w:sz w:val="24"/>
                <w:szCs w:val="24"/>
                <w:highlight w:val="none"/>
              </w:rPr>
              <w:t>投标文件中附有招标人不能接受的条件的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49" w:type="dxa"/>
            <w:vAlign w:val="center"/>
          </w:tcPr>
          <w:p>
            <w:pPr>
              <w:jc w:val="center"/>
              <w:rPr>
                <w:rFonts w:ascii="宋体"/>
                <w:sz w:val="24"/>
                <w:szCs w:val="24"/>
                <w:highlight w:val="none"/>
              </w:rPr>
            </w:pPr>
            <w:r>
              <w:rPr>
                <w:rFonts w:ascii="宋体" w:hAnsi="宋体"/>
                <w:sz w:val="24"/>
                <w:szCs w:val="24"/>
                <w:highlight w:val="none"/>
              </w:rPr>
              <w:t>5</w:t>
            </w:r>
          </w:p>
        </w:tc>
        <w:tc>
          <w:tcPr>
            <w:tcW w:w="8346" w:type="dxa"/>
            <w:vAlign w:val="center"/>
          </w:tcPr>
          <w:p>
            <w:pPr>
              <w:jc w:val="center"/>
              <w:rPr>
                <w:rFonts w:ascii="宋体"/>
                <w:sz w:val="24"/>
                <w:szCs w:val="24"/>
                <w:highlight w:val="none"/>
              </w:rPr>
            </w:pPr>
            <w:r>
              <w:rPr>
                <w:rFonts w:hint="eastAsia" w:ascii="宋体" w:hAnsi="宋体"/>
                <w:sz w:val="24"/>
                <w:szCs w:val="24"/>
                <w:highlight w:val="none"/>
              </w:rPr>
              <w:t>投标人的报价超过了采购预算，采购人不能支付的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49" w:type="dxa"/>
            <w:vAlign w:val="center"/>
          </w:tcPr>
          <w:p>
            <w:pPr>
              <w:jc w:val="center"/>
              <w:rPr>
                <w:rFonts w:ascii="宋体"/>
                <w:sz w:val="24"/>
                <w:szCs w:val="24"/>
                <w:highlight w:val="none"/>
              </w:rPr>
            </w:pPr>
            <w:r>
              <w:rPr>
                <w:rFonts w:ascii="宋体" w:hAnsi="宋体"/>
                <w:sz w:val="24"/>
                <w:szCs w:val="24"/>
                <w:highlight w:val="none"/>
              </w:rPr>
              <w:t>6</w:t>
            </w:r>
          </w:p>
        </w:tc>
        <w:tc>
          <w:tcPr>
            <w:tcW w:w="8346" w:type="dxa"/>
            <w:vAlign w:val="center"/>
          </w:tcPr>
          <w:p>
            <w:pPr>
              <w:jc w:val="center"/>
              <w:rPr>
                <w:rFonts w:ascii="宋体"/>
                <w:sz w:val="24"/>
                <w:szCs w:val="24"/>
                <w:highlight w:val="none"/>
              </w:rPr>
            </w:pPr>
            <w:r>
              <w:rPr>
                <w:rFonts w:hint="eastAsia" w:ascii="宋体" w:hAnsi="宋体"/>
                <w:sz w:val="24"/>
                <w:szCs w:val="24"/>
                <w:highlight w:val="none"/>
              </w:rPr>
              <w:t>清单内容有缺项漏项或低于采购人要求的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49" w:type="dxa"/>
            <w:vAlign w:val="center"/>
          </w:tcPr>
          <w:p>
            <w:pPr>
              <w:jc w:val="center"/>
              <w:rPr>
                <w:rFonts w:ascii="宋体"/>
                <w:sz w:val="24"/>
                <w:szCs w:val="24"/>
                <w:highlight w:val="none"/>
              </w:rPr>
            </w:pPr>
            <w:r>
              <w:rPr>
                <w:rFonts w:ascii="宋体" w:hAnsi="宋体"/>
                <w:sz w:val="24"/>
                <w:szCs w:val="24"/>
                <w:highlight w:val="none"/>
              </w:rPr>
              <w:t>7</w:t>
            </w:r>
          </w:p>
        </w:tc>
        <w:tc>
          <w:tcPr>
            <w:tcW w:w="8346" w:type="dxa"/>
            <w:vAlign w:val="center"/>
          </w:tcPr>
          <w:p>
            <w:pPr>
              <w:jc w:val="center"/>
              <w:rPr>
                <w:rFonts w:ascii="宋体"/>
                <w:sz w:val="24"/>
                <w:szCs w:val="24"/>
                <w:highlight w:val="none"/>
              </w:rPr>
            </w:pPr>
            <w:r>
              <w:rPr>
                <w:rFonts w:hint="eastAsia" w:ascii="宋体" w:hAnsi="宋体"/>
                <w:sz w:val="24"/>
                <w:szCs w:val="24"/>
                <w:highlight w:val="none"/>
              </w:rPr>
              <w:t>不符合采购文件中规定的其他实质性要求的</w:t>
            </w:r>
          </w:p>
        </w:tc>
      </w:tr>
    </w:tbl>
    <w:p>
      <w:pPr>
        <w:spacing w:line="360" w:lineRule="auto"/>
        <w:rPr>
          <w:rFonts w:ascii="宋体" w:cs="宋体"/>
          <w:sz w:val="24"/>
          <w:szCs w:val="24"/>
          <w:highlight w:val="none"/>
        </w:rPr>
      </w:pPr>
    </w:p>
    <w:p>
      <w:pPr>
        <w:spacing w:line="360" w:lineRule="auto"/>
        <w:ind w:firstLine="240" w:firstLineChars="100"/>
        <w:rPr>
          <w:rFonts w:ascii="宋体" w:cs="宋体"/>
          <w:sz w:val="24"/>
          <w:szCs w:val="24"/>
          <w:highlight w:val="none"/>
        </w:rPr>
      </w:pPr>
      <w:r>
        <w:rPr>
          <w:rFonts w:ascii="宋体" w:hAnsi="宋体" w:cs="宋体"/>
          <w:sz w:val="24"/>
          <w:szCs w:val="24"/>
          <w:highlight w:val="none"/>
        </w:rPr>
        <w:t>25.2</w:t>
      </w:r>
      <w:r>
        <w:rPr>
          <w:rFonts w:hint="eastAsia" w:ascii="宋体" w:hAnsi="宋体" w:cs="宋体"/>
          <w:sz w:val="24"/>
          <w:szCs w:val="24"/>
          <w:highlight w:val="none"/>
        </w:rPr>
        <w:t>符合性审查：对照本项目的技术、商务、预算金额及文件制作要求，审查投标文件是否完全</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实质性响应采购文件的要求，没有出现重大偏离。</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25.3</w:t>
      </w:r>
      <w:r>
        <w:rPr>
          <w:rFonts w:hint="eastAsia" w:ascii="宋体" w:hAnsi="宋体" w:cs="宋体"/>
          <w:sz w:val="24"/>
          <w:szCs w:val="24"/>
          <w:highlight w:val="none"/>
        </w:rPr>
        <w:t>投标文件的澄清：评标期间，对投标文件中含义不明确、同类问题表述不一致或者有明显文字和计算错误的内容，评标委员会可以书面形式（应当由评标委员会专家签字）要求投标人作出必要的澄清、说明或者补正，但不得允许投标人对投标报价、投标方案等涉及竞争性和实质性内容做任何更改。投标人的澄清、说明或者补正应当采用书面形式，由其授权的代表签字，并作为投标文件不可分割的内容。</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25.4</w:t>
      </w:r>
      <w:r>
        <w:rPr>
          <w:rFonts w:hint="eastAsia" w:ascii="宋体" w:hAnsi="宋体" w:cs="宋体"/>
          <w:sz w:val="24"/>
          <w:szCs w:val="24"/>
          <w:highlight w:val="none"/>
        </w:rPr>
        <w:t>实质性响应：是指符合采购文件的关键性和重要要求、条款、条件、规定，且没有不利于项目实施质量效果和服务保障的重大偏离或保留。</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25.5</w:t>
      </w:r>
      <w:r>
        <w:rPr>
          <w:rFonts w:hint="eastAsia" w:ascii="宋体" w:hAnsi="宋体" w:cs="宋体"/>
          <w:sz w:val="24"/>
          <w:szCs w:val="24"/>
          <w:highlight w:val="none"/>
        </w:rPr>
        <w:t>重大偏离或保留：是指影响到采购文件规定的范围、质量和性能或限制了采购人的权力和投标人义务的规定，而调整纠正这些偏离将直接影响到其它投标人的公平竞争地位。</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25.6</w:t>
      </w:r>
      <w:r>
        <w:rPr>
          <w:rFonts w:hint="eastAsia" w:ascii="宋体" w:hAnsi="宋体" w:cs="宋体"/>
          <w:sz w:val="24"/>
          <w:szCs w:val="24"/>
          <w:highlight w:val="none"/>
        </w:rPr>
        <w:t>轻微偏离</w:t>
      </w:r>
      <w:r>
        <w:rPr>
          <w:rFonts w:ascii="宋体" w:hAnsi="宋体" w:cs="宋体"/>
          <w:sz w:val="24"/>
          <w:szCs w:val="24"/>
          <w:highlight w:val="none"/>
        </w:rPr>
        <w:t>:</w:t>
      </w:r>
      <w:r>
        <w:rPr>
          <w:rFonts w:hint="eastAsia" w:ascii="宋体" w:hAnsi="宋体" w:cs="宋体"/>
          <w:sz w:val="24"/>
          <w:szCs w:val="24"/>
          <w:highlight w:val="none"/>
        </w:rPr>
        <w:t>是指投标文件能够实质上响应采购文件要求，但在个别地方存在漏项或者提供了不完整的技术信息和数据等情况，并且补正这些遗漏或者不完整不会对其他投标人造成不公平的结果。它包括负偏离（劣于）和正偏离</w:t>
      </w:r>
      <w:r>
        <w:rPr>
          <w:rFonts w:ascii="宋体" w:hAnsi="宋体" w:cs="宋体"/>
          <w:sz w:val="24"/>
          <w:szCs w:val="24"/>
          <w:highlight w:val="none"/>
        </w:rPr>
        <w:t>(</w:t>
      </w:r>
      <w:r>
        <w:rPr>
          <w:rFonts w:hint="eastAsia" w:ascii="宋体" w:hAnsi="宋体" w:cs="宋体"/>
          <w:sz w:val="24"/>
          <w:szCs w:val="24"/>
          <w:highlight w:val="none"/>
        </w:rPr>
        <w:t>优于</w:t>
      </w:r>
      <w:r>
        <w:rPr>
          <w:rFonts w:ascii="宋体" w:hAnsi="宋体" w:cs="宋体"/>
          <w:sz w:val="24"/>
          <w:szCs w:val="24"/>
          <w:highlight w:val="none"/>
        </w:rPr>
        <w:t>)</w:t>
      </w:r>
      <w:r>
        <w:rPr>
          <w:rFonts w:hint="eastAsia" w:ascii="宋体" w:hAnsi="宋体" w:cs="宋体"/>
          <w:sz w:val="24"/>
          <w:szCs w:val="24"/>
          <w:highlight w:val="none"/>
        </w:rPr>
        <w:t>。</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25.7</w:t>
      </w:r>
      <w:r>
        <w:rPr>
          <w:rFonts w:hint="eastAsia" w:ascii="宋体" w:hAnsi="宋体" w:cs="宋体"/>
          <w:sz w:val="24"/>
          <w:szCs w:val="24"/>
          <w:highlight w:val="none"/>
        </w:rPr>
        <w:t>评标委员会将审查投标文件是否完整、总体编排是否有序、文件签署是否合格、投标人是否按规定提交投标保证金、有无计算上的错误等。</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25.8</w:t>
      </w:r>
      <w:r>
        <w:rPr>
          <w:rFonts w:hint="eastAsia" w:ascii="宋体" w:hAnsi="宋体" w:cs="宋体"/>
          <w:sz w:val="24"/>
          <w:szCs w:val="24"/>
          <w:highlight w:val="none"/>
        </w:rPr>
        <w:t>比较与评价：评标委员会重点对各投标文件的技术、商务方案进行细化评审和综合比较，对照所公布的量化评分内容进行独立评分。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25.9</w:t>
      </w:r>
      <w:r>
        <w:rPr>
          <w:rFonts w:hint="eastAsia" w:ascii="宋体" w:hAnsi="宋体" w:cs="宋体"/>
          <w:sz w:val="24"/>
          <w:szCs w:val="24"/>
          <w:highlight w:val="none"/>
        </w:rPr>
        <w:t>综合汇总：将各评委的评分进行汇总，按综合总分从高到低顺序排列，并按照排名顺序推荐中标候选人。</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25.10</w:t>
      </w:r>
      <w:r>
        <w:rPr>
          <w:rFonts w:hint="eastAsia" w:ascii="宋体" w:hAnsi="宋体" w:cs="宋体"/>
          <w:sz w:val="24"/>
          <w:szCs w:val="24"/>
          <w:highlight w:val="none"/>
        </w:rPr>
        <w:t>原件备查（如有要求）：本采购文件如有要求须提供原件备查的资料，投标人在递交投标文件的同时须递交原件以供评标委员会核查。所有拟提交备查的原件应装在一个带锁扣或绳扣的文件袋（牛皮纸质或塑料材质均可）内并附列清单明细，以便交接时核对。未能提交原件以供评标委员会核查的投标资料，评标委员会有权不予认可其有效性，投标人须自行承担不利后果。所有提交备查的原件将在评标委员会核查完毕后退回。</w:t>
      </w:r>
    </w:p>
    <w:p>
      <w:pPr>
        <w:spacing w:line="360" w:lineRule="auto"/>
        <w:rPr>
          <w:rFonts w:ascii="宋体" w:cs="宋体"/>
          <w:sz w:val="24"/>
          <w:szCs w:val="24"/>
          <w:highlight w:val="none"/>
        </w:rPr>
      </w:pPr>
      <w:r>
        <w:rPr>
          <w:rFonts w:ascii="宋体" w:hAnsi="宋体" w:cs="宋体"/>
          <w:sz w:val="24"/>
          <w:szCs w:val="24"/>
          <w:highlight w:val="none"/>
        </w:rPr>
        <w:t>26.</w:t>
      </w:r>
      <w:r>
        <w:rPr>
          <w:rFonts w:hint="eastAsia" w:ascii="宋体" w:hAnsi="宋体" w:cs="宋体"/>
          <w:sz w:val="24"/>
          <w:szCs w:val="24"/>
          <w:highlight w:val="none"/>
        </w:rPr>
        <w:t>废标条件</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26.1</w:t>
      </w:r>
      <w:r>
        <w:rPr>
          <w:rFonts w:hint="eastAsia" w:ascii="宋体" w:hAnsi="宋体" w:cs="宋体"/>
          <w:sz w:val="24"/>
          <w:szCs w:val="24"/>
          <w:highlight w:val="none"/>
        </w:rPr>
        <w:t>本项目或独立分包出现下列条件之一则对应定作废标：</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）符合专业资格条件者或对竞争性磋商文件作实质响应的有效投标人不足三家；</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）采购过程出现影响公平竞争的违法、违规行为；</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）因重大变故，接政府采购管理部门通知本项目采购活动须即中止或取消。</w:t>
      </w:r>
    </w:p>
    <w:p>
      <w:pPr>
        <w:spacing w:line="360" w:lineRule="auto"/>
        <w:rPr>
          <w:rFonts w:ascii="宋体" w:cs="宋体"/>
          <w:color w:val="000000"/>
          <w:sz w:val="24"/>
          <w:szCs w:val="24"/>
          <w:highlight w:val="none"/>
        </w:rPr>
      </w:pPr>
      <w:r>
        <w:rPr>
          <w:rFonts w:ascii="宋体" w:hAnsi="宋体" w:cs="宋体"/>
          <w:color w:val="000000"/>
          <w:sz w:val="24"/>
          <w:szCs w:val="24"/>
          <w:highlight w:val="none"/>
        </w:rPr>
        <w:t>27.</w:t>
      </w:r>
      <w:r>
        <w:rPr>
          <w:rFonts w:hint="eastAsia" w:ascii="宋体" w:hAnsi="宋体" w:cs="宋体"/>
          <w:color w:val="000000"/>
          <w:sz w:val="24"/>
          <w:szCs w:val="24"/>
          <w:highlight w:val="none"/>
        </w:rPr>
        <w:t>无效投标行为的认定</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）投标人未提交投标保证金或金额不足、投标保证金提交形式不符合采购文件要求的；</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）投标金额超过本项目采购预算；</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）投标人的投标书或资格证明文件未提供或不符合采购文件要求的；</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rPr>
        <w:t>）不具备采购文件中规定资格要求的；</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5</w:t>
      </w:r>
      <w:r>
        <w:rPr>
          <w:rFonts w:hint="eastAsia" w:ascii="宋体" w:hAnsi="宋体" w:cs="宋体"/>
          <w:sz w:val="24"/>
          <w:szCs w:val="24"/>
          <w:highlight w:val="none"/>
        </w:rPr>
        <w:t>）未按照采购文件规定要求签署、盖章的；</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6</w:t>
      </w:r>
      <w:r>
        <w:rPr>
          <w:rFonts w:hint="eastAsia" w:ascii="宋体" w:hAnsi="宋体" w:cs="宋体"/>
          <w:sz w:val="24"/>
          <w:szCs w:val="24"/>
          <w:highlight w:val="none"/>
        </w:rPr>
        <w:t>）投标文件无法定代表人签字或签字人无法定代表人有效授权的；</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7</w:t>
      </w:r>
      <w:r>
        <w:rPr>
          <w:rFonts w:hint="eastAsia" w:ascii="宋体" w:hAnsi="宋体" w:cs="宋体"/>
          <w:sz w:val="24"/>
          <w:szCs w:val="24"/>
          <w:highlight w:val="none"/>
        </w:rPr>
        <w:t>）参加政府采购活动前三年内，在经营活动中有重大违法记录的；</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8</w:t>
      </w:r>
      <w:r>
        <w:rPr>
          <w:rFonts w:hint="eastAsia" w:ascii="宋体" w:hAnsi="宋体" w:cs="宋体"/>
          <w:sz w:val="24"/>
          <w:szCs w:val="24"/>
          <w:highlight w:val="none"/>
        </w:rPr>
        <w:t>）符合采购文件中规定的被视为无效投标的其它条款的；</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9</w:t>
      </w:r>
      <w:r>
        <w:rPr>
          <w:rFonts w:hint="eastAsia" w:ascii="宋体" w:hAnsi="宋体" w:cs="宋体"/>
          <w:sz w:val="24"/>
          <w:szCs w:val="24"/>
          <w:highlight w:val="none"/>
        </w:rPr>
        <w:t>）不符合法律、法规规定的其他实质性要求的。</w:t>
      </w:r>
    </w:p>
    <w:p>
      <w:pPr>
        <w:pStyle w:val="4"/>
        <w:rPr>
          <w:rFonts w:ascii="宋体" w:cs="宋体"/>
          <w:highlight w:val="none"/>
        </w:rPr>
      </w:pPr>
      <w:bookmarkStart w:id="6" w:name="_Toc517776510"/>
      <w:r>
        <w:rPr>
          <w:rFonts w:hint="eastAsia" w:ascii="宋体" w:hAnsi="宋体" w:cs="宋体"/>
          <w:highlight w:val="none"/>
        </w:rPr>
        <w:t>六、评审方法及标准</w:t>
      </w:r>
      <w:bookmarkEnd w:id="6"/>
    </w:p>
    <w:p>
      <w:pPr>
        <w:spacing w:line="360" w:lineRule="auto"/>
        <w:rPr>
          <w:rFonts w:ascii="宋体" w:cs="宋体"/>
          <w:sz w:val="24"/>
          <w:szCs w:val="24"/>
          <w:highlight w:val="none"/>
        </w:rPr>
      </w:pPr>
      <w:r>
        <w:rPr>
          <w:rFonts w:ascii="宋体" w:hAnsi="宋体" w:cs="宋体"/>
          <w:sz w:val="24"/>
          <w:szCs w:val="24"/>
          <w:highlight w:val="none"/>
        </w:rPr>
        <w:t>28.</w:t>
      </w:r>
      <w:r>
        <w:rPr>
          <w:rFonts w:hint="eastAsia" w:ascii="宋体" w:hAnsi="宋体" w:cs="宋体"/>
          <w:sz w:val="24"/>
          <w:szCs w:val="24"/>
          <w:highlight w:val="none"/>
        </w:rPr>
        <w:t>评审方法</w:t>
      </w:r>
    </w:p>
    <w:p>
      <w:pPr>
        <w:spacing w:line="360" w:lineRule="auto"/>
        <w:ind w:firstLine="480" w:firstLineChars="200"/>
        <w:rPr>
          <w:rFonts w:ascii="宋体" w:hAnsi="宋体" w:cs="宋体"/>
          <w:color w:val="000000"/>
          <w:sz w:val="24"/>
          <w:szCs w:val="24"/>
          <w:highlight w:val="none"/>
        </w:rPr>
      </w:pPr>
      <w:r>
        <w:rPr>
          <w:rFonts w:hint="eastAsia" w:ascii="宋体" w:hAnsi="宋体" w:cs="宋体"/>
          <w:sz w:val="24"/>
          <w:szCs w:val="24"/>
          <w:highlight w:val="none"/>
        </w:rPr>
        <w:t>投标书的评价采用综合评分法，评分按价格、技术和商务三部分分别打分的方式进行。三项总分为</w:t>
      </w:r>
      <w:r>
        <w:rPr>
          <w:rFonts w:ascii="宋体" w:hAnsi="宋体" w:cs="宋体"/>
          <w:sz w:val="24"/>
          <w:szCs w:val="24"/>
          <w:highlight w:val="none"/>
        </w:rPr>
        <w:t>100</w:t>
      </w:r>
      <w:r>
        <w:rPr>
          <w:rFonts w:hint="eastAsia" w:ascii="宋体" w:hAnsi="宋体" w:cs="宋体"/>
          <w:sz w:val="24"/>
          <w:szCs w:val="24"/>
          <w:highlight w:val="none"/>
        </w:rPr>
        <w:t>分，其中价格得分占</w:t>
      </w:r>
      <w:r>
        <w:rPr>
          <w:rFonts w:ascii="宋体" w:hAnsi="宋体" w:cs="宋体"/>
          <w:sz w:val="24"/>
          <w:szCs w:val="24"/>
          <w:highlight w:val="none"/>
        </w:rPr>
        <w:t>3</w:t>
      </w:r>
      <w:r>
        <w:rPr>
          <w:rFonts w:ascii="宋体" w:cs="宋体"/>
          <w:sz w:val="24"/>
          <w:szCs w:val="24"/>
          <w:highlight w:val="none"/>
        </w:rPr>
        <w:t>0</w:t>
      </w:r>
      <w:r>
        <w:rPr>
          <w:rFonts w:hint="eastAsia" w:ascii="宋体" w:hAnsi="宋体" w:cs="宋体"/>
          <w:sz w:val="24"/>
          <w:szCs w:val="24"/>
          <w:highlight w:val="none"/>
        </w:rPr>
        <w:t>％，技术、商务得分占</w:t>
      </w:r>
      <w:r>
        <w:rPr>
          <w:rFonts w:ascii="宋体" w:hAnsi="宋体" w:cs="宋体"/>
          <w:sz w:val="24"/>
          <w:szCs w:val="24"/>
          <w:highlight w:val="none"/>
        </w:rPr>
        <w:t>7</w:t>
      </w:r>
      <w:r>
        <w:rPr>
          <w:rFonts w:ascii="宋体" w:cs="宋体"/>
          <w:sz w:val="24"/>
          <w:szCs w:val="24"/>
          <w:highlight w:val="none"/>
        </w:rPr>
        <w:t>0</w:t>
      </w:r>
      <w:r>
        <w:rPr>
          <w:rFonts w:hint="eastAsia" w:ascii="宋体" w:hAnsi="宋体" w:cs="宋体"/>
          <w:sz w:val="24"/>
          <w:szCs w:val="24"/>
          <w:highlight w:val="none"/>
        </w:rPr>
        <w:t>％。注：投标单位技术标、商务标得分为所有专家每个单项的算术平均值之和</w:t>
      </w:r>
      <w:r>
        <w:rPr>
          <w:rFonts w:hint="eastAsia" w:ascii="宋体" w:hAnsi="宋体" w:cs="宋体"/>
          <w:color w:val="000000"/>
          <w:sz w:val="24"/>
          <w:szCs w:val="24"/>
          <w:highlight w:val="none"/>
        </w:rPr>
        <w:t>（为保证甲方招到满足市场先进性、满足生产能力的产品，投标方的报价低于成本价或明显低于其他投标人投标报价的投标方视为废标）。</w:t>
      </w:r>
    </w:p>
    <w:p>
      <w:pPr>
        <w:spacing w:line="360" w:lineRule="auto"/>
        <w:ind w:firstLine="480" w:firstLineChars="200"/>
        <w:rPr>
          <w:rFonts w:ascii="宋体" w:cs="宋体"/>
          <w:color w:val="000000"/>
          <w:sz w:val="24"/>
          <w:szCs w:val="24"/>
          <w:highlight w:val="none"/>
        </w:rPr>
      </w:pPr>
    </w:p>
    <w:p>
      <w:pPr>
        <w:spacing w:line="360" w:lineRule="auto"/>
        <w:ind w:firstLine="482" w:firstLineChars="200"/>
        <w:rPr>
          <w:rFonts w:ascii="宋体" w:cs="宋体"/>
          <w:b/>
          <w:color w:val="000000"/>
          <w:sz w:val="24"/>
          <w:szCs w:val="24"/>
          <w:highlight w:val="none"/>
        </w:rPr>
      </w:pPr>
      <w:r>
        <w:rPr>
          <w:rFonts w:ascii="宋体" w:hAnsi="宋体" w:cs="宋体"/>
          <w:b/>
          <w:color w:val="000000"/>
          <w:sz w:val="24"/>
          <w:szCs w:val="24"/>
          <w:highlight w:val="none"/>
        </w:rPr>
        <w:t>1</w:t>
      </w:r>
      <w:r>
        <w:rPr>
          <w:rFonts w:hint="eastAsia" w:ascii="宋体" w:hAnsi="宋体" w:cs="宋体"/>
          <w:b/>
          <w:color w:val="000000"/>
          <w:sz w:val="24"/>
          <w:szCs w:val="24"/>
          <w:highlight w:val="none"/>
        </w:rPr>
        <w:t>、价格评分（</w:t>
      </w:r>
      <w:r>
        <w:rPr>
          <w:rFonts w:ascii="宋体" w:hAnsi="宋体" w:cs="宋体"/>
          <w:b/>
          <w:color w:val="000000"/>
          <w:sz w:val="24"/>
          <w:szCs w:val="24"/>
          <w:highlight w:val="none"/>
        </w:rPr>
        <w:t>3</w:t>
      </w:r>
      <w:r>
        <w:rPr>
          <w:rFonts w:ascii="宋体" w:cs="宋体"/>
          <w:b/>
          <w:color w:val="000000"/>
          <w:sz w:val="24"/>
          <w:szCs w:val="24"/>
          <w:highlight w:val="none"/>
        </w:rPr>
        <w:t>0</w:t>
      </w:r>
      <w:r>
        <w:rPr>
          <w:rFonts w:hint="eastAsia" w:ascii="宋体" w:hAnsi="宋体" w:cs="宋体"/>
          <w:b/>
          <w:color w:val="000000"/>
          <w:sz w:val="24"/>
          <w:szCs w:val="24"/>
          <w:highlight w:val="none"/>
        </w:rPr>
        <w:t>分）：</w:t>
      </w:r>
    </w:p>
    <w:p>
      <w:pPr>
        <w:spacing w:line="480" w:lineRule="exact"/>
        <w:ind w:firstLine="480" w:firstLineChars="200"/>
        <w:rPr>
          <w:rFonts w:ascii="宋体" w:cs="宋体"/>
          <w:sz w:val="24"/>
          <w:szCs w:val="24"/>
          <w:highlight w:val="none"/>
        </w:rPr>
      </w:pPr>
      <w:r>
        <w:rPr>
          <w:rFonts w:hint="eastAsia" w:ascii="宋体" w:hAnsi="宋体" w:cs="宋体"/>
          <w:sz w:val="24"/>
          <w:szCs w:val="24"/>
          <w:highlight w:val="none"/>
        </w:rPr>
        <w:t>价格分统一采用低价优先法计算，即满足采购文件要求（通过资格性审查和符合性审查）且价格最低的投标价确定为评标基准价，其价格分为满分。其他投标人的价格分统一按照下列公式计算：（以投标人在开标现场做出最终报价为准）</w:t>
      </w:r>
    </w:p>
    <w:p>
      <w:pPr>
        <w:spacing w:line="480" w:lineRule="exact"/>
        <w:rPr>
          <w:rFonts w:ascii="宋体" w:cs="宋体"/>
          <w:sz w:val="24"/>
          <w:szCs w:val="24"/>
          <w:highlight w:val="none"/>
        </w:rPr>
      </w:pPr>
      <w:r>
        <w:rPr>
          <w:rFonts w:hint="eastAsia" w:ascii="宋体" w:hAnsi="宋体" w:cs="宋体"/>
          <w:sz w:val="24"/>
          <w:szCs w:val="24"/>
          <w:highlight w:val="none"/>
        </w:rPr>
        <w:t>价格评分</w:t>
      </w:r>
      <w:r>
        <w:rPr>
          <w:rFonts w:ascii="宋体" w:hAnsi="宋体" w:cs="宋体"/>
          <w:sz w:val="24"/>
          <w:szCs w:val="24"/>
          <w:highlight w:val="none"/>
        </w:rPr>
        <w:t>=</w:t>
      </w:r>
      <w:r>
        <w:rPr>
          <w:rFonts w:hint="eastAsia" w:ascii="宋体" w:hAnsi="宋体" w:cs="宋体"/>
          <w:sz w:val="24"/>
          <w:szCs w:val="24"/>
          <w:highlight w:val="none"/>
        </w:rPr>
        <w:t>（评标基准价／投标价）×</w:t>
      </w:r>
      <w:r>
        <w:rPr>
          <w:rFonts w:ascii="宋体" w:hAnsi="宋体" w:cs="宋体"/>
          <w:sz w:val="24"/>
          <w:szCs w:val="24"/>
          <w:highlight w:val="none"/>
        </w:rPr>
        <w:t>100</w:t>
      </w:r>
      <w:r>
        <w:rPr>
          <w:rFonts w:hint="eastAsia" w:ascii="宋体" w:hAnsi="宋体" w:cs="宋体"/>
          <w:sz w:val="24"/>
          <w:szCs w:val="24"/>
          <w:highlight w:val="none"/>
        </w:rPr>
        <w:t>×</w:t>
      </w:r>
      <w:r>
        <w:rPr>
          <w:rFonts w:ascii="宋体" w:cs="宋体"/>
          <w:sz w:val="24"/>
          <w:szCs w:val="24"/>
          <w:highlight w:val="none"/>
        </w:rPr>
        <w:t>0.</w:t>
      </w:r>
      <w:r>
        <w:rPr>
          <w:rFonts w:ascii="宋体" w:hAnsi="宋体" w:cs="宋体"/>
          <w:sz w:val="24"/>
          <w:szCs w:val="24"/>
          <w:highlight w:val="none"/>
        </w:rPr>
        <w:t>3</w:t>
      </w:r>
      <w:r>
        <w:rPr>
          <w:rFonts w:hint="eastAsia" w:ascii="宋体" w:hAnsi="宋体" w:cs="宋体"/>
          <w:sz w:val="24"/>
          <w:szCs w:val="24"/>
          <w:highlight w:val="none"/>
        </w:rPr>
        <w:t>，投标人的报价为明显不合理的恶意报价或者明显低于其他投标报价</w:t>
      </w:r>
      <w:r>
        <w:rPr>
          <w:rFonts w:ascii="宋体" w:cs="宋体"/>
          <w:sz w:val="24"/>
          <w:szCs w:val="24"/>
          <w:highlight w:val="none"/>
        </w:rPr>
        <w:t>,</w:t>
      </w:r>
      <w:r>
        <w:rPr>
          <w:rFonts w:hint="eastAsia" w:ascii="宋体" w:hAnsi="宋体" w:cs="宋体"/>
          <w:sz w:val="24"/>
          <w:szCs w:val="24"/>
          <w:highlight w:val="none"/>
        </w:rPr>
        <w:t>此项不得分。计算分数时四舍五入取小数点后两位</w:t>
      </w:r>
      <w:r>
        <w:rPr>
          <w:rFonts w:ascii="宋体" w:cs="宋体"/>
          <w:sz w:val="24"/>
          <w:szCs w:val="24"/>
          <w:highlight w:val="none"/>
        </w:rPr>
        <w:t>,</w:t>
      </w:r>
      <w:r>
        <w:rPr>
          <w:rFonts w:hint="eastAsia" w:ascii="宋体" w:hAnsi="宋体" w:cs="宋体"/>
          <w:sz w:val="24"/>
          <w:szCs w:val="24"/>
          <w:highlight w:val="none"/>
        </w:rPr>
        <w:t>分数最高不超过</w:t>
      </w:r>
      <w:r>
        <w:rPr>
          <w:rFonts w:ascii="宋体" w:hAnsi="宋体" w:cs="宋体"/>
          <w:sz w:val="24"/>
          <w:szCs w:val="24"/>
          <w:highlight w:val="none"/>
        </w:rPr>
        <w:t>3</w:t>
      </w:r>
      <w:r>
        <w:rPr>
          <w:rFonts w:ascii="宋体" w:cs="宋体"/>
          <w:sz w:val="24"/>
          <w:szCs w:val="24"/>
          <w:highlight w:val="none"/>
        </w:rPr>
        <w:t>0</w:t>
      </w:r>
      <w:r>
        <w:rPr>
          <w:rFonts w:hint="eastAsia" w:ascii="宋体" w:hAnsi="宋体" w:cs="宋体"/>
          <w:sz w:val="24"/>
          <w:szCs w:val="24"/>
          <w:highlight w:val="none"/>
        </w:rPr>
        <w:t>分。</w:t>
      </w:r>
    </w:p>
    <w:p>
      <w:pPr>
        <w:spacing w:line="360" w:lineRule="auto"/>
        <w:ind w:firstLine="482" w:firstLineChars="200"/>
        <w:rPr>
          <w:rFonts w:ascii="宋体" w:cs="宋体"/>
          <w:b/>
          <w:sz w:val="24"/>
          <w:szCs w:val="24"/>
          <w:highlight w:val="none"/>
        </w:rPr>
      </w:pPr>
    </w:p>
    <w:p>
      <w:pPr>
        <w:spacing w:line="360" w:lineRule="auto"/>
        <w:ind w:firstLine="482" w:firstLineChars="200"/>
        <w:rPr>
          <w:rFonts w:ascii="宋体" w:cs="宋体"/>
          <w:b/>
          <w:sz w:val="24"/>
          <w:szCs w:val="24"/>
          <w:highlight w:val="none"/>
        </w:rPr>
      </w:pPr>
      <w:r>
        <w:rPr>
          <w:rFonts w:hint="eastAsia" w:ascii="宋体" w:hAnsi="宋体" w:cs="宋体"/>
          <w:b/>
          <w:sz w:val="24"/>
          <w:szCs w:val="24"/>
          <w:highlight w:val="none"/>
        </w:rPr>
        <w:t>注：各投标人不得采取恶意方式投标，不得以低于成本的价格参与投标。</w:t>
      </w:r>
    </w:p>
    <w:p>
      <w:pPr>
        <w:spacing w:line="360" w:lineRule="auto"/>
        <w:rPr>
          <w:rFonts w:asci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、技术、商务部分（共</w:t>
      </w:r>
      <w:r>
        <w:rPr>
          <w:rFonts w:ascii="宋体" w:hAnsi="宋体" w:cs="宋体"/>
          <w:b/>
          <w:sz w:val="24"/>
          <w:szCs w:val="24"/>
          <w:highlight w:val="none"/>
        </w:rPr>
        <w:t>7</w:t>
      </w:r>
      <w:r>
        <w:rPr>
          <w:rFonts w:ascii="宋体" w:cs="宋体"/>
          <w:b/>
          <w:sz w:val="24"/>
          <w:szCs w:val="24"/>
          <w:highlight w:val="none"/>
        </w:rPr>
        <w:t>0</w:t>
      </w:r>
      <w:r>
        <w:rPr>
          <w:rFonts w:hint="eastAsia" w:ascii="宋体" w:hAnsi="宋体" w:cs="宋体"/>
          <w:b/>
          <w:sz w:val="24"/>
          <w:szCs w:val="24"/>
          <w:highlight w:val="none"/>
        </w:rPr>
        <w:t>分）</w:t>
      </w:r>
    </w:p>
    <w:p>
      <w:pPr>
        <w:spacing w:before="5"/>
        <w:rPr>
          <w:rFonts w:ascii="仿宋" w:hAnsi="仿宋" w:eastAsia="仿宋" w:cs="仿宋"/>
          <w:sz w:val="2"/>
          <w:szCs w:val="2"/>
          <w:highlight w:val="none"/>
        </w:rPr>
      </w:pPr>
    </w:p>
    <w:tbl>
      <w:tblPr>
        <w:tblStyle w:val="36"/>
        <w:tblW w:w="84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fixed"/>
        <w:tblCellMar>
          <w:top w:w="0" w:type="dxa"/>
          <w:left w:w="108" w:type="dxa"/>
          <w:bottom w:w="0" w:type="dxa"/>
          <w:right w:w="108" w:type="dxa"/>
        </w:tblCellMar>
      </w:tblPr>
      <w:tblGrid>
        <w:gridCol w:w="741"/>
        <w:gridCol w:w="1461"/>
        <w:gridCol w:w="855"/>
        <w:gridCol w:w="541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20" w:hRule="atLeast"/>
          <w:tblHeader/>
        </w:trPr>
        <w:tc>
          <w:tcPr>
            <w:tcW w:w="741" w:type="dxa"/>
            <w:tcBorders>
              <w:tl2br w:val="nil"/>
              <w:tr2bl w:val="nil"/>
            </w:tcBorders>
            <w:shd w:val="clear" w:color="auto" w:fill="FFFFFF" w:themeFill="background1"/>
            <w:vAlign w:val="center"/>
          </w:tcPr>
          <w:p>
            <w:pPr>
              <w:jc w:val="center"/>
              <w:rPr>
                <w:rFonts w:ascii="宋体" w:cs="宋体"/>
                <w:b/>
                <w:bCs/>
                <w:color w:val="auto"/>
                <w:sz w:val="24"/>
                <w:highlight w:val="none"/>
                <w:shd w:val="clear" w:color="auto" w:fill="auto"/>
              </w:rPr>
            </w:pPr>
            <w:r>
              <w:rPr>
                <w:rFonts w:hint="eastAsia" w:ascii="宋体" w:hAnsi="宋体" w:cs="宋体"/>
                <w:b/>
                <w:bCs/>
                <w:color w:val="auto"/>
                <w:sz w:val="24"/>
                <w:highlight w:val="none"/>
                <w:shd w:val="clear" w:color="auto" w:fill="auto"/>
              </w:rPr>
              <w:t>序号</w:t>
            </w:r>
          </w:p>
        </w:tc>
        <w:tc>
          <w:tcPr>
            <w:tcW w:w="1461" w:type="dxa"/>
            <w:tcBorders>
              <w:tl2br w:val="nil"/>
              <w:tr2bl w:val="nil"/>
            </w:tcBorders>
            <w:shd w:val="clear" w:color="auto" w:fill="FFFFFF" w:themeFill="background1"/>
            <w:vAlign w:val="center"/>
          </w:tcPr>
          <w:p>
            <w:pPr>
              <w:jc w:val="center"/>
              <w:rPr>
                <w:rFonts w:ascii="宋体" w:cs="宋体"/>
                <w:b/>
                <w:bCs/>
                <w:color w:val="auto"/>
                <w:sz w:val="24"/>
                <w:highlight w:val="none"/>
                <w:shd w:val="clear" w:color="auto" w:fill="auto"/>
              </w:rPr>
            </w:pPr>
            <w:r>
              <w:rPr>
                <w:rFonts w:hint="eastAsia" w:ascii="宋体" w:hAnsi="宋体" w:cs="宋体"/>
                <w:b/>
                <w:bCs/>
                <w:color w:val="auto"/>
                <w:sz w:val="24"/>
                <w:highlight w:val="none"/>
                <w:shd w:val="clear" w:color="auto" w:fill="auto"/>
              </w:rPr>
              <w:t>评审分项</w:t>
            </w:r>
          </w:p>
          <w:p>
            <w:pPr>
              <w:jc w:val="center"/>
              <w:rPr>
                <w:rFonts w:ascii="宋体" w:cs="宋体"/>
                <w:b/>
                <w:bCs/>
                <w:color w:val="auto"/>
                <w:sz w:val="24"/>
                <w:highlight w:val="none"/>
                <w:shd w:val="clear" w:color="auto" w:fill="auto"/>
              </w:rPr>
            </w:pPr>
            <w:r>
              <w:rPr>
                <w:rFonts w:hint="eastAsia" w:ascii="宋体" w:hAnsi="宋体" w:cs="宋体"/>
                <w:b/>
                <w:bCs/>
                <w:color w:val="auto"/>
                <w:sz w:val="24"/>
                <w:highlight w:val="none"/>
                <w:shd w:val="clear" w:color="auto" w:fill="auto"/>
              </w:rPr>
              <w:t>（合格投标人进行横向比较）</w:t>
            </w:r>
          </w:p>
        </w:tc>
        <w:tc>
          <w:tcPr>
            <w:tcW w:w="855" w:type="dxa"/>
            <w:tcBorders>
              <w:tl2br w:val="nil"/>
              <w:tr2bl w:val="nil"/>
            </w:tcBorders>
            <w:shd w:val="clear" w:color="auto" w:fill="FFFFFF" w:themeFill="background1"/>
            <w:vAlign w:val="center"/>
          </w:tcPr>
          <w:p>
            <w:pPr>
              <w:jc w:val="center"/>
              <w:rPr>
                <w:rFonts w:ascii="宋体" w:cs="宋体"/>
                <w:b/>
                <w:bCs/>
                <w:color w:val="auto"/>
                <w:sz w:val="24"/>
                <w:highlight w:val="none"/>
                <w:shd w:val="clear" w:color="auto" w:fill="auto"/>
              </w:rPr>
            </w:pPr>
            <w:r>
              <w:rPr>
                <w:rFonts w:hint="eastAsia" w:ascii="宋体" w:hAnsi="宋体" w:cs="宋体"/>
                <w:b/>
                <w:bCs/>
                <w:color w:val="auto"/>
                <w:sz w:val="24"/>
                <w:highlight w:val="none"/>
                <w:shd w:val="clear" w:color="auto" w:fill="auto"/>
              </w:rPr>
              <w:t>最高得分</w:t>
            </w:r>
          </w:p>
        </w:tc>
        <w:tc>
          <w:tcPr>
            <w:tcW w:w="5415" w:type="dxa"/>
            <w:tcBorders>
              <w:tl2br w:val="nil"/>
              <w:tr2bl w:val="nil"/>
            </w:tcBorders>
            <w:shd w:val="clear" w:color="auto" w:fill="FFFFFF" w:themeFill="background1"/>
            <w:vAlign w:val="center"/>
          </w:tcPr>
          <w:p>
            <w:pPr>
              <w:jc w:val="center"/>
              <w:rPr>
                <w:rFonts w:ascii="宋体" w:cs="宋体"/>
                <w:b/>
                <w:bCs/>
                <w:color w:val="auto"/>
                <w:sz w:val="24"/>
                <w:highlight w:val="none"/>
                <w:shd w:val="clear" w:color="auto" w:fill="auto"/>
              </w:rPr>
            </w:pPr>
            <w:r>
              <w:rPr>
                <w:rFonts w:hint="eastAsia" w:ascii="宋体" w:hAnsi="宋体" w:cs="宋体"/>
                <w:b/>
                <w:bCs/>
                <w:color w:val="auto"/>
                <w:sz w:val="24"/>
                <w:highlight w:val="none"/>
                <w:shd w:val="clear" w:color="auto" w:fill="auto"/>
              </w:rPr>
              <w:t>评分标准说明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2017" w:hRule="atLeast"/>
        </w:trPr>
        <w:tc>
          <w:tcPr>
            <w:tcW w:w="741" w:type="dxa"/>
            <w:tcBorders>
              <w:tl2br w:val="nil"/>
              <w:tr2bl w:val="nil"/>
            </w:tcBorders>
            <w:shd w:val="clear" w:color="auto" w:fill="FFFFFF" w:themeFill="background1"/>
            <w:vAlign w:val="center"/>
          </w:tcPr>
          <w:p>
            <w:pPr>
              <w:widowControl/>
              <w:numPr>
                <w:ilvl w:val="0"/>
                <w:numId w:val="6"/>
              </w:numPr>
              <w:jc w:val="center"/>
              <w:rPr>
                <w:rFonts w:ascii="宋体" w:cs="宋体"/>
                <w:color w:val="auto"/>
                <w:sz w:val="24"/>
                <w:highlight w:val="none"/>
                <w:shd w:val="clear" w:color="auto" w:fill="auto"/>
              </w:rPr>
            </w:pPr>
          </w:p>
        </w:tc>
        <w:tc>
          <w:tcPr>
            <w:tcW w:w="1461" w:type="dxa"/>
            <w:tcBorders>
              <w:tl2br w:val="nil"/>
              <w:tr2bl w:val="nil"/>
            </w:tcBorders>
            <w:shd w:val="clear" w:color="auto" w:fill="FFFFFF" w:themeFill="background1"/>
            <w:vAlign w:val="center"/>
          </w:tcPr>
          <w:p>
            <w:pPr>
              <w:jc w:val="center"/>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产品综合情况</w:t>
            </w:r>
          </w:p>
          <w:p>
            <w:pPr>
              <w:jc w:val="center"/>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w:t>
            </w:r>
            <w:r>
              <w:rPr>
                <w:rFonts w:ascii="宋体" w:hAnsi="宋体" w:cs="宋体"/>
                <w:color w:val="auto"/>
                <w:sz w:val="24"/>
                <w:highlight w:val="none"/>
                <w:shd w:val="clear" w:color="auto" w:fill="auto"/>
              </w:rPr>
              <w:t>25</w:t>
            </w:r>
            <w:r>
              <w:rPr>
                <w:rFonts w:hint="eastAsia" w:ascii="宋体" w:hAnsi="宋体" w:cs="宋体"/>
                <w:color w:val="auto"/>
                <w:sz w:val="24"/>
                <w:highlight w:val="none"/>
                <w:shd w:val="clear" w:color="auto" w:fill="auto"/>
              </w:rPr>
              <w:t>分）</w:t>
            </w:r>
          </w:p>
        </w:tc>
        <w:tc>
          <w:tcPr>
            <w:tcW w:w="855" w:type="dxa"/>
            <w:tcBorders>
              <w:tl2br w:val="nil"/>
              <w:tr2bl w:val="nil"/>
            </w:tcBorders>
            <w:shd w:val="clear" w:color="auto" w:fill="FFFFFF" w:themeFill="background1"/>
            <w:vAlign w:val="center"/>
          </w:tcPr>
          <w:p>
            <w:pPr>
              <w:jc w:val="center"/>
              <w:rPr>
                <w:rFonts w:ascii="宋体" w:cs="宋体"/>
                <w:color w:val="auto"/>
                <w:sz w:val="24"/>
                <w:highlight w:val="none"/>
                <w:shd w:val="clear" w:color="auto" w:fill="auto"/>
              </w:rPr>
            </w:pPr>
            <w:r>
              <w:rPr>
                <w:rFonts w:ascii="宋体" w:hAnsi="宋体" w:cs="宋体"/>
                <w:color w:val="auto"/>
                <w:sz w:val="24"/>
                <w:highlight w:val="none"/>
                <w:shd w:val="clear" w:color="auto" w:fill="auto"/>
              </w:rPr>
              <w:t>25</w:t>
            </w:r>
            <w:r>
              <w:rPr>
                <w:rFonts w:hint="eastAsia" w:ascii="宋体" w:hAnsi="宋体" w:cs="宋体"/>
                <w:color w:val="auto"/>
                <w:sz w:val="24"/>
                <w:highlight w:val="none"/>
                <w:shd w:val="clear" w:color="auto" w:fill="auto"/>
              </w:rPr>
              <w:t>分</w:t>
            </w:r>
          </w:p>
        </w:tc>
        <w:tc>
          <w:tcPr>
            <w:tcW w:w="5415" w:type="dxa"/>
            <w:tcBorders>
              <w:tl2br w:val="nil"/>
              <w:tr2bl w:val="nil"/>
            </w:tcBorders>
            <w:shd w:val="clear" w:color="auto" w:fill="FFFFFF" w:themeFill="background1"/>
            <w:vAlign w:val="center"/>
          </w:tcPr>
          <w:p>
            <w:pPr>
              <w:spacing w:line="360" w:lineRule="auto"/>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考评投标产品综合情况（投标方案设计、供货范围、冗合性、产品技术成熟度和先进性、质量安全可靠性、效能、市场占有率、品牌信誉度）优：</w:t>
            </w:r>
            <w:r>
              <w:rPr>
                <w:rFonts w:ascii="宋体" w:hAnsi="宋体" w:cs="宋体"/>
                <w:color w:val="auto"/>
                <w:sz w:val="24"/>
                <w:highlight w:val="none"/>
                <w:shd w:val="clear" w:color="auto" w:fill="auto"/>
              </w:rPr>
              <w:t>18-25</w:t>
            </w:r>
            <w:r>
              <w:rPr>
                <w:rFonts w:hint="eastAsia" w:ascii="宋体" w:hAnsi="宋体" w:cs="宋体"/>
                <w:color w:val="auto"/>
                <w:sz w:val="24"/>
                <w:highlight w:val="none"/>
                <w:shd w:val="clear" w:color="auto" w:fill="auto"/>
              </w:rPr>
              <w:t>；良：</w:t>
            </w:r>
            <w:r>
              <w:rPr>
                <w:rFonts w:ascii="宋体" w:hAnsi="宋体" w:cs="宋体"/>
                <w:color w:val="auto"/>
                <w:sz w:val="24"/>
                <w:highlight w:val="none"/>
                <w:shd w:val="clear" w:color="auto" w:fill="auto"/>
              </w:rPr>
              <w:t>11-17</w:t>
            </w:r>
            <w:r>
              <w:rPr>
                <w:rFonts w:hint="eastAsia" w:ascii="宋体" w:hAnsi="宋体" w:cs="宋体"/>
                <w:color w:val="auto"/>
                <w:sz w:val="24"/>
                <w:highlight w:val="none"/>
                <w:shd w:val="clear" w:color="auto" w:fill="auto"/>
              </w:rPr>
              <w:t>；中：</w:t>
            </w:r>
            <w:r>
              <w:rPr>
                <w:rFonts w:ascii="宋体" w:hAnsi="宋体" w:cs="宋体"/>
                <w:color w:val="auto"/>
                <w:sz w:val="24"/>
                <w:highlight w:val="none"/>
                <w:shd w:val="clear" w:color="auto" w:fill="auto"/>
              </w:rPr>
              <w:t>5-10</w:t>
            </w:r>
            <w:r>
              <w:rPr>
                <w:rFonts w:hint="eastAsia" w:ascii="宋体" w:hAnsi="宋体" w:cs="宋体"/>
                <w:color w:val="auto"/>
                <w:sz w:val="24"/>
                <w:highlight w:val="none"/>
                <w:shd w:val="clear" w:color="auto" w:fill="auto"/>
              </w:rPr>
              <w:t>；一般：</w:t>
            </w:r>
            <w:r>
              <w:rPr>
                <w:rFonts w:ascii="宋体" w:hAnsi="宋体" w:cs="宋体"/>
                <w:color w:val="auto"/>
                <w:sz w:val="24"/>
                <w:highlight w:val="none"/>
                <w:shd w:val="clear" w:color="auto" w:fill="auto"/>
              </w:rPr>
              <w:t>1-4</w:t>
            </w:r>
            <w:r>
              <w:rPr>
                <w:rFonts w:hint="eastAsia" w:ascii="宋体" w:hAnsi="宋体" w:cs="宋体"/>
                <w:color w:val="auto"/>
                <w:sz w:val="24"/>
                <w:highlight w:val="none"/>
                <w:shd w:val="clear" w:color="auto" w:fill="auto"/>
              </w:rP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235" w:hRule="atLeast"/>
        </w:trPr>
        <w:tc>
          <w:tcPr>
            <w:tcW w:w="741" w:type="dxa"/>
            <w:tcBorders>
              <w:tl2br w:val="nil"/>
              <w:tr2bl w:val="nil"/>
            </w:tcBorders>
            <w:shd w:val="clear" w:color="auto" w:fill="FFFFFF" w:themeFill="background1"/>
            <w:vAlign w:val="center"/>
          </w:tcPr>
          <w:p>
            <w:pPr>
              <w:widowControl/>
              <w:numPr>
                <w:ilvl w:val="0"/>
                <w:numId w:val="6"/>
              </w:numPr>
              <w:jc w:val="center"/>
              <w:rPr>
                <w:rFonts w:ascii="宋体" w:cs="宋体"/>
                <w:color w:val="auto"/>
                <w:sz w:val="24"/>
                <w:highlight w:val="none"/>
                <w:shd w:val="clear" w:color="auto" w:fill="auto"/>
              </w:rPr>
            </w:pPr>
          </w:p>
        </w:tc>
        <w:tc>
          <w:tcPr>
            <w:tcW w:w="1461" w:type="dxa"/>
            <w:tcBorders>
              <w:tl2br w:val="nil"/>
              <w:tr2bl w:val="nil"/>
            </w:tcBorders>
            <w:shd w:val="clear" w:color="auto" w:fill="FFFFFF" w:themeFill="background1"/>
            <w:vAlign w:val="center"/>
          </w:tcPr>
          <w:p>
            <w:pPr>
              <w:jc w:val="center"/>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售后及维护能力</w:t>
            </w:r>
          </w:p>
          <w:p>
            <w:pPr>
              <w:jc w:val="center"/>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w:t>
            </w:r>
            <w:r>
              <w:rPr>
                <w:rFonts w:ascii="宋体" w:hAnsi="宋体" w:cs="宋体"/>
                <w:color w:val="auto"/>
                <w:sz w:val="24"/>
                <w:highlight w:val="none"/>
                <w:shd w:val="clear" w:color="auto" w:fill="auto"/>
              </w:rPr>
              <w:t>20</w:t>
            </w:r>
            <w:r>
              <w:rPr>
                <w:rFonts w:hint="eastAsia" w:ascii="宋体" w:hAnsi="宋体" w:cs="宋体"/>
                <w:color w:val="auto"/>
                <w:sz w:val="24"/>
                <w:highlight w:val="none"/>
                <w:shd w:val="clear" w:color="auto" w:fill="auto"/>
              </w:rPr>
              <w:t>分）</w:t>
            </w:r>
          </w:p>
        </w:tc>
        <w:tc>
          <w:tcPr>
            <w:tcW w:w="855" w:type="dxa"/>
            <w:tcBorders>
              <w:tl2br w:val="nil"/>
              <w:tr2bl w:val="nil"/>
            </w:tcBorders>
            <w:shd w:val="clear" w:color="auto" w:fill="FFFFFF" w:themeFill="background1"/>
            <w:vAlign w:val="center"/>
          </w:tcPr>
          <w:p>
            <w:pPr>
              <w:jc w:val="center"/>
              <w:rPr>
                <w:rFonts w:ascii="宋体" w:cs="宋体"/>
                <w:color w:val="auto"/>
                <w:sz w:val="24"/>
                <w:highlight w:val="none"/>
                <w:shd w:val="clear" w:color="auto" w:fill="auto"/>
              </w:rPr>
            </w:pPr>
            <w:r>
              <w:rPr>
                <w:rFonts w:ascii="宋体" w:hAnsi="宋体" w:cs="宋体"/>
                <w:color w:val="auto"/>
                <w:sz w:val="24"/>
                <w:highlight w:val="none"/>
                <w:shd w:val="clear" w:color="auto" w:fill="auto"/>
              </w:rPr>
              <w:t>20</w:t>
            </w:r>
            <w:r>
              <w:rPr>
                <w:rFonts w:hint="eastAsia" w:ascii="宋体" w:hAnsi="宋体" w:cs="宋体"/>
                <w:color w:val="auto"/>
                <w:sz w:val="24"/>
                <w:highlight w:val="none"/>
                <w:shd w:val="clear" w:color="auto" w:fill="auto"/>
              </w:rPr>
              <w:t>分</w:t>
            </w:r>
          </w:p>
        </w:tc>
        <w:tc>
          <w:tcPr>
            <w:tcW w:w="5415" w:type="dxa"/>
            <w:tcBorders>
              <w:tl2br w:val="nil"/>
              <w:tr2bl w:val="nil"/>
            </w:tcBorders>
            <w:shd w:val="clear" w:color="auto" w:fill="FFFFFF" w:themeFill="background1"/>
            <w:vAlign w:val="center"/>
          </w:tcPr>
          <w:p>
            <w:pPr>
              <w:spacing w:line="360" w:lineRule="auto"/>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投标单位横向比较：</w:t>
            </w:r>
          </w:p>
          <w:p>
            <w:pPr>
              <w:spacing w:line="360" w:lineRule="auto"/>
              <w:rPr>
                <w:rFonts w:ascii="宋体" w:cs="宋体"/>
                <w:color w:val="auto"/>
                <w:sz w:val="24"/>
                <w:highlight w:val="none"/>
                <w:shd w:val="clear" w:color="auto" w:fill="auto"/>
              </w:rPr>
            </w:pPr>
            <w:r>
              <w:rPr>
                <w:rFonts w:ascii="宋体" w:hAnsi="宋体" w:cs="宋体"/>
                <w:color w:val="auto"/>
                <w:sz w:val="24"/>
                <w:highlight w:val="none"/>
                <w:shd w:val="clear" w:color="auto" w:fill="auto"/>
              </w:rPr>
              <w:t>1</w:t>
            </w:r>
            <w:r>
              <w:rPr>
                <w:rFonts w:hint="eastAsia" w:ascii="宋体" w:hAnsi="宋体" w:cs="宋体"/>
                <w:color w:val="auto"/>
                <w:sz w:val="24"/>
                <w:highlight w:val="none"/>
                <w:shd w:val="clear" w:color="auto" w:fill="auto"/>
              </w:rPr>
              <w:t>、提供详细的、有利于采购人售后培训方案措施的、提供了培训方案不详细、可操作性不强或评委认定该方案不完善等情况，良好得</w:t>
            </w:r>
            <w:r>
              <w:rPr>
                <w:rFonts w:ascii="宋体" w:hAnsi="宋体" w:cs="宋体"/>
                <w:color w:val="auto"/>
                <w:sz w:val="24"/>
                <w:highlight w:val="none"/>
                <w:shd w:val="clear" w:color="auto" w:fill="auto"/>
              </w:rPr>
              <w:t>7-10</w:t>
            </w:r>
            <w:r>
              <w:rPr>
                <w:rFonts w:hint="eastAsia" w:ascii="宋体" w:hAnsi="宋体" w:cs="宋体"/>
                <w:color w:val="auto"/>
                <w:sz w:val="24"/>
                <w:highlight w:val="none"/>
                <w:shd w:val="clear" w:color="auto" w:fill="auto"/>
              </w:rPr>
              <w:t>分，一般得</w:t>
            </w:r>
            <w:r>
              <w:rPr>
                <w:rFonts w:ascii="宋体" w:hAnsi="宋体" w:cs="宋体"/>
                <w:color w:val="auto"/>
                <w:sz w:val="24"/>
                <w:highlight w:val="none"/>
                <w:shd w:val="clear" w:color="auto" w:fill="auto"/>
              </w:rPr>
              <w:t>3-6</w:t>
            </w:r>
            <w:r>
              <w:rPr>
                <w:rFonts w:hint="eastAsia" w:ascii="宋体" w:hAnsi="宋体" w:cs="宋体"/>
                <w:color w:val="auto"/>
                <w:sz w:val="24"/>
                <w:highlight w:val="none"/>
                <w:shd w:val="clear" w:color="auto" w:fill="auto"/>
              </w:rPr>
              <w:t>，较差得</w:t>
            </w:r>
            <w:r>
              <w:rPr>
                <w:rFonts w:ascii="宋体" w:hAnsi="宋体" w:cs="宋体"/>
                <w:color w:val="auto"/>
                <w:sz w:val="24"/>
                <w:highlight w:val="none"/>
                <w:shd w:val="clear" w:color="auto" w:fill="auto"/>
              </w:rPr>
              <w:t>1-2</w:t>
            </w:r>
            <w:r>
              <w:rPr>
                <w:rFonts w:hint="eastAsia" w:ascii="宋体" w:hAnsi="宋体" w:cs="宋体"/>
                <w:color w:val="auto"/>
                <w:sz w:val="24"/>
                <w:highlight w:val="none"/>
                <w:shd w:val="clear" w:color="auto" w:fill="auto"/>
              </w:rPr>
              <w:t>分，没有不得分；</w:t>
            </w:r>
          </w:p>
          <w:p>
            <w:pPr>
              <w:spacing w:line="360" w:lineRule="auto"/>
              <w:rPr>
                <w:rFonts w:ascii="宋体" w:cs="宋体"/>
                <w:color w:val="auto"/>
                <w:sz w:val="24"/>
                <w:highlight w:val="none"/>
                <w:shd w:val="clear" w:color="auto" w:fill="auto"/>
              </w:rPr>
            </w:pPr>
            <w:r>
              <w:rPr>
                <w:rFonts w:ascii="宋体" w:hAnsi="宋体" w:cs="宋体"/>
                <w:color w:val="auto"/>
                <w:sz w:val="24"/>
                <w:highlight w:val="none"/>
                <w:shd w:val="clear" w:color="auto" w:fill="auto"/>
              </w:rPr>
              <w:t>2</w:t>
            </w:r>
            <w:r>
              <w:rPr>
                <w:rFonts w:hint="eastAsia" w:ascii="宋体" w:hAnsi="宋体" w:cs="宋体"/>
                <w:color w:val="auto"/>
                <w:sz w:val="24"/>
                <w:highlight w:val="none"/>
                <w:shd w:val="clear" w:color="auto" w:fill="auto"/>
              </w:rPr>
              <w:t>、有售后服务队伍，承诺了服务以及响应时间的合理性，售后服务方案良好得</w:t>
            </w:r>
            <w:r>
              <w:rPr>
                <w:rFonts w:ascii="宋体" w:hAnsi="宋体" w:cs="宋体"/>
                <w:color w:val="auto"/>
                <w:sz w:val="24"/>
                <w:highlight w:val="none"/>
                <w:shd w:val="clear" w:color="auto" w:fill="auto"/>
              </w:rPr>
              <w:t>7-10</w:t>
            </w:r>
            <w:r>
              <w:rPr>
                <w:rFonts w:hint="eastAsia" w:ascii="宋体" w:hAnsi="宋体" w:cs="宋体"/>
                <w:color w:val="auto"/>
                <w:sz w:val="24"/>
                <w:highlight w:val="none"/>
                <w:shd w:val="clear" w:color="auto" w:fill="auto"/>
              </w:rPr>
              <w:t>分，一般得</w:t>
            </w:r>
            <w:r>
              <w:rPr>
                <w:rFonts w:ascii="宋体" w:hAnsi="宋体" w:cs="宋体"/>
                <w:color w:val="auto"/>
                <w:sz w:val="24"/>
                <w:highlight w:val="none"/>
                <w:shd w:val="clear" w:color="auto" w:fill="auto"/>
              </w:rPr>
              <w:t>3-6</w:t>
            </w:r>
            <w:r>
              <w:rPr>
                <w:rFonts w:hint="eastAsia" w:ascii="宋体" w:hAnsi="宋体" w:cs="宋体"/>
                <w:color w:val="auto"/>
                <w:sz w:val="24"/>
                <w:highlight w:val="none"/>
                <w:shd w:val="clear" w:color="auto" w:fill="auto"/>
              </w:rPr>
              <w:t>，较差得</w:t>
            </w:r>
            <w:r>
              <w:rPr>
                <w:rFonts w:ascii="宋体" w:hAnsi="宋体" w:cs="宋体"/>
                <w:color w:val="auto"/>
                <w:sz w:val="24"/>
                <w:highlight w:val="none"/>
                <w:shd w:val="clear" w:color="auto" w:fill="auto"/>
              </w:rPr>
              <w:t>1-2</w:t>
            </w:r>
            <w:r>
              <w:rPr>
                <w:rFonts w:hint="eastAsia" w:ascii="宋体" w:hAnsi="宋体" w:cs="宋体"/>
                <w:color w:val="auto"/>
                <w:sz w:val="24"/>
                <w:highlight w:val="none"/>
                <w:shd w:val="clear" w:color="auto" w:fill="auto"/>
              </w:rPr>
              <w:t>分，没有不得分。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966" w:hRule="atLeast"/>
        </w:trPr>
        <w:tc>
          <w:tcPr>
            <w:tcW w:w="741" w:type="dxa"/>
            <w:tcBorders>
              <w:tl2br w:val="nil"/>
              <w:tr2bl w:val="nil"/>
            </w:tcBorders>
            <w:shd w:val="clear" w:color="auto" w:fill="FFFFFF" w:themeFill="background1"/>
            <w:vAlign w:val="center"/>
          </w:tcPr>
          <w:p>
            <w:pPr>
              <w:widowControl/>
              <w:numPr>
                <w:ilvl w:val="0"/>
                <w:numId w:val="6"/>
              </w:numPr>
              <w:jc w:val="center"/>
              <w:rPr>
                <w:rFonts w:ascii="宋体" w:cs="宋体"/>
                <w:color w:val="auto"/>
                <w:sz w:val="24"/>
                <w:highlight w:val="none"/>
                <w:shd w:val="clear" w:color="auto" w:fill="auto"/>
              </w:rPr>
            </w:pPr>
          </w:p>
        </w:tc>
        <w:tc>
          <w:tcPr>
            <w:tcW w:w="1461" w:type="dxa"/>
            <w:tcBorders>
              <w:tl2br w:val="nil"/>
              <w:tr2bl w:val="nil"/>
            </w:tcBorders>
            <w:shd w:val="clear" w:color="auto" w:fill="FFFFFF" w:themeFill="background1"/>
            <w:vAlign w:val="center"/>
          </w:tcPr>
          <w:p>
            <w:pPr>
              <w:jc w:val="center"/>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同类业绩</w:t>
            </w:r>
            <w:r>
              <w:rPr>
                <w:rFonts w:ascii="宋体" w:hAnsi="宋体" w:cs="宋体"/>
                <w:color w:val="auto"/>
                <w:sz w:val="24"/>
                <w:highlight w:val="none"/>
                <w:shd w:val="clear" w:color="auto" w:fill="auto"/>
              </w:rPr>
              <w:t>(8</w:t>
            </w:r>
            <w:r>
              <w:rPr>
                <w:rFonts w:hint="eastAsia" w:ascii="宋体" w:hAnsi="宋体" w:cs="宋体"/>
                <w:color w:val="auto"/>
                <w:sz w:val="24"/>
                <w:highlight w:val="none"/>
                <w:shd w:val="clear" w:color="auto" w:fill="auto"/>
              </w:rPr>
              <w:t>分）</w:t>
            </w:r>
          </w:p>
        </w:tc>
        <w:tc>
          <w:tcPr>
            <w:tcW w:w="855" w:type="dxa"/>
            <w:tcBorders>
              <w:tl2br w:val="nil"/>
              <w:tr2bl w:val="nil"/>
            </w:tcBorders>
            <w:shd w:val="clear" w:color="auto" w:fill="FFFFFF" w:themeFill="background1"/>
            <w:vAlign w:val="center"/>
          </w:tcPr>
          <w:p>
            <w:pPr>
              <w:jc w:val="center"/>
              <w:rPr>
                <w:rFonts w:ascii="宋体" w:cs="宋体"/>
                <w:color w:val="auto"/>
                <w:sz w:val="24"/>
                <w:highlight w:val="none"/>
                <w:shd w:val="clear" w:color="auto" w:fill="auto"/>
              </w:rPr>
            </w:pPr>
            <w:r>
              <w:rPr>
                <w:rFonts w:ascii="宋体" w:hAnsi="宋体" w:cs="宋体"/>
                <w:color w:val="auto"/>
                <w:sz w:val="24"/>
                <w:highlight w:val="none"/>
                <w:shd w:val="clear" w:color="auto" w:fill="auto"/>
              </w:rPr>
              <w:t>8</w:t>
            </w:r>
            <w:r>
              <w:rPr>
                <w:rFonts w:hint="eastAsia" w:ascii="宋体" w:hAnsi="宋体" w:cs="宋体"/>
                <w:color w:val="auto"/>
                <w:sz w:val="24"/>
                <w:highlight w:val="none"/>
                <w:shd w:val="clear" w:color="auto" w:fill="auto"/>
              </w:rPr>
              <w:t>分</w:t>
            </w:r>
          </w:p>
        </w:tc>
        <w:tc>
          <w:tcPr>
            <w:tcW w:w="5415" w:type="dxa"/>
            <w:tcBorders>
              <w:tl2br w:val="nil"/>
              <w:tr2bl w:val="nil"/>
            </w:tcBorders>
            <w:shd w:val="clear" w:color="auto" w:fill="FFFFFF" w:themeFill="background1"/>
            <w:vAlign w:val="center"/>
          </w:tcPr>
          <w:p>
            <w:pPr>
              <w:spacing w:line="360" w:lineRule="auto"/>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投标截止日期前</w:t>
            </w:r>
            <w:r>
              <w:rPr>
                <w:rFonts w:ascii="宋体" w:hAnsi="宋体" w:cs="宋体"/>
                <w:color w:val="auto"/>
                <w:sz w:val="24"/>
                <w:highlight w:val="none"/>
                <w:shd w:val="clear" w:color="auto" w:fill="auto"/>
              </w:rPr>
              <w:t>2</w:t>
            </w:r>
            <w:r>
              <w:rPr>
                <w:rFonts w:hint="eastAsia" w:ascii="宋体" w:hAnsi="宋体" w:cs="宋体"/>
                <w:color w:val="auto"/>
                <w:sz w:val="24"/>
                <w:highlight w:val="none"/>
                <w:shd w:val="clear" w:color="auto" w:fill="auto"/>
              </w:rPr>
              <w:t>年内，供应商提供同类项目业绩，每提供</w:t>
            </w:r>
            <w:r>
              <w:rPr>
                <w:rFonts w:ascii="宋体" w:hAnsi="宋体" w:cs="宋体"/>
                <w:color w:val="auto"/>
                <w:sz w:val="24"/>
                <w:highlight w:val="none"/>
                <w:shd w:val="clear" w:color="auto" w:fill="auto"/>
              </w:rPr>
              <w:t>1</w:t>
            </w:r>
            <w:r>
              <w:rPr>
                <w:rFonts w:hint="eastAsia" w:ascii="宋体" w:hAnsi="宋体" w:cs="宋体"/>
                <w:color w:val="auto"/>
                <w:sz w:val="24"/>
                <w:highlight w:val="none"/>
                <w:shd w:val="clear" w:color="auto" w:fill="auto"/>
              </w:rPr>
              <w:t>份有效合同或中标通知书的得</w:t>
            </w:r>
            <w:r>
              <w:rPr>
                <w:rFonts w:ascii="宋体" w:hAnsi="宋体" w:cs="宋体"/>
                <w:color w:val="auto"/>
                <w:sz w:val="24"/>
                <w:highlight w:val="none"/>
                <w:shd w:val="clear" w:color="auto" w:fill="auto"/>
              </w:rPr>
              <w:t>1</w:t>
            </w:r>
            <w:r>
              <w:rPr>
                <w:rFonts w:hint="eastAsia" w:ascii="宋体" w:hAnsi="宋体" w:cs="宋体"/>
                <w:color w:val="auto"/>
                <w:sz w:val="24"/>
                <w:highlight w:val="none"/>
                <w:shd w:val="clear" w:color="auto" w:fill="auto"/>
              </w:rPr>
              <w:t>分，最多得</w:t>
            </w:r>
            <w:r>
              <w:rPr>
                <w:rFonts w:ascii="宋体" w:hAnsi="宋体" w:cs="宋体"/>
                <w:color w:val="auto"/>
                <w:sz w:val="24"/>
                <w:highlight w:val="none"/>
                <w:shd w:val="clear" w:color="auto" w:fill="auto"/>
              </w:rPr>
              <w:t>8</w:t>
            </w:r>
            <w:r>
              <w:rPr>
                <w:rFonts w:hint="eastAsia" w:ascii="宋体" w:hAnsi="宋体" w:cs="宋体"/>
                <w:color w:val="auto"/>
                <w:sz w:val="24"/>
                <w:highlight w:val="none"/>
                <w:shd w:val="clear" w:color="auto" w:fill="auto"/>
              </w:rP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861" w:hRule="atLeast"/>
        </w:trPr>
        <w:tc>
          <w:tcPr>
            <w:tcW w:w="741" w:type="dxa"/>
            <w:tcBorders>
              <w:tl2br w:val="nil"/>
              <w:tr2bl w:val="nil"/>
            </w:tcBorders>
            <w:shd w:val="clear" w:color="auto" w:fill="FFFFFF" w:themeFill="background1"/>
            <w:vAlign w:val="center"/>
          </w:tcPr>
          <w:p>
            <w:pPr>
              <w:widowControl/>
              <w:numPr>
                <w:ilvl w:val="0"/>
                <w:numId w:val="6"/>
              </w:numPr>
              <w:jc w:val="center"/>
              <w:rPr>
                <w:rFonts w:ascii="宋体" w:cs="宋体"/>
                <w:color w:val="auto"/>
                <w:sz w:val="24"/>
                <w:highlight w:val="none"/>
                <w:shd w:val="clear" w:color="auto" w:fill="auto"/>
              </w:rPr>
            </w:pPr>
          </w:p>
        </w:tc>
        <w:tc>
          <w:tcPr>
            <w:tcW w:w="1461" w:type="dxa"/>
            <w:tcBorders>
              <w:tl2br w:val="nil"/>
              <w:tr2bl w:val="nil"/>
            </w:tcBorders>
            <w:shd w:val="clear" w:color="auto" w:fill="FFFFFF" w:themeFill="background1"/>
            <w:vAlign w:val="center"/>
          </w:tcPr>
          <w:p>
            <w:pPr>
              <w:jc w:val="center"/>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企业资信（</w:t>
            </w:r>
            <w:r>
              <w:rPr>
                <w:rFonts w:ascii="宋体" w:hAnsi="宋体" w:cs="宋体"/>
                <w:color w:val="auto"/>
                <w:sz w:val="24"/>
                <w:highlight w:val="none"/>
                <w:shd w:val="clear" w:color="auto" w:fill="auto"/>
              </w:rPr>
              <w:t>3</w:t>
            </w:r>
            <w:r>
              <w:rPr>
                <w:rFonts w:hint="eastAsia" w:ascii="宋体" w:hAnsi="宋体" w:cs="宋体"/>
                <w:color w:val="auto"/>
                <w:sz w:val="24"/>
                <w:highlight w:val="none"/>
                <w:shd w:val="clear" w:color="auto" w:fill="auto"/>
              </w:rPr>
              <w:t>分）</w:t>
            </w:r>
          </w:p>
        </w:tc>
        <w:tc>
          <w:tcPr>
            <w:tcW w:w="855" w:type="dxa"/>
            <w:tcBorders>
              <w:tl2br w:val="nil"/>
              <w:tr2bl w:val="nil"/>
            </w:tcBorders>
            <w:shd w:val="clear" w:color="auto" w:fill="FFFFFF" w:themeFill="background1"/>
            <w:vAlign w:val="center"/>
          </w:tcPr>
          <w:p>
            <w:pPr>
              <w:jc w:val="center"/>
              <w:rPr>
                <w:rFonts w:ascii="宋体" w:cs="宋体"/>
                <w:color w:val="auto"/>
                <w:sz w:val="24"/>
                <w:highlight w:val="none"/>
                <w:shd w:val="clear" w:color="auto" w:fill="auto"/>
              </w:rPr>
            </w:pPr>
            <w:r>
              <w:rPr>
                <w:rFonts w:ascii="宋体" w:hAnsi="宋体" w:cs="宋体"/>
                <w:color w:val="auto"/>
                <w:sz w:val="24"/>
                <w:highlight w:val="none"/>
                <w:shd w:val="clear" w:color="auto" w:fill="auto"/>
              </w:rPr>
              <w:t>3</w:t>
            </w:r>
            <w:r>
              <w:rPr>
                <w:rFonts w:hint="eastAsia" w:ascii="宋体" w:hAnsi="宋体" w:cs="宋体"/>
                <w:color w:val="auto"/>
                <w:sz w:val="24"/>
                <w:highlight w:val="none"/>
                <w:shd w:val="clear" w:color="auto" w:fill="auto"/>
              </w:rPr>
              <w:t>分</w:t>
            </w:r>
          </w:p>
        </w:tc>
        <w:tc>
          <w:tcPr>
            <w:tcW w:w="5415" w:type="dxa"/>
            <w:tcBorders>
              <w:tl2br w:val="nil"/>
              <w:tr2bl w:val="nil"/>
            </w:tcBorders>
            <w:shd w:val="clear" w:color="auto" w:fill="FFFFFF" w:themeFill="background1"/>
            <w:vAlign w:val="center"/>
          </w:tcPr>
          <w:p>
            <w:pPr>
              <w:spacing w:line="360" w:lineRule="auto"/>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提供近三年的财务审计报告，且财务状况良好得</w:t>
            </w:r>
            <w:r>
              <w:rPr>
                <w:rFonts w:ascii="宋体" w:hAnsi="宋体" w:cs="宋体"/>
                <w:color w:val="auto"/>
                <w:sz w:val="24"/>
                <w:highlight w:val="none"/>
                <w:shd w:val="clear" w:color="auto" w:fill="auto"/>
              </w:rPr>
              <w:t>3</w:t>
            </w:r>
            <w:r>
              <w:rPr>
                <w:rFonts w:hint="eastAsia" w:ascii="宋体" w:hAnsi="宋体" w:cs="宋体"/>
                <w:color w:val="auto"/>
                <w:sz w:val="24"/>
                <w:highlight w:val="none"/>
                <w:shd w:val="clear" w:color="auto" w:fill="auto"/>
              </w:rPr>
              <w:t>分，没有不得分。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1286" w:hRule="atLeast"/>
        </w:trPr>
        <w:tc>
          <w:tcPr>
            <w:tcW w:w="741" w:type="dxa"/>
            <w:vMerge w:val="restart"/>
            <w:tcBorders>
              <w:tl2br w:val="nil"/>
              <w:tr2bl w:val="nil"/>
            </w:tcBorders>
            <w:shd w:val="clear" w:color="auto" w:fill="FFFFFF" w:themeFill="background1"/>
            <w:vAlign w:val="center"/>
          </w:tcPr>
          <w:p>
            <w:pPr>
              <w:widowControl/>
              <w:numPr>
                <w:ilvl w:val="0"/>
                <w:numId w:val="6"/>
              </w:numPr>
              <w:jc w:val="center"/>
              <w:rPr>
                <w:rFonts w:ascii="宋体" w:cs="宋体"/>
                <w:color w:val="auto"/>
                <w:sz w:val="24"/>
                <w:highlight w:val="none"/>
                <w:shd w:val="clear" w:color="auto" w:fill="auto"/>
              </w:rPr>
            </w:pPr>
          </w:p>
        </w:tc>
        <w:tc>
          <w:tcPr>
            <w:tcW w:w="1461" w:type="dxa"/>
            <w:vMerge w:val="restart"/>
            <w:tcBorders>
              <w:tl2br w:val="nil"/>
              <w:tr2bl w:val="nil"/>
            </w:tcBorders>
            <w:shd w:val="clear" w:color="auto" w:fill="FFFFFF" w:themeFill="background1"/>
            <w:vAlign w:val="center"/>
          </w:tcPr>
          <w:p>
            <w:pPr>
              <w:jc w:val="center"/>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供应商工作方案及具体实施措施</w:t>
            </w:r>
          </w:p>
          <w:p>
            <w:pPr>
              <w:jc w:val="center"/>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w:t>
            </w:r>
            <w:r>
              <w:rPr>
                <w:rFonts w:ascii="宋体" w:hAnsi="宋体" w:cs="宋体"/>
                <w:color w:val="auto"/>
                <w:sz w:val="24"/>
                <w:highlight w:val="none"/>
                <w:shd w:val="clear" w:color="auto" w:fill="auto"/>
              </w:rPr>
              <w:t>10</w:t>
            </w:r>
            <w:r>
              <w:rPr>
                <w:rFonts w:hint="eastAsia" w:ascii="宋体" w:hAnsi="宋体" w:cs="宋体"/>
                <w:color w:val="auto"/>
                <w:sz w:val="24"/>
                <w:highlight w:val="none"/>
                <w:shd w:val="clear" w:color="auto" w:fill="auto"/>
              </w:rPr>
              <w:t>分）</w:t>
            </w:r>
          </w:p>
        </w:tc>
        <w:tc>
          <w:tcPr>
            <w:tcW w:w="855" w:type="dxa"/>
            <w:tcBorders>
              <w:tl2br w:val="nil"/>
              <w:tr2bl w:val="nil"/>
            </w:tcBorders>
            <w:shd w:val="clear" w:color="auto" w:fill="FFFFFF" w:themeFill="background1"/>
            <w:vAlign w:val="center"/>
          </w:tcPr>
          <w:p>
            <w:pPr>
              <w:jc w:val="center"/>
              <w:rPr>
                <w:rFonts w:ascii="宋体" w:cs="宋体"/>
                <w:color w:val="auto"/>
                <w:sz w:val="24"/>
                <w:highlight w:val="none"/>
                <w:shd w:val="clear" w:color="auto" w:fill="auto"/>
              </w:rPr>
            </w:pPr>
            <w:r>
              <w:rPr>
                <w:rFonts w:ascii="宋体" w:hAnsi="宋体" w:cs="宋体"/>
                <w:color w:val="auto"/>
                <w:sz w:val="24"/>
                <w:highlight w:val="none"/>
                <w:shd w:val="clear" w:color="auto" w:fill="auto"/>
              </w:rPr>
              <w:t xml:space="preserve"> 0-5</w:t>
            </w:r>
            <w:r>
              <w:rPr>
                <w:rFonts w:hint="eastAsia" w:ascii="宋体" w:hAnsi="宋体" w:cs="宋体"/>
                <w:color w:val="auto"/>
                <w:sz w:val="24"/>
                <w:highlight w:val="none"/>
                <w:shd w:val="clear" w:color="auto" w:fill="auto"/>
              </w:rPr>
              <w:t>分</w:t>
            </w:r>
          </w:p>
        </w:tc>
        <w:tc>
          <w:tcPr>
            <w:tcW w:w="5415" w:type="dxa"/>
            <w:tcBorders>
              <w:tl2br w:val="nil"/>
              <w:tr2bl w:val="nil"/>
            </w:tcBorders>
            <w:shd w:val="clear" w:color="auto" w:fill="FFFFFF" w:themeFill="background1"/>
            <w:vAlign w:val="center"/>
          </w:tcPr>
          <w:p>
            <w:pPr>
              <w:pStyle w:val="128"/>
              <w:spacing w:line="360" w:lineRule="auto"/>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横向比较：工作方案切实可行，充分满足项目的需求，具备针对性及合理性的得</w:t>
            </w:r>
            <w:r>
              <w:rPr>
                <w:rFonts w:ascii="宋体" w:hAnsi="宋体" w:cs="宋体"/>
                <w:color w:val="auto"/>
                <w:sz w:val="24"/>
                <w:highlight w:val="none"/>
                <w:shd w:val="clear" w:color="auto" w:fill="auto"/>
              </w:rPr>
              <w:t>4-5</w:t>
            </w:r>
            <w:r>
              <w:rPr>
                <w:rFonts w:hint="eastAsia" w:ascii="宋体" w:hAnsi="宋体" w:cs="宋体"/>
                <w:color w:val="auto"/>
                <w:sz w:val="24"/>
                <w:highlight w:val="none"/>
                <w:shd w:val="clear" w:color="auto" w:fill="auto"/>
              </w:rPr>
              <w:t>分，一般得</w:t>
            </w:r>
            <w:r>
              <w:rPr>
                <w:rFonts w:ascii="宋体" w:hAnsi="宋体" w:cs="宋体"/>
                <w:color w:val="auto"/>
                <w:sz w:val="24"/>
                <w:highlight w:val="none"/>
                <w:shd w:val="clear" w:color="auto" w:fill="auto"/>
              </w:rPr>
              <w:t>1-3</w:t>
            </w:r>
            <w:r>
              <w:rPr>
                <w:rFonts w:hint="eastAsia" w:ascii="宋体" w:hAnsi="宋体" w:cs="宋体"/>
                <w:color w:val="auto"/>
                <w:sz w:val="24"/>
                <w:highlight w:val="none"/>
                <w:shd w:val="clear" w:color="auto" w:fill="auto"/>
              </w:rPr>
              <w:t>分，否则不得分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1386" w:hRule="atLeast"/>
        </w:trPr>
        <w:tc>
          <w:tcPr>
            <w:tcW w:w="741" w:type="dxa"/>
            <w:vMerge w:val="continue"/>
            <w:tcBorders>
              <w:tl2br w:val="nil"/>
              <w:tr2bl w:val="nil"/>
            </w:tcBorders>
            <w:shd w:val="clear" w:color="auto" w:fill="FFFFFF" w:themeFill="background1"/>
            <w:vAlign w:val="center"/>
          </w:tcPr>
          <w:p>
            <w:pPr>
              <w:pStyle w:val="128"/>
              <w:spacing w:line="288" w:lineRule="auto"/>
              <w:rPr>
                <w:rFonts w:ascii="宋体" w:cs="宋体"/>
                <w:color w:val="auto"/>
                <w:highlight w:val="none"/>
                <w:shd w:val="clear" w:color="auto" w:fill="auto"/>
              </w:rPr>
            </w:pPr>
          </w:p>
        </w:tc>
        <w:tc>
          <w:tcPr>
            <w:tcW w:w="1461" w:type="dxa"/>
            <w:vMerge w:val="continue"/>
            <w:tcBorders>
              <w:tl2br w:val="nil"/>
              <w:tr2bl w:val="nil"/>
            </w:tcBorders>
            <w:shd w:val="clear" w:color="auto" w:fill="FFFFFF" w:themeFill="background1"/>
            <w:vAlign w:val="center"/>
          </w:tcPr>
          <w:p>
            <w:pPr>
              <w:pStyle w:val="128"/>
              <w:spacing w:line="288" w:lineRule="auto"/>
              <w:rPr>
                <w:rFonts w:ascii="宋体" w:cs="宋体"/>
                <w:color w:val="auto"/>
                <w:highlight w:val="none"/>
                <w:shd w:val="clear" w:color="auto" w:fill="auto"/>
              </w:rPr>
            </w:pPr>
          </w:p>
        </w:tc>
        <w:tc>
          <w:tcPr>
            <w:tcW w:w="855" w:type="dxa"/>
            <w:tcBorders>
              <w:tl2br w:val="nil"/>
              <w:tr2bl w:val="nil"/>
            </w:tcBorders>
            <w:shd w:val="clear" w:color="auto" w:fill="FFFFFF" w:themeFill="background1"/>
            <w:vAlign w:val="center"/>
          </w:tcPr>
          <w:p>
            <w:pPr>
              <w:pStyle w:val="128"/>
              <w:spacing w:line="288" w:lineRule="auto"/>
              <w:ind w:firstLine="240" w:firstLineChars="100"/>
              <w:jc w:val="center"/>
              <w:rPr>
                <w:rFonts w:ascii="宋体" w:cs="宋体"/>
                <w:color w:val="auto"/>
                <w:sz w:val="24"/>
                <w:highlight w:val="none"/>
                <w:shd w:val="clear" w:color="auto" w:fill="auto"/>
              </w:rPr>
            </w:pPr>
            <w:r>
              <w:rPr>
                <w:rFonts w:ascii="宋体" w:hAnsi="宋体" w:cs="宋体"/>
                <w:color w:val="auto"/>
                <w:sz w:val="24"/>
                <w:highlight w:val="none"/>
                <w:shd w:val="clear" w:color="auto" w:fill="auto"/>
              </w:rPr>
              <w:t>0-5</w:t>
            </w:r>
            <w:r>
              <w:rPr>
                <w:rFonts w:hint="eastAsia" w:ascii="宋体" w:hAnsi="宋体" w:cs="宋体"/>
                <w:color w:val="auto"/>
                <w:sz w:val="24"/>
                <w:highlight w:val="none"/>
                <w:shd w:val="clear" w:color="auto" w:fill="auto"/>
              </w:rPr>
              <w:t>分</w:t>
            </w:r>
          </w:p>
        </w:tc>
        <w:tc>
          <w:tcPr>
            <w:tcW w:w="5415" w:type="dxa"/>
            <w:tcBorders>
              <w:tl2br w:val="nil"/>
              <w:tr2bl w:val="nil"/>
            </w:tcBorders>
            <w:shd w:val="clear" w:color="auto" w:fill="FFFFFF" w:themeFill="background1"/>
            <w:vAlign w:val="center"/>
          </w:tcPr>
          <w:p>
            <w:pPr>
              <w:pStyle w:val="128"/>
              <w:spacing w:line="360" w:lineRule="auto"/>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横向比较：供应商对服务人员的配备、响应时间、响应程度、解决问题的能力等因素做出后续服务的保障承诺，良好得</w:t>
            </w:r>
            <w:r>
              <w:rPr>
                <w:rFonts w:ascii="宋体" w:hAnsi="宋体" w:cs="宋体"/>
                <w:color w:val="auto"/>
                <w:sz w:val="24"/>
                <w:highlight w:val="none"/>
                <w:shd w:val="clear" w:color="auto" w:fill="auto"/>
              </w:rPr>
              <w:t>4-5</w:t>
            </w:r>
            <w:r>
              <w:rPr>
                <w:rFonts w:hint="eastAsia" w:ascii="宋体" w:hAnsi="宋体" w:cs="宋体"/>
                <w:color w:val="auto"/>
                <w:sz w:val="24"/>
                <w:highlight w:val="none"/>
                <w:shd w:val="clear" w:color="auto" w:fill="auto"/>
              </w:rPr>
              <w:t>分，一般得</w:t>
            </w:r>
            <w:r>
              <w:rPr>
                <w:rFonts w:ascii="宋体" w:hAnsi="宋体" w:cs="宋体"/>
                <w:color w:val="auto"/>
                <w:sz w:val="24"/>
                <w:highlight w:val="none"/>
                <w:shd w:val="clear" w:color="auto" w:fill="auto"/>
              </w:rPr>
              <w:t>1-3</w:t>
            </w:r>
            <w:r>
              <w:rPr>
                <w:rFonts w:hint="eastAsia" w:ascii="宋体" w:hAnsi="宋体" w:cs="宋体"/>
                <w:color w:val="auto"/>
                <w:sz w:val="24"/>
                <w:highlight w:val="none"/>
                <w:shd w:val="clear" w:color="auto" w:fill="auto"/>
              </w:rPr>
              <w:t>分，否则不得分。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1185" w:hRule="atLeast"/>
        </w:trPr>
        <w:tc>
          <w:tcPr>
            <w:tcW w:w="741" w:type="dxa"/>
            <w:vMerge w:val="restart"/>
            <w:tcBorders>
              <w:tl2br w:val="nil"/>
              <w:tr2bl w:val="nil"/>
            </w:tcBorders>
            <w:shd w:val="clear" w:color="auto" w:fill="FFFFFF" w:themeFill="background1"/>
            <w:vAlign w:val="center"/>
          </w:tcPr>
          <w:p>
            <w:pPr>
              <w:widowControl/>
              <w:numPr>
                <w:ilvl w:val="0"/>
                <w:numId w:val="6"/>
              </w:numPr>
              <w:jc w:val="center"/>
              <w:rPr>
                <w:rFonts w:ascii="宋体" w:cs="宋体"/>
                <w:color w:val="auto"/>
                <w:sz w:val="24"/>
                <w:highlight w:val="none"/>
                <w:shd w:val="clear" w:color="auto" w:fill="auto"/>
              </w:rPr>
            </w:pPr>
          </w:p>
        </w:tc>
        <w:tc>
          <w:tcPr>
            <w:tcW w:w="1461" w:type="dxa"/>
            <w:vMerge w:val="restart"/>
            <w:tcBorders>
              <w:tl2br w:val="nil"/>
              <w:tr2bl w:val="nil"/>
            </w:tcBorders>
            <w:shd w:val="clear" w:color="auto" w:fill="FFFFFF" w:themeFill="background1"/>
            <w:vAlign w:val="center"/>
          </w:tcPr>
          <w:p>
            <w:pPr>
              <w:jc w:val="center"/>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响应文件的质量</w:t>
            </w:r>
          </w:p>
          <w:p>
            <w:pPr>
              <w:jc w:val="center"/>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w:t>
            </w:r>
            <w:r>
              <w:rPr>
                <w:rFonts w:ascii="宋体" w:hAnsi="宋体" w:cs="宋体"/>
                <w:color w:val="auto"/>
                <w:sz w:val="24"/>
                <w:highlight w:val="none"/>
                <w:shd w:val="clear" w:color="auto" w:fill="auto"/>
              </w:rPr>
              <w:t>4</w:t>
            </w:r>
            <w:r>
              <w:rPr>
                <w:rFonts w:hint="eastAsia" w:ascii="宋体" w:hAnsi="宋体" w:cs="宋体"/>
                <w:color w:val="auto"/>
                <w:sz w:val="24"/>
                <w:highlight w:val="none"/>
                <w:shd w:val="clear" w:color="auto" w:fill="auto"/>
              </w:rPr>
              <w:t>分）</w:t>
            </w:r>
          </w:p>
        </w:tc>
        <w:tc>
          <w:tcPr>
            <w:tcW w:w="855" w:type="dxa"/>
            <w:tcBorders>
              <w:tl2br w:val="nil"/>
              <w:tr2bl w:val="nil"/>
            </w:tcBorders>
            <w:shd w:val="clear" w:color="auto" w:fill="FFFFFF" w:themeFill="background1"/>
            <w:vAlign w:val="center"/>
          </w:tcPr>
          <w:p>
            <w:pPr>
              <w:jc w:val="center"/>
              <w:rPr>
                <w:rFonts w:ascii="宋体" w:cs="宋体"/>
                <w:color w:val="auto"/>
                <w:sz w:val="24"/>
                <w:highlight w:val="none"/>
                <w:shd w:val="clear" w:color="auto" w:fill="auto"/>
              </w:rPr>
            </w:pPr>
            <w:r>
              <w:rPr>
                <w:rFonts w:ascii="宋体" w:hAnsi="宋体" w:cs="宋体"/>
                <w:color w:val="auto"/>
                <w:sz w:val="24"/>
                <w:highlight w:val="none"/>
                <w:shd w:val="clear" w:color="auto" w:fill="auto"/>
              </w:rPr>
              <w:t>0-2</w:t>
            </w:r>
            <w:r>
              <w:rPr>
                <w:rFonts w:hint="eastAsia" w:ascii="宋体" w:hAnsi="宋体" w:cs="宋体"/>
                <w:color w:val="auto"/>
                <w:sz w:val="24"/>
                <w:highlight w:val="none"/>
                <w:shd w:val="clear" w:color="auto" w:fill="auto"/>
              </w:rPr>
              <w:t>分</w:t>
            </w:r>
          </w:p>
        </w:tc>
        <w:tc>
          <w:tcPr>
            <w:tcW w:w="5415" w:type="dxa"/>
            <w:tcBorders>
              <w:tl2br w:val="nil"/>
              <w:tr2bl w:val="nil"/>
            </w:tcBorders>
            <w:shd w:val="clear" w:color="auto" w:fill="FFFFFF" w:themeFill="background1"/>
            <w:vAlign w:val="center"/>
          </w:tcPr>
          <w:p>
            <w:pPr>
              <w:pStyle w:val="128"/>
              <w:spacing w:line="360" w:lineRule="auto"/>
              <w:rPr>
                <w:rFonts w:asci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响应文件制作在满足招标文件要求的基础上，目录详尽、标记清楚、文字、复印证件等清晰的，得</w:t>
            </w:r>
            <w:r>
              <w:rPr>
                <w:rFonts w:ascii="宋体" w:hAnsi="宋体" w:cs="宋体"/>
                <w:bCs/>
                <w:color w:val="auto"/>
                <w:sz w:val="24"/>
                <w:szCs w:val="24"/>
                <w:highlight w:val="none"/>
                <w:shd w:val="clear" w:color="auto" w:fill="auto"/>
              </w:rPr>
              <w:t>0-2</w:t>
            </w:r>
            <w:r>
              <w:rPr>
                <w:rFonts w:hint="eastAsia" w:ascii="宋体" w:hAnsi="宋体" w:cs="宋体"/>
                <w:bCs/>
                <w:color w:val="auto"/>
                <w:sz w:val="24"/>
                <w:szCs w:val="24"/>
                <w:highlight w:val="none"/>
                <w:shd w:val="clear" w:color="auto" w:fill="auto"/>
              </w:rP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964" w:hRule="atLeast"/>
        </w:trPr>
        <w:tc>
          <w:tcPr>
            <w:tcW w:w="741" w:type="dxa"/>
            <w:vMerge w:val="continue"/>
            <w:tcBorders>
              <w:tl2br w:val="nil"/>
              <w:tr2bl w:val="nil"/>
            </w:tcBorders>
            <w:shd w:val="clear" w:color="auto" w:fill="FFFFFF" w:themeFill="background1"/>
            <w:vAlign w:val="center"/>
          </w:tcPr>
          <w:p>
            <w:pPr>
              <w:pStyle w:val="128"/>
              <w:spacing w:line="288" w:lineRule="auto"/>
              <w:rPr>
                <w:rFonts w:ascii="宋体" w:cs="宋体"/>
                <w:color w:val="auto"/>
                <w:highlight w:val="none"/>
                <w:shd w:val="clear" w:color="auto" w:fill="auto"/>
              </w:rPr>
            </w:pPr>
          </w:p>
        </w:tc>
        <w:tc>
          <w:tcPr>
            <w:tcW w:w="1461" w:type="dxa"/>
            <w:vMerge w:val="continue"/>
            <w:tcBorders>
              <w:tl2br w:val="nil"/>
              <w:tr2bl w:val="nil"/>
            </w:tcBorders>
            <w:shd w:val="clear" w:color="auto" w:fill="FFFFFF" w:themeFill="background1"/>
            <w:vAlign w:val="center"/>
          </w:tcPr>
          <w:p>
            <w:pPr>
              <w:pStyle w:val="128"/>
              <w:spacing w:line="288" w:lineRule="auto"/>
              <w:rPr>
                <w:rFonts w:ascii="宋体" w:cs="宋体"/>
                <w:color w:val="auto"/>
                <w:highlight w:val="none"/>
                <w:shd w:val="clear" w:color="auto" w:fill="auto"/>
              </w:rPr>
            </w:pPr>
          </w:p>
        </w:tc>
        <w:tc>
          <w:tcPr>
            <w:tcW w:w="855" w:type="dxa"/>
            <w:tcBorders>
              <w:tl2br w:val="nil"/>
              <w:tr2bl w:val="nil"/>
            </w:tcBorders>
            <w:shd w:val="clear" w:color="auto" w:fill="FFFFFF" w:themeFill="background1"/>
            <w:vAlign w:val="center"/>
          </w:tcPr>
          <w:p>
            <w:pPr>
              <w:pStyle w:val="128"/>
              <w:spacing w:line="288" w:lineRule="auto"/>
              <w:jc w:val="center"/>
              <w:rPr>
                <w:rFonts w:ascii="宋体" w:cs="宋体"/>
                <w:color w:val="auto"/>
                <w:sz w:val="24"/>
                <w:highlight w:val="none"/>
                <w:shd w:val="clear" w:color="auto" w:fill="auto"/>
              </w:rPr>
            </w:pPr>
            <w:r>
              <w:rPr>
                <w:rFonts w:ascii="宋体" w:hAnsi="宋体" w:cs="宋体"/>
                <w:color w:val="auto"/>
                <w:sz w:val="24"/>
                <w:highlight w:val="none"/>
                <w:shd w:val="clear" w:color="auto" w:fill="auto"/>
              </w:rPr>
              <w:t>0-2</w:t>
            </w:r>
            <w:r>
              <w:rPr>
                <w:rFonts w:hint="eastAsia" w:ascii="宋体" w:hAnsi="宋体" w:cs="宋体"/>
                <w:color w:val="auto"/>
                <w:sz w:val="24"/>
                <w:highlight w:val="none"/>
                <w:shd w:val="clear" w:color="auto" w:fill="auto"/>
              </w:rPr>
              <w:t>分</w:t>
            </w:r>
          </w:p>
        </w:tc>
        <w:tc>
          <w:tcPr>
            <w:tcW w:w="5415" w:type="dxa"/>
            <w:tcBorders>
              <w:tl2br w:val="nil"/>
              <w:tr2bl w:val="nil"/>
            </w:tcBorders>
            <w:shd w:val="clear" w:color="auto" w:fill="FFFFFF" w:themeFill="background1"/>
            <w:vAlign w:val="center"/>
          </w:tcPr>
          <w:p>
            <w:pPr>
              <w:pStyle w:val="128"/>
              <w:spacing w:line="360" w:lineRule="auto"/>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根据响应文件内容是完整的、叙述是否准确细致得</w:t>
            </w:r>
            <w:r>
              <w:rPr>
                <w:rFonts w:ascii="宋体" w:hAnsi="宋体" w:cs="宋体"/>
                <w:color w:val="auto"/>
                <w:sz w:val="24"/>
                <w:highlight w:val="none"/>
                <w:shd w:val="clear" w:color="auto" w:fill="auto"/>
              </w:rPr>
              <w:t>0-2</w:t>
            </w:r>
            <w:r>
              <w:rPr>
                <w:rFonts w:hint="eastAsia" w:ascii="宋体" w:hAnsi="宋体" w:cs="宋体"/>
                <w:color w:val="auto"/>
                <w:sz w:val="24"/>
                <w:highlight w:val="none"/>
                <w:shd w:val="clear" w:color="auto" w:fill="auto"/>
              </w:rPr>
              <w:t>分</w:t>
            </w:r>
          </w:p>
        </w:tc>
      </w:tr>
    </w:tbl>
    <w:p>
      <w:pPr>
        <w:spacing w:line="360" w:lineRule="auto"/>
        <w:ind w:firstLine="480" w:firstLineChars="200"/>
        <w:rPr>
          <w:rFonts w:ascii="宋体" w:cs="宋体"/>
          <w:sz w:val="24"/>
          <w:szCs w:val="24"/>
          <w:highlight w:val="none"/>
        </w:rPr>
      </w:pPr>
      <w:r>
        <w:rPr>
          <w:rFonts w:ascii="宋体" w:hAnsi="宋体" w:cs="宋体"/>
          <w:sz w:val="24"/>
          <w:szCs w:val="24"/>
          <w:highlight w:val="none"/>
        </w:rPr>
        <w:t>29.2</w:t>
      </w:r>
      <w:r>
        <w:rPr>
          <w:rFonts w:hint="eastAsia" w:ascii="宋体" w:hAnsi="宋体" w:cs="宋体"/>
          <w:sz w:val="24"/>
          <w:szCs w:val="24"/>
          <w:highlight w:val="none"/>
        </w:rPr>
        <w:t>评分汇总</w:t>
      </w:r>
    </w:p>
    <w:p>
      <w:pPr>
        <w:spacing w:line="360" w:lineRule="auto"/>
        <w:ind w:firstLine="1132" w:firstLineChars="472"/>
        <w:rPr>
          <w:rFonts w:ascii="宋体" w:cs="宋体"/>
          <w:sz w:val="24"/>
          <w:szCs w:val="24"/>
          <w:highlight w:val="none"/>
        </w:rPr>
      </w:pPr>
      <w:r>
        <w:rPr>
          <w:rFonts w:hint="eastAsia" w:ascii="宋体" w:hAnsi="宋体" w:cs="宋体"/>
          <w:sz w:val="24"/>
          <w:szCs w:val="24"/>
          <w:highlight w:val="none"/>
        </w:rPr>
        <w:t>技术、商务总分＝各评委技术、商务评分总和÷评委人数</w:t>
      </w:r>
    </w:p>
    <w:p>
      <w:pPr>
        <w:spacing w:line="360" w:lineRule="auto"/>
        <w:ind w:firstLine="1132" w:firstLineChars="472"/>
        <w:rPr>
          <w:rFonts w:ascii="宋体" w:cs="宋体"/>
          <w:sz w:val="24"/>
          <w:szCs w:val="24"/>
          <w:highlight w:val="none"/>
        </w:rPr>
      </w:pPr>
      <w:r>
        <w:rPr>
          <w:rFonts w:hint="eastAsia" w:ascii="宋体" w:hAnsi="宋体" w:cs="宋体"/>
          <w:sz w:val="24"/>
          <w:szCs w:val="24"/>
          <w:highlight w:val="none"/>
        </w:rPr>
        <w:t>综合总分＝报价得分</w:t>
      </w:r>
      <w:r>
        <w:rPr>
          <w:rFonts w:ascii="宋体" w:hAnsi="宋体" w:cs="宋体"/>
          <w:sz w:val="24"/>
          <w:szCs w:val="24"/>
          <w:highlight w:val="none"/>
        </w:rPr>
        <w:t>+</w:t>
      </w:r>
      <w:r>
        <w:rPr>
          <w:rFonts w:hint="eastAsia" w:ascii="宋体" w:hAnsi="宋体" w:cs="宋体"/>
          <w:sz w:val="24"/>
          <w:szCs w:val="24"/>
          <w:highlight w:val="none"/>
        </w:rPr>
        <w:t>技术、商务总分</w:t>
      </w:r>
    </w:p>
    <w:p>
      <w:pPr>
        <w:spacing w:line="360" w:lineRule="auto"/>
        <w:rPr>
          <w:rFonts w:ascii="宋体" w:cs="宋体"/>
          <w:sz w:val="24"/>
          <w:szCs w:val="24"/>
          <w:highlight w:val="none"/>
        </w:rPr>
      </w:pPr>
      <w:r>
        <w:rPr>
          <w:rFonts w:ascii="宋体" w:hAnsi="宋体" w:cs="宋体"/>
          <w:sz w:val="24"/>
          <w:szCs w:val="24"/>
          <w:highlight w:val="none"/>
        </w:rPr>
        <w:t>30.</w:t>
      </w:r>
      <w:r>
        <w:rPr>
          <w:rFonts w:hint="eastAsia" w:ascii="宋体" w:hAnsi="宋体" w:cs="宋体"/>
          <w:sz w:val="24"/>
          <w:szCs w:val="24"/>
          <w:highlight w:val="none"/>
        </w:rPr>
        <w:t>推荐中标候选人名单</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30.1</w:t>
      </w:r>
      <w:r>
        <w:rPr>
          <w:rFonts w:hint="eastAsia" w:ascii="宋体" w:hAnsi="宋体" w:cs="宋体"/>
          <w:sz w:val="24"/>
          <w:szCs w:val="24"/>
          <w:highlight w:val="none"/>
        </w:rPr>
        <w:t>评标委员会按最终评标得分由高到低顺序对有效投标人排序，并按照排名顺序推荐中标候选人。最终评标得分相同的，按技术指标优劣顺序排列。</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30.2</w:t>
      </w:r>
      <w:r>
        <w:rPr>
          <w:rFonts w:hint="eastAsia" w:ascii="宋体" w:hAnsi="宋体" w:cs="宋体"/>
          <w:sz w:val="24"/>
          <w:szCs w:val="24"/>
          <w:highlight w:val="none"/>
        </w:rPr>
        <w:t>评审过程中涉及和产生的所有程序文件、原始打分表格、评审综合评审意见、推荐意见、评标报告等，均须由评委会成员签名确认。</w:t>
      </w:r>
    </w:p>
    <w:p>
      <w:pPr>
        <w:spacing w:line="360" w:lineRule="auto"/>
        <w:rPr>
          <w:rFonts w:ascii="宋体" w:cs="宋体"/>
          <w:sz w:val="24"/>
          <w:szCs w:val="24"/>
          <w:highlight w:val="none"/>
        </w:rPr>
      </w:pPr>
      <w:r>
        <w:rPr>
          <w:rFonts w:ascii="宋体" w:hAnsi="宋体" w:cs="宋体"/>
          <w:sz w:val="24"/>
          <w:szCs w:val="24"/>
          <w:highlight w:val="none"/>
        </w:rPr>
        <w:t>31.</w:t>
      </w:r>
      <w:r>
        <w:rPr>
          <w:rFonts w:hint="eastAsia" w:ascii="宋体" w:hAnsi="宋体" w:cs="宋体"/>
          <w:sz w:val="24"/>
          <w:szCs w:val="24"/>
          <w:highlight w:val="none"/>
        </w:rPr>
        <w:t>评审结果的确定</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31.1</w:t>
      </w:r>
      <w:r>
        <w:rPr>
          <w:rFonts w:hint="eastAsia" w:ascii="宋体" w:hAnsi="宋体" w:cs="宋体"/>
          <w:sz w:val="24"/>
          <w:szCs w:val="24"/>
          <w:highlight w:val="none"/>
        </w:rPr>
        <w:t>采购人可事先授权评委会直接确定中标人，或在法定时间内对评审推荐结果进行确认。如非直接授权评委会确定中标人的，采购代理机构将在评审结束后，向采购人递交评审推荐意见。采购人依法确定中标人。</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31.2</w:t>
      </w:r>
      <w:r>
        <w:rPr>
          <w:rFonts w:hint="eastAsia" w:ascii="宋体" w:hAnsi="宋体" w:cs="宋体"/>
          <w:sz w:val="24"/>
          <w:szCs w:val="24"/>
          <w:highlight w:val="none"/>
        </w:rPr>
        <w:t>如采购人需对评审推荐结果作进一步核实时，将有权根据评委会推荐的中标候选人名单，且按照采购文件的要求，依排名次序对中标候选人的主要技术和商务条款的响应程度作进一步的核实，确保投标方案能够完全满足采购文件的实时性要求，无出现重大偏离，且方案合法、真实、可行。</w:t>
      </w:r>
    </w:p>
    <w:p>
      <w:pPr>
        <w:spacing w:line="360" w:lineRule="auto"/>
        <w:rPr>
          <w:rFonts w:ascii="宋体" w:cs="宋体"/>
          <w:sz w:val="24"/>
          <w:szCs w:val="24"/>
          <w:highlight w:val="none"/>
        </w:rPr>
      </w:pPr>
      <w:r>
        <w:rPr>
          <w:rFonts w:ascii="宋体" w:hAnsi="宋体" w:cs="宋体"/>
          <w:sz w:val="24"/>
          <w:szCs w:val="24"/>
          <w:highlight w:val="none"/>
        </w:rPr>
        <w:t>32.</w:t>
      </w:r>
      <w:r>
        <w:rPr>
          <w:rFonts w:hint="eastAsia" w:ascii="宋体" w:hAnsi="宋体" w:cs="宋体"/>
          <w:sz w:val="24"/>
          <w:szCs w:val="24"/>
          <w:highlight w:val="none"/>
        </w:rPr>
        <w:t>中标结果公告</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32.1</w:t>
      </w:r>
      <w:r>
        <w:rPr>
          <w:rFonts w:hint="eastAsia" w:ascii="宋体" w:hAnsi="宋体" w:cs="宋体"/>
          <w:sz w:val="24"/>
          <w:szCs w:val="24"/>
          <w:highlight w:val="none"/>
        </w:rPr>
        <w:t>评审结果经采购人确认后，采购代理机构将在网上发布中标结果公告。</w:t>
      </w:r>
    </w:p>
    <w:p>
      <w:pPr>
        <w:spacing w:line="360" w:lineRule="auto"/>
        <w:rPr>
          <w:rFonts w:ascii="宋体" w:cs="宋体"/>
          <w:sz w:val="24"/>
          <w:szCs w:val="24"/>
          <w:highlight w:val="none"/>
        </w:rPr>
      </w:pPr>
      <w:r>
        <w:rPr>
          <w:rFonts w:ascii="宋体" w:hAnsi="宋体" w:cs="宋体"/>
          <w:sz w:val="24"/>
          <w:szCs w:val="24"/>
          <w:highlight w:val="none"/>
        </w:rPr>
        <w:t>33.</w:t>
      </w:r>
      <w:r>
        <w:rPr>
          <w:rFonts w:hint="eastAsia" w:ascii="宋体" w:hAnsi="宋体" w:cs="宋体"/>
          <w:sz w:val="24"/>
          <w:szCs w:val="24"/>
          <w:highlight w:val="none"/>
        </w:rPr>
        <w:t>中标通知书</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33.1</w:t>
      </w:r>
      <w:r>
        <w:rPr>
          <w:rFonts w:hint="eastAsia" w:ascii="宋体" w:hAnsi="宋体" w:cs="宋体"/>
          <w:sz w:val="24"/>
          <w:szCs w:val="24"/>
          <w:highlight w:val="none"/>
        </w:rPr>
        <w:t>中标人确定后，采购代理机构将向中标人发出中标通知书。</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33.2</w:t>
      </w:r>
      <w:r>
        <w:rPr>
          <w:rFonts w:hint="eastAsia" w:ascii="宋体" w:hAnsi="宋体" w:cs="宋体"/>
          <w:sz w:val="24"/>
          <w:szCs w:val="24"/>
          <w:highlight w:val="none"/>
        </w:rPr>
        <w:t>中标通知书是合同的一个组成部分。</w:t>
      </w:r>
    </w:p>
    <w:p>
      <w:pPr>
        <w:pStyle w:val="4"/>
        <w:rPr>
          <w:rFonts w:ascii="宋体" w:cs="宋体"/>
          <w:highlight w:val="none"/>
        </w:rPr>
      </w:pPr>
      <w:bookmarkStart w:id="7" w:name="_Toc517776511"/>
      <w:r>
        <w:rPr>
          <w:rFonts w:hint="eastAsia" w:ascii="宋体" w:hAnsi="宋体" w:cs="宋体"/>
          <w:highlight w:val="none"/>
        </w:rPr>
        <w:t>七、授予合同</w:t>
      </w:r>
      <w:bookmarkEnd w:id="7"/>
    </w:p>
    <w:p>
      <w:pPr>
        <w:spacing w:line="360" w:lineRule="auto"/>
        <w:rPr>
          <w:rFonts w:ascii="宋体" w:cs="宋体"/>
          <w:sz w:val="24"/>
          <w:szCs w:val="24"/>
          <w:highlight w:val="none"/>
        </w:rPr>
      </w:pPr>
      <w:r>
        <w:rPr>
          <w:rFonts w:ascii="宋体" w:hAnsi="宋体" w:cs="宋体"/>
          <w:sz w:val="24"/>
          <w:szCs w:val="24"/>
          <w:highlight w:val="none"/>
        </w:rPr>
        <w:t>34.</w:t>
      </w:r>
      <w:r>
        <w:rPr>
          <w:rFonts w:hint="eastAsia" w:ascii="宋体" w:hAnsi="宋体" w:cs="宋体"/>
          <w:sz w:val="24"/>
          <w:szCs w:val="24"/>
          <w:highlight w:val="none"/>
        </w:rPr>
        <w:t>合同的订立和履行</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34.1</w:t>
      </w:r>
      <w:r>
        <w:rPr>
          <w:rFonts w:hint="eastAsia" w:ascii="宋体" w:hAnsi="宋体" w:cs="宋体"/>
          <w:sz w:val="24"/>
          <w:szCs w:val="24"/>
          <w:highlight w:val="none"/>
        </w:rPr>
        <w:t>采购人与中标人应按照《中标通知书》指定的时间内依据《合同法》、采购文件要求和中标人投标文件承诺签订政府采购合同。</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34.2</w:t>
      </w:r>
      <w:r>
        <w:rPr>
          <w:rFonts w:hint="eastAsia" w:ascii="宋体" w:hAnsi="宋体" w:cs="宋体"/>
          <w:sz w:val="24"/>
          <w:szCs w:val="24"/>
          <w:highlight w:val="none"/>
        </w:rPr>
        <w:t>采购文件、投标文件、招投标过程相关澄清材料及来往文件、《中标通知书》等，均作为合同订立和裁定争议的依据。对这些文件个别条款要约的理解存在歧义、偏差、含糊、疏漏等情形时，均以采购代理机构的理解确认为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34.3</w:t>
      </w:r>
      <w:r>
        <w:rPr>
          <w:rFonts w:hint="eastAsia" w:ascii="宋体" w:hAnsi="宋体" w:cs="宋体"/>
          <w:sz w:val="24"/>
          <w:szCs w:val="24"/>
          <w:highlight w:val="none"/>
        </w:rPr>
        <w:t>政府采购合同应当按照平等、自愿的原则拟定，合同标的、数量、金额、服务承诺、履约方式等必须与采购文件和中标人的投标文件保持一致，不得背离采购文件和投标文件实质性内容签订的政府采购合同。在不违反原采购方案要求和各方认可的文件内容前提下，合同当事人可对合同范本中个别非采购文件规定和投标文件承诺的合同条款共同协商完善补充修订。</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34.4</w:t>
      </w:r>
      <w:r>
        <w:rPr>
          <w:rFonts w:hint="eastAsia" w:ascii="宋体" w:hAnsi="宋体" w:cs="宋体"/>
          <w:sz w:val="24"/>
          <w:szCs w:val="24"/>
          <w:highlight w:val="none"/>
        </w:rPr>
        <w:t>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34.5</w:t>
      </w:r>
      <w:r>
        <w:rPr>
          <w:rFonts w:hint="eastAsia" w:ascii="宋体" w:hAnsi="宋体" w:cs="宋体"/>
          <w:sz w:val="24"/>
          <w:szCs w:val="24"/>
          <w:highlight w:val="none"/>
        </w:rPr>
        <w:t>政府采购合同履行中，采购人需追加与合同标的相同的货物、工程或者服务的，在不改变合同其他条款的前提下，可以与投标人签订补充合同，但补充合同的采购金额不得超过原采购金额的百分之十。</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34.6</w:t>
      </w:r>
      <w:r>
        <w:rPr>
          <w:rFonts w:hint="eastAsia" w:ascii="宋体" w:hAnsi="宋体" w:cs="宋体"/>
          <w:sz w:val="24"/>
          <w:szCs w:val="24"/>
          <w:highlight w:val="none"/>
        </w:rPr>
        <w:t>合同生效后一切行为均适用于《中华人民共和国合同法》，履约期间有违约过错的一方，须承担相应的责任。</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34.7</w:t>
      </w:r>
      <w:r>
        <w:rPr>
          <w:rFonts w:hint="eastAsia" w:ascii="宋体" w:hAnsi="宋体" w:cs="宋体"/>
          <w:sz w:val="24"/>
          <w:szCs w:val="24"/>
          <w:highlight w:val="none"/>
        </w:rPr>
        <w:t>采购合同根据项目同级政府采购管理部门要求见证的，须向投标人须知前附表规定的部门提交见证。</w:t>
      </w:r>
    </w:p>
    <w:p>
      <w:pPr>
        <w:pStyle w:val="3"/>
        <w:numPr>
          <w:ilvl w:val="0"/>
          <w:numId w:val="7"/>
        </w:numPr>
        <w:ind w:right="-92" w:rightChars="-44"/>
        <w:rPr>
          <w:rFonts w:hint="eastAsia" w:ascii="宋体" w:hAnsi="宋体" w:cs="宋体"/>
          <w:szCs w:val="28"/>
          <w:highlight w:val="none"/>
        </w:rPr>
      </w:pPr>
      <w:bookmarkStart w:id="8" w:name="_Toc517776512"/>
      <w:r>
        <w:rPr>
          <w:rFonts w:hint="eastAsia" w:ascii="宋体" w:cs="宋体"/>
          <w:sz w:val="28"/>
          <w:szCs w:val="28"/>
          <w:highlight w:val="none"/>
        </w:rPr>
        <w:t xml:space="preserve"> </w:t>
      </w:r>
      <w:r>
        <w:rPr>
          <w:rFonts w:hint="eastAsia" w:ascii="宋体" w:hAnsi="宋体" w:cs="宋体"/>
          <w:szCs w:val="28"/>
          <w:highlight w:val="none"/>
          <w:lang w:eastAsia="zh-CN"/>
        </w:rPr>
        <w:t>用户</w:t>
      </w:r>
      <w:r>
        <w:rPr>
          <w:rFonts w:hint="eastAsia" w:ascii="宋体" w:hAnsi="宋体" w:cs="宋体"/>
          <w:szCs w:val="28"/>
          <w:highlight w:val="none"/>
        </w:rPr>
        <w:t>需求</w:t>
      </w:r>
      <w:bookmarkEnd w:id="8"/>
    </w:p>
    <w:p>
      <w:pPr>
        <w:spacing w:line="240" w:lineRule="atLeast"/>
        <w:rPr>
          <w:rFonts w:ascii="仿宋" w:hAnsi="仿宋" w:eastAsia="仿宋"/>
          <w:b/>
          <w:bCs/>
          <w:sz w:val="28"/>
          <w:szCs w:val="28"/>
        </w:rPr>
      </w:pPr>
      <w:r>
        <w:rPr>
          <w:rFonts w:hint="eastAsia" w:ascii="仿宋" w:hAnsi="仿宋" w:eastAsia="仿宋"/>
          <w:b/>
          <w:bCs/>
          <w:sz w:val="28"/>
          <w:szCs w:val="28"/>
        </w:rPr>
        <w:t>电缆施工安装说明</w:t>
      </w:r>
    </w:p>
    <w:p>
      <w:pPr>
        <w:spacing w:line="240" w:lineRule="atLeast"/>
        <w:rPr>
          <w:rFonts w:ascii="仿宋" w:hAnsi="仿宋" w:eastAsia="仿宋"/>
          <w:b/>
          <w:bCs/>
          <w:sz w:val="28"/>
          <w:szCs w:val="28"/>
        </w:rPr>
      </w:pPr>
      <w:r>
        <w:rPr>
          <w:rFonts w:hint="eastAsia" w:ascii="仿宋" w:hAnsi="仿宋" w:eastAsia="仿宋"/>
          <w:b/>
          <w:bCs/>
          <w:sz w:val="28"/>
          <w:szCs w:val="28"/>
        </w:rPr>
        <w:t>一、总的要求:</w:t>
      </w:r>
    </w:p>
    <w:p>
      <w:pPr>
        <w:spacing w:line="240" w:lineRule="atLeast"/>
        <w:rPr>
          <w:rFonts w:ascii="仿宋" w:hAnsi="仿宋" w:eastAsia="仿宋"/>
          <w:sz w:val="28"/>
          <w:szCs w:val="28"/>
        </w:rPr>
      </w:pPr>
      <w:r>
        <w:rPr>
          <w:rFonts w:hint="eastAsia" w:ascii="仿宋" w:hAnsi="仿宋" w:eastAsia="仿宋"/>
          <w:sz w:val="28"/>
          <w:szCs w:val="28"/>
        </w:rPr>
        <w:t>1. 电缆敷设采用管沟敷设方式,施工时注意地下设施,电缆弯曲半径不应小于电缆直径的20倍.余长盘于靠近两侧电缆终端地下。</w:t>
      </w:r>
      <w:r>
        <w:rPr>
          <w:rFonts w:ascii="仿宋" w:hAnsi="仿宋" w:eastAsia="仿宋"/>
          <w:sz w:val="28"/>
          <w:szCs w:val="28"/>
        </w:rPr>
        <w:t xml:space="preserve"> </w:t>
      </w:r>
    </w:p>
    <w:p>
      <w:pPr>
        <w:spacing w:line="360" w:lineRule="auto"/>
        <w:ind w:right="105" w:rightChars="50"/>
        <w:jc w:val="left"/>
        <w:rPr>
          <w:rFonts w:ascii="仿宋" w:hAnsi="仿宋" w:eastAsia="仿宋"/>
          <w:b/>
          <w:bCs/>
          <w:sz w:val="28"/>
          <w:szCs w:val="28"/>
        </w:rPr>
      </w:pPr>
      <w:r>
        <w:rPr>
          <w:rFonts w:hint="eastAsia" w:ascii="仿宋" w:hAnsi="仿宋" w:eastAsia="仿宋"/>
          <w:b/>
          <w:bCs/>
          <w:sz w:val="28"/>
          <w:szCs w:val="28"/>
        </w:rPr>
        <w:t>二、施放电缆的注意事项:</w:t>
      </w:r>
    </w:p>
    <w:p>
      <w:pPr>
        <w:spacing w:line="360" w:lineRule="auto"/>
        <w:ind w:right="105" w:rightChars="50"/>
        <w:rPr>
          <w:rFonts w:ascii="仿宋" w:hAnsi="仿宋" w:eastAsia="仿宋"/>
          <w:sz w:val="28"/>
          <w:szCs w:val="28"/>
        </w:rPr>
      </w:pPr>
      <w:r>
        <w:rPr>
          <w:rFonts w:hint="eastAsia" w:ascii="仿宋" w:hAnsi="仿宋" w:eastAsia="仿宋"/>
          <w:sz w:val="28"/>
          <w:szCs w:val="28"/>
        </w:rPr>
        <w:t>1. 整个牵引过程必须在电缆牵引端安装张力计,并有专人监控。</w:t>
      </w:r>
    </w:p>
    <w:p>
      <w:pPr>
        <w:spacing w:line="360" w:lineRule="auto"/>
        <w:ind w:right="105" w:rightChars="50"/>
        <w:rPr>
          <w:rFonts w:ascii="仿宋" w:hAnsi="仿宋" w:eastAsia="仿宋"/>
          <w:sz w:val="28"/>
          <w:szCs w:val="28"/>
        </w:rPr>
      </w:pPr>
      <w:r>
        <w:rPr>
          <w:rFonts w:hint="eastAsia" w:ascii="仿宋" w:hAnsi="仿宋" w:eastAsia="仿宋"/>
          <w:sz w:val="28"/>
          <w:szCs w:val="28"/>
        </w:rPr>
        <w:t>2. 在电缆牵引端应装一只防捻器,防止钢丝绳绷紧时扭绞电缆。</w:t>
      </w:r>
    </w:p>
    <w:p>
      <w:pPr>
        <w:spacing w:line="360" w:lineRule="auto"/>
        <w:ind w:right="105" w:rightChars="50"/>
        <w:rPr>
          <w:rFonts w:ascii="仿宋" w:hAnsi="仿宋" w:eastAsia="仿宋"/>
          <w:sz w:val="28"/>
          <w:szCs w:val="28"/>
        </w:rPr>
      </w:pPr>
      <w:r>
        <w:rPr>
          <w:rFonts w:hint="eastAsia" w:ascii="仿宋" w:hAnsi="仿宋" w:eastAsia="仿宋"/>
          <w:sz w:val="28"/>
          <w:szCs w:val="28"/>
        </w:rPr>
        <w:t>3. 电缆盘在放线架上,离开地面10</w:t>
      </w:r>
      <w:r>
        <w:rPr>
          <w:rFonts w:ascii="仿宋" w:hAnsi="仿宋" w:eastAsia="仿宋"/>
          <w:sz w:val="28"/>
          <w:szCs w:val="28"/>
        </w:rPr>
        <w:t>~</w:t>
      </w:r>
      <w:r>
        <w:rPr>
          <w:rFonts w:hint="eastAsia" w:ascii="仿宋" w:hAnsi="仿宋" w:eastAsia="仿宋"/>
          <w:sz w:val="28"/>
          <w:szCs w:val="28"/>
        </w:rPr>
        <w:t>15cm,且转动灵活,放线架应有简易的制动装置,有专人操作，放线架应有简易的制动装置,有专人操作。</w:t>
      </w:r>
    </w:p>
    <w:p>
      <w:pPr>
        <w:spacing w:line="360" w:lineRule="auto"/>
        <w:ind w:right="105" w:rightChars="50"/>
        <w:rPr>
          <w:rFonts w:ascii="仿宋" w:hAnsi="仿宋" w:eastAsia="仿宋"/>
          <w:sz w:val="28"/>
          <w:szCs w:val="28"/>
        </w:rPr>
      </w:pPr>
      <w:r>
        <w:rPr>
          <w:rFonts w:hint="eastAsia" w:ascii="仿宋" w:hAnsi="仿宋" w:eastAsia="仿宋"/>
          <w:sz w:val="28"/>
          <w:szCs w:val="28"/>
        </w:rPr>
        <w:t>4. 电缆在支架上放线时应采用上放线方式,以减少拉力,增大转弯半径。</w:t>
      </w:r>
    </w:p>
    <w:p>
      <w:pPr>
        <w:spacing w:line="360" w:lineRule="auto"/>
        <w:ind w:right="105" w:rightChars="50"/>
        <w:rPr>
          <w:rFonts w:ascii="仿宋" w:hAnsi="仿宋" w:eastAsia="仿宋"/>
          <w:sz w:val="28"/>
          <w:szCs w:val="28"/>
        </w:rPr>
      </w:pPr>
      <w:r>
        <w:rPr>
          <w:rFonts w:hint="eastAsia" w:ascii="仿宋" w:hAnsi="仿宋" w:eastAsia="仿宋"/>
          <w:sz w:val="28"/>
          <w:szCs w:val="28"/>
        </w:rPr>
        <w:t>5.所有穿管的入口和出口应安装由非金属材料制成的喇叭口，严禁使用金属制成的喇叭口。</w:t>
      </w:r>
    </w:p>
    <w:p>
      <w:pPr>
        <w:spacing w:line="360" w:lineRule="auto"/>
        <w:ind w:right="105" w:rightChars="50"/>
        <w:rPr>
          <w:rFonts w:ascii="仿宋" w:hAnsi="仿宋" w:eastAsia="仿宋"/>
          <w:sz w:val="28"/>
          <w:szCs w:val="28"/>
        </w:rPr>
      </w:pPr>
      <w:r>
        <w:rPr>
          <w:rFonts w:hint="eastAsia" w:ascii="仿宋" w:hAnsi="仿宋" w:eastAsia="仿宋"/>
          <w:sz w:val="28"/>
          <w:szCs w:val="28"/>
        </w:rPr>
        <w:t>6.电缆拐弯应在拐弯处摆放转角滚轮组。</w:t>
      </w:r>
    </w:p>
    <w:p>
      <w:pPr>
        <w:spacing w:line="360" w:lineRule="auto"/>
        <w:ind w:right="105" w:rightChars="50"/>
        <w:rPr>
          <w:rFonts w:ascii="仿宋" w:hAnsi="仿宋" w:eastAsia="仿宋"/>
          <w:sz w:val="28"/>
          <w:szCs w:val="28"/>
        </w:rPr>
      </w:pPr>
      <w:r>
        <w:rPr>
          <w:rFonts w:hint="eastAsia" w:ascii="仿宋" w:hAnsi="仿宋" w:eastAsia="仿宋"/>
          <w:sz w:val="28"/>
          <w:szCs w:val="28"/>
        </w:rPr>
        <w:t>7牵引用卷扬机要牢固固定,牵引速度一般为2~5m/min。</w:t>
      </w:r>
    </w:p>
    <w:p>
      <w:pPr>
        <w:spacing w:line="360" w:lineRule="auto"/>
        <w:ind w:right="105" w:rightChars="50"/>
        <w:rPr>
          <w:rFonts w:ascii="仿宋" w:hAnsi="仿宋" w:eastAsia="仿宋"/>
          <w:sz w:val="28"/>
          <w:szCs w:val="28"/>
        </w:rPr>
      </w:pPr>
      <w:r>
        <w:rPr>
          <w:rFonts w:hint="eastAsia" w:ascii="仿宋" w:hAnsi="仿宋" w:eastAsia="仿宋"/>
          <w:sz w:val="28"/>
          <w:szCs w:val="28"/>
        </w:rPr>
        <w:t>8. 电缆保护穿管外径为电缆直径的1.5倍,内壁应清洁,光滑。</w:t>
      </w:r>
    </w:p>
    <w:p>
      <w:pPr>
        <w:spacing w:line="360" w:lineRule="auto"/>
        <w:ind w:right="105" w:rightChars="50"/>
        <w:rPr>
          <w:rFonts w:ascii="仿宋" w:hAnsi="仿宋" w:eastAsia="仿宋"/>
          <w:sz w:val="28"/>
          <w:szCs w:val="28"/>
        </w:rPr>
      </w:pPr>
      <w:r>
        <w:rPr>
          <w:rFonts w:hint="eastAsia" w:ascii="仿宋" w:hAnsi="仿宋" w:eastAsia="仿宋"/>
          <w:sz w:val="28"/>
          <w:szCs w:val="28"/>
        </w:rPr>
        <w:t>9.敷设过程从放电缆开始一直到安装终端一定要保证电缆两头密封。10. 电缆应尽量避免交叉敷设。</w:t>
      </w:r>
    </w:p>
    <w:p>
      <w:pPr>
        <w:spacing w:line="360" w:lineRule="auto"/>
        <w:ind w:right="105" w:rightChars="50"/>
        <w:rPr>
          <w:rFonts w:ascii="仿宋" w:hAnsi="仿宋" w:eastAsia="仿宋"/>
          <w:sz w:val="28"/>
          <w:szCs w:val="28"/>
        </w:rPr>
      </w:pPr>
      <w:r>
        <w:rPr>
          <w:rFonts w:hint="eastAsia" w:ascii="仿宋" w:hAnsi="仿宋" w:eastAsia="仿宋"/>
          <w:sz w:val="28"/>
          <w:szCs w:val="28"/>
        </w:rPr>
        <w:t>11.牵引过程要有专人对电缆进行监控和巡视,严禁将电缆绷得过紧。12. 电缆敷设完毕时应仔细检查电缆外观有无损伤和变形,敷设完应及时做好竣工图，以利今后维修和检查。</w:t>
      </w:r>
    </w:p>
    <w:p>
      <w:pPr>
        <w:pStyle w:val="2"/>
      </w:pPr>
    </w:p>
    <w:p>
      <w:pPr>
        <w:rPr>
          <w:rFonts w:ascii="仿宋" w:hAnsi="仿宋" w:eastAsia="仿宋"/>
          <w:b/>
          <w:bCs/>
          <w:sz w:val="28"/>
          <w:szCs w:val="28"/>
        </w:rPr>
      </w:pPr>
      <w:r>
        <w:rPr>
          <w:rFonts w:hint="eastAsia" w:ascii="仿宋" w:hAnsi="仿宋" w:eastAsia="仿宋"/>
          <w:b/>
          <w:bCs/>
          <w:sz w:val="28"/>
          <w:szCs w:val="28"/>
        </w:rPr>
        <w:t>导线及电缆截面选择</w:t>
      </w:r>
    </w:p>
    <w:p>
      <w:pPr>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、根据新疆广电局 635 台设备改造工程现有建设规模，线路最大输送负荷为 400kVA,根据最大负荷利用小时数 T&lt;3000 时,取经济电流密度 J=1.65.线路负荷功率因数 COS 中=0.85，计算得出最大用电负荷时的电流为 11.54（</w:t>
      </w:r>
      <w:r>
        <w:rPr>
          <w:rFonts w:ascii="仿宋" w:hAnsi="仿宋" w:eastAsia="仿宋"/>
          <w:sz w:val="28"/>
          <w:szCs w:val="28"/>
        </w:rPr>
        <w:t>A</w:t>
      </w:r>
      <w:r>
        <w:rPr>
          <w:rFonts w:hint="eastAsia" w:ascii="仿宋" w:hAnsi="仿宋" w:eastAsia="仿宋"/>
          <w:sz w:val="28"/>
          <w:szCs w:val="28"/>
        </w:rPr>
        <w:t>）</w:t>
      </w:r>
    </w:p>
    <w:p>
      <w:pPr>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、YJV22-8.7/15kV-3*50 型交联聚乙烯绝缘电力电缆在直埋地敷设最高长期允许温度 (单回路、导体最高额定温度 90℃，短路时最高温度 250℃、直埋地环境温度+35℃、直埋土壤热阻 1.5km/W、埋地深度&gt;800mm、护套接地方式为单点接地或交叉互联接地) 的情况下载流量为 320(A)&gt;最大负荷电流 11.54 (A) 均满足要求。</w:t>
      </w:r>
    </w:p>
    <w:p>
      <w:pPr>
        <w:pStyle w:val="2"/>
        <w:ind w:firstLine="0"/>
        <w:rPr>
          <w:rFonts w:hint="eastAsia"/>
        </w:rPr>
      </w:pPr>
      <w:r>
        <w:rPr>
          <w:rFonts w:hint="eastAsia"/>
        </w:rPr>
        <w:t>3、</w:t>
      </w:r>
      <w:r>
        <w:rPr>
          <w:rFonts w:hint="eastAsia" w:ascii="仿宋" w:hAnsi="仿宋" w:eastAsia="仿宋"/>
          <w:sz w:val="28"/>
          <w:szCs w:val="28"/>
        </w:rPr>
        <w:t>电缆总长：</w:t>
      </w:r>
      <w:r>
        <w:rPr>
          <w:rFonts w:ascii="仿宋" w:hAnsi="仿宋" w:eastAsia="仿宋"/>
          <w:sz w:val="28"/>
          <w:szCs w:val="28"/>
        </w:rPr>
        <w:t>160</w:t>
      </w:r>
      <w:r>
        <w:rPr>
          <w:rFonts w:hint="eastAsia" w:ascii="仿宋" w:hAnsi="仿宋" w:eastAsia="仿宋"/>
          <w:sz w:val="28"/>
          <w:szCs w:val="28"/>
        </w:rPr>
        <w:t>米，缆线横截面积不小于</w:t>
      </w:r>
      <w:r>
        <w:rPr>
          <w:rFonts w:ascii="仿宋" w:hAnsi="仿宋" w:eastAsia="仿宋"/>
          <w:sz w:val="28"/>
          <w:szCs w:val="28"/>
        </w:rPr>
        <w:t>120mm</w:t>
      </w:r>
      <w:r>
        <w:rPr>
          <w:rFonts w:ascii="Calibri" w:hAnsi="Calibri" w:eastAsia="仿宋" w:cs="Calibri"/>
          <w:sz w:val="28"/>
          <w:szCs w:val="28"/>
        </w:rPr>
        <w:t>²</w:t>
      </w:r>
      <w:r>
        <w:rPr>
          <w:rFonts w:hint="eastAsia" w:ascii="仿宋" w:hAnsi="仿宋" w:eastAsia="仿宋"/>
          <w:sz w:val="28"/>
          <w:szCs w:val="28"/>
        </w:rPr>
        <w:t>。规格采用：国标纯铜3</w:t>
      </w:r>
      <w:r>
        <w:rPr>
          <w:rFonts w:ascii="仿宋" w:hAnsi="仿宋" w:eastAsia="仿宋"/>
          <w:sz w:val="28"/>
          <w:szCs w:val="28"/>
        </w:rPr>
        <w:t>+1</w:t>
      </w:r>
      <w:r>
        <w:rPr>
          <w:rFonts w:hint="eastAsia" w:ascii="仿宋" w:hAnsi="仿宋" w:eastAsia="仿宋"/>
          <w:sz w:val="28"/>
          <w:szCs w:val="28"/>
        </w:rPr>
        <w:t>芯线铠甲电缆（需符合地埋要求）。</w:t>
      </w:r>
    </w:p>
    <w:p>
      <w:pPr>
        <w:pStyle w:val="2"/>
      </w:pPr>
    </w:p>
    <w:p>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电缆终端与接头施工要求</w:t>
      </w:r>
    </w:p>
    <w:p>
      <w:pPr>
        <w:rPr>
          <w:rFonts w:hint="eastAsia" w:ascii="仿宋" w:hAnsi="仿宋" w:eastAsia="仿宋" w:cs="仿宋"/>
          <w:sz w:val="28"/>
          <w:szCs w:val="28"/>
        </w:rPr>
      </w:pPr>
      <w:r>
        <w:rPr>
          <w:rFonts w:hint="eastAsia" w:ascii="仿宋" w:hAnsi="仿宋" w:eastAsia="仿宋" w:cs="仿宋"/>
          <w:sz w:val="28"/>
          <w:szCs w:val="28"/>
        </w:rPr>
        <w:t>第1条 35kV 及以下电缆终端与接头应符合下列要求</w:t>
      </w:r>
    </w:p>
    <w:p>
      <w:pPr>
        <w:rPr>
          <w:rFonts w:hint="eastAsia" w:ascii="仿宋" w:hAnsi="仿宋" w:eastAsia="仿宋" w:cs="仿宋"/>
          <w:sz w:val="28"/>
          <w:szCs w:val="28"/>
        </w:rPr>
      </w:pPr>
      <w:r>
        <w:rPr>
          <w:rFonts w:hint="eastAsia" w:ascii="仿宋" w:hAnsi="仿宋" w:eastAsia="仿宋" w:cs="仿宋"/>
          <w:sz w:val="28"/>
          <w:szCs w:val="28"/>
        </w:rPr>
        <w:t>一、型式、规格应与电缆类型如电压、芯数、截面、护层结构和环堵要求一致。</w:t>
      </w:r>
    </w:p>
    <w:p>
      <w:pPr>
        <w:rPr>
          <w:rFonts w:hint="eastAsia" w:ascii="仿宋" w:hAnsi="仿宋" w:eastAsia="仿宋" w:cs="仿宋"/>
          <w:sz w:val="28"/>
          <w:szCs w:val="28"/>
        </w:rPr>
      </w:pPr>
      <w:r>
        <w:rPr>
          <w:rFonts w:hint="eastAsia" w:ascii="仿宋" w:hAnsi="仿宋" w:eastAsia="仿宋" w:cs="仿宋"/>
          <w:sz w:val="28"/>
          <w:szCs w:val="28"/>
        </w:rPr>
        <w:t>二、结构应简单、紧凑，便于安装。</w:t>
      </w:r>
    </w:p>
    <w:p>
      <w:pPr>
        <w:rPr>
          <w:rFonts w:hint="eastAsia" w:ascii="仿宋" w:hAnsi="仿宋" w:eastAsia="仿宋" w:cs="仿宋"/>
          <w:sz w:val="28"/>
          <w:szCs w:val="28"/>
        </w:rPr>
      </w:pPr>
      <w:r>
        <w:rPr>
          <w:rFonts w:hint="eastAsia" w:ascii="仿宋" w:hAnsi="仿宋" w:eastAsia="仿宋" w:cs="仿宋"/>
          <w:sz w:val="28"/>
          <w:szCs w:val="28"/>
        </w:rPr>
        <w:t>三、所用材料、部件应符合技术要求。</w:t>
      </w:r>
    </w:p>
    <w:p>
      <w:pPr>
        <w:rPr>
          <w:rFonts w:hint="eastAsia" w:ascii="仿宋" w:hAnsi="仿宋" w:eastAsia="仿宋" w:cs="仿宋"/>
          <w:sz w:val="28"/>
          <w:szCs w:val="28"/>
        </w:rPr>
      </w:pPr>
      <w:r>
        <w:rPr>
          <w:rFonts w:hint="eastAsia" w:ascii="仿宋" w:hAnsi="仿宋" w:eastAsia="仿宋" w:cs="仿宋"/>
          <w:sz w:val="28"/>
          <w:szCs w:val="28"/>
        </w:rPr>
        <w:t>四、主要性能应符合现行国家标准《额定电压 26/35kV 及以下电力电缆附件基本性能要求》的规定。</w:t>
      </w:r>
    </w:p>
    <w:p>
      <w:pPr>
        <w:rPr>
          <w:rFonts w:hint="eastAsia" w:ascii="仿宋" w:hAnsi="仿宋" w:eastAsia="仿宋" w:cs="仿宋"/>
          <w:sz w:val="28"/>
          <w:szCs w:val="28"/>
        </w:rPr>
      </w:pPr>
      <w:r>
        <w:rPr>
          <w:rFonts w:hint="eastAsia" w:ascii="仿宋" w:hAnsi="仿宋" w:eastAsia="仿宋" w:cs="仿宋"/>
          <w:sz w:val="28"/>
          <w:szCs w:val="28"/>
        </w:rPr>
        <w:t>第 2条 (采用的附加绝缘材料除电气性能应满足要求外，尚应与电缆本体绝缘具有相容性。两种材料的硬度、膨胀系数、抗张强度和断裂伸长率等物理性能指标应接近。橡塑绝缘电缆应采用弹性大、粘接性能好的材料作为附加绝缘。</w:t>
      </w:r>
    </w:p>
    <w:p>
      <w:pPr>
        <w:rPr>
          <w:rFonts w:hint="eastAsia" w:ascii="仿宋" w:hAnsi="仿宋" w:eastAsia="仿宋" w:cs="仿宋"/>
          <w:sz w:val="28"/>
          <w:szCs w:val="28"/>
        </w:rPr>
      </w:pPr>
      <w:r>
        <w:rPr>
          <w:rFonts w:hint="eastAsia" w:ascii="仿宋" w:hAnsi="仿宋" w:eastAsia="仿宋" w:cs="仿宋"/>
          <w:sz w:val="28"/>
          <w:szCs w:val="28"/>
        </w:rPr>
        <w:t>第 3条  电缆线芯连接金具，应采用符合标准的连接管和接线端子，其内径应与电缆线芯紧密配合，问隙不应过大;截面宜为线芯截面的 1.2~1.5倍。采用压接时，压接钳和模具应符合规格要求。</w:t>
      </w:r>
    </w:p>
    <w:p>
      <w:pPr>
        <w:rPr>
          <w:rFonts w:hint="eastAsia" w:ascii="仿宋" w:hAnsi="仿宋" w:eastAsia="仿宋" w:cs="仿宋"/>
          <w:sz w:val="28"/>
          <w:szCs w:val="28"/>
        </w:rPr>
      </w:pPr>
      <w:r>
        <w:rPr>
          <w:rFonts w:hint="eastAsia" w:ascii="仿宋" w:hAnsi="仿宋" w:eastAsia="仿宋" w:cs="仿宋"/>
          <w:sz w:val="28"/>
          <w:szCs w:val="28"/>
        </w:rPr>
        <w:t>第4条  控制电缆在下列情况下可有接头，但必须连接牢固，并不应受到机械拉力。</w:t>
      </w:r>
    </w:p>
    <w:p>
      <w:pPr>
        <w:rPr>
          <w:rFonts w:hint="eastAsia" w:ascii="仿宋" w:hAnsi="仿宋" w:eastAsia="仿宋" w:cs="仿宋"/>
          <w:sz w:val="28"/>
          <w:szCs w:val="28"/>
        </w:rPr>
      </w:pPr>
      <w:r>
        <w:rPr>
          <w:rFonts w:hint="eastAsia" w:ascii="仿宋" w:hAnsi="仿宋" w:eastAsia="仿宋" w:cs="仿宋"/>
          <w:sz w:val="28"/>
          <w:szCs w:val="28"/>
        </w:rPr>
        <w:t>一、当敷设的长度超过其制造长度时。</w:t>
      </w:r>
    </w:p>
    <w:p>
      <w:pPr>
        <w:rPr>
          <w:rFonts w:hint="eastAsia" w:ascii="仿宋" w:hAnsi="仿宋" w:eastAsia="仿宋" w:cs="仿宋"/>
          <w:sz w:val="28"/>
          <w:szCs w:val="28"/>
        </w:rPr>
      </w:pPr>
      <w:r>
        <w:rPr>
          <w:rFonts w:hint="eastAsia" w:ascii="仿宋" w:hAnsi="仿宋" w:eastAsia="仿宋" w:cs="仿宋"/>
          <w:sz w:val="28"/>
          <w:szCs w:val="28"/>
        </w:rPr>
        <w:t>二、必须延长已敷设竣工的控制电缆时。</w:t>
      </w:r>
    </w:p>
    <w:p>
      <w:pPr>
        <w:rPr>
          <w:rFonts w:hint="eastAsia" w:ascii="仿宋" w:hAnsi="仿宋" w:eastAsia="仿宋" w:cs="仿宋"/>
          <w:sz w:val="28"/>
          <w:szCs w:val="28"/>
        </w:rPr>
      </w:pPr>
      <w:r>
        <w:rPr>
          <w:rFonts w:hint="eastAsia" w:ascii="仿宋" w:hAnsi="仿宋" w:eastAsia="仿宋" w:cs="仿宋"/>
          <w:sz w:val="28"/>
          <w:szCs w:val="28"/>
        </w:rPr>
        <w:t>三、当消除使用中的电缆故障时。</w:t>
      </w:r>
    </w:p>
    <w:p>
      <w:pPr>
        <w:rPr>
          <w:rFonts w:hint="eastAsia" w:ascii="仿宋" w:hAnsi="仿宋" w:eastAsia="仿宋" w:cs="仿宋"/>
          <w:sz w:val="28"/>
          <w:szCs w:val="28"/>
        </w:rPr>
      </w:pPr>
      <w:r>
        <w:rPr>
          <w:rFonts w:hint="eastAsia" w:ascii="仿宋" w:hAnsi="仿宋" w:eastAsia="仿宋" w:cs="仿宋"/>
          <w:sz w:val="28"/>
          <w:szCs w:val="28"/>
        </w:rPr>
        <w:t>第 5条 制作电缆终端和接头前，应熟悉安装工艺资料，做好检查，并符合下列要求:</w:t>
      </w:r>
    </w:p>
    <w:p>
      <w:pPr>
        <w:rPr>
          <w:rFonts w:hint="eastAsia" w:ascii="仿宋" w:hAnsi="仿宋" w:eastAsia="仿宋" w:cs="仿宋"/>
          <w:sz w:val="28"/>
          <w:szCs w:val="28"/>
        </w:rPr>
      </w:pPr>
      <w:r>
        <w:rPr>
          <w:rFonts w:hint="eastAsia" w:ascii="仿宋" w:hAnsi="仿宋" w:eastAsia="仿宋" w:cs="仿宋"/>
          <w:sz w:val="28"/>
          <w:szCs w:val="28"/>
        </w:rPr>
        <w:t>一、电缆绝缘状况良好，无受潮;塑料电缆内不得进水;充油电缆施工前应对电缆本体、压力箱、电缆油桶及纸卷桶逐个取油样，做电气性能试验，并应符合标准。</w:t>
      </w:r>
    </w:p>
    <w:p>
      <w:pPr>
        <w:rPr>
          <w:rFonts w:hint="eastAsia" w:ascii="仿宋" w:hAnsi="仿宋" w:eastAsia="仿宋" w:cs="仿宋"/>
          <w:sz w:val="28"/>
          <w:szCs w:val="28"/>
        </w:rPr>
      </w:pPr>
      <w:r>
        <w:rPr>
          <w:rFonts w:hint="eastAsia" w:ascii="仿宋" w:hAnsi="仿宋" w:eastAsia="仿宋" w:cs="仿宋"/>
          <w:sz w:val="28"/>
          <w:szCs w:val="28"/>
        </w:rPr>
        <w:t>二、附件规格应与电缆一致;零部件应齐全无损伤; 绝缘材料不得受潮;密封材料不得失效。壳体结构附件应预先组装，清洁内壁;试验密封结构尺寸符合要求。</w:t>
      </w:r>
    </w:p>
    <w:p>
      <w:pPr>
        <w:rPr>
          <w:rFonts w:hint="eastAsia" w:ascii="仿宋" w:hAnsi="仿宋" w:eastAsia="仿宋" w:cs="仿宋"/>
          <w:sz w:val="28"/>
          <w:szCs w:val="28"/>
        </w:rPr>
      </w:pPr>
      <w:r>
        <w:rPr>
          <w:rFonts w:hint="eastAsia" w:ascii="仿宋" w:hAnsi="仿宋" w:eastAsia="仿宋" w:cs="仿宋"/>
          <w:sz w:val="28"/>
          <w:szCs w:val="28"/>
        </w:rPr>
        <w:t>三、施工用机具齐全，便于操作，状况清洁，消耗材料齐备，清洁塑料绝缘表面的溶剂宜遵循工艺导则准备。</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四、必要时应进行试装配。</w:t>
      </w:r>
    </w:p>
    <w:p>
      <w:pPr>
        <w:pStyle w:val="2"/>
        <w:ind w:firstLine="0"/>
      </w:pPr>
    </w:p>
    <w:p>
      <w:pPr>
        <w:rPr>
          <w:rFonts w:ascii="仿宋" w:hAnsi="仿宋" w:eastAsia="仿宋"/>
          <w:b/>
          <w:bCs/>
          <w:sz w:val="28"/>
          <w:szCs w:val="28"/>
        </w:rPr>
      </w:pPr>
      <w:r>
        <w:rPr>
          <w:rFonts w:hint="eastAsia" w:ascii="仿宋" w:hAnsi="仿宋" w:eastAsia="仿宋"/>
          <w:b/>
          <w:bCs/>
          <w:sz w:val="28"/>
          <w:szCs w:val="28"/>
        </w:rPr>
        <w:t>双电源自动转换开关柜参数</w:t>
      </w:r>
    </w:p>
    <w:p>
      <w:pPr>
        <w:pStyle w:val="72"/>
        <w:numPr>
          <w:ilvl w:val="0"/>
          <w:numId w:val="8"/>
        </w:numPr>
        <w:ind w:firstLineChars="0"/>
        <w:rPr>
          <w:rFonts w:ascii="仿宋" w:hAnsi="仿宋" w:eastAsia="仿宋"/>
          <w:sz w:val="28"/>
          <w:szCs w:val="28"/>
        </w:rPr>
      </w:pPr>
      <w:r>
        <w:rPr>
          <w:rFonts w:ascii="仿宋" w:hAnsi="仿宋" w:eastAsia="仿宋" w:cs="Arial"/>
          <w:sz w:val="28"/>
          <w:szCs w:val="28"/>
        </w:rPr>
        <w:t>双电源转换开关</w:t>
      </w:r>
      <w:r>
        <w:rPr>
          <w:rFonts w:hint="eastAsia" w:ascii="仿宋" w:hAnsi="仿宋" w:eastAsia="仿宋" w:cs="Arial"/>
          <w:sz w:val="28"/>
          <w:szCs w:val="28"/>
        </w:rPr>
        <w:t>型号：</w:t>
      </w:r>
      <w:r>
        <w:rPr>
          <w:rFonts w:hint="eastAsia" w:ascii="仿宋" w:hAnsi="仿宋" w:eastAsia="仿宋"/>
          <w:sz w:val="28"/>
          <w:szCs w:val="28"/>
        </w:rPr>
        <w:t>1250</w:t>
      </w:r>
      <w:r>
        <w:rPr>
          <w:rFonts w:ascii="仿宋" w:hAnsi="仿宋" w:eastAsia="仿宋"/>
          <w:sz w:val="28"/>
          <w:szCs w:val="28"/>
        </w:rPr>
        <w:t>A</w:t>
      </w:r>
      <w:r>
        <w:rPr>
          <w:rFonts w:hint="eastAsia" w:ascii="仿宋" w:hAnsi="仿宋" w:eastAsia="仿宋"/>
          <w:sz w:val="28"/>
          <w:szCs w:val="28"/>
        </w:rPr>
        <w:t>型，建议使用施耐德、德力西、正泰等大品牌厂商设备。</w:t>
      </w:r>
    </w:p>
    <w:p>
      <w:pPr>
        <w:pStyle w:val="2"/>
        <w:ind w:firstLine="0"/>
      </w:pPr>
      <w:r>
        <w:rPr>
          <w:rFonts w:hint="eastAsia" w:ascii="仿宋" w:hAnsi="仿宋" w:eastAsia="仿宋" w:cs="Arial"/>
          <w:kern w:val="2"/>
          <w:sz w:val="28"/>
          <w:szCs w:val="28"/>
        </w:rPr>
        <w:t>2、柜体规格：长：1</w:t>
      </w:r>
      <w:r>
        <w:rPr>
          <w:rFonts w:ascii="仿宋" w:hAnsi="仿宋" w:eastAsia="仿宋" w:cs="Arial"/>
          <w:kern w:val="2"/>
          <w:sz w:val="28"/>
          <w:szCs w:val="28"/>
        </w:rPr>
        <w:t>00</w:t>
      </w:r>
      <w:r>
        <w:rPr>
          <w:rFonts w:hint="eastAsia" w:ascii="仿宋" w:hAnsi="仿宋" w:eastAsia="仿宋" w:cs="Arial"/>
          <w:kern w:val="2"/>
          <w:sz w:val="28"/>
          <w:szCs w:val="28"/>
        </w:rPr>
        <w:t>cm、宽：1</w:t>
      </w:r>
      <w:r>
        <w:rPr>
          <w:rFonts w:ascii="仿宋" w:hAnsi="仿宋" w:eastAsia="仿宋" w:cs="Arial"/>
          <w:kern w:val="2"/>
          <w:sz w:val="28"/>
          <w:szCs w:val="28"/>
        </w:rPr>
        <w:t>00</w:t>
      </w:r>
      <w:r>
        <w:rPr>
          <w:rFonts w:hint="eastAsia" w:ascii="仿宋" w:hAnsi="仿宋" w:eastAsia="仿宋" w:cs="Arial"/>
          <w:kern w:val="2"/>
          <w:sz w:val="28"/>
          <w:szCs w:val="28"/>
        </w:rPr>
        <w:t>cm、高：2</w:t>
      </w:r>
      <w:r>
        <w:rPr>
          <w:rFonts w:ascii="仿宋" w:hAnsi="仿宋" w:eastAsia="仿宋" w:cs="Arial"/>
          <w:kern w:val="2"/>
          <w:sz w:val="28"/>
          <w:szCs w:val="28"/>
        </w:rPr>
        <w:t>20</w:t>
      </w:r>
      <w:r>
        <w:rPr>
          <w:rFonts w:hint="eastAsia" w:ascii="仿宋" w:hAnsi="仿宋" w:eastAsia="仿宋" w:cs="Arial"/>
          <w:kern w:val="2"/>
          <w:sz w:val="28"/>
          <w:szCs w:val="28"/>
        </w:rPr>
        <w:t>cm：。</w:t>
      </w:r>
    </w:p>
    <w:p>
      <w:pPr>
        <w:pStyle w:val="2"/>
      </w:pPr>
    </w:p>
    <w:p>
      <w:pPr>
        <w:spacing w:line="360" w:lineRule="auto"/>
        <w:ind w:right="105" w:rightChars="50"/>
        <w:jc w:val="left"/>
        <w:rPr>
          <w:rFonts w:ascii="仿宋" w:hAnsi="仿宋" w:eastAsia="仿宋"/>
          <w:b/>
          <w:bCs/>
          <w:sz w:val="28"/>
          <w:szCs w:val="28"/>
        </w:rPr>
      </w:pPr>
      <w:r>
        <w:rPr>
          <w:rFonts w:ascii="仿宋" w:hAnsi="仿宋" w:eastAsia="仿宋" w:cs="微软雅黑"/>
          <w:b/>
          <w:bCs/>
          <w:sz w:val="28"/>
          <w:szCs w:val="28"/>
        </w:rPr>
        <w:t>高压配电室设备升级改造</w:t>
      </w:r>
      <w:r>
        <w:rPr>
          <w:rFonts w:hint="eastAsia" w:ascii="仿宋" w:hAnsi="仿宋" w:eastAsia="仿宋"/>
          <w:b/>
          <w:bCs/>
          <w:sz w:val="28"/>
          <w:szCs w:val="28"/>
        </w:rPr>
        <w:t>项目招标要求</w:t>
      </w:r>
    </w:p>
    <w:p>
      <w:pPr>
        <w:spacing w:line="360" w:lineRule="auto"/>
        <w:ind w:right="105" w:rightChars="50" w:firstLine="560" w:firstLineChars="200"/>
        <w:rPr>
          <w:rFonts w:ascii="仿宋" w:hAnsi="仿宋" w:eastAsia="仿宋" w:cs="仿宋"/>
          <w:sz w:val="28"/>
          <w:szCs w:val="28"/>
        </w:rPr>
      </w:pPr>
      <w:r>
        <w:rPr>
          <w:rFonts w:hint="eastAsia" w:ascii="仿宋" w:hAnsi="仿宋" w:eastAsia="仿宋" w:cs="仿宋"/>
          <w:sz w:val="28"/>
          <w:szCs w:val="28"/>
        </w:rPr>
        <w:t>1、乙方需保证所提供的产品是全新的、未经使用过的，并符合双方所签订的协议要求的产品。</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2、质量保证期自合同物资在需方现场最终验收合格之日起12个月。</w:t>
      </w:r>
    </w:p>
    <w:p>
      <w:pPr>
        <w:tabs>
          <w:tab w:val="left" w:pos="540"/>
        </w:tabs>
        <w:spacing w:line="360" w:lineRule="auto"/>
        <w:ind w:right="105" w:rightChars="50" w:firstLine="560" w:firstLineChars="200"/>
        <w:rPr>
          <w:rFonts w:ascii="仿宋" w:hAnsi="仿宋" w:eastAsia="仿宋" w:cs="仿宋"/>
          <w:sz w:val="28"/>
          <w:szCs w:val="28"/>
        </w:rPr>
      </w:pPr>
      <w:r>
        <w:rPr>
          <w:rFonts w:hint="eastAsia" w:ascii="仿宋" w:hAnsi="仿宋" w:eastAsia="仿宋" w:cs="仿宋"/>
          <w:sz w:val="28"/>
          <w:szCs w:val="28"/>
        </w:rPr>
        <w:t>3、所提供货物品种、数量、质量等不符合国家法律法规和本合同规定的，甲方有权拒收，由乙方负责包换或退货，并承担由此而支付的实际费用。　　</w:t>
      </w:r>
    </w:p>
    <w:p>
      <w:pPr>
        <w:spacing w:after="31" w:afterLines="10" w:line="360" w:lineRule="auto"/>
        <w:ind w:firstLine="560" w:firstLineChars="200"/>
        <w:rPr>
          <w:rFonts w:ascii="仿宋" w:hAnsi="仿宋" w:eastAsia="仿宋" w:cs="仿宋"/>
          <w:sz w:val="28"/>
          <w:szCs w:val="28"/>
        </w:rPr>
      </w:pPr>
      <w:r>
        <w:rPr>
          <w:rFonts w:hint="eastAsia" w:ascii="仿宋" w:hAnsi="仿宋" w:eastAsia="仿宋" w:cs="仿宋"/>
          <w:sz w:val="28"/>
          <w:szCs w:val="28"/>
        </w:rPr>
        <w:t>4、各物资在保修期内除人为因素及不可抗拒因素造成的损坏外，均有乙方负责保修。</w:t>
      </w:r>
    </w:p>
    <w:p>
      <w:pPr>
        <w:spacing w:after="31" w:afterLines="10"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5、在质保期内，供方采取电话指导、现场服务等全方位服务方式。供方保证一旦接到需方关于服务的联络，应马上给予回应。</w:t>
      </w:r>
    </w:p>
    <w:p>
      <w:pPr>
        <w:pStyle w:val="31"/>
        <w:shd w:val="clear" w:color="auto" w:fill="FFFFFF"/>
        <w:spacing w:after="31" w:afterLines="10" w:line="360" w:lineRule="auto"/>
        <w:ind w:firstLine="560" w:firstLineChars="200"/>
        <w:rPr>
          <w:rFonts w:ascii="仿宋" w:hAnsi="仿宋" w:eastAsia="仿宋" w:cs="仿宋"/>
          <w:color w:val="auto"/>
          <w:sz w:val="28"/>
          <w:szCs w:val="28"/>
        </w:rPr>
      </w:pPr>
      <w:r>
        <w:rPr>
          <w:rFonts w:hint="eastAsia" w:ascii="仿宋" w:hAnsi="仿宋" w:eastAsia="仿宋" w:cs="仿宋"/>
          <w:color w:val="auto"/>
          <w:kern w:val="2"/>
          <w:sz w:val="28"/>
          <w:szCs w:val="28"/>
        </w:rPr>
        <w:t>6、供货时产品包装内应有用中文标示出明确可辨的产品名称及合格证等，提供相关检验报告。</w:t>
      </w:r>
    </w:p>
    <w:p>
      <w:pPr>
        <w:pStyle w:val="31"/>
        <w:widowControl/>
        <w:spacing w:before="150" w:line="225" w:lineRule="atLeas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w:t>
      </w:r>
      <w:r>
        <w:rPr>
          <w:rFonts w:hint="eastAsia" w:ascii="仿宋" w:hAnsi="仿宋" w:eastAsia="仿宋" w:cs="仿宋"/>
          <w:color w:val="auto"/>
          <w:sz w:val="28"/>
          <w:szCs w:val="28"/>
          <w:shd w:val="clear" w:color="auto" w:fill="FFFFFF"/>
        </w:rPr>
        <w:t>甲乙双方均应当全面履行约定，一方违约给另一方造成损失的，应当承担赔偿职责。</w:t>
      </w:r>
    </w:p>
    <w:p>
      <w:pPr>
        <w:pStyle w:val="31"/>
        <w:shd w:val="clear" w:color="auto" w:fill="FFFFFF"/>
        <w:spacing w:after="31" w:afterLines="1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8、乙方保证所提供的技术资料应是完整的、清楚的和正确的,与投标文件所提供的参数是一致的，并且能满足招标物资试用、性能考核、使用的要求且需写明各清单内耗材品牌、原产地并提供相关各项授权证明。</w:t>
      </w:r>
    </w:p>
    <w:p>
      <w:pPr>
        <w:pStyle w:val="31"/>
        <w:shd w:val="clear" w:color="auto" w:fill="FFFFFF"/>
        <w:spacing w:after="31" w:afterLines="1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9、招标物资到货后,通过甲方组织联合验收组进行最终验收。</w:t>
      </w:r>
    </w:p>
    <w:p>
      <w:pPr>
        <w:pStyle w:val="31"/>
        <w:shd w:val="clear" w:color="auto" w:fill="FFFFFF"/>
        <w:spacing w:after="31" w:afterLines="10"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10、如验收不合格，甲方将采取中标合同价的</w:t>
      </w:r>
      <w:r>
        <w:rPr>
          <w:rFonts w:hint="eastAsia" w:ascii="仿宋" w:hAnsi="仿宋" w:eastAsia="仿宋" w:cs="仿宋"/>
          <w:b/>
          <w:bCs/>
          <w:color w:val="auto"/>
          <w:sz w:val="28"/>
          <w:szCs w:val="28"/>
          <w:u w:val="single"/>
        </w:rPr>
        <w:t xml:space="preserve">5 </w:t>
      </w:r>
      <w:r>
        <w:rPr>
          <w:rFonts w:hint="eastAsia" w:ascii="仿宋" w:hAnsi="仿宋" w:eastAsia="仿宋" w:cs="仿宋"/>
          <w:b/>
          <w:bCs/>
          <w:color w:val="auto"/>
          <w:sz w:val="28"/>
          <w:szCs w:val="28"/>
        </w:rPr>
        <w:t>%的处罚，不予退履约保证金，并保留进一步处理的权利。</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甲方应严格按照招标物资规格参数和验收报告进行验货，如果乙方所供物资的规格、质量、性能不符合合同约定、国家标准，将取消乙方供货资格，或乙方提供的售后没有按照招标文件要求执行，乙方须向甲方支付未达标货物价的1%的违约金。</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12、投标单位中标后需保障物资储备库房</w:t>
      </w:r>
      <w:r>
        <w:rPr>
          <w:rFonts w:ascii="仿宋" w:hAnsi="仿宋" w:eastAsia="仿宋" w:cs="仿宋"/>
          <w:sz w:val="28"/>
          <w:szCs w:val="28"/>
        </w:rPr>
        <w:t>(</w:t>
      </w:r>
      <w:r>
        <w:rPr>
          <w:rFonts w:hint="eastAsia" w:ascii="仿宋" w:hAnsi="仿宋" w:eastAsia="仿宋" w:cs="仿宋"/>
          <w:sz w:val="28"/>
          <w:szCs w:val="28"/>
        </w:rPr>
        <w:t>提供相关印证材料</w:t>
      </w:r>
      <w:r>
        <w:rPr>
          <w:rFonts w:ascii="仿宋" w:hAnsi="仿宋" w:eastAsia="仿宋" w:cs="仿宋"/>
          <w:sz w:val="28"/>
          <w:szCs w:val="28"/>
        </w:rPr>
        <w:t>)</w:t>
      </w:r>
      <w:r>
        <w:rPr>
          <w:rFonts w:hint="eastAsia" w:ascii="仿宋" w:hAnsi="仿宋" w:eastAsia="仿宋" w:cs="仿宋"/>
          <w:sz w:val="28"/>
          <w:szCs w:val="28"/>
        </w:rPr>
        <w:t>，严格按照规定响应时间配货、送货、到货。</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13、以上条款如需增加，甲乙双方可协商变动。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14、乙方要做到全天候，全方位的服务，确保服务第一的要求，随时为甲方提供服务。要做到发货准确、及时。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15、乙方所供货物规格参数需严格遵照投标规格，供货不得低于投标规格参数。</w:t>
      </w:r>
    </w:p>
    <w:p>
      <w:pP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付款方式：</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合同金额按照合同期限内每月各项物资实际发生量计算（按月支付）。</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付款方式：银行转账，按月支付：甲方按月向乙方支付每月实际供货金额。</w:t>
      </w: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供货期限：</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乙方收到中标通知书3个日历日内根据甲方实际需求，响应并将所需物资设备等送至甲方指定地点（由乙方承担全部运费）。并免费安装、调试、培训。</w:t>
      </w:r>
    </w:p>
    <w:p>
      <w:pP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质保期：</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自合同物资设备在需方现场最终验收合格之日起12个月。</w:t>
      </w:r>
    </w:p>
    <w:p>
      <w:pPr>
        <w:pStyle w:val="2"/>
      </w:pPr>
    </w:p>
    <w:p/>
    <w:p>
      <w:pPr>
        <w:rPr>
          <w:rFonts w:ascii="仿宋" w:hAnsi="仿宋" w:eastAsia="仿宋"/>
          <w:b/>
          <w:bCs/>
          <w:sz w:val="28"/>
          <w:szCs w:val="28"/>
        </w:rPr>
      </w:pPr>
      <w:r>
        <w:rPr>
          <w:rFonts w:hint="eastAsia" w:ascii="仿宋" w:hAnsi="仿宋" w:eastAsia="仿宋"/>
          <w:b/>
          <w:bCs/>
          <w:sz w:val="28"/>
          <w:szCs w:val="28"/>
        </w:rPr>
        <w:t>备注：最终中标价格涵盖招标设计、设备采购、辅料、运输、安装、人工费用及其他相关一切费用。</w:t>
      </w:r>
    </w:p>
    <w:p>
      <w:pPr>
        <w:numPr>
          <w:ilvl w:val="0"/>
          <w:numId w:val="0"/>
        </w:numPr>
        <w:jc w:val="both"/>
        <w:rPr>
          <w:rFonts w:hint="default" w:ascii="宋体" w:hAnsi="宋体" w:eastAsia="宋体" w:cs="宋体"/>
          <w:b/>
          <w:bCs/>
          <w:kern w:val="44"/>
          <w:sz w:val="32"/>
          <w:szCs w:val="28"/>
          <w:highlight w:val="none"/>
          <w:lang w:val="en-US" w:eastAsia="zh-CN" w:bidi="ar-SA"/>
        </w:rPr>
      </w:pPr>
    </w:p>
    <w:p>
      <w:pPr>
        <w:spacing w:line="480" w:lineRule="exact"/>
        <w:rPr>
          <w:rFonts w:ascii="宋体" w:hAnsi="宋体"/>
          <w:b/>
          <w:sz w:val="24"/>
          <w:highlight w:val="none"/>
        </w:rPr>
      </w:pPr>
    </w:p>
    <w:p>
      <w:pPr>
        <w:spacing w:line="480" w:lineRule="exact"/>
        <w:rPr>
          <w:rFonts w:ascii="宋体" w:hAnsi="宋体"/>
          <w:b/>
          <w:sz w:val="24"/>
          <w:highlight w:val="none"/>
        </w:rPr>
      </w:pPr>
    </w:p>
    <w:p>
      <w:pPr>
        <w:spacing w:line="480" w:lineRule="exact"/>
        <w:rPr>
          <w:rFonts w:ascii="宋体" w:hAnsi="宋体"/>
          <w:b/>
          <w:sz w:val="24"/>
          <w:highlight w:val="none"/>
        </w:rPr>
      </w:pPr>
    </w:p>
    <w:p>
      <w:pPr>
        <w:pStyle w:val="4"/>
      </w:pPr>
    </w:p>
    <w:p/>
    <w:p>
      <w:pPr>
        <w:pStyle w:val="4"/>
      </w:pPr>
    </w:p>
    <w:p/>
    <w:p>
      <w:pPr>
        <w:pStyle w:val="4"/>
      </w:pPr>
    </w:p>
    <w:p/>
    <w:p>
      <w:pPr>
        <w:pStyle w:val="4"/>
      </w:pPr>
    </w:p>
    <w:p/>
    <w:p>
      <w:pPr>
        <w:pStyle w:val="4"/>
      </w:pPr>
    </w:p>
    <w:p/>
    <w:p>
      <w:pPr>
        <w:pStyle w:val="4"/>
      </w:pPr>
    </w:p>
    <w:p/>
    <w:p>
      <w:pPr>
        <w:pStyle w:val="3"/>
        <w:numPr>
          <w:ilvl w:val="0"/>
          <w:numId w:val="9"/>
        </w:numPr>
        <w:rPr>
          <w:highlight w:val="none"/>
        </w:rPr>
      </w:pPr>
      <w:bookmarkStart w:id="9" w:name="_Toc517776520"/>
      <w:r>
        <w:rPr>
          <w:rFonts w:hint="eastAsia" w:ascii="宋体" w:hAnsi="宋体" w:cs="宋体"/>
          <w:highlight w:val="none"/>
        </w:rPr>
        <w:t>合同</w:t>
      </w:r>
      <w:bookmarkEnd w:id="9"/>
    </w:p>
    <w:p>
      <w:pPr>
        <w:jc w:val="center"/>
        <w:rPr>
          <w:sz w:val="22"/>
          <w:szCs w:val="24"/>
          <w:highlight w:val="none"/>
        </w:rPr>
      </w:pPr>
      <w:r>
        <w:rPr>
          <w:rFonts w:hint="eastAsia" w:ascii="宋体" w:hAnsi="宋体" w:cs="宋体"/>
          <w:sz w:val="22"/>
          <w:szCs w:val="24"/>
          <w:highlight w:val="none"/>
        </w:rPr>
        <w:t>（暂定，此合同仅供参考，具体细节于甲乙双方在最终合同中约定）</w:t>
      </w:r>
    </w:p>
    <w:p>
      <w:pPr>
        <w:pStyle w:val="4"/>
        <w:rPr>
          <w:rFonts w:ascii="宋体" w:cs="宋体"/>
          <w:highlight w:val="none"/>
        </w:rPr>
      </w:pPr>
      <w:bookmarkStart w:id="10" w:name="_Toc436395121"/>
      <w:bookmarkStart w:id="11" w:name="_Toc517776521"/>
      <w:r>
        <w:rPr>
          <w:rFonts w:hint="eastAsia" w:ascii="宋体" w:hAnsi="宋体" w:cs="宋体"/>
          <w:highlight w:val="none"/>
        </w:rPr>
        <w:t>一、合同一般条款</w:t>
      </w:r>
      <w:bookmarkEnd w:id="10"/>
      <w:bookmarkEnd w:id="11"/>
    </w:p>
    <w:p>
      <w:pPr>
        <w:pStyle w:val="20"/>
        <w:rPr>
          <w:rFonts w:hAnsi="宋体" w:cs="宋体"/>
          <w:sz w:val="24"/>
          <w:highlight w:val="none"/>
        </w:rPr>
      </w:pPr>
      <w:r>
        <w:rPr>
          <w:rFonts w:hAnsi="宋体" w:cs="宋体"/>
          <w:sz w:val="24"/>
          <w:highlight w:val="none"/>
        </w:rPr>
        <w:t>1</w:t>
      </w:r>
      <w:r>
        <w:rPr>
          <w:rFonts w:hint="eastAsia" w:hAnsi="宋体" w:cs="宋体"/>
          <w:sz w:val="24"/>
          <w:highlight w:val="none"/>
        </w:rPr>
        <w:t>．定义</w:t>
      </w:r>
    </w:p>
    <w:p>
      <w:pPr>
        <w:pStyle w:val="20"/>
        <w:ind w:left="480" w:hanging="480" w:hangingChars="200"/>
        <w:rPr>
          <w:rFonts w:hAnsi="宋体" w:cs="宋体"/>
          <w:sz w:val="24"/>
          <w:highlight w:val="none"/>
        </w:rPr>
      </w:pPr>
      <w:r>
        <w:rPr>
          <w:rFonts w:hAnsi="宋体" w:cs="宋体"/>
          <w:sz w:val="24"/>
          <w:highlight w:val="none"/>
        </w:rPr>
        <w:t xml:space="preserve">1.1 </w:t>
      </w:r>
      <w:r>
        <w:rPr>
          <w:rFonts w:hint="eastAsia" w:hAnsi="宋体" w:cs="宋体"/>
          <w:sz w:val="24"/>
          <w:highlight w:val="none"/>
        </w:rPr>
        <w:t>“合同”系指买方和卖方（以下简称合同双方）已达成的协议，即由双方签订的合同格式中的文件，包括所有的附件、附录和组成合同部分的所有其他文件。</w:t>
      </w:r>
    </w:p>
    <w:p>
      <w:pPr>
        <w:pStyle w:val="20"/>
        <w:ind w:left="480" w:hanging="480" w:hangingChars="200"/>
        <w:rPr>
          <w:rFonts w:hAnsi="宋体" w:cs="宋体"/>
          <w:sz w:val="24"/>
          <w:highlight w:val="none"/>
        </w:rPr>
      </w:pPr>
      <w:r>
        <w:rPr>
          <w:rFonts w:hAnsi="宋体" w:cs="宋体"/>
          <w:sz w:val="24"/>
          <w:highlight w:val="none"/>
        </w:rPr>
        <w:t xml:space="preserve">1.2 </w:t>
      </w:r>
      <w:r>
        <w:rPr>
          <w:rFonts w:hint="eastAsia" w:hAnsi="宋体" w:cs="宋体"/>
          <w:sz w:val="24"/>
          <w:highlight w:val="none"/>
        </w:rPr>
        <w:t>“合同价格”系指根据合同规定，在卖方全面正确地履行合同义务时应支付给卖方的款项。</w:t>
      </w:r>
    </w:p>
    <w:p>
      <w:pPr>
        <w:pStyle w:val="20"/>
        <w:ind w:left="360" w:hanging="360" w:hangingChars="150"/>
        <w:rPr>
          <w:rFonts w:hAnsi="宋体" w:cs="宋体"/>
          <w:sz w:val="24"/>
          <w:highlight w:val="none"/>
        </w:rPr>
      </w:pPr>
      <w:r>
        <w:rPr>
          <w:rFonts w:hAnsi="宋体" w:cs="宋体"/>
          <w:sz w:val="24"/>
          <w:highlight w:val="none"/>
        </w:rPr>
        <w:t xml:space="preserve">1.3 </w:t>
      </w:r>
      <w:r>
        <w:rPr>
          <w:rFonts w:hint="eastAsia" w:hAnsi="宋体" w:cs="宋体"/>
          <w:sz w:val="24"/>
          <w:highlight w:val="none"/>
        </w:rPr>
        <w:t>“货物”系指卖方按合同要求，须向买方提供的一切设备、机械、仪器仪表、备品备件、工具、手册及其它技术资料和其它材料。</w:t>
      </w:r>
    </w:p>
    <w:p>
      <w:pPr>
        <w:pStyle w:val="20"/>
        <w:ind w:left="480" w:hanging="480" w:hangingChars="200"/>
        <w:rPr>
          <w:rFonts w:hAnsi="宋体" w:cs="宋体"/>
          <w:sz w:val="24"/>
          <w:highlight w:val="none"/>
        </w:rPr>
      </w:pPr>
      <w:r>
        <w:rPr>
          <w:rFonts w:hAnsi="宋体" w:cs="宋体"/>
          <w:sz w:val="24"/>
          <w:highlight w:val="none"/>
        </w:rPr>
        <w:t xml:space="preserve">1.4 </w:t>
      </w:r>
      <w:r>
        <w:rPr>
          <w:rFonts w:hint="eastAsia" w:hAnsi="宋体" w:cs="宋体"/>
          <w:sz w:val="24"/>
          <w:highlight w:val="none"/>
        </w:rPr>
        <w:t>“服务”系指合同规定卖方须承担的安装、调试、技术协助、校准、培训以及其他类似的义务。</w:t>
      </w:r>
    </w:p>
    <w:p>
      <w:pPr>
        <w:pStyle w:val="20"/>
        <w:rPr>
          <w:rFonts w:hAnsi="宋体" w:cs="宋体"/>
          <w:sz w:val="24"/>
          <w:highlight w:val="none"/>
        </w:rPr>
      </w:pPr>
      <w:r>
        <w:rPr>
          <w:rFonts w:hAnsi="宋体" w:cs="宋体"/>
          <w:sz w:val="24"/>
          <w:highlight w:val="none"/>
        </w:rPr>
        <w:t xml:space="preserve">1.5 </w:t>
      </w:r>
      <w:r>
        <w:rPr>
          <w:rFonts w:hint="eastAsia" w:hAnsi="宋体" w:cs="宋体"/>
          <w:sz w:val="24"/>
          <w:highlight w:val="none"/>
        </w:rPr>
        <w:t>“买方”系指通过招标采购，接受合同货物及服务的企业或单位。</w:t>
      </w:r>
    </w:p>
    <w:p>
      <w:pPr>
        <w:pStyle w:val="20"/>
        <w:rPr>
          <w:rFonts w:hAnsi="宋体" w:cs="宋体"/>
          <w:sz w:val="24"/>
          <w:highlight w:val="none"/>
        </w:rPr>
      </w:pPr>
      <w:r>
        <w:rPr>
          <w:rFonts w:hAnsi="宋体" w:cs="宋体"/>
          <w:sz w:val="24"/>
          <w:highlight w:val="none"/>
        </w:rPr>
        <w:t xml:space="preserve">1.6 </w:t>
      </w:r>
      <w:r>
        <w:rPr>
          <w:rFonts w:hint="eastAsia" w:hAnsi="宋体" w:cs="宋体"/>
          <w:sz w:val="24"/>
          <w:highlight w:val="none"/>
        </w:rPr>
        <w:t>“卖方”系指成交后提供合同货物和服务的经济实体。</w:t>
      </w:r>
    </w:p>
    <w:p>
      <w:pPr>
        <w:pStyle w:val="20"/>
        <w:rPr>
          <w:rFonts w:hAnsi="宋体" w:cs="宋体"/>
          <w:sz w:val="24"/>
          <w:highlight w:val="none"/>
        </w:rPr>
      </w:pPr>
      <w:r>
        <w:rPr>
          <w:rFonts w:hAnsi="宋体" w:cs="宋体"/>
          <w:sz w:val="24"/>
          <w:highlight w:val="none"/>
        </w:rPr>
        <w:t xml:space="preserve">1.7 </w:t>
      </w:r>
      <w:r>
        <w:rPr>
          <w:rFonts w:hint="eastAsia" w:hAnsi="宋体" w:cs="宋体"/>
          <w:sz w:val="24"/>
          <w:highlight w:val="none"/>
        </w:rPr>
        <w:t>“现场”系指将要进行货物安装和运转的地点。</w:t>
      </w:r>
    </w:p>
    <w:p>
      <w:pPr>
        <w:pStyle w:val="20"/>
        <w:rPr>
          <w:rFonts w:hAnsi="宋体" w:cs="宋体"/>
          <w:sz w:val="24"/>
          <w:highlight w:val="none"/>
        </w:rPr>
      </w:pPr>
      <w:r>
        <w:rPr>
          <w:rFonts w:hAnsi="宋体" w:cs="宋体"/>
          <w:sz w:val="24"/>
          <w:highlight w:val="none"/>
        </w:rPr>
        <w:t xml:space="preserve">1.8 </w:t>
      </w:r>
      <w:r>
        <w:rPr>
          <w:rFonts w:hint="eastAsia" w:hAnsi="宋体" w:cs="宋体"/>
          <w:sz w:val="24"/>
          <w:highlight w:val="none"/>
        </w:rPr>
        <w:t>“验收”系指买方依据技术规格规定接受合同货物所依据的程序和条件。</w:t>
      </w:r>
    </w:p>
    <w:p>
      <w:pPr>
        <w:pStyle w:val="20"/>
        <w:rPr>
          <w:rFonts w:hAnsi="宋体" w:cs="宋体"/>
          <w:sz w:val="24"/>
          <w:highlight w:val="none"/>
        </w:rPr>
      </w:pPr>
      <w:r>
        <w:rPr>
          <w:rFonts w:hAnsi="宋体" w:cs="宋体"/>
          <w:sz w:val="24"/>
          <w:highlight w:val="none"/>
        </w:rPr>
        <w:t>2</w:t>
      </w:r>
      <w:r>
        <w:rPr>
          <w:rFonts w:hint="eastAsia" w:hAnsi="宋体" w:cs="宋体"/>
          <w:sz w:val="24"/>
          <w:highlight w:val="none"/>
        </w:rPr>
        <w:t>．适用范围</w:t>
      </w:r>
    </w:p>
    <w:p>
      <w:pPr>
        <w:pStyle w:val="20"/>
        <w:rPr>
          <w:rFonts w:hAnsi="宋体" w:cs="宋体"/>
          <w:sz w:val="24"/>
          <w:highlight w:val="none"/>
        </w:rPr>
      </w:pPr>
      <w:r>
        <w:rPr>
          <w:rFonts w:hAnsi="宋体" w:cs="宋体"/>
          <w:sz w:val="24"/>
          <w:highlight w:val="none"/>
        </w:rPr>
        <w:t>2.1</w:t>
      </w:r>
      <w:r>
        <w:rPr>
          <w:rFonts w:hint="eastAsia" w:hAnsi="宋体" w:cs="宋体"/>
          <w:sz w:val="24"/>
          <w:highlight w:val="none"/>
        </w:rPr>
        <w:t>本合同条款适用于本次招标活动。</w:t>
      </w:r>
    </w:p>
    <w:p>
      <w:pPr>
        <w:pStyle w:val="20"/>
        <w:rPr>
          <w:rFonts w:hAnsi="宋体" w:cs="宋体"/>
          <w:sz w:val="24"/>
          <w:highlight w:val="none"/>
        </w:rPr>
      </w:pPr>
      <w:r>
        <w:rPr>
          <w:rFonts w:hAnsi="宋体" w:cs="宋体"/>
          <w:sz w:val="24"/>
          <w:highlight w:val="none"/>
        </w:rPr>
        <w:t>3</w:t>
      </w:r>
      <w:r>
        <w:rPr>
          <w:rFonts w:hint="eastAsia" w:hAnsi="宋体" w:cs="宋体"/>
          <w:sz w:val="24"/>
          <w:highlight w:val="none"/>
        </w:rPr>
        <w:t>．原产地</w:t>
      </w:r>
    </w:p>
    <w:p>
      <w:pPr>
        <w:pStyle w:val="20"/>
        <w:rPr>
          <w:rFonts w:hAnsi="宋体" w:cs="宋体"/>
          <w:sz w:val="24"/>
          <w:highlight w:val="none"/>
        </w:rPr>
      </w:pPr>
      <w:r>
        <w:rPr>
          <w:rFonts w:hAnsi="宋体" w:cs="宋体"/>
          <w:sz w:val="24"/>
          <w:highlight w:val="none"/>
        </w:rPr>
        <w:t>3.1</w:t>
      </w:r>
      <w:r>
        <w:rPr>
          <w:rFonts w:hint="eastAsia" w:hAnsi="宋体" w:cs="宋体"/>
          <w:sz w:val="24"/>
          <w:highlight w:val="none"/>
        </w:rPr>
        <w:t>原产地系指货物的生产地，或提供辅助服务的来源地。</w:t>
      </w:r>
    </w:p>
    <w:p>
      <w:pPr>
        <w:pStyle w:val="20"/>
        <w:rPr>
          <w:rFonts w:hAnsi="宋体" w:cs="宋体"/>
          <w:sz w:val="24"/>
          <w:highlight w:val="none"/>
        </w:rPr>
      </w:pPr>
      <w:r>
        <w:rPr>
          <w:rFonts w:hAnsi="宋体" w:cs="宋体"/>
          <w:sz w:val="24"/>
          <w:highlight w:val="none"/>
        </w:rPr>
        <w:t>4</w:t>
      </w:r>
      <w:r>
        <w:rPr>
          <w:rFonts w:hint="eastAsia" w:hAnsi="宋体" w:cs="宋体"/>
          <w:sz w:val="24"/>
          <w:highlight w:val="none"/>
        </w:rPr>
        <w:t>．技术规格和标准</w:t>
      </w:r>
    </w:p>
    <w:p>
      <w:pPr>
        <w:pStyle w:val="20"/>
        <w:ind w:left="360" w:hanging="360" w:hangingChars="150"/>
        <w:rPr>
          <w:rFonts w:hAnsi="宋体" w:cs="宋体"/>
          <w:sz w:val="24"/>
          <w:highlight w:val="none"/>
        </w:rPr>
      </w:pPr>
      <w:r>
        <w:rPr>
          <w:rFonts w:hAnsi="宋体" w:cs="宋体"/>
          <w:sz w:val="24"/>
          <w:highlight w:val="none"/>
        </w:rPr>
        <w:t>4.1</w:t>
      </w:r>
      <w:r>
        <w:rPr>
          <w:rFonts w:hint="eastAsia" w:hAnsi="宋体" w:cs="宋体"/>
          <w:sz w:val="24"/>
          <w:highlight w:val="none"/>
        </w:rPr>
        <w:t>本合同项下所供货物的技术规格应与本询价采购文件技术规格规定的标准相一致。若技术规格中无相应规定，货物则应符合相应的国家标准或有关权威部门最新颁布的相应的正式标准。</w:t>
      </w:r>
    </w:p>
    <w:p>
      <w:pPr>
        <w:pStyle w:val="20"/>
        <w:rPr>
          <w:rFonts w:hAnsi="宋体" w:cs="宋体"/>
          <w:sz w:val="24"/>
          <w:highlight w:val="none"/>
        </w:rPr>
      </w:pPr>
      <w:r>
        <w:rPr>
          <w:rFonts w:hAnsi="宋体" w:cs="宋体"/>
          <w:sz w:val="24"/>
          <w:highlight w:val="none"/>
        </w:rPr>
        <w:t>5</w:t>
      </w:r>
      <w:r>
        <w:rPr>
          <w:rFonts w:hint="eastAsia" w:hAnsi="宋体" w:cs="宋体"/>
          <w:sz w:val="24"/>
          <w:highlight w:val="none"/>
        </w:rPr>
        <w:t>．专利权</w:t>
      </w:r>
    </w:p>
    <w:p>
      <w:pPr>
        <w:pStyle w:val="20"/>
        <w:ind w:left="360" w:hanging="360" w:hangingChars="150"/>
        <w:rPr>
          <w:rFonts w:hAnsi="宋体" w:cs="宋体"/>
          <w:sz w:val="24"/>
          <w:highlight w:val="none"/>
        </w:rPr>
      </w:pPr>
      <w:r>
        <w:rPr>
          <w:rFonts w:hAnsi="宋体" w:cs="宋体"/>
          <w:sz w:val="24"/>
          <w:highlight w:val="none"/>
        </w:rPr>
        <w:t>5.1</w:t>
      </w:r>
      <w:r>
        <w:rPr>
          <w:rFonts w:hint="eastAsia" w:hAnsi="宋体" w:cs="宋体"/>
          <w:sz w:val="24"/>
          <w:highlight w:val="none"/>
        </w:rPr>
        <w:t>卖方须保障买方在使用其货物、服务及其任何部分不受到第三方关于侵犯专利权、商标权或工业设计权的指控。任何第三方如果提出侵权指控，卖方须与第三方交涉并承担由此而引起的一切法律责任和费用。</w:t>
      </w:r>
    </w:p>
    <w:p>
      <w:pPr>
        <w:pStyle w:val="20"/>
        <w:rPr>
          <w:rFonts w:hAnsi="宋体" w:cs="宋体"/>
          <w:sz w:val="24"/>
          <w:highlight w:val="none"/>
        </w:rPr>
      </w:pPr>
      <w:r>
        <w:rPr>
          <w:rFonts w:hAnsi="宋体" w:cs="宋体"/>
          <w:sz w:val="24"/>
          <w:highlight w:val="none"/>
        </w:rPr>
        <w:t>6</w:t>
      </w:r>
      <w:r>
        <w:rPr>
          <w:rFonts w:hint="eastAsia" w:hAnsi="宋体" w:cs="宋体"/>
          <w:sz w:val="24"/>
          <w:highlight w:val="none"/>
        </w:rPr>
        <w:t>．包装</w:t>
      </w:r>
    </w:p>
    <w:p>
      <w:pPr>
        <w:pStyle w:val="20"/>
        <w:ind w:left="360" w:hanging="360" w:hangingChars="150"/>
        <w:rPr>
          <w:rFonts w:hAnsi="宋体" w:cs="宋体"/>
          <w:sz w:val="24"/>
          <w:highlight w:val="none"/>
        </w:rPr>
      </w:pPr>
      <w:r>
        <w:rPr>
          <w:rFonts w:hAnsi="宋体" w:cs="宋体"/>
          <w:sz w:val="24"/>
          <w:highlight w:val="none"/>
        </w:rPr>
        <w:t>6.1</w:t>
      </w:r>
      <w:r>
        <w:rPr>
          <w:rFonts w:hint="eastAsia" w:hAnsi="宋体" w:cs="宋体"/>
          <w:sz w:val="24"/>
          <w:highlight w:val="none"/>
        </w:rPr>
        <w:t>除非本合同另有规定，提供的全部货物须采用相应标准的保护措施进行包装。这种包装应适于空运和内陆运输，并有良好的防潮、防震、防锈和防野蛮装卸等保护措施，以确保货物安全运抵现场。</w:t>
      </w:r>
      <w:r>
        <w:rPr>
          <w:rFonts w:hAnsi="宋体" w:cs="宋体"/>
          <w:sz w:val="24"/>
          <w:highlight w:val="none"/>
        </w:rPr>
        <w:t xml:space="preserve">  </w:t>
      </w:r>
      <w:r>
        <w:rPr>
          <w:rFonts w:hint="eastAsia" w:hAnsi="宋体" w:cs="宋体"/>
          <w:sz w:val="24"/>
          <w:highlight w:val="none"/>
        </w:rPr>
        <w:t>卖方应承担由于其包装或其防护措施不妥而引起货物锈蚀、损坏和丢失的任何损失的责任或费用。</w:t>
      </w:r>
    </w:p>
    <w:p>
      <w:pPr>
        <w:pStyle w:val="20"/>
        <w:rPr>
          <w:rFonts w:hAnsi="宋体" w:cs="宋体"/>
          <w:sz w:val="24"/>
          <w:highlight w:val="none"/>
        </w:rPr>
      </w:pPr>
      <w:r>
        <w:rPr>
          <w:rFonts w:hAnsi="宋体" w:cs="宋体"/>
          <w:sz w:val="24"/>
          <w:highlight w:val="none"/>
        </w:rPr>
        <w:t>6.2</w:t>
      </w:r>
      <w:r>
        <w:rPr>
          <w:rFonts w:hint="eastAsia" w:hAnsi="宋体" w:cs="宋体"/>
          <w:sz w:val="24"/>
          <w:highlight w:val="none"/>
        </w:rPr>
        <w:t>每件包装应附有详细装箱单和质量证书各两套，一套在包装箱里，一套在包装箱外。</w:t>
      </w:r>
    </w:p>
    <w:p>
      <w:pPr>
        <w:pStyle w:val="20"/>
        <w:rPr>
          <w:rFonts w:hAnsi="宋体" w:cs="宋体"/>
          <w:sz w:val="24"/>
          <w:highlight w:val="none"/>
        </w:rPr>
      </w:pPr>
      <w:r>
        <w:rPr>
          <w:rFonts w:hAnsi="宋体" w:cs="宋体"/>
          <w:sz w:val="24"/>
          <w:highlight w:val="none"/>
        </w:rPr>
        <w:t>7</w:t>
      </w:r>
      <w:r>
        <w:rPr>
          <w:rFonts w:hint="eastAsia" w:hAnsi="宋体" w:cs="宋体"/>
          <w:sz w:val="24"/>
          <w:highlight w:val="none"/>
        </w:rPr>
        <w:t>．运输标记</w:t>
      </w:r>
    </w:p>
    <w:p>
      <w:pPr>
        <w:pStyle w:val="20"/>
        <w:rPr>
          <w:rFonts w:hAnsi="宋体" w:cs="宋体"/>
          <w:sz w:val="24"/>
          <w:highlight w:val="none"/>
        </w:rPr>
      </w:pPr>
      <w:r>
        <w:rPr>
          <w:rFonts w:hAnsi="宋体" w:cs="宋体"/>
          <w:sz w:val="24"/>
          <w:highlight w:val="none"/>
        </w:rPr>
        <w:t>7.1</w:t>
      </w:r>
      <w:r>
        <w:rPr>
          <w:rFonts w:hint="eastAsia" w:hAnsi="宋体" w:cs="宋体"/>
          <w:sz w:val="24"/>
          <w:highlight w:val="none"/>
        </w:rPr>
        <w:t>卖方应在每一包装箱邻接的四个侧面用不易褪色的油漆以醒目的中文印刷字体标明以下各项：</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1</w:t>
      </w:r>
      <w:r>
        <w:rPr>
          <w:rFonts w:hint="eastAsia" w:hAnsi="宋体" w:cs="宋体"/>
          <w:sz w:val="24"/>
          <w:highlight w:val="none"/>
        </w:rPr>
        <w:t>）收货人</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2</w:t>
      </w:r>
      <w:r>
        <w:rPr>
          <w:rFonts w:hint="eastAsia" w:hAnsi="宋体" w:cs="宋体"/>
          <w:sz w:val="24"/>
          <w:highlight w:val="none"/>
        </w:rPr>
        <w:t>）合同号</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3</w:t>
      </w:r>
      <w:r>
        <w:rPr>
          <w:rFonts w:hint="eastAsia" w:hAnsi="宋体" w:cs="宋体"/>
          <w:sz w:val="24"/>
          <w:highlight w:val="none"/>
        </w:rPr>
        <w:t>）收货人代</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4</w:t>
      </w:r>
      <w:r>
        <w:rPr>
          <w:rFonts w:hint="eastAsia" w:hAnsi="宋体" w:cs="宋体"/>
          <w:sz w:val="24"/>
          <w:highlight w:val="none"/>
        </w:rPr>
        <w:t>）目的地</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5</w:t>
      </w:r>
      <w:r>
        <w:rPr>
          <w:rFonts w:hint="eastAsia" w:hAnsi="宋体" w:cs="宋体"/>
          <w:sz w:val="24"/>
          <w:highlight w:val="none"/>
        </w:rPr>
        <w:t>）货物的名称、品目号、箱号</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6</w:t>
      </w:r>
      <w:r>
        <w:rPr>
          <w:rFonts w:hint="eastAsia" w:hAnsi="宋体" w:cs="宋体"/>
          <w:sz w:val="24"/>
          <w:highlight w:val="none"/>
        </w:rPr>
        <w:t>）毛重／净重（公斤）</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7</w:t>
      </w:r>
      <w:r>
        <w:rPr>
          <w:rFonts w:hint="eastAsia" w:hAnsi="宋体" w:cs="宋体"/>
          <w:sz w:val="24"/>
          <w:highlight w:val="none"/>
        </w:rPr>
        <w:t>）尺寸（长</w:t>
      </w:r>
      <w:r>
        <w:rPr>
          <w:rFonts w:hAnsi="宋体" w:cs="宋体"/>
          <w:sz w:val="24"/>
          <w:highlight w:val="none"/>
        </w:rPr>
        <w:t>x</w:t>
      </w:r>
      <w:r>
        <w:rPr>
          <w:rFonts w:hint="eastAsia" w:hAnsi="宋体" w:cs="宋体"/>
          <w:sz w:val="24"/>
          <w:highlight w:val="none"/>
        </w:rPr>
        <w:t>宽</w:t>
      </w:r>
      <w:r>
        <w:rPr>
          <w:rFonts w:hAnsi="宋体" w:cs="宋体"/>
          <w:sz w:val="24"/>
          <w:highlight w:val="none"/>
        </w:rPr>
        <w:t>x</w:t>
      </w:r>
      <w:r>
        <w:rPr>
          <w:rFonts w:hint="eastAsia" w:hAnsi="宋体" w:cs="宋体"/>
          <w:sz w:val="24"/>
          <w:highlight w:val="none"/>
        </w:rPr>
        <w:t>高，以厘米计）</w:t>
      </w:r>
    </w:p>
    <w:p>
      <w:pPr>
        <w:pStyle w:val="20"/>
        <w:rPr>
          <w:rFonts w:hAnsi="宋体" w:cs="宋体"/>
          <w:sz w:val="24"/>
          <w:highlight w:val="none"/>
        </w:rPr>
      </w:pPr>
      <w:r>
        <w:rPr>
          <w:rFonts w:hAnsi="宋体" w:cs="宋体"/>
          <w:sz w:val="24"/>
          <w:highlight w:val="none"/>
        </w:rPr>
        <w:t>8.</w:t>
      </w:r>
      <w:r>
        <w:rPr>
          <w:rFonts w:hint="eastAsia" w:hAnsi="宋体" w:cs="宋体"/>
          <w:sz w:val="24"/>
          <w:highlight w:val="none"/>
        </w:rPr>
        <w:t>卖方的交货价合同</w:t>
      </w:r>
    </w:p>
    <w:p>
      <w:pPr>
        <w:pStyle w:val="20"/>
        <w:ind w:firstLine="141" w:firstLineChars="59"/>
        <w:rPr>
          <w:rFonts w:hAnsi="宋体" w:cs="宋体"/>
          <w:sz w:val="24"/>
          <w:highlight w:val="none"/>
        </w:rPr>
      </w:pPr>
      <w:r>
        <w:rPr>
          <w:rFonts w:hAnsi="宋体" w:cs="宋体"/>
          <w:sz w:val="24"/>
          <w:highlight w:val="none"/>
        </w:rPr>
        <w:t>8.1</w:t>
      </w:r>
      <w:r>
        <w:rPr>
          <w:rFonts w:hint="eastAsia" w:hAnsi="宋体" w:cs="宋体"/>
          <w:sz w:val="24"/>
          <w:highlight w:val="none"/>
        </w:rPr>
        <w:t>卖方应在合同规定的交货期前</w:t>
      </w:r>
      <w:r>
        <w:rPr>
          <w:rFonts w:hAnsi="宋体" w:cs="宋体"/>
          <w:sz w:val="24"/>
          <w:highlight w:val="none"/>
        </w:rPr>
        <w:t>10</w:t>
      </w:r>
      <w:r>
        <w:rPr>
          <w:rFonts w:hint="eastAsia" w:hAnsi="宋体" w:cs="宋体"/>
          <w:sz w:val="24"/>
          <w:highlight w:val="none"/>
        </w:rPr>
        <w:t>天以电报、传真或电传通知买方合同号、货物名称、数量、包装件数、总毛重、总体积（立方米）和备妥待运日期。同时，卖方应以挂号信寄给买方详细交货清单一式五份，包括合同号、货物名称、规格、数量、总毛重、总体积（立方米）和每一包装箱的尺寸（长</w:t>
      </w:r>
      <w:r>
        <w:rPr>
          <w:rFonts w:hAnsi="宋体" w:cs="宋体"/>
          <w:sz w:val="24"/>
          <w:highlight w:val="none"/>
        </w:rPr>
        <w:t>x</w:t>
      </w:r>
      <w:r>
        <w:rPr>
          <w:rFonts w:hint="eastAsia" w:hAnsi="宋体" w:cs="宋体"/>
          <w:sz w:val="24"/>
          <w:highlight w:val="none"/>
        </w:rPr>
        <w:t>宽</w:t>
      </w:r>
      <w:r>
        <w:rPr>
          <w:rFonts w:hAnsi="宋体" w:cs="宋体"/>
          <w:sz w:val="24"/>
          <w:highlight w:val="none"/>
        </w:rPr>
        <w:t>x</w:t>
      </w:r>
      <w:r>
        <w:rPr>
          <w:rFonts w:hint="eastAsia" w:hAnsi="宋体" w:cs="宋体"/>
          <w:sz w:val="24"/>
          <w:highlight w:val="none"/>
        </w:rPr>
        <w:t>高）、单价和总价、备妥待运日期，以及货物在运输和仓储中的特殊要求和注意事项。</w:t>
      </w:r>
    </w:p>
    <w:p>
      <w:pPr>
        <w:pStyle w:val="20"/>
        <w:ind w:firstLine="141" w:firstLineChars="59"/>
        <w:rPr>
          <w:rFonts w:hAnsi="宋体" w:cs="宋体"/>
          <w:sz w:val="24"/>
          <w:highlight w:val="none"/>
        </w:rPr>
      </w:pPr>
      <w:r>
        <w:rPr>
          <w:rFonts w:hAnsi="宋体" w:cs="宋体"/>
          <w:sz w:val="24"/>
          <w:highlight w:val="none"/>
        </w:rPr>
        <w:t>8.2</w:t>
      </w:r>
      <w:r>
        <w:rPr>
          <w:rFonts w:hint="eastAsia" w:hAnsi="宋体" w:cs="宋体"/>
          <w:sz w:val="24"/>
          <w:highlight w:val="none"/>
        </w:rPr>
        <w:t>卖方负责安排自发运地至买方现场的运输，费用包含在合同总价中。</w:t>
      </w:r>
    </w:p>
    <w:p>
      <w:pPr>
        <w:pStyle w:val="20"/>
        <w:ind w:firstLine="141" w:firstLineChars="59"/>
        <w:rPr>
          <w:rFonts w:hAnsi="宋体" w:cs="宋体"/>
          <w:sz w:val="24"/>
          <w:highlight w:val="none"/>
        </w:rPr>
      </w:pPr>
      <w:r>
        <w:rPr>
          <w:rFonts w:hAnsi="宋体" w:cs="宋体"/>
          <w:sz w:val="24"/>
          <w:highlight w:val="none"/>
        </w:rPr>
        <w:t>8.3</w:t>
      </w:r>
      <w:r>
        <w:rPr>
          <w:rFonts w:hint="eastAsia" w:hAnsi="宋体" w:cs="宋体"/>
          <w:sz w:val="24"/>
          <w:highlight w:val="none"/>
        </w:rPr>
        <w:t>交货日期以货物到达买方现场为准。</w:t>
      </w:r>
    </w:p>
    <w:p>
      <w:pPr>
        <w:pStyle w:val="20"/>
        <w:ind w:firstLine="141" w:firstLineChars="59"/>
        <w:rPr>
          <w:rFonts w:hAnsi="宋体" w:cs="宋体"/>
          <w:sz w:val="24"/>
          <w:highlight w:val="none"/>
        </w:rPr>
      </w:pPr>
      <w:r>
        <w:rPr>
          <w:rFonts w:hAnsi="宋体" w:cs="宋体"/>
          <w:sz w:val="24"/>
          <w:highlight w:val="none"/>
        </w:rPr>
        <w:t>8.4</w:t>
      </w:r>
      <w:r>
        <w:rPr>
          <w:rFonts w:hint="eastAsia" w:hAnsi="宋体" w:cs="宋体"/>
          <w:sz w:val="24"/>
          <w:highlight w:val="none"/>
        </w:rPr>
        <w:t>卖方装运的货物必须符合合同规定的货物名称、型号规格、数量或重量，否则，一切后果均由卖方承担。</w:t>
      </w:r>
    </w:p>
    <w:p>
      <w:pPr>
        <w:pStyle w:val="20"/>
        <w:rPr>
          <w:rFonts w:hAnsi="宋体" w:cs="宋体"/>
          <w:sz w:val="24"/>
          <w:highlight w:val="none"/>
        </w:rPr>
      </w:pPr>
      <w:r>
        <w:rPr>
          <w:rFonts w:hAnsi="宋体" w:cs="宋体"/>
          <w:sz w:val="24"/>
          <w:highlight w:val="none"/>
        </w:rPr>
        <w:t>9</w:t>
      </w:r>
      <w:r>
        <w:rPr>
          <w:rFonts w:hint="eastAsia" w:hAnsi="宋体" w:cs="宋体"/>
          <w:sz w:val="24"/>
          <w:highlight w:val="none"/>
        </w:rPr>
        <w:t>．装运通知</w:t>
      </w:r>
    </w:p>
    <w:p>
      <w:pPr>
        <w:pStyle w:val="20"/>
        <w:ind w:firstLine="141" w:firstLineChars="59"/>
        <w:rPr>
          <w:rFonts w:hAnsi="宋体" w:cs="宋体"/>
          <w:sz w:val="24"/>
          <w:highlight w:val="none"/>
        </w:rPr>
      </w:pPr>
      <w:r>
        <w:rPr>
          <w:rFonts w:hAnsi="宋体" w:cs="宋体"/>
          <w:sz w:val="24"/>
          <w:highlight w:val="none"/>
        </w:rPr>
        <w:t>9.1</w:t>
      </w:r>
      <w:r>
        <w:rPr>
          <w:rFonts w:hint="eastAsia" w:hAnsi="宋体" w:cs="宋体"/>
          <w:sz w:val="24"/>
          <w:highlight w:val="none"/>
        </w:rPr>
        <w:t>卖方应在货物装运完成</w:t>
      </w:r>
      <w:r>
        <w:rPr>
          <w:rFonts w:hAnsi="宋体" w:cs="宋体"/>
          <w:sz w:val="24"/>
          <w:highlight w:val="none"/>
        </w:rPr>
        <w:t>24</w:t>
      </w:r>
      <w:r>
        <w:rPr>
          <w:rFonts w:hint="eastAsia" w:hAnsi="宋体" w:cs="宋体"/>
          <w:sz w:val="24"/>
          <w:highlight w:val="none"/>
        </w:rPr>
        <w:t>小时内以电报、传真或电传通知买方合同号、</w:t>
      </w:r>
      <w:r>
        <w:rPr>
          <w:rFonts w:hAnsi="宋体" w:cs="宋体"/>
          <w:sz w:val="24"/>
          <w:highlight w:val="none"/>
        </w:rPr>
        <w:t xml:space="preserve">  </w:t>
      </w:r>
      <w:r>
        <w:rPr>
          <w:rFonts w:hint="eastAsia" w:hAnsi="宋体" w:cs="宋体"/>
          <w:sz w:val="24"/>
          <w:highlight w:val="none"/>
        </w:rPr>
        <w:t>货物名称、数量、毛重、体积（立方米）、发票金额、载运车次名称和启运日期。如果包装件重量超过</w:t>
      </w:r>
      <w:r>
        <w:rPr>
          <w:rFonts w:hAnsi="宋体" w:cs="宋体"/>
          <w:sz w:val="24"/>
          <w:highlight w:val="none"/>
        </w:rPr>
        <w:t>20</w:t>
      </w:r>
      <w:r>
        <w:rPr>
          <w:rFonts w:hint="eastAsia" w:hAnsi="宋体" w:cs="宋体"/>
          <w:sz w:val="24"/>
          <w:highlight w:val="none"/>
        </w:rPr>
        <w:t>吨或尺寸达到或超过</w:t>
      </w:r>
      <w:r>
        <w:rPr>
          <w:rFonts w:hAnsi="宋体" w:cs="宋体"/>
          <w:sz w:val="24"/>
          <w:highlight w:val="none"/>
        </w:rPr>
        <w:t>12</w:t>
      </w:r>
      <w:r>
        <w:rPr>
          <w:rFonts w:hint="eastAsia" w:hAnsi="宋体" w:cs="宋体"/>
          <w:sz w:val="24"/>
          <w:highlight w:val="none"/>
        </w:rPr>
        <w:t>米长、</w:t>
      </w:r>
      <w:r>
        <w:rPr>
          <w:rFonts w:hAnsi="宋体" w:cs="宋体"/>
          <w:sz w:val="24"/>
          <w:highlight w:val="none"/>
        </w:rPr>
        <w:t>2.7</w:t>
      </w:r>
      <w:r>
        <w:rPr>
          <w:rFonts w:hint="eastAsia" w:hAnsi="宋体" w:cs="宋体"/>
          <w:sz w:val="24"/>
          <w:highlight w:val="none"/>
        </w:rPr>
        <w:t>米宽和</w:t>
      </w:r>
      <w:r>
        <w:rPr>
          <w:rFonts w:hAnsi="宋体" w:cs="宋体"/>
          <w:sz w:val="24"/>
          <w:highlight w:val="none"/>
        </w:rPr>
        <w:t>3</w:t>
      </w:r>
      <w:r>
        <w:rPr>
          <w:rFonts w:hint="eastAsia" w:hAnsi="宋体" w:cs="宋体"/>
          <w:sz w:val="24"/>
          <w:highlight w:val="none"/>
        </w:rPr>
        <w:t>米高，卖方应将其重量或尺寸通知买方。若货物中有易燃品或危险品，卖方也须将详细情况通知买方。</w:t>
      </w:r>
    </w:p>
    <w:p>
      <w:pPr>
        <w:pStyle w:val="20"/>
        <w:rPr>
          <w:rFonts w:hAnsi="宋体" w:cs="宋体"/>
          <w:sz w:val="24"/>
          <w:highlight w:val="none"/>
        </w:rPr>
      </w:pPr>
      <w:r>
        <w:rPr>
          <w:rFonts w:hAnsi="宋体" w:cs="宋体"/>
          <w:sz w:val="24"/>
          <w:highlight w:val="none"/>
        </w:rPr>
        <w:t>10</w:t>
      </w:r>
      <w:r>
        <w:rPr>
          <w:rFonts w:hint="eastAsia" w:hAnsi="宋体" w:cs="宋体"/>
          <w:sz w:val="24"/>
          <w:highlight w:val="none"/>
        </w:rPr>
        <w:t>．保险</w:t>
      </w:r>
    </w:p>
    <w:p>
      <w:pPr>
        <w:spacing w:line="360" w:lineRule="auto"/>
        <w:ind w:firstLine="101"/>
        <w:rPr>
          <w:rFonts w:ascii="宋体" w:cs="宋体"/>
          <w:sz w:val="24"/>
          <w:highlight w:val="none"/>
        </w:rPr>
      </w:pPr>
      <w:r>
        <w:rPr>
          <w:rFonts w:ascii="宋体" w:hAnsi="宋体" w:cs="宋体"/>
          <w:sz w:val="24"/>
          <w:highlight w:val="none"/>
        </w:rPr>
        <w:t>10.1</w:t>
      </w:r>
      <w:r>
        <w:rPr>
          <w:rFonts w:hint="eastAsia" w:ascii="宋体" w:hAnsi="宋体" w:cs="宋体"/>
          <w:sz w:val="24"/>
          <w:highlight w:val="none"/>
        </w:rPr>
        <w:t>在国内交货价合同条件下，由买方在货物装运前或接到装运通知后办理保险。或由买卖双方具体商定。</w:t>
      </w:r>
    </w:p>
    <w:p>
      <w:pPr>
        <w:pStyle w:val="20"/>
        <w:rPr>
          <w:rFonts w:hAnsi="宋体" w:cs="宋体"/>
          <w:sz w:val="24"/>
          <w:highlight w:val="none"/>
        </w:rPr>
      </w:pPr>
      <w:r>
        <w:rPr>
          <w:rFonts w:hAnsi="宋体" w:cs="宋体"/>
          <w:sz w:val="24"/>
          <w:highlight w:val="none"/>
        </w:rPr>
        <w:t>11.</w:t>
      </w:r>
      <w:r>
        <w:rPr>
          <w:rFonts w:hint="eastAsia" w:hAnsi="宋体" w:cs="宋体"/>
          <w:sz w:val="24"/>
          <w:highlight w:val="none"/>
        </w:rPr>
        <w:t>支付</w:t>
      </w:r>
    </w:p>
    <w:p>
      <w:pPr>
        <w:pStyle w:val="20"/>
        <w:ind w:firstLine="141" w:firstLineChars="59"/>
        <w:rPr>
          <w:rFonts w:hAnsi="宋体" w:cs="宋体"/>
          <w:sz w:val="24"/>
          <w:highlight w:val="none"/>
        </w:rPr>
      </w:pPr>
      <w:r>
        <w:rPr>
          <w:rFonts w:hAnsi="宋体" w:cs="宋体"/>
          <w:sz w:val="24"/>
          <w:highlight w:val="none"/>
        </w:rPr>
        <w:t>11.1</w:t>
      </w:r>
      <w:r>
        <w:rPr>
          <w:rFonts w:hint="eastAsia" w:hAnsi="宋体" w:cs="宋体"/>
          <w:sz w:val="24"/>
          <w:highlight w:val="none"/>
        </w:rPr>
        <w:t>除另有规定外，可采用下列付款之方式一种付款：</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1</w:t>
      </w:r>
      <w:r>
        <w:rPr>
          <w:rFonts w:hint="eastAsia" w:hAnsi="宋体" w:cs="宋体"/>
          <w:sz w:val="24"/>
          <w:highlight w:val="none"/>
        </w:rPr>
        <w:t>）转帐支票；</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2</w:t>
      </w:r>
      <w:r>
        <w:rPr>
          <w:rFonts w:hint="eastAsia" w:hAnsi="宋体" w:cs="宋体"/>
          <w:sz w:val="24"/>
          <w:highlight w:val="none"/>
        </w:rPr>
        <w:t>）电汇付款。</w:t>
      </w:r>
    </w:p>
    <w:p>
      <w:pPr>
        <w:pStyle w:val="20"/>
        <w:rPr>
          <w:rFonts w:hAnsi="宋体" w:cs="宋体"/>
          <w:sz w:val="24"/>
          <w:highlight w:val="none"/>
        </w:rPr>
      </w:pPr>
      <w:r>
        <w:rPr>
          <w:rFonts w:hAnsi="宋体" w:cs="宋体"/>
          <w:sz w:val="24"/>
          <w:highlight w:val="none"/>
        </w:rPr>
        <w:t>12</w:t>
      </w:r>
      <w:r>
        <w:rPr>
          <w:rFonts w:hint="eastAsia" w:hAnsi="宋体" w:cs="宋体"/>
          <w:sz w:val="24"/>
          <w:highlight w:val="none"/>
        </w:rPr>
        <w:t>．技术资料</w:t>
      </w:r>
    </w:p>
    <w:p>
      <w:pPr>
        <w:pStyle w:val="20"/>
        <w:ind w:firstLine="141" w:firstLineChars="59"/>
        <w:rPr>
          <w:rFonts w:hAnsi="宋体" w:cs="宋体"/>
          <w:sz w:val="24"/>
          <w:highlight w:val="none"/>
        </w:rPr>
      </w:pPr>
      <w:r>
        <w:rPr>
          <w:rFonts w:hAnsi="宋体" w:cs="宋体"/>
          <w:sz w:val="24"/>
          <w:highlight w:val="none"/>
        </w:rPr>
        <w:t>12.1</w:t>
      </w:r>
      <w:r>
        <w:rPr>
          <w:rFonts w:hint="eastAsia" w:hAnsi="宋体" w:cs="宋体"/>
          <w:sz w:val="24"/>
          <w:highlight w:val="none"/>
        </w:rPr>
        <w:t>除询价采购文件的技术规范书中另有规定的外，卖方应准备与合同设备或仪器相符中文技术资料，并于合同生效后</w:t>
      </w:r>
      <w:r>
        <w:rPr>
          <w:rFonts w:hAnsi="宋体" w:cs="宋体"/>
          <w:sz w:val="24"/>
          <w:highlight w:val="none"/>
        </w:rPr>
        <w:t>7</w:t>
      </w:r>
      <w:r>
        <w:rPr>
          <w:rFonts w:hint="eastAsia" w:hAnsi="宋体" w:cs="宋体"/>
          <w:sz w:val="24"/>
          <w:highlight w:val="none"/>
        </w:rPr>
        <w:t>天内寄送到买方，例如：样本、图纸、操作手册、使用说明、维修指南或服务手册等。如本条款所述资料寄送不完整或丢失，卖方应在收到买方通知后立即免费另寄。</w:t>
      </w:r>
    </w:p>
    <w:p>
      <w:pPr>
        <w:pStyle w:val="20"/>
        <w:ind w:firstLine="141" w:firstLineChars="59"/>
        <w:rPr>
          <w:rFonts w:hAnsi="宋体" w:cs="宋体"/>
          <w:sz w:val="24"/>
          <w:highlight w:val="none"/>
        </w:rPr>
      </w:pPr>
      <w:r>
        <w:rPr>
          <w:rFonts w:hAnsi="宋体" w:cs="宋体"/>
          <w:sz w:val="24"/>
          <w:highlight w:val="none"/>
        </w:rPr>
        <w:t>12.2</w:t>
      </w:r>
      <w:r>
        <w:rPr>
          <w:rFonts w:hint="eastAsia" w:hAnsi="宋体" w:cs="宋体"/>
          <w:sz w:val="24"/>
          <w:highlight w:val="none"/>
        </w:rPr>
        <w:t>上述一套完整的资料应包装好随每批货物一起发运。</w:t>
      </w:r>
    </w:p>
    <w:p>
      <w:pPr>
        <w:pStyle w:val="20"/>
        <w:rPr>
          <w:rFonts w:hAnsi="宋体" w:cs="宋体"/>
          <w:sz w:val="24"/>
          <w:highlight w:val="none"/>
        </w:rPr>
      </w:pPr>
      <w:r>
        <w:rPr>
          <w:rFonts w:hAnsi="宋体" w:cs="宋体"/>
          <w:sz w:val="24"/>
          <w:highlight w:val="none"/>
        </w:rPr>
        <w:t>13</w:t>
      </w:r>
      <w:r>
        <w:rPr>
          <w:rFonts w:hint="eastAsia" w:hAnsi="宋体" w:cs="宋体"/>
          <w:sz w:val="24"/>
          <w:highlight w:val="none"/>
        </w:rPr>
        <w:t>．价格</w:t>
      </w:r>
    </w:p>
    <w:p>
      <w:pPr>
        <w:pStyle w:val="20"/>
        <w:ind w:firstLine="141" w:firstLineChars="59"/>
        <w:rPr>
          <w:rFonts w:hAnsi="宋体" w:cs="宋体"/>
          <w:sz w:val="24"/>
          <w:highlight w:val="none"/>
        </w:rPr>
      </w:pPr>
      <w:r>
        <w:rPr>
          <w:rFonts w:hAnsi="宋体" w:cs="宋体"/>
          <w:sz w:val="24"/>
          <w:highlight w:val="none"/>
        </w:rPr>
        <w:t>13.1</w:t>
      </w:r>
      <w:r>
        <w:rPr>
          <w:rFonts w:hint="eastAsia" w:hAnsi="宋体" w:cs="宋体"/>
          <w:sz w:val="24"/>
          <w:highlight w:val="none"/>
        </w:rPr>
        <w:t>除非合同中另有规定，卖方为其所供货物和服务而要求买方支付的金额应与其询价报价一致。</w:t>
      </w:r>
    </w:p>
    <w:p>
      <w:pPr>
        <w:pStyle w:val="20"/>
        <w:rPr>
          <w:rFonts w:hAnsi="宋体" w:cs="宋体"/>
          <w:sz w:val="24"/>
          <w:highlight w:val="none"/>
        </w:rPr>
      </w:pPr>
      <w:r>
        <w:rPr>
          <w:rFonts w:hAnsi="宋体" w:cs="宋体"/>
          <w:sz w:val="24"/>
          <w:highlight w:val="none"/>
        </w:rPr>
        <w:t>14</w:t>
      </w:r>
      <w:r>
        <w:rPr>
          <w:rFonts w:hint="eastAsia" w:hAnsi="宋体" w:cs="宋体"/>
          <w:sz w:val="24"/>
          <w:highlight w:val="none"/>
        </w:rPr>
        <w:t>．质量保证</w:t>
      </w:r>
    </w:p>
    <w:p>
      <w:pPr>
        <w:pStyle w:val="20"/>
        <w:rPr>
          <w:rFonts w:hAnsi="宋体" w:cs="宋体"/>
          <w:sz w:val="24"/>
          <w:highlight w:val="none"/>
        </w:rPr>
      </w:pPr>
      <w:r>
        <w:rPr>
          <w:rFonts w:hAnsi="宋体" w:cs="宋体"/>
          <w:sz w:val="24"/>
          <w:highlight w:val="none"/>
        </w:rPr>
        <w:t xml:space="preserve"> 14.1</w:t>
      </w:r>
      <w:r>
        <w:rPr>
          <w:rFonts w:hint="eastAsia" w:hAnsi="宋体" w:cs="宋体"/>
          <w:sz w:val="24"/>
          <w:highlight w:val="none"/>
        </w:rPr>
        <w:t>卖方应保证其提供的货物是全新的、未使用过的，采用的是最佳材料和第一流的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外，出现上述情况，卖方应在收到买方通知后</w:t>
      </w:r>
      <w:r>
        <w:rPr>
          <w:rFonts w:hAnsi="宋体" w:cs="宋体"/>
          <w:sz w:val="24"/>
          <w:highlight w:val="none"/>
        </w:rPr>
        <w:t>30</w:t>
      </w:r>
      <w:r>
        <w:rPr>
          <w:rFonts w:hint="eastAsia" w:hAnsi="宋体" w:cs="宋体"/>
          <w:sz w:val="24"/>
          <w:highlight w:val="none"/>
        </w:rPr>
        <w:t>天内，免费负责修理或更换有缺陷的零部件或整机。对造成的损失买方保留索赔的权利。</w:t>
      </w:r>
    </w:p>
    <w:p>
      <w:pPr>
        <w:pStyle w:val="20"/>
        <w:rPr>
          <w:rFonts w:hAnsi="宋体" w:cs="宋体"/>
          <w:sz w:val="24"/>
          <w:highlight w:val="none"/>
        </w:rPr>
      </w:pPr>
      <w:r>
        <w:rPr>
          <w:rFonts w:hAnsi="宋体" w:cs="宋体"/>
          <w:sz w:val="24"/>
          <w:highlight w:val="none"/>
        </w:rPr>
        <w:t xml:space="preserve"> 14.2</w:t>
      </w:r>
      <w:r>
        <w:rPr>
          <w:rFonts w:hint="eastAsia" w:hAnsi="宋体" w:cs="宋体"/>
          <w:sz w:val="24"/>
          <w:highlight w:val="none"/>
        </w:rPr>
        <w:t>除非合同中另有规定，合同项设备及软件质量保证期为货物正式验收后</w:t>
      </w:r>
      <w:r>
        <w:rPr>
          <w:rFonts w:hint="eastAsia" w:hAnsi="宋体" w:cs="宋体"/>
          <w:sz w:val="24"/>
          <w:highlight w:val="none"/>
          <w:lang w:val="en-US" w:eastAsia="zh-CN"/>
        </w:rPr>
        <w:t>12</w:t>
      </w:r>
      <w:bookmarkStart w:id="21" w:name="_GoBack"/>
      <w:bookmarkEnd w:id="21"/>
      <w:r>
        <w:rPr>
          <w:rFonts w:hint="eastAsia" w:hAnsi="宋体" w:cs="宋体"/>
          <w:sz w:val="24"/>
          <w:highlight w:val="none"/>
        </w:rPr>
        <w:t>个月。</w:t>
      </w:r>
    </w:p>
    <w:p>
      <w:pPr>
        <w:pStyle w:val="20"/>
        <w:rPr>
          <w:rFonts w:hAnsi="宋体" w:cs="宋体"/>
          <w:sz w:val="24"/>
          <w:highlight w:val="none"/>
        </w:rPr>
      </w:pPr>
      <w:r>
        <w:rPr>
          <w:rFonts w:hAnsi="宋体" w:cs="宋体"/>
          <w:sz w:val="24"/>
          <w:highlight w:val="none"/>
        </w:rPr>
        <w:t>15</w:t>
      </w:r>
      <w:r>
        <w:rPr>
          <w:rFonts w:hint="eastAsia" w:hAnsi="宋体" w:cs="宋体"/>
          <w:sz w:val="24"/>
          <w:highlight w:val="none"/>
        </w:rPr>
        <w:t>．检验</w:t>
      </w:r>
    </w:p>
    <w:p>
      <w:pPr>
        <w:pStyle w:val="20"/>
        <w:rPr>
          <w:rFonts w:hAnsi="宋体" w:cs="宋体"/>
          <w:sz w:val="24"/>
          <w:highlight w:val="none"/>
        </w:rPr>
      </w:pPr>
      <w:r>
        <w:rPr>
          <w:rFonts w:hAnsi="宋体" w:cs="宋体"/>
          <w:sz w:val="24"/>
          <w:highlight w:val="none"/>
        </w:rPr>
        <w:t xml:space="preserve"> 15.1</w:t>
      </w:r>
      <w:r>
        <w:rPr>
          <w:rFonts w:hint="eastAsia" w:hAnsi="宋体" w:cs="宋体"/>
          <w:sz w:val="24"/>
          <w:highlight w:val="none"/>
        </w:rPr>
        <w:t>卖方应让制造商在发货之前，对货物的有关内在和外观质量、规格、性能、数量和重量进行准确的和全面的检验，并出具其货物符合合同规定的质量证书。该证书将作为提交给议付银行付款单据的组成部分，但不应视为是对质量、规格、性能、数量或重量的最终定论。质量证书应附有写明制造商检验的细节和结果的说明。</w:t>
      </w:r>
    </w:p>
    <w:p>
      <w:pPr>
        <w:pStyle w:val="20"/>
        <w:rPr>
          <w:rFonts w:hAnsi="宋体" w:cs="宋体"/>
          <w:sz w:val="24"/>
          <w:highlight w:val="none"/>
        </w:rPr>
      </w:pPr>
      <w:r>
        <w:rPr>
          <w:rFonts w:hAnsi="宋体" w:cs="宋体"/>
          <w:sz w:val="24"/>
          <w:highlight w:val="none"/>
        </w:rPr>
        <w:t xml:space="preserve"> 15.2</w:t>
      </w:r>
      <w:r>
        <w:rPr>
          <w:rFonts w:hint="eastAsia" w:hAnsi="宋体" w:cs="宋体"/>
          <w:sz w:val="24"/>
          <w:highlight w:val="none"/>
        </w:rPr>
        <w:t>在合同规定的质量保证期内，如果发现货物的质量或规格与合同规定不符，或证明货物有缺陷，包括潜在的缺陷或使用不合适的原材料等，买方应申请商检局检验，并有权根据商检证书及质量保证条款立即向卖方提出索赔。</w:t>
      </w:r>
    </w:p>
    <w:p>
      <w:pPr>
        <w:pStyle w:val="20"/>
        <w:rPr>
          <w:rFonts w:hAnsi="宋体" w:cs="宋体"/>
          <w:sz w:val="24"/>
          <w:highlight w:val="none"/>
        </w:rPr>
      </w:pPr>
      <w:r>
        <w:rPr>
          <w:rFonts w:hAnsi="宋体" w:cs="宋体"/>
          <w:sz w:val="24"/>
          <w:highlight w:val="none"/>
        </w:rPr>
        <w:t>16</w:t>
      </w:r>
      <w:r>
        <w:rPr>
          <w:rFonts w:hint="eastAsia" w:hAnsi="宋体" w:cs="宋体"/>
          <w:sz w:val="24"/>
          <w:highlight w:val="none"/>
        </w:rPr>
        <w:t>．索赔</w:t>
      </w:r>
    </w:p>
    <w:p>
      <w:pPr>
        <w:pStyle w:val="20"/>
        <w:rPr>
          <w:rFonts w:hAnsi="宋体" w:cs="宋体"/>
          <w:sz w:val="24"/>
          <w:highlight w:val="none"/>
        </w:rPr>
      </w:pPr>
      <w:r>
        <w:rPr>
          <w:rFonts w:hAnsi="宋体" w:cs="宋体"/>
          <w:sz w:val="24"/>
          <w:highlight w:val="none"/>
        </w:rPr>
        <w:t xml:space="preserve"> 16.1</w:t>
      </w:r>
      <w:r>
        <w:rPr>
          <w:rFonts w:hint="eastAsia" w:hAnsi="宋体" w:cs="宋体"/>
          <w:sz w:val="24"/>
          <w:highlight w:val="none"/>
        </w:rPr>
        <w:t>卖方对货物与合同要求不符负有责任，并且买方已于规定的检验、安装、调试和验收测试期限内和质量保证期内提出索赔，卖方应按买方同意的下述一种或多种方法解决索赔事宜。</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1</w:t>
      </w:r>
      <w:r>
        <w:rPr>
          <w:rFonts w:hint="eastAsia" w:hAnsi="宋体" w:cs="宋体"/>
          <w:sz w:val="24"/>
          <w:highlight w:val="none"/>
        </w:rPr>
        <w:t>）卖方同意买方拒收货物并把被拒收货物的金额以合同规定的同类货币付给买方，卖方负担发生的一切损失和费用，包括利息、银行费用、运输和保险费、检验费、仓储和装卸费以及为保管和保护被拒绝货物所需要的其它必要费用。</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2</w:t>
      </w:r>
      <w:r>
        <w:rPr>
          <w:rFonts w:hint="eastAsia" w:hAnsi="宋体" w:cs="宋体"/>
          <w:sz w:val="24"/>
          <w:highlight w:val="none"/>
        </w:rPr>
        <w:t>）根据货物的疵劣和受损程度以及买方遭受损失的金额，经双方同意降低货物价格。</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3</w:t>
      </w:r>
      <w:r>
        <w:rPr>
          <w:rFonts w:hint="eastAsia" w:hAnsi="宋体" w:cs="宋体"/>
          <w:sz w:val="24"/>
          <w:highlight w:val="none"/>
        </w:rPr>
        <w:t>）更换有缺陷的零件、部件和设备，或修理缺陷部分，以达到合同规定的规格、质量和性能，卖方承担一切费用和风险并负担买方遭受的一切直接费用。同时卖方应相应延长被更换货物的质量保证期。</w:t>
      </w:r>
    </w:p>
    <w:p>
      <w:pPr>
        <w:pStyle w:val="20"/>
        <w:rPr>
          <w:rFonts w:hAnsi="宋体" w:cs="宋体"/>
          <w:sz w:val="24"/>
          <w:highlight w:val="none"/>
        </w:rPr>
      </w:pPr>
      <w:r>
        <w:rPr>
          <w:rFonts w:hAnsi="宋体" w:cs="宋体"/>
          <w:sz w:val="24"/>
          <w:highlight w:val="none"/>
        </w:rPr>
        <w:t xml:space="preserve"> 16.2</w:t>
      </w:r>
      <w:r>
        <w:rPr>
          <w:rFonts w:hint="eastAsia" w:hAnsi="宋体" w:cs="宋体"/>
          <w:sz w:val="24"/>
          <w:highlight w:val="none"/>
        </w:rPr>
        <w:t>如果买方提出索赔通知后</w:t>
      </w:r>
      <w:r>
        <w:rPr>
          <w:rFonts w:hAnsi="宋体" w:cs="宋体"/>
          <w:sz w:val="24"/>
          <w:highlight w:val="none"/>
        </w:rPr>
        <w:t>30</w:t>
      </w:r>
      <w:r>
        <w:rPr>
          <w:rFonts w:hint="eastAsia" w:hAnsi="宋体" w:cs="宋体"/>
          <w:sz w:val="24"/>
          <w:highlight w:val="none"/>
        </w:rPr>
        <w:t>天内卖方未能予以答复，该索赔应视为已被卖方接受。若卖方未能在买方提出索赔通知的</w:t>
      </w:r>
      <w:r>
        <w:rPr>
          <w:rFonts w:hAnsi="宋体" w:cs="宋体"/>
          <w:sz w:val="24"/>
          <w:highlight w:val="none"/>
        </w:rPr>
        <w:t>30</w:t>
      </w:r>
      <w:r>
        <w:rPr>
          <w:rFonts w:hint="eastAsia" w:hAnsi="宋体" w:cs="宋体"/>
          <w:sz w:val="24"/>
          <w:highlight w:val="none"/>
        </w:rPr>
        <w:t>天内或买方同意的更长一些的时间内，按买方同意的上述任何一种方式处理索赔事宜，买方将从未付款或卖方提供的履约保证金中扣回索赔金额，同时保留进一步要求赔偿的权利。</w:t>
      </w:r>
    </w:p>
    <w:p>
      <w:pPr>
        <w:pStyle w:val="20"/>
        <w:rPr>
          <w:rFonts w:hAnsi="宋体" w:cs="宋体"/>
          <w:sz w:val="24"/>
          <w:highlight w:val="none"/>
        </w:rPr>
      </w:pPr>
      <w:r>
        <w:rPr>
          <w:rFonts w:hAnsi="宋体" w:cs="宋体"/>
          <w:sz w:val="24"/>
          <w:highlight w:val="none"/>
        </w:rPr>
        <w:t>17</w:t>
      </w:r>
      <w:r>
        <w:rPr>
          <w:rFonts w:hint="eastAsia" w:hAnsi="宋体" w:cs="宋体"/>
          <w:sz w:val="24"/>
          <w:highlight w:val="none"/>
        </w:rPr>
        <w:t>．延期交货与核定损失额</w:t>
      </w:r>
    </w:p>
    <w:p>
      <w:pPr>
        <w:pStyle w:val="20"/>
        <w:rPr>
          <w:rFonts w:hAnsi="宋体" w:cs="宋体"/>
          <w:sz w:val="24"/>
          <w:highlight w:val="none"/>
        </w:rPr>
      </w:pPr>
      <w:r>
        <w:rPr>
          <w:rFonts w:hAnsi="宋体" w:cs="宋体"/>
          <w:sz w:val="24"/>
          <w:highlight w:val="none"/>
        </w:rPr>
        <w:t xml:space="preserve"> 17.1</w:t>
      </w:r>
      <w:r>
        <w:rPr>
          <w:rFonts w:hint="eastAsia" w:hAnsi="宋体" w:cs="宋体"/>
          <w:sz w:val="24"/>
          <w:highlight w:val="none"/>
        </w:rPr>
        <w:t>如果卖方未能按合同规定的时间按期交货（本合同第</w:t>
      </w:r>
      <w:r>
        <w:rPr>
          <w:rFonts w:hAnsi="宋体" w:cs="宋体"/>
          <w:sz w:val="24"/>
          <w:highlight w:val="none"/>
        </w:rPr>
        <w:t>18</w:t>
      </w:r>
      <w:r>
        <w:rPr>
          <w:rFonts w:hint="eastAsia" w:hAnsi="宋体" w:cs="宋体"/>
          <w:sz w:val="24"/>
          <w:highlight w:val="none"/>
        </w:rPr>
        <w:t>款规定的不可抗力除外），在卖方同意支付核定损失额的条件下，买方将同意延长交货期。核定损失额的支付将从未付款或从履约保证金中扣除。核定损失额比率为每迟交</w:t>
      </w:r>
      <w:r>
        <w:rPr>
          <w:rFonts w:hAnsi="宋体" w:cs="宋体"/>
          <w:sz w:val="24"/>
          <w:highlight w:val="none"/>
        </w:rPr>
        <w:t>7</w:t>
      </w:r>
      <w:r>
        <w:rPr>
          <w:rFonts w:hint="eastAsia" w:hAnsi="宋体" w:cs="宋体"/>
          <w:sz w:val="24"/>
          <w:highlight w:val="none"/>
        </w:rPr>
        <w:t>天，按迟交货物金额的</w:t>
      </w:r>
      <w:r>
        <w:rPr>
          <w:rFonts w:hAnsi="宋体" w:cs="宋体"/>
          <w:sz w:val="24"/>
          <w:highlight w:val="none"/>
        </w:rPr>
        <w:t>0.5%</w:t>
      </w:r>
      <w:r>
        <w:rPr>
          <w:rFonts w:hint="eastAsia" w:hAnsi="宋体" w:cs="宋体"/>
          <w:sz w:val="24"/>
          <w:highlight w:val="none"/>
        </w:rPr>
        <w:t>，不满</w:t>
      </w:r>
      <w:r>
        <w:rPr>
          <w:rFonts w:hAnsi="宋体" w:cs="宋体"/>
          <w:sz w:val="24"/>
          <w:highlight w:val="none"/>
        </w:rPr>
        <w:t>7</w:t>
      </w:r>
      <w:r>
        <w:rPr>
          <w:rFonts w:hint="eastAsia" w:hAnsi="宋体" w:cs="宋体"/>
          <w:sz w:val="24"/>
          <w:highlight w:val="none"/>
        </w:rPr>
        <w:t>天按</w:t>
      </w:r>
      <w:r>
        <w:rPr>
          <w:rFonts w:hAnsi="宋体" w:cs="宋体"/>
          <w:sz w:val="24"/>
          <w:highlight w:val="none"/>
        </w:rPr>
        <w:t>7</w:t>
      </w:r>
      <w:r>
        <w:rPr>
          <w:rFonts w:hint="eastAsia" w:hAnsi="宋体" w:cs="宋体"/>
          <w:sz w:val="24"/>
          <w:highlight w:val="none"/>
        </w:rPr>
        <w:t>天计算，但是，核定损失额的支付不得超过迟交货物部分合同金额的</w:t>
      </w:r>
      <w:r>
        <w:rPr>
          <w:rFonts w:hAnsi="宋体" w:cs="宋体"/>
          <w:sz w:val="24"/>
          <w:highlight w:val="none"/>
        </w:rPr>
        <w:t>5%</w:t>
      </w:r>
      <w:r>
        <w:rPr>
          <w:rFonts w:hint="eastAsia" w:hAnsi="宋体" w:cs="宋体"/>
          <w:sz w:val="24"/>
          <w:highlight w:val="none"/>
        </w:rPr>
        <w:t>。如果卖方在达到核定损失额的最高限额后仍不能交货，买方有权因卖方违约终止合同，而卖方仍有义务支付上述迟交核定损失金额。</w:t>
      </w:r>
    </w:p>
    <w:p>
      <w:pPr>
        <w:pStyle w:val="20"/>
        <w:rPr>
          <w:rFonts w:hAnsi="宋体" w:cs="宋体"/>
          <w:sz w:val="24"/>
          <w:highlight w:val="none"/>
        </w:rPr>
      </w:pPr>
      <w:r>
        <w:rPr>
          <w:rFonts w:hAnsi="宋体" w:cs="宋体"/>
          <w:sz w:val="24"/>
          <w:highlight w:val="none"/>
        </w:rPr>
        <w:t>18</w:t>
      </w:r>
      <w:r>
        <w:rPr>
          <w:rFonts w:hint="eastAsia" w:hAnsi="宋体" w:cs="宋体"/>
          <w:sz w:val="24"/>
          <w:highlight w:val="none"/>
        </w:rPr>
        <w:t>．不可抗力</w:t>
      </w:r>
    </w:p>
    <w:p>
      <w:pPr>
        <w:pStyle w:val="20"/>
        <w:rPr>
          <w:rFonts w:hAnsi="宋体" w:cs="宋体"/>
          <w:sz w:val="24"/>
          <w:highlight w:val="none"/>
        </w:rPr>
      </w:pPr>
      <w:r>
        <w:rPr>
          <w:rFonts w:hAnsi="宋体" w:cs="宋体"/>
          <w:sz w:val="24"/>
          <w:highlight w:val="none"/>
        </w:rPr>
        <w:t xml:space="preserve"> 18.1</w:t>
      </w:r>
      <w:r>
        <w:rPr>
          <w:rFonts w:hint="eastAsia" w:hAnsi="宋体" w:cs="宋体"/>
          <w:sz w:val="24"/>
          <w:highlight w:val="none"/>
        </w:rPr>
        <w:t>签约双方任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pStyle w:val="20"/>
        <w:rPr>
          <w:rFonts w:hAnsi="宋体" w:cs="宋体"/>
          <w:sz w:val="24"/>
          <w:highlight w:val="none"/>
        </w:rPr>
      </w:pPr>
      <w:r>
        <w:rPr>
          <w:rFonts w:hAnsi="宋体" w:cs="宋体"/>
          <w:sz w:val="24"/>
          <w:highlight w:val="none"/>
        </w:rPr>
        <w:t xml:space="preserve"> 18.2</w:t>
      </w:r>
      <w:r>
        <w:rPr>
          <w:rFonts w:hint="eastAsia" w:hAnsi="宋体" w:cs="宋体"/>
          <w:sz w:val="24"/>
          <w:highlight w:val="none"/>
        </w:rPr>
        <w:t>受阻一方应在不可抗力事故发生后尽快用电报、传真或电传通知对方，并于事故发生后</w:t>
      </w:r>
      <w:r>
        <w:rPr>
          <w:rFonts w:hAnsi="宋体" w:cs="宋体"/>
          <w:sz w:val="24"/>
          <w:highlight w:val="none"/>
        </w:rPr>
        <w:t>14</w:t>
      </w:r>
      <w:r>
        <w:rPr>
          <w:rFonts w:hint="eastAsia" w:hAnsi="宋体" w:cs="宋体"/>
          <w:sz w:val="24"/>
          <w:highlight w:val="none"/>
        </w:rPr>
        <w:t>天内将有关部门出具的证明文件用特快专递或挂号信寄给对方审阅确认。一旦不可抗力事故的影响持续</w:t>
      </w:r>
      <w:r>
        <w:rPr>
          <w:rFonts w:hAnsi="宋体" w:cs="宋体"/>
          <w:sz w:val="24"/>
          <w:highlight w:val="none"/>
        </w:rPr>
        <w:t>120</w:t>
      </w:r>
      <w:r>
        <w:rPr>
          <w:rFonts w:hint="eastAsia" w:hAnsi="宋体" w:cs="宋体"/>
          <w:sz w:val="24"/>
          <w:highlight w:val="none"/>
        </w:rPr>
        <w:t>天以上，双方应通过友好协商在合理的时间内达成进一步履行合同的协议。</w:t>
      </w:r>
    </w:p>
    <w:p>
      <w:pPr>
        <w:pStyle w:val="20"/>
        <w:rPr>
          <w:rFonts w:hAnsi="宋体" w:cs="宋体"/>
          <w:sz w:val="24"/>
          <w:highlight w:val="none"/>
        </w:rPr>
      </w:pPr>
      <w:r>
        <w:rPr>
          <w:rFonts w:hAnsi="宋体" w:cs="宋体"/>
          <w:sz w:val="24"/>
          <w:highlight w:val="none"/>
        </w:rPr>
        <w:t>19</w:t>
      </w:r>
      <w:r>
        <w:rPr>
          <w:rFonts w:hint="eastAsia" w:hAnsi="宋体" w:cs="宋体"/>
          <w:sz w:val="24"/>
          <w:highlight w:val="none"/>
        </w:rPr>
        <w:t>．履约保证金</w:t>
      </w:r>
    </w:p>
    <w:p>
      <w:pPr>
        <w:pStyle w:val="20"/>
        <w:rPr>
          <w:rFonts w:hAnsi="宋体" w:cs="宋体"/>
          <w:sz w:val="24"/>
          <w:highlight w:val="none"/>
        </w:rPr>
      </w:pPr>
      <w:r>
        <w:rPr>
          <w:rFonts w:hAnsi="宋体" w:cs="宋体"/>
          <w:sz w:val="24"/>
          <w:highlight w:val="none"/>
        </w:rPr>
        <w:t xml:space="preserve"> 19.1</w:t>
      </w:r>
      <w:r>
        <w:rPr>
          <w:rFonts w:hint="eastAsia" w:hAnsi="宋体" w:cs="宋体"/>
          <w:sz w:val="24"/>
          <w:highlight w:val="none"/>
        </w:rPr>
        <w:t>买卖双方应在合同签订后协商确定履约保证金事项，履约保证金的有效期至货物保证期满。履约保证金应由银行开具。</w:t>
      </w:r>
    </w:p>
    <w:p>
      <w:pPr>
        <w:pStyle w:val="20"/>
        <w:rPr>
          <w:rFonts w:hAnsi="宋体" w:cs="宋体"/>
          <w:sz w:val="24"/>
          <w:highlight w:val="none"/>
        </w:rPr>
      </w:pPr>
      <w:r>
        <w:rPr>
          <w:rFonts w:hAnsi="宋体" w:cs="宋体"/>
          <w:sz w:val="24"/>
          <w:highlight w:val="none"/>
        </w:rPr>
        <w:t xml:space="preserve"> 19.2</w:t>
      </w:r>
      <w:r>
        <w:rPr>
          <w:rFonts w:hint="eastAsia" w:hAnsi="宋体" w:cs="宋体"/>
          <w:sz w:val="24"/>
          <w:highlight w:val="none"/>
        </w:rPr>
        <w:t>卖方提供的履约保证金按规定格式以银行保函的形式提供，与此有关的费用由卖方负担。</w:t>
      </w:r>
    </w:p>
    <w:p>
      <w:pPr>
        <w:pStyle w:val="20"/>
        <w:rPr>
          <w:rFonts w:hAnsi="宋体" w:cs="宋体"/>
          <w:sz w:val="24"/>
          <w:highlight w:val="none"/>
        </w:rPr>
      </w:pPr>
      <w:r>
        <w:rPr>
          <w:rFonts w:hAnsi="宋体" w:cs="宋体"/>
          <w:sz w:val="24"/>
          <w:highlight w:val="none"/>
        </w:rPr>
        <w:t xml:space="preserve"> 19.3</w:t>
      </w:r>
      <w:r>
        <w:rPr>
          <w:rFonts w:hint="eastAsia" w:hAnsi="宋体" w:cs="宋体"/>
          <w:sz w:val="24"/>
          <w:highlight w:val="none"/>
        </w:rPr>
        <w:t>如果卖方未能按合同规定履行其义务，买方有权从履约保证金取得补偿。</w:t>
      </w:r>
    </w:p>
    <w:p>
      <w:pPr>
        <w:pStyle w:val="20"/>
        <w:rPr>
          <w:rFonts w:hAnsi="宋体" w:cs="宋体"/>
          <w:sz w:val="24"/>
          <w:highlight w:val="none"/>
        </w:rPr>
      </w:pPr>
      <w:r>
        <w:rPr>
          <w:rFonts w:hAnsi="宋体" w:cs="宋体"/>
          <w:sz w:val="24"/>
          <w:highlight w:val="none"/>
        </w:rPr>
        <w:t>20</w:t>
      </w:r>
      <w:r>
        <w:rPr>
          <w:rFonts w:hint="eastAsia" w:hAnsi="宋体" w:cs="宋体"/>
          <w:sz w:val="24"/>
          <w:highlight w:val="none"/>
        </w:rPr>
        <w:t>．仲裁</w:t>
      </w:r>
    </w:p>
    <w:p>
      <w:pPr>
        <w:pStyle w:val="20"/>
        <w:rPr>
          <w:rFonts w:hAnsi="宋体" w:cs="宋体"/>
          <w:sz w:val="24"/>
          <w:highlight w:val="none"/>
        </w:rPr>
      </w:pPr>
      <w:r>
        <w:rPr>
          <w:rFonts w:hAnsi="宋体" w:cs="宋体"/>
          <w:sz w:val="24"/>
          <w:highlight w:val="none"/>
        </w:rPr>
        <w:t xml:space="preserve"> 20.1</w:t>
      </w:r>
      <w:r>
        <w:rPr>
          <w:rFonts w:hint="eastAsia" w:hAnsi="宋体" w:cs="宋体"/>
          <w:sz w:val="24"/>
          <w:highlight w:val="none"/>
        </w:rPr>
        <w:t>在执行本合同中发生的或与本合同有关的争端，双方应通过友好协商解决，经协商在</w:t>
      </w:r>
      <w:r>
        <w:rPr>
          <w:rFonts w:hAnsi="宋体" w:cs="宋体"/>
          <w:sz w:val="24"/>
          <w:highlight w:val="none"/>
        </w:rPr>
        <w:t>30</w:t>
      </w:r>
      <w:r>
        <w:rPr>
          <w:rFonts w:hint="eastAsia" w:hAnsi="宋体" w:cs="宋体"/>
          <w:sz w:val="24"/>
          <w:highlight w:val="none"/>
        </w:rPr>
        <w:t>天内不能达成协议时，应提交仲裁。</w:t>
      </w:r>
    </w:p>
    <w:p>
      <w:pPr>
        <w:pStyle w:val="20"/>
        <w:rPr>
          <w:rFonts w:hAnsi="宋体" w:cs="宋体"/>
          <w:sz w:val="24"/>
          <w:highlight w:val="none"/>
        </w:rPr>
      </w:pPr>
      <w:r>
        <w:rPr>
          <w:rFonts w:hAnsi="宋体" w:cs="宋体"/>
          <w:sz w:val="24"/>
          <w:highlight w:val="none"/>
        </w:rPr>
        <w:t>20.2</w:t>
      </w:r>
      <w:r>
        <w:rPr>
          <w:rFonts w:hint="eastAsia" w:hAnsi="宋体" w:cs="宋体"/>
          <w:sz w:val="24"/>
          <w:highlight w:val="none"/>
        </w:rPr>
        <w:t>仲裁应由买方当地仲裁机构（乌鲁木齐市仲裁委员会）根据其仲裁程序和暂行规则进行。</w:t>
      </w:r>
    </w:p>
    <w:p>
      <w:pPr>
        <w:pStyle w:val="20"/>
        <w:rPr>
          <w:rFonts w:hAnsi="宋体" w:cs="宋体"/>
          <w:sz w:val="24"/>
          <w:highlight w:val="none"/>
        </w:rPr>
      </w:pPr>
      <w:r>
        <w:rPr>
          <w:rFonts w:hAnsi="宋体" w:cs="宋体"/>
          <w:sz w:val="24"/>
          <w:highlight w:val="none"/>
        </w:rPr>
        <w:t xml:space="preserve"> 20.3</w:t>
      </w:r>
      <w:r>
        <w:rPr>
          <w:rFonts w:hint="eastAsia" w:hAnsi="宋体" w:cs="宋体"/>
          <w:sz w:val="24"/>
          <w:highlight w:val="none"/>
        </w:rPr>
        <w:t>仲裁裁决应为最终决定，并对双方具有约束力。</w:t>
      </w:r>
    </w:p>
    <w:p>
      <w:pPr>
        <w:pStyle w:val="20"/>
        <w:rPr>
          <w:rFonts w:hAnsi="宋体" w:cs="宋体"/>
          <w:sz w:val="24"/>
          <w:highlight w:val="none"/>
        </w:rPr>
      </w:pPr>
      <w:r>
        <w:rPr>
          <w:rFonts w:hAnsi="宋体" w:cs="宋体"/>
          <w:sz w:val="24"/>
          <w:highlight w:val="none"/>
        </w:rPr>
        <w:t xml:space="preserve"> 20.4</w:t>
      </w:r>
      <w:r>
        <w:rPr>
          <w:rFonts w:hint="eastAsia" w:hAnsi="宋体" w:cs="宋体"/>
          <w:sz w:val="24"/>
          <w:highlight w:val="none"/>
        </w:rPr>
        <w:t>除另有裁决外，仲裁费应由败诉方负担。</w:t>
      </w:r>
    </w:p>
    <w:p>
      <w:pPr>
        <w:pStyle w:val="20"/>
        <w:rPr>
          <w:rFonts w:hAnsi="宋体" w:cs="宋体"/>
          <w:sz w:val="24"/>
          <w:highlight w:val="none"/>
        </w:rPr>
      </w:pPr>
      <w:r>
        <w:rPr>
          <w:rFonts w:hAnsi="宋体" w:cs="宋体"/>
          <w:sz w:val="24"/>
          <w:highlight w:val="none"/>
        </w:rPr>
        <w:t xml:space="preserve"> 20.5</w:t>
      </w:r>
      <w:r>
        <w:rPr>
          <w:rFonts w:hint="eastAsia" w:hAnsi="宋体" w:cs="宋体"/>
          <w:sz w:val="24"/>
          <w:highlight w:val="none"/>
        </w:rPr>
        <w:t>在仲裁期间，除正在进行仲裁部分外，合同其它部分继续执行。</w:t>
      </w:r>
    </w:p>
    <w:p>
      <w:pPr>
        <w:pStyle w:val="20"/>
        <w:rPr>
          <w:rFonts w:hAnsi="宋体" w:cs="宋体"/>
          <w:sz w:val="24"/>
          <w:highlight w:val="none"/>
        </w:rPr>
      </w:pPr>
      <w:r>
        <w:rPr>
          <w:rFonts w:hAnsi="宋体" w:cs="宋体"/>
          <w:sz w:val="24"/>
          <w:highlight w:val="none"/>
        </w:rPr>
        <w:t>21</w:t>
      </w:r>
      <w:r>
        <w:rPr>
          <w:rFonts w:hint="eastAsia" w:hAnsi="宋体" w:cs="宋体"/>
          <w:sz w:val="24"/>
          <w:highlight w:val="none"/>
        </w:rPr>
        <w:t>．违约终止合同</w:t>
      </w:r>
    </w:p>
    <w:p>
      <w:pPr>
        <w:pStyle w:val="20"/>
        <w:ind w:firstLine="566" w:firstLineChars="236"/>
        <w:rPr>
          <w:rFonts w:hAnsi="宋体" w:cs="宋体"/>
          <w:sz w:val="24"/>
          <w:highlight w:val="none"/>
        </w:rPr>
      </w:pPr>
      <w:r>
        <w:rPr>
          <w:rFonts w:hAnsi="宋体" w:cs="宋体"/>
          <w:sz w:val="24"/>
          <w:highlight w:val="none"/>
        </w:rPr>
        <w:t>21.1</w:t>
      </w:r>
      <w:r>
        <w:rPr>
          <w:rFonts w:hint="eastAsia" w:hAnsi="宋体" w:cs="宋体"/>
          <w:sz w:val="24"/>
          <w:highlight w:val="none"/>
        </w:rPr>
        <w:t>在补救违约而采取的任何其他措施未能实现的情况下，即在卖方收到买方发出的违约通知后</w:t>
      </w:r>
      <w:r>
        <w:rPr>
          <w:rFonts w:hAnsi="宋体" w:cs="宋体"/>
          <w:sz w:val="24"/>
          <w:highlight w:val="none"/>
        </w:rPr>
        <w:t>30</w:t>
      </w:r>
      <w:r>
        <w:rPr>
          <w:rFonts w:hint="eastAsia" w:hAnsi="宋体" w:cs="宋体"/>
          <w:sz w:val="24"/>
          <w:highlight w:val="none"/>
        </w:rPr>
        <w:t>天内（或经买方书面确认的更长时间内）仍未纠正其下述任何一种违约行为，买方可向卖方发出书面违约通知，终止全部或部分合同：</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1</w:t>
      </w:r>
      <w:r>
        <w:rPr>
          <w:rFonts w:hint="eastAsia" w:hAnsi="宋体" w:cs="宋体"/>
          <w:sz w:val="24"/>
          <w:highlight w:val="none"/>
        </w:rPr>
        <w:t>）如果卖方未能在合同规定的期限内或买方准许的任何延期内交付部分或全部货物。</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2</w:t>
      </w:r>
      <w:r>
        <w:rPr>
          <w:rFonts w:hint="eastAsia" w:hAnsi="宋体" w:cs="宋体"/>
          <w:sz w:val="24"/>
          <w:highlight w:val="none"/>
        </w:rPr>
        <w:t>）卖方未能履行合同项下的任何其它义务。</w:t>
      </w:r>
    </w:p>
    <w:p>
      <w:pPr>
        <w:pStyle w:val="20"/>
        <w:rPr>
          <w:rFonts w:hAnsi="宋体" w:cs="宋体"/>
          <w:sz w:val="24"/>
          <w:highlight w:val="none"/>
        </w:rPr>
      </w:pPr>
      <w:r>
        <w:rPr>
          <w:rFonts w:hAnsi="宋体" w:cs="宋体"/>
          <w:sz w:val="24"/>
          <w:highlight w:val="none"/>
        </w:rPr>
        <w:t xml:space="preserve"> 21.2</w:t>
      </w:r>
      <w:r>
        <w:rPr>
          <w:rFonts w:hint="eastAsia" w:hAnsi="宋体" w:cs="宋体"/>
          <w:sz w:val="24"/>
          <w:highlight w:val="none"/>
        </w:rPr>
        <w:t>一旦买方根据第</w:t>
      </w:r>
      <w:r>
        <w:rPr>
          <w:rFonts w:hAnsi="宋体" w:cs="宋体"/>
          <w:sz w:val="24"/>
          <w:highlight w:val="none"/>
        </w:rPr>
        <w:t>21.1</w:t>
      </w:r>
      <w:r>
        <w:rPr>
          <w:rFonts w:hint="eastAsia" w:hAnsi="宋体" w:cs="宋体"/>
          <w:sz w:val="24"/>
          <w:highlight w:val="none"/>
        </w:rPr>
        <w:t>款终止部分或全部合同，买方可以按其认为适当的条件和方式采购类似未交付部分的货物。卖方应承担买方购买类似货物的额外费用。但是，卖方应继续履行合同中未终止的部分。</w:t>
      </w:r>
    </w:p>
    <w:p>
      <w:pPr>
        <w:pStyle w:val="20"/>
        <w:rPr>
          <w:rFonts w:hAnsi="宋体" w:cs="宋体"/>
          <w:sz w:val="24"/>
          <w:highlight w:val="none"/>
        </w:rPr>
      </w:pPr>
      <w:r>
        <w:rPr>
          <w:rFonts w:hAnsi="宋体" w:cs="宋体"/>
          <w:sz w:val="24"/>
          <w:highlight w:val="none"/>
        </w:rPr>
        <w:t>22</w:t>
      </w:r>
      <w:r>
        <w:rPr>
          <w:rFonts w:hint="eastAsia" w:hAnsi="宋体" w:cs="宋体"/>
          <w:sz w:val="24"/>
          <w:highlight w:val="none"/>
        </w:rPr>
        <w:t>．变更指示</w:t>
      </w:r>
    </w:p>
    <w:p>
      <w:pPr>
        <w:pStyle w:val="20"/>
        <w:rPr>
          <w:rFonts w:hAnsi="宋体" w:cs="宋体"/>
          <w:sz w:val="24"/>
          <w:highlight w:val="none"/>
        </w:rPr>
      </w:pPr>
      <w:r>
        <w:rPr>
          <w:rFonts w:hAnsi="宋体" w:cs="宋体"/>
          <w:sz w:val="24"/>
          <w:highlight w:val="none"/>
        </w:rPr>
        <w:t xml:space="preserve"> 22.1</w:t>
      </w:r>
      <w:r>
        <w:rPr>
          <w:rFonts w:hint="eastAsia" w:hAnsi="宋体" w:cs="宋体"/>
          <w:sz w:val="24"/>
          <w:highlight w:val="none"/>
        </w:rPr>
        <w:t>买方可以随时向卖方发出书面指示，在合同总体范围内对如下一点或几点提出变更：</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1</w:t>
      </w:r>
      <w:r>
        <w:rPr>
          <w:rFonts w:hint="eastAsia" w:hAnsi="宋体" w:cs="宋体"/>
          <w:sz w:val="24"/>
          <w:highlight w:val="none"/>
        </w:rPr>
        <w:t>）合同项下需为买方特殊制造的货物的图纸、设计或规格；</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2</w:t>
      </w:r>
      <w:r>
        <w:rPr>
          <w:rFonts w:hint="eastAsia" w:hAnsi="宋体" w:cs="宋体"/>
          <w:sz w:val="24"/>
          <w:highlight w:val="none"/>
        </w:rPr>
        <w:t>）装运方式和包装方式；</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3</w:t>
      </w:r>
      <w:r>
        <w:rPr>
          <w:rFonts w:hint="eastAsia" w:hAnsi="宋体" w:cs="宋体"/>
          <w:sz w:val="24"/>
          <w:highlight w:val="none"/>
        </w:rPr>
        <w:t>）交货地点；</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4</w:t>
      </w:r>
      <w:r>
        <w:rPr>
          <w:rFonts w:hint="eastAsia" w:hAnsi="宋体" w:cs="宋体"/>
          <w:sz w:val="24"/>
          <w:highlight w:val="none"/>
        </w:rPr>
        <w:t>）卖方须提供的服务。</w:t>
      </w:r>
    </w:p>
    <w:p>
      <w:pPr>
        <w:pStyle w:val="20"/>
        <w:rPr>
          <w:rFonts w:hAnsi="宋体" w:cs="宋体"/>
          <w:sz w:val="24"/>
          <w:highlight w:val="none"/>
        </w:rPr>
      </w:pPr>
      <w:r>
        <w:rPr>
          <w:rFonts w:hAnsi="宋体" w:cs="宋体"/>
          <w:sz w:val="24"/>
          <w:highlight w:val="none"/>
        </w:rPr>
        <w:t xml:space="preserve"> 22.2</w:t>
      </w:r>
      <w:r>
        <w:rPr>
          <w:rFonts w:hint="eastAsia" w:hAnsi="宋体" w:cs="宋体"/>
          <w:sz w:val="24"/>
          <w:highlight w:val="none"/>
        </w:rPr>
        <w:t>若上述变更导致了卖方履行合同项下任何部分义务的费用或所需时间的增减，应对合同价格或交货进度进行合理的调整，同时相应地修改合同。卖方必须在接到买方的变更指示后</w:t>
      </w:r>
      <w:r>
        <w:rPr>
          <w:rFonts w:hAnsi="宋体" w:cs="宋体"/>
          <w:sz w:val="24"/>
          <w:highlight w:val="none"/>
        </w:rPr>
        <w:t>30</w:t>
      </w:r>
      <w:r>
        <w:rPr>
          <w:rFonts w:hint="eastAsia" w:hAnsi="宋体" w:cs="宋体"/>
          <w:sz w:val="24"/>
          <w:highlight w:val="none"/>
        </w:rPr>
        <w:t>天内根据本款提出调整的实施意见。</w:t>
      </w:r>
    </w:p>
    <w:p>
      <w:pPr>
        <w:pStyle w:val="20"/>
        <w:rPr>
          <w:rFonts w:hAnsi="宋体" w:cs="宋体"/>
          <w:sz w:val="24"/>
          <w:highlight w:val="none"/>
        </w:rPr>
      </w:pPr>
      <w:r>
        <w:rPr>
          <w:rFonts w:hAnsi="宋体" w:cs="宋体"/>
          <w:sz w:val="24"/>
          <w:highlight w:val="none"/>
        </w:rPr>
        <w:t>23</w:t>
      </w:r>
      <w:r>
        <w:rPr>
          <w:rFonts w:hint="eastAsia" w:hAnsi="宋体" w:cs="宋体"/>
          <w:sz w:val="24"/>
          <w:highlight w:val="none"/>
        </w:rPr>
        <w:t>．合同修改</w:t>
      </w:r>
    </w:p>
    <w:p>
      <w:pPr>
        <w:pStyle w:val="20"/>
        <w:rPr>
          <w:rFonts w:hAnsi="宋体" w:cs="宋体"/>
          <w:sz w:val="24"/>
          <w:highlight w:val="none"/>
        </w:rPr>
      </w:pPr>
      <w:r>
        <w:rPr>
          <w:rFonts w:hAnsi="宋体" w:cs="宋体"/>
          <w:sz w:val="24"/>
          <w:highlight w:val="none"/>
        </w:rPr>
        <w:t xml:space="preserve"> 23.1</w:t>
      </w:r>
      <w:r>
        <w:rPr>
          <w:rFonts w:hint="eastAsia" w:hAnsi="宋体" w:cs="宋体"/>
          <w:sz w:val="24"/>
          <w:highlight w:val="none"/>
        </w:rPr>
        <w:t>欲对合同条款作出任何改动或偏离，均须由买卖双方签署书面的合同修改书。</w:t>
      </w:r>
    </w:p>
    <w:p>
      <w:pPr>
        <w:pStyle w:val="20"/>
        <w:rPr>
          <w:rFonts w:hAnsi="宋体" w:cs="宋体"/>
          <w:sz w:val="24"/>
          <w:highlight w:val="none"/>
        </w:rPr>
      </w:pPr>
      <w:r>
        <w:rPr>
          <w:rFonts w:hAnsi="宋体" w:cs="宋体"/>
          <w:sz w:val="24"/>
          <w:highlight w:val="none"/>
        </w:rPr>
        <w:t>24</w:t>
      </w:r>
      <w:r>
        <w:rPr>
          <w:rFonts w:hint="eastAsia" w:hAnsi="宋体" w:cs="宋体"/>
          <w:sz w:val="24"/>
          <w:highlight w:val="none"/>
        </w:rPr>
        <w:t>．转让与分包</w:t>
      </w:r>
    </w:p>
    <w:p>
      <w:pPr>
        <w:pStyle w:val="20"/>
        <w:rPr>
          <w:rFonts w:hAnsi="宋体" w:cs="宋体"/>
          <w:sz w:val="24"/>
          <w:highlight w:val="none"/>
        </w:rPr>
      </w:pPr>
      <w:r>
        <w:rPr>
          <w:rFonts w:hAnsi="宋体" w:cs="宋体"/>
          <w:sz w:val="24"/>
          <w:highlight w:val="none"/>
        </w:rPr>
        <w:t xml:space="preserve"> 24.1</w:t>
      </w:r>
      <w:r>
        <w:rPr>
          <w:rFonts w:hint="eastAsia" w:hAnsi="宋体" w:cs="宋体"/>
          <w:sz w:val="24"/>
          <w:highlight w:val="none"/>
        </w:rPr>
        <w:t>除买方事先同意外，卖方不得部分转让或全部转让其应履行的合同项下的义务。</w:t>
      </w:r>
    </w:p>
    <w:p>
      <w:pPr>
        <w:pStyle w:val="20"/>
        <w:rPr>
          <w:rFonts w:hAnsi="宋体" w:cs="宋体"/>
          <w:sz w:val="24"/>
          <w:highlight w:val="none"/>
        </w:rPr>
      </w:pPr>
      <w:r>
        <w:rPr>
          <w:rFonts w:hAnsi="宋体" w:cs="宋体"/>
          <w:sz w:val="24"/>
          <w:highlight w:val="none"/>
        </w:rPr>
        <w:t xml:space="preserve"> 24.2</w:t>
      </w:r>
      <w:r>
        <w:rPr>
          <w:rFonts w:hint="eastAsia" w:hAnsi="宋体" w:cs="宋体"/>
          <w:sz w:val="24"/>
          <w:highlight w:val="none"/>
        </w:rPr>
        <w:t>卖方应书面通知买方本合同项下所授予的所有分包合同。但该通知不解除卖方承担的本合同项下的任何责任或义务。</w:t>
      </w:r>
    </w:p>
    <w:p>
      <w:pPr>
        <w:pStyle w:val="20"/>
        <w:rPr>
          <w:rFonts w:hAnsi="宋体" w:cs="宋体"/>
          <w:sz w:val="24"/>
          <w:highlight w:val="none"/>
        </w:rPr>
      </w:pPr>
      <w:r>
        <w:rPr>
          <w:rFonts w:hAnsi="宋体" w:cs="宋体"/>
          <w:sz w:val="24"/>
          <w:highlight w:val="none"/>
        </w:rPr>
        <w:t>25</w:t>
      </w:r>
      <w:r>
        <w:rPr>
          <w:rFonts w:hint="eastAsia" w:hAnsi="宋体" w:cs="宋体"/>
          <w:sz w:val="24"/>
          <w:highlight w:val="none"/>
        </w:rPr>
        <w:t>．适用法律</w:t>
      </w:r>
    </w:p>
    <w:p>
      <w:pPr>
        <w:pStyle w:val="20"/>
        <w:rPr>
          <w:rFonts w:hAnsi="宋体" w:cs="宋体"/>
          <w:sz w:val="24"/>
          <w:highlight w:val="none"/>
        </w:rPr>
      </w:pPr>
      <w:r>
        <w:rPr>
          <w:rFonts w:hAnsi="宋体" w:cs="宋体"/>
          <w:sz w:val="24"/>
          <w:highlight w:val="none"/>
        </w:rPr>
        <w:t xml:space="preserve"> 25.1</w:t>
      </w:r>
      <w:r>
        <w:rPr>
          <w:rFonts w:hint="eastAsia" w:hAnsi="宋体" w:cs="宋体"/>
          <w:sz w:val="24"/>
          <w:highlight w:val="none"/>
        </w:rPr>
        <w:t>本合同应按中华人民共和国的相关法律解释。</w:t>
      </w:r>
    </w:p>
    <w:p>
      <w:pPr>
        <w:pStyle w:val="20"/>
        <w:rPr>
          <w:rFonts w:hAnsi="宋体" w:cs="宋体"/>
          <w:sz w:val="24"/>
          <w:highlight w:val="none"/>
        </w:rPr>
      </w:pPr>
      <w:r>
        <w:rPr>
          <w:rFonts w:hAnsi="宋体" w:cs="宋体"/>
          <w:sz w:val="24"/>
          <w:highlight w:val="none"/>
        </w:rPr>
        <w:t>26</w:t>
      </w:r>
      <w:r>
        <w:rPr>
          <w:rFonts w:hint="eastAsia" w:hAnsi="宋体" w:cs="宋体"/>
          <w:sz w:val="24"/>
          <w:highlight w:val="none"/>
        </w:rPr>
        <w:t>．通知</w:t>
      </w:r>
    </w:p>
    <w:p>
      <w:pPr>
        <w:pStyle w:val="20"/>
        <w:rPr>
          <w:rFonts w:hAnsi="宋体" w:cs="宋体"/>
          <w:sz w:val="24"/>
          <w:highlight w:val="none"/>
        </w:rPr>
      </w:pPr>
      <w:r>
        <w:rPr>
          <w:rFonts w:hAnsi="宋体" w:cs="宋体"/>
          <w:sz w:val="24"/>
          <w:highlight w:val="none"/>
        </w:rPr>
        <w:t xml:space="preserve"> 26.1</w:t>
      </w:r>
      <w:r>
        <w:rPr>
          <w:rFonts w:hint="eastAsia" w:hAnsi="宋体" w:cs="宋体"/>
          <w:sz w:val="24"/>
          <w:highlight w:val="none"/>
        </w:rPr>
        <w:t>本合同任何一方给另一方的通知都应以书面或电传、电报、传真的形式发送，而另一方应以书面形式确并发送到对方明确的地址。</w:t>
      </w:r>
    </w:p>
    <w:p>
      <w:pPr>
        <w:pStyle w:val="20"/>
        <w:rPr>
          <w:rFonts w:hAnsi="宋体" w:cs="宋体"/>
          <w:sz w:val="24"/>
          <w:highlight w:val="none"/>
        </w:rPr>
      </w:pPr>
      <w:r>
        <w:rPr>
          <w:rFonts w:hAnsi="宋体" w:cs="宋体"/>
          <w:sz w:val="24"/>
          <w:highlight w:val="none"/>
        </w:rPr>
        <w:t>27</w:t>
      </w:r>
      <w:r>
        <w:rPr>
          <w:rFonts w:hint="eastAsia" w:hAnsi="宋体" w:cs="宋体"/>
          <w:sz w:val="24"/>
          <w:highlight w:val="none"/>
        </w:rPr>
        <w:t>．合同文件及资料的使用</w:t>
      </w:r>
    </w:p>
    <w:p>
      <w:pPr>
        <w:pStyle w:val="20"/>
        <w:rPr>
          <w:rFonts w:hAnsi="宋体" w:cs="宋体"/>
          <w:sz w:val="24"/>
          <w:highlight w:val="none"/>
        </w:rPr>
      </w:pPr>
      <w:r>
        <w:rPr>
          <w:rFonts w:hAnsi="宋体" w:cs="宋体"/>
          <w:sz w:val="24"/>
          <w:highlight w:val="none"/>
        </w:rPr>
        <w:t xml:space="preserve"> 27.1</w:t>
      </w:r>
      <w:r>
        <w:rPr>
          <w:rFonts w:hint="eastAsia" w:hAnsi="宋体" w:cs="宋体"/>
          <w:sz w:val="24"/>
          <w:highlight w:val="none"/>
        </w:rPr>
        <w:t>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合同必不可少的范围内。</w:t>
      </w:r>
    </w:p>
    <w:p>
      <w:pPr>
        <w:pStyle w:val="20"/>
        <w:rPr>
          <w:rFonts w:hAnsi="宋体" w:cs="宋体"/>
          <w:sz w:val="24"/>
          <w:highlight w:val="none"/>
        </w:rPr>
      </w:pPr>
      <w:r>
        <w:rPr>
          <w:rFonts w:hAnsi="宋体" w:cs="宋体"/>
          <w:sz w:val="24"/>
          <w:highlight w:val="none"/>
        </w:rPr>
        <w:t xml:space="preserve"> 27.2</w:t>
      </w:r>
      <w:r>
        <w:rPr>
          <w:rFonts w:hint="eastAsia" w:hAnsi="宋体" w:cs="宋体"/>
          <w:sz w:val="24"/>
          <w:highlight w:val="none"/>
        </w:rPr>
        <w:t>除非执行合同需要，在事先末得到买方同意的情况下，卖方不得使用第</w:t>
      </w:r>
      <w:r>
        <w:rPr>
          <w:rFonts w:hAnsi="宋体" w:cs="宋体"/>
          <w:sz w:val="24"/>
          <w:highlight w:val="none"/>
        </w:rPr>
        <w:t>27.1</w:t>
      </w:r>
      <w:r>
        <w:rPr>
          <w:rFonts w:hint="eastAsia" w:hAnsi="宋体" w:cs="宋体"/>
          <w:sz w:val="24"/>
          <w:highlight w:val="none"/>
        </w:rPr>
        <w:t>款中所列的任何文件和资料。</w:t>
      </w:r>
    </w:p>
    <w:p>
      <w:pPr>
        <w:pStyle w:val="20"/>
        <w:rPr>
          <w:rFonts w:hAnsi="宋体" w:cs="宋体"/>
          <w:sz w:val="24"/>
          <w:highlight w:val="none"/>
        </w:rPr>
      </w:pPr>
      <w:r>
        <w:rPr>
          <w:rFonts w:hAnsi="宋体" w:cs="宋体"/>
          <w:sz w:val="24"/>
          <w:highlight w:val="none"/>
        </w:rPr>
        <w:t xml:space="preserve"> 27.3</w:t>
      </w:r>
      <w:r>
        <w:rPr>
          <w:rFonts w:hint="eastAsia" w:hAnsi="宋体" w:cs="宋体"/>
          <w:sz w:val="24"/>
          <w:highlight w:val="none"/>
        </w:rPr>
        <w:t>除合同本身以外，</w:t>
      </w:r>
      <w:r>
        <w:rPr>
          <w:rFonts w:hAnsi="宋体" w:cs="宋体"/>
          <w:sz w:val="24"/>
          <w:highlight w:val="none"/>
        </w:rPr>
        <w:t>27.1</w:t>
      </w:r>
      <w:r>
        <w:rPr>
          <w:rFonts w:hint="eastAsia" w:hAnsi="宋体" w:cs="宋体"/>
          <w:sz w:val="24"/>
          <w:highlight w:val="none"/>
        </w:rPr>
        <w:t>款列明的所有资料始终为买方的财产，若买方要求，卖方应于其合同义务履行完毕以后将这些资料（包括所有副本）退还买方。</w:t>
      </w:r>
    </w:p>
    <w:p>
      <w:pPr>
        <w:pStyle w:val="20"/>
        <w:rPr>
          <w:rFonts w:hAnsi="宋体" w:cs="宋体"/>
          <w:sz w:val="24"/>
          <w:highlight w:val="none"/>
        </w:rPr>
      </w:pPr>
      <w:r>
        <w:rPr>
          <w:rFonts w:hAnsi="宋体" w:cs="宋体"/>
          <w:sz w:val="24"/>
          <w:highlight w:val="none"/>
        </w:rPr>
        <w:t>28</w:t>
      </w:r>
      <w:r>
        <w:rPr>
          <w:rFonts w:hint="eastAsia" w:hAnsi="宋体" w:cs="宋体"/>
          <w:sz w:val="24"/>
          <w:highlight w:val="none"/>
        </w:rPr>
        <w:t>．合同生效及其他</w:t>
      </w:r>
    </w:p>
    <w:p>
      <w:pPr>
        <w:pStyle w:val="20"/>
        <w:rPr>
          <w:rFonts w:hAnsi="宋体" w:cs="宋体"/>
          <w:sz w:val="24"/>
          <w:highlight w:val="none"/>
        </w:rPr>
      </w:pPr>
      <w:r>
        <w:rPr>
          <w:rFonts w:hAnsi="宋体" w:cs="宋体"/>
          <w:sz w:val="24"/>
          <w:highlight w:val="none"/>
        </w:rPr>
        <w:t xml:space="preserve"> 28.1</w:t>
      </w:r>
      <w:r>
        <w:rPr>
          <w:rFonts w:hint="eastAsia" w:hAnsi="宋体" w:cs="宋体"/>
          <w:sz w:val="24"/>
          <w:highlight w:val="none"/>
        </w:rPr>
        <w:t>本合同应在买方和卖方签字（及买方收到卖方的履约保证金后），即开始生效。</w:t>
      </w:r>
    </w:p>
    <w:p>
      <w:pPr>
        <w:pStyle w:val="20"/>
        <w:rPr>
          <w:rFonts w:hAnsi="宋体" w:cs="宋体"/>
          <w:sz w:val="24"/>
          <w:highlight w:val="none"/>
        </w:rPr>
      </w:pPr>
      <w:r>
        <w:rPr>
          <w:rFonts w:hAnsi="宋体" w:cs="宋体"/>
          <w:sz w:val="24"/>
          <w:highlight w:val="none"/>
        </w:rPr>
        <w:t xml:space="preserve"> 28.2</w:t>
      </w:r>
      <w:r>
        <w:rPr>
          <w:rFonts w:hint="eastAsia" w:hAnsi="宋体" w:cs="宋体"/>
          <w:sz w:val="24"/>
          <w:highlight w:val="none"/>
        </w:rPr>
        <w:t>卖方须按技术规格中的规定，向买方提供与合同项下货物有关的现场安装调试、技术服务、培训等其他相关服务。</w:t>
      </w:r>
    </w:p>
    <w:p>
      <w:pPr>
        <w:pStyle w:val="20"/>
        <w:rPr>
          <w:rFonts w:hAnsi="宋体" w:cs="宋体"/>
          <w:sz w:val="24"/>
          <w:highlight w:val="none"/>
        </w:rPr>
      </w:pPr>
      <w:r>
        <w:rPr>
          <w:rFonts w:hAnsi="宋体" w:cs="宋体"/>
          <w:sz w:val="24"/>
          <w:highlight w:val="none"/>
        </w:rPr>
        <w:t xml:space="preserve"> 28.3 </w:t>
      </w:r>
      <w:r>
        <w:rPr>
          <w:rFonts w:hint="eastAsia" w:hAnsi="宋体" w:cs="宋体"/>
          <w:sz w:val="24"/>
          <w:highlight w:val="none"/>
        </w:rPr>
        <w:t>商务合同应包括买方最后确认的价格条款和付款方式。</w:t>
      </w:r>
    </w:p>
    <w:p>
      <w:pPr>
        <w:pStyle w:val="20"/>
        <w:rPr>
          <w:rFonts w:hAnsi="宋体" w:cs="宋体"/>
          <w:sz w:val="24"/>
          <w:highlight w:val="none"/>
        </w:rPr>
      </w:pPr>
      <w:r>
        <w:rPr>
          <w:rFonts w:hAnsi="宋体" w:cs="宋体"/>
          <w:sz w:val="24"/>
          <w:highlight w:val="none"/>
        </w:rPr>
        <w:t xml:space="preserve"> 28.4</w:t>
      </w:r>
      <w:r>
        <w:rPr>
          <w:rFonts w:hint="eastAsia" w:hAnsi="宋体" w:cs="宋体"/>
          <w:sz w:val="24"/>
          <w:highlight w:val="none"/>
        </w:rPr>
        <w:t>下述文件将作为合同附件为本合同不可分割的部分并与本合具有同等效力；</w:t>
      </w:r>
    </w:p>
    <w:p>
      <w:pPr>
        <w:pStyle w:val="20"/>
        <w:numPr>
          <w:ilvl w:val="0"/>
          <w:numId w:val="10"/>
        </w:numPr>
        <w:adjustRightInd/>
        <w:snapToGrid/>
        <w:rPr>
          <w:rFonts w:hAnsi="宋体" w:cs="宋体"/>
          <w:sz w:val="24"/>
          <w:highlight w:val="none"/>
        </w:rPr>
      </w:pPr>
      <w:r>
        <w:rPr>
          <w:rFonts w:hint="eastAsia" w:hAnsi="宋体" w:cs="宋体"/>
          <w:sz w:val="24"/>
          <w:highlight w:val="none"/>
        </w:rPr>
        <w:t>询价文件</w:t>
      </w:r>
    </w:p>
    <w:p>
      <w:pPr>
        <w:pStyle w:val="20"/>
        <w:numPr>
          <w:ilvl w:val="0"/>
          <w:numId w:val="10"/>
        </w:numPr>
        <w:adjustRightInd/>
        <w:snapToGrid/>
        <w:rPr>
          <w:rFonts w:hAnsi="宋体" w:cs="宋体"/>
          <w:sz w:val="24"/>
          <w:highlight w:val="none"/>
        </w:rPr>
      </w:pPr>
      <w:r>
        <w:rPr>
          <w:rFonts w:hint="eastAsia" w:hAnsi="宋体" w:cs="宋体"/>
          <w:sz w:val="24"/>
          <w:highlight w:val="none"/>
        </w:rPr>
        <w:t>报价文件</w:t>
      </w:r>
    </w:p>
    <w:p>
      <w:pPr>
        <w:pStyle w:val="20"/>
        <w:numPr>
          <w:ilvl w:val="0"/>
          <w:numId w:val="10"/>
        </w:numPr>
        <w:adjustRightInd/>
        <w:snapToGrid/>
        <w:rPr>
          <w:rFonts w:hAnsi="宋体" w:cs="宋体"/>
          <w:sz w:val="24"/>
          <w:highlight w:val="none"/>
        </w:rPr>
      </w:pPr>
      <w:r>
        <w:rPr>
          <w:rFonts w:hint="eastAsia" w:hAnsi="宋体" w:cs="宋体"/>
          <w:sz w:val="24"/>
          <w:highlight w:val="none"/>
        </w:rPr>
        <w:t>成交通知书</w:t>
      </w:r>
    </w:p>
    <w:p>
      <w:pPr>
        <w:pStyle w:val="20"/>
        <w:numPr>
          <w:ilvl w:val="0"/>
          <w:numId w:val="10"/>
        </w:numPr>
        <w:adjustRightInd/>
        <w:snapToGrid/>
        <w:rPr>
          <w:rFonts w:hAnsi="宋体" w:cs="宋体"/>
          <w:sz w:val="24"/>
          <w:highlight w:val="none"/>
        </w:rPr>
      </w:pPr>
      <w:r>
        <w:rPr>
          <w:rFonts w:hint="eastAsia" w:hAnsi="宋体" w:cs="宋体"/>
          <w:sz w:val="24"/>
          <w:highlight w:val="none"/>
        </w:rPr>
        <w:t>成交方的报价文件及询标中的书面答疑</w:t>
      </w:r>
    </w:p>
    <w:p>
      <w:pPr>
        <w:pStyle w:val="20"/>
        <w:numPr>
          <w:ilvl w:val="0"/>
          <w:numId w:val="10"/>
        </w:numPr>
        <w:adjustRightInd/>
        <w:snapToGrid/>
        <w:rPr>
          <w:rFonts w:hAnsi="宋体" w:cs="宋体"/>
          <w:sz w:val="24"/>
          <w:highlight w:val="none"/>
        </w:rPr>
      </w:pPr>
      <w:r>
        <w:rPr>
          <w:rFonts w:hint="eastAsia" w:hAnsi="宋体" w:cs="宋体"/>
          <w:sz w:val="24"/>
          <w:highlight w:val="none"/>
        </w:rPr>
        <w:t>履约保证金保函（如需要）</w:t>
      </w: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3"/>
        <w:rPr>
          <w:rFonts w:ascii="宋体" w:cs="宋体"/>
          <w:highlight w:val="none"/>
        </w:rPr>
      </w:pPr>
      <w:bookmarkStart w:id="12" w:name="_Toc517776522"/>
      <w:r>
        <w:rPr>
          <w:rFonts w:hint="eastAsia" w:ascii="宋体" w:hAnsi="宋体" w:cs="宋体"/>
          <w:highlight w:val="none"/>
        </w:rPr>
        <w:t>第五章</w:t>
      </w:r>
      <w:r>
        <w:rPr>
          <w:rFonts w:ascii="宋体" w:hAnsi="宋体" w:cs="宋体"/>
          <w:highlight w:val="none"/>
        </w:rPr>
        <w:t xml:space="preserve"> </w:t>
      </w:r>
      <w:r>
        <w:rPr>
          <w:rFonts w:hint="eastAsia" w:ascii="宋体" w:hAnsi="宋体" w:cs="宋体"/>
          <w:highlight w:val="none"/>
        </w:rPr>
        <w:t>投标文件格式</w:t>
      </w:r>
      <w:bookmarkEnd w:id="12"/>
    </w:p>
    <w:p>
      <w:pPr>
        <w:widowControl/>
        <w:jc w:val="left"/>
        <w:rPr>
          <w:rFonts w:ascii="宋体" w:cs="宋体"/>
          <w:sz w:val="24"/>
          <w:szCs w:val="24"/>
          <w:highlight w:val="none"/>
        </w:rPr>
      </w:pPr>
      <w:r>
        <w:rPr>
          <w:rFonts w:ascii="宋体" w:cs="宋体"/>
          <w:b/>
          <w:bCs/>
          <w:sz w:val="24"/>
          <w:szCs w:val="24"/>
          <w:highlight w:val="none"/>
        </w:rPr>
        <w:br w:type="page"/>
      </w:r>
    </w:p>
    <w:p>
      <w:pPr>
        <w:pStyle w:val="20"/>
        <w:spacing w:before="100" w:beforeAutospacing="1" w:after="100" w:afterAutospacing="1"/>
        <w:ind w:right="-17"/>
        <w:rPr>
          <w:rFonts w:hAnsi="宋体" w:cs="宋体"/>
          <w:b/>
          <w:w w:val="90"/>
          <w:sz w:val="28"/>
          <w:szCs w:val="28"/>
          <w:highlight w:val="none"/>
        </w:rPr>
      </w:pPr>
      <w:r>
        <w:rPr>
          <w:rFonts w:hint="eastAsia" w:hAnsi="宋体" w:cs="宋体"/>
          <w:b/>
          <w:w w:val="90"/>
          <w:sz w:val="28"/>
          <w:szCs w:val="28"/>
          <w:highlight w:val="none"/>
        </w:rPr>
        <w:t>投标文件封页</w:t>
      </w:r>
      <w:r>
        <w:rPr>
          <w:rFonts w:hAnsi="宋体" w:cs="宋体"/>
          <w:b/>
          <w:w w:val="90"/>
          <w:sz w:val="28"/>
          <w:szCs w:val="28"/>
          <w:highlight w:val="none"/>
        </w:rPr>
        <w:t xml:space="preserve">                                          </w:t>
      </w:r>
      <w:r>
        <w:rPr>
          <w:rFonts w:hint="eastAsia" w:hAnsi="宋体" w:cs="宋体"/>
          <w:b/>
          <w:w w:val="90"/>
          <w:sz w:val="28"/>
          <w:szCs w:val="28"/>
          <w:highlight w:val="none"/>
        </w:rPr>
        <w:t>正（副）本</w:t>
      </w:r>
    </w:p>
    <w:p>
      <w:pPr>
        <w:pStyle w:val="20"/>
        <w:spacing w:beforeLines="100" w:afterLines="150"/>
        <w:ind w:right="-17"/>
        <w:jc w:val="center"/>
        <w:rPr>
          <w:rFonts w:hAnsi="宋体" w:cs="宋体"/>
          <w:b/>
          <w:spacing w:val="-16"/>
          <w:sz w:val="36"/>
          <w:szCs w:val="36"/>
          <w:highlight w:val="none"/>
        </w:rPr>
      </w:pPr>
      <w:r>
        <w:rPr>
          <w:rFonts w:hAnsi="宋体" w:cs="宋体"/>
          <w:b/>
          <w:spacing w:val="-16"/>
          <w:sz w:val="36"/>
          <w:szCs w:val="36"/>
          <w:highlight w:val="none"/>
        </w:rPr>
        <w:t>XXXX</w:t>
      </w:r>
      <w:r>
        <w:rPr>
          <w:rFonts w:hint="eastAsia" w:hAnsi="宋体" w:cs="宋体"/>
          <w:b/>
          <w:spacing w:val="-16"/>
          <w:sz w:val="36"/>
          <w:szCs w:val="36"/>
          <w:highlight w:val="none"/>
        </w:rPr>
        <w:t>项目（第</w:t>
      </w:r>
      <w:r>
        <w:rPr>
          <w:rFonts w:hAnsi="宋体" w:cs="宋体"/>
          <w:b/>
          <w:spacing w:val="-16"/>
          <w:sz w:val="36"/>
          <w:szCs w:val="36"/>
          <w:highlight w:val="none"/>
        </w:rPr>
        <w:t>____</w:t>
      </w:r>
      <w:r>
        <w:rPr>
          <w:rFonts w:hint="eastAsia" w:hAnsi="宋体" w:cs="宋体"/>
          <w:b/>
          <w:spacing w:val="-16"/>
          <w:sz w:val="36"/>
          <w:szCs w:val="36"/>
          <w:highlight w:val="none"/>
        </w:rPr>
        <w:t>包）</w:t>
      </w:r>
    </w:p>
    <w:p>
      <w:pPr>
        <w:pStyle w:val="20"/>
        <w:ind w:right="-15"/>
        <w:jc w:val="center"/>
        <w:rPr>
          <w:rFonts w:hAnsi="宋体" w:cs="宋体"/>
          <w:b/>
          <w:w w:val="90"/>
          <w:sz w:val="44"/>
          <w:szCs w:val="44"/>
          <w:highlight w:val="none"/>
        </w:rPr>
      </w:pPr>
    </w:p>
    <w:p>
      <w:pPr>
        <w:pStyle w:val="20"/>
        <w:ind w:right="-15"/>
        <w:jc w:val="center"/>
        <w:rPr>
          <w:rFonts w:hAnsi="宋体" w:cs="宋体"/>
          <w:b/>
          <w:spacing w:val="80"/>
          <w:w w:val="90"/>
          <w:sz w:val="84"/>
          <w:highlight w:val="none"/>
        </w:rPr>
      </w:pPr>
      <w:r>
        <w:rPr>
          <w:rFonts w:hint="eastAsia" w:hAnsi="宋体" w:cs="宋体"/>
          <w:b/>
          <w:spacing w:val="80"/>
          <w:w w:val="90"/>
          <w:sz w:val="84"/>
          <w:highlight w:val="none"/>
        </w:rPr>
        <w:t>投标文件</w:t>
      </w:r>
    </w:p>
    <w:p>
      <w:pPr>
        <w:pStyle w:val="20"/>
        <w:spacing w:beforeLines="1200" w:line="520" w:lineRule="exact"/>
        <w:ind w:right="-17" w:firstLine="972" w:firstLineChars="405"/>
        <w:rPr>
          <w:rFonts w:hAnsi="宋体" w:cs="宋体"/>
          <w:sz w:val="24"/>
          <w:szCs w:val="24"/>
          <w:highlight w:val="none"/>
        </w:rPr>
      </w:pPr>
      <w:r>
        <w:rPr>
          <w:rFonts w:hint="eastAsia" w:hAnsi="宋体" w:cs="宋体"/>
          <w:sz w:val="24"/>
          <w:szCs w:val="24"/>
          <w:highlight w:val="none"/>
        </w:rPr>
        <w:t>采购文件编号：</w:t>
      </w:r>
    </w:p>
    <w:p>
      <w:pPr>
        <w:pStyle w:val="20"/>
        <w:spacing w:beforeLines="100" w:afterLines="100" w:line="520" w:lineRule="exact"/>
        <w:ind w:right="-17" w:firstLine="960" w:firstLineChars="400"/>
        <w:rPr>
          <w:rFonts w:hAnsi="宋体" w:cs="宋体"/>
          <w:sz w:val="24"/>
          <w:szCs w:val="24"/>
          <w:highlight w:val="none"/>
        </w:rPr>
      </w:pPr>
      <w:r>
        <w:rPr>
          <w:rFonts w:hint="eastAsia" w:hAnsi="宋体" w:cs="宋体"/>
          <w:sz w:val="24"/>
          <w:szCs w:val="24"/>
          <w:highlight w:val="none"/>
        </w:rPr>
        <w:t>投标单位名称（公章）</w:t>
      </w:r>
      <w:r>
        <w:rPr>
          <w:rFonts w:hAnsi="宋体" w:cs="宋体"/>
          <w:sz w:val="24"/>
          <w:szCs w:val="24"/>
          <w:highlight w:val="none"/>
        </w:rPr>
        <w:t>:</w:t>
      </w:r>
    </w:p>
    <w:p>
      <w:pPr>
        <w:pStyle w:val="20"/>
        <w:spacing w:beforeLines="100" w:afterLines="100" w:line="520" w:lineRule="exact"/>
        <w:ind w:right="-17" w:firstLine="960" w:firstLineChars="400"/>
        <w:rPr>
          <w:rFonts w:hAnsi="宋体" w:cs="宋体"/>
          <w:sz w:val="24"/>
          <w:szCs w:val="24"/>
          <w:highlight w:val="none"/>
        </w:rPr>
      </w:pPr>
      <w:r>
        <w:rPr>
          <w:rFonts w:hint="eastAsia" w:hAnsi="宋体" w:cs="宋体"/>
          <w:sz w:val="24"/>
          <w:szCs w:val="24"/>
          <w:highlight w:val="none"/>
        </w:rPr>
        <w:t>投标单位授权代表（签章）</w:t>
      </w:r>
      <w:r>
        <w:rPr>
          <w:rFonts w:hAnsi="宋体" w:cs="宋体"/>
          <w:sz w:val="24"/>
          <w:szCs w:val="24"/>
          <w:highlight w:val="none"/>
        </w:rPr>
        <w:t>:</w:t>
      </w:r>
    </w:p>
    <w:p>
      <w:pPr>
        <w:pStyle w:val="20"/>
        <w:spacing w:beforeLines="100" w:afterLines="100" w:line="520" w:lineRule="exact"/>
        <w:ind w:right="-17" w:firstLine="960" w:firstLineChars="400"/>
        <w:rPr>
          <w:rFonts w:hAnsi="宋体" w:cs="宋体"/>
          <w:sz w:val="24"/>
          <w:szCs w:val="24"/>
          <w:highlight w:val="none"/>
        </w:rPr>
      </w:pPr>
      <w:r>
        <w:rPr>
          <w:rFonts w:hint="eastAsia" w:hAnsi="宋体" w:cs="宋体"/>
          <w:sz w:val="24"/>
          <w:szCs w:val="24"/>
          <w:highlight w:val="none"/>
        </w:rPr>
        <w:t>投标单位地址</w:t>
      </w:r>
      <w:r>
        <w:rPr>
          <w:rFonts w:hAnsi="宋体" w:cs="宋体"/>
          <w:sz w:val="24"/>
          <w:szCs w:val="24"/>
          <w:highlight w:val="none"/>
        </w:rPr>
        <w:t>:</w:t>
      </w:r>
    </w:p>
    <w:p>
      <w:pPr>
        <w:pStyle w:val="20"/>
        <w:spacing w:beforeLines="100" w:afterLines="100" w:line="520" w:lineRule="exact"/>
        <w:ind w:right="-17" w:firstLine="960" w:firstLineChars="400"/>
        <w:rPr>
          <w:rFonts w:hAnsi="宋体" w:cs="宋体"/>
          <w:sz w:val="24"/>
          <w:szCs w:val="24"/>
          <w:highlight w:val="none"/>
        </w:rPr>
      </w:pPr>
      <w:r>
        <w:rPr>
          <w:rFonts w:hint="eastAsia" w:hAnsi="宋体" w:cs="宋体"/>
          <w:sz w:val="24"/>
          <w:szCs w:val="24"/>
          <w:highlight w:val="none"/>
        </w:rPr>
        <w:t>联系人：</w:t>
      </w:r>
    </w:p>
    <w:p>
      <w:pPr>
        <w:pStyle w:val="20"/>
        <w:spacing w:beforeLines="100" w:afterLines="100" w:line="520" w:lineRule="exact"/>
        <w:ind w:right="-17" w:firstLine="960" w:firstLineChars="400"/>
        <w:rPr>
          <w:rFonts w:hAnsi="宋体" w:cs="宋体"/>
          <w:sz w:val="24"/>
          <w:szCs w:val="24"/>
          <w:highlight w:val="none"/>
        </w:rPr>
      </w:pPr>
      <w:r>
        <w:rPr>
          <w:rFonts w:hint="eastAsia" w:hAnsi="宋体" w:cs="宋体"/>
          <w:sz w:val="24"/>
          <w:szCs w:val="24"/>
          <w:highlight w:val="none"/>
        </w:rPr>
        <w:t>联系电话：</w:t>
      </w:r>
    </w:p>
    <w:p>
      <w:pPr>
        <w:widowControl/>
        <w:jc w:val="left"/>
        <w:rPr>
          <w:rFonts w:hAnsi="宋体" w:cs="宋体"/>
          <w:b/>
          <w:sz w:val="32"/>
          <w:szCs w:val="32"/>
          <w:highlight w:val="none"/>
        </w:rPr>
      </w:pPr>
      <w:r>
        <w:rPr>
          <w:rFonts w:ascii="宋体" w:cs="宋体"/>
          <w:b/>
          <w:sz w:val="24"/>
          <w:szCs w:val="24"/>
          <w:highlight w:val="none"/>
        </w:rPr>
        <w:br w:type="page"/>
      </w:r>
      <w:r>
        <w:rPr>
          <w:rFonts w:hint="eastAsia" w:hAnsi="宋体" w:cs="宋体"/>
          <w:b/>
          <w:sz w:val="32"/>
          <w:szCs w:val="32"/>
          <w:highlight w:val="none"/>
        </w:rPr>
        <w:t>一、目录索引</w:t>
      </w:r>
    </w:p>
    <w:tbl>
      <w:tblPr>
        <w:tblStyle w:val="36"/>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455"/>
        <w:gridCol w:w="2320"/>
        <w:gridCol w:w="1789"/>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20" w:hRule="atLeast"/>
          <w:tblHeader/>
          <w:jc w:val="center"/>
        </w:trPr>
        <w:tc>
          <w:tcPr>
            <w:tcW w:w="5159" w:type="dxa"/>
            <w:gridSpan w:val="2"/>
            <w:vAlign w:val="center"/>
          </w:tcPr>
          <w:p>
            <w:pPr>
              <w:spacing w:line="360" w:lineRule="auto"/>
              <w:ind w:firstLine="742"/>
              <w:jc w:val="center"/>
              <w:rPr>
                <w:rFonts w:ascii="宋体" w:cs="宋体"/>
                <w:b/>
                <w:bCs/>
                <w:sz w:val="24"/>
                <w:szCs w:val="24"/>
                <w:highlight w:val="none"/>
              </w:rPr>
            </w:pPr>
            <w:r>
              <w:rPr>
                <w:rFonts w:hint="eastAsia" w:ascii="宋体" w:hAnsi="宋体" w:cs="宋体"/>
                <w:b/>
                <w:bCs/>
                <w:sz w:val="24"/>
                <w:szCs w:val="24"/>
                <w:highlight w:val="none"/>
              </w:rPr>
              <w:t>评审分项</w:t>
            </w:r>
          </w:p>
        </w:tc>
        <w:tc>
          <w:tcPr>
            <w:tcW w:w="2320" w:type="dxa"/>
            <w:vAlign w:val="center"/>
          </w:tcPr>
          <w:p>
            <w:pPr>
              <w:keepNext/>
              <w:adjustRightInd w:val="0"/>
              <w:spacing w:before="60" w:after="60" w:line="360" w:lineRule="auto"/>
              <w:jc w:val="center"/>
              <w:textAlignment w:val="center"/>
              <w:rPr>
                <w:rFonts w:ascii="宋体" w:cs="宋体"/>
                <w:b/>
                <w:bCs/>
                <w:sz w:val="24"/>
                <w:szCs w:val="24"/>
                <w:highlight w:val="none"/>
              </w:rPr>
            </w:pPr>
            <w:r>
              <w:rPr>
                <w:rFonts w:hint="eastAsia" w:ascii="宋体" w:hAnsi="宋体" w:cs="宋体"/>
                <w:b/>
                <w:bCs/>
                <w:sz w:val="24"/>
                <w:szCs w:val="24"/>
                <w:highlight w:val="none"/>
              </w:rPr>
              <w:t>评审细则（投标人须简单描述情况）</w:t>
            </w:r>
          </w:p>
        </w:tc>
        <w:tc>
          <w:tcPr>
            <w:tcW w:w="1789" w:type="dxa"/>
            <w:vAlign w:val="center"/>
          </w:tcPr>
          <w:p>
            <w:pPr>
              <w:spacing w:line="360" w:lineRule="auto"/>
              <w:jc w:val="center"/>
              <w:rPr>
                <w:rFonts w:ascii="宋体" w:cs="宋体"/>
                <w:b/>
                <w:bCs/>
                <w:sz w:val="24"/>
                <w:szCs w:val="24"/>
                <w:highlight w:val="none"/>
              </w:rPr>
            </w:pPr>
            <w:r>
              <w:rPr>
                <w:rFonts w:hint="eastAsia" w:ascii="宋体" w:hAnsi="宋体" w:cs="宋体"/>
                <w:b/>
                <w:bCs/>
                <w:sz w:val="24"/>
                <w:szCs w:val="24"/>
                <w:highlight w:val="none"/>
              </w:rPr>
              <w:t>证明文件或详细描述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306" w:hRule="atLeast"/>
          <w:jc w:val="center"/>
        </w:trPr>
        <w:tc>
          <w:tcPr>
            <w:tcW w:w="704" w:type="dxa"/>
            <w:vMerge w:val="restart"/>
            <w:vAlign w:val="center"/>
          </w:tcPr>
          <w:p>
            <w:pPr>
              <w:spacing w:line="360" w:lineRule="auto"/>
              <w:jc w:val="center"/>
              <w:rPr>
                <w:rFonts w:ascii="宋体" w:cs="宋体"/>
                <w:bCs/>
                <w:spacing w:val="10"/>
                <w:kern w:val="0"/>
                <w:sz w:val="24"/>
                <w:szCs w:val="24"/>
                <w:highlight w:val="none"/>
              </w:rPr>
            </w:pPr>
            <w:r>
              <w:rPr>
                <w:rFonts w:hint="eastAsia" w:ascii="宋体" w:hAnsi="宋体" w:cs="宋体"/>
                <w:bCs/>
                <w:spacing w:val="10"/>
                <w:kern w:val="0"/>
                <w:sz w:val="24"/>
                <w:szCs w:val="24"/>
                <w:highlight w:val="none"/>
              </w:rPr>
              <w:t>技术部分</w:t>
            </w:r>
          </w:p>
        </w:tc>
        <w:tc>
          <w:tcPr>
            <w:tcW w:w="4455" w:type="dxa"/>
            <w:vAlign w:val="center"/>
          </w:tcPr>
          <w:p>
            <w:pPr>
              <w:jc w:val="center"/>
              <w:rPr>
                <w:rFonts w:ascii="宋体" w:cs="宋体"/>
                <w:bCs/>
                <w:iCs/>
                <w:sz w:val="24"/>
                <w:szCs w:val="24"/>
                <w:highlight w:val="none"/>
              </w:rPr>
            </w:pPr>
            <w:r>
              <w:rPr>
                <w:rFonts w:hint="eastAsia" w:ascii="宋体" w:hAnsi="宋体" w:cs="宋体"/>
                <w:sz w:val="24"/>
                <w:szCs w:val="24"/>
                <w:highlight w:val="none"/>
              </w:rPr>
              <w:t>产品综合情况</w:t>
            </w:r>
          </w:p>
        </w:tc>
        <w:tc>
          <w:tcPr>
            <w:tcW w:w="2320" w:type="dxa"/>
            <w:vAlign w:val="center"/>
          </w:tcPr>
          <w:p>
            <w:pPr>
              <w:rPr>
                <w:rFonts w:ascii="宋体" w:cs="宋体"/>
                <w:w w:val="90"/>
                <w:sz w:val="24"/>
                <w:szCs w:val="24"/>
                <w:highlight w:val="none"/>
                <w:u w:val="single"/>
              </w:rPr>
            </w:pPr>
          </w:p>
        </w:tc>
        <w:tc>
          <w:tcPr>
            <w:tcW w:w="1789" w:type="dxa"/>
            <w:vAlign w:val="center"/>
          </w:tcPr>
          <w:p>
            <w:pPr>
              <w:ind w:left="-171"/>
              <w:jc w:val="center"/>
              <w:rPr>
                <w:rFonts w:ascii="宋体" w:cs="宋体"/>
                <w:sz w:val="24"/>
                <w:szCs w:val="24"/>
                <w:highlight w:val="none"/>
              </w:rPr>
            </w:pPr>
            <w:r>
              <w:rPr>
                <w:rFonts w:hint="eastAsia" w:ascii="宋体" w:hAnsi="宋体" w:cs="宋体"/>
                <w:sz w:val="24"/>
                <w:szCs w:val="24"/>
                <w:highlight w:val="none"/>
              </w:rPr>
              <w:t>见投标文件</w:t>
            </w:r>
          </w:p>
          <w:p>
            <w:pPr>
              <w:ind w:left="-171"/>
              <w:jc w:val="center"/>
              <w:rPr>
                <w:rFonts w:ascii="宋体" w:cs="宋体"/>
                <w:sz w:val="24"/>
                <w:szCs w:val="24"/>
                <w:highlight w:val="none"/>
              </w:rPr>
            </w:pPr>
            <w:r>
              <w:rPr>
                <w:rFonts w:hint="eastAsia" w:ascii="宋体" w:hAnsi="宋体" w:cs="宋体"/>
                <w:sz w:val="24"/>
                <w:szCs w:val="24"/>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264" w:hRule="atLeast"/>
          <w:jc w:val="center"/>
        </w:trPr>
        <w:tc>
          <w:tcPr>
            <w:tcW w:w="704" w:type="dxa"/>
            <w:vMerge w:val="continue"/>
            <w:vAlign w:val="center"/>
          </w:tcPr>
          <w:p>
            <w:pPr>
              <w:spacing w:line="360" w:lineRule="auto"/>
              <w:jc w:val="center"/>
              <w:rPr>
                <w:rFonts w:ascii="宋体" w:cs="宋体"/>
                <w:bCs/>
                <w:spacing w:val="10"/>
                <w:kern w:val="0"/>
                <w:sz w:val="24"/>
                <w:szCs w:val="24"/>
                <w:highlight w:val="none"/>
              </w:rPr>
            </w:pPr>
          </w:p>
        </w:tc>
        <w:tc>
          <w:tcPr>
            <w:tcW w:w="4455" w:type="dxa"/>
            <w:vAlign w:val="center"/>
          </w:tcPr>
          <w:p>
            <w:pPr>
              <w:jc w:val="center"/>
              <w:rPr>
                <w:rFonts w:ascii="宋体" w:cs="宋体"/>
                <w:bCs/>
                <w:iCs/>
                <w:sz w:val="24"/>
                <w:szCs w:val="24"/>
                <w:highlight w:val="none"/>
              </w:rPr>
            </w:pPr>
            <w:r>
              <w:rPr>
                <w:rFonts w:hint="eastAsia" w:ascii="宋体" w:hAnsi="宋体" w:cs="宋体"/>
                <w:sz w:val="24"/>
                <w:szCs w:val="24"/>
                <w:highlight w:val="none"/>
              </w:rPr>
              <w:t>售后及维护能力</w:t>
            </w:r>
          </w:p>
        </w:tc>
        <w:tc>
          <w:tcPr>
            <w:tcW w:w="2320" w:type="dxa"/>
            <w:vAlign w:val="center"/>
          </w:tcPr>
          <w:p>
            <w:pPr>
              <w:rPr>
                <w:rFonts w:ascii="宋体" w:cs="宋体"/>
                <w:sz w:val="24"/>
                <w:szCs w:val="24"/>
                <w:highlight w:val="none"/>
              </w:rPr>
            </w:pPr>
          </w:p>
        </w:tc>
        <w:tc>
          <w:tcPr>
            <w:tcW w:w="1789" w:type="dxa"/>
            <w:vAlign w:val="center"/>
          </w:tcPr>
          <w:p>
            <w:pPr>
              <w:ind w:left="-171"/>
              <w:jc w:val="center"/>
              <w:rPr>
                <w:rFonts w:ascii="宋体" w:cs="宋体"/>
                <w:sz w:val="24"/>
                <w:szCs w:val="24"/>
                <w:highlight w:val="none"/>
              </w:rPr>
            </w:pPr>
            <w:r>
              <w:rPr>
                <w:rFonts w:hint="eastAsia" w:ascii="宋体" w:hAnsi="宋体" w:cs="宋体"/>
                <w:sz w:val="24"/>
                <w:szCs w:val="24"/>
                <w:highlight w:val="none"/>
              </w:rPr>
              <w:t>见投标文件</w:t>
            </w:r>
          </w:p>
          <w:p>
            <w:pPr>
              <w:ind w:left="-171"/>
              <w:jc w:val="center"/>
              <w:rPr>
                <w:rFonts w:ascii="宋体" w:cs="宋体"/>
                <w:sz w:val="24"/>
                <w:szCs w:val="24"/>
                <w:highlight w:val="none"/>
              </w:rPr>
            </w:pPr>
            <w:r>
              <w:rPr>
                <w:rFonts w:hint="eastAsia" w:ascii="宋体" w:hAnsi="宋体" w:cs="宋体"/>
                <w:sz w:val="24"/>
                <w:szCs w:val="24"/>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302" w:hRule="atLeast"/>
          <w:jc w:val="center"/>
        </w:trPr>
        <w:tc>
          <w:tcPr>
            <w:tcW w:w="704" w:type="dxa"/>
            <w:vMerge w:val="continue"/>
            <w:vAlign w:val="center"/>
          </w:tcPr>
          <w:p>
            <w:pPr>
              <w:spacing w:line="360" w:lineRule="auto"/>
              <w:jc w:val="center"/>
              <w:rPr>
                <w:rFonts w:ascii="宋体" w:cs="宋体"/>
                <w:bCs/>
                <w:spacing w:val="10"/>
                <w:kern w:val="0"/>
                <w:sz w:val="24"/>
                <w:szCs w:val="24"/>
                <w:highlight w:val="none"/>
              </w:rPr>
            </w:pPr>
          </w:p>
        </w:tc>
        <w:tc>
          <w:tcPr>
            <w:tcW w:w="4455" w:type="dxa"/>
            <w:vAlign w:val="center"/>
          </w:tcPr>
          <w:p>
            <w:pPr>
              <w:jc w:val="center"/>
              <w:rPr>
                <w:rFonts w:ascii="宋体" w:cs="宋体"/>
                <w:bCs/>
                <w:iCs/>
                <w:sz w:val="24"/>
                <w:szCs w:val="24"/>
                <w:highlight w:val="none"/>
              </w:rPr>
            </w:pPr>
            <w:r>
              <w:rPr>
                <w:rFonts w:hint="eastAsia" w:ascii="宋体" w:hAnsi="宋体" w:cs="宋体"/>
                <w:sz w:val="24"/>
                <w:szCs w:val="24"/>
                <w:highlight w:val="none"/>
              </w:rPr>
              <w:t>同类业绩</w:t>
            </w:r>
          </w:p>
        </w:tc>
        <w:tc>
          <w:tcPr>
            <w:tcW w:w="2320" w:type="dxa"/>
            <w:vAlign w:val="center"/>
          </w:tcPr>
          <w:p>
            <w:pPr>
              <w:rPr>
                <w:rFonts w:ascii="宋体" w:cs="宋体"/>
                <w:sz w:val="24"/>
                <w:szCs w:val="24"/>
                <w:highlight w:val="none"/>
              </w:rPr>
            </w:pPr>
          </w:p>
        </w:tc>
        <w:tc>
          <w:tcPr>
            <w:tcW w:w="1789" w:type="dxa"/>
            <w:vAlign w:val="center"/>
          </w:tcPr>
          <w:p>
            <w:pPr>
              <w:ind w:left="-171"/>
              <w:jc w:val="center"/>
              <w:rPr>
                <w:rFonts w:ascii="宋体" w:cs="宋体"/>
                <w:sz w:val="24"/>
                <w:szCs w:val="24"/>
                <w:highlight w:val="none"/>
              </w:rPr>
            </w:pPr>
            <w:r>
              <w:rPr>
                <w:rFonts w:hint="eastAsia" w:ascii="宋体" w:hAnsi="宋体" w:cs="宋体"/>
                <w:sz w:val="24"/>
                <w:szCs w:val="24"/>
                <w:highlight w:val="none"/>
              </w:rPr>
              <w:t>见投标文件</w:t>
            </w:r>
          </w:p>
          <w:p>
            <w:pPr>
              <w:ind w:left="-171"/>
              <w:jc w:val="center"/>
              <w:rPr>
                <w:rFonts w:ascii="宋体" w:cs="宋体"/>
                <w:sz w:val="24"/>
                <w:szCs w:val="24"/>
                <w:highlight w:val="none"/>
              </w:rPr>
            </w:pPr>
            <w:r>
              <w:rPr>
                <w:rFonts w:hint="eastAsia" w:ascii="宋体" w:hAnsi="宋体" w:cs="宋体"/>
                <w:sz w:val="24"/>
                <w:szCs w:val="24"/>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219" w:hRule="atLeast"/>
          <w:jc w:val="center"/>
        </w:trPr>
        <w:tc>
          <w:tcPr>
            <w:tcW w:w="704" w:type="dxa"/>
            <w:vMerge w:val="continue"/>
            <w:vAlign w:val="center"/>
          </w:tcPr>
          <w:p>
            <w:pPr>
              <w:spacing w:line="360" w:lineRule="auto"/>
              <w:jc w:val="center"/>
              <w:rPr>
                <w:rFonts w:ascii="宋体" w:cs="宋体"/>
                <w:bCs/>
                <w:spacing w:val="10"/>
                <w:kern w:val="0"/>
                <w:sz w:val="24"/>
                <w:szCs w:val="24"/>
                <w:highlight w:val="none"/>
              </w:rPr>
            </w:pPr>
          </w:p>
        </w:tc>
        <w:tc>
          <w:tcPr>
            <w:tcW w:w="4455" w:type="dxa"/>
            <w:vAlign w:val="center"/>
          </w:tcPr>
          <w:p>
            <w:pPr>
              <w:jc w:val="center"/>
              <w:rPr>
                <w:rFonts w:ascii="宋体" w:cs="宋体"/>
                <w:sz w:val="24"/>
                <w:szCs w:val="24"/>
                <w:highlight w:val="none"/>
              </w:rPr>
            </w:pPr>
            <w:r>
              <w:rPr>
                <w:rFonts w:hint="eastAsia" w:ascii="宋体" w:hAnsi="宋体" w:cs="宋体"/>
                <w:sz w:val="24"/>
                <w:szCs w:val="24"/>
                <w:highlight w:val="none"/>
              </w:rPr>
              <w:t>企业资信</w:t>
            </w:r>
          </w:p>
        </w:tc>
        <w:tc>
          <w:tcPr>
            <w:tcW w:w="2320" w:type="dxa"/>
            <w:vAlign w:val="center"/>
          </w:tcPr>
          <w:p>
            <w:pPr>
              <w:rPr>
                <w:rFonts w:ascii="宋体" w:cs="宋体"/>
                <w:sz w:val="24"/>
                <w:szCs w:val="24"/>
                <w:highlight w:val="none"/>
              </w:rPr>
            </w:pPr>
          </w:p>
        </w:tc>
        <w:tc>
          <w:tcPr>
            <w:tcW w:w="1789" w:type="dxa"/>
            <w:vAlign w:val="center"/>
          </w:tcPr>
          <w:p>
            <w:pPr>
              <w:ind w:left="-171"/>
              <w:jc w:val="center"/>
              <w:rPr>
                <w:rFonts w:ascii="宋体" w:cs="宋体"/>
                <w:sz w:val="24"/>
                <w:szCs w:val="24"/>
                <w:highlight w:val="none"/>
              </w:rPr>
            </w:pPr>
            <w:r>
              <w:rPr>
                <w:rFonts w:hint="eastAsia" w:ascii="宋体" w:hAnsi="宋体" w:cs="宋体"/>
                <w:sz w:val="24"/>
                <w:szCs w:val="24"/>
                <w:highlight w:val="none"/>
              </w:rPr>
              <w:t>见投标文件</w:t>
            </w:r>
          </w:p>
          <w:p>
            <w:pPr>
              <w:ind w:left="-171"/>
              <w:jc w:val="center"/>
              <w:rPr>
                <w:rFonts w:ascii="宋体" w:cs="宋体"/>
                <w:sz w:val="24"/>
                <w:szCs w:val="24"/>
                <w:highlight w:val="none"/>
              </w:rPr>
            </w:pPr>
            <w:r>
              <w:rPr>
                <w:rFonts w:hint="eastAsia" w:ascii="宋体" w:hAnsi="宋体" w:cs="宋体"/>
                <w:sz w:val="24"/>
                <w:szCs w:val="24"/>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324" w:hRule="atLeast"/>
          <w:jc w:val="center"/>
        </w:trPr>
        <w:tc>
          <w:tcPr>
            <w:tcW w:w="704" w:type="dxa"/>
            <w:vMerge w:val="continue"/>
            <w:vAlign w:val="center"/>
          </w:tcPr>
          <w:p>
            <w:pPr>
              <w:spacing w:line="360" w:lineRule="auto"/>
              <w:jc w:val="center"/>
              <w:rPr>
                <w:rFonts w:ascii="宋体" w:cs="宋体"/>
                <w:bCs/>
                <w:spacing w:val="10"/>
                <w:kern w:val="0"/>
                <w:sz w:val="24"/>
                <w:szCs w:val="24"/>
                <w:highlight w:val="none"/>
              </w:rPr>
            </w:pPr>
          </w:p>
        </w:tc>
        <w:tc>
          <w:tcPr>
            <w:tcW w:w="4455" w:type="dxa"/>
            <w:vAlign w:val="center"/>
          </w:tcPr>
          <w:p>
            <w:pPr>
              <w:jc w:val="center"/>
              <w:rPr>
                <w:rFonts w:ascii="宋体" w:cs="宋体"/>
                <w:sz w:val="24"/>
                <w:szCs w:val="24"/>
                <w:highlight w:val="none"/>
              </w:rPr>
            </w:pPr>
            <w:r>
              <w:rPr>
                <w:rFonts w:hint="eastAsia" w:ascii="宋体" w:hAnsi="宋体" w:cs="宋体"/>
                <w:sz w:val="24"/>
                <w:szCs w:val="24"/>
                <w:highlight w:val="none"/>
              </w:rPr>
              <w:t>供应商工作方案及具体实施措施</w:t>
            </w:r>
          </w:p>
        </w:tc>
        <w:tc>
          <w:tcPr>
            <w:tcW w:w="2320" w:type="dxa"/>
            <w:vAlign w:val="center"/>
          </w:tcPr>
          <w:p>
            <w:pPr>
              <w:rPr>
                <w:rFonts w:ascii="宋体" w:cs="宋体"/>
                <w:sz w:val="24"/>
                <w:szCs w:val="24"/>
                <w:highlight w:val="none"/>
              </w:rPr>
            </w:pPr>
          </w:p>
        </w:tc>
        <w:tc>
          <w:tcPr>
            <w:tcW w:w="1789" w:type="dxa"/>
            <w:vAlign w:val="center"/>
          </w:tcPr>
          <w:p>
            <w:pPr>
              <w:ind w:left="-171"/>
              <w:jc w:val="center"/>
              <w:rPr>
                <w:rFonts w:ascii="宋体" w:cs="宋体"/>
                <w:sz w:val="24"/>
                <w:szCs w:val="24"/>
                <w:highlight w:val="none"/>
              </w:rPr>
            </w:pPr>
            <w:r>
              <w:rPr>
                <w:rFonts w:hint="eastAsia" w:ascii="宋体" w:hAnsi="宋体" w:cs="宋体"/>
                <w:sz w:val="24"/>
                <w:szCs w:val="24"/>
                <w:highlight w:val="none"/>
              </w:rPr>
              <w:t>见投标文件</w:t>
            </w:r>
          </w:p>
          <w:p>
            <w:pPr>
              <w:ind w:left="-171"/>
              <w:jc w:val="center"/>
              <w:rPr>
                <w:rFonts w:ascii="宋体" w:cs="宋体"/>
                <w:sz w:val="24"/>
                <w:szCs w:val="24"/>
                <w:highlight w:val="none"/>
              </w:rPr>
            </w:pPr>
            <w:r>
              <w:rPr>
                <w:rFonts w:hint="eastAsia" w:ascii="宋体" w:hAnsi="宋体" w:cs="宋体"/>
                <w:sz w:val="24"/>
                <w:szCs w:val="24"/>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9274" w:type="dxa"/>
            <w:gridSpan w:val="5"/>
            <w:vAlign w:val="center"/>
          </w:tcPr>
          <w:p>
            <w:pPr>
              <w:spacing w:line="360" w:lineRule="auto"/>
              <w:rPr>
                <w:rFonts w:ascii="宋体" w:cs="宋体"/>
                <w:sz w:val="24"/>
                <w:szCs w:val="24"/>
                <w:highlight w:val="none"/>
              </w:rPr>
            </w:pPr>
            <w:r>
              <w:rPr>
                <w:rFonts w:hint="eastAsia" w:ascii="宋体" w:hAnsi="宋体" w:cs="宋体"/>
                <w:sz w:val="24"/>
                <w:szCs w:val="24"/>
                <w:highlight w:val="none"/>
              </w:rPr>
              <w:t>备注：投标人应对照第二章第六项评审方法及标准“综合评审表”的内容，列出相应的评审分项在投标文件中所在的位置，</w:t>
            </w:r>
            <w:r>
              <w:rPr>
                <w:rFonts w:hint="eastAsia" w:ascii="宋体" w:hAnsi="宋体" w:cs="宋体"/>
                <w:b/>
                <w:sz w:val="24"/>
                <w:szCs w:val="24"/>
                <w:highlight w:val="none"/>
              </w:rPr>
              <w:t>并将“详细评审项目资料索引表”放在投标文件前面，</w:t>
            </w:r>
            <w:r>
              <w:rPr>
                <w:rFonts w:hint="eastAsia" w:ascii="宋体" w:hAnsi="宋体" w:cs="宋体"/>
                <w:sz w:val="24"/>
                <w:szCs w:val="24"/>
                <w:highlight w:val="none"/>
              </w:rPr>
              <w:t>以便查对。</w:t>
            </w:r>
          </w:p>
        </w:tc>
      </w:tr>
    </w:tbl>
    <w:p>
      <w:pPr>
        <w:spacing w:line="360" w:lineRule="auto"/>
        <w:rPr>
          <w:rFonts w:ascii="宋体" w:cs="宋体"/>
          <w:sz w:val="24"/>
          <w:szCs w:val="24"/>
          <w:highlight w:val="none"/>
        </w:rPr>
      </w:pPr>
    </w:p>
    <w:p>
      <w:pPr>
        <w:widowControl/>
        <w:jc w:val="left"/>
        <w:rPr>
          <w:rFonts w:ascii="宋体" w:cs="宋体"/>
          <w:sz w:val="24"/>
          <w:szCs w:val="24"/>
          <w:highlight w:val="none"/>
        </w:rPr>
      </w:pPr>
      <w:r>
        <w:rPr>
          <w:rFonts w:ascii="宋体" w:cs="宋体"/>
          <w:sz w:val="24"/>
          <w:szCs w:val="24"/>
          <w:highlight w:val="none"/>
        </w:rPr>
        <w:br w:type="page"/>
      </w:r>
    </w:p>
    <w:p>
      <w:pPr>
        <w:pStyle w:val="4"/>
        <w:jc w:val="center"/>
        <w:rPr>
          <w:rFonts w:ascii="宋体" w:cs="宋体"/>
          <w:highlight w:val="none"/>
        </w:rPr>
      </w:pPr>
      <w:bookmarkStart w:id="13" w:name="_Toc517776523"/>
      <w:r>
        <w:rPr>
          <w:rFonts w:hint="eastAsia" w:ascii="宋体" w:hAnsi="宋体" w:cs="宋体"/>
          <w:highlight w:val="none"/>
        </w:rPr>
        <w:t>二、目录</w:t>
      </w:r>
      <w:bookmarkEnd w:id="13"/>
    </w:p>
    <w:p>
      <w:pPr>
        <w:spacing w:line="360" w:lineRule="auto"/>
        <w:rPr>
          <w:rFonts w:ascii="宋体" w:cs="宋体"/>
          <w:sz w:val="24"/>
          <w:szCs w:val="24"/>
          <w:highlight w:val="none"/>
        </w:rPr>
      </w:pPr>
      <w:r>
        <w:rPr>
          <w:rFonts w:hint="eastAsia" w:ascii="宋体" w:hAnsi="宋体" w:cs="宋体"/>
          <w:sz w:val="24"/>
          <w:szCs w:val="24"/>
          <w:highlight w:val="none"/>
        </w:rPr>
        <w:t>一、目录索引</w:t>
      </w:r>
    </w:p>
    <w:p>
      <w:pPr>
        <w:spacing w:line="360" w:lineRule="auto"/>
        <w:rPr>
          <w:rFonts w:ascii="宋体" w:cs="宋体"/>
          <w:sz w:val="24"/>
          <w:szCs w:val="24"/>
          <w:highlight w:val="none"/>
        </w:rPr>
      </w:pPr>
      <w:r>
        <w:rPr>
          <w:rFonts w:hint="eastAsia" w:ascii="宋体" w:hAnsi="宋体" w:cs="宋体"/>
          <w:sz w:val="24"/>
          <w:szCs w:val="24"/>
          <w:highlight w:val="none"/>
        </w:rPr>
        <w:t>二、目录</w:t>
      </w:r>
    </w:p>
    <w:p>
      <w:pPr>
        <w:spacing w:line="360" w:lineRule="auto"/>
        <w:rPr>
          <w:rFonts w:ascii="宋体" w:cs="宋体"/>
          <w:sz w:val="24"/>
          <w:szCs w:val="24"/>
          <w:highlight w:val="none"/>
        </w:rPr>
      </w:pPr>
      <w:r>
        <w:rPr>
          <w:rFonts w:hint="eastAsia" w:ascii="宋体" w:hAnsi="宋体" w:cs="宋体"/>
          <w:sz w:val="24"/>
          <w:szCs w:val="24"/>
          <w:highlight w:val="none"/>
        </w:rPr>
        <w:t>三、投标函</w:t>
      </w:r>
    </w:p>
    <w:p>
      <w:pPr>
        <w:spacing w:line="360" w:lineRule="auto"/>
        <w:rPr>
          <w:rFonts w:ascii="宋体" w:cs="宋体"/>
          <w:sz w:val="24"/>
          <w:szCs w:val="24"/>
          <w:highlight w:val="none"/>
        </w:rPr>
      </w:pPr>
      <w:r>
        <w:rPr>
          <w:rFonts w:hint="eastAsia" w:ascii="宋体" w:hAnsi="宋体" w:cs="宋体"/>
          <w:sz w:val="24"/>
          <w:szCs w:val="24"/>
          <w:highlight w:val="none"/>
        </w:rPr>
        <w:t>四、报价一览表</w:t>
      </w:r>
    </w:p>
    <w:p>
      <w:pPr>
        <w:spacing w:line="360" w:lineRule="auto"/>
        <w:rPr>
          <w:rFonts w:ascii="宋体" w:cs="宋体"/>
          <w:sz w:val="24"/>
          <w:szCs w:val="24"/>
          <w:highlight w:val="none"/>
        </w:rPr>
      </w:pPr>
      <w:r>
        <w:rPr>
          <w:rFonts w:hint="eastAsia" w:ascii="宋体" w:hAnsi="宋体" w:cs="宋体"/>
          <w:sz w:val="24"/>
          <w:szCs w:val="24"/>
          <w:highlight w:val="none"/>
        </w:rPr>
        <w:t>五、法人代表授权委托书</w:t>
      </w:r>
    </w:p>
    <w:p>
      <w:pPr>
        <w:spacing w:line="360" w:lineRule="auto"/>
        <w:rPr>
          <w:rFonts w:ascii="宋体" w:cs="宋体"/>
          <w:sz w:val="24"/>
          <w:szCs w:val="24"/>
          <w:highlight w:val="none"/>
        </w:rPr>
      </w:pPr>
      <w:r>
        <w:rPr>
          <w:rFonts w:hint="eastAsia" w:ascii="宋体" w:hAnsi="宋体" w:cs="宋体"/>
          <w:sz w:val="24"/>
          <w:szCs w:val="24"/>
          <w:highlight w:val="none"/>
        </w:rPr>
        <w:t>六、投标人资格说明</w:t>
      </w:r>
    </w:p>
    <w:p>
      <w:pPr>
        <w:spacing w:line="360" w:lineRule="auto"/>
        <w:rPr>
          <w:rFonts w:ascii="宋体" w:cs="宋体"/>
          <w:sz w:val="24"/>
          <w:szCs w:val="24"/>
          <w:highlight w:val="none"/>
        </w:rPr>
      </w:pPr>
      <w:r>
        <w:rPr>
          <w:rFonts w:hint="eastAsia" w:ascii="宋体" w:hAnsi="宋体" w:cs="宋体"/>
          <w:sz w:val="24"/>
          <w:szCs w:val="24"/>
          <w:highlight w:val="none"/>
        </w:rPr>
        <w:t>七、分项报价表</w:t>
      </w:r>
    </w:p>
    <w:p>
      <w:pPr>
        <w:spacing w:line="360" w:lineRule="auto"/>
        <w:rPr>
          <w:rFonts w:ascii="宋体" w:cs="宋体"/>
          <w:sz w:val="24"/>
          <w:szCs w:val="24"/>
          <w:highlight w:val="none"/>
        </w:rPr>
      </w:pPr>
      <w:r>
        <w:rPr>
          <w:rFonts w:hint="eastAsia" w:ascii="宋体" w:hAnsi="宋体" w:cs="宋体"/>
          <w:sz w:val="24"/>
          <w:szCs w:val="24"/>
          <w:highlight w:val="none"/>
        </w:rPr>
        <w:t>八、企业完成同类项目一览表</w:t>
      </w:r>
    </w:p>
    <w:p>
      <w:pPr>
        <w:spacing w:line="360" w:lineRule="auto"/>
        <w:rPr>
          <w:rFonts w:ascii="宋体" w:cs="宋体"/>
          <w:sz w:val="24"/>
          <w:szCs w:val="24"/>
          <w:highlight w:val="none"/>
        </w:rPr>
      </w:pPr>
      <w:r>
        <w:rPr>
          <w:rFonts w:hint="eastAsia" w:ascii="宋体" w:hAnsi="宋体" w:cs="宋体"/>
          <w:sz w:val="24"/>
          <w:szCs w:val="24"/>
          <w:highlight w:val="none"/>
        </w:rPr>
        <w:t>九、项目技术方案（格式自定）</w:t>
      </w:r>
    </w:p>
    <w:p>
      <w:pPr>
        <w:spacing w:line="360" w:lineRule="auto"/>
        <w:rPr>
          <w:rFonts w:ascii="宋体" w:cs="宋体"/>
          <w:sz w:val="24"/>
          <w:szCs w:val="24"/>
          <w:highlight w:val="none"/>
        </w:rPr>
      </w:pPr>
      <w:r>
        <w:rPr>
          <w:rFonts w:hint="eastAsia" w:ascii="宋体" w:hAnsi="宋体" w:cs="宋体"/>
          <w:sz w:val="24"/>
          <w:szCs w:val="24"/>
          <w:highlight w:val="none"/>
        </w:rPr>
        <w:t>十、售后及维护能力（格式自定）</w:t>
      </w:r>
    </w:p>
    <w:p>
      <w:pPr>
        <w:spacing w:line="360" w:lineRule="auto"/>
        <w:rPr>
          <w:rFonts w:ascii="宋体" w:cs="宋体"/>
          <w:sz w:val="24"/>
          <w:szCs w:val="24"/>
          <w:highlight w:val="none"/>
        </w:rPr>
      </w:pPr>
      <w:r>
        <w:rPr>
          <w:rFonts w:hint="eastAsia" w:ascii="宋体" w:hAnsi="宋体" w:cs="宋体"/>
          <w:sz w:val="24"/>
          <w:szCs w:val="24"/>
          <w:highlight w:val="none"/>
        </w:rPr>
        <w:t>十一、投标企业认为有必要提供的其他资料。</w:t>
      </w:r>
    </w:p>
    <w:p>
      <w:pPr>
        <w:widowControl/>
        <w:jc w:val="left"/>
        <w:rPr>
          <w:rFonts w:ascii="宋体" w:cs="宋体"/>
          <w:highlight w:val="none"/>
        </w:rPr>
      </w:pPr>
      <w:r>
        <w:rPr>
          <w:rFonts w:ascii="宋体" w:cs="宋体"/>
          <w:highlight w:val="none"/>
        </w:rPr>
        <w:br w:type="page"/>
      </w:r>
    </w:p>
    <w:p>
      <w:pPr>
        <w:rPr>
          <w:rFonts w:ascii="宋体" w:cs="宋体"/>
          <w:highlight w:val="none"/>
        </w:rPr>
      </w:pPr>
    </w:p>
    <w:p>
      <w:pPr>
        <w:pStyle w:val="4"/>
        <w:jc w:val="center"/>
        <w:rPr>
          <w:rFonts w:ascii="宋体" w:cs="宋体"/>
          <w:highlight w:val="none"/>
        </w:rPr>
      </w:pPr>
      <w:bookmarkStart w:id="14" w:name="_Toc517776524"/>
      <w:r>
        <w:rPr>
          <w:rFonts w:hint="eastAsia" w:ascii="宋体" w:hAnsi="宋体" w:cs="宋体"/>
          <w:highlight w:val="none"/>
        </w:rPr>
        <w:t>三、投标函</w:t>
      </w:r>
      <w:bookmarkEnd w:id="14"/>
    </w:p>
    <w:p>
      <w:pPr>
        <w:spacing w:line="360" w:lineRule="auto"/>
        <w:rPr>
          <w:rFonts w:ascii="宋体" w:cs="宋体"/>
          <w:sz w:val="24"/>
          <w:szCs w:val="24"/>
          <w:highlight w:val="none"/>
        </w:rPr>
      </w:pPr>
      <w:r>
        <w:rPr>
          <w:rFonts w:hint="eastAsia" w:ascii="宋体" w:hAnsi="宋体" w:cs="宋体"/>
          <w:b/>
          <w:sz w:val="24"/>
          <w:szCs w:val="24"/>
          <w:highlight w:val="none"/>
        </w:rPr>
        <w:t>致</w:t>
      </w:r>
      <w:r>
        <w:rPr>
          <w:rFonts w:hint="eastAsia" w:ascii="宋体" w:hAnsi="宋体" w:cs="宋体"/>
          <w:b/>
          <w:sz w:val="24"/>
          <w:szCs w:val="24"/>
          <w:highlight w:val="none"/>
          <w:lang w:eastAsia="zh-CN"/>
        </w:rPr>
        <w:t>新疆维吾尔自治区广播电视局六三五台</w:t>
      </w:r>
      <w:r>
        <w:rPr>
          <w:rFonts w:hint="eastAsia" w:ascii="宋体" w:hAnsi="宋体" w:cs="宋体"/>
          <w:b/>
          <w:sz w:val="24"/>
          <w:szCs w:val="24"/>
          <w:highlight w:val="none"/>
        </w:rPr>
        <w:t>：</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根据贵方为项目名称（项目编号：）（包号）采购文件，我方代表（姓名、职务）经正式授权并代表（投标人名称）提交下述文件正本壹份，副本肆份。</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在此，我方声明如下：</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同意并接受采购文件的各项要求，遵守采购文件中的各项规定，按采购文件中的“用户需求书”执行结算。</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本投标的有效期为递交投标文件之日起</w:t>
      </w:r>
      <w:r>
        <w:rPr>
          <w:rFonts w:ascii="宋体" w:hAnsi="宋体" w:cs="宋体"/>
          <w:sz w:val="24"/>
          <w:szCs w:val="24"/>
          <w:highlight w:val="none"/>
          <w:u w:val="single"/>
        </w:rPr>
        <w:t>90</w:t>
      </w:r>
      <w:r>
        <w:rPr>
          <w:rFonts w:hint="eastAsia" w:ascii="宋体" w:hAnsi="宋体" w:cs="宋体"/>
          <w:sz w:val="24"/>
          <w:szCs w:val="24"/>
          <w:highlight w:val="none"/>
        </w:rPr>
        <w:t>天；中标后，投标有效期延至合同验收之日。</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我方已经详细地阅读了全部采购文件及其附件，包括澄清及参考文件（如果有的话）。我方已完全清晰理解采购文件的要求，不存在任何含糊不清和误解之处，同意放弃对这些文件提出异议和质疑的权力。</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我方已毫无保留地向贵方提供一切所需的证明材料。</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5.</w:t>
      </w:r>
      <w:r>
        <w:rPr>
          <w:rFonts w:hint="eastAsia" w:ascii="宋体" w:hAnsi="宋体" w:cs="宋体"/>
          <w:sz w:val="24"/>
          <w:szCs w:val="24"/>
          <w:highlight w:val="none"/>
        </w:rPr>
        <w:t>我方承诺在本投标文件中提供的一切文件和资料，无论是原件还是复印件均为真实和准确的，绝无任何虚假、伪造和夸大的成份。否则，愿意承担相应的后果和法律责任。</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6.</w:t>
      </w:r>
      <w:r>
        <w:rPr>
          <w:rFonts w:hint="eastAsia" w:ascii="宋体" w:hAnsi="宋体" w:cs="宋体"/>
          <w:sz w:val="24"/>
          <w:szCs w:val="24"/>
          <w:highlight w:val="none"/>
        </w:rPr>
        <w:t>我方完全服从和尊重评委会所作的评定结果。</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7.</w:t>
      </w:r>
      <w:r>
        <w:rPr>
          <w:rFonts w:hint="eastAsia" w:ascii="宋体" w:hAnsi="宋体" w:cs="宋体"/>
          <w:sz w:val="24"/>
          <w:szCs w:val="24"/>
          <w:highlight w:val="none"/>
        </w:rPr>
        <w:t>我方同意按采购文件的规定向采购代理机构缴纳招标代理费。</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8.</w:t>
      </w:r>
      <w:r>
        <w:rPr>
          <w:rFonts w:hint="eastAsia" w:ascii="宋体" w:hAnsi="宋体" w:cs="宋体"/>
          <w:sz w:val="24"/>
          <w:szCs w:val="24"/>
          <w:highlight w:val="none"/>
        </w:rPr>
        <w:t>我方同意按照采购文件的要求认真履行中标投标人应尽的义务，若我方行为不当而损害了采购方的合法权益，我方愿在任何时候无条件承担相应的缔约过失责任和经济赔偿。</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投标人名称（盖单位公章）：</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投标人代表姓名（打印）：签字：</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地址：</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传真：</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电话：</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邮箱：</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日期：年月日</w:t>
      </w:r>
    </w:p>
    <w:p>
      <w:pPr>
        <w:widowControl/>
        <w:jc w:val="left"/>
        <w:rPr>
          <w:rFonts w:ascii="宋体" w:cs="宋体"/>
          <w:sz w:val="24"/>
          <w:szCs w:val="24"/>
          <w:highlight w:val="none"/>
        </w:rPr>
      </w:pPr>
      <w:r>
        <w:rPr>
          <w:rFonts w:ascii="宋体" w:cs="宋体"/>
          <w:sz w:val="24"/>
          <w:szCs w:val="24"/>
          <w:highlight w:val="none"/>
        </w:rPr>
        <w:br w:type="page"/>
      </w:r>
    </w:p>
    <w:p>
      <w:pPr>
        <w:pStyle w:val="4"/>
        <w:jc w:val="center"/>
        <w:rPr>
          <w:rFonts w:ascii="宋体" w:cs="宋体"/>
          <w:highlight w:val="none"/>
        </w:rPr>
      </w:pPr>
      <w:bookmarkStart w:id="15" w:name="_Toc517776525"/>
      <w:r>
        <w:rPr>
          <w:rFonts w:hint="eastAsia" w:ascii="宋体" w:hAnsi="宋体" w:cs="宋体"/>
          <w:highlight w:val="none"/>
        </w:rPr>
        <w:t>四、报价一览表</w:t>
      </w:r>
      <w:bookmarkEnd w:id="15"/>
    </w:p>
    <w:p>
      <w:pPr>
        <w:tabs>
          <w:tab w:val="left" w:pos="9135"/>
        </w:tabs>
        <w:spacing w:line="360" w:lineRule="auto"/>
        <w:rPr>
          <w:rFonts w:ascii="宋体" w:cs="宋体"/>
          <w:sz w:val="24"/>
          <w:highlight w:val="none"/>
          <w:u w:val="single"/>
        </w:rPr>
      </w:pPr>
      <w:r>
        <w:rPr>
          <w:rFonts w:hint="eastAsia" w:ascii="宋体" w:hAnsi="宋体" w:cs="宋体"/>
          <w:sz w:val="24"/>
          <w:highlight w:val="none"/>
        </w:rPr>
        <w:t>项目名称：</w:t>
      </w:r>
      <w:r>
        <w:rPr>
          <w:rFonts w:ascii="宋体" w:hAnsi="宋体" w:cs="宋体"/>
          <w:sz w:val="24"/>
          <w:highlight w:val="none"/>
          <w:u w:val="single"/>
        </w:rPr>
        <w:t xml:space="preserve">                      </w:t>
      </w:r>
      <w:r>
        <w:rPr>
          <w:rFonts w:hint="eastAsia" w:ascii="宋体" w:hAnsi="宋体" w:cs="宋体"/>
          <w:sz w:val="24"/>
          <w:highlight w:val="none"/>
          <w:u w:val="single"/>
        </w:rPr>
        <w:t>（第</w:t>
      </w:r>
      <w:r>
        <w:rPr>
          <w:rFonts w:ascii="宋体" w:hAnsi="宋体" w:cs="宋体"/>
          <w:sz w:val="24"/>
          <w:highlight w:val="none"/>
          <w:u w:val="single"/>
        </w:rPr>
        <w:t xml:space="preserve">   </w:t>
      </w:r>
      <w:r>
        <w:rPr>
          <w:rFonts w:hint="eastAsia" w:ascii="宋体" w:hAnsi="宋体" w:cs="宋体"/>
          <w:sz w:val="24"/>
          <w:highlight w:val="none"/>
          <w:u w:val="single"/>
        </w:rPr>
        <w:t>包）</w:t>
      </w:r>
      <w:r>
        <w:rPr>
          <w:rFonts w:ascii="宋体" w:hAnsi="宋体" w:cs="宋体"/>
          <w:sz w:val="24"/>
          <w:highlight w:val="none"/>
          <w:u w:val="single"/>
        </w:rPr>
        <w:t xml:space="preserve">             </w:t>
      </w:r>
      <w:r>
        <w:rPr>
          <w:rFonts w:hint="eastAsia" w:ascii="宋体" w:hAnsi="宋体" w:cs="宋体"/>
          <w:sz w:val="24"/>
          <w:highlight w:val="none"/>
        </w:rPr>
        <w:t>项目编号：</w:t>
      </w:r>
      <w:r>
        <w:rPr>
          <w:rFonts w:ascii="宋体" w:hAnsi="宋体" w:cs="宋体"/>
          <w:sz w:val="24"/>
          <w:highlight w:val="none"/>
          <w:u w:val="single"/>
        </w:rPr>
        <w:t xml:space="preserve">               </w:t>
      </w:r>
    </w:p>
    <w:tbl>
      <w:tblPr>
        <w:tblStyle w:val="36"/>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2816"/>
        <w:gridCol w:w="2694"/>
        <w:gridCol w:w="2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1273" w:type="dxa"/>
            <w:vAlign w:val="center"/>
          </w:tcPr>
          <w:p>
            <w:pPr>
              <w:tabs>
                <w:tab w:val="left" w:pos="9135"/>
              </w:tabs>
              <w:spacing w:line="360" w:lineRule="auto"/>
              <w:jc w:val="center"/>
              <w:rPr>
                <w:rFonts w:ascii="宋体" w:cs="宋体"/>
                <w:sz w:val="24"/>
                <w:highlight w:val="none"/>
              </w:rPr>
            </w:pPr>
            <w:r>
              <w:rPr>
                <w:rFonts w:hint="eastAsia" w:ascii="宋体" w:hAnsi="宋体" w:cs="宋体"/>
                <w:sz w:val="24"/>
                <w:highlight w:val="none"/>
              </w:rPr>
              <w:t>序号</w:t>
            </w:r>
          </w:p>
        </w:tc>
        <w:tc>
          <w:tcPr>
            <w:tcW w:w="2816" w:type="dxa"/>
            <w:vAlign w:val="center"/>
          </w:tcPr>
          <w:p>
            <w:pPr>
              <w:tabs>
                <w:tab w:val="left" w:pos="9135"/>
              </w:tabs>
              <w:spacing w:line="360" w:lineRule="auto"/>
              <w:jc w:val="center"/>
              <w:rPr>
                <w:rFonts w:ascii="宋体" w:cs="宋体"/>
                <w:sz w:val="24"/>
                <w:highlight w:val="none"/>
              </w:rPr>
            </w:pPr>
            <w:r>
              <w:rPr>
                <w:rFonts w:hint="eastAsia" w:ascii="宋体" w:hAnsi="宋体" w:cs="宋体"/>
                <w:sz w:val="24"/>
                <w:highlight w:val="none"/>
              </w:rPr>
              <w:t>名称</w:t>
            </w:r>
          </w:p>
        </w:tc>
        <w:tc>
          <w:tcPr>
            <w:tcW w:w="2694" w:type="dxa"/>
            <w:vAlign w:val="center"/>
          </w:tcPr>
          <w:p>
            <w:pPr>
              <w:tabs>
                <w:tab w:val="left" w:pos="9135"/>
              </w:tabs>
              <w:spacing w:line="360" w:lineRule="auto"/>
              <w:jc w:val="center"/>
              <w:rPr>
                <w:rFonts w:ascii="宋体" w:cs="宋体"/>
                <w:sz w:val="24"/>
                <w:highlight w:val="none"/>
              </w:rPr>
            </w:pPr>
            <w:r>
              <w:rPr>
                <w:rFonts w:hint="eastAsia" w:ascii="宋体" w:hAnsi="宋体" w:cs="宋体"/>
                <w:sz w:val="24"/>
                <w:highlight w:val="none"/>
              </w:rPr>
              <w:t>投标价格</w:t>
            </w:r>
          </w:p>
        </w:tc>
        <w:tc>
          <w:tcPr>
            <w:tcW w:w="2329" w:type="dxa"/>
            <w:vAlign w:val="center"/>
          </w:tcPr>
          <w:p>
            <w:pPr>
              <w:tabs>
                <w:tab w:val="left" w:pos="9135"/>
              </w:tabs>
              <w:spacing w:line="360" w:lineRule="auto"/>
              <w:jc w:val="center"/>
              <w:rPr>
                <w:rFonts w:ascii="宋体" w:cs="宋体"/>
                <w:sz w:val="24"/>
                <w:highlight w:val="none"/>
              </w:rPr>
            </w:pPr>
            <w:r>
              <w:rPr>
                <w:rFonts w:hint="eastAsia" w:ascii="宋体" w:hAnsi="宋体" w:cs="宋体"/>
                <w:sz w:val="24"/>
                <w:highlight w:val="none"/>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273" w:type="dxa"/>
            <w:vAlign w:val="center"/>
          </w:tcPr>
          <w:p>
            <w:pPr>
              <w:numPr>
                <w:ilvl w:val="0"/>
                <w:numId w:val="11"/>
              </w:numPr>
              <w:tabs>
                <w:tab w:val="left" w:pos="9135"/>
              </w:tabs>
              <w:spacing w:line="360" w:lineRule="auto"/>
              <w:jc w:val="center"/>
              <w:rPr>
                <w:rFonts w:ascii="宋体" w:cs="宋体"/>
                <w:sz w:val="24"/>
                <w:highlight w:val="none"/>
              </w:rPr>
            </w:pPr>
          </w:p>
        </w:tc>
        <w:tc>
          <w:tcPr>
            <w:tcW w:w="2816" w:type="dxa"/>
            <w:vAlign w:val="center"/>
          </w:tcPr>
          <w:p>
            <w:pPr>
              <w:spacing w:line="360" w:lineRule="auto"/>
              <w:jc w:val="center"/>
              <w:rPr>
                <w:rFonts w:ascii="宋体" w:cs="宋体"/>
                <w:sz w:val="24"/>
                <w:highlight w:val="none"/>
              </w:rPr>
            </w:pPr>
          </w:p>
        </w:tc>
        <w:tc>
          <w:tcPr>
            <w:tcW w:w="2694" w:type="dxa"/>
            <w:vAlign w:val="center"/>
          </w:tcPr>
          <w:p>
            <w:pPr>
              <w:tabs>
                <w:tab w:val="left" w:pos="9135"/>
              </w:tabs>
              <w:spacing w:line="360" w:lineRule="auto"/>
              <w:jc w:val="center"/>
              <w:rPr>
                <w:rFonts w:ascii="宋体" w:cs="宋体"/>
                <w:sz w:val="24"/>
                <w:highlight w:val="none"/>
              </w:rPr>
            </w:pPr>
          </w:p>
        </w:tc>
        <w:tc>
          <w:tcPr>
            <w:tcW w:w="2329" w:type="dxa"/>
            <w:vAlign w:val="center"/>
          </w:tcPr>
          <w:p>
            <w:pPr>
              <w:tabs>
                <w:tab w:val="left" w:pos="9135"/>
              </w:tabs>
              <w:spacing w:line="360" w:lineRule="auto"/>
              <w:jc w:val="center"/>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273" w:type="dxa"/>
            <w:vAlign w:val="center"/>
          </w:tcPr>
          <w:p>
            <w:pPr>
              <w:numPr>
                <w:ilvl w:val="0"/>
                <w:numId w:val="11"/>
              </w:numPr>
              <w:tabs>
                <w:tab w:val="left" w:pos="9135"/>
              </w:tabs>
              <w:spacing w:line="360" w:lineRule="auto"/>
              <w:jc w:val="center"/>
              <w:rPr>
                <w:rFonts w:ascii="宋体" w:cs="宋体"/>
                <w:sz w:val="24"/>
                <w:highlight w:val="none"/>
              </w:rPr>
            </w:pPr>
          </w:p>
        </w:tc>
        <w:tc>
          <w:tcPr>
            <w:tcW w:w="7839" w:type="dxa"/>
            <w:gridSpan w:val="3"/>
            <w:vAlign w:val="center"/>
          </w:tcPr>
          <w:p>
            <w:pPr>
              <w:tabs>
                <w:tab w:val="left" w:pos="9135"/>
              </w:tabs>
              <w:spacing w:line="360" w:lineRule="auto"/>
              <w:rPr>
                <w:rFonts w:ascii="宋体" w:cs="宋体"/>
                <w:sz w:val="24"/>
                <w:highlight w:val="none"/>
              </w:rPr>
            </w:pPr>
            <w:r>
              <w:rPr>
                <w:rFonts w:hint="eastAsia" w:ascii="宋体" w:hAnsi="宋体" w:cs="宋体"/>
                <w:sz w:val="24"/>
                <w:highlight w:val="none"/>
              </w:rPr>
              <w:t>大写：</w:t>
            </w:r>
          </w:p>
        </w:tc>
      </w:tr>
    </w:tbl>
    <w:p>
      <w:pPr>
        <w:spacing w:line="360" w:lineRule="auto"/>
        <w:ind w:firstLine="280"/>
        <w:rPr>
          <w:rFonts w:ascii="宋体" w:cs="宋体"/>
          <w:b/>
          <w:sz w:val="24"/>
          <w:highlight w:val="none"/>
        </w:rPr>
      </w:pPr>
      <w:r>
        <w:rPr>
          <w:rFonts w:hint="eastAsia" w:ascii="宋体" w:hAnsi="宋体" w:cs="宋体"/>
          <w:b/>
          <w:sz w:val="24"/>
          <w:highlight w:val="none"/>
        </w:rPr>
        <w:t>注：投标人应根据自身产品进行综合报价，报价包括设备制造费、运输保险费、装卸车费用、增值税费、安装技术指导、保修以及企业管理及利润等全部费用，充分考虑市场风险，编制采购方案，并报价等，买方不必支付其它任何费用。</w:t>
      </w:r>
    </w:p>
    <w:p>
      <w:pPr>
        <w:spacing w:line="360" w:lineRule="auto"/>
        <w:ind w:firstLine="280"/>
        <w:rPr>
          <w:rFonts w:ascii="宋体" w:cs="宋体"/>
          <w:b/>
          <w:sz w:val="24"/>
          <w:highlight w:val="none"/>
        </w:rPr>
      </w:pPr>
      <w:r>
        <w:rPr>
          <w:rFonts w:hint="eastAsia" w:ascii="宋体" w:hAnsi="宋体" w:cs="宋体"/>
          <w:b/>
          <w:sz w:val="24"/>
          <w:highlight w:val="none"/>
        </w:rPr>
        <w:t>此报价一览除投标文件中必须有外，还需单独提供一份并单独密封。</w:t>
      </w:r>
    </w:p>
    <w:p>
      <w:pPr>
        <w:spacing w:line="360" w:lineRule="auto"/>
        <w:ind w:firstLine="280"/>
        <w:rPr>
          <w:rFonts w:ascii="宋体" w:cs="宋体"/>
          <w:sz w:val="24"/>
          <w:highlight w:val="none"/>
        </w:rPr>
      </w:pPr>
      <w:r>
        <w:rPr>
          <w:rFonts w:hint="eastAsia" w:ascii="宋体" w:hAnsi="宋体" w:cs="宋体"/>
          <w:sz w:val="24"/>
          <w:highlight w:val="none"/>
        </w:rPr>
        <w:t>投标人代表签字：</w:t>
      </w:r>
    </w:p>
    <w:p>
      <w:pPr>
        <w:spacing w:line="360" w:lineRule="auto"/>
        <w:ind w:firstLine="280"/>
        <w:rPr>
          <w:rFonts w:ascii="宋体" w:cs="宋体"/>
          <w:sz w:val="24"/>
          <w:highlight w:val="none"/>
        </w:rPr>
      </w:pPr>
      <w:r>
        <w:rPr>
          <w:rFonts w:hint="eastAsia" w:ascii="宋体" w:hAnsi="宋体" w:cs="宋体"/>
          <w:sz w:val="24"/>
          <w:highlight w:val="none"/>
        </w:rPr>
        <w:t>投标人名称（盖章）：</w:t>
      </w:r>
    </w:p>
    <w:p>
      <w:pPr>
        <w:spacing w:line="360" w:lineRule="auto"/>
        <w:ind w:firstLine="280"/>
        <w:rPr>
          <w:rFonts w:ascii="宋体" w:cs="宋体"/>
          <w:sz w:val="24"/>
          <w:highlight w:val="none"/>
        </w:rPr>
      </w:pPr>
      <w:r>
        <w:rPr>
          <w:rFonts w:hint="eastAsia" w:ascii="宋体" w:hAnsi="宋体" w:cs="宋体"/>
          <w:sz w:val="24"/>
          <w:highlight w:val="none"/>
        </w:rPr>
        <w:t>日</w:t>
      </w:r>
      <w:r>
        <w:rPr>
          <w:rFonts w:ascii="宋体" w:hAnsi="宋体" w:cs="宋体"/>
          <w:sz w:val="24"/>
          <w:highlight w:val="none"/>
        </w:rPr>
        <w:t xml:space="preserve">      </w:t>
      </w:r>
      <w:r>
        <w:rPr>
          <w:rFonts w:hint="eastAsia" w:ascii="宋体" w:hAnsi="宋体" w:cs="宋体"/>
          <w:sz w:val="24"/>
          <w:highlight w:val="none"/>
        </w:rPr>
        <w:t>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p>
    <w:p>
      <w:pPr>
        <w:widowControl/>
        <w:jc w:val="left"/>
        <w:rPr>
          <w:rFonts w:ascii="宋体" w:cs="宋体"/>
          <w:highlight w:val="none"/>
        </w:rPr>
      </w:pPr>
    </w:p>
    <w:p>
      <w:pPr>
        <w:widowControl/>
        <w:jc w:val="left"/>
        <w:rPr>
          <w:rFonts w:ascii="宋体" w:cs="宋体"/>
          <w:b/>
          <w:bCs/>
          <w:sz w:val="28"/>
          <w:szCs w:val="32"/>
          <w:highlight w:val="none"/>
        </w:rPr>
      </w:pPr>
      <w:r>
        <w:rPr>
          <w:rFonts w:ascii="宋体" w:cs="宋体"/>
          <w:highlight w:val="none"/>
        </w:rPr>
        <w:br w:type="page"/>
      </w:r>
    </w:p>
    <w:p>
      <w:pPr>
        <w:pStyle w:val="4"/>
        <w:jc w:val="center"/>
        <w:rPr>
          <w:rFonts w:ascii="宋体" w:cs="宋体"/>
          <w:highlight w:val="none"/>
        </w:rPr>
      </w:pPr>
      <w:bookmarkStart w:id="16" w:name="_Toc517776526"/>
      <w:r>
        <w:rPr>
          <w:rFonts w:hint="eastAsia" w:ascii="宋体" w:hAnsi="宋体" w:cs="宋体"/>
          <w:highlight w:val="none"/>
        </w:rPr>
        <w:t>五、法人代表授权委托书</w:t>
      </w:r>
      <w:bookmarkEnd w:id="16"/>
    </w:p>
    <w:p>
      <w:pPr>
        <w:rPr>
          <w:rFonts w:ascii="宋体" w:cs="宋体"/>
          <w:highlight w:val="none"/>
        </w:rPr>
      </w:pPr>
    </w:p>
    <w:p>
      <w:pPr>
        <w:pStyle w:val="20"/>
        <w:ind w:right="-15"/>
        <w:rPr>
          <w:rFonts w:hAnsi="宋体" w:cs="宋体"/>
          <w:b/>
          <w:sz w:val="24"/>
          <w:szCs w:val="24"/>
          <w:highlight w:val="none"/>
        </w:rPr>
      </w:pPr>
      <w:r>
        <w:rPr>
          <w:rFonts w:hint="eastAsia" w:hAnsi="宋体" w:cs="宋体"/>
          <w:b/>
          <w:sz w:val="24"/>
          <w:szCs w:val="24"/>
          <w:highlight w:val="none"/>
          <w:lang w:eastAsia="zh-CN"/>
        </w:rPr>
        <w:t>新疆维吾尔自治区广播电视局六三五台</w:t>
      </w:r>
      <w:r>
        <w:rPr>
          <w:rFonts w:hAnsi="宋体" w:cs="宋体"/>
          <w:b/>
          <w:sz w:val="24"/>
          <w:szCs w:val="24"/>
          <w:highlight w:val="none"/>
        </w:rPr>
        <w:t>:</w:t>
      </w:r>
    </w:p>
    <w:p>
      <w:pPr>
        <w:pStyle w:val="20"/>
        <w:ind w:right="-15" w:firstLine="645"/>
        <w:rPr>
          <w:rFonts w:hAnsi="宋体" w:cs="宋体"/>
          <w:sz w:val="24"/>
          <w:szCs w:val="24"/>
          <w:highlight w:val="none"/>
        </w:rPr>
      </w:pPr>
      <w:r>
        <w:rPr>
          <w:rFonts w:hint="eastAsia" w:hAnsi="宋体" w:cs="宋体"/>
          <w:sz w:val="24"/>
          <w:szCs w:val="24"/>
          <w:highlight w:val="none"/>
        </w:rPr>
        <w:t>我公司法定代表人现委托参加贵招标公司组织的招标活动</w:t>
      </w:r>
      <w:r>
        <w:rPr>
          <w:rFonts w:hAnsi="宋体" w:cs="宋体"/>
          <w:sz w:val="24"/>
          <w:szCs w:val="24"/>
          <w:highlight w:val="none"/>
        </w:rPr>
        <w:t>,</w:t>
      </w:r>
      <w:r>
        <w:rPr>
          <w:rFonts w:hint="eastAsia" w:hAnsi="宋体" w:cs="宋体"/>
          <w:sz w:val="24"/>
          <w:szCs w:val="24"/>
          <w:highlight w:val="none"/>
        </w:rPr>
        <w:t>全权代表我公司处理招标的有关事宜</w:t>
      </w:r>
      <w:r>
        <w:rPr>
          <w:rFonts w:hAnsi="宋体" w:cs="宋体"/>
          <w:sz w:val="24"/>
          <w:szCs w:val="24"/>
          <w:highlight w:val="none"/>
        </w:rPr>
        <w:t>,</w:t>
      </w:r>
      <w:r>
        <w:rPr>
          <w:rFonts w:hint="eastAsia" w:hAnsi="宋体" w:cs="宋体"/>
          <w:sz w:val="24"/>
          <w:szCs w:val="24"/>
          <w:highlight w:val="none"/>
        </w:rPr>
        <w:t>代理人所签署的一切有关文件</w:t>
      </w:r>
      <w:r>
        <w:rPr>
          <w:rFonts w:hAnsi="宋体" w:cs="宋体"/>
          <w:sz w:val="24"/>
          <w:szCs w:val="24"/>
          <w:highlight w:val="none"/>
        </w:rPr>
        <w:t>,</w:t>
      </w:r>
      <w:r>
        <w:rPr>
          <w:rFonts w:hint="eastAsia" w:hAnsi="宋体" w:cs="宋体"/>
          <w:sz w:val="24"/>
          <w:szCs w:val="24"/>
          <w:highlight w:val="none"/>
        </w:rPr>
        <w:t>我公司均予承认。</w:t>
      </w:r>
    </w:p>
    <w:p>
      <w:pPr>
        <w:pStyle w:val="20"/>
        <w:ind w:right="-15"/>
        <w:rPr>
          <w:rFonts w:hAnsi="宋体" w:cs="宋体"/>
          <w:sz w:val="24"/>
          <w:szCs w:val="24"/>
          <w:highlight w:val="none"/>
        </w:rPr>
      </w:pPr>
    </w:p>
    <w:p>
      <w:pPr>
        <w:pStyle w:val="20"/>
        <w:ind w:right="-15"/>
        <w:rPr>
          <w:rFonts w:hAnsi="宋体" w:cs="宋体"/>
          <w:sz w:val="24"/>
          <w:szCs w:val="24"/>
          <w:highlight w:val="none"/>
        </w:rPr>
      </w:pPr>
    </w:p>
    <w:p>
      <w:pPr>
        <w:pStyle w:val="20"/>
        <w:ind w:right="-15"/>
        <w:rPr>
          <w:rFonts w:hAnsi="宋体" w:cs="宋体"/>
          <w:b/>
          <w:sz w:val="24"/>
          <w:szCs w:val="24"/>
          <w:highlight w:val="none"/>
        </w:rPr>
      </w:pPr>
      <w:r>
        <w:rPr>
          <w:rFonts w:hint="eastAsia" w:hAnsi="宋体" w:cs="宋体"/>
          <w:b/>
          <w:sz w:val="24"/>
          <w:szCs w:val="24"/>
          <w:highlight w:val="none"/>
        </w:rPr>
        <w:t>代理人情况</w:t>
      </w:r>
      <w:r>
        <w:rPr>
          <w:rFonts w:hAnsi="宋体" w:cs="宋体"/>
          <w:b/>
          <w:sz w:val="24"/>
          <w:szCs w:val="24"/>
          <w:highlight w:val="none"/>
        </w:rPr>
        <w:t>:</w:t>
      </w:r>
    </w:p>
    <w:p>
      <w:pPr>
        <w:pStyle w:val="20"/>
        <w:ind w:right="-15"/>
        <w:rPr>
          <w:rFonts w:hAnsi="宋体" w:cs="宋体"/>
          <w:sz w:val="24"/>
          <w:szCs w:val="24"/>
          <w:highlight w:val="none"/>
          <w:u w:val="single"/>
        </w:rPr>
      </w:pPr>
      <w:r>
        <w:rPr>
          <w:rFonts w:hint="eastAsia" w:hAnsi="宋体" w:cs="宋体"/>
          <w:sz w:val="24"/>
          <w:szCs w:val="24"/>
          <w:highlight w:val="none"/>
        </w:rPr>
        <w:t>姓名</w:t>
      </w:r>
      <w:r>
        <w:rPr>
          <w:rFonts w:hAnsi="宋体" w:cs="宋体"/>
          <w:sz w:val="24"/>
          <w:szCs w:val="24"/>
          <w:highlight w:val="none"/>
        </w:rPr>
        <w:t xml:space="preserve">:                             </w:t>
      </w:r>
      <w:r>
        <w:rPr>
          <w:rFonts w:hint="eastAsia" w:hAnsi="宋体" w:cs="宋体"/>
          <w:sz w:val="24"/>
          <w:szCs w:val="24"/>
          <w:highlight w:val="none"/>
        </w:rPr>
        <w:t>性别</w:t>
      </w:r>
      <w:r>
        <w:rPr>
          <w:rFonts w:hAnsi="宋体" w:cs="宋体"/>
          <w:sz w:val="24"/>
          <w:szCs w:val="24"/>
          <w:highlight w:val="none"/>
        </w:rPr>
        <w:t>:</w:t>
      </w:r>
    </w:p>
    <w:p>
      <w:pPr>
        <w:pStyle w:val="20"/>
        <w:ind w:right="-15"/>
        <w:rPr>
          <w:rFonts w:hAnsi="宋体" w:cs="宋体"/>
          <w:sz w:val="24"/>
          <w:szCs w:val="24"/>
          <w:highlight w:val="none"/>
        </w:rPr>
      </w:pPr>
      <w:r>
        <w:rPr>
          <w:rFonts w:hint="eastAsia" w:hAnsi="宋体" w:cs="宋体"/>
          <w:sz w:val="24"/>
          <w:szCs w:val="24"/>
          <w:highlight w:val="none"/>
        </w:rPr>
        <w:t>年龄</w:t>
      </w:r>
      <w:r>
        <w:rPr>
          <w:rFonts w:hAnsi="宋体" w:cs="宋体"/>
          <w:sz w:val="24"/>
          <w:szCs w:val="24"/>
          <w:highlight w:val="none"/>
        </w:rPr>
        <w:t xml:space="preserve">:                             </w:t>
      </w:r>
      <w:r>
        <w:rPr>
          <w:rFonts w:hint="eastAsia" w:hAnsi="宋体" w:cs="宋体"/>
          <w:sz w:val="24"/>
          <w:szCs w:val="24"/>
          <w:highlight w:val="none"/>
        </w:rPr>
        <w:t>职务</w:t>
      </w:r>
      <w:r>
        <w:rPr>
          <w:rFonts w:hAnsi="宋体" w:cs="宋体"/>
          <w:sz w:val="24"/>
          <w:szCs w:val="24"/>
          <w:highlight w:val="none"/>
        </w:rPr>
        <w:t>:</w:t>
      </w:r>
    </w:p>
    <w:p>
      <w:pPr>
        <w:pStyle w:val="20"/>
        <w:ind w:right="-15"/>
        <w:rPr>
          <w:rFonts w:hAnsi="宋体" w:cs="宋体"/>
          <w:sz w:val="24"/>
          <w:szCs w:val="24"/>
          <w:highlight w:val="none"/>
        </w:rPr>
      </w:pPr>
      <w:r>
        <w:rPr>
          <w:rFonts w:hint="eastAsia" w:hAnsi="宋体" w:cs="宋体"/>
          <w:sz w:val="24"/>
          <w:szCs w:val="24"/>
          <w:highlight w:val="none"/>
        </w:rPr>
        <w:t>身份证号码</w:t>
      </w:r>
      <w:r>
        <w:rPr>
          <w:rFonts w:hAnsi="宋体" w:cs="宋体"/>
          <w:sz w:val="24"/>
          <w:szCs w:val="24"/>
          <w:highlight w:val="none"/>
        </w:rPr>
        <w:t>:</w:t>
      </w:r>
    </w:p>
    <w:p>
      <w:pPr>
        <w:pStyle w:val="20"/>
        <w:ind w:right="-15"/>
        <w:rPr>
          <w:rFonts w:hAnsi="宋体" w:cs="宋体"/>
          <w:sz w:val="24"/>
          <w:szCs w:val="24"/>
          <w:highlight w:val="none"/>
        </w:rPr>
      </w:pPr>
      <w:r>
        <w:rPr>
          <w:rFonts w:hint="eastAsia" w:hAnsi="宋体" w:cs="宋体"/>
          <w:sz w:val="24"/>
          <w:szCs w:val="24"/>
          <w:highlight w:val="none"/>
        </w:rPr>
        <w:t>详细地址</w:t>
      </w:r>
      <w:r>
        <w:rPr>
          <w:rFonts w:hAnsi="宋体" w:cs="宋体"/>
          <w:sz w:val="24"/>
          <w:szCs w:val="24"/>
          <w:highlight w:val="none"/>
        </w:rPr>
        <w:t>:</w:t>
      </w:r>
    </w:p>
    <w:p>
      <w:pPr>
        <w:pStyle w:val="20"/>
        <w:ind w:right="-15"/>
        <w:rPr>
          <w:rFonts w:hAnsi="宋体" w:cs="宋体"/>
          <w:sz w:val="24"/>
          <w:szCs w:val="24"/>
          <w:highlight w:val="none"/>
          <w:u w:val="single"/>
        </w:rPr>
      </w:pPr>
      <w:r>
        <w:rPr>
          <w:rFonts w:hint="eastAsia" w:hAnsi="宋体" w:cs="宋体"/>
          <w:sz w:val="24"/>
          <w:szCs w:val="24"/>
          <w:highlight w:val="none"/>
        </w:rPr>
        <w:t>电话</w:t>
      </w:r>
      <w:r>
        <w:rPr>
          <w:rFonts w:hAnsi="宋体" w:cs="宋体"/>
          <w:sz w:val="24"/>
          <w:szCs w:val="24"/>
          <w:highlight w:val="none"/>
        </w:rPr>
        <w:t xml:space="preserve">:                             </w:t>
      </w:r>
      <w:r>
        <w:rPr>
          <w:rFonts w:hint="eastAsia" w:hAnsi="宋体" w:cs="宋体"/>
          <w:sz w:val="24"/>
          <w:szCs w:val="24"/>
          <w:highlight w:val="none"/>
        </w:rPr>
        <w:t>传真</w:t>
      </w:r>
      <w:r>
        <w:rPr>
          <w:rFonts w:hAnsi="宋体" w:cs="宋体"/>
          <w:sz w:val="24"/>
          <w:szCs w:val="24"/>
          <w:highlight w:val="none"/>
        </w:rPr>
        <w:t>:</w:t>
      </w:r>
    </w:p>
    <w:tbl>
      <w:tblPr>
        <w:tblStyle w:val="36"/>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8280" w:type="dxa"/>
            <w:vAlign w:val="center"/>
          </w:tcPr>
          <w:p>
            <w:pPr>
              <w:pStyle w:val="20"/>
              <w:ind w:right="-15"/>
              <w:jc w:val="center"/>
              <w:rPr>
                <w:rFonts w:hAnsi="宋体" w:cs="宋体"/>
                <w:sz w:val="24"/>
                <w:szCs w:val="24"/>
                <w:highlight w:val="none"/>
              </w:rPr>
            </w:pPr>
            <w:r>
              <w:rPr>
                <w:rFonts w:hint="eastAsia" w:hAnsi="宋体" w:cs="宋体"/>
                <w:sz w:val="24"/>
                <w:szCs w:val="24"/>
                <w:highlight w:val="none"/>
              </w:rPr>
              <w:t>授权人身份证复印件（正、反面）</w:t>
            </w:r>
          </w:p>
        </w:tc>
      </w:tr>
    </w:tbl>
    <w:p>
      <w:pPr>
        <w:pStyle w:val="20"/>
        <w:ind w:right="-15" w:firstLine="240" w:firstLineChars="100"/>
        <w:rPr>
          <w:rFonts w:hAnsi="宋体" w:cs="宋体"/>
          <w:sz w:val="24"/>
          <w:szCs w:val="24"/>
          <w:highlight w:val="none"/>
        </w:rPr>
      </w:pPr>
    </w:p>
    <w:p>
      <w:pPr>
        <w:spacing w:line="360" w:lineRule="auto"/>
        <w:ind w:firstLine="280"/>
        <w:rPr>
          <w:rFonts w:ascii="宋体" w:cs="宋体"/>
          <w:sz w:val="24"/>
          <w:highlight w:val="none"/>
        </w:rPr>
      </w:pPr>
      <w:r>
        <w:rPr>
          <w:rFonts w:hint="eastAsia" w:ascii="宋体" w:hAnsi="宋体" w:cs="宋体"/>
          <w:sz w:val="24"/>
          <w:highlight w:val="none"/>
        </w:rPr>
        <w:t>法定代表签字或盖章：</w:t>
      </w:r>
    </w:p>
    <w:p>
      <w:pPr>
        <w:spacing w:line="360" w:lineRule="auto"/>
        <w:ind w:firstLine="280"/>
        <w:rPr>
          <w:rFonts w:ascii="宋体" w:cs="宋体"/>
          <w:sz w:val="24"/>
          <w:highlight w:val="none"/>
        </w:rPr>
      </w:pPr>
      <w:r>
        <w:rPr>
          <w:rFonts w:hint="eastAsia" w:ascii="宋体" w:hAnsi="宋体" w:cs="宋体"/>
          <w:sz w:val="24"/>
          <w:highlight w:val="none"/>
        </w:rPr>
        <w:t>投标人名称（盖章）：</w:t>
      </w:r>
    </w:p>
    <w:p>
      <w:pPr>
        <w:spacing w:line="360" w:lineRule="auto"/>
        <w:ind w:firstLine="280"/>
        <w:rPr>
          <w:rFonts w:ascii="宋体" w:cs="宋体"/>
          <w:sz w:val="24"/>
          <w:highlight w:val="none"/>
        </w:rPr>
      </w:pPr>
      <w:r>
        <w:rPr>
          <w:rFonts w:hint="eastAsia" w:ascii="宋体" w:hAnsi="宋体" w:cs="宋体"/>
          <w:sz w:val="24"/>
          <w:highlight w:val="none"/>
        </w:rPr>
        <w:t>日</w:t>
      </w:r>
      <w:r>
        <w:rPr>
          <w:rFonts w:ascii="宋体" w:hAnsi="宋体" w:cs="宋体"/>
          <w:sz w:val="24"/>
          <w:highlight w:val="none"/>
        </w:rPr>
        <w:t xml:space="preserve">      </w:t>
      </w:r>
      <w:r>
        <w:rPr>
          <w:rFonts w:hint="eastAsia" w:ascii="宋体" w:hAnsi="宋体" w:cs="宋体"/>
          <w:sz w:val="24"/>
          <w:highlight w:val="none"/>
        </w:rPr>
        <w:t>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p>
    <w:p>
      <w:pPr>
        <w:pStyle w:val="20"/>
        <w:rPr>
          <w:rFonts w:hAnsi="宋体" w:cs="宋体"/>
          <w:b/>
          <w:sz w:val="24"/>
          <w:szCs w:val="24"/>
          <w:highlight w:val="none"/>
        </w:rPr>
      </w:pPr>
      <w:r>
        <w:rPr>
          <w:rFonts w:hint="eastAsia" w:hAnsi="宋体" w:cs="宋体"/>
          <w:b/>
          <w:sz w:val="24"/>
          <w:szCs w:val="24"/>
          <w:highlight w:val="none"/>
        </w:rPr>
        <w:t>注：本授权书在开标会现场携带一份，同时投标文件中也必须附有。</w:t>
      </w:r>
    </w:p>
    <w:p>
      <w:pPr>
        <w:pStyle w:val="20"/>
        <w:rPr>
          <w:rFonts w:hAnsi="宋体" w:cs="宋体"/>
          <w:b/>
          <w:sz w:val="24"/>
          <w:szCs w:val="24"/>
          <w:highlight w:val="none"/>
        </w:rPr>
      </w:pPr>
      <w:r>
        <w:rPr>
          <w:rFonts w:hAnsi="宋体" w:cs="宋体"/>
          <w:b/>
          <w:sz w:val="24"/>
          <w:szCs w:val="24"/>
          <w:highlight w:val="none"/>
        </w:rPr>
        <w:br w:type="page"/>
      </w:r>
    </w:p>
    <w:p>
      <w:pPr>
        <w:pStyle w:val="4"/>
        <w:jc w:val="center"/>
        <w:rPr>
          <w:rFonts w:ascii="宋体" w:cs="宋体"/>
          <w:sz w:val="24"/>
          <w:szCs w:val="24"/>
          <w:highlight w:val="none"/>
        </w:rPr>
      </w:pPr>
      <w:bookmarkStart w:id="17" w:name="_Toc517776527"/>
      <w:r>
        <w:rPr>
          <w:rFonts w:hint="eastAsia" w:ascii="宋体" w:hAnsi="宋体" w:cs="宋体"/>
          <w:sz w:val="24"/>
          <w:szCs w:val="24"/>
          <w:highlight w:val="none"/>
        </w:rPr>
        <w:t>六、投标人资格说明</w:t>
      </w:r>
      <w:bookmarkEnd w:id="17"/>
    </w:p>
    <w:p>
      <w:pPr>
        <w:spacing w:line="360" w:lineRule="auto"/>
        <w:ind w:left="-240"/>
        <w:rPr>
          <w:rFonts w:ascii="宋体" w:cs="宋体"/>
          <w:b/>
          <w:sz w:val="24"/>
          <w:szCs w:val="24"/>
          <w:highlight w:val="none"/>
        </w:rPr>
      </w:pPr>
      <w:r>
        <w:rPr>
          <w:rFonts w:hint="eastAsia" w:ascii="宋体" w:hAnsi="宋体" w:cs="宋体"/>
          <w:b/>
          <w:sz w:val="24"/>
          <w:szCs w:val="24"/>
          <w:highlight w:val="none"/>
        </w:rPr>
        <w:t>投标人情况介绍表</w:t>
      </w:r>
    </w:p>
    <w:tbl>
      <w:tblPr>
        <w:tblStyle w:val="36"/>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202"/>
        <w:gridCol w:w="1305"/>
        <w:gridCol w:w="1275"/>
        <w:gridCol w:w="52"/>
        <w:gridCol w:w="1009"/>
        <w:gridCol w:w="304"/>
        <w:gridCol w:w="735"/>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555"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单位名称</w:t>
            </w:r>
          </w:p>
        </w:tc>
        <w:tc>
          <w:tcPr>
            <w:tcW w:w="7518" w:type="dxa"/>
            <w:gridSpan w:val="8"/>
            <w:vAlign w:val="center"/>
          </w:tcPr>
          <w:p>
            <w:pPr>
              <w:tabs>
                <w:tab w:val="left" w:pos="540"/>
              </w:tabs>
              <w:ind w:left="-132" w:leftChars="-64" w:right="-105" w:rightChars="-50" w:hanging="2"/>
              <w:jc w:val="center"/>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55"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地址</w:t>
            </w:r>
          </w:p>
        </w:tc>
        <w:tc>
          <w:tcPr>
            <w:tcW w:w="7518" w:type="dxa"/>
            <w:gridSpan w:val="8"/>
            <w:vAlign w:val="center"/>
          </w:tcPr>
          <w:p>
            <w:pPr>
              <w:tabs>
                <w:tab w:val="left" w:pos="540"/>
              </w:tabs>
              <w:ind w:left="-132" w:leftChars="-64" w:right="-105" w:rightChars="-50" w:hanging="2"/>
              <w:jc w:val="center"/>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55"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主管部门</w:t>
            </w:r>
          </w:p>
        </w:tc>
        <w:tc>
          <w:tcPr>
            <w:tcW w:w="1202" w:type="dxa"/>
            <w:vAlign w:val="center"/>
          </w:tcPr>
          <w:p>
            <w:pPr>
              <w:tabs>
                <w:tab w:val="left" w:pos="540"/>
              </w:tabs>
              <w:ind w:left="-132" w:leftChars="-64" w:right="-105" w:rightChars="-50" w:hanging="2"/>
              <w:jc w:val="center"/>
              <w:rPr>
                <w:rFonts w:ascii="宋体" w:cs="宋体"/>
                <w:sz w:val="24"/>
                <w:szCs w:val="24"/>
                <w:highlight w:val="none"/>
              </w:rPr>
            </w:pPr>
          </w:p>
        </w:tc>
        <w:tc>
          <w:tcPr>
            <w:tcW w:w="1305"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法人代表</w:t>
            </w:r>
          </w:p>
        </w:tc>
        <w:tc>
          <w:tcPr>
            <w:tcW w:w="1275" w:type="dxa"/>
            <w:vAlign w:val="center"/>
          </w:tcPr>
          <w:p>
            <w:pPr>
              <w:tabs>
                <w:tab w:val="left" w:pos="540"/>
              </w:tabs>
              <w:ind w:left="-132" w:leftChars="-64" w:right="-105" w:rightChars="-50" w:hanging="2"/>
              <w:jc w:val="center"/>
              <w:rPr>
                <w:rFonts w:ascii="宋体" w:cs="宋体"/>
                <w:sz w:val="24"/>
                <w:szCs w:val="24"/>
                <w:highlight w:val="none"/>
              </w:rPr>
            </w:pPr>
          </w:p>
        </w:tc>
        <w:tc>
          <w:tcPr>
            <w:tcW w:w="1365" w:type="dxa"/>
            <w:gridSpan w:val="3"/>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职务</w:t>
            </w:r>
          </w:p>
        </w:tc>
        <w:tc>
          <w:tcPr>
            <w:tcW w:w="2371" w:type="dxa"/>
            <w:gridSpan w:val="2"/>
            <w:vAlign w:val="center"/>
          </w:tcPr>
          <w:p>
            <w:pPr>
              <w:tabs>
                <w:tab w:val="left" w:pos="540"/>
              </w:tabs>
              <w:ind w:left="-132" w:leftChars="-64" w:right="-105" w:rightChars="-50" w:hanging="2"/>
              <w:jc w:val="center"/>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555"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经济类型</w:t>
            </w:r>
          </w:p>
        </w:tc>
        <w:tc>
          <w:tcPr>
            <w:tcW w:w="1202" w:type="dxa"/>
            <w:vAlign w:val="center"/>
          </w:tcPr>
          <w:p>
            <w:pPr>
              <w:tabs>
                <w:tab w:val="left" w:pos="540"/>
              </w:tabs>
              <w:ind w:left="-132" w:leftChars="-64" w:right="-105" w:rightChars="-50" w:hanging="2"/>
              <w:jc w:val="center"/>
              <w:rPr>
                <w:rFonts w:ascii="宋体" w:cs="宋体"/>
                <w:sz w:val="24"/>
                <w:szCs w:val="24"/>
                <w:highlight w:val="none"/>
              </w:rPr>
            </w:pPr>
          </w:p>
        </w:tc>
        <w:tc>
          <w:tcPr>
            <w:tcW w:w="1305"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授权代表</w:t>
            </w:r>
          </w:p>
        </w:tc>
        <w:tc>
          <w:tcPr>
            <w:tcW w:w="1275" w:type="dxa"/>
            <w:vAlign w:val="center"/>
          </w:tcPr>
          <w:p>
            <w:pPr>
              <w:tabs>
                <w:tab w:val="left" w:pos="540"/>
              </w:tabs>
              <w:ind w:left="-132" w:leftChars="-64" w:right="-105" w:rightChars="-50" w:hanging="2"/>
              <w:jc w:val="center"/>
              <w:rPr>
                <w:rFonts w:ascii="宋体" w:cs="宋体"/>
                <w:sz w:val="24"/>
                <w:szCs w:val="24"/>
                <w:highlight w:val="none"/>
              </w:rPr>
            </w:pPr>
          </w:p>
        </w:tc>
        <w:tc>
          <w:tcPr>
            <w:tcW w:w="1365" w:type="dxa"/>
            <w:gridSpan w:val="3"/>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职务</w:t>
            </w:r>
          </w:p>
        </w:tc>
        <w:tc>
          <w:tcPr>
            <w:tcW w:w="2371" w:type="dxa"/>
            <w:gridSpan w:val="2"/>
            <w:vAlign w:val="center"/>
          </w:tcPr>
          <w:p>
            <w:pPr>
              <w:tabs>
                <w:tab w:val="left" w:pos="540"/>
              </w:tabs>
              <w:ind w:left="-132" w:leftChars="-64" w:right="-105" w:rightChars="-50" w:hanging="2"/>
              <w:jc w:val="center"/>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55"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邮编</w:t>
            </w:r>
          </w:p>
        </w:tc>
        <w:tc>
          <w:tcPr>
            <w:tcW w:w="1202" w:type="dxa"/>
            <w:vAlign w:val="center"/>
          </w:tcPr>
          <w:p>
            <w:pPr>
              <w:tabs>
                <w:tab w:val="left" w:pos="540"/>
              </w:tabs>
              <w:ind w:left="-132" w:leftChars="-64" w:right="-105" w:rightChars="-50" w:hanging="2"/>
              <w:jc w:val="center"/>
              <w:rPr>
                <w:rFonts w:ascii="宋体" w:cs="宋体"/>
                <w:sz w:val="24"/>
                <w:szCs w:val="24"/>
                <w:highlight w:val="none"/>
              </w:rPr>
            </w:pPr>
          </w:p>
        </w:tc>
        <w:tc>
          <w:tcPr>
            <w:tcW w:w="1305"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电话</w:t>
            </w:r>
          </w:p>
        </w:tc>
        <w:tc>
          <w:tcPr>
            <w:tcW w:w="1275" w:type="dxa"/>
            <w:vAlign w:val="center"/>
          </w:tcPr>
          <w:p>
            <w:pPr>
              <w:tabs>
                <w:tab w:val="left" w:pos="540"/>
              </w:tabs>
              <w:ind w:left="-132" w:leftChars="-64" w:right="-105" w:rightChars="-50" w:hanging="2"/>
              <w:jc w:val="center"/>
              <w:rPr>
                <w:rFonts w:ascii="宋体" w:cs="宋体"/>
                <w:sz w:val="24"/>
                <w:szCs w:val="24"/>
                <w:highlight w:val="none"/>
              </w:rPr>
            </w:pPr>
          </w:p>
        </w:tc>
        <w:tc>
          <w:tcPr>
            <w:tcW w:w="1365" w:type="dxa"/>
            <w:gridSpan w:val="3"/>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传真</w:t>
            </w:r>
          </w:p>
        </w:tc>
        <w:tc>
          <w:tcPr>
            <w:tcW w:w="2371" w:type="dxa"/>
            <w:gridSpan w:val="2"/>
            <w:vAlign w:val="center"/>
          </w:tcPr>
          <w:p>
            <w:pPr>
              <w:tabs>
                <w:tab w:val="left" w:pos="540"/>
              </w:tabs>
              <w:ind w:left="-132" w:leftChars="-64" w:right="-105" w:rightChars="-50" w:hanging="2"/>
              <w:jc w:val="center"/>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55"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单位简介及机构设置</w:t>
            </w:r>
          </w:p>
        </w:tc>
        <w:tc>
          <w:tcPr>
            <w:tcW w:w="7518" w:type="dxa"/>
            <w:gridSpan w:val="8"/>
            <w:vAlign w:val="center"/>
          </w:tcPr>
          <w:p>
            <w:pPr>
              <w:tabs>
                <w:tab w:val="left" w:pos="540"/>
              </w:tabs>
              <w:ind w:left="-132" w:leftChars="-64" w:right="-105" w:rightChars="-50" w:hanging="2"/>
              <w:jc w:val="center"/>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555" w:type="dxa"/>
            <w:vMerge w:val="restart"/>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单位概况</w:t>
            </w:r>
          </w:p>
        </w:tc>
        <w:tc>
          <w:tcPr>
            <w:tcW w:w="1202"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注册资本</w:t>
            </w:r>
          </w:p>
        </w:tc>
        <w:tc>
          <w:tcPr>
            <w:tcW w:w="1305"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万元</w:t>
            </w:r>
          </w:p>
        </w:tc>
        <w:tc>
          <w:tcPr>
            <w:tcW w:w="1327" w:type="dxa"/>
            <w:gridSpan w:val="2"/>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占地面积</w:t>
            </w:r>
          </w:p>
        </w:tc>
        <w:tc>
          <w:tcPr>
            <w:tcW w:w="3684" w:type="dxa"/>
            <w:gridSpan w:val="4"/>
            <w:vAlign w:val="center"/>
          </w:tcPr>
          <w:p>
            <w:pPr>
              <w:tabs>
                <w:tab w:val="left" w:pos="540"/>
              </w:tabs>
              <w:ind w:left="-134" w:leftChars="-64" w:right="-105" w:rightChars="-50"/>
              <w:jc w:val="center"/>
              <w:rPr>
                <w:rFonts w:ascii="宋体" w:cs="宋体"/>
                <w:sz w:val="24"/>
                <w:szCs w:val="24"/>
                <w:highlight w:val="none"/>
              </w:rPr>
            </w:pPr>
            <w:r>
              <w:rPr>
                <w:rFonts w:ascii="宋体" w:hAnsi="宋体" w:cs="宋体"/>
                <w:sz w:val="24"/>
                <w:szCs w:val="24"/>
                <w:highlight w:val="none"/>
              </w:rPr>
              <w:t>M</w:t>
            </w:r>
            <w:r>
              <w:rPr>
                <w:rFonts w:ascii="宋体" w:hAnsi="宋体" w:cs="宋体"/>
                <w:sz w:val="24"/>
                <w:szCs w:val="24"/>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55" w:type="dxa"/>
            <w:vMerge w:val="continue"/>
            <w:vAlign w:val="center"/>
          </w:tcPr>
          <w:p>
            <w:pPr>
              <w:tabs>
                <w:tab w:val="left" w:pos="540"/>
              </w:tabs>
              <w:ind w:left="-132" w:leftChars="-64" w:right="-105" w:rightChars="-50" w:hanging="2"/>
              <w:jc w:val="center"/>
              <w:rPr>
                <w:rFonts w:ascii="宋体" w:cs="宋体"/>
                <w:sz w:val="24"/>
                <w:szCs w:val="24"/>
                <w:highlight w:val="none"/>
              </w:rPr>
            </w:pPr>
          </w:p>
        </w:tc>
        <w:tc>
          <w:tcPr>
            <w:tcW w:w="1202"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职工总数</w:t>
            </w:r>
          </w:p>
        </w:tc>
        <w:tc>
          <w:tcPr>
            <w:tcW w:w="1305"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人</w:t>
            </w:r>
          </w:p>
        </w:tc>
        <w:tc>
          <w:tcPr>
            <w:tcW w:w="1327" w:type="dxa"/>
            <w:gridSpan w:val="2"/>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建筑面积</w:t>
            </w:r>
          </w:p>
        </w:tc>
        <w:tc>
          <w:tcPr>
            <w:tcW w:w="3684" w:type="dxa"/>
            <w:gridSpan w:val="4"/>
            <w:vAlign w:val="center"/>
          </w:tcPr>
          <w:p>
            <w:pPr>
              <w:tabs>
                <w:tab w:val="left" w:pos="540"/>
              </w:tabs>
              <w:ind w:left="-134" w:leftChars="-64" w:right="-105" w:rightChars="-50"/>
              <w:jc w:val="center"/>
              <w:rPr>
                <w:rFonts w:ascii="宋体" w:cs="宋体"/>
                <w:sz w:val="24"/>
                <w:szCs w:val="24"/>
                <w:highlight w:val="none"/>
              </w:rPr>
            </w:pPr>
            <w:r>
              <w:rPr>
                <w:rFonts w:ascii="宋体" w:hAnsi="宋体" w:cs="宋体"/>
                <w:sz w:val="24"/>
                <w:szCs w:val="24"/>
                <w:highlight w:val="none"/>
              </w:rPr>
              <w:t>M</w:t>
            </w:r>
            <w:r>
              <w:rPr>
                <w:rFonts w:ascii="宋体" w:hAnsi="宋体" w:cs="宋体"/>
                <w:sz w:val="24"/>
                <w:szCs w:val="24"/>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55" w:type="dxa"/>
            <w:vMerge w:val="continue"/>
            <w:vAlign w:val="center"/>
          </w:tcPr>
          <w:p>
            <w:pPr>
              <w:tabs>
                <w:tab w:val="left" w:pos="540"/>
              </w:tabs>
              <w:ind w:left="-132" w:leftChars="-64" w:right="-105" w:rightChars="-50" w:hanging="2"/>
              <w:jc w:val="center"/>
              <w:rPr>
                <w:rFonts w:ascii="宋体" w:cs="宋体"/>
                <w:sz w:val="24"/>
                <w:szCs w:val="24"/>
                <w:highlight w:val="none"/>
              </w:rPr>
            </w:pPr>
          </w:p>
        </w:tc>
        <w:tc>
          <w:tcPr>
            <w:tcW w:w="1202" w:type="dxa"/>
            <w:vMerge w:val="restart"/>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资产情况</w:t>
            </w:r>
          </w:p>
        </w:tc>
        <w:tc>
          <w:tcPr>
            <w:tcW w:w="1305"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净资产</w:t>
            </w:r>
          </w:p>
        </w:tc>
        <w:tc>
          <w:tcPr>
            <w:tcW w:w="1327" w:type="dxa"/>
            <w:gridSpan w:val="2"/>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万元</w:t>
            </w:r>
          </w:p>
        </w:tc>
        <w:tc>
          <w:tcPr>
            <w:tcW w:w="3684" w:type="dxa"/>
            <w:gridSpan w:val="4"/>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固定资产原值万元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55" w:type="dxa"/>
            <w:vMerge w:val="continue"/>
            <w:vAlign w:val="center"/>
          </w:tcPr>
          <w:p>
            <w:pPr>
              <w:tabs>
                <w:tab w:val="left" w:pos="540"/>
              </w:tabs>
              <w:ind w:left="-132" w:leftChars="-64" w:right="-105" w:rightChars="-50" w:hanging="2"/>
              <w:jc w:val="center"/>
              <w:rPr>
                <w:rFonts w:ascii="宋体" w:cs="宋体"/>
                <w:sz w:val="24"/>
                <w:szCs w:val="24"/>
                <w:highlight w:val="none"/>
              </w:rPr>
            </w:pPr>
          </w:p>
        </w:tc>
        <w:tc>
          <w:tcPr>
            <w:tcW w:w="1202" w:type="dxa"/>
            <w:vMerge w:val="continue"/>
            <w:vAlign w:val="center"/>
          </w:tcPr>
          <w:p>
            <w:pPr>
              <w:tabs>
                <w:tab w:val="left" w:pos="540"/>
              </w:tabs>
              <w:ind w:left="-132" w:leftChars="-64" w:right="-105" w:rightChars="-50" w:hanging="2"/>
              <w:jc w:val="center"/>
              <w:rPr>
                <w:rFonts w:ascii="宋体" w:cs="宋体"/>
                <w:sz w:val="24"/>
                <w:szCs w:val="24"/>
                <w:highlight w:val="none"/>
              </w:rPr>
            </w:pPr>
          </w:p>
        </w:tc>
        <w:tc>
          <w:tcPr>
            <w:tcW w:w="1305"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负债</w:t>
            </w:r>
          </w:p>
        </w:tc>
        <w:tc>
          <w:tcPr>
            <w:tcW w:w="1327" w:type="dxa"/>
            <w:gridSpan w:val="2"/>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万元</w:t>
            </w:r>
          </w:p>
        </w:tc>
        <w:tc>
          <w:tcPr>
            <w:tcW w:w="3684" w:type="dxa"/>
            <w:gridSpan w:val="4"/>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固定资产净值万元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Merge w:val="restart"/>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财务状况</w:t>
            </w:r>
          </w:p>
        </w:tc>
        <w:tc>
          <w:tcPr>
            <w:tcW w:w="1202"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年度</w:t>
            </w:r>
          </w:p>
        </w:tc>
        <w:tc>
          <w:tcPr>
            <w:tcW w:w="1305"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主营收入</w:t>
            </w:r>
          </w:p>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（万元）</w:t>
            </w:r>
          </w:p>
        </w:tc>
        <w:tc>
          <w:tcPr>
            <w:tcW w:w="1327" w:type="dxa"/>
            <w:gridSpan w:val="2"/>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收入总额</w:t>
            </w:r>
          </w:p>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（万元）</w:t>
            </w:r>
          </w:p>
        </w:tc>
        <w:tc>
          <w:tcPr>
            <w:tcW w:w="1009"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利润总额</w:t>
            </w:r>
          </w:p>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（万元）</w:t>
            </w:r>
          </w:p>
        </w:tc>
        <w:tc>
          <w:tcPr>
            <w:tcW w:w="1039" w:type="dxa"/>
            <w:gridSpan w:val="2"/>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净利润</w:t>
            </w:r>
          </w:p>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（万元）</w:t>
            </w:r>
          </w:p>
        </w:tc>
        <w:tc>
          <w:tcPr>
            <w:tcW w:w="1636"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55" w:type="dxa"/>
            <w:vMerge w:val="continue"/>
            <w:vAlign w:val="center"/>
          </w:tcPr>
          <w:p>
            <w:pPr>
              <w:tabs>
                <w:tab w:val="left" w:pos="540"/>
              </w:tabs>
              <w:ind w:left="-132" w:leftChars="-64" w:right="-105" w:rightChars="-50" w:hanging="2"/>
              <w:jc w:val="center"/>
              <w:rPr>
                <w:rFonts w:ascii="宋体" w:cs="宋体"/>
                <w:sz w:val="24"/>
                <w:szCs w:val="24"/>
                <w:highlight w:val="none"/>
              </w:rPr>
            </w:pPr>
          </w:p>
        </w:tc>
        <w:tc>
          <w:tcPr>
            <w:tcW w:w="1202" w:type="dxa"/>
            <w:vAlign w:val="center"/>
          </w:tcPr>
          <w:p>
            <w:pPr>
              <w:tabs>
                <w:tab w:val="left" w:pos="540"/>
              </w:tabs>
              <w:ind w:left="-132" w:leftChars="-64" w:right="-105" w:rightChars="-50" w:hanging="2"/>
              <w:jc w:val="center"/>
              <w:rPr>
                <w:rFonts w:ascii="宋体" w:cs="宋体"/>
                <w:sz w:val="24"/>
                <w:szCs w:val="24"/>
                <w:highlight w:val="none"/>
              </w:rPr>
            </w:pPr>
          </w:p>
        </w:tc>
        <w:tc>
          <w:tcPr>
            <w:tcW w:w="1305" w:type="dxa"/>
            <w:vAlign w:val="center"/>
          </w:tcPr>
          <w:p>
            <w:pPr>
              <w:tabs>
                <w:tab w:val="left" w:pos="540"/>
              </w:tabs>
              <w:ind w:left="-132" w:leftChars="-64" w:right="-105" w:rightChars="-50" w:hanging="2"/>
              <w:jc w:val="center"/>
              <w:rPr>
                <w:rFonts w:ascii="宋体" w:cs="宋体"/>
                <w:sz w:val="24"/>
                <w:szCs w:val="24"/>
                <w:highlight w:val="none"/>
              </w:rPr>
            </w:pPr>
          </w:p>
        </w:tc>
        <w:tc>
          <w:tcPr>
            <w:tcW w:w="1327" w:type="dxa"/>
            <w:gridSpan w:val="2"/>
            <w:vAlign w:val="center"/>
          </w:tcPr>
          <w:p>
            <w:pPr>
              <w:tabs>
                <w:tab w:val="left" w:pos="540"/>
              </w:tabs>
              <w:ind w:left="-132" w:leftChars="-64" w:right="-105" w:rightChars="-50" w:hanging="2"/>
              <w:jc w:val="center"/>
              <w:rPr>
                <w:rFonts w:ascii="宋体" w:cs="宋体"/>
                <w:sz w:val="24"/>
                <w:szCs w:val="24"/>
                <w:highlight w:val="none"/>
              </w:rPr>
            </w:pPr>
          </w:p>
        </w:tc>
        <w:tc>
          <w:tcPr>
            <w:tcW w:w="1009" w:type="dxa"/>
            <w:vAlign w:val="center"/>
          </w:tcPr>
          <w:p>
            <w:pPr>
              <w:tabs>
                <w:tab w:val="left" w:pos="540"/>
              </w:tabs>
              <w:ind w:left="-132" w:leftChars="-64" w:right="-105" w:rightChars="-50" w:hanging="2"/>
              <w:jc w:val="center"/>
              <w:rPr>
                <w:rFonts w:ascii="宋体" w:cs="宋体"/>
                <w:sz w:val="24"/>
                <w:szCs w:val="24"/>
                <w:highlight w:val="none"/>
              </w:rPr>
            </w:pPr>
          </w:p>
        </w:tc>
        <w:tc>
          <w:tcPr>
            <w:tcW w:w="1039" w:type="dxa"/>
            <w:gridSpan w:val="2"/>
            <w:vAlign w:val="center"/>
          </w:tcPr>
          <w:p>
            <w:pPr>
              <w:tabs>
                <w:tab w:val="left" w:pos="540"/>
              </w:tabs>
              <w:ind w:left="-132" w:leftChars="-64" w:right="-105" w:rightChars="-50" w:hanging="2"/>
              <w:jc w:val="center"/>
              <w:rPr>
                <w:rFonts w:ascii="宋体" w:cs="宋体"/>
                <w:sz w:val="24"/>
                <w:szCs w:val="24"/>
                <w:highlight w:val="none"/>
              </w:rPr>
            </w:pPr>
          </w:p>
        </w:tc>
        <w:tc>
          <w:tcPr>
            <w:tcW w:w="1636" w:type="dxa"/>
            <w:vAlign w:val="center"/>
          </w:tcPr>
          <w:p>
            <w:pPr>
              <w:tabs>
                <w:tab w:val="left" w:pos="540"/>
              </w:tabs>
              <w:ind w:left="-132" w:leftChars="-64" w:right="-105" w:rightChars="-50" w:hanging="2"/>
              <w:jc w:val="center"/>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555" w:type="dxa"/>
            <w:vMerge w:val="continue"/>
            <w:vAlign w:val="center"/>
          </w:tcPr>
          <w:p>
            <w:pPr>
              <w:tabs>
                <w:tab w:val="left" w:pos="540"/>
              </w:tabs>
              <w:ind w:left="-132" w:leftChars="-64" w:right="-105" w:rightChars="-50" w:hanging="2"/>
              <w:jc w:val="center"/>
              <w:rPr>
                <w:rFonts w:ascii="宋体" w:cs="宋体"/>
                <w:sz w:val="24"/>
                <w:szCs w:val="24"/>
                <w:highlight w:val="none"/>
              </w:rPr>
            </w:pPr>
          </w:p>
        </w:tc>
        <w:tc>
          <w:tcPr>
            <w:tcW w:w="1202" w:type="dxa"/>
            <w:vAlign w:val="center"/>
          </w:tcPr>
          <w:p>
            <w:pPr>
              <w:tabs>
                <w:tab w:val="left" w:pos="540"/>
              </w:tabs>
              <w:ind w:left="-132" w:leftChars="-64" w:right="-105" w:rightChars="-50" w:hanging="2"/>
              <w:jc w:val="center"/>
              <w:rPr>
                <w:rFonts w:ascii="宋体" w:cs="宋体"/>
                <w:sz w:val="24"/>
                <w:szCs w:val="24"/>
                <w:highlight w:val="none"/>
              </w:rPr>
            </w:pPr>
          </w:p>
        </w:tc>
        <w:tc>
          <w:tcPr>
            <w:tcW w:w="1305" w:type="dxa"/>
            <w:vAlign w:val="center"/>
          </w:tcPr>
          <w:p>
            <w:pPr>
              <w:tabs>
                <w:tab w:val="left" w:pos="540"/>
              </w:tabs>
              <w:ind w:left="-132" w:leftChars="-64" w:right="-105" w:rightChars="-50" w:hanging="2"/>
              <w:jc w:val="center"/>
              <w:rPr>
                <w:rFonts w:ascii="宋体" w:cs="宋体"/>
                <w:sz w:val="24"/>
                <w:szCs w:val="24"/>
                <w:highlight w:val="none"/>
              </w:rPr>
            </w:pPr>
          </w:p>
        </w:tc>
        <w:tc>
          <w:tcPr>
            <w:tcW w:w="1327" w:type="dxa"/>
            <w:gridSpan w:val="2"/>
            <w:vAlign w:val="center"/>
          </w:tcPr>
          <w:p>
            <w:pPr>
              <w:tabs>
                <w:tab w:val="left" w:pos="540"/>
              </w:tabs>
              <w:ind w:left="-132" w:leftChars="-64" w:right="-105" w:rightChars="-50" w:hanging="2"/>
              <w:jc w:val="center"/>
              <w:rPr>
                <w:rFonts w:ascii="宋体" w:cs="宋体"/>
                <w:sz w:val="24"/>
                <w:szCs w:val="24"/>
                <w:highlight w:val="none"/>
              </w:rPr>
            </w:pPr>
          </w:p>
        </w:tc>
        <w:tc>
          <w:tcPr>
            <w:tcW w:w="1009" w:type="dxa"/>
            <w:vAlign w:val="center"/>
          </w:tcPr>
          <w:p>
            <w:pPr>
              <w:tabs>
                <w:tab w:val="left" w:pos="540"/>
              </w:tabs>
              <w:ind w:left="-132" w:leftChars="-64" w:right="-105" w:rightChars="-50" w:hanging="2"/>
              <w:jc w:val="center"/>
              <w:rPr>
                <w:rFonts w:ascii="宋体" w:cs="宋体"/>
                <w:sz w:val="24"/>
                <w:szCs w:val="24"/>
                <w:highlight w:val="none"/>
              </w:rPr>
            </w:pPr>
          </w:p>
        </w:tc>
        <w:tc>
          <w:tcPr>
            <w:tcW w:w="1039" w:type="dxa"/>
            <w:gridSpan w:val="2"/>
            <w:vAlign w:val="center"/>
          </w:tcPr>
          <w:p>
            <w:pPr>
              <w:tabs>
                <w:tab w:val="left" w:pos="540"/>
              </w:tabs>
              <w:ind w:left="-132" w:leftChars="-64" w:right="-105" w:rightChars="-50" w:hanging="2"/>
              <w:jc w:val="center"/>
              <w:rPr>
                <w:rFonts w:ascii="宋体" w:cs="宋体"/>
                <w:sz w:val="24"/>
                <w:szCs w:val="24"/>
                <w:highlight w:val="none"/>
              </w:rPr>
            </w:pPr>
          </w:p>
        </w:tc>
        <w:tc>
          <w:tcPr>
            <w:tcW w:w="1636" w:type="dxa"/>
            <w:vAlign w:val="center"/>
          </w:tcPr>
          <w:p>
            <w:pPr>
              <w:tabs>
                <w:tab w:val="left" w:pos="540"/>
              </w:tabs>
              <w:ind w:left="-132" w:leftChars="-64" w:right="-105" w:rightChars="-50" w:hanging="2"/>
              <w:jc w:val="center"/>
              <w:rPr>
                <w:rFonts w:ascii="宋体" w:cs="宋体"/>
                <w:sz w:val="24"/>
                <w:szCs w:val="24"/>
                <w:highlight w:val="none"/>
              </w:rPr>
            </w:pPr>
          </w:p>
        </w:tc>
      </w:tr>
    </w:tbl>
    <w:p>
      <w:pPr>
        <w:spacing w:line="360" w:lineRule="auto"/>
        <w:ind w:firstLine="420"/>
        <w:rPr>
          <w:rFonts w:ascii="宋体" w:cs="宋体"/>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企业资质随表附后。</w:t>
      </w:r>
    </w:p>
    <w:p>
      <w:pPr>
        <w:spacing w:line="360" w:lineRule="auto"/>
        <w:ind w:firstLine="420"/>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如投标人此表数据有虚假，一经查实，自行承担相关责任。</w:t>
      </w:r>
    </w:p>
    <w:p>
      <w:pPr>
        <w:spacing w:line="360" w:lineRule="auto"/>
        <w:ind w:firstLine="420"/>
        <w:rPr>
          <w:rFonts w:asci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兹证明上述声明是真实、正确的，并提供了全部能提供的资料和数据，我们同意遵照贵方要求出示有关证明文件。</w:t>
      </w:r>
    </w:p>
    <w:p>
      <w:pPr>
        <w:widowControl/>
        <w:jc w:val="left"/>
        <w:rPr>
          <w:rFonts w:ascii="宋体" w:cs="宋体"/>
          <w:sz w:val="24"/>
          <w:szCs w:val="24"/>
          <w:highlight w:val="none"/>
        </w:rPr>
      </w:pPr>
      <w:r>
        <w:rPr>
          <w:rFonts w:ascii="宋体" w:cs="宋体"/>
          <w:sz w:val="24"/>
          <w:szCs w:val="24"/>
          <w:highlight w:val="none"/>
        </w:rPr>
        <w:br w:type="page"/>
      </w:r>
    </w:p>
    <w:p>
      <w:pPr>
        <w:pStyle w:val="4"/>
        <w:jc w:val="center"/>
        <w:rPr>
          <w:rFonts w:ascii="宋体" w:cs="宋体"/>
          <w:sz w:val="24"/>
          <w:szCs w:val="24"/>
          <w:highlight w:val="none"/>
        </w:rPr>
      </w:pPr>
      <w:bookmarkStart w:id="18" w:name="_Toc517776528"/>
      <w:r>
        <w:rPr>
          <w:rFonts w:hint="eastAsia" w:ascii="宋体" w:hAnsi="宋体" w:cs="宋体"/>
          <w:sz w:val="24"/>
          <w:szCs w:val="24"/>
          <w:highlight w:val="none"/>
        </w:rPr>
        <w:t>七、分项报价表</w:t>
      </w:r>
      <w:bookmarkEnd w:id="18"/>
    </w:p>
    <w:p>
      <w:pPr>
        <w:ind w:firstLine="240" w:firstLineChars="100"/>
        <w:rPr>
          <w:rFonts w:ascii="宋体" w:cs="宋体"/>
          <w:sz w:val="24"/>
          <w:szCs w:val="24"/>
          <w:highlight w:val="none"/>
        </w:rPr>
      </w:pPr>
      <w:r>
        <w:rPr>
          <w:rFonts w:hint="eastAsia" w:ascii="宋体" w:hAnsi="宋体" w:cs="宋体"/>
          <w:sz w:val="24"/>
          <w:szCs w:val="24"/>
          <w:highlight w:val="none"/>
        </w:rPr>
        <w:t>投标人名称：</w:t>
      </w:r>
    </w:p>
    <w:p>
      <w:pPr>
        <w:ind w:firstLine="240" w:firstLineChars="100"/>
        <w:rPr>
          <w:rFonts w:ascii="宋体" w:cs="宋体"/>
          <w:sz w:val="24"/>
          <w:szCs w:val="24"/>
          <w:highlight w:val="none"/>
        </w:rPr>
      </w:pPr>
    </w:p>
    <w:p>
      <w:pPr>
        <w:ind w:firstLine="240" w:firstLineChars="100"/>
        <w:rPr>
          <w:rFonts w:ascii="宋体" w:cs="宋体"/>
          <w:sz w:val="24"/>
          <w:szCs w:val="24"/>
          <w:highlight w:val="none"/>
        </w:rPr>
      </w:pPr>
      <w:r>
        <w:rPr>
          <w:rFonts w:hint="eastAsia" w:ascii="宋体" w:hAnsi="宋体" w:cs="宋体"/>
          <w:sz w:val="24"/>
          <w:szCs w:val="24"/>
          <w:highlight w:val="none"/>
        </w:rPr>
        <w:t>采购文件编号：</w:t>
      </w:r>
    </w:p>
    <w:p>
      <w:pPr>
        <w:pStyle w:val="20"/>
        <w:tabs>
          <w:tab w:val="left" w:pos="9720"/>
        </w:tabs>
        <w:ind w:right="-15"/>
        <w:rPr>
          <w:rFonts w:hAnsi="宋体" w:cs="宋体"/>
          <w:b/>
          <w:sz w:val="24"/>
          <w:szCs w:val="24"/>
          <w:highlight w:val="none"/>
        </w:rPr>
      </w:pPr>
    </w:p>
    <w:tbl>
      <w:tblPr>
        <w:tblStyle w:val="36"/>
        <w:tblW w:w="9386" w:type="dxa"/>
        <w:jc w:val="center"/>
        <w:tblLayout w:type="fixed"/>
        <w:tblCellMar>
          <w:top w:w="0" w:type="dxa"/>
          <w:left w:w="30" w:type="dxa"/>
          <w:bottom w:w="0" w:type="dxa"/>
          <w:right w:w="30" w:type="dxa"/>
        </w:tblCellMar>
      </w:tblPr>
      <w:tblGrid>
        <w:gridCol w:w="1832"/>
        <w:gridCol w:w="892"/>
        <w:gridCol w:w="840"/>
        <w:gridCol w:w="839"/>
        <w:gridCol w:w="959"/>
        <w:gridCol w:w="839"/>
        <w:gridCol w:w="839"/>
        <w:gridCol w:w="840"/>
        <w:gridCol w:w="797"/>
        <w:gridCol w:w="709"/>
      </w:tblGrid>
      <w:tr>
        <w:tblPrEx>
          <w:tblCellMar>
            <w:top w:w="0" w:type="dxa"/>
            <w:left w:w="30" w:type="dxa"/>
            <w:bottom w:w="0" w:type="dxa"/>
            <w:right w:w="30" w:type="dxa"/>
          </w:tblCellMar>
        </w:tblPrEx>
        <w:trPr>
          <w:trHeight w:val="641" w:hRule="atLeast"/>
          <w:jc w:val="center"/>
        </w:trPr>
        <w:tc>
          <w:tcPr>
            <w:tcW w:w="1832" w:type="dxa"/>
            <w:tcBorders>
              <w:top w:val="single" w:color="auto" w:sz="6"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r>
              <w:rPr>
                <w:rFonts w:hint="eastAsia" w:hAnsi="宋体" w:cs="宋体"/>
                <w:b/>
                <w:sz w:val="24"/>
                <w:szCs w:val="24"/>
                <w:highlight w:val="none"/>
              </w:rPr>
              <w:t>名称</w:t>
            </w:r>
          </w:p>
        </w:tc>
        <w:tc>
          <w:tcPr>
            <w:tcW w:w="892" w:type="dxa"/>
            <w:tcBorders>
              <w:top w:val="single" w:color="auto" w:sz="6"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r>
              <w:rPr>
                <w:rFonts w:hint="eastAsia" w:hAnsi="宋体" w:cs="宋体"/>
                <w:b/>
                <w:sz w:val="24"/>
                <w:szCs w:val="24"/>
                <w:highlight w:val="none"/>
              </w:rPr>
              <w:t>单价</w:t>
            </w:r>
          </w:p>
        </w:tc>
        <w:tc>
          <w:tcPr>
            <w:tcW w:w="840" w:type="dxa"/>
            <w:tcBorders>
              <w:top w:val="single" w:color="auto" w:sz="6"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r>
              <w:rPr>
                <w:rFonts w:hint="eastAsia" w:hAnsi="宋体" w:cs="宋体"/>
                <w:b/>
                <w:sz w:val="24"/>
                <w:szCs w:val="24"/>
                <w:highlight w:val="none"/>
              </w:rPr>
              <w:t>出厂价</w:t>
            </w:r>
          </w:p>
        </w:tc>
        <w:tc>
          <w:tcPr>
            <w:tcW w:w="839" w:type="dxa"/>
            <w:tcBorders>
              <w:top w:val="single" w:color="auto" w:sz="6"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r>
              <w:rPr>
                <w:rFonts w:hint="eastAsia" w:hAnsi="宋体" w:cs="宋体"/>
                <w:b/>
                <w:sz w:val="24"/>
                <w:szCs w:val="24"/>
                <w:highlight w:val="none"/>
              </w:rPr>
              <w:t>包装费</w:t>
            </w:r>
          </w:p>
        </w:tc>
        <w:tc>
          <w:tcPr>
            <w:tcW w:w="959" w:type="dxa"/>
            <w:tcBorders>
              <w:top w:val="single" w:color="auto" w:sz="6"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r>
              <w:rPr>
                <w:rFonts w:hint="eastAsia" w:hAnsi="宋体" w:cs="宋体"/>
                <w:b/>
                <w:sz w:val="24"/>
                <w:szCs w:val="24"/>
                <w:highlight w:val="none"/>
              </w:rPr>
              <w:t>运输费</w:t>
            </w:r>
          </w:p>
        </w:tc>
        <w:tc>
          <w:tcPr>
            <w:tcW w:w="839" w:type="dxa"/>
            <w:tcBorders>
              <w:top w:val="single" w:color="auto" w:sz="6"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r>
              <w:rPr>
                <w:rFonts w:hint="eastAsia" w:hAnsi="宋体" w:cs="宋体"/>
                <w:b/>
                <w:sz w:val="24"/>
                <w:szCs w:val="24"/>
                <w:highlight w:val="none"/>
              </w:rPr>
              <w:t>保险费</w:t>
            </w:r>
          </w:p>
        </w:tc>
        <w:tc>
          <w:tcPr>
            <w:tcW w:w="839" w:type="dxa"/>
            <w:tcBorders>
              <w:top w:val="single" w:color="auto" w:sz="6"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r>
              <w:rPr>
                <w:rFonts w:hint="eastAsia" w:hAnsi="宋体" w:cs="宋体"/>
                <w:b/>
                <w:sz w:val="24"/>
                <w:szCs w:val="24"/>
                <w:highlight w:val="none"/>
              </w:rPr>
              <w:t>服务费</w:t>
            </w:r>
          </w:p>
        </w:tc>
        <w:tc>
          <w:tcPr>
            <w:tcW w:w="840" w:type="dxa"/>
            <w:tcBorders>
              <w:top w:val="single" w:color="auto" w:sz="6"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r>
              <w:rPr>
                <w:rFonts w:hint="eastAsia" w:hAnsi="宋体" w:cs="宋体"/>
                <w:b/>
                <w:sz w:val="24"/>
                <w:szCs w:val="24"/>
                <w:highlight w:val="none"/>
              </w:rPr>
              <w:t>……</w:t>
            </w:r>
          </w:p>
        </w:tc>
        <w:tc>
          <w:tcPr>
            <w:tcW w:w="797" w:type="dxa"/>
            <w:tcBorders>
              <w:top w:val="single" w:color="auto" w:sz="6"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r>
              <w:rPr>
                <w:rFonts w:hint="eastAsia" w:hAnsi="宋体" w:cs="宋体"/>
                <w:b/>
                <w:sz w:val="24"/>
                <w:szCs w:val="24"/>
                <w:highlight w:val="none"/>
              </w:rPr>
              <w:t>数量</w:t>
            </w:r>
          </w:p>
        </w:tc>
        <w:tc>
          <w:tcPr>
            <w:tcW w:w="709" w:type="dxa"/>
            <w:tcBorders>
              <w:top w:val="single" w:color="auto" w:sz="6"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r>
              <w:rPr>
                <w:rFonts w:hint="eastAsia" w:hAnsi="宋体" w:cs="宋体"/>
                <w:b/>
                <w:sz w:val="24"/>
                <w:szCs w:val="24"/>
                <w:highlight w:val="none"/>
              </w:rPr>
              <w:t>合价</w:t>
            </w:r>
          </w:p>
        </w:tc>
      </w:tr>
      <w:tr>
        <w:tblPrEx>
          <w:tblCellMar>
            <w:top w:w="0" w:type="dxa"/>
            <w:left w:w="30" w:type="dxa"/>
            <w:bottom w:w="0" w:type="dxa"/>
            <w:right w:w="30" w:type="dxa"/>
          </w:tblCellMar>
        </w:tblPrEx>
        <w:trPr>
          <w:trHeight w:val="876" w:hRule="atLeast"/>
          <w:jc w:val="center"/>
        </w:trPr>
        <w:tc>
          <w:tcPr>
            <w:tcW w:w="1832" w:type="dxa"/>
            <w:tcBorders>
              <w:top w:val="single" w:color="auto" w:sz="4"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892" w:type="dxa"/>
            <w:tcBorders>
              <w:top w:val="single" w:color="auto" w:sz="4"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840" w:type="dxa"/>
            <w:tcBorders>
              <w:top w:val="single" w:color="auto" w:sz="4"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839" w:type="dxa"/>
            <w:tcBorders>
              <w:top w:val="single" w:color="auto" w:sz="4"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959" w:type="dxa"/>
            <w:tcBorders>
              <w:top w:val="single" w:color="auto" w:sz="4"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839" w:type="dxa"/>
            <w:tcBorders>
              <w:top w:val="single" w:color="auto" w:sz="4"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839" w:type="dxa"/>
            <w:tcBorders>
              <w:top w:val="single" w:color="auto" w:sz="4"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840" w:type="dxa"/>
            <w:tcBorders>
              <w:top w:val="single" w:color="auto" w:sz="4"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797" w:type="dxa"/>
            <w:tcBorders>
              <w:top w:val="single" w:color="auto" w:sz="4"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709" w:type="dxa"/>
            <w:tcBorders>
              <w:top w:val="single" w:color="auto" w:sz="4"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p>
        </w:tc>
      </w:tr>
      <w:tr>
        <w:tblPrEx>
          <w:tblCellMar>
            <w:top w:w="0" w:type="dxa"/>
            <w:left w:w="30" w:type="dxa"/>
            <w:bottom w:w="0" w:type="dxa"/>
            <w:right w:w="30" w:type="dxa"/>
          </w:tblCellMar>
        </w:tblPrEx>
        <w:trPr>
          <w:trHeight w:val="876" w:hRule="atLeast"/>
          <w:jc w:val="center"/>
        </w:trPr>
        <w:tc>
          <w:tcPr>
            <w:tcW w:w="1832" w:type="dxa"/>
            <w:tcBorders>
              <w:top w:val="single" w:color="auto" w:sz="4" w:space="0"/>
              <w:left w:val="single" w:color="auto" w:sz="6" w:space="0"/>
              <w:bottom w:val="single" w:color="auto" w:sz="6"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892" w:type="dxa"/>
            <w:tcBorders>
              <w:top w:val="single" w:color="auto" w:sz="4" w:space="0"/>
              <w:left w:val="single" w:color="auto" w:sz="6" w:space="0"/>
              <w:bottom w:val="single" w:color="auto" w:sz="6"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840" w:type="dxa"/>
            <w:tcBorders>
              <w:top w:val="single" w:color="auto" w:sz="4" w:space="0"/>
              <w:left w:val="single" w:color="auto" w:sz="6" w:space="0"/>
              <w:bottom w:val="single" w:color="auto" w:sz="6"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839" w:type="dxa"/>
            <w:tcBorders>
              <w:top w:val="single" w:color="auto" w:sz="4" w:space="0"/>
              <w:left w:val="single" w:color="auto" w:sz="6" w:space="0"/>
              <w:bottom w:val="single" w:color="auto" w:sz="6"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959" w:type="dxa"/>
            <w:tcBorders>
              <w:top w:val="single" w:color="auto" w:sz="4" w:space="0"/>
              <w:left w:val="single" w:color="auto" w:sz="6" w:space="0"/>
              <w:bottom w:val="single" w:color="auto" w:sz="6"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839" w:type="dxa"/>
            <w:tcBorders>
              <w:top w:val="single" w:color="auto" w:sz="4" w:space="0"/>
              <w:left w:val="single" w:color="auto" w:sz="6" w:space="0"/>
              <w:bottom w:val="single" w:color="auto" w:sz="6"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839" w:type="dxa"/>
            <w:tcBorders>
              <w:top w:val="single" w:color="auto" w:sz="4" w:space="0"/>
              <w:left w:val="single" w:color="auto" w:sz="6" w:space="0"/>
              <w:bottom w:val="single" w:color="auto" w:sz="6"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840" w:type="dxa"/>
            <w:tcBorders>
              <w:top w:val="single" w:color="auto" w:sz="4" w:space="0"/>
              <w:left w:val="single" w:color="auto" w:sz="6" w:space="0"/>
              <w:bottom w:val="single" w:color="auto" w:sz="6"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797" w:type="dxa"/>
            <w:tcBorders>
              <w:top w:val="single" w:color="auto" w:sz="4" w:space="0"/>
              <w:left w:val="single" w:color="auto" w:sz="6" w:space="0"/>
              <w:bottom w:val="single" w:color="auto" w:sz="6"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709" w:type="dxa"/>
            <w:tcBorders>
              <w:top w:val="single" w:color="auto" w:sz="4" w:space="0"/>
              <w:left w:val="single" w:color="auto" w:sz="6" w:space="0"/>
              <w:bottom w:val="single" w:color="auto" w:sz="6" w:space="0"/>
              <w:right w:val="single" w:color="auto" w:sz="6" w:space="0"/>
            </w:tcBorders>
            <w:vAlign w:val="center"/>
          </w:tcPr>
          <w:p>
            <w:pPr>
              <w:pStyle w:val="20"/>
              <w:tabs>
                <w:tab w:val="left" w:pos="9720"/>
              </w:tabs>
              <w:ind w:right="-15"/>
              <w:jc w:val="center"/>
              <w:rPr>
                <w:rFonts w:hAnsi="宋体" w:cs="宋体"/>
                <w:b/>
                <w:sz w:val="24"/>
                <w:szCs w:val="24"/>
                <w:highlight w:val="none"/>
              </w:rPr>
            </w:pPr>
          </w:p>
        </w:tc>
      </w:tr>
    </w:tbl>
    <w:p>
      <w:pPr>
        <w:pStyle w:val="20"/>
        <w:tabs>
          <w:tab w:val="left" w:pos="9720"/>
        </w:tabs>
        <w:ind w:right="-15"/>
        <w:rPr>
          <w:rFonts w:hAnsi="宋体" w:cs="宋体"/>
          <w:b/>
          <w:sz w:val="24"/>
          <w:szCs w:val="24"/>
          <w:highlight w:val="none"/>
        </w:rPr>
      </w:pPr>
    </w:p>
    <w:p>
      <w:pPr>
        <w:pStyle w:val="20"/>
        <w:tabs>
          <w:tab w:val="left" w:pos="9720"/>
        </w:tabs>
        <w:ind w:right="-15"/>
        <w:rPr>
          <w:rFonts w:hAnsi="宋体" w:cs="宋体"/>
          <w:b/>
          <w:sz w:val="24"/>
          <w:szCs w:val="24"/>
          <w:highlight w:val="none"/>
        </w:rPr>
      </w:pPr>
      <w:r>
        <w:rPr>
          <w:rFonts w:hint="eastAsia" w:hAnsi="宋体" w:cs="宋体"/>
          <w:b/>
          <w:sz w:val="24"/>
          <w:szCs w:val="24"/>
          <w:highlight w:val="none"/>
        </w:rPr>
        <w:t>注：投标单位的投标单价</w:t>
      </w:r>
      <w:r>
        <w:rPr>
          <w:rFonts w:hAnsi="宋体" w:cs="宋体"/>
          <w:b/>
          <w:sz w:val="24"/>
          <w:szCs w:val="24"/>
          <w:highlight w:val="none"/>
        </w:rPr>
        <w:t>=</w:t>
      </w:r>
      <w:r>
        <w:rPr>
          <w:rFonts w:hint="eastAsia" w:hAnsi="宋体" w:cs="宋体"/>
          <w:b/>
          <w:sz w:val="24"/>
          <w:szCs w:val="24"/>
          <w:highlight w:val="none"/>
        </w:rPr>
        <w:t>出厂价</w:t>
      </w:r>
      <w:r>
        <w:rPr>
          <w:rFonts w:hAnsi="宋体" w:cs="宋体"/>
          <w:b/>
          <w:sz w:val="24"/>
          <w:szCs w:val="24"/>
          <w:highlight w:val="none"/>
        </w:rPr>
        <w:t>+</w:t>
      </w:r>
      <w:r>
        <w:rPr>
          <w:rFonts w:hint="eastAsia" w:hAnsi="宋体" w:cs="宋体"/>
          <w:b/>
          <w:sz w:val="24"/>
          <w:szCs w:val="24"/>
          <w:highlight w:val="none"/>
        </w:rPr>
        <w:t>包装费</w:t>
      </w:r>
      <w:r>
        <w:rPr>
          <w:rFonts w:hAnsi="宋体" w:cs="宋体"/>
          <w:b/>
          <w:sz w:val="24"/>
          <w:szCs w:val="24"/>
          <w:highlight w:val="none"/>
        </w:rPr>
        <w:t>+</w:t>
      </w:r>
      <w:r>
        <w:rPr>
          <w:rFonts w:hint="eastAsia" w:hAnsi="宋体" w:cs="宋体"/>
          <w:b/>
          <w:sz w:val="24"/>
          <w:szCs w:val="24"/>
          <w:highlight w:val="none"/>
        </w:rPr>
        <w:t>运输费</w:t>
      </w:r>
      <w:r>
        <w:rPr>
          <w:rFonts w:hAnsi="宋体" w:cs="宋体"/>
          <w:b/>
          <w:sz w:val="24"/>
          <w:szCs w:val="24"/>
          <w:highlight w:val="none"/>
        </w:rPr>
        <w:t>+</w:t>
      </w:r>
      <w:r>
        <w:rPr>
          <w:rFonts w:hint="eastAsia" w:hAnsi="宋体" w:cs="宋体"/>
          <w:b/>
          <w:sz w:val="24"/>
          <w:szCs w:val="24"/>
          <w:highlight w:val="none"/>
        </w:rPr>
        <w:t>保险费</w:t>
      </w:r>
      <w:r>
        <w:rPr>
          <w:rFonts w:hAnsi="宋体" w:cs="宋体"/>
          <w:b/>
          <w:sz w:val="24"/>
          <w:szCs w:val="24"/>
          <w:highlight w:val="none"/>
        </w:rPr>
        <w:t>+</w:t>
      </w:r>
      <w:r>
        <w:rPr>
          <w:rFonts w:hint="eastAsia" w:hAnsi="宋体" w:cs="宋体"/>
          <w:b/>
          <w:sz w:val="24"/>
          <w:szCs w:val="24"/>
          <w:highlight w:val="none"/>
        </w:rPr>
        <w:t>服务费</w:t>
      </w:r>
      <w:r>
        <w:rPr>
          <w:rFonts w:hAnsi="宋体" w:cs="宋体"/>
          <w:b/>
          <w:sz w:val="24"/>
          <w:szCs w:val="24"/>
          <w:highlight w:val="none"/>
        </w:rPr>
        <w:t>+</w:t>
      </w:r>
      <w:r>
        <w:rPr>
          <w:rFonts w:hint="eastAsia" w:hAnsi="宋体" w:cs="宋体"/>
          <w:sz w:val="24"/>
          <w:szCs w:val="24"/>
          <w:highlight w:val="none"/>
        </w:rPr>
        <w:t>……</w:t>
      </w:r>
    </w:p>
    <w:p>
      <w:pPr>
        <w:pStyle w:val="20"/>
        <w:tabs>
          <w:tab w:val="left" w:pos="9720"/>
        </w:tabs>
        <w:ind w:right="-15"/>
        <w:rPr>
          <w:rFonts w:hAnsi="宋体" w:cs="宋体"/>
          <w:b/>
          <w:sz w:val="24"/>
          <w:szCs w:val="24"/>
          <w:highlight w:val="none"/>
        </w:rPr>
      </w:pPr>
    </w:p>
    <w:p>
      <w:pPr>
        <w:pStyle w:val="20"/>
        <w:spacing w:line="400" w:lineRule="exact"/>
        <w:ind w:right="-15" w:firstLine="480" w:firstLineChars="200"/>
        <w:rPr>
          <w:rFonts w:hAnsi="宋体" w:cs="宋体"/>
          <w:sz w:val="24"/>
          <w:szCs w:val="24"/>
          <w:highlight w:val="none"/>
        </w:rPr>
      </w:pPr>
      <w:r>
        <w:rPr>
          <w:rFonts w:hint="eastAsia" w:hAnsi="宋体" w:cs="宋体"/>
          <w:sz w:val="24"/>
          <w:szCs w:val="24"/>
          <w:highlight w:val="none"/>
        </w:rPr>
        <w:t>投标企业代表签字：</w:t>
      </w:r>
    </w:p>
    <w:p>
      <w:pPr>
        <w:pStyle w:val="20"/>
        <w:spacing w:line="400" w:lineRule="exact"/>
        <w:ind w:right="-15" w:firstLine="480" w:firstLineChars="200"/>
        <w:rPr>
          <w:rFonts w:hAnsi="宋体" w:cs="宋体"/>
          <w:sz w:val="24"/>
          <w:szCs w:val="24"/>
          <w:highlight w:val="none"/>
        </w:rPr>
      </w:pPr>
      <w:r>
        <w:rPr>
          <w:rFonts w:hAnsi="宋体" w:cs="宋体"/>
          <w:sz w:val="24"/>
          <w:szCs w:val="24"/>
          <w:highlight w:val="none"/>
        </w:rPr>
        <w:t xml:space="preserve">  </w:t>
      </w:r>
    </w:p>
    <w:p>
      <w:pPr>
        <w:pStyle w:val="20"/>
        <w:spacing w:line="400" w:lineRule="exact"/>
        <w:ind w:right="-15" w:firstLine="480" w:firstLineChars="200"/>
        <w:rPr>
          <w:rFonts w:hAnsi="宋体" w:cs="宋体"/>
          <w:sz w:val="24"/>
          <w:szCs w:val="24"/>
          <w:highlight w:val="none"/>
        </w:rPr>
      </w:pPr>
    </w:p>
    <w:p>
      <w:pPr>
        <w:pStyle w:val="20"/>
        <w:spacing w:line="400" w:lineRule="exact"/>
        <w:ind w:right="-15" w:firstLine="480" w:firstLineChars="200"/>
        <w:rPr>
          <w:rFonts w:hAnsi="宋体" w:cs="宋体"/>
          <w:sz w:val="24"/>
          <w:szCs w:val="24"/>
          <w:highlight w:val="none"/>
        </w:rPr>
      </w:pPr>
    </w:p>
    <w:p>
      <w:pPr>
        <w:pStyle w:val="20"/>
        <w:spacing w:line="400" w:lineRule="exact"/>
        <w:ind w:right="-15" w:firstLine="480" w:firstLineChars="200"/>
        <w:rPr>
          <w:rFonts w:hAnsi="宋体" w:cs="宋体"/>
          <w:sz w:val="24"/>
          <w:szCs w:val="24"/>
          <w:highlight w:val="none"/>
        </w:rPr>
      </w:pPr>
      <w:r>
        <w:rPr>
          <w:rFonts w:hint="eastAsia" w:hAnsi="宋体" w:cs="宋体"/>
          <w:sz w:val="24"/>
          <w:szCs w:val="24"/>
          <w:highlight w:val="none"/>
        </w:rPr>
        <w:t>投标企业公章：</w:t>
      </w:r>
    </w:p>
    <w:p>
      <w:pPr>
        <w:pStyle w:val="20"/>
        <w:spacing w:line="400" w:lineRule="exact"/>
        <w:ind w:right="-15"/>
        <w:rPr>
          <w:rFonts w:hAnsi="宋体" w:cs="宋体"/>
          <w:sz w:val="24"/>
          <w:szCs w:val="24"/>
          <w:highlight w:val="none"/>
        </w:rPr>
      </w:pPr>
    </w:p>
    <w:p>
      <w:pPr>
        <w:pStyle w:val="20"/>
        <w:spacing w:line="400" w:lineRule="exact"/>
        <w:ind w:right="-15"/>
        <w:rPr>
          <w:rFonts w:hAnsi="宋体" w:cs="宋体"/>
          <w:sz w:val="24"/>
          <w:szCs w:val="24"/>
          <w:highlight w:val="none"/>
        </w:rPr>
      </w:pPr>
    </w:p>
    <w:p>
      <w:pPr>
        <w:pStyle w:val="20"/>
        <w:spacing w:line="400" w:lineRule="exact"/>
        <w:ind w:right="-15"/>
        <w:rPr>
          <w:rFonts w:hAnsi="宋体" w:cs="宋体"/>
          <w:sz w:val="24"/>
          <w:szCs w:val="24"/>
          <w:highlight w:val="none"/>
        </w:rPr>
      </w:pPr>
    </w:p>
    <w:p>
      <w:pPr>
        <w:pStyle w:val="20"/>
        <w:spacing w:line="400" w:lineRule="exact"/>
        <w:ind w:right="-15"/>
        <w:rPr>
          <w:rFonts w:hAnsi="宋体" w:cs="宋体"/>
          <w:sz w:val="24"/>
          <w:szCs w:val="24"/>
          <w:highlight w:val="none"/>
        </w:rPr>
      </w:pPr>
    </w:p>
    <w:p>
      <w:pPr>
        <w:wordWrap w:val="0"/>
        <w:ind w:right="729" w:firstLine="480" w:firstLineChars="200"/>
        <w:rPr>
          <w:rFonts w:ascii="宋体" w:cs="宋体"/>
          <w:sz w:val="24"/>
          <w:szCs w:val="24"/>
          <w:highlight w:val="none"/>
        </w:rPr>
      </w:pPr>
      <w:r>
        <w:rPr>
          <w:rFonts w:hint="eastAsia" w:ascii="宋体" w:hAnsi="宋体" w:cs="宋体"/>
          <w:sz w:val="24"/>
          <w:szCs w:val="24"/>
          <w:highlight w:val="none"/>
        </w:rPr>
        <w:t>日</w:t>
      </w:r>
      <w:r>
        <w:rPr>
          <w:rFonts w:ascii="宋体" w:hAnsi="宋体" w:cs="宋体"/>
          <w:sz w:val="24"/>
          <w:szCs w:val="24"/>
          <w:highlight w:val="none"/>
        </w:rPr>
        <w:t xml:space="preserve">    </w:t>
      </w:r>
      <w:r>
        <w:rPr>
          <w:rFonts w:hint="eastAsia" w:ascii="宋体" w:hAnsi="宋体" w:cs="宋体"/>
          <w:sz w:val="24"/>
          <w:szCs w:val="24"/>
          <w:highlight w:val="none"/>
        </w:rPr>
        <w:t>期：</w:t>
      </w:r>
      <w:r>
        <w:rPr>
          <w:rFonts w:ascii="宋体" w:hAnsi="宋体" w:cs="宋体"/>
          <w:sz w:val="24"/>
          <w:szCs w:val="24"/>
          <w:highlight w:val="none"/>
        </w:rPr>
        <w:t xml:space="preserve">   </w:t>
      </w:r>
      <w:r>
        <w:rPr>
          <w:rFonts w:hint="eastAsia" w:ascii="宋体" w:hAnsi="宋体" w:cs="宋体"/>
          <w:sz w:val="24"/>
          <w:szCs w:val="24"/>
          <w:highlight w:val="none"/>
        </w:rPr>
        <w:t>年</w:t>
      </w:r>
      <w:r>
        <w:rPr>
          <w:rFonts w:ascii="宋体" w:hAnsi="宋体" w:cs="宋体"/>
          <w:sz w:val="24"/>
          <w:szCs w:val="24"/>
          <w:highlight w:val="none"/>
        </w:rPr>
        <w:t xml:space="preserve">   </w:t>
      </w:r>
      <w:r>
        <w:rPr>
          <w:rFonts w:hint="eastAsia" w:ascii="宋体" w:hAnsi="宋体" w:cs="宋体"/>
          <w:sz w:val="24"/>
          <w:szCs w:val="24"/>
          <w:highlight w:val="none"/>
        </w:rPr>
        <w:t>月</w:t>
      </w:r>
      <w:r>
        <w:rPr>
          <w:rFonts w:ascii="宋体" w:hAnsi="宋体" w:cs="宋体"/>
          <w:sz w:val="24"/>
          <w:szCs w:val="24"/>
          <w:highlight w:val="none"/>
        </w:rPr>
        <w:t xml:space="preserve">   </w:t>
      </w:r>
      <w:r>
        <w:rPr>
          <w:rFonts w:hint="eastAsia" w:ascii="宋体" w:hAnsi="宋体" w:cs="宋体"/>
          <w:sz w:val="24"/>
          <w:szCs w:val="24"/>
          <w:highlight w:val="none"/>
        </w:rPr>
        <w:t>日</w:t>
      </w:r>
    </w:p>
    <w:p>
      <w:pPr>
        <w:pStyle w:val="20"/>
        <w:tabs>
          <w:tab w:val="left" w:pos="9720"/>
        </w:tabs>
        <w:ind w:right="-15"/>
        <w:rPr>
          <w:rFonts w:hAnsi="宋体" w:cs="宋体"/>
          <w:b/>
          <w:sz w:val="24"/>
          <w:szCs w:val="24"/>
          <w:highlight w:val="none"/>
        </w:rPr>
      </w:pPr>
    </w:p>
    <w:p>
      <w:pPr>
        <w:widowControl/>
        <w:jc w:val="left"/>
        <w:rPr>
          <w:rFonts w:ascii="宋体" w:cs="宋体"/>
          <w:b/>
          <w:sz w:val="18"/>
          <w:szCs w:val="21"/>
          <w:highlight w:val="none"/>
        </w:rPr>
      </w:pPr>
      <w:r>
        <w:rPr>
          <w:rFonts w:ascii="宋体" w:cs="宋体"/>
          <w:b/>
          <w:sz w:val="18"/>
          <w:highlight w:val="none"/>
        </w:rPr>
        <w:br w:type="page"/>
      </w:r>
    </w:p>
    <w:p>
      <w:pPr>
        <w:pStyle w:val="4"/>
        <w:jc w:val="center"/>
        <w:rPr>
          <w:rFonts w:ascii="宋体" w:cs="宋体"/>
          <w:highlight w:val="none"/>
        </w:rPr>
      </w:pPr>
      <w:bookmarkStart w:id="19" w:name="_Toc517776529"/>
      <w:r>
        <w:rPr>
          <w:rFonts w:hint="eastAsia" w:ascii="宋体" w:hAnsi="宋体" w:cs="宋体"/>
          <w:highlight w:val="none"/>
        </w:rPr>
        <w:t>八、企业完成同类项目一览表</w:t>
      </w:r>
      <w:bookmarkEnd w:id="19"/>
    </w:p>
    <w:p>
      <w:pPr>
        <w:rPr>
          <w:rFonts w:ascii="宋体" w:cs="宋体"/>
          <w:highlight w:val="none"/>
        </w:rPr>
      </w:pPr>
    </w:p>
    <w:tbl>
      <w:tblPr>
        <w:tblStyle w:val="36"/>
        <w:tblW w:w="8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3044"/>
        <w:gridCol w:w="1417"/>
        <w:gridCol w:w="2268"/>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32" w:type="dxa"/>
            <w:vAlign w:val="center"/>
          </w:tcPr>
          <w:p>
            <w:pPr>
              <w:pStyle w:val="20"/>
              <w:jc w:val="center"/>
              <w:rPr>
                <w:rFonts w:hAnsi="宋体" w:cs="宋体"/>
                <w:b/>
                <w:sz w:val="24"/>
                <w:szCs w:val="24"/>
                <w:highlight w:val="none"/>
              </w:rPr>
            </w:pPr>
            <w:r>
              <w:rPr>
                <w:rFonts w:hint="eastAsia" w:hAnsi="宋体" w:cs="宋体"/>
                <w:b/>
                <w:sz w:val="24"/>
                <w:szCs w:val="24"/>
                <w:highlight w:val="none"/>
              </w:rPr>
              <w:t>序号</w:t>
            </w:r>
          </w:p>
        </w:tc>
        <w:tc>
          <w:tcPr>
            <w:tcW w:w="3044" w:type="dxa"/>
            <w:vAlign w:val="center"/>
          </w:tcPr>
          <w:p>
            <w:pPr>
              <w:pStyle w:val="20"/>
              <w:jc w:val="center"/>
              <w:rPr>
                <w:rFonts w:hAnsi="宋体" w:cs="宋体"/>
                <w:b/>
                <w:sz w:val="24"/>
                <w:szCs w:val="24"/>
                <w:highlight w:val="none"/>
              </w:rPr>
            </w:pPr>
            <w:r>
              <w:rPr>
                <w:rFonts w:hint="eastAsia" w:hAnsi="宋体" w:cs="宋体"/>
                <w:b/>
                <w:sz w:val="24"/>
                <w:szCs w:val="24"/>
                <w:highlight w:val="none"/>
              </w:rPr>
              <w:t>项目名称</w:t>
            </w:r>
          </w:p>
        </w:tc>
        <w:tc>
          <w:tcPr>
            <w:tcW w:w="1417" w:type="dxa"/>
            <w:vAlign w:val="center"/>
          </w:tcPr>
          <w:p>
            <w:pPr>
              <w:pStyle w:val="20"/>
              <w:jc w:val="center"/>
              <w:rPr>
                <w:rFonts w:hAnsi="宋体" w:cs="宋体"/>
                <w:b/>
                <w:sz w:val="24"/>
                <w:szCs w:val="24"/>
                <w:highlight w:val="none"/>
              </w:rPr>
            </w:pPr>
            <w:r>
              <w:rPr>
                <w:rFonts w:hint="eastAsia" w:hAnsi="宋体" w:cs="宋体"/>
                <w:b/>
                <w:sz w:val="24"/>
                <w:szCs w:val="24"/>
                <w:highlight w:val="none"/>
              </w:rPr>
              <w:t>完成日期</w:t>
            </w:r>
          </w:p>
        </w:tc>
        <w:tc>
          <w:tcPr>
            <w:tcW w:w="2268" w:type="dxa"/>
            <w:vAlign w:val="center"/>
          </w:tcPr>
          <w:p>
            <w:pPr>
              <w:pStyle w:val="20"/>
              <w:jc w:val="center"/>
              <w:rPr>
                <w:rFonts w:hAnsi="宋体" w:cs="宋体"/>
                <w:b/>
                <w:sz w:val="24"/>
                <w:szCs w:val="24"/>
                <w:highlight w:val="none"/>
              </w:rPr>
            </w:pPr>
            <w:r>
              <w:rPr>
                <w:rFonts w:hint="eastAsia" w:hAnsi="宋体" w:cs="宋体"/>
                <w:b/>
                <w:sz w:val="24"/>
                <w:szCs w:val="24"/>
                <w:highlight w:val="none"/>
              </w:rPr>
              <w:t>业主名称</w:t>
            </w:r>
          </w:p>
        </w:tc>
        <w:tc>
          <w:tcPr>
            <w:tcW w:w="993" w:type="dxa"/>
            <w:vAlign w:val="center"/>
          </w:tcPr>
          <w:p>
            <w:pPr>
              <w:pStyle w:val="20"/>
              <w:jc w:val="center"/>
              <w:rPr>
                <w:rFonts w:hAnsi="宋体" w:cs="宋体"/>
                <w:b/>
                <w:sz w:val="24"/>
                <w:szCs w:val="24"/>
                <w:highlight w:val="none"/>
              </w:rPr>
            </w:pPr>
            <w:r>
              <w:rPr>
                <w:rFonts w:hint="eastAsia" w:hAnsi="宋体" w:cs="宋体"/>
                <w:b/>
                <w:sz w:val="24"/>
                <w:szCs w:val="24"/>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32" w:type="dxa"/>
            <w:vAlign w:val="center"/>
          </w:tcPr>
          <w:p>
            <w:pPr>
              <w:pStyle w:val="20"/>
              <w:jc w:val="center"/>
              <w:rPr>
                <w:rFonts w:hAnsi="宋体" w:cs="宋体"/>
                <w:b/>
                <w:sz w:val="24"/>
                <w:szCs w:val="24"/>
                <w:highlight w:val="none"/>
              </w:rPr>
            </w:pPr>
            <w:r>
              <w:rPr>
                <w:rFonts w:hAnsi="宋体" w:cs="宋体"/>
                <w:b/>
                <w:sz w:val="24"/>
                <w:szCs w:val="24"/>
                <w:highlight w:val="none"/>
              </w:rPr>
              <w:t>1</w:t>
            </w:r>
          </w:p>
        </w:tc>
        <w:tc>
          <w:tcPr>
            <w:tcW w:w="3044" w:type="dxa"/>
            <w:vAlign w:val="center"/>
          </w:tcPr>
          <w:p>
            <w:pPr>
              <w:pStyle w:val="20"/>
              <w:jc w:val="center"/>
              <w:rPr>
                <w:rFonts w:hAnsi="宋体" w:cs="宋体"/>
                <w:b/>
                <w:sz w:val="24"/>
                <w:szCs w:val="24"/>
                <w:highlight w:val="none"/>
              </w:rPr>
            </w:pPr>
          </w:p>
        </w:tc>
        <w:tc>
          <w:tcPr>
            <w:tcW w:w="1417" w:type="dxa"/>
            <w:vAlign w:val="center"/>
          </w:tcPr>
          <w:p>
            <w:pPr>
              <w:pStyle w:val="20"/>
              <w:jc w:val="center"/>
              <w:rPr>
                <w:rFonts w:hAnsi="宋体" w:cs="宋体"/>
                <w:b/>
                <w:sz w:val="24"/>
                <w:szCs w:val="24"/>
                <w:highlight w:val="none"/>
              </w:rPr>
            </w:pPr>
          </w:p>
        </w:tc>
        <w:tc>
          <w:tcPr>
            <w:tcW w:w="2268" w:type="dxa"/>
            <w:vAlign w:val="center"/>
          </w:tcPr>
          <w:p>
            <w:pPr>
              <w:pStyle w:val="20"/>
              <w:jc w:val="center"/>
              <w:rPr>
                <w:rFonts w:hAnsi="宋体" w:cs="宋体"/>
                <w:b/>
                <w:sz w:val="24"/>
                <w:szCs w:val="24"/>
                <w:highlight w:val="none"/>
              </w:rPr>
            </w:pPr>
          </w:p>
        </w:tc>
        <w:tc>
          <w:tcPr>
            <w:tcW w:w="993" w:type="dxa"/>
            <w:vAlign w:val="center"/>
          </w:tcPr>
          <w:p>
            <w:pPr>
              <w:pStyle w:val="20"/>
              <w:jc w:val="center"/>
              <w:rPr>
                <w:rFonts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32" w:type="dxa"/>
            <w:vAlign w:val="center"/>
          </w:tcPr>
          <w:p>
            <w:pPr>
              <w:pStyle w:val="20"/>
              <w:jc w:val="center"/>
              <w:rPr>
                <w:rFonts w:hAnsi="宋体" w:cs="宋体"/>
                <w:b/>
                <w:sz w:val="24"/>
                <w:szCs w:val="24"/>
                <w:highlight w:val="none"/>
              </w:rPr>
            </w:pPr>
            <w:r>
              <w:rPr>
                <w:rFonts w:hAnsi="宋体" w:cs="宋体"/>
                <w:b/>
                <w:sz w:val="24"/>
                <w:szCs w:val="24"/>
                <w:highlight w:val="none"/>
              </w:rPr>
              <w:t>2</w:t>
            </w:r>
          </w:p>
        </w:tc>
        <w:tc>
          <w:tcPr>
            <w:tcW w:w="3044" w:type="dxa"/>
            <w:vAlign w:val="center"/>
          </w:tcPr>
          <w:p>
            <w:pPr>
              <w:pStyle w:val="20"/>
              <w:jc w:val="center"/>
              <w:rPr>
                <w:rFonts w:hAnsi="宋体" w:cs="宋体"/>
                <w:b/>
                <w:sz w:val="24"/>
                <w:szCs w:val="24"/>
                <w:highlight w:val="none"/>
              </w:rPr>
            </w:pPr>
          </w:p>
        </w:tc>
        <w:tc>
          <w:tcPr>
            <w:tcW w:w="1417" w:type="dxa"/>
            <w:vAlign w:val="center"/>
          </w:tcPr>
          <w:p>
            <w:pPr>
              <w:pStyle w:val="20"/>
              <w:jc w:val="center"/>
              <w:rPr>
                <w:rFonts w:hAnsi="宋体" w:cs="宋体"/>
                <w:b/>
                <w:sz w:val="24"/>
                <w:szCs w:val="24"/>
                <w:highlight w:val="none"/>
              </w:rPr>
            </w:pPr>
          </w:p>
        </w:tc>
        <w:tc>
          <w:tcPr>
            <w:tcW w:w="2268" w:type="dxa"/>
            <w:vAlign w:val="center"/>
          </w:tcPr>
          <w:p>
            <w:pPr>
              <w:pStyle w:val="20"/>
              <w:jc w:val="center"/>
              <w:rPr>
                <w:rFonts w:hAnsi="宋体" w:cs="宋体"/>
                <w:b/>
                <w:sz w:val="24"/>
                <w:szCs w:val="24"/>
                <w:highlight w:val="none"/>
              </w:rPr>
            </w:pPr>
          </w:p>
        </w:tc>
        <w:tc>
          <w:tcPr>
            <w:tcW w:w="993" w:type="dxa"/>
            <w:vAlign w:val="center"/>
          </w:tcPr>
          <w:p>
            <w:pPr>
              <w:pStyle w:val="20"/>
              <w:jc w:val="center"/>
              <w:rPr>
                <w:rFonts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32" w:type="dxa"/>
            <w:vAlign w:val="center"/>
          </w:tcPr>
          <w:p>
            <w:pPr>
              <w:pStyle w:val="20"/>
              <w:jc w:val="center"/>
              <w:rPr>
                <w:rFonts w:hAnsi="宋体" w:cs="宋体"/>
                <w:b/>
                <w:sz w:val="24"/>
                <w:szCs w:val="24"/>
                <w:highlight w:val="none"/>
              </w:rPr>
            </w:pPr>
            <w:r>
              <w:rPr>
                <w:rFonts w:hAnsi="宋体" w:cs="宋体"/>
                <w:b/>
                <w:sz w:val="24"/>
                <w:szCs w:val="24"/>
                <w:highlight w:val="none"/>
              </w:rPr>
              <w:t>3</w:t>
            </w:r>
          </w:p>
        </w:tc>
        <w:tc>
          <w:tcPr>
            <w:tcW w:w="3044" w:type="dxa"/>
            <w:vAlign w:val="center"/>
          </w:tcPr>
          <w:p>
            <w:pPr>
              <w:pStyle w:val="20"/>
              <w:jc w:val="center"/>
              <w:rPr>
                <w:rFonts w:hAnsi="宋体" w:cs="宋体"/>
                <w:b/>
                <w:sz w:val="24"/>
                <w:szCs w:val="24"/>
                <w:highlight w:val="none"/>
              </w:rPr>
            </w:pPr>
          </w:p>
        </w:tc>
        <w:tc>
          <w:tcPr>
            <w:tcW w:w="1417" w:type="dxa"/>
            <w:vAlign w:val="center"/>
          </w:tcPr>
          <w:p>
            <w:pPr>
              <w:pStyle w:val="20"/>
              <w:jc w:val="center"/>
              <w:rPr>
                <w:rFonts w:hAnsi="宋体" w:cs="宋体"/>
                <w:b/>
                <w:sz w:val="24"/>
                <w:szCs w:val="24"/>
                <w:highlight w:val="none"/>
              </w:rPr>
            </w:pPr>
          </w:p>
        </w:tc>
        <w:tc>
          <w:tcPr>
            <w:tcW w:w="2268" w:type="dxa"/>
            <w:vAlign w:val="center"/>
          </w:tcPr>
          <w:p>
            <w:pPr>
              <w:pStyle w:val="20"/>
              <w:jc w:val="center"/>
              <w:rPr>
                <w:rFonts w:hAnsi="宋体" w:cs="宋体"/>
                <w:b/>
                <w:sz w:val="24"/>
                <w:szCs w:val="24"/>
                <w:highlight w:val="none"/>
              </w:rPr>
            </w:pPr>
          </w:p>
        </w:tc>
        <w:tc>
          <w:tcPr>
            <w:tcW w:w="993" w:type="dxa"/>
            <w:vAlign w:val="center"/>
          </w:tcPr>
          <w:p>
            <w:pPr>
              <w:pStyle w:val="20"/>
              <w:jc w:val="center"/>
              <w:rPr>
                <w:rFonts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32" w:type="dxa"/>
            <w:vAlign w:val="center"/>
          </w:tcPr>
          <w:p>
            <w:pPr>
              <w:pStyle w:val="20"/>
              <w:jc w:val="center"/>
              <w:rPr>
                <w:rFonts w:hAnsi="宋体" w:cs="宋体"/>
                <w:b/>
                <w:sz w:val="24"/>
                <w:szCs w:val="24"/>
                <w:highlight w:val="none"/>
              </w:rPr>
            </w:pPr>
            <w:r>
              <w:rPr>
                <w:rFonts w:hAnsi="宋体" w:cs="宋体"/>
                <w:b/>
                <w:sz w:val="24"/>
                <w:szCs w:val="24"/>
                <w:highlight w:val="none"/>
              </w:rPr>
              <w:t>4</w:t>
            </w:r>
          </w:p>
        </w:tc>
        <w:tc>
          <w:tcPr>
            <w:tcW w:w="3044" w:type="dxa"/>
            <w:vAlign w:val="center"/>
          </w:tcPr>
          <w:p>
            <w:pPr>
              <w:pStyle w:val="20"/>
              <w:jc w:val="center"/>
              <w:rPr>
                <w:rFonts w:hAnsi="宋体" w:cs="宋体"/>
                <w:b/>
                <w:sz w:val="24"/>
                <w:szCs w:val="24"/>
                <w:highlight w:val="none"/>
              </w:rPr>
            </w:pPr>
          </w:p>
        </w:tc>
        <w:tc>
          <w:tcPr>
            <w:tcW w:w="1417" w:type="dxa"/>
            <w:vAlign w:val="center"/>
          </w:tcPr>
          <w:p>
            <w:pPr>
              <w:pStyle w:val="20"/>
              <w:jc w:val="center"/>
              <w:rPr>
                <w:rFonts w:hAnsi="宋体" w:cs="宋体"/>
                <w:b/>
                <w:sz w:val="24"/>
                <w:szCs w:val="24"/>
                <w:highlight w:val="none"/>
              </w:rPr>
            </w:pPr>
          </w:p>
        </w:tc>
        <w:tc>
          <w:tcPr>
            <w:tcW w:w="2268" w:type="dxa"/>
            <w:vAlign w:val="center"/>
          </w:tcPr>
          <w:p>
            <w:pPr>
              <w:pStyle w:val="20"/>
              <w:jc w:val="center"/>
              <w:rPr>
                <w:rFonts w:hAnsi="宋体" w:cs="宋体"/>
                <w:b/>
                <w:sz w:val="24"/>
                <w:szCs w:val="24"/>
                <w:highlight w:val="none"/>
              </w:rPr>
            </w:pPr>
          </w:p>
        </w:tc>
        <w:tc>
          <w:tcPr>
            <w:tcW w:w="993" w:type="dxa"/>
            <w:vAlign w:val="center"/>
          </w:tcPr>
          <w:p>
            <w:pPr>
              <w:pStyle w:val="20"/>
              <w:jc w:val="center"/>
              <w:rPr>
                <w:rFonts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32" w:type="dxa"/>
            <w:vAlign w:val="center"/>
          </w:tcPr>
          <w:p>
            <w:pPr>
              <w:pStyle w:val="20"/>
              <w:jc w:val="center"/>
              <w:rPr>
                <w:rFonts w:hAnsi="宋体" w:cs="宋体"/>
                <w:b/>
                <w:sz w:val="24"/>
                <w:szCs w:val="24"/>
                <w:highlight w:val="none"/>
              </w:rPr>
            </w:pPr>
            <w:r>
              <w:rPr>
                <w:rFonts w:hint="eastAsia" w:hAnsi="宋体" w:cs="宋体"/>
                <w:b/>
                <w:sz w:val="24"/>
                <w:szCs w:val="24"/>
                <w:highlight w:val="none"/>
              </w:rPr>
              <w:t>……</w:t>
            </w:r>
          </w:p>
        </w:tc>
        <w:tc>
          <w:tcPr>
            <w:tcW w:w="3044" w:type="dxa"/>
            <w:vAlign w:val="center"/>
          </w:tcPr>
          <w:p>
            <w:pPr>
              <w:pStyle w:val="20"/>
              <w:jc w:val="center"/>
              <w:rPr>
                <w:rFonts w:hAnsi="宋体" w:cs="宋体"/>
                <w:b/>
                <w:sz w:val="24"/>
                <w:szCs w:val="24"/>
                <w:highlight w:val="none"/>
              </w:rPr>
            </w:pPr>
          </w:p>
        </w:tc>
        <w:tc>
          <w:tcPr>
            <w:tcW w:w="1417" w:type="dxa"/>
            <w:vAlign w:val="center"/>
          </w:tcPr>
          <w:p>
            <w:pPr>
              <w:pStyle w:val="20"/>
              <w:jc w:val="center"/>
              <w:rPr>
                <w:rFonts w:hAnsi="宋体" w:cs="宋体"/>
                <w:b/>
                <w:sz w:val="24"/>
                <w:szCs w:val="24"/>
                <w:highlight w:val="none"/>
              </w:rPr>
            </w:pPr>
          </w:p>
        </w:tc>
        <w:tc>
          <w:tcPr>
            <w:tcW w:w="2268" w:type="dxa"/>
            <w:vAlign w:val="center"/>
          </w:tcPr>
          <w:p>
            <w:pPr>
              <w:pStyle w:val="20"/>
              <w:jc w:val="center"/>
              <w:rPr>
                <w:rFonts w:hAnsi="宋体" w:cs="宋体"/>
                <w:b/>
                <w:sz w:val="24"/>
                <w:szCs w:val="24"/>
                <w:highlight w:val="none"/>
              </w:rPr>
            </w:pPr>
          </w:p>
        </w:tc>
        <w:tc>
          <w:tcPr>
            <w:tcW w:w="993" w:type="dxa"/>
            <w:vAlign w:val="center"/>
          </w:tcPr>
          <w:p>
            <w:pPr>
              <w:pStyle w:val="20"/>
              <w:jc w:val="center"/>
              <w:rPr>
                <w:rFonts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32" w:type="dxa"/>
            <w:vAlign w:val="center"/>
          </w:tcPr>
          <w:p>
            <w:pPr>
              <w:pStyle w:val="20"/>
              <w:jc w:val="center"/>
              <w:rPr>
                <w:rFonts w:hAnsi="宋体" w:cs="宋体"/>
                <w:b/>
                <w:sz w:val="24"/>
                <w:szCs w:val="24"/>
                <w:highlight w:val="none"/>
              </w:rPr>
            </w:pPr>
          </w:p>
        </w:tc>
        <w:tc>
          <w:tcPr>
            <w:tcW w:w="3044" w:type="dxa"/>
            <w:vAlign w:val="center"/>
          </w:tcPr>
          <w:p>
            <w:pPr>
              <w:pStyle w:val="20"/>
              <w:jc w:val="center"/>
              <w:rPr>
                <w:rFonts w:hAnsi="宋体" w:cs="宋体"/>
                <w:b/>
                <w:sz w:val="24"/>
                <w:szCs w:val="24"/>
                <w:highlight w:val="none"/>
              </w:rPr>
            </w:pPr>
          </w:p>
        </w:tc>
        <w:tc>
          <w:tcPr>
            <w:tcW w:w="1417" w:type="dxa"/>
            <w:vAlign w:val="center"/>
          </w:tcPr>
          <w:p>
            <w:pPr>
              <w:pStyle w:val="20"/>
              <w:jc w:val="center"/>
              <w:rPr>
                <w:rFonts w:hAnsi="宋体" w:cs="宋体"/>
                <w:b/>
                <w:sz w:val="24"/>
                <w:szCs w:val="24"/>
                <w:highlight w:val="none"/>
              </w:rPr>
            </w:pPr>
          </w:p>
        </w:tc>
        <w:tc>
          <w:tcPr>
            <w:tcW w:w="2268" w:type="dxa"/>
            <w:vAlign w:val="center"/>
          </w:tcPr>
          <w:p>
            <w:pPr>
              <w:pStyle w:val="20"/>
              <w:jc w:val="center"/>
              <w:rPr>
                <w:rFonts w:hAnsi="宋体" w:cs="宋体"/>
                <w:b/>
                <w:sz w:val="24"/>
                <w:szCs w:val="24"/>
                <w:highlight w:val="none"/>
              </w:rPr>
            </w:pPr>
          </w:p>
        </w:tc>
        <w:tc>
          <w:tcPr>
            <w:tcW w:w="993" w:type="dxa"/>
            <w:vAlign w:val="center"/>
          </w:tcPr>
          <w:p>
            <w:pPr>
              <w:pStyle w:val="20"/>
              <w:jc w:val="center"/>
              <w:rPr>
                <w:rFonts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32" w:type="dxa"/>
            <w:vAlign w:val="center"/>
          </w:tcPr>
          <w:p>
            <w:pPr>
              <w:pStyle w:val="20"/>
              <w:jc w:val="center"/>
              <w:rPr>
                <w:rFonts w:hAnsi="宋体" w:cs="宋体"/>
                <w:b/>
                <w:sz w:val="24"/>
                <w:szCs w:val="24"/>
                <w:highlight w:val="none"/>
              </w:rPr>
            </w:pPr>
          </w:p>
        </w:tc>
        <w:tc>
          <w:tcPr>
            <w:tcW w:w="3044" w:type="dxa"/>
            <w:vAlign w:val="center"/>
          </w:tcPr>
          <w:p>
            <w:pPr>
              <w:pStyle w:val="20"/>
              <w:jc w:val="center"/>
              <w:rPr>
                <w:rFonts w:hAnsi="宋体" w:cs="宋体"/>
                <w:b/>
                <w:sz w:val="24"/>
                <w:szCs w:val="24"/>
                <w:highlight w:val="none"/>
              </w:rPr>
            </w:pPr>
          </w:p>
        </w:tc>
        <w:tc>
          <w:tcPr>
            <w:tcW w:w="1417" w:type="dxa"/>
            <w:vAlign w:val="center"/>
          </w:tcPr>
          <w:p>
            <w:pPr>
              <w:pStyle w:val="20"/>
              <w:jc w:val="center"/>
              <w:rPr>
                <w:rFonts w:hAnsi="宋体" w:cs="宋体"/>
                <w:b/>
                <w:sz w:val="24"/>
                <w:szCs w:val="24"/>
                <w:highlight w:val="none"/>
              </w:rPr>
            </w:pPr>
          </w:p>
        </w:tc>
        <w:tc>
          <w:tcPr>
            <w:tcW w:w="2268" w:type="dxa"/>
            <w:vAlign w:val="center"/>
          </w:tcPr>
          <w:p>
            <w:pPr>
              <w:pStyle w:val="20"/>
              <w:jc w:val="center"/>
              <w:rPr>
                <w:rFonts w:hAnsi="宋体" w:cs="宋体"/>
                <w:b/>
                <w:sz w:val="24"/>
                <w:szCs w:val="24"/>
                <w:highlight w:val="none"/>
              </w:rPr>
            </w:pPr>
          </w:p>
        </w:tc>
        <w:tc>
          <w:tcPr>
            <w:tcW w:w="993" w:type="dxa"/>
            <w:vAlign w:val="center"/>
          </w:tcPr>
          <w:p>
            <w:pPr>
              <w:pStyle w:val="20"/>
              <w:jc w:val="center"/>
              <w:rPr>
                <w:rFonts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32" w:type="dxa"/>
            <w:vAlign w:val="center"/>
          </w:tcPr>
          <w:p>
            <w:pPr>
              <w:pStyle w:val="20"/>
              <w:jc w:val="center"/>
              <w:rPr>
                <w:rFonts w:hAnsi="宋体" w:cs="宋体"/>
                <w:b/>
                <w:sz w:val="24"/>
                <w:szCs w:val="24"/>
                <w:highlight w:val="none"/>
              </w:rPr>
            </w:pPr>
          </w:p>
        </w:tc>
        <w:tc>
          <w:tcPr>
            <w:tcW w:w="3044" w:type="dxa"/>
            <w:vAlign w:val="center"/>
          </w:tcPr>
          <w:p>
            <w:pPr>
              <w:pStyle w:val="20"/>
              <w:jc w:val="center"/>
              <w:rPr>
                <w:rFonts w:hAnsi="宋体" w:cs="宋体"/>
                <w:b/>
                <w:sz w:val="24"/>
                <w:szCs w:val="24"/>
                <w:highlight w:val="none"/>
              </w:rPr>
            </w:pPr>
          </w:p>
        </w:tc>
        <w:tc>
          <w:tcPr>
            <w:tcW w:w="1417" w:type="dxa"/>
            <w:vAlign w:val="center"/>
          </w:tcPr>
          <w:p>
            <w:pPr>
              <w:pStyle w:val="20"/>
              <w:jc w:val="center"/>
              <w:rPr>
                <w:rFonts w:hAnsi="宋体" w:cs="宋体"/>
                <w:b/>
                <w:sz w:val="24"/>
                <w:szCs w:val="24"/>
                <w:highlight w:val="none"/>
              </w:rPr>
            </w:pPr>
          </w:p>
        </w:tc>
        <w:tc>
          <w:tcPr>
            <w:tcW w:w="2268" w:type="dxa"/>
            <w:vAlign w:val="center"/>
          </w:tcPr>
          <w:p>
            <w:pPr>
              <w:pStyle w:val="20"/>
              <w:jc w:val="center"/>
              <w:rPr>
                <w:rFonts w:hAnsi="宋体" w:cs="宋体"/>
                <w:b/>
                <w:sz w:val="24"/>
                <w:szCs w:val="24"/>
                <w:highlight w:val="none"/>
              </w:rPr>
            </w:pPr>
          </w:p>
        </w:tc>
        <w:tc>
          <w:tcPr>
            <w:tcW w:w="993" w:type="dxa"/>
            <w:vAlign w:val="center"/>
          </w:tcPr>
          <w:p>
            <w:pPr>
              <w:pStyle w:val="20"/>
              <w:jc w:val="center"/>
              <w:rPr>
                <w:rFonts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32" w:type="dxa"/>
            <w:vAlign w:val="center"/>
          </w:tcPr>
          <w:p>
            <w:pPr>
              <w:pStyle w:val="20"/>
              <w:jc w:val="center"/>
              <w:rPr>
                <w:rFonts w:hAnsi="宋体" w:cs="宋体"/>
                <w:b/>
                <w:sz w:val="24"/>
                <w:szCs w:val="24"/>
                <w:highlight w:val="none"/>
              </w:rPr>
            </w:pPr>
          </w:p>
        </w:tc>
        <w:tc>
          <w:tcPr>
            <w:tcW w:w="3044" w:type="dxa"/>
            <w:vAlign w:val="center"/>
          </w:tcPr>
          <w:p>
            <w:pPr>
              <w:pStyle w:val="20"/>
              <w:jc w:val="center"/>
              <w:rPr>
                <w:rFonts w:hAnsi="宋体" w:cs="宋体"/>
                <w:b/>
                <w:sz w:val="24"/>
                <w:szCs w:val="24"/>
                <w:highlight w:val="none"/>
              </w:rPr>
            </w:pPr>
          </w:p>
        </w:tc>
        <w:tc>
          <w:tcPr>
            <w:tcW w:w="1417" w:type="dxa"/>
            <w:vAlign w:val="center"/>
          </w:tcPr>
          <w:p>
            <w:pPr>
              <w:pStyle w:val="20"/>
              <w:jc w:val="center"/>
              <w:rPr>
                <w:rFonts w:hAnsi="宋体" w:cs="宋体"/>
                <w:b/>
                <w:sz w:val="24"/>
                <w:szCs w:val="24"/>
                <w:highlight w:val="none"/>
              </w:rPr>
            </w:pPr>
          </w:p>
        </w:tc>
        <w:tc>
          <w:tcPr>
            <w:tcW w:w="2268" w:type="dxa"/>
            <w:vAlign w:val="center"/>
          </w:tcPr>
          <w:p>
            <w:pPr>
              <w:pStyle w:val="20"/>
              <w:jc w:val="center"/>
              <w:rPr>
                <w:rFonts w:hAnsi="宋体" w:cs="宋体"/>
                <w:b/>
                <w:sz w:val="24"/>
                <w:szCs w:val="24"/>
                <w:highlight w:val="none"/>
              </w:rPr>
            </w:pPr>
          </w:p>
        </w:tc>
        <w:tc>
          <w:tcPr>
            <w:tcW w:w="993" w:type="dxa"/>
            <w:vAlign w:val="center"/>
          </w:tcPr>
          <w:p>
            <w:pPr>
              <w:pStyle w:val="20"/>
              <w:jc w:val="center"/>
              <w:rPr>
                <w:rFonts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32" w:type="dxa"/>
            <w:vAlign w:val="center"/>
          </w:tcPr>
          <w:p>
            <w:pPr>
              <w:pStyle w:val="20"/>
              <w:jc w:val="center"/>
              <w:rPr>
                <w:rFonts w:hAnsi="宋体" w:cs="宋体"/>
                <w:b/>
                <w:sz w:val="24"/>
                <w:szCs w:val="24"/>
                <w:highlight w:val="none"/>
              </w:rPr>
            </w:pPr>
          </w:p>
        </w:tc>
        <w:tc>
          <w:tcPr>
            <w:tcW w:w="3044" w:type="dxa"/>
            <w:vAlign w:val="center"/>
          </w:tcPr>
          <w:p>
            <w:pPr>
              <w:pStyle w:val="20"/>
              <w:jc w:val="center"/>
              <w:rPr>
                <w:rFonts w:hAnsi="宋体" w:cs="宋体"/>
                <w:b/>
                <w:sz w:val="24"/>
                <w:szCs w:val="24"/>
                <w:highlight w:val="none"/>
              </w:rPr>
            </w:pPr>
          </w:p>
        </w:tc>
        <w:tc>
          <w:tcPr>
            <w:tcW w:w="1417" w:type="dxa"/>
            <w:vAlign w:val="center"/>
          </w:tcPr>
          <w:p>
            <w:pPr>
              <w:pStyle w:val="20"/>
              <w:jc w:val="center"/>
              <w:rPr>
                <w:rFonts w:hAnsi="宋体" w:cs="宋体"/>
                <w:b/>
                <w:sz w:val="24"/>
                <w:szCs w:val="24"/>
                <w:highlight w:val="none"/>
              </w:rPr>
            </w:pPr>
          </w:p>
        </w:tc>
        <w:tc>
          <w:tcPr>
            <w:tcW w:w="2268" w:type="dxa"/>
            <w:vAlign w:val="center"/>
          </w:tcPr>
          <w:p>
            <w:pPr>
              <w:pStyle w:val="20"/>
              <w:jc w:val="center"/>
              <w:rPr>
                <w:rFonts w:hAnsi="宋体" w:cs="宋体"/>
                <w:b/>
                <w:sz w:val="24"/>
                <w:szCs w:val="24"/>
                <w:highlight w:val="none"/>
              </w:rPr>
            </w:pPr>
          </w:p>
        </w:tc>
        <w:tc>
          <w:tcPr>
            <w:tcW w:w="993" w:type="dxa"/>
            <w:vAlign w:val="center"/>
          </w:tcPr>
          <w:p>
            <w:pPr>
              <w:pStyle w:val="20"/>
              <w:jc w:val="center"/>
              <w:rPr>
                <w:rFonts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32" w:type="dxa"/>
            <w:vAlign w:val="center"/>
          </w:tcPr>
          <w:p>
            <w:pPr>
              <w:pStyle w:val="20"/>
              <w:jc w:val="center"/>
              <w:rPr>
                <w:rFonts w:hAnsi="宋体" w:cs="宋体"/>
                <w:b/>
                <w:sz w:val="24"/>
                <w:szCs w:val="24"/>
                <w:highlight w:val="none"/>
              </w:rPr>
            </w:pPr>
          </w:p>
        </w:tc>
        <w:tc>
          <w:tcPr>
            <w:tcW w:w="3044" w:type="dxa"/>
            <w:vAlign w:val="center"/>
          </w:tcPr>
          <w:p>
            <w:pPr>
              <w:pStyle w:val="20"/>
              <w:jc w:val="center"/>
              <w:rPr>
                <w:rFonts w:hAnsi="宋体" w:cs="宋体"/>
                <w:b/>
                <w:sz w:val="24"/>
                <w:szCs w:val="24"/>
                <w:highlight w:val="none"/>
              </w:rPr>
            </w:pPr>
          </w:p>
        </w:tc>
        <w:tc>
          <w:tcPr>
            <w:tcW w:w="1417" w:type="dxa"/>
            <w:vAlign w:val="center"/>
          </w:tcPr>
          <w:p>
            <w:pPr>
              <w:pStyle w:val="20"/>
              <w:jc w:val="center"/>
              <w:rPr>
                <w:rFonts w:hAnsi="宋体" w:cs="宋体"/>
                <w:b/>
                <w:sz w:val="24"/>
                <w:szCs w:val="24"/>
                <w:highlight w:val="none"/>
              </w:rPr>
            </w:pPr>
          </w:p>
        </w:tc>
        <w:tc>
          <w:tcPr>
            <w:tcW w:w="2268" w:type="dxa"/>
            <w:vAlign w:val="center"/>
          </w:tcPr>
          <w:p>
            <w:pPr>
              <w:pStyle w:val="20"/>
              <w:jc w:val="center"/>
              <w:rPr>
                <w:rFonts w:hAnsi="宋体" w:cs="宋体"/>
                <w:b/>
                <w:sz w:val="24"/>
                <w:szCs w:val="24"/>
                <w:highlight w:val="none"/>
              </w:rPr>
            </w:pPr>
          </w:p>
        </w:tc>
        <w:tc>
          <w:tcPr>
            <w:tcW w:w="993" w:type="dxa"/>
            <w:vAlign w:val="center"/>
          </w:tcPr>
          <w:p>
            <w:pPr>
              <w:pStyle w:val="20"/>
              <w:jc w:val="center"/>
              <w:rPr>
                <w:rFonts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32" w:type="dxa"/>
            <w:vAlign w:val="center"/>
          </w:tcPr>
          <w:p>
            <w:pPr>
              <w:pStyle w:val="20"/>
              <w:jc w:val="center"/>
              <w:rPr>
                <w:rFonts w:hAnsi="宋体" w:cs="宋体"/>
                <w:b/>
                <w:sz w:val="24"/>
                <w:szCs w:val="24"/>
                <w:highlight w:val="none"/>
              </w:rPr>
            </w:pPr>
          </w:p>
        </w:tc>
        <w:tc>
          <w:tcPr>
            <w:tcW w:w="3044" w:type="dxa"/>
            <w:vAlign w:val="center"/>
          </w:tcPr>
          <w:p>
            <w:pPr>
              <w:pStyle w:val="20"/>
              <w:jc w:val="center"/>
              <w:rPr>
                <w:rFonts w:hAnsi="宋体" w:cs="宋体"/>
                <w:b/>
                <w:sz w:val="24"/>
                <w:szCs w:val="24"/>
                <w:highlight w:val="none"/>
              </w:rPr>
            </w:pPr>
          </w:p>
        </w:tc>
        <w:tc>
          <w:tcPr>
            <w:tcW w:w="1417" w:type="dxa"/>
            <w:vAlign w:val="center"/>
          </w:tcPr>
          <w:p>
            <w:pPr>
              <w:pStyle w:val="20"/>
              <w:jc w:val="center"/>
              <w:rPr>
                <w:rFonts w:hAnsi="宋体" w:cs="宋体"/>
                <w:b/>
                <w:sz w:val="24"/>
                <w:szCs w:val="24"/>
                <w:highlight w:val="none"/>
              </w:rPr>
            </w:pPr>
          </w:p>
        </w:tc>
        <w:tc>
          <w:tcPr>
            <w:tcW w:w="2268" w:type="dxa"/>
            <w:vAlign w:val="center"/>
          </w:tcPr>
          <w:p>
            <w:pPr>
              <w:pStyle w:val="20"/>
              <w:jc w:val="center"/>
              <w:rPr>
                <w:rFonts w:hAnsi="宋体" w:cs="宋体"/>
                <w:b/>
                <w:sz w:val="24"/>
                <w:szCs w:val="24"/>
                <w:highlight w:val="none"/>
              </w:rPr>
            </w:pPr>
          </w:p>
        </w:tc>
        <w:tc>
          <w:tcPr>
            <w:tcW w:w="993" w:type="dxa"/>
            <w:vAlign w:val="center"/>
          </w:tcPr>
          <w:p>
            <w:pPr>
              <w:pStyle w:val="20"/>
              <w:jc w:val="center"/>
              <w:rPr>
                <w:rFonts w:hAnsi="宋体" w:cs="宋体"/>
                <w:b/>
                <w:sz w:val="24"/>
                <w:szCs w:val="24"/>
                <w:highlight w:val="none"/>
              </w:rPr>
            </w:pPr>
          </w:p>
        </w:tc>
      </w:tr>
    </w:tbl>
    <w:p>
      <w:pPr>
        <w:spacing w:line="360" w:lineRule="auto"/>
        <w:ind w:left="210" w:leftChars="100"/>
        <w:rPr>
          <w:rFonts w:ascii="宋体" w:cs="宋体"/>
          <w:sz w:val="24"/>
          <w:szCs w:val="24"/>
          <w:highlight w:val="none"/>
          <w:lang w:val="en-GB"/>
        </w:rPr>
      </w:pPr>
      <w:r>
        <w:rPr>
          <w:rFonts w:hint="eastAsia" w:ascii="宋体" w:hAnsi="宋体" w:cs="宋体"/>
          <w:sz w:val="24"/>
          <w:szCs w:val="24"/>
          <w:highlight w:val="none"/>
          <w:lang w:val="en-GB"/>
        </w:rPr>
        <w:t>注：以上业绩证明文件随表附后。（有效合同加盖投标人公章的复印件）</w:t>
      </w:r>
    </w:p>
    <w:p>
      <w:pPr>
        <w:spacing w:line="360" w:lineRule="auto"/>
        <w:ind w:left="210" w:leftChars="100"/>
        <w:rPr>
          <w:rFonts w:ascii="宋体" w:cs="宋体"/>
          <w:sz w:val="24"/>
          <w:szCs w:val="24"/>
          <w:highlight w:val="none"/>
          <w:lang w:val="en-GB"/>
        </w:rPr>
      </w:pPr>
    </w:p>
    <w:p>
      <w:pPr>
        <w:spacing w:line="360" w:lineRule="auto"/>
        <w:ind w:firstLine="280"/>
        <w:rPr>
          <w:rFonts w:ascii="宋体" w:cs="宋体"/>
          <w:sz w:val="24"/>
          <w:highlight w:val="none"/>
        </w:rPr>
      </w:pPr>
      <w:r>
        <w:rPr>
          <w:rFonts w:hint="eastAsia" w:ascii="宋体" w:hAnsi="宋体" w:cs="宋体"/>
          <w:sz w:val="24"/>
          <w:highlight w:val="none"/>
        </w:rPr>
        <w:t>投标人代表签字：</w:t>
      </w:r>
    </w:p>
    <w:p>
      <w:pPr>
        <w:spacing w:line="360" w:lineRule="auto"/>
        <w:ind w:firstLine="280"/>
        <w:rPr>
          <w:rFonts w:ascii="宋体" w:cs="宋体"/>
          <w:sz w:val="24"/>
          <w:highlight w:val="none"/>
        </w:rPr>
      </w:pPr>
      <w:r>
        <w:rPr>
          <w:rFonts w:hint="eastAsia" w:ascii="宋体" w:hAnsi="宋体" w:cs="宋体"/>
          <w:sz w:val="24"/>
          <w:highlight w:val="none"/>
        </w:rPr>
        <w:t>投标人名称（盖章）：</w:t>
      </w:r>
    </w:p>
    <w:p>
      <w:pPr>
        <w:spacing w:line="360" w:lineRule="auto"/>
        <w:ind w:firstLine="280"/>
        <w:rPr>
          <w:rFonts w:ascii="宋体" w:cs="宋体"/>
          <w:sz w:val="24"/>
          <w:highlight w:val="none"/>
        </w:rPr>
      </w:pPr>
      <w:r>
        <w:rPr>
          <w:rFonts w:hint="eastAsia" w:ascii="宋体" w:hAnsi="宋体" w:cs="宋体"/>
          <w:sz w:val="24"/>
          <w:highlight w:val="none"/>
        </w:rPr>
        <w:t>日</w:t>
      </w:r>
      <w:r>
        <w:rPr>
          <w:rFonts w:ascii="宋体" w:hAnsi="宋体" w:cs="宋体"/>
          <w:sz w:val="24"/>
          <w:highlight w:val="none"/>
        </w:rPr>
        <w:t xml:space="preserve">      </w:t>
      </w:r>
      <w:r>
        <w:rPr>
          <w:rFonts w:hint="eastAsia" w:ascii="宋体" w:hAnsi="宋体" w:cs="宋体"/>
          <w:sz w:val="24"/>
          <w:highlight w:val="none"/>
        </w:rPr>
        <w:t>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p>
    <w:p>
      <w:pPr>
        <w:widowControl/>
        <w:jc w:val="left"/>
        <w:rPr>
          <w:rFonts w:ascii="宋体" w:cs="宋体"/>
          <w:sz w:val="24"/>
          <w:szCs w:val="24"/>
          <w:highlight w:val="none"/>
        </w:rPr>
      </w:pPr>
      <w:r>
        <w:rPr>
          <w:rFonts w:ascii="宋体" w:cs="宋体"/>
          <w:sz w:val="24"/>
          <w:szCs w:val="24"/>
          <w:highlight w:val="none"/>
        </w:rPr>
        <w:br w:type="page"/>
      </w:r>
    </w:p>
    <w:p>
      <w:pPr>
        <w:pStyle w:val="4"/>
        <w:jc w:val="center"/>
        <w:rPr>
          <w:rFonts w:ascii="宋体" w:cs="宋体"/>
          <w:highlight w:val="none"/>
        </w:rPr>
      </w:pPr>
      <w:bookmarkStart w:id="20" w:name="_Toc517776530"/>
      <w:r>
        <w:rPr>
          <w:rFonts w:hint="eastAsia" w:ascii="宋体" w:hAnsi="宋体" w:cs="宋体"/>
          <w:highlight w:val="none"/>
        </w:rPr>
        <w:t>九、售后及维护能力（格式自定）</w:t>
      </w:r>
      <w:bookmarkEnd w:id="20"/>
    </w:p>
    <w:p>
      <w:pPr>
        <w:ind w:firstLine="480" w:firstLineChars="200"/>
        <w:rPr>
          <w:rFonts w:ascii="宋体" w:cs="宋体"/>
          <w:sz w:val="24"/>
          <w:szCs w:val="24"/>
          <w:highlight w:val="none"/>
          <w:lang w:val="en-GB"/>
        </w:rPr>
      </w:pPr>
      <w:r>
        <w:rPr>
          <w:rFonts w:hint="eastAsia" w:ascii="宋体" w:hAnsi="宋体" w:cs="宋体"/>
          <w:sz w:val="24"/>
          <w:szCs w:val="24"/>
          <w:highlight w:val="none"/>
          <w:lang w:val="en-GB"/>
        </w:rPr>
        <w:t>提供售后服务条件，进度安排、人员配置、质量保障、项目文档管理等，综合评定售后方案。当地具备同一法人代表投资控股的分支服务机构。</w:t>
      </w:r>
    </w:p>
    <w:p>
      <w:pPr>
        <w:ind w:firstLine="480" w:firstLineChars="200"/>
        <w:rPr>
          <w:rFonts w:ascii="宋体" w:cs="宋体"/>
          <w:sz w:val="24"/>
          <w:szCs w:val="24"/>
          <w:highlight w:val="none"/>
        </w:rPr>
      </w:pPr>
      <w:r>
        <w:rPr>
          <w:rFonts w:hint="eastAsia" w:ascii="宋体" w:hAnsi="宋体" w:cs="宋体"/>
          <w:sz w:val="24"/>
          <w:szCs w:val="24"/>
          <w:highlight w:val="none"/>
        </w:rPr>
        <w:t>承诺根据招标方提供的培训计划，及时安排招标方进行技术培训，并承诺提供相应的培训场地、教材。</w:t>
      </w:r>
      <w:r>
        <w:rPr>
          <w:rFonts w:ascii="宋体" w:hAnsi="宋体" w:cs="宋体"/>
          <w:sz w:val="24"/>
          <w:szCs w:val="24"/>
          <w:highlight w:val="none"/>
          <w:lang w:val="en-GB"/>
        </w:rPr>
        <w:t xml:space="preserve"> </w:t>
      </w:r>
    </w:p>
    <w:p>
      <w:pPr>
        <w:rPr>
          <w:rFonts w:ascii="宋体" w:cs="宋体"/>
          <w:sz w:val="24"/>
          <w:szCs w:val="24"/>
          <w:highlight w:val="none"/>
          <w:lang w:val="en-GB"/>
        </w:rPr>
      </w:pPr>
      <w:r>
        <w:rPr>
          <w:rFonts w:hint="eastAsia" w:ascii="宋体" w:hAnsi="宋体" w:cs="宋体"/>
          <w:sz w:val="24"/>
          <w:szCs w:val="24"/>
          <w:highlight w:val="none"/>
          <w:lang w:val="en-GB"/>
        </w:rPr>
        <w:t>注：投标人提供在完成的广电项目的售后服务情况，需有当地广电部门的售后服务评价附后（提供证明材料复印件）</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rPr>
        <w:lang w:val="zh-CN"/>
      </w:rPr>
      <w:t>9</w:t>
    </w:r>
    <w:r>
      <w:rPr>
        <w:lang w:val="zh-CN"/>
      </w:rPr>
      <w:fldChar w:fldCharType="end"/>
    </w:r>
  </w:p>
  <w:p>
    <w:pPr>
      <w:pStyle w:val="2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04684"/>
    <w:multiLevelType w:val="singleLevel"/>
    <w:tmpl w:val="CB104684"/>
    <w:lvl w:ilvl="0" w:tentative="0">
      <w:start w:val="1"/>
      <w:numFmt w:val="chineseCounting"/>
      <w:suff w:val="nothing"/>
      <w:lvlText w:val="%1、"/>
      <w:lvlJc w:val="left"/>
      <w:rPr>
        <w:rFonts w:hint="eastAsia" w:cs="Times New Roman"/>
      </w:rPr>
    </w:lvl>
  </w:abstractNum>
  <w:abstractNum w:abstractNumId="1">
    <w:nsid w:val="05E2516E"/>
    <w:multiLevelType w:val="multilevel"/>
    <w:tmpl w:val="05E2516E"/>
    <w:lvl w:ilvl="0" w:tentative="0">
      <w:start w:val="1"/>
      <w:numFmt w:val="decimal"/>
      <w:lvlText w:val="%1"/>
      <w:lvlJc w:val="center"/>
      <w:pPr>
        <w:tabs>
          <w:tab w:val="left" w:pos="-160"/>
        </w:tabs>
        <w:ind w:left="123" w:firstLine="57"/>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
    <w:nsid w:val="214644F7"/>
    <w:multiLevelType w:val="multilevel"/>
    <w:tmpl w:val="214644F7"/>
    <w:lvl w:ilvl="0" w:tentative="0">
      <w:start w:val="1"/>
      <w:numFmt w:val="decimal"/>
      <w:lvlText w:val="%1）"/>
      <w:lvlJc w:val="left"/>
      <w:pPr>
        <w:tabs>
          <w:tab w:val="left" w:pos="600"/>
        </w:tabs>
        <w:ind w:left="600" w:hanging="360"/>
      </w:pPr>
      <w:rPr>
        <w:rFonts w:hint="eastAsia" w:cs="Times New Roman"/>
      </w:rPr>
    </w:lvl>
    <w:lvl w:ilvl="1" w:tentative="0">
      <w:start w:val="1"/>
      <w:numFmt w:val="lowerLetter"/>
      <w:lvlText w:val="%2)"/>
      <w:lvlJc w:val="left"/>
      <w:pPr>
        <w:tabs>
          <w:tab w:val="left" w:pos="1080"/>
        </w:tabs>
        <w:ind w:left="1080" w:hanging="420"/>
      </w:pPr>
      <w:rPr>
        <w:rFonts w:cs="Times New Roman"/>
      </w:rPr>
    </w:lvl>
    <w:lvl w:ilvl="2" w:tentative="0">
      <w:start w:val="1"/>
      <w:numFmt w:val="lowerRoman"/>
      <w:lvlText w:val="%3."/>
      <w:lvlJc w:val="right"/>
      <w:pPr>
        <w:tabs>
          <w:tab w:val="left" w:pos="1500"/>
        </w:tabs>
        <w:ind w:left="1500" w:hanging="420"/>
      </w:pPr>
      <w:rPr>
        <w:rFonts w:cs="Times New Roman"/>
      </w:rPr>
    </w:lvl>
    <w:lvl w:ilvl="3" w:tentative="0">
      <w:start w:val="1"/>
      <w:numFmt w:val="decimal"/>
      <w:lvlText w:val="%4."/>
      <w:lvlJc w:val="left"/>
      <w:pPr>
        <w:tabs>
          <w:tab w:val="left" w:pos="1920"/>
        </w:tabs>
        <w:ind w:left="1920" w:hanging="420"/>
      </w:pPr>
      <w:rPr>
        <w:rFonts w:cs="Times New Roman"/>
      </w:rPr>
    </w:lvl>
    <w:lvl w:ilvl="4" w:tentative="0">
      <w:start w:val="1"/>
      <w:numFmt w:val="lowerLetter"/>
      <w:lvlText w:val="%5)"/>
      <w:lvlJc w:val="left"/>
      <w:pPr>
        <w:tabs>
          <w:tab w:val="left" w:pos="2340"/>
        </w:tabs>
        <w:ind w:left="2340" w:hanging="420"/>
      </w:pPr>
      <w:rPr>
        <w:rFonts w:cs="Times New Roman"/>
      </w:rPr>
    </w:lvl>
    <w:lvl w:ilvl="5" w:tentative="0">
      <w:start w:val="1"/>
      <w:numFmt w:val="lowerRoman"/>
      <w:lvlText w:val="%6."/>
      <w:lvlJc w:val="right"/>
      <w:pPr>
        <w:tabs>
          <w:tab w:val="left" w:pos="2760"/>
        </w:tabs>
        <w:ind w:left="2760" w:hanging="420"/>
      </w:pPr>
      <w:rPr>
        <w:rFonts w:cs="Times New Roman"/>
      </w:rPr>
    </w:lvl>
    <w:lvl w:ilvl="6" w:tentative="0">
      <w:start w:val="1"/>
      <w:numFmt w:val="decimal"/>
      <w:lvlText w:val="%7."/>
      <w:lvlJc w:val="left"/>
      <w:pPr>
        <w:tabs>
          <w:tab w:val="left" w:pos="3180"/>
        </w:tabs>
        <w:ind w:left="3180" w:hanging="420"/>
      </w:pPr>
      <w:rPr>
        <w:rFonts w:cs="Times New Roman"/>
      </w:rPr>
    </w:lvl>
    <w:lvl w:ilvl="7" w:tentative="0">
      <w:start w:val="1"/>
      <w:numFmt w:val="lowerLetter"/>
      <w:lvlText w:val="%8)"/>
      <w:lvlJc w:val="left"/>
      <w:pPr>
        <w:tabs>
          <w:tab w:val="left" w:pos="3600"/>
        </w:tabs>
        <w:ind w:left="3600" w:hanging="420"/>
      </w:pPr>
      <w:rPr>
        <w:rFonts w:cs="Times New Roman"/>
      </w:rPr>
    </w:lvl>
    <w:lvl w:ilvl="8" w:tentative="0">
      <w:start w:val="1"/>
      <w:numFmt w:val="lowerRoman"/>
      <w:lvlText w:val="%9."/>
      <w:lvlJc w:val="right"/>
      <w:pPr>
        <w:tabs>
          <w:tab w:val="left" w:pos="4020"/>
        </w:tabs>
        <w:ind w:left="4020" w:hanging="420"/>
      </w:pPr>
      <w:rPr>
        <w:rFonts w:cs="Times New Roman"/>
      </w:rPr>
    </w:lvl>
  </w:abstractNum>
  <w:abstractNum w:abstractNumId="3">
    <w:nsid w:val="31E3035B"/>
    <w:multiLevelType w:val="multilevel"/>
    <w:tmpl w:val="31E3035B"/>
    <w:lvl w:ilvl="0" w:tentative="0">
      <w:start w:val="1"/>
      <w:numFmt w:val="decimal"/>
      <w:lvlText w:val="%1"/>
      <w:lvlJc w:val="left"/>
      <w:pPr>
        <w:tabs>
          <w:tab w:val="left" w:pos="900"/>
        </w:tabs>
        <w:ind w:left="9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4627C9C9"/>
    <w:multiLevelType w:val="singleLevel"/>
    <w:tmpl w:val="4627C9C9"/>
    <w:lvl w:ilvl="0" w:tentative="0">
      <w:start w:val="3"/>
      <w:numFmt w:val="chineseCounting"/>
      <w:suff w:val="space"/>
      <w:lvlText w:val="第%1章"/>
      <w:lvlJc w:val="left"/>
      <w:rPr>
        <w:rFonts w:hint="eastAsia"/>
      </w:rPr>
    </w:lvl>
  </w:abstractNum>
  <w:abstractNum w:abstractNumId="5">
    <w:nsid w:val="481F0D7A"/>
    <w:multiLevelType w:val="multilevel"/>
    <w:tmpl w:val="481F0D7A"/>
    <w:lvl w:ilvl="0" w:tentative="0">
      <w:start w:val="1"/>
      <w:numFmt w:val="decimal"/>
      <w:pStyle w:val="115"/>
      <w:lvlText w:val="%1)"/>
      <w:lvlJc w:val="left"/>
      <w:pPr>
        <w:tabs>
          <w:tab w:val="left" w:pos="1304"/>
        </w:tabs>
        <w:ind w:left="1304" w:hanging="397"/>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484967A4"/>
    <w:multiLevelType w:val="multilevel"/>
    <w:tmpl w:val="484967A4"/>
    <w:lvl w:ilvl="0" w:tentative="0">
      <w:start w:val="1"/>
      <w:numFmt w:val="decimal"/>
      <w:pStyle w:val="116"/>
      <w:suff w:val="space"/>
      <w:lvlText w:val="第%1章"/>
      <w:lvlJc w:val="left"/>
      <w:rPr>
        <w:rFonts w:hint="eastAsia" w:cs="Times New Roman"/>
      </w:rPr>
    </w:lvl>
    <w:lvl w:ilvl="1" w:tentative="0">
      <w:start w:val="1"/>
      <w:numFmt w:val="decimal"/>
      <w:pStyle w:val="117"/>
      <w:suff w:val="space"/>
      <w:lvlText w:val="%1.%2"/>
      <w:lvlJc w:val="left"/>
      <w:rPr>
        <w:rFonts w:hint="eastAsia" w:cs="Times New Roman"/>
      </w:rPr>
    </w:lvl>
    <w:lvl w:ilvl="2" w:tentative="0">
      <w:start w:val="1"/>
      <w:numFmt w:val="decimal"/>
      <w:pStyle w:val="118"/>
      <w:suff w:val="space"/>
      <w:lvlText w:val="%1.%2.%3"/>
      <w:lvlJc w:val="left"/>
      <w:rPr>
        <w:rFonts w:hint="eastAsia" w:cs="Times New Roman"/>
      </w:rPr>
    </w:lvl>
    <w:lvl w:ilvl="3" w:tentative="0">
      <w:start w:val="1"/>
      <w:numFmt w:val="decimal"/>
      <w:pStyle w:val="119"/>
      <w:suff w:val="space"/>
      <w:lvlText w:val="%1.%2.%3.%4"/>
      <w:lvlJc w:val="left"/>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61914CB0"/>
    <w:multiLevelType w:val="multilevel"/>
    <w:tmpl w:val="61914CB0"/>
    <w:lvl w:ilvl="0" w:tentative="0">
      <w:start w:val="1"/>
      <w:numFmt w:val="decimal"/>
      <w:pStyle w:val="112"/>
      <w:lvlText w:val="%1、"/>
      <w:lvlJc w:val="left"/>
      <w:pPr>
        <w:tabs>
          <w:tab w:val="left" w:pos="8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6F281923"/>
    <w:multiLevelType w:val="singleLevel"/>
    <w:tmpl w:val="6F281923"/>
    <w:lvl w:ilvl="0" w:tentative="0">
      <w:start w:val="4"/>
      <w:numFmt w:val="chineseCounting"/>
      <w:suff w:val="space"/>
      <w:lvlText w:val="第%1章"/>
      <w:lvlJc w:val="left"/>
      <w:rPr>
        <w:rFonts w:hint="eastAsia" w:cs="Times New Roman"/>
      </w:rPr>
    </w:lvl>
  </w:abstractNum>
  <w:abstractNum w:abstractNumId="9">
    <w:nsid w:val="72312420"/>
    <w:multiLevelType w:val="multilevel"/>
    <w:tmpl w:val="72312420"/>
    <w:lvl w:ilvl="0" w:tentative="0">
      <w:start w:val="1"/>
      <w:numFmt w:val="decimal"/>
      <w:lvlText w:val="%1、"/>
      <w:lvlJc w:val="left"/>
      <w:pPr>
        <w:ind w:left="440" w:hanging="44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7B64E34"/>
    <w:multiLevelType w:val="multilevel"/>
    <w:tmpl w:val="77B64E34"/>
    <w:lvl w:ilvl="0" w:tentative="0">
      <w:start w:val="1"/>
      <w:numFmt w:val="bullet"/>
      <w:pStyle w:val="114"/>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7"/>
  </w:num>
  <w:num w:numId="2">
    <w:abstractNumId w:val="10"/>
  </w:num>
  <w:num w:numId="3">
    <w:abstractNumId w:val="5"/>
  </w:num>
  <w:num w:numId="4">
    <w:abstractNumId w:val="6"/>
  </w:num>
  <w:num w:numId="5">
    <w:abstractNumId w:val="0"/>
    <w:lvlOverride w:ilvl="0">
      <w:startOverride w:val="1"/>
    </w:lvlOverride>
  </w:num>
  <w:num w:numId="6">
    <w:abstractNumId w:val="1"/>
    <w:lvlOverride w:ilvl="0">
      <w:startOverride w:val="1"/>
    </w:lvlOverride>
  </w:num>
  <w:num w:numId="7">
    <w:abstractNumId w:val="4"/>
  </w:num>
  <w:num w:numId="8">
    <w:abstractNumId w:val="9"/>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A4MDYxZjJmZjI0YjBlNWY2ZWMxN2E4MjliYzBmNjkifQ=="/>
  </w:docVars>
  <w:rsids>
    <w:rsidRoot w:val="005D2D31"/>
    <w:rsid w:val="000042EA"/>
    <w:rsid w:val="00005E78"/>
    <w:rsid w:val="0001126E"/>
    <w:rsid w:val="000170DC"/>
    <w:rsid w:val="00017F0A"/>
    <w:rsid w:val="000215D8"/>
    <w:rsid w:val="000228C9"/>
    <w:rsid w:val="00025F90"/>
    <w:rsid w:val="00026D6B"/>
    <w:rsid w:val="000309FB"/>
    <w:rsid w:val="00032B55"/>
    <w:rsid w:val="000341E4"/>
    <w:rsid w:val="00040841"/>
    <w:rsid w:val="000409B9"/>
    <w:rsid w:val="00044999"/>
    <w:rsid w:val="00055D35"/>
    <w:rsid w:val="00065751"/>
    <w:rsid w:val="00073F29"/>
    <w:rsid w:val="0007550B"/>
    <w:rsid w:val="00077D81"/>
    <w:rsid w:val="00086C0A"/>
    <w:rsid w:val="00087E6F"/>
    <w:rsid w:val="00090337"/>
    <w:rsid w:val="000A1C46"/>
    <w:rsid w:val="000A362B"/>
    <w:rsid w:val="000A3E1D"/>
    <w:rsid w:val="000A4D7B"/>
    <w:rsid w:val="000A5126"/>
    <w:rsid w:val="000B29B7"/>
    <w:rsid w:val="000B7F67"/>
    <w:rsid w:val="000C1ED9"/>
    <w:rsid w:val="000C418B"/>
    <w:rsid w:val="000D208A"/>
    <w:rsid w:val="000D34A7"/>
    <w:rsid w:val="000D796F"/>
    <w:rsid w:val="000D7B81"/>
    <w:rsid w:val="000E0B16"/>
    <w:rsid w:val="000E3F37"/>
    <w:rsid w:val="000F1060"/>
    <w:rsid w:val="000F1DEB"/>
    <w:rsid w:val="000F3B16"/>
    <w:rsid w:val="000F7095"/>
    <w:rsid w:val="00107E00"/>
    <w:rsid w:val="001131FD"/>
    <w:rsid w:val="00117002"/>
    <w:rsid w:val="001306A6"/>
    <w:rsid w:val="00131B97"/>
    <w:rsid w:val="001322A1"/>
    <w:rsid w:val="00136DF4"/>
    <w:rsid w:val="00137BC7"/>
    <w:rsid w:val="00143C11"/>
    <w:rsid w:val="001468AC"/>
    <w:rsid w:val="00146A09"/>
    <w:rsid w:val="001472C9"/>
    <w:rsid w:val="00151B4B"/>
    <w:rsid w:val="00154360"/>
    <w:rsid w:val="00157F3A"/>
    <w:rsid w:val="0016147D"/>
    <w:rsid w:val="00163484"/>
    <w:rsid w:val="001641DF"/>
    <w:rsid w:val="0016483C"/>
    <w:rsid w:val="00165F96"/>
    <w:rsid w:val="001731E0"/>
    <w:rsid w:val="00175E23"/>
    <w:rsid w:val="00177E3A"/>
    <w:rsid w:val="00183040"/>
    <w:rsid w:val="0018522D"/>
    <w:rsid w:val="0018785D"/>
    <w:rsid w:val="00187B5A"/>
    <w:rsid w:val="0019670C"/>
    <w:rsid w:val="00197DC9"/>
    <w:rsid w:val="001A437B"/>
    <w:rsid w:val="001A783D"/>
    <w:rsid w:val="001B6264"/>
    <w:rsid w:val="001B74E3"/>
    <w:rsid w:val="001C1D21"/>
    <w:rsid w:val="001C2003"/>
    <w:rsid w:val="001C775B"/>
    <w:rsid w:val="001C77E3"/>
    <w:rsid w:val="001C7BDB"/>
    <w:rsid w:val="001D0339"/>
    <w:rsid w:val="001D17D1"/>
    <w:rsid w:val="001D590A"/>
    <w:rsid w:val="001D7C4D"/>
    <w:rsid w:val="001E13E2"/>
    <w:rsid w:val="001E3793"/>
    <w:rsid w:val="001F0A89"/>
    <w:rsid w:val="001F0F16"/>
    <w:rsid w:val="001F15D3"/>
    <w:rsid w:val="002024B0"/>
    <w:rsid w:val="00207513"/>
    <w:rsid w:val="0020795C"/>
    <w:rsid w:val="00213A8D"/>
    <w:rsid w:val="00220985"/>
    <w:rsid w:val="00224FC5"/>
    <w:rsid w:val="00234120"/>
    <w:rsid w:val="00236BAC"/>
    <w:rsid w:val="0023731B"/>
    <w:rsid w:val="00242DB0"/>
    <w:rsid w:val="002441C0"/>
    <w:rsid w:val="00251DAE"/>
    <w:rsid w:val="00272996"/>
    <w:rsid w:val="00273A10"/>
    <w:rsid w:val="00275123"/>
    <w:rsid w:val="002754E5"/>
    <w:rsid w:val="002807CE"/>
    <w:rsid w:val="00294937"/>
    <w:rsid w:val="00296CA2"/>
    <w:rsid w:val="0029722C"/>
    <w:rsid w:val="002A273D"/>
    <w:rsid w:val="002A4494"/>
    <w:rsid w:val="002A5010"/>
    <w:rsid w:val="002B7956"/>
    <w:rsid w:val="002C3955"/>
    <w:rsid w:val="002C3C06"/>
    <w:rsid w:val="002C672B"/>
    <w:rsid w:val="002C771E"/>
    <w:rsid w:val="002D71D6"/>
    <w:rsid w:val="002E2563"/>
    <w:rsid w:val="002E79C5"/>
    <w:rsid w:val="002F1C5A"/>
    <w:rsid w:val="002F4DFF"/>
    <w:rsid w:val="00300135"/>
    <w:rsid w:val="00302C6C"/>
    <w:rsid w:val="00304B71"/>
    <w:rsid w:val="003078A7"/>
    <w:rsid w:val="00310CC9"/>
    <w:rsid w:val="00312EC8"/>
    <w:rsid w:val="003131D1"/>
    <w:rsid w:val="00316D11"/>
    <w:rsid w:val="003171F4"/>
    <w:rsid w:val="003178C4"/>
    <w:rsid w:val="003202AA"/>
    <w:rsid w:val="003225AF"/>
    <w:rsid w:val="00324ABE"/>
    <w:rsid w:val="0032660A"/>
    <w:rsid w:val="00334EA8"/>
    <w:rsid w:val="00336741"/>
    <w:rsid w:val="00340874"/>
    <w:rsid w:val="003412A7"/>
    <w:rsid w:val="00344838"/>
    <w:rsid w:val="00345568"/>
    <w:rsid w:val="0034559D"/>
    <w:rsid w:val="00346F96"/>
    <w:rsid w:val="003534F0"/>
    <w:rsid w:val="003554CF"/>
    <w:rsid w:val="00356383"/>
    <w:rsid w:val="0036226A"/>
    <w:rsid w:val="00364804"/>
    <w:rsid w:val="00364F79"/>
    <w:rsid w:val="00370B5E"/>
    <w:rsid w:val="00371EFD"/>
    <w:rsid w:val="00377442"/>
    <w:rsid w:val="003805A0"/>
    <w:rsid w:val="00381090"/>
    <w:rsid w:val="0038403E"/>
    <w:rsid w:val="00390D9A"/>
    <w:rsid w:val="00396D50"/>
    <w:rsid w:val="003A0D61"/>
    <w:rsid w:val="003B1E1C"/>
    <w:rsid w:val="003B7600"/>
    <w:rsid w:val="003C57CA"/>
    <w:rsid w:val="003D49AF"/>
    <w:rsid w:val="003D7E43"/>
    <w:rsid w:val="003E0ED7"/>
    <w:rsid w:val="003E263F"/>
    <w:rsid w:val="003E67FB"/>
    <w:rsid w:val="003E759A"/>
    <w:rsid w:val="003F099F"/>
    <w:rsid w:val="003F2E43"/>
    <w:rsid w:val="003F5BC6"/>
    <w:rsid w:val="003F6FBD"/>
    <w:rsid w:val="00403BE3"/>
    <w:rsid w:val="00403D52"/>
    <w:rsid w:val="0040577C"/>
    <w:rsid w:val="00407A5E"/>
    <w:rsid w:val="00411850"/>
    <w:rsid w:val="00411DA5"/>
    <w:rsid w:val="00415EBB"/>
    <w:rsid w:val="0042682C"/>
    <w:rsid w:val="00430644"/>
    <w:rsid w:val="00431314"/>
    <w:rsid w:val="004356C2"/>
    <w:rsid w:val="0044189E"/>
    <w:rsid w:val="0044479C"/>
    <w:rsid w:val="00445D7D"/>
    <w:rsid w:val="004526B9"/>
    <w:rsid w:val="00454A9D"/>
    <w:rsid w:val="004574A7"/>
    <w:rsid w:val="0046035A"/>
    <w:rsid w:val="00460C7D"/>
    <w:rsid w:val="00461778"/>
    <w:rsid w:val="00477B43"/>
    <w:rsid w:val="00486B40"/>
    <w:rsid w:val="00490174"/>
    <w:rsid w:val="0049193E"/>
    <w:rsid w:val="00491BA5"/>
    <w:rsid w:val="00493278"/>
    <w:rsid w:val="0049616E"/>
    <w:rsid w:val="004A2ED3"/>
    <w:rsid w:val="004A323C"/>
    <w:rsid w:val="004A38BA"/>
    <w:rsid w:val="004A4B33"/>
    <w:rsid w:val="004A56A5"/>
    <w:rsid w:val="004A7685"/>
    <w:rsid w:val="004B3CF9"/>
    <w:rsid w:val="004C392A"/>
    <w:rsid w:val="004C76CA"/>
    <w:rsid w:val="004D4C37"/>
    <w:rsid w:val="004D4EA3"/>
    <w:rsid w:val="004F6432"/>
    <w:rsid w:val="00500D89"/>
    <w:rsid w:val="00503F1A"/>
    <w:rsid w:val="00505438"/>
    <w:rsid w:val="00505F19"/>
    <w:rsid w:val="0051155B"/>
    <w:rsid w:val="00511883"/>
    <w:rsid w:val="005140EA"/>
    <w:rsid w:val="00514280"/>
    <w:rsid w:val="0051574B"/>
    <w:rsid w:val="00516502"/>
    <w:rsid w:val="00521371"/>
    <w:rsid w:val="005222E5"/>
    <w:rsid w:val="00530F96"/>
    <w:rsid w:val="00533B0D"/>
    <w:rsid w:val="0053618F"/>
    <w:rsid w:val="005368F8"/>
    <w:rsid w:val="00537737"/>
    <w:rsid w:val="00537DD2"/>
    <w:rsid w:val="00540B89"/>
    <w:rsid w:val="00543117"/>
    <w:rsid w:val="005443A5"/>
    <w:rsid w:val="00545ABC"/>
    <w:rsid w:val="005470B5"/>
    <w:rsid w:val="005549E5"/>
    <w:rsid w:val="005614BF"/>
    <w:rsid w:val="0056383F"/>
    <w:rsid w:val="005640B9"/>
    <w:rsid w:val="005717DB"/>
    <w:rsid w:val="005733CC"/>
    <w:rsid w:val="00580887"/>
    <w:rsid w:val="00580B8A"/>
    <w:rsid w:val="00583487"/>
    <w:rsid w:val="00584EC9"/>
    <w:rsid w:val="00592FDF"/>
    <w:rsid w:val="005B1F9E"/>
    <w:rsid w:val="005B267B"/>
    <w:rsid w:val="005B5FB1"/>
    <w:rsid w:val="005C040A"/>
    <w:rsid w:val="005C0FC6"/>
    <w:rsid w:val="005C37D1"/>
    <w:rsid w:val="005D2D31"/>
    <w:rsid w:val="005D3FA0"/>
    <w:rsid w:val="005D47C3"/>
    <w:rsid w:val="005E4405"/>
    <w:rsid w:val="005E52DB"/>
    <w:rsid w:val="005E7BDE"/>
    <w:rsid w:val="005E7DAE"/>
    <w:rsid w:val="0060091C"/>
    <w:rsid w:val="006027A0"/>
    <w:rsid w:val="00602A4F"/>
    <w:rsid w:val="00607891"/>
    <w:rsid w:val="00610321"/>
    <w:rsid w:val="00613C2E"/>
    <w:rsid w:val="00621DCB"/>
    <w:rsid w:val="00621DEF"/>
    <w:rsid w:val="00624617"/>
    <w:rsid w:val="00632B2A"/>
    <w:rsid w:val="0063342D"/>
    <w:rsid w:val="00633B8F"/>
    <w:rsid w:val="00634968"/>
    <w:rsid w:val="006401AE"/>
    <w:rsid w:val="006403BE"/>
    <w:rsid w:val="006509DB"/>
    <w:rsid w:val="006530F6"/>
    <w:rsid w:val="006533BF"/>
    <w:rsid w:val="006569B3"/>
    <w:rsid w:val="00657DA9"/>
    <w:rsid w:val="00657E5B"/>
    <w:rsid w:val="00657EDB"/>
    <w:rsid w:val="0066532C"/>
    <w:rsid w:val="0066602A"/>
    <w:rsid w:val="006748B9"/>
    <w:rsid w:val="0067635C"/>
    <w:rsid w:val="00684564"/>
    <w:rsid w:val="006847DF"/>
    <w:rsid w:val="006916B2"/>
    <w:rsid w:val="006944E4"/>
    <w:rsid w:val="006A4A73"/>
    <w:rsid w:val="006A601A"/>
    <w:rsid w:val="006B09DB"/>
    <w:rsid w:val="006B10B5"/>
    <w:rsid w:val="006C0C85"/>
    <w:rsid w:val="006C189E"/>
    <w:rsid w:val="006C1A7A"/>
    <w:rsid w:val="006C7F6F"/>
    <w:rsid w:val="006D3312"/>
    <w:rsid w:val="006D6B83"/>
    <w:rsid w:val="006E6C48"/>
    <w:rsid w:val="006F0276"/>
    <w:rsid w:val="006F1854"/>
    <w:rsid w:val="006F21EC"/>
    <w:rsid w:val="006F26C0"/>
    <w:rsid w:val="006F3A43"/>
    <w:rsid w:val="006F6CF9"/>
    <w:rsid w:val="006F6F65"/>
    <w:rsid w:val="007008CB"/>
    <w:rsid w:val="00702F04"/>
    <w:rsid w:val="00703737"/>
    <w:rsid w:val="00714E5B"/>
    <w:rsid w:val="0071598D"/>
    <w:rsid w:val="00717324"/>
    <w:rsid w:val="0072371A"/>
    <w:rsid w:val="00736E3C"/>
    <w:rsid w:val="0074243F"/>
    <w:rsid w:val="00743747"/>
    <w:rsid w:val="0074784A"/>
    <w:rsid w:val="00747D10"/>
    <w:rsid w:val="007538CA"/>
    <w:rsid w:val="00757725"/>
    <w:rsid w:val="00760E5D"/>
    <w:rsid w:val="00763A32"/>
    <w:rsid w:val="00764E9A"/>
    <w:rsid w:val="00765FCC"/>
    <w:rsid w:val="0077242B"/>
    <w:rsid w:val="007807F2"/>
    <w:rsid w:val="00781F25"/>
    <w:rsid w:val="00782DFE"/>
    <w:rsid w:val="007866C8"/>
    <w:rsid w:val="00786F9B"/>
    <w:rsid w:val="0079096D"/>
    <w:rsid w:val="00796562"/>
    <w:rsid w:val="007A21CF"/>
    <w:rsid w:val="007A3C2A"/>
    <w:rsid w:val="007A5CB4"/>
    <w:rsid w:val="007A6FAB"/>
    <w:rsid w:val="007B36AB"/>
    <w:rsid w:val="007B40DF"/>
    <w:rsid w:val="007B6A48"/>
    <w:rsid w:val="007B7980"/>
    <w:rsid w:val="007B7A71"/>
    <w:rsid w:val="007C3221"/>
    <w:rsid w:val="007C737C"/>
    <w:rsid w:val="007D3069"/>
    <w:rsid w:val="007E5E7F"/>
    <w:rsid w:val="007E6052"/>
    <w:rsid w:val="007F017F"/>
    <w:rsid w:val="007F22A8"/>
    <w:rsid w:val="007F43B0"/>
    <w:rsid w:val="007F5D65"/>
    <w:rsid w:val="00800A80"/>
    <w:rsid w:val="00801903"/>
    <w:rsid w:val="00807F01"/>
    <w:rsid w:val="008123E7"/>
    <w:rsid w:val="00815B48"/>
    <w:rsid w:val="00816048"/>
    <w:rsid w:val="0081644D"/>
    <w:rsid w:val="008205AF"/>
    <w:rsid w:val="00822583"/>
    <w:rsid w:val="00823630"/>
    <w:rsid w:val="00826F97"/>
    <w:rsid w:val="00831028"/>
    <w:rsid w:val="00832517"/>
    <w:rsid w:val="0083356D"/>
    <w:rsid w:val="00834D9C"/>
    <w:rsid w:val="0084439D"/>
    <w:rsid w:val="0084446B"/>
    <w:rsid w:val="00847CD8"/>
    <w:rsid w:val="0085514B"/>
    <w:rsid w:val="00855406"/>
    <w:rsid w:val="00857693"/>
    <w:rsid w:val="0086051D"/>
    <w:rsid w:val="0086105A"/>
    <w:rsid w:val="00871870"/>
    <w:rsid w:val="00875A66"/>
    <w:rsid w:val="008802BC"/>
    <w:rsid w:val="00883D17"/>
    <w:rsid w:val="0089058C"/>
    <w:rsid w:val="008A7FBD"/>
    <w:rsid w:val="008B336B"/>
    <w:rsid w:val="008B4250"/>
    <w:rsid w:val="008C304B"/>
    <w:rsid w:val="008C390D"/>
    <w:rsid w:val="008C39CE"/>
    <w:rsid w:val="008C632A"/>
    <w:rsid w:val="008D0BFC"/>
    <w:rsid w:val="008D3DF0"/>
    <w:rsid w:val="008D62B0"/>
    <w:rsid w:val="008D695C"/>
    <w:rsid w:val="008E20FB"/>
    <w:rsid w:val="008E269B"/>
    <w:rsid w:val="008E511C"/>
    <w:rsid w:val="008E73CE"/>
    <w:rsid w:val="008F36ED"/>
    <w:rsid w:val="008F5942"/>
    <w:rsid w:val="008F5A17"/>
    <w:rsid w:val="008F7705"/>
    <w:rsid w:val="00901022"/>
    <w:rsid w:val="00901875"/>
    <w:rsid w:val="00904181"/>
    <w:rsid w:val="009071FD"/>
    <w:rsid w:val="0091219E"/>
    <w:rsid w:val="00915602"/>
    <w:rsid w:val="00916CE1"/>
    <w:rsid w:val="00917EF2"/>
    <w:rsid w:val="009218F9"/>
    <w:rsid w:val="009245F5"/>
    <w:rsid w:val="00930370"/>
    <w:rsid w:val="00930EA4"/>
    <w:rsid w:val="00930F05"/>
    <w:rsid w:val="009333E4"/>
    <w:rsid w:val="00933ECA"/>
    <w:rsid w:val="009506F0"/>
    <w:rsid w:val="00954AA7"/>
    <w:rsid w:val="00956902"/>
    <w:rsid w:val="00960E34"/>
    <w:rsid w:val="009617CE"/>
    <w:rsid w:val="00964559"/>
    <w:rsid w:val="009729A3"/>
    <w:rsid w:val="009737FB"/>
    <w:rsid w:val="00976377"/>
    <w:rsid w:val="009769D6"/>
    <w:rsid w:val="009800A4"/>
    <w:rsid w:val="00980D88"/>
    <w:rsid w:val="0098187E"/>
    <w:rsid w:val="00981D25"/>
    <w:rsid w:val="00985D7C"/>
    <w:rsid w:val="00995D3A"/>
    <w:rsid w:val="009A01D4"/>
    <w:rsid w:val="009A633A"/>
    <w:rsid w:val="009A6F1D"/>
    <w:rsid w:val="009A72BE"/>
    <w:rsid w:val="009A78BF"/>
    <w:rsid w:val="009A7BF7"/>
    <w:rsid w:val="009B094B"/>
    <w:rsid w:val="009B0FD1"/>
    <w:rsid w:val="009B142D"/>
    <w:rsid w:val="009B1992"/>
    <w:rsid w:val="009B5C8F"/>
    <w:rsid w:val="009B73FC"/>
    <w:rsid w:val="009B79F2"/>
    <w:rsid w:val="009C3E7C"/>
    <w:rsid w:val="009D2EB8"/>
    <w:rsid w:val="009D56A6"/>
    <w:rsid w:val="009D76C7"/>
    <w:rsid w:val="009E2118"/>
    <w:rsid w:val="009E460D"/>
    <w:rsid w:val="009E7D87"/>
    <w:rsid w:val="009F57FB"/>
    <w:rsid w:val="009F5A2E"/>
    <w:rsid w:val="00A04D67"/>
    <w:rsid w:val="00A068B8"/>
    <w:rsid w:val="00A071C3"/>
    <w:rsid w:val="00A1061A"/>
    <w:rsid w:val="00A152BB"/>
    <w:rsid w:val="00A165BA"/>
    <w:rsid w:val="00A22EDF"/>
    <w:rsid w:val="00A23749"/>
    <w:rsid w:val="00A335A5"/>
    <w:rsid w:val="00A406B1"/>
    <w:rsid w:val="00A4511A"/>
    <w:rsid w:val="00A4755D"/>
    <w:rsid w:val="00A5050A"/>
    <w:rsid w:val="00A51ED2"/>
    <w:rsid w:val="00A6303E"/>
    <w:rsid w:val="00A63A32"/>
    <w:rsid w:val="00A745F3"/>
    <w:rsid w:val="00A75251"/>
    <w:rsid w:val="00A75E07"/>
    <w:rsid w:val="00A824F5"/>
    <w:rsid w:val="00A8486B"/>
    <w:rsid w:val="00A92977"/>
    <w:rsid w:val="00A93F61"/>
    <w:rsid w:val="00AA077A"/>
    <w:rsid w:val="00AA27B4"/>
    <w:rsid w:val="00AA38F2"/>
    <w:rsid w:val="00AA6270"/>
    <w:rsid w:val="00AD6B19"/>
    <w:rsid w:val="00AD79E0"/>
    <w:rsid w:val="00AE07B1"/>
    <w:rsid w:val="00AF3AE1"/>
    <w:rsid w:val="00AF52A5"/>
    <w:rsid w:val="00AF775C"/>
    <w:rsid w:val="00B002BE"/>
    <w:rsid w:val="00B0519C"/>
    <w:rsid w:val="00B12EB0"/>
    <w:rsid w:val="00B136A5"/>
    <w:rsid w:val="00B14383"/>
    <w:rsid w:val="00B15E06"/>
    <w:rsid w:val="00B20080"/>
    <w:rsid w:val="00B213DE"/>
    <w:rsid w:val="00B26C62"/>
    <w:rsid w:val="00B27842"/>
    <w:rsid w:val="00B333DA"/>
    <w:rsid w:val="00B4151A"/>
    <w:rsid w:val="00B421B8"/>
    <w:rsid w:val="00B4578B"/>
    <w:rsid w:val="00B55B06"/>
    <w:rsid w:val="00B62008"/>
    <w:rsid w:val="00B7415B"/>
    <w:rsid w:val="00B81740"/>
    <w:rsid w:val="00B91A5D"/>
    <w:rsid w:val="00BA2E6D"/>
    <w:rsid w:val="00BA6CBF"/>
    <w:rsid w:val="00BA6EF3"/>
    <w:rsid w:val="00BB25ED"/>
    <w:rsid w:val="00BB26E3"/>
    <w:rsid w:val="00BB2EB5"/>
    <w:rsid w:val="00BB3F6C"/>
    <w:rsid w:val="00BB67B9"/>
    <w:rsid w:val="00BC14BA"/>
    <w:rsid w:val="00BC17DD"/>
    <w:rsid w:val="00BD5D2E"/>
    <w:rsid w:val="00BE154D"/>
    <w:rsid w:val="00BE65A1"/>
    <w:rsid w:val="00BF1BAF"/>
    <w:rsid w:val="00BF1C28"/>
    <w:rsid w:val="00BF2DBD"/>
    <w:rsid w:val="00BF7256"/>
    <w:rsid w:val="00BF7F90"/>
    <w:rsid w:val="00C05972"/>
    <w:rsid w:val="00C072A2"/>
    <w:rsid w:val="00C07819"/>
    <w:rsid w:val="00C130D1"/>
    <w:rsid w:val="00C203BA"/>
    <w:rsid w:val="00C218E4"/>
    <w:rsid w:val="00C21F55"/>
    <w:rsid w:val="00C26031"/>
    <w:rsid w:val="00C32A4F"/>
    <w:rsid w:val="00C351E5"/>
    <w:rsid w:val="00C50AD3"/>
    <w:rsid w:val="00C5726F"/>
    <w:rsid w:val="00C63146"/>
    <w:rsid w:val="00C636B7"/>
    <w:rsid w:val="00C75990"/>
    <w:rsid w:val="00C85CD9"/>
    <w:rsid w:val="00C8644C"/>
    <w:rsid w:val="00C870BC"/>
    <w:rsid w:val="00C95A4D"/>
    <w:rsid w:val="00C96DA3"/>
    <w:rsid w:val="00CA0FEA"/>
    <w:rsid w:val="00CA2EC7"/>
    <w:rsid w:val="00CA3C2B"/>
    <w:rsid w:val="00CA44A5"/>
    <w:rsid w:val="00CA541D"/>
    <w:rsid w:val="00CA6696"/>
    <w:rsid w:val="00CA7759"/>
    <w:rsid w:val="00CA7E5D"/>
    <w:rsid w:val="00CB12FB"/>
    <w:rsid w:val="00CB4710"/>
    <w:rsid w:val="00CB4CC9"/>
    <w:rsid w:val="00CC14A6"/>
    <w:rsid w:val="00CC4EEB"/>
    <w:rsid w:val="00CD0727"/>
    <w:rsid w:val="00CD0D3C"/>
    <w:rsid w:val="00CD2B58"/>
    <w:rsid w:val="00CD318A"/>
    <w:rsid w:val="00CE5A30"/>
    <w:rsid w:val="00CE5ED0"/>
    <w:rsid w:val="00CF07DB"/>
    <w:rsid w:val="00CF2B7B"/>
    <w:rsid w:val="00CF327C"/>
    <w:rsid w:val="00CF38E1"/>
    <w:rsid w:val="00CF6492"/>
    <w:rsid w:val="00CF7241"/>
    <w:rsid w:val="00D020C5"/>
    <w:rsid w:val="00D05345"/>
    <w:rsid w:val="00D05965"/>
    <w:rsid w:val="00D1111C"/>
    <w:rsid w:val="00D12004"/>
    <w:rsid w:val="00D1554A"/>
    <w:rsid w:val="00D15EDD"/>
    <w:rsid w:val="00D21235"/>
    <w:rsid w:val="00D21FF7"/>
    <w:rsid w:val="00D24B8E"/>
    <w:rsid w:val="00D3197F"/>
    <w:rsid w:val="00D32E27"/>
    <w:rsid w:val="00D351FE"/>
    <w:rsid w:val="00D45ECE"/>
    <w:rsid w:val="00D47895"/>
    <w:rsid w:val="00D516DC"/>
    <w:rsid w:val="00D51CB6"/>
    <w:rsid w:val="00D52C4E"/>
    <w:rsid w:val="00D53D13"/>
    <w:rsid w:val="00D54091"/>
    <w:rsid w:val="00D55E43"/>
    <w:rsid w:val="00D57537"/>
    <w:rsid w:val="00D62C0E"/>
    <w:rsid w:val="00D64190"/>
    <w:rsid w:val="00D64A93"/>
    <w:rsid w:val="00D70755"/>
    <w:rsid w:val="00D7080D"/>
    <w:rsid w:val="00D77CCF"/>
    <w:rsid w:val="00D802A5"/>
    <w:rsid w:val="00D81395"/>
    <w:rsid w:val="00D84C2C"/>
    <w:rsid w:val="00D85C77"/>
    <w:rsid w:val="00D86383"/>
    <w:rsid w:val="00D866CE"/>
    <w:rsid w:val="00D874BA"/>
    <w:rsid w:val="00D91155"/>
    <w:rsid w:val="00D939C6"/>
    <w:rsid w:val="00D9502C"/>
    <w:rsid w:val="00D95A79"/>
    <w:rsid w:val="00DA6CCD"/>
    <w:rsid w:val="00DC0CF5"/>
    <w:rsid w:val="00DC1DF1"/>
    <w:rsid w:val="00DC7EDF"/>
    <w:rsid w:val="00DD3A07"/>
    <w:rsid w:val="00DD6A21"/>
    <w:rsid w:val="00DE21F3"/>
    <w:rsid w:val="00DF3AF9"/>
    <w:rsid w:val="00DF3E94"/>
    <w:rsid w:val="00E001F1"/>
    <w:rsid w:val="00E011CA"/>
    <w:rsid w:val="00E07E1B"/>
    <w:rsid w:val="00E1398D"/>
    <w:rsid w:val="00E16D6C"/>
    <w:rsid w:val="00E205A9"/>
    <w:rsid w:val="00E2530D"/>
    <w:rsid w:val="00E30A18"/>
    <w:rsid w:val="00E32426"/>
    <w:rsid w:val="00E3672F"/>
    <w:rsid w:val="00E37DA3"/>
    <w:rsid w:val="00E424C5"/>
    <w:rsid w:val="00E53668"/>
    <w:rsid w:val="00E60C7C"/>
    <w:rsid w:val="00E648E4"/>
    <w:rsid w:val="00E672B1"/>
    <w:rsid w:val="00E718B0"/>
    <w:rsid w:val="00E71A11"/>
    <w:rsid w:val="00E76A82"/>
    <w:rsid w:val="00E772C3"/>
    <w:rsid w:val="00E8043D"/>
    <w:rsid w:val="00E81476"/>
    <w:rsid w:val="00E85E3D"/>
    <w:rsid w:val="00E86611"/>
    <w:rsid w:val="00E93F70"/>
    <w:rsid w:val="00EA6740"/>
    <w:rsid w:val="00EB236C"/>
    <w:rsid w:val="00EB35CB"/>
    <w:rsid w:val="00EB4555"/>
    <w:rsid w:val="00EC1600"/>
    <w:rsid w:val="00EC5EF3"/>
    <w:rsid w:val="00ED12A5"/>
    <w:rsid w:val="00ED18D9"/>
    <w:rsid w:val="00ED20C8"/>
    <w:rsid w:val="00ED3CDE"/>
    <w:rsid w:val="00EE20AA"/>
    <w:rsid w:val="00EE368B"/>
    <w:rsid w:val="00EE379C"/>
    <w:rsid w:val="00EE540B"/>
    <w:rsid w:val="00EE5D8F"/>
    <w:rsid w:val="00EF5CE2"/>
    <w:rsid w:val="00EF7D97"/>
    <w:rsid w:val="00F0122D"/>
    <w:rsid w:val="00F02279"/>
    <w:rsid w:val="00F027D5"/>
    <w:rsid w:val="00F1120C"/>
    <w:rsid w:val="00F1148B"/>
    <w:rsid w:val="00F12745"/>
    <w:rsid w:val="00F215FD"/>
    <w:rsid w:val="00F21B1E"/>
    <w:rsid w:val="00F24E58"/>
    <w:rsid w:val="00F344B7"/>
    <w:rsid w:val="00F35298"/>
    <w:rsid w:val="00F36DFE"/>
    <w:rsid w:val="00F412A0"/>
    <w:rsid w:val="00F473E7"/>
    <w:rsid w:val="00F54870"/>
    <w:rsid w:val="00F56439"/>
    <w:rsid w:val="00F63694"/>
    <w:rsid w:val="00F63A5E"/>
    <w:rsid w:val="00F725EA"/>
    <w:rsid w:val="00F73858"/>
    <w:rsid w:val="00F76CA2"/>
    <w:rsid w:val="00F77624"/>
    <w:rsid w:val="00F77DE3"/>
    <w:rsid w:val="00F84B1E"/>
    <w:rsid w:val="00F873B8"/>
    <w:rsid w:val="00F876C4"/>
    <w:rsid w:val="00F900CC"/>
    <w:rsid w:val="00F909CC"/>
    <w:rsid w:val="00F90FF3"/>
    <w:rsid w:val="00F93FF6"/>
    <w:rsid w:val="00F9556E"/>
    <w:rsid w:val="00FA2EB8"/>
    <w:rsid w:val="00FA5469"/>
    <w:rsid w:val="00FA6CDF"/>
    <w:rsid w:val="00FA7E13"/>
    <w:rsid w:val="00FB02B0"/>
    <w:rsid w:val="00FB3682"/>
    <w:rsid w:val="00FB4FD1"/>
    <w:rsid w:val="00FB6B8C"/>
    <w:rsid w:val="00FC25F5"/>
    <w:rsid w:val="00FC3FE0"/>
    <w:rsid w:val="00FC6D28"/>
    <w:rsid w:val="00FD1C3B"/>
    <w:rsid w:val="00FD2C1A"/>
    <w:rsid w:val="00FE0FB7"/>
    <w:rsid w:val="00FE616E"/>
    <w:rsid w:val="00FF199F"/>
    <w:rsid w:val="010B7C13"/>
    <w:rsid w:val="01B40034"/>
    <w:rsid w:val="01D72B55"/>
    <w:rsid w:val="02140EAA"/>
    <w:rsid w:val="0331230D"/>
    <w:rsid w:val="035630E2"/>
    <w:rsid w:val="03E4227B"/>
    <w:rsid w:val="051811B3"/>
    <w:rsid w:val="052518A5"/>
    <w:rsid w:val="062F2B08"/>
    <w:rsid w:val="065C2E5F"/>
    <w:rsid w:val="06F43E46"/>
    <w:rsid w:val="08443B04"/>
    <w:rsid w:val="088C7A8C"/>
    <w:rsid w:val="08CE6D38"/>
    <w:rsid w:val="09161F29"/>
    <w:rsid w:val="09C32A71"/>
    <w:rsid w:val="0AAE4D43"/>
    <w:rsid w:val="0B0D24E9"/>
    <w:rsid w:val="0BDD7493"/>
    <w:rsid w:val="0C583548"/>
    <w:rsid w:val="0D000E0B"/>
    <w:rsid w:val="0DD63C7A"/>
    <w:rsid w:val="0EE609A4"/>
    <w:rsid w:val="0EEA4741"/>
    <w:rsid w:val="0F727360"/>
    <w:rsid w:val="0FC8117D"/>
    <w:rsid w:val="118F055E"/>
    <w:rsid w:val="11E503CB"/>
    <w:rsid w:val="11FF1BF2"/>
    <w:rsid w:val="12DE4031"/>
    <w:rsid w:val="12EC7ED1"/>
    <w:rsid w:val="13093455"/>
    <w:rsid w:val="13392F64"/>
    <w:rsid w:val="138060A1"/>
    <w:rsid w:val="147F5C5A"/>
    <w:rsid w:val="14DC4E59"/>
    <w:rsid w:val="16405617"/>
    <w:rsid w:val="164903DA"/>
    <w:rsid w:val="16563271"/>
    <w:rsid w:val="174837E2"/>
    <w:rsid w:val="17733BFC"/>
    <w:rsid w:val="18611535"/>
    <w:rsid w:val="19314142"/>
    <w:rsid w:val="19BD360E"/>
    <w:rsid w:val="19C26E1E"/>
    <w:rsid w:val="19C54B1E"/>
    <w:rsid w:val="1B12329A"/>
    <w:rsid w:val="1B2D6CEE"/>
    <w:rsid w:val="1B5744B1"/>
    <w:rsid w:val="1B8263AB"/>
    <w:rsid w:val="1BA44DC3"/>
    <w:rsid w:val="1C47145A"/>
    <w:rsid w:val="1EC37788"/>
    <w:rsid w:val="1F3D5241"/>
    <w:rsid w:val="21322B47"/>
    <w:rsid w:val="21486DA2"/>
    <w:rsid w:val="21A1232E"/>
    <w:rsid w:val="22381052"/>
    <w:rsid w:val="22EF62E1"/>
    <w:rsid w:val="233E0794"/>
    <w:rsid w:val="23E57933"/>
    <w:rsid w:val="23E57C69"/>
    <w:rsid w:val="24C47C53"/>
    <w:rsid w:val="25314AAB"/>
    <w:rsid w:val="2634051F"/>
    <w:rsid w:val="26BA5F55"/>
    <w:rsid w:val="26DF32C9"/>
    <w:rsid w:val="270F7107"/>
    <w:rsid w:val="27173ACE"/>
    <w:rsid w:val="2990627D"/>
    <w:rsid w:val="29BD6E3C"/>
    <w:rsid w:val="2B110EC5"/>
    <w:rsid w:val="2BB814F4"/>
    <w:rsid w:val="2BFB36BF"/>
    <w:rsid w:val="2C6D0AB9"/>
    <w:rsid w:val="2D8333A1"/>
    <w:rsid w:val="2DF745E7"/>
    <w:rsid w:val="2E1454FC"/>
    <w:rsid w:val="2EDD64ED"/>
    <w:rsid w:val="2EF30D3E"/>
    <w:rsid w:val="2F841FF3"/>
    <w:rsid w:val="2FC370B7"/>
    <w:rsid w:val="30985EC5"/>
    <w:rsid w:val="31837193"/>
    <w:rsid w:val="321E7986"/>
    <w:rsid w:val="330C6211"/>
    <w:rsid w:val="33E650A6"/>
    <w:rsid w:val="34887862"/>
    <w:rsid w:val="34917FA6"/>
    <w:rsid w:val="35077005"/>
    <w:rsid w:val="370F6F92"/>
    <w:rsid w:val="376D3F36"/>
    <w:rsid w:val="38530626"/>
    <w:rsid w:val="386C6676"/>
    <w:rsid w:val="387A0545"/>
    <w:rsid w:val="390B38E9"/>
    <w:rsid w:val="3A066559"/>
    <w:rsid w:val="3A56273B"/>
    <w:rsid w:val="3A6B512D"/>
    <w:rsid w:val="3BCF2CCF"/>
    <w:rsid w:val="3C47585D"/>
    <w:rsid w:val="3C9438AB"/>
    <w:rsid w:val="3C9810D3"/>
    <w:rsid w:val="3D42363B"/>
    <w:rsid w:val="3DAF596B"/>
    <w:rsid w:val="3DB477E5"/>
    <w:rsid w:val="3E5D345C"/>
    <w:rsid w:val="3E912EBE"/>
    <w:rsid w:val="3F383B8E"/>
    <w:rsid w:val="3FBF2CFF"/>
    <w:rsid w:val="3FC065E2"/>
    <w:rsid w:val="40645348"/>
    <w:rsid w:val="41890CF4"/>
    <w:rsid w:val="41A32317"/>
    <w:rsid w:val="42181462"/>
    <w:rsid w:val="4324131C"/>
    <w:rsid w:val="44876303"/>
    <w:rsid w:val="44F152F8"/>
    <w:rsid w:val="4507756E"/>
    <w:rsid w:val="4538644A"/>
    <w:rsid w:val="45B54EBB"/>
    <w:rsid w:val="469C54C3"/>
    <w:rsid w:val="46B929E3"/>
    <w:rsid w:val="47DF4EC7"/>
    <w:rsid w:val="48067F96"/>
    <w:rsid w:val="48653AD8"/>
    <w:rsid w:val="4A2D53B9"/>
    <w:rsid w:val="4AB937AC"/>
    <w:rsid w:val="4B391840"/>
    <w:rsid w:val="4BE31994"/>
    <w:rsid w:val="4C0459A5"/>
    <w:rsid w:val="4D7B4871"/>
    <w:rsid w:val="4DAC0452"/>
    <w:rsid w:val="4FC25104"/>
    <w:rsid w:val="50A20CBC"/>
    <w:rsid w:val="5123013B"/>
    <w:rsid w:val="521F6ED3"/>
    <w:rsid w:val="52886814"/>
    <w:rsid w:val="53EA2396"/>
    <w:rsid w:val="544A782B"/>
    <w:rsid w:val="550C26B8"/>
    <w:rsid w:val="5549738B"/>
    <w:rsid w:val="55D631B3"/>
    <w:rsid w:val="56315917"/>
    <w:rsid w:val="56461697"/>
    <w:rsid w:val="56906A25"/>
    <w:rsid w:val="575F44C9"/>
    <w:rsid w:val="577D2735"/>
    <w:rsid w:val="581A28F0"/>
    <w:rsid w:val="58760A7C"/>
    <w:rsid w:val="58A1063D"/>
    <w:rsid w:val="58B049D2"/>
    <w:rsid w:val="58FD3B63"/>
    <w:rsid w:val="59E11C47"/>
    <w:rsid w:val="5A7404AC"/>
    <w:rsid w:val="5A790F67"/>
    <w:rsid w:val="5AAA0C15"/>
    <w:rsid w:val="5AD233A8"/>
    <w:rsid w:val="5B97587B"/>
    <w:rsid w:val="5B9C067A"/>
    <w:rsid w:val="5CB96772"/>
    <w:rsid w:val="5D534D29"/>
    <w:rsid w:val="5D840DF2"/>
    <w:rsid w:val="5EAE5E66"/>
    <w:rsid w:val="5EC80FB9"/>
    <w:rsid w:val="5F73566A"/>
    <w:rsid w:val="5F7A232F"/>
    <w:rsid w:val="612C6EAA"/>
    <w:rsid w:val="620A5CC7"/>
    <w:rsid w:val="62C20F76"/>
    <w:rsid w:val="63FF6DA7"/>
    <w:rsid w:val="64FA4AA4"/>
    <w:rsid w:val="65C61A30"/>
    <w:rsid w:val="65EE51F0"/>
    <w:rsid w:val="666B27FD"/>
    <w:rsid w:val="68443577"/>
    <w:rsid w:val="6AD53D68"/>
    <w:rsid w:val="6AE002BA"/>
    <w:rsid w:val="6BD25AE0"/>
    <w:rsid w:val="6C050481"/>
    <w:rsid w:val="6CF3020B"/>
    <w:rsid w:val="6D661327"/>
    <w:rsid w:val="6E4075DA"/>
    <w:rsid w:val="6ED1004E"/>
    <w:rsid w:val="6EEF4BB1"/>
    <w:rsid w:val="6EF23A6F"/>
    <w:rsid w:val="6F626536"/>
    <w:rsid w:val="6FEA7F0D"/>
    <w:rsid w:val="713156F8"/>
    <w:rsid w:val="7143252D"/>
    <w:rsid w:val="71551A53"/>
    <w:rsid w:val="71D620F3"/>
    <w:rsid w:val="71F520D5"/>
    <w:rsid w:val="73766FD8"/>
    <w:rsid w:val="74E112D6"/>
    <w:rsid w:val="75530962"/>
    <w:rsid w:val="75BB7DFC"/>
    <w:rsid w:val="761C77D2"/>
    <w:rsid w:val="764454D0"/>
    <w:rsid w:val="768D1CF9"/>
    <w:rsid w:val="7691161D"/>
    <w:rsid w:val="769C1518"/>
    <w:rsid w:val="77321D1C"/>
    <w:rsid w:val="7735682C"/>
    <w:rsid w:val="77811715"/>
    <w:rsid w:val="78363CD5"/>
    <w:rsid w:val="78AA55D9"/>
    <w:rsid w:val="78C71359"/>
    <w:rsid w:val="7957232B"/>
    <w:rsid w:val="7A471767"/>
    <w:rsid w:val="7A670F5D"/>
    <w:rsid w:val="7AA03288"/>
    <w:rsid w:val="7AD922B8"/>
    <w:rsid w:val="7ADA199A"/>
    <w:rsid w:val="7AF70001"/>
    <w:rsid w:val="7BDE00F0"/>
    <w:rsid w:val="7C0946FE"/>
    <w:rsid w:val="7C384EAE"/>
    <w:rsid w:val="7CAC4E54"/>
    <w:rsid w:val="7CCA1AA3"/>
    <w:rsid w:val="7D572A81"/>
    <w:rsid w:val="7D8E2B39"/>
    <w:rsid w:val="7E1428F7"/>
    <w:rsid w:val="7E2D702E"/>
    <w:rsid w:val="7E5404BD"/>
    <w:rsid w:val="7E5C1786"/>
    <w:rsid w:val="7FE70160"/>
    <w:rsid w:val="7FF10A6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uiPriority="99"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name="toa heading"/>
    <w:lsdException w:uiPriority="99" w:name="List" w:locked="1"/>
    <w:lsdException w:uiPriority="99" w:name="List Bullet" w:locked="1"/>
    <w:lsdException w:uiPriority="99" w:name="List Number" w:locked="1"/>
    <w:lsdException w:uiPriority="99" w:name="List 2" w:locked="1"/>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4"/>
    <w:qFormat/>
    <w:uiPriority w:val="99"/>
    <w:pPr>
      <w:keepNext/>
      <w:keepLines/>
      <w:spacing w:line="360" w:lineRule="auto"/>
      <w:jc w:val="center"/>
      <w:outlineLvl w:val="0"/>
    </w:pPr>
    <w:rPr>
      <w:b/>
      <w:bCs/>
      <w:kern w:val="44"/>
      <w:sz w:val="32"/>
      <w:szCs w:val="32"/>
    </w:rPr>
  </w:style>
  <w:style w:type="paragraph" w:styleId="4">
    <w:name w:val="heading 2"/>
    <w:basedOn w:val="1"/>
    <w:next w:val="1"/>
    <w:link w:val="45"/>
    <w:qFormat/>
    <w:uiPriority w:val="99"/>
    <w:pPr>
      <w:keepNext/>
      <w:keepLines/>
      <w:spacing w:line="360" w:lineRule="auto"/>
      <w:outlineLvl w:val="1"/>
    </w:pPr>
    <w:rPr>
      <w:rFonts w:ascii="Calibri Light" w:hAnsi="Calibri Light"/>
      <w:b/>
      <w:bCs/>
      <w:sz w:val="28"/>
      <w:szCs w:val="32"/>
    </w:rPr>
  </w:style>
  <w:style w:type="paragraph" w:styleId="5">
    <w:name w:val="heading 3"/>
    <w:basedOn w:val="1"/>
    <w:next w:val="1"/>
    <w:link w:val="46"/>
    <w:qFormat/>
    <w:uiPriority w:val="99"/>
    <w:pPr>
      <w:keepNext/>
      <w:keepLines/>
      <w:snapToGrid w:val="0"/>
      <w:spacing w:before="260" w:after="260" w:line="360" w:lineRule="auto"/>
      <w:ind w:left="480"/>
      <w:outlineLvl w:val="2"/>
    </w:pPr>
    <w:rPr>
      <w:rFonts w:ascii="宋体" w:hAnsi="宋体" w:cs="宋体"/>
      <w:b/>
      <w:bCs/>
      <w:kern w:val="0"/>
      <w:szCs w:val="21"/>
    </w:rPr>
  </w:style>
  <w:style w:type="paragraph" w:styleId="6">
    <w:name w:val="heading 4"/>
    <w:basedOn w:val="1"/>
    <w:next w:val="1"/>
    <w:link w:val="47"/>
    <w:qFormat/>
    <w:uiPriority w:val="99"/>
    <w:pPr>
      <w:keepNext/>
      <w:keepLines/>
      <w:spacing w:before="280" w:after="290" w:line="376" w:lineRule="auto"/>
      <w:outlineLvl w:val="3"/>
    </w:pPr>
    <w:rPr>
      <w:rFonts w:ascii="Calibri Light" w:hAnsi="Calibri Light"/>
      <w:b/>
      <w:bCs/>
      <w:sz w:val="28"/>
      <w:szCs w:val="28"/>
    </w:rPr>
  </w:style>
  <w:style w:type="paragraph" w:styleId="7">
    <w:name w:val="heading 5"/>
    <w:basedOn w:val="1"/>
    <w:next w:val="1"/>
    <w:link w:val="48"/>
    <w:qFormat/>
    <w:uiPriority w:val="99"/>
    <w:pPr>
      <w:keepNext/>
      <w:keepLines/>
      <w:tabs>
        <w:tab w:val="left" w:pos="0"/>
      </w:tabs>
      <w:adjustRightInd w:val="0"/>
      <w:spacing w:line="360" w:lineRule="auto"/>
      <w:jc w:val="left"/>
      <w:textAlignment w:val="baseline"/>
      <w:outlineLvl w:val="4"/>
    </w:pPr>
    <w:rPr>
      <w:rFonts w:ascii="Times New Roman" w:hAnsi="Times New Roman"/>
      <w:kern w:val="0"/>
      <w:sz w:val="24"/>
      <w:szCs w:val="20"/>
    </w:rPr>
  </w:style>
  <w:style w:type="paragraph" w:styleId="8">
    <w:name w:val="heading 6"/>
    <w:basedOn w:val="1"/>
    <w:next w:val="1"/>
    <w:link w:val="49"/>
    <w:qFormat/>
    <w:uiPriority w:val="99"/>
    <w:pPr>
      <w:keepNext/>
      <w:keepLines/>
      <w:tabs>
        <w:tab w:val="left" w:pos="0"/>
      </w:tabs>
      <w:adjustRightInd w:val="0"/>
      <w:spacing w:line="360" w:lineRule="auto"/>
      <w:jc w:val="left"/>
      <w:textAlignment w:val="baseline"/>
      <w:outlineLvl w:val="5"/>
    </w:pPr>
    <w:rPr>
      <w:rFonts w:ascii="Arial" w:hAnsi="Arial"/>
      <w:kern w:val="0"/>
      <w:sz w:val="24"/>
      <w:szCs w:val="20"/>
    </w:rPr>
  </w:style>
  <w:style w:type="paragraph" w:styleId="9">
    <w:name w:val="heading 7"/>
    <w:basedOn w:val="1"/>
    <w:next w:val="1"/>
    <w:link w:val="50"/>
    <w:qFormat/>
    <w:uiPriority w:val="99"/>
    <w:pPr>
      <w:keepNext/>
      <w:keepLines/>
      <w:tabs>
        <w:tab w:val="left" w:pos="0"/>
      </w:tabs>
      <w:adjustRightInd w:val="0"/>
      <w:spacing w:line="360" w:lineRule="auto"/>
      <w:jc w:val="left"/>
      <w:textAlignment w:val="baseline"/>
      <w:outlineLvl w:val="6"/>
    </w:pPr>
    <w:rPr>
      <w:rFonts w:ascii="Times New Roman" w:hAnsi="Times New Roman"/>
      <w:kern w:val="0"/>
      <w:sz w:val="24"/>
      <w:szCs w:val="20"/>
    </w:rPr>
  </w:style>
  <w:style w:type="paragraph" w:styleId="10">
    <w:name w:val="heading 8"/>
    <w:basedOn w:val="1"/>
    <w:next w:val="1"/>
    <w:link w:val="51"/>
    <w:qFormat/>
    <w:uiPriority w:val="99"/>
    <w:pPr>
      <w:keepNext/>
      <w:keepLines/>
      <w:tabs>
        <w:tab w:val="left" w:pos="0"/>
      </w:tabs>
      <w:adjustRightInd w:val="0"/>
      <w:spacing w:line="360" w:lineRule="auto"/>
      <w:jc w:val="left"/>
      <w:textAlignment w:val="baseline"/>
      <w:outlineLvl w:val="7"/>
    </w:pPr>
    <w:rPr>
      <w:rFonts w:ascii="Arial" w:hAnsi="Arial"/>
      <w:kern w:val="0"/>
      <w:sz w:val="24"/>
      <w:szCs w:val="24"/>
    </w:rPr>
  </w:style>
  <w:style w:type="paragraph" w:styleId="11">
    <w:name w:val="heading 9"/>
    <w:basedOn w:val="1"/>
    <w:next w:val="1"/>
    <w:link w:val="52"/>
    <w:qFormat/>
    <w:uiPriority w:val="99"/>
    <w:pPr>
      <w:keepNext/>
      <w:keepLines/>
      <w:tabs>
        <w:tab w:val="left" w:pos="0"/>
      </w:tabs>
      <w:adjustRightInd w:val="0"/>
      <w:spacing w:line="360" w:lineRule="auto"/>
      <w:jc w:val="left"/>
      <w:textAlignment w:val="baseline"/>
      <w:outlineLvl w:val="8"/>
    </w:pPr>
    <w:rPr>
      <w:rFonts w:ascii="宋体" w:hAnsi="Arial"/>
      <w:kern w:val="0"/>
      <w:sz w:val="24"/>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szCs w:val="24"/>
    </w:rPr>
  </w:style>
  <w:style w:type="paragraph" w:styleId="12">
    <w:name w:val="List 3"/>
    <w:basedOn w:val="1"/>
    <w:qFormat/>
    <w:uiPriority w:val="99"/>
    <w:pPr>
      <w:ind w:left="100" w:leftChars="400" w:hanging="200" w:hangingChars="200"/>
    </w:pPr>
    <w:rPr>
      <w:rFonts w:ascii="Times New Roman" w:hAnsi="Times New Roman"/>
      <w:szCs w:val="24"/>
    </w:rPr>
  </w:style>
  <w:style w:type="paragraph" w:styleId="13">
    <w:name w:val="Document Map"/>
    <w:basedOn w:val="1"/>
    <w:link w:val="57"/>
    <w:qFormat/>
    <w:uiPriority w:val="99"/>
    <w:rPr>
      <w:rFonts w:ascii="宋体" w:hAnsi="Times New Roman"/>
      <w:sz w:val="18"/>
      <w:szCs w:val="18"/>
    </w:rPr>
  </w:style>
  <w:style w:type="paragraph" w:styleId="14">
    <w:name w:val="toa heading"/>
    <w:basedOn w:val="1"/>
    <w:next w:val="1"/>
    <w:semiHidden/>
    <w:qFormat/>
    <w:uiPriority w:val="99"/>
    <w:pPr>
      <w:spacing w:before="120"/>
    </w:pPr>
    <w:rPr>
      <w:rFonts w:ascii="Arial" w:hAnsi="Arial" w:cs="Arial"/>
      <w:sz w:val="24"/>
      <w:szCs w:val="24"/>
    </w:rPr>
  </w:style>
  <w:style w:type="paragraph" w:styleId="15">
    <w:name w:val="annotation text"/>
    <w:basedOn w:val="1"/>
    <w:link w:val="53"/>
    <w:qFormat/>
    <w:uiPriority w:val="0"/>
    <w:pPr>
      <w:jc w:val="left"/>
    </w:pPr>
  </w:style>
  <w:style w:type="paragraph" w:styleId="16">
    <w:name w:val="Body Text 3"/>
    <w:basedOn w:val="1"/>
    <w:link w:val="58"/>
    <w:qFormat/>
    <w:uiPriority w:val="99"/>
    <w:rPr>
      <w:rFonts w:ascii="宋体" w:hAnsi="Times New Roman"/>
      <w:sz w:val="24"/>
      <w:szCs w:val="20"/>
    </w:rPr>
  </w:style>
  <w:style w:type="paragraph" w:styleId="17">
    <w:name w:val="Body Text"/>
    <w:basedOn w:val="1"/>
    <w:link w:val="55"/>
    <w:qFormat/>
    <w:uiPriority w:val="99"/>
    <w:rPr>
      <w:rFonts w:ascii="Times New Roman" w:hAnsi="Times New Roman"/>
      <w:sz w:val="24"/>
      <w:szCs w:val="24"/>
    </w:rPr>
  </w:style>
  <w:style w:type="paragraph" w:styleId="18">
    <w:name w:val="Body Text Indent"/>
    <w:basedOn w:val="1"/>
    <w:link w:val="59"/>
    <w:qFormat/>
    <w:uiPriority w:val="99"/>
    <w:pPr>
      <w:spacing w:after="120"/>
      <w:ind w:left="420" w:leftChars="200"/>
    </w:pPr>
  </w:style>
  <w:style w:type="paragraph" w:styleId="19">
    <w:name w:val="toc 3"/>
    <w:basedOn w:val="1"/>
    <w:next w:val="1"/>
    <w:qFormat/>
    <w:uiPriority w:val="99"/>
    <w:pPr>
      <w:widowControl/>
      <w:spacing w:after="100" w:line="259" w:lineRule="auto"/>
      <w:ind w:left="440"/>
      <w:jc w:val="left"/>
    </w:pPr>
    <w:rPr>
      <w:kern w:val="0"/>
      <w:sz w:val="22"/>
    </w:rPr>
  </w:style>
  <w:style w:type="paragraph" w:styleId="20">
    <w:name w:val="Plain Text"/>
    <w:basedOn w:val="1"/>
    <w:link w:val="60"/>
    <w:qFormat/>
    <w:uiPriority w:val="0"/>
    <w:pPr>
      <w:adjustRightInd w:val="0"/>
      <w:snapToGrid w:val="0"/>
      <w:spacing w:line="360" w:lineRule="auto"/>
    </w:pPr>
    <w:rPr>
      <w:rFonts w:ascii="宋体" w:hAnsi="Courier New"/>
      <w:szCs w:val="20"/>
    </w:rPr>
  </w:style>
  <w:style w:type="paragraph" w:styleId="21">
    <w:name w:val="Date"/>
    <w:basedOn w:val="1"/>
    <w:next w:val="1"/>
    <w:link w:val="61"/>
    <w:qFormat/>
    <w:uiPriority w:val="99"/>
    <w:rPr>
      <w:rFonts w:ascii="宋体" w:hAnsi="宋体"/>
      <w:sz w:val="24"/>
      <w:szCs w:val="24"/>
    </w:rPr>
  </w:style>
  <w:style w:type="paragraph" w:styleId="22">
    <w:name w:val="Body Text Indent 2"/>
    <w:basedOn w:val="1"/>
    <w:link w:val="62"/>
    <w:qFormat/>
    <w:uiPriority w:val="99"/>
    <w:pPr>
      <w:widowControl/>
      <w:snapToGrid w:val="0"/>
      <w:spacing w:line="400" w:lineRule="exact"/>
      <w:ind w:left="425"/>
    </w:pPr>
    <w:rPr>
      <w:rFonts w:ascii="仿宋_GB2312" w:hAnsi="Times New Roman" w:eastAsia="仿宋_GB2312"/>
      <w:kern w:val="0"/>
      <w:szCs w:val="24"/>
    </w:rPr>
  </w:style>
  <w:style w:type="paragraph" w:styleId="23">
    <w:name w:val="Balloon Text"/>
    <w:basedOn w:val="1"/>
    <w:link w:val="63"/>
    <w:qFormat/>
    <w:uiPriority w:val="99"/>
    <w:rPr>
      <w:sz w:val="18"/>
      <w:szCs w:val="18"/>
    </w:rPr>
  </w:style>
  <w:style w:type="paragraph" w:styleId="24">
    <w:name w:val="footer"/>
    <w:basedOn w:val="1"/>
    <w:link w:val="64"/>
    <w:qFormat/>
    <w:uiPriority w:val="99"/>
    <w:pPr>
      <w:tabs>
        <w:tab w:val="center" w:pos="4153"/>
        <w:tab w:val="right" w:pos="8306"/>
      </w:tabs>
      <w:snapToGrid w:val="0"/>
      <w:jc w:val="left"/>
    </w:pPr>
    <w:rPr>
      <w:sz w:val="18"/>
      <w:szCs w:val="18"/>
    </w:rPr>
  </w:style>
  <w:style w:type="paragraph" w:styleId="25">
    <w:name w:val="header"/>
    <w:basedOn w:val="1"/>
    <w:link w:val="66"/>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99"/>
    <w:pPr>
      <w:widowControl/>
      <w:spacing w:after="100" w:line="259" w:lineRule="auto"/>
      <w:jc w:val="left"/>
    </w:pPr>
    <w:rPr>
      <w:kern w:val="0"/>
      <w:sz w:val="22"/>
    </w:rPr>
  </w:style>
  <w:style w:type="paragraph" w:styleId="27">
    <w:name w:val="Subtitle"/>
    <w:basedOn w:val="1"/>
    <w:next w:val="1"/>
    <w:link w:val="167"/>
    <w:qFormat/>
    <w:locked/>
    <w:uiPriority w:val="0"/>
    <w:pPr>
      <w:spacing w:before="240" w:after="60" w:line="312" w:lineRule="auto"/>
      <w:jc w:val="center"/>
      <w:outlineLvl w:val="1"/>
    </w:pPr>
    <w:rPr>
      <w:rFonts w:ascii="Cambria" w:hAnsi="Cambria"/>
      <w:b/>
      <w:bCs/>
      <w:kern w:val="28"/>
      <w:sz w:val="32"/>
      <w:szCs w:val="32"/>
    </w:rPr>
  </w:style>
  <w:style w:type="paragraph" w:styleId="28">
    <w:name w:val="Body Text Indent 3"/>
    <w:basedOn w:val="1"/>
    <w:link w:val="67"/>
    <w:qFormat/>
    <w:uiPriority w:val="99"/>
    <w:pPr>
      <w:ind w:right="18" w:firstLine="480"/>
    </w:pPr>
    <w:rPr>
      <w:rFonts w:ascii="宋体" w:hAnsi="Times New Roman"/>
      <w:sz w:val="24"/>
      <w:szCs w:val="20"/>
    </w:rPr>
  </w:style>
  <w:style w:type="paragraph" w:styleId="29">
    <w:name w:val="toc 2"/>
    <w:basedOn w:val="1"/>
    <w:next w:val="1"/>
    <w:qFormat/>
    <w:uiPriority w:val="99"/>
    <w:pPr>
      <w:widowControl/>
      <w:spacing w:after="100" w:line="259" w:lineRule="auto"/>
      <w:ind w:left="220"/>
      <w:jc w:val="left"/>
    </w:pPr>
    <w:rPr>
      <w:kern w:val="0"/>
      <w:sz w:val="22"/>
    </w:rPr>
  </w:style>
  <w:style w:type="paragraph" w:styleId="30">
    <w:name w:val="Body Text 2"/>
    <w:basedOn w:val="1"/>
    <w:link w:val="68"/>
    <w:qFormat/>
    <w:uiPriority w:val="99"/>
    <w:pPr>
      <w:spacing w:after="120" w:line="480" w:lineRule="auto"/>
    </w:pPr>
    <w:rPr>
      <w:rFonts w:ascii="Times New Roman" w:hAnsi="Times New Roman"/>
      <w:szCs w:val="24"/>
    </w:rPr>
  </w:style>
  <w:style w:type="paragraph" w:styleId="31">
    <w:name w:val="Normal (Web)"/>
    <w:basedOn w:val="1"/>
    <w:qFormat/>
    <w:uiPriority w:val="99"/>
    <w:rPr>
      <w:rFonts w:ascii="Times New Roman" w:hAnsi="Times New Roman"/>
      <w:sz w:val="24"/>
      <w:szCs w:val="24"/>
    </w:rPr>
  </w:style>
  <w:style w:type="paragraph" w:styleId="32">
    <w:name w:val="Title"/>
    <w:basedOn w:val="1"/>
    <w:link w:val="145"/>
    <w:qFormat/>
    <w:uiPriority w:val="99"/>
    <w:pPr>
      <w:spacing w:before="240" w:after="60"/>
      <w:jc w:val="center"/>
      <w:outlineLvl w:val="0"/>
    </w:pPr>
    <w:rPr>
      <w:rFonts w:ascii="Arial" w:hAnsi="Arial"/>
      <w:b/>
      <w:sz w:val="22"/>
      <w:szCs w:val="20"/>
    </w:rPr>
  </w:style>
  <w:style w:type="paragraph" w:styleId="33">
    <w:name w:val="annotation subject"/>
    <w:basedOn w:val="15"/>
    <w:next w:val="15"/>
    <w:link w:val="54"/>
    <w:qFormat/>
    <w:uiPriority w:val="99"/>
    <w:rPr>
      <w:b/>
      <w:bCs/>
    </w:rPr>
  </w:style>
  <w:style w:type="paragraph" w:styleId="34">
    <w:name w:val="Body Text First Indent"/>
    <w:basedOn w:val="17"/>
    <w:link w:val="56"/>
    <w:qFormat/>
    <w:uiPriority w:val="99"/>
    <w:pPr>
      <w:spacing w:after="120"/>
      <w:ind w:firstLine="420" w:firstLineChars="100"/>
    </w:pPr>
    <w:rPr>
      <w:sz w:val="21"/>
    </w:rPr>
  </w:style>
  <w:style w:type="paragraph" w:styleId="35">
    <w:name w:val="Body Text First Indent 2"/>
    <w:basedOn w:val="18"/>
    <w:link w:val="65"/>
    <w:qFormat/>
    <w:locked/>
    <w:uiPriority w:val="99"/>
    <w:pPr>
      <w:spacing w:after="0" w:line="360" w:lineRule="auto"/>
      <w:ind w:left="0" w:leftChars="0" w:firstLine="200" w:firstLineChars="200"/>
    </w:pPr>
    <w:rPr>
      <w:rFonts w:ascii="Times New Roman" w:hAnsi="Times New Roman"/>
      <w:kern w:val="0"/>
      <w:sz w:val="24"/>
      <w:szCs w:val="20"/>
    </w:rPr>
  </w:style>
  <w:style w:type="table" w:styleId="37">
    <w:name w:val="Table Grid"/>
    <w:basedOn w:val="3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99"/>
    <w:rPr>
      <w:rFonts w:cs="Times New Roman"/>
      <w:b/>
      <w:bCs/>
    </w:rPr>
  </w:style>
  <w:style w:type="character" w:styleId="40">
    <w:name w:val="page number"/>
    <w:basedOn w:val="38"/>
    <w:qFormat/>
    <w:uiPriority w:val="99"/>
    <w:rPr>
      <w:rFonts w:cs="Times New Roman"/>
    </w:rPr>
  </w:style>
  <w:style w:type="character" w:styleId="41">
    <w:name w:val="FollowedHyperlink"/>
    <w:basedOn w:val="38"/>
    <w:qFormat/>
    <w:uiPriority w:val="99"/>
    <w:rPr>
      <w:rFonts w:cs="Times New Roman"/>
      <w:color w:val="954F72"/>
      <w:u w:val="single"/>
    </w:rPr>
  </w:style>
  <w:style w:type="character" w:styleId="42">
    <w:name w:val="Hyperlink"/>
    <w:basedOn w:val="38"/>
    <w:qFormat/>
    <w:uiPriority w:val="99"/>
    <w:rPr>
      <w:rFonts w:cs="Times New Roman"/>
      <w:color w:val="0563C1"/>
      <w:u w:val="single"/>
    </w:rPr>
  </w:style>
  <w:style w:type="character" w:styleId="43">
    <w:name w:val="annotation reference"/>
    <w:basedOn w:val="38"/>
    <w:qFormat/>
    <w:uiPriority w:val="99"/>
    <w:rPr>
      <w:rFonts w:cs="Times New Roman"/>
      <w:sz w:val="21"/>
      <w:szCs w:val="21"/>
    </w:rPr>
  </w:style>
  <w:style w:type="character" w:customStyle="1" w:styleId="44">
    <w:name w:val="标题 1 Char"/>
    <w:basedOn w:val="38"/>
    <w:link w:val="3"/>
    <w:qFormat/>
    <w:locked/>
    <w:uiPriority w:val="99"/>
    <w:rPr>
      <w:rFonts w:cs="Times New Roman"/>
      <w:b/>
      <w:bCs/>
      <w:kern w:val="44"/>
      <w:sz w:val="32"/>
      <w:szCs w:val="32"/>
    </w:rPr>
  </w:style>
  <w:style w:type="character" w:customStyle="1" w:styleId="45">
    <w:name w:val="标题 2 Char"/>
    <w:basedOn w:val="38"/>
    <w:link w:val="4"/>
    <w:qFormat/>
    <w:locked/>
    <w:uiPriority w:val="99"/>
    <w:rPr>
      <w:rFonts w:ascii="Calibri Light" w:hAnsi="Calibri Light" w:eastAsia="宋体" w:cs="Times New Roman"/>
      <w:b/>
      <w:bCs/>
      <w:sz w:val="32"/>
      <w:szCs w:val="32"/>
    </w:rPr>
  </w:style>
  <w:style w:type="character" w:customStyle="1" w:styleId="46">
    <w:name w:val="标题 3 Char"/>
    <w:basedOn w:val="38"/>
    <w:link w:val="5"/>
    <w:qFormat/>
    <w:locked/>
    <w:uiPriority w:val="99"/>
    <w:rPr>
      <w:rFonts w:ascii="宋体" w:eastAsia="宋体" w:cs="宋体"/>
      <w:b/>
      <w:bCs/>
      <w:kern w:val="0"/>
      <w:sz w:val="21"/>
      <w:szCs w:val="21"/>
    </w:rPr>
  </w:style>
  <w:style w:type="character" w:customStyle="1" w:styleId="47">
    <w:name w:val="标题 4 Char"/>
    <w:basedOn w:val="38"/>
    <w:link w:val="6"/>
    <w:qFormat/>
    <w:locked/>
    <w:uiPriority w:val="99"/>
    <w:rPr>
      <w:rFonts w:ascii="Calibri Light" w:hAnsi="Calibri Light" w:eastAsia="宋体" w:cs="Times New Roman"/>
      <w:b/>
      <w:bCs/>
      <w:sz w:val="28"/>
      <w:szCs w:val="28"/>
    </w:rPr>
  </w:style>
  <w:style w:type="character" w:customStyle="1" w:styleId="48">
    <w:name w:val="标题 5 Char"/>
    <w:basedOn w:val="38"/>
    <w:link w:val="7"/>
    <w:qFormat/>
    <w:locked/>
    <w:uiPriority w:val="99"/>
    <w:rPr>
      <w:rFonts w:ascii="Times New Roman" w:hAnsi="Times New Roman" w:eastAsia="宋体" w:cs="Times New Roman"/>
      <w:kern w:val="0"/>
      <w:sz w:val="20"/>
      <w:szCs w:val="20"/>
    </w:rPr>
  </w:style>
  <w:style w:type="character" w:customStyle="1" w:styleId="49">
    <w:name w:val="标题 6 Char"/>
    <w:basedOn w:val="38"/>
    <w:link w:val="8"/>
    <w:qFormat/>
    <w:locked/>
    <w:uiPriority w:val="99"/>
    <w:rPr>
      <w:rFonts w:ascii="Arial" w:hAnsi="Arial" w:eastAsia="宋体" w:cs="Times New Roman"/>
      <w:kern w:val="0"/>
      <w:sz w:val="20"/>
      <w:szCs w:val="20"/>
    </w:rPr>
  </w:style>
  <w:style w:type="character" w:customStyle="1" w:styleId="50">
    <w:name w:val="标题 7 Char"/>
    <w:basedOn w:val="38"/>
    <w:link w:val="9"/>
    <w:qFormat/>
    <w:locked/>
    <w:uiPriority w:val="99"/>
    <w:rPr>
      <w:rFonts w:ascii="Times New Roman" w:hAnsi="Times New Roman" w:eastAsia="宋体" w:cs="Times New Roman"/>
      <w:kern w:val="0"/>
      <w:sz w:val="20"/>
      <w:szCs w:val="20"/>
    </w:rPr>
  </w:style>
  <w:style w:type="character" w:customStyle="1" w:styleId="51">
    <w:name w:val="标题 8 Char"/>
    <w:basedOn w:val="38"/>
    <w:link w:val="10"/>
    <w:qFormat/>
    <w:locked/>
    <w:uiPriority w:val="99"/>
    <w:rPr>
      <w:rFonts w:ascii="Arial" w:hAnsi="Arial" w:eastAsia="宋体" w:cs="Times New Roman"/>
      <w:kern w:val="0"/>
      <w:sz w:val="24"/>
      <w:szCs w:val="24"/>
    </w:rPr>
  </w:style>
  <w:style w:type="character" w:customStyle="1" w:styleId="52">
    <w:name w:val="标题 9 Char"/>
    <w:basedOn w:val="38"/>
    <w:link w:val="11"/>
    <w:qFormat/>
    <w:locked/>
    <w:uiPriority w:val="99"/>
    <w:rPr>
      <w:rFonts w:ascii="宋体" w:hAnsi="Arial" w:eastAsia="宋体" w:cs="Times New Roman"/>
      <w:kern w:val="0"/>
      <w:sz w:val="24"/>
      <w:szCs w:val="24"/>
    </w:rPr>
  </w:style>
  <w:style w:type="character" w:customStyle="1" w:styleId="53">
    <w:name w:val="批注文字 Char"/>
    <w:basedOn w:val="38"/>
    <w:link w:val="15"/>
    <w:qFormat/>
    <w:locked/>
    <w:uiPriority w:val="99"/>
    <w:rPr>
      <w:rFonts w:cs="Times New Roman"/>
    </w:rPr>
  </w:style>
  <w:style w:type="character" w:customStyle="1" w:styleId="54">
    <w:name w:val="批注主题 Char"/>
    <w:basedOn w:val="53"/>
    <w:link w:val="33"/>
    <w:qFormat/>
    <w:locked/>
    <w:uiPriority w:val="99"/>
    <w:rPr>
      <w:b/>
      <w:bCs/>
    </w:rPr>
  </w:style>
  <w:style w:type="character" w:customStyle="1" w:styleId="55">
    <w:name w:val="正文文本 Char"/>
    <w:basedOn w:val="38"/>
    <w:link w:val="17"/>
    <w:qFormat/>
    <w:locked/>
    <w:uiPriority w:val="99"/>
    <w:rPr>
      <w:rFonts w:ascii="Times New Roman" w:hAnsi="Times New Roman" w:eastAsia="宋体" w:cs="Times New Roman"/>
      <w:sz w:val="24"/>
      <w:szCs w:val="24"/>
    </w:rPr>
  </w:style>
  <w:style w:type="character" w:customStyle="1" w:styleId="56">
    <w:name w:val="正文首行缩进 Char"/>
    <w:basedOn w:val="55"/>
    <w:link w:val="34"/>
    <w:qFormat/>
    <w:locked/>
    <w:uiPriority w:val="99"/>
  </w:style>
  <w:style w:type="character" w:customStyle="1" w:styleId="57">
    <w:name w:val="文档结构图 Char"/>
    <w:basedOn w:val="38"/>
    <w:link w:val="13"/>
    <w:semiHidden/>
    <w:qFormat/>
    <w:locked/>
    <w:uiPriority w:val="99"/>
    <w:rPr>
      <w:rFonts w:ascii="宋体" w:hAnsi="Times New Roman" w:eastAsia="宋体" w:cs="Times New Roman"/>
      <w:sz w:val="18"/>
      <w:szCs w:val="18"/>
    </w:rPr>
  </w:style>
  <w:style w:type="character" w:customStyle="1" w:styleId="58">
    <w:name w:val="正文文本 3 Char"/>
    <w:basedOn w:val="38"/>
    <w:link w:val="16"/>
    <w:qFormat/>
    <w:locked/>
    <w:uiPriority w:val="99"/>
    <w:rPr>
      <w:rFonts w:ascii="宋体" w:hAnsi="Times New Roman" w:eastAsia="宋体" w:cs="Times New Roman"/>
      <w:sz w:val="20"/>
      <w:szCs w:val="20"/>
    </w:rPr>
  </w:style>
  <w:style w:type="character" w:customStyle="1" w:styleId="59">
    <w:name w:val="正文文本缩进 Char"/>
    <w:basedOn w:val="38"/>
    <w:link w:val="18"/>
    <w:qFormat/>
    <w:locked/>
    <w:uiPriority w:val="99"/>
    <w:rPr>
      <w:rFonts w:cs="Times New Roman"/>
    </w:rPr>
  </w:style>
  <w:style w:type="character" w:customStyle="1" w:styleId="60">
    <w:name w:val="纯文本 Char"/>
    <w:basedOn w:val="38"/>
    <w:link w:val="20"/>
    <w:qFormat/>
    <w:locked/>
    <w:uiPriority w:val="0"/>
    <w:rPr>
      <w:rFonts w:ascii="宋体" w:hAnsi="Courier New" w:eastAsia="宋体" w:cs="Times New Roman"/>
      <w:sz w:val="20"/>
      <w:szCs w:val="20"/>
    </w:rPr>
  </w:style>
  <w:style w:type="character" w:customStyle="1" w:styleId="61">
    <w:name w:val="日期 Char"/>
    <w:basedOn w:val="38"/>
    <w:link w:val="21"/>
    <w:qFormat/>
    <w:locked/>
    <w:uiPriority w:val="99"/>
    <w:rPr>
      <w:rFonts w:ascii="宋体" w:hAnsi="宋体" w:eastAsia="宋体" w:cs="Times New Roman"/>
      <w:sz w:val="24"/>
      <w:szCs w:val="24"/>
    </w:rPr>
  </w:style>
  <w:style w:type="character" w:customStyle="1" w:styleId="62">
    <w:name w:val="正文文本缩进 2 Char"/>
    <w:basedOn w:val="38"/>
    <w:link w:val="22"/>
    <w:qFormat/>
    <w:locked/>
    <w:uiPriority w:val="99"/>
    <w:rPr>
      <w:rFonts w:ascii="仿宋_GB2312" w:hAnsi="Times New Roman" w:eastAsia="仿宋_GB2312" w:cs="Times New Roman"/>
      <w:kern w:val="0"/>
      <w:sz w:val="24"/>
      <w:szCs w:val="24"/>
    </w:rPr>
  </w:style>
  <w:style w:type="character" w:customStyle="1" w:styleId="63">
    <w:name w:val="批注框文本 Char"/>
    <w:basedOn w:val="38"/>
    <w:link w:val="23"/>
    <w:semiHidden/>
    <w:qFormat/>
    <w:locked/>
    <w:uiPriority w:val="99"/>
    <w:rPr>
      <w:rFonts w:cs="Times New Roman"/>
      <w:sz w:val="18"/>
      <w:szCs w:val="18"/>
    </w:rPr>
  </w:style>
  <w:style w:type="character" w:customStyle="1" w:styleId="64">
    <w:name w:val="页脚 Char"/>
    <w:basedOn w:val="38"/>
    <w:link w:val="24"/>
    <w:qFormat/>
    <w:locked/>
    <w:uiPriority w:val="99"/>
    <w:rPr>
      <w:rFonts w:cs="Times New Roman"/>
      <w:sz w:val="18"/>
      <w:szCs w:val="18"/>
    </w:rPr>
  </w:style>
  <w:style w:type="character" w:customStyle="1" w:styleId="65">
    <w:name w:val="正文首行缩进 2 Char"/>
    <w:basedOn w:val="59"/>
    <w:link w:val="35"/>
    <w:semiHidden/>
    <w:qFormat/>
    <w:locked/>
    <w:uiPriority w:val="99"/>
    <w:rPr>
      <w:rFonts w:ascii="Calibri" w:hAnsi="Calibri"/>
    </w:rPr>
  </w:style>
  <w:style w:type="character" w:customStyle="1" w:styleId="66">
    <w:name w:val="页眉 Char"/>
    <w:basedOn w:val="38"/>
    <w:link w:val="25"/>
    <w:qFormat/>
    <w:locked/>
    <w:uiPriority w:val="99"/>
    <w:rPr>
      <w:rFonts w:cs="Times New Roman"/>
      <w:sz w:val="18"/>
      <w:szCs w:val="18"/>
    </w:rPr>
  </w:style>
  <w:style w:type="character" w:customStyle="1" w:styleId="67">
    <w:name w:val="正文文本缩进 3 Char"/>
    <w:basedOn w:val="38"/>
    <w:link w:val="28"/>
    <w:qFormat/>
    <w:locked/>
    <w:uiPriority w:val="99"/>
    <w:rPr>
      <w:rFonts w:ascii="宋体" w:hAnsi="Times New Roman" w:eastAsia="宋体" w:cs="Times New Roman"/>
      <w:sz w:val="20"/>
      <w:szCs w:val="20"/>
    </w:rPr>
  </w:style>
  <w:style w:type="character" w:customStyle="1" w:styleId="68">
    <w:name w:val="正文文本 2 Char"/>
    <w:basedOn w:val="38"/>
    <w:link w:val="30"/>
    <w:qFormat/>
    <w:locked/>
    <w:uiPriority w:val="99"/>
    <w:rPr>
      <w:rFonts w:ascii="Times New Roman" w:hAnsi="Times New Roman" w:eastAsia="宋体" w:cs="Times New Roman"/>
      <w:sz w:val="24"/>
      <w:szCs w:val="24"/>
    </w:rPr>
  </w:style>
  <w:style w:type="character" w:customStyle="1" w:styleId="69">
    <w:name w:val="Title Char"/>
    <w:basedOn w:val="38"/>
    <w:link w:val="32"/>
    <w:qFormat/>
    <w:locked/>
    <w:uiPriority w:val="99"/>
    <w:rPr>
      <w:rFonts w:ascii="Cambria" w:hAnsi="Cambria" w:cs="Times New Roman"/>
      <w:b/>
      <w:bCs/>
      <w:sz w:val="32"/>
      <w:szCs w:val="32"/>
    </w:rPr>
  </w:style>
  <w:style w:type="paragraph" w:customStyle="1" w:styleId="70">
    <w:name w:val="图"/>
    <w:basedOn w:val="1"/>
    <w:qFormat/>
    <w:uiPriority w:val="99"/>
    <w:pPr>
      <w:keepNext/>
      <w:adjustRightInd w:val="0"/>
      <w:spacing w:before="60" w:after="60" w:line="300" w:lineRule="auto"/>
      <w:jc w:val="center"/>
      <w:textAlignment w:val="center"/>
    </w:pPr>
    <w:rPr>
      <w:rFonts w:ascii="Times New Roman" w:hAnsi="Times New Roman"/>
      <w:spacing w:val="20"/>
      <w:kern w:val="0"/>
      <w:sz w:val="24"/>
      <w:szCs w:val="20"/>
    </w:rPr>
  </w:style>
  <w:style w:type="paragraph" w:customStyle="1" w:styleId="71">
    <w:name w:val="TOC 标题1"/>
    <w:basedOn w:val="3"/>
    <w:next w:val="1"/>
    <w:qFormat/>
    <w:uiPriority w:val="99"/>
    <w:pPr>
      <w:widowControl/>
      <w:spacing w:before="240" w:line="259" w:lineRule="auto"/>
      <w:jc w:val="left"/>
      <w:outlineLvl w:val="9"/>
    </w:pPr>
    <w:rPr>
      <w:rFonts w:ascii="Calibri Light" w:hAnsi="Calibri Light"/>
      <w:b w:val="0"/>
      <w:bCs w:val="0"/>
      <w:color w:val="2E74B5"/>
      <w:kern w:val="0"/>
    </w:rPr>
  </w:style>
  <w:style w:type="paragraph" w:styleId="72">
    <w:name w:val="List Paragraph"/>
    <w:basedOn w:val="1"/>
    <w:qFormat/>
    <w:uiPriority w:val="34"/>
    <w:pPr>
      <w:ind w:firstLine="420" w:firstLineChars="200"/>
    </w:pPr>
  </w:style>
  <w:style w:type="character" w:customStyle="1" w:styleId="73">
    <w:name w:val="Char Char"/>
    <w:basedOn w:val="38"/>
    <w:semiHidden/>
    <w:qFormat/>
    <w:uiPriority w:val="99"/>
    <w:rPr>
      <w:rFonts w:ascii="宋体" w:hAnsi="Courier New" w:eastAsia="宋体" w:cs="Times New Roman"/>
      <w:kern w:val="2"/>
      <w:sz w:val="21"/>
      <w:lang w:val="en-US" w:eastAsia="zh-CN" w:bidi="ar-SA"/>
    </w:rPr>
  </w:style>
  <w:style w:type="paragraph" w:customStyle="1" w:styleId="74">
    <w:name w:val="目录2"/>
    <w:basedOn w:val="20"/>
    <w:qFormat/>
    <w:uiPriority w:val="99"/>
    <w:pPr>
      <w:adjustRightInd/>
      <w:snapToGrid/>
      <w:spacing w:line="800" w:lineRule="exact"/>
      <w:jc w:val="center"/>
    </w:pPr>
    <w:rPr>
      <w:rFonts w:ascii="华文中宋" w:hAnsi="华文中宋" w:eastAsia="华文中宋"/>
      <w:b/>
      <w:bCs/>
      <w:sz w:val="32"/>
    </w:rPr>
  </w:style>
  <w:style w:type="paragraph" w:customStyle="1" w:styleId="75">
    <w:name w:val="目录1"/>
    <w:basedOn w:val="20"/>
    <w:qFormat/>
    <w:uiPriority w:val="99"/>
    <w:pPr>
      <w:topLinePunct/>
      <w:adjustRightInd/>
      <w:snapToGrid/>
      <w:spacing w:beforeLines="100" w:afterLines="100" w:line="500" w:lineRule="exact"/>
      <w:jc w:val="center"/>
    </w:pPr>
    <w:rPr>
      <w:rFonts w:ascii="黑体" w:eastAsia="黑体"/>
      <w:b/>
      <w:bCs/>
      <w:sz w:val="40"/>
    </w:rPr>
  </w:style>
  <w:style w:type="paragraph" w:customStyle="1" w:styleId="76">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77">
    <w:name w:val="font6"/>
    <w:basedOn w:val="1"/>
    <w:qFormat/>
    <w:uiPriority w:val="99"/>
    <w:pPr>
      <w:widowControl/>
      <w:spacing w:before="100" w:beforeAutospacing="1" w:after="100" w:afterAutospacing="1"/>
      <w:jc w:val="left"/>
    </w:pPr>
    <w:rPr>
      <w:rFonts w:ascii="宋体" w:hAnsi="宋体"/>
      <w:kern w:val="0"/>
      <w:sz w:val="20"/>
      <w:szCs w:val="20"/>
    </w:rPr>
  </w:style>
  <w:style w:type="paragraph" w:customStyle="1" w:styleId="78">
    <w:name w:val="xl25"/>
    <w:basedOn w:val="1"/>
    <w:qFormat/>
    <w:uiPriority w:val="99"/>
    <w:pPr>
      <w:widowControl/>
      <w:pBdr>
        <w:top w:val="double" w:color="auto" w:sz="6"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79">
    <w:name w:val="xl26"/>
    <w:basedOn w:val="1"/>
    <w:qFormat/>
    <w:uiPriority w:val="99"/>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80">
    <w:name w:val="xl27"/>
    <w:basedOn w:val="1"/>
    <w:qFormat/>
    <w:uiPriority w:val="99"/>
    <w:pPr>
      <w:widowControl/>
      <w:pBdr>
        <w:top w:val="double" w:color="auto" w:sz="6" w:space="0"/>
        <w:left w:val="single" w:color="auto" w:sz="4" w:space="0"/>
        <w:right w:val="double" w:color="auto" w:sz="6" w:space="0"/>
      </w:pBdr>
      <w:spacing w:before="100" w:beforeAutospacing="1" w:after="100" w:afterAutospacing="1"/>
      <w:jc w:val="center"/>
      <w:textAlignment w:val="center"/>
    </w:pPr>
    <w:rPr>
      <w:rFonts w:ascii="宋体" w:hAnsi="宋体"/>
      <w:kern w:val="0"/>
      <w:sz w:val="20"/>
      <w:szCs w:val="20"/>
    </w:rPr>
  </w:style>
  <w:style w:type="paragraph" w:customStyle="1" w:styleId="81">
    <w:name w:val="xl28"/>
    <w:basedOn w:val="1"/>
    <w:qFormat/>
    <w:uiPriority w:val="99"/>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kern w:val="0"/>
      <w:sz w:val="18"/>
      <w:szCs w:val="18"/>
    </w:rPr>
  </w:style>
  <w:style w:type="paragraph" w:customStyle="1" w:styleId="82">
    <w:name w:val="xl29"/>
    <w:basedOn w:val="1"/>
    <w:qFormat/>
    <w:uiPriority w:val="99"/>
    <w:pPr>
      <w:widowControl/>
      <w:pBdr>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kern w:val="0"/>
      <w:sz w:val="18"/>
      <w:szCs w:val="18"/>
    </w:rPr>
  </w:style>
  <w:style w:type="paragraph" w:customStyle="1" w:styleId="83">
    <w:name w:val="xl30"/>
    <w:basedOn w:val="1"/>
    <w:qFormat/>
    <w:uiPriority w:val="99"/>
    <w:pPr>
      <w:widowControl/>
      <w:pBdr>
        <w:top w:val="double" w:color="auto" w:sz="6"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84">
    <w:name w:val="xl31"/>
    <w:basedOn w:val="1"/>
    <w:qFormat/>
    <w:uiPriority w:val="99"/>
    <w:pPr>
      <w:widowControl/>
      <w:pBdr>
        <w:top w:val="single" w:color="auto" w:sz="4" w:space="0"/>
        <w:left w:val="single" w:color="auto" w:sz="4" w:space="0"/>
        <w:bottom w:val="double" w:color="auto" w:sz="6" w:space="0"/>
        <w:right w:val="double" w:color="auto" w:sz="6" w:space="0"/>
      </w:pBdr>
      <w:spacing w:before="100" w:beforeAutospacing="1" w:after="100" w:afterAutospacing="1"/>
      <w:jc w:val="left"/>
      <w:textAlignment w:val="center"/>
    </w:pPr>
    <w:rPr>
      <w:rFonts w:ascii="宋体" w:hAnsi="宋体"/>
      <w:kern w:val="0"/>
      <w:sz w:val="18"/>
      <w:szCs w:val="18"/>
    </w:rPr>
  </w:style>
  <w:style w:type="paragraph" w:customStyle="1" w:styleId="85">
    <w:name w:val="xl32"/>
    <w:basedOn w:val="1"/>
    <w:qFormat/>
    <w:uiPriority w:val="99"/>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18"/>
      <w:szCs w:val="18"/>
    </w:rPr>
  </w:style>
  <w:style w:type="paragraph" w:customStyle="1" w:styleId="86">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18"/>
      <w:szCs w:val="18"/>
    </w:rPr>
  </w:style>
  <w:style w:type="paragraph" w:customStyle="1" w:styleId="87">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88">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89">
    <w:name w:val="xl36"/>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b/>
      <w:bCs/>
      <w:kern w:val="0"/>
      <w:sz w:val="18"/>
      <w:szCs w:val="18"/>
    </w:rPr>
  </w:style>
  <w:style w:type="paragraph" w:customStyle="1" w:styleId="90">
    <w:name w:val="xl37"/>
    <w:basedOn w:val="1"/>
    <w:qFormat/>
    <w:uiPriority w:val="99"/>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8"/>
      <w:szCs w:val="18"/>
    </w:rPr>
  </w:style>
  <w:style w:type="paragraph" w:customStyle="1" w:styleId="91">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92">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8"/>
      <w:szCs w:val="18"/>
    </w:rPr>
  </w:style>
  <w:style w:type="paragraph" w:customStyle="1" w:styleId="93">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8"/>
      <w:szCs w:val="18"/>
    </w:rPr>
  </w:style>
  <w:style w:type="paragraph" w:customStyle="1" w:styleId="94">
    <w:name w:val="xl4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kern w:val="0"/>
      <w:sz w:val="18"/>
      <w:szCs w:val="18"/>
    </w:rPr>
  </w:style>
  <w:style w:type="paragraph" w:customStyle="1" w:styleId="95">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96">
    <w:name w:val="xl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8"/>
      <w:szCs w:val="18"/>
    </w:rPr>
  </w:style>
  <w:style w:type="paragraph" w:customStyle="1" w:styleId="97">
    <w:name w:val="xl44"/>
    <w:basedOn w:val="1"/>
    <w:qFormat/>
    <w:uiPriority w:val="99"/>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18"/>
      <w:szCs w:val="18"/>
    </w:rPr>
  </w:style>
  <w:style w:type="paragraph" w:customStyle="1" w:styleId="98">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18"/>
      <w:szCs w:val="18"/>
    </w:rPr>
  </w:style>
  <w:style w:type="paragraph" w:customStyle="1" w:styleId="99">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00">
    <w:name w:val="xl47"/>
    <w:basedOn w:val="1"/>
    <w:qFormat/>
    <w:uiPriority w:val="99"/>
    <w:pPr>
      <w:widowControl/>
      <w:pBdr>
        <w:top w:val="single" w:color="auto" w:sz="4" w:space="0"/>
        <w:left w:val="single" w:color="auto" w:sz="4" w:space="0"/>
        <w:bottom w:val="double" w:color="auto" w:sz="6" w:space="0"/>
      </w:pBdr>
      <w:spacing w:before="100" w:beforeAutospacing="1" w:after="100" w:afterAutospacing="1"/>
      <w:jc w:val="center"/>
      <w:textAlignment w:val="center"/>
    </w:pPr>
    <w:rPr>
      <w:rFonts w:ascii="Times New Roman" w:hAnsi="Times New Roman"/>
      <w:b/>
      <w:bCs/>
      <w:kern w:val="0"/>
      <w:sz w:val="18"/>
      <w:szCs w:val="18"/>
    </w:rPr>
  </w:style>
  <w:style w:type="paragraph" w:customStyle="1" w:styleId="101">
    <w:name w:val="正文编号"/>
    <w:basedOn w:val="1"/>
    <w:next w:val="22"/>
    <w:qFormat/>
    <w:uiPriority w:val="99"/>
    <w:pPr>
      <w:spacing w:line="480" w:lineRule="auto"/>
      <w:ind w:firstLine="560" w:firstLineChars="200"/>
    </w:pPr>
    <w:rPr>
      <w:rFonts w:ascii="宋体" w:hAnsi="宋体" w:cs="Arial"/>
      <w:kern w:val="24"/>
      <w:sz w:val="28"/>
      <w:szCs w:val="28"/>
      <w:lang w:val="sv-SE"/>
    </w:rPr>
  </w:style>
  <w:style w:type="paragraph" w:customStyle="1" w:styleId="102">
    <w:name w:val="Bodytext"/>
    <w:basedOn w:val="1"/>
    <w:next w:val="18"/>
    <w:qFormat/>
    <w:uiPriority w:val="99"/>
    <w:pPr>
      <w:autoSpaceDE w:val="0"/>
      <w:autoSpaceDN w:val="0"/>
      <w:adjustRightInd w:val="0"/>
      <w:ind w:firstLine="480"/>
      <w:textAlignment w:val="bottom"/>
    </w:pPr>
    <w:rPr>
      <w:rFonts w:ascii="宋体" w:hAnsi="Times New Roman"/>
      <w:kern w:val="0"/>
      <w:sz w:val="24"/>
      <w:szCs w:val="20"/>
    </w:rPr>
  </w:style>
  <w:style w:type="character" w:customStyle="1" w:styleId="103">
    <w:name w:val="Char Char2"/>
    <w:basedOn w:val="38"/>
    <w:qFormat/>
    <w:uiPriority w:val="99"/>
    <w:rPr>
      <w:rFonts w:cs="Times New Roman"/>
      <w:kern w:val="2"/>
      <w:sz w:val="24"/>
      <w:szCs w:val="24"/>
    </w:rPr>
  </w:style>
  <w:style w:type="character" w:customStyle="1" w:styleId="104">
    <w:name w:val="Char Char1"/>
    <w:basedOn w:val="103"/>
    <w:qFormat/>
    <w:uiPriority w:val="99"/>
    <w:rPr>
      <w:b/>
      <w:bCs/>
    </w:rPr>
  </w:style>
  <w:style w:type="character" w:customStyle="1" w:styleId="105">
    <w:name w:val="Char Char3"/>
    <w:basedOn w:val="38"/>
    <w:semiHidden/>
    <w:qFormat/>
    <w:uiPriority w:val="99"/>
    <w:rPr>
      <w:rFonts w:ascii="宋体" w:cs="Times New Roman"/>
      <w:kern w:val="2"/>
      <w:sz w:val="18"/>
      <w:szCs w:val="18"/>
    </w:rPr>
  </w:style>
  <w:style w:type="paragraph" w:customStyle="1" w:styleId="106">
    <w:name w:val="xl77"/>
    <w:basedOn w:val="1"/>
    <w:qFormat/>
    <w:uiPriority w:val="99"/>
    <w:pPr>
      <w:widowControl/>
      <w:pBdr>
        <w:bottom w:val="single" w:color="auto" w:sz="8" w:space="0"/>
      </w:pBdr>
      <w:spacing w:before="100" w:beforeAutospacing="1" w:after="100" w:afterAutospacing="1"/>
      <w:jc w:val="left"/>
      <w:textAlignment w:val="center"/>
    </w:pPr>
    <w:rPr>
      <w:rFonts w:ascii="宋体" w:hAnsi="宋体"/>
      <w:kern w:val="0"/>
      <w:sz w:val="24"/>
      <w:szCs w:val="24"/>
    </w:rPr>
  </w:style>
  <w:style w:type="paragraph" w:customStyle="1" w:styleId="107">
    <w:name w:val="Default"/>
    <w:qFormat/>
    <w:uiPriority w:val="99"/>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108">
    <w:name w:val="普通正文"/>
    <w:basedOn w:val="1"/>
    <w:qFormat/>
    <w:uiPriority w:val="99"/>
    <w:pPr>
      <w:adjustRightInd w:val="0"/>
      <w:spacing w:before="100" w:after="100" w:line="340" w:lineRule="exact"/>
      <w:ind w:firstLine="482"/>
      <w:jc w:val="left"/>
      <w:textAlignment w:val="baseline"/>
    </w:pPr>
    <w:rPr>
      <w:rFonts w:ascii="Arial" w:hAnsi="Arial"/>
      <w:kern w:val="0"/>
      <w:sz w:val="24"/>
      <w:szCs w:val="24"/>
    </w:rPr>
  </w:style>
  <w:style w:type="paragraph" w:customStyle="1" w:styleId="109">
    <w:name w:val="#"/>
    <w:basedOn w:val="1"/>
    <w:qFormat/>
    <w:uiPriority w:val="99"/>
    <w:pPr>
      <w:tabs>
        <w:tab w:val="left" w:pos="964"/>
      </w:tabs>
      <w:spacing w:line="360" w:lineRule="auto"/>
      <w:ind w:left="964" w:hanging="482"/>
    </w:pPr>
    <w:rPr>
      <w:rFonts w:ascii="Times New Roman" w:hAnsi="Times New Roman"/>
      <w:sz w:val="24"/>
      <w:szCs w:val="24"/>
    </w:rPr>
  </w:style>
  <w:style w:type="paragraph" w:customStyle="1" w:styleId="110">
    <w:name w:val="7"/>
    <w:basedOn w:val="1"/>
    <w:qFormat/>
    <w:uiPriority w:val="99"/>
    <w:rPr>
      <w:rFonts w:ascii="Times New Roman" w:hAnsi="Times New Roman"/>
      <w:szCs w:val="24"/>
    </w:rPr>
  </w:style>
  <w:style w:type="paragraph" w:customStyle="1" w:styleId="111">
    <w:name w:val="标准正文"/>
    <w:basedOn w:val="1"/>
    <w:qFormat/>
    <w:uiPriority w:val="99"/>
    <w:pPr>
      <w:spacing w:before="60" w:after="60" w:line="360" w:lineRule="auto"/>
      <w:ind w:firstLine="482" w:firstLineChars="200"/>
    </w:pPr>
    <w:rPr>
      <w:rFonts w:ascii="Arial" w:hAnsi="Arial"/>
      <w:b/>
      <w:sz w:val="24"/>
      <w:szCs w:val="20"/>
    </w:rPr>
  </w:style>
  <w:style w:type="paragraph" w:customStyle="1" w:styleId="112">
    <w:name w:val="样式 行距: 1.5 倍行距"/>
    <w:basedOn w:val="1"/>
    <w:qFormat/>
    <w:uiPriority w:val="99"/>
    <w:pPr>
      <w:numPr>
        <w:ilvl w:val="0"/>
        <w:numId w:val="1"/>
      </w:numPr>
      <w:spacing w:line="360" w:lineRule="auto"/>
    </w:pPr>
    <w:rPr>
      <w:rFonts w:ascii="Times New Roman" w:hAnsi="Times New Roman" w:eastAsia="楷体_GB2312"/>
      <w:sz w:val="24"/>
      <w:szCs w:val="20"/>
    </w:rPr>
  </w:style>
  <w:style w:type="paragraph" w:customStyle="1" w:styleId="113">
    <w:name w:val="样式3"/>
    <w:basedOn w:val="20"/>
    <w:qFormat/>
    <w:uiPriority w:val="99"/>
    <w:pPr>
      <w:adjustRightInd/>
      <w:snapToGrid/>
      <w:spacing w:line="240" w:lineRule="atLeast"/>
      <w:outlineLvl w:val="0"/>
    </w:pPr>
    <w:rPr>
      <w:sz w:val="28"/>
    </w:rPr>
  </w:style>
  <w:style w:type="paragraph" w:customStyle="1" w:styleId="114">
    <w:name w:val="@"/>
    <w:basedOn w:val="1"/>
    <w:qFormat/>
    <w:uiPriority w:val="99"/>
    <w:pPr>
      <w:numPr>
        <w:ilvl w:val="0"/>
        <w:numId w:val="2"/>
      </w:numPr>
      <w:spacing w:line="360" w:lineRule="auto"/>
    </w:pPr>
    <w:rPr>
      <w:rFonts w:ascii="Times New Roman" w:hAnsi="Times New Roman"/>
      <w:sz w:val="24"/>
      <w:szCs w:val="24"/>
    </w:rPr>
  </w:style>
  <w:style w:type="paragraph" w:customStyle="1" w:styleId="115">
    <w:name w:val="Style8"/>
    <w:basedOn w:val="1"/>
    <w:qFormat/>
    <w:uiPriority w:val="99"/>
    <w:pPr>
      <w:numPr>
        <w:ilvl w:val="0"/>
        <w:numId w:val="3"/>
      </w:numPr>
      <w:spacing w:beforeLines="50" w:afterLines="50" w:line="276" w:lineRule="auto"/>
    </w:pPr>
    <w:rPr>
      <w:rFonts w:ascii="Arial" w:hAnsi="Arial"/>
      <w:sz w:val="24"/>
      <w:szCs w:val="24"/>
    </w:rPr>
  </w:style>
  <w:style w:type="paragraph" w:customStyle="1" w:styleId="116">
    <w:name w:val="MM Topic 1"/>
    <w:basedOn w:val="3"/>
    <w:qFormat/>
    <w:uiPriority w:val="99"/>
    <w:pPr>
      <w:numPr>
        <w:ilvl w:val="0"/>
        <w:numId w:val="4"/>
      </w:numPr>
      <w:spacing w:before="340" w:after="330" w:line="578" w:lineRule="auto"/>
      <w:jc w:val="both"/>
    </w:pPr>
    <w:rPr>
      <w:rFonts w:ascii="Times New Roman" w:hAnsi="Times New Roman"/>
      <w:sz w:val="44"/>
      <w:szCs w:val="44"/>
    </w:rPr>
  </w:style>
  <w:style w:type="paragraph" w:customStyle="1" w:styleId="117">
    <w:name w:val="MM Topic 2"/>
    <w:basedOn w:val="4"/>
    <w:qFormat/>
    <w:uiPriority w:val="99"/>
    <w:pPr>
      <w:numPr>
        <w:ilvl w:val="1"/>
        <w:numId w:val="4"/>
      </w:numPr>
      <w:spacing w:before="260" w:after="260" w:line="416" w:lineRule="auto"/>
    </w:pPr>
    <w:rPr>
      <w:rFonts w:ascii="Arial" w:hAnsi="Arial" w:eastAsia="黑体"/>
      <w:sz w:val="32"/>
    </w:rPr>
  </w:style>
  <w:style w:type="paragraph" w:customStyle="1" w:styleId="118">
    <w:name w:val="MM Topic 3"/>
    <w:basedOn w:val="5"/>
    <w:qFormat/>
    <w:uiPriority w:val="99"/>
    <w:pPr>
      <w:numPr>
        <w:ilvl w:val="2"/>
        <w:numId w:val="4"/>
      </w:numPr>
      <w:ind w:left="0"/>
    </w:pPr>
    <w:rPr>
      <w:rFonts w:ascii="Times New Roman" w:hAnsi="Times New Roman" w:cs="Times New Roman"/>
    </w:rPr>
  </w:style>
  <w:style w:type="paragraph" w:customStyle="1" w:styleId="119">
    <w:name w:val="MM Topic 4"/>
    <w:basedOn w:val="6"/>
    <w:qFormat/>
    <w:uiPriority w:val="99"/>
    <w:pPr>
      <w:numPr>
        <w:ilvl w:val="3"/>
        <w:numId w:val="4"/>
      </w:numPr>
    </w:pPr>
    <w:rPr>
      <w:rFonts w:ascii="Arial" w:hAnsi="Arial" w:eastAsia="黑体"/>
    </w:rPr>
  </w:style>
  <w:style w:type="paragraph" w:customStyle="1" w:styleId="120">
    <w:name w:val="样式 标题 3标题 3my第二层条第三层h3H3l3CTLevel 3 Topic HeadingHeadin..."/>
    <w:basedOn w:val="5"/>
    <w:qFormat/>
    <w:uiPriority w:val="99"/>
    <w:pPr>
      <w:tabs>
        <w:tab w:val="left" w:pos="2160"/>
      </w:tabs>
      <w:suppressAutoHyphens/>
      <w:adjustRightInd w:val="0"/>
      <w:ind w:hanging="360"/>
      <w:jc w:val="left"/>
      <w:textAlignment w:val="baseline"/>
    </w:pPr>
    <w:rPr>
      <w:rFonts w:ascii="黑体" w:eastAsia="黑体" w:cs="Times New Roman"/>
      <w:b w:val="0"/>
      <w:bCs w:val="0"/>
      <w:color w:val="000000"/>
    </w:rPr>
  </w:style>
  <w:style w:type="paragraph" w:customStyle="1" w:styleId="121">
    <w:name w:val="Char Char Char Char Char Char Char"/>
    <w:basedOn w:val="1"/>
    <w:qFormat/>
    <w:uiPriority w:val="99"/>
    <w:pPr>
      <w:spacing w:line="360" w:lineRule="auto"/>
    </w:pPr>
    <w:rPr>
      <w:rFonts w:ascii="Tahoma" w:hAnsi="Tahoma"/>
      <w:sz w:val="24"/>
      <w:szCs w:val="20"/>
    </w:rPr>
  </w:style>
  <w:style w:type="paragraph" w:customStyle="1" w:styleId="122">
    <w:name w:val="Char1"/>
    <w:basedOn w:val="1"/>
    <w:qFormat/>
    <w:uiPriority w:val="99"/>
    <w:pPr>
      <w:spacing w:line="360" w:lineRule="auto"/>
    </w:pPr>
    <w:rPr>
      <w:rFonts w:ascii="Tahoma" w:hAnsi="Tahoma" w:cs="仿宋_GB2312"/>
      <w:szCs w:val="20"/>
    </w:rPr>
  </w:style>
  <w:style w:type="paragraph" w:customStyle="1" w:styleId="123">
    <w:name w:val="Char Char Char Char Char Char Char Char Char Char Char Char Char Char Char Char Char Char Char Char Char1 Char"/>
    <w:basedOn w:val="1"/>
    <w:qFormat/>
    <w:uiPriority w:val="99"/>
    <w:pPr>
      <w:widowControl/>
      <w:spacing w:after="160" w:line="240" w:lineRule="exact"/>
      <w:jc w:val="left"/>
    </w:pPr>
    <w:rPr>
      <w:rFonts w:ascii="Verdana" w:hAnsi="Verdana" w:eastAsia="仿宋_GB2312"/>
      <w:color w:val="000000"/>
      <w:kern w:val="0"/>
      <w:sz w:val="24"/>
      <w:szCs w:val="20"/>
      <w:lang w:eastAsia="en-US"/>
    </w:rPr>
  </w:style>
  <w:style w:type="paragraph" w:customStyle="1" w:styleId="124">
    <w:name w:val="样式"/>
    <w:qFormat/>
    <w:uiPriority w:val="99"/>
    <w:pPr>
      <w:widowControl w:val="0"/>
      <w:suppressAutoHyphens/>
      <w:autoSpaceDE w:val="0"/>
    </w:pPr>
    <w:rPr>
      <w:rFonts w:ascii="宋体" w:hAnsi="宋体" w:eastAsia="宋体" w:cs="宋体"/>
      <w:kern w:val="0"/>
      <w:sz w:val="24"/>
      <w:szCs w:val="24"/>
      <w:lang w:val="en-US" w:eastAsia="ar-SA" w:bidi="ar-SA"/>
    </w:rPr>
  </w:style>
  <w:style w:type="character" w:customStyle="1" w:styleId="125">
    <w:name w:val="样式 标题 1 +1 Char Char"/>
    <w:basedOn w:val="38"/>
    <w:qFormat/>
    <w:uiPriority w:val="99"/>
    <w:rPr>
      <w:rFonts w:eastAsia="宋体" w:cs="Times New Roman"/>
      <w:b/>
      <w:bCs/>
      <w:sz w:val="44"/>
      <w:szCs w:val="44"/>
      <w:lang w:val="en-US" w:eastAsia="zh-CN" w:bidi="ar-SA"/>
    </w:rPr>
  </w:style>
  <w:style w:type="paragraph" w:customStyle="1" w:styleId="126">
    <w:name w:val="列出段落1"/>
    <w:basedOn w:val="1"/>
    <w:link w:val="151"/>
    <w:qFormat/>
    <w:uiPriority w:val="99"/>
    <w:pPr>
      <w:ind w:firstLine="420" w:firstLineChars="200"/>
    </w:pPr>
    <w:rPr>
      <w:sz w:val="24"/>
      <w:szCs w:val="20"/>
    </w:rPr>
  </w:style>
  <w:style w:type="paragraph" w:customStyle="1" w:styleId="127">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8">
    <w:name w:val="_Style 4"/>
    <w:qFormat/>
    <w:uiPriority w:val="99"/>
    <w:rPr>
      <w:rFonts w:ascii="Calibri" w:hAnsi="Calibri" w:eastAsia="宋体" w:cs="Times New Roman"/>
      <w:kern w:val="0"/>
      <w:sz w:val="22"/>
      <w:szCs w:val="22"/>
      <w:lang w:val="en-US" w:eastAsia="zh-CN" w:bidi="ar-SA"/>
    </w:rPr>
  </w:style>
  <w:style w:type="character" w:customStyle="1" w:styleId="129">
    <w:name w:val="apple-converted-space"/>
    <w:basedOn w:val="38"/>
    <w:qFormat/>
    <w:uiPriority w:val="99"/>
    <w:rPr>
      <w:rFonts w:cs="Times New Roman"/>
    </w:rPr>
  </w:style>
  <w:style w:type="paragraph" w:customStyle="1" w:styleId="130">
    <w:name w:val="1"/>
    <w:basedOn w:val="1"/>
    <w:next w:val="1"/>
    <w:qFormat/>
    <w:uiPriority w:val="99"/>
    <w:rPr>
      <w:rFonts w:ascii="Times New Roman" w:hAnsi="Times New Roman"/>
      <w:szCs w:val="24"/>
    </w:rPr>
  </w:style>
  <w:style w:type="paragraph" w:customStyle="1" w:styleId="131">
    <w:name w:val="Table Paragraph"/>
    <w:basedOn w:val="1"/>
    <w:qFormat/>
    <w:uiPriority w:val="99"/>
    <w:pPr>
      <w:jc w:val="left"/>
    </w:pPr>
    <w:rPr>
      <w:kern w:val="0"/>
      <w:sz w:val="22"/>
      <w:lang w:eastAsia="en-US"/>
    </w:rPr>
  </w:style>
  <w:style w:type="character" w:customStyle="1" w:styleId="132">
    <w:name w:val="占位符文本1"/>
    <w:semiHidden/>
    <w:qFormat/>
    <w:uiPriority w:val="99"/>
    <w:rPr>
      <w:color w:val="808080"/>
    </w:rPr>
  </w:style>
  <w:style w:type="character" w:customStyle="1" w:styleId="133">
    <w:name w:val="Char Char10"/>
    <w:semiHidden/>
    <w:qFormat/>
    <w:uiPriority w:val="99"/>
    <w:rPr>
      <w:rFonts w:ascii="Cambria" w:hAnsi="Cambria" w:eastAsia="宋体"/>
      <w:b/>
      <w:kern w:val="2"/>
      <w:sz w:val="24"/>
    </w:rPr>
  </w:style>
  <w:style w:type="character" w:customStyle="1" w:styleId="134">
    <w:name w:val="Char Char7"/>
    <w:semiHidden/>
    <w:qFormat/>
    <w:uiPriority w:val="99"/>
    <w:rPr>
      <w:rFonts w:ascii="Cambria" w:hAnsi="Cambria" w:eastAsia="宋体"/>
      <w:kern w:val="2"/>
      <w:sz w:val="21"/>
    </w:rPr>
  </w:style>
  <w:style w:type="character" w:customStyle="1" w:styleId="135">
    <w:name w:val="二级 Char"/>
    <w:link w:val="136"/>
    <w:qFormat/>
    <w:locked/>
    <w:uiPriority w:val="99"/>
    <w:rPr>
      <w:rFonts w:ascii="宋体" w:hAnsi="宋体" w:eastAsia="宋体"/>
      <w:b/>
      <w:sz w:val="28"/>
    </w:rPr>
  </w:style>
  <w:style w:type="paragraph" w:customStyle="1" w:styleId="136">
    <w:name w:val="二级"/>
    <w:basedOn w:val="4"/>
    <w:link w:val="135"/>
    <w:qFormat/>
    <w:uiPriority w:val="99"/>
    <w:pPr>
      <w:spacing w:before="260" w:after="260" w:line="416" w:lineRule="auto"/>
    </w:pPr>
    <w:rPr>
      <w:rFonts w:ascii="宋体" w:hAnsi="宋体"/>
      <w:bCs w:val="0"/>
      <w:kern w:val="0"/>
      <w:szCs w:val="20"/>
    </w:rPr>
  </w:style>
  <w:style w:type="character" w:customStyle="1" w:styleId="137">
    <w:name w:val="4 级标题 Char"/>
    <w:link w:val="138"/>
    <w:qFormat/>
    <w:locked/>
    <w:uiPriority w:val="99"/>
    <w:rPr>
      <w:rFonts w:ascii="Arial" w:hAnsi="Arial" w:eastAsia="宋体"/>
      <w:b/>
      <w:kern w:val="2"/>
      <w:sz w:val="28"/>
    </w:rPr>
  </w:style>
  <w:style w:type="paragraph" w:customStyle="1" w:styleId="138">
    <w:name w:val="4 级标题"/>
    <w:basedOn w:val="6"/>
    <w:link w:val="137"/>
    <w:qFormat/>
    <w:uiPriority w:val="99"/>
    <w:pPr>
      <w:spacing w:before="120" w:after="120" w:line="360" w:lineRule="auto"/>
      <w:ind w:right="27" w:rightChars="13"/>
      <w:jc w:val="left"/>
    </w:pPr>
    <w:rPr>
      <w:rFonts w:ascii="Arial" w:hAnsi="Arial"/>
      <w:bCs w:val="0"/>
      <w:szCs w:val="20"/>
    </w:rPr>
  </w:style>
  <w:style w:type="character" w:customStyle="1" w:styleId="139">
    <w:name w:val="明显强调1"/>
    <w:qFormat/>
    <w:uiPriority w:val="99"/>
    <w:rPr>
      <w:b/>
      <w:i/>
      <w:color w:val="4F81BD"/>
    </w:rPr>
  </w:style>
  <w:style w:type="character" w:customStyle="1" w:styleId="140">
    <w:name w:val="列出段落 Char"/>
    <w:link w:val="141"/>
    <w:qFormat/>
    <w:locked/>
    <w:uiPriority w:val="99"/>
    <w:rPr>
      <w:rFonts w:ascii="Calibri" w:hAnsi="Calibri" w:eastAsia="宋体"/>
      <w:kern w:val="2"/>
      <w:sz w:val="21"/>
      <w:lang w:val="en-US" w:eastAsia="zh-CN"/>
    </w:rPr>
  </w:style>
  <w:style w:type="paragraph" w:customStyle="1" w:styleId="141">
    <w:name w:val="列表段落"/>
    <w:basedOn w:val="1"/>
    <w:link w:val="140"/>
    <w:qFormat/>
    <w:uiPriority w:val="99"/>
    <w:pPr>
      <w:ind w:firstLine="420" w:firstLineChars="200"/>
    </w:pPr>
    <w:rPr>
      <w:szCs w:val="20"/>
    </w:rPr>
  </w:style>
  <w:style w:type="character" w:customStyle="1" w:styleId="142">
    <w:name w:val="Char Char15"/>
    <w:qFormat/>
    <w:uiPriority w:val="99"/>
    <w:rPr>
      <w:rFonts w:ascii="Times New Roman" w:hAnsi="Times New Roman"/>
      <w:b/>
      <w:kern w:val="44"/>
      <w:sz w:val="44"/>
    </w:rPr>
  </w:style>
  <w:style w:type="character" w:customStyle="1" w:styleId="143">
    <w:name w:val="Char Char6"/>
    <w:basedOn w:val="38"/>
    <w:semiHidden/>
    <w:qFormat/>
    <w:uiPriority w:val="99"/>
    <w:rPr>
      <w:rFonts w:cs="Times New Roman"/>
    </w:rPr>
  </w:style>
  <w:style w:type="character" w:customStyle="1" w:styleId="144">
    <w:name w:val="Char Char13"/>
    <w:qFormat/>
    <w:uiPriority w:val="99"/>
    <w:rPr>
      <w:rFonts w:ascii="Times New Roman" w:hAnsi="Times New Roman" w:eastAsia="宋体"/>
      <w:b/>
      <w:kern w:val="2"/>
      <w:sz w:val="32"/>
    </w:rPr>
  </w:style>
  <w:style w:type="character" w:customStyle="1" w:styleId="145">
    <w:name w:val="标题 Char"/>
    <w:link w:val="32"/>
    <w:qFormat/>
    <w:locked/>
    <w:uiPriority w:val="99"/>
    <w:rPr>
      <w:rFonts w:ascii="Arial" w:hAnsi="Arial" w:eastAsia="宋体"/>
      <w:b/>
      <w:kern w:val="2"/>
      <w:sz w:val="22"/>
      <w:lang w:val="en-US" w:eastAsia="zh-CN"/>
    </w:rPr>
  </w:style>
  <w:style w:type="character" w:customStyle="1" w:styleId="146">
    <w:name w:val="Char Char11"/>
    <w:qFormat/>
    <w:uiPriority w:val="99"/>
    <w:rPr>
      <w:rFonts w:ascii="Times New Roman" w:hAnsi="Times New Roman" w:eastAsia="宋体"/>
      <w:b/>
      <w:kern w:val="2"/>
      <w:sz w:val="28"/>
    </w:rPr>
  </w:style>
  <w:style w:type="character" w:customStyle="1" w:styleId="147">
    <w:name w:val="Char Char8"/>
    <w:semiHidden/>
    <w:qFormat/>
    <w:uiPriority w:val="99"/>
    <w:rPr>
      <w:rFonts w:ascii="Cambria" w:hAnsi="Cambria" w:eastAsia="宋体"/>
      <w:kern w:val="2"/>
      <w:sz w:val="24"/>
    </w:rPr>
  </w:style>
  <w:style w:type="character" w:customStyle="1" w:styleId="148">
    <w:name w:val="段 Char"/>
    <w:link w:val="149"/>
    <w:qFormat/>
    <w:locked/>
    <w:uiPriority w:val="99"/>
    <w:rPr>
      <w:rFonts w:ascii="宋体" w:hAnsi="Times New Roman" w:eastAsia="Times New Roman"/>
      <w:sz w:val="21"/>
      <w:lang w:val="en-US" w:eastAsia="zh-CN"/>
    </w:rPr>
  </w:style>
  <w:style w:type="paragraph" w:customStyle="1" w:styleId="149">
    <w:name w:val="段"/>
    <w:link w:val="148"/>
    <w:qFormat/>
    <w:uiPriority w:val="99"/>
    <w:pPr>
      <w:autoSpaceDE w:val="0"/>
      <w:autoSpaceDN w:val="0"/>
      <w:ind w:firstLine="200" w:firstLineChars="200"/>
      <w:jc w:val="both"/>
    </w:pPr>
    <w:rPr>
      <w:rFonts w:ascii="宋体" w:hAnsi="Times New Roman" w:eastAsia="Times New Roman" w:cs="Times New Roman"/>
      <w:kern w:val="0"/>
      <w:sz w:val="21"/>
      <w:szCs w:val="20"/>
      <w:lang w:val="en-US" w:eastAsia="zh-CN" w:bidi="ar-SA"/>
    </w:rPr>
  </w:style>
  <w:style w:type="character" w:customStyle="1" w:styleId="150">
    <w:name w:val="Char Char5"/>
    <w:qFormat/>
    <w:uiPriority w:val="99"/>
    <w:rPr>
      <w:rFonts w:ascii="宋体" w:hAnsi="Courier New" w:eastAsia="宋体"/>
      <w:kern w:val="2"/>
      <w:sz w:val="28"/>
    </w:rPr>
  </w:style>
  <w:style w:type="character" w:customStyle="1" w:styleId="151">
    <w:name w:val="列出段落 Char Char"/>
    <w:link w:val="126"/>
    <w:qFormat/>
    <w:locked/>
    <w:uiPriority w:val="99"/>
    <w:rPr>
      <w:rFonts w:eastAsia="宋体"/>
      <w:kern w:val="2"/>
      <w:sz w:val="24"/>
      <w:lang w:val="en-US" w:eastAsia="zh-CN"/>
    </w:rPr>
  </w:style>
  <w:style w:type="character" w:customStyle="1" w:styleId="152">
    <w:name w:val="正文内容 Char"/>
    <w:link w:val="153"/>
    <w:qFormat/>
    <w:locked/>
    <w:uiPriority w:val="99"/>
    <w:rPr>
      <w:rFonts w:eastAsia="宋体"/>
      <w:kern w:val="2"/>
      <w:sz w:val="24"/>
    </w:rPr>
  </w:style>
  <w:style w:type="paragraph" w:customStyle="1" w:styleId="153">
    <w:name w:val="正文内容"/>
    <w:basedOn w:val="1"/>
    <w:link w:val="152"/>
    <w:qFormat/>
    <w:uiPriority w:val="99"/>
    <w:pPr>
      <w:spacing w:line="360" w:lineRule="auto"/>
      <w:ind w:firstLine="420"/>
    </w:pPr>
    <w:rPr>
      <w:sz w:val="24"/>
      <w:szCs w:val="20"/>
    </w:rPr>
  </w:style>
  <w:style w:type="character" w:customStyle="1" w:styleId="154">
    <w:name w:val="Char Char4"/>
    <w:semiHidden/>
    <w:qFormat/>
    <w:uiPriority w:val="99"/>
    <w:rPr>
      <w:sz w:val="18"/>
    </w:rPr>
  </w:style>
  <w:style w:type="character" w:customStyle="1" w:styleId="155">
    <w:name w:val="Char Char12"/>
    <w:qFormat/>
    <w:uiPriority w:val="99"/>
    <w:rPr>
      <w:rFonts w:ascii="Times New Roman" w:hAnsi="Times New Roman" w:eastAsia="宋体"/>
      <w:b/>
      <w:kern w:val="2"/>
      <w:sz w:val="28"/>
    </w:rPr>
  </w:style>
  <w:style w:type="character" w:customStyle="1" w:styleId="156">
    <w:name w:val="Char Char16"/>
    <w:qFormat/>
    <w:uiPriority w:val="99"/>
    <w:rPr>
      <w:sz w:val="18"/>
    </w:rPr>
  </w:style>
  <w:style w:type="character" w:customStyle="1" w:styleId="157">
    <w:name w:val="Char Char31"/>
    <w:qFormat/>
    <w:uiPriority w:val="99"/>
    <w:rPr>
      <w:sz w:val="18"/>
    </w:rPr>
  </w:style>
  <w:style w:type="character" w:customStyle="1" w:styleId="158">
    <w:name w:val="Char Char14"/>
    <w:qFormat/>
    <w:uiPriority w:val="99"/>
    <w:rPr>
      <w:rFonts w:ascii="Times New Roman" w:hAnsi="Times New Roman" w:eastAsia="宋体"/>
      <w:b/>
      <w:kern w:val="2"/>
      <w:sz w:val="32"/>
    </w:rPr>
  </w:style>
  <w:style w:type="character" w:customStyle="1" w:styleId="159">
    <w:name w:val="Body Text First Indent 2 Char1"/>
    <w:qFormat/>
    <w:locked/>
    <w:uiPriority w:val="99"/>
    <w:rPr>
      <w:rFonts w:eastAsia="宋体"/>
      <w:sz w:val="24"/>
    </w:rPr>
  </w:style>
  <w:style w:type="character" w:customStyle="1" w:styleId="160">
    <w:name w:val="Char Char9"/>
    <w:semiHidden/>
    <w:qFormat/>
    <w:uiPriority w:val="99"/>
    <w:rPr>
      <w:b/>
      <w:kern w:val="2"/>
      <w:sz w:val="24"/>
    </w:rPr>
  </w:style>
  <w:style w:type="character" w:customStyle="1" w:styleId="161">
    <w:name w:val="二级条标题 Char"/>
    <w:link w:val="162"/>
    <w:qFormat/>
    <w:locked/>
    <w:uiPriority w:val="99"/>
    <w:rPr>
      <w:rFonts w:ascii="黑体" w:eastAsia="黑体"/>
      <w:sz w:val="21"/>
    </w:rPr>
  </w:style>
  <w:style w:type="paragraph" w:customStyle="1" w:styleId="162">
    <w:name w:val="二级条标题"/>
    <w:basedOn w:val="1"/>
    <w:next w:val="149"/>
    <w:link w:val="161"/>
    <w:qFormat/>
    <w:uiPriority w:val="99"/>
    <w:pPr>
      <w:widowControl/>
      <w:tabs>
        <w:tab w:val="left" w:pos="2160"/>
      </w:tabs>
      <w:spacing w:line="360" w:lineRule="auto"/>
      <w:ind w:hanging="420" w:firstLineChars="200"/>
      <w:contextualSpacing/>
      <w:outlineLvl w:val="3"/>
    </w:pPr>
    <w:rPr>
      <w:rFonts w:ascii="黑体" w:eastAsia="黑体"/>
      <w:kern w:val="0"/>
      <w:szCs w:val="20"/>
    </w:rPr>
  </w:style>
  <w:style w:type="character" w:customStyle="1" w:styleId="163">
    <w:name w:val="5 级标题 Char"/>
    <w:link w:val="164"/>
    <w:qFormat/>
    <w:locked/>
    <w:uiPriority w:val="99"/>
    <w:rPr>
      <w:rFonts w:eastAsia="宋体"/>
      <w:b/>
      <w:kern w:val="2"/>
      <w:sz w:val="28"/>
    </w:rPr>
  </w:style>
  <w:style w:type="paragraph" w:customStyle="1" w:styleId="164">
    <w:name w:val="5 级标题"/>
    <w:basedOn w:val="7"/>
    <w:link w:val="163"/>
    <w:qFormat/>
    <w:uiPriority w:val="99"/>
    <w:pPr>
      <w:tabs>
        <w:tab w:val="clear" w:pos="0"/>
      </w:tabs>
      <w:adjustRightInd/>
      <w:spacing w:before="120" w:after="120"/>
      <w:ind w:right="27" w:rightChars="13"/>
      <w:textAlignment w:val="auto"/>
    </w:pPr>
    <w:rPr>
      <w:rFonts w:ascii="Calibri" w:hAnsi="Calibri"/>
      <w:b/>
      <w:kern w:val="2"/>
      <w:sz w:val="28"/>
    </w:rPr>
  </w:style>
  <w:style w:type="paragraph" w:customStyle="1" w:styleId="165">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66">
    <w:name w:val="列表段落 字符"/>
    <w:qFormat/>
    <w:locked/>
    <w:uiPriority w:val="99"/>
  </w:style>
  <w:style w:type="character" w:customStyle="1" w:styleId="167">
    <w:name w:val="副标题 Char"/>
    <w:basedOn w:val="38"/>
    <w:link w:val="27"/>
    <w:qFormat/>
    <w:uiPriority w:val="0"/>
    <w:rPr>
      <w:rFonts w:ascii="Cambria" w:hAnsi="Cambria"/>
      <w:b/>
      <w:bCs/>
      <w:kern w:val="28"/>
      <w:sz w:val="32"/>
      <w:szCs w:val="32"/>
    </w:rPr>
  </w:style>
  <w:style w:type="paragraph" w:customStyle="1" w:styleId="168">
    <w:name w:val="样式 样式 首行缩进:  2 字符 + 首行缩进:  2 字符"/>
    <w:basedOn w:val="1"/>
    <w:qFormat/>
    <w:uiPriority w:val="0"/>
    <w:pPr>
      <w:widowControl/>
      <w:overflowPunct w:val="0"/>
      <w:autoSpaceDE w:val="0"/>
      <w:autoSpaceDN w:val="0"/>
      <w:adjustRightInd w:val="0"/>
      <w:spacing w:line="360" w:lineRule="auto"/>
      <w:ind w:firstLine="200" w:firstLineChars="200"/>
      <w:jc w:val="left"/>
      <w:textAlignment w:val="baseline"/>
    </w:pPr>
    <w:rPr>
      <w:rFonts w:ascii="Times New Roman" w:hAnsi="Times New Roman"/>
      <w:kern w:val="0"/>
      <w:sz w:val="20"/>
      <w:szCs w:val="20"/>
    </w:rPr>
  </w:style>
  <w:style w:type="paragraph" w:customStyle="1" w:styleId="169">
    <w:name w:val="xiao b"/>
    <w:basedOn w:val="1"/>
    <w:qFormat/>
    <w:uiPriority w:val="0"/>
    <w:pPr>
      <w:widowControl/>
      <w:overflowPunct w:val="0"/>
      <w:autoSpaceDE w:val="0"/>
      <w:autoSpaceDN w:val="0"/>
      <w:adjustRightInd w:val="0"/>
      <w:jc w:val="center"/>
      <w:textAlignment w:val="baseline"/>
    </w:pPr>
    <w:rPr>
      <w:rFonts w:ascii="Times New Roman" w:hAnsi="Times New Roman" w:eastAsia="黑体"/>
      <w:kern w:val="0"/>
      <w:sz w:val="24"/>
      <w:szCs w:val="20"/>
    </w:rPr>
  </w:style>
  <w:style w:type="character" w:customStyle="1" w:styleId="170">
    <w:name w:val="font61"/>
    <w:basedOn w:val="38"/>
    <w:qFormat/>
    <w:uiPriority w:val="0"/>
    <w:rPr>
      <w:rFonts w:hint="eastAsia" w:ascii="宋体" w:hAnsi="宋体" w:eastAsia="宋体" w:cs="宋体"/>
      <w:color w:val="000000"/>
      <w:sz w:val="24"/>
      <w:szCs w:val="24"/>
      <w:u w:val="none"/>
    </w:rPr>
  </w:style>
  <w:style w:type="character" w:customStyle="1" w:styleId="171">
    <w:name w:val="font41"/>
    <w:basedOn w:val="3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Documents%252525252525252525252525252520and%252525252525252525252525252520Settings/Administrator/My%252525252525252525252525252520Documents/Tencent%252525252525252525252525252520Files/348424112/Image/C2C/%25252525252525252525252525255b35@IDDQEUL@STM3E(G$%25252525252525252525252525257bUT.jpg" TargetMode="Externa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45</Pages>
  <Words>22845</Words>
  <Characters>23859</Characters>
  <Lines>34</Lines>
  <Paragraphs>54</Paragraphs>
  <TotalTime>1</TotalTime>
  <ScaleCrop>false</ScaleCrop>
  <LinksUpToDate>false</LinksUpToDate>
  <CharactersWithSpaces>24248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2018-05-10T04:17:00Z</dcterms:created>
  <dc:creator>Akay</dc:creator>
  <cp:lastModifiedBy>mEng</cp:lastModifiedBy>
  <cp:lastPrinted>2019-03-13T02:57:00Z</cp:lastPrinted>
  <dcterms:modified xsi:type="dcterms:W3CDTF">2022-12-03T07:13:09Z</dcterms:modified>
  <cp:revision>289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93C65A79829D45868D0E0CF7AE52C063</vt:lpwstr>
  </property>
</Properties>
</file>