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color w:val="auto"/>
          <w:sz w:val="32"/>
          <w:szCs w:val="32"/>
          <w:u w:val="none"/>
          <w:lang w:val="en-US" w:eastAsia="zh-CN"/>
        </w:rPr>
        <w:t xml:space="preserve">  昌吉州奇台县公共租赁住房（惠民一号、二号等小区）</w:t>
      </w:r>
    </w:p>
    <w:p>
      <w:pPr>
        <w:jc w:val="center"/>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color w:val="auto"/>
          <w:sz w:val="32"/>
          <w:szCs w:val="32"/>
          <w:u w:val="none"/>
          <w:lang w:val="en-US" w:eastAsia="zh-CN"/>
        </w:rPr>
        <w:t>配套基础设施建设项目（内配套）（监理）</w:t>
      </w:r>
    </w:p>
    <w:p>
      <w:pPr>
        <w:jc w:val="center"/>
        <w:rPr>
          <w:rFonts w:hint="eastAsia" w:asciiTheme="majorEastAsia" w:hAnsiTheme="majorEastAsia" w:eastAsiaTheme="majorEastAsia" w:cstheme="majorEastAsia"/>
          <w:b/>
          <w:bCs/>
          <w:color w:val="auto"/>
          <w:sz w:val="32"/>
          <w:szCs w:val="32"/>
          <w:u w:val="none"/>
          <w:lang w:eastAsia="zh-CN"/>
        </w:rPr>
      </w:pPr>
      <w:r>
        <w:rPr>
          <w:rFonts w:hint="eastAsia" w:asciiTheme="majorEastAsia" w:hAnsiTheme="majorEastAsia" w:eastAsiaTheme="majorEastAsia" w:cstheme="majorEastAsia"/>
          <w:b/>
          <w:bCs/>
          <w:color w:val="auto"/>
          <w:sz w:val="32"/>
          <w:szCs w:val="32"/>
          <w:u w:val="none"/>
          <w:lang w:eastAsia="zh-CN"/>
        </w:rPr>
        <w:t>采购公告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s="Times New Roman"/>
          <w:color w:val="auto"/>
          <w:kern w:val="2"/>
          <w:sz w:val="28"/>
          <w:szCs w:val="28"/>
          <w:lang w:val="en-US" w:eastAsia="zh-CN" w:bidi="ar-SA"/>
        </w:rPr>
        <w:t>新疆新华远景工程造价咨询有限公司受奇台县住房和城乡建设局的委托，就昌吉州奇台县公共租赁住房（惠民一号、二号等小区）配套基础设施建设项目（内配套）（监理）进行竞争性磋商采购，欢迎符合相关资质条件的供应商前来报名参与投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lang w:val="en-US" w:eastAsia="zh-CN"/>
        </w:rPr>
      </w:pPr>
      <w:r>
        <w:rPr>
          <w:rFonts w:hint="eastAsia" w:ascii="仿宋_GB2312" w:eastAsia="仿宋_GB2312"/>
          <w:b/>
          <w:color w:val="auto"/>
          <w:sz w:val="30"/>
          <w:szCs w:val="30"/>
          <w:lang w:eastAsia="zh-CN"/>
        </w:rPr>
        <w:t>一、项目名称：</w:t>
      </w:r>
      <w:r>
        <w:rPr>
          <w:rFonts w:hint="eastAsia" w:ascii="仿宋_GB2312" w:eastAsia="仿宋_GB2312" w:cs="Times New Roman"/>
          <w:color w:val="auto"/>
          <w:kern w:val="2"/>
          <w:sz w:val="28"/>
          <w:szCs w:val="28"/>
          <w:lang w:val="en-US" w:eastAsia="zh-CN" w:bidi="ar-SA"/>
        </w:rPr>
        <w:t>昌吉州奇台县公共租赁住房（惠民一号、二号等小区）配套基础设施建设项目（内配套）（监理）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二、项目编号：</w:t>
      </w:r>
      <w:r>
        <w:rPr>
          <w:rFonts w:hint="eastAsia" w:ascii="仿宋_GB2312" w:eastAsia="仿宋_GB2312" w:cs="Times New Roman"/>
          <w:color w:val="auto"/>
          <w:kern w:val="2"/>
          <w:sz w:val="28"/>
          <w:szCs w:val="28"/>
          <w:lang w:val="en-US" w:eastAsia="zh-CN" w:bidi="ar-SA"/>
        </w:rPr>
        <w:t>XHYJ-QTCG2022-093</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三、</w:t>
      </w:r>
      <w:r>
        <w:rPr>
          <w:rFonts w:hint="eastAsia" w:ascii="仿宋_GB2312" w:eastAsia="仿宋_GB2312"/>
          <w:b/>
          <w:color w:val="auto"/>
          <w:sz w:val="30"/>
          <w:szCs w:val="30"/>
        </w:rPr>
        <w:t>资金来源：</w:t>
      </w:r>
      <w:r>
        <w:rPr>
          <w:rFonts w:hint="eastAsia" w:ascii="仿宋_GB2312" w:hAnsi="Times New Roman" w:eastAsia="仿宋_GB2312" w:cs="Times New Roman"/>
          <w:color w:val="auto"/>
          <w:kern w:val="2"/>
          <w:sz w:val="28"/>
          <w:szCs w:val="28"/>
          <w:lang w:val="en-US" w:eastAsia="zh-CN" w:bidi="ar-SA"/>
        </w:rPr>
        <w:t>中央预算内资金及地方自筹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b/>
          <w:color w:val="auto"/>
          <w:sz w:val="30"/>
          <w:szCs w:val="30"/>
          <w:lang w:val="en-US" w:eastAsia="zh-CN"/>
        </w:rPr>
        <w:t xml:space="preserve"> </w:t>
      </w:r>
      <w:r>
        <w:rPr>
          <w:rFonts w:hint="eastAsia" w:ascii="仿宋_GB2312" w:eastAsia="仿宋_GB2312" w:cs="Times New Roman"/>
          <w:color w:val="auto"/>
          <w:kern w:val="2"/>
          <w:sz w:val="28"/>
          <w:szCs w:val="28"/>
          <w:lang w:val="en-US" w:eastAsia="zh-CN" w:bidi="ar-SA"/>
        </w:rPr>
        <w:t>213450万元。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FF0000"/>
          <w:sz w:val="28"/>
          <w:szCs w:val="28"/>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w:t>
      </w:r>
      <w:r>
        <w:rPr>
          <w:rFonts w:hint="eastAsia" w:ascii="仿宋_GB2312" w:eastAsia="仿宋_GB2312"/>
          <w:b/>
          <w:color w:val="auto"/>
          <w:sz w:val="30"/>
          <w:szCs w:val="30"/>
          <w:shd w:val="clear" w:color="auto" w:fill="auto"/>
        </w:rPr>
        <w:t>方式:</w:t>
      </w:r>
      <w:r>
        <w:rPr>
          <w:rFonts w:hint="eastAsia" w:ascii="仿宋_GB2312" w:eastAsia="仿宋_GB2312"/>
          <w:b/>
          <w:color w:val="auto"/>
          <w:sz w:val="30"/>
          <w:szCs w:val="30"/>
          <w:shd w:val="clear" w:color="auto" w:fill="auto"/>
          <w:lang w:val="en-US" w:eastAsia="zh-CN"/>
        </w:rPr>
        <w:t xml:space="preserve"> </w:t>
      </w:r>
      <w:r>
        <w:rPr>
          <w:rFonts w:hint="eastAsia" w:ascii="仿宋_GB2312" w:hAnsi="宋体" w:eastAsia="仿宋_GB2312" w:cs="Times New Roman"/>
          <w:b w:val="0"/>
          <w:bCs w:val="0"/>
          <w:color w:val="auto"/>
          <w:sz w:val="28"/>
          <w:szCs w:val="28"/>
          <w:shd w:val="clear" w:color="auto" w:fill="auto"/>
          <w:lang w:val="en-US" w:eastAsia="zh-CN"/>
        </w:rPr>
        <w:t>根据施工进度支付，最终以合同签订为准。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供应商参加本次政府采购活动应当具备《中华人民共和国政府采购法》第二十二条规定的条件，并提供下列材料：</w:t>
      </w:r>
    </w:p>
    <w:p>
      <w:pPr>
        <w:ind w:firstLine="548" w:firstLineChars="196"/>
        <w:rPr>
          <w:rFonts w:hint="eastAsia" w:ascii="仿宋_GB2312" w:eastAsia="仿宋_GB2312"/>
          <w:sz w:val="28"/>
          <w:szCs w:val="28"/>
        </w:rPr>
      </w:pPr>
      <w:r>
        <w:rPr>
          <w:rFonts w:hint="eastAsia" w:ascii="仿宋_GB2312" w:eastAsia="仿宋_GB2312"/>
          <w:sz w:val="28"/>
          <w:szCs w:val="28"/>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firstLine="548" w:firstLineChars="196"/>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投标单位需具备</w:t>
      </w:r>
      <w:r>
        <w:rPr>
          <w:rFonts w:hint="eastAsia" w:ascii="仿宋_GB2312" w:eastAsia="仿宋_GB2312"/>
          <w:color w:val="auto"/>
          <w:sz w:val="28"/>
          <w:szCs w:val="28"/>
          <w:lang w:val="en-US" w:eastAsia="zh-CN"/>
        </w:rPr>
        <w:t>工程监理市政乙级（含）及以上资质或工程监理综合资质。</w:t>
      </w:r>
    </w:p>
    <w:p>
      <w:pPr>
        <w:ind w:firstLine="56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28"/>
          <w:szCs w:val="28"/>
          <w:lang w:val="en-US" w:eastAsia="zh-CN"/>
        </w:rPr>
        <w:t>3、本项目不接受联合体投标，其他要求详见招标文件 </w:t>
      </w:r>
      <w:r>
        <w:rPr>
          <w:rFonts w:hint="eastAsia" w:ascii="仿宋_GB2312" w:hAnsi="Times New Roman" w:eastAsia="仿宋_GB2312" w:cs="Times New Roman"/>
          <w:sz w:val="32"/>
          <w:szCs w:val="32"/>
          <w:lang w:val="en-US" w:eastAsia="zh-CN"/>
        </w:rPr>
        <w:t>。</w:t>
      </w:r>
    </w:p>
    <w:p>
      <w:pPr>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）政府采购严重违法失信行为记录名单中被财政部门禁止参加政府采购活动的供应商（处罚决定规定的时间和地域范围内），提供查询结果打印件（加盖企业公章）。</w:t>
      </w:r>
    </w:p>
    <w:p>
      <w:pPr>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5、投标人须提供在“中国裁判文书网”上查询的行贿犯罪档案告知函（须查询单位和其法定代表人，查询结果截图加盖单位公章）。</w:t>
      </w:r>
    </w:p>
    <w:p>
      <w:pPr>
        <w:ind w:firstLine="56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28"/>
          <w:szCs w:val="28"/>
          <w:lang w:val="en-US" w:eastAsia="zh-CN"/>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七、具体技术要求：</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项目建设规模及主要建设内容：改造燃气管网22350米（包括阀井、调压箱等），燃气报警装置2235套，供水管网2080米，排水管网2170米，供热管网4150米。（具体内容及参数详见招标文件）</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八、售后服务要求: </w:t>
      </w:r>
    </w:p>
    <w:p>
      <w:pPr>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1、监理单位：应该提供项目前期咨询服务，全过程跟进、督促、规范、核查项目实施工作，协助业主单位组织验收，督促承建单位整改。协助按照进度计划，对实际进行分析，确定工期按照合同工期交付使用。</w:t>
      </w:r>
    </w:p>
    <w:p>
      <w:pPr>
        <w:ind w:firstLine="560" w:firstLineChars="200"/>
        <w:rPr>
          <w:rFonts w:hint="eastAsia" w:ascii="仿宋_GB2312" w:eastAsia="仿宋_GB2312"/>
          <w:sz w:val="30"/>
          <w:szCs w:val="30"/>
          <w:lang w:val="en-US" w:eastAsia="zh-CN"/>
        </w:rPr>
      </w:pPr>
      <w:r>
        <w:rPr>
          <w:rFonts w:hint="eastAsia" w:ascii="仿宋" w:hAnsi="仿宋" w:eastAsia="仿宋" w:cs="仿宋"/>
          <w:b w:val="0"/>
          <w:bCs w:val="0"/>
          <w:color w:val="000000"/>
          <w:kern w:val="2"/>
          <w:sz w:val="28"/>
          <w:szCs w:val="28"/>
          <w:lang w:val="en-US" w:eastAsia="zh-CN" w:bidi="ar-SA"/>
        </w:rPr>
        <w:t>2、项目须单独出具报告。</w:t>
      </w:r>
      <w:r>
        <w:rPr>
          <w:rFonts w:hint="eastAsia" w:ascii="仿宋_GB2312" w:eastAsia="仿宋_GB2312"/>
          <w:sz w:val="30"/>
          <w:szCs w:val="30"/>
          <w:lang w:val="en-US" w:eastAsia="zh-CN"/>
        </w:rPr>
        <w:t xml:space="preserve"> </w:t>
      </w:r>
    </w:p>
    <w:p>
      <w:pPr>
        <w:numPr>
          <w:ilvl w:val="0"/>
          <w:numId w:val="0"/>
        </w:numPr>
        <w:tabs>
          <w:tab w:val="left" w:pos="276"/>
        </w:tabs>
        <w:rPr>
          <w:rFonts w:hint="eastAsia" w:ascii="仿宋_GB2312" w:eastAsia="仿宋_GB2312"/>
          <w:color w:val="auto"/>
          <w:sz w:val="28"/>
          <w:szCs w:val="28"/>
        </w:rPr>
      </w:pPr>
      <w:r>
        <w:rPr>
          <w:rFonts w:hint="eastAsia" w:ascii="仿宋_GB2312" w:eastAsia="仿宋_GB2312"/>
          <w:b/>
          <w:bCs/>
          <w:sz w:val="30"/>
          <w:szCs w:val="30"/>
          <w:lang w:val="en-US" w:eastAsia="zh-CN"/>
        </w:rPr>
        <w:t>九、</w:t>
      </w:r>
      <w:r>
        <w:rPr>
          <w:rFonts w:hint="eastAsia" w:ascii="仿宋_GB2312" w:eastAsia="仿宋_GB2312"/>
          <w:b/>
          <w:color w:val="auto"/>
          <w:sz w:val="28"/>
          <w:szCs w:val="28"/>
          <w:lang w:eastAsia="zh-CN"/>
        </w:rPr>
        <w:t>工</w:t>
      </w:r>
      <w:r>
        <w:rPr>
          <w:rFonts w:hint="eastAsia" w:ascii="仿宋_GB2312" w:eastAsia="仿宋_GB2312"/>
          <w:b/>
          <w:color w:val="auto"/>
          <w:sz w:val="28"/>
          <w:szCs w:val="28"/>
        </w:rPr>
        <w:t>期：</w:t>
      </w:r>
      <w:r>
        <w:rPr>
          <w:rFonts w:hint="eastAsia" w:ascii="仿宋_GB2312" w:eastAsia="仿宋_GB2312"/>
          <w:color w:val="auto"/>
          <w:sz w:val="28"/>
          <w:szCs w:val="28"/>
          <w:lang w:eastAsia="zh-CN"/>
        </w:rPr>
        <w:t>根据施工合同约定工期进行。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十、地点：</w:t>
      </w:r>
      <w:r>
        <w:rPr>
          <w:rFonts w:hint="eastAsia" w:ascii="仿宋_GB2312" w:eastAsia="仿宋_GB2312"/>
          <w:sz w:val="30"/>
          <w:szCs w:val="30"/>
          <w:lang w:val="en-US" w:eastAsia="zh-CN"/>
        </w:rPr>
        <w:t>甲方指定地点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十一、报名起截止时间：</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2022年12月01日---2022年12月08</w:t>
      </w:r>
      <w:bookmarkStart w:id="0" w:name="_GoBack"/>
      <w:bookmarkEnd w:id="0"/>
      <w:r>
        <w:rPr>
          <w:rFonts w:hint="eastAsia" w:ascii="仿宋_GB2312" w:eastAsia="仿宋_GB2312"/>
          <w:color w:val="auto"/>
          <w:sz w:val="30"/>
          <w:szCs w:val="30"/>
          <w:lang w:val="en-US" w:eastAsia="zh-CN"/>
        </w:rPr>
        <w:t>日下午19:00止，每日上午10：00－13：00  下午16：00－19：00（北京时间）（节假日除外）</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地点：奇台县双创大厦5楼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十二、报名须知：招标文件300元/份（售后不退）</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投标单位报名请携带公司工商营业执照副本原件和复印件加盖公章(营业执照需包含本次招标范围；）投标单位需具备工程监理市政乙级（含）及以上资质或工程监理综合资质。法人代表授权书、被委托人的身份证件原件, 中国政府采购网(www.ccgp.gov.cn)和“信用中国”网站（www.creditchina.gov.cn）信用记录截图到奇台县双创大厦五楼拷贝招标文件（须自带U盘)。（以上资料复印件加盖公章2套留存）。</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2、发布媒介:新疆政府采购网（http://www.ccgp-xinjiang.gov.cn/home.html）。</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十三、投标文件递交截止时间：</w:t>
      </w:r>
    </w:p>
    <w:p>
      <w:pPr>
        <w:ind w:firstLine="300" w:firstLineChars="1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2022年12月12日下午16：00前（北京时间）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十四、招标文件的取得地点：</w:t>
      </w:r>
      <w:r>
        <w:rPr>
          <w:rFonts w:hint="eastAsia" w:ascii="仿宋_GB2312" w:eastAsia="仿宋_GB2312"/>
          <w:color w:val="auto"/>
          <w:sz w:val="30"/>
          <w:szCs w:val="30"/>
          <w:lang w:val="en-US" w:eastAsia="zh-CN"/>
        </w:rPr>
        <w:t>奇台县双创大厦5楼</w:t>
      </w:r>
    </w:p>
    <w:p>
      <w:pPr>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十五、开标时间：</w:t>
      </w:r>
      <w:r>
        <w:rPr>
          <w:rFonts w:hint="eastAsia" w:ascii="仿宋_GB2312" w:eastAsia="仿宋_GB2312"/>
          <w:color w:val="auto"/>
          <w:sz w:val="30"/>
          <w:szCs w:val="30"/>
          <w:lang w:val="en-US" w:eastAsia="zh-CN"/>
        </w:rPr>
        <w:t>2022年12月12日下午16：00（北京时间）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十六、开标地点：</w:t>
      </w:r>
      <w:r>
        <w:rPr>
          <w:rFonts w:hint="eastAsia" w:ascii="仿宋_GB2312" w:eastAsia="仿宋_GB2312"/>
          <w:sz w:val="30"/>
          <w:szCs w:val="30"/>
          <w:lang w:val="en-US" w:eastAsia="zh-CN"/>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采购人： 奇台县住房和城乡建设局</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lang w:val="en-US" w:eastAsia="zh-CN"/>
        </w:rPr>
        <w:t>联系人：杨主任       联系电话：18890866111</w:t>
      </w:r>
      <w:r>
        <w:rPr>
          <w:rFonts w:hint="eastAsia" w:ascii="仿宋_GB2312" w:hAnsi="仿宋_GB2312" w:eastAsia="仿宋_GB2312" w:cs="仿宋_GB2312"/>
          <w:color w:val="auto"/>
          <w:sz w:val="28"/>
          <w:szCs w:val="28"/>
        </w:rPr>
        <w:t xml:space="preserve">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招标机构：新疆新华远景工程造价咨询有限公司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招标机构地址：奇台县双创大厦5楼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联系人： 葛工        联系电话：0994-7229636</w:t>
      </w:r>
    </w:p>
    <w:p>
      <w:pPr>
        <w:pStyle w:val="2"/>
        <w:rPr>
          <w:rFonts w:hint="eastAsia"/>
          <w:lang w:eastAsia="zh-CN"/>
        </w:rPr>
      </w:pPr>
    </w:p>
    <w:p>
      <w:pPr>
        <w:pageBreakBefore w:val="0"/>
        <w:widowControl/>
        <w:kinsoku/>
        <w:wordWrap/>
        <w:overflowPunct/>
        <w:topLinePunct w:val="0"/>
        <w:autoSpaceDE/>
        <w:autoSpaceDN/>
        <w:bidi w:val="0"/>
        <w:adjustRightInd/>
        <w:snapToGrid/>
        <w:spacing w:line="240" w:lineRule="auto"/>
        <w:ind w:right="0" w:rightChars="0" w:firstLine="2730" w:firstLineChars="1300"/>
        <w:textAlignment w:val="auto"/>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5"/>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DkyMDFkNDMyOGY5YzRhMDE0MDc0NzFmMWZjMGMifQ=="/>
  </w:docVars>
  <w:rsids>
    <w:rsidRoot w:val="230C220A"/>
    <w:rsid w:val="00CE2CEB"/>
    <w:rsid w:val="00FA6B9C"/>
    <w:rsid w:val="01691F0A"/>
    <w:rsid w:val="01C34639"/>
    <w:rsid w:val="02B80DC8"/>
    <w:rsid w:val="03F61D69"/>
    <w:rsid w:val="045F6B9B"/>
    <w:rsid w:val="05575AC4"/>
    <w:rsid w:val="06647088"/>
    <w:rsid w:val="06D2650D"/>
    <w:rsid w:val="06EA11FE"/>
    <w:rsid w:val="07555074"/>
    <w:rsid w:val="078F7CDF"/>
    <w:rsid w:val="079E2D3B"/>
    <w:rsid w:val="083C511A"/>
    <w:rsid w:val="0841493C"/>
    <w:rsid w:val="0AD30522"/>
    <w:rsid w:val="0AD60AAA"/>
    <w:rsid w:val="0B0E778B"/>
    <w:rsid w:val="0B415F1C"/>
    <w:rsid w:val="0BC11462"/>
    <w:rsid w:val="0D5D10FB"/>
    <w:rsid w:val="0DFB66BA"/>
    <w:rsid w:val="0E814859"/>
    <w:rsid w:val="0F666A12"/>
    <w:rsid w:val="0F680ECB"/>
    <w:rsid w:val="0FFE2F98"/>
    <w:rsid w:val="118D1AD5"/>
    <w:rsid w:val="12A30193"/>
    <w:rsid w:val="13F33191"/>
    <w:rsid w:val="14A03FE7"/>
    <w:rsid w:val="14A208D9"/>
    <w:rsid w:val="153F7689"/>
    <w:rsid w:val="154B3ABA"/>
    <w:rsid w:val="15B6334F"/>
    <w:rsid w:val="16B90623"/>
    <w:rsid w:val="16F5731E"/>
    <w:rsid w:val="16F936E4"/>
    <w:rsid w:val="19E62171"/>
    <w:rsid w:val="1A1920D3"/>
    <w:rsid w:val="1AED0D0E"/>
    <w:rsid w:val="1AEE5BD9"/>
    <w:rsid w:val="1B2E7E99"/>
    <w:rsid w:val="1C4817DB"/>
    <w:rsid w:val="1D2C371D"/>
    <w:rsid w:val="1D37721E"/>
    <w:rsid w:val="1EFB56CB"/>
    <w:rsid w:val="21121B12"/>
    <w:rsid w:val="22716B49"/>
    <w:rsid w:val="22A45D3A"/>
    <w:rsid w:val="22E744D4"/>
    <w:rsid w:val="230C220A"/>
    <w:rsid w:val="230D5E88"/>
    <w:rsid w:val="2321690D"/>
    <w:rsid w:val="23A937E6"/>
    <w:rsid w:val="24326CFD"/>
    <w:rsid w:val="24F9229C"/>
    <w:rsid w:val="25BC0BFC"/>
    <w:rsid w:val="26AF7F78"/>
    <w:rsid w:val="26D432B2"/>
    <w:rsid w:val="26D434EC"/>
    <w:rsid w:val="280E3822"/>
    <w:rsid w:val="285451C0"/>
    <w:rsid w:val="29567CBD"/>
    <w:rsid w:val="2A024D36"/>
    <w:rsid w:val="2A2658E2"/>
    <w:rsid w:val="2A781AFA"/>
    <w:rsid w:val="2B17347C"/>
    <w:rsid w:val="2B594DA9"/>
    <w:rsid w:val="2B9B6C3D"/>
    <w:rsid w:val="2D4D6B85"/>
    <w:rsid w:val="2DE67E01"/>
    <w:rsid w:val="2EB129E9"/>
    <w:rsid w:val="2EC052FB"/>
    <w:rsid w:val="2F545CE3"/>
    <w:rsid w:val="31085D41"/>
    <w:rsid w:val="32305270"/>
    <w:rsid w:val="343E7CCC"/>
    <w:rsid w:val="365C53DF"/>
    <w:rsid w:val="36D41D6C"/>
    <w:rsid w:val="36E92171"/>
    <w:rsid w:val="375F719D"/>
    <w:rsid w:val="37C132AA"/>
    <w:rsid w:val="37CE258E"/>
    <w:rsid w:val="389E0F0B"/>
    <w:rsid w:val="3C320FF0"/>
    <w:rsid w:val="3C8D5901"/>
    <w:rsid w:val="3D6A10A8"/>
    <w:rsid w:val="3E616A28"/>
    <w:rsid w:val="3E654F88"/>
    <w:rsid w:val="3EBD76C0"/>
    <w:rsid w:val="3F3B3785"/>
    <w:rsid w:val="3FFE5843"/>
    <w:rsid w:val="410F416B"/>
    <w:rsid w:val="414C13B1"/>
    <w:rsid w:val="41F077D9"/>
    <w:rsid w:val="42065BC8"/>
    <w:rsid w:val="429116F5"/>
    <w:rsid w:val="42F54110"/>
    <w:rsid w:val="432E2F98"/>
    <w:rsid w:val="44A43B7B"/>
    <w:rsid w:val="44A92AFE"/>
    <w:rsid w:val="44B414C1"/>
    <w:rsid w:val="44C4166D"/>
    <w:rsid w:val="44FB734C"/>
    <w:rsid w:val="45960A20"/>
    <w:rsid w:val="468E3C29"/>
    <w:rsid w:val="47197F94"/>
    <w:rsid w:val="47900877"/>
    <w:rsid w:val="48176AB3"/>
    <w:rsid w:val="48390A7E"/>
    <w:rsid w:val="484521EF"/>
    <w:rsid w:val="489D380C"/>
    <w:rsid w:val="48C11760"/>
    <w:rsid w:val="490D54A6"/>
    <w:rsid w:val="491A5544"/>
    <w:rsid w:val="49612C09"/>
    <w:rsid w:val="496E15A5"/>
    <w:rsid w:val="49CD11D1"/>
    <w:rsid w:val="4A270B87"/>
    <w:rsid w:val="4AC51BD1"/>
    <w:rsid w:val="4ACA16A0"/>
    <w:rsid w:val="4B673D0F"/>
    <w:rsid w:val="4BF02B63"/>
    <w:rsid w:val="4EF73A90"/>
    <w:rsid w:val="4F6939F7"/>
    <w:rsid w:val="501F447D"/>
    <w:rsid w:val="50237DB3"/>
    <w:rsid w:val="507C26E4"/>
    <w:rsid w:val="50803A44"/>
    <w:rsid w:val="514C4320"/>
    <w:rsid w:val="514E59FA"/>
    <w:rsid w:val="519B66EE"/>
    <w:rsid w:val="51EB7F15"/>
    <w:rsid w:val="51F3235D"/>
    <w:rsid w:val="52700BF0"/>
    <w:rsid w:val="52B7716F"/>
    <w:rsid w:val="533903D9"/>
    <w:rsid w:val="5367474F"/>
    <w:rsid w:val="53BE61C8"/>
    <w:rsid w:val="55046B45"/>
    <w:rsid w:val="551F38A0"/>
    <w:rsid w:val="563C6515"/>
    <w:rsid w:val="568B028C"/>
    <w:rsid w:val="56B75990"/>
    <w:rsid w:val="57347429"/>
    <w:rsid w:val="575256B8"/>
    <w:rsid w:val="575A03BE"/>
    <w:rsid w:val="57A857EB"/>
    <w:rsid w:val="5865490B"/>
    <w:rsid w:val="5867197F"/>
    <w:rsid w:val="58B2640F"/>
    <w:rsid w:val="58BC7068"/>
    <w:rsid w:val="5907374E"/>
    <w:rsid w:val="5A8D61F6"/>
    <w:rsid w:val="5AF0731D"/>
    <w:rsid w:val="5BB826E2"/>
    <w:rsid w:val="5BC12663"/>
    <w:rsid w:val="5C161BFB"/>
    <w:rsid w:val="5C970444"/>
    <w:rsid w:val="5CA51684"/>
    <w:rsid w:val="5CE60B15"/>
    <w:rsid w:val="5D020DA4"/>
    <w:rsid w:val="5DBF026E"/>
    <w:rsid w:val="5ED45A6C"/>
    <w:rsid w:val="5F864151"/>
    <w:rsid w:val="5FC87E4F"/>
    <w:rsid w:val="60555AFC"/>
    <w:rsid w:val="612B6194"/>
    <w:rsid w:val="61D20875"/>
    <w:rsid w:val="62ED2C1C"/>
    <w:rsid w:val="634A5F1E"/>
    <w:rsid w:val="63F773C7"/>
    <w:rsid w:val="645E78C8"/>
    <w:rsid w:val="648F5856"/>
    <w:rsid w:val="64DE2AAF"/>
    <w:rsid w:val="659A6AC8"/>
    <w:rsid w:val="66007C7D"/>
    <w:rsid w:val="663F14FD"/>
    <w:rsid w:val="6655201C"/>
    <w:rsid w:val="66A06CD6"/>
    <w:rsid w:val="66B261F4"/>
    <w:rsid w:val="66BF1C10"/>
    <w:rsid w:val="66D71272"/>
    <w:rsid w:val="66E20B98"/>
    <w:rsid w:val="68290394"/>
    <w:rsid w:val="69B72C19"/>
    <w:rsid w:val="6A6C48D6"/>
    <w:rsid w:val="6DCE5641"/>
    <w:rsid w:val="6E5D6DD7"/>
    <w:rsid w:val="6E9A5049"/>
    <w:rsid w:val="6EA14278"/>
    <w:rsid w:val="6F8452FF"/>
    <w:rsid w:val="6F9E3B82"/>
    <w:rsid w:val="6FCF56A0"/>
    <w:rsid w:val="709D04E4"/>
    <w:rsid w:val="70D05EA7"/>
    <w:rsid w:val="71112FBF"/>
    <w:rsid w:val="71EB0225"/>
    <w:rsid w:val="74C432FA"/>
    <w:rsid w:val="755C79D6"/>
    <w:rsid w:val="76946059"/>
    <w:rsid w:val="769C4DB2"/>
    <w:rsid w:val="76E61166"/>
    <w:rsid w:val="770A754F"/>
    <w:rsid w:val="77495D38"/>
    <w:rsid w:val="77626DFA"/>
    <w:rsid w:val="77B9603A"/>
    <w:rsid w:val="77E835BA"/>
    <w:rsid w:val="78CD3C08"/>
    <w:rsid w:val="790E0FDD"/>
    <w:rsid w:val="794531EE"/>
    <w:rsid w:val="79521FBF"/>
    <w:rsid w:val="79844F71"/>
    <w:rsid w:val="7A4850C0"/>
    <w:rsid w:val="7A722D23"/>
    <w:rsid w:val="7D1F157D"/>
    <w:rsid w:val="7D401061"/>
    <w:rsid w:val="7D9B4B26"/>
    <w:rsid w:val="7E9C7DCA"/>
    <w:rsid w:val="7EE47149"/>
    <w:rsid w:val="7EEB5927"/>
    <w:rsid w:val="7F4330DD"/>
    <w:rsid w:val="7F437511"/>
    <w:rsid w:val="7F654E84"/>
    <w:rsid w:val="7FC63204"/>
    <w:rsid w:val="7FFD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4"/>
      <w:szCs w:val="24"/>
    </w:rPr>
  </w:style>
  <w:style w:type="paragraph" w:styleId="3">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1261</Words>
  <Characters>1484</Characters>
  <Lines>0</Lines>
  <Paragraphs>0</Paragraphs>
  <TotalTime>237</TotalTime>
  <ScaleCrop>false</ScaleCrop>
  <LinksUpToDate>false</LinksUpToDate>
  <CharactersWithSpaces>1510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Administrator</cp:lastModifiedBy>
  <dcterms:modified xsi:type="dcterms:W3CDTF">2022-11-30T11:04:08Z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1015B3BA20B445FEAE6F21766AF29FF7</vt:lpwstr>
  </property>
</Properties>
</file>