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仿宋" w:hAnsi="仿宋" w:eastAsia="仿宋" w:cs="仿宋"/>
          <w:b/>
          <w:bCs/>
          <w:color w:val="auto"/>
          <w:sz w:val="40"/>
          <w:szCs w:val="40"/>
          <w:lang w:val="en-US" w:eastAsia="zh-CN"/>
        </w:rPr>
      </w:pPr>
      <w:r>
        <w:rPr>
          <w:rFonts w:hint="eastAsia" w:ascii="仿宋" w:hAnsi="仿宋" w:eastAsia="仿宋" w:cs="仿宋"/>
          <w:b/>
          <w:bCs/>
          <w:color w:val="auto"/>
          <w:sz w:val="40"/>
          <w:szCs w:val="40"/>
          <w:lang w:val="en-US" w:eastAsia="zh-CN"/>
        </w:rPr>
        <w:t>阿图什市人民医院医疗设备及信息化设备采购项目（5包）（二次）</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仿宋" w:hAnsi="仿宋" w:eastAsia="仿宋" w:cs="仿宋"/>
          <w:b/>
          <w:color w:val="auto"/>
          <w:kern w:val="0"/>
          <w:sz w:val="48"/>
          <w:szCs w:val="48"/>
          <w:lang w:val="en-US"/>
        </w:rPr>
      </w:pPr>
      <w:r>
        <w:rPr>
          <w:rFonts w:hint="eastAsia" w:ascii="仿宋" w:hAnsi="仿宋" w:eastAsia="仿宋" w:cs="仿宋"/>
          <w:b/>
          <w:bCs/>
          <w:color w:val="auto"/>
          <w:sz w:val="48"/>
          <w:szCs w:val="48"/>
          <w:lang w:eastAsia="zh-CN"/>
        </w:rPr>
        <w:t>项目编号：ATSSJYZX-2022</w:t>
      </w:r>
      <w:r>
        <w:rPr>
          <w:rFonts w:hint="eastAsia" w:ascii="仿宋" w:hAnsi="仿宋" w:eastAsia="仿宋" w:cs="仿宋"/>
          <w:b/>
          <w:bCs/>
          <w:color w:val="auto"/>
          <w:sz w:val="48"/>
          <w:szCs w:val="48"/>
          <w:lang w:val="en-US" w:eastAsia="zh-CN"/>
        </w:rPr>
        <w:t>068-5</w:t>
      </w:r>
    </w:p>
    <w:p>
      <w:pPr>
        <w:pStyle w:val="27"/>
        <w:keepNext w:val="0"/>
        <w:keepLines w:val="0"/>
        <w:pageBreakBefore w:val="0"/>
        <w:widowControl w:val="0"/>
        <w:kinsoku/>
        <w:wordWrap/>
        <w:overflowPunct/>
        <w:topLinePunct w:val="0"/>
        <w:bidi w:val="0"/>
        <w:snapToGrid/>
        <w:spacing w:line="760" w:lineRule="exact"/>
        <w:textAlignment w:val="auto"/>
        <w:rPr>
          <w:rFonts w:hint="eastAsia" w:ascii="仿宋" w:hAnsi="仿宋" w:eastAsia="仿宋" w:cs="仿宋"/>
          <w:color w:val="auto"/>
        </w:rPr>
      </w:pPr>
    </w:p>
    <w:p>
      <w:pPr>
        <w:pStyle w:val="27"/>
        <w:rPr>
          <w:rFonts w:hint="eastAsia" w:ascii="仿宋" w:hAnsi="仿宋" w:eastAsia="仿宋" w:cs="仿宋"/>
          <w:color w:val="auto"/>
        </w:rPr>
      </w:pPr>
    </w:p>
    <w:p>
      <w:pPr>
        <w:pStyle w:val="27"/>
        <w:jc w:val="center"/>
        <w:rPr>
          <w:rFonts w:hint="eastAsia" w:ascii="仿宋" w:hAnsi="仿宋" w:eastAsia="仿宋" w:cs="仿宋"/>
          <w:b/>
          <w:color w:val="auto"/>
          <w:sz w:val="96"/>
          <w:szCs w:val="96"/>
          <w:highlight w:val="none"/>
          <w:lang w:eastAsia="zh-CN"/>
        </w:rPr>
      </w:pPr>
      <w:r>
        <w:rPr>
          <w:rFonts w:hint="eastAsia" w:ascii="仿宋" w:hAnsi="仿宋" w:eastAsia="仿宋" w:cs="仿宋"/>
          <w:b/>
          <w:color w:val="auto"/>
          <w:sz w:val="96"/>
          <w:szCs w:val="96"/>
          <w:highlight w:val="none"/>
          <w:lang w:eastAsia="zh-CN"/>
        </w:rPr>
        <w:drawing>
          <wp:anchor distT="0" distB="0" distL="114300" distR="114300" simplePos="0" relativeHeight="251660288" behindDoc="1" locked="0" layoutInCell="1" allowOverlap="1">
            <wp:simplePos x="0" y="0"/>
            <wp:positionH relativeFrom="column">
              <wp:posOffset>1986915</wp:posOffset>
            </wp:positionH>
            <wp:positionV relativeFrom="page">
              <wp:posOffset>3952875</wp:posOffset>
            </wp:positionV>
            <wp:extent cx="2419350" cy="2362200"/>
            <wp:effectExtent l="0" t="0" r="0" b="0"/>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5"/>
                    <a:stretch>
                      <a:fillRect/>
                    </a:stretch>
                  </pic:blipFill>
                  <pic:spPr>
                    <a:xfrm>
                      <a:off x="0" y="0"/>
                      <a:ext cx="2419350" cy="2362200"/>
                    </a:xfrm>
                    <a:prstGeom prst="rect">
                      <a:avLst/>
                    </a:prstGeom>
                    <a:noFill/>
                    <a:ln>
                      <a:noFill/>
                    </a:ln>
                  </pic:spPr>
                </pic:pic>
              </a:graphicData>
            </a:graphic>
          </wp:anchor>
        </w:drawing>
      </w:r>
      <w:r>
        <w:rPr>
          <w:rFonts w:hint="eastAsia" w:ascii="仿宋" w:hAnsi="仿宋" w:eastAsia="仿宋" w:cs="仿宋"/>
          <w:b/>
          <w:color w:val="auto"/>
          <w:sz w:val="96"/>
          <w:szCs w:val="96"/>
          <w:highlight w:val="none"/>
          <w:lang w:eastAsia="zh-CN"/>
        </w:rPr>
        <w:t>招</w:t>
      </w:r>
    </w:p>
    <w:p>
      <w:pPr>
        <w:pStyle w:val="27"/>
        <w:jc w:val="center"/>
        <w:rPr>
          <w:rFonts w:hint="eastAsia" w:ascii="仿宋" w:hAnsi="仿宋" w:eastAsia="仿宋" w:cs="仿宋"/>
          <w:b/>
          <w:bCs/>
          <w:color w:val="auto"/>
          <w:sz w:val="96"/>
          <w:szCs w:val="96"/>
          <w:lang w:eastAsia="zh-CN"/>
        </w:rPr>
      </w:pPr>
      <w:r>
        <w:rPr>
          <w:rFonts w:hint="eastAsia" w:ascii="仿宋" w:hAnsi="仿宋" w:eastAsia="仿宋" w:cs="仿宋"/>
          <w:b/>
          <w:color w:val="auto"/>
          <w:sz w:val="96"/>
          <w:szCs w:val="96"/>
          <w:highlight w:val="none"/>
          <w:lang w:eastAsia="zh-CN"/>
        </w:rPr>
        <w:t>标</w:t>
      </w:r>
    </w:p>
    <w:p>
      <w:pPr>
        <w:pStyle w:val="27"/>
        <w:jc w:val="center"/>
        <w:rPr>
          <w:rFonts w:hint="eastAsia" w:ascii="仿宋" w:hAnsi="仿宋" w:eastAsia="仿宋" w:cs="仿宋"/>
          <w:b/>
          <w:bCs/>
          <w:color w:val="auto"/>
          <w:sz w:val="96"/>
          <w:szCs w:val="96"/>
          <w:lang w:eastAsia="zh-CN"/>
        </w:rPr>
      </w:pPr>
      <w:r>
        <w:rPr>
          <w:rFonts w:hint="eastAsia" w:ascii="仿宋" w:hAnsi="仿宋" w:eastAsia="仿宋" w:cs="仿宋"/>
          <w:b/>
          <w:bCs/>
          <w:color w:val="auto"/>
          <w:sz w:val="96"/>
          <w:szCs w:val="96"/>
          <w:lang w:eastAsia="zh-CN"/>
        </w:rPr>
        <w:t>文</w:t>
      </w:r>
    </w:p>
    <w:p>
      <w:pPr>
        <w:pStyle w:val="27"/>
        <w:jc w:val="center"/>
        <w:rPr>
          <w:rFonts w:hint="eastAsia" w:ascii="仿宋" w:hAnsi="仿宋" w:eastAsia="仿宋" w:cs="仿宋"/>
          <w:color w:val="auto"/>
          <w:sz w:val="84"/>
          <w:szCs w:val="84"/>
          <w:lang w:eastAsia="zh-CN"/>
        </w:rPr>
      </w:pPr>
      <w:r>
        <w:rPr>
          <w:rFonts w:hint="eastAsia" w:ascii="仿宋" w:hAnsi="仿宋" w:eastAsia="仿宋" w:cs="仿宋"/>
          <w:b/>
          <w:bCs/>
          <w:color w:val="auto"/>
          <w:sz w:val="96"/>
          <w:szCs w:val="96"/>
          <w:lang w:eastAsia="zh-CN"/>
        </w:rPr>
        <w:t>件</w:t>
      </w:r>
    </w:p>
    <w:p>
      <w:pPr>
        <w:pStyle w:val="27"/>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auto"/>
          <w:sz w:val="36"/>
          <w:szCs w:val="36"/>
          <w:lang w:eastAsia="zh-CN"/>
        </w:rPr>
      </w:pPr>
      <w:r>
        <w:rPr>
          <w:rFonts w:hint="eastAsia" w:ascii="仿宋" w:hAnsi="仿宋" w:eastAsia="仿宋" w:cs="仿宋"/>
          <w:color w:val="auto"/>
          <w:sz w:val="36"/>
          <w:szCs w:val="36"/>
        </w:rPr>
        <w:t>采购单位：阿图什市人民医院</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t>联 系 人：黎女士</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t>联系电话：15909080990</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auto"/>
          <w:sz w:val="36"/>
          <w:szCs w:val="36"/>
        </w:rPr>
      </w:pPr>
      <w:r>
        <w:rPr>
          <w:rFonts w:hint="eastAsia" w:ascii="仿宋" w:hAnsi="仿宋" w:eastAsia="仿宋" w:cs="仿宋"/>
          <w:color w:val="auto"/>
          <w:sz w:val="36"/>
          <w:szCs w:val="36"/>
        </w:rPr>
        <w:t>代理机构：</w:t>
      </w:r>
      <w:r>
        <w:rPr>
          <w:rFonts w:hint="eastAsia" w:ascii="仿宋" w:hAnsi="仿宋" w:eastAsia="仿宋" w:cs="仿宋"/>
          <w:color w:val="auto"/>
          <w:sz w:val="36"/>
          <w:szCs w:val="36"/>
          <w:lang w:eastAsia="zh-CN"/>
        </w:rPr>
        <w:t>鼎建项目管理有限公司</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eastAsia" w:ascii="仿宋" w:hAnsi="仿宋" w:eastAsia="仿宋" w:cs="仿宋"/>
          <w:color w:val="auto"/>
          <w:sz w:val="36"/>
          <w:szCs w:val="36"/>
          <w:lang w:eastAsia="zh-CN"/>
        </w:rPr>
      </w:pPr>
      <w:r>
        <w:rPr>
          <w:rFonts w:hint="eastAsia" w:ascii="仿宋" w:hAnsi="仿宋" w:eastAsia="仿宋" w:cs="仿宋"/>
          <w:color w:val="auto"/>
          <w:sz w:val="36"/>
          <w:szCs w:val="36"/>
        </w:rPr>
        <w:t>联 系 人：</w:t>
      </w:r>
      <w:r>
        <w:rPr>
          <w:rFonts w:hint="eastAsia" w:ascii="仿宋" w:hAnsi="仿宋" w:eastAsia="仿宋" w:cs="仿宋"/>
          <w:color w:val="auto"/>
          <w:sz w:val="36"/>
          <w:szCs w:val="36"/>
          <w:lang w:eastAsia="zh-CN"/>
        </w:rPr>
        <w:t>朱先生</w:t>
      </w:r>
    </w:p>
    <w:p>
      <w:pPr>
        <w:keepNext w:val="0"/>
        <w:keepLines w:val="0"/>
        <w:pageBreakBefore w:val="0"/>
        <w:widowControl w:val="0"/>
        <w:kinsoku/>
        <w:wordWrap/>
        <w:overflowPunct/>
        <w:topLinePunct w:val="0"/>
        <w:autoSpaceDE/>
        <w:autoSpaceDN/>
        <w:bidi w:val="0"/>
        <w:adjustRightInd/>
        <w:snapToGrid/>
        <w:spacing w:line="700" w:lineRule="exact"/>
        <w:ind w:firstLine="360" w:firstLineChars="100"/>
        <w:textAlignment w:val="auto"/>
        <w:rPr>
          <w:rFonts w:hint="default" w:ascii="仿宋" w:hAnsi="仿宋" w:eastAsia="仿宋" w:cs="仿宋"/>
          <w:color w:val="auto"/>
          <w:sz w:val="36"/>
          <w:szCs w:val="36"/>
          <w:lang w:val="en-US" w:eastAsia="zh-CN"/>
        </w:rPr>
      </w:pPr>
      <w:r>
        <w:rPr>
          <w:rFonts w:hint="eastAsia" w:ascii="仿宋" w:hAnsi="仿宋" w:eastAsia="仿宋" w:cs="仿宋"/>
          <w:color w:val="auto"/>
          <w:sz w:val="36"/>
          <w:szCs w:val="36"/>
          <w:lang w:val="en-US" w:eastAsia="zh-CN"/>
        </w:rPr>
        <w:t>联系电话:18609088999/15276801873</w:t>
      </w:r>
    </w:p>
    <w:p>
      <w:pPr>
        <w:jc w:val="center"/>
        <w:rPr>
          <w:rFonts w:hint="eastAsia" w:ascii="仿宋" w:hAnsi="仿宋" w:eastAsia="仿宋" w:cs="仿宋"/>
          <w:b/>
          <w:color w:val="auto"/>
          <w:sz w:val="36"/>
          <w:szCs w:val="36"/>
        </w:rPr>
      </w:pPr>
    </w:p>
    <w:p>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招投标监督管理机构备案登记栏</w:t>
      </w:r>
    </w:p>
    <w:tbl>
      <w:tblPr>
        <w:tblStyle w:val="19"/>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623" w:type="dxa"/>
          </w:tcPr>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w w:val="95"/>
                <w:sz w:val="32"/>
                <w:szCs w:val="32"/>
                <w:lang w:val="en-US"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val="en-US" w:eastAsia="zh-CN"/>
              </w:rPr>
              <w:t xml:space="preserve">阿图什市人民医院  </w:t>
            </w:r>
            <w:r>
              <w:rPr>
                <w:rFonts w:hint="eastAsia" w:ascii="仿宋" w:hAnsi="仿宋" w:eastAsia="仿宋" w:cs="仿宋"/>
                <w:color w:val="auto"/>
                <w:w w:val="95"/>
                <w:sz w:val="32"/>
                <w:szCs w:val="32"/>
                <w:lang w:eastAsia="zh-CN"/>
              </w:rPr>
              <w:t>（盖章）</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 xml:space="preserve">                                           </w:t>
            </w: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项目名称：</w:t>
            </w:r>
            <w:r>
              <w:rPr>
                <w:rFonts w:hint="eastAsia" w:ascii="仿宋" w:hAnsi="仿宋" w:eastAsia="仿宋" w:cs="仿宋"/>
                <w:color w:val="auto"/>
                <w:sz w:val="32"/>
                <w:szCs w:val="32"/>
                <w:lang w:val="en-US" w:eastAsia="zh-CN"/>
              </w:rPr>
              <w:t>阿图什市人民医院医疗设备及信息化设备采购项目（5包）（二次）</w:t>
            </w: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p>
          <w:p>
            <w:pPr>
              <w:pageBreakBefore w:val="0"/>
              <w:widowControl w:val="0"/>
              <w:kinsoku/>
              <w:wordWrap/>
              <w:overflowPunct/>
              <w:topLinePunct w:val="0"/>
              <w:autoSpaceDE/>
              <w:autoSpaceDN/>
              <w:bidi w:val="0"/>
              <w:adjustRightInd/>
              <w:snapToGrid/>
              <w:spacing w:line="500" w:lineRule="exact"/>
              <w:ind w:left="3520" w:hanging="3520" w:hangingChars="1100"/>
              <w:jc w:val="left"/>
              <w:textAlignment w:val="auto"/>
              <w:rPr>
                <w:rFonts w:hint="eastAsia" w:ascii="仿宋" w:hAnsi="仿宋" w:eastAsia="仿宋" w:cs="仿宋"/>
                <w:color w:val="auto"/>
                <w:sz w:val="32"/>
                <w:szCs w:val="32"/>
                <w:lang w:eastAsia="zh-CN"/>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代理机构：</w:t>
            </w:r>
            <w:r>
              <w:rPr>
                <w:rFonts w:hint="eastAsia" w:ascii="仿宋" w:hAnsi="仿宋" w:eastAsia="仿宋" w:cs="仿宋"/>
                <w:color w:val="auto"/>
                <w:sz w:val="32"/>
                <w:szCs w:val="32"/>
                <w:lang w:eastAsia="zh-CN"/>
              </w:rPr>
              <w:t>鼎建项目管理有限公司（盖章）</w:t>
            </w: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p>
          <w:p>
            <w:pPr>
              <w:pStyle w:val="2"/>
              <w:jc w:val="center"/>
              <w:rPr>
                <w:rFonts w:hint="eastAsia"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val="en-US" w:eastAsia="zh-CN"/>
              </w:rPr>
              <w:t>22</w:t>
            </w:r>
            <w:r>
              <w:rPr>
                <w:rFonts w:hint="eastAsia" w:ascii="仿宋" w:hAnsi="仿宋" w:eastAsia="仿宋" w:cs="仿宋"/>
                <w:color w:val="auto"/>
              </w:rPr>
              <w:t>年</w:t>
            </w:r>
            <w:r>
              <w:rPr>
                <w:rFonts w:hint="eastAsia" w:ascii="仿宋" w:hAnsi="仿宋" w:eastAsia="仿宋" w:cs="仿宋"/>
                <w:color w:val="auto"/>
                <w:lang w:val="en-US" w:eastAsia="zh-CN"/>
              </w:rPr>
              <w:t>10</w:t>
            </w:r>
            <w:r>
              <w:rPr>
                <w:rFonts w:hint="eastAsia" w:ascii="仿宋" w:hAnsi="仿宋" w:eastAsia="仿宋" w:cs="仿宋"/>
                <w:color w:val="auto"/>
              </w:rPr>
              <w:t>月</w:t>
            </w:r>
          </w:p>
          <w:p>
            <w:pPr>
              <w:pStyle w:val="2"/>
              <w:rPr>
                <w:rFonts w:hint="eastAsia" w:ascii="仿宋" w:hAnsi="仿宋" w:eastAsia="仿宋" w:cs="仿宋"/>
                <w:color w:val="auto"/>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44"/>
          <w:szCs w:val="44"/>
        </w:rPr>
        <w:sectPr>
          <w:headerReference r:id="rId5" w:type="default"/>
          <w:footerReference r:id="rId6" w:type="default"/>
          <w:pgSz w:w="11906" w:h="16838"/>
          <w:pgMar w:top="1440" w:right="969" w:bottom="1440" w:left="969" w:header="851" w:footer="992" w:gutter="0"/>
          <w:pgNumType w:fmt="decimal" w:start="1"/>
          <w:cols w:space="720" w:num="1"/>
          <w:docGrid w:type="linesAndChars" w:linePitch="312" w:charSpace="0"/>
        </w:sectPr>
      </w:pPr>
    </w:p>
    <w:p>
      <w:pPr>
        <w:rPr>
          <w:rFonts w:hint="eastAsia" w:ascii="仿宋" w:hAnsi="仿宋" w:eastAsia="仿宋" w:cs="仿宋"/>
          <w:color w:val="auto"/>
          <w:lang w:val="zh-CN"/>
        </w:rPr>
      </w:pPr>
    </w:p>
    <w:p>
      <w:pPr>
        <w:pStyle w:val="24"/>
        <w:spacing w:before="0" w:line="360" w:lineRule="auto"/>
        <w:jc w:val="center"/>
        <w:rPr>
          <w:rFonts w:hint="eastAsia" w:ascii="仿宋" w:hAnsi="仿宋" w:eastAsia="仿宋" w:cs="仿宋"/>
          <w:color w:val="auto"/>
          <w:sz w:val="44"/>
          <w:szCs w:val="44"/>
          <w:lang w:val="zh-CN"/>
        </w:rPr>
      </w:pPr>
    </w:p>
    <w:p>
      <w:pPr>
        <w:pStyle w:val="24"/>
        <w:spacing w:before="0" w:line="360" w:lineRule="auto"/>
        <w:jc w:val="center"/>
        <w:rPr>
          <w:rFonts w:hint="eastAsia" w:ascii="仿宋" w:hAnsi="仿宋" w:eastAsia="仿宋" w:cs="仿宋"/>
          <w:color w:val="auto"/>
          <w:sz w:val="44"/>
          <w:szCs w:val="44"/>
          <w:lang w:val="zh-CN"/>
        </w:rPr>
      </w:pPr>
      <w:r>
        <w:rPr>
          <w:rFonts w:hint="eastAsia" w:ascii="仿宋" w:hAnsi="仿宋" w:eastAsia="仿宋" w:cs="仿宋"/>
          <w:color w:val="auto"/>
          <w:sz w:val="44"/>
          <w:szCs w:val="44"/>
          <w:lang w:val="zh-CN"/>
        </w:rPr>
        <w:t>目    录</w:t>
      </w:r>
    </w:p>
    <w:p>
      <w:pPr>
        <w:rPr>
          <w:rFonts w:hint="eastAsia" w:ascii="仿宋" w:hAnsi="仿宋" w:eastAsia="仿宋" w:cs="仿宋"/>
          <w:color w:val="auto"/>
          <w:sz w:val="30"/>
          <w:szCs w:val="30"/>
          <w:lang w:val="zh-CN"/>
        </w:rPr>
      </w:pPr>
    </w:p>
    <w:p>
      <w:pPr>
        <w:spacing w:line="360" w:lineRule="auto"/>
        <w:rPr>
          <w:rFonts w:hint="eastAsia" w:ascii="仿宋" w:hAnsi="仿宋" w:eastAsia="仿宋" w:cs="仿宋"/>
          <w:color w:val="auto"/>
          <w:sz w:val="30"/>
          <w:szCs w:val="30"/>
        </w:rPr>
      </w:pPr>
    </w:p>
    <w:p>
      <w:pPr>
        <w:widowControl/>
        <w:jc w:val="left"/>
        <w:rPr>
          <w:rFonts w:hint="eastAsia" w:ascii="仿宋" w:hAnsi="仿宋" w:eastAsia="仿宋" w:cs="仿宋"/>
          <w:color w:val="auto"/>
          <w:sz w:val="30"/>
          <w:szCs w:val="30"/>
        </w:rPr>
      </w:pPr>
    </w:p>
    <w:p>
      <w:pPr>
        <w:spacing w:line="360" w:lineRule="auto"/>
        <w:ind w:firstLine="1800"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第一部分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p>
    <w:p>
      <w:pPr>
        <w:spacing w:line="360" w:lineRule="auto"/>
        <w:ind w:firstLine="1800" w:firstLineChars="600"/>
        <w:rPr>
          <w:rFonts w:hint="eastAsia" w:ascii="仿宋" w:hAnsi="仿宋" w:eastAsia="仿宋" w:cs="仿宋"/>
          <w:color w:val="auto"/>
        </w:rPr>
      </w:pPr>
      <w:r>
        <w:rPr>
          <w:rFonts w:hint="eastAsia" w:ascii="仿宋" w:hAnsi="仿宋" w:eastAsia="仿宋" w:cs="仿宋"/>
          <w:b/>
          <w:color w:val="auto"/>
          <w:sz w:val="30"/>
          <w:szCs w:val="30"/>
        </w:rPr>
        <w:t>第二部分      供应商须知</w:t>
      </w:r>
    </w:p>
    <w:p>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 xml:space="preserve">第三部分      </w:t>
      </w:r>
      <w:r>
        <w:rPr>
          <w:rFonts w:hint="eastAsia" w:ascii="仿宋" w:hAnsi="仿宋" w:eastAsia="仿宋" w:cs="仿宋"/>
          <w:b/>
          <w:color w:val="auto"/>
          <w:sz w:val="30"/>
          <w:szCs w:val="30"/>
          <w:lang w:eastAsia="zh-CN"/>
        </w:rPr>
        <w:t>评标办法</w:t>
      </w:r>
    </w:p>
    <w:p>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 xml:space="preserve">第四部分      </w:t>
      </w:r>
      <w:r>
        <w:rPr>
          <w:rFonts w:hint="eastAsia" w:ascii="仿宋" w:hAnsi="仿宋" w:eastAsia="仿宋" w:cs="仿宋"/>
          <w:b/>
          <w:color w:val="auto"/>
          <w:sz w:val="30"/>
          <w:szCs w:val="30"/>
          <w:lang w:eastAsia="zh-CN"/>
        </w:rPr>
        <w:t>技术规格数量及质量要求</w:t>
      </w:r>
    </w:p>
    <w:p>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 xml:space="preserve">第五部分      </w:t>
      </w:r>
      <w:r>
        <w:rPr>
          <w:rFonts w:hint="eastAsia" w:ascii="仿宋" w:hAnsi="仿宋" w:eastAsia="仿宋" w:cs="仿宋"/>
          <w:b/>
          <w:color w:val="auto"/>
          <w:sz w:val="30"/>
          <w:szCs w:val="30"/>
          <w:lang w:eastAsia="zh-CN"/>
        </w:rPr>
        <w:t>合同（参考）</w:t>
      </w:r>
    </w:p>
    <w:p>
      <w:pPr>
        <w:pStyle w:val="25"/>
        <w:ind w:firstLine="1800" w:firstLineChars="600"/>
        <w:rPr>
          <w:rFonts w:hint="eastAsia" w:ascii="仿宋" w:hAnsi="仿宋" w:eastAsia="仿宋" w:cs="仿宋"/>
          <w:color w:val="auto"/>
          <w:lang w:val="en-US"/>
        </w:rPr>
      </w:pPr>
      <w:r>
        <w:rPr>
          <w:rFonts w:hint="eastAsia" w:ascii="仿宋" w:hAnsi="仿宋" w:eastAsia="仿宋" w:cs="仿宋"/>
          <w:b/>
          <w:color w:val="auto"/>
          <w:sz w:val="30"/>
          <w:szCs w:val="30"/>
          <w:lang w:eastAsia="zh-CN"/>
        </w:rPr>
        <w:t>第六部分</w:t>
      </w:r>
      <w:r>
        <w:rPr>
          <w:rFonts w:hint="eastAsia" w:ascii="仿宋" w:hAnsi="仿宋" w:eastAsia="仿宋" w:cs="仿宋"/>
          <w:b/>
          <w:color w:val="auto"/>
          <w:sz w:val="30"/>
          <w:szCs w:val="30"/>
          <w:lang w:val="en-US" w:eastAsia="zh-CN"/>
        </w:rPr>
        <w:t xml:space="preserve">      投标文件格式</w:t>
      </w:r>
    </w:p>
    <w:p>
      <w:pPr>
        <w:pStyle w:val="8"/>
        <w:numPr>
          <w:ilvl w:val="0"/>
          <w:numId w:val="0"/>
        </w:numPr>
        <w:ind w:leftChars="0" w:right="0" w:rightChars="0"/>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lang w:val="en-US" w:eastAsia="zh-CN"/>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8"/>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auto"/>
          <w:spacing w:val="0"/>
          <w:w w:val="100"/>
          <w:position w:val="0"/>
          <w:sz w:val="36"/>
          <w:szCs w:val="36"/>
        </w:rPr>
        <w:sectPr>
          <w:footerReference r:id="rId7" w:type="default"/>
          <w:pgSz w:w="11906" w:h="16838"/>
          <w:pgMar w:top="1440" w:right="1080" w:bottom="1440" w:left="1080" w:header="851" w:footer="992" w:gutter="0"/>
          <w:pgNumType w:fmt="decimal" w:start="1"/>
          <w:cols w:space="720" w:num="1"/>
          <w:docGrid w:type="linesAndChars" w:linePitch="312" w:charSpace="0"/>
        </w:sectPr>
      </w:pPr>
    </w:p>
    <w:p>
      <w:pPr>
        <w:pStyle w:val="28"/>
        <w:keepNext/>
        <w:keepLines/>
        <w:widowControl w:val="0"/>
        <w:shd w:val="clear" w:color="auto" w:fill="auto"/>
        <w:bidi w:val="0"/>
        <w:spacing w:before="120" w:after="300" w:line="240" w:lineRule="auto"/>
        <w:ind w:left="0" w:right="0" w:firstLine="0"/>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pacing w:val="0"/>
          <w:w w:val="100"/>
          <w:position w:val="0"/>
          <w:sz w:val="36"/>
          <w:szCs w:val="36"/>
        </w:rPr>
        <w:t>第一部分</w:t>
      </w:r>
      <w:r>
        <w:rPr>
          <w:rFonts w:hint="eastAsia" w:ascii="仿宋" w:hAnsi="仿宋" w:eastAsia="仿宋" w:cs="仿宋"/>
          <w:b/>
          <w:bCs/>
          <w:color w:val="auto"/>
          <w:spacing w:val="0"/>
          <w:w w:val="100"/>
          <w:position w:val="0"/>
          <w:sz w:val="36"/>
          <w:szCs w:val="36"/>
          <w:lang w:val="en-US" w:eastAsia="zh-CN"/>
        </w:rPr>
        <w:t xml:space="preserve"> </w:t>
      </w:r>
      <w:r>
        <w:rPr>
          <w:rFonts w:hint="eastAsia" w:ascii="仿宋" w:hAnsi="仿宋" w:eastAsia="仿宋" w:cs="仿宋"/>
          <w:b/>
          <w:bCs/>
          <w:color w:val="auto"/>
          <w:spacing w:val="0"/>
          <w:w w:val="100"/>
          <w:position w:val="0"/>
          <w:sz w:val="36"/>
          <w:szCs w:val="36"/>
          <w:lang w:eastAsia="zh-CN"/>
        </w:rPr>
        <w:t>招标公告</w:t>
      </w:r>
    </w:p>
    <w:p>
      <w:pPr>
        <w:pStyle w:val="3"/>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kern w:val="0"/>
          <w:sz w:val="32"/>
          <w:szCs w:val="32"/>
          <w:lang w:val="en-US" w:eastAsia="zh-CN" w:bidi="ar"/>
        </w:rPr>
      </w:pPr>
      <w:r>
        <w:rPr>
          <w:rFonts w:hint="eastAsia" w:ascii="仿宋" w:hAnsi="仿宋" w:eastAsia="仿宋" w:cs="仿宋"/>
          <w:b/>
          <w:bCs/>
          <w:i w:val="0"/>
          <w:iCs w:val="0"/>
          <w:caps w:val="0"/>
          <w:color w:val="auto"/>
          <w:spacing w:val="0"/>
          <w:kern w:val="0"/>
          <w:sz w:val="32"/>
          <w:szCs w:val="32"/>
          <w:lang w:val="en-US" w:eastAsia="zh-CN" w:bidi="ar"/>
        </w:rPr>
        <w:t>阿图什市人民医院医疗设备及信息化设备采购项目（5包）（二次）公开招标公告</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743" w:type="dxa"/>
            <w:noWrap w:val="0"/>
            <w:vAlign w:val="top"/>
          </w:tcPr>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eastAsia="zh-CN"/>
              </w:rPr>
              <w:t>项目概况</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textAlignment w:val="auto"/>
              <w:rPr>
                <w:b w:val="0"/>
                <w:bCs w:val="0"/>
                <w:color w:val="auto"/>
                <w:sz w:val="36"/>
                <w:szCs w:val="36"/>
                <w:vertAlign w:val="baseline"/>
              </w:rPr>
            </w:pPr>
            <w:r>
              <w:rPr>
                <w:rFonts w:hint="eastAsia" w:ascii="仿宋" w:hAnsi="仿宋" w:eastAsia="仿宋" w:cs="仿宋"/>
                <w:b w:val="0"/>
                <w:bCs w:val="0"/>
                <w:i w:val="0"/>
                <w:iCs w:val="0"/>
                <w:caps w:val="0"/>
                <w:color w:val="auto"/>
                <w:spacing w:val="0"/>
                <w:sz w:val="24"/>
                <w:szCs w:val="24"/>
                <w:lang w:val="en-US" w:eastAsia="zh-CN"/>
              </w:rPr>
              <w:t>阿图什市人民医院医疗设备及信息化设备采购项目（5包）（二次）招标项目</w:t>
            </w:r>
            <w:r>
              <w:rPr>
                <w:rFonts w:hint="eastAsia" w:ascii="仿宋" w:hAnsi="仿宋" w:eastAsia="仿宋" w:cs="仿宋"/>
                <w:b w:val="0"/>
                <w:bCs w:val="0"/>
                <w:i w:val="0"/>
                <w:iCs w:val="0"/>
                <w:caps w:val="0"/>
                <w:color w:val="auto"/>
                <w:spacing w:val="0"/>
                <w:sz w:val="24"/>
                <w:szCs w:val="24"/>
              </w:rPr>
              <w:t>的潜在投标人应在供应商登陆政采云平台http://www.zcygov.cn/，在线申请获取招标文件（登录政府采购云平台 → 项目采购 → 获取招标文件→申请，审核通过后可下载招标文件，如有操作性问题，可与政采云在线客服进行咨询，咨询电话：400-881-7190）。获取招标文件，并于2022年</w:t>
            </w:r>
            <w:r>
              <w:rPr>
                <w:rFonts w:hint="eastAsia" w:ascii="仿宋" w:hAnsi="仿宋" w:eastAsia="仿宋" w:cs="仿宋"/>
                <w:b w:val="0"/>
                <w:bCs w:val="0"/>
                <w:i w:val="0"/>
                <w:iCs w:val="0"/>
                <w:caps w:val="0"/>
                <w:color w:val="auto"/>
                <w:spacing w:val="0"/>
                <w:sz w:val="24"/>
                <w:szCs w:val="24"/>
                <w:lang w:val="en-US" w:eastAsia="zh-CN"/>
              </w:rPr>
              <w:t>11</w:t>
            </w:r>
            <w:r>
              <w:rPr>
                <w:rFonts w:hint="eastAsia" w:ascii="仿宋" w:hAnsi="仿宋" w:eastAsia="仿宋" w:cs="仿宋"/>
                <w:b w:val="0"/>
                <w:bCs w:val="0"/>
                <w:i w:val="0"/>
                <w:iCs w:val="0"/>
                <w:caps w:val="0"/>
                <w:color w:val="auto"/>
                <w:spacing w:val="0"/>
                <w:sz w:val="24"/>
                <w:szCs w:val="24"/>
              </w:rPr>
              <w:t>月</w:t>
            </w:r>
            <w:r>
              <w:rPr>
                <w:rFonts w:hint="eastAsia" w:ascii="仿宋" w:hAnsi="仿宋" w:eastAsia="仿宋" w:cs="仿宋"/>
                <w:b w:val="0"/>
                <w:bCs w:val="0"/>
                <w:i w:val="0"/>
                <w:iCs w:val="0"/>
                <w:caps w:val="0"/>
                <w:color w:val="auto"/>
                <w:spacing w:val="0"/>
                <w:sz w:val="24"/>
                <w:szCs w:val="24"/>
                <w:lang w:val="en-US" w:eastAsia="zh-CN"/>
              </w:rPr>
              <w:t xml:space="preserve"> 16 </w:t>
            </w:r>
            <w:r>
              <w:rPr>
                <w:rFonts w:hint="eastAsia" w:ascii="仿宋" w:hAnsi="仿宋" w:eastAsia="仿宋" w:cs="仿宋"/>
                <w:b w:val="0"/>
                <w:bCs w:val="0"/>
                <w:i w:val="0"/>
                <w:iCs w:val="0"/>
                <w:caps w:val="0"/>
                <w:color w:val="auto"/>
                <w:spacing w:val="0"/>
                <w:sz w:val="24"/>
                <w:szCs w:val="24"/>
              </w:rPr>
              <w:t xml:space="preserve">日 </w:t>
            </w:r>
            <w:r>
              <w:rPr>
                <w:rFonts w:hint="eastAsia" w:ascii="仿宋" w:hAnsi="仿宋" w:eastAsia="仿宋" w:cs="仿宋"/>
                <w:b w:val="0"/>
                <w:bCs w:val="0"/>
                <w:i w:val="0"/>
                <w:iCs w:val="0"/>
                <w:caps w:val="0"/>
                <w:color w:val="auto"/>
                <w:spacing w:val="0"/>
                <w:sz w:val="24"/>
                <w:szCs w:val="24"/>
                <w:lang w:val="en-US" w:eastAsia="zh-CN"/>
              </w:rPr>
              <w:t>10</w:t>
            </w:r>
            <w:r>
              <w:rPr>
                <w:rFonts w:hint="eastAsia" w:ascii="仿宋" w:hAnsi="仿宋" w:eastAsia="仿宋" w:cs="仿宋"/>
                <w:b w:val="0"/>
                <w:bCs w:val="0"/>
                <w:i w:val="0"/>
                <w:iCs w:val="0"/>
                <w:caps w:val="0"/>
                <w:color w:val="auto"/>
                <w:spacing w:val="0"/>
                <w:sz w:val="24"/>
                <w:szCs w:val="24"/>
              </w:rPr>
              <w:t>:</w:t>
            </w:r>
            <w:r>
              <w:rPr>
                <w:rFonts w:hint="eastAsia" w:ascii="仿宋" w:hAnsi="仿宋" w:eastAsia="仿宋" w:cs="仿宋"/>
                <w:b w:val="0"/>
                <w:bCs w:val="0"/>
                <w:i w:val="0"/>
                <w:iCs w:val="0"/>
                <w:caps w:val="0"/>
                <w:color w:val="auto"/>
                <w:spacing w:val="0"/>
                <w:sz w:val="24"/>
                <w:szCs w:val="24"/>
                <w:lang w:val="en-US" w:eastAsia="zh-CN"/>
              </w:rPr>
              <w:t>3</w:t>
            </w:r>
            <w:r>
              <w:rPr>
                <w:rFonts w:hint="eastAsia" w:ascii="仿宋" w:hAnsi="仿宋" w:eastAsia="仿宋" w:cs="仿宋"/>
                <w:b w:val="0"/>
                <w:bCs w:val="0"/>
                <w:i w:val="0"/>
                <w:iCs w:val="0"/>
                <w:caps w:val="0"/>
                <w:color w:val="auto"/>
                <w:spacing w:val="0"/>
                <w:sz w:val="24"/>
                <w:szCs w:val="24"/>
              </w:rPr>
              <w:t>0（北京时间）前递交投标文件。</w:t>
            </w:r>
          </w:p>
        </w:tc>
      </w:tr>
    </w:tbl>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一、项目基本情况</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rPr>
        <w:t>项目编号：</w:t>
      </w:r>
      <w:r>
        <w:rPr>
          <w:rFonts w:hint="eastAsia" w:ascii="仿宋" w:hAnsi="仿宋" w:eastAsia="仿宋" w:cs="仿宋"/>
          <w:b w:val="0"/>
          <w:bCs w:val="0"/>
          <w:i w:val="0"/>
          <w:iCs w:val="0"/>
          <w:caps w:val="0"/>
          <w:color w:val="auto"/>
          <w:spacing w:val="0"/>
          <w:sz w:val="24"/>
          <w:szCs w:val="24"/>
          <w:lang w:eastAsia="zh-CN"/>
        </w:rPr>
        <w:t>ATSSJYZX-2022</w:t>
      </w:r>
      <w:r>
        <w:rPr>
          <w:rFonts w:hint="eastAsia" w:ascii="仿宋" w:hAnsi="仿宋" w:eastAsia="仿宋" w:cs="仿宋"/>
          <w:b w:val="0"/>
          <w:bCs w:val="0"/>
          <w:i w:val="0"/>
          <w:iCs w:val="0"/>
          <w:caps w:val="0"/>
          <w:color w:val="auto"/>
          <w:spacing w:val="0"/>
          <w:sz w:val="24"/>
          <w:szCs w:val="24"/>
          <w:lang w:val="en-US" w:eastAsia="zh-CN"/>
        </w:rPr>
        <w:t>068-5</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00" w:right="0" w:hanging="1200" w:hangingChars="5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项目名称：</w:t>
      </w:r>
      <w:r>
        <w:rPr>
          <w:rFonts w:hint="eastAsia" w:ascii="仿宋" w:hAnsi="仿宋" w:eastAsia="仿宋" w:cs="仿宋"/>
          <w:b w:val="0"/>
          <w:bCs w:val="0"/>
          <w:i w:val="0"/>
          <w:iCs w:val="0"/>
          <w:caps w:val="0"/>
          <w:color w:val="auto"/>
          <w:spacing w:val="0"/>
          <w:sz w:val="24"/>
          <w:szCs w:val="24"/>
          <w:lang w:eastAsia="zh-CN"/>
        </w:rPr>
        <w:t>阿图什市人民医院医疗设备及信息化设备采购项目（5包）（二次）</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采购方式：公开招标</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预算金额（元）：</w:t>
      </w:r>
      <w:r>
        <w:rPr>
          <w:rFonts w:hint="eastAsia" w:ascii="仿宋" w:hAnsi="仿宋" w:eastAsia="仿宋" w:cs="仿宋"/>
          <w:i w:val="0"/>
          <w:iCs w:val="0"/>
          <w:caps w:val="0"/>
          <w:color w:val="auto"/>
          <w:spacing w:val="0"/>
          <w:sz w:val="24"/>
          <w:szCs w:val="24"/>
          <w:lang w:val="en-US" w:eastAsia="zh-CN"/>
        </w:rPr>
        <w:t>500000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最高限价（元）：</w:t>
      </w:r>
      <w:r>
        <w:rPr>
          <w:rFonts w:hint="eastAsia" w:ascii="仿宋" w:hAnsi="仿宋" w:eastAsia="仿宋" w:cs="仿宋"/>
          <w:i w:val="0"/>
          <w:iCs w:val="0"/>
          <w:caps w:val="0"/>
          <w:color w:val="auto"/>
          <w:spacing w:val="0"/>
          <w:sz w:val="24"/>
          <w:szCs w:val="24"/>
          <w:lang w:val="en-US" w:eastAsia="zh-CN"/>
        </w:rPr>
        <w:t>500000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采购需求：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   标项名称:</w:t>
      </w:r>
      <w:r>
        <w:rPr>
          <w:rFonts w:hint="eastAsia" w:ascii="仿宋" w:hAnsi="仿宋" w:eastAsia="仿宋" w:cs="仿宋"/>
          <w:i w:val="0"/>
          <w:iCs w:val="0"/>
          <w:caps w:val="0"/>
          <w:color w:val="auto"/>
          <w:spacing w:val="0"/>
          <w:sz w:val="24"/>
          <w:szCs w:val="24"/>
          <w:lang w:eastAsia="zh-CN"/>
        </w:rPr>
        <w:t>阿图什市人民医院医疗设备及信息化设备采购项目（5包）（二次）</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   数量:1</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   预算金额（元）:</w:t>
      </w:r>
      <w:r>
        <w:rPr>
          <w:rFonts w:hint="eastAsia" w:ascii="仿宋" w:hAnsi="仿宋" w:eastAsia="仿宋" w:cs="仿宋"/>
          <w:i w:val="0"/>
          <w:iCs w:val="0"/>
          <w:caps w:val="0"/>
          <w:color w:val="auto"/>
          <w:spacing w:val="0"/>
          <w:sz w:val="24"/>
          <w:szCs w:val="24"/>
          <w:lang w:val="en-US" w:eastAsia="zh-CN"/>
        </w:rPr>
        <w:t>500000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   简要规格描述或项目基本概况介绍、用途：</w:t>
      </w:r>
      <w:r>
        <w:rPr>
          <w:rFonts w:hint="eastAsia" w:ascii="仿宋" w:hAnsi="仿宋" w:eastAsia="仿宋" w:cs="仿宋"/>
          <w:color w:val="auto"/>
          <w:vertAlign w:val="baseline"/>
          <w:lang w:eastAsia="zh-CN"/>
        </w:rPr>
        <w:t>双能X射线骨密度仪</w:t>
      </w:r>
      <w:r>
        <w:rPr>
          <w:rFonts w:hint="eastAsia" w:ascii="仿宋" w:hAnsi="仿宋" w:eastAsia="仿宋" w:cs="仿宋"/>
          <w:i w:val="0"/>
          <w:iCs w:val="0"/>
          <w:caps w:val="0"/>
          <w:color w:val="000000"/>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   备注：</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0" w:firstLineChars="1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合同履约期限：自合同签订之日起</w:t>
      </w:r>
      <w:r>
        <w:rPr>
          <w:rFonts w:hint="eastAsia" w:ascii="仿宋" w:hAnsi="仿宋" w:eastAsia="仿宋" w:cs="仿宋"/>
          <w:i w:val="0"/>
          <w:iCs w:val="0"/>
          <w:caps w:val="0"/>
          <w:color w:val="auto"/>
          <w:spacing w:val="0"/>
          <w:sz w:val="24"/>
          <w:szCs w:val="24"/>
          <w:lang w:val="en-US" w:eastAsia="zh-CN"/>
        </w:rPr>
        <w:t>30</w:t>
      </w:r>
      <w:r>
        <w:rPr>
          <w:rFonts w:hint="eastAsia" w:ascii="仿宋" w:hAnsi="仿宋" w:eastAsia="仿宋" w:cs="仿宋"/>
          <w:i w:val="0"/>
          <w:iCs w:val="0"/>
          <w:caps w:val="0"/>
          <w:color w:val="auto"/>
          <w:spacing w:val="0"/>
          <w:sz w:val="24"/>
          <w:szCs w:val="24"/>
        </w:rPr>
        <w:t>天内完成供货</w:t>
      </w:r>
      <w:r>
        <w:rPr>
          <w:rFonts w:hint="eastAsia" w:ascii="仿宋" w:hAnsi="仿宋" w:eastAsia="仿宋" w:cs="仿宋"/>
          <w:i w:val="0"/>
          <w:iCs w:val="0"/>
          <w:caps w:val="0"/>
          <w:color w:val="auto"/>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240" w:firstLineChars="10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本项目</w:t>
      </w:r>
      <w:r>
        <w:rPr>
          <w:rFonts w:hint="eastAsia" w:ascii="仿宋" w:hAnsi="仿宋" w:eastAsia="仿宋" w:cs="仿宋"/>
          <w:b w:val="0"/>
          <w:bCs w:val="0"/>
          <w:i w:val="0"/>
          <w:iCs w:val="0"/>
          <w:caps w:val="0"/>
          <w:color w:val="auto"/>
          <w:spacing w:val="0"/>
          <w:sz w:val="24"/>
          <w:szCs w:val="24"/>
          <w:lang w:eastAsia="zh-CN"/>
        </w:rPr>
        <w:t>不</w:t>
      </w:r>
      <w:r>
        <w:rPr>
          <w:rFonts w:hint="eastAsia" w:ascii="仿宋" w:hAnsi="仿宋" w:eastAsia="仿宋" w:cs="仿宋"/>
          <w:b w:val="0"/>
          <w:bCs w:val="0"/>
          <w:i w:val="0"/>
          <w:iCs w:val="0"/>
          <w:caps w:val="0"/>
          <w:color w:val="auto"/>
          <w:spacing w:val="0"/>
          <w:sz w:val="24"/>
          <w:szCs w:val="24"/>
        </w:rPr>
        <w:t>接受联合体投标。</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二、申请人的资格要求：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rPr>
        <w:t>2.落实政府采购政策需满足的资格要求：</w:t>
      </w:r>
      <w:r>
        <w:rPr>
          <w:rFonts w:hint="eastAsia" w:ascii="仿宋" w:hAnsi="仿宋" w:eastAsia="仿宋" w:cs="仿宋"/>
          <w:b w:val="0"/>
          <w:bCs w:val="0"/>
          <w:i w:val="0"/>
          <w:iCs w:val="0"/>
          <w:caps w:val="0"/>
          <w:color w:val="auto"/>
          <w:spacing w:val="0"/>
          <w:sz w:val="24"/>
          <w:szCs w:val="24"/>
          <w:lang w:eastAsia="zh-CN"/>
        </w:rPr>
        <w:t>本项目为非专门面向中小企业（含中型、小型、微型企业）采购项目，根据《政府采购促进中小企业发展管理办法》（财库【2020】46号）及（财库[2022]19号）的规定，评标时将给予此类企业进行价格扣除10%的优惠，用优惠后的价格参与评审。</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 3.本项目的特定资格要求：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w:t>
      </w:r>
      <w:r>
        <w:rPr>
          <w:rFonts w:hint="eastAsia" w:ascii="仿宋" w:hAnsi="仿宋" w:eastAsia="仿宋" w:cs="仿宋"/>
          <w:b w:val="0"/>
          <w:bCs w:val="0"/>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rPr>
        <w:t>具备三证合一营业执照副本；</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（2</w:t>
      </w:r>
      <w:r>
        <w:rPr>
          <w:rFonts w:hint="eastAsia" w:ascii="仿宋" w:hAnsi="仿宋" w:eastAsia="仿宋" w:cs="仿宋"/>
          <w:b w:val="0"/>
          <w:bCs w:val="0"/>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rPr>
        <w:t>法定代表人投标需提供法定代表人资格证明书，委托代理人投标需提供法定代表人授权委托书；</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rPr>
        <w:t>（</w:t>
      </w:r>
      <w:r>
        <w:rPr>
          <w:rFonts w:hint="eastAsia" w:ascii="仿宋" w:hAnsi="仿宋" w:eastAsia="仿宋" w:cs="仿宋"/>
          <w:b w:val="0"/>
          <w:bCs w:val="0"/>
          <w:i w:val="0"/>
          <w:iCs w:val="0"/>
          <w:caps w:val="0"/>
          <w:color w:val="auto"/>
          <w:spacing w:val="0"/>
          <w:sz w:val="24"/>
          <w:szCs w:val="24"/>
          <w:lang w:val="en-US" w:eastAsia="zh-CN"/>
        </w:rPr>
        <w:t>3</w:t>
      </w:r>
      <w:r>
        <w:rPr>
          <w:rFonts w:hint="eastAsia" w:ascii="仿宋" w:hAnsi="仿宋" w:eastAsia="仿宋" w:cs="仿宋"/>
          <w:b w:val="0"/>
          <w:bCs w:val="0"/>
          <w:i w:val="0"/>
          <w:iCs w:val="0"/>
          <w:caps w:val="0"/>
          <w:color w:val="auto"/>
          <w:spacing w:val="0"/>
          <w:sz w:val="24"/>
          <w:szCs w:val="24"/>
          <w:lang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lang w:val="en-US" w:eastAsia="zh-CN"/>
        </w:rPr>
        <w:t>4</w:t>
      </w:r>
      <w:r>
        <w:rPr>
          <w:rFonts w:hint="eastAsia" w:ascii="仿宋" w:hAnsi="仿宋" w:eastAsia="仿宋" w:cs="仿宋"/>
          <w:b w:val="0"/>
          <w:bCs w:val="0"/>
          <w:i w:val="0"/>
          <w:iCs w:val="0"/>
          <w:caps w:val="0"/>
          <w:color w:val="auto"/>
          <w:spacing w:val="0"/>
          <w:sz w:val="24"/>
          <w:szCs w:val="24"/>
          <w:lang w:eastAsia="zh-CN"/>
        </w:rPr>
        <w:t>）投标企业须提供投标人（被授权在职人员）近期社保证明；</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rPr>
        <w:t>（</w:t>
      </w:r>
      <w:r>
        <w:rPr>
          <w:rFonts w:hint="eastAsia" w:ascii="仿宋" w:hAnsi="仿宋" w:eastAsia="仿宋" w:cs="仿宋"/>
          <w:b w:val="0"/>
          <w:bCs w:val="0"/>
          <w:i w:val="0"/>
          <w:iCs w:val="0"/>
          <w:caps w:val="0"/>
          <w:color w:val="auto"/>
          <w:spacing w:val="0"/>
          <w:sz w:val="24"/>
          <w:szCs w:val="24"/>
          <w:lang w:val="en-US" w:eastAsia="zh-CN"/>
        </w:rPr>
        <w:t>5</w:t>
      </w:r>
      <w:r>
        <w:rPr>
          <w:rFonts w:hint="eastAsia" w:ascii="仿宋" w:hAnsi="仿宋" w:eastAsia="仿宋" w:cs="仿宋"/>
          <w:b w:val="0"/>
          <w:bCs w:val="0"/>
          <w:i w:val="0"/>
          <w:iCs w:val="0"/>
          <w:caps w:val="0"/>
          <w:color w:val="auto"/>
          <w:spacing w:val="0"/>
          <w:sz w:val="24"/>
          <w:szCs w:val="24"/>
        </w:rPr>
        <w:t>）</w:t>
      </w:r>
      <w:r>
        <w:rPr>
          <w:rFonts w:hint="eastAsia" w:ascii="仿宋" w:hAnsi="仿宋" w:eastAsia="仿宋" w:cs="仿宋"/>
          <w:b w:val="0"/>
          <w:bCs w:val="0"/>
          <w:i w:val="0"/>
          <w:iCs w:val="0"/>
          <w:caps w:val="0"/>
          <w:color w:val="auto"/>
          <w:spacing w:val="0"/>
          <w:sz w:val="24"/>
          <w:szCs w:val="24"/>
          <w:lang w:val="en-US" w:eastAsia="zh-CN"/>
        </w:rPr>
        <w:t>投标企业</w:t>
      </w:r>
      <w:r>
        <w:rPr>
          <w:rFonts w:hint="eastAsia" w:ascii="仿宋" w:hAnsi="仿宋" w:eastAsia="仿宋" w:cs="仿宋"/>
          <w:b w:val="0"/>
          <w:bCs w:val="0"/>
          <w:i w:val="0"/>
          <w:iCs w:val="0"/>
          <w:caps w:val="0"/>
          <w:color w:val="auto"/>
          <w:spacing w:val="0"/>
          <w:sz w:val="24"/>
          <w:szCs w:val="24"/>
        </w:rPr>
        <w:t>须提供有效的《医疗器械生产许可证》或《医疗器械经营许可证》（二类医疗器械需提供医疗器械备案凭证）</w:t>
      </w:r>
      <w:r>
        <w:rPr>
          <w:rFonts w:hint="eastAsia" w:ascii="仿宋" w:hAnsi="仿宋" w:eastAsia="仿宋" w:cs="仿宋"/>
          <w:b w:val="0"/>
          <w:bCs w:val="0"/>
          <w:i w:val="0"/>
          <w:iCs w:val="0"/>
          <w:caps w:val="0"/>
          <w:color w:val="auto"/>
          <w:spacing w:val="0"/>
          <w:sz w:val="24"/>
          <w:szCs w:val="24"/>
          <w:lang w:eastAsia="zh-CN"/>
        </w:rPr>
        <w:t>；</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三、获取招标文件</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时间：2022年</w:t>
      </w:r>
      <w:r>
        <w:rPr>
          <w:rFonts w:hint="eastAsia" w:ascii="仿宋" w:hAnsi="仿宋" w:eastAsia="仿宋" w:cs="仿宋"/>
          <w:i w:val="0"/>
          <w:iCs w:val="0"/>
          <w:caps w:val="0"/>
          <w:color w:val="auto"/>
          <w:spacing w:val="0"/>
          <w:sz w:val="24"/>
          <w:szCs w:val="24"/>
          <w:lang w:val="en-US" w:eastAsia="zh-CN"/>
        </w:rPr>
        <w:t xml:space="preserve"> 10 </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 xml:space="preserve"> 27 </w:t>
      </w:r>
      <w:r>
        <w:rPr>
          <w:rFonts w:hint="eastAsia" w:ascii="仿宋" w:hAnsi="仿宋" w:eastAsia="仿宋" w:cs="仿宋"/>
          <w:i w:val="0"/>
          <w:iCs w:val="0"/>
          <w:caps w:val="0"/>
          <w:color w:val="auto"/>
          <w:spacing w:val="0"/>
          <w:sz w:val="24"/>
          <w:szCs w:val="24"/>
        </w:rPr>
        <w:t>日至2022年</w:t>
      </w:r>
      <w:r>
        <w:rPr>
          <w:rFonts w:hint="eastAsia" w:ascii="仿宋" w:hAnsi="仿宋" w:eastAsia="仿宋" w:cs="仿宋"/>
          <w:i w:val="0"/>
          <w:iCs w:val="0"/>
          <w:caps w:val="0"/>
          <w:color w:val="auto"/>
          <w:spacing w:val="0"/>
          <w:sz w:val="24"/>
          <w:szCs w:val="24"/>
          <w:lang w:val="en-US" w:eastAsia="zh-CN"/>
        </w:rPr>
        <w:t>11</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9</w:t>
      </w:r>
      <w:r>
        <w:rPr>
          <w:rFonts w:hint="eastAsia" w:ascii="仿宋" w:hAnsi="仿宋" w:eastAsia="仿宋" w:cs="仿宋"/>
          <w:i w:val="0"/>
          <w:iCs w:val="0"/>
          <w:caps w:val="0"/>
          <w:color w:val="auto"/>
          <w:spacing w:val="0"/>
          <w:sz w:val="24"/>
          <w:szCs w:val="24"/>
        </w:rPr>
        <w:t>日，每天上午10:00至</w:t>
      </w:r>
      <w:r>
        <w:rPr>
          <w:rFonts w:hint="eastAsia" w:ascii="仿宋" w:hAnsi="仿宋" w:eastAsia="仿宋" w:cs="仿宋"/>
          <w:i w:val="0"/>
          <w:iCs w:val="0"/>
          <w:caps w:val="0"/>
          <w:color w:val="auto"/>
          <w:spacing w:val="0"/>
          <w:sz w:val="24"/>
          <w:szCs w:val="24"/>
          <w:lang w:val="en-US" w:eastAsia="zh-CN"/>
        </w:rPr>
        <w:t>14</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，下午16:</w:t>
      </w:r>
      <w:r>
        <w:rPr>
          <w:rFonts w:hint="eastAsia" w:ascii="仿宋" w:hAnsi="仿宋" w:eastAsia="仿宋" w:cs="仿宋"/>
          <w:i w:val="0"/>
          <w:iCs w:val="0"/>
          <w:caps w:val="0"/>
          <w:color w:val="auto"/>
          <w:spacing w:val="0"/>
          <w:sz w:val="24"/>
          <w:szCs w:val="24"/>
          <w:lang w:val="en-US" w:eastAsia="zh-CN"/>
        </w:rPr>
        <w:t>00</w:t>
      </w:r>
      <w:r>
        <w:rPr>
          <w:rFonts w:hint="eastAsia" w:ascii="仿宋" w:hAnsi="仿宋" w:eastAsia="仿宋" w:cs="仿宋"/>
          <w:i w:val="0"/>
          <w:iCs w:val="0"/>
          <w:caps w:val="0"/>
          <w:color w:val="auto"/>
          <w:spacing w:val="0"/>
          <w:sz w:val="24"/>
          <w:szCs w:val="24"/>
        </w:rPr>
        <w:t>至</w:t>
      </w:r>
      <w:r>
        <w:rPr>
          <w:rFonts w:hint="eastAsia" w:ascii="仿宋" w:hAnsi="仿宋" w:eastAsia="仿宋" w:cs="仿宋"/>
          <w:i w:val="0"/>
          <w:iCs w:val="0"/>
          <w:caps w:val="0"/>
          <w:color w:val="auto"/>
          <w:spacing w:val="0"/>
          <w:sz w:val="24"/>
          <w:szCs w:val="24"/>
          <w:lang w:val="en-US" w:eastAsia="zh-CN"/>
        </w:rPr>
        <w:t>19</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30</w:t>
      </w:r>
      <w:r>
        <w:rPr>
          <w:rFonts w:hint="eastAsia" w:ascii="仿宋" w:hAnsi="仿宋" w:eastAsia="仿宋" w:cs="仿宋"/>
          <w:i w:val="0"/>
          <w:iCs w:val="0"/>
          <w:caps w:val="0"/>
          <w:color w:val="auto"/>
          <w:spacing w:val="0"/>
          <w:sz w:val="24"/>
          <w:szCs w:val="24"/>
        </w:rPr>
        <w:t>（北京时间，法定节假日除外）</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方式：（1）线上获取（登录政府采购云平台 → 项目采购 → 获取招标文件→ 申请，审核通过后可下载招标文件）。本次招标不提供纸质版招标文件</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（2）供应商获取招标文件前应注册成为政府采购云平台正式供应商。</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售价（元）：0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四、提交投标文件截止时间、开标时间和地点</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提交投标文件截止时间：2022年</w:t>
      </w:r>
      <w:r>
        <w:rPr>
          <w:rFonts w:hint="eastAsia" w:ascii="仿宋" w:hAnsi="仿宋" w:eastAsia="仿宋" w:cs="仿宋"/>
          <w:i w:val="0"/>
          <w:iCs w:val="0"/>
          <w:caps w:val="0"/>
          <w:color w:val="auto"/>
          <w:spacing w:val="0"/>
          <w:sz w:val="24"/>
          <w:szCs w:val="24"/>
          <w:lang w:val="en-US" w:eastAsia="zh-CN"/>
        </w:rPr>
        <w:t xml:space="preserve"> 11</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 xml:space="preserve"> 16 </w:t>
      </w:r>
      <w:r>
        <w:rPr>
          <w:rFonts w:hint="eastAsia" w:ascii="仿宋" w:hAnsi="仿宋" w:eastAsia="仿宋" w:cs="仿宋"/>
          <w:i w:val="0"/>
          <w:iCs w:val="0"/>
          <w:caps w:val="0"/>
          <w:color w:val="auto"/>
          <w:spacing w:val="0"/>
          <w:sz w:val="24"/>
          <w:szCs w:val="24"/>
        </w:rPr>
        <w:t xml:space="preserve">日 </w:t>
      </w:r>
      <w:r>
        <w:rPr>
          <w:rFonts w:hint="eastAsia" w:ascii="仿宋" w:hAnsi="仿宋" w:eastAsia="仿宋" w:cs="仿宋"/>
          <w:i w:val="0"/>
          <w:iCs w:val="0"/>
          <w:caps w:val="0"/>
          <w:color w:val="auto"/>
          <w:spacing w:val="0"/>
          <w:sz w:val="24"/>
          <w:szCs w:val="24"/>
          <w:lang w:val="en-US" w:eastAsia="zh-CN"/>
        </w:rPr>
        <w:t>10</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rPr>
        <w:t>0（北京时间）</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4"/>
          <w:szCs w:val="24"/>
        </w:rPr>
        <w:t>投标地点：</w:t>
      </w:r>
      <w:r>
        <w:rPr>
          <w:rFonts w:ascii="仿宋" w:hAnsi="仿宋" w:eastAsia="仿宋" w:cs="仿宋"/>
          <w:i w:val="0"/>
          <w:iCs w:val="0"/>
          <w:caps w:val="0"/>
          <w:color w:val="auto"/>
          <w:spacing w:val="0"/>
          <w:sz w:val="27"/>
          <w:szCs w:val="27"/>
        </w:rPr>
        <w:t>政府采购云平台（www.zcygov.cn）</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开标时间：2022年</w:t>
      </w:r>
      <w:r>
        <w:rPr>
          <w:rFonts w:hint="eastAsia" w:ascii="仿宋" w:hAnsi="仿宋" w:eastAsia="仿宋" w:cs="仿宋"/>
          <w:i w:val="0"/>
          <w:iCs w:val="0"/>
          <w:caps w:val="0"/>
          <w:color w:val="auto"/>
          <w:spacing w:val="0"/>
          <w:sz w:val="24"/>
          <w:szCs w:val="24"/>
          <w:lang w:val="en-US" w:eastAsia="zh-CN"/>
        </w:rPr>
        <w:t xml:space="preserve"> 11</w:t>
      </w:r>
      <w:r>
        <w:rPr>
          <w:rFonts w:hint="eastAsia" w:ascii="仿宋" w:hAnsi="仿宋" w:eastAsia="仿宋" w:cs="仿宋"/>
          <w:i w:val="0"/>
          <w:iCs w:val="0"/>
          <w:caps w:val="0"/>
          <w:color w:val="auto"/>
          <w:spacing w:val="0"/>
          <w:sz w:val="24"/>
          <w:szCs w:val="24"/>
        </w:rPr>
        <w:t>月</w:t>
      </w:r>
      <w:r>
        <w:rPr>
          <w:rFonts w:hint="eastAsia" w:ascii="仿宋" w:hAnsi="仿宋" w:eastAsia="仿宋" w:cs="仿宋"/>
          <w:i w:val="0"/>
          <w:iCs w:val="0"/>
          <w:caps w:val="0"/>
          <w:color w:val="auto"/>
          <w:spacing w:val="0"/>
          <w:sz w:val="24"/>
          <w:szCs w:val="24"/>
          <w:lang w:val="en-US" w:eastAsia="zh-CN"/>
        </w:rPr>
        <w:t xml:space="preserve">16 </w:t>
      </w:r>
      <w:r>
        <w:rPr>
          <w:rFonts w:hint="eastAsia" w:ascii="仿宋" w:hAnsi="仿宋" w:eastAsia="仿宋" w:cs="仿宋"/>
          <w:i w:val="0"/>
          <w:iCs w:val="0"/>
          <w:caps w:val="0"/>
          <w:color w:val="auto"/>
          <w:spacing w:val="0"/>
          <w:sz w:val="24"/>
          <w:szCs w:val="24"/>
        </w:rPr>
        <w:t xml:space="preserve">日 </w:t>
      </w:r>
      <w:r>
        <w:rPr>
          <w:rFonts w:hint="eastAsia" w:ascii="仿宋" w:hAnsi="仿宋" w:eastAsia="仿宋" w:cs="仿宋"/>
          <w:i w:val="0"/>
          <w:iCs w:val="0"/>
          <w:caps w:val="0"/>
          <w:color w:val="auto"/>
          <w:spacing w:val="0"/>
          <w:sz w:val="24"/>
          <w:szCs w:val="24"/>
          <w:lang w:val="en-US" w:eastAsia="zh-CN"/>
        </w:rPr>
        <w:t>10</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rPr>
        <w:t>0（北京时间）</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开标地点：在政府采购云平台（www.zcygov.cn）上开启投标文件，开标时间后，待采购组织机构发出解密通知后30分钟内，供应商须登录“政采云”平台，用“项目采购-开标评标”功能解密投标文件。</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五、公告期限</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自本公告发布之日起5个工作日。</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六、其他补充事宜</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1.本项目采用全流程不见面电子开评标，投标供应商需要使用CA加密设备，供应商可通过新疆数字证书认证中心官网（https://www.xjca.com.cn/）或下载“新疆政务通”APP自行进行申领。</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2.本项目实行网上投标，采用加密电子投标文件(供应商须使用CA加密设备通过政采云电子投标客户端制作投标文件)。若供应商参与投标，自行承担投标一切费用。</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3.各供应商在开标前应确保成为新疆维吾尔自治区政府采购网正式注册入库供应商，</w:t>
      </w:r>
      <w:r>
        <w:rPr>
          <w:rFonts w:hint="eastAsia" w:ascii="仿宋" w:hAnsi="仿宋" w:eastAsia="仿宋" w:cs="仿宋"/>
          <w:i w:val="0"/>
          <w:iCs w:val="0"/>
          <w:caps w:val="0"/>
          <w:color w:val="000000"/>
          <w:spacing w:val="0"/>
          <w:sz w:val="24"/>
          <w:szCs w:val="24"/>
        </w:rPr>
        <w:t>(已在政采云平台其他省份入驻的供应商无须重复注册）</w:t>
      </w: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auto"/>
          <w:spacing w:val="0"/>
          <w:sz w:val="24"/>
          <w:szCs w:val="24"/>
        </w:rPr>
        <w:t>并完成CA数字证书申领。因未注册入库、未办理CA数字证书等原因造成无法投标或投标失败等后果由供应商自行承担。</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5.供应商在开标时须使用制作加密电子投标文件所使用的CA锁及电脑，电脑须提前配置好浏览器（建议使用谷歌浏览器），以便开标时解锁。</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7.为了保证开评标顺利进行，政采云线上开标功能完全实现，供应商开标所使用的电脑设备须具有视频及语音功能。</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8.申请获取采购文件前须上传的资格证明文件扫描件有：（1</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具备三证合一营业执照副本；（2</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法定代表人投标需提供法定代表人资格证明书，委托代理人投标需提供法定代表人授权委托书；（</w:t>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lang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r>
        <w:rPr>
          <w:rFonts w:hint="eastAsia" w:ascii="仿宋" w:hAnsi="仿宋" w:eastAsia="仿宋" w:cs="仿宋"/>
          <w:i w:val="0"/>
          <w:iCs w:val="0"/>
          <w:caps w:val="0"/>
          <w:color w:val="auto"/>
          <w:spacing w:val="0"/>
          <w:sz w:val="24"/>
          <w:szCs w:val="24"/>
          <w:lang w:val="en-US" w:eastAsia="zh-CN"/>
        </w:rPr>
        <w:t>4</w:t>
      </w:r>
      <w:r>
        <w:rPr>
          <w:rFonts w:hint="eastAsia" w:ascii="仿宋" w:hAnsi="仿宋" w:eastAsia="仿宋" w:cs="仿宋"/>
          <w:i w:val="0"/>
          <w:iCs w:val="0"/>
          <w:caps w:val="0"/>
          <w:color w:val="auto"/>
          <w:spacing w:val="0"/>
          <w:sz w:val="24"/>
          <w:szCs w:val="24"/>
          <w:lang w:eastAsia="zh-CN"/>
        </w:rPr>
        <w:t>）投标企业须提供投标人（被授权在职人员）近期社保证明；</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val="en-US" w:eastAsia="zh-CN"/>
        </w:rPr>
        <w:t>5</w:t>
      </w:r>
      <w:r>
        <w:rPr>
          <w:rFonts w:hint="eastAsia" w:ascii="仿宋" w:hAnsi="仿宋" w:eastAsia="仿宋" w:cs="仿宋"/>
          <w:i w:val="0"/>
          <w:iCs w:val="0"/>
          <w:caps w:val="0"/>
          <w:color w:val="auto"/>
          <w:spacing w:val="0"/>
          <w:sz w:val="24"/>
          <w:szCs w:val="24"/>
        </w:rPr>
        <w:t>）</w:t>
      </w:r>
      <w:r>
        <w:rPr>
          <w:rFonts w:hint="eastAsia" w:ascii="仿宋" w:hAnsi="仿宋" w:eastAsia="仿宋" w:cs="仿宋"/>
          <w:i w:val="0"/>
          <w:iCs w:val="0"/>
          <w:caps w:val="0"/>
          <w:color w:val="auto"/>
          <w:spacing w:val="0"/>
          <w:sz w:val="24"/>
          <w:szCs w:val="24"/>
          <w:lang w:eastAsia="zh-CN"/>
        </w:rPr>
        <w:t>投标企业</w:t>
      </w:r>
      <w:r>
        <w:rPr>
          <w:rFonts w:hint="eastAsia" w:ascii="仿宋" w:hAnsi="仿宋" w:eastAsia="仿宋" w:cs="仿宋"/>
          <w:i w:val="0"/>
          <w:iCs w:val="0"/>
          <w:caps w:val="0"/>
          <w:color w:val="auto"/>
          <w:spacing w:val="0"/>
          <w:sz w:val="24"/>
          <w:szCs w:val="24"/>
        </w:rPr>
        <w:t>须提供有效的《医疗器械生产许可证》或《医疗器械经营许可证》（二类医</w:t>
      </w:r>
      <w:r>
        <w:rPr>
          <w:rFonts w:hint="eastAsia" w:ascii="仿宋" w:hAnsi="仿宋" w:eastAsia="仿宋" w:cs="仿宋"/>
          <w:i w:val="0"/>
          <w:iCs w:val="0"/>
          <w:caps w:val="0"/>
          <w:color w:val="auto"/>
          <w:spacing w:val="0"/>
          <w:sz w:val="24"/>
          <w:szCs w:val="24"/>
          <w:lang w:eastAsia="zh-CN"/>
        </w:rPr>
        <w:t>疗器械需提供医疗器械备案凭证）。</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特别提示：</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0" w:firstLineChars="20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七、对本次采购提出询问，请按以下方式联系</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1.采购人信息</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名 称：阿图什市人民医院</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rPr>
        <w:t>地 址：克州阿图什市</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联系方式：</w:t>
      </w:r>
      <w:r>
        <w:rPr>
          <w:rFonts w:hint="eastAsia" w:ascii="仿宋" w:hAnsi="仿宋" w:eastAsia="仿宋" w:cs="仿宋"/>
          <w:i w:val="0"/>
          <w:iCs w:val="0"/>
          <w:caps w:val="0"/>
          <w:color w:val="auto"/>
          <w:spacing w:val="0"/>
          <w:sz w:val="24"/>
          <w:szCs w:val="24"/>
          <w:lang w:val="en-US" w:eastAsia="zh-CN"/>
        </w:rPr>
        <w:t>15909080990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2.采购代理机构信息</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名 称：鼎建项目管理有限公司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地 址：阿图什市光明北路12号博格拉A座四楼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项目联系人：朱先生</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电  话：18609088999/15276801873</w:t>
      </w:r>
    </w:p>
    <w:p>
      <w:pPr>
        <w:pStyle w:val="16"/>
        <w:keepNext w:val="0"/>
        <w:keepLines w:val="0"/>
        <w:pageBreakBefore w:val="0"/>
        <w:widowControl/>
        <w:suppressLineNumbers w:val="0"/>
        <w:shd w:val="clear" w:color="auto" w:fill="auto"/>
        <w:kinsoku/>
        <w:wordWrap/>
        <w:overflowPunct/>
        <w:topLinePunct w:val="0"/>
        <w:autoSpaceDE/>
        <w:autoSpaceDN/>
        <w:bidi w:val="0"/>
        <w:adjustRightInd/>
        <w:snapToGrid/>
        <w:spacing w:before="75" w:beforeAutospacing="0" w:after="75" w:afterAutospacing="0" w:line="440" w:lineRule="exact"/>
        <w:ind w:right="0" w:firstLine="480" w:firstLineChars="200"/>
        <w:jc w:val="left"/>
        <w:textAlignment w:val="auto"/>
        <w:rPr>
          <w:rFonts w:hint="eastAsia" w:ascii="仿宋" w:hAnsi="仿宋" w:eastAsia="仿宋" w:cs="仿宋"/>
          <w:i w:val="0"/>
          <w:iCs w:val="0"/>
          <w:caps w:val="0"/>
          <w:color w:val="auto"/>
          <w:spacing w:val="0"/>
          <w:sz w:val="24"/>
          <w:szCs w:val="24"/>
          <w:lang w:val="en-US" w:eastAsia="zh-CN"/>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pStyle w:val="28"/>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center"/>
        <w:textAlignment w:val="auto"/>
        <w:rPr>
          <w:rFonts w:hint="eastAsia" w:ascii="仿宋" w:hAnsi="仿宋" w:eastAsia="仿宋" w:cs="仿宋"/>
          <w:b/>
          <w:bCs/>
          <w:color w:val="auto"/>
          <w:sz w:val="36"/>
          <w:szCs w:val="36"/>
        </w:rPr>
      </w:pPr>
      <w:r>
        <w:rPr>
          <w:rFonts w:hint="eastAsia" w:ascii="仿宋" w:hAnsi="仿宋" w:eastAsia="仿宋" w:cs="仿宋"/>
          <w:b/>
          <w:bCs/>
          <w:color w:val="auto"/>
          <w:spacing w:val="0"/>
          <w:w w:val="100"/>
          <w:position w:val="0"/>
          <w:sz w:val="36"/>
          <w:szCs w:val="36"/>
        </w:rPr>
        <w:t>第二部分</w:t>
      </w:r>
      <w:r>
        <w:rPr>
          <w:rFonts w:hint="eastAsia" w:ascii="仿宋" w:hAnsi="仿宋" w:eastAsia="仿宋" w:cs="仿宋"/>
          <w:b/>
          <w:bCs/>
          <w:color w:val="auto"/>
          <w:spacing w:val="0"/>
          <w:w w:val="100"/>
          <w:position w:val="0"/>
          <w:sz w:val="36"/>
          <w:szCs w:val="36"/>
          <w:lang w:val="en-US" w:eastAsia="zh-CN"/>
        </w:rPr>
        <w:t xml:space="preserve"> </w:t>
      </w:r>
      <w:r>
        <w:rPr>
          <w:rFonts w:hint="eastAsia" w:ascii="仿宋" w:hAnsi="仿宋" w:eastAsia="仿宋" w:cs="仿宋"/>
          <w:b/>
          <w:bCs/>
          <w:color w:val="auto"/>
          <w:spacing w:val="0"/>
          <w:w w:val="100"/>
          <w:position w:val="0"/>
          <w:sz w:val="36"/>
          <w:szCs w:val="36"/>
        </w:rPr>
        <w:t>供应商须知</w:t>
      </w:r>
    </w:p>
    <w:p>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rPr>
          <w:rFonts w:hint="eastAsia" w:ascii="仿宋" w:hAnsi="仿宋" w:eastAsia="仿宋" w:cs="仿宋"/>
          <w:b/>
          <w:bCs/>
          <w:color w:val="auto"/>
          <w:spacing w:val="0"/>
          <w:w w:val="100"/>
          <w:position w:val="0"/>
          <w:sz w:val="24"/>
          <w:szCs w:val="24"/>
        </w:rPr>
      </w:pPr>
      <w:r>
        <w:rPr>
          <w:rFonts w:hint="eastAsia" w:ascii="仿宋" w:hAnsi="仿宋" w:eastAsia="仿宋" w:cs="仿宋"/>
          <w:b/>
          <w:bCs/>
          <w:color w:val="auto"/>
          <w:spacing w:val="0"/>
          <w:w w:val="100"/>
          <w:position w:val="0"/>
          <w:sz w:val="24"/>
          <w:szCs w:val="24"/>
          <w:lang w:eastAsia="zh-CN"/>
        </w:rPr>
        <w:t>供应商</w:t>
      </w:r>
      <w:r>
        <w:rPr>
          <w:rFonts w:hint="eastAsia" w:ascii="仿宋" w:hAnsi="仿宋" w:eastAsia="仿宋" w:cs="仿宋"/>
          <w:b/>
          <w:bCs/>
          <w:color w:val="auto"/>
          <w:spacing w:val="0"/>
          <w:w w:val="100"/>
          <w:position w:val="0"/>
          <w:sz w:val="24"/>
          <w:szCs w:val="24"/>
        </w:rPr>
        <w:t>须知前附表</w:t>
      </w:r>
    </w:p>
    <w:tbl>
      <w:tblPr>
        <w:tblStyle w:val="18"/>
        <w:tblW w:w="10493" w:type="dxa"/>
        <w:jc w:val="center"/>
        <w:tblLayout w:type="fixed"/>
        <w:tblCellMar>
          <w:top w:w="0" w:type="dxa"/>
          <w:left w:w="108" w:type="dxa"/>
          <w:bottom w:w="0" w:type="dxa"/>
          <w:right w:w="108" w:type="dxa"/>
        </w:tblCellMar>
      </w:tblPr>
      <w:tblGrid>
        <w:gridCol w:w="536"/>
        <w:gridCol w:w="1407"/>
        <w:gridCol w:w="8550"/>
      </w:tblGrid>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序 号</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名  称</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widowControl/>
              <w:spacing w:line="334" w:lineRule="exact"/>
              <w:jc w:val="center"/>
              <w:rPr>
                <w:rFonts w:hint="eastAsia" w:ascii="仿宋" w:hAnsi="仿宋" w:eastAsia="仿宋" w:cs="仿宋"/>
                <w:b/>
                <w:color w:val="auto"/>
                <w:szCs w:val="21"/>
              </w:rPr>
            </w:pPr>
            <w:r>
              <w:rPr>
                <w:rFonts w:hint="eastAsia" w:ascii="仿宋" w:hAnsi="仿宋" w:eastAsia="仿宋" w:cs="仿宋"/>
                <w:b/>
                <w:color w:val="auto"/>
                <w:szCs w:val="21"/>
              </w:rPr>
              <w:t>编  列  内  容</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p>
            <w:pPr>
              <w:shd w:val="clear" w:color="auto" w:fill="auto"/>
              <w:spacing w:line="360" w:lineRule="auto"/>
              <w:jc w:val="center"/>
              <w:rPr>
                <w:rFonts w:hint="eastAsia"/>
                <w:color w:val="auto"/>
                <w:lang w:val="en-US" w:eastAsia="zh-CN"/>
              </w:rPr>
            </w:pPr>
            <w:r>
              <w:rPr>
                <w:rFonts w:hint="eastAsia" w:ascii="仿宋" w:hAnsi="仿宋" w:eastAsia="仿宋" w:cs="仿宋"/>
                <w:color w:val="auto"/>
                <w:sz w:val="24"/>
                <w:szCs w:val="24"/>
                <w:lang w:val="en-US" w:eastAsia="zh-CN"/>
              </w:rPr>
              <w:t>项目编号</w:t>
            </w:r>
          </w:p>
          <w:p>
            <w:pPr>
              <w:shd w:val="clear" w:color="auto" w:fill="auto"/>
              <w:spacing w:line="360" w:lineRule="auto"/>
              <w:jc w:val="center"/>
              <w:rPr>
                <w:rFonts w:hint="eastAsia"/>
                <w:color w:val="auto"/>
                <w:lang w:val="en-US" w:eastAsia="zh-CN"/>
              </w:rPr>
            </w:pPr>
            <w:r>
              <w:rPr>
                <w:rFonts w:hint="eastAsia" w:ascii="仿宋" w:hAnsi="仿宋" w:eastAsia="仿宋" w:cs="仿宋"/>
                <w:color w:val="auto"/>
                <w:sz w:val="24"/>
                <w:szCs w:val="24"/>
                <w:lang w:val="en-US" w:eastAsia="zh-CN"/>
              </w:rPr>
              <w:t>采购内容</w:t>
            </w:r>
          </w:p>
          <w:p>
            <w:pPr>
              <w:shd w:val="clear" w:color="auto" w:fill="auto"/>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项目名称：阿图什市人民医院医疗设备及信息化设备采购项目（5包）（二次）</w:t>
            </w:r>
          </w:p>
          <w:p>
            <w:pPr>
              <w:shd w:val="clear" w:color="auto" w:fill="auto"/>
              <w:spacing w:line="360" w:lineRule="auto"/>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项目编号：ATSSJYZX-2022068-5</w:t>
            </w:r>
          </w:p>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采购内容：双能X射线骨密度仪。</w:t>
            </w:r>
          </w:p>
          <w:p>
            <w:pPr>
              <w:shd w:val="clear" w:color="auto" w:fill="auto"/>
              <w:spacing w:line="360"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供货期：自合同签订之日起30天内完成供货。</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采购人信息</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称：阿图什市人民医院</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联系人：黎女士   电  话：15909080990</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采购代理机构</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名  称：鼎建项目管理有限公司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  址：阿图什市光明北路12号博格拉A座四楼</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联系人：朱</w:t>
            </w:r>
            <w:r>
              <w:rPr>
                <w:rFonts w:hint="eastAsia" w:ascii="仿宋" w:hAnsi="仿宋" w:eastAsia="仿宋" w:cs="仿宋"/>
                <w:b w:val="0"/>
                <w:color w:val="auto"/>
                <w:kern w:val="2"/>
                <w:sz w:val="24"/>
                <w:szCs w:val="24"/>
                <w:lang w:val="en-US" w:eastAsia="zh-CN" w:bidi="ar-SA"/>
              </w:rPr>
              <w:t>先生</w:t>
            </w:r>
            <w:r>
              <w:rPr>
                <w:rFonts w:hint="eastAsia" w:ascii="仿宋" w:hAnsi="仿宋" w:eastAsia="仿宋" w:cs="仿宋"/>
                <w:b w:val="0"/>
                <w:bCs w:val="0"/>
                <w:color w:val="auto"/>
                <w:sz w:val="24"/>
                <w:szCs w:val="24"/>
                <w:lang w:val="en-US" w:eastAsia="zh-CN"/>
              </w:rPr>
              <w:t xml:space="preserve">       电  话：18609088999/15276801873</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最终交货地点</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采购单位指定地点</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5</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资格要求</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1.满足《中华人民共和国政府采购法》第二十二条规定；</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落实政府采购政策需满足的资格要求：本项目为非专门面向中小企业（含中型、小型、微型企业）采购项目，根据《政府采购促进中小企业发展管理办法》（财库【2020】46号）及（财库[2022]19号）的规定，评标时将给予此类企业进行价格扣除10%的优惠，用优惠后的价格参与评审。</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3.本项目的特定资格要求：</w:t>
            </w:r>
          </w:p>
          <w:p>
            <w:pPr>
              <w:shd w:val="clear" w:color="auto" w:fill="auto"/>
              <w:spacing w:line="36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（1）具备三证合一营业执照副本；</w:t>
            </w:r>
          </w:p>
          <w:p>
            <w:pPr>
              <w:shd w:val="clear" w:color="auto" w:fill="auto"/>
              <w:spacing w:line="36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（2）法定代表人投标需提供法定代表人资格证明书，委托代理人投标需提供法定代表人授权委托书；</w:t>
            </w:r>
          </w:p>
          <w:p>
            <w:pPr>
              <w:shd w:val="clear" w:color="auto" w:fill="auto"/>
              <w:spacing w:line="36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shd w:val="clear" w:color="auto" w:fill="auto"/>
              <w:spacing w:line="36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（4）投标企业须提供投标人（被授权在职人员）近期社保证明</w:t>
            </w:r>
          </w:p>
          <w:p>
            <w:pPr>
              <w:shd w:val="clear" w:color="auto" w:fill="auto"/>
              <w:spacing w:line="360"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（5）投标企业须提供有效的《医疗器械生产许可证》或《医疗器械经营许可证》（二类医疗器械需提供医疗器械备案凭证）。</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4.本项目不接受联合体投标；</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6</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资金来源</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2021年医疗服务与保障能力提升（第三批）补助资金</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7</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招标方式</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公开招标(本项目采用网上电子招投标)  </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8</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供应商信用查询</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1、查询渠道：信用中国（网址：http://www.creditchina.gov.cn）、中国政府采购网(网址：http://www.ccgp.gov.cn）。</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2、截止时点：开标后评标前。</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3、信用信息查询记录和证据留存的具体方式：由采购组织机构在规定查询时间内打印信用信息查询记录并归入项目档案。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9</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是否接受联合体投标</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■不接受</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□接  受</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10</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 （开标时间）</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截止时间：2022年 11 月16日10时30分（北京时间）</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11</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投标有效期</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60 天</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12</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政府采购投标保证金要求：</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投标保证金交纳方式：投标保证金应当以支票、汇票、本票、网上银行支付或者金融机构、担保机构出具的保函等非现金形式交纳。</w:t>
            </w:r>
          </w:p>
          <w:p>
            <w:pPr>
              <w:shd w:val="clear" w:color="auto" w:fill="auto"/>
              <w:spacing w:line="360" w:lineRule="auto"/>
              <w:jc w:val="left"/>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投标保证金的金额：10000元；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投标保证金交纳要求：</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1、投标保证金以电汇、网银等转账形式提交的，应在投标截止时间2022年</w:t>
            </w:r>
            <w:r>
              <w:rPr>
                <w:rFonts w:hint="eastAsia" w:ascii="仿宋" w:hAnsi="仿宋" w:eastAsia="仿宋" w:cs="仿宋"/>
                <w:b w:val="0"/>
                <w:bCs w:val="0"/>
                <w:color w:val="auto"/>
                <w:sz w:val="24"/>
                <w:szCs w:val="24"/>
                <w:u w:val="single"/>
                <w:lang w:val="en-US" w:eastAsia="zh-CN"/>
              </w:rPr>
              <w:t xml:space="preserve"> 11 </w:t>
            </w:r>
            <w:r>
              <w:rPr>
                <w:rFonts w:hint="eastAsia" w:ascii="仿宋" w:hAnsi="仿宋" w:eastAsia="仿宋" w:cs="仿宋"/>
                <w:b w:val="0"/>
                <w:bCs w:val="0"/>
                <w:color w:val="auto"/>
                <w:sz w:val="24"/>
                <w:szCs w:val="24"/>
                <w:lang w:val="en-US" w:eastAsia="zh-CN"/>
              </w:rPr>
              <w:t>月</w:t>
            </w:r>
            <w:r>
              <w:rPr>
                <w:rFonts w:hint="eastAsia" w:ascii="仿宋" w:hAnsi="仿宋" w:eastAsia="仿宋" w:cs="仿宋"/>
                <w:b w:val="0"/>
                <w:bCs w:val="0"/>
                <w:color w:val="auto"/>
                <w:sz w:val="24"/>
                <w:szCs w:val="24"/>
                <w:u w:val="single"/>
                <w:lang w:val="en-US" w:eastAsia="zh-CN"/>
              </w:rPr>
              <w:t xml:space="preserve">  16</w:t>
            </w:r>
            <w:r>
              <w:rPr>
                <w:rFonts w:hint="eastAsia" w:ascii="仿宋" w:hAnsi="仿宋" w:eastAsia="仿宋" w:cs="仿宋"/>
                <w:b w:val="0"/>
                <w:bCs w:val="0"/>
                <w:color w:val="auto"/>
                <w:sz w:val="24"/>
                <w:szCs w:val="24"/>
                <w:lang w:val="en-US" w:eastAsia="zh-CN"/>
              </w:rPr>
              <w:t>日10:30时（北京时间）前以总公司的基本账户一次性汇入指定账户（以到账时间为准），不接受现金及任何个人汇款。确认到账后，持银行交款单、基本户开户许可证（基本存款账户信息）到阿图什市政务服务和公共资源交易中心（阿图什市财政局六楼）换取票据收据，开标现场持此项目开具的票据收据原件，标书内附此票据收据复印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2、投标保证金以保函等票据形式提交的，在开标现场持金融机构、担保机构出具的票据原件，标书内附此票据复印件。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3、有效投标保证金成功交纳后，截止开标时间，供应商无正当理由不参加该项目投标且不递交弃标函，投标保证金不予退还。</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户名：阿图什市政务服务和公共资源交易中心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账号：30456301040005267</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行名：中国农业银行阿图什市天山分理处</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行号：103893045636</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联系人：祝女士</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电话：0908-4222076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（备注：必须写清楚某某公司某某项目保证金）</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投标保证金退还：</w:t>
            </w:r>
          </w:p>
          <w:p>
            <w:pPr>
              <w:numPr>
                <w:ilvl w:val="0"/>
                <w:numId w:val="2"/>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中标供应商持合同和票据收据5日内办理；</w:t>
            </w:r>
          </w:p>
          <w:p>
            <w:pPr>
              <w:numPr>
                <w:ilvl w:val="0"/>
                <w:numId w:val="2"/>
              </w:num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未中标供应商持收据5日内办理；</w:t>
            </w:r>
          </w:p>
          <w:p>
            <w:pPr>
              <w:numPr>
                <w:ilvl w:val="0"/>
                <w:numId w:val="0"/>
              </w:numPr>
              <w:shd w:val="clear" w:color="auto" w:fill="auto"/>
              <w:spacing w:line="360" w:lineRule="auto"/>
              <w:ind w:leftChars="0" w:right="0" w:right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3、因供应商自身原因耽搁领取，超过退还时限，不承担延后退还责任。                             </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13</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是否允许递交备选投标方案</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■不允许</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□允  许</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招标文件领取</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lang w:val="en-US" w:eastAsia="zh-CN"/>
              </w:rPr>
              <w:t>时间：2022年 10月27日至2022年 11月 9日，</w:t>
            </w:r>
            <w:r>
              <w:rPr>
                <w:rFonts w:hint="eastAsia" w:ascii="仿宋" w:hAnsi="仿宋" w:eastAsia="仿宋" w:cs="仿宋"/>
                <w:b w:val="0"/>
                <w:bCs w:val="0"/>
                <w:color w:val="auto"/>
                <w:sz w:val="24"/>
                <w:szCs w:val="24"/>
                <w:lang w:val="en-US" w:eastAsia="zh-CN"/>
              </w:rPr>
              <w:t>每天上午10:00至14:00，下午16:00至19：30（北京时间，节假日除外）</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，如有操作性问题，可与政采云在线客服进行咨询，咨询电话：400-881-7190）。</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方式：（1）线上获取（登录政府采购云平台 → 项目采购 → 获取招标文件 → 申请，审核通过后可下载招标文件 ）。本次招标不提供纸质版招标文件 。</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（2）供应商获取招标文件 前应注册成为政府采购云平台正式供应商。</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投标文件形式</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电子投标文件包括“电子加密投标文件”和“备份投标文件”，在投标文件编制完成后同时生成。</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1、“电子加密投标文件”是指通过“政采云电子交易客户端”完成投标文件编制后生成并加密的数据电文形式的投标文件。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16</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投标文件份数及要求</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1、一份电子加密标书（“.jmbs”格式），一份备份标书文件（“.bfbs”格式）。</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2、每份电子投标文件应包括资格证明文件和商务及技术文件两部分。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3、待开标结束后，中标企业请于</w:t>
            </w:r>
            <w:r>
              <w:rPr>
                <w:rFonts w:hint="eastAsia" w:ascii="仿宋" w:hAnsi="仿宋" w:eastAsia="仿宋" w:cs="仿宋"/>
                <w:b w:val="0"/>
                <w:bCs w:val="0"/>
                <w:color w:val="auto"/>
                <w:sz w:val="24"/>
                <w:szCs w:val="24"/>
                <w:u w:val="single"/>
                <w:lang w:val="en-US" w:eastAsia="zh-CN"/>
              </w:rPr>
              <w:t>2022年 11 月 30日19:30</w:t>
            </w:r>
            <w:r>
              <w:rPr>
                <w:rFonts w:hint="eastAsia" w:ascii="仿宋" w:hAnsi="仿宋" w:eastAsia="仿宋" w:cs="仿宋"/>
                <w:b w:val="0"/>
                <w:bCs w:val="0"/>
                <w:color w:val="auto"/>
                <w:sz w:val="24"/>
                <w:szCs w:val="24"/>
                <w:lang w:val="en-US" w:eastAsia="zh-CN"/>
              </w:rPr>
              <w:t>前提供纸质投标文件叁份并承诺与电子投标文件内容一致的承诺书至鼎建项目管理有限公司（阿图什市光明北路12号博格拉A座四楼）。中标人可采用邮寄方式提供纸质版投标文件（收件地址：阿图什市光明北路12号-博格拉A座四楼，收件人：朱先生，电话：18609088999），费用自行承担。</w:t>
            </w:r>
          </w:p>
        </w:tc>
      </w:tr>
      <w:tr>
        <w:tblPrEx>
          <w:tblCellMar>
            <w:top w:w="0" w:type="dxa"/>
            <w:left w:w="108" w:type="dxa"/>
            <w:bottom w:w="0" w:type="dxa"/>
            <w:right w:w="108" w:type="dxa"/>
          </w:tblCellMar>
        </w:tblPrEx>
        <w:trPr>
          <w:trHeight w:val="57"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17</w:t>
            </w:r>
          </w:p>
        </w:tc>
        <w:tc>
          <w:tcPr>
            <w:tcW w:w="140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投标文件的上传和递交</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a.供应商未能在投标截止时间前成功上传电子加密投标文件的投标无效。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b.供应商成功上传电子加密投标文件后，可自行打印投标文件接收回执。</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备份投标文件：供应商在投标截止时间前将加密的投标文件上传至政府采购云平台，还可以在投标截止时间前以电子邮件方式提供备份投标文件1份（接收人邮箱：245291818@qq.com，接收人：朱先生，电话：18609088999），“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18</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评标委员会的组建</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评标委员会由招标人依法组建；</w:t>
            </w:r>
          </w:p>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zh-CN" w:eastAsia="zh-CN"/>
              </w:rPr>
              <w:t>评标专家确定方式：专家评委由招标人在开标前从政采云专家库中随机抽取</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19</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是否授权评标委员会确定中标候选人</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zh-CN" w:eastAsia="zh-CN"/>
              </w:rPr>
            </w:pPr>
            <w:r>
              <w:rPr>
                <w:rFonts w:hint="eastAsia" w:ascii="仿宋" w:hAnsi="仿宋" w:eastAsia="仿宋" w:cs="仿宋"/>
                <w:b w:val="0"/>
                <w:bCs w:val="0"/>
                <w:color w:val="auto"/>
                <w:sz w:val="24"/>
                <w:szCs w:val="24"/>
                <w:lang w:val="en-US" w:eastAsia="zh-CN"/>
              </w:rPr>
              <w:t>是，评标委员会推荐3名中标候选人。</w:t>
            </w:r>
            <w:r>
              <w:rPr>
                <w:rFonts w:hint="eastAsia" w:ascii="仿宋" w:hAnsi="仿宋" w:eastAsia="仿宋" w:cs="仿宋"/>
                <w:b w:val="0"/>
                <w:bCs w:val="0"/>
                <w:color w:val="auto"/>
                <w:sz w:val="24"/>
                <w:szCs w:val="24"/>
                <w:lang w:val="en-US" w:eastAsia="zh-CN"/>
              </w:rPr>
              <w:tab/>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递交投标文件地点</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投标截止时间：2022年 11月 16日10时30分（北京时间）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投标地点：新疆政府采购云平台（www.zcygov.cn）</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21</w:t>
            </w:r>
          </w:p>
        </w:tc>
        <w:tc>
          <w:tcPr>
            <w:tcW w:w="1407" w:type="dxa"/>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开标时间和地点</w:t>
            </w:r>
          </w:p>
        </w:tc>
        <w:tc>
          <w:tcPr>
            <w:tcW w:w="8550"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开标时间：2022年11月 16 日10时30分（北京时间）</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开标地点：新疆政府采购云平台（www.zcygov.cn）         </w:t>
            </w:r>
          </w:p>
        </w:tc>
      </w:tr>
      <w:tr>
        <w:tblPrEx>
          <w:tblCellMar>
            <w:top w:w="0" w:type="dxa"/>
            <w:left w:w="108" w:type="dxa"/>
            <w:bottom w:w="0" w:type="dxa"/>
            <w:right w:w="108" w:type="dxa"/>
          </w:tblCellMar>
        </w:tblPrEx>
        <w:trPr>
          <w:trHeight w:val="57"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22</w:t>
            </w:r>
          </w:p>
        </w:tc>
        <w:tc>
          <w:tcPr>
            <w:tcW w:w="140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重要说明</w:t>
            </w:r>
          </w:p>
        </w:tc>
        <w:tc>
          <w:tcPr>
            <w:tcW w:w="8550" w:type="dxa"/>
            <w:tcBorders>
              <w:top w:val="single" w:color="auto" w:sz="4" w:space="0"/>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5.供应商在开标时须使用制作加密电子投标文件所使用的CA锁及电脑，电脑须提前配置好浏览器（建议使用谷歌浏览器），以便开标时解锁。</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1、电子招投标情况说明：</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（1）电子招投标：本项目以数据电文形式，依托“政府采购云平台（www.zcygov.cn）”进行招投标活动。</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（3）招标文件的获取：使用账号登录或者短信验证码或者使用CA登录政采云平台；进入“项目采购”应用，在获取招标文件 菜单中选择项目，获取招标文件 。申请获取招标文件前须上传的资格证明文件扫描件有：营业执照副本；法定代表人投标需提供法定代表人资格证明书，委托代理人投标需提供法定代表人授权委托书；</w:t>
            </w:r>
            <w:r>
              <w:rPr>
                <w:rFonts w:hint="eastAsia" w:ascii="仿宋" w:hAnsi="仿宋" w:eastAsia="仿宋" w:cs="仿宋"/>
                <w:b w:val="0"/>
                <w:bCs w:val="0"/>
                <w:i w:val="0"/>
                <w:iCs w:val="0"/>
                <w:caps w:val="0"/>
                <w:color w:val="000000"/>
                <w:spacing w:val="0"/>
                <w:sz w:val="24"/>
                <w:szCs w:val="24"/>
                <w:lang w:eastAsia="zh-CN"/>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r>
              <w:rPr>
                <w:rFonts w:hint="eastAsia" w:ascii="仿宋" w:hAnsi="仿宋" w:eastAsia="仿宋" w:cs="仿宋"/>
                <w:b w:val="0"/>
                <w:bCs w:val="0"/>
                <w:color w:val="auto"/>
                <w:sz w:val="24"/>
                <w:szCs w:val="24"/>
                <w:lang w:val="en-US" w:eastAsia="zh-CN"/>
              </w:rPr>
              <w:t>投标企业须提供投标人（被授权在职人员）近期社保证明；</w:t>
            </w:r>
            <w:r>
              <w:rPr>
                <w:rFonts w:hint="eastAsia" w:ascii="仿宋" w:hAnsi="仿宋" w:eastAsia="仿宋" w:cs="仿宋"/>
                <w:b w:val="0"/>
                <w:bCs w:val="0"/>
                <w:i w:val="0"/>
                <w:iCs w:val="0"/>
                <w:caps w:val="0"/>
                <w:color w:val="000000"/>
                <w:spacing w:val="0"/>
                <w:sz w:val="24"/>
                <w:szCs w:val="24"/>
                <w:lang w:val="en-US" w:eastAsia="zh-CN"/>
              </w:rPr>
              <w:t>投标企业</w:t>
            </w:r>
            <w:r>
              <w:rPr>
                <w:rFonts w:hint="eastAsia" w:ascii="仿宋" w:hAnsi="仿宋" w:eastAsia="仿宋" w:cs="仿宋"/>
                <w:b w:val="0"/>
                <w:bCs w:val="0"/>
                <w:i w:val="0"/>
                <w:iCs w:val="0"/>
                <w:caps w:val="0"/>
                <w:color w:val="000000"/>
                <w:spacing w:val="0"/>
                <w:sz w:val="24"/>
                <w:szCs w:val="24"/>
              </w:rPr>
              <w:t>须提供有效的《医疗器械生产许可证》或《医疗器械经营许可证》（二类医疗器械需提供医疗器械备案凭证）</w:t>
            </w:r>
            <w:r>
              <w:rPr>
                <w:rFonts w:hint="eastAsia" w:ascii="仿宋" w:hAnsi="仿宋" w:eastAsia="仿宋" w:cs="仿宋"/>
                <w:b w:val="0"/>
                <w:bCs w:val="0"/>
                <w:i w:val="0"/>
                <w:iCs w:val="0"/>
                <w:caps w:val="0"/>
                <w:color w:val="000000"/>
                <w:spacing w:val="0"/>
                <w:sz w:val="24"/>
                <w:szCs w:val="24"/>
                <w:lang w:eastAsia="zh-CN"/>
              </w:rPr>
              <w:t>；</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（4）投标文件的制作：在“政采云电子交易客户端”中完成“填写基本信息”、“导入投标文件”、“标书关联”、“标书检查”、“电子签名”、“生成电子标书”等操作。</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投标文件的传输递交：供应商在投标截止时间前将加密的投标文件上传至政府采购云平台，还可以在投标截止时间前以电子邮件方式提供备份投标文件1份（接收人邮箱：245291818@qq.com，接收人：朱先生，电话：18609088999），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（7）具体操作指南：详见政采云平台“服务中心-帮助文档-项目采购-操作流程-电子招投标-政府采购项目电子交易管理操作指南-供应商”。</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（8）供应商在进行上述操作时，如遇技术问题可登录政采云（https://</w:t>
            </w: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HYPERLINK "http://www.zcygov.cn/" \h</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b w:val="0"/>
                <w:bCs w:val="0"/>
                <w:color w:val="auto"/>
                <w:sz w:val="24"/>
                <w:szCs w:val="24"/>
                <w:lang w:val="en-US" w:eastAsia="zh-CN"/>
              </w:rPr>
              <w:t>www.zcygov.cn/</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），点击右侧咨询小采，获取采小蜜智能服务管家帮助，或拨打政采云服务热线 400-881-7190 获取热线服务帮助。</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温馨提醒：供应商应提前上传，以便在上传时遇到技术问题，有充足的时间请教平台的技术人员。</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2、供应商认为招标文件 使自己的权益受到损害的，可以自收到招标文件 之日（招标文件 公告期限届满之前收到招标文件 的，以完成获取招标文件 申请后下载招标文件 的时间为准）或者招标文件 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23</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中标候选人公示媒介</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克州公共资源交易中心网、新疆政府采购网，公示期为一个工作日。</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24</w:t>
            </w:r>
          </w:p>
        </w:tc>
        <w:tc>
          <w:tcPr>
            <w:tcW w:w="995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招标代理服务费</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995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招标代理服务收费标准( 费 率)</w:t>
            </w:r>
          </w:p>
          <w:tbl>
            <w:tblPr>
              <w:tblStyle w:val="18"/>
              <w:tblpPr w:leftFromText="180" w:rightFromText="180" w:vertAnchor="text" w:horzAnchor="page" w:tblpXSpec="center" w:tblpY="19"/>
              <w:tblOverlap w:val="never"/>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433"/>
              <w:gridCol w:w="144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中标金额</w:t>
                  </w:r>
                </w:p>
              </w:tc>
              <w:tc>
                <w:tcPr>
                  <w:tcW w:w="1530" w:type="dxa"/>
                  <w:noWrap w:val="0"/>
                  <w:vAlign w:val="center"/>
                </w:tcPr>
                <w:p>
                  <w:pPr>
                    <w:shd w:val="clear" w:color="auto" w:fill="auto"/>
                    <w:spacing w:line="360" w:lineRule="auto"/>
                    <w:ind w:firstLine="240" w:firstLineChars="10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货物招标</w:t>
                  </w:r>
                </w:p>
              </w:tc>
              <w:tc>
                <w:tcPr>
                  <w:tcW w:w="1433"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服务招标</w:t>
                  </w:r>
                </w:p>
              </w:tc>
              <w:tc>
                <w:tcPr>
                  <w:tcW w:w="1446" w:type="dxa"/>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工程招标</w:t>
                  </w:r>
                </w:p>
              </w:tc>
              <w:tc>
                <w:tcPr>
                  <w:tcW w:w="1144" w:type="dxa"/>
                  <w:noWrap w:val="0"/>
                  <w:vAlign w:val="center"/>
                </w:tcPr>
                <w:p>
                  <w:pPr>
                    <w:shd w:val="clear" w:color="auto" w:fill="auto"/>
                    <w:tabs>
                      <w:tab w:val="left" w:pos="317"/>
                    </w:tabs>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ab/>
                  </w:r>
                  <w:r>
                    <w:rPr>
                      <w:rFonts w:hint="eastAsia" w:ascii="仿宋" w:hAnsi="仿宋" w:eastAsia="仿宋" w:cs="仿宋"/>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100万元以下</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100～500万元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0.7%</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500～1000万元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0.8%</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0.45%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61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1000～5000万元</w:t>
                  </w:r>
                </w:p>
              </w:tc>
              <w:tc>
                <w:tcPr>
                  <w:tcW w:w="1530"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0.5%</w:t>
                  </w:r>
                </w:p>
              </w:tc>
              <w:tc>
                <w:tcPr>
                  <w:tcW w:w="1433"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0.25%</w:t>
                  </w:r>
                </w:p>
              </w:tc>
              <w:tc>
                <w:tcPr>
                  <w:tcW w:w="1446"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0.35%</w:t>
                  </w:r>
                </w:p>
              </w:tc>
              <w:tc>
                <w:tcPr>
                  <w:tcW w:w="1144" w:type="dxa"/>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r>
          </w:tbl>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w:t>
            </w:r>
          </w:p>
          <w:p>
            <w:pPr>
              <w:numPr>
                <w:ilvl w:val="0"/>
                <w:numId w:val="3"/>
              </w:numPr>
              <w:shd w:val="clear" w:color="auto" w:fill="auto"/>
              <w:spacing w:line="360" w:lineRule="auto"/>
              <w:ind w:left="320" w:leftChars="0" w:firstLine="0" w:firstLine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按本表费率计算的收费为招标代理服务全过程的收费基准价格，单独提供编制招标文件（有标底的含标底）服务的，可按规定标准的30％计收。</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2、招标代理服务收费按差额定率累进法计算。例如：某工程招标代理业务中标金额为6000万元，计算招标代理服务费额如下：</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100万元×1.0％＝1万元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（500－100）万元×0.7％＝2.8万元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（1000－500）万元×0.55％＝2.75万元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（5000－1000）万元×0.35％＝14万元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（6000－5000）万元×0.2％＝2万元</w:t>
            </w:r>
          </w:p>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合计收费＝1＋2.8＋2.75＋14＋2＝22.55(万元)</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25</w:t>
            </w:r>
          </w:p>
        </w:tc>
        <w:tc>
          <w:tcPr>
            <w:tcW w:w="995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评标办法：本项目采用综合评分法</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26</w:t>
            </w:r>
          </w:p>
        </w:tc>
        <w:tc>
          <w:tcPr>
            <w:tcW w:w="995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不管投标结果如何，投标人均应承担自己投标所需一切费用。</w:t>
            </w:r>
          </w:p>
        </w:tc>
      </w:tr>
      <w:tr>
        <w:tblPrEx>
          <w:tblCellMar>
            <w:top w:w="0" w:type="dxa"/>
            <w:left w:w="108" w:type="dxa"/>
            <w:bottom w:w="0" w:type="dxa"/>
            <w:right w:w="108" w:type="dxa"/>
          </w:tblCellMar>
        </w:tblPrEx>
        <w:trPr>
          <w:trHeight w:val="5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27</w:t>
            </w:r>
          </w:p>
        </w:tc>
        <w:tc>
          <w:tcPr>
            <w:tcW w:w="9957"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本次招标预算价：500000元；（投标报价超过采购预算价的按废标处理）</w:t>
            </w:r>
          </w:p>
        </w:tc>
      </w:tr>
      <w:tr>
        <w:tblPrEx>
          <w:tblCellMar>
            <w:top w:w="0" w:type="dxa"/>
            <w:left w:w="108" w:type="dxa"/>
            <w:bottom w:w="0" w:type="dxa"/>
            <w:right w:w="108" w:type="dxa"/>
          </w:tblCellMar>
        </w:tblPrEx>
        <w:trPr>
          <w:trHeight w:val="57"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28</w:t>
            </w:r>
          </w:p>
        </w:tc>
        <w:tc>
          <w:tcPr>
            <w:tcW w:w="140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中小微企业政策文件</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（1）根据财政部、工业和信息化部关于印发《政府采购促进中小企业发展</w:t>
            </w:r>
            <w:r>
              <w:rPr>
                <w:rFonts w:hint="eastAsia" w:ascii="仿宋" w:hAnsi="仿宋" w:eastAsia="仿宋" w:cs="仿宋"/>
                <w:b w:val="0"/>
                <w:bCs w:val="0"/>
                <w:color w:val="auto"/>
                <w:sz w:val="24"/>
                <w:szCs w:val="24"/>
                <w:lang w:eastAsia="zh-CN"/>
              </w:rPr>
              <w:t>管理</w:t>
            </w:r>
            <w:r>
              <w:rPr>
                <w:rFonts w:hint="eastAsia" w:ascii="仿宋" w:hAnsi="仿宋" w:eastAsia="仿宋" w:cs="仿宋"/>
                <w:b w:val="0"/>
                <w:bCs w:val="0"/>
                <w:color w:val="auto"/>
                <w:sz w:val="24"/>
                <w:szCs w:val="24"/>
              </w:rPr>
              <w:t>办法》的通知（财库[20</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46</w:t>
            </w:r>
            <w:r>
              <w:rPr>
                <w:rFonts w:hint="eastAsia" w:ascii="仿宋" w:hAnsi="仿宋" w:eastAsia="仿宋" w:cs="仿宋"/>
                <w:b w:val="0"/>
                <w:bCs w:val="0"/>
                <w:color w:val="auto"/>
                <w:sz w:val="24"/>
                <w:szCs w:val="24"/>
              </w:rPr>
              <w:t>号）</w:t>
            </w:r>
            <w:r>
              <w:rPr>
                <w:rFonts w:hint="eastAsia" w:ascii="仿宋" w:hAnsi="仿宋" w:eastAsia="仿宋" w:cs="仿宋"/>
                <w:b w:val="0"/>
                <w:bCs w:val="0"/>
                <w:color w:val="auto"/>
                <w:sz w:val="24"/>
                <w:szCs w:val="24"/>
                <w:lang w:eastAsia="zh-CN"/>
              </w:rPr>
              <w:t>及</w:t>
            </w:r>
            <w:r>
              <w:rPr>
                <w:rFonts w:hint="eastAsia" w:ascii="仿宋" w:hAnsi="仿宋" w:eastAsia="仿宋" w:cs="仿宋"/>
                <w:b w:val="0"/>
                <w:bCs w:val="0"/>
                <w:color w:val="auto"/>
                <w:sz w:val="24"/>
                <w:szCs w:val="24"/>
                <w:highlight w:val="none"/>
                <w:lang w:eastAsia="zh-CN"/>
              </w:rPr>
              <w:t>（财库</w:t>
            </w:r>
            <w:r>
              <w:rPr>
                <w:rFonts w:hint="eastAsia" w:ascii="仿宋" w:hAnsi="仿宋" w:eastAsia="仿宋" w:cs="仿宋"/>
                <w:b w:val="0"/>
                <w:bCs w:val="0"/>
                <w:color w:val="auto"/>
                <w:sz w:val="24"/>
                <w:szCs w:val="24"/>
                <w:highlight w:val="none"/>
              </w:rPr>
              <w:t>[20</w:t>
            </w: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19号</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，投标人及其所投产品的制造商均属于《工业和信息化部、国家统计局、国家发展和改革委员会、财政部关于印发中小企业划型标准规定的通知》（工信部联企业[2011]300号）中规定的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cs="仿宋"/>
                <w:b w:val="0"/>
                <w:bCs w:val="0"/>
                <w:color w:val="auto"/>
                <w:sz w:val="24"/>
                <w:szCs w:val="24"/>
                <w:lang w:eastAsia="zh-CN"/>
              </w:rPr>
              <w:t>中型、</w:t>
            </w:r>
            <w:r>
              <w:rPr>
                <w:rFonts w:hint="eastAsia" w:ascii="仿宋" w:hAnsi="仿宋" w:eastAsia="仿宋" w:cs="仿宋"/>
                <w:b w:val="0"/>
                <w:bCs w:val="0"/>
                <w:color w:val="auto"/>
                <w:sz w:val="24"/>
                <w:szCs w:val="24"/>
              </w:rPr>
              <w:t>小型、微型企业标准的，</w:t>
            </w:r>
            <w:r>
              <w:rPr>
                <w:rFonts w:hint="eastAsia" w:ascii="仿宋" w:hAnsi="仿宋" w:eastAsia="仿宋" w:cs="仿宋"/>
                <w:b/>
                <w:bCs/>
                <w:color w:val="auto"/>
                <w:sz w:val="28"/>
                <w:szCs w:val="28"/>
              </w:rPr>
              <w:t>按招标文件格式提供《中小企业声明函》。</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（3）根据财政部、民政部、中国残疾人联合会《关于促进残疾人就业政府采购政策的通知》（财库[2017]141号），在政府采购活动中，残疾人福利性单位视同小型、微型企业。投标人属于残疾人福利性单位的，</w:t>
            </w:r>
            <w:r>
              <w:rPr>
                <w:rFonts w:hint="eastAsia" w:ascii="仿宋" w:hAnsi="仿宋" w:eastAsia="仿宋" w:cs="仿宋"/>
                <w:b/>
                <w:bCs/>
                <w:color w:val="auto"/>
                <w:sz w:val="28"/>
                <w:szCs w:val="28"/>
              </w:rPr>
              <w:t>按照招标文件格式提供残疾人福利性单位声明函。</w:t>
            </w:r>
          </w:p>
        </w:tc>
      </w:tr>
      <w:tr>
        <w:tblPrEx>
          <w:tblCellMar>
            <w:top w:w="0" w:type="dxa"/>
            <w:left w:w="108" w:type="dxa"/>
            <w:bottom w:w="0" w:type="dxa"/>
            <w:right w:w="108" w:type="dxa"/>
          </w:tblCellMar>
        </w:tblPrEx>
        <w:trPr>
          <w:trHeight w:val="57" w:hRule="atLeast"/>
          <w:jc w:val="center"/>
        </w:trPr>
        <w:tc>
          <w:tcPr>
            <w:tcW w:w="536"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29</w:t>
            </w:r>
          </w:p>
        </w:tc>
        <w:tc>
          <w:tcPr>
            <w:tcW w:w="1407" w:type="dxa"/>
            <w:vMerge w:val="restart"/>
            <w:tcBorders>
              <w:top w:val="single" w:color="auto" w:sz="4" w:space="0"/>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中小微企业政策文件说明</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（1）支持中小企业发展：给予小型和微型企业产品的价格</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%的扣除，用扣除后的价格参与评审，</w:t>
            </w:r>
            <w:r>
              <w:rPr>
                <w:rFonts w:hint="eastAsia" w:ascii="仿宋" w:hAnsi="仿宋" w:eastAsia="仿宋" w:cs="仿宋"/>
                <w:b/>
                <w:bCs/>
                <w:color w:val="auto"/>
                <w:sz w:val="28"/>
                <w:szCs w:val="28"/>
              </w:rPr>
              <w:t>本项目具体扣除比例为</w:t>
            </w: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w:t>
            </w:r>
            <w:r>
              <w:rPr>
                <w:rFonts w:hint="eastAsia" w:ascii="仿宋" w:hAnsi="仿宋" w:eastAsia="仿宋" w:cs="仿宋"/>
                <w:b w:val="0"/>
                <w:bCs w:val="0"/>
                <w:color w:val="auto"/>
                <w:sz w:val="24"/>
                <w:szCs w:val="24"/>
              </w:rPr>
              <w:t>用扣除后的价格参与评审。残疾人福利性单位视同小型、微型企业，享受同等价格扣除，但同时属于残疾人福利性单位和小微企业的，不重复价格扣除。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b/>
                <w:bCs/>
                <w:color w:val="auto"/>
                <w:sz w:val="28"/>
                <w:szCs w:val="28"/>
              </w:rPr>
              <w:t>（2）不符合上述适用情形的投标人无需提供上述声明函件。</w:t>
            </w:r>
          </w:p>
        </w:tc>
      </w:tr>
      <w:tr>
        <w:tblPrEx>
          <w:tblCellMar>
            <w:top w:w="0" w:type="dxa"/>
            <w:left w:w="108" w:type="dxa"/>
            <w:bottom w:w="0" w:type="dxa"/>
            <w:right w:w="108" w:type="dxa"/>
          </w:tblCellMar>
        </w:tblPrEx>
        <w:trPr>
          <w:trHeight w:val="57" w:hRule="atLeast"/>
          <w:jc w:val="center"/>
        </w:trPr>
        <w:tc>
          <w:tcPr>
            <w:tcW w:w="536"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p>
        </w:tc>
        <w:tc>
          <w:tcPr>
            <w:tcW w:w="1407" w:type="dxa"/>
            <w:vMerge w:val="continue"/>
            <w:tcBorders>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3</w:t>
            </w:r>
            <w:r>
              <w:rPr>
                <w:rFonts w:hint="eastAsia" w:ascii="仿宋" w:hAnsi="仿宋" w:eastAsia="仿宋" w:cs="仿宋"/>
                <w:b/>
                <w:bCs/>
                <w:color w:val="auto"/>
                <w:sz w:val="28"/>
                <w:szCs w:val="28"/>
                <w:lang w:eastAsia="zh-CN"/>
              </w:rPr>
              <w:t>）本标项：医疗设备</w:t>
            </w:r>
            <w:r>
              <w:rPr>
                <w:rFonts w:hint="eastAsia" w:ascii="仿宋" w:hAnsi="仿宋" w:eastAsia="仿宋" w:cs="仿宋"/>
                <w:b/>
                <w:bCs/>
                <w:color w:val="auto"/>
                <w:kern w:val="0"/>
                <w:sz w:val="28"/>
                <w:szCs w:val="28"/>
              </w:rPr>
              <w:t>属于</w:t>
            </w:r>
            <w:r>
              <w:rPr>
                <w:rFonts w:hint="eastAsia" w:ascii="仿宋" w:hAnsi="仿宋" w:eastAsia="仿宋" w:cs="仿宋"/>
                <w:b/>
                <w:bCs/>
                <w:color w:val="auto"/>
                <w:kern w:val="0"/>
                <w:sz w:val="28"/>
                <w:szCs w:val="28"/>
                <w:lang w:eastAsia="zh-CN"/>
              </w:rPr>
              <w:t>：工业。</w:t>
            </w:r>
          </w:p>
        </w:tc>
      </w:tr>
      <w:tr>
        <w:tblPrEx>
          <w:tblCellMar>
            <w:top w:w="0" w:type="dxa"/>
            <w:left w:w="108" w:type="dxa"/>
            <w:bottom w:w="0" w:type="dxa"/>
            <w:right w:w="108" w:type="dxa"/>
          </w:tblCellMar>
        </w:tblPrEx>
        <w:trPr>
          <w:trHeight w:val="57" w:hRule="atLeast"/>
          <w:jc w:val="center"/>
        </w:trPr>
        <w:tc>
          <w:tcPr>
            <w:tcW w:w="536" w:type="dxa"/>
            <w:tcBorders>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30</w:t>
            </w:r>
          </w:p>
        </w:tc>
        <w:tc>
          <w:tcPr>
            <w:tcW w:w="1407" w:type="dxa"/>
            <w:tcBorders>
              <w:left w:val="single" w:color="auto" w:sz="4" w:space="0"/>
              <w:bottom w:val="single" w:color="auto" w:sz="4" w:space="0"/>
              <w:right w:val="single" w:color="auto" w:sz="4" w:space="0"/>
            </w:tcBorders>
            <w:noWrap w:val="0"/>
            <w:vAlign w:val="center"/>
          </w:tcPr>
          <w:p>
            <w:pPr>
              <w:shd w:val="clear" w:color="auto" w:fill="auto"/>
              <w:spacing w:line="360" w:lineRule="auto"/>
              <w:ind w:firstLine="240" w:firstLineChars="100"/>
              <w:jc w:val="both"/>
              <w:rPr>
                <w:rFonts w:hint="eastAsia" w:ascii="仿宋" w:hAnsi="仿宋" w:eastAsia="仿宋" w:cs="仿宋"/>
                <w:b w:val="0"/>
                <w:bCs w:val="0"/>
                <w:color w:val="auto"/>
                <w:sz w:val="24"/>
                <w:szCs w:val="24"/>
              </w:rPr>
            </w:pPr>
          </w:p>
          <w:p>
            <w:pPr>
              <w:shd w:val="clear" w:color="auto" w:fill="auto"/>
              <w:spacing w:line="360" w:lineRule="auto"/>
              <w:jc w:val="both"/>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履约保证金</w:t>
            </w:r>
          </w:p>
          <w:p>
            <w:pPr>
              <w:shd w:val="clear" w:color="auto" w:fill="auto"/>
              <w:spacing w:line="360" w:lineRule="auto"/>
              <w:jc w:val="both"/>
              <w:rPr>
                <w:rFonts w:hint="eastAsia" w:ascii="仿宋" w:hAnsi="仿宋" w:eastAsia="仿宋" w:cs="仿宋"/>
                <w:b w:val="0"/>
                <w:bCs w:val="0"/>
                <w:color w:val="auto"/>
                <w:sz w:val="24"/>
                <w:szCs w:val="24"/>
                <w:lang w:val="en-US" w:eastAsia="zh-CN"/>
              </w:rPr>
            </w:pPr>
          </w:p>
        </w:tc>
        <w:tc>
          <w:tcPr>
            <w:tcW w:w="8550"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zh-CN"/>
              </w:rPr>
              <w:t>中标人</w:t>
            </w:r>
            <w:r>
              <w:rPr>
                <w:rFonts w:hint="eastAsia" w:ascii="仿宋" w:hAnsi="仿宋" w:eastAsia="仿宋" w:cs="仿宋"/>
                <w:b w:val="0"/>
                <w:bCs w:val="0"/>
                <w:color w:val="auto"/>
                <w:sz w:val="24"/>
                <w:szCs w:val="24"/>
              </w:rPr>
              <w:t>应在领取《</w:t>
            </w:r>
            <w:r>
              <w:rPr>
                <w:rFonts w:hint="eastAsia" w:ascii="仿宋" w:hAnsi="仿宋" w:eastAsia="仿宋" w:cs="仿宋"/>
                <w:b w:val="0"/>
                <w:bCs w:val="0"/>
                <w:color w:val="auto"/>
                <w:sz w:val="24"/>
                <w:szCs w:val="24"/>
                <w:lang w:eastAsia="zh-CN"/>
              </w:rPr>
              <w:t>中标</w:t>
            </w:r>
            <w:r>
              <w:rPr>
                <w:rFonts w:hint="eastAsia" w:ascii="仿宋" w:hAnsi="仿宋" w:eastAsia="仿宋" w:cs="仿宋"/>
                <w:b w:val="0"/>
                <w:bCs w:val="0"/>
                <w:color w:val="auto"/>
                <w:sz w:val="24"/>
                <w:szCs w:val="24"/>
                <w:lang w:val="zh-CN"/>
              </w:rPr>
              <w:t>通知书</w:t>
            </w:r>
            <w:r>
              <w:rPr>
                <w:rFonts w:hint="eastAsia" w:ascii="仿宋" w:hAnsi="仿宋" w:eastAsia="仿宋" w:cs="仿宋"/>
                <w:b w:val="0"/>
                <w:bCs w:val="0"/>
                <w:color w:val="auto"/>
                <w:sz w:val="24"/>
                <w:szCs w:val="24"/>
              </w:rPr>
              <w:t>》后的十个日历日内，办理履约保证金，</w:t>
            </w:r>
            <w:r>
              <w:rPr>
                <w:rFonts w:hint="eastAsia" w:ascii="仿宋" w:hAnsi="仿宋" w:eastAsia="仿宋" w:cs="仿宋"/>
                <w:b w:val="0"/>
                <w:bCs w:val="0"/>
                <w:color w:val="auto"/>
                <w:sz w:val="24"/>
                <w:szCs w:val="24"/>
                <w:lang w:val="zh-CN"/>
              </w:rPr>
              <w:t>金额不超过合同总价的10%，</w:t>
            </w:r>
            <w:r>
              <w:rPr>
                <w:rFonts w:hint="eastAsia" w:ascii="仿宋" w:hAnsi="仿宋" w:eastAsia="仿宋" w:cs="仿宋"/>
                <w:b w:val="0"/>
                <w:bCs w:val="0"/>
                <w:color w:val="auto"/>
                <w:sz w:val="24"/>
                <w:szCs w:val="24"/>
              </w:rPr>
              <w:t>否则招标人可取消</w:t>
            </w:r>
            <w:r>
              <w:rPr>
                <w:rFonts w:hint="eastAsia" w:ascii="仿宋" w:hAnsi="仿宋" w:eastAsia="仿宋" w:cs="仿宋"/>
                <w:b w:val="0"/>
                <w:bCs w:val="0"/>
                <w:color w:val="auto"/>
                <w:sz w:val="24"/>
                <w:szCs w:val="24"/>
                <w:lang w:val="zh-CN"/>
              </w:rPr>
              <w:t>成交人</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val="zh-CN"/>
              </w:rPr>
              <w:t>成交</w:t>
            </w:r>
            <w:r>
              <w:rPr>
                <w:rFonts w:hint="eastAsia" w:ascii="仿宋" w:hAnsi="仿宋" w:eastAsia="仿宋" w:cs="仿宋"/>
                <w:b w:val="0"/>
                <w:bCs w:val="0"/>
                <w:color w:val="auto"/>
                <w:sz w:val="24"/>
                <w:szCs w:val="24"/>
              </w:rPr>
              <w:t>资格，并没收其投标保证金</w:t>
            </w:r>
            <w:r>
              <w:rPr>
                <w:rFonts w:hint="eastAsia" w:ascii="仿宋" w:hAnsi="仿宋" w:eastAsia="仿宋" w:cs="仿宋"/>
                <w:b w:val="0"/>
                <w:bCs w:val="0"/>
                <w:color w:val="auto"/>
                <w:sz w:val="24"/>
                <w:szCs w:val="24"/>
                <w:lang w:eastAsia="zh-CN"/>
              </w:rPr>
              <w:t>。</w:t>
            </w:r>
          </w:p>
        </w:tc>
      </w:tr>
      <w:tr>
        <w:tblPrEx>
          <w:tblCellMar>
            <w:top w:w="0" w:type="dxa"/>
            <w:left w:w="108" w:type="dxa"/>
            <w:bottom w:w="0" w:type="dxa"/>
            <w:right w:w="108" w:type="dxa"/>
          </w:tblCellMar>
        </w:tblPrEx>
        <w:trPr>
          <w:trHeight w:val="57" w:hRule="atLeast"/>
          <w:jc w:val="center"/>
        </w:trPr>
        <w:tc>
          <w:tcPr>
            <w:tcW w:w="1943" w:type="dxa"/>
            <w:gridSpan w:val="2"/>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rPr>
              <w:t>备注</w:t>
            </w:r>
          </w:p>
        </w:tc>
        <w:tc>
          <w:tcPr>
            <w:tcW w:w="8550"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着重提醒各投标人注意，并认真查看招标文件中的每一个条款及要求，因误读招标文件而造成的后果，招标人概不负责。</w:t>
            </w:r>
          </w:p>
          <w:p>
            <w:pPr>
              <w:spacing w:line="360" w:lineRule="auto"/>
              <w:rPr>
                <w:rFonts w:hint="eastAsia" w:ascii="仿宋" w:hAnsi="仿宋" w:eastAsia="仿宋" w:cs="仿宋"/>
                <w:b w:val="0"/>
                <w:bCs w:val="0"/>
                <w:color w:val="auto"/>
                <w:spacing w:val="0"/>
                <w:w w:val="100"/>
                <w:position w:val="0"/>
                <w:sz w:val="24"/>
                <w:szCs w:val="24"/>
                <w:shd w:val="clear" w:color="auto" w:fill="auto"/>
                <w:lang w:val="en-US" w:eastAsia="zh-CN" w:bidi="en-US"/>
              </w:rPr>
            </w:pPr>
            <w:r>
              <w:rPr>
                <w:rFonts w:hint="eastAsia" w:ascii="仿宋" w:hAnsi="仿宋" w:eastAsia="仿宋" w:cs="仿宋"/>
                <w:b w:val="0"/>
                <w:bCs w:val="0"/>
                <w:color w:val="auto"/>
                <w:spacing w:val="0"/>
                <w:w w:val="100"/>
                <w:position w:val="0"/>
                <w:sz w:val="24"/>
                <w:szCs w:val="24"/>
                <w:shd w:val="clear" w:color="auto" w:fill="auto"/>
                <w:lang w:val="en-US" w:eastAsia="zh-CN" w:bidi="en-US"/>
              </w:rPr>
              <w:t>2、投标人使用相同IP地址的，一经发现，相关部门将进一步核实，查实后按串通投标处理。</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为保证本项目质量，良好的售后服务，最低报价不作为中标的唯一依据。</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其它：</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（1）投标企业严格遵守国家的法律法规及招标纪律，无违法违纪及商业贿赂行为。</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（2）不管投标结果如何，供应商均应自行承担投标所需一切费用。</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（3）供应商应以书面形式保证中标后由本公司组织实施，不得以任何理由将项目转包给其他机构。</w:t>
            </w:r>
          </w:p>
          <w:p>
            <w:pPr>
              <w:shd w:val="clear" w:color="auto" w:fill="auto"/>
              <w:spacing w:line="360" w:lineRule="auto"/>
              <w:jc w:val="left"/>
              <w:rPr>
                <w:rFonts w:hint="eastAsia" w:ascii="仿宋" w:hAnsi="仿宋" w:eastAsia="仿宋" w:cs="仿宋"/>
                <w:b w:val="0"/>
                <w:bCs w:val="0"/>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中如出现前后不一致情况，均以前附表内容为准。</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r>
        <w:rPr>
          <w:rFonts w:hint="eastAsia" w:ascii="仿宋" w:hAnsi="仿宋" w:eastAsia="仿宋" w:cs="仿宋"/>
          <w:b/>
          <w:color w:val="auto"/>
          <w:sz w:val="28"/>
          <w:szCs w:val="28"/>
          <w:highlight w:val="none"/>
        </w:rPr>
        <w:t>二、投标人须知</w:t>
      </w:r>
    </w:p>
    <w:p>
      <w:pPr>
        <w:shd w:val="clear" w:color="auto" w:fill="auto"/>
        <w:spacing w:line="440" w:lineRule="exact"/>
        <w:jc w:val="center"/>
        <w:outlineLvl w:val="2"/>
        <w:rPr>
          <w:rFonts w:hint="eastAsia" w:ascii="仿宋" w:hAnsi="仿宋" w:eastAsia="仿宋" w:cs="仿宋"/>
          <w:color w:val="auto"/>
          <w:sz w:val="28"/>
          <w:szCs w:val="28"/>
          <w:highlight w:val="none"/>
        </w:rPr>
      </w:pPr>
      <w:bookmarkStart w:id="0"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0"/>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1.项目概况</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供货期：见投标人须知前附表。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交</w:t>
      </w:r>
      <w:r>
        <w:rPr>
          <w:rFonts w:hint="eastAsia" w:ascii="仿宋" w:hAnsi="仿宋" w:eastAsia="仿宋" w:cs="仿宋"/>
          <w:color w:val="auto"/>
          <w:szCs w:val="21"/>
          <w:highlight w:val="none"/>
        </w:rPr>
        <w:t>货地点：见投标人须知前附表。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1.2招标人及联系人: 见投标人须知前附表。</w:t>
      </w:r>
    </w:p>
    <w:p>
      <w:pPr>
        <w:shd w:val="clear" w:color="auto" w:fill="auto"/>
        <w:snapToGrid w:val="0"/>
        <w:spacing w:line="440" w:lineRule="exact"/>
        <w:ind w:firstLine="600" w:firstLineChars="2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代理机构及联系人: 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1.5本项目控制价：见投标人须知前附表。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2.招标范围：</w:t>
      </w:r>
    </w:p>
    <w:p>
      <w:pPr>
        <w:shd w:val="clear" w:color="auto" w:fill="auto"/>
        <w:snapToGrid w:val="0"/>
        <w:spacing w:line="440" w:lineRule="exact"/>
        <w:ind w:firstLine="48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技术要求：详见</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第四章采购内容及技术要求。</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3.1本项目划分：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个包</w:t>
      </w:r>
      <w:r>
        <w:rPr>
          <w:rFonts w:hint="eastAsia" w:ascii="仿宋" w:hAnsi="仿宋" w:eastAsia="仿宋" w:cs="仿宋"/>
          <w:color w:val="auto"/>
          <w:kern w:val="0"/>
          <w:szCs w:val="21"/>
          <w:highlight w:val="none"/>
        </w:rPr>
        <w:t>。</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4.招标方式：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4.1本项目招标方式：见投标人须知前附表。</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5.计价方式：</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5.1本次招标项目合同采用</w:t>
      </w:r>
      <w:r>
        <w:rPr>
          <w:rFonts w:hint="eastAsia" w:ascii="仿宋" w:hAnsi="仿宋" w:eastAsia="仿宋" w:cs="仿宋"/>
          <w:color w:val="auto"/>
          <w:szCs w:val="21"/>
          <w:highlight w:val="none"/>
          <w:u w:val="single"/>
        </w:rPr>
        <w:t xml:space="preserve">   固定单价 。</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6.评标办法：</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6.1本次招标评标采用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eastAsia="zh-CN"/>
        </w:rPr>
        <w:t>综合评分</w:t>
      </w:r>
      <w:r>
        <w:rPr>
          <w:rFonts w:hint="eastAsia" w:ascii="仿宋" w:hAnsi="仿宋" w:eastAsia="仿宋" w:cs="仿宋"/>
          <w:color w:val="auto"/>
          <w:szCs w:val="21"/>
          <w:highlight w:val="none"/>
          <w:u w:val="single"/>
        </w:rPr>
        <w:t xml:space="preserve">法 </w:t>
      </w:r>
      <w:r>
        <w:rPr>
          <w:rFonts w:hint="eastAsia" w:ascii="仿宋" w:hAnsi="仿宋" w:eastAsia="仿宋" w:cs="仿宋"/>
          <w:color w:val="auto"/>
          <w:szCs w:val="21"/>
          <w:highlight w:val="none"/>
        </w:rPr>
        <w:t>（详见第三章评标办法）</w:t>
      </w:r>
    </w:p>
    <w:p>
      <w:pPr>
        <w:shd w:val="clear" w:color="auto" w:fill="auto"/>
        <w:snapToGrid w:val="0"/>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7.投标人资格：</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 投标费用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8.1投标人准备和参加投标活动发生的费用自理。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w:t>
      </w:r>
      <w:bookmarkStart w:id="1" w:name="_Toc247513962"/>
      <w:bookmarkStart w:id="2" w:name="_Toc152042315"/>
      <w:bookmarkStart w:id="3" w:name="_Toc296602429"/>
      <w:bookmarkStart w:id="4" w:name="_Toc247592876"/>
      <w:bookmarkStart w:id="5" w:name="_Toc152045539"/>
      <w:bookmarkStart w:id="6" w:name="_Toc247527563"/>
      <w:bookmarkStart w:id="7" w:name="_Toc144974507"/>
      <w:r>
        <w:rPr>
          <w:rFonts w:hint="eastAsia" w:ascii="仿宋" w:hAnsi="仿宋" w:eastAsia="仿宋" w:cs="仿宋"/>
          <w:b/>
          <w:color w:val="auto"/>
          <w:szCs w:val="21"/>
          <w:highlight w:val="none"/>
        </w:rPr>
        <w:t xml:space="preserve"> 踏勘现场</w:t>
      </w:r>
      <w:bookmarkEnd w:id="1"/>
      <w:bookmarkEnd w:id="2"/>
      <w:bookmarkEnd w:id="3"/>
      <w:bookmarkEnd w:id="4"/>
      <w:bookmarkEnd w:id="5"/>
      <w:bookmarkEnd w:id="6"/>
      <w:bookmarkEnd w:id="7"/>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9.1 投标人须知前附表规定组织踏勘现场的，招标人按投标人须知前附表规定的时间、地点组织投标人踏勘项目现场。</w:t>
      </w:r>
      <w:r>
        <w:rPr>
          <w:rFonts w:hint="eastAsia" w:ascii="仿宋" w:hAnsi="仿宋" w:eastAsia="仿宋" w:cs="仿宋"/>
          <w:color w:val="auto"/>
          <w:szCs w:val="21"/>
          <w:highlight w:val="none"/>
          <w:lang w:eastAsia="zh-CN"/>
        </w:rPr>
        <w:t>如需踏勘现场，</w:t>
      </w:r>
      <w:r>
        <w:rPr>
          <w:rFonts w:hint="eastAsia" w:ascii="仿宋" w:hAnsi="仿宋" w:eastAsia="仿宋" w:cs="仿宋"/>
          <w:color w:val="auto"/>
          <w:highlight w:val="none"/>
          <w:lang w:eastAsia="zh-CN"/>
        </w:rPr>
        <w:t>投标人自行踏勘现场的，可咨询本项目采购人或采购代理机构联系人。</w:t>
      </w:r>
      <w:r>
        <w:rPr>
          <w:rFonts w:hint="eastAsia" w:ascii="仿宋" w:hAnsi="仿宋" w:eastAsia="仿宋" w:cs="仿宋"/>
          <w:b/>
          <w:bCs/>
          <w:color w:val="auto"/>
          <w:highlight w:val="none"/>
          <w:lang w:eastAsia="zh-CN"/>
        </w:rPr>
        <w:t>投标人自行踏勘现场的，可咨询本项目采购人或采购代理机构联系人。</w:t>
      </w:r>
      <w:r>
        <w:rPr>
          <w:rFonts w:hint="eastAsia" w:ascii="仿宋" w:hAnsi="仿宋" w:eastAsia="仿宋" w:cs="仿宋"/>
          <w:b/>
          <w:bCs/>
          <w:color w:val="auto"/>
          <w:szCs w:val="21"/>
          <w:highlight w:val="none"/>
        </w:rPr>
        <w:t xml:space="preserve"> </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9.2 投标人踏勘现场发生的费用自理。</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9.3 除招标人的原因外，投标人自行负责在踏勘现场中所发生的人员伤亡和财产损失。</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9.4 招标人在踏勘现场中介绍的场地和相关的周边环境情况，供投标人在编制投标文件时参考，招标人不对投标人据此作出的判断和决策负责。</w:t>
      </w:r>
      <w:bookmarkStart w:id="8" w:name="_Toc247592877"/>
      <w:bookmarkStart w:id="9" w:name="_Toc247513963"/>
      <w:bookmarkStart w:id="10" w:name="_Toc247527564"/>
      <w:bookmarkStart w:id="11" w:name="_Toc152042316"/>
      <w:bookmarkStart w:id="12" w:name="_Toc152045540"/>
      <w:bookmarkStart w:id="13" w:name="_Toc144974508"/>
      <w:bookmarkStart w:id="14" w:name="_Toc296602430"/>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 投标预备会</w:t>
      </w:r>
      <w:bookmarkEnd w:id="8"/>
      <w:bookmarkEnd w:id="9"/>
      <w:bookmarkEnd w:id="10"/>
      <w:bookmarkEnd w:id="11"/>
      <w:bookmarkEnd w:id="12"/>
      <w:bookmarkEnd w:id="13"/>
      <w:bookmarkEnd w:id="14"/>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10.2投标人应在投标人须知前附表规定的时间前，将提出的问题送达招标人，以便招标人澄清。</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10.3招标人在投标人须知前附表规定的时间，将对投标人所提的问题进行澄清。该澄清内容为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 联合投标</w:t>
      </w:r>
    </w:p>
    <w:p>
      <w:pPr>
        <w:shd w:val="clear" w:color="auto" w:fill="auto"/>
        <w:spacing w:line="44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400" w:lineRule="exact"/>
        <w:ind w:firstLine="468" w:firstLineChars="195"/>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 联合体应当确定其中一个单位为投标的全权代表，负责参加投标的一切事务，并承担投标及履约中应承担的全部责任与义务。</w:t>
      </w:r>
    </w:p>
    <w:p>
      <w:pPr>
        <w:pStyle w:val="9"/>
        <w:shd w:val="clear" w:color="auto" w:fill="auto"/>
        <w:spacing w:after="0" w:line="400" w:lineRule="exact"/>
        <w:ind w:left="0" w:leftChars="0" w:firstLine="484" w:firstLineChars="202"/>
        <w:rPr>
          <w:rFonts w:hint="eastAsia" w:ascii="仿宋" w:hAnsi="仿宋" w:eastAsia="仿宋" w:cs="仿宋"/>
          <w:color w:val="auto"/>
          <w:szCs w:val="21"/>
          <w:highlight w:val="none"/>
        </w:rPr>
      </w:pPr>
      <w:r>
        <w:rPr>
          <w:rFonts w:hint="eastAsia" w:ascii="仿宋" w:hAnsi="仿宋" w:eastAsia="仿宋" w:cs="仿宋"/>
          <w:color w:val="auto"/>
          <w:szCs w:val="21"/>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12.招标代理费</w:t>
      </w:r>
      <w:r>
        <w:rPr>
          <w:rFonts w:hint="eastAsia" w:ascii="仿宋" w:hAnsi="仿宋" w:eastAsia="仿宋" w:cs="仿宋"/>
          <w:b/>
          <w:color w:val="auto"/>
          <w:szCs w:val="21"/>
          <w:highlight w:val="none"/>
          <w:lang w:eastAsia="zh-CN"/>
        </w:rPr>
        <w:t>：参照投标人须知前附表</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13.投标人应注意的事项</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13.1投标人一旦按规定缴纳了投标保证金并参加投标，即被认为接受了本</w:t>
      </w:r>
      <w:r>
        <w:rPr>
          <w:rFonts w:hint="eastAsia" w:ascii="仿宋" w:hAnsi="仿宋" w:eastAsia="仿宋" w:cs="仿宋"/>
          <w:color w:val="auto"/>
          <w:szCs w:val="21"/>
          <w:highlight w:val="none"/>
          <w:lang w:eastAsia="zh-CN"/>
        </w:rPr>
        <w:t>采购</w:t>
      </w:r>
      <w:r>
        <w:rPr>
          <w:rFonts w:hint="eastAsia" w:ascii="仿宋" w:hAnsi="仿宋" w:eastAsia="仿宋" w:cs="仿宋"/>
          <w:color w:val="auto"/>
          <w:szCs w:val="21"/>
          <w:highlight w:val="none"/>
        </w:rPr>
        <w:t>文件中的所有条件和规定。投标人必须严格按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 xml:space="preserve"> 投标人对采购内容中规定的技术参数、规格等要求必须完全响应或优于</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中的要求。</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所有投标人的投标保证金都应在</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规定的投标保证金缴纳截止日期前缴纳。</w:t>
      </w:r>
    </w:p>
    <w:p>
      <w:pPr>
        <w:shd w:val="clear" w:color="auto" w:fill="auto"/>
        <w:spacing w:line="440" w:lineRule="exact"/>
        <w:ind w:firstLine="470" w:firstLineChars="19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单位负责人为同一人或者存在直接控股、管理关系的不同供应商，不得参加同一合同项下的政府采购活动。</w:t>
      </w:r>
      <w:r>
        <w:rPr>
          <w:rFonts w:hint="eastAsia" w:ascii="仿宋" w:hAnsi="仿宋" w:eastAsia="仿宋" w:cs="仿宋"/>
          <w:color w:val="auto"/>
          <w:szCs w:val="21"/>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本项目只接受</w:t>
      </w:r>
      <w:r>
        <w:rPr>
          <w:rFonts w:hint="eastAsia" w:ascii="仿宋" w:hAnsi="仿宋" w:eastAsia="仿宋" w:cs="仿宋"/>
          <w:color w:val="auto"/>
          <w:szCs w:val="21"/>
          <w:highlight w:val="none"/>
        </w:rPr>
        <w:t>成为新疆维吾尔自治区政府采购网正式注册入库并完成CA数字证书申领供应商</w:t>
      </w:r>
      <w:r>
        <w:rPr>
          <w:rFonts w:hint="eastAsia" w:ascii="仿宋" w:hAnsi="仿宋" w:eastAsia="仿宋" w:cs="仿宋"/>
          <w:color w:val="auto"/>
          <w:szCs w:val="21"/>
          <w:highlight w:val="none"/>
          <w:lang w:eastAsia="zh-CN"/>
        </w:rPr>
        <w:t>参与投标</w:t>
      </w:r>
      <w:r>
        <w:rPr>
          <w:rFonts w:hint="eastAsia" w:ascii="仿宋" w:hAnsi="仿宋" w:eastAsia="仿宋" w:cs="仿宋"/>
          <w:color w:val="auto"/>
          <w:szCs w:val="21"/>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13.</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（1）国家对本次投标货物和服务的生产、安装调试、验收、维修等有关法律、法规及行业管理标准；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r>
        <w:rPr>
          <w:rFonts w:hint="eastAsia" w:ascii="仿宋" w:hAnsi="仿宋" w:eastAsia="仿宋" w:cs="仿宋"/>
          <w:bCs/>
          <w:color w:val="auto"/>
          <w:szCs w:val="21"/>
          <w:highlight w:val="none"/>
          <w:lang w:eastAsia="zh-CN"/>
        </w:rPr>
        <w:t>本地区</w:t>
      </w:r>
      <w:r>
        <w:rPr>
          <w:rFonts w:hint="eastAsia" w:ascii="仿宋" w:hAnsi="仿宋" w:eastAsia="仿宋" w:cs="仿宋"/>
          <w:bCs/>
          <w:color w:val="auto"/>
          <w:szCs w:val="21"/>
          <w:highlight w:val="none"/>
        </w:rPr>
        <w:t>有关管理部门的相关规定；</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（3）招标人的相关场地情况、基础建设、电力供应情况及相关设计标准。</w:t>
      </w:r>
    </w:p>
    <w:p>
      <w:pPr>
        <w:shd w:val="clear" w:color="auto" w:fill="auto"/>
        <w:spacing w:line="400" w:lineRule="exact"/>
        <w:ind w:firstLine="360" w:firstLineChars="15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本</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不再对上述情况进行描述。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lang w:eastAsia="zh-CN"/>
        </w:rPr>
      </w:pPr>
      <w:bookmarkStart w:id="15" w:name="_Toc469495725"/>
      <w:r>
        <w:rPr>
          <w:rFonts w:hint="eastAsia" w:ascii="仿宋" w:hAnsi="仿宋" w:eastAsia="仿宋" w:cs="仿宋"/>
          <w:b/>
          <w:color w:val="auto"/>
          <w:sz w:val="28"/>
          <w:szCs w:val="28"/>
          <w:highlight w:val="none"/>
        </w:rPr>
        <w:t>（二）</w:t>
      </w:r>
      <w:bookmarkEnd w:id="15"/>
      <w:r>
        <w:rPr>
          <w:rFonts w:hint="eastAsia" w:ascii="仿宋" w:hAnsi="仿宋" w:eastAsia="仿宋" w:cs="仿宋"/>
          <w:b/>
          <w:color w:val="auto"/>
          <w:sz w:val="28"/>
          <w:szCs w:val="28"/>
          <w:highlight w:val="none"/>
          <w:lang w:eastAsia="zh-CN"/>
        </w:rPr>
        <w:t>招标文件</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15.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的编制依据</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根据《中华人民共和国政府采购法》、《政府采购货物和服务招标投标管理办法》和《中华人民共和国合同法》</w:t>
      </w:r>
      <w:r>
        <w:rPr>
          <w:rFonts w:hint="eastAsia" w:ascii="仿宋" w:hAnsi="仿宋" w:eastAsia="仿宋" w:cs="仿宋"/>
          <w:color w:val="auto"/>
          <w:spacing w:val="-2"/>
          <w:szCs w:val="21"/>
          <w:highlight w:val="none"/>
        </w:rPr>
        <w:t>等相关法律法规和规章及部、省、市级规范性文件的规定，编制本</w:t>
      </w:r>
      <w:r>
        <w:rPr>
          <w:rFonts w:hint="eastAsia" w:ascii="仿宋" w:hAnsi="仿宋" w:eastAsia="仿宋" w:cs="仿宋"/>
          <w:color w:val="auto"/>
          <w:spacing w:val="-2"/>
          <w:szCs w:val="21"/>
          <w:highlight w:val="none"/>
          <w:lang w:eastAsia="zh-CN"/>
        </w:rPr>
        <w:t>采购文件</w:t>
      </w:r>
      <w:r>
        <w:rPr>
          <w:rFonts w:hint="eastAsia" w:ascii="仿宋" w:hAnsi="仿宋" w:eastAsia="仿宋" w:cs="仿宋"/>
          <w:color w:val="auto"/>
          <w:spacing w:val="-2"/>
          <w:szCs w:val="21"/>
          <w:highlight w:val="none"/>
        </w:rPr>
        <w:t>。</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16.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的组成</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16.1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包括内容：</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第一章  </w:t>
      </w:r>
      <w:r>
        <w:rPr>
          <w:rFonts w:hint="eastAsia" w:ascii="仿宋" w:hAnsi="仿宋" w:eastAsia="仿宋" w:cs="仿宋"/>
          <w:color w:val="auto"/>
          <w:szCs w:val="21"/>
          <w:highlight w:val="none"/>
          <w:lang w:eastAsia="zh-CN"/>
        </w:rPr>
        <w:t>招标</w:t>
      </w:r>
      <w:r>
        <w:rPr>
          <w:rFonts w:hint="eastAsia" w:ascii="仿宋" w:hAnsi="仿宋" w:eastAsia="仿宋" w:cs="仿宋"/>
          <w:color w:val="auto"/>
          <w:szCs w:val="21"/>
          <w:highlight w:val="none"/>
        </w:rPr>
        <w:t>公告</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第二章  供应商须知</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第三章  评标办法</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第四章  </w:t>
      </w:r>
      <w:r>
        <w:rPr>
          <w:rFonts w:hint="eastAsia" w:ascii="仿宋" w:hAnsi="仿宋" w:eastAsia="仿宋" w:cs="仿宋"/>
          <w:color w:val="auto"/>
          <w:szCs w:val="21"/>
          <w:highlight w:val="none"/>
          <w:lang w:eastAsia="zh-CN"/>
        </w:rPr>
        <w:t>技术规格数量及质量要求</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第五章  </w:t>
      </w:r>
      <w:r>
        <w:rPr>
          <w:rFonts w:hint="eastAsia" w:ascii="仿宋" w:hAnsi="仿宋" w:eastAsia="仿宋" w:cs="仿宋"/>
          <w:color w:val="auto"/>
          <w:szCs w:val="21"/>
          <w:highlight w:val="none"/>
          <w:lang w:eastAsia="zh-CN"/>
        </w:rPr>
        <w:t>合同（参考）</w:t>
      </w:r>
    </w:p>
    <w:p>
      <w:pPr>
        <w:shd w:val="clear" w:color="auto" w:fill="auto"/>
        <w:spacing w:line="440" w:lineRule="exact"/>
        <w:ind w:firstLine="1680" w:firstLineChars="7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第六章  </w:t>
      </w:r>
      <w:r>
        <w:rPr>
          <w:rFonts w:hint="eastAsia" w:ascii="仿宋" w:hAnsi="仿宋" w:eastAsia="仿宋" w:cs="仿宋"/>
          <w:color w:val="auto"/>
          <w:szCs w:val="21"/>
          <w:highlight w:val="none"/>
          <w:lang w:val="en-US" w:eastAsia="zh-CN"/>
        </w:rPr>
        <w:t>投标文件格式</w:t>
      </w:r>
    </w:p>
    <w:p>
      <w:pPr>
        <w:shd w:val="clear" w:color="auto" w:fill="auto"/>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16.2 除16.1内容外，招标答疑亦为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的组成部分，对招标人和投标人起约束作用。</w:t>
      </w:r>
    </w:p>
    <w:p>
      <w:pPr>
        <w:pStyle w:val="10"/>
        <w:shd w:val="clear" w:color="auto" w:fill="auto"/>
        <w:wordWrap w:val="0"/>
        <w:spacing w:line="400" w:lineRule="exact"/>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rPr>
        <w:t xml:space="preserve">   16.3</w:t>
      </w:r>
      <w:r>
        <w:rPr>
          <w:rFonts w:hint="eastAsia" w:ascii="仿宋" w:hAnsi="仿宋" w:eastAsia="仿宋" w:cs="仿宋"/>
          <w:color w:val="auto"/>
          <w:szCs w:val="21"/>
          <w:highlight w:val="none"/>
          <w:u w:val="none" w:color="auto"/>
        </w:rPr>
        <w:t>投标人应仔细阅读和检查</w:t>
      </w:r>
      <w:r>
        <w:rPr>
          <w:rFonts w:hint="eastAsia" w:ascii="仿宋" w:hAnsi="仿宋" w:eastAsia="仿宋" w:cs="仿宋"/>
          <w:color w:val="auto"/>
          <w:szCs w:val="21"/>
          <w:highlight w:val="none"/>
          <w:u w:val="none" w:color="auto"/>
          <w:lang w:eastAsia="zh-CN"/>
        </w:rPr>
        <w:t>采购文件</w:t>
      </w:r>
      <w:r>
        <w:rPr>
          <w:rFonts w:hint="eastAsia" w:ascii="仿宋" w:hAnsi="仿宋" w:eastAsia="仿宋" w:cs="仿宋"/>
          <w:color w:val="auto"/>
          <w:szCs w:val="21"/>
          <w:highlight w:val="none"/>
          <w:u w:val="none" w:color="auto"/>
        </w:rPr>
        <w:t>的全部内容。如发现缺页或附件不全，应及时向招标人提出，以便补齐。如有疑问，投标人应在</w:t>
      </w:r>
      <w:r>
        <w:rPr>
          <w:rFonts w:hint="eastAsia" w:ascii="仿宋" w:hAnsi="仿宋" w:eastAsia="仿宋" w:cs="仿宋"/>
          <w:color w:val="auto"/>
          <w:szCs w:val="21"/>
          <w:highlight w:val="none"/>
        </w:rPr>
        <w:t>以书面形式一次性向采购人和采购代理机构提出同一环节的质疑</w:t>
      </w:r>
      <w:r>
        <w:rPr>
          <w:rFonts w:hint="eastAsia" w:ascii="仿宋" w:hAnsi="仿宋" w:eastAsia="仿宋" w:cs="仿宋"/>
          <w:color w:val="auto"/>
          <w:szCs w:val="21"/>
          <w:highlight w:val="none"/>
          <w:u w:val="none" w:color="auto"/>
        </w:rPr>
        <w:t>。</w:t>
      </w:r>
    </w:p>
    <w:p>
      <w:pPr>
        <w:shd w:val="clear" w:color="auto" w:fill="auto"/>
        <w:wordWrap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的澄清将在</w:t>
      </w:r>
      <w:r>
        <w:rPr>
          <w:rFonts w:hint="eastAsia" w:ascii="仿宋" w:hAnsi="仿宋" w:eastAsia="仿宋" w:cs="仿宋"/>
          <w:color w:val="auto"/>
          <w:szCs w:val="21"/>
          <w:highlight w:val="none"/>
          <w:lang w:eastAsia="zh-CN"/>
        </w:rPr>
        <w:t>政采云平台“更正公告”栏目予以公告</w:t>
      </w:r>
      <w:r>
        <w:rPr>
          <w:rFonts w:hint="eastAsia" w:ascii="仿宋" w:hAnsi="仿宋" w:eastAsia="仿宋" w:cs="仿宋"/>
          <w:color w:val="auto"/>
          <w:szCs w:val="21"/>
          <w:highlight w:val="none"/>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17. </w:t>
      </w:r>
      <w:r>
        <w:rPr>
          <w:rFonts w:hint="eastAsia" w:ascii="仿宋" w:hAnsi="仿宋" w:eastAsia="仿宋" w:cs="仿宋"/>
          <w:b/>
          <w:bCs/>
          <w:color w:val="auto"/>
          <w:szCs w:val="21"/>
          <w:highlight w:val="none"/>
          <w:lang w:eastAsia="zh-CN"/>
        </w:rPr>
        <w:t>采购文件</w:t>
      </w:r>
      <w:r>
        <w:rPr>
          <w:rFonts w:hint="eastAsia" w:ascii="仿宋" w:hAnsi="仿宋" w:eastAsia="仿宋" w:cs="仿宋"/>
          <w:b/>
          <w:bCs/>
          <w:color w:val="auto"/>
          <w:szCs w:val="21"/>
          <w:highlight w:val="none"/>
        </w:rPr>
        <w:t>的修改、补充、解释</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发出后，招标人在规定的投标截止时间前可对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进行必要的修改和补充，并以</w:t>
      </w:r>
      <w:r>
        <w:rPr>
          <w:rFonts w:hint="eastAsia" w:ascii="仿宋" w:hAnsi="仿宋" w:eastAsia="仿宋" w:cs="仿宋"/>
          <w:color w:val="auto"/>
          <w:szCs w:val="21"/>
          <w:highlight w:val="none"/>
          <w:lang w:eastAsia="zh-CN"/>
        </w:rPr>
        <w:t>更正</w:t>
      </w:r>
      <w:r>
        <w:rPr>
          <w:rFonts w:hint="eastAsia" w:ascii="仿宋" w:hAnsi="仿宋" w:eastAsia="仿宋" w:cs="仿宋"/>
          <w:color w:val="auto"/>
          <w:szCs w:val="21"/>
          <w:highlight w:val="none"/>
        </w:rPr>
        <w:t>公告形式在</w:t>
      </w:r>
      <w:r>
        <w:rPr>
          <w:rFonts w:hint="eastAsia" w:ascii="仿宋" w:hAnsi="仿宋" w:eastAsia="仿宋" w:cs="仿宋"/>
          <w:color w:val="auto"/>
          <w:szCs w:val="21"/>
          <w:highlight w:val="none"/>
          <w:lang w:eastAsia="zh-CN"/>
        </w:rPr>
        <w:t>政采云平台</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更正公告</w:t>
      </w:r>
      <w:r>
        <w:rPr>
          <w:rFonts w:hint="eastAsia" w:ascii="仿宋" w:hAnsi="仿宋" w:eastAsia="仿宋" w:cs="仿宋"/>
          <w:color w:val="auto"/>
          <w:szCs w:val="21"/>
          <w:highlight w:val="none"/>
        </w:rPr>
        <w:t>”栏目予以公告，请各位投标人注意查看有关澄清内容，如不及时查看造成后果由投标人自负。</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的修改、补充等内容作为</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的组成部分，具有约束作用。</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shd w:val="clear" w:color="auto" w:fill="auto"/>
        <w:wordWrap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 xml:space="preserve"> </w:t>
      </w:r>
      <w:r>
        <w:rPr>
          <w:rFonts w:hint="eastAsia" w:ascii="仿宋" w:hAnsi="仿宋" w:eastAsia="仿宋" w:cs="仿宋"/>
          <w:color w:val="auto"/>
          <w:szCs w:val="21"/>
          <w:highlight w:val="none"/>
        </w:rPr>
        <w:t>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17.</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 xml:space="preserve"> </w:t>
      </w:r>
      <w:r>
        <w:rPr>
          <w:rFonts w:hint="eastAsia" w:ascii="仿宋" w:hAnsi="仿宋" w:eastAsia="仿宋" w:cs="仿宋"/>
          <w:bCs/>
          <w:color w:val="auto"/>
          <w:szCs w:val="21"/>
          <w:highlight w:val="none"/>
          <w:lang w:eastAsia="zh-CN"/>
        </w:rPr>
        <w:t>采购文件</w:t>
      </w:r>
      <w:r>
        <w:rPr>
          <w:rFonts w:hint="eastAsia" w:ascii="仿宋" w:hAnsi="仿宋" w:eastAsia="仿宋" w:cs="仿宋"/>
          <w:bCs/>
          <w:color w:val="auto"/>
          <w:szCs w:val="21"/>
          <w:highlight w:val="none"/>
        </w:rPr>
        <w:t>的解释</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由招标人（或其委托的招标代理机构）负责解释。</w:t>
      </w:r>
    </w:p>
    <w:p>
      <w:pPr>
        <w:shd w:val="clear" w:color="auto" w:fill="auto"/>
        <w:spacing w:line="40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18. </w:t>
      </w:r>
      <w:r>
        <w:rPr>
          <w:rFonts w:hint="eastAsia" w:ascii="仿宋" w:hAnsi="仿宋" w:eastAsia="仿宋" w:cs="仿宋"/>
          <w:b/>
          <w:color w:val="auto"/>
          <w:szCs w:val="21"/>
          <w:highlight w:val="none"/>
          <w:lang w:eastAsia="zh-CN"/>
        </w:rPr>
        <w:t>采购文件</w:t>
      </w:r>
      <w:r>
        <w:rPr>
          <w:rFonts w:hint="eastAsia" w:ascii="仿宋" w:hAnsi="仿宋" w:eastAsia="仿宋" w:cs="仿宋"/>
          <w:b/>
          <w:color w:val="auto"/>
          <w:szCs w:val="21"/>
          <w:highlight w:val="none"/>
        </w:rPr>
        <w:t>的发出</w:t>
      </w:r>
    </w:p>
    <w:p>
      <w:pPr>
        <w:shd w:val="clear" w:color="auto" w:fill="auto"/>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18.1  </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的澄清、修改、补充及招标答疑等均应报</w:t>
      </w:r>
      <w:r>
        <w:rPr>
          <w:rFonts w:hint="eastAsia" w:ascii="仿宋" w:hAnsi="仿宋" w:eastAsia="仿宋" w:cs="仿宋"/>
          <w:color w:val="auto"/>
          <w:szCs w:val="21"/>
          <w:highlight w:val="none"/>
          <w:lang w:eastAsia="zh-CN"/>
        </w:rPr>
        <w:t>相关部门</w:t>
      </w:r>
      <w:r>
        <w:rPr>
          <w:rFonts w:hint="eastAsia" w:ascii="仿宋" w:hAnsi="仿宋" w:eastAsia="仿宋" w:cs="仿宋"/>
          <w:color w:val="auto"/>
          <w:szCs w:val="21"/>
          <w:highlight w:val="none"/>
        </w:rPr>
        <w:t>备案后，方可发出。</w:t>
      </w:r>
    </w:p>
    <w:p>
      <w:pPr>
        <w:shd w:val="clear" w:color="auto" w:fill="auto"/>
        <w:spacing w:line="440" w:lineRule="exact"/>
        <w:ind w:firstLine="319" w:firstLineChars="133"/>
        <w:rPr>
          <w:rFonts w:hint="eastAsia" w:ascii="仿宋" w:hAnsi="仿宋" w:eastAsia="仿宋" w:cs="仿宋"/>
          <w:color w:val="auto"/>
          <w:szCs w:val="21"/>
          <w:highlight w:val="none"/>
        </w:rPr>
      </w:pPr>
      <w:bookmarkStart w:id="16" w:name="_Toc469495726"/>
      <w:r>
        <w:rPr>
          <w:rFonts w:hint="eastAsia" w:ascii="仿宋" w:hAnsi="仿宋" w:eastAsia="仿宋" w:cs="仿宋"/>
          <w:b/>
          <w:color w:val="auto"/>
          <w:szCs w:val="21"/>
          <w:highlight w:val="none"/>
        </w:rPr>
        <w:t xml:space="preserve">19. </w:t>
      </w:r>
      <w:r>
        <w:rPr>
          <w:rFonts w:hint="eastAsia" w:ascii="仿宋" w:hAnsi="仿宋" w:eastAsia="仿宋" w:cs="仿宋"/>
          <w:color w:val="auto"/>
          <w:szCs w:val="21"/>
          <w:highlight w:val="none"/>
        </w:rPr>
        <w:t>凡需要设置样品情形时，必须明确是否需要随样品提交检测报告，并明确检测机构的要求、检测内容、</w:t>
      </w:r>
      <w:r>
        <w:rPr>
          <w:rFonts w:hint="eastAsia" w:ascii="仿宋" w:hAnsi="仿宋" w:eastAsia="仿宋" w:cs="仿宋"/>
          <w:b w:val="0"/>
          <w:bCs w:val="0"/>
          <w:color w:val="auto"/>
          <w:szCs w:val="21"/>
          <w:highlight w:val="none"/>
        </w:rPr>
        <w:t>中标样品封存</w:t>
      </w:r>
      <w:r>
        <w:rPr>
          <w:rFonts w:hint="eastAsia" w:ascii="仿宋" w:hAnsi="仿宋" w:eastAsia="仿宋" w:cs="仿宋"/>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成交）结果公告。</w:t>
      </w:r>
    </w:p>
    <w:p>
      <w:pPr>
        <w:shd w:val="clear" w:color="auto" w:fill="auto"/>
        <w:spacing w:line="400" w:lineRule="exact"/>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根据项目需求按上述要求自行描述）</w:t>
      </w:r>
    </w:p>
    <w:p>
      <w:pPr>
        <w:shd w:val="clear" w:color="auto" w:fill="auto"/>
        <w:spacing w:before="312" w:beforeLines="100" w:after="312" w:afterLines="100" w:line="440" w:lineRule="exact"/>
        <w:jc w:val="center"/>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16"/>
    </w:p>
    <w:p>
      <w:pPr>
        <w:shd w:val="clear" w:color="auto" w:fill="auto"/>
        <w:spacing w:line="440" w:lineRule="exact"/>
        <w:ind w:firstLine="348" w:firstLineChars="145"/>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20. 投标的语言及度量衡单位</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20.2除</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中另有规定外，投标书所使用的度量衡均须采用法定计量单位。</w:t>
      </w:r>
    </w:p>
    <w:p>
      <w:pPr>
        <w:shd w:val="clear" w:color="auto" w:fill="auto"/>
        <w:spacing w:line="400" w:lineRule="exact"/>
        <w:ind w:firstLine="235" w:firstLineChars="9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21. 投标文件的组成</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资格证明文件和商务及技术文件两部分。</w:t>
      </w:r>
    </w:p>
    <w:p>
      <w:pPr>
        <w:shd w:val="clear" w:color="auto" w:fill="auto"/>
        <w:spacing w:line="440" w:lineRule="exact"/>
        <w:ind w:firstLine="352" w:firstLineChars="147"/>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21.1资格证明文件</w:t>
      </w:r>
      <w:r>
        <w:rPr>
          <w:rFonts w:hint="eastAsia" w:ascii="仿宋" w:hAnsi="仿宋" w:eastAsia="仿宋" w:cs="仿宋"/>
          <w:b/>
          <w:color w:val="auto"/>
          <w:szCs w:val="21"/>
          <w:highlight w:val="none"/>
          <w:lang w:eastAsia="zh-CN"/>
        </w:rPr>
        <w:t>（包括但不限于）</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资格证明</w:t>
      </w:r>
      <w:r>
        <w:rPr>
          <w:rFonts w:hint="eastAsia" w:ascii="仿宋" w:hAnsi="仿宋" w:eastAsia="仿宋" w:cs="仿宋"/>
          <w:color w:val="auto"/>
          <w:szCs w:val="21"/>
          <w:highlight w:val="none"/>
          <w:lang w:eastAsia="zh-CN"/>
        </w:rPr>
        <w:t>文件</w:t>
      </w:r>
      <w:r>
        <w:rPr>
          <w:rFonts w:hint="eastAsia" w:ascii="仿宋" w:hAnsi="仿宋" w:eastAsia="仿宋" w:cs="仿宋"/>
          <w:color w:val="auto"/>
          <w:szCs w:val="21"/>
          <w:highlight w:val="none"/>
        </w:rPr>
        <w:t>是证明投标人有资格参加投标和中标后有能力履行合同的文件，这些文件应能满足招标的要求，否则作无效投标处理。</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1、法人或者非法人组织的营业执照等证明文件复印件（须加盖本单位章）或自然人的身份证明复印件;</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2、法定代表人资格证明书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3、法定代表人授权书</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4、投标保证金收据或投标担保函；</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5、投标企业须提供投标人（被授权在职人员）近期社保证明</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6、参加政府采购活动前3年内在经营活动中没有重大违法记录的书面声明;</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7、未被“信用中国”（www.creditchina.gov.cn）、中国政府采购网（www.ccgp.gov.cn）列入失信被执行人、重大税收违法案件当事人名单、政府采购严重违法失信行为记录名单（提供查询结果网页截图并加盖供应商公章）</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8、投标企业须提供有效的《医疗器械生产许可证》或《医疗器械经营许可证》（二类医疗器械需提供医疗器械备案凭证）；</w:t>
      </w:r>
    </w:p>
    <w:p>
      <w:pPr>
        <w:shd w:val="clear" w:color="auto" w:fill="auto"/>
        <w:spacing w:line="440" w:lineRule="exact"/>
        <w:ind w:firstLine="352"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9、投标人须知资料表要求的其他资格证明文件;</w:t>
      </w:r>
    </w:p>
    <w:p>
      <w:pPr>
        <w:shd w:val="clear" w:color="auto" w:fill="auto"/>
        <w:spacing w:line="440" w:lineRule="exact"/>
        <w:ind w:firstLine="352" w:firstLineChars="147"/>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21.2</w:t>
      </w:r>
      <w:r>
        <w:rPr>
          <w:rFonts w:hint="eastAsia" w:ascii="仿宋" w:hAnsi="仿宋" w:eastAsia="仿宋" w:cs="仿宋"/>
          <w:b/>
          <w:color w:val="auto"/>
          <w:szCs w:val="21"/>
          <w:highlight w:val="none"/>
          <w:lang w:val="en-US" w:eastAsia="zh-CN"/>
        </w:rPr>
        <w:t xml:space="preserve"> 商务及技术文件</w:t>
      </w:r>
      <w:r>
        <w:rPr>
          <w:rFonts w:hint="eastAsia" w:ascii="仿宋" w:hAnsi="仿宋" w:eastAsia="仿宋" w:cs="仿宋"/>
          <w:b/>
          <w:color w:val="auto"/>
          <w:szCs w:val="21"/>
          <w:highlight w:val="none"/>
          <w:lang w:eastAsia="zh-CN"/>
        </w:rPr>
        <w:t>（包括但不限于）</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rPr>
        <w:t>1、投标</w:t>
      </w:r>
      <w:r>
        <w:rPr>
          <w:rFonts w:hint="eastAsia" w:ascii="仿宋" w:hAnsi="仿宋" w:eastAsia="仿宋" w:cs="仿宋"/>
          <w:b w:val="0"/>
          <w:bCs/>
          <w:color w:val="auto"/>
          <w:kern w:val="0"/>
          <w:szCs w:val="21"/>
          <w:highlight w:val="none"/>
          <w:u w:val="none"/>
          <w:lang w:eastAsia="zh-CN"/>
        </w:rPr>
        <w:t>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2、开标一览表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3、货物说明一览表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4</w:t>
      </w:r>
      <w:r>
        <w:rPr>
          <w:rFonts w:hint="eastAsia" w:ascii="仿宋" w:hAnsi="仿宋" w:eastAsia="仿宋" w:cs="仿宋"/>
          <w:b w:val="0"/>
          <w:bCs/>
          <w:color w:val="auto"/>
          <w:kern w:val="0"/>
          <w:szCs w:val="21"/>
          <w:highlight w:val="none"/>
          <w:u w:val="none"/>
        </w:rPr>
        <w:t>、投标分项报价表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5</w:t>
      </w:r>
      <w:r>
        <w:rPr>
          <w:rFonts w:hint="eastAsia" w:ascii="仿宋" w:hAnsi="仿宋" w:eastAsia="仿宋" w:cs="仿宋"/>
          <w:b w:val="0"/>
          <w:bCs/>
          <w:color w:val="auto"/>
          <w:kern w:val="0"/>
          <w:szCs w:val="21"/>
          <w:highlight w:val="none"/>
          <w:u w:val="none"/>
        </w:rPr>
        <w:t>、技术规格偏离表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6</w:t>
      </w:r>
      <w:r>
        <w:rPr>
          <w:rFonts w:hint="eastAsia" w:ascii="仿宋" w:hAnsi="仿宋" w:eastAsia="仿宋" w:cs="仿宋"/>
          <w:b w:val="0"/>
          <w:bCs/>
          <w:color w:val="auto"/>
          <w:kern w:val="0"/>
          <w:szCs w:val="21"/>
          <w:highlight w:val="none"/>
          <w:u w:val="none"/>
        </w:rPr>
        <w:t>、商务条款偏离表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7、投标人基本情况表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val="en-US" w:eastAsia="zh-CN"/>
        </w:rPr>
      </w:pPr>
      <w:r>
        <w:rPr>
          <w:rFonts w:hint="eastAsia" w:ascii="仿宋" w:hAnsi="仿宋" w:eastAsia="仿宋" w:cs="仿宋"/>
          <w:b w:val="0"/>
          <w:bCs/>
          <w:color w:val="auto"/>
          <w:kern w:val="0"/>
          <w:szCs w:val="21"/>
          <w:highlight w:val="none"/>
          <w:u w:val="none"/>
          <w:lang w:val="en-US" w:eastAsia="zh-CN"/>
        </w:rPr>
        <w:t>8、近三年（2019年1月1日至今）类似项目业绩表</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9</w:t>
      </w:r>
      <w:r>
        <w:rPr>
          <w:rFonts w:hint="eastAsia" w:ascii="仿宋" w:hAnsi="仿宋" w:eastAsia="仿宋" w:cs="仿宋"/>
          <w:b w:val="0"/>
          <w:bCs/>
          <w:color w:val="auto"/>
          <w:kern w:val="0"/>
          <w:szCs w:val="21"/>
          <w:highlight w:val="none"/>
          <w:u w:val="none"/>
        </w:rPr>
        <w:t>、中小企业声明函(</w:t>
      </w:r>
      <w:r>
        <w:rPr>
          <w:rFonts w:hint="eastAsia" w:ascii="仿宋" w:hAnsi="仿宋" w:eastAsia="仿宋" w:cs="仿宋"/>
          <w:b w:val="0"/>
          <w:bCs/>
          <w:color w:val="auto"/>
          <w:kern w:val="0"/>
          <w:szCs w:val="21"/>
          <w:highlight w:val="none"/>
          <w:u w:val="none"/>
          <w:lang w:eastAsia="zh-CN"/>
        </w:rPr>
        <w:t>货物</w:t>
      </w:r>
      <w:r>
        <w:rPr>
          <w:rFonts w:hint="eastAsia" w:ascii="仿宋" w:hAnsi="仿宋" w:eastAsia="仿宋" w:cs="仿宋"/>
          <w:b w:val="0"/>
          <w:bCs/>
          <w:color w:val="auto"/>
          <w:kern w:val="0"/>
          <w:szCs w:val="21"/>
          <w:highlight w:val="none"/>
          <w:u w:val="none"/>
        </w:rPr>
        <w:t>)</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rPr>
      </w:pPr>
      <w:r>
        <w:rPr>
          <w:rFonts w:hint="eastAsia" w:ascii="仿宋" w:hAnsi="仿宋" w:eastAsia="仿宋" w:cs="仿宋"/>
          <w:b w:val="0"/>
          <w:bCs/>
          <w:color w:val="auto"/>
          <w:kern w:val="0"/>
          <w:szCs w:val="21"/>
          <w:highlight w:val="none"/>
          <w:u w:val="none"/>
          <w:lang w:val="en-US" w:eastAsia="zh-CN"/>
        </w:rPr>
        <w:t>10、</w:t>
      </w:r>
      <w:r>
        <w:rPr>
          <w:rFonts w:hint="eastAsia" w:ascii="仿宋" w:hAnsi="仿宋" w:eastAsia="仿宋" w:cs="仿宋"/>
          <w:b w:val="0"/>
          <w:bCs/>
          <w:color w:val="auto"/>
          <w:kern w:val="0"/>
          <w:szCs w:val="21"/>
          <w:highlight w:val="none"/>
          <w:u w:val="none"/>
        </w:rPr>
        <w:t>《残疾人福利性单位声明函》</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11、</w:t>
      </w:r>
      <w:r>
        <w:rPr>
          <w:rFonts w:hint="eastAsia" w:ascii="仿宋" w:hAnsi="仿宋" w:eastAsia="仿宋" w:cs="仿宋"/>
          <w:b w:val="0"/>
          <w:bCs/>
          <w:color w:val="auto"/>
          <w:kern w:val="0"/>
          <w:szCs w:val="21"/>
          <w:highlight w:val="none"/>
          <w:u w:val="none"/>
          <w:lang w:eastAsia="zh-CN"/>
        </w:rPr>
        <w:t>评分标准和细则中技术部分证明材料</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12、</w:t>
      </w:r>
      <w:r>
        <w:rPr>
          <w:rFonts w:hint="eastAsia" w:ascii="仿宋" w:hAnsi="仿宋" w:eastAsia="仿宋" w:cs="仿宋"/>
          <w:b w:val="0"/>
          <w:bCs/>
          <w:color w:val="auto"/>
          <w:kern w:val="0"/>
          <w:szCs w:val="21"/>
          <w:highlight w:val="none"/>
          <w:u w:val="none"/>
          <w:lang w:eastAsia="zh-CN"/>
        </w:rPr>
        <w:t>评分标准和细则中技术部分证明材料（格式自拟）</w:t>
      </w:r>
    </w:p>
    <w:p>
      <w:pPr>
        <w:shd w:val="clear" w:color="auto" w:fill="auto"/>
        <w:spacing w:line="400" w:lineRule="exact"/>
        <w:ind w:firstLine="477" w:firstLineChars="199"/>
        <w:rPr>
          <w:rFonts w:hint="eastAsia" w:ascii="仿宋" w:hAnsi="仿宋" w:eastAsia="仿宋" w:cs="仿宋"/>
          <w:b w:val="0"/>
          <w:bCs/>
          <w:color w:val="auto"/>
          <w:kern w:val="0"/>
          <w:szCs w:val="21"/>
          <w:highlight w:val="none"/>
          <w:u w:val="none"/>
          <w:lang w:eastAsia="zh-CN"/>
        </w:rPr>
      </w:pPr>
      <w:r>
        <w:rPr>
          <w:rFonts w:hint="eastAsia" w:ascii="仿宋" w:hAnsi="仿宋" w:eastAsia="仿宋" w:cs="仿宋"/>
          <w:b w:val="0"/>
          <w:bCs/>
          <w:color w:val="auto"/>
          <w:kern w:val="0"/>
          <w:szCs w:val="21"/>
          <w:highlight w:val="none"/>
          <w:u w:val="none"/>
          <w:lang w:val="en-US" w:eastAsia="zh-CN"/>
        </w:rPr>
        <w:t>13、</w:t>
      </w:r>
      <w:r>
        <w:rPr>
          <w:rFonts w:hint="eastAsia" w:ascii="仿宋" w:hAnsi="仿宋" w:eastAsia="仿宋" w:cs="仿宋"/>
          <w:b w:val="0"/>
          <w:bCs/>
          <w:color w:val="auto"/>
          <w:kern w:val="0"/>
          <w:szCs w:val="21"/>
          <w:highlight w:val="none"/>
          <w:u w:val="none"/>
          <w:lang w:eastAsia="zh-CN"/>
        </w:rPr>
        <w:t>投标人认为有必要提供的其他证明材料（格式自拟）</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b/>
          <w:color w:val="auto"/>
          <w:kern w:val="0"/>
          <w:szCs w:val="21"/>
          <w:highlight w:val="none"/>
          <w:u w:val="single"/>
        </w:rPr>
        <w:t>注：以上材料须</w:t>
      </w:r>
      <w:r>
        <w:rPr>
          <w:rFonts w:hint="eastAsia" w:ascii="仿宋" w:hAnsi="仿宋" w:eastAsia="仿宋" w:cs="仿宋"/>
          <w:b/>
          <w:color w:val="auto"/>
          <w:kern w:val="0"/>
          <w:szCs w:val="21"/>
          <w:highlight w:val="none"/>
          <w:u w:val="single"/>
          <w:lang w:eastAsia="zh-CN"/>
        </w:rPr>
        <w:t>逐页</w:t>
      </w:r>
      <w:r>
        <w:rPr>
          <w:rFonts w:hint="eastAsia" w:ascii="仿宋" w:hAnsi="仿宋" w:eastAsia="仿宋" w:cs="仿宋"/>
          <w:b/>
          <w:color w:val="auto"/>
          <w:kern w:val="0"/>
          <w:szCs w:val="21"/>
          <w:highlight w:val="none"/>
          <w:u w:val="single"/>
        </w:rPr>
        <w:t>加盖单位公章</w:t>
      </w:r>
      <w:r>
        <w:rPr>
          <w:rFonts w:hint="eastAsia" w:ascii="仿宋" w:hAnsi="仿宋" w:eastAsia="仿宋" w:cs="仿宋"/>
          <w:b/>
          <w:color w:val="auto"/>
          <w:kern w:val="0"/>
          <w:szCs w:val="21"/>
          <w:highlight w:val="none"/>
          <w:u w:val="single"/>
          <w:lang w:eastAsia="zh-CN"/>
        </w:rPr>
        <w:t>。</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21.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投标文件的要求</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）投标文件格式应按本采购文件第六章格式要求编制，不得对采购文件格式进行增删更改，否则按无效标处理。</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pPr>
        <w:shd w:val="clear" w:color="auto" w:fill="auto"/>
        <w:spacing w:line="400" w:lineRule="exact"/>
        <w:ind w:firstLine="477"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）投标文件为电子投标文件，电子投标文件按“政采云供应商项目采购-电子招投标操作指南”及本采购文件要求制作、加密传输。</w:t>
      </w:r>
    </w:p>
    <w:p>
      <w:pPr>
        <w:shd w:val="clear" w:color="auto" w:fill="auto"/>
        <w:spacing w:line="400" w:lineRule="exact"/>
        <w:ind w:firstLine="47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22</w:t>
      </w:r>
      <w:r>
        <w:rPr>
          <w:rFonts w:hint="eastAsia" w:ascii="仿宋" w:hAnsi="仿宋" w:eastAsia="仿宋" w:cs="仿宋"/>
          <w:color w:val="auto"/>
          <w:szCs w:val="21"/>
          <w:highlight w:val="none"/>
        </w:rPr>
        <w:t>.</w:t>
      </w:r>
      <w:r>
        <w:rPr>
          <w:rFonts w:hint="eastAsia" w:ascii="仿宋" w:hAnsi="仿宋" w:eastAsia="仿宋" w:cs="仿宋"/>
          <w:b/>
          <w:color w:val="auto"/>
          <w:szCs w:val="21"/>
          <w:highlight w:val="none"/>
        </w:rPr>
        <w:t>投标报价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22.1投标报价文件中的单价和总价全部采用人民币表示。</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22.2投标报价表上应清楚地标明投标人拟提供货物的名称、型号、生产厂家、数量、单价和总价。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22.3投标人只允许有一个方案、一个报价。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22.4投标人应按“采购内容及技术参数要求”所列货物逐项进行单价报价，并最终按货物总量乘以货物单价报总价，不得采用总价下浮的方式进行报价。综合单价包括：货物本身价格、疫苗费检测费、运输费用、验货费用、损耗、技术指导、税金费用、自检费及验收合格前和质保期内发生的一切费用、应当提供的伴随服务/售后服务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22.5投标报价的价格是货物交货地验收价格，其总价即为履行合同的固定总价。</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22.7投标报价应由法定代表人或被授权人签署。</w:t>
      </w:r>
    </w:p>
    <w:p>
      <w:pPr>
        <w:shd w:val="clear" w:color="auto" w:fill="auto"/>
        <w:spacing w:line="440" w:lineRule="exact"/>
        <w:ind w:firstLine="48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22.8</w:t>
      </w:r>
      <w:r>
        <w:rPr>
          <w:rFonts w:hint="eastAsia" w:ascii="仿宋" w:hAnsi="仿宋" w:eastAsia="仿宋" w:cs="仿宋"/>
          <w:b/>
          <w:color w:val="auto"/>
          <w:szCs w:val="21"/>
          <w:highlight w:val="none"/>
        </w:rPr>
        <w:t>投标人投标总报价，不得高于本次招标设置的最高限价，</w:t>
      </w:r>
      <w:r>
        <w:rPr>
          <w:rFonts w:hint="eastAsia" w:ascii="仿宋" w:hAnsi="仿宋" w:eastAsia="仿宋" w:cs="仿宋"/>
          <w:b/>
          <w:bCs/>
          <w:color w:val="auto"/>
          <w:szCs w:val="21"/>
          <w:highlight w:val="none"/>
        </w:rPr>
        <w:t>否则将作为无效投标处理。</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22.10总投标价中不得包含</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22.11总投标价中不得缺漏</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Cs w:val="21"/>
          <w:highlight w:val="none"/>
          <w:lang w:val="en-US" w:eastAsia="zh-CN"/>
        </w:rPr>
        <w:t xml:space="preserve">    </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auto"/>
          <w:szCs w:val="21"/>
          <w:highlight w:val="none"/>
        </w:rPr>
      </w:pPr>
      <w:r>
        <w:rPr>
          <w:rFonts w:hint="eastAsia" w:ascii="仿宋" w:hAnsi="仿宋" w:eastAsia="仿宋" w:cs="仿宋"/>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23. 投标有效期</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23.2在投标有效期内，投标人撤销或修改其投标文件的，应承担</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和法律规定的责任。</w:t>
      </w:r>
    </w:p>
    <w:p>
      <w:pPr>
        <w:shd w:val="clear" w:color="auto" w:fill="auto"/>
        <w:spacing w:line="44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24. 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24.2自中标通知书发出之日起5个工作日内退还未中标投标人的投标保证金，自政府采购合同签订之日起5个工作日内退还中标人的投标保证金。</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24.3有下列情形之一的，投标保证金将不予退还： </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（2）中标通知书发出后三十天内，中标人无正当理由拒签合同协议书或未按</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规定提交履约担保。</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（3）提供虚假材料谋取中标的；</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（4）经查实属于陪标、串通投标的等。</w:t>
      </w:r>
    </w:p>
    <w:p>
      <w:pPr>
        <w:shd w:val="clear" w:color="auto" w:fill="auto"/>
        <w:spacing w:line="400" w:lineRule="exact"/>
        <w:ind w:firstLine="480" w:firstLineChars="200"/>
        <w:rPr>
          <w:rFonts w:hint="eastAsia" w:ascii="仿宋" w:hAnsi="仿宋" w:eastAsia="仿宋" w:cs="仿宋"/>
          <w:color w:val="auto"/>
          <w:szCs w:val="21"/>
          <w:highlight w:val="none"/>
        </w:rPr>
      </w:pPr>
      <w:bookmarkStart w:id="17" w:name="_Toc469495727"/>
      <w:r>
        <w:rPr>
          <w:rFonts w:hint="eastAsia" w:ascii="仿宋" w:hAnsi="仿宋" w:eastAsia="仿宋" w:cs="仿宋"/>
          <w:color w:val="auto"/>
          <w:szCs w:val="21"/>
          <w:highlight w:val="none"/>
        </w:rPr>
        <w:t>24.4投标保证金按</w:t>
      </w:r>
      <w:r>
        <w:rPr>
          <w:rFonts w:hint="eastAsia" w:ascii="仿宋" w:hAnsi="仿宋" w:eastAsia="仿宋" w:cs="仿宋"/>
          <w:color w:val="auto"/>
          <w:szCs w:val="21"/>
          <w:highlight w:val="none"/>
          <w:lang w:eastAsia="zh-CN"/>
        </w:rPr>
        <w:t>投标人须知前附表第</w:t>
      </w:r>
      <w:r>
        <w:rPr>
          <w:rFonts w:hint="eastAsia" w:ascii="仿宋" w:hAnsi="仿宋" w:eastAsia="仿宋" w:cs="仿宋"/>
          <w:color w:val="auto"/>
          <w:szCs w:val="21"/>
          <w:highlight w:val="none"/>
          <w:lang w:val="en-US" w:eastAsia="zh-CN"/>
        </w:rPr>
        <w:t>24条</w:t>
      </w:r>
      <w:r>
        <w:rPr>
          <w:rFonts w:hint="eastAsia" w:ascii="仿宋" w:hAnsi="仿宋" w:eastAsia="仿宋" w:cs="仿宋"/>
          <w:color w:val="auto"/>
          <w:szCs w:val="21"/>
          <w:highlight w:val="none"/>
        </w:rPr>
        <w:t>规定执行。</w:t>
      </w:r>
    </w:p>
    <w:p>
      <w:pPr>
        <w:pStyle w:val="3"/>
        <w:shd w:val="clear" w:color="auto" w:fill="auto"/>
        <w:bidi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bookmarkEnd w:id="17"/>
      <w:r>
        <w:rPr>
          <w:rFonts w:hint="eastAsia" w:ascii="仿宋" w:hAnsi="仿宋" w:eastAsia="仿宋" w:cs="仿宋"/>
          <w:color w:val="auto"/>
          <w:sz w:val="28"/>
          <w:szCs w:val="28"/>
          <w:highlight w:val="none"/>
        </w:rPr>
        <w:t>投标文件的制作、上传及递交要求</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投标文件的制作要求</w:t>
      </w:r>
    </w:p>
    <w:p>
      <w:pPr>
        <w:pStyle w:val="5"/>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5"/>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5"/>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w:t>
      </w:r>
      <w:r>
        <w:rPr>
          <w:rFonts w:hint="eastAsia" w:ascii="仿宋" w:hAnsi="仿宋" w:eastAsia="仿宋" w:cs="仿宋"/>
          <w:b w:val="0"/>
          <w:bCs/>
          <w:color w:val="auto"/>
          <w:sz w:val="24"/>
          <w:szCs w:val="24"/>
          <w:highlight w:val="none"/>
          <w:lang w:eastAsia="zh-CN"/>
        </w:rPr>
        <w:t>签章</w:t>
      </w:r>
      <w:r>
        <w:rPr>
          <w:rFonts w:hint="eastAsia" w:ascii="仿宋" w:hAnsi="仿宋" w:eastAsia="仿宋" w:cs="仿宋"/>
          <w:b w:val="0"/>
          <w:bCs/>
          <w:color w:val="auto"/>
          <w:sz w:val="24"/>
          <w:szCs w:val="24"/>
          <w:highlight w:val="none"/>
        </w:rPr>
        <w:t>、盖章、专用名称等特殊情形外，以中文汉语以外的文字表述的投标文件视同未提供。</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投标文件的上传</w:t>
      </w:r>
    </w:p>
    <w:p>
      <w:pPr>
        <w:pStyle w:val="5"/>
        <w:shd w:val="clear" w:color="auto" w:fill="auto"/>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5"/>
        <w:shd w:val="clear" w:color="auto" w:fill="auto"/>
        <w:snapToGrid w:val="0"/>
        <w:spacing w:line="360" w:lineRule="auto"/>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5"/>
        <w:shd w:val="clear" w:color="auto" w:fill="auto"/>
        <w:snapToGrid w:val="0"/>
        <w:spacing w:line="360" w:lineRule="auto"/>
        <w:ind w:firstLine="600" w:firstLineChars="250"/>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u w:val="single"/>
          <w:lang w:bidi="zh-CN"/>
        </w:rPr>
        <w:fldChar w:fldCharType="begin"/>
      </w:r>
      <w:r>
        <w:rPr>
          <w:rFonts w:hint="eastAsia" w:ascii="仿宋" w:hAnsi="仿宋" w:eastAsia="仿宋" w:cs="仿宋"/>
          <w:color w:val="auto"/>
          <w:sz w:val="24"/>
          <w:szCs w:val="24"/>
          <w:highlight w:val="none"/>
          <w:u w:val="single"/>
          <w:lang w:bidi="zh-CN"/>
        </w:rPr>
        <w:instrText xml:space="preserve"> HYPERLINK "mailto:1207446769@qq.com，接收人：陈加轲，电话：15157655122" </w:instrText>
      </w:r>
      <w:r>
        <w:rPr>
          <w:rFonts w:hint="eastAsia" w:ascii="仿宋" w:hAnsi="仿宋" w:eastAsia="仿宋" w:cs="仿宋"/>
          <w:color w:val="auto"/>
          <w:sz w:val="24"/>
          <w:szCs w:val="24"/>
          <w:highlight w:val="none"/>
          <w:u w:val="single"/>
          <w:lang w:bidi="zh-CN"/>
        </w:rPr>
        <w:fldChar w:fldCharType="separate"/>
      </w:r>
      <w:r>
        <w:rPr>
          <w:rFonts w:hint="eastAsia" w:ascii="仿宋" w:hAnsi="仿宋" w:eastAsia="仿宋" w:cs="仿宋"/>
          <w:color w:val="auto"/>
          <w:sz w:val="24"/>
          <w:szCs w:val="24"/>
          <w:highlight w:val="none"/>
          <w:u w:val="single"/>
          <w:lang w:val="en-US" w:bidi="zh-CN"/>
        </w:rPr>
        <w:t>245291818@qq.com</w:t>
      </w:r>
      <w:r>
        <w:rPr>
          <w:rStyle w:val="22"/>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bidi="zh-CN"/>
        </w:rPr>
        <w:t>朱先生</w:t>
      </w:r>
      <w:r>
        <w:rPr>
          <w:rStyle w:val="22"/>
          <w:rFonts w:hint="eastAsia" w:ascii="仿宋" w:hAnsi="仿宋" w:eastAsia="仿宋" w:cs="仿宋"/>
          <w:color w:val="auto"/>
          <w:sz w:val="24"/>
          <w:szCs w:val="24"/>
          <w:highlight w:val="none"/>
          <w:u w:val="single"/>
          <w:lang w:bidi="zh-CN"/>
        </w:rPr>
        <w:t>，电话：</w:t>
      </w:r>
      <w:r>
        <w:rPr>
          <w:rFonts w:hint="eastAsia" w:ascii="仿宋" w:hAnsi="仿宋" w:eastAsia="仿宋" w:cs="仿宋"/>
          <w:color w:val="auto"/>
          <w:sz w:val="24"/>
          <w:szCs w:val="24"/>
          <w:highlight w:val="none"/>
          <w:u w:val="single"/>
          <w:lang w:val="en-US" w:bidi="zh-CN"/>
        </w:rPr>
        <w:t>1</w:t>
      </w:r>
      <w:r>
        <w:rPr>
          <w:rFonts w:hint="eastAsia" w:ascii="仿宋" w:hAnsi="仿宋" w:eastAsia="仿宋" w:cs="仿宋"/>
          <w:color w:val="auto"/>
          <w:sz w:val="24"/>
          <w:szCs w:val="24"/>
          <w:highlight w:val="none"/>
          <w:u w:val="single"/>
          <w:lang w:bidi="zh-CN"/>
        </w:rPr>
        <w:fldChar w:fldCharType="end"/>
      </w:r>
      <w:r>
        <w:rPr>
          <w:rFonts w:hint="eastAsia" w:ascii="仿宋" w:hAnsi="仿宋" w:eastAsia="仿宋" w:cs="仿宋"/>
          <w:color w:val="auto"/>
          <w:sz w:val="24"/>
          <w:szCs w:val="24"/>
          <w:highlight w:val="none"/>
          <w:u w:val="single"/>
          <w:lang w:val="en-US" w:bidi="zh-CN"/>
        </w:rPr>
        <w:t>8609088999</w:t>
      </w:r>
      <w:r>
        <w:rPr>
          <w:rFonts w:hint="eastAsia" w:ascii="仿宋" w:hAnsi="仿宋" w:eastAsia="仿宋" w:cs="仿宋"/>
          <w:color w:val="auto"/>
          <w:sz w:val="24"/>
          <w:szCs w:val="24"/>
          <w:highlight w:val="none"/>
          <w:lang w:bidi="zh-CN"/>
        </w:rPr>
        <w:t>）；</w:t>
      </w:r>
    </w:p>
    <w:p>
      <w:pPr>
        <w:pStyle w:val="5"/>
        <w:shd w:val="clear" w:color="auto" w:fill="auto"/>
        <w:snapToGrid w:val="0"/>
        <w:spacing w:line="360" w:lineRule="auto"/>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27.</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pPr>
        <w:shd w:val="clear" w:color="auto" w:fill="auto"/>
        <w:tabs>
          <w:tab w:val="left" w:pos="960"/>
          <w:tab w:val="left" w:pos="1418"/>
        </w:tabs>
        <w:autoSpaceDE w:val="0"/>
        <w:autoSpaceDN w:val="0"/>
        <w:adjustRightInd w:val="0"/>
        <w:snapToGrid w:val="0"/>
        <w:spacing w:line="360" w:lineRule="auto"/>
        <w:jc w:val="center"/>
        <w:rPr>
          <w:rFonts w:hint="eastAsia" w:ascii="仿宋" w:hAnsi="仿宋" w:eastAsia="仿宋" w:cs="仿宋"/>
          <w:b/>
          <w:bCs/>
          <w:color w:val="auto"/>
          <w:sz w:val="28"/>
          <w:szCs w:val="28"/>
          <w:highlight w:val="none"/>
        </w:rPr>
      </w:pPr>
    </w:p>
    <w:p>
      <w:pPr>
        <w:shd w:val="clear" w:color="auto" w:fill="auto"/>
        <w:tabs>
          <w:tab w:val="left" w:pos="960"/>
          <w:tab w:val="left" w:pos="1418"/>
        </w:tabs>
        <w:autoSpaceDE w:val="0"/>
        <w:autoSpaceDN w:val="0"/>
        <w:adjustRightInd w:val="0"/>
        <w:snapToGrid w:val="0"/>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（五）开标、评标和定标</w:t>
      </w:r>
      <w:bookmarkEnd w:id="18"/>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 开标</w:t>
      </w:r>
    </w:p>
    <w:p>
      <w:pPr>
        <w:shd w:val="clear" w:color="auto" w:fill="auto"/>
        <w:snapToGrid w:val="0"/>
        <w:spacing w:line="360" w:lineRule="auto"/>
        <w:ind w:firstLine="480" w:firstLineChars="200"/>
        <w:rPr>
          <w:rFonts w:hint="eastAsia" w:ascii="仿宋" w:hAnsi="仿宋" w:eastAsia="仿宋" w:cs="仿宋"/>
          <w:b/>
          <w:bCs/>
          <w:color w:val="auto"/>
          <w:sz w:val="24"/>
          <w:szCs w:val="24"/>
          <w:highlight w:val="none"/>
          <w:lang w:val="en-US" w:eastAsia="zh-CN"/>
        </w:rPr>
      </w:pPr>
      <w:bookmarkStart w:id="19" w:name="_Toc73975822"/>
      <w:r>
        <w:rPr>
          <w:rFonts w:hint="eastAsia" w:ascii="仿宋" w:hAnsi="仿宋" w:eastAsia="仿宋" w:cs="仿宋"/>
          <w:b/>
          <w:bCs/>
          <w:color w:val="auto"/>
          <w:sz w:val="24"/>
          <w:szCs w:val="24"/>
          <w:highlight w:val="none"/>
          <w:lang w:val="en-US" w:eastAsia="zh-CN"/>
        </w:rPr>
        <w:t>29.1开标邀请</w:t>
      </w:r>
      <w:bookmarkEnd w:id="19"/>
    </w:p>
    <w:p>
      <w:pPr>
        <w:pStyle w:val="10"/>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0"/>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0"/>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22"/>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0"/>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2"/>
        <w:rPr>
          <w:rFonts w:hint="eastAsia" w:ascii="仿宋" w:hAnsi="仿宋" w:eastAsia="仿宋" w:cs="仿宋"/>
          <w:b/>
          <w:color w:val="auto"/>
          <w:sz w:val="24"/>
          <w:szCs w:val="24"/>
          <w:highlight w:val="none"/>
        </w:rPr>
      </w:pPr>
      <w:bookmarkStart w:id="20" w:name="_Toc73975823"/>
      <w:r>
        <w:rPr>
          <w:rFonts w:hint="eastAsia" w:ascii="仿宋" w:hAnsi="仿宋" w:eastAsia="仿宋" w:cs="仿宋"/>
          <w:b/>
          <w:color w:val="auto"/>
          <w:sz w:val="24"/>
          <w:szCs w:val="24"/>
          <w:highlight w:val="none"/>
          <w:lang w:val="en-US" w:eastAsia="zh-CN"/>
        </w:rPr>
        <w:t>29.2</w:t>
      </w:r>
      <w:r>
        <w:rPr>
          <w:rFonts w:hint="eastAsia" w:ascii="仿宋" w:hAnsi="仿宋" w:eastAsia="仿宋" w:cs="仿宋"/>
          <w:b/>
          <w:bCs/>
          <w:color w:val="auto"/>
          <w:sz w:val="24"/>
          <w:szCs w:val="24"/>
          <w:highlight w:val="none"/>
        </w:rPr>
        <w:t>开标程序（先资格、商务技术后报价）</w:t>
      </w:r>
      <w:bookmarkEnd w:id="20"/>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公布投标文件解密情况（投标文件成功解密的供应商名单等信息），组织签署</w:t>
      </w:r>
      <w:r>
        <w:rPr>
          <w:rFonts w:hint="eastAsia" w:ascii="仿宋" w:hAnsi="仿宋" w:eastAsia="仿宋" w:cs="仿宋"/>
          <w:b/>
          <w:bCs/>
          <w:color w:val="auto"/>
          <w:kern w:val="0"/>
          <w:sz w:val="24"/>
          <w:szCs w:val="24"/>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auto"/>
          <w:kern w:val="0"/>
          <w:sz w:val="24"/>
          <w:szCs w:val="24"/>
          <w:highlight w:val="none"/>
          <w:lang w:val="en-US" w:eastAsia="zh-CN"/>
        </w:rPr>
        <w:t>245291818@qq.com</w:t>
      </w:r>
      <w:r>
        <w:rPr>
          <w:rFonts w:hint="eastAsia" w:ascii="仿宋" w:hAnsi="仿宋" w:eastAsia="仿宋" w:cs="仿宋"/>
          <w:b/>
          <w:bCs/>
          <w:color w:val="auto"/>
          <w:kern w:val="0"/>
          <w:sz w:val="24"/>
          <w:szCs w:val="24"/>
          <w:highlight w:val="none"/>
        </w:rPr>
        <w:t xml:space="preserve"> ，逾期发送或未发送的视为无异议</w:t>
      </w:r>
      <w:r>
        <w:rPr>
          <w:rFonts w:hint="eastAsia" w:ascii="仿宋" w:hAnsi="仿宋" w:eastAsia="仿宋" w:cs="仿宋"/>
          <w:color w:val="auto"/>
          <w:kern w:val="0"/>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并【开启签章时段】，供应商对开标纪录进行在线签章确认（不予确认的应说明理由，否则视为无异议）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或盖章确认的材料将通过“政府采购云平台”进行，若因“政府采购云平台”技术问题无法进行</w:t>
      </w:r>
      <w:r>
        <w:rPr>
          <w:rFonts w:hint="eastAsia" w:ascii="仿宋" w:hAnsi="仿宋" w:eastAsia="仿宋" w:cs="仿宋"/>
          <w:b/>
          <w:color w:val="auto"/>
          <w:kern w:val="0"/>
          <w:sz w:val="24"/>
          <w:szCs w:val="24"/>
          <w:highlight w:val="none"/>
          <w:lang w:eastAsia="zh-CN"/>
        </w:rPr>
        <w:t>签章</w:t>
      </w:r>
      <w:r>
        <w:rPr>
          <w:rFonts w:hint="eastAsia" w:ascii="仿宋" w:hAnsi="仿宋" w:eastAsia="仿宋" w:cs="仿宋"/>
          <w:b/>
          <w:color w:val="auto"/>
          <w:kern w:val="0"/>
          <w:sz w:val="24"/>
          <w:szCs w:val="24"/>
          <w:highlight w:val="none"/>
        </w:rPr>
        <w:t>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或盖章确认的时间为20分钟。如未及时</w:t>
      </w:r>
      <w:r>
        <w:rPr>
          <w:rFonts w:hint="eastAsia" w:ascii="仿宋" w:hAnsi="仿宋" w:eastAsia="仿宋" w:cs="仿宋"/>
          <w:b/>
          <w:color w:val="auto"/>
          <w:kern w:val="0"/>
          <w:sz w:val="24"/>
          <w:szCs w:val="24"/>
          <w:highlight w:val="none"/>
          <w:u w:val="single"/>
          <w:lang w:eastAsia="zh-CN"/>
        </w:rPr>
        <w:t>签章</w:t>
      </w:r>
      <w:r>
        <w:rPr>
          <w:rFonts w:hint="eastAsia" w:ascii="仿宋" w:hAnsi="仿宋" w:eastAsia="仿宋" w:cs="仿宋"/>
          <w:b/>
          <w:color w:val="auto"/>
          <w:kern w:val="0"/>
          <w:sz w:val="24"/>
          <w:szCs w:val="24"/>
          <w:highlight w:val="none"/>
          <w:u w:val="single"/>
        </w:rPr>
        <w:t>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29.3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5"/>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评审工作的组织</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采购人或采购代理机构负责组织本项目的评审工作，并依据《政府采购货物和服务招标投标管理办法（财政部第87号令）》第四十五条的相关规定履行职责。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 评标委员会的组建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.1评标委员会由采购人或采购代理机构依法组建，成员由采购人代表和评审专家组成，成员人数为五人或以上单数，其中评审专家不少于成员总数的三分之二。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rPr>
        <w:t>.2评审专家从</w:t>
      </w:r>
      <w:r>
        <w:rPr>
          <w:rFonts w:hint="eastAsia" w:ascii="仿宋" w:hAnsi="仿宋" w:eastAsia="仿宋" w:cs="仿宋"/>
          <w:color w:val="auto"/>
          <w:szCs w:val="21"/>
          <w:highlight w:val="none"/>
          <w:lang w:eastAsia="zh-CN"/>
        </w:rPr>
        <w:t>新疆</w:t>
      </w:r>
      <w:r>
        <w:rPr>
          <w:rFonts w:hint="eastAsia" w:ascii="仿宋" w:hAnsi="仿宋" w:eastAsia="仿宋" w:cs="仿宋"/>
          <w:color w:val="auto"/>
          <w:szCs w:val="21"/>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.评标委员会的职责</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.3对投标文件进行比较和评价。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32</w:t>
      </w:r>
      <w:r>
        <w:rPr>
          <w:rFonts w:hint="eastAsia" w:ascii="仿宋" w:hAnsi="仿宋" w:eastAsia="仿宋" w:cs="仿宋"/>
          <w:color w:val="auto"/>
          <w:szCs w:val="21"/>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评标原则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rPr>
        <w:t>. 评委纪律</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评标程序</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综合评分法货物项目的价格分值占总分值的比重(即权值)为</w:t>
      </w:r>
      <w:r>
        <w:rPr>
          <w:rFonts w:hint="eastAsia" w:ascii="仿宋" w:hAnsi="仿宋" w:eastAsia="仿宋" w:cs="仿宋"/>
          <w:color w:val="auto"/>
          <w:kern w:val="0"/>
          <w:szCs w:val="21"/>
          <w:highlight w:val="none"/>
          <w:lang w:val="en-US" w:eastAsia="zh-CN"/>
        </w:rPr>
        <w:t>30</w:t>
      </w:r>
      <w:r>
        <w:rPr>
          <w:rFonts w:hint="eastAsia" w:ascii="仿宋" w:hAnsi="仿宋" w:eastAsia="仿宋" w:cs="仿宋"/>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综合评分法中的价格分统一采用低价优先法计算，即满足</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文件要求且最后报价最低的供应商的价格为</w:t>
      </w:r>
      <w:r>
        <w:rPr>
          <w:rFonts w:hint="eastAsia" w:ascii="仿宋" w:hAnsi="仿宋" w:eastAsia="仿宋" w:cs="仿宋"/>
          <w:color w:val="auto"/>
          <w:kern w:val="0"/>
          <w:szCs w:val="21"/>
          <w:highlight w:val="none"/>
          <w:lang w:eastAsia="zh-CN"/>
        </w:rPr>
        <w:t>招标</w:t>
      </w:r>
      <w:r>
        <w:rPr>
          <w:rFonts w:hint="eastAsia" w:ascii="仿宋" w:hAnsi="仿宋" w:eastAsia="仿宋" w:cs="仿宋"/>
          <w:color w:val="auto"/>
          <w:kern w:val="0"/>
          <w:szCs w:val="21"/>
          <w:highlight w:val="none"/>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报价得分=（基准价/</w:t>
      </w:r>
      <w:r>
        <w:rPr>
          <w:rFonts w:hint="eastAsia" w:ascii="仿宋" w:hAnsi="仿宋" w:eastAsia="仿宋" w:cs="仿宋"/>
          <w:color w:val="auto"/>
          <w:kern w:val="0"/>
          <w:szCs w:val="21"/>
          <w:highlight w:val="none"/>
          <w:lang w:eastAsia="zh-CN"/>
        </w:rPr>
        <w:t>投标</w:t>
      </w:r>
      <w:r>
        <w:rPr>
          <w:rFonts w:hint="eastAsia" w:ascii="仿宋" w:hAnsi="仿宋" w:eastAsia="仿宋" w:cs="仿宋"/>
          <w:color w:val="auto"/>
          <w:kern w:val="0"/>
          <w:szCs w:val="21"/>
          <w:highlight w:val="none"/>
        </w:rPr>
        <w:t>报价）×价格权值×100</w:t>
      </w:r>
    </w:p>
    <w:p>
      <w:pPr>
        <w:widowControl/>
        <w:shd w:val="clear" w:color="auto" w:fill="auto"/>
        <w:spacing w:line="440" w:lineRule="exact"/>
        <w:ind w:firstLine="480"/>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8 起草评审报告，所有评审人员须在评审报告上</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 xml:space="preserve">确认，对自己的评审意见承担法律责任。 </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rPr>
        <w:t>10 修改评审结果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（1）分值汇总计算错误的；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（2）分项评分超出评分标准范围的；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val="en-US" w:eastAsia="zh-CN"/>
        </w:rPr>
        <w:t>投标供应商澄清、说明或补正时间为20分钟</w:t>
      </w:r>
      <w:r>
        <w:rPr>
          <w:rFonts w:hint="eastAsia" w:ascii="仿宋" w:hAnsi="仿宋" w:eastAsia="仿宋" w:cs="仿宋"/>
          <w:b w:val="0"/>
          <w:bCs w:val="0"/>
          <w:color w:val="auto"/>
          <w:szCs w:val="21"/>
          <w:highlight w:val="none"/>
          <w:lang w:val="en-US"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37．错误修正的原则</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37.7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38．无效投标文件有下列情形之一的，投标文件按无效标处理：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38.4 未按招标文件规定装订；</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38.5 投标文件内容未按招标文件规定签章或盖章的；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38.18违反国家及政府部门相关法律、法规、文件规定或经评标委员会认定的其他属于重大偏离；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39．废标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39.4 因重大变故，采购任务取消的。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40．突发情况处理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40.2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41</w:t>
      </w:r>
      <w:r>
        <w:rPr>
          <w:rFonts w:hint="eastAsia" w:ascii="仿宋" w:hAnsi="仿宋" w:eastAsia="仿宋" w:cs="仿宋"/>
          <w:b/>
          <w:color w:val="auto"/>
          <w:szCs w:val="21"/>
          <w:highlight w:val="none"/>
        </w:rPr>
        <w:t>. 定标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color w:val="auto"/>
          <w:szCs w:val="21"/>
          <w:highlight w:val="none"/>
        </w:rPr>
        <w:t xml:space="preserve">   </w:t>
      </w:r>
      <w:r>
        <w:rPr>
          <w:rFonts w:hint="eastAsia" w:ascii="仿宋" w:hAnsi="仿宋" w:eastAsia="仿宋" w:cs="仿宋"/>
          <w:b w:val="0"/>
          <w:bCs w:val="0"/>
          <w:color w:val="auto"/>
          <w:szCs w:val="21"/>
          <w:highlight w:val="none"/>
          <w:lang w:val="en-US" w:eastAsia="zh-CN"/>
        </w:rPr>
        <w:t xml:space="preserve"> </w:t>
      </w:r>
      <w:bookmarkStart w:id="21" w:name="_Toc469495729"/>
      <w:r>
        <w:rPr>
          <w:rFonts w:hint="eastAsia" w:ascii="仿宋" w:hAnsi="仿宋" w:eastAsia="仿宋" w:cs="仿宋"/>
          <w:b w:val="0"/>
          <w:bCs w:val="0"/>
          <w:color w:val="auto"/>
          <w:szCs w:val="21"/>
          <w:highlight w:val="none"/>
          <w:lang w:val="en-US" w:eastAsia="zh-CN"/>
        </w:rPr>
        <w:t>41.1采购结果确认（确定中标供应商）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bCs/>
          <w:color w:val="auto"/>
          <w:szCs w:val="21"/>
          <w:highlight w:val="none"/>
          <w:lang w:val="en-US" w:eastAsia="zh-CN"/>
        </w:rPr>
      </w:pPr>
      <w:r>
        <w:rPr>
          <w:rFonts w:hint="eastAsia" w:ascii="仿宋" w:hAnsi="仿宋" w:eastAsia="仿宋" w:cs="仿宋"/>
          <w:b w:val="0"/>
          <w:bCs w:val="0"/>
          <w:color w:val="auto"/>
          <w:szCs w:val="21"/>
          <w:highlight w:val="none"/>
          <w:lang w:val="en-US" w:eastAsia="zh-CN"/>
        </w:rPr>
        <w:t>41.2采购结果经采购人确认后2个工作日内，采购代理机构将在</w:t>
      </w:r>
      <w:r>
        <w:rPr>
          <w:rFonts w:hint="eastAsia" w:ascii="仿宋" w:hAnsi="仿宋" w:eastAsia="仿宋" w:cs="仿宋"/>
          <w:b/>
          <w:bCs/>
          <w:color w:val="auto"/>
          <w:szCs w:val="21"/>
          <w:highlight w:val="none"/>
          <w:lang w:val="en-US" w:eastAsia="zh-CN"/>
        </w:rPr>
        <w:t>克州公共资源交易中心网、新疆政府采购网（www.zjzfcg.gov.cn）上公告采购结果，中标公告期限为1个工作日。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 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42.1</w:t>
      </w:r>
      <w:r>
        <w:rPr>
          <w:rFonts w:hint="eastAsia" w:ascii="仿宋" w:hAnsi="仿宋" w:eastAsia="仿宋" w:cs="仿宋"/>
          <w:color w:val="auto"/>
          <w:szCs w:val="21"/>
          <w:highlight w:val="none"/>
        </w:rPr>
        <w:t>在</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通知书发出前，招标人将</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侯选人的情况在</w:t>
      </w:r>
      <w:r>
        <w:rPr>
          <w:rFonts w:hint="eastAsia" w:ascii="仿宋" w:hAnsi="仿宋" w:eastAsia="仿宋" w:cs="仿宋"/>
          <w:color w:val="auto"/>
          <w:szCs w:val="21"/>
          <w:highlight w:val="none"/>
          <w:lang w:val="en-US" w:eastAsia="zh-CN"/>
        </w:rPr>
        <w:t>克州公共资源交易中心网、</w:t>
      </w:r>
      <w:r>
        <w:rPr>
          <w:rFonts w:hint="eastAsia" w:ascii="仿宋" w:hAnsi="仿宋" w:eastAsia="仿宋" w:cs="仿宋"/>
          <w:color w:val="auto"/>
          <w:szCs w:val="21"/>
          <w:highlight w:val="none"/>
          <w:lang w:eastAsia="zh-CN"/>
        </w:rPr>
        <w:t>新疆政府采购网</w:t>
      </w:r>
      <w:r>
        <w:rPr>
          <w:rFonts w:hint="eastAsia" w:ascii="仿宋" w:hAnsi="仿宋" w:eastAsia="仿宋" w:cs="仿宋"/>
          <w:color w:val="auto"/>
          <w:szCs w:val="21"/>
          <w:highlight w:val="none"/>
        </w:rPr>
        <w:t>予以公示，</w:t>
      </w:r>
      <w:r>
        <w:rPr>
          <w:rFonts w:hint="eastAsia" w:ascii="仿宋" w:hAnsi="仿宋" w:eastAsia="仿宋" w:cs="仿宋"/>
          <w:b/>
          <w:bCs/>
          <w:color w:val="auto"/>
          <w:szCs w:val="21"/>
          <w:highlight w:val="none"/>
        </w:rPr>
        <w:t>公示期为</w:t>
      </w:r>
      <w:r>
        <w:rPr>
          <w:rFonts w:hint="eastAsia" w:ascii="仿宋" w:hAnsi="仿宋" w:eastAsia="仿宋" w:cs="仿宋"/>
          <w:b/>
          <w:bCs/>
          <w:color w:val="auto"/>
          <w:szCs w:val="21"/>
          <w:highlight w:val="none"/>
          <w:lang w:eastAsia="zh-CN"/>
        </w:rPr>
        <w:t>一</w:t>
      </w:r>
      <w:r>
        <w:rPr>
          <w:rFonts w:hint="eastAsia" w:ascii="仿宋" w:hAnsi="仿宋" w:eastAsia="仿宋" w:cs="仿宋"/>
          <w:b/>
          <w:bCs/>
          <w:color w:val="auto"/>
          <w:szCs w:val="21"/>
          <w:highlight w:val="none"/>
        </w:rPr>
        <w:t>个工作日。</w:t>
      </w:r>
      <w:r>
        <w:rPr>
          <w:rFonts w:hint="eastAsia" w:ascii="仿宋" w:hAnsi="仿宋" w:eastAsia="仿宋" w:cs="仿宋"/>
          <w:b/>
          <w:bCs/>
          <w:color w:val="auto"/>
          <w:szCs w:val="21"/>
          <w:highlight w:val="none"/>
          <w:lang w:eastAsia="zh-CN"/>
        </w:rPr>
        <w:t>待公示期结束后，</w:t>
      </w:r>
      <w:r>
        <w:rPr>
          <w:rFonts w:hint="eastAsia" w:ascii="仿宋" w:hAnsi="仿宋" w:eastAsia="仿宋" w:cs="仿宋"/>
          <w:b w:val="0"/>
          <w:bCs w:val="0"/>
          <w:color w:val="auto"/>
          <w:szCs w:val="21"/>
          <w:highlight w:val="none"/>
          <w:lang w:val="en-US" w:eastAsia="zh-CN"/>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hd w:val="clear" w:color="auto" w:fill="auto"/>
        <w:spacing w:before="156" w:beforeLines="50" w:line="440" w:lineRule="exact"/>
        <w:jc w:val="center"/>
        <w:outlineLvl w:val="2"/>
        <w:rPr>
          <w:rFonts w:hint="eastAsia" w:ascii="仿宋" w:hAnsi="仿宋" w:eastAsia="仿宋" w:cs="仿宋"/>
          <w:b/>
          <w:bCs/>
          <w:color w:val="auto"/>
          <w:sz w:val="24"/>
          <w:highlight w:val="none"/>
        </w:rPr>
      </w:pPr>
      <w:r>
        <w:rPr>
          <w:rFonts w:hint="eastAsia" w:ascii="仿宋" w:hAnsi="仿宋" w:eastAsia="仿宋" w:cs="仿宋"/>
          <w:b/>
          <w:bCs/>
          <w:color w:val="auto"/>
          <w:sz w:val="28"/>
          <w:szCs w:val="28"/>
          <w:highlight w:val="none"/>
        </w:rPr>
        <w:t>（六）合同的授予</w:t>
      </w:r>
      <w:bookmarkEnd w:id="21"/>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2" w:name="_Toc73975842"/>
      <w:bookmarkStart w:id="23" w:name="_Toc469495730"/>
      <w:r>
        <w:rPr>
          <w:rFonts w:hint="eastAsia" w:ascii="仿宋" w:hAnsi="仿宋" w:eastAsia="仿宋" w:cs="仿宋"/>
          <w:b w:val="0"/>
          <w:bCs w:val="0"/>
          <w:color w:val="auto"/>
          <w:szCs w:val="21"/>
          <w:highlight w:val="none"/>
          <w:lang w:val="en-US" w:eastAsia="zh-CN"/>
        </w:rPr>
        <w:t>43．履约保证金</w:t>
      </w:r>
      <w:bookmarkEnd w:id="22"/>
    </w:p>
    <w:p>
      <w:pPr>
        <w:shd w:val="clear" w:color="auto" w:fill="auto"/>
        <w:spacing w:line="440" w:lineRule="exact"/>
        <w:ind w:firstLine="240" w:firstLineChars="100"/>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Cs w:val="21"/>
          <w:highlight w:val="none"/>
          <w:lang w:val="en-US" w:eastAsia="zh-CN"/>
        </w:rPr>
        <w:t xml:space="preserve">43.1 </w:t>
      </w:r>
      <w:r>
        <w:rPr>
          <w:rFonts w:hint="eastAsia" w:ascii="仿宋" w:hAnsi="仿宋" w:eastAsia="仿宋" w:cs="仿宋"/>
          <w:b w:val="0"/>
          <w:bCs w:val="0"/>
          <w:color w:val="auto"/>
          <w:sz w:val="24"/>
          <w:szCs w:val="24"/>
          <w:lang w:val="zh-CN"/>
        </w:rPr>
        <w:t>成交人</w:t>
      </w:r>
      <w:r>
        <w:rPr>
          <w:rFonts w:hint="eastAsia" w:ascii="仿宋" w:hAnsi="仿宋" w:eastAsia="仿宋" w:cs="仿宋"/>
          <w:b w:val="0"/>
          <w:bCs w:val="0"/>
          <w:color w:val="auto"/>
          <w:sz w:val="24"/>
          <w:szCs w:val="24"/>
        </w:rPr>
        <w:t>应在领取《</w:t>
      </w:r>
      <w:r>
        <w:rPr>
          <w:rFonts w:hint="eastAsia" w:ascii="仿宋" w:hAnsi="仿宋" w:eastAsia="仿宋" w:cs="仿宋"/>
          <w:b w:val="0"/>
          <w:bCs w:val="0"/>
          <w:color w:val="auto"/>
          <w:sz w:val="24"/>
          <w:szCs w:val="24"/>
          <w:lang w:val="zh-CN"/>
        </w:rPr>
        <w:t>成交通知书</w:t>
      </w:r>
      <w:r>
        <w:rPr>
          <w:rFonts w:hint="eastAsia" w:ascii="仿宋" w:hAnsi="仿宋" w:eastAsia="仿宋" w:cs="仿宋"/>
          <w:b w:val="0"/>
          <w:bCs w:val="0"/>
          <w:color w:val="auto"/>
          <w:sz w:val="24"/>
          <w:szCs w:val="24"/>
        </w:rPr>
        <w:t>》后的十个日历日内，办理履约保证金，</w:t>
      </w:r>
      <w:r>
        <w:rPr>
          <w:rFonts w:hint="eastAsia" w:ascii="仿宋" w:hAnsi="仿宋" w:eastAsia="仿宋" w:cs="仿宋"/>
          <w:b w:val="0"/>
          <w:bCs w:val="0"/>
          <w:color w:val="auto"/>
          <w:sz w:val="24"/>
          <w:szCs w:val="24"/>
          <w:lang w:val="zh-CN"/>
        </w:rPr>
        <w:t>金额不超过合同总价的10%，</w:t>
      </w:r>
      <w:r>
        <w:rPr>
          <w:rFonts w:hint="eastAsia" w:ascii="仿宋" w:hAnsi="仿宋" w:eastAsia="仿宋" w:cs="仿宋"/>
          <w:b w:val="0"/>
          <w:bCs w:val="0"/>
          <w:color w:val="auto"/>
          <w:sz w:val="24"/>
          <w:szCs w:val="24"/>
        </w:rPr>
        <w:t>否则招标人可取消</w:t>
      </w:r>
      <w:r>
        <w:rPr>
          <w:rFonts w:hint="eastAsia" w:ascii="仿宋" w:hAnsi="仿宋" w:eastAsia="仿宋" w:cs="仿宋"/>
          <w:b w:val="0"/>
          <w:bCs w:val="0"/>
          <w:color w:val="auto"/>
          <w:sz w:val="24"/>
          <w:szCs w:val="24"/>
          <w:lang w:val="zh-CN"/>
        </w:rPr>
        <w:t>成交人</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val="zh-CN"/>
        </w:rPr>
        <w:t>成交</w:t>
      </w:r>
      <w:r>
        <w:rPr>
          <w:rFonts w:hint="eastAsia" w:ascii="仿宋" w:hAnsi="仿宋" w:eastAsia="仿宋" w:cs="仿宋"/>
          <w:b w:val="0"/>
          <w:bCs w:val="0"/>
          <w:color w:val="auto"/>
          <w:sz w:val="24"/>
          <w:szCs w:val="24"/>
        </w:rPr>
        <w:t>资格，并没收其投标保证金</w:t>
      </w:r>
      <w:r>
        <w:rPr>
          <w:rFonts w:hint="eastAsia" w:ascii="仿宋" w:hAnsi="仿宋" w:eastAsia="仿宋" w:cs="仿宋"/>
          <w:b w:val="0"/>
          <w:bCs w:val="0"/>
          <w:color w:val="auto"/>
          <w:sz w:val="24"/>
          <w:szCs w:val="24"/>
          <w:lang w:eastAsia="zh-CN"/>
        </w:rPr>
        <w:t>。</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（鼓励以银行、保险公司出具的履约保函形式提交；若以电汇、银行转账方式提交的，必须转到采购人的指定账户）。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43.3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bookmarkStart w:id="24" w:name="_Toc73975843"/>
      <w:r>
        <w:rPr>
          <w:rFonts w:hint="eastAsia" w:ascii="仿宋" w:hAnsi="仿宋" w:eastAsia="仿宋" w:cs="仿宋"/>
          <w:b w:val="0"/>
          <w:bCs w:val="0"/>
          <w:color w:val="auto"/>
          <w:szCs w:val="21"/>
          <w:highlight w:val="none"/>
          <w:lang w:val="en-US" w:eastAsia="zh-CN"/>
        </w:rPr>
        <w:t>44．签订合同及公告</w:t>
      </w:r>
      <w:bookmarkEnd w:id="24"/>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44.4采购人应当自政府采购合同签订之日起2个工作日内，在省级以上财政部门指定的政府采购信息发布媒体及相关网站上公告。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bCs/>
          <w:color w:val="auto"/>
          <w:sz w:val="28"/>
          <w:szCs w:val="28"/>
          <w:highlight w:val="none"/>
        </w:rPr>
      </w:pPr>
      <w:r>
        <w:rPr>
          <w:rFonts w:hint="eastAsia" w:ascii="仿宋" w:hAnsi="仿宋" w:eastAsia="仿宋" w:cs="仿宋"/>
          <w:b w:val="0"/>
          <w:bCs w:val="0"/>
          <w:color w:val="auto"/>
          <w:szCs w:val="21"/>
          <w:highlight w:val="none"/>
          <w:lang w:val="en-US" w:eastAsia="zh-CN"/>
        </w:rPr>
        <w:t>44.5采购人应当自政府采购合同签订之日起7个工作日内，将政府采购合同副本报同级人民政府财政部门备案以及采购代理机构存档。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（七）纪律和监督</w:t>
      </w:r>
      <w:bookmarkEnd w:id="23"/>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45</w:t>
      </w:r>
      <w:r>
        <w:rPr>
          <w:rFonts w:hint="eastAsia" w:ascii="仿宋" w:hAnsi="仿宋" w:eastAsia="仿宋" w:cs="仿宋"/>
          <w:color w:val="auto"/>
          <w:kern w:val="10"/>
          <w:szCs w:val="21"/>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46</w:t>
      </w:r>
      <w:r>
        <w:rPr>
          <w:rFonts w:hint="eastAsia" w:ascii="仿宋" w:hAnsi="仿宋" w:eastAsia="仿宋" w:cs="仿宋"/>
          <w:b/>
          <w:color w:val="auto"/>
          <w:szCs w:val="21"/>
          <w:highlight w:val="none"/>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46</w:t>
      </w:r>
      <w:r>
        <w:rPr>
          <w:rFonts w:hint="eastAsia" w:ascii="仿宋" w:hAnsi="仿宋" w:eastAsia="仿宋" w:cs="仿宋"/>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47</w:t>
      </w:r>
      <w:r>
        <w:rPr>
          <w:rFonts w:hint="eastAsia" w:ascii="仿宋" w:hAnsi="仿宋" w:eastAsia="仿宋" w:cs="仿宋"/>
          <w:b/>
          <w:color w:val="auto"/>
          <w:szCs w:val="21"/>
          <w:highlight w:val="none"/>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.1评标委员会成员不得收受他人的财物或者其他好处，不得向他人透漏对投标文件的评审和比较、中标候选人的推荐情况以及评标有关的其他情况。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lang w:val="en-US" w:eastAsia="zh-CN"/>
        </w:rPr>
        <w:t>47</w:t>
      </w:r>
      <w:r>
        <w:rPr>
          <w:rFonts w:hint="eastAsia" w:ascii="仿宋" w:hAnsi="仿宋" w:eastAsia="仿宋" w:cs="仿宋"/>
          <w:color w:val="auto"/>
          <w:kern w:val="10"/>
          <w:szCs w:val="21"/>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48</w:t>
      </w:r>
      <w:r>
        <w:rPr>
          <w:rFonts w:hint="eastAsia" w:ascii="仿宋" w:hAnsi="仿宋" w:eastAsia="仿宋" w:cs="仿宋"/>
          <w:b/>
          <w:color w:val="auto"/>
          <w:szCs w:val="21"/>
          <w:highlight w:val="none"/>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Cs w:val="21"/>
          <w:highlight w:val="none"/>
        </w:rPr>
      </w:pPr>
      <w:r>
        <w:rPr>
          <w:rFonts w:hint="eastAsia" w:ascii="仿宋" w:hAnsi="仿宋" w:eastAsia="仿宋" w:cs="仿宋"/>
          <w:color w:val="auto"/>
          <w:kern w:val="10"/>
          <w:szCs w:val="21"/>
          <w:highlight w:val="none"/>
        </w:rPr>
        <w:t>4</w:t>
      </w:r>
      <w:r>
        <w:rPr>
          <w:rFonts w:hint="eastAsia" w:ascii="仿宋" w:hAnsi="仿宋" w:eastAsia="仿宋" w:cs="仿宋"/>
          <w:color w:val="auto"/>
          <w:kern w:val="10"/>
          <w:szCs w:val="21"/>
          <w:highlight w:val="none"/>
          <w:lang w:val="en-US" w:eastAsia="zh-CN"/>
        </w:rPr>
        <w:t>8</w:t>
      </w:r>
      <w:r>
        <w:rPr>
          <w:rFonts w:hint="eastAsia" w:ascii="仿宋" w:hAnsi="仿宋" w:eastAsia="仿宋" w:cs="仿宋"/>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（八）质疑与投诉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49．质疑和投诉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供应商为自然人的，应当由本人签章；供应商为法人或者其他组织的，应当由法定代表人、主要负责人，或者其授权代表签章或者盖章，并加盖公章。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49.5供应商有下列情形之一的，采购代理机构和阿图什市财政局，将其列入不良行为记录名单：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auto"/>
          <w:sz w:val="30"/>
          <w:szCs w:val="30"/>
          <w:highlight w:val="none"/>
        </w:rPr>
      </w:pPr>
    </w:p>
    <w:p>
      <w:pPr>
        <w:shd w:val="clear" w:color="auto" w:fill="auto"/>
        <w:jc w:val="left"/>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政府采购投诉书（范本）</w:t>
      </w:r>
    </w:p>
    <w:p>
      <w:pPr>
        <w:pStyle w:val="14"/>
        <w:rPr>
          <w:rFonts w:hint="eastAsia"/>
          <w:color w:val="auto"/>
        </w:rPr>
      </w:pP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委托代理人姓名：                 职务：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住址：                           联系电话：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被投诉人：                       法定代表人：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地址：                            电话：               </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1.具体的投诉事项及事实依据；</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2.质疑和质疑答复情况简要描述；</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3.投诉请求。</w:t>
      </w:r>
    </w:p>
    <w:p>
      <w:pPr>
        <w:shd w:val="clear" w:color="auto" w:fill="auto"/>
        <w:spacing w:line="440" w:lineRule="exact"/>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附件：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1.质疑书和质疑答复书；</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2.证据材料（需注明证据来源），证人的姓名、住址和联系方式等；</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3.营业执照；</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4.法定代表人身份证明函</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5.法定代表人授权委托书（包含法定代表人和委托代理人的身份证复印件）；</w:t>
      </w:r>
    </w:p>
    <w:p>
      <w:pPr>
        <w:shd w:val="clear" w:color="auto" w:fill="auto"/>
        <w:spacing w:line="440" w:lineRule="exact"/>
        <w:ind w:firstLine="480" w:firstLineChars="2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6.政府采购监管部门认为应当提供的其它材料。</w:t>
      </w:r>
    </w:p>
    <w:p>
      <w:pPr>
        <w:shd w:val="clear" w:color="auto" w:fill="auto"/>
        <w:spacing w:line="440" w:lineRule="exact"/>
        <w:ind w:firstLine="3840" w:firstLineChars="1600"/>
        <w:jc w:val="left"/>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320" w:firstLineChars="18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投诉供应商：（盖章）</w:t>
      </w:r>
    </w:p>
    <w:p>
      <w:pPr>
        <w:shd w:val="clear" w:color="auto" w:fill="auto"/>
        <w:spacing w:line="440" w:lineRule="exact"/>
        <w:ind w:firstLine="240" w:firstLineChars="100"/>
        <w:jc w:val="left"/>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法定代表人（或主要负责人）：（签字或盖章）</w:t>
      </w:r>
    </w:p>
    <w:p>
      <w:pPr>
        <w:shd w:val="clear" w:color="auto" w:fill="auto"/>
        <w:spacing w:line="440" w:lineRule="exact"/>
        <w:ind w:firstLine="240" w:firstLineChars="100"/>
        <w:jc w:val="center"/>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年   月    日</w:t>
      </w:r>
    </w:p>
    <w:p>
      <w:pPr>
        <w:pStyle w:val="14"/>
        <w:rPr>
          <w:rFonts w:hint="eastAsia"/>
          <w:color w:val="auto"/>
          <w:lang w:val="en-US" w:eastAsia="zh-CN"/>
        </w:rPr>
      </w:pPr>
    </w:p>
    <w:p>
      <w:pPr>
        <w:shd w:val="clear" w:color="auto" w:fill="auto"/>
        <w:spacing w:line="440" w:lineRule="exact"/>
        <w:ind w:firstLine="240" w:firstLineChars="100"/>
        <w:jc w:val="center"/>
        <w:rPr>
          <w:rFonts w:hint="eastAsia" w:ascii="仿宋" w:hAnsi="仿宋" w:eastAsia="仿宋" w:cs="仿宋"/>
          <w:b/>
          <w:bCs/>
          <w:color w:val="auto"/>
          <w:sz w:val="32"/>
          <w:szCs w:val="32"/>
          <w:highlight w:val="none"/>
        </w:rPr>
      </w:pPr>
      <w:r>
        <w:rPr>
          <w:rFonts w:hint="eastAsia" w:ascii="仿宋" w:hAnsi="仿宋" w:eastAsia="仿宋" w:cs="仿宋"/>
          <w:b w:val="0"/>
          <w:bCs w:val="0"/>
          <w:color w:val="auto"/>
          <w:szCs w:val="21"/>
          <w:highlight w:val="none"/>
          <w:lang w:val="en-US" w:eastAsia="zh-CN"/>
        </w:rPr>
        <w:t xml:space="preserve">                            本投诉书正本叁份，副本   份并附电子文档。</w:t>
      </w:r>
      <w:bookmarkStart w:id="25" w:name="_Toc17515"/>
    </w:p>
    <w:p>
      <w:pPr>
        <w:shd w:val="clear" w:color="auto" w:fill="auto"/>
        <w:ind w:left="7951" w:hanging="5760" w:hangingChars="1800"/>
        <w:jc w:val="center"/>
        <w:outlineLvl w:val="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2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569" w:leftChars="304" w:hanging="3840" w:hangingChars="1600"/>
        <w:textAlignment w:val="auto"/>
        <w:outlineLvl w:val="0"/>
        <w:rPr>
          <w:rFonts w:hint="eastAsia" w:ascii="仿宋" w:hAnsi="仿宋" w:eastAsia="仿宋" w:cs="仿宋"/>
          <w:b/>
          <w:bCs/>
          <w:color w:val="auto"/>
          <w:sz w:val="24"/>
          <w:szCs w:val="24"/>
          <w:highlight w:val="none"/>
        </w:rPr>
      </w:pPr>
      <w:bookmarkStart w:id="26" w:name="_Toc11499"/>
      <w:r>
        <w:rPr>
          <w:rFonts w:hint="eastAsia" w:ascii="仿宋" w:hAnsi="仿宋" w:eastAsia="仿宋" w:cs="仿宋"/>
          <w:b/>
          <w:bCs/>
          <w:color w:val="auto"/>
          <w:sz w:val="24"/>
          <w:szCs w:val="24"/>
          <w:highlight w:val="none"/>
        </w:rPr>
        <w:t>质疑前置及时间要求</w:t>
      </w:r>
      <w:bookmarkEnd w:id="2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27" w:name="_Toc13508"/>
      <w:r>
        <w:rPr>
          <w:rFonts w:hint="eastAsia" w:ascii="仿宋" w:hAnsi="仿宋" w:eastAsia="仿宋" w:cs="仿宋"/>
          <w:b/>
          <w:bCs/>
          <w:color w:val="auto"/>
          <w:sz w:val="24"/>
          <w:szCs w:val="24"/>
          <w:highlight w:val="none"/>
        </w:rPr>
        <w:t>二、书面方式</w:t>
      </w:r>
      <w:bookmarkEnd w:id="2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4"/>
          <w:szCs w:val="24"/>
          <w:highlight w:val="none"/>
        </w:rPr>
        <w:t xml:space="preserve">  </w:t>
      </w:r>
      <w:bookmarkStart w:id="28" w:name="_Toc5978"/>
      <w:r>
        <w:rPr>
          <w:rFonts w:hint="eastAsia" w:ascii="仿宋" w:hAnsi="仿宋" w:eastAsia="仿宋" w:cs="仿宋"/>
          <w:b/>
          <w:bCs/>
          <w:color w:val="auto"/>
          <w:sz w:val="24"/>
          <w:szCs w:val="24"/>
          <w:highlight w:val="none"/>
        </w:rPr>
        <w:t>三、虚假、恶意投诉法律责任</w:t>
      </w:r>
      <w:bookmarkEnd w:id="2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shd w:val="clear" w:color="auto" w:fill="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阿图什市政府采购办</w:t>
      </w:r>
      <w:r>
        <w:rPr>
          <w:rFonts w:hint="eastAsia" w:ascii="仿宋" w:hAnsi="仿宋" w:eastAsia="仿宋" w:cs="仿宋"/>
          <w:color w:val="auto"/>
          <w:sz w:val="24"/>
          <w:szCs w:val="24"/>
          <w:highlight w:val="none"/>
        </w:rPr>
        <w:t>监管办公室</w:t>
      </w:r>
    </w:p>
    <w:p>
      <w:pPr>
        <w:shd w:val="clear" w:color="auto" w:fill="auto"/>
        <w:jc w:val="right"/>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auto"/>
          <w:sz w:val="44"/>
          <w:szCs w:val="44"/>
          <w:highlight w:val="none"/>
        </w:rPr>
      </w:pPr>
      <w:bookmarkStart w:id="2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44"/>
          <w:szCs w:val="44"/>
          <w:highlight w:val="none"/>
        </w:rPr>
      </w:pPr>
    </w:p>
    <w:p>
      <w:pPr>
        <w:pStyle w:val="17"/>
        <w:ind w:left="0" w:leftChars="0" w:firstLine="0" w:firstLineChars="0"/>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2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0"/>
        <w:rPr>
          <w:rFonts w:hint="eastAsia" w:ascii="仿宋" w:hAnsi="仿宋" w:eastAsia="仿宋" w:cs="仿宋"/>
          <w:bCs/>
          <w:color w:val="auto"/>
          <w:sz w:val="24"/>
          <w:szCs w:val="24"/>
          <w:highlight w:val="none"/>
        </w:rPr>
      </w:pPr>
      <w:bookmarkStart w:id="30" w:name="_Toc9061"/>
      <w:r>
        <w:rPr>
          <w:rFonts w:hint="eastAsia" w:ascii="仿宋" w:hAnsi="仿宋" w:eastAsia="仿宋" w:cs="仿宋"/>
          <w:bCs/>
          <w:color w:val="auto"/>
          <w:sz w:val="24"/>
          <w:szCs w:val="24"/>
          <w:highlight w:val="none"/>
        </w:rPr>
        <w:t>一、质疑供应商基本信息</w:t>
      </w:r>
      <w:bookmarkEnd w:id="3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1" w:name="_Toc15938"/>
      <w:r>
        <w:rPr>
          <w:rFonts w:hint="eastAsia" w:ascii="仿宋" w:hAnsi="仿宋" w:eastAsia="仿宋" w:cs="仿宋"/>
          <w:bCs/>
          <w:color w:val="auto"/>
          <w:sz w:val="24"/>
          <w:szCs w:val="24"/>
          <w:highlight w:val="none"/>
        </w:rPr>
        <w:t>二、质疑项目基本情况</w:t>
      </w:r>
      <w:bookmarkEnd w:id="3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2" w:name="_Toc18271"/>
      <w:r>
        <w:rPr>
          <w:rFonts w:hint="eastAsia" w:ascii="仿宋" w:hAnsi="仿宋" w:eastAsia="仿宋" w:cs="仿宋"/>
          <w:bCs/>
          <w:color w:val="auto"/>
          <w:sz w:val="24"/>
          <w:szCs w:val="24"/>
          <w:highlight w:val="none"/>
        </w:rPr>
        <w:t>三、质疑事项具体内容</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33" w:name="_Toc22365"/>
      <w:r>
        <w:rPr>
          <w:rFonts w:hint="eastAsia" w:ascii="仿宋" w:hAnsi="仿宋" w:eastAsia="仿宋" w:cs="仿宋"/>
          <w:bCs/>
          <w:color w:val="auto"/>
          <w:sz w:val="24"/>
          <w:szCs w:val="24"/>
          <w:highlight w:val="none"/>
        </w:rPr>
        <w:t>四、与质疑事项相关的质疑请求</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rPr>
      </w:pPr>
    </w:p>
    <w:p>
      <w:pPr>
        <w:pageBreakBefore/>
        <w:shd w:val="clear" w:color="auto" w:fill="auto"/>
        <w:spacing w:line="440" w:lineRule="exact"/>
        <w:jc w:val="center"/>
        <w:outlineLvl w:val="0"/>
        <w:rPr>
          <w:rFonts w:hint="eastAsia" w:ascii="仿宋" w:hAnsi="仿宋" w:eastAsia="仿宋" w:cs="仿宋"/>
          <w:b/>
          <w:bCs/>
          <w:color w:val="auto"/>
          <w:sz w:val="30"/>
          <w:szCs w:val="30"/>
          <w:highlight w:val="none"/>
        </w:rPr>
      </w:pPr>
      <w:bookmarkStart w:id="34" w:name="_Toc469495731"/>
      <w:r>
        <w:rPr>
          <w:rFonts w:hint="eastAsia" w:ascii="仿宋" w:hAnsi="仿宋" w:eastAsia="仿宋" w:cs="仿宋"/>
          <w:b/>
          <w:bCs/>
          <w:color w:val="auto"/>
          <w:sz w:val="30"/>
          <w:szCs w:val="30"/>
          <w:highlight w:val="none"/>
        </w:rPr>
        <w:t>第三章  评标办法</w:t>
      </w:r>
      <w:bookmarkEnd w:id="34"/>
    </w:p>
    <w:p>
      <w:pPr>
        <w:shd w:val="clear" w:color="auto" w:fill="auto"/>
        <w:jc w:val="center"/>
        <w:outlineLvl w:val="1"/>
        <w:rPr>
          <w:rFonts w:hint="eastAsia" w:ascii="仿宋" w:hAnsi="仿宋" w:eastAsia="仿宋" w:cs="仿宋"/>
          <w:b/>
          <w:color w:val="auto"/>
          <w:sz w:val="28"/>
          <w:szCs w:val="28"/>
          <w:highlight w:val="none"/>
        </w:rPr>
      </w:pPr>
      <w:bookmarkStart w:id="35" w:name="_Toc469495733"/>
      <w:bookmarkStart w:id="36" w:name="_Toc362983802"/>
      <w:bookmarkStart w:id="37" w:name="_Toc267320058"/>
      <w:bookmarkStart w:id="38"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1.4评标按照招标文件规定的内容进行，采取符合招标文件要求的最低评标价法；</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2、评标组织机构的组成</w:t>
      </w:r>
    </w:p>
    <w:p>
      <w:pPr>
        <w:widowControl/>
        <w:shd w:val="clear" w:color="auto" w:fill="auto"/>
        <w:spacing w:line="440" w:lineRule="exact"/>
        <w:ind w:firstLine="480"/>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kern w:val="0"/>
          <w:sz w:val="24"/>
          <w:szCs w:val="24"/>
          <w:highlight w:val="none"/>
          <w:lang w:bidi="ar-SA"/>
        </w:rPr>
        <w:t>评标委员会由采购人代表和有关技术、经济等方面的专家组成，成员人数应当为5人</w:t>
      </w:r>
      <w:r>
        <w:rPr>
          <w:rFonts w:hint="eastAsia" w:ascii="仿宋" w:hAnsi="仿宋" w:eastAsia="仿宋" w:cs="仿宋"/>
          <w:color w:val="auto"/>
          <w:kern w:val="0"/>
          <w:sz w:val="24"/>
          <w:szCs w:val="24"/>
          <w:highlight w:val="none"/>
          <w:lang w:eastAsia="zh-CN" w:bidi="ar-SA"/>
        </w:rPr>
        <w:t>或</w:t>
      </w:r>
      <w:r>
        <w:rPr>
          <w:rFonts w:hint="eastAsia" w:ascii="仿宋" w:hAnsi="仿宋" w:eastAsia="仿宋" w:cs="仿宋"/>
          <w:color w:val="auto"/>
          <w:kern w:val="0"/>
          <w:sz w:val="24"/>
          <w:szCs w:val="24"/>
          <w:highlight w:val="none"/>
          <w:lang w:val="en-US" w:eastAsia="zh-CN" w:bidi="ar-SA"/>
        </w:rPr>
        <w:t>5人</w:t>
      </w:r>
      <w:r>
        <w:rPr>
          <w:rFonts w:hint="eastAsia" w:ascii="仿宋" w:hAnsi="仿宋" w:eastAsia="仿宋" w:cs="仿宋"/>
          <w:color w:val="auto"/>
          <w:kern w:val="0"/>
          <w:sz w:val="24"/>
          <w:szCs w:val="24"/>
          <w:highlight w:val="none"/>
          <w:lang w:bidi="ar-SA"/>
        </w:rPr>
        <w:t>以上单数。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3、评标委员会职责</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3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4.3对评标过程和结果，以及投标人的商业秘密保密；</w:t>
      </w:r>
    </w:p>
    <w:p>
      <w:pPr>
        <w:keepNext w:val="0"/>
        <w:keepLines w:val="0"/>
        <w:pageBreakBefore w:val="0"/>
        <w:shd w:val="clear" w:color="auto" w:fill="auto"/>
        <w:tabs>
          <w:tab w:val="left" w:pos="567"/>
          <w:tab w:val="left" w:pos="600"/>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keepNext w:val="0"/>
        <w:keepLines w:val="0"/>
        <w:pageBreakBefore w:val="0"/>
        <w:shd w:val="clear" w:color="auto" w:fill="auto"/>
        <w:tabs>
          <w:tab w:val="left" w:pos="567"/>
          <w:tab w:val="left" w:pos="600"/>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keepNext w:val="0"/>
        <w:keepLines w:val="0"/>
        <w:pageBreakBefore w:val="0"/>
        <w:shd w:val="clear" w:color="auto" w:fill="auto"/>
        <w:tabs>
          <w:tab w:val="left" w:pos="567"/>
          <w:tab w:val="left" w:pos="600"/>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4.6配合招标人、招标代理机构答复投标供应商提出的质疑。</w:t>
      </w:r>
    </w:p>
    <w:p>
      <w:pPr>
        <w:keepNext w:val="0"/>
        <w:keepLines w:val="0"/>
        <w:pageBreakBefore w:val="0"/>
        <w:shd w:val="clear" w:color="auto" w:fill="auto"/>
        <w:tabs>
          <w:tab w:val="left" w:pos="1547"/>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评标程序</w:t>
      </w:r>
    </w:p>
    <w:p>
      <w:pPr>
        <w:pStyle w:val="15"/>
        <w:keepNext w:val="0"/>
        <w:keepLines w:val="0"/>
        <w:pageBreakBefore w:val="0"/>
        <w:shd w:val="clear" w:color="auto" w:fill="auto"/>
        <w:tabs>
          <w:tab w:val="left" w:pos="720"/>
          <w:tab w:val="clear" w:pos="0"/>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bidi="ar-SA"/>
        </w:rPr>
        <w:t>5.1本次评标首先由评标委员会对投标人的投标文件进行初审，对未能通过初审的投标文件作无效标处理；</w:t>
      </w:r>
    </w:p>
    <w:p>
      <w:pPr>
        <w:keepNext w:val="0"/>
        <w:keepLines w:val="0"/>
        <w:pageBreakBefore w:val="0"/>
        <w:shd w:val="clear" w:color="auto" w:fill="auto"/>
        <w:tabs>
          <w:tab w:val="left" w:pos="720"/>
        </w:tabs>
        <w:kinsoku/>
        <w:wordWrap/>
        <w:overflowPunct/>
        <w:topLinePunct w:val="0"/>
        <w:autoSpaceDE/>
        <w:autoSpaceDN/>
        <w:bidi w:val="0"/>
        <w:adjustRightInd/>
        <w:snapToGrid/>
        <w:spacing w:line="320" w:lineRule="exact"/>
        <w:ind w:firstLine="612" w:firstLineChars="255"/>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5.2对通过初审的投标人的投标文件进行详细的比较和评价。如需要，进行必要的澄清工作；</w:t>
      </w:r>
    </w:p>
    <w:p>
      <w:pPr>
        <w:keepNext w:val="0"/>
        <w:keepLines w:val="0"/>
        <w:pageBreakBefore w:val="0"/>
        <w:widowControl/>
        <w:shd w:val="clear" w:color="auto" w:fill="auto"/>
        <w:kinsoku/>
        <w:wordWrap/>
        <w:overflowPunct/>
        <w:topLinePunct w:val="0"/>
        <w:autoSpaceDE/>
        <w:autoSpaceDN/>
        <w:bidi w:val="0"/>
        <w:adjustRightInd/>
        <w:snapToGrid/>
        <w:spacing w:line="320" w:lineRule="exact"/>
        <w:ind w:firstLine="482"/>
        <w:textAlignment w:val="auto"/>
        <w:outlineLvl w:val="9"/>
        <w:rPr>
          <w:rFonts w:hint="eastAsia" w:ascii="仿宋" w:hAnsi="仿宋" w:eastAsia="仿宋" w:cs="仿宋"/>
          <w:b/>
          <w:bCs/>
          <w:color w:val="auto"/>
          <w:kern w:val="0"/>
          <w:sz w:val="24"/>
          <w:szCs w:val="24"/>
          <w:highlight w:val="none"/>
          <w:lang w:bidi="ar-SA"/>
        </w:rPr>
      </w:pPr>
      <w:r>
        <w:rPr>
          <w:rFonts w:hint="eastAsia" w:ascii="仿宋" w:hAnsi="仿宋" w:eastAsia="仿宋" w:cs="仿宋"/>
          <w:color w:val="auto"/>
          <w:sz w:val="24"/>
          <w:szCs w:val="24"/>
          <w:highlight w:val="none"/>
          <w:lang w:bidi="ar-SA"/>
        </w:rPr>
        <w:t>5.3依据评分标准以及各项权值，各位评委单独就每个投标人的</w:t>
      </w:r>
      <w:r>
        <w:rPr>
          <w:rFonts w:hint="eastAsia" w:ascii="仿宋" w:hAnsi="仿宋" w:eastAsia="仿宋" w:cs="仿宋"/>
          <w:color w:val="auto"/>
          <w:kern w:val="0"/>
          <w:sz w:val="24"/>
          <w:szCs w:val="24"/>
          <w:highlight w:val="none"/>
          <w:lang w:bidi="ar-SA"/>
        </w:rPr>
        <w:t>投标文件进行价格、技术、</w:t>
      </w:r>
      <w:r>
        <w:rPr>
          <w:rFonts w:hint="eastAsia" w:ascii="仿宋" w:hAnsi="仿宋" w:eastAsia="仿宋" w:cs="仿宋"/>
          <w:color w:val="auto"/>
          <w:kern w:val="0"/>
          <w:sz w:val="24"/>
          <w:szCs w:val="24"/>
          <w:highlight w:val="none"/>
          <w:lang w:bidi="ar-SA"/>
        </w:rPr>
        <w:fldChar w:fldCharType="begin"/>
      </w:r>
      <w:r>
        <w:rPr>
          <w:rFonts w:hint="eastAsia" w:ascii="仿宋" w:hAnsi="仿宋" w:eastAsia="仿宋" w:cs="仿宋"/>
          <w:color w:val="auto"/>
          <w:kern w:val="0"/>
          <w:sz w:val="24"/>
          <w:szCs w:val="24"/>
          <w:highlight w:val="none"/>
          <w:lang w:bidi="ar-SA"/>
        </w:rPr>
        <w:instrText xml:space="preserve">HYPERLINK "http://zhidao.baidu.com/search?word=%E8%B4%A2%E5%8A%A1%E7%8A%B6%E5%86%B5&amp;fr=qb_search_exp&amp;ie=utf8&amp;eid_gfrom=151"</w:instrText>
      </w:r>
      <w:r>
        <w:rPr>
          <w:rFonts w:hint="eastAsia" w:ascii="仿宋" w:hAnsi="仿宋" w:eastAsia="仿宋" w:cs="仿宋"/>
          <w:color w:val="auto"/>
          <w:kern w:val="0"/>
          <w:sz w:val="24"/>
          <w:szCs w:val="24"/>
          <w:highlight w:val="none"/>
          <w:lang w:bidi="ar-SA"/>
        </w:rPr>
        <w:fldChar w:fldCharType="separate"/>
      </w:r>
      <w:r>
        <w:rPr>
          <w:rFonts w:hint="eastAsia" w:ascii="仿宋" w:hAnsi="仿宋" w:eastAsia="仿宋" w:cs="仿宋"/>
          <w:color w:val="auto"/>
          <w:kern w:val="0"/>
          <w:sz w:val="24"/>
          <w:szCs w:val="24"/>
          <w:highlight w:val="none"/>
          <w:lang w:bidi="ar-SA"/>
        </w:rPr>
        <w:t>财务状况</w:t>
      </w:r>
      <w:r>
        <w:rPr>
          <w:rFonts w:hint="eastAsia" w:ascii="仿宋" w:hAnsi="仿宋" w:eastAsia="仿宋" w:cs="仿宋"/>
          <w:color w:val="auto"/>
          <w:kern w:val="0"/>
          <w:sz w:val="24"/>
          <w:szCs w:val="24"/>
          <w:highlight w:val="none"/>
          <w:lang w:bidi="ar-SA"/>
        </w:rPr>
        <w:fldChar w:fldCharType="end"/>
      </w:r>
      <w:r>
        <w:rPr>
          <w:rFonts w:hint="eastAsia" w:ascii="仿宋" w:hAnsi="仿宋" w:eastAsia="仿宋" w:cs="仿宋"/>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pPr>
        <w:shd w:val="clear" w:color="auto" w:fill="auto"/>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投标文件初审</w:t>
      </w:r>
      <w:bookmarkEnd w:id="35"/>
      <w:bookmarkEnd w:id="36"/>
    </w:p>
    <w:p>
      <w:pPr>
        <w:shd w:val="clear" w:color="auto" w:fill="auto"/>
        <w:spacing w:line="400" w:lineRule="exact"/>
        <w:ind w:firstLine="352"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p>
    <w:p>
      <w:pPr>
        <w:shd w:val="clear" w:color="auto" w:fill="auto"/>
        <w:spacing w:line="40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18"/>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789"/>
        <w:gridCol w:w="6940"/>
        <w:gridCol w:w="585"/>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83" w:type="dxa"/>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729" w:type="dxa"/>
            <w:gridSpan w:val="2"/>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86" w:type="dxa"/>
            <w:gridSpan w:val="2"/>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729" w:type="dxa"/>
            <w:gridSpan w:val="2"/>
            <w:vMerge w:val="continue"/>
            <w:noWrap w:val="0"/>
            <w:vAlign w:val="top"/>
          </w:tcPr>
          <w:p>
            <w:pPr>
              <w:shd w:val="clear" w:color="auto" w:fill="auto"/>
              <w:rPr>
                <w:rFonts w:hint="eastAsia" w:ascii="仿宋" w:hAnsi="仿宋" w:eastAsia="仿宋" w:cs="仿宋"/>
                <w:color w:val="auto"/>
                <w:sz w:val="24"/>
                <w:szCs w:val="24"/>
                <w:highlight w:val="none"/>
              </w:rPr>
            </w:pPr>
          </w:p>
        </w:tc>
        <w:tc>
          <w:tcPr>
            <w:tcW w:w="585"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701"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3" w:type="dxa"/>
            <w:vMerge w:val="restart"/>
            <w:noWrap w:val="0"/>
            <w:vAlign w:val="center"/>
          </w:tcPr>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查</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准</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(适</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用</w:t>
            </w:r>
          </w:p>
          <w:p>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资</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940" w:type="dxa"/>
            <w:noWrap w:val="0"/>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jc w:val="left"/>
              <w:textAlignment w:val="auto"/>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本项目为非专门面向中小企业（含中型、小型、微型企业）采购项目，根据《政府采购促进中小企业发展管理办法》（财库【2020】46号）</w:t>
            </w:r>
            <w:r>
              <w:rPr>
                <w:rFonts w:hint="eastAsia" w:ascii="仿宋" w:hAnsi="仿宋" w:eastAsia="仿宋" w:cs="仿宋"/>
                <w:color w:val="auto"/>
                <w:kern w:val="0"/>
                <w:sz w:val="24"/>
                <w:szCs w:val="24"/>
                <w:highlight w:val="none"/>
                <w:lang w:val="en-US" w:eastAsia="zh-CN" w:bidi="ar"/>
              </w:rPr>
              <w:t>及（财库[2022]19号）的</w:t>
            </w:r>
            <w:r>
              <w:rPr>
                <w:rFonts w:hint="eastAsia" w:ascii="仿宋" w:hAnsi="仿宋" w:eastAsia="仿宋" w:cs="仿宋"/>
                <w:color w:val="auto"/>
                <w:kern w:val="0"/>
                <w:sz w:val="24"/>
                <w:szCs w:val="24"/>
                <w:highlight w:val="none"/>
                <w:lang w:bidi="ar"/>
              </w:rPr>
              <w:t>规定，评标时将给予此类企业进行价格</w:t>
            </w:r>
            <w:r>
              <w:rPr>
                <w:rFonts w:hint="eastAsia" w:ascii="仿宋" w:hAnsi="仿宋" w:eastAsia="仿宋" w:cs="仿宋"/>
                <w:color w:val="auto"/>
                <w:kern w:val="0"/>
                <w:sz w:val="24"/>
                <w:szCs w:val="24"/>
                <w:highlight w:val="none"/>
                <w:lang w:val="en-US" w:eastAsia="zh-CN" w:bidi="ar"/>
              </w:rPr>
              <w:t>扣除</w:t>
            </w:r>
            <w:r>
              <w:rPr>
                <w:rFonts w:hint="eastAsia" w:ascii="仿宋" w:hAnsi="仿宋" w:eastAsia="仿宋" w:cs="仿宋"/>
                <w:color w:val="auto"/>
                <w:kern w:val="0"/>
                <w:sz w:val="24"/>
                <w:szCs w:val="24"/>
                <w:highlight w:val="none"/>
                <w:lang w:bidi="ar"/>
              </w:rPr>
              <w:t>10%</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lang w:bidi="ar"/>
              </w:rPr>
              <w:t>优惠，用优惠后的价格参与评审。</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983"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6940" w:type="dxa"/>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（三证合一）营业执照</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940"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法定代表人投标需提供法定代表人资格证明书，委托代理人投标需提供法定代表人授权委托书；</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4"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6940"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参加采购活动前三年内，在经营活动中没有重大违法记录，供应商须提供 “信用中国”网站（http://www.creditchina.gov.cn/）、“中国政府采购网”网站（http://www.ccgp.gov.cn）无违法违规行为的查询纪录（提供查询结果网页截图并加盖供应商公章）；</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940"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投标</w:t>
            </w:r>
            <w:r>
              <w:rPr>
                <w:rFonts w:hint="eastAsia" w:ascii="仿宋" w:hAnsi="仿宋" w:eastAsia="仿宋" w:cs="仿宋"/>
                <w:color w:val="auto"/>
                <w:kern w:val="0"/>
                <w:sz w:val="24"/>
                <w:szCs w:val="24"/>
                <w:highlight w:val="none"/>
                <w:lang w:bidi="ar"/>
              </w:rPr>
              <w:t>保证金收据</w:t>
            </w:r>
            <w:r>
              <w:rPr>
                <w:rFonts w:hint="eastAsia" w:ascii="仿宋" w:hAnsi="仿宋" w:eastAsia="仿宋" w:cs="仿宋"/>
                <w:color w:val="auto"/>
                <w:kern w:val="0"/>
                <w:sz w:val="24"/>
                <w:szCs w:val="24"/>
                <w:highlight w:val="none"/>
                <w:lang w:eastAsia="zh-CN" w:bidi="ar"/>
              </w:rPr>
              <w:t>或保函等票据</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940"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eastAsia="zh-CN" w:bidi="ar"/>
              </w:rPr>
              <w:t>投标企业</w:t>
            </w:r>
            <w:r>
              <w:rPr>
                <w:rFonts w:hint="eastAsia" w:ascii="仿宋" w:hAnsi="仿宋" w:eastAsia="仿宋" w:cs="仿宋"/>
                <w:color w:val="auto"/>
                <w:kern w:val="0"/>
                <w:sz w:val="24"/>
                <w:szCs w:val="24"/>
                <w:highlight w:val="none"/>
                <w:lang w:bidi="ar"/>
              </w:rPr>
              <w:t>须提供有效的《医疗器械生产许可证》或《医疗器械经营许可证》（二类医疗器械需提供医疗器械备案凭证）。</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983"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789" w:type="dxa"/>
            <w:noWrap w:val="0"/>
            <w:vAlign w:val="center"/>
          </w:tcPr>
          <w:p>
            <w:pPr>
              <w:shd w:val="clear" w:color="auto" w:fill="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6940" w:type="dxa"/>
            <w:noWrap w:val="0"/>
            <w:vAlign w:val="center"/>
          </w:tcPr>
          <w:p>
            <w:pPr>
              <w:widowControl/>
              <w:shd w:val="clear" w:color="auto" w:fill="auto"/>
              <w:jc w:val="left"/>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b w:val="0"/>
                <w:bCs w:val="0"/>
                <w:i w:val="0"/>
                <w:iCs w:val="0"/>
                <w:caps w:val="0"/>
                <w:color w:val="auto"/>
                <w:spacing w:val="0"/>
                <w:sz w:val="24"/>
                <w:szCs w:val="24"/>
                <w:lang w:eastAsia="zh-CN"/>
              </w:rPr>
              <w:t>投标企业须提供投标人（被授权在职人员）近期社保证明</w:t>
            </w:r>
          </w:p>
        </w:tc>
        <w:tc>
          <w:tcPr>
            <w:tcW w:w="585" w:type="dxa"/>
            <w:noWrap w:val="0"/>
            <w:vAlign w:val="top"/>
          </w:tcPr>
          <w:p>
            <w:pPr>
              <w:shd w:val="clear" w:color="auto" w:fill="auto"/>
              <w:rPr>
                <w:rFonts w:hint="eastAsia" w:ascii="仿宋" w:hAnsi="仿宋" w:eastAsia="仿宋" w:cs="仿宋"/>
                <w:color w:val="auto"/>
                <w:sz w:val="24"/>
                <w:szCs w:val="24"/>
                <w:highlight w:val="none"/>
              </w:rPr>
            </w:pPr>
          </w:p>
        </w:tc>
        <w:tc>
          <w:tcPr>
            <w:tcW w:w="701"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983"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789" w:type="dxa"/>
            <w:noWrap w:val="0"/>
            <w:vAlign w:val="top"/>
          </w:tcPr>
          <w:p>
            <w:pPr>
              <w:shd w:val="clear" w:color="auto" w:fill="auto"/>
              <w:spacing w:line="440" w:lineRule="exact"/>
              <w:rPr>
                <w:rFonts w:hint="eastAsia" w:ascii="仿宋" w:hAnsi="仿宋" w:eastAsia="仿宋" w:cs="仿宋"/>
                <w:color w:val="auto"/>
                <w:sz w:val="24"/>
                <w:szCs w:val="24"/>
                <w:highlight w:val="none"/>
              </w:rPr>
            </w:pPr>
          </w:p>
        </w:tc>
        <w:tc>
          <w:tcPr>
            <w:tcW w:w="6940" w:type="dxa"/>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286" w:type="dxa"/>
            <w:gridSpan w:val="2"/>
            <w:noWrap w:val="0"/>
            <w:vAlign w:val="top"/>
          </w:tcPr>
          <w:p>
            <w:pPr>
              <w:shd w:val="clear" w:color="auto" w:fill="auto"/>
              <w:rPr>
                <w:rFonts w:hint="eastAsia" w:ascii="仿宋" w:hAnsi="仿宋" w:eastAsia="仿宋" w:cs="仿宋"/>
                <w:color w:val="auto"/>
                <w:sz w:val="24"/>
                <w:szCs w:val="24"/>
                <w:highlight w:val="none"/>
              </w:rPr>
            </w:pPr>
          </w:p>
        </w:tc>
      </w:tr>
    </w:tbl>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578" w:firstLineChars="241"/>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keepNext w:val="0"/>
        <w:keepLines w:val="0"/>
        <w:pageBreakBefore w:val="0"/>
        <w:widowControl w:val="0"/>
        <w:shd w:val="clear" w:color="auto" w:fill="auto"/>
        <w:kinsoku/>
        <w:wordWrap/>
        <w:overflowPunct/>
        <w:topLinePunct w:val="0"/>
        <w:autoSpaceDE/>
        <w:autoSpaceDN/>
        <w:bidi w:val="0"/>
        <w:adjustRightInd/>
        <w:snapToGrid/>
        <w:spacing w:before="156" w:beforeLines="50" w:line="300" w:lineRule="exact"/>
        <w:ind w:firstLine="240" w:firstLineChars="1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18"/>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3" w:hRule="atLeast"/>
        </w:trPr>
        <w:tc>
          <w:tcPr>
            <w:tcW w:w="1237"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832" w:type="dxa"/>
            <w:gridSpan w:val="2"/>
            <w:tcBorders>
              <w:top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tcBorders>
              <w:left w:val="single" w:color="auto" w:sz="4" w:space="0"/>
              <w:bottom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6832" w:type="dxa"/>
            <w:gridSpan w:val="2"/>
            <w:tcBorders>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tcBorders>
              <w:right w:val="single" w:color="auto" w:sz="4" w:space="0"/>
            </w:tcBorders>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由政府立项核准、审批的采购项目, 报价高于设定的采购预算价的</w:t>
            </w:r>
            <w:r>
              <w:rPr>
                <w:rFonts w:hint="eastAsia" w:ascii="仿宋" w:hAnsi="仿宋" w:eastAsia="仿宋" w:cs="仿宋"/>
                <w:color w:val="auto"/>
                <w:kern w:val="0"/>
                <w:sz w:val="24"/>
                <w:szCs w:val="24"/>
                <w:highlight w:val="none"/>
                <w:lang w:eastAsia="zh-CN" w:bidi="ar"/>
              </w:rPr>
              <w:t>。</w:t>
            </w:r>
          </w:p>
        </w:tc>
        <w:tc>
          <w:tcPr>
            <w:tcW w:w="482"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c>
          <w:tcPr>
            <w:tcW w:w="884" w:type="dxa"/>
            <w:tcBorders>
              <w:left w:val="single" w:color="auto" w:sz="4" w:space="0"/>
              <w:right w:val="single" w:color="auto" w:sz="4" w:space="0"/>
            </w:tcBorders>
            <w:noWrap w:val="0"/>
            <w:vAlign w:val="top"/>
          </w:tcPr>
          <w:p>
            <w:pPr>
              <w:shd w:val="clear" w:color="auto" w:fill="auto"/>
              <w:jc w:val="center"/>
              <w:rPr>
                <w:rFonts w:hint="eastAsia" w:ascii="仿宋" w:hAnsi="仿宋" w:eastAsia="仿宋" w:cs="仿宋"/>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法定代表人身份证明及授权委托书有效，且符合招标文件规定的格式。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271"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bottom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271"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满足招标文件提出的技术和质量要求。</w:t>
            </w:r>
          </w:p>
        </w:tc>
        <w:tc>
          <w:tcPr>
            <w:tcW w:w="482"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top w:val="single" w:color="auto" w:sz="4" w:space="0"/>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271"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完成期限满足招标文件要求。</w:t>
            </w:r>
          </w:p>
        </w:tc>
        <w:tc>
          <w:tcPr>
            <w:tcW w:w="482" w:type="dxa"/>
            <w:tcBorders>
              <w:top w:val="single" w:color="auto" w:sz="4" w:space="0"/>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top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4"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售后服务满足招标文件要求。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投标有效期满足招标文件要求。</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5" w:hRule="atLeast"/>
        </w:trPr>
        <w:tc>
          <w:tcPr>
            <w:tcW w:w="1237" w:type="dxa"/>
            <w:vMerge w:val="continue"/>
            <w:tcBorders>
              <w:left w:val="single" w:color="auto" w:sz="4" w:space="0"/>
              <w:right w:val="single" w:color="auto" w:sz="4" w:space="0"/>
            </w:tcBorders>
            <w:noWrap w:val="0"/>
            <w:vAlign w:val="center"/>
          </w:tcPr>
          <w:p>
            <w:pPr>
              <w:shd w:val="clear" w:color="auto" w:fill="auto"/>
              <w:rPr>
                <w:rFonts w:hint="eastAsia" w:ascii="仿宋" w:hAnsi="仿宋" w:eastAsia="仿宋" w:cs="仿宋"/>
                <w:color w:val="auto"/>
                <w:sz w:val="24"/>
                <w:szCs w:val="24"/>
                <w:highlight w:val="none"/>
              </w:rPr>
            </w:pPr>
          </w:p>
        </w:tc>
        <w:tc>
          <w:tcPr>
            <w:tcW w:w="561" w:type="dxa"/>
            <w:tcBorders>
              <w:lef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271" w:type="dxa"/>
            <w:tcBorders>
              <w:right w:val="single" w:color="auto" w:sz="4" w:space="0"/>
            </w:tcBorders>
            <w:noWrap w:val="0"/>
            <w:vAlign w:val="center"/>
          </w:tcPr>
          <w:p>
            <w:pPr>
              <w:widowControl/>
              <w:shd w:val="clear" w:color="auto" w:fill="auto"/>
              <w:jc w:val="left"/>
              <w:textAlignment w:val="center"/>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kern w:val="0"/>
                <w:sz w:val="24"/>
                <w:szCs w:val="24"/>
                <w:highlight w:val="none"/>
                <w:lang w:bidi="ar"/>
              </w:rPr>
              <w:t>投标人详细地址、联系人、电话</w:t>
            </w:r>
            <w:r>
              <w:rPr>
                <w:rFonts w:hint="eastAsia" w:ascii="仿宋" w:hAnsi="仿宋" w:eastAsia="仿宋" w:cs="仿宋"/>
                <w:b w:val="0"/>
                <w:bCs w:val="0"/>
                <w:color w:val="auto"/>
                <w:kern w:val="0"/>
                <w:sz w:val="24"/>
                <w:szCs w:val="24"/>
                <w:highlight w:val="none"/>
                <w:lang w:eastAsia="zh-CN" w:bidi="ar"/>
              </w:rPr>
              <w:t>。</w:t>
            </w:r>
          </w:p>
        </w:tc>
        <w:tc>
          <w:tcPr>
            <w:tcW w:w="482" w:type="dxa"/>
            <w:tcBorders>
              <w:lef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c>
          <w:tcPr>
            <w:tcW w:w="884" w:type="dxa"/>
            <w:tcBorders>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99" w:hRule="atLeast"/>
        </w:trPr>
        <w:tc>
          <w:tcPr>
            <w:tcW w:w="1237"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仿宋" w:hAnsi="仿宋" w:eastAsia="仿宋" w:cs="仿宋"/>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仿宋" w:hAnsi="仿宋" w:eastAsia="仿宋" w:cs="仿宋"/>
                <w:color w:val="auto"/>
                <w:sz w:val="24"/>
                <w:szCs w:val="24"/>
                <w:highlight w:val="none"/>
              </w:rPr>
            </w:pPr>
          </w:p>
        </w:tc>
      </w:tr>
    </w:tbl>
    <w:p>
      <w:pPr>
        <w:shd w:val="clear" w:color="auto" w:fill="auto"/>
        <w:bidi w:val="0"/>
        <w:rPr>
          <w:rFonts w:hint="eastAsia" w:ascii="仿宋" w:hAnsi="仿宋" w:eastAsia="仿宋" w:cs="仿宋"/>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578" w:firstLineChars="241"/>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.2评委会判定投标文件的响应性只根据投标文件本身的内容，而不寻求外部的证据，但投标有不真实不正确的内容时除外。</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578" w:firstLineChars="241"/>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.3如果投标文件实质上没有响应</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的要求，评委会将予以拒绝，投标人不得通过修正或撤销不符合要求的偏离或保留，而使其投标成为实质上响应的投标。</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.4投标人可在现场20分钟内对评标委员会的评审结论提出异议，评标委员会根据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及有关规定对投标人的异议进行复议</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00" w:firstLineChars="250"/>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.5只有通过初审的投标人才能进入下一步评标程序。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pPr>
        <w:keepNext w:val="0"/>
        <w:keepLines w:val="0"/>
        <w:pageBreakBefore w:val="0"/>
        <w:widowControl w:val="0"/>
        <w:shd w:val="clear" w:color="auto" w:fill="auto"/>
        <w:kinsoku/>
        <w:wordWrap/>
        <w:overflowPunct/>
        <w:topLinePunct w:val="0"/>
        <w:autoSpaceDE/>
        <w:autoSpaceDN/>
        <w:bidi w:val="0"/>
        <w:adjustRightInd/>
        <w:snapToGrid/>
        <w:spacing w:before="156" w:beforeLines="50" w:line="340" w:lineRule="exact"/>
        <w:jc w:val="center"/>
        <w:textAlignment w:val="auto"/>
        <w:outlineLvl w:val="1"/>
        <w:rPr>
          <w:rFonts w:hint="eastAsia" w:ascii="仿宋" w:hAnsi="仿宋" w:eastAsia="仿宋" w:cs="仿宋"/>
          <w:b/>
          <w:color w:val="auto"/>
          <w:sz w:val="24"/>
          <w:highlight w:val="none"/>
        </w:rPr>
      </w:pPr>
      <w:bookmarkStart w:id="39" w:name="_Toc469495734"/>
      <w:bookmarkStart w:id="40" w:name="_Toc362983803"/>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4"/>
          <w:highlight w:val="none"/>
        </w:rPr>
        <w:t>投标文件的澄清和补正</w:t>
      </w:r>
      <w:bookmarkEnd w:id="39"/>
      <w:bookmarkEnd w:id="40"/>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8．澄清、说明或补正的形式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9．错误修正的原则</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投标文件报价出现前后不一致的，除采购文件另有规定外，按照下列规定修正：</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9.1 投标函中表述的内容与报价表中不一致的，以报价表为准；报价表中的内容与报价明细表不一致的，以报价表为准；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9.2 投标文件中的大写金额和小写金额不一致的，以大写金额为准；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9.3 单价金额小数点或者百分比有明显错位的，以开标一览表的总价为准，并修改单价；</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9.4 总价金额与按单价汇总金额不一致的，以单价金额计算结果为准；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9.5 若用文字表示的数值与用数字表示的数值不一致，以文字表示的数值为准；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9.7 对不同文字文本投标文件的解释发生异议的，以中文文本为准；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left"/>
        <w:textAlignment w:val="auto"/>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22" w:firstLineChars="192"/>
        <w:textAlignment w:val="auto"/>
        <w:rPr>
          <w:rFonts w:hint="eastAsia" w:ascii="仿宋" w:hAnsi="仿宋" w:eastAsia="仿宋" w:cs="仿宋"/>
          <w:color w:val="auto"/>
          <w:sz w:val="22"/>
          <w:szCs w:val="20"/>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40" w:lineRule="exact"/>
        <w:jc w:val="center"/>
        <w:textAlignment w:val="auto"/>
        <w:outlineLvl w:val="1"/>
        <w:rPr>
          <w:rFonts w:hint="eastAsia" w:ascii="仿宋" w:hAnsi="仿宋" w:eastAsia="仿宋" w:cs="仿宋"/>
          <w:b/>
          <w:color w:val="auto"/>
          <w:sz w:val="24"/>
          <w:szCs w:val="24"/>
          <w:highlight w:val="none"/>
        </w:rPr>
      </w:pPr>
      <w:bookmarkStart w:id="41" w:name="_Toc469495735"/>
      <w:r>
        <w:rPr>
          <w:rFonts w:hint="eastAsia" w:ascii="仿宋" w:hAnsi="仿宋" w:eastAsia="仿宋" w:cs="仿宋"/>
          <w:b/>
          <w:color w:val="auto"/>
          <w:sz w:val="24"/>
          <w:szCs w:val="24"/>
          <w:highlight w:val="none"/>
        </w:rPr>
        <w:t>四 比较与评价</w:t>
      </w:r>
      <w:bookmarkEnd w:id="41"/>
    </w:p>
    <w:p>
      <w:pPr>
        <w:keepNext w:val="0"/>
        <w:keepLines w:val="0"/>
        <w:pageBreakBefore w:val="0"/>
        <w:widowControl w:val="0"/>
        <w:shd w:val="clear" w:color="auto" w:fill="auto"/>
        <w:tabs>
          <w:tab w:val="left" w:pos="720"/>
        </w:tabs>
        <w:kinsoku/>
        <w:wordWrap/>
        <w:overflowPunct/>
        <w:topLinePunct w:val="0"/>
        <w:autoSpaceDE/>
        <w:autoSpaceDN/>
        <w:bidi w:val="0"/>
        <w:adjustRightInd/>
        <w:snapToGrid/>
        <w:spacing w:line="340" w:lineRule="exact"/>
        <w:ind w:firstLine="612" w:firstLineChars="255"/>
        <w:textAlignment w:val="auto"/>
        <w:rPr>
          <w:rFonts w:hint="eastAsia" w:ascii="仿宋" w:hAnsi="仿宋" w:eastAsia="仿宋" w:cs="仿宋"/>
          <w:color w:val="auto"/>
          <w:szCs w:val="21"/>
          <w:highlight w:val="none"/>
          <w:lang w:bidi="ar-SA"/>
        </w:rPr>
      </w:pPr>
      <w:bookmarkStart w:id="42" w:name="_Toc469495736"/>
      <w:bookmarkStart w:id="43" w:name="_Toc362983805"/>
      <w:r>
        <w:rPr>
          <w:rFonts w:hint="eastAsia" w:ascii="仿宋" w:hAnsi="仿宋" w:eastAsia="仿宋" w:cs="仿宋"/>
          <w:color w:val="auto"/>
          <w:szCs w:val="21"/>
          <w:highlight w:val="none"/>
          <w:lang w:val="en-US" w:eastAsia="zh-CN" w:bidi="ar-SA"/>
        </w:rPr>
        <w:t>10.1</w:t>
      </w:r>
      <w:r>
        <w:rPr>
          <w:rFonts w:hint="eastAsia" w:ascii="仿宋" w:hAnsi="仿宋" w:eastAsia="仿宋" w:cs="仿宋"/>
          <w:color w:val="auto"/>
          <w:szCs w:val="21"/>
          <w:highlight w:val="none"/>
          <w:lang w:bidi="ar-SA"/>
        </w:rPr>
        <w:t>评标委员会按招标文件中规定的评标方法和标准，对资格性检查和符合性检查合格的投标文件进行商务和技术评估、综合比较与评价。</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w:t>
      </w:r>
      <w:r>
        <w:rPr>
          <w:rFonts w:hint="eastAsia" w:ascii="仿宋" w:hAnsi="仿宋" w:eastAsia="仿宋" w:cs="仿宋"/>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bCs/>
          <w:color w:val="auto"/>
          <w:szCs w:val="21"/>
          <w:highlight w:val="none"/>
          <w:lang w:bidi="ar-SA"/>
        </w:rPr>
      </w:pPr>
      <w:r>
        <w:rPr>
          <w:rFonts w:hint="eastAsia" w:ascii="仿宋" w:hAnsi="仿宋" w:eastAsia="仿宋" w:cs="仿宋"/>
          <w:color w:val="auto"/>
          <w:szCs w:val="21"/>
          <w:highlight w:val="none"/>
          <w:lang w:val="en-US" w:eastAsia="zh-CN" w:bidi="ar-SA"/>
        </w:rPr>
        <w:t>10.</w:t>
      </w:r>
      <w:r>
        <w:rPr>
          <w:rFonts w:hint="eastAsia" w:ascii="仿宋" w:hAnsi="仿宋" w:eastAsia="仿宋" w:cs="仿宋"/>
          <w:bCs/>
          <w:color w:val="auto"/>
          <w:szCs w:val="21"/>
          <w:highlight w:val="none"/>
          <w:lang w:val="en-US" w:eastAsia="zh-CN" w:bidi="ar-SA"/>
        </w:rPr>
        <w:t>2.1</w:t>
      </w:r>
      <w:r>
        <w:rPr>
          <w:rFonts w:hint="eastAsia" w:ascii="仿宋" w:hAnsi="仿宋" w:eastAsia="仿宋" w:cs="仿宋"/>
          <w:bCs/>
          <w:color w:val="auto"/>
          <w:szCs w:val="21"/>
          <w:highlight w:val="none"/>
          <w:lang w:bidi="ar-SA"/>
        </w:rPr>
        <w:t>评委打分办法</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bCs/>
          <w:color w:val="auto"/>
          <w:szCs w:val="21"/>
          <w:highlight w:val="none"/>
          <w:lang w:bidi="ar-SA"/>
        </w:rPr>
        <w:t>（1）</w:t>
      </w:r>
      <w:r>
        <w:rPr>
          <w:rFonts w:hint="eastAsia" w:ascii="仿宋" w:hAnsi="仿宋" w:eastAsia="仿宋" w:cs="仿宋"/>
          <w:color w:val="auto"/>
          <w:szCs w:val="21"/>
          <w:highlight w:val="none"/>
          <w:lang w:bidi="ar-SA"/>
        </w:rPr>
        <w:t>参加评分的评委应尽力体现客观、实事求是，避免学派偏见和个人偏好。</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（2）衡量、对比的依据，应以招标文件、投标文件、提供的正式试验数据、质询澄清中的文字为准，口头回答和收集的资料只作为参考。</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（3）评分主要是为比较各投标人的价格、商务和技术综合排序。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（4）评委打分采取记名形式。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（5）各评委根据提供的技术打分表独立自主打分，任何人不得要求评委统一打分或统一确定等次顺序。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（6）对打分表中的每项条款，各评委应根据投标文件、澄清材料、招标文件要求，按满足的程度给投标人打分。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（7）评分程序</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1)就投标人的投标文件对照整理出商务、技术评标因素对比表、偏差表，并在经过校核的基础上逐项打分。</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2)各评委独立完成打分后，将评分表交给代理机构，由代理机构组织进行分数统计。</w:t>
      </w:r>
    </w:p>
    <w:p>
      <w:pPr>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616" w:firstLineChars="257"/>
        <w:textAlignment w:val="auto"/>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3)最终汇总表中各投标人得分应为评委打分的算术平均值。</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ind w:firstLine="480" w:firstLineChars="200"/>
        <w:jc w:val="left"/>
        <w:textAlignment w:val="auto"/>
        <w:rPr>
          <w:rFonts w:hint="eastAsia" w:ascii="仿宋" w:hAnsi="仿宋" w:eastAsia="仿宋" w:cs="仿宋"/>
          <w:b/>
          <w:bCs/>
          <w:color w:val="auto"/>
          <w:szCs w:val="21"/>
          <w:highlight w:val="none"/>
          <w:lang w:bidi="ar-SA"/>
        </w:rPr>
      </w:pPr>
      <w:r>
        <w:rPr>
          <w:rFonts w:hint="eastAsia" w:ascii="仿宋" w:hAnsi="仿宋" w:eastAsia="仿宋" w:cs="仿宋"/>
          <w:b/>
          <w:bCs/>
          <w:color w:val="auto"/>
          <w:szCs w:val="21"/>
          <w:highlight w:val="none"/>
          <w:lang w:bidi="ar-SA"/>
        </w:rPr>
        <w:t>（8）评分标准和细则（综合评分法评分标准）</w:t>
      </w:r>
    </w:p>
    <w:p>
      <w:pPr>
        <w:pStyle w:val="25"/>
        <w:jc w:val="center"/>
        <w:rPr>
          <w:rFonts w:hint="eastAsia" w:eastAsia="仿宋"/>
          <w:b/>
          <w:bCs/>
          <w:color w:val="auto"/>
          <w:lang w:val="en-US" w:eastAsia="zh-CN"/>
        </w:rPr>
      </w:pPr>
      <w:r>
        <w:rPr>
          <w:rFonts w:hint="eastAsia" w:eastAsia="仿宋"/>
          <w:b/>
          <w:bCs/>
          <w:color w:val="auto"/>
          <w:lang w:eastAsia="zh-CN"/>
        </w:rPr>
        <w:t>（</w:t>
      </w:r>
      <w:r>
        <w:rPr>
          <w:rFonts w:hint="eastAsia" w:eastAsia="仿宋"/>
          <w:b/>
          <w:bCs/>
          <w:color w:val="auto"/>
          <w:lang w:val="en-US" w:eastAsia="zh-CN"/>
        </w:rPr>
        <w:t>5包）评分标准</w:t>
      </w:r>
    </w:p>
    <w:tbl>
      <w:tblPr>
        <w:tblStyle w:val="18"/>
        <w:tblW w:w="10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291"/>
        <w:gridCol w:w="1243"/>
        <w:gridCol w:w="6794"/>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7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序号</w:t>
            </w:r>
          </w:p>
        </w:tc>
        <w:tc>
          <w:tcPr>
            <w:tcW w:w="129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评分因素</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及权重</w:t>
            </w:r>
          </w:p>
        </w:tc>
        <w:tc>
          <w:tcPr>
            <w:tcW w:w="124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outlineLvl w:val="9"/>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分值</w:t>
            </w:r>
          </w:p>
        </w:tc>
        <w:tc>
          <w:tcPr>
            <w:tcW w:w="6794"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b/>
                <w:color w:val="auto"/>
                <w:sz w:val="24"/>
                <w:szCs w:val="24"/>
                <w:highlight w:val="none"/>
                <w:lang w:bidi="ar-SA"/>
              </w:rPr>
            </w:pPr>
            <w:r>
              <w:rPr>
                <w:rFonts w:hint="eastAsia" w:ascii="仿宋" w:hAnsi="仿宋" w:eastAsia="仿宋" w:cs="仿宋"/>
                <w:b/>
                <w:color w:val="auto"/>
                <w:sz w:val="24"/>
                <w:szCs w:val="24"/>
                <w:highlight w:val="none"/>
                <w:lang w:bidi="ar-SA"/>
              </w:rPr>
              <w:t>评分标准</w:t>
            </w:r>
          </w:p>
        </w:tc>
        <w:tc>
          <w:tcPr>
            <w:tcW w:w="742" w:type="dxa"/>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00" w:lineRule="exact"/>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57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w:t>
            </w:r>
          </w:p>
        </w:tc>
        <w:tc>
          <w:tcPr>
            <w:tcW w:w="1291"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投标报价</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（30分)</w:t>
            </w:r>
          </w:p>
        </w:tc>
        <w:tc>
          <w:tcPr>
            <w:tcW w:w="8037" w:type="dxa"/>
            <w:gridSpan w:val="2"/>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综合评分法中的价格分统一采用低价优先法计算，即满足招标文件要求且投标价格最低的投标报 价为评标基准价，其价格分为满分。其他投标人的价格分按照下列公式计算：价格得分=(评标基准价／投标报价)×3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×100。</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注：</w:t>
            </w:r>
            <w:r>
              <w:rPr>
                <w:rFonts w:hint="eastAsia" w:ascii="仿宋" w:hAnsi="仿宋" w:eastAsia="仿宋" w:cs="仿宋"/>
                <w:b/>
                <w:bCs/>
                <w:color w:val="auto"/>
                <w:sz w:val="24"/>
                <w:szCs w:val="24"/>
                <w:highlight w:val="none"/>
              </w:rPr>
              <w:t>投标报价超过采购预算价的按废标处理</w:t>
            </w:r>
          </w:p>
        </w:tc>
        <w:tc>
          <w:tcPr>
            <w:tcW w:w="74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57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2</w:t>
            </w:r>
          </w:p>
        </w:tc>
        <w:tc>
          <w:tcPr>
            <w:tcW w:w="129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技术部分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45分</w:t>
            </w:r>
            <w:r>
              <w:rPr>
                <w:rFonts w:hint="eastAsia" w:ascii="仿宋" w:hAnsi="仿宋" w:eastAsia="仿宋" w:cs="仿宋"/>
                <w:color w:val="auto"/>
                <w:sz w:val="24"/>
                <w:szCs w:val="24"/>
                <w:highlight w:val="none"/>
                <w:lang w:eastAsia="zh-CN" w:bidi="ar-SA"/>
              </w:rPr>
              <w:t>）</w:t>
            </w:r>
          </w:p>
        </w:tc>
        <w:tc>
          <w:tcPr>
            <w:tcW w:w="124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技术指标、参数响应情况</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40</w:t>
            </w:r>
            <w:r>
              <w:rPr>
                <w:rFonts w:hint="eastAsia" w:ascii="仿宋" w:hAnsi="仿宋" w:eastAsia="仿宋" w:cs="仿宋"/>
                <w:color w:val="auto"/>
                <w:sz w:val="24"/>
                <w:szCs w:val="24"/>
                <w:highlight w:val="none"/>
                <w:lang w:eastAsia="zh-CN" w:bidi="ar-SA"/>
              </w:rPr>
              <w:t>分）</w:t>
            </w:r>
          </w:p>
        </w:tc>
        <w:tc>
          <w:tcPr>
            <w:tcW w:w="6794"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bCs/>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以招标文件的技术参数要求为基准，提供详细技术偏离表。根据所投产品的配置与性能指标的响应程度打分：</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号</w:t>
            </w:r>
            <w:r>
              <w:rPr>
                <w:rFonts w:hint="eastAsia" w:ascii="仿宋" w:hAnsi="仿宋" w:eastAsia="仿宋" w:cs="仿宋"/>
                <w:b/>
                <w:bCs/>
                <w:color w:val="000000"/>
                <w:sz w:val="24"/>
                <w:szCs w:val="24"/>
                <w:highlight w:val="none"/>
                <w:lang w:eastAsia="zh-CN"/>
              </w:rPr>
              <w:t>技术参数（如有）为不可偏离项，如有偏离按未对招标文件进行实质性响应处理。）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1、所投产品技术参数全部满足的得3</w:t>
            </w:r>
            <w:r>
              <w:rPr>
                <w:rFonts w:hint="eastAsia" w:ascii="仿宋" w:hAnsi="仿宋" w:eastAsia="仿宋" w:cs="仿宋"/>
                <w:b w:val="0"/>
                <w:bCs w:val="0"/>
                <w:color w:val="000000"/>
                <w:sz w:val="24"/>
                <w:szCs w:val="24"/>
                <w:highlight w:val="none"/>
                <w:lang w:val="en-US" w:eastAsia="zh-CN"/>
              </w:rPr>
              <w:t>0</w:t>
            </w:r>
            <w:r>
              <w:rPr>
                <w:rFonts w:hint="eastAsia" w:ascii="仿宋" w:hAnsi="仿宋" w:eastAsia="仿宋" w:cs="仿宋"/>
                <w:b w:val="0"/>
                <w:bCs w:val="0"/>
                <w:color w:val="000000"/>
                <w:sz w:val="24"/>
                <w:szCs w:val="24"/>
                <w:highlight w:val="none"/>
                <w:lang w:eastAsia="zh-CN"/>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2、技术参数指标每优于招标文件要求的一项加2分，最高得分为</w:t>
            </w:r>
            <w:r>
              <w:rPr>
                <w:rFonts w:hint="eastAsia" w:ascii="仿宋" w:hAnsi="仿宋" w:eastAsia="仿宋" w:cs="仿宋"/>
                <w:b w:val="0"/>
                <w:bCs w:val="0"/>
                <w:color w:val="000000"/>
                <w:sz w:val="24"/>
                <w:szCs w:val="24"/>
                <w:highlight w:val="none"/>
                <w:lang w:val="en-US" w:eastAsia="zh-CN"/>
              </w:rPr>
              <w:t>10</w:t>
            </w:r>
            <w:r>
              <w:rPr>
                <w:rFonts w:hint="eastAsia" w:ascii="仿宋" w:hAnsi="仿宋" w:eastAsia="仿宋" w:cs="仿宋"/>
                <w:b w:val="0"/>
                <w:bCs w:val="0"/>
                <w:color w:val="000000"/>
                <w:sz w:val="24"/>
                <w:szCs w:val="24"/>
                <w:highlight w:val="none"/>
                <w:lang w:eastAsia="zh-CN"/>
              </w:rPr>
              <w:t>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default"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eastAsia="zh-CN"/>
              </w:rPr>
              <w:t>3、非★</w:t>
            </w:r>
            <w:r>
              <w:rPr>
                <w:rFonts w:hint="eastAsia" w:ascii="仿宋" w:hAnsi="仿宋" w:eastAsia="仿宋" w:cs="仿宋"/>
                <w:b w:val="0"/>
                <w:bCs w:val="0"/>
                <w:color w:val="000000"/>
                <w:sz w:val="24"/>
                <w:szCs w:val="24"/>
                <w:highlight w:val="none"/>
                <w:lang w:val="en-US" w:eastAsia="zh-CN"/>
              </w:rPr>
              <w:t>号技术</w:t>
            </w:r>
            <w:r>
              <w:rPr>
                <w:rFonts w:hint="eastAsia" w:ascii="仿宋" w:hAnsi="仿宋" w:eastAsia="仿宋" w:cs="仿宋"/>
                <w:b w:val="0"/>
                <w:bCs w:val="0"/>
                <w:color w:val="000000"/>
                <w:sz w:val="24"/>
                <w:szCs w:val="24"/>
                <w:highlight w:val="none"/>
                <w:lang w:eastAsia="zh-CN"/>
              </w:rPr>
              <w:t>参数为普通参数每负偏离一项扣</w:t>
            </w:r>
            <w:r>
              <w:rPr>
                <w:rFonts w:hint="eastAsia" w:ascii="仿宋" w:hAnsi="仿宋" w:eastAsia="仿宋" w:cs="仿宋"/>
                <w:b w:val="0"/>
                <w:bCs w:val="0"/>
                <w:color w:val="000000"/>
                <w:sz w:val="24"/>
                <w:szCs w:val="24"/>
                <w:highlight w:val="none"/>
                <w:lang w:val="en-US" w:eastAsia="zh-CN"/>
              </w:rPr>
              <w:t>1分，扣完为止。</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000000"/>
                <w:sz w:val="24"/>
                <w:szCs w:val="24"/>
                <w:highlight w:val="none"/>
                <w:lang w:eastAsia="zh-CN"/>
              </w:rPr>
              <w:t>（注：正偏离的需提供相关证明材料，不提供的不加分）</w:t>
            </w:r>
          </w:p>
        </w:tc>
        <w:tc>
          <w:tcPr>
            <w:tcW w:w="742"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75"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rPr>
            </w:pPr>
          </w:p>
        </w:tc>
        <w:tc>
          <w:tcPr>
            <w:tcW w:w="1243" w:type="dxa"/>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bidi="ar-SA"/>
              </w:rPr>
              <w:t>投标产品的质量、性能</w:t>
            </w:r>
            <w:r>
              <w:rPr>
                <w:rFonts w:hint="eastAsia" w:ascii="仿宋" w:hAnsi="仿宋" w:eastAsia="仿宋" w:cs="仿宋"/>
                <w:color w:val="auto"/>
                <w:sz w:val="24"/>
                <w:szCs w:val="24"/>
                <w:highlight w:val="none"/>
                <w:lang w:val="en-US" w:eastAsia="zh-CN" w:bidi="ar-SA"/>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（5分） </w:t>
            </w:r>
          </w:p>
        </w:tc>
        <w:tc>
          <w:tcPr>
            <w:tcW w:w="6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满意</w:t>
            </w:r>
            <w:r>
              <w:rPr>
                <w:rFonts w:hint="eastAsia" w:ascii="仿宋" w:hAnsi="仿宋" w:eastAsia="仿宋" w:cs="仿宋"/>
                <w:b w:val="0"/>
                <w:bCs w:val="0"/>
                <w:color w:val="000000"/>
                <w:kern w:val="2"/>
                <w:sz w:val="24"/>
                <w:szCs w:val="24"/>
                <w:highlight w:val="none"/>
                <w:lang w:val="en-US" w:eastAsia="zh-CN" w:bidi="ar-SA"/>
              </w:rPr>
              <w:t>：所投产品能满足购货方各种需要，产品选型合理，所选产品市场占有率高。产品检验报告齐全，产品近期检验报告和主要部件质量证书齐全，有标准彩页；（5分）</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一般</w:t>
            </w:r>
            <w:r>
              <w:rPr>
                <w:rFonts w:hint="eastAsia" w:ascii="仿宋" w:hAnsi="仿宋" w:eastAsia="仿宋" w:cs="仿宋"/>
                <w:b w:val="0"/>
                <w:bCs w:val="0"/>
                <w:color w:val="000000"/>
                <w:kern w:val="2"/>
                <w:sz w:val="24"/>
                <w:szCs w:val="24"/>
                <w:highlight w:val="none"/>
                <w:lang w:val="en-US" w:eastAsia="zh-CN" w:bidi="ar-SA"/>
              </w:rPr>
              <w:t xml:space="preserve">：所投产品能满足购货方一般需要，产品选型一般，所选产品市场占率一般。产品检验报告较齐全，产品近期检验报告和主要部件质量证书较齐全；（3分）  </w:t>
            </w: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差：</w:t>
            </w:r>
            <w:r>
              <w:rPr>
                <w:rFonts w:hint="eastAsia" w:ascii="仿宋" w:hAnsi="仿宋" w:eastAsia="仿宋" w:cs="仿宋"/>
                <w:b w:val="0"/>
                <w:bCs w:val="0"/>
                <w:color w:val="000000"/>
                <w:kern w:val="2"/>
                <w:sz w:val="24"/>
                <w:szCs w:val="24"/>
                <w:highlight w:val="none"/>
                <w:lang w:val="en-US" w:eastAsia="zh-CN" w:bidi="ar-SA"/>
              </w:rPr>
              <w:t>所投产品不能满足购货方需要，产品选型较差，所选产品市场占有率低。没有提供产品检验报告，产品近期检验报告和主要部件质量证书不全并大部分未注明产地及品牌。（0分）</w:t>
            </w:r>
          </w:p>
        </w:tc>
        <w:tc>
          <w:tcPr>
            <w:tcW w:w="742"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91" w:type="dxa"/>
            <w:vMerge w:val="restart"/>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商务部分</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25</w:t>
            </w:r>
            <w:r>
              <w:rPr>
                <w:rFonts w:hint="eastAsia" w:ascii="仿宋" w:hAnsi="仿宋" w:eastAsia="仿宋" w:cs="仿宋"/>
                <w:color w:val="auto"/>
                <w:sz w:val="24"/>
                <w:szCs w:val="24"/>
                <w:highlight w:val="none"/>
                <w:lang w:eastAsia="zh-CN" w:bidi="ar-SA"/>
              </w:rPr>
              <w:t>分）</w:t>
            </w:r>
          </w:p>
        </w:tc>
        <w:tc>
          <w:tcPr>
            <w:tcW w:w="1243" w:type="dxa"/>
            <w:vMerge w:val="restart"/>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售后服务及培训方案</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（7分）</w:t>
            </w:r>
          </w:p>
        </w:tc>
        <w:tc>
          <w:tcPr>
            <w:tcW w:w="6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提供详细的售后服务方案、服务体系、服务范围以及故障解决方案、响应时间、应急处理方案、专业技术人员保障、售后服务电话等。评标委员会将根据各供应商提供的资料，从全面性、可操作性等进行打分。</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1.总体售后服务方案计划及服务时效：优的得4分；一般2分；不提供不得分。</w:t>
            </w:r>
          </w:p>
        </w:tc>
        <w:tc>
          <w:tcPr>
            <w:tcW w:w="742"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仿宋" w:hAnsi="仿宋" w:eastAsia="仿宋" w:cs="仿宋"/>
                <w:color w:val="auto"/>
                <w:sz w:val="24"/>
                <w:szCs w:val="24"/>
                <w:highlight w:val="none"/>
                <w:lang w:val="en-US" w:eastAsia="zh-CN" w:bidi="ar-SA"/>
              </w:rPr>
            </w:pPr>
          </w:p>
        </w:tc>
        <w:tc>
          <w:tcPr>
            <w:tcW w:w="1243" w:type="dxa"/>
            <w:vMerge w:val="continue"/>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000000"/>
                <w:kern w:val="2"/>
                <w:sz w:val="24"/>
                <w:szCs w:val="24"/>
                <w:highlight w:val="none"/>
                <w:lang w:val="en-US" w:eastAsia="zh-CN" w:bidi="ar-SA"/>
              </w:rPr>
            </w:pPr>
          </w:p>
        </w:tc>
        <w:tc>
          <w:tcPr>
            <w:tcW w:w="6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left="0" w:firstLine="0" w:firstLineChars="0"/>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2.培训方案及进度安排关键控制点设置合理，便于操作和控制；培训方案及进度安排分工明确，职责分工清晰，能够保证培训的高质量和按计划完成：优的得3分；一般2分；不提供不得分。</w:t>
            </w:r>
            <w:bookmarkStart w:id="77" w:name="_GoBack"/>
            <w:bookmarkEnd w:id="77"/>
          </w:p>
        </w:tc>
        <w:tc>
          <w:tcPr>
            <w:tcW w:w="742" w:type="dxa"/>
            <w:tcBorders>
              <w:top w:val="single" w:color="auto" w:sz="4" w:space="0"/>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p>
        </w:tc>
        <w:tc>
          <w:tcPr>
            <w:tcW w:w="129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仿宋" w:hAnsi="仿宋" w:eastAsia="仿宋" w:cs="仿宋"/>
                <w:color w:val="auto"/>
                <w:kern w:val="2"/>
                <w:sz w:val="24"/>
                <w:szCs w:val="24"/>
                <w:highlight w:val="none"/>
                <w:lang w:val="en-US" w:eastAsia="zh-CN" w:bidi="ar-SA"/>
              </w:rPr>
            </w:pPr>
          </w:p>
        </w:tc>
        <w:tc>
          <w:tcPr>
            <w:tcW w:w="1243" w:type="dxa"/>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类似业绩       （5分）</w:t>
            </w:r>
          </w:p>
        </w:tc>
        <w:tc>
          <w:tcPr>
            <w:tcW w:w="6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提供2019年至今类似相关业绩，每个项目得1分，最高得分5分。（需提供相关合同及中标（或成交）通知书原件扫描件，不提供的不得分）。 </w:t>
            </w:r>
          </w:p>
        </w:tc>
        <w:tc>
          <w:tcPr>
            <w:tcW w:w="742" w:type="dxa"/>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65" w:hRule="atLeast"/>
          <w:jc w:val="center"/>
        </w:trPr>
        <w:tc>
          <w:tcPr>
            <w:tcW w:w="571" w:type="dxa"/>
            <w:vMerge w:val="continue"/>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p>
        </w:tc>
        <w:tc>
          <w:tcPr>
            <w:tcW w:w="1291" w:type="dxa"/>
            <w:vMerge w:val="continue"/>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4"/>
                <w:szCs w:val="24"/>
                <w:highlight w:val="none"/>
                <w:lang w:val="en-US" w:eastAsia="zh-CN"/>
              </w:rPr>
            </w:pPr>
          </w:p>
        </w:tc>
        <w:tc>
          <w:tcPr>
            <w:tcW w:w="1243" w:type="dxa"/>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firstLineChars="0"/>
              <w:jc w:val="center"/>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质保期及交货期 （13分）     </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ind w:firstLine="28"/>
              <w:jc w:val="center"/>
              <w:textAlignment w:val="auto"/>
              <w:rPr>
                <w:rFonts w:hint="eastAsia" w:ascii="仿宋" w:hAnsi="仿宋" w:eastAsia="仿宋" w:cs="仿宋"/>
                <w:color w:val="000000"/>
                <w:kern w:val="2"/>
                <w:sz w:val="24"/>
                <w:szCs w:val="24"/>
                <w:highlight w:val="none"/>
                <w:lang w:val="en-US" w:eastAsia="zh-CN" w:bidi="ar-SA"/>
              </w:rPr>
            </w:pPr>
          </w:p>
        </w:tc>
        <w:tc>
          <w:tcPr>
            <w:tcW w:w="67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7"/>
              </w:numPr>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质保期满足招标文件基础上，每增加1年加2分，最多加10分。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2、供货期满足招标文件基础上，每提前5天的加1分，最多加3分。</w:t>
            </w:r>
          </w:p>
        </w:tc>
        <w:tc>
          <w:tcPr>
            <w:tcW w:w="742" w:type="dxa"/>
            <w:tcBorders>
              <w:left w:val="single" w:color="auto" w:sz="4" w:space="0"/>
              <w:right w:val="single" w:color="auto" w:sz="4" w:space="0"/>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rPr>
            </w:pPr>
          </w:p>
        </w:tc>
      </w:tr>
    </w:tbl>
    <w:p>
      <w:pPr>
        <w:pStyle w:val="37"/>
        <w:shd w:val="clear" w:color="auto" w:fill="auto"/>
        <w:tabs>
          <w:tab w:val="left" w:pos="1701"/>
        </w:tabs>
        <w:spacing w:line="440" w:lineRule="exact"/>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eastAsia="zh-CN" w:bidi="ar-SA"/>
        </w:rPr>
        <w:t>10.2.2</w:t>
      </w:r>
      <w:r>
        <w:rPr>
          <w:rFonts w:hint="eastAsia" w:ascii="仿宋" w:hAnsi="仿宋" w:eastAsia="仿宋" w:cs="仿宋"/>
          <w:color w:val="auto"/>
          <w:szCs w:val="21"/>
          <w:highlight w:val="none"/>
          <w:lang w:bidi="ar-SA"/>
        </w:rPr>
        <w:t>价格评分方法</w:t>
      </w:r>
    </w:p>
    <w:p>
      <w:pPr>
        <w:shd w:val="clear" w:color="auto" w:fill="auto"/>
        <w:spacing w:line="440" w:lineRule="exact"/>
        <w:ind w:firstLine="480" w:firstLineChars="200"/>
        <w:jc w:val="left"/>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Cs w:val="21"/>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推荐中标候选人</w:t>
      </w:r>
      <w:bookmarkEnd w:id="42"/>
      <w:bookmarkEnd w:id="43"/>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11.1</w:t>
      </w:r>
      <w:r>
        <w:rPr>
          <w:rFonts w:hint="eastAsia" w:ascii="仿宋" w:hAnsi="仿宋" w:eastAsia="仿宋" w:cs="仿宋"/>
          <w:color w:val="auto"/>
          <w:szCs w:val="21"/>
          <w:highlight w:val="none"/>
        </w:rPr>
        <w:t>评标委员会推荐</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名中标候选人，并标明排序。</w:t>
      </w:r>
    </w:p>
    <w:p>
      <w:pPr>
        <w:shd w:val="clear" w:color="auto" w:fill="auto"/>
        <w:spacing w:line="400" w:lineRule="exact"/>
        <w:ind w:firstLine="470"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11.2</w:t>
      </w:r>
      <w:r>
        <w:rPr>
          <w:rFonts w:hint="eastAsia" w:ascii="仿宋" w:hAnsi="仿宋" w:eastAsia="仿宋" w:cs="仿宋"/>
          <w:color w:val="auto"/>
          <w:szCs w:val="21"/>
          <w:highlight w:val="none"/>
        </w:rPr>
        <w:t>如出现报价相同情况，则由招标人现场抽签确定中标候选人排名顺序。</w:t>
      </w:r>
    </w:p>
    <w:bookmarkEnd w:id="37"/>
    <w:p>
      <w:pPr>
        <w:shd w:val="clear" w:color="auto" w:fill="auto"/>
        <w:snapToGrid w:val="0"/>
        <w:spacing w:line="400" w:lineRule="exact"/>
        <w:ind w:firstLine="480"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12.</w:t>
      </w:r>
      <w:r>
        <w:rPr>
          <w:rFonts w:hint="eastAsia" w:ascii="仿宋" w:hAnsi="仿宋" w:eastAsia="仿宋" w:cs="仿宋"/>
          <w:b/>
          <w:color w:val="auto"/>
          <w:szCs w:val="21"/>
          <w:highlight w:val="none"/>
        </w:rPr>
        <w:t>无效投标条款</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.1投标文件有下列情形之一的,其投标文件拒收:</w:t>
      </w:r>
    </w:p>
    <w:p>
      <w:pPr>
        <w:shd w:val="clear" w:color="auto" w:fill="auto"/>
        <w:snapToGrid w:val="0"/>
        <w:spacing w:line="400" w:lineRule="exac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b/>
          <w:bCs/>
          <w:color w:val="auto"/>
          <w:szCs w:val="21"/>
          <w:highlight w:val="none"/>
        </w:rPr>
        <w:t xml:space="preserve"> (1) 未在开标截止时间前通过网上招标投标系统递交有效电子投标文件的，开标系统不予接收。</w:t>
      </w:r>
    </w:p>
    <w:p>
      <w:pPr>
        <w:shd w:val="clear" w:color="auto" w:fill="auto"/>
        <w:snapToGrid w:val="0"/>
        <w:spacing w:line="400" w:lineRule="exact"/>
        <w:ind w:firstLine="480"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w:t>
      </w:r>
      <w:r>
        <w:rPr>
          <w:rFonts w:hint="eastAsia" w:ascii="仿宋" w:hAnsi="仿宋" w:eastAsia="仿宋" w:cs="仿宋"/>
          <w:b/>
          <w:color w:val="auto"/>
          <w:szCs w:val="21"/>
          <w:highlight w:val="none"/>
        </w:rPr>
        <w:t>所有投标人应在规定时间里完成投标文件的解密工作</w:t>
      </w:r>
      <w:r>
        <w:rPr>
          <w:rFonts w:hint="eastAsia" w:ascii="仿宋" w:hAnsi="仿宋" w:eastAsia="仿宋" w:cs="仿宋"/>
          <w:b/>
          <w:bCs/>
          <w:color w:val="auto"/>
          <w:szCs w:val="21"/>
          <w:highlight w:val="none"/>
        </w:rPr>
        <w:t>【投标人</w:t>
      </w:r>
      <w:r>
        <w:rPr>
          <w:rFonts w:hint="eastAsia" w:ascii="仿宋" w:hAnsi="仿宋" w:eastAsia="仿宋" w:cs="仿宋"/>
          <w:b/>
          <w:bCs/>
          <w:color w:val="auto"/>
          <w:szCs w:val="21"/>
          <w:highlight w:val="none"/>
          <w:lang w:eastAsia="zh-CN"/>
        </w:rPr>
        <w:t>使用</w:t>
      </w:r>
      <w:r>
        <w:rPr>
          <w:rFonts w:hint="eastAsia" w:ascii="仿宋" w:hAnsi="仿宋" w:eastAsia="仿宋" w:cs="仿宋"/>
          <w:b/>
          <w:bCs/>
          <w:color w:val="auto"/>
          <w:szCs w:val="21"/>
          <w:highlight w:val="none"/>
        </w:rPr>
        <w:t>其有效加密锁（CA锁）</w:t>
      </w:r>
      <w:r>
        <w:rPr>
          <w:rFonts w:hint="eastAsia" w:ascii="仿宋" w:hAnsi="仿宋" w:eastAsia="仿宋" w:cs="仿宋"/>
          <w:b/>
          <w:bCs/>
          <w:color w:val="auto"/>
          <w:szCs w:val="21"/>
          <w:highlight w:val="none"/>
          <w:lang w:eastAsia="zh-CN"/>
        </w:rPr>
        <w:t>进行</w:t>
      </w:r>
      <w:r>
        <w:rPr>
          <w:rFonts w:hint="eastAsia" w:ascii="仿宋" w:hAnsi="仿宋" w:eastAsia="仿宋" w:cs="仿宋"/>
          <w:b/>
          <w:bCs/>
          <w:color w:val="auto"/>
          <w:szCs w:val="21"/>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rPr>
        <w:t>，因系统原因未能成功解密的投标文件，可导入</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备份投标文件</w:t>
      </w:r>
      <w:r>
        <w:rPr>
          <w:rFonts w:hint="eastAsia" w:ascii="仿宋" w:hAnsi="仿宋" w:eastAsia="仿宋" w:cs="仿宋"/>
          <w:b/>
          <w:color w:val="auto"/>
          <w:szCs w:val="21"/>
          <w:highlight w:val="none"/>
        </w:rPr>
        <w:t>也无法导入的，则投标文件被否决。</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.2投标人有下列情形之一的,资格审查后其投标作无效投标处理：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(2)投标人为本项目提供招标代理服务的；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(3)投标人与在本项目代理机构存在相互任职或工作的；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(4)投标保证金未按规定要求缴纳的；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b w:val="0"/>
          <w:bCs w:val="0"/>
          <w:color w:val="auto"/>
          <w:szCs w:val="21"/>
          <w:highlight w:val="none"/>
        </w:rPr>
        <w:t>)评标专家无法查看并检验电子标书中相关资料的；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(6)投标人超出营业范围投标的；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(7)联合体投标未提交联合体协议的；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(8)被暂停营业的；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(9)被暂停或取消投标资格的；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(10)财产被接管或冻结的；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(11)投标人单位负责人为同一人或者存在控股、管理关系的不同单位的；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（12）投标人基本资格条件和特定资格条件中有一项及以上不符合要求的；</w:t>
      </w:r>
    </w:p>
    <w:p>
      <w:pPr>
        <w:shd w:val="clear" w:color="auto" w:fill="auto"/>
        <w:snapToGrid w:val="0"/>
        <w:spacing w:line="400" w:lineRule="exact"/>
        <w:ind w:firstLine="360" w:firstLineChars="1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（13）投标人使用相同的MAC地址进行报名的</w:t>
      </w:r>
      <w:r>
        <w:rPr>
          <w:rFonts w:hint="eastAsia" w:ascii="仿宋" w:hAnsi="仿宋" w:eastAsia="仿宋" w:cs="仿宋"/>
          <w:color w:val="auto"/>
          <w:szCs w:val="21"/>
          <w:highlight w:val="none"/>
          <w:lang w:eastAsia="zh-CN"/>
        </w:rPr>
        <w:t>；</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（14）其它情形，经评标委员会委提出按无效投标处理，并经公共资源交易监督部门核准的；</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（15）投标人使用相同IP地址报名的，一经发现，监管部门将进一步核实，查实后按串通投标处理；</w:t>
      </w:r>
    </w:p>
    <w:p>
      <w:pPr>
        <w:shd w:val="clear" w:color="auto" w:fill="auto"/>
        <w:snapToGrid w:val="0"/>
        <w:spacing w:line="40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.3 投标人有下列情形之一的,符合性审查后其投标按无效投标处理：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投标文件</w:t>
      </w:r>
      <w:r>
        <w:rPr>
          <w:rFonts w:hint="eastAsia" w:ascii="仿宋" w:hAnsi="仿宋" w:eastAsia="仿宋" w:cs="仿宋"/>
          <w:color w:val="auto"/>
          <w:szCs w:val="21"/>
          <w:highlight w:val="none"/>
          <w:lang w:eastAsia="zh-CN"/>
        </w:rPr>
        <w:t>签章</w:t>
      </w:r>
      <w:r>
        <w:rPr>
          <w:rFonts w:hint="eastAsia" w:ascii="仿宋" w:hAnsi="仿宋" w:eastAsia="仿宋" w:cs="仿宋"/>
          <w:color w:val="auto"/>
          <w:szCs w:val="21"/>
          <w:highlight w:val="none"/>
        </w:rPr>
        <w:t>、盖章不全，经评标委员会一致认定对开评标内容有实质性影响并经监督部门核准的；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)未按规定的格式填写，实质性内容不全或关键字迹模糊、无法辨认; 经监督部门核准的；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(4)同一投标人提交两个以上不同的投标文件或者投标报价，但</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规定提交备选方案的除外；</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)投标文件没有对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的实质性要求和条件作出响应;</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)投标报价超出规定的投标限价或公布的采购预算的；注：投标人的投标报价各项单价均不得高于招标文件给定的单价最高限价，否则，其投标文件将按无效投标处理。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)不按评标委员会要求澄清、说明或补正的，或者评标委员会根据</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的规定对</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的计算错误进行修正后，投标人不接受修正的投标报价的。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）其它情形，经评标委员会委提出按无效投标处理，并经公共资源交易监督部门核准的；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未按照招标文件的规定提交投标保证金的；</w:t>
      </w:r>
    </w:p>
    <w:p>
      <w:pPr>
        <w:widowControl/>
        <w:shd w:val="clear" w:color="auto" w:fill="auto"/>
        <w:spacing w:line="500" w:lineRule="exact"/>
        <w:ind w:firstLine="48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shd w:val="clear" w:color="auto" w:fill="FFFFFF"/>
          <w:lang w:bidi="ar"/>
        </w:rPr>
        <w:t>投标文件含有采购人不能接受的附加条件的;</w:t>
      </w:r>
    </w:p>
    <w:p>
      <w:pPr>
        <w:shd w:val="clear" w:color="auto" w:fill="auto"/>
        <w:tabs>
          <w:tab w:val="left" w:pos="1123"/>
        </w:tabs>
        <w:snapToGrid w:val="0"/>
        <w:spacing w:line="5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.4 投标人有下列情形之一的, 详细评审后其投标按无效投标处理：</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(1)投标产品不符合必须强制执行的国家标准的；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(2)投标人有串通投标、弄虚作假、行贿等违法行为；</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(3)投标文件含有违反国家法律、法规的内容，或附有招标人不能接受的条件的；</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（4）在同一项目（或同一标段）中有多个投标人有效投标报价接近最高限价，且评标委员会认为报价出现异常的，可以宣布其投标无效；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（5）报价明显低于其他投标人，且不能证明报价合理性的投标无效；</w:t>
      </w:r>
    </w:p>
    <w:p>
      <w:pPr>
        <w:shd w:val="clear" w:color="auto" w:fill="auto"/>
        <w:spacing w:line="36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（6）拒不确认评标委员会评审修正的投标无效；</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（7）其它情形，经评标委员会委提出按无效投标处理，并经公共资源交易监督部门核准的；</w:t>
      </w:r>
    </w:p>
    <w:p>
      <w:pPr>
        <w:shd w:val="clear" w:color="auto" w:fill="auto"/>
        <w:snapToGrid w:val="0"/>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r>
        <w:rPr>
          <w:rFonts w:hint="eastAsia" w:ascii="仿宋" w:hAnsi="仿宋" w:eastAsia="仿宋" w:cs="仿宋"/>
          <w:color w:val="auto"/>
          <w:szCs w:val="21"/>
          <w:highlight w:val="none"/>
          <w:lang w:eastAsia="zh-CN"/>
        </w:rPr>
        <w:t>采购文件</w:t>
      </w:r>
      <w:r>
        <w:rPr>
          <w:rFonts w:hint="eastAsia" w:ascii="仿宋" w:hAnsi="仿宋" w:eastAsia="仿宋" w:cs="仿宋"/>
          <w:color w:val="auto"/>
          <w:szCs w:val="21"/>
          <w:highlight w:val="none"/>
        </w:rPr>
        <w:t>规定的其它无效投标情形。</w:t>
      </w:r>
    </w:p>
    <w:p>
      <w:pPr>
        <w:pageBreakBefore/>
        <w:shd w:val="clear" w:color="auto" w:fill="auto"/>
        <w:spacing w:line="360" w:lineRule="auto"/>
        <w:jc w:val="center"/>
        <w:outlineLvl w:val="0"/>
        <w:rPr>
          <w:rFonts w:hint="eastAsia" w:ascii="仿宋" w:hAnsi="仿宋" w:eastAsia="仿宋" w:cs="仿宋"/>
          <w:b/>
          <w:color w:val="auto"/>
          <w:sz w:val="32"/>
          <w:szCs w:val="32"/>
          <w:highlight w:val="none"/>
        </w:rPr>
        <w:sectPr>
          <w:footerReference r:id="rId8" w:type="default"/>
          <w:pgSz w:w="11906" w:h="16838"/>
          <w:pgMar w:top="1440" w:right="1080" w:bottom="1440" w:left="1080" w:header="851" w:footer="992" w:gutter="0"/>
          <w:pgNumType w:fmt="decimal" w:start="1"/>
          <w:cols w:space="720" w:num="1"/>
          <w:docGrid w:type="linesAndChars" w:linePitch="312" w:charSpace="0"/>
        </w:sectPr>
      </w:pPr>
      <w:bookmarkStart w:id="44" w:name="_Toc469495737"/>
      <w:bookmarkStart w:id="45" w:name="OLE_LINK4"/>
    </w:p>
    <w:p>
      <w:pPr>
        <w:pageBreakBefore/>
        <w:numPr>
          <w:ilvl w:val="0"/>
          <w:numId w:val="8"/>
        </w:numPr>
        <w:shd w:val="clear" w:color="auto" w:fill="auto"/>
        <w:spacing w:line="360" w:lineRule="auto"/>
        <w:jc w:val="center"/>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 </w:t>
      </w:r>
      <w:bookmarkEnd w:id="38"/>
      <w:bookmarkEnd w:id="44"/>
      <w:r>
        <w:rPr>
          <w:rFonts w:hint="eastAsia" w:ascii="仿宋" w:hAnsi="仿宋" w:eastAsia="仿宋" w:cs="仿宋"/>
          <w:b/>
          <w:color w:val="auto"/>
          <w:sz w:val="30"/>
          <w:szCs w:val="30"/>
          <w:highlight w:val="none"/>
        </w:rPr>
        <w:t>技术规格、数量及质量要求</w:t>
      </w:r>
      <w:r>
        <w:rPr>
          <w:rFonts w:hint="eastAsia" w:ascii="仿宋" w:hAnsi="仿宋" w:eastAsia="仿宋" w:cs="仿宋"/>
          <w:b/>
          <w:color w:val="auto"/>
          <w:sz w:val="30"/>
          <w:szCs w:val="30"/>
          <w:highlight w:val="none"/>
          <w:lang w:val="en-US" w:eastAsia="zh-CN"/>
        </w:rPr>
        <w:t xml:space="preserve">                          </w:t>
      </w:r>
    </w:p>
    <w:p>
      <w:pPr>
        <w:jc w:val="center"/>
        <w:rPr>
          <w:rFonts w:hint="eastAsia" w:ascii="仿宋" w:hAnsi="仿宋" w:eastAsia="仿宋" w:cs="仿宋"/>
          <w:b/>
          <w:bCs/>
          <w:color w:val="auto"/>
          <w:sz w:val="24"/>
          <w:szCs w:val="32"/>
          <w:lang w:eastAsia="zh-CN"/>
        </w:rPr>
      </w:pPr>
      <w:bookmarkStart w:id="46" w:name="_Toc340225294"/>
      <w:bookmarkStart w:id="47" w:name="_Toc267320052"/>
      <w:r>
        <w:rPr>
          <w:rFonts w:hint="eastAsia" w:ascii="仿宋" w:hAnsi="仿宋" w:eastAsia="仿宋" w:cs="仿宋"/>
          <w:b/>
          <w:bCs/>
          <w:color w:val="auto"/>
          <w:sz w:val="24"/>
          <w:szCs w:val="32"/>
          <w:lang w:eastAsia="zh-CN"/>
        </w:rPr>
        <w:t>阿图什市人民医院医疗设备及信息化设备采购项目参数（</w:t>
      </w:r>
      <w:r>
        <w:rPr>
          <w:rFonts w:hint="eastAsia" w:ascii="仿宋" w:hAnsi="仿宋" w:eastAsia="仿宋" w:cs="仿宋"/>
          <w:b/>
          <w:bCs/>
          <w:color w:val="auto"/>
          <w:sz w:val="24"/>
          <w:szCs w:val="32"/>
          <w:lang w:val="en-US" w:eastAsia="zh-CN"/>
        </w:rPr>
        <w:t>5</w:t>
      </w:r>
      <w:r>
        <w:rPr>
          <w:rFonts w:hint="eastAsia" w:ascii="仿宋" w:hAnsi="仿宋" w:eastAsia="仿宋" w:cs="仿宋"/>
          <w:b/>
          <w:bCs/>
          <w:color w:val="auto"/>
          <w:sz w:val="24"/>
          <w:szCs w:val="32"/>
          <w:lang w:eastAsia="zh-CN"/>
        </w:rPr>
        <w:t>包）</w:t>
      </w:r>
    </w:p>
    <w:tbl>
      <w:tblPr>
        <w:tblStyle w:val="19"/>
        <w:tblW w:w="9765"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325"/>
        <w:gridCol w:w="5270"/>
        <w:gridCol w:w="690"/>
        <w:gridCol w:w="690"/>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序号</w:t>
            </w:r>
          </w:p>
        </w:tc>
        <w:tc>
          <w:tcPr>
            <w:tcW w:w="1325"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品目名称</w:t>
            </w:r>
          </w:p>
        </w:tc>
        <w:tc>
          <w:tcPr>
            <w:tcW w:w="527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主要技术参数</w:t>
            </w:r>
          </w:p>
        </w:tc>
        <w:tc>
          <w:tcPr>
            <w:tcW w:w="69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数量</w:t>
            </w:r>
          </w:p>
        </w:tc>
        <w:tc>
          <w:tcPr>
            <w:tcW w:w="69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单位</w:t>
            </w:r>
          </w:p>
        </w:tc>
        <w:tc>
          <w:tcPr>
            <w:tcW w:w="890" w:type="dxa"/>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1325"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双能X射线骨密度仪</w:t>
            </w:r>
          </w:p>
        </w:tc>
        <w:tc>
          <w:tcPr>
            <w:tcW w:w="5270" w:type="dxa"/>
          </w:tcPr>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设备名称：</w:t>
            </w:r>
            <w:r>
              <w:rPr>
                <w:rFonts w:hint="eastAsia" w:ascii="仿宋" w:hAnsi="仿宋" w:eastAsia="仿宋" w:cs="仿宋"/>
                <w:color w:val="auto"/>
                <w:vertAlign w:val="baseline"/>
                <w:lang w:eastAsia="zh-CN"/>
              </w:rPr>
              <w:t>X射线骨密度检测仪</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测量部位：</w:t>
            </w:r>
            <w:r>
              <w:rPr>
                <w:rFonts w:hint="eastAsia" w:ascii="仿宋" w:hAnsi="仿宋" w:eastAsia="仿宋" w:cs="仿宋"/>
                <w:color w:val="auto"/>
                <w:vertAlign w:val="baseline"/>
                <w:lang w:eastAsia="zh-CN"/>
              </w:rPr>
              <w:t>左/右手臂前端尺桡骨</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测量位置</w:t>
            </w:r>
            <w:r>
              <w:rPr>
                <w:rFonts w:hint="eastAsia" w:ascii="仿宋" w:hAnsi="仿宋" w:eastAsia="仿宋" w:cs="仿宋"/>
                <w:color w:val="auto"/>
                <w:vertAlign w:val="baseline"/>
                <w:lang w:eastAsia="zh-CN"/>
              </w:rPr>
              <w:t>：手臂尺桡骨远端，桡骨 1/3 处</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测量方法</w:t>
            </w:r>
            <w:r>
              <w:rPr>
                <w:rFonts w:hint="eastAsia" w:ascii="仿宋" w:hAnsi="仿宋" w:eastAsia="仿宋" w:cs="仿宋"/>
                <w:color w:val="auto"/>
                <w:vertAlign w:val="baseline"/>
                <w:lang w:eastAsia="zh-CN"/>
              </w:rPr>
              <w:t>：双能X射线吸收法</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测量方式：</w:t>
            </w:r>
            <w:r>
              <w:rPr>
                <w:rFonts w:hint="eastAsia" w:ascii="仿宋" w:hAnsi="仿宋" w:eastAsia="仿宋" w:cs="仿宋"/>
                <w:color w:val="auto"/>
                <w:vertAlign w:val="baseline"/>
                <w:lang w:eastAsia="zh-CN"/>
              </w:rPr>
              <w:t>前臂封闭进入</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成像技术：</w:t>
            </w:r>
            <w:r>
              <w:rPr>
                <w:rFonts w:hint="eastAsia" w:ascii="仿宋" w:hAnsi="仿宋" w:eastAsia="仿宋" w:cs="仿宋"/>
                <w:color w:val="auto"/>
                <w:vertAlign w:val="baseline"/>
                <w:lang w:eastAsia="zh-CN"/>
              </w:rPr>
              <w:t>锥形束面成像快速扫描技术</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X线加载电压：</w:t>
            </w:r>
            <w:r>
              <w:rPr>
                <w:rFonts w:hint="eastAsia" w:ascii="仿宋" w:hAnsi="仿宋" w:eastAsia="仿宋" w:cs="仿宋"/>
                <w:color w:val="auto"/>
                <w:vertAlign w:val="baseline"/>
                <w:lang w:eastAsia="zh-CN"/>
              </w:rPr>
              <w:t>高能 70Kv，低能 45Kv</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管电压偏差：</w:t>
            </w:r>
            <w:r>
              <w:rPr>
                <w:rFonts w:hint="eastAsia" w:ascii="仿宋" w:hAnsi="仿宋" w:eastAsia="仿宋" w:cs="仿宋"/>
                <w:color w:val="auto"/>
                <w:vertAlign w:val="baseline"/>
                <w:lang w:eastAsia="zh-CN"/>
              </w:rPr>
              <w:t>X射线管电压偏差≤±10%</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X射线管电流：</w:t>
            </w:r>
            <w:r>
              <w:rPr>
                <w:rFonts w:hint="eastAsia" w:ascii="仿宋" w:hAnsi="仿宋" w:eastAsia="仿宋" w:cs="仿宋"/>
                <w:color w:val="auto"/>
                <w:vertAlign w:val="baseline"/>
                <w:lang w:eastAsia="zh-CN"/>
              </w:rPr>
              <w:t>高能 0.25mA，低能 0.45mA</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管电流偏差</w:t>
            </w:r>
            <w:r>
              <w:rPr>
                <w:rFonts w:hint="eastAsia" w:ascii="仿宋" w:hAnsi="仿宋" w:eastAsia="仿宋" w:cs="仿宋"/>
                <w:color w:val="auto"/>
                <w:vertAlign w:val="baseline"/>
                <w:lang w:eastAsia="zh-CN"/>
              </w:rPr>
              <w:t>：X射线管电流值偏差≤±</w:t>
            </w:r>
            <w:r>
              <w:rPr>
                <w:rFonts w:hint="eastAsia" w:ascii="仿宋" w:hAnsi="仿宋" w:eastAsia="仿宋" w:cs="仿宋"/>
                <w:color w:val="auto"/>
                <w:vertAlign w:val="baseline"/>
                <w:lang w:val="en-US" w:eastAsia="zh-CN"/>
              </w:rPr>
              <w:t>20</w:t>
            </w:r>
            <w:r>
              <w:rPr>
                <w:rFonts w:hint="eastAsia" w:ascii="仿宋" w:hAnsi="仿宋" w:eastAsia="仿宋" w:cs="仿宋"/>
                <w:color w:val="auto"/>
                <w:vertAlign w:val="baseline"/>
                <w:lang w:eastAsia="zh-CN"/>
              </w:rPr>
              <w:t>%</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曝光采集时间：</w:t>
            </w:r>
            <w:r>
              <w:rPr>
                <w:rFonts w:hint="eastAsia" w:ascii="仿宋" w:hAnsi="仿宋" w:eastAsia="仿宋" w:cs="仿宋"/>
                <w:color w:val="auto"/>
                <w:vertAlign w:val="baseline"/>
                <w:lang w:eastAsia="zh-CN"/>
              </w:rPr>
              <w:t>≤</w:t>
            </w:r>
            <w:r>
              <w:rPr>
                <w:rFonts w:hint="eastAsia" w:ascii="仿宋" w:hAnsi="仿宋" w:eastAsia="仿宋" w:cs="仿宋"/>
                <w:color w:val="auto"/>
                <w:vertAlign w:val="baseline"/>
                <w:lang w:val="en-US" w:eastAsia="zh-CN"/>
              </w:rPr>
              <w:t>4</w:t>
            </w:r>
            <w:r>
              <w:rPr>
                <w:rFonts w:hint="eastAsia" w:ascii="仿宋" w:hAnsi="仿宋" w:eastAsia="仿宋" w:cs="仿宋"/>
                <w:color w:val="auto"/>
                <w:vertAlign w:val="baseline"/>
                <w:lang w:eastAsia="zh-CN"/>
              </w:rPr>
              <w:t>秒</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准确度误差：</w:t>
            </w:r>
            <w:r>
              <w:rPr>
                <w:rFonts w:hint="eastAsia" w:ascii="仿宋" w:hAnsi="仿宋" w:eastAsia="仿宋" w:cs="仿宋"/>
                <w:color w:val="auto"/>
                <w:vertAlign w:val="baseline"/>
                <w:lang w:eastAsia="zh-CN"/>
              </w:rPr>
              <w:t>测量准确度≤0.</w:t>
            </w:r>
            <w:r>
              <w:rPr>
                <w:rFonts w:hint="eastAsia" w:ascii="仿宋" w:hAnsi="仿宋" w:eastAsia="仿宋" w:cs="仿宋"/>
                <w:color w:val="auto"/>
                <w:vertAlign w:val="baseline"/>
                <w:lang w:val="en-US" w:eastAsia="zh-CN"/>
              </w:rPr>
              <w:t>40</w:t>
            </w:r>
            <w:r>
              <w:rPr>
                <w:rFonts w:hint="eastAsia" w:ascii="仿宋" w:hAnsi="仿宋" w:eastAsia="仿宋" w:cs="仿宋"/>
                <w:color w:val="auto"/>
                <w:vertAlign w:val="baseline"/>
                <w:lang w:eastAsia="zh-CN"/>
              </w:rPr>
              <w:t>％ （提供检测报告）</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val="en-US" w:eastAsia="zh-CN"/>
              </w:rPr>
              <w:t>同日</w:t>
            </w:r>
            <w:r>
              <w:rPr>
                <w:rFonts w:hint="eastAsia" w:ascii="仿宋" w:hAnsi="仿宋" w:eastAsia="仿宋" w:cs="仿宋"/>
                <w:b/>
                <w:bCs/>
                <w:color w:val="auto"/>
                <w:vertAlign w:val="baseline"/>
                <w:lang w:eastAsia="zh-CN"/>
              </w:rPr>
              <w:t>重复性误差</w:t>
            </w:r>
            <w:r>
              <w:rPr>
                <w:rFonts w:hint="eastAsia" w:ascii="仿宋" w:hAnsi="仿宋" w:eastAsia="仿宋" w:cs="仿宋"/>
                <w:b/>
                <w:bCs/>
                <w:color w:val="auto"/>
                <w:vertAlign w:val="baseline"/>
                <w:lang w:val="en-US" w:eastAsia="zh-CN"/>
              </w:rPr>
              <w:t>:</w:t>
            </w:r>
            <w:r>
              <w:rPr>
                <w:rFonts w:hint="eastAsia" w:ascii="仿宋" w:hAnsi="仿宋" w:eastAsia="仿宋" w:cs="仿宋"/>
                <w:color w:val="auto"/>
                <w:vertAlign w:val="baseline"/>
                <w:lang w:val="en-US" w:eastAsia="zh-CN"/>
              </w:rPr>
              <w:t xml:space="preserve"> </w:t>
            </w:r>
            <w:r>
              <w:rPr>
                <w:rFonts w:hint="eastAsia" w:ascii="仿宋" w:hAnsi="仿宋" w:eastAsia="仿宋" w:cs="仿宋"/>
                <w:color w:val="auto"/>
                <w:vertAlign w:val="baseline"/>
                <w:lang w:eastAsia="zh-CN"/>
              </w:rPr>
              <w:t>对同一体膜在同日进行重复测量，所测骨密度的同日变异系数CV≤0.</w:t>
            </w:r>
            <w:r>
              <w:rPr>
                <w:rFonts w:hint="eastAsia" w:ascii="仿宋" w:hAnsi="仿宋" w:eastAsia="仿宋" w:cs="仿宋"/>
                <w:color w:val="auto"/>
                <w:vertAlign w:val="baseline"/>
                <w:lang w:val="en-US" w:eastAsia="zh-CN"/>
              </w:rPr>
              <w:t>25</w:t>
            </w:r>
            <w:r>
              <w:rPr>
                <w:rFonts w:hint="eastAsia" w:ascii="仿宋" w:hAnsi="仿宋" w:eastAsia="仿宋" w:cs="仿宋"/>
                <w:color w:val="auto"/>
                <w:vertAlign w:val="baseline"/>
                <w:lang w:eastAsia="zh-CN"/>
              </w:rPr>
              <w:t>％（提供检测报告）</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val="en-US" w:eastAsia="zh-CN"/>
              </w:rPr>
              <w:t>多日</w:t>
            </w:r>
            <w:r>
              <w:rPr>
                <w:rFonts w:hint="eastAsia" w:ascii="仿宋" w:hAnsi="仿宋" w:eastAsia="仿宋" w:cs="仿宋"/>
                <w:b/>
                <w:bCs/>
                <w:color w:val="auto"/>
                <w:vertAlign w:val="baseline"/>
                <w:lang w:eastAsia="zh-CN"/>
              </w:rPr>
              <w:t>重复性误差</w:t>
            </w:r>
            <w:r>
              <w:rPr>
                <w:rFonts w:hint="eastAsia" w:ascii="仿宋" w:hAnsi="仿宋" w:eastAsia="仿宋" w:cs="仿宋"/>
                <w:b/>
                <w:bCs/>
                <w:color w:val="auto"/>
                <w:vertAlign w:val="baseline"/>
                <w:lang w:val="en-US" w:eastAsia="zh-CN"/>
              </w:rPr>
              <w:t>:</w:t>
            </w:r>
            <w:r>
              <w:rPr>
                <w:rFonts w:hint="eastAsia" w:ascii="仿宋" w:hAnsi="仿宋" w:eastAsia="仿宋" w:cs="仿宋"/>
                <w:color w:val="auto"/>
                <w:vertAlign w:val="baseline"/>
                <w:lang w:eastAsia="zh-CN"/>
              </w:rPr>
              <w:t>对同一体膜在</w:t>
            </w:r>
            <w:r>
              <w:rPr>
                <w:rFonts w:hint="eastAsia" w:ascii="仿宋" w:hAnsi="仿宋" w:eastAsia="仿宋" w:cs="仿宋"/>
                <w:color w:val="auto"/>
                <w:vertAlign w:val="baseline"/>
                <w:lang w:val="en-US" w:eastAsia="zh-CN"/>
              </w:rPr>
              <w:t>多日</w:t>
            </w:r>
            <w:r>
              <w:rPr>
                <w:rFonts w:hint="eastAsia" w:ascii="仿宋" w:hAnsi="仿宋" w:eastAsia="仿宋" w:cs="仿宋"/>
                <w:color w:val="auto"/>
                <w:vertAlign w:val="baseline"/>
                <w:lang w:eastAsia="zh-CN"/>
              </w:rPr>
              <w:t>进行重复测量，所测骨密度的</w:t>
            </w:r>
            <w:r>
              <w:rPr>
                <w:rFonts w:hint="eastAsia" w:ascii="仿宋" w:hAnsi="仿宋" w:eastAsia="仿宋" w:cs="仿宋"/>
                <w:color w:val="auto"/>
                <w:vertAlign w:val="baseline"/>
                <w:lang w:val="en-US" w:eastAsia="zh-CN"/>
              </w:rPr>
              <w:t>多日</w:t>
            </w:r>
            <w:r>
              <w:rPr>
                <w:rFonts w:hint="eastAsia" w:ascii="仿宋" w:hAnsi="仿宋" w:eastAsia="仿宋" w:cs="仿宋"/>
                <w:color w:val="auto"/>
                <w:vertAlign w:val="baseline"/>
                <w:lang w:eastAsia="zh-CN"/>
              </w:rPr>
              <w:t>变异系数CV≤0.</w:t>
            </w:r>
            <w:r>
              <w:rPr>
                <w:rFonts w:hint="eastAsia" w:ascii="仿宋" w:hAnsi="仿宋" w:eastAsia="仿宋" w:cs="仿宋"/>
                <w:color w:val="auto"/>
                <w:vertAlign w:val="baseline"/>
                <w:lang w:val="en-US" w:eastAsia="zh-CN"/>
              </w:rPr>
              <w:t>25</w:t>
            </w:r>
            <w:r>
              <w:rPr>
                <w:rFonts w:hint="eastAsia" w:ascii="仿宋" w:hAnsi="仿宋" w:eastAsia="仿宋" w:cs="仿宋"/>
                <w:color w:val="auto"/>
                <w:vertAlign w:val="baseline"/>
                <w:lang w:eastAsia="zh-CN"/>
              </w:rPr>
              <w:t>％（提供检测报告）</w:t>
            </w:r>
          </w:p>
          <w:p>
            <w:pPr>
              <w:jc w:val="left"/>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辅助定位</w:t>
            </w:r>
            <w:r>
              <w:rPr>
                <w:rFonts w:hint="eastAsia" w:ascii="仿宋" w:hAnsi="仿宋" w:eastAsia="仿宋" w:cs="仿宋"/>
                <w:b/>
                <w:bCs/>
                <w:color w:val="auto"/>
                <w:vertAlign w:val="baseline"/>
                <w:lang w:val="en-US" w:eastAsia="zh-CN"/>
              </w:rPr>
              <w:t>:</w:t>
            </w:r>
            <w:r>
              <w:rPr>
                <w:rFonts w:hint="eastAsia" w:ascii="仿宋" w:hAnsi="仿宋" w:eastAsia="仿宋" w:cs="仿宋"/>
                <w:color w:val="auto"/>
                <w:vertAlign w:val="baseline"/>
                <w:lang w:eastAsia="zh-CN"/>
              </w:rPr>
              <w:t>激光定位、腕部定位、掌部定位，使得摆放位置更加准确精准测量结果</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远台操作：</w:t>
            </w:r>
            <w:r>
              <w:rPr>
                <w:rFonts w:hint="eastAsia" w:ascii="仿宋" w:hAnsi="仿宋" w:eastAsia="仿宋" w:cs="仿宋"/>
                <w:color w:val="auto"/>
                <w:vertAlign w:val="baseline"/>
                <w:lang w:eastAsia="zh-CN"/>
              </w:rPr>
              <w:t>操作医生与X光源距离达到2米-3米距离，医生操作更安全</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射线主机防护：</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机身内部铅防护设计</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2.</w:t>
            </w:r>
            <w:r>
              <w:rPr>
                <w:rFonts w:hint="eastAsia" w:ascii="仿宋" w:hAnsi="仿宋" w:eastAsia="仿宋" w:cs="仿宋"/>
                <w:color w:val="auto"/>
                <w:vertAlign w:val="baseline"/>
                <w:lang w:eastAsia="zh-CN"/>
              </w:rPr>
              <w:t>检测窗口采用专利防护罩方式，射线得到有效防护</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辐射泄漏量：</w:t>
            </w:r>
            <w:r>
              <w:rPr>
                <w:rFonts w:hint="eastAsia" w:ascii="仿宋" w:hAnsi="仿宋" w:eastAsia="仿宋" w:cs="仿宋"/>
                <w:color w:val="auto"/>
                <w:vertAlign w:val="baseline"/>
                <w:lang w:eastAsia="zh-CN"/>
              </w:rPr>
              <w:t xml:space="preserve">X 线散射剂量：≤2.5μSv/h  </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X</w:t>
            </w:r>
            <w:r>
              <w:rPr>
                <w:rFonts w:hint="eastAsia" w:ascii="仿宋" w:hAnsi="仿宋" w:eastAsia="仿宋" w:cs="仿宋"/>
                <w:b/>
                <w:bCs/>
                <w:color w:val="auto"/>
                <w:vertAlign w:val="baseline"/>
                <w:lang w:val="en-US" w:eastAsia="zh-CN"/>
              </w:rPr>
              <w:t>射线束：</w:t>
            </w:r>
            <w:r>
              <w:rPr>
                <w:rFonts w:hint="eastAsia" w:ascii="仿宋" w:hAnsi="仿宋" w:eastAsia="仿宋" w:cs="仿宋"/>
                <w:color w:val="auto"/>
                <w:vertAlign w:val="baseline"/>
                <w:lang w:eastAsia="zh-CN"/>
              </w:rPr>
              <w:t>166mm*124mm 矩形  提供检测报告</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测量面积：</w:t>
            </w:r>
            <w:r>
              <w:rPr>
                <w:rFonts w:hint="eastAsia" w:ascii="仿宋" w:hAnsi="仿宋" w:eastAsia="仿宋" w:cs="仿宋"/>
                <w:color w:val="auto"/>
                <w:vertAlign w:val="baseline"/>
                <w:lang w:eastAsia="zh-CN"/>
              </w:rPr>
              <w:t>测量面积：≧150mm*110mm 提供检测报告</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测量厚度：</w:t>
            </w:r>
            <w:r>
              <w:rPr>
                <w:rFonts w:hint="eastAsia" w:ascii="仿宋" w:hAnsi="仿宋" w:eastAsia="仿宋" w:cs="仿宋"/>
                <w:color w:val="auto"/>
                <w:vertAlign w:val="baseline"/>
                <w:lang w:eastAsia="zh-CN"/>
              </w:rPr>
              <w:t>≥2</w:t>
            </w:r>
            <w:r>
              <w:rPr>
                <w:rFonts w:hint="eastAsia" w:ascii="仿宋" w:hAnsi="仿宋" w:eastAsia="仿宋" w:cs="仿宋"/>
                <w:color w:val="auto"/>
                <w:vertAlign w:val="baseline"/>
                <w:lang w:val="en-US" w:eastAsia="zh-CN"/>
              </w:rPr>
              <w:t>20</w:t>
            </w:r>
            <w:r>
              <w:rPr>
                <w:rFonts w:hint="eastAsia" w:ascii="仿宋" w:hAnsi="仿宋" w:eastAsia="仿宋" w:cs="仿宋"/>
                <w:color w:val="auto"/>
                <w:vertAlign w:val="baseline"/>
                <w:lang w:eastAsia="zh-CN"/>
              </w:rPr>
              <w:t>mm</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骨密度测量范围：</w:t>
            </w:r>
            <w:r>
              <w:rPr>
                <w:rFonts w:hint="eastAsia" w:ascii="仿宋" w:hAnsi="仿宋" w:eastAsia="仿宋" w:cs="仿宋"/>
                <w:color w:val="auto"/>
                <w:vertAlign w:val="baseline"/>
                <w:lang w:eastAsia="zh-CN"/>
              </w:rPr>
              <w:t>0.2 ~1.3 g/cm2</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测量结果：</w:t>
            </w:r>
            <w:r>
              <w:rPr>
                <w:rFonts w:hint="eastAsia" w:ascii="仿宋" w:hAnsi="仿宋" w:eastAsia="仿宋" w:cs="仿宋"/>
                <w:color w:val="auto"/>
                <w:vertAlign w:val="baseline"/>
                <w:lang w:eastAsia="zh-CN"/>
              </w:rPr>
              <w:t>T-值、Z-值、BMD、BMC、面积、成人百分比、同龄百分比、骨质指数、BMI、预计发生骨质疏松年龄、骨折风险系（提供检测报告单）</w:t>
            </w:r>
          </w:p>
          <w:p>
            <w:pPr>
              <w:jc w:val="left"/>
              <w:rPr>
                <w:rFonts w:hint="eastAsia" w:ascii="仿宋" w:hAnsi="仿宋" w:eastAsia="仿宋" w:cs="仿宋"/>
                <w:color w:val="auto"/>
                <w:vertAlign w:val="baseline"/>
                <w:lang w:val="en-US" w:eastAsia="zh-CN"/>
              </w:rPr>
            </w:pPr>
            <w:r>
              <w:rPr>
                <w:rFonts w:hint="eastAsia" w:ascii="仿宋" w:hAnsi="仿宋" w:eastAsia="仿宋" w:cs="仿宋"/>
                <w:b/>
                <w:bCs/>
                <w:color w:val="auto"/>
                <w:vertAlign w:val="baseline"/>
                <w:lang w:eastAsia="zh-CN"/>
              </w:rPr>
              <w:t>系统软件功能：</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全中文操作软件，</w:t>
            </w:r>
            <w:r>
              <w:rPr>
                <w:rFonts w:hint="eastAsia" w:ascii="仿宋" w:hAnsi="仿宋" w:eastAsia="仿宋" w:cs="仿宋"/>
                <w:color w:val="auto"/>
                <w:vertAlign w:val="baseline"/>
                <w:lang w:val="en-US" w:eastAsia="zh-CN"/>
              </w:rPr>
              <w:t>软件终身免费升级</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2.</w:t>
            </w:r>
            <w:r>
              <w:rPr>
                <w:rFonts w:hint="eastAsia" w:ascii="仿宋" w:hAnsi="仿宋" w:eastAsia="仿宋" w:cs="仿宋"/>
                <w:color w:val="auto"/>
                <w:vertAlign w:val="baseline"/>
                <w:lang w:eastAsia="zh-CN"/>
              </w:rPr>
              <w:t>自动质控体膜校准功能</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3.</w:t>
            </w:r>
            <w:r>
              <w:rPr>
                <w:rFonts w:hint="eastAsia" w:ascii="仿宋" w:hAnsi="仿宋" w:eastAsia="仿宋" w:cs="仿宋"/>
                <w:color w:val="auto"/>
                <w:vertAlign w:val="baseline"/>
                <w:lang w:eastAsia="zh-CN"/>
              </w:rPr>
              <w:t>具有独特的自动判断与人工判断功能可选功能</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4.</w:t>
            </w:r>
            <w:r>
              <w:rPr>
                <w:rFonts w:hint="eastAsia" w:ascii="仿宋" w:hAnsi="仿宋" w:eastAsia="仿宋" w:cs="仿宋"/>
                <w:color w:val="auto"/>
                <w:vertAlign w:val="baseline"/>
                <w:lang w:eastAsia="zh-CN"/>
              </w:rPr>
              <w:t>中文彩色结果报告（三色图）</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5.</w:t>
            </w:r>
            <w:r>
              <w:rPr>
                <w:rFonts w:hint="eastAsia" w:ascii="仿宋" w:hAnsi="仿宋" w:eastAsia="仿宋" w:cs="仿宋"/>
                <w:color w:val="auto"/>
                <w:vertAlign w:val="baseline"/>
                <w:lang w:eastAsia="zh-CN"/>
              </w:rPr>
              <w:t>具有病历姓名纠错功能</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6.</w:t>
            </w:r>
            <w:r>
              <w:rPr>
                <w:rFonts w:hint="eastAsia" w:ascii="仿宋" w:hAnsi="仿宋" w:eastAsia="仿宋" w:cs="仿宋"/>
                <w:color w:val="auto"/>
                <w:vertAlign w:val="baseline"/>
                <w:lang w:eastAsia="zh-CN"/>
              </w:rPr>
              <w:t>★具有六种条件统计分析功能，为医生提供更多的病例信息</w:t>
            </w:r>
          </w:p>
          <w:p>
            <w:pPr>
              <w:ind w:firstLine="1701" w:firstLineChars="700"/>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7.</w:t>
            </w:r>
            <w:r>
              <w:rPr>
                <w:rFonts w:hint="eastAsia" w:ascii="仿宋" w:hAnsi="仿宋" w:eastAsia="仿宋" w:cs="仿宋"/>
                <w:color w:val="auto"/>
                <w:vertAlign w:val="baseline"/>
                <w:lang w:eastAsia="zh-CN"/>
              </w:rPr>
              <w:t>统计具有饼状统计与表格统计功能，便于医生对病例进行分析</w:t>
            </w:r>
          </w:p>
          <w:p>
            <w:pPr>
              <w:ind w:firstLine="1701" w:firstLineChars="700"/>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★能够进行多部位独立计算、BMC（g）BMD(g/cm)</w:t>
            </w:r>
          </w:p>
          <w:p>
            <w:pPr>
              <w:ind w:firstLine="1701" w:firstLineChars="700"/>
              <w:jc w:val="left"/>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9 .免费与</w:t>
            </w:r>
            <w:r>
              <w:rPr>
                <w:rFonts w:hint="eastAsia" w:ascii="仿宋" w:hAnsi="仿宋" w:eastAsia="仿宋" w:cs="仿宋"/>
                <w:color w:val="auto"/>
                <w:vertAlign w:val="baseline"/>
                <w:lang w:eastAsia="zh-CN"/>
              </w:rPr>
              <w:t>医院HIS系统、体检系统</w:t>
            </w:r>
            <w:r>
              <w:rPr>
                <w:rFonts w:hint="eastAsia" w:ascii="仿宋" w:hAnsi="仿宋" w:eastAsia="仿宋" w:cs="仿宋"/>
                <w:color w:val="auto"/>
                <w:vertAlign w:val="baseline"/>
                <w:lang w:val="en-US" w:eastAsia="zh-CN"/>
              </w:rPr>
              <w:t>接口连接，如涉及接口费， 由中标厂家支付。</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w:t>
            </w:r>
            <w:r>
              <w:rPr>
                <w:rFonts w:hint="eastAsia" w:ascii="仿宋" w:hAnsi="仿宋" w:eastAsia="仿宋" w:cs="仿宋"/>
                <w:b/>
                <w:bCs/>
                <w:color w:val="auto"/>
                <w:vertAlign w:val="baseline"/>
                <w:lang w:eastAsia="zh-CN"/>
              </w:rPr>
              <w:t>数据库：</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拥有多人种数据库：具老年人数据，最大可以测量1</w:t>
            </w:r>
            <w:r>
              <w:rPr>
                <w:rFonts w:hint="eastAsia" w:ascii="仿宋" w:hAnsi="仿宋" w:eastAsia="仿宋" w:cs="仿宋"/>
                <w:color w:val="auto"/>
                <w:vertAlign w:val="baseline"/>
                <w:lang w:val="en-US" w:eastAsia="zh-CN"/>
              </w:rPr>
              <w:t>3</w:t>
            </w:r>
            <w:r>
              <w:rPr>
                <w:rFonts w:hint="eastAsia" w:ascii="仿宋" w:hAnsi="仿宋" w:eastAsia="仿宋" w:cs="仿宋"/>
                <w:color w:val="auto"/>
                <w:vertAlign w:val="baseline"/>
                <w:lang w:eastAsia="zh-CN"/>
              </w:rPr>
              <w:t>0岁老年人群</w:t>
            </w:r>
          </w:p>
          <w:p>
            <w:pPr>
              <w:ind w:firstLine="972" w:firstLineChars="400"/>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val="en-US" w:eastAsia="zh-CN"/>
              </w:rPr>
              <w:t>2.</w:t>
            </w:r>
            <w:r>
              <w:rPr>
                <w:rFonts w:hint="eastAsia" w:ascii="仿宋" w:hAnsi="仿宋" w:eastAsia="仿宋" w:cs="仿宋"/>
                <w:color w:val="auto"/>
                <w:vertAlign w:val="baseline"/>
                <w:lang w:eastAsia="zh-CN"/>
              </w:rPr>
              <w:t>可同时存储病人病历及图片</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工作电压：</w:t>
            </w:r>
            <w:r>
              <w:rPr>
                <w:rFonts w:hint="eastAsia" w:ascii="仿宋" w:hAnsi="仿宋" w:eastAsia="仿宋" w:cs="仿宋"/>
                <w:color w:val="auto"/>
                <w:vertAlign w:val="baseline"/>
                <w:lang w:eastAsia="zh-CN"/>
              </w:rPr>
              <w:t>220V±10%，50Hz</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工作站配置：</w:t>
            </w:r>
            <w:r>
              <w:rPr>
                <w:rFonts w:hint="eastAsia" w:ascii="仿宋" w:hAnsi="仿宋" w:eastAsia="仿宋" w:cs="仿宋"/>
                <w:color w:val="auto"/>
                <w:vertAlign w:val="baseline"/>
                <w:lang w:val="en-US" w:eastAsia="zh-CN"/>
              </w:rPr>
              <w:t>1.</w:t>
            </w:r>
            <w:r>
              <w:rPr>
                <w:rFonts w:hint="eastAsia" w:ascii="仿宋" w:hAnsi="仿宋" w:eastAsia="仿宋" w:cs="仿宋"/>
                <w:color w:val="auto"/>
                <w:vertAlign w:val="baseline"/>
                <w:lang w:eastAsia="zh-CN"/>
              </w:rPr>
              <w:t>原装商务计算机，i5配置，CPU四核、</w:t>
            </w:r>
            <w:r>
              <w:rPr>
                <w:rFonts w:hint="eastAsia" w:ascii="仿宋" w:hAnsi="仿宋" w:eastAsia="仿宋" w:cs="仿宋"/>
                <w:color w:val="auto"/>
                <w:vertAlign w:val="baseline"/>
                <w:lang w:val="en-US" w:eastAsia="zh-CN"/>
              </w:rPr>
              <w:t>8</w:t>
            </w:r>
            <w:r>
              <w:rPr>
                <w:rFonts w:hint="eastAsia" w:ascii="仿宋" w:hAnsi="仿宋" w:eastAsia="仿宋" w:cs="仿宋"/>
                <w:color w:val="auto"/>
                <w:vertAlign w:val="baseline"/>
                <w:lang w:eastAsia="zh-CN"/>
              </w:rPr>
              <w:t>G、1T、22吋高清显示器</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2.</w:t>
            </w:r>
            <w:r>
              <w:rPr>
                <w:rFonts w:hint="eastAsia" w:ascii="仿宋" w:hAnsi="仿宋" w:eastAsia="仿宋" w:cs="仿宋"/>
                <w:color w:val="auto"/>
                <w:vertAlign w:val="baseline"/>
                <w:lang w:eastAsia="zh-CN"/>
              </w:rPr>
              <w:t>★可移动工作推车</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3.</w:t>
            </w:r>
            <w:r>
              <w:rPr>
                <w:rFonts w:hint="eastAsia" w:ascii="仿宋" w:hAnsi="仿宋" w:eastAsia="仿宋" w:cs="仿宋"/>
                <w:color w:val="auto"/>
                <w:vertAlign w:val="baseline"/>
                <w:lang w:eastAsia="zh-CN"/>
              </w:rPr>
              <w:t>★可移动射线主机摆台</w:t>
            </w:r>
          </w:p>
          <w:p>
            <w:pPr>
              <w:jc w:val="left"/>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ab/>
            </w:r>
            <w:r>
              <w:rPr>
                <w:rFonts w:hint="eastAsia" w:ascii="仿宋" w:hAnsi="仿宋" w:eastAsia="仿宋" w:cs="仿宋"/>
                <w:color w:val="auto"/>
                <w:vertAlign w:val="baseline"/>
                <w:lang w:val="en-US" w:eastAsia="zh-CN"/>
              </w:rPr>
              <w:t xml:space="preserve">       4.</w:t>
            </w:r>
            <w:r>
              <w:rPr>
                <w:rFonts w:hint="eastAsia" w:ascii="仿宋" w:hAnsi="仿宋" w:eastAsia="仿宋" w:cs="仿宋"/>
                <w:color w:val="auto"/>
                <w:vertAlign w:val="baseline"/>
                <w:lang w:eastAsia="zh-CN"/>
              </w:rPr>
              <w:t>射线主机铅衣防护</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打印机：</w:t>
            </w:r>
            <w:r>
              <w:rPr>
                <w:rFonts w:hint="eastAsia" w:ascii="仿宋" w:hAnsi="仿宋" w:eastAsia="仿宋" w:cs="仿宋"/>
                <w:color w:val="auto"/>
                <w:vertAlign w:val="baseline"/>
                <w:lang w:eastAsia="zh-CN"/>
              </w:rPr>
              <w:t>支持任意品牌外接打印机。</w:t>
            </w:r>
          </w:p>
          <w:p>
            <w:pPr>
              <w:jc w:val="left"/>
              <w:rPr>
                <w:rFonts w:hint="eastAsia" w:ascii="仿宋" w:hAnsi="仿宋" w:eastAsia="仿宋" w:cs="仿宋"/>
                <w:color w:val="auto"/>
                <w:vertAlign w:val="baseline"/>
                <w:lang w:eastAsia="zh-CN"/>
              </w:rPr>
            </w:pPr>
            <w:r>
              <w:rPr>
                <w:rFonts w:hint="eastAsia" w:ascii="仿宋" w:hAnsi="仿宋" w:eastAsia="仿宋" w:cs="仿宋"/>
                <w:b/>
                <w:bCs/>
                <w:color w:val="auto"/>
                <w:vertAlign w:val="baseline"/>
                <w:lang w:eastAsia="zh-CN"/>
              </w:rPr>
              <w:t>整机质保：</w:t>
            </w:r>
            <w:r>
              <w:rPr>
                <w:rFonts w:hint="eastAsia" w:ascii="仿宋" w:hAnsi="仿宋" w:eastAsia="仿宋" w:cs="仿宋"/>
                <w:color w:val="auto"/>
                <w:vertAlign w:val="baseline"/>
                <w:lang w:eastAsia="zh-CN"/>
              </w:rPr>
              <w:t>整机质保</w:t>
            </w:r>
            <w:r>
              <w:rPr>
                <w:rFonts w:hint="eastAsia" w:ascii="仿宋" w:hAnsi="仿宋" w:eastAsia="仿宋" w:cs="仿宋"/>
                <w:color w:val="auto"/>
                <w:vertAlign w:val="baseline"/>
                <w:lang w:val="en-US" w:eastAsia="zh-CN"/>
              </w:rPr>
              <w:t>24</w:t>
            </w:r>
            <w:r>
              <w:rPr>
                <w:rFonts w:hint="eastAsia" w:ascii="仿宋" w:hAnsi="仿宋" w:eastAsia="仿宋" w:cs="仿宋"/>
                <w:color w:val="auto"/>
                <w:vertAlign w:val="baseline"/>
                <w:lang w:eastAsia="zh-CN"/>
              </w:rPr>
              <w:t>个月</w:t>
            </w:r>
          </w:p>
        </w:tc>
        <w:tc>
          <w:tcPr>
            <w:tcW w:w="690" w:type="dxa"/>
            <w:vAlign w:val="center"/>
          </w:tcPr>
          <w:p>
            <w:pP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690" w:type="dxa"/>
            <w:vAlign w:val="center"/>
          </w:tcPr>
          <w:p>
            <w:pPr>
              <w:jc w:val="center"/>
              <w:rPr>
                <w:rFonts w:hint="eastAsia" w:ascii="仿宋" w:hAnsi="仿宋" w:eastAsia="仿宋" w:cs="仿宋"/>
                <w:color w:val="auto"/>
                <w:vertAlign w:val="baseline"/>
                <w:lang w:eastAsia="zh-CN"/>
              </w:rPr>
            </w:pPr>
            <w:r>
              <w:rPr>
                <w:rFonts w:hint="eastAsia" w:ascii="仿宋" w:hAnsi="仿宋" w:eastAsia="仿宋" w:cs="仿宋"/>
                <w:color w:val="auto"/>
                <w:vertAlign w:val="baseline"/>
                <w:lang w:eastAsia="zh-CN"/>
              </w:rPr>
              <w:t>台</w:t>
            </w:r>
          </w:p>
        </w:tc>
        <w:tc>
          <w:tcPr>
            <w:tcW w:w="890" w:type="dxa"/>
          </w:tcPr>
          <w:p>
            <w:pPr>
              <w:jc w:val="center"/>
              <w:rPr>
                <w:rFonts w:hint="eastAsia" w:ascii="仿宋" w:hAnsi="仿宋" w:eastAsia="仿宋" w:cs="仿宋"/>
                <w:color w:val="auto"/>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310" w:lineRule="exact"/>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1.2包装要求</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rPr>
      </w:pPr>
      <w:r>
        <w:rPr>
          <w:rFonts w:hint="eastAsia" w:ascii="Times New Roman" w:hAnsi="Times New Roman" w:eastAsia="仿宋" w:cs="Times New Roman"/>
          <w:bCs/>
          <w:color w:val="auto"/>
          <w:szCs w:val="21"/>
        </w:rPr>
        <w:t>供方应提供货物服务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textAlignment w:val="auto"/>
        <w:rPr>
          <w:rFonts w:hint="eastAsia" w:ascii="Times New Roman" w:hAnsi="Times New Roman" w:eastAsia="仿宋" w:cs="Times New Roman"/>
          <w:b/>
          <w:bCs w:val="0"/>
          <w:color w:val="auto"/>
          <w:szCs w:val="21"/>
        </w:rPr>
      </w:pPr>
      <w:r>
        <w:rPr>
          <w:rFonts w:hint="eastAsia" w:ascii="Times New Roman" w:hAnsi="Times New Roman" w:eastAsia="仿宋" w:cs="Times New Roman"/>
          <w:b/>
          <w:bCs w:val="0"/>
          <w:color w:val="auto"/>
          <w:szCs w:val="21"/>
        </w:rPr>
        <w:t>1.3项目商务要求</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eastAsia="zh-CN"/>
        </w:rPr>
      </w:pPr>
      <w:r>
        <w:rPr>
          <w:rFonts w:hint="eastAsia" w:ascii="Times New Roman" w:hAnsi="Times New Roman" w:eastAsia="仿宋" w:cs="Times New Roman"/>
          <w:b/>
          <w:bCs w:val="0"/>
          <w:color w:val="auto"/>
          <w:szCs w:val="21"/>
          <w:lang w:eastAsia="zh-CN"/>
        </w:rPr>
        <w:t>（一）</w:t>
      </w:r>
      <w:r>
        <w:rPr>
          <w:rFonts w:hint="eastAsia" w:ascii="Times New Roman" w:hAnsi="Times New Roman" w:eastAsia="仿宋" w:cs="Times New Roman"/>
          <w:b/>
          <w:bCs w:val="0"/>
          <w:color w:val="auto"/>
          <w:szCs w:val="21"/>
        </w:rPr>
        <w:t>实施（交货）时间 ：</w:t>
      </w:r>
      <w:r>
        <w:rPr>
          <w:rFonts w:hint="eastAsia" w:ascii="Times New Roman" w:hAnsi="Times New Roman" w:eastAsia="仿宋" w:cs="Times New Roman"/>
          <w:bCs/>
          <w:color w:val="auto"/>
          <w:szCs w:val="21"/>
        </w:rPr>
        <w:t>合同签订后</w:t>
      </w:r>
      <w:r>
        <w:rPr>
          <w:rFonts w:hint="eastAsia" w:ascii="Times New Roman" w:hAnsi="Times New Roman" w:eastAsia="仿宋" w:cs="Times New Roman"/>
          <w:bCs/>
          <w:color w:val="auto"/>
          <w:szCs w:val="21"/>
          <w:lang w:eastAsia="zh-CN"/>
        </w:rPr>
        <w:t>在</w:t>
      </w:r>
      <w:r>
        <w:rPr>
          <w:rFonts w:hint="eastAsia" w:ascii="Times New Roman" w:hAnsi="Times New Roman" w:eastAsia="仿宋" w:cs="Times New Roman"/>
          <w:bCs/>
          <w:color w:val="auto"/>
          <w:szCs w:val="21"/>
          <w:lang w:val="en-US" w:eastAsia="zh-CN"/>
        </w:rPr>
        <w:t>30天</w:t>
      </w:r>
      <w:r>
        <w:rPr>
          <w:rFonts w:hint="eastAsia" w:ascii="Times New Roman" w:hAnsi="Times New Roman" w:eastAsia="仿宋" w:cs="Times New Roman"/>
          <w:bCs/>
          <w:color w:val="auto"/>
          <w:szCs w:val="21"/>
        </w:rPr>
        <w:t>内</w:t>
      </w:r>
      <w:r>
        <w:rPr>
          <w:rFonts w:hint="eastAsia" w:ascii="Times New Roman" w:hAnsi="Times New Roman" w:eastAsia="仿宋" w:cs="Times New Roman"/>
          <w:bCs/>
          <w:color w:val="auto"/>
          <w:szCs w:val="21"/>
          <w:lang w:eastAsia="zh-CN"/>
        </w:rPr>
        <w:t>完成供货。</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rPr>
      </w:pPr>
      <w:r>
        <w:rPr>
          <w:rFonts w:hint="eastAsia" w:ascii="Times New Roman" w:hAnsi="Times New Roman" w:eastAsia="仿宋" w:cs="Times New Roman"/>
          <w:b/>
          <w:bCs w:val="0"/>
          <w:color w:val="auto"/>
          <w:szCs w:val="21"/>
        </w:rPr>
        <w:t>（二）实施（交货）地点 ：</w:t>
      </w:r>
      <w:r>
        <w:rPr>
          <w:rFonts w:hint="eastAsia" w:ascii="Times New Roman" w:hAnsi="Times New Roman" w:eastAsia="仿宋" w:cs="Times New Roman"/>
          <w:bCs/>
          <w:color w:val="auto"/>
          <w:szCs w:val="21"/>
        </w:rPr>
        <w:t>甲方指定地点</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
          <w:bCs w:val="0"/>
          <w:color w:val="auto"/>
          <w:szCs w:val="21"/>
        </w:rPr>
      </w:pPr>
      <w:r>
        <w:rPr>
          <w:rFonts w:hint="eastAsia" w:ascii="Times New Roman" w:hAnsi="Times New Roman" w:eastAsia="仿宋" w:cs="Times New Roman"/>
          <w:b/>
          <w:bCs w:val="0"/>
          <w:color w:val="auto"/>
          <w:szCs w:val="21"/>
        </w:rPr>
        <w:t>（三）报价要求</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rPr>
      </w:pPr>
      <w:r>
        <w:rPr>
          <w:rFonts w:hint="eastAsia" w:ascii="Times New Roman" w:hAnsi="Times New Roman" w:eastAsia="仿宋" w:cs="Times New Roman"/>
          <w:bCs/>
          <w:color w:val="auto"/>
          <w:szCs w:val="21"/>
        </w:rPr>
        <w:t>本次报价为人民币报价，投标报价应包括：货物本身价格、包装费、运输费用、保险费用、</w:t>
      </w:r>
      <w:r>
        <w:rPr>
          <w:rFonts w:hint="eastAsia" w:ascii="Times New Roman" w:hAnsi="Times New Roman" w:eastAsia="仿宋" w:cs="Times New Roman"/>
          <w:bCs/>
          <w:color w:val="auto"/>
          <w:szCs w:val="21"/>
          <w:lang w:eastAsia="zh-CN"/>
        </w:rPr>
        <w:t>安装调试费、</w:t>
      </w:r>
      <w:r>
        <w:rPr>
          <w:rFonts w:hint="eastAsia" w:ascii="Times New Roman" w:hAnsi="Times New Roman" w:eastAsia="仿宋" w:cs="Times New Roman"/>
          <w:bCs/>
          <w:color w:val="auto"/>
          <w:szCs w:val="21"/>
        </w:rPr>
        <w:t>装卸费、损耗、税金费用、自检费、人工费、其他配件费及验收合格前和质保期内发生的一切费用、应当提供的伴随服务/售后服务费用。</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
          <w:bCs w:val="0"/>
          <w:color w:val="auto"/>
          <w:szCs w:val="21"/>
        </w:rPr>
      </w:pPr>
      <w:r>
        <w:rPr>
          <w:rFonts w:hint="eastAsia" w:ascii="Times New Roman" w:hAnsi="Times New Roman" w:eastAsia="仿宋" w:cs="Times New Roman"/>
          <w:b/>
          <w:bCs w:val="0"/>
          <w:color w:val="auto"/>
          <w:szCs w:val="21"/>
        </w:rPr>
        <w:t>（四）质保要求</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eastAsia="zh-CN"/>
        </w:rPr>
      </w:pPr>
      <w:r>
        <w:rPr>
          <w:rFonts w:hint="eastAsia" w:ascii="Times New Roman" w:hAnsi="Times New Roman" w:eastAsia="仿宋" w:cs="Times New Roman"/>
          <w:bCs/>
          <w:color w:val="auto"/>
          <w:szCs w:val="21"/>
        </w:rPr>
        <w:t>1、本</w:t>
      </w:r>
      <w:r>
        <w:rPr>
          <w:rFonts w:hint="eastAsia" w:eastAsia="仿宋" w:cs="Times New Roman"/>
          <w:bCs/>
          <w:color w:val="auto"/>
          <w:szCs w:val="21"/>
          <w:lang w:val="en-US" w:eastAsia="zh-CN"/>
        </w:rPr>
        <w:t>标项</w:t>
      </w:r>
      <w:r>
        <w:rPr>
          <w:rFonts w:hint="eastAsia" w:ascii="Times New Roman" w:hAnsi="Times New Roman" w:eastAsia="仿宋" w:cs="Times New Roman"/>
          <w:bCs/>
          <w:color w:val="auto"/>
          <w:szCs w:val="21"/>
          <w:lang w:eastAsia="zh-CN"/>
        </w:rPr>
        <w:t>医疗设备质保期详见参数列表</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rPr>
      </w:pPr>
      <w:r>
        <w:rPr>
          <w:rFonts w:hint="eastAsia" w:ascii="Times New Roman" w:hAnsi="Times New Roman" w:eastAsia="仿宋" w:cs="Times New Roman"/>
          <w:bCs/>
          <w:color w:val="auto"/>
          <w:szCs w:val="21"/>
        </w:rPr>
        <w:t>2、乙方应保证所提供的货物是全新、未使用过的原装合格正品，并完全符合国家标准和行业的相关标准。</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
          <w:bCs w:val="0"/>
          <w:color w:val="auto"/>
          <w:szCs w:val="21"/>
          <w:lang w:val="en-US" w:eastAsia="zh-CN"/>
        </w:rPr>
      </w:pPr>
      <w:r>
        <w:rPr>
          <w:rFonts w:hint="eastAsia" w:ascii="Times New Roman" w:hAnsi="Times New Roman" w:eastAsia="仿宋" w:cs="Times New Roman"/>
          <w:b/>
          <w:bCs w:val="0"/>
          <w:color w:val="auto"/>
          <w:szCs w:val="21"/>
        </w:rPr>
        <w:t xml:space="preserve">（五）售后服务、理赔、质量技术及验收保证的承诺及其他要求   </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1、产品使用：甲方在使用乙方所供产品中出现问题需乙方解决时，乙方应无偿解决（退换货），维护解决不了的，乙方无条件更换。</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rPr>
      </w:pPr>
      <w:r>
        <w:rPr>
          <w:rFonts w:hint="eastAsia" w:ascii="Times New Roman" w:hAnsi="Times New Roman" w:eastAsia="仿宋" w:cs="Times New Roman"/>
          <w:bCs/>
          <w:color w:val="auto"/>
          <w:szCs w:val="21"/>
        </w:rPr>
        <w:t>2、保证产品为全新原厂设备；在调试验收后提供保修服务，保质期内有关于产品质量引发的费用，由乙方承担。保质期内由于甲方的使用不当或者是自然环境造成的，由乙方免费提供维修，维修所用的材料和配件均只收取成本价。质保期期间除更换易损件其他检查、维修提供免费维护维修。</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3、符合国家行业标准要求。</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 xml:space="preserve">4、质保期内，当采购人遇到使用及技术问题电话咨询不能解决的，须在24小时内到达现场进行处理。    </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4.1、质保期内，设备出现故障，24小时内到达现场，一般故障8小时内修复，较大故障48小时内解决问题。每年提供不少于4次回访。</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5、交货时应提供以下技术或培训资料（如涉及）</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5.1原产地证明书(由制造厂签发)；</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5.2提供主机及配套设备的安装图纸及说明；</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5.3提供主机及配套设备使用说明书、维护手册；</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5.4备件手册、零件及易损件的图纸及相关资料；</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5.5其它相关技术资料。</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6、投标人设有健全的售后服务机构网点，终端售后服务机构网点有明细以便监督（包括电话、地址、店名、联系人）(附有效的证明资料；如房屋租赁合同或产权证)。如发生以下情况，及时响应并解决故障。</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7、在质保期内，如果投标人的产品技术升级，投标人应及时通知采购人，如采购人有相应要求，投标人应对采购人购买的产品进行升级服务。</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8、质保期过后，投标人应同样提供免费电话咨询服务，并应承诺提供该产品上门维护服务。</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default" w:ascii="Times New Roman" w:hAnsi="Times New Roman" w:eastAsia="仿宋" w:cs="Times New Roman"/>
          <w:b/>
          <w:bCs w:val="0"/>
          <w:color w:val="auto"/>
          <w:szCs w:val="21"/>
          <w:lang w:val="en-US" w:eastAsia="zh-CN"/>
        </w:rPr>
      </w:pPr>
      <w:r>
        <w:rPr>
          <w:rFonts w:hint="eastAsia" w:ascii="Times New Roman" w:hAnsi="Times New Roman" w:eastAsia="仿宋" w:cs="Times New Roman"/>
          <w:b/>
          <w:bCs w:val="0"/>
          <w:color w:val="auto"/>
          <w:szCs w:val="21"/>
          <w:lang w:val="en-US" w:eastAsia="zh-CN"/>
        </w:rPr>
        <w:t>（六）付款方式</w:t>
      </w:r>
      <w:r>
        <w:rPr>
          <w:rFonts w:hint="eastAsia" w:eastAsia="仿宋" w:cs="Times New Roman"/>
          <w:b/>
          <w:bCs w:val="0"/>
          <w:color w:val="auto"/>
          <w:szCs w:val="21"/>
          <w:lang w:val="en-US" w:eastAsia="zh-CN"/>
        </w:rPr>
        <w:t>：货供完成安装调试验收合格后付全部货款的70%，设备正常运行3个月后付剩余30%。</w:t>
      </w:r>
    </w:p>
    <w:bookmarkEnd w:id="45"/>
    <w:bookmarkEnd w:id="46"/>
    <w:bookmarkEnd w:id="47"/>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
          <w:bCs w:val="0"/>
          <w:color w:val="auto"/>
          <w:szCs w:val="21"/>
          <w:lang w:val="en-US" w:eastAsia="zh-CN"/>
        </w:rPr>
      </w:pPr>
      <w:bookmarkStart w:id="48" w:name="_Toc8238"/>
      <w:bookmarkStart w:id="49" w:name="_Toc16945"/>
      <w:bookmarkStart w:id="50" w:name="_Toc21807"/>
      <w:bookmarkStart w:id="51" w:name="_Toc469495740"/>
      <w:r>
        <w:rPr>
          <w:rFonts w:hint="eastAsia" w:ascii="Times New Roman" w:hAnsi="Times New Roman" w:eastAsia="仿宋" w:cs="Times New Roman"/>
          <w:b/>
          <w:bCs w:val="0"/>
          <w:color w:val="auto"/>
          <w:szCs w:val="21"/>
          <w:lang w:val="en-US" w:eastAsia="zh-CN"/>
        </w:rPr>
        <w:t>（七）验收</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1、供应商提供的产品为全新未使用且符合相关法律法规要求的合格产品。</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2、供应商提供的产品型号、规格等与投标文件、合同规定内容完全一致，且满足采购方提出的采购需求。</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3、货物到达现场后，供应商应在使用单位人员在场情况下当面共同清点、检查，作出检查记录，双方签字确认。</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4、货物验收时，供应商向采购人提供生产厂家出具的验收报告、合格证、厂家资格证件等相关文件。</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5、供应商提供的货物未达到招标文件规定要求，且对采购人造成损失的，由供应商承担一切责任，并赔偿所造成的损失。</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
          <w:bCs w:val="0"/>
          <w:color w:val="auto"/>
          <w:szCs w:val="21"/>
          <w:lang w:val="en-US" w:eastAsia="zh-CN"/>
        </w:rPr>
      </w:pPr>
      <w:r>
        <w:rPr>
          <w:rFonts w:hint="eastAsia" w:ascii="Times New Roman" w:hAnsi="Times New Roman" w:eastAsia="仿宋" w:cs="Times New Roman"/>
          <w:b/>
          <w:bCs w:val="0"/>
          <w:color w:val="auto"/>
          <w:szCs w:val="21"/>
          <w:lang w:val="en-US" w:eastAsia="zh-CN"/>
        </w:rPr>
        <w:t>（八） 知识产权</w:t>
      </w:r>
      <w:bookmarkEnd w:id="48"/>
      <w:bookmarkEnd w:id="49"/>
      <w:bookmarkEnd w:id="50"/>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
          <w:bCs w:val="0"/>
          <w:color w:val="auto"/>
          <w:szCs w:val="21"/>
          <w:lang w:val="en-US" w:eastAsia="zh-CN"/>
        </w:rPr>
      </w:pPr>
      <w:bookmarkStart w:id="52" w:name="_Toc20832"/>
      <w:bookmarkStart w:id="53" w:name="_Toc12239"/>
      <w:bookmarkStart w:id="54" w:name="_Toc7598"/>
      <w:bookmarkStart w:id="55" w:name="_Toc439255252"/>
      <w:bookmarkStart w:id="56" w:name="_Toc267320054"/>
      <w:bookmarkStart w:id="57" w:name="_Toc12840_WPSOffice_Level1"/>
      <w:r>
        <w:rPr>
          <w:rFonts w:hint="eastAsia" w:ascii="Times New Roman" w:hAnsi="Times New Roman" w:eastAsia="仿宋" w:cs="Times New Roman"/>
          <w:b/>
          <w:bCs w:val="0"/>
          <w:color w:val="auto"/>
          <w:szCs w:val="21"/>
          <w:lang w:val="en-US" w:eastAsia="zh-CN"/>
        </w:rPr>
        <w:t>（九） 其他</w:t>
      </w:r>
      <w:bookmarkEnd w:id="52"/>
      <w:bookmarkEnd w:id="53"/>
      <w:bookmarkEnd w:id="54"/>
    </w:p>
    <w:bookmarkEnd w:id="55"/>
    <w:bookmarkEnd w:id="56"/>
    <w:bookmarkEnd w:id="57"/>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1、投标人必须在投标文件中对以上条款和服务承诺明确列出，承诺内容必须达到本篇及招标文件其他条款的要求。</w:t>
      </w:r>
    </w:p>
    <w:p>
      <w:pPr>
        <w:keepNext w:val="0"/>
        <w:keepLines w:val="0"/>
        <w:pageBreakBefore w:val="0"/>
        <w:widowControl w:val="0"/>
        <w:shd w:val="clear" w:color="auto" w:fill="auto"/>
        <w:kinsoku/>
        <w:wordWrap/>
        <w:overflowPunct/>
        <w:topLinePunct w:val="0"/>
        <w:autoSpaceDE/>
        <w:autoSpaceDN/>
        <w:bidi w:val="0"/>
        <w:adjustRightInd/>
        <w:snapToGrid/>
        <w:spacing w:line="31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2、其他未尽事宜由供需双方在采购合同中详细约定。</w:t>
      </w:r>
    </w:p>
    <w:bookmarkEnd w:id="51"/>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0"/>
        <w:rPr>
          <w:rFonts w:hint="eastAsia" w:ascii="仿宋" w:hAnsi="仿宋" w:eastAsia="仿宋" w:cs="仿宋"/>
          <w:b/>
          <w:bCs/>
          <w:color w:val="auto"/>
          <w:sz w:val="36"/>
          <w:szCs w:val="36"/>
        </w:rPr>
      </w:pPr>
      <w:r>
        <w:rPr>
          <w:rFonts w:hint="eastAsia" w:ascii="仿宋" w:hAnsi="仿宋" w:eastAsia="仿宋" w:cs="仿宋"/>
          <w:b/>
          <w:bCs/>
          <w:color w:val="auto"/>
          <w:sz w:val="36"/>
          <w:szCs w:val="36"/>
          <w:lang w:eastAsia="zh-CN"/>
        </w:rPr>
        <w:t>第五章</w:t>
      </w:r>
      <w:r>
        <w:rPr>
          <w:rFonts w:hint="eastAsia" w:ascii="仿宋" w:hAnsi="仿宋" w:eastAsia="仿宋" w:cs="仿宋"/>
          <w:b/>
          <w:bCs/>
          <w:color w:val="auto"/>
          <w:sz w:val="36"/>
          <w:szCs w:val="36"/>
        </w:rPr>
        <w:t>合  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（本合同为合同样稿，最终稿由供需双方协商后确定</w:t>
      </w:r>
      <w:r>
        <w:rPr>
          <w:rFonts w:hint="eastAsia" w:ascii="仿宋" w:hAnsi="仿宋" w:eastAsia="仿宋" w:cs="仿宋"/>
          <w:b/>
          <w:bCs/>
          <w:color w:val="auto"/>
          <w:sz w:val="24"/>
          <w:szCs w:val="24"/>
          <w:lang w:eastAsia="zh-CN"/>
        </w:rPr>
        <w:t>）</w:t>
      </w:r>
    </w:p>
    <w:p>
      <w:pPr>
        <w:spacing w:line="440" w:lineRule="exact"/>
        <w:jc w:val="center"/>
        <w:rPr>
          <w:rFonts w:hint="eastAsia" w:ascii="宋体" w:hAnsi="宋体" w:cs="宋体"/>
          <w:color w:val="auto"/>
          <w:szCs w:val="21"/>
        </w:rPr>
      </w:pPr>
      <w:r>
        <w:rPr>
          <w:rFonts w:hint="eastAsia" w:ascii="宋体" w:hAnsi="宋体" w:eastAsia="宋体" w:cs="宋体"/>
          <w:color w:val="auto"/>
          <w:szCs w:val="21"/>
          <w:lang w:val="en-US" w:eastAsia="zh-CN"/>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合同编号：</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甲方（采购方）：</w:t>
      </w:r>
      <w:r>
        <w:rPr>
          <w:rFonts w:hint="eastAsia" w:ascii="仿宋" w:hAnsi="仿宋" w:eastAsia="仿宋" w:cs="仿宋"/>
          <w:color w:val="auto"/>
          <w:sz w:val="24"/>
          <w:szCs w:val="24"/>
          <w:lang w:eastAsia="zh-CN"/>
        </w:rPr>
        <w:t>阿图什市</w:t>
      </w:r>
      <w:r>
        <w:rPr>
          <w:rFonts w:hint="eastAsia" w:ascii="仿宋" w:hAnsi="仿宋" w:eastAsia="仿宋" w:cs="仿宋"/>
          <w:color w:val="auto"/>
          <w:sz w:val="24"/>
          <w:szCs w:val="24"/>
        </w:rPr>
        <w:t>人民医院</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乙方（供应商）：</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甲乙双方根据政府采购的有关规定，和中标通知书的要求，经双方友好协商，一致同意达成如下内容，特订立本合同，以便共同遵守。</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第一条：合同标的</w:t>
      </w:r>
    </w:p>
    <w:p>
      <w:pPr>
        <w:keepNext w:val="0"/>
        <w:keepLines w:val="0"/>
        <w:pageBreakBefore w:val="0"/>
        <w:widowControl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乙方根据甲方需求提供下列货物：</w:t>
      </w:r>
    </w:p>
    <w:tbl>
      <w:tblPr>
        <w:tblStyle w:val="18"/>
        <w:tblW w:w="985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519"/>
        <w:gridCol w:w="1447"/>
        <w:gridCol w:w="1324"/>
        <w:gridCol w:w="985"/>
        <w:gridCol w:w="1299"/>
        <w:gridCol w:w="985"/>
        <w:gridCol w:w="12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3" w:hRule="atLeast"/>
        </w:trPr>
        <w:tc>
          <w:tcPr>
            <w:tcW w:w="2519"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447"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1324"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98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299"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金额（元）</w:t>
            </w:r>
          </w:p>
        </w:tc>
        <w:tc>
          <w:tcPr>
            <w:tcW w:w="98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129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0" w:hRule="atLeast"/>
        </w:trPr>
        <w:tc>
          <w:tcPr>
            <w:tcW w:w="2519"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4"/>
                <w:szCs w:val="24"/>
              </w:rPr>
            </w:pPr>
          </w:p>
        </w:tc>
        <w:tc>
          <w:tcPr>
            <w:tcW w:w="1447"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ind w:left="143" w:firstLine="480"/>
              <w:jc w:val="center"/>
              <w:textAlignment w:val="auto"/>
              <w:rPr>
                <w:rFonts w:hint="eastAsia" w:ascii="仿宋" w:hAnsi="仿宋" w:eastAsia="仿宋" w:cs="仿宋"/>
                <w:color w:val="auto"/>
                <w:sz w:val="24"/>
                <w:szCs w:val="24"/>
              </w:rPr>
            </w:pPr>
          </w:p>
        </w:tc>
        <w:tc>
          <w:tcPr>
            <w:tcW w:w="1324"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4"/>
                <w:szCs w:val="24"/>
              </w:rPr>
            </w:pPr>
          </w:p>
        </w:tc>
        <w:tc>
          <w:tcPr>
            <w:tcW w:w="1299"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4"/>
                <w:szCs w:val="24"/>
              </w:rPr>
            </w:pPr>
          </w:p>
        </w:tc>
        <w:tc>
          <w:tcPr>
            <w:tcW w:w="129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1" w:hRule="atLeast"/>
        </w:trPr>
        <w:tc>
          <w:tcPr>
            <w:tcW w:w="2519"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c>
          <w:tcPr>
            <w:tcW w:w="1447"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c>
          <w:tcPr>
            <w:tcW w:w="1324"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c>
          <w:tcPr>
            <w:tcW w:w="1299"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c>
          <w:tcPr>
            <w:tcW w:w="129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6" w:hRule="atLeast"/>
        </w:trPr>
        <w:tc>
          <w:tcPr>
            <w:tcW w:w="2519"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both"/>
              <w:textAlignment w:val="auto"/>
              <w:rPr>
                <w:rFonts w:hint="eastAsia" w:ascii="仿宋" w:hAnsi="仿宋" w:eastAsia="仿宋" w:cs="仿宋"/>
                <w:color w:val="auto"/>
                <w:sz w:val="24"/>
                <w:szCs w:val="24"/>
              </w:rPr>
            </w:pPr>
          </w:p>
        </w:tc>
        <w:tc>
          <w:tcPr>
            <w:tcW w:w="1447"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c>
          <w:tcPr>
            <w:tcW w:w="1324"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c>
          <w:tcPr>
            <w:tcW w:w="1299"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ind w:firstLine="480"/>
              <w:jc w:val="center"/>
              <w:textAlignment w:val="auto"/>
              <w:rPr>
                <w:rFonts w:hint="eastAsia" w:ascii="仿宋" w:hAnsi="仿宋" w:eastAsia="仿宋" w:cs="仿宋"/>
                <w:color w:val="auto"/>
                <w:sz w:val="24"/>
                <w:szCs w:val="24"/>
              </w:rPr>
            </w:pPr>
          </w:p>
        </w:tc>
        <w:tc>
          <w:tcPr>
            <w:tcW w:w="98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c>
          <w:tcPr>
            <w:tcW w:w="1295" w:type="dxa"/>
            <w:noWrap w:val="0"/>
            <w:tcMar>
              <w:top w:w="0" w:type="dxa"/>
              <w:left w:w="108" w:type="dxa"/>
              <w:bottom w:w="0" w:type="dxa"/>
              <w:right w:w="108" w:type="dxa"/>
            </w:tcMar>
            <w:vAlign w:val="center"/>
          </w:tcPr>
          <w:p>
            <w:pPr>
              <w:keepNext w:val="0"/>
              <w:keepLines w:val="0"/>
              <w:pageBreakBefore w:val="0"/>
              <w:kinsoku/>
              <w:wordWrap/>
              <w:topLinePunct w:val="0"/>
              <w:autoSpaceDE/>
              <w:autoSpaceDN/>
              <w:bidi w:val="0"/>
              <w:adjustRightInd/>
              <w:snapToGrid/>
              <w:spacing w:line="320" w:lineRule="exact"/>
              <w:jc w:val="center"/>
              <w:textAlignment w:val="auto"/>
              <w:rPr>
                <w:rFonts w:hint="eastAsia" w:ascii="仿宋" w:hAnsi="仿宋" w:eastAsia="仿宋" w:cs="仿宋"/>
                <w:color w:val="auto"/>
                <w:sz w:val="24"/>
                <w:szCs w:val="24"/>
              </w:rPr>
            </w:pPr>
          </w:p>
        </w:tc>
      </w:tr>
    </w:tbl>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第二条：合同价格</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1、货物总价为人民币（大写）：元整。</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2、总价中包括货物金额、安装费、包装费、软件接口费、运输费及运输途中保险费、装卸费及税金。本合同价格一般不得做任何变更与调整。</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第三条：付款方式</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货供完成安装调试验收合格后付全部货款的70%，设备正常运行3个月后付剩余30%。</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第四条：交货</w:t>
      </w:r>
      <w:r>
        <w:rPr>
          <w:rFonts w:hint="eastAsia" w:ascii="仿宋" w:hAnsi="仿宋" w:eastAsia="仿宋" w:cs="仿宋"/>
          <w:b/>
          <w:bCs/>
          <w:color w:val="auto"/>
          <w:sz w:val="24"/>
          <w:szCs w:val="24"/>
          <w:lang w:eastAsia="zh-CN"/>
        </w:rPr>
        <w:t>地点</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交货期、质保期、</w:t>
      </w:r>
      <w:r>
        <w:rPr>
          <w:rFonts w:hint="eastAsia" w:ascii="仿宋" w:hAnsi="仿宋" w:eastAsia="仿宋" w:cs="仿宋"/>
          <w:b/>
          <w:bCs/>
          <w:color w:val="auto"/>
          <w:sz w:val="24"/>
          <w:szCs w:val="24"/>
        </w:rPr>
        <w:t>包装与验收</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1、交货地点：</w:t>
      </w:r>
      <w:r>
        <w:rPr>
          <w:rFonts w:hint="eastAsia" w:ascii="仿宋" w:hAnsi="仿宋" w:eastAsia="仿宋" w:cs="仿宋"/>
          <w:color w:val="auto"/>
          <w:sz w:val="24"/>
          <w:szCs w:val="24"/>
          <w:lang w:eastAsia="zh-CN"/>
        </w:rPr>
        <w:t>阿图什市</w:t>
      </w:r>
      <w:r>
        <w:rPr>
          <w:rFonts w:hint="eastAsia" w:ascii="仿宋" w:hAnsi="仿宋" w:eastAsia="仿宋" w:cs="仿宋"/>
          <w:color w:val="auto"/>
          <w:sz w:val="24"/>
          <w:szCs w:val="24"/>
        </w:rPr>
        <w:t>人民医院指定地点</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2、交货时间：  年 月 日前</w:t>
      </w:r>
    </w:p>
    <w:p>
      <w:pPr>
        <w:keepNext w:val="0"/>
        <w:keepLines w:val="0"/>
        <w:pageBreakBefore w:val="0"/>
        <w:kinsoku/>
        <w:wordWrap/>
        <w:topLinePunct w:val="0"/>
        <w:autoSpaceDE/>
        <w:autoSpaceDN/>
        <w:bidi w:val="0"/>
        <w:adjustRightInd/>
        <w:snapToGrid/>
        <w:spacing w:line="320" w:lineRule="exact"/>
        <w:textAlignment w:val="auto"/>
        <w:rPr>
          <w:rFonts w:eastAsia="仿宋"/>
          <w:bCs/>
          <w:color w:val="auto"/>
          <w:szCs w:val="21"/>
        </w:rPr>
      </w:pPr>
      <w:r>
        <w:rPr>
          <w:rFonts w:hint="eastAsia" w:eastAsia="仿宋"/>
          <w:bCs/>
          <w:color w:val="auto"/>
          <w:szCs w:val="21"/>
          <w:lang w:val="en-US" w:eastAsia="zh-CN"/>
        </w:rPr>
        <w:t>3、</w:t>
      </w:r>
      <w:r>
        <w:rPr>
          <w:rFonts w:eastAsia="仿宋"/>
          <w:bCs/>
          <w:color w:val="auto"/>
          <w:szCs w:val="21"/>
        </w:rPr>
        <w:t>质保期：</w:t>
      </w:r>
      <w:r>
        <w:rPr>
          <w:rFonts w:hint="eastAsia" w:eastAsia="仿宋"/>
          <w:bCs/>
          <w:color w:val="auto"/>
          <w:szCs w:val="21"/>
          <w:lang w:eastAsia="zh-CN"/>
        </w:rPr>
        <w:t>设备</w:t>
      </w:r>
      <w:r>
        <w:rPr>
          <w:rFonts w:eastAsia="仿宋"/>
          <w:bCs/>
          <w:color w:val="auto"/>
          <w:szCs w:val="21"/>
        </w:rPr>
        <w:t>安装验收合格之日起</w:t>
      </w:r>
      <w:r>
        <w:rPr>
          <w:rFonts w:eastAsia="仿宋"/>
          <w:bCs/>
          <w:color w:val="auto"/>
          <w:szCs w:val="21"/>
          <w:u w:val="single"/>
        </w:rPr>
        <w:t xml:space="preserve">   </w:t>
      </w:r>
      <w:r>
        <w:rPr>
          <w:rFonts w:eastAsia="仿宋"/>
          <w:bCs/>
          <w:color w:val="auto"/>
          <w:szCs w:val="21"/>
        </w:rPr>
        <w:t>年，提供整机（包含附件）原厂保修服务，承担保修期内设备任何故障产生的费用。</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、货物到达后，甲乙双方均须在场并确认包装的完好性后，安装后由甲方验货。并对货物进行清点验收，共同签字确认。如验收不合格，乙方应退货，预缴押金的要全额退还，一切损失由乙方承担。</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第五条：本合同的有效组成文件：</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1、中标通知书。</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、甲方出具的验货结算书。</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、乙方所提供的其他承诺。</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第六条：质量保证和售后服务：</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1、产品使用：甲方在使用乙方所供产品中出现问题需乙方解决时，乙方应无偿解决（退换货），维护解决不了的，乙方无条件更换。</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rPr>
      </w:pPr>
      <w:r>
        <w:rPr>
          <w:rFonts w:hint="eastAsia" w:ascii="Times New Roman" w:hAnsi="Times New Roman" w:eastAsia="仿宋" w:cs="Times New Roman"/>
          <w:bCs/>
          <w:color w:val="auto"/>
          <w:szCs w:val="21"/>
        </w:rPr>
        <w:t>2、保证产品为全新原厂设备；在调试验收后提供保修服务，保质期内有关于产品质量引发的费用，由乙方承担。保质期内由于甲方的使用不当或者是自然环境造成的，由乙方免费提供维修，维修所用的材料和配件均只收取成本价。质保期期间除更换易损件其他检查、维修提供免费维护维修。</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3、符合国家行业标准要求。</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 xml:space="preserve">4、质保期内，当采购人遇到使用及技术问题电话咨询不能解决的，须在24小时内到达现场进行处理。    </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4.1、质保期内，设备出现故障，24小时内到达现场，一般故障8小时内修复，较大故障48小时内解决问题。每年提供不少于4次回访。</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5、交货时应提供以下技术或培训资料（如涉及）</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5.1原产地证明书(由制造厂签发)；</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5.2提供主机及配套设备的安装图纸及说明；</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5.3提供主机及配套设备使用说明书、维护手册；</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5.4备件手册、零件及易损件的图纸及相关资料；</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5.5其它相关技术资料。</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6、投标人设有健全的售后服务机构网点，终端售后服务机构网点有明细以便监督（包括电话、地址、店名、联系人）(附有效的证明资料；如房屋租赁合同或产权证)。如发生以下情况，及时响应并解决故障。</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7、在质保期内，如果投标人的产品技术升级，投标人应及时通知采购人，如采购人有相应要求，投标人应对采购人购买的产品进行升级服务。</w:t>
      </w:r>
    </w:p>
    <w:p>
      <w:pPr>
        <w:keepNext w:val="0"/>
        <w:keepLines w:val="0"/>
        <w:pageBreakBefore w:val="0"/>
        <w:shd w:val="clear" w:color="auto" w:fill="auto"/>
        <w:kinsoku/>
        <w:wordWrap/>
        <w:topLinePunct w:val="0"/>
        <w:autoSpaceDE/>
        <w:autoSpaceDN/>
        <w:bidi w:val="0"/>
        <w:adjustRightInd/>
        <w:snapToGrid/>
        <w:spacing w:line="320" w:lineRule="exact"/>
        <w:ind w:firstLine="486" w:firstLineChars="200"/>
        <w:textAlignment w:val="auto"/>
        <w:rPr>
          <w:rFonts w:hint="eastAsia" w:ascii="Times New Roman" w:hAnsi="Times New Roman" w:eastAsia="仿宋" w:cs="Times New Roman"/>
          <w:bCs/>
          <w:color w:val="auto"/>
          <w:szCs w:val="21"/>
          <w:lang w:val="en-US" w:eastAsia="zh-CN"/>
        </w:rPr>
      </w:pPr>
      <w:r>
        <w:rPr>
          <w:rFonts w:hint="eastAsia" w:ascii="Times New Roman" w:hAnsi="Times New Roman" w:eastAsia="仿宋" w:cs="Times New Roman"/>
          <w:bCs/>
          <w:color w:val="auto"/>
          <w:szCs w:val="21"/>
          <w:lang w:val="en-US" w:eastAsia="zh-CN"/>
        </w:rPr>
        <w:t>8、质保期过后，投标人应同样提供免费电话咨询服务，并应承诺提供该产品上门维护服务。</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第七条：违约责任</w:t>
      </w:r>
    </w:p>
    <w:p>
      <w:pPr>
        <w:keepNext w:val="0"/>
        <w:keepLines w:val="0"/>
        <w:pageBreakBefore w:val="0"/>
        <w:kinsoku/>
        <w:wordWrap/>
        <w:overflowPunct w:val="0"/>
        <w:topLinePunct w:val="0"/>
        <w:autoSpaceDE/>
        <w:autoSpaceDN/>
        <w:bidi w:val="0"/>
        <w:adjustRightInd/>
        <w:snapToGrid/>
        <w:spacing w:line="32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keepNext w:val="0"/>
        <w:keepLines w:val="0"/>
        <w:pageBreakBefore w:val="0"/>
        <w:kinsoku/>
        <w:wordWrap/>
        <w:overflowPunct w:val="0"/>
        <w:topLinePunct w:val="0"/>
        <w:autoSpaceDE/>
        <w:autoSpaceDN/>
        <w:bidi w:val="0"/>
        <w:adjustRightInd/>
        <w:snapToGrid/>
        <w:spacing w:line="32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2、如有质量问题时需方可以按照供应方投标文件的服务承诺从质量保证金款项中扣除相关费用。</w:t>
      </w:r>
    </w:p>
    <w:p>
      <w:pPr>
        <w:keepNext w:val="0"/>
        <w:keepLines w:val="0"/>
        <w:pageBreakBefore w:val="0"/>
        <w:kinsoku/>
        <w:wordWrap/>
        <w:overflowPunct w:val="0"/>
        <w:topLinePunct w:val="0"/>
        <w:autoSpaceDE/>
        <w:autoSpaceDN/>
        <w:bidi w:val="0"/>
        <w:adjustRightInd/>
        <w:snapToGrid/>
        <w:spacing w:line="32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3、其它违约，按《中华人民共和国合同法》的相关条款执行。</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第八条：争议解决方式</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甲乙双方在合同执行中发生争议，由甲乙双方协商解决，协商解决不了的，甲乙双方均有权向</w:t>
      </w:r>
      <w:r>
        <w:rPr>
          <w:rFonts w:hint="eastAsia" w:ascii="仿宋" w:hAnsi="仿宋" w:eastAsia="仿宋" w:cs="仿宋"/>
          <w:color w:val="auto"/>
          <w:sz w:val="24"/>
          <w:szCs w:val="24"/>
          <w:lang w:eastAsia="zh-CN"/>
        </w:rPr>
        <w:t>阿图什市</w:t>
      </w:r>
      <w:r>
        <w:rPr>
          <w:rFonts w:hint="eastAsia" w:ascii="仿宋" w:hAnsi="仿宋" w:eastAsia="仿宋" w:cs="仿宋"/>
          <w:color w:val="auto"/>
          <w:sz w:val="24"/>
          <w:szCs w:val="24"/>
        </w:rPr>
        <w:t>人民医院投诉或向合同签署所在地人民法院提起诉讼。</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w:t>
      </w:r>
      <w:r>
        <w:rPr>
          <w:rFonts w:hint="eastAsia" w:ascii="仿宋" w:hAnsi="仿宋" w:eastAsia="仿宋" w:cs="仿宋"/>
          <w:b/>
          <w:bCs/>
          <w:color w:val="auto"/>
          <w:sz w:val="24"/>
          <w:szCs w:val="24"/>
          <w:lang w:eastAsia="zh-CN"/>
        </w:rPr>
        <w:t>九</w:t>
      </w:r>
      <w:r>
        <w:rPr>
          <w:rFonts w:hint="eastAsia" w:ascii="仿宋" w:hAnsi="仿宋" w:eastAsia="仿宋" w:cs="仿宋"/>
          <w:b/>
          <w:bCs/>
          <w:color w:val="auto"/>
          <w:sz w:val="24"/>
          <w:szCs w:val="24"/>
        </w:rPr>
        <w:t>条：合同生效及其他</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1、本合同经甲乙双方盖章和代表签字日期，即为本合同生效日期。如双方盖章签字日期不一致时，以最后盖章签字方的盖章签字日期为合同的生效日期。</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2、本合同一式</w:t>
      </w:r>
      <w:r>
        <w:rPr>
          <w:rFonts w:hint="eastAsia" w:ascii="仿宋" w:hAnsi="仿宋" w:eastAsia="仿宋" w:cs="仿宋"/>
          <w:color w:val="auto"/>
          <w:sz w:val="24"/>
          <w:szCs w:val="24"/>
          <w:lang w:eastAsia="zh-CN"/>
        </w:rPr>
        <w:t>肆</w:t>
      </w:r>
      <w:r>
        <w:rPr>
          <w:rFonts w:hint="eastAsia" w:ascii="仿宋" w:hAnsi="仿宋" w:eastAsia="仿宋" w:cs="仿宋"/>
          <w:color w:val="auto"/>
          <w:sz w:val="24"/>
          <w:szCs w:val="24"/>
        </w:rPr>
        <w:t>份，甲</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份，乙方</w:t>
      </w: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份，招标代理公司一</w:t>
      </w:r>
      <w:r>
        <w:rPr>
          <w:rFonts w:hint="eastAsia" w:ascii="仿宋" w:hAnsi="仿宋" w:eastAsia="仿宋" w:cs="仿宋"/>
          <w:color w:val="auto"/>
          <w:sz w:val="24"/>
          <w:szCs w:val="24"/>
          <w:lang w:eastAsia="zh-CN"/>
        </w:rPr>
        <w:t>份</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3、本合同的未尽事项，必要时由甲乙双方另订补充协议，经甲乙双方盖章和双方授权代表签字后与本合同具有同等法律效力。</w:t>
      </w:r>
    </w:p>
    <w:p>
      <w:pPr>
        <w:keepNext w:val="0"/>
        <w:keepLines w:val="0"/>
        <w:pageBreakBefore w:val="0"/>
        <w:widowControl/>
        <w:kinsoku/>
        <w:wordWrap/>
        <w:topLinePunct w:val="0"/>
        <w:autoSpaceDE/>
        <w:autoSpaceDN/>
        <w:bidi w:val="0"/>
        <w:adjustRightInd/>
        <w:snapToGrid/>
        <w:spacing w:line="320" w:lineRule="exact"/>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甲方采购方：（盖章）              乙方供货服务方：（盖章）</w:t>
      </w:r>
    </w:p>
    <w:p>
      <w:pPr>
        <w:keepNext w:val="0"/>
        <w:keepLines w:val="0"/>
        <w:pageBreakBefore w:val="0"/>
        <w:widowControl/>
        <w:kinsoku/>
        <w:wordWrap/>
        <w:topLinePunct w:val="0"/>
        <w:autoSpaceDE/>
        <w:autoSpaceDN/>
        <w:bidi w:val="0"/>
        <w:adjustRightInd/>
        <w:snapToGrid/>
        <w:spacing w:line="32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法人代表：                        法人代表：</w:t>
      </w:r>
    </w:p>
    <w:p>
      <w:pPr>
        <w:keepNext w:val="0"/>
        <w:keepLines w:val="0"/>
        <w:pageBreakBefore w:val="0"/>
        <w:widowControl/>
        <w:kinsoku/>
        <w:wordWrap/>
        <w:topLinePunct w:val="0"/>
        <w:autoSpaceDE/>
        <w:autoSpaceDN/>
        <w:bidi w:val="0"/>
        <w:adjustRightInd/>
        <w:snapToGrid/>
        <w:spacing w:line="32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委托人：                          委托人：</w:t>
      </w:r>
    </w:p>
    <w:p>
      <w:pPr>
        <w:keepNext w:val="0"/>
        <w:keepLines w:val="0"/>
        <w:pageBreakBefore w:val="0"/>
        <w:widowControl/>
        <w:kinsoku/>
        <w:wordWrap/>
        <w:topLinePunct w:val="0"/>
        <w:autoSpaceDE/>
        <w:autoSpaceDN/>
        <w:bidi w:val="0"/>
        <w:adjustRightInd/>
        <w:snapToGrid/>
        <w:spacing w:line="320" w:lineRule="exact"/>
        <w:jc w:val="left"/>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电话：</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pPr>
        <w:keepNext w:val="0"/>
        <w:keepLines w:val="0"/>
        <w:pageBreakBefore w:val="0"/>
        <w:widowControl/>
        <w:kinsoku/>
        <w:wordWrap/>
        <w:topLinePunct w:val="0"/>
        <w:autoSpaceDE/>
        <w:autoSpaceDN/>
        <w:bidi w:val="0"/>
        <w:adjustRightInd/>
        <w:snapToGrid/>
        <w:spacing w:line="320" w:lineRule="exact"/>
        <w:jc w:val="left"/>
        <w:textAlignment w:val="auto"/>
        <w:rPr>
          <w:rFonts w:hint="eastAsia" w:ascii="仿宋" w:hAnsi="仿宋" w:eastAsia="仿宋" w:cs="仿宋"/>
          <w:color w:val="auto"/>
          <w:sz w:val="30"/>
          <w:szCs w:val="30"/>
        </w:rPr>
      </w:pPr>
      <w:r>
        <w:rPr>
          <w:rFonts w:hint="eastAsia" w:ascii="仿宋" w:hAnsi="仿宋" w:eastAsia="仿宋" w:cs="仿宋"/>
          <w:color w:val="auto"/>
          <w:kern w:val="0"/>
          <w:sz w:val="24"/>
          <w:szCs w:val="24"/>
        </w:rPr>
        <w:t>日 期：                           日期：</w:t>
      </w:r>
    </w:p>
    <w:p>
      <w:pPr>
        <w:keepNext w:val="0"/>
        <w:keepLines w:val="0"/>
        <w:pageBreakBefore w:val="0"/>
        <w:kinsoku/>
        <w:wordWrap/>
        <w:overflowPunct w:val="0"/>
        <w:topLinePunct w:val="0"/>
        <w:autoSpaceDE/>
        <w:autoSpaceDN/>
        <w:bidi w:val="0"/>
        <w:adjustRightInd/>
        <w:snapToGrid/>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keepNext w:val="0"/>
        <w:keepLines w:val="0"/>
        <w:pageBreakBefore w:val="0"/>
        <w:kinsoku/>
        <w:wordWrap/>
        <w:topLinePunct w:val="0"/>
        <w:autoSpaceDE/>
        <w:autoSpaceDN/>
        <w:bidi w:val="0"/>
        <w:adjustRightInd/>
        <w:snapToGrid/>
        <w:spacing w:line="320" w:lineRule="exact"/>
        <w:textAlignment w:val="auto"/>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注：最终合同以实际签订为准。</w:t>
      </w:r>
    </w:p>
    <w:p>
      <w:pPr>
        <w:pStyle w:val="14"/>
        <w:keepNext w:val="0"/>
        <w:keepLines w:val="0"/>
        <w:pageBreakBefore w:val="0"/>
        <w:kinsoku/>
        <w:wordWrap/>
        <w:topLinePunct w:val="0"/>
        <w:autoSpaceDE/>
        <w:autoSpaceDN/>
        <w:bidi w:val="0"/>
        <w:adjustRightInd/>
        <w:spacing w:line="360" w:lineRule="exact"/>
        <w:textAlignment w:val="auto"/>
        <w:rPr>
          <w:rFonts w:hint="eastAsia" w:ascii="仿宋" w:hAnsi="仿宋" w:eastAsia="仿宋" w:cs="仿宋"/>
          <w:b w:val="0"/>
          <w:bCs w:val="0"/>
          <w:color w:val="auto"/>
          <w:sz w:val="24"/>
          <w:szCs w:val="24"/>
        </w:rPr>
      </w:pPr>
    </w:p>
    <w:p>
      <w:pPr>
        <w:pStyle w:val="28"/>
        <w:keepNext/>
        <w:keepLines/>
        <w:widowControl w:val="0"/>
        <w:shd w:val="clear" w:color="auto" w:fill="auto"/>
        <w:bidi w:val="0"/>
        <w:spacing w:before="0" w:after="1160" w:line="240" w:lineRule="auto"/>
        <w:ind w:left="0" w:right="0" w:firstLine="0"/>
        <w:jc w:val="center"/>
        <w:rPr>
          <w:rFonts w:hint="eastAsia" w:ascii="仿宋" w:hAnsi="仿宋" w:eastAsia="仿宋" w:cs="仿宋"/>
          <w:b/>
          <w:bCs/>
          <w:color w:val="auto"/>
          <w:sz w:val="36"/>
          <w:szCs w:val="36"/>
        </w:rPr>
      </w:pPr>
      <w:r>
        <w:rPr>
          <w:rFonts w:hint="eastAsia" w:ascii="仿宋" w:hAnsi="仿宋" w:eastAsia="仿宋" w:cs="仿宋"/>
          <w:b/>
          <w:bCs/>
          <w:color w:val="auto"/>
          <w:spacing w:val="0"/>
          <w:w w:val="100"/>
          <w:position w:val="0"/>
          <w:sz w:val="36"/>
          <w:szCs w:val="36"/>
        </w:rPr>
        <w:t>第</w:t>
      </w:r>
      <w:r>
        <w:rPr>
          <w:rFonts w:hint="eastAsia" w:ascii="仿宋" w:hAnsi="仿宋" w:eastAsia="仿宋" w:cs="仿宋"/>
          <w:b/>
          <w:bCs/>
          <w:color w:val="auto"/>
          <w:spacing w:val="0"/>
          <w:w w:val="100"/>
          <w:position w:val="0"/>
          <w:sz w:val="36"/>
          <w:szCs w:val="36"/>
          <w:lang w:eastAsia="zh-CN"/>
        </w:rPr>
        <w:t>六</w:t>
      </w:r>
      <w:r>
        <w:rPr>
          <w:rFonts w:hint="eastAsia" w:ascii="仿宋" w:hAnsi="仿宋" w:eastAsia="仿宋" w:cs="仿宋"/>
          <w:b/>
          <w:bCs/>
          <w:color w:val="auto"/>
          <w:spacing w:val="0"/>
          <w:w w:val="100"/>
          <w:position w:val="0"/>
          <w:sz w:val="36"/>
          <w:szCs w:val="36"/>
        </w:rPr>
        <w:t>部分</w:t>
      </w:r>
      <w:r>
        <w:rPr>
          <w:rFonts w:hint="eastAsia" w:ascii="仿宋" w:hAnsi="仿宋" w:eastAsia="仿宋" w:cs="仿宋"/>
          <w:b/>
          <w:bCs/>
          <w:color w:val="auto"/>
          <w:spacing w:val="0"/>
          <w:w w:val="100"/>
          <w:position w:val="0"/>
          <w:sz w:val="36"/>
          <w:szCs w:val="36"/>
          <w:lang w:val="en-US" w:eastAsia="zh-CN"/>
        </w:rPr>
        <w:t xml:space="preserve">  </w:t>
      </w:r>
      <w:r>
        <w:rPr>
          <w:rFonts w:hint="eastAsia" w:ascii="仿宋" w:hAnsi="仿宋" w:eastAsia="仿宋" w:cs="仿宋"/>
          <w:b/>
          <w:bCs/>
          <w:color w:val="auto"/>
          <w:spacing w:val="0"/>
          <w:w w:val="100"/>
          <w:position w:val="0"/>
          <w:sz w:val="36"/>
          <w:szCs w:val="36"/>
        </w:rPr>
        <w:t>投标文件格式</w:t>
      </w:r>
    </w:p>
    <w:p>
      <w:pPr>
        <w:adjustRightInd w:val="0"/>
        <w:snapToGrid w:val="0"/>
        <w:spacing w:line="360" w:lineRule="auto"/>
        <w:ind w:left="602" w:right="70" w:hanging="602"/>
        <w:jc w:val="right"/>
        <w:rPr>
          <w:rFonts w:hint="eastAsia" w:ascii="仿宋" w:hAnsi="仿宋" w:eastAsia="仿宋" w:cs="仿宋"/>
          <w:b/>
          <w:bCs/>
          <w:color w:val="auto"/>
          <w:sz w:val="28"/>
          <w:szCs w:val="28"/>
          <w:bdr w:val="single" w:color="auto" w:sz="4" w:space="0"/>
        </w:rPr>
      </w:pPr>
      <w:bookmarkStart w:id="58" w:name="bookmark196"/>
      <w:r>
        <w:rPr>
          <w:rFonts w:hint="eastAsia" w:ascii="仿宋" w:hAnsi="仿宋" w:eastAsia="仿宋" w:cs="仿宋"/>
          <w:b/>
          <w:bCs/>
          <w:color w:val="auto"/>
          <w:sz w:val="28"/>
          <w:szCs w:val="28"/>
          <w:bdr w:val="single" w:color="auto" w:sz="4" w:space="0"/>
        </w:rPr>
        <w:t>正/副 本</w:t>
      </w:r>
    </w:p>
    <w:p>
      <w:pPr>
        <w:adjustRightInd w:val="0"/>
        <w:snapToGrid w:val="0"/>
        <w:spacing w:line="360" w:lineRule="auto"/>
        <w:jc w:val="center"/>
        <w:rPr>
          <w:rFonts w:hint="eastAsia" w:ascii="仿宋" w:hAnsi="仿宋" w:eastAsia="仿宋" w:cs="仿宋"/>
          <w:b/>
          <w:caps/>
          <w:color w:val="auto"/>
          <w:sz w:val="24"/>
          <w:szCs w:val="24"/>
        </w:rPr>
      </w:pPr>
    </w:p>
    <w:p>
      <w:pPr>
        <w:adjustRightInd w:val="0"/>
        <w:snapToGrid w:val="0"/>
        <w:spacing w:line="360" w:lineRule="auto"/>
        <w:jc w:val="center"/>
        <w:rPr>
          <w:rFonts w:hint="eastAsia" w:ascii="仿宋" w:hAnsi="仿宋" w:eastAsia="仿宋" w:cs="仿宋"/>
          <w:bCs/>
          <w:color w:val="auto"/>
          <w:sz w:val="32"/>
          <w:szCs w:val="32"/>
        </w:rPr>
      </w:pPr>
      <w:r>
        <w:rPr>
          <w:rFonts w:hint="eastAsia" w:ascii="仿宋" w:hAnsi="仿宋" w:eastAsia="仿宋" w:cs="仿宋"/>
          <w:b/>
          <w:caps/>
          <w:color w:val="auto"/>
          <w:sz w:val="32"/>
          <w:szCs w:val="32"/>
        </w:rPr>
        <w:t>（项目名称）</w:t>
      </w: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center"/>
        <w:rPr>
          <w:rFonts w:hint="eastAsia"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pPr>
        <w:adjustRightInd w:val="0"/>
        <w:snapToGrid w:val="0"/>
        <w:spacing w:line="360" w:lineRule="auto"/>
        <w:jc w:val="center"/>
        <w:rPr>
          <w:rFonts w:hint="eastAsia" w:ascii="仿宋" w:hAnsi="仿宋" w:eastAsia="仿宋" w:cs="仿宋"/>
          <w:bCs/>
          <w:color w:val="auto"/>
          <w:sz w:val="32"/>
          <w:szCs w:val="32"/>
        </w:rPr>
      </w:pPr>
    </w:p>
    <w:p>
      <w:pPr>
        <w:adjustRightInd w:val="0"/>
        <w:snapToGrid w:val="0"/>
        <w:spacing w:line="360" w:lineRule="auto"/>
        <w:jc w:val="both"/>
        <w:rPr>
          <w:rFonts w:hint="eastAsia" w:ascii="仿宋" w:hAnsi="仿宋" w:eastAsia="仿宋" w:cs="仿宋"/>
          <w:bCs/>
          <w:color w:val="auto"/>
          <w:sz w:val="32"/>
          <w:szCs w:val="32"/>
        </w:rPr>
      </w:pPr>
    </w:p>
    <w:p>
      <w:pPr>
        <w:adjustRightInd w:val="0"/>
        <w:snapToGrid w:val="0"/>
        <w:spacing w:line="360" w:lineRule="auto"/>
        <w:ind w:right="-155" w:rightChars="-64"/>
        <w:rPr>
          <w:rFonts w:hint="eastAsia" w:ascii="仿宋" w:hAnsi="仿宋" w:eastAsia="仿宋" w:cs="仿宋"/>
          <w:b/>
          <w:caps/>
          <w:color w:val="auto"/>
          <w:sz w:val="28"/>
          <w:szCs w:val="28"/>
        </w:rPr>
      </w:pPr>
      <w:r>
        <w:rPr>
          <w:rFonts w:hint="eastAsia" w:ascii="仿宋" w:hAnsi="仿宋" w:eastAsia="仿宋" w:cs="仿宋"/>
          <w:b/>
          <w:caps/>
          <w:color w:val="auto"/>
          <w:spacing w:val="0"/>
          <w:kern w:val="0"/>
          <w:sz w:val="28"/>
          <w:szCs w:val="28"/>
          <w:fitText w:val="2810" w:id="1470909418"/>
        </w:rPr>
        <w:t>供应商名称（公章）：</w:t>
      </w:r>
    </w:p>
    <w:p>
      <w:pPr>
        <w:adjustRightInd w:val="0"/>
        <w:snapToGrid w:val="0"/>
        <w:spacing w:line="360" w:lineRule="auto"/>
        <w:ind w:right="-155" w:rightChars="-64"/>
        <w:rPr>
          <w:rFonts w:hint="eastAsia" w:ascii="仿宋" w:hAnsi="仿宋" w:eastAsia="仿宋" w:cs="仿宋"/>
          <w:b/>
          <w:caps/>
          <w:color w:val="auto"/>
          <w:sz w:val="28"/>
          <w:szCs w:val="28"/>
        </w:rPr>
      </w:pPr>
    </w:p>
    <w:p>
      <w:pPr>
        <w:adjustRightInd w:val="0"/>
        <w:snapToGrid w:val="0"/>
        <w:spacing w:line="360" w:lineRule="auto"/>
        <w:ind w:right="-155" w:rightChars="-64"/>
        <w:rPr>
          <w:rFonts w:hint="eastAsia" w:ascii="仿宋" w:hAnsi="仿宋" w:eastAsia="仿宋" w:cs="仿宋"/>
          <w:b/>
          <w:caps/>
          <w:color w:val="auto"/>
          <w:sz w:val="28"/>
          <w:szCs w:val="28"/>
        </w:rPr>
      </w:pPr>
      <w:r>
        <w:rPr>
          <w:rFonts w:hint="eastAsia" w:ascii="仿宋" w:hAnsi="仿宋" w:eastAsia="仿宋" w:cs="仿宋"/>
          <w:b/>
          <w:caps/>
          <w:color w:val="auto"/>
          <w:spacing w:val="0"/>
          <w:w w:val="77"/>
          <w:kern w:val="0"/>
          <w:sz w:val="28"/>
          <w:szCs w:val="28"/>
          <w:fitText w:val="2810" w:id="1"/>
        </w:rPr>
        <w:t>法定代表人（</w:t>
      </w:r>
      <w:r>
        <w:rPr>
          <w:rFonts w:hint="eastAsia" w:ascii="仿宋" w:hAnsi="仿宋" w:eastAsia="仿宋" w:cs="仿宋"/>
          <w:b/>
          <w:caps/>
          <w:color w:val="auto"/>
          <w:spacing w:val="0"/>
          <w:w w:val="77"/>
          <w:kern w:val="0"/>
          <w:sz w:val="28"/>
          <w:szCs w:val="28"/>
          <w:fitText w:val="2810" w:id="1"/>
          <w:lang w:eastAsia="zh-CN"/>
        </w:rPr>
        <w:t>签字</w:t>
      </w:r>
      <w:r>
        <w:rPr>
          <w:rFonts w:hint="eastAsia" w:ascii="仿宋" w:hAnsi="仿宋" w:eastAsia="仿宋" w:cs="仿宋"/>
          <w:b/>
          <w:caps/>
          <w:color w:val="auto"/>
          <w:spacing w:val="0"/>
          <w:w w:val="77"/>
          <w:kern w:val="0"/>
          <w:sz w:val="28"/>
          <w:szCs w:val="28"/>
          <w:fitText w:val="2810" w:id="1"/>
        </w:rPr>
        <w:t>或盖章）</w:t>
      </w:r>
      <w:r>
        <w:rPr>
          <w:rFonts w:hint="eastAsia" w:ascii="仿宋" w:hAnsi="仿宋" w:eastAsia="仿宋" w:cs="仿宋"/>
          <w:b/>
          <w:caps/>
          <w:color w:val="auto"/>
          <w:spacing w:val="-1"/>
          <w:w w:val="77"/>
          <w:kern w:val="0"/>
          <w:sz w:val="28"/>
          <w:szCs w:val="28"/>
          <w:fitText w:val="2810" w:id="1"/>
        </w:rPr>
        <w:t>：</w:t>
      </w:r>
    </w:p>
    <w:p>
      <w:pPr>
        <w:adjustRightInd w:val="0"/>
        <w:snapToGrid w:val="0"/>
        <w:spacing w:line="360" w:lineRule="auto"/>
        <w:ind w:right="-155" w:rightChars="-64"/>
        <w:rPr>
          <w:rFonts w:hint="eastAsia" w:ascii="仿宋" w:hAnsi="仿宋" w:eastAsia="仿宋" w:cs="仿宋"/>
          <w:b/>
          <w:caps/>
          <w:color w:val="auto"/>
          <w:sz w:val="28"/>
          <w:szCs w:val="28"/>
        </w:rPr>
      </w:pPr>
    </w:p>
    <w:p>
      <w:pPr>
        <w:adjustRightInd w:val="0"/>
        <w:snapToGrid w:val="0"/>
        <w:spacing w:line="360" w:lineRule="auto"/>
        <w:ind w:right="-155" w:rightChars="-64"/>
        <w:rPr>
          <w:rFonts w:hint="eastAsia" w:ascii="仿宋" w:hAnsi="仿宋" w:eastAsia="仿宋" w:cs="仿宋"/>
          <w:b/>
          <w:caps/>
          <w:color w:val="auto"/>
          <w:sz w:val="28"/>
          <w:szCs w:val="28"/>
        </w:rPr>
      </w:pPr>
      <w:r>
        <w:rPr>
          <w:rFonts w:hint="eastAsia" w:ascii="仿宋" w:hAnsi="仿宋" w:eastAsia="仿宋" w:cs="仿宋"/>
          <w:b/>
          <w:caps/>
          <w:color w:val="auto"/>
          <w:spacing w:val="113"/>
          <w:kern w:val="0"/>
          <w:sz w:val="28"/>
          <w:szCs w:val="28"/>
          <w:fitText w:val="2810" w:id="2"/>
        </w:rPr>
        <w:t>供应商地址</w:t>
      </w:r>
      <w:r>
        <w:rPr>
          <w:rFonts w:hint="eastAsia" w:ascii="仿宋" w:hAnsi="仿宋" w:eastAsia="仿宋" w:cs="仿宋"/>
          <w:b/>
          <w:caps/>
          <w:color w:val="auto"/>
          <w:spacing w:val="0"/>
          <w:kern w:val="0"/>
          <w:sz w:val="28"/>
          <w:szCs w:val="28"/>
          <w:fitText w:val="2810" w:id="2"/>
        </w:rPr>
        <w:t>：</w:t>
      </w:r>
    </w:p>
    <w:p>
      <w:pPr>
        <w:adjustRightInd w:val="0"/>
        <w:snapToGrid w:val="0"/>
        <w:spacing w:line="360" w:lineRule="auto"/>
        <w:ind w:right="-155" w:rightChars="-64"/>
        <w:rPr>
          <w:rFonts w:hint="eastAsia" w:ascii="仿宋" w:hAnsi="仿宋" w:eastAsia="仿宋" w:cs="仿宋"/>
          <w:b/>
          <w:caps/>
          <w:color w:val="auto"/>
          <w:sz w:val="28"/>
          <w:szCs w:val="28"/>
        </w:rPr>
      </w:pPr>
    </w:p>
    <w:p>
      <w:pPr>
        <w:adjustRightInd w:val="0"/>
        <w:snapToGrid w:val="0"/>
        <w:spacing w:line="360" w:lineRule="auto"/>
        <w:ind w:right="-155" w:rightChars="-64"/>
        <w:rPr>
          <w:rFonts w:hint="eastAsia" w:ascii="仿宋" w:hAnsi="仿宋" w:eastAsia="仿宋" w:cs="仿宋"/>
          <w:b/>
          <w:caps/>
          <w:color w:val="auto"/>
          <w:sz w:val="28"/>
          <w:szCs w:val="28"/>
        </w:rPr>
      </w:pPr>
      <w:r>
        <w:rPr>
          <w:rFonts w:hint="eastAsia" w:ascii="仿宋" w:hAnsi="仿宋" w:eastAsia="仿宋" w:cs="仿宋"/>
          <w:b/>
          <w:caps/>
          <w:color w:val="auto"/>
          <w:spacing w:val="281"/>
          <w:kern w:val="0"/>
          <w:sz w:val="28"/>
          <w:szCs w:val="28"/>
          <w:fitText w:val="2810" w:id="3"/>
        </w:rPr>
        <w:t>联系人</w:t>
      </w:r>
      <w:r>
        <w:rPr>
          <w:rFonts w:hint="eastAsia" w:ascii="仿宋" w:hAnsi="仿宋" w:eastAsia="仿宋" w:cs="仿宋"/>
          <w:b/>
          <w:caps/>
          <w:color w:val="auto"/>
          <w:spacing w:val="2"/>
          <w:kern w:val="0"/>
          <w:sz w:val="28"/>
          <w:szCs w:val="28"/>
          <w:fitText w:val="2810" w:id="3"/>
        </w:rPr>
        <w:t>：</w:t>
      </w:r>
    </w:p>
    <w:p>
      <w:pPr>
        <w:adjustRightInd w:val="0"/>
        <w:snapToGrid w:val="0"/>
        <w:spacing w:line="360" w:lineRule="auto"/>
        <w:ind w:right="-155" w:rightChars="-64"/>
        <w:rPr>
          <w:rFonts w:hint="eastAsia" w:ascii="仿宋" w:hAnsi="仿宋" w:eastAsia="仿宋" w:cs="仿宋"/>
          <w:b/>
          <w:caps/>
          <w:color w:val="auto"/>
          <w:sz w:val="28"/>
          <w:szCs w:val="28"/>
        </w:rPr>
      </w:pPr>
    </w:p>
    <w:p>
      <w:pPr>
        <w:adjustRightInd w:val="0"/>
        <w:snapToGrid w:val="0"/>
        <w:spacing w:line="360" w:lineRule="auto"/>
        <w:ind w:right="-155" w:rightChars="-64"/>
        <w:rPr>
          <w:rFonts w:hint="eastAsia" w:ascii="仿宋" w:hAnsi="仿宋" w:eastAsia="仿宋" w:cs="仿宋"/>
          <w:b/>
          <w:caps/>
          <w:color w:val="auto"/>
          <w:sz w:val="28"/>
          <w:szCs w:val="28"/>
        </w:rPr>
      </w:pPr>
      <w:r>
        <w:rPr>
          <w:rFonts w:hint="eastAsia" w:ascii="仿宋" w:hAnsi="仿宋" w:eastAsia="仿宋" w:cs="仿宋"/>
          <w:b/>
          <w:caps/>
          <w:color w:val="auto"/>
          <w:spacing w:val="176"/>
          <w:kern w:val="0"/>
          <w:sz w:val="28"/>
          <w:szCs w:val="28"/>
          <w:fitText w:val="2810" w:id="4"/>
        </w:rPr>
        <w:t>联系电话</w:t>
      </w:r>
      <w:r>
        <w:rPr>
          <w:rFonts w:hint="eastAsia" w:ascii="仿宋" w:hAnsi="仿宋" w:eastAsia="仿宋" w:cs="仿宋"/>
          <w:b/>
          <w:caps/>
          <w:color w:val="auto"/>
          <w:spacing w:val="1"/>
          <w:kern w:val="0"/>
          <w:sz w:val="28"/>
          <w:szCs w:val="28"/>
          <w:fitText w:val="2810" w:id="4"/>
        </w:rPr>
        <w:t>：</w:t>
      </w:r>
    </w:p>
    <w:p>
      <w:pPr>
        <w:adjustRightInd w:val="0"/>
        <w:snapToGrid w:val="0"/>
        <w:spacing w:line="360" w:lineRule="auto"/>
        <w:jc w:val="center"/>
        <w:rPr>
          <w:rFonts w:hint="eastAsia" w:ascii="仿宋" w:hAnsi="仿宋" w:eastAsia="仿宋" w:cs="仿宋"/>
          <w:b/>
          <w:caps/>
          <w:color w:val="auto"/>
          <w:sz w:val="28"/>
          <w:szCs w:val="28"/>
        </w:rPr>
      </w:pPr>
    </w:p>
    <w:p>
      <w:pPr>
        <w:adjustRightInd w:val="0"/>
        <w:snapToGrid w:val="0"/>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_年__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_月__</w:t>
      </w:r>
      <w:r>
        <w:rPr>
          <w:rFonts w:hint="eastAsia" w:ascii="仿宋" w:hAnsi="仿宋" w:eastAsia="仿宋" w:cs="仿宋"/>
          <w:b/>
          <w:color w:val="auto"/>
          <w:sz w:val="28"/>
          <w:szCs w:val="28"/>
          <w:u w:val="single"/>
        </w:rPr>
        <w:t xml:space="preserve">   </w:t>
      </w:r>
      <w:r>
        <w:rPr>
          <w:rFonts w:hint="eastAsia" w:ascii="仿宋" w:hAnsi="仿宋" w:eastAsia="仿宋" w:cs="仿宋"/>
          <w:b/>
          <w:color w:val="auto"/>
          <w:sz w:val="28"/>
          <w:szCs w:val="28"/>
        </w:rPr>
        <w:t>_日</w:t>
      </w:r>
    </w:p>
    <w:p>
      <w:pPr>
        <w:pStyle w:val="30"/>
        <w:keepNext w:val="0"/>
        <w:keepLines w:val="0"/>
        <w:widowControl w:val="0"/>
        <w:shd w:val="clear" w:color="auto" w:fill="auto"/>
        <w:bidi w:val="0"/>
        <w:spacing w:before="0" w:after="340" w:line="240" w:lineRule="auto"/>
        <w:ind w:left="0" w:right="0" w:firstLine="0"/>
        <w:jc w:val="left"/>
        <w:rPr>
          <w:rFonts w:hint="eastAsia" w:ascii="仿宋" w:hAnsi="仿宋" w:eastAsia="仿宋" w:cs="仿宋"/>
          <w:color w:val="auto"/>
          <w:spacing w:val="0"/>
          <w:w w:val="100"/>
          <w:position w:val="0"/>
        </w:rPr>
      </w:pPr>
    </w:p>
    <w:bookmarkEnd w:id="58"/>
    <w:p>
      <w:pPr>
        <w:pStyle w:val="4"/>
        <w:numPr>
          <w:ilvl w:val="0"/>
          <w:numId w:val="0"/>
        </w:numPr>
        <w:shd w:val="clear" w:color="auto" w:fill="auto"/>
        <w:spacing w:before="0" w:line="240" w:lineRule="atLeast"/>
        <w:rPr>
          <w:rFonts w:hint="eastAsia" w:ascii="仿宋" w:hAnsi="仿宋" w:eastAsia="仿宋" w:cs="仿宋"/>
          <w:b/>
          <w:bCs/>
          <w:color w:val="auto"/>
          <w:sz w:val="24"/>
          <w:highlight w:val="none"/>
        </w:rPr>
      </w:pPr>
      <w:bookmarkStart w:id="59" w:name="_Toc515647803"/>
      <w:bookmarkStart w:id="60" w:name="_Toc8919"/>
      <w:bookmarkStart w:id="61" w:name="_Toc18974"/>
      <w:bookmarkStart w:id="62" w:name="_Toc18694"/>
    </w:p>
    <w:p>
      <w:pPr>
        <w:pStyle w:val="4"/>
        <w:numPr>
          <w:ilvl w:val="0"/>
          <w:numId w:val="0"/>
        </w:numPr>
        <w:shd w:val="clear" w:color="auto" w:fill="auto"/>
        <w:spacing w:before="0" w:line="240" w:lineRule="atLeast"/>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第一部分 资格证明文件</w:t>
      </w:r>
      <w:bookmarkEnd w:id="59"/>
      <w:bookmarkEnd w:id="60"/>
      <w:bookmarkEnd w:id="61"/>
      <w:bookmarkEnd w:id="62"/>
    </w:p>
    <w:p>
      <w:pPr>
        <w:shd w:val="clear" w:color="auto" w:fill="auto"/>
        <w:spacing w:line="240" w:lineRule="atLeast"/>
        <w:ind w:left="708" w:hanging="716" w:hangingChars="295"/>
        <w:jc w:val="center"/>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、法人或者非法人组织的营业执照等证明文件复印件（须加盖本单位章）或自然人的身份证明复印件;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、法定代表人资格证明书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法定代表人授权书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4、投标保证金收据或保函等票据</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投标企业须提供投标人（被授权在职人员）近期社保证明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、参加政府采购活动前3年内在经营活动中没有重大违法记录的书面声明;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7、参加采购活动前三年内，在经营活动中没有重大违法记录，供应商须提供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8、投标企业须提供有效的《医疗器械生产许可证》或《医疗器械经营许可证》（二类医疗器械需提供医疗器械备案凭证）；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投标人须知资料表要求的其他资格证明文件;</w:t>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bookmarkStart w:id="63" w:name="_Toc515647805"/>
      <w:bookmarkStart w:id="64" w:name="_Toc17577"/>
      <w:bookmarkStart w:id="65" w:name="_Toc29899"/>
      <w:bookmarkStart w:id="66" w:name="_Toc4844"/>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pPr>
        <w:pStyle w:val="8"/>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1、 法人或者非法人组织的营业执照等证明文件</w:t>
      </w:r>
      <w:bookmarkEnd w:id="63"/>
      <w:bookmarkStart w:id="67" w:name="_Toc515647806"/>
      <w:r>
        <w:rPr>
          <w:rFonts w:hint="eastAsia" w:ascii="仿宋" w:hAnsi="仿宋" w:eastAsia="仿宋" w:cs="仿宋"/>
          <w:b/>
          <w:bCs/>
          <w:color w:val="auto"/>
          <w:sz w:val="36"/>
          <w:szCs w:val="36"/>
          <w:lang w:val="en-US" w:eastAsia="zh-CN"/>
        </w:rPr>
        <w:t>或自然人的身份证明</w:t>
      </w:r>
      <w:bookmarkEnd w:id="64"/>
      <w:bookmarkEnd w:id="65"/>
      <w:bookmarkEnd w:id="66"/>
      <w:bookmarkEnd w:id="67"/>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jc w:val="center"/>
        <w:rPr>
          <w:rFonts w:hint="eastAsia" w:ascii="仿宋" w:hAnsi="仿宋" w:eastAsia="仿宋" w:cs="仿宋"/>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auto"/>
          <w:sz w:val="24"/>
          <w:highlight w:val="none"/>
        </w:rPr>
      </w:pPr>
    </w:p>
    <w:p>
      <w:pPr>
        <w:pStyle w:val="10"/>
        <w:pageBreakBefore w:val="0"/>
        <w:widowControl w:val="0"/>
        <w:shd w:val="clear" w:color="auto" w:fill="auto"/>
        <w:tabs>
          <w:tab w:val="left" w:pos="5580"/>
        </w:tabs>
        <w:kinsoku/>
        <w:wordWrap/>
        <w:overflowPunct/>
        <w:topLinePunct w:val="0"/>
        <w:autoSpaceDE/>
        <w:autoSpaceDN/>
        <w:bidi w:val="0"/>
        <w:snapToGrid/>
        <w:spacing w:line="400" w:lineRule="exact"/>
        <w:ind w:left="1164" w:leftChars="257" w:hanging="540"/>
        <w:rPr>
          <w:rFonts w:hint="eastAsia" w:ascii="仿宋" w:hAnsi="仿宋" w:eastAsia="仿宋" w:cs="仿宋"/>
          <w:b/>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说明：1.提供有效的营业执照等证明文件复印件，复印件上应加盖本单位章。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2. 投标人为自然人的，应提供身份证明的复印件。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rPr>
      </w:pPr>
    </w:p>
    <w:p>
      <w:pPr>
        <w:pStyle w:val="24"/>
        <w:rPr>
          <w:rFonts w:hint="eastAsia" w:ascii="仿宋" w:hAnsi="仿宋" w:eastAsia="仿宋" w:cs="仿宋"/>
          <w:b/>
          <w:bCs/>
          <w:color w:val="auto"/>
          <w:sz w:val="36"/>
          <w:szCs w:val="36"/>
        </w:rPr>
      </w:pPr>
    </w:p>
    <w:p>
      <w:pPr>
        <w:rPr>
          <w:rFonts w:hint="eastAsia"/>
          <w:color w:val="auto"/>
        </w:rPr>
      </w:pPr>
    </w:p>
    <w:p>
      <w:pPr>
        <w:rPr>
          <w:rFonts w:hint="eastAsia" w:ascii="仿宋" w:hAnsi="仿宋" w:eastAsia="仿宋" w:cs="仿宋"/>
          <w:b/>
          <w:bCs/>
          <w:color w:val="auto"/>
          <w:sz w:val="36"/>
          <w:szCs w:val="36"/>
        </w:rPr>
      </w:pPr>
    </w:p>
    <w:p>
      <w:pPr>
        <w:pStyle w:val="25"/>
        <w:rPr>
          <w:rFonts w:hint="eastAsia" w:ascii="仿宋" w:hAnsi="仿宋" w:eastAsia="仿宋" w:cs="仿宋"/>
          <w:b/>
          <w:bCs/>
          <w:color w:val="auto"/>
          <w:sz w:val="36"/>
          <w:szCs w:val="36"/>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b/>
          <w:bCs/>
          <w:color w:val="auto"/>
          <w:sz w:val="36"/>
          <w:szCs w:val="36"/>
          <w:lang w:val="en-US" w:eastAsia="zh-CN"/>
        </w:rPr>
      </w:pPr>
    </w:p>
    <w:p>
      <w:pPr>
        <w:pStyle w:val="8"/>
        <w:keepNext w:val="0"/>
        <w:keepLines w:val="0"/>
        <w:pageBreakBefore w:val="0"/>
        <w:widowControl w:val="0"/>
        <w:numPr>
          <w:ilvl w:val="0"/>
          <w:numId w:val="0"/>
        </w:numPr>
        <w:kinsoku w:val="0"/>
        <w:overflowPunct w:val="0"/>
        <w:topLinePunct w:val="0"/>
        <w:autoSpaceDE/>
        <w:autoSpaceDN/>
        <w:bidi w:val="0"/>
        <w:adjustRightInd/>
        <w:snapToGrid/>
        <w:spacing w:before="34" w:line="440" w:lineRule="exact"/>
        <w:ind w:left="480" w:leftChars="0" w:right="126" w:rightChars="0"/>
        <w:jc w:val="center"/>
        <w:textAlignment w:val="auto"/>
        <w:rPr>
          <w:rFonts w:hint="eastAsia" w:ascii="仿宋" w:hAnsi="仿宋" w:eastAsia="仿宋" w:cs="仿宋"/>
          <w:color w:val="auto"/>
          <w:sz w:val="36"/>
          <w:szCs w:val="36"/>
        </w:rPr>
      </w:pPr>
      <w:r>
        <w:rPr>
          <w:rFonts w:hint="eastAsia" w:ascii="仿宋" w:hAnsi="仿宋" w:eastAsia="仿宋" w:cs="仿宋"/>
          <w:b/>
          <w:bCs/>
          <w:color w:val="auto"/>
          <w:sz w:val="36"/>
          <w:szCs w:val="36"/>
          <w:lang w:val="en-US" w:eastAsia="zh-CN"/>
        </w:rPr>
        <w:t>2</w:t>
      </w:r>
      <w:r>
        <w:rPr>
          <w:rFonts w:hint="eastAsia" w:ascii="仿宋" w:hAnsi="仿宋" w:eastAsia="仿宋" w:cs="仿宋"/>
          <w:b/>
          <w:bCs/>
          <w:color w:val="auto"/>
          <w:sz w:val="36"/>
          <w:szCs w:val="36"/>
        </w:rPr>
        <w:t>、法定代表人身份证明</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投标单位名称：</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单位性质：</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地址：</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成立时间：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经营期限：</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性别：</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年龄：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职务：</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u w:val="single"/>
        </w:rPr>
      </w:pPr>
      <w:r>
        <w:rPr>
          <w:rFonts w:hint="eastAsia" w:ascii="仿宋" w:hAnsi="仿宋" w:eastAsia="仿宋" w:cs="仿宋"/>
          <w:color w:val="auto"/>
          <w:kern w:val="0"/>
          <w:sz w:val="24"/>
        </w:rPr>
        <w:t>身份证号码：</w:t>
      </w:r>
      <w:r>
        <w:rPr>
          <w:rFonts w:hint="eastAsia" w:ascii="仿宋" w:hAnsi="仿宋" w:eastAsia="仿宋" w:cs="仿宋"/>
          <w:color w:val="auto"/>
          <w:kern w:val="0"/>
          <w:sz w:val="24"/>
          <w:u w:val="single"/>
        </w:rPr>
        <w:t xml:space="preserve">                                  </w:t>
      </w:r>
    </w:p>
    <w:p>
      <w:pPr>
        <w:spacing w:line="42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系</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（投标单位名称）的法定代表人。</w:t>
      </w:r>
    </w:p>
    <w:p>
      <w:pPr>
        <w:spacing w:line="420" w:lineRule="exact"/>
        <w:ind w:firstLine="972" w:firstLineChars="400"/>
        <w:rPr>
          <w:rFonts w:hint="eastAsia" w:ascii="仿宋" w:hAnsi="仿宋" w:eastAsia="仿宋" w:cs="仿宋"/>
          <w:color w:val="auto"/>
          <w:kern w:val="0"/>
          <w:sz w:val="24"/>
        </w:rPr>
      </w:pPr>
      <w:r>
        <w:rPr>
          <w:rFonts w:hint="eastAsia" w:ascii="仿宋" w:hAnsi="仿宋" w:eastAsia="仿宋" w:cs="仿宋"/>
          <w:color w:val="auto"/>
          <w:kern w:val="0"/>
          <w:sz w:val="24"/>
        </w:rPr>
        <w:t>特此证明。</w:t>
      </w:r>
    </w:p>
    <w:p>
      <w:pPr>
        <w:pStyle w:val="8"/>
        <w:numPr>
          <w:ilvl w:val="0"/>
          <w:numId w:val="0"/>
        </w:numPr>
        <w:kinsoku w:val="0"/>
        <w:overflowPunct w:val="0"/>
        <w:ind w:leftChars="0" w:right="0" w:rightChars="0"/>
        <w:rPr>
          <w:rFonts w:hint="eastAsia" w:ascii="仿宋" w:hAnsi="仿宋" w:eastAsia="仿宋" w:cs="仿宋"/>
          <w:color w:val="auto"/>
          <w:sz w:val="20"/>
          <w:szCs w:val="20"/>
        </w:rPr>
      </w:pPr>
    </w:p>
    <w:p>
      <w:pPr>
        <w:pStyle w:val="8"/>
        <w:numPr>
          <w:ilvl w:val="0"/>
          <w:numId w:val="0"/>
        </w:numPr>
        <w:kinsoku w:val="0"/>
        <w:overflowPunct w:val="0"/>
        <w:spacing w:before="7"/>
        <w:ind w:leftChars="0" w:right="0" w:rightChars="0"/>
        <w:rPr>
          <w:rFonts w:hint="eastAsia" w:ascii="仿宋" w:hAnsi="仿宋" w:eastAsia="仿宋" w:cs="仿宋"/>
          <w:color w:val="auto"/>
          <w:sz w:val="25"/>
          <w:szCs w:val="25"/>
        </w:rPr>
      </w:pPr>
    </w:p>
    <w:p>
      <w:pPr>
        <w:pStyle w:val="8"/>
        <w:numPr>
          <w:ilvl w:val="0"/>
          <w:numId w:val="0"/>
        </w:numPr>
        <w:kinsoku w:val="0"/>
        <w:overflowPunct w:val="0"/>
        <w:spacing w:line="200" w:lineRule="atLeast"/>
        <w:ind w:right="0" w:rightChars="0"/>
        <w:rPr>
          <w:rFonts w:hint="eastAsia" w:ascii="仿宋" w:hAnsi="仿宋" w:eastAsia="仿宋" w:cs="仿宋"/>
          <w:color w:val="auto"/>
          <w:sz w:val="20"/>
          <w:szCs w:val="20"/>
        </w:rPr>
      </w:pPr>
      <w:r>
        <w:rPr>
          <w:rFonts w:hint="eastAsia" w:ascii="仿宋" w:hAnsi="仿宋" w:eastAsia="仿宋" w:cs="仿宋"/>
          <w:color w:val="auto"/>
          <w:sz w:val="20"/>
          <w:szCs w:val="20"/>
        </w:rPr>
        <mc:AlternateContent>
          <mc:Choice Requires="wpg">
            <w:drawing>
              <wp:inline distT="0" distB="0" distL="114300" distR="114300">
                <wp:extent cx="5136515" cy="1458595"/>
                <wp:effectExtent l="0" t="0" r="47625" b="29845"/>
                <wp:docPr id="34" name="组合 34"/>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14"/>
                        <wps:cNvSpPr/>
                        <wps:spPr>
                          <a:xfrm>
                            <a:off x="4" y="9"/>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5" name="任意多边形 15"/>
                        <wps:cNvSpPr/>
                        <wps:spPr>
                          <a:xfrm>
                            <a:off x="24" y="28"/>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6" name="任意多边形 16"/>
                        <wps:cNvSpPr/>
                        <wps:spPr>
                          <a:xfrm>
                            <a:off x="24" y="2267"/>
                            <a:ext cx="8041" cy="20"/>
                          </a:xfrm>
                          <a:custGeom>
                            <a:avLst/>
                            <a:gdLst/>
                            <a:ahLst/>
                            <a:cxnLst/>
                            <a:pathLst>
                              <a:path w="8041" h="20">
                                <a:moveTo>
                                  <a:pt x="0" y="0"/>
                                </a:moveTo>
                                <a:lnTo>
                                  <a:pt x="8040"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7" name="任意多边形 17"/>
                        <wps:cNvSpPr/>
                        <wps:spPr>
                          <a:xfrm>
                            <a:off x="4" y="2286"/>
                            <a:ext cx="8079" cy="20"/>
                          </a:xfrm>
                          <a:custGeom>
                            <a:avLst/>
                            <a:gdLst/>
                            <a:ahLst/>
                            <a:cxnLst/>
                            <a:pathLst>
                              <a:path w="8079" h="20">
                                <a:moveTo>
                                  <a:pt x="0" y="0"/>
                                </a:moveTo>
                                <a:lnTo>
                                  <a:pt x="8078" y="0"/>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19" name="任意多边形 19"/>
                        <wps:cNvSpPr/>
                        <wps:spPr>
                          <a:xfrm>
                            <a:off x="9" y="4"/>
                            <a:ext cx="20" cy="2287"/>
                          </a:xfrm>
                          <a:custGeom>
                            <a:avLst/>
                            <a:gdLst/>
                            <a:ahLst/>
                            <a:cxnLst/>
                            <a:pathLst>
                              <a:path w="20" h="2287">
                                <a:moveTo>
                                  <a:pt x="0" y="0"/>
                                </a:moveTo>
                                <a:lnTo>
                                  <a:pt x="0" y="2286"/>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0" name="任意多边形 20"/>
                        <wps:cNvSpPr/>
                        <wps:spPr>
                          <a:xfrm>
                            <a:off x="28" y="24"/>
                            <a:ext cx="20" cy="2249"/>
                          </a:xfrm>
                          <a:custGeom>
                            <a:avLst/>
                            <a:gdLst/>
                            <a:ahLst/>
                            <a:cxnLst/>
                            <a:pathLst>
                              <a:path w="20" h="2249">
                                <a:moveTo>
                                  <a:pt x="0" y="0"/>
                                </a:moveTo>
                                <a:lnTo>
                                  <a:pt x="0" y="224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1" name="任意多边形 21"/>
                        <wps:cNvSpPr/>
                        <wps:spPr>
                          <a:xfrm>
                            <a:off x="4034"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2" name="任意多边形 22"/>
                        <wps:cNvSpPr/>
                        <wps:spPr>
                          <a:xfrm>
                            <a:off x="4053" y="24"/>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3" name="任意多边形 23"/>
                        <wps:cNvSpPr/>
                        <wps:spPr>
                          <a:xfrm>
                            <a:off x="8059" y="33"/>
                            <a:ext cx="20" cy="2239"/>
                          </a:xfrm>
                          <a:custGeom>
                            <a:avLst/>
                            <a:gdLst/>
                            <a:ahLst/>
                            <a:cxnLst/>
                            <a:pathLst>
                              <a:path w="20" h="2239">
                                <a:moveTo>
                                  <a:pt x="0" y="0"/>
                                </a:moveTo>
                                <a:lnTo>
                                  <a:pt x="0" y="2238"/>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4" name="任意多边形 24"/>
                        <wps:cNvSpPr/>
                        <wps:spPr>
                          <a:xfrm>
                            <a:off x="8078" y="14"/>
                            <a:ext cx="20" cy="2278"/>
                          </a:xfrm>
                          <a:custGeom>
                            <a:avLst/>
                            <a:gdLst/>
                            <a:ahLst/>
                            <a:cxnLst/>
                            <a:pathLst>
                              <a:path w="20" h="2278">
                                <a:moveTo>
                                  <a:pt x="0" y="0"/>
                                </a:moveTo>
                                <a:lnTo>
                                  <a:pt x="0" y="2277"/>
                                </a:lnTo>
                              </a:path>
                            </a:pathLst>
                          </a:custGeom>
                          <a:ln>
                            <a:no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wps:wsp>
                        <wps:cNvPr id="27" name="文本框 27"/>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wps:txbx>
                        <wps:bodyPr lIns="0" tIns="0" rIns="0" bIns="0" upright="1"/>
                      </wps:wsp>
                      <wps:wsp>
                        <wps:cNvPr id="32" name="文本框 3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">
                <o:lock v:ext="edit" rotation="t" aspectratio="f"/>
                <v:shape id="_x0000_s1026" o:spid="_x0000_s1026" o:spt="100" style="position:absolute;left:4;top:9;height:20;width:8079;" fillcolor="#FFFFFF [3201]" filled="t" stroked="f" coordsize="8079,20" o:gfxdata="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G/9VF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24;top:28;height:20;width:8041;" fillcolor="#FFFFFF [3201]" filled="t" stroked="f" coordsize="8041,20" o:gfxdata="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gPPbsAAADb&#10;AAAADwAAAAAAAAABACAAAAAiAAAAZHJzL2Rvd25yZXYueG1sUEsBAhQAFAAAAAgAh07iQDMvBZ47&#10;AAAAOQAAABAAAAAAAAAAAQAgAAAACgEAAGRycy9zaGFwZXhtbC54bWxQSwUGAAAAAAYABgBbAQAA&#10;tAMAAAAA&#10;" path="m0,0l8040,0e">
                  <v:fill on="t" focussize="0,0"/>
                  <v:stroke on="f" weight="1pt" miterlimit="8" joinstyle="miter"/>
                  <v:imagedata o:title=""/>
                  <o:lock v:ext="edit" aspectratio="f"/>
                </v:shape>
                <v:shape id="_x0000_s1026" o:spid="_x0000_s1026" o:spt="100" style="position:absolute;left:24;top:2267;height:20;width:8041;" fillcolor="#FFFFFF [3201]" filled="t" stroked="f" coordsize="8041,20" o:gfxdata="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pFKugAAANsA&#10;AAAPAAAAAAAAAAEAIAAAACIAAABkcnMvZG93bnJldi54bWxQSwECFAAUAAAACACHTuJAMy8FnjsA&#10;AAA5AAAAEAAAAAAAAAABACAAAAAJAQAAZHJzL3NoYXBleG1sLnhtbFBLBQYAAAAABgAGAFsBAACz&#10;AwAAAAA=&#10;" path="m0,0l8040,0e">
                  <v:fill on="t" focussize="0,0"/>
                  <v:stroke on="f" weight="1pt" miterlimit="8" joinstyle="miter"/>
                  <v:imagedata o:title=""/>
                  <o:lock v:ext="edit" aspectratio="f"/>
                </v:shape>
                <v:shape id="_x0000_s1026" o:spid="_x0000_s1026" o:spt="100" style="position:absolute;left:4;top:2286;height:20;width:8079;" fillcolor="#FFFFFF [3201]" filled="t" stroked="f" coordsize="8079,20" o:gfxdata="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2LUsytwAAANsAAAAP&#10;AAAAAAAAAAEAIAAAACIAAABkcnMvZG93bnJldi54bWxQSwECFAAUAAAACACHTuJAMy8FnjsAAAA5&#10;AAAAEAAAAAAAAAABACAAAAAGAQAAZHJzL3NoYXBleG1sLnhtbFBLBQYAAAAABgAGAFsBAACwAwAA&#10;AAA=&#10;" path="m0,0l8078,0e">
                  <v:fill on="t" focussize="0,0"/>
                  <v:stroke on="f" weight="1pt" miterlimit="8" joinstyle="miter"/>
                  <v:imagedata o:title=""/>
                  <o:lock v:ext="edit" aspectratio="f"/>
                </v:shape>
                <v:shape id="_x0000_s1026" o:spid="_x0000_s1026" o:spt="100" style="position:absolute;left:9;top:4;height:2287;width:20;" fillcolor="#FFFFFF [3201]" filled="t" stroked="f" coordsize="20,2287" o:gfxdata="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K5e25AAAA2wAA&#10;AA8AAAAAAAAAAQAgAAAAIgAAAGRycy9kb3ducmV2LnhtbFBLAQIUABQAAAAIAIdO4kAzLwWeOwAA&#10;ADkAAAAQAAAAAAAAAAEAIAAAAAgBAABkcnMvc2hhcGV4bWwueG1sUEsFBgAAAAAGAAYAWwEAALID&#10;AAAAAA==&#10;" path="m0,0l0,2286e">
                  <v:fill on="t" focussize="0,0"/>
                  <v:stroke on="f" weight="1pt" miterlimit="8" joinstyle="miter"/>
                  <v:imagedata o:title=""/>
                  <o:lock v:ext="edit" aspectratio="f"/>
                </v:shape>
                <v:shape id="_x0000_s1026" o:spid="_x0000_s1026" o:spt="100" style="position:absolute;left:28;top:24;height:2249;width:20;" fillcolor="#FFFFFF [3201]" filled="t" stroked="f" coordsize="20,2249" o:gfxdata="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SfnZC5AAAA2wAA&#10;AA8AAAAAAAAAAQAgAAAAIgAAAGRycy9kb3ducmV2LnhtbFBLAQIUABQAAAAIAIdO4kAzLwWeOwAA&#10;ADkAAAAQAAAAAAAAAAEAIAAAAAgBAABkcnMvc2hhcGV4bWwueG1sUEsFBgAAAAAGAAYAWwEAALID&#10;AAAAAA==&#10;" path="m0,0l0,2248e">
                  <v:fill on="t" focussize="0,0"/>
                  <v:stroke on="f" weight="1pt" miterlimit="8" joinstyle="miter"/>
                  <v:imagedata o:title=""/>
                  <o:lock v:ext="edit" aspectratio="f"/>
                </v:shape>
                <v:shape id="_x0000_s1026" o:spid="_x0000_s1026" o:spt="100" style="position:absolute;left:4034;top:24;height:2239;width:20;" fillcolor="#FFFFFF [3201]" filled="t" stroked="f" coordsize="20,2239" o:gfxdata="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cnwu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4053;top:24;height:2239;width:20;" fillcolor="#FFFFFF [3201]" filled="t" stroked="f" coordsize="20,2239" o:gfxdata="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o4BfLsAAADb&#10;AAAADwAAAAAAAAABACAAAAAiAAAAZHJzL2Rvd25yZXYueG1sUEsBAhQAFAAAAAgAh07iQDMvBZ47&#10;AAAAOQAAABAAAAAAAAAAAQAgAAAACgEAAGRycy9zaGFwZXhtbC54bWxQSwUGAAAAAAYABgBbAQAA&#10;tAMAAAAA&#10;" path="m0,0l0,2238e">
                  <v:fill on="t" focussize="0,0"/>
                  <v:stroke on="f" weight="1pt" miterlimit="8" joinstyle="miter"/>
                  <v:imagedata o:title=""/>
                  <o:lock v:ext="edit" aspectratio="f"/>
                </v:shape>
                <v:shape id="_x0000_s1026" o:spid="_x0000_s1026" o:spt="100" style="position:absolute;left:8059;top:33;height:2239;width:20;" fillcolor="#FFFFFF [3201]" filled="t" stroked="f" coordsize="20,2239" o:gfxdata="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CpOe8AAAA&#10;2wAAAA8AAAAAAAAAAQAgAAAAIgAAAGRycy9kb3ducmV2LnhtbFBLAQIUABQAAAAIAIdO4kAzLwWe&#10;OwAAADkAAAAQAAAAAAAAAAEAIAAAAAsBAABkcnMvc2hhcGV4bWwueG1sUEsFBgAAAAAGAAYAWwEA&#10;ALUDAAAAAA==&#10;" path="m0,0l0,2238e">
                  <v:fill on="t" focussize="0,0"/>
                  <v:stroke on="f" weight="1pt" miterlimit="8" joinstyle="miter"/>
                  <v:imagedata o:title=""/>
                  <o:lock v:ext="edit" aspectratio="f"/>
                </v:shape>
                <v:shape id="_x0000_s1026" o:spid="_x0000_s1026" o:spt="100" style="position:absolute;left:8078;top:14;height:2278;width:20;" fillcolor="#FFFFFF [3201]" filled="t" stroked="f" coordsize="20,2278" o:gfxdata="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FRt7sAAADb&#10;AAAADwAAAAAAAAABACAAAAAiAAAAZHJzL2Rvd25yZXYueG1sUEsBAhQAFAAAAAgAh07iQDMvBZ47&#10;AAAAOQAAABAAAAAAAAAAAQAgAAAACgEAAGRycy9zaGFwZXhtbC54bWxQSwUGAAAAAAYABgBbAQAA&#10;tAMAAAAA&#10;" path="m0,0l0,2277e">
                  <v:fill on="t" focussize="0,0"/>
                  <v:stroke on="f" weight="1pt" miterlimit="8" joinstyle="miter"/>
                  <v:imagedata o:title=""/>
                  <o:lock v:ext="edit" aspectratio="f"/>
                </v:shape>
                <v:shape id="_x0000_s1026" o:spid="_x0000_s1026" o:spt="202" type="#_x0000_t202" style="position:absolute;left:19;top:19;height:2258;width:4025;" filled="f" stroked="t" coordsize="21600,21600" o:gfxdata="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cmQw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法定代表人身份证复印件（正面）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txRdbwAAADb&#10;AAAADwAAAGRycy9kb3ducmV2LnhtbEWP3WrCQBSE7wXfYTlC73STFEWiq6C0YKlQ/x7gkD0mwezZ&#10;sLuN8e27gtDLYWa+YZbr3jSiI+drywrSSQKCuLC65lLB5fw5noPwAVljY5kUPMjDejUcLDHX9s5H&#10;6k6hFBHCPkcFVQhtLqUvKjLoJ7Yljt7VOoMhSldK7fAe4aaRWZLMpMGa40KFLW0rKm6nX6Pgw+8e&#10;GV2mm1l32Lsf/J7u0/5LqbdRmixABOrDf/jV3mkF7xk8v8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UXW8AAAA&#10;2wAAAA8AAAAAAAAAAQAgAAAAIgAAAGRycy9kb3ducmV2LnhtbFBLAQIUABQAAAAIAIdO4kAzLwWe&#10;OwAAADkAAAAQAAAAAAAAAAEAIAAAAAsBAABkcnMvc2hhcGV4bWwueG1sUEsFBgAAAAAGAAYAWwEA&#10;ALUDA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3"/>
                          <w:ind w:leftChars="0" w:right="0" w:rightChars="0"/>
                          <w:rPr>
                            <w:rFonts w:hint="eastAsia"/>
                            <w:sz w:val="28"/>
                            <w:szCs w:val="28"/>
                          </w:rPr>
                        </w:pPr>
                      </w:p>
                      <w:p>
                        <w:pPr>
                          <w:pStyle w:val="8"/>
                          <w:numPr>
                            <w:ilvl w:val="0"/>
                            <w:numId w:val="0"/>
                          </w:numPr>
                          <w:kinsoku w:val="0"/>
                          <w:overflowPunct w:val="0"/>
                          <w:ind w:right="0" w:rightChars="0" w:firstLine="241" w:firstLineChars="100"/>
                          <w:rPr>
                            <w:rFonts w:hint="eastAsia" w:ascii="仿宋" w:hAnsi="仿宋" w:eastAsia="仿宋" w:cs="仿宋"/>
                            <w:sz w:val="24"/>
                            <w:szCs w:val="24"/>
                          </w:rPr>
                        </w:pPr>
                        <w:r>
                          <w:rPr>
                            <w:rFonts w:hint="eastAsia" w:ascii="仿宋" w:hAnsi="仿宋" w:eastAsia="仿宋" w:cs="仿宋"/>
                            <w:b/>
                            <w:bCs/>
                            <w:sz w:val="24"/>
                            <w:szCs w:val="24"/>
                          </w:rPr>
                          <w:t>法定代表人身份证复印件（反面）</w:t>
                        </w:r>
                      </w:p>
                    </w:txbxContent>
                  </v:textbox>
                </v:shape>
                <w10:wrap type="none"/>
                <w10:anchorlock/>
              </v:group>
            </w:pict>
          </mc:Fallback>
        </mc:AlternateContent>
      </w:r>
    </w:p>
    <w:p>
      <w:pPr>
        <w:wordWrap w:val="0"/>
        <w:spacing w:line="420" w:lineRule="exact"/>
        <w:ind w:firstLine="486" w:firstLineChars="200"/>
        <w:jc w:val="right"/>
        <w:rPr>
          <w:rFonts w:hint="eastAsia" w:ascii="仿宋" w:hAnsi="仿宋" w:eastAsia="仿宋" w:cs="仿宋"/>
          <w:color w:val="auto"/>
          <w:kern w:val="0"/>
          <w:sz w:val="24"/>
        </w:rPr>
      </w:pPr>
    </w:p>
    <w:p>
      <w:pPr>
        <w:spacing w:line="420" w:lineRule="exact"/>
        <w:ind w:firstLine="486" w:firstLineChars="200"/>
        <w:jc w:val="right"/>
        <w:rPr>
          <w:rFonts w:hint="eastAsia" w:ascii="仿宋" w:hAnsi="仿宋" w:eastAsia="仿宋" w:cs="仿宋"/>
          <w:color w:val="auto"/>
          <w:kern w:val="0"/>
          <w:sz w:val="24"/>
        </w:rPr>
      </w:pPr>
    </w:p>
    <w:p>
      <w:pPr>
        <w:pStyle w:val="14"/>
        <w:rPr>
          <w:rFonts w:hint="eastAsia" w:ascii="仿宋" w:hAnsi="仿宋" w:eastAsia="仿宋" w:cs="仿宋"/>
          <w:color w:val="auto"/>
          <w:kern w:val="0"/>
          <w:sz w:val="24"/>
        </w:rPr>
      </w:pPr>
    </w:p>
    <w:p>
      <w:pPr>
        <w:pStyle w:val="14"/>
        <w:rPr>
          <w:rFonts w:hint="eastAsia" w:ascii="仿宋" w:hAnsi="仿宋" w:eastAsia="仿宋" w:cs="仿宋"/>
          <w:color w:val="auto"/>
          <w:kern w:val="0"/>
          <w:sz w:val="24"/>
        </w:rPr>
      </w:pPr>
    </w:p>
    <w:p>
      <w:pPr>
        <w:spacing w:line="420" w:lineRule="exact"/>
        <w:ind w:firstLine="486"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（公章）</w:t>
      </w:r>
    </w:p>
    <w:p>
      <w:pPr>
        <w:pStyle w:val="2"/>
        <w:rPr>
          <w:rFonts w:hint="eastAsia"/>
          <w:color w:val="auto"/>
        </w:rPr>
      </w:pPr>
    </w:p>
    <w:p>
      <w:pPr>
        <w:wordWrap w:val="0"/>
        <w:spacing w:line="420" w:lineRule="exact"/>
        <w:ind w:right="480" w:firstLine="486" w:firstLineChars="200"/>
        <w:jc w:val="center"/>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日 </w:t>
      </w: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szCs w:val="21"/>
        </w:rPr>
      </w:pPr>
      <w:r>
        <w:rPr>
          <w:rFonts w:hint="eastAsia" w:ascii="仿宋" w:hAnsi="仿宋" w:eastAsia="仿宋" w:cs="仿宋"/>
          <w:color w:val="auto"/>
        </w:rPr>
        <w:br w:type="page"/>
      </w:r>
      <w:r>
        <w:rPr>
          <w:rFonts w:hint="eastAsia" w:ascii="仿宋" w:hAnsi="仿宋" w:eastAsia="仿宋" w:cs="仿宋"/>
          <w:b/>
          <w:bCs/>
          <w:color w:val="auto"/>
          <w:sz w:val="36"/>
          <w:szCs w:val="36"/>
          <w:lang w:val="en-US" w:eastAsia="zh-CN"/>
        </w:rPr>
        <w:t>3</w:t>
      </w:r>
      <w:r>
        <w:rPr>
          <w:rFonts w:hint="eastAsia" w:ascii="仿宋" w:hAnsi="仿宋" w:eastAsia="仿宋" w:cs="仿宋"/>
          <w:b/>
          <w:bCs/>
          <w:color w:val="auto"/>
          <w:sz w:val="36"/>
          <w:szCs w:val="36"/>
        </w:rPr>
        <w:t>、授权委托书</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致：采购人名称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本授权书声明：注册于（投标人地址）的（投标人名称）法定代表人（负责人）姓名、职务或职称）代表本公司授权（姓名）为本单位的合法代理人，参与贵方组织的（项目名称及项目编号） 的投标、谈判、签约等具体工作，并签署全部有关文件、协议及合同。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我单位对被授权人的上述经济活动负全部责任。在撤销授权的书面通知前，本授权书一直有效。被授权人在授权书有效期内签署的所有文件不因授权的撤消而失效。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8"/>
        <w:tabs>
          <w:tab w:val="left" w:pos="780"/>
        </w:tabs>
        <w:kinsoku w:val="0"/>
        <w:overflowPunct w:val="0"/>
        <w:adjustRightInd w:val="0"/>
        <w:snapToGrid w:val="0"/>
        <w:spacing w:before="12"/>
        <w:rPr>
          <w:rFonts w:hint="eastAsia" w:ascii="仿宋" w:hAnsi="仿宋" w:eastAsia="仿宋" w:cs="仿宋"/>
          <w:color w:val="auto"/>
          <w:sz w:val="4"/>
          <w:szCs w:val="4"/>
        </w:rPr>
      </w:pPr>
    </w:p>
    <w:p>
      <w:pPr>
        <w:pStyle w:val="8"/>
        <w:numPr>
          <w:ilvl w:val="0"/>
          <w:numId w:val="0"/>
        </w:numPr>
        <w:kinsoku w:val="0"/>
        <w:overflowPunct w:val="0"/>
        <w:adjustRightInd w:val="0"/>
        <w:snapToGrid w:val="0"/>
        <w:spacing w:line="200" w:lineRule="atLeast"/>
        <w:ind w:right="1931" w:rightChars="795"/>
        <w:jc w:val="center"/>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6515" cy="1458595"/>
                <wp:effectExtent l="0" t="0" r="50800" b="33020"/>
                <wp:docPr id="28" name="组合 28"/>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33" name="任意多边形 1"/>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2" name="任意多边形 2"/>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 name="任意多边形 3"/>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 name="任意多边形 4"/>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5" name="任意多边形 5"/>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6" name="任意多边形 6"/>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7" name="任意多边形 7"/>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8" name="任意多边形 8"/>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9" name="任意多边形 9"/>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 name="任意多边形 10"/>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 name="文本框 11"/>
                        <wps:cNvSpPr txBox="1"/>
                        <wps:spPr>
                          <a:xfrm>
                            <a:off x="19"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wps:txbx>
                        <wps:bodyPr lIns="0" tIns="0" rIns="0" bIns="0" upright="1"/>
                      </wps:wsp>
                      <wps:wsp>
                        <wps:cNvPr id="12" name="文本框 12"/>
                        <wps:cNvSpPr txBox="1"/>
                        <wps:spPr>
                          <a:xfrm>
                            <a:off x="4044" y="19"/>
                            <a:ext cx="4025" cy="2258"/>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l/l9z9YAAAAFAQAADwAAAAAAAAABACAAAAAiAAAAZHJzL2Rvd25yZXYueG1sUEsBAhQAFAAAAAgA&#10;h07iQP+fyNPTBAAAHCIAAA4AAAAAAAAAAQAgAAAAJQEAAGRycy9lMm9Eb2MueG1sUEsFBgAAAAAG&#10;AAYAWQEAAGoIAAAAAA==&#10;">
                <o:lock v:ext="edit" rotation="t" aspectratio="f"/>
                <v:shape id="任意多边形 1" o:spid="_x0000_s1026" o:spt="100" style="position:absolute;left:4;top:9;height:20;width:8079;" filled="f" stroked="t" coordsize="8079,20" o:gfxdata="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C4NG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BtvKxbsAAADa&#10;AAAADwAAAGRycy9kb3ducmV2LnhtbEWPQYvCMBSE7wv+h/AEb2tSwWWtRg+KIC572OoPeDTPtrR5&#10;KUnU6q83Cwt7HGbmG2a1GWwnbuRD41hDNlUgiEtnGq40nE/7908QISIb7ByThgcF2KxHbyvMjbvz&#10;D92KWIkE4ZCjhjrGPpcylDVZDFPXEyfv4rzFmKSvpPF4T3DbyZlSH9Jiw2mhxp62NZVtcbUadt6f&#10;vmV/KZ7Hr53LKtXOF0Or9WScqSWISEP8D/+1D0bDDH6vpBs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tvKxbsAAADa&#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aZdvXrwAAADa&#10;AAAADwAAAGRycy9kb3ducmV2LnhtbEWPQWsCMRSE7wX/Q3iCt5qs0qKr0YMiSEsPXf0Bj81zd9nN&#10;y5JEXf31TaHQ4zAz3zDr7WA7cSMfGscasqkCQVw603Cl4Xw6vC5AhIhssHNMGh4UYLsZvawxN+7O&#10;33QrYiUShEOOGuoY+1zKUNZkMUxdT5y8i/MWY5K+ksbjPcFtJ2dKvUuLDaeFGnva1VS2xdVq2Ht/&#10;+pL9pXh+fO5dVqn2bTm0Wk/GmVqBiDTE//Bf+2g0zOH3Sro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Xb168AAAA&#10;2g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fEKzhbwAAADa&#10;AAAADwAAAGRycy9kb3ducmV2LnhtbEWPQWsCMRSE70L/Q3iF3jRxqVK2Rg9StbQntx48PjZvN4ub&#10;lyWJuv33TaHQ4zAz3zCrzeh6caMQO88a5jMFgrj2puNWw+lrN30BEROywd4zafimCJv1w2SFpfF3&#10;PtKtSq3IEI4larApDaWUsbbkMM78QJy9xgeHKcvQShPwnuGul4VSS+mw47xgcaCtpfpSXZ2Gz6Yp&#10;LkEVH4v94Q1xXHTt2W61fnqcq1cQicb0H/5rvxsNz/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Cs4W8AAAA&#10;2g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3+MWGLsAAADa&#10;AAAADwAAAGRycy9kb3ducmV2LnhtbEWPQWsCMRSE74L/IbyCF6mJgmXdGj2IBcGTW70/Ns/N0s3L&#10;mqRq++uNUOhxmJlvmOX67jpxpRBbzxqmEwWCuPam5UbD8fPjtQARE7LBzjNp+KEI69VwsMTS+Bsf&#10;6FqlRmQIxxI12JT6UspYW3IYJ74nzt7ZB4cpy9BIE/CW4a6TM6XepMOW84LFnjaW6q/q22n4PY93&#10;863FbVUXJ7UvFpsLhkrr0ctUvYNIdE//4b/2zmiYw/NKv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WGLsAAADa&#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RHZDJ74AAADa&#10;AAAADwAAAGRycy9kb3ducmV2LnhtbEWPT4vCMBTE7wt+h/AEL4umyiJaG0V2EXpYcP1z0NujebbV&#10;5qU00eq3N8KCx2FmfsMki7upxI0aV1pWMBxEIIgzq0vOFex3q/4EhPPIGivLpOBBDhbzzkeCsbYt&#10;b+i29bkIEHYxKii8r2MpXVaQQTewNXHwTrYx6INscqkbbAPcVHIURWNpsOSwUGBN3wVll+3VKGjT&#10;H1nu/Tr7zDe/u6/pYVmfj39K9brDaAbC092/w//tVCsYw+tKuA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ZDJ74A&#10;AADa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7KgH77oAAADa&#10;AAAADwAAAGRycy9kb3ducmV2LnhtbEWPW4vCMBSE34X9D+EI+6apiu5SjbIUFvZJ8NL3Q3Nsis1J&#10;m8TL/nsjCD4OM/MNs9rcbSuu5EPjWMFknIEgrpxuuFZwPPyOvkGEiKyxdUwK/inAZv0xWGGu3Y13&#10;dN3HWiQIhxwVmBi7XMpQGbIYxq4jTt7JeYsxSV9L7fGW4LaV0yxbSIsNpwWDHRWGqvP+YhX4KhS6&#10;n/WmLPptyT/YucVsrtTncJItQUS6x3f41f7TCr7g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qAfv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nTeTnbYAAADa&#10;AAAADwAAAGRycy9kb3ducmV2LnhtbEVPy4rCMBTdC/5DuMLsNHVEkWpahoIwK2HU7i/NtSnT3LRJ&#10;fP39ZDHg8nDe+/Jpe3EnHzrHCpaLDARx43THrYLL+TDfgggRWWPvmBS8KEBZTCd7zLV78A/dT7EV&#10;KYRDjgpMjEMuZWgMWQwLNxAn7uq8xZigb6X2+EjhtpefWbaRFjtODQYHqgw1v6ebVeCbUOlxNZq6&#10;Go81f+HgNqu1Uh+zZbYDEekZ3+J/97dWkLamK+kGyOI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03k522AAAA2gAAAA8A&#10;AAAAAAAAAQAgAAAAIgAAAGRycy9kb3ducmV2LnhtbFBLAQIUABQAAAAIAIdO4kAzLwWeOwAAADkA&#10;AAAQAAAAAAAAAAEAIAAAAAUBAABkcnMvc2hhcGV4bWwueG1sUEsFBgAAAAAGAAYAWwEAAK8DAAAA&#10;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ns2BroAAADa&#10;AAAADwAAAGRycy9kb3ducmV2LnhtbEWPW4vCMBSE34X9D+EI+6apirJbjbIUFvZJ8NL3Q3Nsis1J&#10;m8TL/nsjCD4OM/MNs9rcbSuu5EPjWMFknIEgrpxuuFZwPPyOvkCEiKyxdUwK/inAZv0xWGGu3Y13&#10;dN3HWiQIhxwVmBi7XMpQGbIYxq4jTt7JeYsxSV9L7fGW4LaV0yxbSIsNpwWDHRWGqvP+YhX4KhS6&#10;n/WmLPptyT/YucVsrtTncJItQUS6x3f41f7TCr7heSXdAL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ezYGugAAANoA&#10;AAAPAAAAAAAAAAEAIAAAACIAAABkcnMvZG93bnJldi54bWxQSwECFAAUAAAACACHTuJAMy8FnjsA&#10;AAA5AAAAEAAAAAAAAAABACAAAAAJAQAAZHJzL3NoYXBleG1sLnhtbFBLBQYAAAAABgAGAFsBAACz&#10;Aw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AFAghb4AAADb&#10;AAAADwAAAGRycy9kb3ducmV2LnhtbEWPT2vCQBDF74V+h2UEb3VjLcVGV6HFf5dSmgpex+yYDWZn&#10;Q3aN9ts7h0JvM7w37/1mvrz5RvXUxTqwgfEoA0VcBltzZWD/s36agooJ2WITmAz8UoTl4vFhjrkN&#10;V/6mvkiVkhCOORpwKbW51rF05DGOQkss2il0HpOsXaVth1cJ941+zrJX7bFmaXDY0oej8lxcvIFz&#10;7N378WWz/Zrw2+e0OK7aw2llzHAwzmagEt3Sv/nvemcFX+jlFxlA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Aghb4A&#10;AADbAAAADwAAAAAAAAABACAAAAAiAAAAZHJzL2Rvd25yZXYueG1sUEsBAhQAFAAAAAgAh07iQDMv&#10;BZ47AAAAOQAAABAAAAAAAAAAAQAgAAAADQEAAGRycy9zaGFwZXhtbC54bWxQSwUGAAAAAAYABgBb&#10;AQAAtwMAAAAA&#10;" path="m0,0l0,2277e">
                  <v:fill on="f" focussize="0,0"/>
                  <v:stroke weight="0.48pt" color="#000000" joinstyle="round"/>
                  <v:imagedata o:title=""/>
                  <o:lock v:ext="edit" aspectratio="f"/>
                </v:shape>
                <v:shape id="_x0000_s1026" o:spid="_x0000_s1026" o:spt="202" type="#_x0000_t202" style="position:absolute;left:19;top:19;height:2258;width:4025;" filled="f" stroked="t" coordsize="21600,21600" o:gfxdata="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G7k2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kinsoku w:val="0"/>
                          <w:overflowPunct w:val="0"/>
                          <w:spacing w:before="12"/>
                          <w:ind w:leftChars="0" w:right="0" w:rightChars="0"/>
                          <w:rPr>
                            <w:rFonts w:hint="eastAsia" w:ascii="仿宋" w:hAnsi="仿宋" w:eastAsia="仿宋" w:cs="仿宋"/>
                            <w:b w:val="0"/>
                            <w:bCs w:val="0"/>
                            <w:sz w:val="28"/>
                            <w:szCs w:val="28"/>
                          </w:rPr>
                        </w:pPr>
                      </w:p>
                      <w:p>
                        <w:pPr>
                          <w:pStyle w:val="8"/>
                          <w:numPr>
                            <w:ilvl w:val="0"/>
                            <w:numId w:val="0"/>
                          </w:numPr>
                          <w:kinsoku w:val="0"/>
                          <w:overflowPunct w:val="0"/>
                          <w:ind w:right="0" w:rightChars="0"/>
                          <w:jc w:val="center"/>
                          <w:rPr>
                            <w:rFonts w:hint="eastAsia" w:ascii="仿宋" w:hAnsi="仿宋" w:eastAsia="仿宋" w:cs="仿宋"/>
                          </w:rPr>
                        </w:pPr>
                      </w:p>
                      <w:p>
                        <w:pPr>
                          <w:pStyle w:val="8"/>
                          <w:numPr>
                            <w:ilvl w:val="0"/>
                            <w:numId w:val="0"/>
                          </w:numPr>
                          <w:kinsoku w:val="0"/>
                          <w:overflowPunct w:val="0"/>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授权人身份证复印件（正面）</w:t>
                        </w:r>
                      </w:p>
                    </w:txbxContent>
                  </v:textbox>
                </v:shape>
                <v:shape id="_x0000_s1026" o:spid="_x0000_s1026" o:spt="202" type="#_x0000_t202" style="position:absolute;left:4044;top:19;height:2258;width:4025;" filled="f" stroked="t" coordsize="21600,21600" o:gfxdata="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pDRW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r>
                          <w:rPr>
                            <w:rFonts w:hint="eastAsia" w:ascii="仿宋" w:hAnsi="仿宋" w:eastAsia="仿宋" w:cs="仿宋"/>
                            <w:b/>
                            <w:bCs/>
                            <w:sz w:val="24"/>
                            <w:szCs w:val="24"/>
                          </w:rPr>
                          <w:t>授权人身份证复印件（反面）</w:t>
                        </w:r>
                      </w:p>
                    </w:txbxContent>
                  </v:textbox>
                </v:shape>
                <w10:wrap type="none"/>
                <w10:anchorlock/>
              </v:group>
            </w:pict>
          </mc:Fallback>
        </mc:AlternateContent>
      </w:r>
    </w:p>
    <w:p>
      <w:pPr>
        <w:pStyle w:val="8"/>
        <w:numPr>
          <w:ilvl w:val="0"/>
          <w:numId w:val="0"/>
        </w:numPr>
        <w:kinsoku w:val="0"/>
        <w:overflowPunct w:val="0"/>
        <w:adjustRightInd w:val="0"/>
        <w:snapToGrid w:val="0"/>
        <w:spacing w:line="200" w:lineRule="atLeast"/>
        <w:ind w:right="0" w:rightChars="0"/>
        <w:rPr>
          <w:rFonts w:hint="eastAsia" w:ascii="仿宋" w:hAnsi="仿宋" w:eastAsia="仿宋" w:cs="仿宋"/>
          <w:color w:val="auto"/>
          <w:sz w:val="18"/>
          <w:szCs w:val="20"/>
        </w:rPr>
      </w:pPr>
      <w:r>
        <w:rPr>
          <w:rFonts w:hint="eastAsia" w:ascii="仿宋" w:hAnsi="仿宋" w:eastAsia="仿宋" w:cs="仿宋"/>
          <w:color w:val="auto"/>
          <w:sz w:val="18"/>
          <w:szCs w:val="20"/>
        </w:rPr>
        <mc:AlternateContent>
          <mc:Choice Requires="wpg">
            <w:drawing>
              <wp:inline distT="0" distB="0" distL="114300" distR="114300">
                <wp:extent cx="5137150" cy="1384935"/>
                <wp:effectExtent l="0" t="0" r="53340" b="49530"/>
                <wp:docPr id="36" name="组合 36"/>
                <wp:cNvGraphicFramePr/>
                <a:graphic xmlns:a="http://schemas.openxmlformats.org/drawingml/2006/main">
                  <a:graphicData uri="http://schemas.microsoft.com/office/word/2010/wordprocessingGroup">
                    <wpg:wgp>
                      <wpg:cNvGrpSpPr>
                        <a:grpSpLocks noRot="1"/>
                      </wpg:cNvGrpSpPr>
                      <wpg:grpSpPr>
                        <a:xfrm>
                          <a:off x="0" y="0"/>
                          <a:ext cx="5137150" cy="1384935"/>
                          <a:chOff x="0" y="0"/>
                          <a:chExt cx="8089" cy="2181"/>
                        </a:xfrm>
                      </wpg:grpSpPr>
                      <wps:wsp>
                        <wps:cNvPr id="37" name="任意多边形 34"/>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38" name="任意多边形 35"/>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39" name="任意多边形 36"/>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40" name="任意多边形 37"/>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41" name="任意多边形 38"/>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42" name="任意多边形 39"/>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43" name="任意多边形 40"/>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4" name="任意多边形 41"/>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5" name="任意多边形 42"/>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46" name="任意多边形 43"/>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47" name="文本框 44"/>
                        <wps:cNvSpPr txBox="1"/>
                        <wps:spPr>
                          <a:xfrm>
                            <a:off x="19"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wps:txbx>
                        <wps:bodyPr lIns="0" tIns="0" rIns="0" bIns="0" upright="1"/>
                      </wps:wsp>
                      <wps:wsp>
                        <wps:cNvPr id="48" name="文本框 45"/>
                        <wps:cNvSpPr txBox="1"/>
                        <wps:spPr>
                          <a:xfrm>
                            <a:off x="4044" y="19"/>
                            <a:ext cx="4025" cy="2142"/>
                          </a:xfrm>
                          <a:prstGeom prst="rect">
                            <a:avLst/>
                          </a:prstGeom>
                          <a:noFill/>
                        </wps:spPr>
                        <wps:style>
                          <a:lnRef idx="2">
                            <a:schemeClr val="dk1"/>
                          </a:lnRef>
                          <a:fillRef idx="1">
                            <a:schemeClr val="lt1"/>
                          </a:fillRef>
                          <a:effectRef idx="0">
                            <a:schemeClr val="dk1"/>
                          </a:effectRef>
                          <a:fontRef idx="minor">
                            <a:schemeClr val="dk1"/>
                          </a:fontRef>
                        </wps:style>
                        <wps:txbx>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wps:txbx>
                        <wps:bodyPr lIns="0" tIns="0" rIns="0" bIns="0" upright="1"/>
                      </wps:wsp>
                    </wpg:wgp>
                  </a:graphicData>
                </a:graphic>
              </wp:inline>
            </w:drawing>
          </mc:Choice>
          <mc:Fallback>
            <w:pict>
              <v:group id="_x0000_s1026" o:spid="_x0000_s1026" o:spt="203" style="height:109.05pt;width:404.5pt;" coordsize="8089,2181" o:gfxdata="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PCHxSPVAAAABQEAAA8AAAAAAAAAAQAgAAAAIgAAAGRycy9kb3ducmV2LnhtbFBLAQIUABQAAAAI&#10;AIdO4kDOLr+S1QQAAC0iAAAOAAAAAAAAAAEAIAAAACQBAABkcnMvZTJvRG9jLnhtbFBLBQYAAAAA&#10;BgAGAFkBAABrCAAAAAA=&#10;">
                <o:lock v:ext="edit" rotation="t" aspectratio="f"/>
                <v:shape id="任意多边形 34" o:spid="_x0000_s1026" o:spt="100" style="position:absolute;left:4;top:9;height:20;width:8079;" filled="f" stroked="t" coordsize="8079,20" o:gfxdata="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ebS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任意多边形 35" o:spid="_x0000_s1026" o:spt="100" style="position:absolute;left:24;top:28;height:20;width:8041;" filled="f" stroked="t" coordsize="8041,20" o:gfxdata="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WAewugAAANsA&#10;AAAPAAAAAAAAAAEAIAAAACIAAABkcnMvZG93bnJldi54bWxQSwECFAAUAAAACACHTuJAMy8FnjsA&#10;AAA5AAAAEAAAAAAAAAABACAAAAAJAQAAZHJzL3NoYXBleG1sLnhtbFBLBQYAAAAABgAGAFsBAACz&#10;AwAAAAA=&#10;" path="m0,0l8040,0e">
                  <v:fill on="f" focussize="0,0"/>
                  <v:stroke weight="0.48pt" color="#000000" joinstyle="round"/>
                  <v:imagedata o:title=""/>
                  <o:lock v:ext="edit" aspectratio="f"/>
                </v:shape>
                <v:shape id="任意多边形 36" o:spid="_x0000_s1026" o:spt="100" style="position:absolute;left:24;top:2151;height:20;width:8041;" filled="f" stroked="t" coordsize="8041,20" o:gfxdata="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FKIr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任意多边形 37" o:spid="_x0000_s1026" o:spt="100" style="position:absolute;left:4;top:2170;height:20;width:8079;" filled="f" stroked="t" coordsize="8079,20" o:gfxdata="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WDdu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任意多边形 38" o:spid="_x0000_s1026" o:spt="100" style="position:absolute;left:9;top:4;height:2171;width:20;" filled="f" stroked="t" coordsize="20,2171" o:gfxdata="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GrYT7sAAADb&#10;AAAADwAAAAAAAAABACAAAAAiAAAAZHJzL2Rvd25yZXYueG1sUEsBAhQAFAAAAAgAh07iQDMvBZ47&#10;AAAAOQAAABAAAAAAAAAAAQAgAAAACgEAAGRycy9zaGFwZXhtbC54bWxQSwUGAAAAAAYABgBbAQAA&#10;tAMAAAAA&#10;" path="m0,0l0,2170e">
                  <v:fill on="f" focussize="0,0"/>
                  <v:stroke weight="0.48pt" color="#000000" joinstyle="round"/>
                  <v:imagedata o:title=""/>
                  <o:lock v:ext="edit" aspectratio="f"/>
                </v:shape>
                <v:shape id="任意多边形 39" o:spid="_x0000_s1026" o:spt="100" style="position:absolute;left:28;top:24;height:2133;width:20;" filled="f" stroked="t" coordsize="20,2133" o:gfxdata="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Uk7y/&#10;AAAA2wAAAA8AAAAAAAAAAQAgAAAAIgAAAGRycy9kb3ducmV2LnhtbFBLAQIUABQAAAAIAIdO4kAz&#10;LwWeOwAAADkAAAAQAAAAAAAAAAEAIAAAAA4BAABkcnMvc2hhcGV4bWwueG1sUEsFBgAAAAAGAAYA&#10;WwEAALgDAAAAAA==&#10;" path="m0,0l0,2132e">
                  <v:fill on="f" focussize="0,0"/>
                  <v:stroke weight="0.48pt" color="#000000" joinstyle="round"/>
                  <v:imagedata o:title=""/>
                  <o:lock v:ext="edit" aspectratio="f"/>
                </v:shape>
                <v:shape id="任意多边形 40" o:spid="_x0000_s1026" o:spt="100" style="position:absolute;left:4034;top:24;height:2123;width:20;" filled="f" stroked="t" coordsize="20,2123" o:gfxdata="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1Hb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1" o:spid="_x0000_s1026" o:spt="100" style="position:absolute;left:4053;top:24;height:2123;width:20;" filled="f" stroked="t" coordsize="20,2123" o:gfxdata="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chcC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2" o:spid="_x0000_s1026" o:spt="100" style="position:absolute;left:8059;top:33;height:2123;width:20;" filled="f" stroked="t" coordsize="20,2123" o:gfxdata="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QIFu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任意多边形 43" o:spid="_x0000_s1026" o:spt="100" style="position:absolute;left:8078;top:14;height:2162;width:20;" filled="f" stroked="t" coordsize="20,2162" o:gfxdata="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2cm0z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文本框 44" o:spid="_x0000_s1026" o:spt="202" type="#_x0000_t202" style="position:absolute;left:19;top:19;height:2142;width:4025;" filled="f" stroked="t" coordsize="21600,21600" o:gfxdata="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rYGQvQAA&#10;ANsAAAAPAAAAAAAAAAEAIAAAACIAAABkcnMvZG93bnJldi54bWxQSwECFAAUAAAACACHTuJAMy8F&#10;njsAAAA5AAAAEAAAAAAAAAABACAAAAAMAQAAZHJzL3NoYXBleG1sLnhtbFBLBQYAAAAABgAGAFsB&#10;AAC2AwAAAAA=&#10;">
                  <v:fill on="f" focussize="0,0"/>
                  <v:stroke weight="1pt" color="#000000 [3200]" miterlimit="8" joinstyle="miter"/>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jc w:val="center"/>
                          <w:rPr>
                            <w:rFonts w:hint="eastAsia" w:ascii="仿宋" w:hAnsi="仿宋" w:eastAsia="仿宋" w:cs="仿宋"/>
                            <w:sz w:val="24"/>
                            <w:szCs w:val="24"/>
                          </w:rPr>
                        </w:pPr>
                      </w:p>
                      <w:p>
                        <w:pPr>
                          <w:pStyle w:val="8"/>
                          <w:numPr>
                            <w:ilvl w:val="0"/>
                            <w:numId w:val="0"/>
                          </w:numPr>
                          <w:shd w:val="clear" w:color="auto" w:fill="auto"/>
                          <w:kinsoku w:val="0"/>
                          <w:overflowPunct w:val="0"/>
                          <w:ind w:right="0" w:rightChars="0"/>
                          <w:jc w:val="center"/>
                          <w:rPr>
                            <w:b/>
                            <w:bCs/>
                          </w:rPr>
                        </w:pPr>
                        <w:r>
                          <w:rPr>
                            <w:rFonts w:hint="eastAsia" w:ascii="仿宋" w:hAnsi="仿宋" w:eastAsia="仿宋" w:cs="仿宋"/>
                            <w:b/>
                            <w:bCs/>
                            <w:sz w:val="24"/>
                            <w:szCs w:val="24"/>
                          </w:rPr>
                          <w:t>被授权代表身份证复印件（正面）</w:t>
                        </w:r>
                      </w:p>
                    </w:txbxContent>
                  </v:textbox>
                </v:shape>
                <v:shape id="文本框 45" o:spid="_x0000_s1026" o:spt="202" type="#_x0000_t202" style="position:absolute;left:4044;top:19;height:2142;width:4025;" filled="f" stroked="t" coordsize="21600,21600" o:gfxdata="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yFeK5AAAA2wAA&#10;AA8AAAAAAAAAAQAgAAAAIgAAAGRycy9kb3ducmV2LnhtbFBLAQIUABQAAAAIAIdO4kAzLwWeOwAA&#10;ADkAAAAQAAAAAAAAAAEAIAAAAAgBAABkcnMvc2hhcGV4bWwueG1sUEsFBgAAAAAGAAYAWwEAALID&#10;AAAAAA==&#10;">
                  <v:fill on="f" focussize="0,0"/>
                  <v:stroke weight="1pt" color="#000000 [3200]" miterlimit="8" joinstyle="miter"/>
                  <v:imagedata o:title=""/>
                  <o:lock v:ext="edit" aspectratio="f"/>
                  <v:textbox inset="0mm,0mm,0mm,0mm">
                    <w:txbxContent>
                      <w:p>
                        <w:pPr>
                          <w:pStyle w:val="8"/>
                          <w:numPr>
                            <w:ilvl w:val="0"/>
                            <w:numId w:val="0"/>
                          </w:numPr>
                          <w:kinsoku w:val="0"/>
                          <w:overflowPunct w:val="0"/>
                          <w:ind w:right="0" w:rightChars="0"/>
                          <w:rPr>
                            <w:rFonts w:hint="eastAsia"/>
                          </w:rPr>
                        </w:pPr>
                      </w:p>
                      <w:p>
                        <w:pPr>
                          <w:pStyle w:val="8"/>
                          <w:numPr>
                            <w:ilvl w:val="0"/>
                            <w:numId w:val="0"/>
                          </w:numPr>
                          <w:shd w:val="clear" w:color="auto" w:fill="auto"/>
                          <w:kinsoku w:val="0"/>
                          <w:overflowPunct w:val="0"/>
                          <w:ind w:right="0" w:rightChars="0"/>
                          <w:rPr>
                            <w:rFonts w:hint="eastAsia" w:ascii="仿宋" w:hAnsi="仿宋" w:eastAsia="仿宋" w:cs="仿宋"/>
                            <w:sz w:val="24"/>
                            <w:szCs w:val="24"/>
                          </w:rPr>
                        </w:pPr>
                      </w:p>
                      <w:p>
                        <w:pPr>
                          <w:pStyle w:val="8"/>
                          <w:numPr>
                            <w:ilvl w:val="0"/>
                            <w:numId w:val="0"/>
                          </w:numPr>
                          <w:shd w:val="clear" w:color="auto" w:fill="auto"/>
                          <w:kinsoku w:val="0"/>
                          <w:overflowPunct w:val="0"/>
                          <w:ind w:right="0" w:rightChars="0" w:firstLine="241" w:firstLineChars="100"/>
                          <w:rPr>
                            <w:b/>
                            <w:bCs/>
                          </w:rPr>
                        </w:pPr>
                        <w:r>
                          <w:rPr>
                            <w:rFonts w:hint="eastAsia" w:ascii="仿宋" w:hAnsi="仿宋" w:eastAsia="仿宋" w:cs="仿宋"/>
                            <w:b/>
                            <w:bCs/>
                            <w:sz w:val="24"/>
                            <w:szCs w:val="24"/>
                          </w:rPr>
                          <w:t>被授权代表身份证复印件（反面）</w:t>
                        </w:r>
                      </w:p>
                    </w:txbxContent>
                  </v:textbox>
                </v:shape>
                <w10:wrap type="none"/>
                <w10:anchorlock/>
              </v:group>
            </w:pict>
          </mc:Fallback>
        </mc:AlternateContent>
      </w: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p>
    <w:p>
      <w:pPr>
        <w:pStyle w:val="8"/>
        <w:numPr>
          <w:ilvl w:val="0"/>
          <w:numId w:val="0"/>
        </w:numPr>
        <w:tabs>
          <w:tab w:val="left" w:pos="5295"/>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被授权代表（</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投标人法定代表人（</w:t>
      </w:r>
      <w:r>
        <w:rPr>
          <w:rFonts w:hint="eastAsia" w:ascii="仿宋" w:hAnsi="仿宋" w:eastAsia="仿宋" w:cs="仿宋"/>
          <w:color w:val="auto"/>
          <w:sz w:val="24"/>
          <w:lang w:eastAsia="zh-CN"/>
        </w:rPr>
        <w:t>签字或盖章</w:t>
      </w:r>
      <w:r>
        <w:rPr>
          <w:rFonts w:hint="eastAsia" w:ascii="仿宋" w:hAnsi="仿宋" w:eastAsia="仿宋" w:cs="仿宋"/>
          <w:color w:val="auto"/>
          <w:sz w:val="24"/>
        </w:rPr>
        <w:t>）：</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职</w:t>
      </w:r>
      <w:r>
        <w:rPr>
          <w:rFonts w:hint="eastAsia" w:ascii="仿宋" w:hAnsi="仿宋" w:eastAsia="仿宋" w:cs="仿宋"/>
          <w:color w:val="auto"/>
          <w:sz w:val="24"/>
        </w:rPr>
        <w:tab/>
      </w:r>
      <w:r>
        <w:rPr>
          <w:rFonts w:hint="eastAsia" w:ascii="仿宋" w:hAnsi="仿宋" w:eastAsia="仿宋" w:cs="仿宋"/>
          <w:color w:val="auto"/>
          <w:sz w:val="24"/>
        </w:rPr>
        <w:t>务：</w:t>
      </w:r>
    </w:p>
    <w:p>
      <w:pPr>
        <w:pStyle w:val="8"/>
        <w:numPr>
          <w:ilvl w:val="0"/>
          <w:numId w:val="0"/>
        </w:numPr>
        <w:tabs>
          <w:tab w:val="left" w:pos="1098"/>
          <w:tab w:val="left" w:pos="5298"/>
          <w:tab w:val="left" w:pos="5778"/>
        </w:tabs>
        <w:kinsoku w:val="0"/>
        <w:overflowPunct w:val="0"/>
        <w:adjustRightInd w:val="0"/>
        <w:snapToGrid w:val="0"/>
        <w:spacing w:line="360" w:lineRule="auto"/>
        <w:ind w:left="709" w:leftChars="0" w:right="0" w:rightChars="0"/>
        <w:rPr>
          <w:rFonts w:hint="eastAsia" w:ascii="仿宋" w:hAnsi="仿宋" w:eastAsia="仿宋" w:cs="仿宋"/>
          <w:color w:val="auto"/>
          <w:sz w:val="24"/>
        </w:rPr>
      </w:pP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电</w:t>
      </w:r>
      <w:r>
        <w:rPr>
          <w:rFonts w:hint="eastAsia" w:ascii="仿宋" w:hAnsi="仿宋" w:eastAsia="仿宋" w:cs="仿宋"/>
          <w:color w:val="auto"/>
          <w:sz w:val="24"/>
        </w:rPr>
        <w:tab/>
      </w:r>
      <w:r>
        <w:rPr>
          <w:rFonts w:hint="eastAsia" w:ascii="仿宋" w:hAnsi="仿宋" w:eastAsia="仿宋" w:cs="仿宋"/>
          <w:color w:val="auto"/>
          <w:sz w:val="24"/>
        </w:rPr>
        <w:t>话：</w:t>
      </w:r>
    </w:p>
    <w:p>
      <w:pPr>
        <w:pStyle w:val="8"/>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leftChars="0" w:right="238" w:rightChars="0"/>
        <w:rPr>
          <w:rFonts w:hint="eastAsia" w:ascii="仿宋" w:hAnsi="仿宋" w:eastAsia="仿宋" w:cs="仿宋"/>
          <w:color w:val="auto"/>
          <w:sz w:val="24"/>
        </w:rPr>
      </w:pPr>
      <w:r>
        <w:rPr>
          <w:rFonts w:hint="eastAsia" w:ascii="仿宋" w:hAnsi="仿宋" w:eastAsia="仿宋" w:cs="仿宋"/>
          <w:color w:val="auto"/>
          <w:sz w:val="24"/>
        </w:rPr>
        <w:t>投标人：</w:t>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u w:val="single"/>
        </w:rPr>
        <w:tab/>
      </w:r>
      <w:r>
        <w:rPr>
          <w:rFonts w:hint="eastAsia" w:ascii="仿宋" w:hAnsi="仿宋" w:eastAsia="仿宋" w:cs="仿宋"/>
          <w:color w:val="auto"/>
          <w:sz w:val="24"/>
        </w:rPr>
        <w:t>（盖章）</w:t>
      </w: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auto"/>
          <w:sz w:val="24"/>
        </w:rPr>
      </w:pPr>
    </w:p>
    <w:p>
      <w:pPr>
        <w:pStyle w:val="8"/>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Chars="50" w:right="238" w:rightChars="0" w:firstLine="2916" w:firstLineChars="1200"/>
        <w:jc w:val="both"/>
        <w:rPr>
          <w:rFonts w:hint="eastAsia" w:ascii="仿宋" w:hAnsi="仿宋" w:eastAsia="仿宋" w:cs="仿宋"/>
          <w:color w:val="auto"/>
          <w:sz w:val="20"/>
        </w:rPr>
      </w:pPr>
      <w:r>
        <w:rPr>
          <w:rFonts w:hint="eastAsia" w:ascii="仿宋" w:hAnsi="仿宋" w:eastAsia="仿宋" w:cs="仿宋"/>
          <w:color w:val="auto"/>
          <w:sz w:val="24"/>
        </w:rPr>
        <w:t xml:space="preserve"> 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日 </w:t>
      </w:r>
      <w:r>
        <w:rPr>
          <w:rFonts w:hint="eastAsia" w:ascii="仿宋" w:hAnsi="仿宋" w:eastAsia="仿宋" w:cs="仿宋"/>
          <w:color w:val="auto"/>
          <w:sz w:val="20"/>
        </w:rPr>
        <w:t xml:space="preserve">               </w:t>
      </w:r>
    </w:p>
    <w:p>
      <w:pPr>
        <w:pStyle w:val="25"/>
        <w:rPr>
          <w:rFonts w:hint="eastAsia" w:ascii="仿宋" w:hAnsi="仿宋" w:eastAsia="仿宋" w:cs="仿宋"/>
          <w:b/>
          <w:bCs/>
          <w:color w:val="auto"/>
          <w:sz w:val="36"/>
          <w:szCs w:val="36"/>
        </w:rPr>
      </w:pPr>
      <w:r>
        <w:rPr>
          <w:rFonts w:hint="eastAsia" w:ascii="仿宋" w:hAnsi="仿宋" w:eastAsia="仿宋" w:cs="仿宋"/>
          <w:color w:val="auto"/>
        </w:rPr>
        <w:br w:type="page"/>
      </w:r>
    </w:p>
    <w:p>
      <w:pPr>
        <w:pStyle w:val="4"/>
        <w:numPr>
          <w:ilvl w:val="0"/>
          <w:numId w:val="0"/>
        </w:numPr>
        <w:shd w:val="clear" w:color="auto" w:fill="auto"/>
        <w:spacing w:before="0"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参加政府采购活动前3年内</w:t>
      </w:r>
      <w:bookmarkStart w:id="68" w:name="_Toc1137"/>
      <w:bookmarkStart w:id="69" w:name="_Toc6008"/>
      <w:bookmarkStart w:id="70" w:name="_Toc515647812"/>
      <w:r>
        <w:rPr>
          <w:rFonts w:hint="eastAsia" w:ascii="仿宋" w:hAnsi="仿宋" w:eastAsia="仿宋" w:cs="仿宋"/>
          <w:color w:val="auto"/>
          <w:sz w:val="24"/>
          <w:highlight w:val="none"/>
        </w:rPr>
        <w:t>在经营活动中没有重大违法记录的书面声明</w:t>
      </w:r>
      <w:bookmarkEnd w:id="68"/>
      <w:bookmarkEnd w:id="69"/>
      <w:bookmarkEnd w:id="70"/>
    </w:p>
    <w:p>
      <w:pPr>
        <w:pStyle w:val="10"/>
        <w:shd w:val="clear" w:color="auto" w:fill="auto"/>
        <w:tabs>
          <w:tab w:val="left" w:pos="5580"/>
        </w:tabs>
        <w:spacing w:line="240" w:lineRule="atLeast"/>
        <w:ind w:left="1164" w:leftChars="257" w:hanging="540"/>
        <w:jc w:val="center"/>
        <w:rPr>
          <w:rFonts w:hint="eastAsia" w:ascii="仿宋" w:hAnsi="仿宋" w:eastAsia="仿宋" w:cs="仿宋"/>
          <w:b/>
          <w:color w:val="auto"/>
          <w:sz w:val="24"/>
          <w:highlight w:val="none"/>
        </w:rPr>
      </w:pPr>
    </w:p>
    <w:p>
      <w:pPr>
        <w:pStyle w:val="10"/>
        <w:shd w:val="clear" w:color="auto" w:fill="auto"/>
        <w:tabs>
          <w:tab w:val="left" w:pos="5580"/>
        </w:tabs>
        <w:spacing w:line="240" w:lineRule="atLeast"/>
        <w:ind w:left="1164" w:leftChars="257" w:hanging="540"/>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说明：1.投标人应按照相关法规规定如实作出说明。</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1297" w:firstLineChars="534"/>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2．按照招标文件的规定加盖单位章（自然人投标的无需盖章，需要签字）。</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pStyle w:val="2"/>
        <w:rPr>
          <w:rFonts w:hint="eastAsia" w:ascii="仿宋" w:hAnsi="仿宋" w:eastAsia="仿宋" w:cs="仿宋"/>
          <w:color w:val="auto"/>
          <w:spacing w:val="0"/>
          <w:w w:val="100"/>
          <w:kern w:val="0"/>
          <w:position w:val="0"/>
          <w:sz w:val="24"/>
          <w:szCs w:val="24"/>
          <w:highlight w:val="none"/>
          <w:u w:val="none"/>
          <w:shd w:val="clear" w:color="auto" w:fill="auto"/>
          <w:lang w:val="en-US" w:eastAsia="zh-CN" w:bidi="en-US"/>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2"/>
        <w:rPr>
          <w:rFonts w:hint="eastAsia" w:ascii="仿宋" w:hAnsi="仿宋" w:eastAsia="仿宋" w:cs="仿宋"/>
          <w:b/>
          <w:bCs/>
          <w:color w:val="auto"/>
          <w:sz w:val="36"/>
          <w:szCs w:val="36"/>
        </w:rPr>
      </w:pPr>
    </w:p>
    <w:p>
      <w:pPr>
        <w:rPr>
          <w:rFonts w:hint="eastAsia" w:ascii="仿宋" w:hAnsi="仿宋" w:eastAsia="仿宋" w:cs="仿宋"/>
          <w:b/>
          <w:bCs/>
          <w:color w:val="auto"/>
          <w:sz w:val="36"/>
          <w:szCs w:val="36"/>
        </w:rPr>
      </w:pPr>
    </w:p>
    <w:p>
      <w:pPr>
        <w:pStyle w:val="4"/>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zh-CN" w:bidi="en-US"/>
        </w:rPr>
      </w:pPr>
    </w:p>
    <w:p>
      <w:pPr>
        <w:pStyle w:val="4"/>
        <w:numPr>
          <w:ilvl w:val="0"/>
          <w:numId w:val="0"/>
        </w:numPr>
        <w:shd w:val="clear" w:color="auto" w:fill="auto"/>
        <w:spacing w:before="0" w:line="240" w:lineRule="atLeast"/>
        <w:rPr>
          <w:rFonts w:hint="eastAsia" w:ascii="仿宋" w:hAnsi="仿宋" w:eastAsia="仿宋" w:cs="仿宋"/>
          <w:b/>
          <w:bCs/>
          <w:color w:val="auto"/>
          <w:spacing w:val="0"/>
          <w:w w:val="100"/>
          <w:position w:val="0"/>
          <w:sz w:val="36"/>
          <w:szCs w:val="36"/>
          <w:shd w:val="clear" w:color="auto" w:fill="auto"/>
          <w:lang w:val="en-US" w:eastAsia="en-US" w:bidi="en-US"/>
        </w:rPr>
      </w:pPr>
      <w:r>
        <w:rPr>
          <w:rFonts w:hint="eastAsia" w:ascii="仿宋" w:hAnsi="仿宋" w:eastAsia="仿宋" w:cs="仿宋"/>
          <w:b/>
          <w:bCs/>
          <w:color w:val="auto"/>
          <w:spacing w:val="0"/>
          <w:w w:val="100"/>
          <w:position w:val="0"/>
          <w:sz w:val="36"/>
          <w:szCs w:val="36"/>
          <w:shd w:val="clear" w:color="auto" w:fill="auto"/>
          <w:lang w:val="en-US" w:eastAsia="zh-CN" w:bidi="en-US"/>
        </w:rPr>
        <w:t>5、</w:t>
      </w:r>
      <w:r>
        <w:rPr>
          <w:rFonts w:hint="eastAsia" w:ascii="仿宋" w:hAnsi="仿宋" w:eastAsia="仿宋" w:cs="仿宋"/>
          <w:b/>
          <w:bCs/>
          <w:color w:val="auto"/>
          <w:spacing w:val="0"/>
          <w:w w:val="100"/>
          <w:position w:val="0"/>
          <w:sz w:val="36"/>
          <w:szCs w:val="36"/>
          <w:shd w:val="clear" w:color="auto" w:fill="auto"/>
          <w:lang w:val="en-US" w:eastAsia="en-US" w:bidi="en-US"/>
        </w:rPr>
        <w:t>投标保证金缴纳凭证或投标担保函</w:t>
      </w:r>
    </w:p>
    <w:p>
      <w:pPr>
        <w:shd w:val="clear" w:color="auto" w:fill="auto"/>
        <w:ind w:firstLine="486" w:firstLineChars="200"/>
        <w:rPr>
          <w:rFonts w:hint="eastAsia" w:ascii="仿宋" w:hAnsi="仿宋" w:eastAsia="仿宋" w:cs="仿宋"/>
          <w:color w:val="auto"/>
          <w:sz w:val="24"/>
          <w:highlight w:val="none"/>
        </w:rPr>
      </w:pPr>
      <w:bookmarkStart w:id="71" w:name="_Toc494296665"/>
      <w:bookmarkStart w:id="72" w:name="_Toc494296991"/>
    </w:p>
    <w:bookmarkEnd w:id="71"/>
    <w:bookmarkEnd w:id="72"/>
    <w:p>
      <w:pPr>
        <w:pStyle w:val="5"/>
        <w:shd w:val="clear" w:color="auto" w:fill="auto"/>
        <w:rPr>
          <w:rFonts w:hint="eastAsia" w:ascii="仿宋" w:hAnsi="仿宋" w:eastAsia="仿宋" w:cs="仿宋"/>
          <w:color w:val="auto"/>
          <w:highlight w:val="none"/>
        </w:rPr>
      </w:pPr>
    </w:p>
    <w:tbl>
      <w:tblPr>
        <w:tblStyle w:val="1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投标保证金收据</w:t>
            </w:r>
          </w:p>
        </w:tc>
      </w:tr>
    </w:tbl>
    <w:p>
      <w:pPr>
        <w:pStyle w:val="5"/>
        <w:shd w:val="clear" w:color="auto" w:fill="auto"/>
        <w:rPr>
          <w:rFonts w:hint="eastAsia" w:ascii="仿宋" w:hAnsi="仿宋" w:eastAsia="仿宋" w:cs="仿宋"/>
          <w:color w:val="auto"/>
          <w:highlight w:val="none"/>
        </w:rPr>
      </w:pPr>
    </w:p>
    <w:p>
      <w:pPr>
        <w:shd w:val="clear" w:color="auto" w:fill="auto"/>
        <w:spacing w:line="240" w:lineRule="atLeast"/>
        <w:ind w:left="1164" w:leftChars="257" w:hanging="540"/>
        <w:jc w:val="center"/>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8"/>
          <w:szCs w:val="28"/>
          <w:highlight w:val="none"/>
        </w:rPr>
      </w:pPr>
    </w:p>
    <w:tbl>
      <w:tblPr>
        <w:tblStyle w:val="1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pStyle w:val="5"/>
        <w:shd w:val="clear" w:color="auto" w:fill="auto"/>
        <w:rPr>
          <w:rFonts w:hint="eastAsia" w:ascii="仿宋" w:hAnsi="仿宋" w:eastAsia="仿宋" w:cs="仿宋"/>
          <w:color w:val="auto"/>
          <w:highlight w:val="none"/>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color w:val="auto"/>
          <w:sz w:val="28"/>
          <w:szCs w:val="28"/>
          <w:highlight w:val="none"/>
        </w:rPr>
      </w:pPr>
    </w:p>
    <w:p>
      <w:pPr>
        <w:shd w:val="clear" w:color="auto" w:fill="auto"/>
        <w:jc w:val="both"/>
        <w:rPr>
          <w:rFonts w:hint="eastAsia" w:ascii="仿宋" w:hAnsi="仿宋" w:eastAsia="仿宋" w:cs="仿宋"/>
          <w:color w:val="auto"/>
          <w:sz w:val="28"/>
          <w:szCs w:val="28"/>
          <w:highlight w:val="none"/>
        </w:rPr>
      </w:pP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询价通知书，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2．询价通知书规定的投标人应当缴纳保证金的其他情形。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4．你方或其他有权机关对询价通知书进行任何澄清或修改，加重我方保证责任的，我方对加重部分不承担保证责任，但该澄清或修改经我方事先书面同意的除外。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jc w:val="center"/>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headerReference r:id="rId9" w:type="default"/>
          <w:footerReference r:id="rId10" w:type="default"/>
          <w:pgSz w:w="11905" w:h="16838"/>
          <w:pgMar w:top="1440" w:right="1417" w:bottom="1440" w:left="1417" w:header="850" w:footer="992" w:gutter="0"/>
          <w:pgNumType w:fmt="decimal"/>
          <w:cols w:space="0" w:num="1"/>
          <w:rtlGutter w:val="0"/>
          <w:docGrid w:type="linesAndChars" w:linePitch="325" w:charSpace="635"/>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6、投标企业须提供投标人（被授权在职人员）近期社保证明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86"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说明：复印件上应加盖本单位章</w:t>
      </w:r>
    </w:p>
    <w:p>
      <w:pPr>
        <w:rPr>
          <w:rFonts w:hint="eastAsia" w:ascii="仿宋" w:hAnsi="仿宋" w:eastAsia="仿宋" w:cs="仿宋"/>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b/>
          <w:bCs/>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b/>
          <w:bCs/>
          <w:color w:val="auto"/>
          <w:spacing w:val="0"/>
          <w:w w:val="100"/>
          <w:kern w:val="0"/>
          <w:position w:val="0"/>
          <w:sz w:val="24"/>
          <w:szCs w:val="24"/>
          <w:highlight w:val="none"/>
          <w:shd w:val="clear" w:color="auto" w:fill="auto"/>
          <w:lang w:val="en-US" w:eastAsia="zh-CN" w:bidi="en-US"/>
        </w:rPr>
        <w:t>7、参加采购活动前三年内，在经营活动中没有重大违法记录，供应商须提供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b/>
          <w:bCs/>
          <w:color w:val="auto"/>
          <w:spacing w:val="0"/>
          <w:w w:val="100"/>
          <w:kern w:val="0"/>
          <w:position w:val="0"/>
          <w:sz w:val="24"/>
          <w:szCs w:val="24"/>
          <w:highlight w:val="none"/>
          <w:shd w:val="clear" w:color="auto" w:fill="auto"/>
          <w:lang w:val="en-US" w:eastAsia="zh-CN" w:bidi="en-US"/>
        </w:rPr>
      </w:pPr>
    </w:p>
    <w:p>
      <w:pPr>
        <w:ind w:firstLine="486"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8、投标企业须提供有效的《医疗器械生产许可证》或《医疗器械经营许可证》（二类医疗器械需提供医疗器械备案凭证）；</w:t>
      </w:r>
    </w:p>
    <w:p>
      <w:pPr>
        <w:rPr>
          <w:rFonts w:hint="default" w:ascii="仿宋" w:hAnsi="仿宋" w:eastAsia="仿宋" w:cs="仿宋"/>
          <w:b/>
          <w:bCs/>
          <w:color w:val="auto"/>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left="720" w:leftChars="0" w:right="0" w:rightChars="0"/>
        <w:jc w:val="left"/>
        <w:textAlignment w:val="auto"/>
        <w:rPr>
          <w:rFonts w:hint="eastAsia" w:ascii="仿宋" w:hAnsi="仿宋" w:eastAsia="仿宋" w:cs="仿宋"/>
          <w:b/>
          <w:bCs/>
          <w:color w:val="auto"/>
        </w:rPr>
      </w:pPr>
      <w:r>
        <w:rPr>
          <w:rFonts w:hint="eastAsia" w:ascii="仿宋" w:hAnsi="仿宋" w:eastAsia="仿宋" w:cs="仿宋"/>
          <w:b/>
          <w:bCs/>
          <w:color w:val="auto"/>
          <w:lang w:val="en-US" w:eastAsia="zh-CN"/>
        </w:rPr>
        <w:t>9、</w:t>
      </w:r>
      <w:r>
        <w:rPr>
          <w:rFonts w:hint="eastAsia" w:ascii="仿宋" w:hAnsi="仿宋" w:eastAsia="仿宋" w:cs="仿宋"/>
          <w:b/>
          <w:bCs/>
          <w:color w:val="auto"/>
        </w:rPr>
        <w:t>投标人须知资料表要求的其他资格证明文件</w:t>
      </w: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rPr>
          <w:rFonts w:hint="eastAsia" w:ascii="仿宋" w:hAnsi="仿宋" w:eastAsia="仿宋" w:cs="仿宋"/>
          <w:b/>
          <w:bCs/>
          <w:color w:val="auto"/>
        </w:rPr>
      </w:pPr>
    </w:p>
    <w:p>
      <w:pPr>
        <w:pStyle w:val="10"/>
        <w:shd w:val="clear" w:color="auto" w:fill="auto"/>
        <w:tabs>
          <w:tab w:val="left" w:pos="5580"/>
        </w:tabs>
        <w:spacing w:line="240" w:lineRule="atLeast"/>
        <w:ind w:firstLine="486" w:firstLineChars="200"/>
        <w:rPr>
          <w:rFonts w:hint="eastAsia" w:ascii="仿宋" w:hAnsi="仿宋" w:eastAsia="仿宋" w:cs="仿宋"/>
          <w:color w:val="auto"/>
          <w:sz w:val="24"/>
          <w:highlight w:val="none"/>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bookmarkStart w:id="73" w:name="_Toc515647816"/>
      <w:bookmarkStart w:id="74" w:name="_Toc22967"/>
      <w:bookmarkStart w:id="75" w:name="_Toc11180"/>
      <w:bookmarkStart w:id="76" w:name="_Toc5695"/>
    </w:p>
    <w:p>
      <w:pPr>
        <w:rPr>
          <w:rFonts w:hint="eastAsia" w:ascii="仿宋" w:hAnsi="仿宋" w:eastAsia="仿宋" w:cs="仿宋"/>
          <w:color w:val="auto"/>
          <w:sz w:val="32"/>
          <w:szCs w:val="32"/>
          <w:highlight w:val="none"/>
        </w:rPr>
      </w:pPr>
    </w:p>
    <w:p>
      <w:pPr>
        <w:pStyle w:val="2"/>
        <w:rPr>
          <w:rFonts w:hint="eastAsia"/>
          <w:color w:val="auto"/>
        </w:rPr>
      </w:pPr>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商务及技术文件</w:t>
      </w:r>
      <w:bookmarkEnd w:id="73"/>
      <w:bookmarkEnd w:id="74"/>
      <w:bookmarkEnd w:id="75"/>
      <w:bookmarkEnd w:id="76"/>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1、投标函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2、开标一览表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3、货物说明一览表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4、投标分项报价表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5、技术规格偏离表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6、商务条款偏离表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7、投标人基本情况表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8、近三年（2019年1月1日至今）类似项目业绩表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9、中小企业声明函(货物)</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10、《残疾人福利性单位声明函》</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11、评分标准和细则中技术部分证明材料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12、评分标准和细则中技术部分证明材料（格式自拟）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13、投标人认为有必要提供的其他证明材料（格式自拟）</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1" w:firstLineChars="235"/>
        <w:textAlignment w:val="auto"/>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br w:type="page"/>
      </w:r>
    </w:p>
    <w:p>
      <w:pPr>
        <w:pStyle w:val="8"/>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1</w:t>
      </w:r>
      <w:r>
        <w:rPr>
          <w:rFonts w:hint="eastAsia" w:ascii="仿宋" w:hAnsi="仿宋" w:eastAsia="仿宋" w:cs="仿宋"/>
          <w:b/>
          <w:bCs/>
          <w:color w:val="auto"/>
          <w:sz w:val="36"/>
          <w:szCs w:val="36"/>
        </w:rPr>
        <w:t>、投标函</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致：</w:t>
      </w:r>
      <w:r>
        <w:rPr>
          <w:rFonts w:hint="eastAsia" w:ascii="仿宋" w:hAnsi="仿宋" w:eastAsia="仿宋" w:cs="仿宋"/>
          <w:color w:val="auto"/>
          <w:kern w:val="0"/>
          <w:sz w:val="24"/>
          <w:u w:val="single"/>
        </w:rPr>
        <w:t xml:space="preserve">                     </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为响应你方组织的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项目的招标项目编号为：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，我方愿参与投标。</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我方确认收到贵方提供的</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none"/>
        </w:rPr>
        <w:t>招标</w:t>
      </w:r>
      <w:r>
        <w:rPr>
          <w:rFonts w:hint="eastAsia" w:ascii="仿宋" w:hAnsi="仿宋" w:eastAsia="仿宋" w:cs="仿宋"/>
          <w:color w:val="auto"/>
          <w:kern w:val="0"/>
          <w:sz w:val="24"/>
        </w:rPr>
        <w:t>文件的全部内容。</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(投标人名称)      </w:t>
      </w:r>
      <w:r>
        <w:rPr>
          <w:rFonts w:hint="eastAsia" w:ascii="仿宋" w:hAnsi="仿宋" w:eastAsia="仿宋" w:cs="仿宋"/>
          <w:color w:val="auto"/>
          <w:kern w:val="0"/>
          <w:sz w:val="24"/>
        </w:rPr>
        <w:t>作为投标人正式授权</w:t>
      </w:r>
      <w:r>
        <w:rPr>
          <w:rFonts w:hint="eastAsia" w:ascii="仿宋" w:hAnsi="仿宋" w:eastAsia="仿宋" w:cs="仿宋"/>
          <w:color w:val="auto"/>
          <w:kern w:val="0"/>
          <w:sz w:val="24"/>
          <w:u w:val="single"/>
        </w:rPr>
        <w:t xml:space="preserve">  (授权代表全名, 职务)  </w:t>
      </w:r>
      <w:r>
        <w:rPr>
          <w:rFonts w:hint="eastAsia" w:ascii="仿宋" w:hAnsi="仿宋" w:eastAsia="仿宋" w:cs="仿宋"/>
          <w:color w:val="auto"/>
          <w:kern w:val="0"/>
          <w:sz w:val="24"/>
        </w:rPr>
        <w:t>代表我方全权处理有关本报价的一切事宜。</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我方已完全明白招标文件的所有条款要求，并申明如下：</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（一）按招标文件提供的全部货物与相关服务的投标总价详见《报价一览表》。</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（二）本投标文件的有效期为投标截止时间起</w:t>
      </w:r>
      <w:r>
        <w:rPr>
          <w:rFonts w:hint="eastAsia" w:ascii="仿宋" w:hAnsi="仿宋" w:eastAsia="仿宋" w:cs="仿宋"/>
          <w:color w:val="auto"/>
          <w:kern w:val="0"/>
          <w:sz w:val="24"/>
          <w:u w:val="single"/>
          <w:lang w:val="en-US" w:eastAsia="zh-CN"/>
        </w:rPr>
        <w:t>60</w:t>
      </w:r>
      <w:r>
        <w:rPr>
          <w:rFonts w:hint="eastAsia" w:ascii="仿宋" w:hAnsi="仿宋" w:eastAsia="仿宋" w:cs="仿宋"/>
          <w:color w:val="auto"/>
          <w:kern w:val="0"/>
          <w:sz w:val="24"/>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（三）我方同意按照贵方可能提出的要求而提供与投标有关的任何其它数据、信息或资料。</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四</w:t>
      </w:r>
      <w:r>
        <w:rPr>
          <w:rFonts w:hint="eastAsia" w:ascii="仿宋" w:hAnsi="仿宋" w:eastAsia="仿宋" w:cs="仿宋"/>
          <w:color w:val="auto"/>
          <w:kern w:val="0"/>
          <w:sz w:val="24"/>
        </w:rPr>
        <w:t>）我方理解贵方不一定接受最低投标价或任何贵方可能收到的投标。</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五</w:t>
      </w:r>
      <w:r>
        <w:rPr>
          <w:rFonts w:hint="eastAsia" w:ascii="仿宋" w:hAnsi="仿宋" w:eastAsia="仿宋" w:cs="仿宋"/>
          <w:color w:val="auto"/>
          <w:kern w:val="0"/>
          <w:sz w:val="24"/>
        </w:rPr>
        <w:t>）我方如果中标，将保证履行招标文件及其澄清、修改文件（如果有）中的全部责任和义务，按质、按量、按期完成《招标内容》及《合同书》中的全部任务。</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六</w:t>
      </w:r>
      <w:r>
        <w:rPr>
          <w:rFonts w:hint="eastAsia" w:ascii="仿宋" w:hAnsi="仿宋" w:eastAsia="仿宋" w:cs="仿宋"/>
          <w:color w:val="auto"/>
          <w:kern w:val="0"/>
          <w:sz w:val="24"/>
        </w:rPr>
        <w:t>）如我方被授予合同，我方承诺支付就本次招标应支付或将支付的中标服务费（详见按招标文件要求格式填写的《中标服务费支付承诺书》）。</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七</w:t>
      </w:r>
      <w:r>
        <w:rPr>
          <w:rFonts w:hint="eastAsia" w:ascii="仿宋" w:hAnsi="仿宋" w:eastAsia="仿宋" w:cs="仿宋"/>
          <w:color w:val="auto"/>
          <w:kern w:val="0"/>
          <w:sz w:val="24"/>
        </w:rPr>
        <w:t>）我方作为在法律、财务和运作上独立于采购人、招标代理机构的投标人，在此保证所提交的所有文件和全部说明是真实的和正确的。</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八</w:t>
      </w:r>
      <w:r>
        <w:rPr>
          <w:rFonts w:hint="eastAsia" w:ascii="仿宋" w:hAnsi="仿宋" w:eastAsia="仿宋" w:cs="仿宋"/>
          <w:color w:val="auto"/>
          <w:kern w:val="0"/>
          <w:sz w:val="24"/>
        </w:rPr>
        <w:t>）我方投标报价已包含应向知识产权所有权人支付的所有相关税费，并保证采购人在中国使用我方提供的货物时，如有第三方提出侵犯其知识产权主张的，责任由我方承担。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九</w:t>
      </w:r>
      <w:r>
        <w:rPr>
          <w:rFonts w:hint="eastAsia" w:ascii="仿宋" w:hAnsi="仿宋" w:eastAsia="仿宋" w:cs="仿宋"/>
          <w:color w:val="auto"/>
          <w:kern w:val="0"/>
          <w:sz w:val="24"/>
        </w:rPr>
        <w:t>）我方与其他投标人不存在单位负责人为同一人或者存在直接控股、管理关系。</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（十）我方承诺未为本项目提供整体设计、规范编制或者项目管理、监理、检测等服务。</w:t>
      </w:r>
    </w:p>
    <w:p>
      <w:pPr>
        <w:spacing w:line="480" w:lineRule="exact"/>
        <w:ind w:firstLine="486" w:firstLineChars="200"/>
        <w:rPr>
          <w:rFonts w:hint="eastAsia" w:ascii="仿宋" w:hAnsi="仿宋" w:eastAsia="仿宋" w:cs="仿宋"/>
          <w:color w:val="auto"/>
          <w:kern w:val="0"/>
          <w:sz w:val="24"/>
        </w:rPr>
      </w:pPr>
      <w:r>
        <w:rPr>
          <w:rFonts w:hint="eastAsia" w:ascii="仿宋" w:hAnsi="仿宋" w:eastAsia="仿宋" w:cs="仿宋"/>
          <w:color w:val="auto"/>
          <w:kern w:val="0"/>
          <w:sz w:val="24"/>
        </w:rPr>
        <w:t>（十</w:t>
      </w:r>
      <w:r>
        <w:rPr>
          <w:rFonts w:hint="eastAsia" w:ascii="仿宋" w:hAnsi="仿宋" w:eastAsia="仿宋" w:cs="仿宋"/>
          <w:color w:val="auto"/>
          <w:kern w:val="0"/>
          <w:sz w:val="24"/>
          <w:lang w:eastAsia="zh-CN"/>
        </w:rPr>
        <w:t>一</w:t>
      </w:r>
      <w:r>
        <w:rPr>
          <w:rFonts w:hint="eastAsia" w:ascii="仿宋" w:hAnsi="仿宋" w:eastAsia="仿宋" w:cs="仿宋"/>
          <w:color w:val="auto"/>
          <w:kern w:val="0"/>
          <w:sz w:val="24"/>
        </w:rPr>
        <w:t>）我方具备《政府采购法》第二十二条规定的条件，承诺如下：</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（1）我方已依法缴纳了各项税费及社会保险费用，如有需要，可随时向采购人提供近三个月内的相关缴费证明，以便核查。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（2）我方已依法建立健全的财务会计制度，如有需要，可随时向采购人提供相关的证明材料，以便核查。</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（3）我方参加本项目政府采购活动前3年内在经营活动中没有重大违法记录。</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（4）我方具备履行合同所必需的设备和专业技术能力。</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（5）我方符合法律、行政法规规定的其他条件。</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以上内容如有虚假或与事实不符的，评审委员会可将我方做无效投标处理，我方愿意承担相应的法律责任。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（十三）我方对在本函及投标文件中所作的所有承诺承担法律责任。</w:t>
      </w:r>
    </w:p>
    <w:p>
      <w:pPr>
        <w:keepNext w:val="0"/>
        <w:keepLines w:val="0"/>
        <w:pageBreakBefore w:val="0"/>
        <w:widowControl w:val="0"/>
        <w:topLinePunct w:val="0"/>
        <w:autoSpaceDE/>
        <w:autoSpaceDN/>
        <w:bidi w:val="0"/>
        <w:adjustRightInd/>
        <w:snapToGrid/>
        <w:spacing w:line="440" w:lineRule="exact"/>
        <w:ind w:firstLine="486" w:firstLineChars="200"/>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（十四）所有与本招标有关的函件请发往下列地址：</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地    址：</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.邮政编码：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电    话：</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传    真：</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代表姓名：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.职    务：</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投标人：</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（公章）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法定代表人或委托人：</w:t>
      </w:r>
      <w:r>
        <w:rPr>
          <w:rFonts w:hint="eastAsia" w:ascii="仿宋" w:hAnsi="仿宋" w:eastAsia="仿宋" w:cs="仿宋"/>
          <w:color w:val="auto"/>
          <w:kern w:val="0"/>
          <w:sz w:val="24"/>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r>
        <w:rPr>
          <w:rFonts w:hint="eastAsia" w:ascii="仿宋" w:hAnsi="仿宋" w:eastAsia="仿宋" w:cs="仿宋"/>
          <w:color w:val="auto"/>
          <w:kern w:val="0"/>
          <w:sz w:val="24"/>
          <w:lang w:eastAsia="zh-CN"/>
        </w:rPr>
        <w:t>签字或盖章</w:t>
      </w:r>
      <w:r>
        <w:rPr>
          <w:rFonts w:hint="eastAsia" w:ascii="仿宋" w:hAnsi="仿宋" w:eastAsia="仿宋" w:cs="仿宋"/>
          <w:color w:val="auto"/>
          <w:kern w:val="0"/>
          <w:sz w:val="24"/>
        </w:rPr>
        <w:t xml:space="preserve">）  </w:t>
      </w:r>
    </w:p>
    <w:p>
      <w:pPr>
        <w:keepNext w:val="0"/>
        <w:keepLines w:val="0"/>
        <w:pageBreakBefore w:val="0"/>
        <w:widowControl w:val="0"/>
        <w:wordWrap w:val="0"/>
        <w:topLinePunct w:val="0"/>
        <w:autoSpaceDE/>
        <w:autoSpaceDN/>
        <w:bidi w:val="0"/>
        <w:adjustRightInd/>
        <w:snapToGrid/>
        <w:spacing w:line="440" w:lineRule="exact"/>
        <w:ind w:firstLine="486" w:firstLineChars="200"/>
        <w:jc w:val="right"/>
        <w:textAlignment w:val="auto"/>
        <w:rPr>
          <w:rFonts w:hint="eastAsia" w:ascii="仿宋" w:hAnsi="仿宋" w:eastAsia="仿宋" w:cs="仿宋"/>
          <w:color w:val="auto"/>
          <w:kern w:val="0"/>
          <w:sz w:val="24"/>
        </w:rPr>
      </w:pP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rPr>
        <w:tab/>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ab/>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pStyle w:val="25"/>
        <w:rPr>
          <w:rFonts w:hint="eastAsia" w:ascii="仿宋" w:hAnsi="仿宋" w:eastAsia="仿宋" w:cs="仿宋"/>
          <w:color w:val="auto"/>
          <w:sz w:val="24"/>
          <w:highlight w:val="none"/>
        </w:rPr>
      </w:pPr>
      <w:r>
        <w:rPr>
          <w:rFonts w:hint="eastAsia" w:ascii="仿宋" w:hAnsi="仿宋" w:eastAsia="仿宋" w:cs="仿宋"/>
          <w:color w:val="auto"/>
        </w:rPr>
        <w:br w:type="page"/>
      </w:r>
    </w:p>
    <w:p>
      <w:pPr>
        <w:pStyle w:val="5"/>
        <w:shd w:val="clear" w:color="auto" w:fill="auto"/>
        <w:tabs>
          <w:tab w:val="left" w:pos="5580"/>
        </w:tabs>
        <w:spacing w:line="240" w:lineRule="atLeast"/>
        <w:ind w:firstLine="3364" w:firstLineChars="927"/>
        <w:jc w:val="both"/>
        <w:rPr>
          <w:rFonts w:hint="eastAsia" w:ascii="仿宋" w:hAnsi="仿宋" w:eastAsia="仿宋" w:cs="仿宋"/>
          <w:color w:val="auto"/>
          <w:highlight w:val="none"/>
        </w:rPr>
      </w:pPr>
      <w:r>
        <w:rPr>
          <w:rFonts w:hint="eastAsia" w:ascii="仿宋" w:hAnsi="仿宋" w:eastAsia="仿宋" w:cs="仿宋"/>
          <w:b/>
          <w:bCs w:val="0"/>
          <w:color w:val="auto"/>
          <w:sz w:val="36"/>
          <w:szCs w:val="24"/>
          <w:highlight w:val="none"/>
          <w:lang w:val="en-US" w:eastAsia="zh-CN"/>
        </w:rPr>
        <w:t>2</w:t>
      </w:r>
      <w:r>
        <w:rPr>
          <w:rFonts w:hint="eastAsia" w:ascii="仿宋" w:hAnsi="仿宋" w:eastAsia="仿宋" w:cs="仿宋"/>
          <w:b/>
          <w:bCs w:val="0"/>
          <w:color w:val="auto"/>
          <w:sz w:val="36"/>
          <w:szCs w:val="24"/>
          <w:highlight w:val="none"/>
          <w:lang w:eastAsia="zh-CN"/>
        </w:rPr>
        <w:t>、</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1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供货期</w:t>
            </w:r>
            <w:r>
              <w:rPr>
                <w:rFonts w:hint="eastAsia" w:ascii="仿宋" w:hAnsi="仿宋" w:eastAsia="仿宋" w:cs="仿宋"/>
                <w:color w:val="auto"/>
                <w:szCs w:val="21"/>
                <w:highlight w:val="none"/>
                <w:lang w:eastAsia="zh-CN"/>
              </w:rPr>
              <w:t>（天）</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rPr>
                <w:rFonts w:hint="eastAsia" w:ascii="仿宋" w:hAnsi="仿宋" w:eastAsia="仿宋" w:cs="仿宋"/>
                <w:color w:val="auto"/>
                <w:szCs w:val="21"/>
                <w:highlight w:val="none"/>
              </w:rPr>
            </w:pPr>
          </w:p>
        </w:tc>
      </w:tr>
    </w:tbl>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75"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86"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4"/>
        <w:numPr>
          <w:ilvl w:val="0"/>
          <w:numId w:val="0"/>
        </w:numPr>
        <w:shd w:val="clear" w:color="auto" w:fill="auto"/>
        <w:spacing w:before="0" w:line="240" w:lineRule="atLeast"/>
        <w:rPr>
          <w:rFonts w:hint="eastAsia" w:ascii="宋体" w:hAnsi="宋体" w:eastAsia="宋体" w:cs="宋体"/>
          <w:b/>
          <w:bCs/>
          <w:color w:val="auto"/>
          <w:sz w:val="24"/>
          <w:highlight w:val="none"/>
        </w:rPr>
      </w:pPr>
    </w:p>
    <w:p>
      <w:pPr>
        <w:pStyle w:val="28"/>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3、货物说明一览表</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tbl>
      <w:tblPr>
        <w:tblStyle w:val="18"/>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96" w:type="dxa"/>
            <w:noWrap w:val="0"/>
            <w:vAlign w:val="top"/>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01"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22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szCs w:val="21"/>
                <w:lang w:eastAsia="zh-CN"/>
              </w:rPr>
              <w:t>品牌型号</w:t>
            </w:r>
          </w:p>
        </w:tc>
        <w:tc>
          <w:tcPr>
            <w:tcW w:w="122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1138"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275"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供货期</w:t>
            </w:r>
          </w:p>
        </w:tc>
        <w:tc>
          <w:tcPr>
            <w:tcW w:w="125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交货地点</w:t>
            </w:r>
          </w:p>
        </w:tc>
        <w:tc>
          <w:tcPr>
            <w:tcW w:w="1690" w:type="dxa"/>
            <w:noWrap w:val="0"/>
            <w:vAlign w:val="center"/>
          </w:tcPr>
          <w:p>
            <w:pPr>
              <w:shd w:val="clear" w:color="auto" w:fill="auto"/>
              <w:jc w:val="center"/>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6"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01"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2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138"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75"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25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c>
          <w:tcPr>
            <w:tcW w:w="1690" w:type="dxa"/>
            <w:noWrap w:val="0"/>
            <w:vAlign w:val="top"/>
          </w:tcPr>
          <w:p>
            <w:pPr>
              <w:pStyle w:val="10"/>
              <w:shd w:val="clear" w:color="auto" w:fill="auto"/>
              <w:spacing w:line="240" w:lineRule="atLeast"/>
              <w:ind w:left="1164" w:leftChars="257" w:hanging="540"/>
              <w:rPr>
                <w:rFonts w:hint="eastAsia" w:ascii="仿宋" w:hAnsi="仿宋" w:eastAsia="仿宋" w:cs="仿宋"/>
                <w:color w:val="auto"/>
                <w:sz w:val="24"/>
                <w:highlight w:val="none"/>
                <w:lang w:val="en-US" w:eastAsia="zh-CN"/>
              </w:rPr>
            </w:pPr>
          </w:p>
        </w:tc>
      </w:tr>
    </w:tbl>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宋体" w:hAnsi="宋体" w:eastAsia="宋体" w:cs="宋体"/>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宋体" w:hAnsi="宋体" w:eastAsia="宋体" w:cs="宋体"/>
          <w:color w:val="auto"/>
          <w:sz w:val="24"/>
          <w:highlight w:val="none"/>
          <w:u w:val="single"/>
        </w:rPr>
        <w:t xml:space="preserve">         </w:t>
      </w:r>
    </w:p>
    <w:p>
      <w:pPr>
        <w:pStyle w:val="10"/>
        <w:shd w:val="clear" w:color="auto" w:fill="auto"/>
        <w:tabs>
          <w:tab w:val="left" w:pos="5370"/>
        </w:tabs>
        <w:spacing w:line="240" w:lineRule="atLeast"/>
        <w:ind w:left="1164" w:leftChars="257" w:hanging="540"/>
        <w:rPr>
          <w:rFonts w:hint="eastAsia" w:ascii="宋体" w:hAnsi="宋体" w:eastAsia="宋体" w:cs="宋体"/>
          <w:color w:val="auto"/>
          <w:sz w:val="24"/>
          <w:highlight w:val="none"/>
        </w:rPr>
      </w:pPr>
    </w:p>
    <w:p>
      <w:pPr>
        <w:pStyle w:val="10"/>
        <w:shd w:val="clear" w:color="auto" w:fill="auto"/>
        <w:tabs>
          <w:tab w:val="left" w:pos="5370"/>
        </w:tabs>
        <w:spacing w:line="240" w:lineRule="atLeast"/>
        <w:ind w:left="1164"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0"/>
        <w:shd w:val="clear" w:color="auto" w:fill="auto"/>
        <w:spacing w:line="240" w:lineRule="atLeast"/>
        <w:ind w:left="1164" w:leftChars="257" w:hanging="540"/>
        <w:rPr>
          <w:rFonts w:hint="eastAsia" w:ascii="仿宋" w:hAnsi="仿宋" w:eastAsia="仿宋" w:cs="仿宋"/>
          <w:color w:val="auto"/>
          <w:sz w:val="24"/>
          <w:highlight w:val="none"/>
        </w:rPr>
      </w:pPr>
    </w:p>
    <w:p>
      <w:pPr>
        <w:pStyle w:val="10"/>
        <w:shd w:val="clear" w:color="auto" w:fill="auto"/>
        <w:spacing w:line="240" w:lineRule="atLeast"/>
        <w:ind w:left="1164"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各项货物详细技术性能应另页描述。</w:t>
      </w:r>
    </w:p>
    <w:p>
      <w:pPr>
        <w:pStyle w:val="10"/>
        <w:shd w:val="clear" w:color="auto" w:fill="auto"/>
        <w:spacing w:line="240" w:lineRule="atLeast"/>
        <w:ind w:left="1164" w:leftChars="257" w:hanging="540"/>
        <w:jc w:val="center"/>
        <w:rPr>
          <w:rFonts w:hint="eastAsia" w:ascii="仿宋" w:hAnsi="仿宋" w:eastAsia="仿宋" w:cs="仿宋"/>
          <w:color w:val="auto"/>
          <w:sz w:val="24"/>
          <w:highlight w:val="none"/>
        </w:rPr>
      </w:pPr>
    </w:p>
    <w:p>
      <w:pPr>
        <w:pStyle w:val="10"/>
        <w:shd w:val="clear" w:color="auto" w:fill="auto"/>
        <w:spacing w:line="240" w:lineRule="atLeast"/>
        <w:ind w:left="1164" w:leftChars="257" w:hanging="540"/>
        <w:jc w:val="center"/>
        <w:rPr>
          <w:rFonts w:hint="eastAsia" w:ascii="仿宋" w:hAnsi="仿宋" w:eastAsia="仿宋" w:cs="仿宋"/>
          <w:color w:val="auto"/>
          <w:sz w:val="24"/>
          <w:highlight w:val="none"/>
        </w:rPr>
        <w:sectPr>
          <w:footerReference r:id="rId11" w:type="default"/>
          <w:pgSz w:w="11905" w:h="16838"/>
          <w:pgMar w:top="1440" w:right="1797" w:bottom="1440" w:left="1797" w:header="850" w:footer="992" w:gutter="0"/>
          <w:pgNumType w:fmt="decimal"/>
          <w:cols w:space="720" w:num="1"/>
          <w:rtlGutter w:val="0"/>
          <w:docGrid w:type="linesAndChars" w:linePitch="325" w:charSpace="635"/>
        </w:sectPr>
      </w:pPr>
    </w:p>
    <w:p>
      <w:pPr>
        <w:pStyle w:val="28"/>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i w:val="0"/>
          <w:iCs w:val="0"/>
          <w:color w:val="auto"/>
          <w:spacing w:val="0"/>
          <w:w w:val="100"/>
          <w:position w:val="0"/>
        </w:rPr>
      </w:pPr>
      <w:r>
        <w:rPr>
          <w:rFonts w:hint="eastAsia" w:ascii="仿宋" w:hAnsi="仿宋" w:eastAsia="仿宋" w:cs="仿宋"/>
          <w:b/>
          <w:bCs/>
          <w:i w:val="0"/>
          <w:iCs w:val="0"/>
          <w:color w:val="auto"/>
          <w:spacing w:val="0"/>
          <w:w w:val="100"/>
          <w:position w:val="0"/>
          <w:lang w:val="en-US" w:eastAsia="zh-CN"/>
        </w:rPr>
        <w:t>4</w:t>
      </w:r>
      <w:r>
        <w:rPr>
          <w:rFonts w:hint="eastAsia" w:ascii="仿宋" w:hAnsi="仿宋" w:eastAsia="仿宋" w:cs="仿宋"/>
          <w:b/>
          <w:bCs/>
          <w:i w:val="0"/>
          <w:iCs w:val="0"/>
          <w:color w:val="auto"/>
          <w:spacing w:val="0"/>
          <w:w w:val="100"/>
          <w:position w:val="0"/>
          <w:lang w:eastAsia="zh-CN"/>
        </w:rPr>
        <w:t>、</w:t>
      </w:r>
      <w:r>
        <w:rPr>
          <w:rFonts w:hint="eastAsia" w:ascii="仿宋" w:hAnsi="仿宋" w:eastAsia="仿宋" w:cs="仿宋"/>
          <w:b/>
          <w:bCs/>
          <w:i w:val="0"/>
          <w:iCs w:val="0"/>
          <w:color w:val="auto"/>
          <w:spacing w:val="0"/>
          <w:w w:val="100"/>
          <w:position w:val="0"/>
        </w:rPr>
        <w:t>投标报价明细表</w:t>
      </w:r>
    </w:p>
    <w:p>
      <w:pPr>
        <w:pStyle w:val="28"/>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28"/>
        <w:keepNext/>
        <w:keepLines/>
        <w:widowControl w:val="0"/>
        <w:numPr>
          <w:ilvl w:val="0"/>
          <w:numId w:val="0"/>
        </w:numPr>
        <w:shd w:val="clear" w:color="auto" w:fill="auto"/>
        <w:bidi w:val="0"/>
        <w:spacing w:before="0" w:after="220" w:line="240" w:lineRule="auto"/>
        <w:ind w:right="0" w:rightChars="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 　 </w:t>
      </w:r>
    </w:p>
    <w:p>
      <w:pPr>
        <w:pStyle w:val="10"/>
        <w:shd w:val="clear" w:color="auto" w:fill="auto"/>
        <w:spacing w:line="240" w:lineRule="atLeast"/>
        <w:ind w:left="1157"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单位：</w:t>
      </w:r>
      <w:r>
        <w:rPr>
          <w:rFonts w:hint="eastAsia" w:ascii="仿宋" w:hAnsi="仿宋" w:eastAsia="仿宋" w:cs="仿宋"/>
          <w:color w:val="auto"/>
          <w:szCs w:val="21"/>
        </w:rPr>
        <w:t>元（人民币）</w:t>
      </w:r>
    </w:p>
    <w:tbl>
      <w:tblPr>
        <w:tblStyle w:val="18"/>
        <w:tblW w:w="87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1"/>
        <w:gridCol w:w="1457"/>
        <w:gridCol w:w="1360"/>
        <w:gridCol w:w="1870"/>
        <w:gridCol w:w="825"/>
        <w:gridCol w:w="782"/>
        <w:gridCol w:w="739"/>
        <w:gridCol w:w="9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821" w:type="dxa"/>
            <w:tcBorders>
              <w:top w:val="single" w:color="auto" w:sz="12"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457"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品目名称</w:t>
            </w:r>
          </w:p>
        </w:tc>
        <w:tc>
          <w:tcPr>
            <w:tcW w:w="1360"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品牌型号</w:t>
            </w:r>
          </w:p>
        </w:tc>
        <w:tc>
          <w:tcPr>
            <w:tcW w:w="1870" w:type="dxa"/>
            <w:tcBorders>
              <w:top w:val="single" w:color="auto" w:sz="12" w:space="0"/>
              <w:left w:val="single" w:color="auto" w:sz="6" w:space="0"/>
              <w:bottom w:val="single" w:color="auto" w:sz="6" w:space="0"/>
              <w:right w:val="single" w:color="auto" w:sz="4" w:space="0"/>
            </w:tcBorders>
            <w:noWrap w:val="0"/>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lang w:eastAsia="zh-CN"/>
              </w:rPr>
              <w:t>主要技术参数</w:t>
            </w:r>
          </w:p>
        </w:tc>
        <w:tc>
          <w:tcPr>
            <w:tcW w:w="825"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782"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单位</w:t>
            </w:r>
          </w:p>
        </w:tc>
        <w:tc>
          <w:tcPr>
            <w:tcW w:w="739" w:type="dxa"/>
            <w:tcBorders>
              <w:top w:val="single" w:color="auto" w:sz="12"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单价</w:t>
            </w:r>
          </w:p>
        </w:tc>
        <w:tc>
          <w:tcPr>
            <w:tcW w:w="922" w:type="dxa"/>
            <w:tcBorders>
              <w:top w:val="single" w:color="auto" w:sz="12"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r>
              <w:rPr>
                <w:rFonts w:hint="eastAsia" w:ascii="仿宋" w:hAnsi="仿宋" w:eastAsia="仿宋" w:cs="仿宋"/>
                <w:color w:val="auto"/>
                <w:szCs w:val="21"/>
              </w:rPr>
              <w:t>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821" w:type="dxa"/>
            <w:tcBorders>
              <w:top w:val="single" w:color="auto" w:sz="6" w:space="0"/>
              <w:left w:val="single" w:color="auto" w:sz="12"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457"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360"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1870" w:type="dxa"/>
            <w:tcBorders>
              <w:top w:val="single" w:color="auto" w:sz="6" w:space="0"/>
              <w:left w:val="single" w:color="auto" w:sz="6" w:space="0"/>
              <w:bottom w:val="single" w:color="auto" w:sz="6" w:space="0"/>
              <w:right w:val="single" w:color="auto" w:sz="4" w:space="0"/>
            </w:tcBorders>
            <w:noWrap w:val="0"/>
            <w:vAlign w:val="center"/>
          </w:tcPr>
          <w:p>
            <w:pPr>
              <w:spacing w:line="500" w:lineRule="exact"/>
              <w:jc w:val="center"/>
              <w:rPr>
                <w:rFonts w:hint="eastAsia" w:ascii="仿宋" w:hAnsi="仿宋" w:eastAsia="仿宋" w:cs="仿宋"/>
                <w:color w:val="auto"/>
                <w:szCs w:val="21"/>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82"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739" w:type="dxa"/>
            <w:tcBorders>
              <w:top w:val="single" w:color="auto" w:sz="6"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auto"/>
                <w:szCs w:val="21"/>
              </w:rPr>
            </w:pPr>
          </w:p>
        </w:tc>
        <w:tc>
          <w:tcPr>
            <w:tcW w:w="922" w:type="dxa"/>
            <w:tcBorders>
              <w:top w:val="single" w:color="auto" w:sz="6" w:space="0"/>
              <w:left w:val="single" w:color="auto" w:sz="6" w:space="0"/>
              <w:bottom w:val="single" w:color="auto" w:sz="6" w:space="0"/>
              <w:right w:val="single" w:color="auto" w:sz="12" w:space="0"/>
            </w:tcBorders>
            <w:noWrap w:val="0"/>
            <w:vAlign w:val="center"/>
          </w:tcPr>
          <w:p>
            <w:pPr>
              <w:spacing w:line="500" w:lineRule="exact"/>
              <w:jc w:val="center"/>
              <w:rPr>
                <w:rFonts w:hint="eastAsia" w:ascii="仿宋" w:hAnsi="仿宋" w:eastAsia="仿宋" w:cs="仿宋"/>
                <w:color w:val="auto"/>
                <w:szCs w:val="21"/>
              </w:rPr>
            </w:pPr>
          </w:p>
        </w:tc>
      </w:tr>
    </w:tbl>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176" w:right="0" w:firstLine="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说明：</w:t>
      </w:r>
      <w:r>
        <w:rPr>
          <w:rFonts w:hint="eastAsia" w:ascii="仿宋" w:hAnsi="仿宋" w:eastAsia="仿宋" w:cs="仿宋"/>
          <w:color w:val="auto"/>
          <w:spacing w:val="0"/>
          <w:w w:val="100"/>
          <w:position w:val="0"/>
          <w:sz w:val="24"/>
          <w:szCs w:val="24"/>
          <w:lang w:val="en-US" w:eastAsia="en-US" w:bidi="en-US"/>
        </w:rPr>
        <w:t>1.</w:t>
      </w:r>
      <w:r>
        <w:rPr>
          <w:rFonts w:hint="eastAsia" w:ascii="仿宋" w:hAnsi="仿宋" w:eastAsia="仿宋" w:cs="仿宋"/>
          <w:color w:val="auto"/>
          <w:spacing w:val="0"/>
          <w:w w:val="100"/>
          <w:position w:val="0"/>
          <w:sz w:val="24"/>
          <w:szCs w:val="24"/>
        </w:rPr>
        <w:t>所有价格均用人民币表示，单位为元。</w:t>
      </w:r>
    </w:p>
    <w:p>
      <w:pPr>
        <w:pStyle w:val="32"/>
        <w:keepNext w:val="0"/>
        <w:keepLines w:val="0"/>
        <w:pageBreakBefore w:val="0"/>
        <w:widowControl w:val="0"/>
        <w:numPr>
          <w:ilvl w:val="0"/>
          <w:numId w:val="0"/>
        </w:numPr>
        <w:shd w:val="clear" w:color="auto" w:fill="auto"/>
        <w:tabs>
          <w:tab w:val="left" w:pos="378"/>
        </w:tabs>
        <w:kinsoku/>
        <w:wordWrap/>
        <w:overflowPunct/>
        <w:topLinePunct w:val="0"/>
        <w:autoSpaceDE/>
        <w:autoSpaceDN/>
        <w:bidi w:val="0"/>
        <w:adjustRightInd/>
        <w:snapToGrid/>
        <w:spacing w:before="0" w:after="0" w:line="357" w:lineRule="exact"/>
        <w:ind w:left="176" w:leftChars="0" w:right="0" w:rightChars="0" w:firstLine="720"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2.</w:t>
      </w:r>
      <w:r>
        <w:rPr>
          <w:rFonts w:hint="eastAsia" w:ascii="仿宋" w:hAnsi="仿宋" w:eastAsia="仿宋" w:cs="仿宋"/>
          <w:color w:val="auto"/>
          <w:spacing w:val="0"/>
          <w:w w:val="100"/>
          <w:position w:val="0"/>
          <w:sz w:val="24"/>
          <w:szCs w:val="24"/>
        </w:rPr>
        <w:t>报价总计价格必须与《</w:t>
      </w:r>
      <w:r>
        <w:rPr>
          <w:rFonts w:hint="eastAsia" w:ascii="仿宋" w:hAnsi="仿宋" w:eastAsia="仿宋" w:cs="仿宋"/>
          <w:color w:val="auto"/>
          <w:spacing w:val="0"/>
          <w:w w:val="100"/>
          <w:position w:val="0"/>
          <w:sz w:val="24"/>
          <w:szCs w:val="24"/>
          <w:lang w:eastAsia="zh-CN"/>
        </w:rPr>
        <w:t>投标报价单</w:t>
      </w:r>
      <w:r>
        <w:rPr>
          <w:rFonts w:hint="eastAsia" w:ascii="仿宋" w:hAnsi="仿宋" w:eastAsia="仿宋" w:cs="仿宋"/>
          <w:color w:val="auto"/>
          <w:spacing w:val="0"/>
          <w:w w:val="100"/>
          <w:position w:val="0"/>
          <w:sz w:val="24"/>
          <w:szCs w:val="24"/>
        </w:rPr>
        <w:t>》报价一致。</w:t>
      </w:r>
    </w:p>
    <w:p>
      <w:pPr>
        <w:pStyle w:val="32"/>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20" w:firstLineChars="3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color w:val="auto"/>
          <w:spacing w:val="0"/>
          <w:w w:val="100"/>
          <w:position w:val="0"/>
          <w:sz w:val="24"/>
          <w:szCs w:val="24"/>
          <w:lang w:val="en-US" w:eastAsia="zh-CN"/>
        </w:rPr>
        <w:t>3.</w:t>
      </w:r>
      <w:r>
        <w:rPr>
          <w:rFonts w:hint="eastAsia" w:ascii="仿宋" w:hAnsi="仿宋" w:eastAsia="仿宋" w:cs="仿宋"/>
          <w:color w:val="auto"/>
          <w:spacing w:val="0"/>
          <w:w w:val="100"/>
          <w:position w:val="0"/>
          <w:sz w:val="24"/>
          <w:szCs w:val="24"/>
        </w:rPr>
        <w:t>如果不提供详细的分项报价表将被视为没有实质性</w:t>
      </w:r>
      <w:r>
        <w:rPr>
          <w:rFonts w:hint="eastAsia" w:ascii="仿宋" w:hAnsi="仿宋" w:eastAsia="仿宋" w:cs="仿宋"/>
          <w:color w:val="auto"/>
          <w:spacing w:val="0"/>
          <w:w w:val="100"/>
          <w:position w:val="0"/>
          <w:sz w:val="24"/>
          <w:szCs w:val="24"/>
          <w:lang w:eastAsia="zh-CN"/>
        </w:rPr>
        <w:t>投标文件</w:t>
      </w:r>
      <w:r>
        <w:rPr>
          <w:rFonts w:hint="eastAsia" w:ascii="仿宋" w:hAnsi="仿宋" w:eastAsia="仿宋" w:cs="仿宋"/>
          <w:color w:val="auto"/>
          <w:spacing w:val="0"/>
          <w:w w:val="100"/>
          <w:position w:val="0"/>
          <w:sz w:val="24"/>
          <w:szCs w:val="24"/>
        </w:rPr>
        <w:t>。</w:t>
      </w:r>
    </w:p>
    <w:p>
      <w:pPr>
        <w:pStyle w:val="32"/>
        <w:keepNext w:val="0"/>
        <w:keepLines w:val="0"/>
        <w:pageBreakBefore w:val="0"/>
        <w:widowControl w:val="0"/>
        <w:numPr>
          <w:ilvl w:val="0"/>
          <w:numId w:val="0"/>
        </w:numPr>
        <w:shd w:val="clear" w:color="auto" w:fill="auto"/>
        <w:tabs>
          <w:tab w:val="left" w:pos="409"/>
          <w:tab w:val="left" w:pos="490"/>
        </w:tabs>
        <w:kinsoku/>
        <w:wordWrap/>
        <w:overflowPunct/>
        <w:topLinePunct w:val="0"/>
        <w:autoSpaceDE/>
        <w:autoSpaceDN/>
        <w:bidi w:val="0"/>
        <w:adjustRightInd/>
        <w:snapToGrid/>
        <w:spacing w:before="0" w:after="0" w:line="357" w:lineRule="exact"/>
        <w:ind w:left="176" w:leftChars="0" w:right="0" w:rightChars="0" w:firstLine="720" w:firstLineChars="3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lang w:val="en-US" w:eastAsia="zh-CN"/>
        </w:rPr>
        <w:t>4.</w:t>
      </w:r>
      <w:r>
        <w:rPr>
          <w:rFonts w:hint="eastAsia" w:ascii="仿宋" w:hAnsi="仿宋" w:eastAsia="仿宋" w:cs="仿宋"/>
          <w:color w:val="auto"/>
          <w:spacing w:val="0"/>
          <w:w w:val="100"/>
          <w:position w:val="0"/>
          <w:sz w:val="24"/>
          <w:szCs w:val="24"/>
        </w:rPr>
        <w:t>投标人必须按此表格式中的对应栏目内容填写，若需增加栏目，请在栏目</w:t>
      </w:r>
      <w:r>
        <w:rPr>
          <w:rFonts w:hint="eastAsia" w:ascii="仿宋" w:hAnsi="仿宋" w:eastAsia="仿宋" w:cs="仿宋"/>
          <w:color w:val="auto"/>
          <w:spacing w:val="0"/>
          <w:w w:val="100"/>
          <w:position w:val="0"/>
          <w:sz w:val="24"/>
          <w:szCs w:val="24"/>
          <w:lang w:val="zh-CN" w:eastAsia="zh-CN" w:bidi="zh-CN"/>
        </w:rPr>
        <w:t>“其</w:t>
      </w:r>
      <w:r>
        <w:rPr>
          <w:rFonts w:hint="eastAsia" w:ascii="仿宋" w:hAnsi="仿宋" w:eastAsia="仿宋" w:cs="仿宋"/>
          <w:color w:val="auto"/>
          <w:spacing w:val="0"/>
          <w:w w:val="100"/>
          <w:position w:val="0"/>
          <w:sz w:val="24"/>
          <w:szCs w:val="24"/>
        </w:rPr>
        <w:t>它”中填写，并作详细说明。</w:t>
      </w:r>
    </w:p>
    <w:p>
      <w:pPr>
        <w:pStyle w:val="32"/>
        <w:keepNext w:val="0"/>
        <w:keepLines w:val="0"/>
        <w:pageBreakBefore w:val="0"/>
        <w:widowControl w:val="0"/>
        <w:numPr>
          <w:ilvl w:val="0"/>
          <w:numId w:val="0"/>
        </w:numPr>
        <w:shd w:val="clear" w:color="auto" w:fill="auto"/>
        <w:tabs>
          <w:tab w:val="left" w:pos="493"/>
        </w:tabs>
        <w:kinsoku/>
        <w:wordWrap/>
        <w:overflowPunct/>
        <w:topLinePunct w:val="0"/>
        <w:autoSpaceDE/>
        <w:autoSpaceDN/>
        <w:bidi w:val="0"/>
        <w:adjustRightInd/>
        <w:snapToGrid/>
        <w:spacing w:before="0" w:after="0" w:line="357" w:lineRule="exact"/>
        <w:ind w:left="176" w:leftChars="0" w:right="0" w:rightChars="0"/>
        <w:jc w:val="left"/>
        <w:textAlignment w:val="auto"/>
        <w:rPr>
          <w:rFonts w:hint="eastAsia" w:ascii="仿宋" w:hAnsi="仿宋" w:eastAsia="仿宋" w:cs="仿宋"/>
          <w:color w:val="auto"/>
          <w:spacing w:val="0"/>
          <w:w w:val="100"/>
          <w:position w:val="0"/>
          <w:sz w:val="24"/>
          <w:szCs w:val="24"/>
        </w:rPr>
      </w:pPr>
    </w:p>
    <w:p>
      <w:pPr>
        <w:pStyle w:val="32"/>
        <w:keepNext w:val="0"/>
        <w:keepLines w:val="0"/>
        <w:widowControl w:val="0"/>
        <w:numPr>
          <w:ilvl w:val="0"/>
          <w:numId w:val="0"/>
        </w:numPr>
        <w:shd w:val="clear" w:color="auto" w:fill="auto"/>
        <w:tabs>
          <w:tab w:val="left" w:pos="493"/>
        </w:tabs>
        <w:bidi w:val="0"/>
        <w:spacing w:before="0" w:after="0" w:line="317" w:lineRule="exact"/>
        <w:ind w:left="176" w:leftChars="0" w:right="0" w:rightChars="0"/>
        <w:jc w:val="left"/>
        <w:rPr>
          <w:rFonts w:hint="eastAsia" w:ascii="仿宋" w:hAnsi="仿宋" w:eastAsia="仿宋" w:cs="仿宋"/>
          <w:color w:val="auto"/>
          <w:spacing w:val="0"/>
          <w:w w:val="100"/>
          <w:position w:val="0"/>
          <w:sz w:val="20"/>
          <w:szCs w:val="20"/>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8"/>
        <w:numPr>
          <w:ilvl w:val="0"/>
          <w:numId w:val="0"/>
        </w:numPr>
        <w:tabs>
          <w:tab w:val="left" w:pos="5551"/>
          <w:tab w:val="left" w:pos="6511"/>
          <w:tab w:val="left" w:pos="7111"/>
          <w:tab w:val="left" w:pos="7711"/>
        </w:tabs>
        <w:kinsoku w:val="0"/>
        <w:overflowPunct w:val="0"/>
        <w:spacing w:before="46"/>
        <w:ind w:left="3928" w:leftChars="0" w:right="0" w:rightChars="0"/>
        <w:rPr>
          <w:rFonts w:hint="eastAsia" w:ascii="仿宋" w:hAnsi="仿宋" w:eastAsia="仿宋" w:cs="仿宋"/>
          <w:b/>
          <w:bCs/>
          <w:color w:val="auto"/>
          <w:sz w:val="36"/>
          <w:szCs w:val="36"/>
          <w:lang w:eastAsia="zh-CN"/>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8"/>
        <w:keepNext/>
        <w:keepLines/>
        <w:widowControl w:val="0"/>
        <w:numPr>
          <w:ilvl w:val="0"/>
          <w:numId w:val="0"/>
        </w:numPr>
        <w:shd w:val="clear" w:color="auto" w:fill="auto"/>
        <w:bidi w:val="0"/>
        <w:spacing w:before="0" w:after="220" w:line="240" w:lineRule="auto"/>
        <w:ind w:right="0" w:rightChars="0"/>
        <w:jc w:val="center"/>
        <w:rPr>
          <w:rFonts w:hint="eastAsia" w:ascii="仿宋" w:hAnsi="仿宋" w:eastAsia="仿宋" w:cs="仿宋"/>
          <w:b/>
          <w:bCs/>
          <w:color w:val="auto"/>
          <w:spacing w:val="0"/>
          <w:w w:val="100"/>
          <w:position w:val="0"/>
          <w:lang w:val="en-US" w:eastAsia="zh-CN"/>
        </w:rPr>
      </w:pPr>
      <w:r>
        <w:rPr>
          <w:rFonts w:hint="eastAsia" w:ascii="仿宋" w:hAnsi="仿宋" w:eastAsia="仿宋" w:cs="仿宋"/>
          <w:b/>
          <w:bCs/>
          <w:color w:val="auto"/>
          <w:spacing w:val="0"/>
          <w:w w:val="100"/>
          <w:position w:val="0"/>
          <w:lang w:val="en-US" w:eastAsia="zh-CN"/>
        </w:rPr>
        <w:t>5、技术条款偏离表</w:t>
      </w:r>
    </w:p>
    <w:tbl>
      <w:tblPr>
        <w:tblStyle w:val="1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135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货物名称</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招标文件条目号</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招标文件要求规格</w:t>
            </w:r>
          </w:p>
        </w:tc>
        <w:tc>
          <w:tcPr>
            <w:tcW w:w="1326"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投标规格</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偏离</w:t>
            </w:r>
          </w:p>
        </w:tc>
        <w:tc>
          <w:tcPr>
            <w:tcW w:w="1327" w:type="dxa"/>
            <w:noWrap w:val="0"/>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r>
              <w:rPr>
                <w:rFonts w:hint="eastAsia" w:ascii="仿宋" w:hAnsi="仿宋" w:eastAsia="仿宋" w:cs="仿宋"/>
                <w:bCs/>
                <w:color w:val="auto"/>
                <w:sz w:val="24"/>
                <w:szCs w:val="24"/>
                <w:lang w:val="en-US" w:eastAsia="zh-CN"/>
              </w:rPr>
              <w:t>如有正偏离需提供证明材料，证明材料附后(并注明页码)</w:t>
            </w: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noWrap w:val="0"/>
            <w:vAlign w:val="top"/>
          </w:tcPr>
          <w:p>
            <w:pPr>
              <w:jc w:val="center"/>
              <w:rPr>
                <w:rFonts w:hint="eastAsia" w:ascii="仿宋" w:hAnsi="仿宋" w:eastAsia="仿宋" w:cs="仿宋"/>
                <w:b/>
                <w:bCs/>
                <w:color w:val="auto"/>
                <w:sz w:val="24"/>
                <w:szCs w:val="24"/>
              </w:rPr>
            </w:pPr>
          </w:p>
        </w:tc>
        <w:tc>
          <w:tcPr>
            <w:tcW w:w="1357"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6"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c>
          <w:tcPr>
            <w:tcW w:w="1327" w:type="dxa"/>
            <w:noWrap w:val="0"/>
            <w:vAlign w:val="top"/>
          </w:tcPr>
          <w:p>
            <w:pPr>
              <w:jc w:val="center"/>
              <w:rPr>
                <w:rFonts w:hint="eastAsia" w:ascii="仿宋" w:hAnsi="仿宋" w:eastAsia="仿宋" w:cs="仿宋"/>
                <w:b/>
                <w:bCs/>
                <w:color w:val="auto"/>
                <w:sz w:val="24"/>
                <w:szCs w:val="24"/>
              </w:rPr>
            </w:pPr>
          </w:p>
        </w:tc>
      </w:tr>
    </w:tbl>
    <w:p>
      <w:pPr>
        <w:spacing w:line="360" w:lineRule="auto"/>
        <w:ind w:firstLine="475" w:firstLineChars="198"/>
        <w:jc w:val="left"/>
        <w:rPr>
          <w:rFonts w:hint="eastAsia" w:ascii="仿宋" w:hAnsi="仿宋" w:eastAsia="仿宋" w:cs="仿宋"/>
          <w:color w:val="auto"/>
          <w:sz w:val="24"/>
          <w:szCs w:val="24"/>
        </w:rPr>
      </w:pPr>
      <w:r>
        <w:rPr>
          <w:rFonts w:hint="eastAsia" w:ascii="仿宋" w:hAnsi="仿宋" w:eastAsia="仿宋" w:cs="仿宋"/>
          <w:color w:val="auto"/>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20" w:firstLineChars="1300"/>
        <w:rPr>
          <w:rFonts w:hint="eastAsia" w:ascii="仿宋" w:hAnsi="仿宋" w:eastAsia="仿宋" w:cs="仿宋"/>
          <w:color w:val="auto"/>
          <w:sz w:val="24"/>
        </w:rPr>
      </w:pPr>
    </w:p>
    <w:p>
      <w:pPr>
        <w:pStyle w:val="10"/>
        <w:tabs>
          <w:tab w:val="left" w:pos="5580"/>
        </w:tabs>
        <w:spacing w:line="360" w:lineRule="auto"/>
        <w:ind w:firstLine="3120" w:firstLineChars="1300"/>
        <w:rPr>
          <w:rFonts w:hint="eastAsia" w:ascii="仿宋" w:hAnsi="仿宋" w:eastAsia="仿宋" w:cs="仿宋"/>
          <w:color w:val="auto"/>
          <w:sz w:val="24"/>
        </w:rPr>
      </w:pPr>
      <w:r>
        <w:rPr>
          <w:rFonts w:hint="eastAsia" w:ascii="仿宋" w:hAnsi="仿宋" w:eastAsia="仿宋" w:cs="仿宋"/>
          <w:color w:val="auto"/>
          <w:sz w:val="24"/>
        </w:rPr>
        <w:t>投标人（盖章）：</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pStyle w:val="10"/>
        <w:tabs>
          <w:tab w:val="left" w:pos="5580"/>
        </w:tabs>
        <w:spacing w:line="360" w:lineRule="auto"/>
        <w:ind w:firstLine="3120" w:firstLineChars="1300"/>
        <w:rPr>
          <w:rFonts w:hint="eastAsia" w:ascii="仿宋" w:hAnsi="仿宋" w:eastAsia="仿宋" w:cs="仿宋"/>
          <w:color w:val="auto"/>
          <w:kern w:val="0"/>
          <w:sz w:val="24"/>
          <w:szCs w:val="24"/>
          <w:u w:val="single"/>
          <w:lang w:val="en-US" w:eastAsia="zh-CN"/>
        </w:rPr>
      </w:pPr>
      <w:r>
        <w:rPr>
          <w:rFonts w:hint="eastAsia" w:ascii="仿宋" w:hAnsi="仿宋" w:eastAsia="仿宋" w:cs="仿宋"/>
          <w:color w:val="auto"/>
          <w:sz w:val="24"/>
          <w:lang w:eastAsia="zh-CN"/>
        </w:rPr>
        <w:t>法定代表人或</w:t>
      </w:r>
      <w:r>
        <w:rPr>
          <w:rFonts w:hint="eastAsia" w:ascii="仿宋" w:hAnsi="仿宋" w:eastAsia="仿宋" w:cs="仿宋"/>
          <w:color w:val="auto"/>
          <w:kern w:val="0"/>
          <w:sz w:val="24"/>
          <w:szCs w:val="24"/>
        </w:rPr>
        <w:t>委托代理人</w:t>
      </w:r>
      <w:r>
        <w:rPr>
          <w:rFonts w:hint="eastAsia" w:ascii="仿宋" w:hAnsi="仿宋" w:eastAsia="仿宋" w:cs="仿宋"/>
          <w:color w:val="auto"/>
          <w:sz w:val="24"/>
          <w:lang w:eastAsia="zh-CN"/>
        </w:rPr>
        <w:t>（签字或盖章）</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日期：       年   月   日</w:t>
      </w:r>
    </w:p>
    <w:p>
      <w:pPr>
        <w:pStyle w:val="2"/>
        <w:rPr>
          <w:rFonts w:hint="eastAsia" w:ascii="仿宋" w:hAnsi="仿宋" w:eastAsia="仿宋" w:cs="仿宋"/>
          <w:b/>
          <w:bCs/>
          <w:color w:val="auto"/>
          <w:sz w:val="36"/>
          <w:szCs w:val="36"/>
        </w:rPr>
      </w:pPr>
    </w:p>
    <w:p>
      <w:pPr>
        <w:rPr>
          <w:rFonts w:hint="eastAsia" w:ascii="仿宋" w:hAnsi="仿宋" w:eastAsia="仿宋" w:cs="仿宋"/>
          <w:color w:val="auto"/>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lang w:eastAsia="zh-CN"/>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eastAsia="zh-CN"/>
        </w:rPr>
      </w:pPr>
      <w:r>
        <w:rPr>
          <w:rFonts w:hint="eastAsia" w:ascii="仿宋" w:hAnsi="仿宋" w:eastAsia="仿宋" w:cs="仿宋"/>
          <w:b/>
          <w:bCs/>
          <w:color w:val="auto"/>
          <w:spacing w:val="0"/>
          <w:w w:val="100"/>
          <w:position w:val="0"/>
          <w:sz w:val="36"/>
          <w:szCs w:val="36"/>
          <w:lang w:val="en-US" w:eastAsia="zh-CN"/>
        </w:rPr>
        <w:t>6</w:t>
      </w:r>
      <w:r>
        <w:rPr>
          <w:rFonts w:hint="eastAsia" w:ascii="仿宋" w:hAnsi="仿宋" w:eastAsia="仿宋" w:cs="仿宋"/>
          <w:b/>
          <w:bCs/>
          <w:color w:val="auto"/>
          <w:spacing w:val="0"/>
          <w:w w:val="100"/>
          <w:position w:val="0"/>
          <w:sz w:val="36"/>
          <w:szCs w:val="36"/>
        </w:rPr>
        <w:t>、</w:t>
      </w:r>
      <w:r>
        <w:rPr>
          <w:rFonts w:hint="eastAsia" w:ascii="仿宋" w:hAnsi="仿宋" w:eastAsia="仿宋" w:cs="仿宋"/>
          <w:b/>
          <w:bCs/>
          <w:color w:val="auto"/>
          <w:spacing w:val="0"/>
          <w:w w:val="100"/>
          <w:position w:val="0"/>
          <w:sz w:val="36"/>
          <w:szCs w:val="36"/>
          <w:lang w:eastAsia="zh-CN"/>
        </w:rPr>
        <w:t>商务条款偏离表</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序号</w:t>
            </w:r>
          </w:p>
        </w:tc>
        <w:tc>
          <w:tcPr>
            <w:tcW w:w="21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招标文件条款号</w:t>
            </w:r>
          </w:p>
        </w:tc>
        <w:tc>
          <w:tcPr>
            <w:tcW w:w="2477"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招标文件的商务条款</w:t>
            </w:r>
          </w:p>
        </w:tc>
        <w:tc>
          <w:tcPr>
            <w:tcW w:w="2454"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投标文件的商务条款</w:t>
            </w:r>
          </w:p>
        </w:tc>
        <w:tc>
          <w:tcPr>
            <w:tcW w:w="1130" w:type="dxa"/>
            <w:noWrap w:val="0"/>
            <w:vAlign w:val="top"/>
          </w:tcPr>
          <w:p>
            <w:pPr>
              <w:pStyle w:val="10"/>
              <w:shd w:val="clear" w:color="auto" w:fill="auto"/>
              <w:spacing w:line="240" w:lineRule="atLeast"/>
              <w:ind w:left="0" w:leftChars="0" w:right="0" w:rightChars="0" w:firstLine="0" w:firstLineChars="0"/>
              <w:jc w:val="center"/>
              <w:rPr>
                <w:rFonts w:hint="eastAsia" w:ascii="仿宋" w:hAnsi="仿宋" w:eastAsia="仿宋" w:cs="仿宋"/>
                <w:color w:val="auto"/>
                <w:spacing w:val="-1"/>
                <w:kern w:val="0"/>
                <w:sz w:val="24"/>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6</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7</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8</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9</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10</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11</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12</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13</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14</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15</w:t>
            </w:r>
          </w:p>
        </w:tc>
        <w:tc>
          <w:tcPr>
            <w:tcW w:w="2154" w:type="dxa"/>
            <w:noWrap w:val="0"/>
            <w:vAlign w:val="center"/>
          </w:tcPr>
          <w:p>
            <w:pPr>
              <w:rPr>
                <w:rFonts w:hint="eastAsia" w:ascii="仿宋" w:hAnsi="仿宋" w:eastAsia="仿宋" w:cs="仿宋"/>
                <w:color w:val="auto"/>
                <w:spacing w:val="-1"/>
                <w:kern w:val="0"/>
                <w:sz w:val="24"/>
              </w:rPr>
            </w:pPr>
          </w:p>
        </w:tc>
        <w:tc>
          <w:tcPr>
            <w:tcW w:w="2477" w:type="dxa"/>
            <w:noWrap w:val="0"/>
            <w:vAlign w:val="center"/>
          </w:tcPr>
          <w:p>
            <w:pPr>
              <w:rPr>
                <w:rFonts w:hint="eastAsia" w:ascii="仿宋" w:hAnsi="仿宋" w:eastAsia="仿宋" w:cs="仿宋"/>
                <w:color w:val="auto"/>
                <w:spacing w:val="-1"/>
                <w:kern w:val="0"/>
                <w:sz w:val="24"/>
              </w:rPr>
            </w:pPr>
          </w:p>
        </w:tc>
        <w:tc>
          <w:tcPr>
            <w:tcW w:w="2454" w:type="dxa"/>
            <w:noWrap w:val="0"/>
            <w:vAlign w:val="center"/>
          </w:tcPr>
          <w:p>
            <w:pPr>
              <w:rPr>
                <w:rFonts w:hint="eastAsia" w:ascii="仿宋" w:hAnsi="仿宋" w:eastAsia="仿宋" w:cs="仿宋"/>
                <w:color w:val="auto"/>
                <w:spacing w:val="-1"/>
                <w:kern w:val="0"/>
                <w:sz w:val="24"/>
              </w:rPr>
            </w:pPr>
          </w:p>
        </w:tc>
        <w:tc>
          <w:tcPr>
            <w:tcW w:w="1130" w:type="dxa"/>
            <w:noWrap w:val="0"/>
            <w:vAlign w:val="center"/>
          </w:tcPr>
          <w:p>
            <w:pPr>
              <w:rPr>
                <w:rFonts w:hint="eastAsia" w:ascii="仿宋" w:hAnsi="仿宋" w:eastAsia="仿宋" w:cs="仿宋"/>
                <w:color w:val="auto"/>
                <w:spacing w:val="-1"/>
                <w:kern w:val="0"/>
                <w:sz w:val="24"/>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注：请在“偏离说明”栏内扼要说明偏离情况，如无偏离则不需列明。</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u w:val="single"/>
        </w:rPr>
        <w:tab/>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rPr>
        <w:t>（</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z w:val="24"/>
          <w:szCs w:val="24"/>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color w:val="auto"/>
          <w:spacing w:val="0"/>
          <w:w w:val="100"/>
          <w:position w:val="0"/>
          <w:sz w:val="36"/>
          <w:szCs w:val="36"/>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center"/>
        <w:rPr>
          <w:rFonts w:hint="eastAsia" w:ascii="仿宋" w:hAnsi="仿宋" w:eastAsia="仿宋" w:cs="仿宋"/>
          <w:color w:val="auto"/>
          <w:spacing w:val="0"/>
          <w:w w:val="100"/>
          <w:position w:val="0"/>
          <w:sz w:val="21"/>
          <w:szCs w:val="21"/>
        </w:rPr>
      </w:pPr>
    </w:p>
    <w:p>
      <w:pPr>
        <w:pStyle w:val="30"/>
        <w:keepNext w:val="0"/>
        <w:keepLines w:val="0"/>
        <w:widowControl w:val="0"/>
        <w:shd w:val="clear" w:color="auto" w:fill="auto"/>
        <w:tabs>
          <w:tab w:val="left" w:pos="826"/>
        </w:tabs>
        <w:bidi w:val="0"/>
        <w:spacing w:before="0" w:after="0" w:line="470" w:lineRule="exact"/>
        <w:ind w:left="0" w:leftChars="0" w:right="0" w:firstLine="0" w:firstLineChars="0"/>
        <w:jc w:val="both"/>
        <w:rPr>
          <w:rFonts w:hint="eastAsia" w:ascii="仿宋" w:hAnsi="仿宋" w:eastAsia="仿宋" w:cs="仿宋"/>
          <w:color w:val="auto"/>
          <w:spacing w:val="0"/>
          <w:w w:val="100"/>
          <w:position w:val="0"/>
          <w:sz w:val="21"/>
          <w:szCs w:val="21"/>
        </w:rPr>
      </w:pPr>
    </w:p>
    <w:p>
      <w:pPr>
        <w:pStyle w:val="29"/>
        <w:keepNext w:val="0"/>
        <w:keepLines w:val="0"/>
        <w:widowControl w:val="0"/>
        <w:shd w:val="clear" w:color="auto" w:fill="auto"/>
        <w:bidi w:val="0"/>
        <w:spacing w:before="0" w:after="0" w:line="240" w:lineRule="auto"/>
        <w:ind w:left="0" w:right="0" w:firstLine="420"/>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7、投标人基本情况表</w:t>
      </w:r>
    </w:p>
    <w:p>
      <w:pPr>
        <w:pStyle w:val="8"/>
        <w:numPr>
          <w:ilvl w:val="0"/>
          <w:numId w:val="0"/>
        </w:numPr>
        <w:kinsoku w:val="0"/>
        <w:overflowPunct w:val="0"/>
        <w:spacing w:before="5"/>
        <w:ind w:leftChars="0" w:right="0" w:rightChars="0"/>
        <w:rPr>
          <w:rFonts w:hint="eastAsia" w:ascii="仿宋" w:hAnsi="仿宋" w:eastAsia="仿宋" w:cs="仿宋"/>
          <w:b/>
          <w:bCs/>
          <w:color w:val="auto"/>
          <w:sz w:val="6"/>
          <w:szCs w:val="6"/>
        </w:rPr>
      </w:pPr>
    </w:p>
    <w:tbl>
      <w:tblPr>
        <w:tblStyle w:val="1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37"/>
              <w:rPr>
                <w:rFonts w:hint="eastAsia"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181"/>
              <w:rPr>
                <w:rFonts w:hint="eastAsia"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6"/>
              <w:ind w:left="137"/>
              <w:rPr>
                <w:rFonts w:hint="eastAsia"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1" w:line="312" w:lineRule="exact"/>
              <w:ind w:left="257" w:right="133" w:hanging="120"/>
              <w:rPr>
                <w:rFonts w:hint="eastAsia"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4"/>
              <w:rPr>
                <w:rFonts w:hint="eastAsia" w:ascii="仿宋" w:hAnsi="仿宋" w:eastAsia="仿宋" w:cs="仿宋"/>
                <w:b/>
                <w:bCs/>
                <w:color w:val="auto"/>
                <w:sz w:val="20"/>
                <w:szCs w:val="20"/>
              </w:rPr>
            </w:pPr>
          </w:p>
          <w:p>
            <w:pPr>
              <w:pStyle w:val="33"/>
              <w:kinsoku w:val="0"/>
              <w:overflowPunct w:val="0"/>
              <w:ind w:left="366"/>
              <w:rPr>
                <w:rFonts w:hint="eastAsia"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4"/>
              <w:rPr>
                <w:rFonts w:hint="eastAsia" w:ascii="仿宋" w:hAnsi="仿宋" w:eastAsia="仿宋" w:cs="仿宋"/>
                <w:b/>
                <w:bCs/>
                <w:color w:val="auto"/>
                <w:sz w:val="20"/>
                <w:szCs w:val="20"/>
              </w:rPr>
            </w:pPr>
          </w:p>
          <w:p>
            <w:pPr>
              <w:pStyle w:val="33"/>
              <w:kinsoku w:val="0"/>
              <w:overflowPunct w:val="0"/>
              <w:ind w:left="383"/>
              <w:rPr>
                <w:rFonts w:hint="eastAsia"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rPr>
                <w:rFonts w:hint="eastAsia" w:ascii="仿宋" w:hAnsi="仿宋" w:eastAsia="仿宋" w:cs="仿宋"/>
                <w:b/>
                <w:bCs/>
                <w:color w:val="auto"/>
              </w:rPr>
            </w:pPr>
          </w:p>
          <w:p>
            <w:pPr>
              <w:pStyle w:val="33"/>
              <w:kinsoku w:val="0"/>
              <w:overflowPunct w:val="0"/>
              <w:rPr>
                <w:rFonts w:hint="eastAsia" w:ascii="仿宋" w:hAnsi="仿宋" w:eastAsia="仿宋" w:cs="仿宋"/>
                <w:b/>
                <w:bCs/>
                <w:color w:val="auto"/>
              </w:rPr>
            </w:pPr>
          </w:p>
          <w:p>
            <w:pPr>
              <w:pStyle w:val="33"/>
              <w:kinsoku w:val="0"/>
              <w:overflowPunct w:val="0"/>
              <w:rPr>
                <w:rFonts w:hint="eastAsia" w:ascii="仿宋" w:hAnsi="仿宋" w:eastAsia="仿宋" w:cs="仿宋"/>
                <w:b/>
                <w:bCs/>
                <w:color w:val="auto"/>
              </w:rPr>
            </w:pPr>
          </w:p>
          <w:p>
            <w:pPr>
              <w:pStyle w:val="33"/>
              <w:kinsoku w:val="0"/>
              <w:overflowPunct w:val="0"/>
              <w:spacing w:line="475" w:lineRule="auto"/>
              <w:ind w:left="497" w:right="493"/>
              <w:jc w:val="both"/>
              <w:rPr>
                <w:rFonts w:hint="eastAsia"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4"/>
              <w:ind w:left="236"/>
              <w:rPr>
                <w:rFonts w:hint="eastAsia"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4"/>
              <w:ind w:left="118"/>
              <w:rPr>
                <w:rFonts w:hint="eastAsia"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jc w:val="center"/>
              <w:rPr>
                <w:rFonts w:hint="eastAsia" w:ascii="仿宋" w:hAnsi="仿宋" w:eastAsia="仿宋" w:cs="仿宋"/>
                <w:color w:val="auto"/>
              </w:rPr>
            </w:pPr>
            <w:r>
              <w:rPr>
                <w:rFonts w:hint="eastAsia" w:ascii="仿宋" w:hAnsi="仿宋" w:eastAsia="仿宋" w:cs="仿宋"/>
                <w:color w:val="auto"/>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16"/>
              <w:rPr>
                <w:rFonts w:hint="eastAsia"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52"/>
              <w:rPr>
                <w:rFonts w:hint="eastAsia"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45"/>
              <w:ind w:left="450"/>
              <w:rPr>
                <w:rFonts w:hint="eastAsia"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33"/>
              <w:tabs>
                <w:tab w:val="left" w:pos="479"/>
              </w:tabs>
              <w:kinsoku w:val="0"/>
              <w:overflowPunct w:val="0"/>
              <w:spacing w:before="145"/>
              <w:ind w:right="1"/>
              <w:jc w:val="center"/>
              <w:rPr>
                <w:rFonts w:hint="eastAsia"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33"/>
              <w:tabs>
                <w:tab w:val="left" w:pos="479"/>
              </w:tabs>
              <w:kinsoku w:val="0"/>
              <w:overflowPunct w:val="0"/>
              <w:spacing w:before="145"/>
              <w:ind w:right="1"/>
              <w:jc w:val="cente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33"/>
              <w:kinsoku w:val="0"/>
              <w:overflowPunct w:val="0"/>
              <w:spacing w:before="1"/>
              <w:rPr>
                <w:rFonts w:hint="eastAsia" w:ascii="仿宋" w:hAnsi="仿宋" w:eastAsia="仿宋" w:cs="仿宋"/>
                <w:b/>
                <w:bCs/>
                <w:color w:val="auto"/>
                <w:sz w:val="23"/>
                <w:szCs w:val="23"/>
              </w:rPr>
            </w:pPr>
          </w:p>
          <w:p>
            <w:pPr>
              <w:pStyle w:val="33"/>
              <w:kinsoku w:val="0"/>
              <w:overflowPunct w:val="0"/>
              <w:spacing w:line="237" w:lineRule="auto"/>
              <w:ind w:left="497" w:right="493"/>
              <w:jc w:val="both"/>
              <w:rPr>
                <w:rFonts w:hint="eastAsia"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仿宋" w:hAnsi="仿宋" w:eastAsia="仿宋" w:cs="仿宋"/>
                <w:color w:val="auto"/>
              </w:rPr>
            </w:pPr>
          </w:p>
        </w:tc>
      </w:tr>
    </w:tbl>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lang w:val="en-US" w:eastAsia="zh-CN"/>
        </w:rPr>
      </w:pPr>
    </w:p>
    <w:p>
      <w:pPr>
        <w:pStyle w:val="3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rPr>
      </w:pPr>
    </w:p>
    <w:p>
      <w:pPr>
        <w:pStyle w:val="8"/>
        <w:numPr>
          <w:ilvl w:val="0"/>
          <w:numId w:val="0"/>
        </w:numPr>
        <w:kinsoku w:val="0"/>
        <w:overflowPunct w:val="0"/>
        <w:spacing w:before="34" w:line="357" w:lineRule="auto"/>
        <w:ind w:left="480" w:leftChars="0" w:right="126" w:rightChars="0"/>
        <w:jc w:val="center"/>
        <w:rPr>
          <w:rFonts w:hint="eastAsia" w:ascii="仿宋" w:hAnsi="仿宋" w:eastAsia="仿宋" w:cs="仿宋"/>
          <w:b/>
          <w:bCs/>
          <w:color w:val="auto"/>
          <w:w w:val="90"/>
          <w:lang w:eastAsia="zh-CN"/>
        </w:rPr>
      </w:pPr>
      <w:r>
        <w:rPr>
          <w:rFonts w:hint="eastAsia" w:ascii="仿宋" w:hAnsi="仿宋" w:eastAsia="仿宋" w:cs="仿宋"/>
          <w:b w:val="0"/>
          <w:bCs/>
          <w:color w:val="auto"/>
          <w:kern w:val="0"/>
          <w:sz w:val="36"/>
          <w:szCs w:val="36"/>
          <w:lang w:val="en-US" w:eastAsia="zh-CN"/>
        </w:rPr>
        <w:t>8、</w:t>
      </w:r>
      <w:r>
        <w:rPr>
          <w:rFonts w:hint="eastAsia" w:ascii="仿宋" w:hAnsi="仿宋" w:eastAsia="仿宋" w:cs="仿宋"/>
          <w:b/>
          <w:bCs/>
          <w:color w:val="auto"/>
          <w:w w:val="90"/>
          <w:sz w:val="36"/>
          <w:szCs w:val="36"/>
        </w:rPr>
        <w:t>近三年（20</w:t>
      </w:r>
      <w:r>
        <w:rPr>
          <w:rFonts w:hint="eastAsia" w:ascii="仿宋" w:hAnsi="仿宋" w:eastAsia="仿宋" w:cs="仿宋"/>
          <w:b/>
          <w:bCs/>
          <w:color w:val="auto"/>
          <w:w w:val="90"/>
          <w:sz w:val="36"/>
          <w:szCs w:val="36"/>
          <w:lang w:val="en-US" w:eastAsia="zh-CN"/>
        </w:rPr>
        <w:t>19</w:t>
      </w:r>
      <w:r>
        <w:rPr>
          <w:rFonts w:hint="eastAsia" w:ascii="仿宋" w:hAnsi="仿宋" w:eastAsia="仿宋" w:cs="仿宋"/>
          <w:b/>
          <w:bCs/>
          <w:color w:val="auto"/>
          <w:w w:val="90"/>
          <w:sz w:val="36"/>
          <w:szCs w:val="36"/>
        </w:rPr>
        <w:t>年1月1日至今）类似项目业绩</w:t>
      </w:r>
      <w:r>
        <w:rPr>
          <w:rFonts w:hint="eastAsia" w:ascii="仿宋" w:hAnsi="仿宋" w:eastAsia="仿宋" w:cs="仿宋"/>
          <w:b/>
          <w:bCs/>
          <w:color w:val="auto"/>
          <w:w w:val="90"/>
          <w:sz w:val="36"/>
          <w:szCs w:val="36"/>
          <w:lang w:eastAsia="zh-CN"/>
        </w:rPr>
        <w:t>表</w:t>
      </w:r>
    </w:p>
    <w:p>
      <w:pPr>
        <w:pStyle w:val="8"/>
        <w:numPr>
          <w:ilvl w:val="0"/>
          <w:numId w:val="0"/>
        </w:numPr>
        <w:kinsoku w:val="0"/>
        <w:overflowPunct w:val="0"/>
        <w:ind w:leftChars="0" w:right="0" w:rightChars="0"/>
        <w:rPr>
          <w:rFonts w:hint="eastAsia" w:ascii="仿宋" w:hAnsi="仿宋" w:eastAsia="仿宋" w:cs="仿宋"/>
          <w:b/>
          <w:bCs/>
          <w:color w:val="auto"/>
          <w:sz w:val="20"/>
          <w:szCs w:val="20"/>
        </w:rPr>
      </w:pPr>
    </w:p>
    <w:tbl>
      <w:tblPr>
        <w:tblStyle w:val="18"/>
        <w:tblW w:w="9115" w:type="dxa"/>
        <w:jc w:val="center"/>
        <w:shd w:val="clear" w:color="auto" w:fill="auto"/>
        <w:tblLayout w:type="fixed"/>
        <w:tblCellMar>
          <w:top w:w="0" w:type="dxa"/>
          <w:left w:w="10" w:type="dxa"/>
          <w:bottom w:w="0" w:type="dxa"/>
          <w:right w:w="10" w:type="dxa"/>
        </w:tblCellMar>
      </w:tblPr>
      <w:tblGrid>
        <w:gridCol w:w="1919"/>
        <w:gridCol w:w="7196"/>
      </w:tblGrid>
      <w:tr>
        <w:tblPrEx>
          <w:shd w:val="clear" w:color="auto" w:fill="auto"/>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项目名称</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shd w:val="clear" w:color="auto" w:fill="auto"/>
          <w:tblCellMar>
            <w:top w:w="0" w:type="dxa"/>
            <w:left w:w="10" w:type="dxa"/>
            <w:bottom w:w="0" w:type="dxa"/>
            <w:right w:w="10" w:type="dxa"/>
          </w:tblCellMar>
        </w:tblPrEx>
        <w:trPr>
          <w:trHeight w:val="518"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项目单位名称</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shd w:val="clear" w:color="auto" w:fill="auto"/>
          <w:tblCellMar>
            <w:top w:w="0" w:type="dxa"/>
            <w:left w:w="10" w:type="dxa"/>
            <w:bottom w:w="0" w:type="dxa"/>
            <w:right w:w="10" w:type="dxa"/>
          </w:tblCellMar>
        </w:tblPrEx>
        <w:trPr>
          <w:trHeight w:val="724"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0" w:after="0" w:line="320"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项目单位联系姓名及联系方式</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合同金额</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0" w:after="0" w:line="306" w:lineRule="exact"/>
              <w:ind w:left="0" w:right="0" w:firstLine="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项目负责人姓名</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shd w:val="clear" w:color="auto" w:fill="auto"/>
            <w:vAlign w:val="center"/>
          </w:tcPr>
          <w:p>
            <w:pPr>
              <w:pStyle w:val="31"/>
              <w:keepNext w:val="0"/>
              <w:keepLines w:val="0"/>
              <w:widowControl w:val="0"/>
              <w:shd w:val="clear" w:color="auto" w:fill="auto"/>
              <w:bidi w:val="0"/>
              <w:spacing w:before="12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项目实施时间</w:t>
            </w:r>
          </w:p>
        </w:tc>
        <w:tc>
          <w:tcPr>
            <w:tcW w:w="7196" w:type="dxa"/>
            <w:tcBorders>
              <w:top w:val="single" w:color="auto" w:sz="4" w:space="0"/>
              <w:left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r>
        <w:tblPrEx>
          <w:shd w:val="clear" w:color="auto" w:fill="auto"/>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shd w:val="clear" w:color="auto" w:fill="auto"/>
            <w:vAlign w:val="center"/>
          </w:tcPr>
          <w:p>
            <w:pPr>
              <w:pStyle w:val="31"/>
              <w:keepNext w:val="0"/>
              <w:keepLines w:val="0"/>
              <w:widowControl w:val="0"/>
              <w:shd w:val="clear" w:color="auto" w:fill="auto"/>
              <w:bidi w:val="0"/>
              <w:spacing w:before="0" w:after="0" w:line="240" w:lineRule="auto"/>
              <w:ind w:left="0" w:leftChars="0" w:right="0" w:firstLine="0" w:firstLineChars="0"/>
              <w:jc w:val="center"/>
              <w:rPr>
                <w:rFonts w:hint="eastAsia" w:ascii="仿宋" w:hAnsi="仿宋" w:eastAsia="仿宋" w:cs="仿宋"/>
                <w:color w:val="auto"/>
                <w:sz w:val="24"/>
                <w:szCs w:val="24"/>
              </w:rPr>
            </w:pPr>
            <w:r>
              <w:rPr>
                <w:rFonts w:hint="eastAsia" w:ascii="仿宋" w:hAnsi="仿宋" w:eastAsia="仿宋" w:cs="仿宋"/>
                <w:color w:val="auto"/>
                <w:spacing w:val="0"/>
                <w:w w:val="100"/>
                <w:position w:val="0"/>
                <w:sz w:val="24"/>
                <w:szCs w:val="24"/>
              </w:rPr>
              <w:t>项目内容说明</w:t>
            </w:r>
          </w:p>
        </w:tc>
        <w:tc>
          <w:tcPr>
            <w:tcW w:w="7196" w:type="dxa"/>
            <w:tcBorders>
              <w:top w:val="single" w:color="auto" w:sz="4" w:space="0"/>
              <w:left w:val="single" w:color="auto" w:sz="4" w:space="0"/>
              <w:bottom w:val="single" w:color="auto" w:sz="4" w:space="0"/>
              <w:right w:val="single" w:color="auto" w:sz="4" w:space="0"/>
            </w:tcBorders>
            <w:shd w:val="clear" w:color="auto" w:fill="auto"/>
            <w:vAlign w:val="top"/>
          </w:tcPr>
          <w:p>
            <w:pPr>
              <w:widowControl w:val="0"/>
              <w:rPr>
                <w:rFonts w:hint="eastAsia" w:ascii="仿宋" w:hAnsi="仿宋" w:eastAsia="仿宋" w:cs="仿宋"/>
                <w:color w:val="auto"/>
                <w:sz w:val="10"/>
                <w:szCs w:val="10"/>
              </w:rPr>
            </w:pPr>
          </w:p>
        </w:tc>
      </w:tr>
    </w:tbl>
    <w:p>
      <w:pPr>
        <w:rPr>
          <w:rFonts w:hint="eastAsia" w:ascii="仿宋" w:hAnsi="仿宋" w:eastAsia="仿宋" w:cs="仿宋"/>
          <w:color w:val="auto"/>
          <w:spacing w:val="-1"/>
          <w:kern w:val="0"/>
          <w:sz w:val="24"/>
        </w:rPr>
      </w:pPr>
    </w:p>
    <w:p>
      <w:pPr>
        <w:rPr>
          <w:rFonts w:hint="eastAsia" w:ascii="仿宋" w:hAnsi="仿宋" w:eastAsia="仿宋" w:cs="仿宋"/>
          <w:color w:val="auto"/>
          <w:spacing w:val="-1"/>
          <w:kern w:val="0"/>
          <w:sz w:val="24"/>
        </w:rPr>
      </w:pPr>
      <w:r>
        <w:rPr>
          <w:rFonts w:hint="eastAsia" w:ascii="仿宋" w:hAnsi="仿宋" w:eastAsia="仿宋" w:cs="仿宋"/>
          <w:color w:val="auto"/>
          <w:spacing w:val="-1"/>
          <w:kern w:val="0"/>
          <w:sz w:val="24"/>
        </w:rPr>
        <w:t>注：每个</w:t>
      </w:r>
      <w:r>
        <w:rPr>
          <w:rFonts w:hint="eastAsia" w:ascii="仿宋" w:hAnsi="仿宋" w:eastAsia="仿宋" w:cs="仿宋"/>
          <w:color w:val="auto"/>
          <w:spacing w:val="-1"/>
          <w:kern w:val="0"/>
          <w:sz w:val="24"/>
          <w:lang w:eastAsia="zh-CN"/>
        </w:rPr>
        <w:t>业绩</w:t>
      </w:r>
      <w:r>
        <w:rPr>
          <w:rFonts w:hint="eastAsia" w:ascii="仿宋" w:hAnsi="仿宋" w:eastAsia="仿宋" w:cs="仿宋"/>
          <w:color w:val="auto"/>
          <w:spacing w:val="-1"/>
          <w:kern w:val="0"/>
          <w:sz w:val="24"/>
        </w:rPr>
        <w:t>须单独附表，并附上</w:t>
      </w:r>
      <w:r>
        <w:rPr>
          <w:rFonts w:hint="eastAsia" w:ascii="仿宋" w:hAnsi="仿宋" w:eastAsia="仿宋" w:cs="仿宋"/>
          <w:color w:val="auto"/>
          <w:spacing w:val="-1"/>
          <w:kern w:val="0"/>
          <w:sz w:val="24"/>
          <w:lang w:eastAsia="zh-CN"/>
        </w:rPr>
        <w:t>合同和中标通知书</w:t>
      </w:r>
      <w:r>
        <w:rPr>
          <w:rFonts w:hint="eastAsia" w:ascii="仿宋" w:hAnsi="仿宋" w:eastAsia="仿宋" w:cs="仿宋"/>
          <w:color w:val="auto"/>
          <w:spacing w:val="-1"/>
          <w:kern w:val="0"/>
          <w:sz w:val="24"/>
        </w:rPr>
        <w:t>相关证明材料，否则专家在评审时将不予采信。</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sz w:val="24"/>
          <w:szCs w:val="24"/>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w w:val="95"/>
          <w:sz w:val="24"/>
          <w:szCs w:val="24"/>
        </w:rPr>
        <w:t>（盖章）</w:t>
      </w:r>
      <w:r>
        <w:rPr>
          <w:rFonts w:hint="eastAsia" w:ascii="仿宋" w:hAnsi="仿宋" w:eastAsia="仿宋" w:cs="仿宋"/>
          <w:color w:val="auto"/>
          <w:sz w:val="24"/>
          <w:szCs w:val="24"/>
        </w:rPr>
        <w:t xml:space="preserve"> </w:t>
      </w:r>
    </w:p>
    <w:p>
      <w:pPr>
        <w:pStyle w:val="8"/>
        <w:numPr>
          <w:ilvl w:val="0"/>
          <w:numId w:val="0"/>
        </w:numPr>
        <w:tabs>
          <w:tab w:val="left" w:pos="8227"/>
        </w:tabs>
        <w:kinsoku w:val="0"/>
        <w:overflowPunct w:val="0"/>
        <w:spacing w:line="381" w:lineRule="auto"/>
        <w:ind w:left="1680" w:leftChars="0" w:right="118" w:rightChars="0"/>
        <w:rPr>
          <w:rFonts w:hint="eastAsia" w:ascii="仿宋" w:hAnsi="仿宋" w:eastAsia="仿宋" w:cs="仿宋"/>
          <w:color w:val="auto"/>
          <w:w w:val="95"/>
          <w:sz w:val="24"/>
          <w:szCs w:val="24"/>
        </w:rPr>
      </w:pPr>
      <w:r>
        <w:rPr>
          <w:rFonts w:hint="eastAsia" w:ascii="仿宋" w:hAnsi="仿宋" w:eastAsia="仿宋" w:cs="仿宋"/>
          <w:color w:val="auto"/>
          <w:sz w:val="24"/>
          <w:szCs w:val="24"/>
        </w:rPr>
        <w:t>法定代表人或被授权人：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w w:val="95"/>
          <w:sz w:val="24"/>
          <w:szCs w:val="24"/>
          <w:lang w:eastAsia="zh-CN"/>
        </w:rPr>
        <w:t>签字或盖章</w:t>
      </w:r>
      <w:r>
        <w:rPr>
          <w:rFonts w:hint="eastAsia" w:ascii="仿宋" w:hAnsi="仿宋" w:eastAsia="仿宋" w:cs="仿宋"/>
          <w:color w:val="auto"/>
          <w:w w:val="95"/>
          <w:sz w:val="24"/>
          <w:szCs w:val="24"/>
        </w:rPr>
        <w:t>）</w:t>
      </w:r>
    </w:p>
    <w:p>
      <w:pPr>
        <w:pStyle w:val="8"/>
        <w:numPr>
          <w:ilvl w:val="0"/>
          <w:numId w:val="0"/>
        </w:numPr>
        <w:tabs>
          <w:tab w:val="left" w:pos="5551"/>
          <w:tab w:val="left" w:pos="6511"/>
          <w:tab w:val="left" w:pos="7111"/>
          <w:tab w:val="left" w:pos="7711"/>
        </w:tabs>
        <w:kinsoku w:val="0"/>
        <w:overflowPunct w:val="0"/>
        <w:spacing w:before="46"/>
        <w:ind w:right="0" w:rightChars="0" w:firstLine="4320" w:firstLineChars="1800"/>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29"/>
        <w:keepNext w:val="0"/>
        <w:keepLines w:val="0"/>
        <w:widowControl w:val="0"/>
        <w:shd w:val="clear" w:color="auto" w:fill="auto"/>
        <w:bidi w:val="0"/>
        <w:spacing w:before="0" w:after="580" w:line="240" w:lineRule="auto"/>
        <w:ind w:left="0" w:right="0" w:firstLine="360"/>
        <w:jc w:val="left"/>
        <w:rPr>
          <w:rFonts w:hint="eastAsia" w:ascii="仿宋" w:hAnsi="仿宋" w:eastAsia="仿宋" w:cs="仿宋"/>
          <w:color w:val="auto"/>
          <w:spacing w:val="0"/>
          <w:w w:val="100"/>
          <w:position w:val="0"/>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val="0"/>
          <w:bCs/>
          <w:color w:val="auto"/>
          <w:kern w:val="0"/>
          <w:sz w:val="36"/>
          <w:szCs w:val="36"/>
          <w:lang w:val="en-US" w:eastAsia="zh-CN"/>
        </w:rPr>
      </w:pPr>
    </w:p>
    <w:p>
      <w:pPr>
        <w:shd w:val="clear" w:color="auto" w:fill="auto"/>
        <w:spacing w:line="360" w:lineRule="auto"/>
        <w:jc w:val="both"/>
        <w:rPr>
          <w:rFonts w:hint="default" w:ascii="仿宋" w:hAnsi="仿宋" w:eastAsia="仿宋" w:cs="仿宋"/>
          <w:b w:val="0"/>
          <w:bCs/>
          <w:color w:val="auto"/>
          <w:kern w:val="0"/>
          <w:sz w:val="36"/>
          <w:szCs w:val="36"/>
          <w:lang w:val="en-US" w:eastAsia="zh-CN"/>
        </w:rPr>
      </w:pPr>
    </w:p>
    <w:p>
      <w:pPr>
        <w:shd w:val="clear" w:color="auto" w:fill="auto"/>
        <w:spacing w:line="360" w:lineRule="auto"/>
        <w:jc w:val="center"/>
        <w:rPr>
          <w:rFonts w:hint="eastAsia" w:ascii="仿宋" w:hAnsi="仿宋" w:eastAsia="仿宋" w:cs="仿宋"/>
          <w:b/>
          <w:bCs w:val="0"/>
          <w:color w:val="auto"/>
          <w:kern w:val="0"/>
          <w:sz w:val="36"/>
          <w:szCs w:val="36"/>
        </w:rPr>
      </w:pPr>
      <w:r>
        <w:rPr>
          <w:rFonts w:hint="eastAsia" w:ascii="仿宋" w:hAnsi="仿宋" w:eastAsia="仿宋" w:cs="仿宋"/>
          <w:b/>
          <w:bCs w:val="0"/>
          <w:color w:val="auto"/>
          <w:kern w:val="0"/>
          <w:sz w:val="36"/>
          <w:szCs w:val="36"/>
          <w:lang w:val="en-US" w:eastAsia="zh-CN"/>
        </w:rPr>
        <w:t>9</w:t>
      </w:r>
      <w:r>
        <w:rPr>
          <w:rFonts w:hint="eastAsia" w:ascii="仿宋" w:hAnsi="仿宋" w:eastAsia="仿宋" w:cs="仿宋"/>
          <w:b/>
          <w:bCs w:val="0"/>
          <w:color w:val="auto"/>
          <w:kern w:val="0"/>
          <w:sz w:val="36"/>
          <w:szCs w:val="36"/>
        </w:rPr>
        <w:t>、中小企业声明函(</w:t>
      </w:r>
      <w:r>
        <w:rPr>
          <w:rFonts w:hint="eastAsia" w:ascii="仿宋" w:hAnsi="仿宋" w:eastAsia="仿宋" w:cs="仿宋"/>
          <w:b/>
          <w:bCs w:val="0"/>
          <w:color w:val="auto"/>
          <w:kern w:val="0"/>
          <w:sz w:val="36"/>
          <w:szCs w:val="36"/>
          <w:lang w:eastAsia="zh-CN"/>
        </w:rPr>
        <w:t>货物</w:t>
      </w:r>
      <w:r>
        <w:rPr>
          <w:rFonts w:hint="eastAsia" w:ascii="仿宋" w:hAnsi="仿宋" w:eastAsia="仿宋" w:cs="仿宋"/>
          <w:b/>
          <w:bCs w:val="0"/>
          <w:color w:val="auto"/>
          <w:kern w:val="0"/>
          <w:sz w:val="36"/>
          <w:szCs w:val="36"/>
        </w:rPr>
        <w:t>)</w:t>
      </w:r>
    </w:p>
    <w:p>
      <w:pPr>
        <w:ind w:left="1280"/>
        <w:rPr>
          <w:rFonts w:hint="eastAsia" w:ascii="仿宋" w:hAnsi="仿宋" w:eastAsia="仿宋" w:cs="仿宋"/>
          <w:color w:val="auto"/>
          <w:sz w:val="32"/>
          <w:szCs w:val="32"/>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1.（标的名称），属于（</w:t>
      </w:r>
      <w:r>
        <w:rPr>
          <w:rFonts w:hint="eastAsia" w:ascii="仿宋" w:hAnsi="仿宋" w:eastAsia="仿宋" w:cs="仿宋"/>
          <w:color w:val="auto"/>
          <w:kern w:val="0"/>
          <w:sz w:val="24"/>
          <w:szCs w:val="24"/>
          <w:lang w:eastAsia="zh-CN"/>
        </w:rPr>
        <w:t>工业</w:t>
      </w:r>
      <w:r>
        <w:rPr>
          <w:rFonts w:hint="eastAsia" w:ascii="仿宋" w:hAnsi="仿宋" w:eastAsia="仿宋" w:cs="仿宋"/>
          <w:color w:val="auto"/>
          <w:kern w:val="0"/>
          <w:sz w:val="24"/>
          <w:szCs w:val="24"/>
        </w:rPr>
        <w:t>）；制造商为（企业名称），从业人员  人，营业收入为  万元，资产总额为  万元，属于（中型企业、小型企业、微型企业）；</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 （标的名称），属于（</w:t>
      </w:r>
      <w:r>
        <w:rPr>
          <w:rFonts w:hint="eastAsia" w:ascii="仿宋" w:hAnsi="仿宋" w:eastAsia="仿宋" w:cs="仿宋"/>
          <w:color w:val="auto"/>
          <w:kern w:val="0"/>
          <w:sz w:val="24"/>
          <w:szCs w:val="24"/>
          <w:lang w:eastAsia="zh-CN"/>
        </w:rPr>
        <w:t>工业</w:t>
      </w:r>
      <w:r>
        <w:rPr>
          <w:rFonts w:hint="eastAsia" w:ascii="仿宋" w:hAnsi="仿宋" w:eastAsia="仿宋" w:cs="仿宋"/>
          <w:color w:val="auto"/>
          <w:kern w:val="0"/>
          <w:sz w:val="24"/>
          <w:szCs w:val="24"/>
        </w:rPr>
        <w:t>）；制造商为（企业名称），从业人员  人，营业收入为  万元，资产总额为  万元，属于（中型企业、小型企业、微型企业）；</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以上企业，不属于大企业的分支机构，不存在控股股东为大企业的情形，也不存在与大企业的负责人为同一人的情形。</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本企业对上述声明内容的真实性负责。如有虚假，将依法承担相应责任。</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hd w:val="clear" w:color="auto" w:fill="auto"/>
        <w:spacing w:line="360" w:lineRule="auto"/>
        <w:ind w:firstLine="480" w:firstLineChars="200"/>
        <w:rPr>
          <w:rFonts w:hint="eastAsia" w:ascii="仿宋" w:hAnsi="仿宋" w:eastAsia="仿宋" w:cs="仿宋"/>
          <w:color w:val="auto"/>
          <w:kern w:val="0"/>
          <w:sz w:val="24"/>
          <w:szCs w:val="24"/>
        </w:rPr>
      </w:pPr>
    </w:p>
    <w:p>
      <w:pPr>
        <w:shd w:val="clear" w:color="auto" w:fill="auto"/>
        <w:spacing w:line="360" w:lineRule="auto"/>
        <w:ind w:firstLine="4560"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企业名称（盖章）：</w:t>
      </w:r>
    </w:p>
    <w:p>
      <w:pPr>
        <w:shd w:val="clear" w:color="auto" w:fill="auto"/>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日期：</w:t>
      </w: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pStyle w:val="14"/>
        <w:rPr>
          <w:rFonts w:hint="eastAsia" w:ascii="仿宋" w:hAnsi="仿宋" w:eastAsia="仿宋" w:cs="仿宋"/>
          <w:color w:val="auto"/>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p>
    <w:p>
      <w:pPr>
        <w:tabs>
          <w:tab w:val="left" w:pos="3600"/>
        </w:tabs>
        <w:adjustRightInd w:val="0"/>
        <w:snapToGrid w:val="0"/>
        <w:spacing w:line="440" w:lineRule="exact"/>
        <w:jc w:val="center"/>
        <w:rPr>
          <w:rFonts w:hint="eastAsia" w:ascii="仿宋" w:hAnsi="仿宋" w:eastAsia="仿宋" w:cs="仿宋"/>
          <w:b/>
          <w:bCs/>
          <w:color w:val="auto"/>
          <w:spacing w:val="6"/>
          <w:kern w:val="0"/>
          <w:sz w:val="36"/>
          <w:szCs w:val="36"/>
        </w:rPr>
      </w:pPr>
      <w:r>
        <w:rPr>
          <w:rFonts w:hint="eastAsia" w:ascii="仿宋" w:hAnsi="仿宋" w:eastAsia="仿宋" w:cs="仿宋"/>
          <w:color w:val="auto"/>
          <w:spacing w:val="0"/>
          <w:w w:val="100"/>
          <w:position w:val="0"/>
          <w:sz w:val="36"/>
          <w:szCs w:val="36"/>
          <w:lang w:val="en-US" w:eastAsia="zh-CN"/>
        </w:rPr>
        <w:t>10</w:t>
      </w:r>
      <w:r>
        <w:rPr>
          <w:rFonts w:hint="eastAsia" w:ascii="仿宋" w:hAnsi="仿宋" w:eastAsia="仿宋" w:cs="仿宋"/>
          <w:color w:val="auto"/>
          <w:spacing w:val="0"/>
          <w:w w:val="100"/>
          <w:position w:val="0"/>
          <w:sz w:val="36"/>
          <w:szCs w:val="36"/>
          <w:lang w:eastAsia="zh-CN"/>
        </w:rPr>
        <w:t>、</w:t>
      </w:r>
      <w:r>
        <w:rPr>
          <w:rFonts w:hint="eastAsia" w:ascii="仿宋" w:hAnsi="仿宋" w:eastAsia="仿宋" w:cs="仿宋"/>
          <w:b/>
          <w:bCs/>
          <w:color w:val="auto"/>
          <w:spacing w:val="6"/>
          <w:kern w:val="0"/>
          <w:sz w:val="36"/>
          <w:szCs w:val="36"/>
        </w:rPr>
        <w:t>残疾人福利性单位声明函</w:t>
      </w:r>
    </w:p>
    <w:p>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p>
    <w:p>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w:t>
      </w:r>
    </w:p>
    <w:p>
      <w:pPr>
        <w:widowControl/>
        <w:adjustRightInd w:val="0"/>
        <w:snapToGrid w:val="0"/>
        <w:spacing w:line="440" w:lineRule="exact"/>
        <w:ind w:firstLine="554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pPr>
        <w:widowControl/>
        <w:adjustRightInd w:val="0"/>
        <w:snapToGrid w:val="0"/>
        <w:spacing w:line="440" w:lineRule="exact"/>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                                      日  期：</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25"/>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11、评分标准和细则中技术部分证明材料（格式自拟</w:t>
      </w:r>
      <w:r>
        <w:rPr>
          <w:rFonts w:hint="eastAsia" w:ascii="仿宋" w:hAnsi="仿宋" w:eastAsia="仿宋" w:cs="仿宋"/>
          <w:color w:val="auto"/>
          <w:spacing w:val="0"/>
          <w:w w:val="100"/>
          <w:position w:val="0"/>
          <w:sz w:val="36"/>
          <w:szCs w:val="36"/>
          <w:lang w:val="en-US" w:eastAsia="zh-CN"/>
        </w:rPr>
        <w:t>）</w:t>
      </w: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pStyle w:val="10"/>
        <w:pageBreakBefore w:val="0"/>
        <w:widowControl w:val="0"/>
        <w:shd w:val="clear" w:color="auto" w:fill="auto"/>
        <w:tabs>
          <w:tab w:val="left" w:pos="5580"/>
        </w:tabs>
        <w:kinsoku/>
        <w:wordWrap/>
        <w:overflowPunct/>
        <w:topLinePunct w:val="0"/>
        <w:autoSpaceDE/>
        <w:autoSpaceDN/>
        <w:bidi w:val="0"/>
        <w:adjustRightInd/>
        <w:snapToGrid/>
        <w:spacing w:line="360" w:lineRule="auto"/>
        <w:ind w:left="115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（主要包括：技术部分技术指标、参数响应情况；投标产品的质量、性能）</w:t>
      </w:r>
      <w:r>
        <w:rPr>
          <w:rFonts w:hint="eastAsia" w:ascii="仿宋" w:hAnsi="仿宋" w:eastAsia="仿宋" w:cs="仿宋"/>
          <w:color w:val="auto"/>
          <w:sz w:val="24"/>
          <w:highlight w:val="none"/>
        </w:rPr>
        <w:t>。</w:t>
      </w:r>
    </w:p>
    <w:p>
      <w:pPr>
        <w:pStyle w:val="10"/>
        <w:pageBreakBefore w:val="0"/>
        <w:widowControl w:val="0"/>
        <w:shd w:val="clear" w:color="auto" w:fill="auto"/>
        <w:tabs>
          <w:tab w:val="left" w:pos="5580"/>
        </w:tabs>
        <w:kinsoku/>
        <w:wordWrap/>
        <w:overflowPunct/>
        <w:topLinePunct w:val="0"/>
        <w:autoSpaceDE/>
        <w:autoSpaceDN/>
        <w:bidi w:val="0"/>
        <w:adjustRightInd/>
        <w:snapToGrid/>
        <w:spacing w:line="360" w:lineRule="auto"/>
        <w:ind w:firstLine="144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2"/>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ind w:leftChars="257"/>
        <w:jc w:val="center"/>
        <w:rPr>
          <w:rFonts w:hint="eastAsia" w:ascii="仿宋" w:hAnsi="仿宋" w:eastAsia="仿宋" w:cs="仿宋"/>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10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12、评分标准和细则中商务部分证明材料（格式自拟）</w:t>
      </w:r>
    </w:p>
    <w:p>
      <w:pPr>
        <w:pStyle w:val="10"/>
        <w:shd w:val="clear" w:color="auto" w:fill="auto"/>
        <w:tabs>
          <w:tab w:val="left" w:pos="5580"/>
        </w:tabs>
        <w:spacing w:line="240" w:lineRule="atLeast"/>
        <w:rPr>
          <w:rFonts w:hint="eastAsia" w:ascii="仿宋" w:hAnsi="仿宋" w:eastAsia="仿宋" w:cs="仿宋"/>
          <w:color w:val="auto"/>
          <w:sz w:val="24"/>
          <w:highlight w:val="none"/>
        </w:rPr>
      </w:pPr>
    </w:p>
    <w:p>
      <w:pPr>
        <w:pStyle w:val="10"/>
        <w:keepNext w:val="0"/>
        <w:keepLines w:val="0"/>
        <w:pageBreakBefore w:val="0"/>
        <w:widowControl w:val="0"/>
        <w:shd w:val="clear" w:color="auto" w:fill="auto"/>
        <w:tabs>
          <w:tab w:val="left" w:pos="5580"/>
        </w:tabs>
        <w:kinsoku/>
        <w:wordWrap/>
        <w:overflowPunct/>
        <w:topLinePunct w:val="0"/>
        <w:autoSpaceDE/>
        <w:autoSpaceDN/>
        <w:bidi w:val="0"/>
        <w:spacing w:line="360" w:lineRule="auto"/>
        <w:ind w:left="1157"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w:t>
      </w:r>
      <w:r>
        <w:rPr>
          <w:rFonts w:hint="eastAsia" w:ascii="仿宋" w:hAnsi="仿宋" w:eastAsia="仿宋" w:cs="仿宋"/>
          <w:color w:val="auto"/>
          <w:sz w:val="24"/>
          <w:highlight w:val="none"/>
          <w:lang w:val="en-US" w:eastAsia="zh-CN"/>
        </w:rPr>
        <w:t>售后服务及培训方案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类似业绩、质保期及交货期</w:t>
      </w:r>
      <w:r>
        <w:rPr>
          <w:rFonts w:hint="eastAsia" w:ascii="仿宋" w:hAnsi="仿宋" w:eastAsia="仿宋" w:cs="仿宋"/>
          <w:color w:val="auto"/>
          <w:sz w:val="24"/>
          <w:highlight w:val="none"/>
          <w:lang w:eastAsia="zh-CN"/>
        </w:rPr>
        <w:t>等）</w:t>
      </w:r>
      <w:r>
        <w:rPr>
          <w:rFonts w:hint="eastAsia" w:ascii="仿宋" w:hAnsi="仿宋" w:eastAsia="仿宋" w:cs="仿宋"/>
          <w:color w:val="auto"/>
          <w:sz w:val="24"/>
          <w:highlight w:val="none"/>
        </w:rPr>
        <w:t>。</w:t>
      </w:r>
    </w:p>
    <w:p>
      <w:pPr>
        <w:pStyle w:val="10"/>
        <w:keepNext w:val="0"/>
        <w:keepLines w:val="0"/>
        <w:pageBreakBefore w:val="0"/>
        <w:widowControl w:val="0"/>
        <w:shd w:val="clear" w:color="auto" w:fill="auto"/>
        <w:tabs>
          <w:tab w:val="left" w:pos="5580"/>
        </w:tabs>
        <w:kinsoku/>
        <w:wordWrap/>
        <w:overflowPunct/>
        <w:topLinePunct w:val="0"/>
        <w:autoSpaceDE/>
        <w:autoSpaceDN/>
        <w:bidi w:val="0"/>
        <w:spacing w:line="360" w:lineRule="auto"/>
        <w:ind w:firstLine="1440" w:firstLineChars="6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4"/>
        <w:keepNext w:val="0"/>
        <w:keepLines w:val="0"/>
        <w:pageBreakBefore w:val="0"/>
        <w:widowControl w:val="0"/>
        <w:numPr>
          <w:ilvl w:val="1"/>
          <w:numId w:val="0"/>
        </w:numPr>
        <w:shd w:val="clear" w:color="auto" w:fill="auto"/>
        <w:kinsoku/>
        <w:wordWrap/>
        <w:overflowPunct/>
        <w:topLinePunct w:val="0"/>
        <w:autoSpaceDE/>
        <w:autoSpaceDN/>
        <w:bidi w:val="0"/>
        <w:spacing w:before="0" w:line="360" w:lineRule="auto"/>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 xml:space="preserve">    </w:t>
      </w: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rPr>
          <w:rFonts w:hint="eastAsia" w:ascii="仿宋" w:hAnsi="仿宋" w:eastAsia="仿宋" w:cs="仿宋"/>
          <w:color w:val="auto"/>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pStyle w:val="4"/>
        <w:numPr>
          <w:ilvl w:val="1"/>
          <w:numId w:val="0"/>
        </w:numPr>
        <w:shd w:val="clear" w:color="auto" w:fill="auto"/>
        <w:spacing w:before="0" w:line="240" w:lineRule="atLeast"/>
        <w:jc w:val="left"/>
        <w:rPr>
          <w:rFonts w:hint="eastAsia" w:ascii="仿宋" w:hAnsi="仿宋" w:eastAsia="仿宋" w:cs="仿宋"/>
          <w:b/>
          <w:bCs/>
          <w:color w:val="auto"/>
          <w:sz w:val="24"/>
          <w:highlight w:val="none"/>
          <w:lang w:val="en-US" w:eastAsia="zh-CN"/>
        </w:rPr>
      </w:pPr>
    </w:p>
    <w:p>
      <w:pPr>
        <w:shd w:val="clear" w:color="auto" w:fill="auto"/>
        <w:tabs>
          <w:tab w:val="left" w:pos="3600"/>
        </w:tabs>
        <w:adjustRightInd w:val="0"/>
        <w:snapToGrid w:val="0"/>
        <w:spacing w:line="440" w:lineRule="exact"/>
        <w:jc w:val="center"/>
        <w:rPr>
          <w:rFonts w:hint="eastAsia" w:ascii="仿宋" w:hAnsi="仿宋" w:eastAsia="仿宋" w:cs="仿宋"/>
          <w:b/>
          <w:bCs/>
          <w:color w:val="auto"/>
          <w:spacing w:val="0"/>
          <w:w w:val="90"/>
          <w:position w:val="0"/>
          <w:sz w:val="36"/>
          <w:szCs w:val="36"/>
          <w:lang w:val="en-US" w:eastAsia="zh-CN"/>
        </w:rPr>
      </w:pPr>
      <w:r>
        <w:rPr>
          <w:rFonts w:hint="eastAsia" w:ascii="仿宋" w:hAnsi="仿宋" w:eastAsia="仿宋" w:cs="仿宋"/>
          <w:b/>
          <w:bCs/>
          <w:color w:val="auto"/>
          <w:spacing w:val="0"/>
          <w:w w:val="100"/>
          <w:position w:val="0"/>
          <w:sz w:val="36"/>
          <w:szCs w:val="36"/>
          <w:lang w:val="en-US" w:eastAsia="zh-CN"/>
        </w:rPr>
        <w:t>13、</w:t>
      </w:r>
      <w:r>
        <w:rPr>
          <w:rFonts w:hint="eastAsia" w:ascii="仿宋" w:hAnsi="仿宋" w:eastAsia="仿宋" w:cs="仿宋"/>
          <w:b/>
          <w:bCs/>
          <w:color w:val="auto"/>
          <w:spacing w:val="0"/>
          <w:w w:val="90"/>
          <w:position w:val="0"/>
          <w:sz w:val="36"/>
          <w:szCs w:val="36"/>
          <w:lang w:val="en-US" w:eastAsia="zh-CN"/>
        </w:rPr>
        <w:t>投标人认为有必要提供的其他证明材料（格式自拟）</w:t>
      </w:r>
    </w:p>
    <w:p>
      <w:pPr>
        <w:pStyle w:val="10"/>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p>
    <w:p>
      <w:pPr>
        <w:pStyle w:val="10"/>
        <w:shd w:val="clear" w:color="auto" w:fill="auto"/>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说明：复印件上应加盖本单位章（自然人投标的无需盖章，需要签字）。</w:t>
      </w:r>
    </w:p>
    <w:p>
      <w:pPr>
        <w:pStyle w:val="11"/>
        <w:rPr>
          <w:rFonts w:hint="eastAsia"/>
          <w:color w:val="auto"/>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1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p>
  <w:p>
    <w:pPr>
      <w:pStyle w:val="12"/>
      <w:tabs>
        <w:tab w:val="center" w:pos="4320"/>
        <w:tab w:val="right" w:pos="8640"/>
        <w:tab w:val="clear" w:pos="4153"/>
        <w:tab w:val="clear" w:pos="8306"/>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rPr>
        <w:rFonts w:hint="eastAsia"/>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r>
      <w:rPr>
        <w:rFonts w:hint="eastAsia" w:ascii="宋体" w:hAnsi="宋体" w:eastAsia="宋体" w:cs="宋体"/>
        <w:b w:val="0"/>
        <w:bCs w:val="0"/>
        <w:color w:val="auto"/>
        <w:sz w:val="24"/>
        <w:szCs w:val="24"/>
        <w:u w:val="none"/>
        <w:lang w:val="en-US" w:eastAsia="zh-CN"/>
      </w:rPr>
      <w:t xml:space="preserve">  </w:t>
    </w:r>
    <w:r>
      <w:rPr>
        <w:rFonts w:hint="eastAsia"/>
        <w:sz w:val="13"/>
        <w:szCs w:val="13"/>
      </w:rPr>
      <w:t xml:space="preserve"> </w:t>
    </w:r>
    <w:r>
      <w:rPr>
        <w:rFonts w:hint="eastAsia"/>
      </w:rPr>
      <w:t xml:space="preserve"> </w:t>
    </w:r>
    <w:r>
      <w:rPr>
        <w:rFonts w:hint="eastAsia"/>
        <w:color w:val="800000"/>
        <w:sz w:val="16"/>
        <w:szCs w:val="20"/>
        <w:lang w:val="en-US" w:eastAsia="zh-CN"/>
      </w:rPr>
      <w:t xml:space="preserve">      </w:t>
    </w:r>
  </w:p>
  <w:p>
    <w:pPr>
      <w:pStyle w:val="12"/>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pPr>
      <w:pStyle w:val="12"/>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7C9FA"/>
    <w:multiLevelType w:val="singleLevel"/>
    <w:tmpl w:val="ACF7C9FA"/>
    <w:lvl w:ilvl="0" w:tentative="0">
      <w:start w:val="4"/>
      <w:numFmt w:val="chineseCounting"/>
      <w:suff w:val="space"/>
      <w:lvlText w:val="第%1章"/>
      <w:lvlJc w:val="left"/>
      <w:rPr>
        <w:rFonts w:hint="eastAsia"/>
        <w:sz w:val="36"/>
        <w:szCs w:val="36"/>
      </w:rPr>
    </w:lvl>
  </w:abstractNum>
  <w:abstractNum w:abstractNumId="1">
    <w:nsid w:val="B118B00A"/>
    <w:multiLevelType w:val="singleLevel"/>
    <w:tmpl w:val="B118B00A"/>
    <w:lvl w:ilvl="0" w:tentative="0">
      <w:start w:val="1"/>
      <w:numFmt w:val="decimal"/>
      <w:suff w:val="nothing"/>
      <w:lvlText w:val="%1、"/>
      <w:lvlJc w:val="left"/>
    </w:lvl>
  </w:abstractNum>
  <w:abstractNum w:abstractNumId="2">
    <w:nsid w:val="FAF293B7"/>
    <w:multiLevelType w:val="singleLevel"/>
    <w:tmpl w:val="FAF293B7"/>
    <w:lvl w:ilvl="0" w:tentative="0">
      <w:start w:val="1"/>
      <w:numFmt w:val="decimal"/>
      <w:suff w:val="nothing"/>
      <w:lvlText w:val="%1、"/>
      <w:lvlJc w:val="left"/>
    </w:lvl>
  </w:abstractNum>
  <w:abstractNum w:abstractNumId="3">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3105F6B5"/>
    <w:multiLevelType w:val="singleLevel"/>
    <w:tmpl w:val="3105F6B5"/>
    <w:lvl w:ilvl="0" w:tentative="0">
      <w:start w:val="1"/>
      <w:numFmt w:val="decimal"/>
      <w:suff w:val="nothing"/>
      <w:lvlText w:val="%1、"/>
      <w:lvlJc w:val="left"/>
      <w:pPr>
        <w:ind w:left="320" w:leftChars="0" w:firstLine="0" w:firstLineChars="0"/>
      </w:pPr>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2"/>
  </w:num>
  <w:num w:numId="3">
    <w:abstractNumId w:val="5"/>
  </w:num>
  <w:num w:numId="4">
    <w:abstractNumId w:val="6"/>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OWU4MTkxMzI5ZjRmN2NhMzE2N2ZkYjA5YTE3NjAifQ=="/>
  </w:docVars>
  <w:rsids>
    <w:rsidRoot w:val="430832B2"/>
    <w:rsid w:val="00036274"/>
    <w:rsid w:val="001C66E0"/>
    <w:rsid w:val="00271C3B"/>
    <w:rsid w:val="00472A86"/>
    <w:rsid w:val="00DF3300"/>
    <w:rsid w:val="0123584C"/>
    <w:rsid w:val="01387A0A"/>
    <w:rsid w:val="01417D4B"/>
    <w:rsid w:val="015E08CF"/>
    <w:rsid w:val="01E44B68"/>
    <w:rsid w:val="01EF205D"/>
    <w:rsid w:val="023C35FE"/>
    <w:rsid w:val="025D7EBF"/>
    <w:rsid w:val="03120DC1"/>
    <w:rsid w:val="03494ECF"/>
    <w:rsid w:val="038329E4"/>
    <w:rsid w:val="03DF15D3"/>
    <w:rsid w:val="04197466"/>
    <w:rsid w:val="042A106A"/>
    <w:rsid w:val="04DF1D99"/>
    <w:rsid w:val="04F35535"/>
    <w:rsid w:val="054243A3"/>
    <w:rsid w:val="05CE725F"/>
    <w:rsid w:val="05E31007"/>
    <w:rsid w:val="06141E47"/>
    <w:rsid w:val="063B7194"/>
    <w:rsid w:val="066664C7"/>
    <w:rsid w:val="067D7F4C"/>
    <w:rsid w:val="074D53D1"/>
    <w:rsid w:val="07C734A6"/>
    <w:rsid w:val="08323FEC"/>
    <w:rsid w:val="085D5AE7"/>
    <w:rsid w:val="091D420B"/>
    <w:rsid w:val="09231976"/>
    <w:rsid w:val="093F2ABC"/>
    <w:rsid w:val="095C0B65"/>
    <w:rsid w:val="099C0E75"/>
    <w:rsid w:val="0A5E0271"/>
    <w:rsid w:val="0A982D0F"/>
    <w:rsid w:val="0AD77765"/>
    <w:rsid w:val="0AEC1713"/>
    <w:rsid w:val="0B213EE8"/>
    <w:rsid w:val="0B2F3756"/>
    <w:rsid w:val="0B680A2B"/>
    <w:rsid w:val="0B84310F"/>
    <w:rsid w:val="0B9E39F1"/>
    <w:rsid w:val="0BF26C44"/>
    <w:rsid w:val="0CDD46C2"/>
    <w:rsid w:val="0D2B33CB"/>
    <w:rsid w:val="0DE97ED5"/>
    <w:rsid w:val="0E782F04"/>
    <w:rsid w:val="0F5301E8"/>
    <w:rsid w:val="0F9E7F65"/>
    <w:rsid w:val="10685029"/>
    <w:rsid w:val="107847B5"/>
    <w:rsid w:val="10DF5227"/>
    <w:rsid w:val="110E25D3"/>
    <w:rsid w:val="11A227BD"/>
    <w:rsid w:val="11BC2427"/>
    <w:rsid w:val="130308CA"/>
    <w:rsid w:val="135B3A09"/>
    <w:rsid w:val="13725EDE"/>
    <w:rsid w:val="13F25F1E"/>
    <w:rsid w:val="141B6527"/>
    <w:rsid w:val="14333C53"/>
    <w:rsid w:val="147F77B9"/>
    <w:rsid w:val="14C81165"/>
    <w:rsid w:val="15164F4C"/>
    <w:rsid w:val="1525173B"/>
    <w:rsid w:val="153C6A85"/>
    <w:rsid w:val="154A73F4"/>
    <w:rsid w:val="156D10F1"/>
    <w:rsid w:val="158B20E1"/>
    <w:rsid w:val="15AE1060"/>
    <w:rsid w:val="15E839EB"/>
    <w:rsid w:val="160A2911"/>
    <w:rsid w:val="167B61DA"/>
    <w:rsid w:val="169D7529"/>
    <w:rsid w:val="170A0FC7"/>
    <w:rsid w:val="171F0B4E"/>
    <w:rsid w:val="17451C21"/>
    <w:rsid w:val="17EB3771"/>
    <w:rsid w:val="182C2DE0"/>
    <w:rsid w:val="18333FC9"/>
    <w:rsid w:val="184B14B9"/>
    <w:rsid w:val="18BB11EA"/>
    <w:rsid w:val="18D07C10"/>
    <w:rsid w:val="18FE29CF"/>
    <w:rsid w:val="1910625E"/>
    <w:rsid w:val="19791440"/>
    <w:rsid w:val="198D3D53"/>
    <w:rsid w:val="19E75211"/>
    <w:rsid w:val="19F6321A"/>
    <w:rsid w:val="1A322520"/>
    <w:rsid w:val="1A3C3B56"/>
    <w:rsid w:val="1AA14F3E"/>
    <w:rsid w:val="1AED2CFB"/>
    <w:rsid w:val="1AFA15B8"/>
    <w:rsid w:val="1BD6471C"/>
    <w:rsid w:val="1BE65325"/>
    <w:rsid w:val="1CD72625"/>
    <w:rsid w:val="1DDC0771"/>
    <w:rsid w:val="1E6813A9"/>
    <w:rsid w:val="1E91363A"/>
    <w:rsid w:val="1ECE4F82"/>
    <w:rsid w:val="1EE5064C"/>
    <w:rsid w:val="1F232690"/>
    <w:rsid w:val="1F5B26D6"/>
    <w:rsid w:val="1F6007D8"/>
    <w:rsid w:val="1FBF7012"/>
    <w:rsid w:val="206F41B2"/>
    <w:rsid w:val="2080160F"/>
    <w:rsid w:val="22965E6B"/>
    <w:rsid w:val="22A01578"/>
    <w:rsid w:val="22F917C9"/>
    <w:rsid w:val="231D6147"/>
    <w:rsid w:val="23874BA3"/>
    <w:rsid w:val="23B31F24"/>
    <w:rsid w:val="24AA355B"/>
    <w:rsid w:val="24D80E4E"/>
    <w:rsid w:val="25002F8D"/>
    <w:rsid w:val="250F1BE1"/>
    <w:rsid w:val="25546BA5"/>
    <w:rsid w:val="25550156"/>
    <w:rsid w:val="25777D91"/>
    <w:rsid w:val="260D7B4D"/>
    <w:rsid w:val="26490DAB"/>
    <w:rsid w:val="267D2FA7"/>
    <w:rsid w:val="26D37563"/>
    <w:rsid w:val="26E45926"/>
    <w:rsid w:val="27161DF2"/>
    <w:rsid w:val="27D72414"/>
    <w:rsid w:val="283D072F"/>
    <w:rsid w:val="285C7E68"/>
    <w:rsid w:val="286B44D3"/>
    <w:rsid w:val="28CE180E"/>
    <w:rsid w:val="291C049E"/>
    <w:rsid w:val="299F2BD7"/>
    <w:rsid w:val="29DC7303"/>
    <w:rsid w:val="2A2953D2"/>
    <w:rsid w:val="2A403E4C"/>
    <w:rsid w:val="2A6F2C28"/>
    <w:rsid w:val="2AB303AA"/>
    <w:rsid w:val="2AF552B4"/>
    <w:rsid w:val="2B7102E5"/>
    <w:rsid w:val="2B762634"/>
    <w:rsid w:val="2C047AD0"/>
    <w:rsid w:val="2C4C731E"/>
    <w:rsid w:val="2C7C4FC9"/>
    <w:rsid w:val="2D1B0C53"/>
    <w:rsid w:val="2DF06B27"/>
    <w:rsid w:val="2DF1140A"/>
    <w:rsid w:val="2E1B0C2F"/>
    <w:rsid w:val="2E764B34"/>
    <w:rsid w:val="2E9D1F9E"/>
    <w:rsid w:val="2FA50B1C"/>
    <w:rsid w:val="305F7D9F"/>
    <w:rsid w:val="30F23B87"/>
    <w:rsid w:val="31286C3D"/>
    <w:rsid w:val="31C54436"/>
    <w:rsid w:val="328E505E"/>
    <w:rsid w:val="335C76C1"/>
    <w:rsid w:val="337551E4"/>
    <w:rsid w:val="33974E7C"/>
    <w:rsid w:val="34325BDF"/>
    <w:rsid w:val="3464452F"/>
    <w:rsid w:val="34AC63E7"/>
    <w:rsid w:val="35427B0F"/>
    <w:rsid w:val="355166BF"/>
    <w:rsid w:val="35C66178"/>
    <w:rsid w:val="36AA5E0A"/>
    <w:rsid w:val="36E42A50"/>
    <w:rsid w:val="379F4F25"/>
    <w:rsid w:val="37D44BCF"/>
    <w:rsid w:val="38083993"/>
    <w:rsid w:val="386C0CA7"/>
    <w:rsid w:val="3891387E"/>
    <w:rsid w:val="389B56ED"/>
    <w:rsid w:val="38C56C0D"/>
    <w:rsid w:val="39C72577"/>
    <w:rsid w:val="3A1273C6"/>
    <w:rsid w:val="3A283A12"/>
    <w:rsid w:val="3AE06945"/>
    <w:rsid w:val="3BC55DD4"/>
    <w:rsid w:val="3BFA097C"/>
    <w:rsid w:val="3CA827C1"/>
    <w:rsid w:val="3CAD59EE"/>
    <w:rsid w:val="3D681E63"/>
    <w:rsid w:val="3D751F42"/>
    <w:rsid w:val="3E0E1F27"/>
    <w:rsid w:val="3E983751"/>
    <w:rsid w:val="3ED26025"/>
    <w:rsid w:val="3F5258C6"/>
    <w:rsid w:val="3FA7735D"/>
    <w:rsid w:val="408E72C3"/>
    <w:rsid w:val="408E7BCF"/>
    <w:rsid w:val="40B26236"/>
    <w:rsid w:val="413A315B"/>
    <w:rsid w:val="41523CEF"/>
    <w:rsid w:val="41681350"/>
    <w:rsid w:val="416F668A"/>
    <w:rsid w:val="419F6662"/>
    <w:rsid w:val="41A72D03"/>
    <w:rsid w:val="41BC55E0"/>
    <w:rsid w:val="41CC18D7"/>
    <w:rsid w:val="41E33C60"/>
    <w:rsid w:val="420B7389"/>
    <w:rsid w:val="42297C51"/>
    <w:rsid w:val="423544BC"/>
    <w:rsid w:val="423563C7"/>
    <w:rsid w:val="42C03A5A"/>
    <w:rsid w:val="42C216AB"/>
    <w:rsid w:val="42C57370"/>
    <w:rsid w:val="430832B2"/>
    <w:rsid w:val="43567539"/>
    <w:rsid w:val="435B2B0B"/>
    <w:rsid w:val="43784FA9"/>
    <w:rsid w:val="4379487C"/>
    <w:rsid w:val="445769C9"/>
    <w:rsid w:val="44740DA7"/>
    <w:rsid w:val="44951B21"/>
    <w:rsid w:val="4501031B"/>
    <w:rsid w:val="454815E5"/>
    <w:rsid w:val="45712B3F"/>
    <w:rsid w:val="457C2033"/>
    <w:rsid w:val="46A95479"/>
    <w:rsid w:val="46F77B89"/>
    <w:rsid w:val="4706296E"/>
    <w:rsid w:val="4743767B"/>
    <w:rsid w:val="49662FAD"/>
    <w:rsid w:val="49726A4B"/>
    <w:rsid w:val="4A0D2D7D"/>
    <w:rsid w:val="4A4B2CCE"/>
    <w:rsid w:val="4A69564B"/>
    <w:rsid w:val="4AEE76E3"/>
    <w:rsid w:val="4B856EF0"/>
    <w:rsid w:val="4BB73B85"/>
    <w:rsid w:val="4BEC4616"/>
    <w:rsid w:val="4BF478AD"/>
    <w:rsid w:val="4BF50141"/>
    <w:rsid w:val="4C17384D"/>
    <w:rsid w:val="4C257A37"/>
    <w:rsid w:val="4C8229F4"/>
    <w:rsid w:val="4CF5766A"/>
    <w:rsid w:val="4CF71E3A"/>
    <w:rsid w:val="4DA15649"/>
    <w:rsid w:val="4DF50B78"/>
    <w:rsid w:val="4E6938E7"/>
    <w:rsid w:val="4E701DC0"/>
    <w:rsid w:val="4F006719"/>
    <w:rsid w:val="4F2E489B"/>
    <w:rsid w:val="4F5166AD"/>
    <w:rsid w:val="4F5D25FD"/>
    <w:rsid w:val="4FB41D44"/>
    <w:rsid w:val="4FCC0E0D"/>
    <w:rsid w:val="50BF6E81"/>
    <w:rsid w:val="5119117C"/>
    <w:rsid w:val="513F080C"/>
    <w:rsid w:val="515317E5"/>
    <w:rsid w:val="515B13D4"/>
    <w:rsid w:val="52324560"/>
    <w:rsid w:val="52485F28"/>
    <w:rsid w:val="52654DCD"/>
    <w:rsid w:val="5306542C"/>
    <w:rsid w:val="533662E6"/>
    <w:rsid w:val="53390376"/>
    <w:rsid w:val="534704F3"/>
    <w:rsid w:val="53746819"/>
    <w:rsid w:val="53940122"/>
    <w:rsid w:val="54E43D6A"/>
    <w:rsid w:val="553813F1"/>
    <w:rsid w:val="55B81281"/>
    <w:rsid w:val="56493792"/>
    <w:rsid w:val="57566F57"/>
    <w:rsid w:val="57D3597F"/>
    <w:rsid w:val="58610A5D"/>
    <w:rsid w:val="58A83ABB"/>
    <w:rsid w:val="59342057"/>
    <w:rsid w:val="597C103E"/>
    <w:rsid w:val="59BD150F"/>
    <w:rsid w:val="59E562F1"/>
    <w:rsid w:val="5A772A5F"/>
    <w:rsid w:val="5A7E608A"/>
    <w:rsid w:val="5AE0581C"/>
    <w:rsid w:val="5BE43388"/>
    <w:rsid w:val="5C233588"/>
    <w:rsid w:val="5CA75AA1"/>
    <w:rsid w:val="5CBC3478"/>
    <w:rsid w:val="5CD53D28"/>
    <w:rsid w:val="5CFE772B"/>
    <w:rsid w:val="5D2366CB"/>
    <w:rsid w:val="5D2E6280"/>
    <w:rsid w:val="5D3331A6"/>
    <w:rsid w:val="5D692769"/>
    <w:rsid w:val="5E0B0134"/>
    <w:rsid w:val="5E135BA1"/>
    <w:rsid w:val="5E1D1079"/>
    <w:rsid w:val="5EDA6373"/>
    <w:rsid w:val="5F0C00BF"/>
    <w:rsid w:val="601F4136"/>
    <w:rsid w:val="6031773D"/>
    <w:rsid w:val="606D7C3D"/>
    <w:rsid w:val="60C45E60"/>
    <w:rsid w:val="62123B3B"/>
    <w:rsid w:val="622D3D77"/>
    <w:rsid w:val="625F4F5E"/>
    <w:rsid w:val="634A483E"/>
    <w:rsid w:val="635F385C"/>
    <w:rsid w:val="63D82DD5"/>
    <w:rsid w:val="642B45E0"/>
    <w:rsid w:val="64604EAC"/>
    <w:rsid w:val="64740A1C"/>
    <w:rsid w:val="64DF79CD"/>
    <w:rsid w:val="65AE7F5E"/>
    <w:rsid w:val="66457796"/>
    <w:rsid w:val="6695111E"/>
    <w:rsid w:val="66A5387A"/>
    <w:rsid w:val="66BA5854"/>
    <w:rsid w:val="67656B1B"/>
    <w:rsid w:val="67AA72F1"/>
    <w:rsid w:val="67AE419D"/>
    <w:rsid w:val="67B22635"/>
    <w:rsid w:val="683769EB"/>
    <w:rsid w:val="68BF6DF6"/>
    <w:rsid w:val="68D66492"/>
    <w:rsid w:val="698C50B9"/>
    <w:rsid w:val="69D47128"/>
    <w:rsid w:val="6A1C4030"/>
    <w:rsid w:val="6AA20672"/>
    <w:rsid w:val="6ADE7537"/>
    <w:rsid w:val="6B221B0E"/>
    <w:rsid w:val="6B506044"/>
    <w:rsid w:val="6C5067B1"/>
    <w:rsid w:val="6C7543E1"/>
    <w:rsid w:val="6C963B87"/>
    <w:rsid w:val="6C9F4DA0"/>
    <w:rsid w:val="6CA96079"/>
    <w:rsid w:val="6CAC1F8A"/>
    <w:rsid w:val="6CC81EA4"/>
    <w:rsid w:val="6D040A20"/>
    <w:rsid w:val="6D3756D1"/>
    <w:rsid w:val="6D37776E"/>
    <w:rsid w:val="6D3E293F"/>
    <w:rsid w:val="6DBD66CF"/>
    <w:rsid w:val="6EEE4B4A"/>
    <w:rsid w:val="6F171462"/>
    <w:rsid w:val="6F782CCB"/>
    <w:rsid w:val="6FFC5967"/>
    <w:rsid w:val="701E297D"/>
    <w:rsid w:val="704838FD"/>
    <w:rsid w:val="709119F6"/>
    <w:rsid w:val="71F7318A"/>
    <w:rsid w:val="721A3870"/>
    <w:rsid w:val="72951E3C"/>
    <w:rsid w:val="72DB435C"/>
    <w:rsid w:val="739641CD"/>
    <w:rsid w:val="746335E0"/>
    <w:rsid w:val="7478047E"/>
    <w:rsid w:val="74B1717B"/>
    <w:rsid w:val="74D13CD9"/>
    <w:rsid w:val="75406BDD"/>
    <w:rsid w:val="754C749B"/>
    <w:rsid w:val="75965354"/>
    <w:rsid w:val="75AB1C93"/>
    <w:rsid w:val="75DF2050"/>
    <w:rsid w:val="76013DC0"/>
    <w:rsid w:val="761B163F"/>
    <w:rsid w:val="76810114"/>
    <w:rsid w:val="76E41762"/>
    <w:rsid w:val="7717316E"/>
    <w:rsid w:val="77603777"/>
    <w:rsid w:val="77901BB9"/>
    <w:rsid w:val="77C7479C"/>
    <w:rsid w:val="77EC0C4E"/>
    <w:rsid w:val="78066149"/>
    <w:rsid w:val="786C31EE"/>
    <w:rsid w:val="788E3223"/>
    <w:rsid w:val="78E06AB0"/>
    <w:rsid w:val="791F1447"/>
    <w:rsid w:val="798E0318"/>
    <w:rsid w:val="799B65F3"/>
    <w:rsid w:val="799F324F"/>
    <w:rsid w:val="7A630025"/>
    <w:rsid w:val="7AD93877"/>
    <w:rsid w:val="7AF75AB2"/>
    <w:rsid w:val="7BFC0690"/>
    <w:rsid w:val="7C406110"/>
    <w:rsid w:val="7CBB10C8"/>
    <w:rsid w:val="7CC540BD"/>
    <w:rsid w:val="7D162B61"/>
    <w:rsid w:val="7D277D65"/>
    <w:rsid w:val="7D423759"/>
    <w:rsid w:val="7D695F1A"/>
    <w:rsid w:val="7DD956AA"/>
    <w:rsid w:val="7E2D5B39"/>
    <w:rsid w:val="7E3239CA"/>
    <w:rsid w:val="7ED160D1"/>
    <w:rsid w:val="7FD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szCs w:val="20"/>
    </w:rPr>
  </w:style>
  <w:style w:type="paragraph" w:styleId="7">
    <w:name w:val="index 6"/>
    <w:basedOn w:val="1"/>
    <w:next w:val="1"/>
    <w:qFormat/>
    <w:uiPriority w:val="99"/>
    <w:pPr>
      <w:ind w:left="2100"/>
    </w:pPr>
  </w:style>
  <w:style w:type="paragraph" w:styleId="8">
    <w:name w:val="Body Text"/>
    <w:basedOn w:val="1"/>
    <w:next w:val="1"/>
    <w:qFormat/>
    <w:uiPriority w:val="99"/>
    <w:pPr>
      <w:numPr>
        <w:ilvl w:val="0"/>
        <w:numId w:val="1"/>
      </w:numPr>
      <w:tabs>
        <w:tab w:val="clear" w:pos="780"/>
      </w:tabs>
      <w:ind w:left="0" w:firstLine="0"/>
    </w:pPr>
    <w:rPr>
      <w:rFonts w:ascii="黑体" w:eastAsia="黑体"/>
      <w:sz w:val="22"/>
    </w:rPr>
  </w:style>
  <w:style w:type="paragraph" w:styleId="9">
    <w:name w:val="Body Text Indent"/>
    <w:basedOn w:val="1"/>
    <w:next w:val="1"/>
    <w:qFormat/>
    <w:uiPriority w:val="0"/>
    <w:pPr>
      <w:spacing w:after="120"/>
      <w:ind w:left="200" w:leftChars="200"/>
    </w:pPr>
  </w:style>
  <w:style w:type="paragraph" w:styleId="10">
    <w:name w:val="Plain Text"/>
    <w:basedOn w:val="1"/>
    <w:next w:val="11"/>
    <w:qFormat/>
    <w:uiPriority w:val="0"/>
    <w:rPr>
      <w:rFonts w:ascii="宋体"/>
      <w:color w:val="000000"/>
      <w:szCs w:val="20"/>
      <w:u w:val="none" w:color="000000"/>
    </w:rPr>
  </w:style>
  <w:style w:type="paragraph" w:styleId="11">
    <w:name w:val="index 7"/>
    <w:basedOn w:val="1"/>
    <w:next w:val="1"/>
    <w:qFormat/>
    <w:uiPriority w:val="0"/>
    <w:pPr>
      <w:autoSpaceDE/>
      <w:autoSpaceDN/>
      <w:adjustRightInd/>
      <w:ind w:left="1200" w:leftChars="1200"/>
    </w:pPr>
    <w:rPr>
      <w:color w:val="auto"/>
      <w:kern w:val="2"/>
      <w:szCs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semiHidden/>
    <w:unhideWhenUsed/>
    <w:qFormat/>
    <w:uiPriority w:val="99"/>
    <w:pPr>
      <w:snapToGrid w:val="0"/>
      <w:jc w:val="left"/>
    </w:pPr>
    <w:rPr>
      <w:sz w:val="18"/>
      <w:szCs w:val="18"/>
    </w:rPr>
  </w:style>
  <w:style w:type="paragraph" w:styleId="15">
    <w:name w:val="Body Text 2"/>
    <w:basedOn w:val="1"/>
    <w:qFormat/>
    <w:uiPriority w:val="0"/>
    <w:pPr>
      <w:tabs>
        <w:tab w:val="left" w:pos="0"/>
      </w:tabs>
      <w:spacing w:line="400" w:lineRule="atLeast"/>
    </w:pPr>
    <w:rPr>
      <w:rFonts w:ascii="Arial" w:hAnsi="Arial"/>
      <w:color w:val="000000"/>
    </w:rPr>
  </w:style>
  <w:style w:type="paragraph" w:styleId="16">
    <w:name w:val="Normal (Web)"/>
    <w:basedOn w:val="1"/>
    <w:qFormat/>
    <w:uiPriority w:val="99"/>
    <w:pPr>
      <w:widowControl/>
      <w:jc w:val="left"/>
    </w:pPr>
    <w:rPr>
      <w:rFonts w:ascii="宋体" w:hAnsi="宋体" w:eastAsia="宋体" w:cs="宋体"/>
      <w:kern w:val="0"/>
      <w:sz w:val="24"/>
      <w:szCs w:val="24"/>
    </w:rPr>
  </w:style>
  <w:style w:type="paragraph" w:styleId="17">
    <w:name w:val="Body Text First Indent 2"/>
    <w:basedOn w:val="9"/>
    <w:semiHidden/>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qFormat/>
    <w:uiPriority w:val="99"/>
    <w:rPr>
      <w:color w:val="0000FF"/>
      <w:u w:val="single"/>
    </w:rPr>
  </w:style>
  <w:style w:type="character" w:styleId="23">
    <w:name w:val="footnote reference"/>
    <w:basedOn w:val="20"/>
    <w:semiHidden/>
    <w:unhideWhenUsed/>
    <w:qFormat/>
    <w:uiPriority w:val="99"/>
    <w:rPr>
      <w:vertAlign w:val="superscript"/>
    </w:rPr>
  </w:style>
  <w:style w:type="paragraph" w:customStyle="1" w:styleId="24">
    <w:name w:val="_Style 2"/>
    <w:basedOn w:val="3"/>
    <w:next w:val="1"/>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25">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6">
    <w:name w:val="文档正文"/>
    <w:basedOn w:val="5"/>
    <w:qFormat/>
    <w:uiPriority w:val="0"/>
    <w:pPr>
      <w:spacing w:line="360" w:lineRule="auto"/>
    </w:pPr>
    <w:rPr>
      <w:rFonts w:ascii="宋体" w:hAnsi="宋体"/>
      <w:b/>
      <w:bCs/>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29">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30">
    <w:name w:val="Body text|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32">
    <w:name w:val="Tabl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33">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3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35">
    <w:name w:val="图例"/>
    <w:basedOn w:val="1"/>
    <w:qFormat/>
    <w:uiPriority w:val="0"/>
    <w:pPr>
      <w:spacing w:before="120" w:beforeLines="0" w:after="120" w:afterLines="0" w:line="360" w:lineRule="auto"/>
      <w:jc w:val="center"/>
    </w:pPr>
    <w:rPr>
      <w:rFonts w:eastAsia="仿宋_GB2312"/>
      <w:b/>
      <w:sz w:val="24"/>
    </w:rPr>
  </w:style>
  <w:style w:type="paragraph" w:customStyle="1" w:styleId="36">
    <w:name w:val="WPS Plain"/>
    <w:qFormat/>
    <w:uiPriority w:val="0"/>
    <w:rPr>
      <w:rFonts w:ascii="Times New Roman" w:hAnsi="Times New Roman" w:eastAsia="宋体" w:cs="Times New Roman"/>
      <w:lang w:val="en-US" w:eastAsia="zh-CN" w:bidi="ar-SA"/>
    </w:rPr>
  </w:style>
  <w:style w:type="paragraph" w:customStyle="1" w:styleId="37">
    <w:name w:val="样式 左侧:  0 厘米 悬挂缩进: 2.5 字符"/>
    <w:basedOn w:val="1"/>
    <w:qFormat/>
    <w:uiPriority w:val="0"/>
    <w:pPr>
      <w:ind w:left="525" w:hanging="525" w:hangingChars="250"/>
    </w:pPr>
    <w:rPr>
      <w:szCs w:val="20"/>
    </w:rPr>
  </w:style>
  <w:style w:type="character" w:customStyle="1" w:styleId="38">
    <w:name w:val="font11"/>
    <w:basedOn w:val="20"/>
    <w:qFormat/>
    <w:uiPriority w:val="0"/>
    <w:rPr>
      <w:rFonts w:ascii="Calibri" w:hAnsi="Calibri" w:cs="Calibri"/>
      <w:color w:val="000000"/>
      <w:sz w:val="20"/>
      <w:szCs w:val="20"/>
      <w:u w:val="none"/>
    </w:rPr>
  </w:style>
  <w:style w:type="paragraph" w:customStyle="1" w:styleId="39">
    <w:name w:val="Normal"/>
    <w:qFormat/>
    <w:uiPriority w:val="0"/>
    <w:rPr>
      <w:rFonts w:ascii="Times New Roman" w:hAnsi="Times New Roman" w:eastAsia="Times New Roman" w:cs="Times New Roman"/>
      <w:sz w:val="24"/>
      <w:szCs w:val="24"/>
      <w:lang w:bidi="ar-SA"/>
    </w:rPr>
  </w:style>
  <w:style w:type="paragraph" w:customStyle="1" w:styleId="4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1">
    <w:name w:val="BodyText1I2"/>
    <w:basedOn w:val="42"/>
    <w:qFormat/>
    <w:uiPriority w:val="0"/>
    <w:pPr>
      <w:spacing w:after="0" w:afterLines="0" w:line="500" w:lineRule="exact"/>
      <w:ind w:left="0" w:leftChars="0" w:firstLine="420" w:firstLineChars="200"/>
      <w:jc w:val="both"/>
    </w:pPr>
    <w:rPr>
      <w:kern w:val="2"/>
      <w:sz w:val="21"/>
      <w:szCs w:val="24"/>
      <w:lang w:bidi="ar-SA"/>
    </w:rPr>
  </w:style>
  <w:style w:type="paragraph" w:customStyle="1" w:styleId="42">
    <w:name w:val="BodyTextIndent"/>
    <w:basedOn w:val="1"/>
    <w:qFormat/>
    <w:uiPriority w:val="0"/>
    <w:pPr>
      <w:widowControl/>
      <w:spacing w:after="120" w:afterLines="0" w:line="240" w:lineRule="auto"/>
      <w:ind w:left="420" w:leftChars="200"/>
      <w:jc w:val="both"/>
    </w:pPr>
    <w:rPr>
      <w:rFonts w:ascii="宋体" w:hAnsi="宋体" w:eastAsia="宋体" w:cs="宋体"/>
      <w:kern w:val="2"/>
      <w:sz w:val="21"/>
      <w:szCs w:val="22"/>
      <w:lang w:eastAsia="en-US" w:bidi="ar-SA"/>
    </w:rPr>
  </w:style>
  <w:style w:type="character" w:customStyle="1" w:styleId="43">
    <w:name w:val="font51"/>
    <w:basedOn w:val="20"/>
    <w:qFormat/>
    <w:uiPriority w:val="0"/>
    <w:rPr>
      <w:rFonts w:hint="eastAsia" w:ascii="宋体" w:hAnsi="宋体" w:eastAsia="宋体" w:cs="宋体"/>
      <w:color w:val="000000"/>
      <w:sz w:val="22"/>
      <w:szCs w:val="22"/>
      <w:u w:val="none"/>
    </w:rPr>
  </w:style>
  <w:style w:type="character" w:customStyle="1" w:styleId="44">
    <w:name w:val="font61"/>
    <w:basedOn w:val="20"/>
    <w:qFormat/>
    <w:uiPriority w:val="0"/>
    <w:rPr>
      <w:rFonts w:hint="eastAsia" w:ascii="宋体" w:hAnsi="宋体" w:eastAsia="宋体" w:cs="宋体"/>
      <w:color w:val="000000"/>
      <w:sz w:val="24"/>
      <w:szCs w:val="24"/>
      <w:u w:val="none"/>
    </w:rPr>
  </w:style>
  <w:style w:type="character" w:customStyle="1" w:styleId="45">
    <w:name w:val="font91"/>
    <w:basedOn w:val="20"/>
    <w:qFormat/>
    <w:uiPriority w:val="0"/>
    <w:rPr>
      <w:rFonts w:hint="default" w:ascii="Verdana" w:hAnsi="Verdana" w:cs="Verdana"/>
      <w:color w:val="000000"/>
      <w:sz w:val="24"/>
      <w:szCs w:val="24"/>
      <w:u w:val="none"/>
    </w:rPr>
  </w:style>
  <w:style w:type="character" w:customStyle="1" w:styleId="46">
    <w:name w:val="font31"/>
    <w:basedOn w:val="20"/>
    <w:qFormat/>
    <w:uiPriority w:val="0"/>
    <w:rPr>
      <w:rFonts w:hint="eastAsia" w:ascii="宋体" w:hAnsi="宋体" w:eastAsia="宋体" w:cs="宋体"/>
      <w:color w:val="000000"/>
      <w:sz w:val="21"/>
      <w:szCs w:val="21"/>
      <w:u w:val="none"/>
    </w:rPr>
  </w:style>
  <w:style w:type="character" w:customStyle="1" w:styleId="47">
    <w:name w:val="font0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42155</Words>
  <Characters>44918</Characters>
  <Lines>0</Lines>
  <Paragraphs>0</Paragraphs>
  <TotalTime>22</TotalTime>
  <ScaleCrop>false</ScaleCrop>
  <LinksUpToDate>false</LinksUpToDate>
  <CharactersWithSpaces>48522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爱自己</cp:lastModifiedBy>
  <cp:lastPrinted>2022-10-19T04:46:00Z</cp:lastPrinted>
  <dcterms:modified xsi:type="dcterms:W3CDTF">2022-10-25T06:23:42Z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DEC63E6696464C9394C13ADC17C5580A</vt:lpwstr>
  </property>
</Properties>
</file>