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ind w:firstLine="5460" w:firstLineChars="1950"/>
        <w:jc w:val="right"/>
        <w:rPr>
          <w:rFonts w:hint="eastAsia" w:eastAsia="宋体"/>
          <w:b/>
          <w:sz w:val="28"/>
          <w:szCs w:val="28"/>
          <w:highlight w:val="none"/>
          <w:lang w:eastAsia="zh-CN"/>
        </w:rPr>
      </w:pPr>
      <w:r>
        <w:rPr>
          <w:b/>
          <w:sz w:val="28"/>
          <w:szCs w:val="28"/>
        </w:rPr>
        <w:t>项目编号</w:t>
      </w:r>
      <w:r>
        <w:rPr>
          <w:b/>
          <w:sz w:val="28"/>
          <w:szCs w:val="28"/>
          <w:highlight w:val="none"/>
        </w:rPr>
        <w:t>：</w:t>
      </w:r>
      <w:r>
        <w:rPr>
          <w:rFonts w:hint="eastAsia"/>
          <w:b/>
          <w:sz w:val="28"/>
          <w:szCs w:val="28"/>
          <w:highlight w:val="none"/>
          <w:lang w:eastAsia="zh-CN"/>
        </w:rPr>
        <w:t>KCS2022-182</w:t>
      </w:r>
    </w:p>
    <w:p>
      <w:pPr>
        <w:spacing w:line="360" w:lineRule="auto"/>
        <w:rPr>
          <w:b/>
          <w:spacing w:val="80"/>
          <w:sz w:val="24"/>
        </w:rPr>
      </w:pPr>
    </w:p>
    <w:p>
      <w:pPr>
        <w:spacing w:line="360" w:lineRule="auto"/>
        <w:jc w:val="center"/>
        <w:rPr>
          <w:b/>
          <w:spacing w:val="80"/>
          <w:sz w:val="24"/>
        </w:rPr>
      </w:pPr>
      <w:r>
        <w:rPr>
          <w:rFonts w:hint="eastAsia"/>
          <w:b/>
          <w:bCs/>
          <w:sz w:val="56"/>
          <w:szCs w:val="56"/>
        </w:rPr>
        <w:t>库车市农业水价综合改革项目</w:t>
      </w:r>
    </w:p>
    <w:p>
      <w:pPr>
        <w:spacing w:line="360" w:lineRule="auto"/>
        <w:jc w:val="center"/>
        <w:rPr>
          <w:b/>
          <w:spacing w:val="80"/>
          <w:sz w:val="24"/>
        </w:rPr>
      </w:pPr>
    </w:p>
    <w:p>
      <w:pPr>
        <w:spacing w:line="360" w:lineRule="auto"/>
        <w:jc w:val="center"/>
        <w:rPr>
          <w:b/>
          <w:spacing w:val="80"/>
          <w:sz w:val="98"/>
          <w:szCs w:val="84"/>
        </w:rPr>
      </w:pPr>
    </w:p>
    <w:p>
      <w:pPr>
        <w:spacing w:line="360" w:lineRule="auto"/>
        <w:jc w:val="center"/>
        <w:rPr>
          <w:b/>
          <w:spacing w:val="80"/>
          <w:sz w:val="100"/>
          <w:szCs w:val="100"/>
        </w:rPr>
      </w:pPr>
      <w:r>
        <w:rPr>
          <w:b/>
          <w:spacing w:val="80"/>
          <w:sz w:val="100"/>
          <w:szCs w:val="100"/>
        </w:rPr>
        <w:t>招 标 文 件</w:t>
      </w:r>
    </w:p>
    <w:p>
      <w:pPr>
        <w:spacing w:line="500" w:lineRule="exact"/>
        <w:rPr>
          <w:sz w:val="24"/>
        </w:rPr>
      </w:pPr>
    </w:p>
    <w:p>
      <w:pPr>
        <w:spacing w:line="500" w:lineRule="exact"/>
        <w:jc w:val="center"/>
        <w:rPr>
          <w:sz w:val="24"/>
        </w:rPr>
      </w:pPr>
    </w:p>
    <w:p>
      <w:pPr>
        <w:spacing w:line="500" w:lineRule="exact"/>
        <w:jc w:val="center"/>
        <w:rPr>
          <w:sz w:val="24"/>
        </w:rPr>
      </w:pPr>
    </w:p>
    <w:p>
      <w:pPr>
        <w:spacing w:line="500" w:lineRule="exact"/>
        <w:jc w:val="center"/>
        <w:rPr>
          <w:sz w:val="24"/>
        </w:rPr>
      </w:pPr>
    </w:p>
    <w:p>
      <w:pPr>
        <w:spacing w:line="500" w:lineRule="exact"/>
        <w:jc w:val="left"/>
        <w:rPr>
          <w:sz w:val="24"/>
        </w:rPr>
      </w:pPr>
    </w:p>
    <w:p>
      <w:pPr>
        <w:spacing w:line="500" w:lineRule="exact"/>
        <w:jc w:val="left"/>
        <w:rPr>
          <w:sz w:val="24"/>
        </w:rPr>
      </w:pPr>
    </w:p>
    <w:p>
      <w:pPr>
        <w:spacing w:line="500" w:lineRule="exact"/>
        <w:ind w:firstLine="2240" w:firstLineChars="700"/>
        <w:jc w:val="left"/>
        <w:rPr>
          <w:b/>
          <w:sz w:val="32"/>
          <w:szCs w:val="32"/>
        </w:rPr>
      </w:pPr>
    </w:p>
    <w:p>
      <w:pPr>
        <w:spacing w:line="500" w:lineRule="exact"/>
        <w:ind w:firstLine="2240" w:firstLineChars="700"/>
        <w:jc w:val="left"/>
        <w:rPr>
          <w:b/>
          <w:sz w:val="32"/>
          <w:szCs w:val="32"/>
        </w:rPr>
      </w:pPr>
    </w:p>
    <w:p>
      <w:pPr>
        <w:spacing w:line="500" w:lineRule="exact"/>
        <w:ind w:firstLine="2240" w:firstLineChars="700"/>
        <w:jc w:val="left"/>
        <w:rPr>
          <w:b/>
          <w:sz w:val="32"/>
          <w:szCs w:val="32"/>
        </w:rPr>
      </w:pPr>
      <w:r>
        <w:rPr>
          <w:b/>
          <w:sz w:val="32"/>
          <w:szCs w:val="32"/>
        </w:rPr>
        <w:t>采 购 人：</w:t>
      </w:r>
      <w:r>
        <w:rPr>
          <w:rFonts w:hint="eastAsia"/>
          <w:b/>
          <w:sz w:val="32"/>
          <w:szCs w:val="32"/>
        </w:rPr>
        <w:t>库车市水资源总站</w:t>
      </w:r>
    </w:p>
    <w:p>
      <w:pPr>
        <w:spacing w:line="500" w:lineRule="exact"/>
        <w:ind w:firstLine="465"/>
        <w:jc w:val="left"/>
        <w:rPr>
          <w:b/>
          <w:sz w:val="32"/>
          <w:szCs w:val="32"/>
        </w:rPr>
      </w:pPr>
    </w:p>
    <w:p>
      <w:pPr>
        <w:spacing w:line="500" w:lineRule="exact"/>
        <w:ind w:firstLine="2240" w:firstLineChars="700"/>
        <w:jc w:val="left"/>
        <w:rPr>
          <w:b/>
          <w:sz w:val="32"/>
          <w:szCs w:val="32"/>
        </w:rPr>
      </w:pPr>
      <w:r>
        <w:rPr>
          <w:b/>
          <w:sz w:val="32"/>
          <w:szCs w:val="32"/>
        </w:rPr>
        <w:t>代理机构：</w:t>
      </w:r>
      <w:r>
        <w:rPr>
          <w:rFonts w:hint="eastAsia"/>
          <w:b/>
          <w:sz w:val="32"/>
          <w:szCs w:val="32"/>
        </w:rPr>
        <w:t>新疆经开项目管理有限公司</w:t>
      </w:r>
    </w:p>
    <w:p>
      <w:pPr>
        <w:spacing w:line="500" w:lineRule="exact"/>
        <w:rPr>
          <w:b/>
          <w:sz w:val="32"/>
          <w:szCs w:val="32"/>
        </w:rPr>
      </w:pPr>
    </w:p>
    <w:p>
      <w:pPr>
        <w:spacing w:line="500" w:lineRule="exact"/>
        <w:jc w:val="center"/>
        <w:rPr>
          <w:b/>
          <w:sz w:val="32"/>
          <w:szCs w:val="32"/>
        </w:rPr>
      </w:pPr>
    </w:p>
    <w:p>
      <w:pPr>
        <w:spacing w:line="500" w:lineRule="exact"/>
        <w:jc w:val="center"/>
        <w:rPr>
          <w:b/>
          <w:sz w:val="32"/>
          <w:szCs w:val="32"/>
        </w:rPr>
      </w:pPr>
      <w:r>
        <w:rPr>
          <w:rFonts w:hint="eastAsia"/>
          <w:b/>
          <w:sz w:val="32"/>
          <w:szCs w:val="32"/>
        </w:rPr>
        <w:t>2022</w:t>
      </w:r>
      <w:r>
        <w:rPr>
          <w:b/>
          <w:sz w:val="32"/>
          <w:szCs w:val="32"/>
        </w:rPr>
        <w:t>年</w:t>
      </w:r>
      <w:r>
        <w:rPr>
          <w:rFonts w:hint="eastAsia"/>
          <w:b/>
          <w:sz w:val="32"/>
          <w:szCs w:val="32"/>
          <w:lang w:val="en-US" w:eastAsia="zh-CN"/>
        </w:rPr>
        <w:t>9</w:t>
      </w:r>
      <w:r>
        <w:rPr>
          <w:b/>
          <w:sz w:val="32"/>
          <w:szCs w:val="32"/>
        </w:rPr>
        <w:t>月</w:t>
      </w:r>
    </w:p>
    <w:p>
      <w:pPr>
        <w:spacing w:line="440" w:lineRule="exact"/>
        <w:jc w:val="center"/>
        <w:rPr>
          <w:b/>
          <w:sz w:val="44"/>
          <w:szCs w:val="44"/>
        </w:rPr>
        <w:sectPr>
          <w:footerReference r:id="rId6" w:type="first"/>
          <w:headerReference r:id="rId3" w:type="default"/>
          <w:headerReference r:id="rId4" w:type="even"/>
          <w:footerReference r:id="rId5" w:type="even"/>
          <w:pgSz w:w="11906" w:h="16838"/>
          <w:pgMar w:top="993" w:right="1080" w:bottom="1440" w:left="1080" w:header="4" w:footer="567" w:gutter="0"/>
          <w:pgNumType w:start="0"/>
          <w:cols w:space="720" w:num="1"/>
          <w:titlePg/>
          <w:docGrid w:type="linesAndChars" w:linePitch="312" w:charSpace="0"/>
        </w:sectPr>
      </w:pPr>
    </w:p>
    <w:p>
      <w:pPr>
        <w:rPr>
          <w:b/>
          <w:sz w:val="44"/>
          <w:szCs w:val="44"/>
        </w:rPr>
      </w:pPr>
      <w:r>
        <w:rPr>
          <w:b/>
          <w:sz w:val="44"/>
          <w:szCs w:val="44"/>
        </w:rPr>
        <w:br w:type="page"/>
      </w:r>
    </w:p>
    <w:p>
      <w:pPr>
        <w:spacing w:line="440" w:lineRule="exact"/>
        <w:jc w:val="center"/>
        <w:rPr>
          <w:b/>
          <w:sz w:val="44"/>
          <w:szCs w:val="44"/>
        </w:rPr>
      </w:pPr>
      <w:r>
        <w:rPr>
          <w:b/>
          <w:sz w:val="44"/>
          <w:szCs w:val="44"/>
        </w:rPr>
        <w:t>目   录</w:t>
      </w:r>
    </w:p>
    <w:p>
      <w:pPr>
        <w:pStyle w:val="16"/>
        <w:tabs>
          <w:tab w:val="right" w:leader="dot" w:pos="9746"/>
        </w:tabs>
        <w:spacing w:line="600" w:lineRule="auto"/>
      </w:pPr>
      <w:r>
        <w:rPr>
          <w:rFonts w:cs="Times New Roman"/>
          <w:sz w:val="24"/>
        </w:rPr>
        <w:fldChar w:fldCharType="begin"/>
      </w:r>
      <w:r>
        <w:rPr>
          <w:rFonts w:cs="Times New Roman"/>
          <w:sz w:val="24"/>
        </w:rPr>
        <w:instrText xml:space="preserve"> TOC \o "1-2" \h \z \u </w:instrText>
      </w:r>
      <w:r>
        <w:rPr>
          <w:rFonts w:cs="Times New Roman"/>
          <w:sz w:val="24"/>
        </w:rPr>
        <w:fldChar w:fldCharType="separate"/>
      </w:r>
      <w:r>
        <w:rPr>
          <w:rFonts w:cs="Times New Roman"/>
        </w:rPr>
        <w:fldChar w:fldCharType="begin"/>
      </w:r>
      <w:r>
        <w:rPr>
          <w:rFonts w:cs="Times New Roman"/>
        </w:rPr>
        <w:instrText xml:space="preserve"> HYPERLINK \l _Toc24262 </w:instrText>
      </w:r>
      <w:r>
        <w:rPr>
          <w:rFonts w:cs="Times New Roman"/>
        </w:rPr>
        <w:fldChar w:fldCharType="separate"/>
      </w:r>
      <w:r>
        <w:rPr>
          <w:szCs w:val="32"/>
        </w:rPr>
        <w:t>第一部分  投标人须知前附表</w:t>
      </w:r>
      <w:r>
        <w:tab/>
      </w:r>
      <w:r>
        <w:fldChar w:fldCharType="begin"/>
      </w:r>
      <w:r>
        <w:instrText xml:space="preserve"> PAGEREF _Toc24262 \h </w:instrText>
      </w:r>
      <w:r>
        <w:fldChar w:fldCharType="separate"/>
      </w:r>
      <w:r>
        <w:t>6</w:t>
      </w:r>
      <w:r>
        <w:fldChar w:fldCharType="end"/>
      </w:r>
      <w:r>
        <w:rPr>
          <w:rFonts w:cs="Times New Roman"/>
        </w:rPr>
        <w:fldChar w:fldCharType="end"/>
      </w:r>
    </w:p>
    <w:p>
      <w:pPr>
        <w:pStyle w:val="16"/>
        <w:tabs>
          <w:tab w:val="right" w:leader="dot" w:pos="9746"/>
        </w:tabs>
        <w:spacing w:line="600" w:lineRule="auto"/>
      </w:pPr>
      <w:r>
        <w:fldChar w:fldCharType="begin"/>
      </w:r>
      <w:r>
        <w:instrText xml:space="preserve"> HYPERLINK \l _Toc18719 </w:instrText>
      </w:r>
      <w:r>
        <w:fldChar w:fldCharType="separate"/>
      </w:r>
      <w:r>
        <w:rPr>
          <w:szCs w:val="32"/>
        </w:rPr>
        <w:t>第二部分  投标人须知</w:t>
      </w:r>
      <w:r>
        <w:tab/>
      </w:r>
      <w:r>
        <w:fldChar w:fldCharType="begin"/>
      </w:r>
      <w:r>
        <w:instrText xml:space="preserve"> PAGEREF _Toc18719 \h </w:instrText>
      </w:r>
      <w:r>
        <w:fldChar w:fldCharType="separate"/>
      </w:r>
      <w:r>
        <w:t>11</w:t>
      </w:r>
      <w:r>
        <w:fldChar w:fldCharType="end"/>
      </w:r>
      <w:r>
        <w:fldChar w:fldCharType="end"/>
      </w:r>
    </w:p>
    <w:p>
      <w:pPr>
        <w:pStyle w:val="16"/>
        <w:tabs>
          <w:tab w:val="right" w:leader="dot" w:pos="9746"/>
        </w:tabs>
        <w:spacing w:line="600" w:lineRule="auto"/>
      </w:pPr>
      <w:r>
        <w:fldChar w:fldCharType="begin"/>
      </w:r>
      <w:r>
        <w:instrText xml:space="preserve"> HYPERLINK \l _Toc5207 </w:instrText>
      </w:r>
      <w:r>
        <w:fldChar w:fldCharType="separate"/>
      </w:r>
      <w:r>
        <w:rPr>
          <w:rFonts w:hint="eastAsia" w:ascii="宋体" w:hAnsi="宋体" w:cs="宋体"/>
          <w:szCs w:val="32"/>
        </w:rPr>
        <w:t>第三部分  投标说明</w:t>
      </w:r>
      <w:r>
        <w:tab/>
      </w:r>
      <w:r>
        <w:fldChar w:fldCharType="begin"/>
      </w:r>
      <w:r>
        <w:instrText xml:space="preserve"> PAGEREF _Toc5207 \h </w:instrText>
      </w:r>
      <w:r>
        <w:fldChar w:fldCharType="separate"/>
      </w:r>
      <w:r>
        <w:t>14</w:t>
      </w:r>
      <w:r>
        <w:fldChar w:fldCharType="end"/>
      </w:r>
      <w:r>
        <w:fldChar w:fldCharType="end"/>
      </w:r>
    </w:p>
    <w:p>
      <w:pPr>
        <w:pStyle w:val="18"/>
        <w:tabs>
          <w:tab w:val="right" w:leader="dot" w:pos="9746"/>
        </w:tabs>
        <w:spacing w:line="600" w:lineRule="auto"/>
      </w:pPr>
      <w:r>
        <w:fldChar w:fldCharType="begin"/>
      </w:r>
      <w:r>
        <w:instrText xml:space="preserve"> HYPERLINK \l _Toc31252 </w:instrText>
      </w:r>
      <w:r>
        <w:fldChar w:fldCharType="separate"/>
      </w:r>
      <w:r>
        <w:rPr>
          <w:rFonts w:hint="eastAsia" w:ascii="宋体" w:hAnsi="宋体" w:cs="宋体"/>
          <w:szCs w:val="28"/>
        </w:rPr>
        <w:t>第一章  投标人资格要求</w:t>
      </w:r>
      <w:r>
        <w:tab/>
      </w:r>
      <w:r>
        <w:fldChar w:fldCharType="begin"/>
      </w:r>
      <w:r>
        <w:instrText xml:space="preserve"> PAGEREF _Toc31252 \h </w:instrText>
      </w:r>
      <w:r>
        <w:fldChar w:fldCharType="separate"/>
      </w:r>
      <w:r>
        <w:t>14</w:t>
      </w:r>
      <w:r>
        <w:fldChar w:fldCharType="end"/>
      </w:r>
      <w:r>
        <w:fldChar w:fldCharType="end"/>
      </w:r>
    </w:p>
    <w:p>
      <w:pPr>
        <w:pStyle w:val="18"/>
        <w:tabs>
          <w:tab w:val="right" w:leader="dot" w:pos="9746"/>
        </w:tabs>
        <w:spacing w:line="600" w:lineRule="auto"/>
      </w:pPr>
      <w:r>
        <w:fldChar w:fldCharType="begin"/>
      </w:r>
      <w:r>
        <w:instrText xml:space="preserve"> HYPERLINK \l _Toc32 </w:instrText>
      </w:r>
      <w:r>
        <w:fldChar w:fldCharType="separate"/>
      </w:r>
      <w:r>
        <w:rPr>
          <w:rFonts w:hint="eastAsia" w:ascii="宋体" w:hAnsi="宋体" w:cs="宋体"/>
          <w:szCs w:val="28"/>
        </w:rPr>
        <w:t>第二章  投标文件的编写及编制顺序</w:t>
      </w:r>
      <w:r>
        <w:tab/>
      </w:r>
      <w:r>
        <w:fldChar w:fldCharType="begin"/>
      </w:r>
      <w:r>
        <w:instrText xml:space="preserve"> PAGEREF _Toc32 \h </w:instrText>
      </w:r>
      <w:r>
        <w:fldChar w:fldCharType="separate"/>
      </w:r>
      <w:r>
        <w:t>14</w:t>
      </w:r>
      <w:r>
        <w:fldChar w:fldCharType="end"/>
      </w:r>
      <w:r>
        <w:fldChar w:fldCharType="end"/>
      </w:r>
    </w:p>
    <w:p>
      <w:pPr>
        <w:pStyle w:val="18"/>
        <w:tabs>
          <w:tab w:val="right" w:leader="dot" w:pos="9746"/>
        </w:tabs>
        <w:spacing w:line="600" w:lineRule="auto"/>
      </w:pPr>
      <w:r>
        <w:fldChar w:fldCharType="begin"/>
      </w:r>
      <w:r>
        <w:instrText xml:space="preserve"> HYPERLINK \l _Toc24549 </w:instrText>
      </w:r>
      <w:r>
        <w:fldChar w:fldCharType="separate"/>
      </w:r>
      <w:r>
        <w:rPr>
          <w:rFonts w:hint="eastAsia" w:ascii="宋体" w:hAnsi="宋体" w:cs="宋体"/>
          <w:szCs w:val="28"/>
        </w:rPr>
        <w:t>第三章  投标文件的递交</w:t>
      </w:r>
      <w:r>
        <w:tab/>
      </w:r>
      <w:r>
        <w:fldChar w:fldCharType="begin"/>
      </w:r>
      <w:r>
        <w:instrText xml:space="preserve"> PAGEREF _Toc24549 \h </w:instrText>
      </w:r>
      <w:r>
        <w:fldChar w:fldCharType="separate"/>
      </w:r>
      <w:r>
        <w:t>18</w:t>
      </w:r>
      <w:r>
        <w:fldChar w:fldCharType="end"/>
      </w:r>
      <w:r>
        <w:fldChar w:fldCharType="end"/>
      </w:r>
    </w:p>
    <w:p>
      <w:pPr>
        <w:pStyle w:val="18"/>
        <w:tabs>
          <w:tab w:val="right" w:leader="dot" w:pos="9746"/>
        </w:tabs>
        <w:spacing w:line="600" w:lineRule="auto"/>
      </w:pPr>
      <w:r>
        <w:fldChar w:fldCharType="begin"/>
      </w:r>
      <w:r>
        <w:instrText xml:space="preserve"> HYPERLINK \l _Toc25545 </w:instrText>
      </w:r>
      <w:r>
        <w:fldChar w:fldCharType="separate"/>
      </w:r>
      <w:r>
        <w:rPr>
          <w:rFonts w:hint="eastAsia" w:ascii="宋体" w:hAnsi="宋体" w:cs="宋体"/>
          <w:szCs w:val="28"/>
        </w:rPr>
        <w:t>第四章  开标（政采云不见面开标）</w:t>
      </w:r>
      <w:r>
        <w:tab/>
      </w:r>
      <w:r>
        <w:fldChar w:fldCharType="begin"/>
      </w:r>
      <w:r>
        <w:instrText xml:space="preserve"> PAGEREF _Toc25545 \h </w:instrText>
      </w:r>
      <w:r>
        <w:fldChar w:fldCharType="separate"/>
      </w:r>
      <w:r>
        <w:t>19</w:t>
      </w:r>
      <w:r>
        <w:fldChar w:fldCharType="end"/>
      </w:r>
      <w:r>
        <w:fldChar w:fldCharType="end"/>
      </w:r>
    </w:p>
    <w:p>
      <w:pPr>
        <w:pStyle w:val="18"/>
        <w:tabs>
          <w:tab w:val="right" w:leader="dot" w:pos="9746"/>
        </w:tabs>
        <w:spacing w:line="600" w:lineRule="auto"/>
      </w:pPr>
      <w:r>
        <w:fldChar w:fldCharType="begin"/>
      </w:r>
      <w:r>
        <w:instrText xml:space="preserve"> HYPERLINK \l _Toc17331 </w:instrText>
      </w:r>
      <w:r>
        <w:fldChar w:fldCharType="separate"/>
      </w:r>
      <w:r>
        <w:rPr>
          <w:rFonts w:hint="eastAsia" w:ascii="宋体" w:hAnsi="宋体" w:cs="宋体"/>
          <w:szCs w:val="28"/>
        </w:rPr>
        <w:t>第五章  定标</w:t>
      </w:r>
      <w:r>
        <w:tab/>
      </w:r>
      <w:r>
        <w:fldChar w:fldCharType="begin"/>
      </w:r>
      <w:r>
        <w:instrText xml:space="preserve"> PAGEREF _Toc17331 \h </w:instrText>
      </w:r>
      <w:r>
        <w:fldChar w:fldCharType="separate"/>
      </w:r>
      <w:r>
        <w:t>21</w:t>
      </w:r>
      <w:r>
        <w:fldChar w:fldCharType="end"/>
      </w:r>
      <w:r>
        <w:fldChar w:fldCharType="end"/>
      </w:r>
    </w:p>
    <w:p>
      <w:pPr>
        <w:pStyle w:val="18"/>
        <w:tabs>
          <w:tab w:val="right" w:leader="dot" w:pos="9746"/>
        </w:tabs>
        <w:spacing w:line="600" w:lineRule="auto"/>
      </w:pPr>
      <w:r>
        <w:fldChar w:fldCharType="begin"/>
      </w:r>
      <w:r>
        <w:instrText xml:space="preserve"> HYPERLINK \l _Toc8613 </w:instrText>
      </w:r>
      <w:r>
        <w:fldChar w:fldCharType="separate"/>
      </w:r>
      <w:r>
        <w:rPr>
          <w:rFonts w:hint="eastAsia" w:ascii="宋体" w:hAnsi="宋体" w:cs="宋体"/>
          <w:szCs w:val="28"/>
        </w:rPr>
        <w:t>第六章  授予合同</w:t>
      </w:r>
      <w:r>
        <w:tab/>
      </w:r>
      <w:r>
        <w:fldChar w:fldCharType="begin"/>
      </w:r>
      <w:r>
        <w:instrText xml:space="preserve"> PAGEREF _Toc8613 \h </w:instrText>
      </w:r>
      <w:r>
        <w:fldChar w:fldCharType="separate"/>
      </w:r>
      <w:r>
        <w:t>22</w:t>
      </w:r>
      <w:r>
        <w:fldChar w:fldCharType="end"/>
      </w:r>
      <w:r>
        <w:fldChar w:fldCharType="end"/>
      </w:r>
    </w:p>
    <w:p>
      <w:pPr>
        <w:pStyle w:val="16"/>
        <w:tabs>
          <w:tab w:val="right" w:leader="dot" w:pos="9746"/>
        </w:tabs>
        <w:spacing w:line="600" w:lineRule="auto"/>
      </w:pPr>
      <w:r>
        <w:fldChar w:fldCharType="begin"/>
      </w:r>
      <w:r>
        <w:instrText xml:space="preserve"> HYPERLINK \l _Toc3439 </w:instrText>
      </w:r>
      <w:r>
        <w:fldChar w:fldCharType="separate"/>
      </w:r>
      <w:r>
        <w:rPr>
          <w:szCs w:val="32"/>
        </w:rPr>
        <w:t xml:space="preserve">第四部分  </w:t>
      </w:r>
      <w:r>
        <w:rPr>
          <w:rFonts w:hint="eastAsia" w:ascii="宋体" w:hAnsi="宋体" w:eastAsia="宋体" w:cs="宋体"/>
          <w:szCs w:val="32"/>
          <w:lang w:val="zh-CN"/>
        </w:rPr>
        <w:t>用户需求书</w:t>
      </w:r>
      <w:r>
        <w:tab/>
      </w:r>
      <w:r>
        <w:fldChar w:fldCharType="begin"/>
      </w:r>
      <w:r>
        <w:instrText xml:space="preserve"> PAGEREF _Toc3439 \h </w:instrText>
      </w:r>
      <w:r>
        <w:fldChar w:fldCharType="separate"/>
      </w:r>
      <w:r>
        <w:t>24</w:t>
      </w:r>
      <w:r>
        <w:fldChar w:fldCharType="end"/>
      </w:r>
      <w:r>
        <w:fldChar w:fldCharType="end"/>
      </w:r>
    </w:p>
    <w:p>
      <w:pPr>
        <w:pStyle w:val="18"/>
        <w:tabs>
          <w:tab w:val="right" w:leader="dot" w:pos="9746"/>
        </w:tabs>
        <w:spacing w:line="600" w:lineRule="auto"/>
      </w:pPr>
      <w:r>
        <w:fldChar w:fldCharType="begin"/>
      </w:r>
      <w:r>
        <w:instrText xml:space="preserve"> HYPERLINK \l _Toc32032 </w:instrText>
      </w:r>
      <w:r>
        <w:fldChar w:fldCharType="separate"/>
      </w:r>
      <w:r>
        <w:rPr>
          <w:rFonts w:hint="eastAsia"/>
          <w:caps/>
          <w:szCs w:val="32"/>
          <w:highlight w:val="none"/>
        </w:rPr>
        <w:t xml:space="preserve">第一部分 </w:t>
      </w:r>
      <w:r>
        <w:rPr>
          <w:caps/>
          <w:szCs w:val="32"/>
          <w:highlight w:val="none"/>
        </w:rPr>
        <w:t>商务条款</w:t>
      </w:r>
      <w:r>
        <w:tab/>
      </w:r>
      <w:r>
        <w:fldChar w:fldCharType="begin"/>
      </w:r>
      <w:r>
        <w:instrText xml:space="preserve"> PAGEREF _Toc32032 \h </w:instrText>
      </w:r>
      <w:r>
        <w:fldChar w:fldCharType="separate"/>
      </w:r>
      <w:r>
        <w:t>24</w:t>
      </w:r>
      <w:r>
        <w:fldChar w:fldCharType="end"/>
      </w:r>
      <w:r>
        <w:fldChar w:fldCharType="end"/>
      </w:r>
    </w:p>
    <w:p>
      <w:pPr>
        <w:pStyle w:val="18"/>
        <w:tabs>
          <w:tab w:val="right" w:leader="dot" w:pos="9746"/>
        </w:tabs>
        <w:spacing w:line="600" w:lineRule="auto"/>
      </w:pPr>
      <w:r>
        <w:fldChar w:fldCharType="begin"/>
      </w:r>
      <w:r>
        <w:instrText xml:space="preserve"> HYPERLINK \l _Toc2319 </w:instrText>
      </w:r>
      <w:r>
        <w:fldChar w:fldCharType="separate"/>
      </w:r>
      <w:r>
        <w:rPr>
          <w:rFonts w:hint="eastAsia"/>
          <w:caps/>
          <w:szCs w:val="32"/>
          <w:highlight w:val="none"/>
        </w:rPr>
        <w:t>第二部分 技术条款</w:t>
      </w:r>
      <w:r>
        <w:tab/>
      </w:r>
      <w:r>
        <w:fldChar w:fldCharType="begin"/>
      </w:r>
      <w:r>
        <w:instrText xml:space="preserve"> PAGEREF _Toc2319 \h </w:instrText>
      </w:r>
      <w:r>
        <w:fldChar w:fldCharType="separate"/>
      </w:r>
      <w:r>
        <w:t>25</w:t>
      </w:r>
      <w:r>
        <w:fldChar w:fldCharType="end"/>
      </w:r>
      <w:r>
        <w:fldChar w:fldCharType="end"/>
      </w:r>
    </w:p>
    <w:p>
      <w:pPr>
        <w:pStyle w:val="16"/>
        <w:tabs>
          <w:tab w:val="right" w:leader="dot" w:pos="9746"/>
        </w:tabs>
        <w:spacing w:line="600" w:lineRule="auto"/>
      </w:pPr>
      <w:r>
        <w:fldChar w:fldCharType="begin"/>
      </w:r>
      <w:r>
        <w:instrText xml:space="preserve"> HYPERLINK \l _Toc14253 </w:instrText>
      </w:r>
      <w:r>
        <w:fldChar w:fldCharType="separate"/>
      </w:r>
      <w:r>
        <w:rPr>
          <w:szCs w:val="32"/>
        </w:rPr>
        <w:t>第五部分  合同条款</w:t>
      </w:r>
      <w:r>
        <w:tab/>
      </w:r>
      <w:r>
        <w:fldChar w:fldCharType="begin"/>
      </w:r>
      <w:r>
        <w:instrText xml:space="preserve"> PAGEREF _Toc14253 \h </w:instrText>
      </w:r>
      <w:r>
        <w:fldChar w:fldCharType="separate"/>
      </w:r>
      <w:r>
        <w:t>26</w:t>
      </w:r>
      <w:r>
        <w:fldChar w:fldCharType="end"/>
      </w:r>
      <w:r>
        <w:fldChar w:fldCharType="end"/>
      </w:r>
    </w:p>
    <w:p>
      <w:pPr>
        <w:pStyle w:val="16"/>
        <w:tabs>
          <w:tab w:val="right" w:leader="dot" w:pos="9746"/>
        </w:tabs>
        <w:spacing w:line="600" w:lineRule="auto"/>
      </w:pPr>
      <w:r>
        <w:fldChar w:fldCharType="begin"/>
      </w:r>
      <w:r>
        <w:instrText xml:space="preserve"> HYPERLINK \l _Toc19012 </w:instrText>
      </w:r>
      <w:r>
        <w:fldChar w:fldCharType="separate"/>
      </w:r>
      <w:r>
        <w:rPr>
          <w:szCs w:val="32"/>
        </w:rPr>
        <w:t xml:space="preserve">第六部分 </w:t>
      </w:r>
      <w:r>
        <w:rPr>
          <w:rFonts w:hint="eastAsia"/>
          <w:szCs w:val="32"/>
        </w:rPr>
        <w:t>投标文件格式</w:t>
      </w:r>
      <w:r>
        <w:tab/>
      </w:r>
      <w:r>
        <w:fldChar w:fldCharType="begin"/>
      </w:r>
      <w:r>
        <w:instrText xml:space="preserve"> PAGEREF _Toc19012 \h </w:instrText>
      </w:r>
      <w:r>
        <w:fldChar w:fldCharType="separate"/>
      </w:r>
      <w:r>
        <w:t>30</w:t>
      </w:r>
      <w:r>
        <w:fldChar w:fldCharType="end"/>
      </w:r>
      <w:r>
        <w:fldChar w:fldCharType="end"/>
      </w:r>
    </w:p>
    <w:p>
      <w:pPr>
        <w:pStyle w:val="16"/>
        <w:tabs>
          <w:tab w:val="right" w:leader="dot" w:pos="9746"/>
        </w:tabs>
        <w:spacing w:line="600" w:lineRule="auto"/>
      </w:pPr>
      <w:r>
        <w:fldChar w:fldCharType="begin"/>
      </w:r>
      <w:r>
        <w:instrText xml:space="preserve"> HYPERLINK \l _Toc13846 </w:instrText>
      </w:r>
      <w:r>
        <w:fldChar w:fldCharType="separate"/>
      </w:r>
      <w:r>
        <w:rPr>
          <w:szCs w:val="32"/>
        </w:rPr>
        <w:t>第七部分  评标办法和细则</w:t>
      </w:r>
      <w:r>
        <w:tab/>
      </w:r>
      <w:r>
        <w:fldChar w:fldCharType="begin"/>
      </w:r>
      <w:r>
        <w:instrText xml:space="preserve"> PAGEREF _Toc13846 \h </w:instrText>
      </w:r>
      <w:r>
        <w:fldChar w:fldCharType="separate"/>
      </w:r>
      <w:r>
        <w:t>45</w:t>
      </w:r>
      <w:r>
        <w:fldChar w:fldCharType="end"/>
      </w:r>
      <w:r>
        <w:fldChar w:fldCharType="end"/>
      </w:r>
    </w:p>
    <w:p>
      <w:pPr>
        <w:pStyle w:val="16"/>
        <w:tabs>
          <w:tab w:val="right" w:leader="dot" w:pos="9746"/>
        </w:tabs>
        <w:spacing w:line="600" w:lineRule="auto"/>
      </w:pPr>
      <w:r>
        <w:fldChar w:fldCharType="begin"/>
      </w:r>
      <w:r>
        <w:instrText xml:space="preserve"> HYPERLINK \l _Toc19211 </w:instrText>
      </w:r>
      <w:r>
        <w:fldChar w:fldCharType="separate"/>
      </w:r>
      <w:r>
        <w:rPr>
          <w:rFonts w:hint="eastAsia"/>
          <w:szCs w:val="32"/>
        </w:rPr>
        <w:t>第八部分政府采购项目招标代理协议书</w:t>
      </w:r>
      <w:r>
        <w:tab/>
      </w:r>
      <w:r>
        <w:fldChar w:fldCharType="begin"/>
      </w:r>
      <w:r>
        <w:instrText xml:space="preserve"> PAGEREF _Toc19211 \h </w:instrText>
      </w:r>
      <w:r>
        <w:fldChar w:fldCharType="separate"/>
      </w:r>
      <w:r>
        <w:t>53</w:t>
      </w:r>
      <w:r>
        <w:fldChar w:fldCharType="end"/>
      </w:r>
      <w:r>
        <w:fldChar w:fldCharType="end"/>
      </w:r>
    </w:p>
    <w:p>
      <w:pPr>
        <w:pStyle w:val="16"/>
        <w:tabs>
          <w:tab w:val="right" w:leader="dot" w:pos="9736"/>
        </w:tabs>
        <w:spacing w:line="600" w:lineRule="auto"/>
        <w:rPr>
          <w:rFonts w:asciiTheme="minorHAnsi" w:hAnsiTheme="minorHAnsi" w:cstheme="minorBidi"/>
          <w:sz w:val="28"/>
          <w:szCs w:val="28"/>
          <w:lang w:bidi="ar-SA"/>
        </w:rPr>
      </w:pPr>
      <w:r>
        <w:fldChar w:fldCharType="end"/>
      </w:r>
    </w:p>
    <w:p>
      <w:pPr>
        <w:adjustRightInd w:val="0"/>
        <w:snapToGrid w:val="0"/>
        <w:spacing w:after="100" w:afterAutospacing="1" w:line="360" w:lineRule="auto"/>
        <w:jc w:val="center"/>
        <w:rPr>
          <w:b/>
          <w:sz w:val="28"/>
          <w:szCs w:val="28"/>
        </w:rPr>
        <w:sectPr>
          <w:footerReference r:id="rId8" w:type="first"/>
          <w:footerReference r:id="rId7" w:type="default"/>
          <w:pgSz w:w="11906" w:h="16838"/>
          <w:pgMar w:top="993" w:right="1080" w:bottom="1440" w:left="1080" w:header="4" w:footer="567" w:gutter="0"/>
          <w:pgNumType w:start="1"/>
          <w:cols w:space="720" w:num="1"/>
          <w:docGrid w:type="linesAndChars" w:linePitch="312" w:charSpace="0"/>
        </w:sectPr>
      </w:pPr>
    </w:p>
    <w:p>
      <w:pPr>
        <w:adjustRightInd w:val="0"/>
        <w:snapToGrid w:val="0"/>
        <w:spacing w:after="100" w:afterAutospacing="1" w:line="360" w:lineRule="auto"/>
        <w:jc w:val="center"/>
        <w:rPr>
          <w:rFonts w:ascii="宋体" w:hAnsi="宋体" w:cs="宋体"/>
          <w:b/>
          <w:bCs/>
          <w:sz w:val="28"/>
          <w:szCs w:val="28"/>
        </w:rPr>
      </w:pPr>
      <w:r>
        <w:rPr>
          <w:rFonts w:hint="eastAsia" w:ascii="宋体" w:hAnsi="宋体" w:cs="宋体"/>
          <w:b/>
          <w:sz w:val="28"/>
          <w:szCs w:val="28"/>
        </w:rPr>
        <w:t>招标公告</w:t>
      </w:r>
    </w:p>
    <w:p>
      <w:pPr>
        <w:pStyle w:val="19"/>
        <w:widowControl/>
        <w:spacing w:before="0" w:beforeAutospacing="0" w:after="0" w:afterAutospacing="0" w:line="348" w:lineRule="atLeast"/>
        <w:jc w:val="center"/>
        <w:textAlignment w:val="baseline"/>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lang w:eastAsia="zh-CN"/>
        </w:rPr>
        <w:t>库车市农业水价综合改革项目</w:t>
      </w:r>
      <w:r>
        <w:rPr>
          <w:rFonts w:hint="eastAsia" w:ascii="宋体" w:hAnsi="宋体" w:eastAsia="宋体" w:cs="宋体"/>
          <w:sz w:val="32"/>
          <w:szCs w:val="32"/>
          <w:shd w:val="clear" w:color="auto" w:fill="FFFFFF"/>
        </w:rPr>
        <w:t>公开招标公告</w:t>
      </w:r>
    </w:p>
    <w:p>
      <w:pPr>
        <w:pStyle w:val="19"/>
        <w:widowControl/>
        <w:pBdr>
          <w:top w:val="single" w:color="auto" w:sz="4" w:space="0"/>
          <w:left w:val="single" w:color="auto" w:sz="4" w:space="0"/>
          <w:bottom w:val="single" w:color="auto" w:sz="4" w:space="0"/>
          <w:right w:val="single" w:color="auto" w:sz="4" w:space="0"/>
        </w:pBdr>
        <w:spacing w:before="0" w:beforeAutospacing="0" w:after="0" w:afterAutospacing="0" w:line="348" w:lineRule="atLeast"/>
        <w:ind w:firstLine="384"/>
        <w:textAlignment w:val="baseline"/>
        <w:rPr>
          <w:rFonts w:hint="eastAsia" w:ascii="宋体" w:hAnsi="宋体" w:eastAsia="宋体" w:cs="宋体"/>
        </w:rPr>
      </w:pPr>
      <w:r>
        <w:rPr>
          <w:rFonts w:hint="eastAsia" w:ascii="宋体" w:hAnsi="宋体" w:eastAsia="宋体" w:cs="宋体"/>
          <w:sz w:val="19"/>
          <w:szCs w:val="19"/>
          <w:shd w:val="clear" w:color="auto" w:fill="FFFFFF"/>
        </w:rPr>
        <w:t>项目概况</w:t>
      </w:r>
    </w:p>
    <w:p>
      <w:pPr>
        <w:pStyle w:val="19"/>
        <w:widowControl/>
        <w:pBdr>
          <w:top w:val="single" w:color="auto" w:sz="4" w:space="0"/>
          <w:left w:val="single" w:color="auto" w:sz="4" w:space="0"/>
          <w:bottom w:val="single" w:color="auto" w:sz="4" w:space="0"/>
          <w:right w:val="single" w:color="auto" w:sz="4" w:space="0"/>
        </w:pBdr>
        <w:spacing w:before="0" w:beforeAutospacing="0" w:after="0" w:afterAutospacing="0" w:line="348" w:lineRule="atLeast"/>
        <w:ind w:firstLine="384"/>
        <w:textAlignment w:val="baseline"/>
        <w:rPr>
          <w:rFonts w:hint="eastAsia" w:ascii="宋体" w:hAnsi="宋体" w:eastAsia="宋体" w:cs="宋体"/>
        </w:rPr>
      </w:pPr>
      <w:r>
        <w:rPr>
          <w:rFonts w:hint="eastAsia" w:ascii="宋体" w:hAnsi="宋体" w:eastAsia="宋体" w:cs="宋体"/>
          <w:sz w:val="19"/>
          <w:szCs w:val="19"/>
          <w:shd w:val="clear" w:color="auto" w:fill="FFFFFF"/>
          <w:lang w:eastAsia="zh-CN"/>
        </w:rPr>
        <w:t>库车市农业水价综合改革项目</w:t>
      </w:r>
      <w:r>
        <w:rPr>
          <w:rFonts w:hint="eastAsia" w:ascii="宋体" w:hAnsi="宋体" w:eastAsia="宋体" w:cs="宋体"/>
          <w:sz w:val="19"/>
          <w:szCs w:val="19"/>
          <w:shd w:val="clear" w:color="auto" w:fill="FFFFFF"/>
        </w:rPr>
        <w:t>的潜在投标人应在政采云网上自主注册后报名获取招标文件，并于2022年</w:t>
      </w:r>
      <w:r>
        <w:rPr>
          <w:rFonts w:hint="eastAsia" w:ascii="宋体" w:hAnsi="宋体" w:eastAsia="宋体" w:cs="宋体"/>
          <w:sz w:val="19"/>
          <w:szCs w:val="19"/>
          <w:shd w:val="clear" w:color="auto" w:fill="FFFFFF"/>
          <w:lang w:val="en-US" w:eastAsia="zh-CN"/>
        </w:rPr>
        <w:t>9</w:t>
      </w:r>
      <w:r>
        <w:rPr>
          <w:rFonts w:hint="eastAsia" w:ascii="宋体" w:hAnsi="宋体" w:eastAsia="宋体" w:cs="宋体"/>
          <w:sz w:val="19"/>
          <w:szCs w:val="19"/>
          <w:shd w:val="clear" w:color="auto" w:fill="FFFFFF"/>
        </w:rPr>
        <w:t>月</w:t>
      </w:r>
      <w:r>
        <w:rPr>
          <w:rFonts w:hint="eastAsia" w:ascii="宋体" w:hAnsi="宋体" w:eastAsia="宋体" w:cs="宋体"/>
          <w:sz w:val="19"/>
          <w:szCs w:val="19"/>
          <w:shd w:val="clear" w:color="auto" w:fill="FFFFFF"/>
          <w:lang w:val="en-US" w:eastAsia="zh-CN"/>
        </w:rPr>
        <w:t>2</w:t>
      </w:r>
      <w:r>
        <w:rPr>
          <w:rFonts w:hint="eastAsia" w:ascii="宋体" w:hAnsi="宋体" w:cs="宋体"/>
          <w:sz w:val="19"/>
          <w:szCs w:val="19"/>
          <w:shd w:val="clear" w:color="auto" w:fill="FFFFFF"/>
          <w:lang w:val="en-US" w:eastAsia="zh-CN"/>
        </w:rPr>
        <w:t>8</w:t>
      </w:r>
      <w:r>
        <w:rPr>
          <w:rFonts w:hint="eastAsia" w:ascii="宋体" w:hAnsi="宋体" w:eastAsia="宋体" w:cs="宋体"/>
          <w:sz w:val="19"/>
          <w:szCs w:val="19"/>
          <w:shd w:val="clear" w:color="auto" w:fill="FFFFFF"/>
        </w:rPr>
        <w:t>日10：30（北京时间）前递交投标文件。</w:t>
      </w:r>
    </w:p>
    <w:p>
      <w:pPr>
        <w:pStyle w:val="19"/>
        <w:widowControl/>
        <w:spacing w:before="0" w:beforeAutospacing="0" w:after="0" w:afterAutospacing="0" w:line="348" w:lineRule="atLeast"/>
        <w:ind w:firstLine="384"/>
        <w:jc w:val="both"/>
        <w:textAlignment w:val="baseline"/>
      </w:pPr>
      <w:r>
        <w:rPr>
          <w:rStyle w:val="26"/>
          <w:rFonts w:hint="eastAsia" w:ascii="宋体" w:hAnsi="宋体" w:eastAsia="宋体" w:cs="宋体"/>
          <w:sz w:val="19"/>
          <w:szCs w:val="19"/>
          <w:shd w:val="clear" w:color="auto" w:fill="FFFFFF"/>
        </w:rPr>
        <w:t>一、项目基本情况</w:t>
      </w:r>
    </w:p>
    <w:p>
      <w:pPr>
        <w:pStyle w:val="19"/>
        <w:widowControl/>
        <w:spacing w:before="0" w:beforeAutospacing="0" w:after="0" w:afterAutospacing="0" w:line="348" w:lineRule="atLeast"/>
        <w:ind w:firstLine="384"/>
        <w:jc w:val="both"/>
        <w:textAlignment w:val="baseline"/>
        <w:rPr>
          <w:rFonts w:hint="default" w:ascii="宋体" w:hAnsi="宋体" w:eastAsia="宋体" w:cs="宋体"/>
          <w:sz w:val="19"/>
          <w:szCs w:val="19"/>
          <w:shd w:val="clear" w:color="auto" w:fill="FFFFFF"/>
          <w:lang w:val="en-US" w:eastAsia="zh-CN"/>
        </w:rPr>
      </w:pPr>
      <w:r>
        <w:rPr>
          <w:rFonts w:hint="eastAsia" w:ascii="宋体" w:hAnsi="宋体" w:eastAsia="宋体" w:cs="宋体"/>
          <w:sz w:val="19"/>
          <w:szCs w:val="19"/>
          <w:shd w:val="clear" w:color="auto" w:fill="FFFFFF"/>
        </w:rPr>
        <w:t>项目编号：KCS2022-1</w:t>
      </w:r>
      <w:r>
        <w:rPr>
          <w:rFonts w:hint="eastAsia" w:ascii="宋体" w:hAnsi="宋体" w:eastAsia="宋体" w:cs="宋体"/>
          <w:sz w:val="19"/>
          <w:szCs w:val="19"/>
          <w:shd w:val="clear" w:color="auto" w:fill="FFFFFF"/>
          <w:lang w:val="en-US" w:eastAsia="zh-CN"/>
        </w:rPr>
        <w:t>82</w:t>
      </w:r>
    </w:p>
    <w:p>
      <w:pPr>
        <w:pStyle w:val="19"/>
        <w:widowControl/>
        <w:spacing w:before="0" w:beforeAutospacing="0" w:after="0" w:afterAutospacing="0" w:line="348" w:lineRule="atLeast"/>
        <w:ind w:firstLine="384"/>
        <w:jc w:val="both"/>
        <w:textAlignment w:val="baseline"/>
        <w:rPr>
          <w:rFonts w:hint="eastAsia" w:eastAsia="宋体"/>
          <w:lang w:eastAsia="zh-CN"/>
        </w:rPr>
      </w:pPr>
      <w:r>
        <w:rPr>
          <w:rFonts w:hint="eastAsia" w:ascii="宋体" w:hAnsi="宋体" w:eastAsia="宋体" w:cs="宋体"/>
          <w:sz w:val="19"/>
          <w:szCs w:val="19"/>
          <w:shd w:val="clear" w:color="auto" w:fill="FFFFFF"/>
        </w:rPr>
        <w:t>项目名称:</w:t>
      </w:r>
      <w:r>
        <w:rPr>
          <w:rFonts w:hint="eastAsia" w:ascii="宋体" w:hAnsi="宋体" w:eastAsia="宋体" w:cs="宋体"/>
          <w:sz w:val="19"/>
          <w:szCs w:val="19"/>
          <w:shd w:val="clear" w:color="auto" w:fill="FFFFFF"/>
          <w:lang w:eastAsia="zh-CN"/>
        </w:rPr>
        <w:t>库车市农业水价综合改革项目</w:t>
      </w:r>
    </w:p>
    <w:p>
      <w:pPr>
        <w:pStyle w:val="19"/>
        <w:widowControl/>
        <w:spacing w:before="0" w:beforeAutospacing="0" w:after="0" w:afterAutospacing="0" w:line="348" w:lineRule="atLeast"/>
        <w:ind w:firstLine="384"/>
        <w:jc w:val="both"/>
        <w:textAlignment w:val="baseline"/>
        <w:rPr>
          <w:rFonts w:hint="eastAsia" w:ascii="宋体" w:hAnsi="宋体" w:eastAsia="宋体" w:cs="宋体"/>
          <w:sz w:val="19"/>
          <w:szCs w:val="19"/>
          <w:shd w:val="clear" w:color="auto" w:fill="FFFFFF"/>
        </w:rPr>
      </w:pPr>
      <w:r>
        <w:rPr>
          <w:rFonts w:hint="eastAsia" w:ascii="宋体" w:hAnsi="宋体" w:eastAsia="宋体" w:cs="宋体"/>
          <w:sz w:val="19"/>
          <w:szCs w:val="19"/>
          <w:shd w:val="clear" w:color="auto" w:fill="FFFFFF"/>
        </w:rPr>
        <w:t>采购方式：公开招标</w:t>
      </w:r>
    </w:p>
    <w:p>
      <w:pPr>
        <w:pStyle w:val="19"/>
        <w:widowControl/>
        <w:spacing w:before="0" w:beforeAutospacing="0" w:after="0" w:afterAutospacing="0" w:line="348" w:lineRule="atLeast"/>
        <w:ind w:firstLine="384"/>
        <w:jc w:val="both"/>
        <w:textAlignment w:val="baseline"/>
        <w:rPr>
          <w:rFonts w:hint="eastAsia" w:ascii="宋体" w:hAnsi="宋体" w:eastAsia="宋体" w:cs="宋体"/>
          <w:sz w:val="19"/>
          <w:szCs w:val="19"/>
          <w:shd w:val="clear" w:color="auto" w:fill="FFFFFF"/>
        </w:rPr>
      </w:pPr>
      <w:r>
        <w:rPr>
          <w:rFonts w:hint="eastAsia" w:ascii="宋体" w:hAnsi="宋体" w:eastAsia="宋体" w:cs="宋体"/>
          <w:sz w:val="19"/>
          <w:szCs w:val="19"/>
          <w:shd w:val="clear" w:color="auto" w:fill="FFFFFF"/>
        </w:rPr>
        <w:t>预算金额（元）：</w:t>
      </w:r>
      <w:r>
        <w:rPr>
          <w:rFonts w:hint="eastAsia" w:ascii="宋体" w:hAnsi="宋体" w:eastAsia="宋体" w:cs="宋体"/>
          <w:sz w:val="19"/>
          <w:szCs w:val="19"/>
          <w:shd w:val="clear" w:color="auto" w:fill="FFFFFF"/>
          <w:lang w:val="en-US" w:eastAsia="zh-CN"/>
        </w:rPr>
        <w:t>89</w:t>
      </w:r>
      <w:r>
        <w:rPr>
          <w:rFonts w:hint="eastAsia" w:ascii="宋体" w:hAnsi="宋体" w:eastAsia="宋体" w:cs="宋体"/>
          <w:sz w:val="19"/>
          <w:szCs w:val="19"/>
          <w:shd w:val="clear" w:color="auto" w:fill="FFFFFF"/>
        </w:rPr>
        <w:t>0000.00</w:t>
      </w:r>
    </w:p>
    <w:p>
      <w:pPr>
        <w:pStyle w:val="19"/>
        <w:widowControl/>
        <w:spacing w:before="0" w:beforeAutospacing="0" w:after="0" w:afterAutospacing="0" w:line="348" w:lineRule="atLeast"/>
        <w:ind w:firstLine="384"/>
        <w:jc w:val="both"/>
        <w:textAlignment w:val="baseline"/>
        <w:rPr>
          <w:rFonts w:ascii="宋体" w:hAnsi="宋体" w:eastAsia="宋体" w:cs="宋体"/>
          <w:sz w:val="19"/>
          <w:szCs w:val="19"/>
          <w:shd w:val="clear" w:color="auto" w:fill="FFFFFF"/>
        </w:rPr>
      </w:pPr>
      <w:r>
        <w:rPr>
          <w:rFonts w:hint="eastAsia" w:ascii="宋体" w:hAnsi="宋体" w:eastAsia="宋体" w:cs="宋体"/>
          <w:sz w:val="19"/>
          <w:szCs w:val="19"/>
          <w:shd w:val="clear" w:color="auto" w:fill="FFFFFF"/>
        </w:rPr>
        <w:t>最高限价（元）：</w:t>
      </w:r>
      <w:r>
        <w:rPr>
          <w:rFonts w:hint="eastAsia" w:ascii="宋体" w:hAnsi="宋体" w:eastAsia="宋体" w:cs="宋体"/>
          <w:sz w:val="19"/>
          <w:szCs w:val="19"/>
          <w:shd w:val="clear" w:color="auto" w:fill="FFFFFF"/>
          <w:lang w:val="en-US" w:eastAsia="zh-CN"/>
        </w:rPr>
        <w:t>89</w:t>
      </w:r>
      <w:r>
        <w:rPr>
          <w:rFonts w:hint="eastAsia" w:ascii="宋体" w:hAnsi="宋体" w:eastAsia="宋体" w:cs="宋体"/>
          <w:sz w:val="19"/>
          <w:szCs w:val="19"/>
          <w:shd w:val="clear" w:color="auto" w:fill="FFFFFF"/>
        </w:rPr>
        <w:t>0000.00</w:t>
      </w:r>
    </w:p>
    <w:p>
      <w:pPr>
        <w:pStyle w:val="19"/>
        <w:widowControl/>
        <w:spacing w:before="0" w:beforeAutospacing="0" w:after="0" w:afterAutospacing="0" w:line="348" w:lineRule="atLeast"/>
        <w:ind w:firstLine="384"/>
        <w:jc w:val="both"/>
        <w:textAlignment w:val="baseline"/>
      </w:pPr>
      <w:r>
        <w:rPr>
          <w:rFonts w:hint="eastAsia" w:ascii="宋体" w:hAnsi="宋体" w:eastAsia="宋体" w:cs="宋体"/>
          <w:sz w:val="19"/>
          <w:szCs w:val="19"/>
          <w:shd w:val="clear" w:color="auto" w:fill="FFFFFF"/>
        </w:rPr>
        <w:t>采购需求：</w:t>
      </w:r>
      <w:r>
        <w:rPr>
          <w:rFonts w:hint="eastAsia" w:ascii="宋体" w:hAnsi="宋体" w:eastAsia="宋体" w:cs="宋体"/>
          <w:sz w:val="19"/>
          <w:szCs w:val="19"/>
          <w:shd w:val="clear" w:color="auto" w:fill="FFFFFF"/>
          <w:lang w:eastAsia="zh-CN"/>
        </w:rPr>
        <w:t>编制库车市农业灌溉水资源配置方案及供需平衡分析报告；编制库车市渠系水有效利用系数测算报告；委托实施库车市2022年农业水价综合改革（试点）验收工作的第三方支撑单位。</w:t>
      </w:r>
    </w:p>
    <w:p>
      <w:pPr>
        <w:pStyle w:val="19"/>
        <w:widowControl/>
        <w:spacing w:before="0" w:beforeAutospacing="0" w:after="0" w:afterAutospacing="0" w:line="348" w:lineRule="atLeast"/>
        <w:ind w:firstLine="384"/>
        <w:jc w:val="both"/>
        <w:textAlignment w:val="baseline"/>
        <w:rPr>
          <w:rFonts w:hint="eastAsia" w:eastAsia="宋体"/>
        </w:rPr>
      </w:pPr>
      <w:r>
        <w:rPr>
          <w:rFonts w:hint="eastAsia" w:ascii="宋体" w:hAnsi="宋体" w:eastAsia="宋体" w:cs="宋体"/>
          <w:sz w:val="19"/>
          <w:szCs w:val="19"/>
          <w:shd w:val="clear" w:color="auto" w:fill="FFFFFF"/>
        </w:rPr>
        <w:t>简要规格描述：详见招标文件采购需求</w:t>
      </w:r>
    </w:p>
    <w:p>
      <w:pPr>
        <w:pStyle w:val="19"/>
        <w:widowControl/>
        <w:spacing w:before="0" w:beforeAutospacing="0" w:after="0" w:afterAutospacing="0" w:line="348" w:lineRule="atLeast"/>
        <w:ind w:firstLine="384"/>
        <w:jc w:val="both"/>
        <w:textAlignment w:val="baseline"/>
        <w:rPr>
          <w:rFonts w:eastAsia="宋体"/>
        </w:rPr>
      </w:pPr>
      <w:r>
        <w:rPr>
          <w:rFonts w:hint="eastAsia" w:ascii="宋体" w:hAnsi="宋体" w:eastAsia="宋体" w:cs="宋体"/>
          <w:sz w:val="19"/>
          <w:szCs w:val="19"/>
          <w:shd w:val="clear" w:color="auto" w:fill="FFFFFF"/>
        </w:rPr>
        <w:t>合同履约期限：甲乙双方签订合同后</w:t>
      </w:r>
      <w:r>
        <w:rPr>
          <w:rFonts w:hint="eastAsia" w:ascii="宋体" w:hAnsi="宋体" w:eastAsia="宋体" w:cs="宋体"/>
          <w:sz w:val="19"/>
          <w:szCs w:val="19"/>
          <w:shd w:val="clear" w:color="auto" w:fill="FFFFFF"/>
          <w:lang w:val="en-US" w:eastAsia="zh-CN"/>
        </w:rPr>
        <w:t>3</w:t>
      </w:r>
      <w:r>
        <w:rPr>
          <w:rFonts w:hint="eastAsia" w:ascii="宋体" w:hAnsi="宋体" w:eastAsia="宋体" w:cs="宋体"/>
          <w:sz w:val="19"/>
          <w:szCs w:val="19"/>
          <w:shd w:val="clear" w:color="auto" w:fill="FFFFFF"/>
        </w:rPr>
        <w:t>0日内完成</w:t>
      </w:r>
    </w:p>
    <w:p>
      <w:pPr>
        <w:pStyle w:val="19"/>
        <w:widowControl/>
        <w:spacing w:before="0" w:beforeAutospacing="0" w:after="0" w:afterAutospacing="0" w:line="348" w:lineRule="atLeast"/>
        <w:ind w:firstLine="384"/>
        <w:jc w:val="both"/>
        <w:textAlignment w:val="baseline"/>
      </w:pPr>
      <w:r>
        <w:rPr>
          <w:rFonts w:hint="eastAsia" w:ascii="宋体" w:hAnsi="宋体" w:eastAsia="宋体" w:cs="宋体"/>
          <w:sz w:val="19"/>
          <w:szCs w:val="19"/>
          <w:shd w:val="clear" w:color="auto" w:fill="FFFFFF"/>
        </w:rPr>
        <w:t>本项目不接受联合体投标。</w:t>
      </w:r>
    </w:p>
    <w:p>
      <w:pPr>
        <w:pStyle w:val="19"/>
        <w:widowControl/>
        <w:spacing w:before="0" w:beforeAutospacing="0" w:after="0" w:afterAutospacing="0" w:line="348" w:lineRule="atLeast"/>
        <w:ind w:firstLine="384"/>
        <w:jc w:val="both"/>
        <w:textAlignment w:val="baseline"/>
      </w:pPr>
      <w:r>
        <w:rPr>
          <w:rStyle w:val="26"/>
          <w:rFonts w:hint="eastAsia" w:ascii="宋体" w:hAnsi="宋体" w:eastAsia="宋体" w:cs="宋体"/>
          <w:sz w:val="19"/>
          <w:szCs w:val="19"/>
          <w:shd w:val="clear" w:color="auto" w:fill="FFFFFF"/>
        </w:rPr>
        <w:t>二、申请人的资格要求</w:t>
      </w:r>
    </w:p>
    <w:p>
      <w:pPr>
        <w:pStyle w:val="19"/>
        <w:widowControl/>
        <w:spacing w:before="0" w:beforeAutospacing="0" w:after="0" w:afterAutospacing="0" w:line="348" w:lineRule="atLeast"/>
        <w:ind w:firstLine="384"/>
        <w:jc w:val="both"/>
        <w:textAlignment w:val="baseline"/>
      </w:pPr>
      <w:r>
        <w:rPr>
          <w:rFonts w:hint="eastAsia" w:ascii="宋体" w:hAnsi="宋体" w:eastAsia="宋体" w:cs="宋体"/>
          <w:sz w:val="19"/>
          <w:szCs w:val="19"/>
          <w:shd w:val="clear" w:color="auto" w:fill="FFFFFF"/>
        </w:rPr>
        <w:t>1、满足《中华人民共和国政府采购法》第二十二条规定：</w:t>
      </w:r>
    </w:p>
    <w:p>
      <w:pPr>
        <w:pStyle w:val="19"/>
        <w:widowControl/>
        <w:spacing w:before="0" w:beforeAutospacing="0" w:after="0" w:afterAutospacing="0" w:line="348" w:lineRule="atLeast"/>
        <w:ind w:firstLine="384"/>
        <w:jc w:val="both"/>
        <w:textAlignment w:val="baseline"/>
        <w:rPr>
          <w:rFonts w:hint="eastAsia" w:eastAsia="宋体"/>
          <w:lang w:eastAsia="zh-CN"/>
        </w:rPr>
      </w:pPr>
      <w:r>
        <w:rPr>
          <w:rFonts w:hint="eastAsia" w:ascii="宋体" w:hAnsi="宋体" w:eastAsia="宋体" w:cs="宋体"/>
          <w:sz w:val="19"/>
          <w:szCs w:val="19"/>
          <w:shd w:val="clear" w:color="auto" w:fill="FFFFFF"/>
        </w:rPr>
        <w:t>2、落实政府采购政策需满足的资格要求：</w:t>
      </w:r>
      <w:r>
        <w:rPr>
          <w:rFonts w:hint="eastAsia" w:ascii="宋体" w:hAnsi="宋体" w:eastAsia="宋体" w:cs="宋体"/>
          <w:sz w:val="19"/>
          <w:szCs w:val="19"/>
          <w:shd w:val="clear" w:color="auto" w:fill="FFFFFF"/>
          <w:lang w:eastAsia="zh-CN"/>
        </w:rPr>
        <w:t>无</w:t>
      </w:r>
    </w:p>
    <w:p>
      <w:pPr>
        <w:pStyle w:val="19"/>
        <w:widowControl/>
        <w:spacing w:before="0" w:beforeAutospacing="0" w:after="0" w:afterAutospacing="0" w:line="348" w:lineRule="atLeast"/>
        <w:ind w:firstLine="384"/>
        <w:jc w:val="both"/>
        <w:textAlignment w:val="baseline"/>
        <w:rPr>
          <w:rFonts w:hint="eastAsia" w:ascii="宋体" w:hAnsi="宋体" w:eastAsia="宋体" w:cs="宋体"/>
          <w:sz w:val="19"/>
          <w:szCs w:val="19"/>
          <w:shd w:val="clear" w:color="auto" w:fill="FFFFFF"/>
        </w:rPr>
      </w:pPr>
      <w:r>
        <w:rPr>
          <w:rFonts w:hint="eastAsia" w:ascii="宋体" w:hAnsi="宋体" w:eastAsia="宋体" w:cs="宋体"/>
          <w:sz w:val="19"/>
          <w:szCs w:val="19"/>
          <w:shd w:val="clear" w:color="auto" w:fill="FFFFFF"/>
        </w:rPr>
        <w:t>3、本项目的特定资格要求：</w:t>
      </w:r>
    </w:p>
    <w:p>
      <w:pPr>
        <w:pStyle w:val="19"/>
        <w:widowControl/>
        <w:spacing w:before="0" w:beforeAutospacing="0" w:after="0" w:afterAutospacing="0" w:line="348" w:lineRule="atLeast"/>
        <w:ind w:firstLine="384"/>
        <w:jc w:val="both"/>
        <w:textAlignment w:val="baseline"/>
        <w:rPr>
          <w:rFonts w:hint="eastAsia" w:ascii="宋体" w:hAnsi="宋体" w:eastAsia="宋体" w:cs="宋体"/>
          <w:sz w:val="19"/>
          <w:szCs w:val="19"/>
          <w:shd w:val="clear" w:color="auto" w:fill="FFFFFF"/>
        </w:rPr>
      </w:pPr>
      <w:r>
        <w:rPr>
          <w:rFonts w:hint="eastAsia" w:ascii="宋体" w:hAnsi="宋体" w:eastAsia="宋体" w:cs="宋体"/>
          <w:sz w:val="19"/>
          <w:szCs w:val="19"/>
          <w:shd w:val="clear" w:color="auto" w:fill="FFFFFF"/>
        </w:rPr>
        <w:t>（1）法人代表或其委托代理人应提交本人身份证，委托代理人还应提交《法人代表授权委托书》；</w:t>
      </w:r>
    </w:p>
    <w:p>
      <w:pPr>
        <w:pStyle w:val="19"/>
        <w:widowControl/>
        <w:spacing w:before="0" w:beforeAutospacing="0" w:after="0" w:afterAutospacing="0" w:line="348" w:lineRule="atLeast"/>
        <w:ind w:firstLine="384"/>
        <w:jc w:val="both"/>
        <w:textAlignment w:val="baseline"/>
        <w:rPr>
          <w:rFonts w:hint="eastAsia" w:ascii="宋体" w:hAnsi="宋体" w:eastAsia="宋体" w:cs="宋体"/>
          <w:sz w:val="19"/>
          <w:szCs w:val="19"/>
          <w:shd w:val="clear" w:color="auto" w:fill="FFFFFF"/>
        </w:rPr>
      </w:pPr>
      <w:r>
        <w:rPr>
          <w:rFonts w:hint="eastAsia" w:ascii="宋体" w:hAnsi="宋体" w:eastAsia="宋体" w:cs="宋体"/>
          <w:sz w:val="19"/>
          <w:szCs w:val="19"/>
          <w:shd w:val="clear" w:color="auto" w:fill="FFFFFF"/>
        </w:rPr>
        <w:t>（2）</w:t>
      </w:r>
      <w:r>
        <w:rPr>
          <w:rFonts w:hint="eastAsia" w:ascii="宋体" w:hAnsi="宋体" w:eastAsia="宋体" w:cs="宋体"/>
          <w:sz w:val="19"/>
          <w:szCs w:val="19"/>
          <w:shd w:val="clear" w:color="auto" w:fill="FFFFFF"/>
          <w:lang w:val="en-US" w:eastAsia="zh-CN"/>
        </w:rPr>
        <w:t>具有独立承担民事责任的能力，</w:t>
      </w:r>
      <w:r>
        <w:rPr>
          <w:rFonts w:hint="eastAsia" w:ascii="宋体" w:hAnsi="宋体" w:eastAsia="宋体" w:cs="宋体"/>
          <w:sz w:val="19"/>
          <w:szCs w:val="19"/>
          <w:shd w:val="clear" w:color="auto" w:fill="FFFFFF"/>
        </w:rPr>
        <w:t>有效经年检的三证合一的营业执照；</w:t>
      </w:r>
    </w:p>
    <w:p>
      <w:pPr>
        <w:pStyle w:val="19"/>
        <w:widowControl/>
        <w:spacing w:before="0" w:beforeAutospacing="0" w:after="0" w:afterAutospacing="0" w:line="348" w:lineRule="atLeast"/>
        <w:ind w:firstLine="384"/>
        <w:jc w:val="both"/>
        <w:textAlignment w:val="baseline"/>
        <w:rPr>
          <w:rFonts w:hint="eastAsia" w:ascii="宋体" w:hAnsi="宋体" w:eastAsia="宋体" w:cs="宋体"/>
          <w:sz w:val="19"/>
          <w:szCs w:val="19"/>
          <w:shd w:val="clear" w:color="auto" w:fill="FFFFFF"/>
        </w:rPr>
      </w:pPr>
      <w:r>
        <w:rPr>
          <w:rFonts w:hint="eastAsia" w:ascii="宋体" w:hAnsi="宋体" w:eastAsia="宋体" w:cs="宋体"/>
          <w:sz w:val="19"/>
          <w:szCs w:val="19"/>
          <w:shd w:val="clear" w:color="auto" w:fill="FFFFFF"/>
        </w:rPr>
        <w:t>（3）具有履行合同所必需的服务和专业技术</w:t>
      </w:r>
      <w:r>
        <w:rPr>
          <w:rFonts w:hint="eastAsia" w:ascii="宋体" w:hAnsi="宋体" w:eastAsia="宋体" w:cs="宋体"/>
          <w:sz w:val="19"/>
          <w:szCs w:val="19"/>
          <w:highlight w:val="none"/>
          <w:shd w:val="clear" w:color="auto" w:fill="FFFFFF"/>
        </w:rPr>
        <w:t>能力</w:t>
      </w:r>
      <w:r>
        <w:rPr>
          <w:rFonts w:hint="eastAsia" w:ascii="宋体" w:hAnsi="宋体" w:eastAsia="宋体" w:cs="宋体"/>
          <w:sz w:val="19"/>
          <w:szCs w:val="19"/>
          <w:highlight w:val="none"/>
          <w:shd w:val="clear" w:color="auto" w:fill="FFFFFF"/>
          <w:lang w:eastAsia="zh-CN"/>
        </w:rPr>
        <w:t>；</w:t>
      </w:r>
    </w:p>
    <w:p>
      <w:pPr>
        <w:pStyle w:val="19"/>
        <w:widowControl/>
        <w:spacing w:before="0" w:beforeAutospacing="0" w:after="0" w:afterAutospacing="0" w:line="348" w:lineRule="atLeast"/>
        <w:ind w:firstLine="384"/>
        <w:jc w:val="both"/>
        <w:textAlignment w:val="baseline"/>
        <w:rPr>
          <w:rFonts w:hint="eastAsia" w:ascii="宋体" w:hAnsi="宋体" w:eastAsia="宋体" w:cs="宋体"/>
          <w:sz w:val="19"/>
          <w:szCs w:val="19"/>
          <w:shd w:val="clear" w:color="auto" w:fill="FFFFFF"/>
        </w:rPr>
      </w:pPr>
      <w:r>
        <w:rPr>
          <w:rFonts w:hint="eastAsia" w:ascii="宋体" w:hAnsi="宋体" w:eastAsia="宋体" w:cs="宋体"/>
          <w:sz w:val="19"/>
          <w:szCs w:val="19"/>
          <w:shd w:val="clear" w:color="auto" w:fill="FFFFFF"/>
        </w:rPr>
        <w:t>（4）近一年（2021年）的财务审计报告（成立不足一年的提供成立至今的财务报表，包含资产负债表、现金流量表、利润表）；</w:t>
      </w:r>
    </w:p>
    <w:p>
      <w:pPr>
        <w:pStyle w:val="19"/>
        <w:widowControl/>
        <w:spacing w:before="0" w:beforeAutospacing="0" w:after="0" w:afterAutospacing="0" w:line="348" w:lineRule="atLeast"/>
        <w:ind w:firstLine="384"/>
        <w:jc w:val="both"/>
        <w:textAlignment w:val="baseline"/>
        <w:rPr>
          <w:rFonts w:hint="eastAsia" w:ascii="宋体" w:hAnsi="宋体" w:eastAsia="宋体" w:cs="宋体"/>
          <w:sz w:val="19"/>
          <w:szCs w:val="19"/>
          <w:shd w:val="clear" w:color="auto" w:fill="FFFFFF"/>
        </w:rPr>
      </w:pPr>
      <w:r>
        <w:rPr>
          <w:rFonts w:hint="eastAsia" w:ascii="宋体" w:hAnsi="宋体" w:eastAsia="宋体" w:cs="宋体"/>
          <w:kern w:val="0"/>
          <w:sz w:val="20"/>
          <w:szCs w:val="20"/>
          <w:lang w:val="en-US" w:eastAsia="zh-CN"/>
        </w:rPr>
        <w:t>（5）有依法缴纳税收和社会保障资金的良好纪录，提供2022年内任意连续三个月完税、缴纳社保证明原件或复印件加盖公章（公司成立不到三个月的从成立之日起）</w:t>
      </w:r>
    </w:p>
    <w:p>
      <w:pPr>
        <w:pStyle w:val="19"/>
        <w:widowControl/>
        <w:spacing w:before="0" w:beforeAutospacing="0" w:after="0" w:afterAutospacing="0" w:line="348" w:lineRule="atLeast"/>
        <w:ind w:firstLine="384"/>
        <w:jc w:val="both"/>
        <w:textAlignment w:val="baseline"/>
        <w:rPr>
          <w:rFonts w:hint="eastAsia" w:ascii="宋体" w:hAnsi="宋体" w:eastAsia="宋体" w:cs="宋体"/>
          <w:sz w:val="19"/>
          <w:szCs w:val="19"/>
          <w:shd w:val="clear" w:color="auto" w:fill="FFFFFF"/>
        </w:rPr>
      </w:pPr>
      <w:r>
        <w:rPr>
          <w:rFonts w:hint="eastAsia" w:ascii="宋体" w:hAnsi="宋体" w:eastAsia="宋体" w:cs="宋体"/>
          <w:sz w:val="19"/>
          <w:szCs w:val="19"/>
          <w:shd w:val="clear" w:color="auto" w:fill="FFFFFF"/>
        </w:rPr>
        <w:t>（</w:t>
      </w:r>
      <w:r>
        <w:rPr>
          <w:rFonts w:hint="eastAsia" w:ascii="宋体" w:hAnsi="宋体" w:eastAsia="宋体" w:cs="宋体"/>
          <w:sz w:val="19"/>
          <w:szCs w:val="19"/>
          <w:shd w:val="clear" w:color="auto" w:fill="FFFFFF"/>
          <w:lang w:val="en-US" w:eastAsia="zh-CN"/>
        </w:rPr>
        <w:t>6</w:t>
      </w:r>
      <w:r>
        <w:rPr>
          <w:rFonts w:hint="eastAsia" w:ascii="宋体" w:hAnsi="宋体" w:eastAsia="宋体" w:cs="宋体"/>
          <w:sz w:val="19"/>
          <w:szCs w:val="19"/>
          <w:shd w:val="clear" w:color="auto" w:fill="FFFFFF"/>
        </w:rPr>
        <w:t>） 供应商未被“信用中国”（www.creditchina.gov.cn）、中国政府采购网（www.ccgp.gov.cn）、国家企业信用信息公示系统（http://www.gsxt.gov.cn）列入失信被执行人、重大税收违法案件当事人名单、政府采购严重违法失信行为记录名单（尚在处罚期内的），将拒绝其参加本次政府采购活动﹙投标人网上自行打印后加盖投标单位公章﹚；</w:t>
      </w:r>
    </w:p>
    <w:p>
      <w:pPr>
        <w:pStyle w:val="19"/>
        <w:widowControl/>
        <w:spacing w:before="0" w:beforeAutospacing="0" w:after="0" w:afterAutospacing="0" w:line="348" w:lineRule="atLeast"/>
        <w:ind w:firstLine="384"/>
        <w:jc w:val="both"/>
        <w:textAlignment w:val="baseline"/>
        <w:rPr>
          <w:rFonts w:hint="eastAsia" w:ascii="宋体" w:hAnsi="宋体" w:eastAsia="宋体" w:cs="宋体"/>
          <w:sz w:val="19"/>
          <w:szCs w:val="19"/>
          <w:shd w:val="clear" w:color="auto" w:fill="FFFFFF"/>
        </w:rPr>
      </w:pPr>
      <w:r>
        <w:rPr>
          <w:rFonts w:hint="eastAsia" w:ascii="宋体" w:hAnsi="宋体" w:eastAsia="宋体" w:cs="宋体"/>
          <w:sz w:val="19"/>
          <w:szCs w:val="19"/>
          <w:shd w:val="clear" w:color="auto" w:fill="FFFFFF"/>
        </w:rPr>
        <w:t>（</w:t>
      </w:r>
      <w:r>
        <w:rPr>
          <w:rFonts w:hint="eastAsia" w:ascii="宋体" w:hAnsi="宋体" w:eastAsia="宋体" w:cs="宋体"/>
          <w:sz w:val="19"/>
          <w:szCs w:val="19"/>
          <w:shd w:val="clear" w:color="auto" w:fill="FFFFFF"/>
          <w:lang w:val="en-US" w:eastAsia="zh-CN"/>
        </w:rPr>
        <w:t>7</w:t>
      </w:r>
      <w:r>
        <w:rPr>
          <w:rFonts w:hint="eastAsia" w:ascii="宋体" w:hAnsi="宋体" w:eastAsia="宋体" w:cs="宋体"/>
          <w:sz w:val="19"/>
          <w:szCs w:val="19"/>
          <w:shd w:val="clear" w:color="auto" w:fill="FFFFFF"/>
        </w:rPr>
        <w:t>）单位负责人为同一人或者存在直接控股、管理关系的不同供应商，不得参加同一合同项下的政府采购活动。</w:t>
      </w:r>
    </w:p>
    <w:p>
      <w:pPr>
        <w:pStyle w:val="19"/>
        <w:widowControl/>
        <w:spacing w:before="0" w:beforeAutospacing="0" w:after="0" w:afterAutospacing="0" w:line="348" w:lineRule="atLeast"/>
        <w:ind w:firstLine="384"/>
        <w:jc w:val="both"/>
        <w:textAlignment w:val="baseline"/>
      </w:pPr>
      <w:r>
        <w:rPr>
          <w:rStyle w:val="26"/>
          <w:rFonts w:hint="eastAsia" w:ascii="宋体" w:hAnsi="宋体" w:eastAsia="宋体" w:cs="宋体"/>
          <w:sz w:val="19"/>
          <w:szCs w:val="19"/>
          <w:shd w:val="clear" w:color="auto" w:fill="FFFFFF"/>
        </w:rPr>
        <w:t>三、获取招标文件</w:t>
      </w:r>
    </w:p>
    <w:p>
      <w:pPr>
        <w:pStyle w:val="19"/>
        <w:widowControl/>
        <w:spacing w:before="0" w:beforeAutospacing="0" w:after="0" w:afterAutospacing="0" w:line="348" w:lineRule="atLeast"/>
        <w:ind w:firstLine="384"/>
        <w:jc w:val="both"/>
        <w:textAlignment w:val="baseline"/>
      </w:pPr>
      <w:r>
        <w:rPr>
          <w:rFonts w:hint="eastAsia" w:ascii="宋体" w:hAnsi="宋体" w:eastAsia="宋体" w:cs="宋体"/>
          <w:sz w:val="19"/>
          <w:szCs w:val="19"/>
          <w:shd w:val="clear" w:color="auto" w:fill="FFFFFF"/>
        </w:rPr>
        <w:t>时间:2022年</w:t>
      </w:r>
      <w:r>
        <w:rPr>
          <w:rFonts w:hint="eastAsia" w:ascii="宋体" w:hAnsi="宋体" w:eastAsia="宋体" w:cs="宋体"/>
          <w:sz w:val="19"/>
          <w:szCs w:val="19"/>
          <w:shd w:val="clear" w:color="auto" w:fill="FFFFFF"/>
          <w:lang w:val="en-US" w:eastAsia="zh-CN"/>
        </w:rPr>
        <w:t>9</w:t>
      </w:r>
      <w:r>
        <w:rPr>
          <w:rFonts w:hint="eastAsia" w:ascii="宋体" w:hAnsi="宋体" w:eastAsia="宋体" w:cs="宋体"/>
          <w:sz w:val="19"/>
          <w:szCs w:val="19"/>
          <w:shd w:val="clear" w:color="auto" w:fill="FFFFFF"/>
        </w:rPr>
        <w:t>月</w:t>
      </w:r>
      <w:r>
        <w:rPr>
          <w:rFonts w:hint="eastAsia" w:ascii="宋体" w:hAnsi="宋体" w:cs="宋体"/>
          <w:sz w:val="19"/>
          <w:szCs w:val="19"/>
          <w:shd w:val="clear" w:color="auto" w:fill="FFFFFF"/>
          <w:lang w:val="en-US" w:eastAsia="zh-CN"/>
        </w:rPr>
        <w:t>5</w:t>
      </w:r>
      <w:r>
        <w:rPr>
          <w:rFonts w:hint="eastAsia" w:ascii="宋体" w:hAnsi="宋体" w:eastAsia="宋体" w:cs="宋体"/>
          <w:sz w:val="19"/>
          <w:szCs w:val="19"/>
          <w:shd w:val="clear" w:color="auto" w:fill="FFFFFF"/>
        </w:rPr>
        <w:t>日10时00分至2022年</w:t>
      </w:r>
      <w:r>
        <w:rPr>
          <w:rFonts w:hint="eastAsia" w:ascii="宋体" w:hAnsi="宋体" w:eastAsia="宋体" w:cs="宋体"/>
          <w:sz w:val="19"/>
          <w:szCs w:val="19"/>
          <w:shd w:val="clear" w:color="auto" w:fill="FFFFFF"/>
          <w:lang w:val="en-US" w:eastAsia="zh-CN"/>
        </w:rPr>
        <w:t>9</w:t>
      </w:r>
      <w:r>
        <w:rPr>
          <w:rFonts w:hint="eastAsia" w:ascii="宋体" w:hAnsi="宋体" w:eastAsia="宋体" w:cs="宋体"/>
          <w:sz w:val="19"/>
          <w:szCs w:val="19"/>
          <w:shd w:val="clear" w:color="auto" w:fill="FFFFFF"/>
        </w:rPr>
        <w:t>月</w:t>
      </w:r>
      <w:r>
        <w:rPr>
          <w:rFonts w:hint="eastAsia" w:ascii="宋体" w:hAnsi="宋体" w:cs="宋体"/>
          <w:sz w:val="19"/>
          <w:szCs w:val="19"/>
          <w:shd w:val="clear" w:color="auto" w:fill="FFFFFF"/>
          <w:lang w:val="en-US" w:eastAsia="zh-CN"/>
        </w:rPr>
        <w:t>13</w:t>
      </w:r>
      <w:r>
        <w:rPr>
          <w:rFonts w:hint="eastAsia" w:ascii="宋体" w:hAnsi="宋体" w:eastAsia="宋体" w:cs="宋体"/>
          <w:sz w:val="19"/>
          <w:szCs w:val="19"/>
          <w:shd w:val="clear" w:color="auto" w:fill="FFFFFF"/>
        </w:rPr>
        <w:t>日20时00分，每天上午10：00至14:00，下午16:00至20:00（北京时间，法定节假日除外）；</w:t>
      </w:r>
    </w:p>
    <w:p>
      <w:pPr>
        <w:pStyle w:val="19"/>
        <w:widowControl/>
        <w:spacing w:before="0" w:beforeAutospacing="0" w:after="0" w:afterAutospacing="0" w:line="348" w:lineRule="atLeast"/>
        <w:ind w:firstLine="384"/>
        <w:jc w:val="both"/>
        <w:textAlignment w:val="baseline"/>
      </w:pPr>
      <w:r>
        <w:rPr>
          <w:rFonts w:hint="eastAsia" w:ascii="宋体" w:hAnsi="宋体" w:eastAsia="宋体" w:cs="宋体"/>
          <w:sz w:val="19"/>
          <w:szCs w:val="19"/>
          <w:shd w:val="clear" w:color="auto" w:fill="FFFFFF"/>
        </w:rPr>
        <w:t>地点：政采云网上自主注册后报名</w:t>
      </w:r>
    </w:p>
    <w:p>
      <w:pPr>
        <w:pStyle w:val="19"/>
        <w:widowControl/>
        <w:spacing w:before="0" w:beforeAutospacing="0" w:after="0" w:afterAutospacing="0" w:line="348" w:lineRule="atLeast"/>
        <w:ind w:firstLine="384"/>
        <w:jc w:val="both"/>
        <w:textAlignment w:val="baseline"/>
      </w:pPr>
      <w:r>
        <w:rPr>
          <w:rFonts w:hint="eastAsia" w:ascii="宋体" w:hAnsi="宋体" w:eastAsia="宋体" w:cs="宋体"/>
          <w:sz w:val="19"/>
          <w:szCs w:val="19"/>
          <w:shd w:val="clear" w:color="auto" w:fill="FFFFFF"/>
        </w:rPr>
        <w:t>方式：供应商登录政采云平台（https://www.zcygov.cn/）在线申请获取采购文件（进入“项目采购”应用，在获取采购文件菜单中选择项目，申请获取采购文件）</w:t>
      </w:r>
    </w:p>
    <w:p>
      <w:pPr>
        <w:pStyle w:val="19"/>
        <w:widowControl/>
        <w:spacing w:before="0" w:beforeAutospacing="0" w:after="0" w:afterAutospacing="0" w:line="348" w:lineRule="atLeast"/>
        <w:ind w:firstLine="384"/>
        <w:jc w:val="both"/>
        <w:textAlignment w:val="baseline"/>
      </w:pPr>
      <w:r>
        <w:rPr>
          <w:rStyle w:val="26"/>
          <w:rFonts w:hint="eastAsia" w:ascii="宋体" w:hAnsi="宋体" w:eastAsia="宋体" w:cs="宋体"/>
          <w:sz w:val="19"/>
          <w:szCs w:val="19"/>
          <w:shd w:val="clear" w:color="auto" w:fill="FFFFFF"/>
        </w:rPr>
        <w:t>四、提交投标文件截止时间、开标时间和地点</w:t>
      </w:r>
    </w:p>
    <w:p>
      <w:pPr>
        <w:pStyle w:val="19"/>
        <w:widowControl/>
        <w:spacing w:before="0" w:beforeAutospacing="0" w:after="0" w:afterAutospacing="0" w:line="348" w:lineRule="atLeast"/>
        <w:ind w:firstLine="384"/>
        <w:jc w:val="both"/>
        <w:textAlignment w:val="baseline"/>
      </w:pPr>
      <w:r>
        <w:rPr>
          <w:rFonts w:hint="eastAsia" w:ascii="宋体" w:hAnsi="宋体" w:eastAsia="宋体" w:cs="宋体"/>
          <w:sz w:val="19"/>
          <w:szCs w:val="19"/>
          <w:shd w:val="clear" w:color="auto" w:fill="FFFFFF"/>
        </w:rPr>
        <w:t>提交投标文件截止时间：2022年</w:t>
      </w:r>
      <w:r>
        <w:rPr>
          <w:rFonts w:hint="eastAsia" w:ascii="宋体" w:hAnsi="宋体" w:eastAsia="宋体" w:cs="宋体"/>
          <w:sz w:val="19"/>
          <w:szCs w:val="19"/>
          <w:shd w:val="clear" w:color="auto" w:fill="FFFFFF"/>
          <w:lang w:val="en-US" w:eastAsia="zh-CN"/>
        </w:rPr>
        <w:t>9</w:t>
      </w:r>
      <w:r>
        <w:rPr>
          <w:rFonts w:hint="eastAsia" w:ascii="宋体" w:hAnsi="宋体" w:eastAsia="宋体" w:cs="宋体"/>
          <w:sz w:val="19"/>
          <w:szCs w:val="19"/>
          <w:shd w:val="clear" w:color="auto" w:fill="FFFFFF"/>
        </w:rPr>
        <w:t>月</w:t>
      </w:r>
      <w:r>
        <w:rPr>
          <w:rFonts w:hint="eastAsia" w:ascii="宋体" w:hAnsi="宋体" w:eastAsia="宋体" w:cs="宋体"/>
          <w:sz w:val="19"/>
          <w:szCs w:val="19"/>
          <w:shd w:val="clear" w:color="auto" w:fill="FFFFFF"/>
          <w:lang w:val="en-US" w:eastAsia="zh-CN"/>
        </w:rPr>
        <w:t>2</w:t>
      </w:r>
      <w:r>
        <w:rPr>
          <w:rFonts w:hint="eastAsia" w:ascii="宋体" w:hAnsi="宋体" w:cs="宋体"/>
          <w:sz w:val="19"/>
          <w:szCs w:val="19"/>
          <w:shd w:val="clear" w:color="auto" w:fill="FFFFFF"/>
          <w:lang w:val="en-US" w:eastAsia="zh-CN"/>
        </w:rPr>
        <w:t>8</w:t>
      </w:r>
      <w:r>
        <w:rPr>
          <w:rFonts w:hint="eastAsia" w:ascii="宋体" w:hAnsi="宋体" w:eastAsia="宋体" w:cs="宋体"/>
          <w:sz w:val="19"/>
          <w:szCs w:val="19"/>
          <w:shd w:val="clear" w:color="auto" w:fill="FFFFFF"/>
        </w:rPr>
        <w:t>日1</w:t>
      </w:r>
      <w:r>
        <w:rPr>
          <w:rFonts w:hint="eastAsia" w:ascii="宋体" w:hAnsi="宋体" w:cs="宋体"/>
          <w:sz w:val="19"/>
          <w:szCs w:val="19"/>
          <w:shd w:val="clear" w:color="auto" w:fill="FFFFFF"/>
        </w:rPr>
        <w:t>0</w:t>
      </w:r>
      <w:r>
        <w:rPr>
          <w:rFonts w:hint="eastAsia" w:ascii="宋体" w:hAnsi="宋体" w:eastAsia="宋体" w:cs="宋体"/>
          <w:sz w:val="19"/>
          <w:szCs w:val="19"/>
          <w:shd w:val="clear" w:color="auto" w:fill="FFFFFF"/>
        </w:rPr>
        <w:t>:30（北京时间）</w:t>
      </w:r>
    </w:p>
    <w:p>
      <w:pPr>
        <w:pStyle w:val="19"/>
        <w:widowControl/>
        <w:spacing w:before="0" w:beforeAutospacing="0" w:after="0" w:afterAutospacing="0" w:line="348" w:lineRule="atLeast"/>
        <w:ind w:firstLine="384"/>
        <w:jc w:val="both"/>
        <w:textAlignment w:val="baseline"/>
      </w:pPr>
      <w:r>
        <w:rPr>
          <w:rFonts w:hint="eastAsia" w:ascii="宋体" w:hAnsi="宋体" w:eastAsia="宋体" w:cs="宋体"/>
          <w:sz w:val="19"/>
          <w:szCs w:val="19"/>
          <w:shd w:val="clear" w:color="auto" w:fill="FFFFFF"/>
        </w:rPr>
        <w:t>投标地点：政采云一站式政府采购云平台</w:t>
      </w:r>
    </w:p>
    <w:p>
      <w:pPr>
        <w:pStyle w:val="19"/>
        <w:widowControl/>
        <w:spacing w:before="0" w:beforeAutospacing="0" w:after="0" w:afterAutospacing="0" w:line="348" w:lineRule="atLeast"/>
        <w:ind w:firstLine="384"/>
        <w:jc w:val="both"/>
        <w:textAlignment w:val="baseline"/>
      </w:pPr>
      <w:r>
        <w:rPr>
          <w:rFonts w:hint="eastAsia" w:ascii="宋体" w:hAnsi="宋体" w:eastAsia="宋体" w:cs="宋体"/>
          <w:sz w:val="19"/>
          <w:szCs w:val="19"/>
          <w:shd w:val="clear" w:color="auto" w:fill="FFFFFF"/>
        </w:rPr>
        <w:t>开标时间：2022年</w:t>
      </w:r>
      <w:r>
        <w:rPr>
          <w:rFonts w:hint="eastAsia" w:ascii="宋体" w:hAnsi="宋体" w:eastAsia="宋体" w:cs="宋体"/>
          <w:sz w:val="19"/>
          <w:szCs w:val="19"/>
          <w:shd w:val="clear" w:color="auto" w:fill="FFFFFF"/>
          <w:lang w:val="en-US" w:eastAsia="zh-CN"/>
        </w:rPr>
        <w:t>9</w:t>
      </w:r>
      <w:r>
        <w:rPr>
          <w:rFonts w:hint="eastAsia" w:ascii="宋体" w:hAnsi="宋体" w:eastAsia="宋体" w:cs="宋体"/>
          <w:sz w:val="19"/>
          <w:szCs w:val="19"/>
          <w:shd w:val="clear" w:color="auto" w:fill="FFFFFF"/>
        </w:rPr>
        <w:t>月</w:t>
      </w:r>
      <w:r>
        <w:rPr>
          <w:rFonts w:hint="eastAsia" w:ascii="宋体" w:hAnsi="宋体" w:eastAsia="宋体" w:cs="宋体"/>
          <w:sz w:val="19"/>
          <w:szCs w:val="19"/>
          <w:shd w:val="clear" w:color="auto" w:fill="FFFFFF"/>
          <w:lang w:val="en-US" w:eastAsia="zh-CN"/>
        </w:rPr>
        <w:t>2</w:t>
      </w:r>
      <w:r>
        <w:rPr>
          <w:rFonts w:hint="eastAsia" w:ascii="宋体" w:hAnsi="宋体" w:cs="宋体"/>
          <w:sz w:val="19"/>
          <w:szCs w:val="19"/>
          <w:shd w:val="clear" w:color="auto" w:fill="FFFFFF"/>
          <w:lang w:val="en-US" w:eastAsia="zh-CN"/>
        </w:rPr>
        <w:t>8</w:t>
      </w:r>
      <w:r>
        <w:rPr>
          <w:rFonts w:hint="eastAsia" w:ascii="宋体" w:hAnsi="宋体" w:eastAsia="宋体" w:cs="宋体"/>
          <w:sz w:val="19"/>
          <w:szCs w:val="19"/>
          <w:shd w:val="clear" w:color="auto" w:fill="FFFFFF"/>
        </w:rPr>
        <w:t>日1</w:t>
      </w:r>
      <w:r>
        <w:rPr>
          <w:rFonts w:hint="eastAsia" w:ascii="宋体" w:hAnsi="宋体" w:cs="宋体"/>
          <w:sz w:val="19"/>
          <w:szCs w:val="19"/>
          <w:shd w:val="clear" w:color="auto" w:fill="FFFFFF"/>
        </w:rPr>
        <w:t>0</w:t>
      </w:r>
      <w:r>
        <w:rPr>
          <w:rFonts w:hint="eastAsia" w:ascii="宋体" w:hAnsi="宋体" w:eastAsia="宋体" w:cs="宋体"/>
          <w:sz w:val="19"/>
          <w:szCs w:val="19"/>
          <w:shd w:val="clear" w:color="auto" w:fill="FFFFFF"/>
        </w:rPr>
        <w:t>:30（北京时间）</w:t>
      </w:r>
    </w:p>
    <w:p>
      <w:pPr>
        <w:pStyle w:val="19"/>
        <w:widowControl/>
        <w:spacing w:before="0" w:beforeAutospacing="0" w:after="0" w:afterAutospacing="0" w:line="348" w:lineRule="atLeast"/>
        <w:ind w:firstLine="384"/>
        <w:jc w:val="both"/>
        <w:textAlignment w:val="baseline"/>
      </w:pPr>
      <w:r>
        <w:rPr>
          <w:rFonts w:hint="eastAsia" w:ascii="宋体" w:hAnsi="宋体" w:eastAsia="宋体" w:cs="宋体"/>
          <w:sz w:val="19"/>
          <w:szCs w:val="19"/>
          <w:shd w:val="clear" w:color="auto" w:fill="FFFFFF"/>
        </w:rPr>
        <w:t>开标地点：政采云一站式政府采购云平台</w:t>
      </w:r>
    </w:p>
    <w:p>
      <w:pPr>
        <w:pStyle w:val="19"/>
        <w:widowControl/>
        <w:spacing w:before="0" w:beforeAutospacing="0" w:after="0" w:afterAutospacing="0" w:line="348" w:lineRule="atLeast"/>
        <w:ind w:firstLine="384"/>
        <w:jc w:val="both"/>
        <w:textAlignment w:val="baseline"/>
      </w:pPr>
      <w:r>
        <w:rPr>
          <w:rStyle w:val="26"/>
          <w:rFonts w:hint="eastAsia" w:ascii="宋体" w:hAnsi="宋体" w:eastAsia="宋体" w:cs="宋体"/>
          <w:sz w:val="19"/>
          <w:szCs w:val="19"/>
          <w:shd w:val="clear" w:color="auto" w:fill="FFFFFF"/>
        </w:rPr>
        <w:t>五、公告期限</w:t>
      </w:r>
    </w:p>
    <w:p>
      <w:pPr>
        <w:pStyle w:val="19"/>
        <w:widowControl/>
        <w:spacing w:before="0" w:beforeAutospacing="0" w:after="0" w:afterAutospacing="0" w:line="348" w:lineRule="atLeast"/>
        <w:ind w:firstLine="384"/>
        <w:jc w:val="both"/>
        <w:textAlignment w:val="baseline"/>
      </w:pPr>
      <w:r>
        <w:rPr>
          <w:rFonts w:hint="eastAsia" w:ascii="宋体" w:hAnsi="宋体" w:eastAsia="宋体" w:cs="宋体"/>
          <w:sz w:val="19"/>
          <w:szCs w:val="19"/>
          <w:shd w:val="clear" w:color="auto" w:fill="FFFFFF"/>
        </w:rPr>
        <w:t>自本公告发布之日起5个工作日。</w:t>
      </w:r>
    </w:p>
    <w:p>
      <w:pPr>
        <w:pStyle w:val="19"/>
        <w:widowControl/>
        <w:spacing w:before="0" w:beforeAutospacing="0" w:after="0" w:afterAutospacing="0" w:line="348" w:lineRule="atLeast"/>
        <w:ind w:firstLine="384"/>
        <w:jc w:val="both"/>
        <w:textAlignment w:val="baseline"/>
      </w:pPr>
      <w:r>
        <w:rPr>
          <w:rStyle w:val="26"/>
          <w:rFonts w:hint="eastAsia" w:ascii="宋体" w:hAnsi="宋体" w:eastAsia="宋体" w:cs="宋体"/>
          <w:sz w:val="19"/>
          <w:szCs w:val="19"/>
          <w:shd w:val="clear" w:color="auto" w:fill="FFFFFF"/>
        </w:rPr>
        <w:t>六、其他补充事宜</w:t>
      </w:r>
    </w:p>
    <w:p>
      <w:pPr>
        <w:pStyle w:val="19"/>
        <w:widowControl/>
        <w:spacing w:before="0" w:beforeAutospacing="0" w:after="0" w:afterAutospacing="0" w:line="348" w:lineRule="atLeast"/>
        <w:ind w:firstLine="384"/>
        <w:jc w:val="both"/>
        <w:textAlignment w:val="baseline"/>
        <w:rPr>
          <w:rFonts w:hint="eastAsia" w:ascii="宋体" w:hAnsi="宋体" w:eastAsia="宋体" w:cs="宋体"/>
          <w:sz w:val="19"/>
          <w:szCs w:val="19"/>
          <w:shd w:val="clear" w:color="auto" w:fill="FFFFFF"/>
        </w:rPr>
      </w:pPr>
      <w:r>
        <w:rPr>
          <w:rFonts w:hint="eastAsia" w:ascii="宋体" w:hAnsi="宋体" w:eastAsia="宋体" w:cs="宋体"/>
          <w:sz w:val="19"/>
          <w:szCs w:val="19"/>
          <w:shd w:val="clear" w:color="auto" w:fill="FFFFFF"/>
        </w:rPr>
        <w:t>1、本项目实行电子招投标，供应商须登录政采云平台申请获取招标文件，并通过政采云电子投标客户端制作响应文件，同时自行承担与投标有关的一切费用。</w:t>
      </w:r>
    </w:p>
    <w:p>
      <w:pPr>
        <w:pStyle w:val="19"/>
        <w:widowControl/>
        <w:spacing w:before="0" w:beforeAutospacing="0" w:after="0" w:afterAutospacing="0" w:line="348" w:lineRule="atLeast"/>
        <w:ind w:firstLine="384"/>
        <w:jc w:val="both"/>
        <w:textAlignment w:val="baseline"/>
        <w:rPr>
          <w:rFonts w:hint="eastAsia" w:ascii="宋体" w:hAnsi="宋体" w:eastAsia="宋体" w:cs="宋体"/>
          <w:sz w:val="19"/>
          <w:szCs w:val="19"/>
          <w:shd w:val="clear" w:color="auto" w:fill="FFFFFF"/>
        </w:rPr>
      </w:pPr>
      <w:r>
        <w:rPr>
          <w:rFonts w:hint="eastAsia" w:ascii="宋体" w:hAnsi="宋体" w:eastAsia="宋体" w:cs="宋体"/>
          <w:sz w:val="19"/>
          <w:szCs w:val="19"/>
          <w:shd w:val="clear" w:color="auto" w:fill="FFFFFF"/>
        </w:rPr>
        <w:t>2、各供应商应在开标前确保成为新疆维吾尔自治区政府采购网正式注册入库供应商，并完成CA数字证书申领。因未注册入库、未办理CA数字证书等原因造成无法投标或投标失败等后果由供应商自行承担。</w:t>
      </w:r>
    </w:p>
    <w:p>
      <w:pPr>
        <w:pStyle w:val="19"/>
        <w:widowControl/>
        <w:spacing w:before="0" w:beforeAutospacing="0" w:after="0" w:afterAutospacing="0" w:line="348" w:lineRule="atLeast"/>
        <w:ind w:firstLine="384"/>
        <w:jc w:val="both"/>
        <w:textAlignment w:val="baseline"/>
        <w:rPr>
          <w:rFonts w:hint="eastAsia" w:ascii="宋体" w:hAnsi="宋体" w:eastAsia="宋体" w:cs="宋体"/>
          <w:sz w:val="19"/>
          <w:szCs w:val="19"/>
          <w:shd w:val="clear" w:color="auto" w:fill="FFFFFF"/>
        </w:rPr>
      </w:pPr>
      <w:r>
        <w:rPr>
          <w:rFonts w:hint="eastAsia" w:ascii="宋体" w:hAnsi="宋体" w:eastAsia="宋体" w:cs="宋体"/>
          <w:sz w:val="19"/>
          <w:szCs w:val="19"/>
          <w:shd w:val="clear" w:color="auto" w:fill="FFFFFF"/>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19"/>
        <w:widowControl/>
        <w:spacing w:before="0" w:beforeAutospacing="0" w:after="0" w:afterAutospacing="0" w:line="348" w:lineRule="atLeast"/>
        <w:ind w:firstLine="384"/>
        <w:jc w:val="both"/>
        <w:textAlignment w:val="baseline"/>
        <w:rPr>
          <w:rFonts w:hint="eastAsia" w:ascii="宋体" w:hAnsi="宋体" w:eastAsia="宋体" w:cs="宋体"/>
          <w:sz w:val="19"/>
          <w:szCs w:val="19"/>
          <w:shd w:val="clear" w:color="auto" w:fill="FFFFFF"/>
        </w:rPr>
      </w:pPr>
      <w:r>
        <w:rPr>
          <w:rFonts w:hint="eastAsia" w:ascii="宋体" w:hAnsi="宋体" w:eastAsia="宋体" w:cs="宋体"/>
          <w:sz w:val="19"/>
          <w:szCs w:val="19"/>
          <w:shd w:val="clear" w:color="auto" w:fill="FFFFFF"/>
        </w:rPr>
        <w:t>4、本项目采用不见面开标，供应商须在投标截止时间前通过CA在政采云平台上传加密的电子响应文件。</w:t>
      </w:r>
    </w:p>
    <w:p>
      <w:pPr>
        <w:pStyle w:val="19"/>
        <w:widowControl/>
        <w:spacing w:before="0" w:beforeAutospacing="0" w:after="0" w:afterAutospacing="0" w:line="348" w:lineRule="atLeast"/>
        <w:ind w:firstLine="384"/>
        <w:jc w:val="both"/>
        <w:textAlignment w:val="baseline"/>
        <w:rPr>
          <w:rFonts w:hint="eastAsia" w:ascii="宋体" w:hAnsi="宋体" w:eastAsia="宋体" w:cs="宋体"/>
          <w:sz w:val="19"/>
          <w:szCs w:val="19"/>
          <w:shd w:val="clear" w:color="auto" w:fill="FFFFFF"/>
        </w:rPr>
      </w:pPr>
      <w:r>
        <w:rPr>
          <w:rFonts w:hint="eastAsia" w:ascii="宋体" w:hAnsi="宋体" w:eastAsia="宋体" w:cs="宋体"/>
          <w:sz w:val="19"/>
          <w:szCs w:val="19"/>
          <w:shd w:val="clear" w:color="auto" w:fill="FFFFFF"/>
        </w:rPr>
        <w:t>5、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pStyle w:val="19"/>
        <w:widowControl/>
        <w:spacing w:before="0" w:beforeAutospacing="0" w:after="0" w:afterAutospacing="0" w:line="348" w:lineRule="atLeast"/>
        <w:ind w:firstLine="384"/>
        <w:jc w:val="both"/>
        <w:textAlignment w:val="baseline"/>
        <w:rPr>
          <w:rFonts w:hint="eastAsia" w:ascii="宋体" w:hAnsi="宋体" w:eastAsia="宋体" w:cs="宋体"/>
          <w:sz w:val="19"/>
          <w:szCs w:val="19"/>
          <w:shd w:val="clear" w:color="auto" w:fill="FFFFFF"/>
        </w:rPr>
      </w:pPr>
      <w:r>
        <w:rPr>
          <w:rFonts w:hint="eastAsia" w:ascii="宋体" w:hAnsi="宋体" w:eastAsia="宋体" w:cs="宋体"/>
          <w:sz w:val="19"/>
          <w:szCs w:val="19"/>
          <w:shd w:val="clear" w:color="auto" w:fill="FFFFFF"/>
        </w:rPr>
        <w:t>6、下载文件时须上传的附件：（1）法人代表或其委托代理人应提交本人身份证，委托代理人还应提交《法人代表授权委托书》；（2）有效经年检的三证合一的营业执照、开户许可证（或基本存款账户信息）；（</w:t>
      </w:r>
      <w:r>
        <w:rPr>
          <w:rFonts w:hint="eastAsia" w:ascii="宋体" w:hAnsi="宋体" w:eastAsia="宋体" w:cs="宋体"/>
          <w:sz w:val="19"/>
          <w:szCs w:val="19"/>
          <w:shd w:val="clear" w:color="auto" w:fill="FFFFFF"/>
          <w:lang w:val="en-US" w:eastAsia="zh-CN"/>
        </w:rPr>
        <w:t>3</w:t>
      </w:r>
      <w:r>
        <w:rPr>
          <w:rFonts w:hint="eastAsia" w:ascii="宋体" w:hAnsi="宋体" w:eastAsia="宋体" w:cs="宋体"/>
          <w:sz w:val="19"/>
          <w:szCs w:val="19"/>
          <w:shd w:val="clear" w:color="auto" w:fill="FFFFFF"/>
        </w:rPr>
        <w:t>）近一年（2021年）的财务审计报告（成立不足一年的提供成立至今的财务报表，包含资产负债表、现金流量表、利润表）；（</w:t>
      </w:r>
      <w:r>
        <w:rPr>
          <w:rFonts w:hint="eastAsia" w:ascii="宋体" w:hAnsi="宋体" w:eastAsia="宋体" w:cs="宋体"/>
          <w:sz w:val="19"/>
          <w:szCs w:val="19"/>
          <w:shd w:val="clear" w:color="auto" w:fill="FFFFFF"/>
          <w:lang w:val="en-US" w:eastAsia="zh-CN"/>
        </w:rPr>
        <w:t>4</w:t>
      </w:r>
      <w:r>
        <w:rPr>
          <w:rFonts w:hint="eastAsia" w:ascii="宋体" w:hAnsi="宋体" w:eastAsia="宋体" w:cs="宋体"/>
          <w:sz w:val="19"/>
          <w:szCs w:val="19"/>
          <w:shd w:val="clear" w:color="auto" w:fill="FFFFFF"/>
        </w:rPr>
        <w:t>）</w:t>
      </w:r>
      <w:r>
        <w:rPr>
          <w:rFonts w:hint="eastAsia" w:ascii="宋体" w:hAnsi="宋体" w:eastAsia="宋体" w:cs="宋体"/>
          <w:kern w:val="0"/>
          <w:sz w:val="20"/>
          <w:szCs w:val="20"/>
          <w:lang w:val="en-US" w:eastAsia="zh-CN"/>
        </w:rPr>
        <w:t>完税和社保证明</w:t>
      </w:r>
      <w:r>
        <w:rPr>
          <w:rFonts w:hint="eastAsia" w:ascii="宋体" w:hAnsi="宋体" w:eastAsia="宋体" w:cs="宋体"/>
          <w:sz w:val="19"/>
          <w:szCs w:val="19"/>
          <w:shd w:val="clear" w:color="auto" w:fill="FFFFFF"/>
        </w:rPr>
        <w:t>（5）供应商未被“信用中国”（www.creditchina.gov.cn）、中国政府采购网（www.ccgp.gov.cn）、国家企业信用信息公示系统（http://www.gsxt.gov.cn）列入失信被执行人、重大税收违法案件当事人名单、政府采购严重违法失信行为记录名单（尚在处罚期内的），将拒绝其参加本次政府采购活动﹙投标人网上自行打印后加盖投标单位公章﹚；（6）单位负责人为同一人或者存在直接控股、管理关系的不同供应商，不得参加同一合同项下的政府采购活动。</w:t>
      </w:r>
    </w:p>
    <w:p>
      <w:pPr>
        <w:pStyle w:val="19"/>
        <w:widowControl/>
        <w:spacing w:before="0" w:beforeAutospacing="0" w:after="0" w:afterAutospacing="0" w:line="348" w:lineRule="atLeast"/>
        <w:ind w:firstLine="384"/>
        <w:jc w:val="both"/>
        <w:textAlignment w:val="baseline"/>
        <w:rPr>
          <w:rFonts w:hint="eastAsia" w:ascii="宋体" w:hAnsi="宋体" w:eastAsia="宋体" w:cs="宋体"/>
          <w:sz w:val="19"/>
          <w:szCs w:val="19"/>
          <w:shd w:val="clear" w:color="auto" w:fill="FFFFFF"/>
        </w:rPr>
      </w:pPr>
      <w:r>
        <w:rPr>
          <w:rFonts w:hint="eastAsia" w:ascii="宋体" w:hAnsi="宋体" w:eastAsia="宋体" w:cs="宋体"/>
          <w:sz w:val="19"/>
          <w:szCs w:val="19"/>
          <w:shd w:val="clear" w:color="auto" w:fill="FFFFFF"/>
        </w:rPr>
        <w:t>注：项目报名时需在新疆政府采购网上传以上资料清晰原件扫描件；报名时资料查验不代表最终资质的通过。</w:t>
      </w:r>
    </w:p>
    <w:p>
      <w:pPr>
        <w:pStyle w:val="19"/>
        <w:widowControl/>
        <w:spacing w:before="0" w:beforeAutospacing="0" w:after="0" w:afterAutospacing="0" w:line="348" w:lineRule="atLeast"/>
        <w:ind w:firstLine="384"/>
        <w:jc w:val="both"/>
        <w:textAlignment w:val="baseline"/>
        <w:rPr>
          <w:rFonts w:hint="eastAsia" w:ascii="宋体" w:hAnsi="宋体" w:eastAsia="宋体" w:cs="宋体"/>
          <w:b/>
          <w:bCs/>
          <w:sz w:val="19"/>
          <w:szCs w:val="19"/>
          <w:shd w:val="clear" w:color="auto" w:fill="FFFFFF"/>
        </w:rPr>
      </w:pPr>
      <w:r>
        <w:rPr>
          <w:rFonts w:hint="eastAsia" w:ascii="宋体" w:hAnsi="宋体" w:eastAsia="宋体" w:cs="宋体"/>
          <w:b/>
          <w:bCs/>
          <w:sz w:val="19"/>
          <w:szCs w:val="19"/>
          <w:shd w:val="clear" w:color="auto" w:fill="FFFFFF"/>
        </w:rPr>
        <w:t>特别提示：</w:t>
      </w:r>
    </w:p>
    <w:p>
      <w:pPr>
        <w:pStyle w:val="19"/>
        <w:widowControl/>
        <w:spacing w:before="0" w:beforeAutospacing="0" w:after="0" w:afterAutospacing="0" w:line="348" w:lineRule="atLeast"/>
        <w:ind w:firstLine="384"/>
        <w:jc w:val="both"/>
        <w:textAlignment w:val="baseline"/>
        <w:rPr>
          <w:rFonts w:hint="eastAsia" w:ascii="宋体" w:hAnsi="宋体" w:eastAsia="宋体" w:cs="宋体"/>
          <w:b/>
          <w:bCs/>
          <w:sz w:val="19"/>
          <w:szCs w:val="19"/>
          <w:shd w:val="clear" w:color="auto" w:fill="FFFFFF"/>
        </w:rPr>
      </w:pPr>
      <w:r>
        <w:rPr>
          <w:rFonts w:hint="eastAsia" w:ascii="宋体" w:hAnsi="宋体" w:eastAsia="宋体" w:cs="宋体"/>
          <w:b/>
          <w:bCs/>
          <w:sz w:val="19"/>
          <w:szCs w:val="19"/>
          <w:shd w:val="clear" w:color="auto" w:fill="FFFFFF"/>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9"/>
        <w:widowControl/>
        <w:spacing w:before="0" w:beforeAutospacing="0" w:after="0" w:afterAutospacing="0" w:line="348" w:lineRule="atLeast"/>
        <w:ind w:firstLine="384"/>
        <w:jc w:val="both"/>
        <w:textAlignment w:val="baseline"/>
        <w:rPr>
          <w:rFonts w:hint="eastAsia" w:ascii="宋体" w:hAnsi="宋体" w:eastAsia="宋体" w:cs="宋体"/>
          <w:b/>
          <w:bCs/>
          <w:sz w:val="19"/>
          <w:szCs w:val="19"/>
          <w:shd w:val="clear" w:color="auto" w:fill="FFFFFF"/>
        </w:rPr>
      </w:pPr>
      <w:r>
        <w:rPr>
          <w:rFonts w:hint="eastAsia" w:ascii="宋体" w:hAnsi="宋体" w:eastAsia="宋体" w:cs="宋体"/>
          <w:b/>
          <w:bCs/>
          <w:sz w:val="19"/>
          <w:szCs w:val="19"/>
          <w:shd w:val="clear" w:color="auto" w:fill="FFFFFF"/>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9"/>
        <w:widowControl/>
        <w:spacing w:before="0" w:beforeAutospacing="0" w:after="0" w:afterAutospacing="0" w:line="348" w:lineRule="atLeast"/>
        <w:ind w:firstLine="384"/>
        <w:jc w:val="both"/>
        <w:textAlignment w:val="baseline"/>
        <w:rPr>
          <w:rFonts w:hint="eastAsia" w:ascii="宋体" w:hAnsi="宋体" w:eastAsia="宋体" w:cs="宋体"/>
          <w:b/>
          <w:bCs/>
          <w:sz w:val="19"/>
          <w:szCs w:val="19"/>
          <w:shd w:val="clear" w:color="auto" w:fill="FFFFFF"/>
        </w:rPr>
      </w:pPr>
      <w:r>
        <w:rPr>
          <w:rFonts w:hint="eastAsia" w:ascii="宋体" w:hAnsi="宋体" w:eastAsia="宋体" w:cs="宋体"/>
          <w:b/>
          <w:bCs/>
          <w:sz w:val="19"/>
          <w:szCs w:val="19"/>
          <w:shd w:val="clear" w:color="auto" w:fill="FFFFFF"/>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9"/>
        <w:widowControl/>
        <w:spacing w:before="0" w:beforeAutospacing="0" w:after="0" w:afterAutospacing="0" w:line="348" w:lineRule="atLeast"/>
        <w:ind w:firstLine="384"/>
        <w:jc w:val="both"/>
        <w:textAlignment w:val="baseline"/>
        <w:rPr>
          <w:rFonts w:hint="eastAsia" w:ascii="宋体" w:hAnsi="宋体" w:eastAsia="宋体" w:cs="宋体"/>
          <w:sz w:val="19"/>
          <w:szCs w:val="19"/>
          <w:shd w:val="clear" w:color="auto" w:fill="FFFFFF"/>
        </w:rPr>
      </w:pPr>
    </w:p>
    <w:p>
      <w:pPr>
        <w:pStyle w:val="19"/>
        <w:widowControl/>
        <w:spacing w:before="0" w:beforeAutospacing="0" w:after="0" w:afterAutospacing="0" w:line="348" w:lineRule="atLeast"/>
        <w:ind w:firstLine="384"/>
        <w:jc w:val="both"/>
        <w:textAlignment w:val="baseline"/>
        <w:rPr>
          <w:rFonts w:hint="eastAsia" w:ascii="宋体" w:hAnsi="宋体" w:eastAsia="宋体" w:cs="宋体"/>
          <w:sz w:val="19"/>
          <w:szCs w:val="19"/>
          <w:shd w:val="clear" w:color="auto" w:fill="FFFFFF"/>
        </w:rPr>
      </w:pPr>
      <w:r>
        <w:rPr>
          <w:rStyle w:val="26"/>
          <w:rFonts w:hint="eastAsia" w:ascii="宋体" w:hAnsi="宋体" w:eastAsia="宋体" w:cs="宋体"/>
          <w:sz w:val="19"/>
          <w:szCs w:val="19"/>
          <w:shd w:val="clear" w:color="auto" w:fill="FFFFFF"/>
        </w:rPr>
        <w:t>七、对本次招标提出询问，请按以下方式联系。</w:t>
      </w:r>
    </w:p>
    <w:p>
      <w:pPr>
        <w:pStyle w:val="19"/>
        <w:widowControl/>
        <w:spacing w:before="0" w:beforeAutospacing="0" w:after="0" w:afterAutospacing="0" w:line="348" w:lineRule="atLeast"/>
        <w:ind w:firstLine="384"/>
      </w:pPr>
      <w:r>
        <w:rPr>
          <w:rFonts w:hint="eastAsia" w:ascii="宋体" w:hAnsi="宋体" w:eastAsia="宋体" w:cs="宋体"/>
          <w:sz w:val="19"/>
          <w:szCs w:val="19"/>
        </w:rPr>
        <w:t>1.采购人信息</w:t>
      </w:r>
    </w:p>
    <w:p>
      <w:pPr>
        <w:pStyle w:val="19"/>
        <w:widowControl/>
        <w:spacing w:before="0" w:beforeAutospacing="0" w:after="0" w:afterAutospacing="0" w:line="348" w:lineRule="atLeast"/>
        <w:ind w:firstLine="384"/>
        <w:rPr>
          <w:rFonts w:hint="eastAsia" w:ascii="宋体" w:hAnsi="宋体" w:eastAsia="宋体" w:cs="宋体"/>
          <w:sz w:val="19"/>
          <w:szCs w:val="19"/>
        </w:rPr>
      </w:pPr>
      <w:r>
        <w:rPr>
          <w:rFonts w:hint="eastAsia" w:ascii="宋体" w:hAnsi="宋体" w:eastAsia="宋体" w:cs="宋体"/>
          <w:sz w:val="19"/>
          <w:szCs w:val="19"/>
        </w:rPr>
        <w:t>名称：库车市水资源总站</w:t>
      </w:r>
    </w:p>
    <w:p>
      <w:pPr>
        <w:pStyle w:val="19"/>
        <w:widowControl/>
        <w:spacing w:before="0" w:beforeAutospacing="0" w:after="0" w:afterAutospacing="0" w:line="348" w:lineRule="atLeast"/>
        <w:ind w:firstLine="384"/>
        <w:rPr>
          <w:rFonts w:hint="eastAsia" w:ascii="宋体" w:hAnsi="宋体" w:eastAsia="宋体" w:cs="宋体"/>
          <w:sz w:val="19"/>
          <w:szCs w:val="19"/>
        </w:rPr>
      </w:pPr>
      <w:r>
        <w:rPr>
          <w:rFonts w:hint="eastAsia" w:ascii="宋体" w:hAnsi="宋体" w:eastAsia="宋体" w:cs="宋体"/>
          <w:sz w:val="19"/>
          <w:szCs w:val="19"/>
        </w:rPr>
        <w:t>地址：库车市天山东路5</w:t>
      </w:r>
      <w:r>
        <w:rPr>
          <w:rFonts w:hint="eastAsia" w:ascii="宋体" w:hAnsi="宋体" w:eastAsia="宋体" w:cs="宋体"/>
          <w:sz w:val="19"/>
          <w:szCs w:val="19"/>
          <w:lang w:val="en-US" w:eastAsia="zh-CN"/>
        </w:rPr>
        <w:t>5</w:t>
      </w:r>
      <w:r>
        <w:rPr>
          <w:rFonts w:hint="eastAsia" w:ascii="宋体" w:hAnsi="宋体" w:eastAsia="宋体" w:cs="宋体"/>
          <w:sz w:val="19"/>
          <w:szCs w:val="19"/>
        </w:rPr>
        <w:t>号</w:t>
      </w:r>
    </w:p>
    <w:p>
      <w:pPr>
        <w:pStyle w:val="19"/>
        <w:widowControl/>
        <w:spacing w:before="0" w:beforeAutospacing="0" w:after="0" w:afterAutospacing="0" w:line="348" w:lineRule="atLeast"/>
        <w:ind w:firstLine="384"/>
        <w:rPr>
          <w:rFonts w:hint="default" w:ascii="宋体" w:hAnsi="宋体" w:eastAsia="宋体" w:cs="宋体"/>
          <w:sz w:val="19"/>
          <w:szCs w:val="19"/>
          <w:lang w:val="en-US" w:eastAsia="zh-CN"/>
        </w:rPr>
      </w:pPr>
      <w:r>
        <w:rPr>
          <w:rFonts w:hint="eastAsia" w:ascii="宋体" w:hAnsi="宋体" w:eastAsia="宋体" w:cs="宋体"/>
          <w:sz w:val="19"/>
          <w:szCs w:val="19"/>
        </w:rPr>
        <w:t>联系方式：</w:t>
      </w:r>
      <w:r>
        <w:rPr>
          <w:rFonts w:hint="eastAsia" w:ascii="宋体" w:hAnsi="宋体" w:eastAsia="宋体" w:cs="宋体"/>
          <w:sz w:val="19"/>
          <w:szCs w:val="19"/>
          <w:lang w:val="en-US" w:eastAsia="zh-CN"/>
        </w:rPr>
        <w:t>13999072396</w:t>
      </w:r>
    </w:p>
    <w:p>
      <w:pPr>
        <w:pStyle w:val="19"/>
        <w:widowControl/>
        <w:spacing w:before="0" w:beforeAutospacing="0" w:after="0" w:afterAutospacing="0" w:line="348" w:lineRule="atLeast"/>
        <w:ind w:firstLine="384"/>
        <w:rPr>
          <w:rFonts w:hint="eastAsia" w:ascii="宋体" w:hAnsi="宋体" w:eastAsia="宋体" w:cs="宋体"/>
          <w:sz w:val="19"/>
          <w:szCs w:val="19"/>
        </w:rPr>
      </w:pPr>
      <w:r>
        <w:rPr>
          <w:rFonts w:hint="eastAsia" w:ascii="宋体" w:hAnsi="宋体" w:eastAsia="宋体" w:cs="宋体"/>
          <w:sz w:val="19"/>
          <w:szCs w:val="19"/>
        </w:rPr>
        <w:t>2.采购代理机构信息</w:t>
      </w:r>
    </w:p>
    <w:p>
      <w:pPr>
        <w:pStyle w:val="19"/>
        <w:widowControl/>
        <w:spacing w:before="0" w:beforeAutospacing="0" w:after="0" w:afterAutospacing="0" w:line="348" w:lineRule="atLeast"/>
        <w:ind w:firstLine="384"/>
        <w:rPr>
          <w:rFonts w:hint="eastAsia" w:eastAsia="宋体"/>
        </w:rPr>
      </w:pPr>
      <w:r>
        <w:rPr>
          <w:rFonts w:hint="eastAsia" w:ascii="宋体" w:hAnsi="宋体" w:eastAsia="宋体" w:cs="宋体"/>
          <w:sz w:val="19"/>
          <w:szCs w:val="19"/>
        </w:rPr>
        <w:t>名称：新疆经开项目管理有限公司</w:t>
      </w:r>
    </w:p>
    <w:p>
      <w:pPr>
        <w:pStyle w:val="19"/>
        <w:widowControl/>
        <w:spacing w:before="0" w:beforeAutospacing="0" w:after="0" w:afterAutospacing="0" w:line="348" w:lineRule="atLeast"/>
        <w:ind w:firstLine="384"/>
        <w:rPr>
          <w:rFonts w:hint="eastAsia" w:eastAsia="宋体"/>
        </w:rPr>
      </w:pPr>
      <w:r>
        <w:rPr>
          <w:rFonts w:hint="eastAsia" w:ascii="宋体" w:hAnsi="宋体" w:eastAsia="宋体" w:cs="宋体"/>
          <w:sz w:val="19"/>
          <w:szCs w:val="19"/>
        </w:rPr>
        <w:t>地址：新疆阿克苏地区库车市东城街道长安社区幸福路65号开发区企业公馆B座1201室</w:t>
      </w:r>
    </w:p>
    <w:p>
      <w:pPr>
        <w:pStyle w:val="19"/>
        <w:widowControl/>
        <w:spacing w:before="0" w:beforeAutospacing="0" w:after="0" w:afterAutospacing="0" w:line="348" w:lineRule="atLeast"/>
        <w:ind w:firstLine="384"/>
        <w:rPr>
          <w:rFonts w:eastAsia="宋体"/>
        </w:rPr>
      </w:pPr>
      <w:r>
        <w:rPr>
          <w:rFonts w:hint="eastAsia" w:ascii="宋体" w:hAnsi="宋体" w:eastAsia="宋体" w:cs="宋体"/>
          <w:sz w:val="19"/>
          <w:szCs w:val="19"/>
        </w:rPr>
        <w:t>联系方式：18699068456</w:t>
      </w:r>
    </w:p>
    <w:p>
      <w:pPr>
        <w:pStyle w:val="19"/>
        <w:widowControl/>
        <w:spacing w:before="0" w:beforeAutospacing="0" w:after="0" w:afterAutospacing="0" w:line="348" w:lineRule="atLeast"/>
        <w:ind w:firstLine="384"/>
      </w:pPr>
      <w:r>
        <w:rPr>
          <w:rFonts w:hint="eastAsia" w:ascii="宋体" w:hAnsi="宋体" w:eastAsia="宋体" w:cs="宋体"/>
          <w:sz w:val="19"/>
          <w:szCs w:val="19"/>
        </w:rPr>
        <w:t>3.项目联系方式</w:t>
      </w:r>
    </w:p>
    <w:p>
      <w:pPr>
        <w:pStyle w:val="19"/>
        <w:widowControl/>
        <w:spacing w:before="0" w:beforeAutospacing="0" w:after="0" w:afterAutospacing="0" w:line="348" w:lineRule="atLeast"/>
        <w:ind w:firstLine="384"/>
        <w:rPr>
          <w:rFonts w:hint="eastAsia" w:eastAsia="宋体"/>
        </w:rPr>
      </w:pPr>
      <w:r>
        <w:rPr>
          <w:rFonts w:hint="eastAsia" w:ascii="宋体" w:hAnsi="宋体" w:eastAsia="宋体" w:cs="宋体"/>
          <w:sz w:val="19"/>
          <w:szCs w:val="19"/>
        </w:rPr>
        <w:t>项目联系人：马志鹏</w:t>
      </w:r>
    </w:p>
    <w:p>
      <w:pPr>
        <w:pStyle w:val="19"/>
        <w:widowControl/>
        <w:spacing w:before="0" w:beforeAutospacing="0" w:after="0" w:afterAutospacing="0" w:line="348" w:lineRule="atLeast"/>
        <w:ind w:firstLine="384"/>
        <w:rPr>
          <w:rFonts w:ascii="宋体" w:hAnsi="宋体" w:cs="宋体"/>
          <w:sz w:val="19"/>
          <w:szCs w:val="19"/>
        </w:rPr>
      </w:pPr>
      <w:r>
        <w:rPr>
          <w:rFonts w:hint="eastAsia" w:ascii="宋体" w:hAnsi="宋体" w:eastAsia="宋体" w:cs="宋体"/>
          <w:sz w:val="19"/>
          <w:szCs w:val="19"/>
        </w:rPr>
        <w:t>电话：18699068456</w:t>
      </w:r>
    </w:p>
    <w:p>
      <w:pPr>
        <w:widowControl/>
        <w:jc w:val="left"/>
        <w:rPr>
          <w:rFonts w:ascii="宋体" w:hAnsi="宋体" w:cs="宋体"/>
          <w:sz w:val="24"/>
        </w:rPr>
      </w:pPr>
      <w:r>
        <w:rPr>
          <w:rFonts w:ascii="宋体" w:hAnsi="宋体" w:cs="宋体"/>
          <w:sz w:val="24"/>
        </w:rPr>
        <w:br w:type="page"/>
      </w:r>
    </w:p>
    <w:p>
      <w:pPr>
        <w:adjustRightInd w:val="0"/>
        <w:snapToGrid w:val="0"/>
        <w:spacing w:before="100" w:beforeAutospacing="1" w:after="100" w:afterAutospacing="1"/>
        <w:jc w:val="center"/>
        <w:outlineLvl w:val="0"/>
        <w:rPr>
          <w:b/>
          <w:sz w:val="32"/>
          <w:szCs w:val="32"/>
        </w:rPr>
      </w:pPr>
      <w:bookmarkStart w:id="0" w:name="_Toc24262"/>
      <w:r>
        <w:rPr>
          <w:b/>
          <w:sz w:val="32"/>
          <w:szCs w:val="32"/>
        </w:rPr>
        <w:t>第一部分  投标人须知前附表</w:t>
      </w:r>
      <w:bookmarkEnd w:id="0"/>
    </w:p>
    <w:tbl>
      <w:tblPr>
        <w:tblStyle w:val="23"/>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18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rPr>
            </w:pPr>
            <w:r>
              <w:rPr>
                <w:rFonts w:hint="eastAsia" w:ascii="宋体" w:hAnsi="宋体" w:cs="宋体"/>
                <w:b/>
                <w:sz w:val="24"/>
              </w:rPr>
              <w:t>项号</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rPr>
            </w:pPr>
            <w:r>
              <w:rPr>
                <w:rFonts w:hint="eastAsia" w:ascii="宋体" w:hAnsi="宋体" w:cs="宋体"/>
                <w:b/>
                <w:sz w:val="24"/>
              </w:rPr>
              <w:t>项目</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rPr>
            </w:pPr>
            <w:r>
              <w:rPr>
                <w:rFonts w:hint="eastAsia" w:ascii="宋体" w:hAnsi="宋体" w:cs="宋体"/>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1</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项目名称及编号</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rPr>
              <w:t>项目名称：库车市农业水价综合改革项目</w:t>
            </w:r>
          </w:p>
          <w:p>
            <w:pPr>
              <w:spacing w:line="400" w:lineRule="exact"/>
              <w:rPr>
                <w:rFonts w:hint="eastAsia" w:ascii="宋体" w:hAnsi="宋体" w:eastAsia="宋体" w:cs="宋体"/>
                <w:b/>
                <w:sz w:val="24"/>
                <w:lang w:eastAsia="zh-CN"/>
              </w:rPr>
            </w:pPr>
            <w:r>
              <w:rPr>
                <w:rFonts w:hint="eastAsia" w:ascii="宋体" w:hAnsi="宋体" w:cs="宋体"/>
                <w:sz w:val="24"/>
              </w:rPr>
              <w:t>项目编号</w:t>
            </w:r>
            <w:r>
              <w:rPr>
                <w:rFonts w:hint="eastAsia" w:ascii="宋体" w:hAnsi="宋体" w:cs="宋体"/>
                <w:sz w:val="24"/>
                <w:highlight w:val="none"/>
              </w:rPr>
              <w:t>：</w:t>
            </w:r>
            <w:r>
              <w:rPr>
                <w:rFonts w:hint="eastAsia" w:ascii="宋体" w:hAnsi="宋体" w:cs="宋体"/>
                <w:sz w:val="24"/>
                <w:highlight w:val="none"/>
                <w:lang w:eastAsia="zh-CN"/>
              </w:rPr>
              <w:t>KCS2022-182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2</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采购人</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rPr>
              <w:t>采购人：库车市水资源总站</w:t>
            </w:r>
          </w:p>
          <w:p>
            <w:pPr>
              <w:spacing w:line="400" w:lineRule="exact"/>
              <w:jc w:val="left"/>
              <w:rPr>
                <w:rFonts w:ascii="宋体" w:hAnsi="宋体" w:cs="宋体"/>
                <w:sz w:val="24"/>
              </w:rPr>
            </w:pPr>
            <w:r>
              <w:rPr>
                <w:rFonts w:hint="eastAsia" w:ascii="宋体" w:hAnsi="宋体" w:cs="宋体"/>
                <w:sz w:val="24"/>
              </w:rPr>
              <w:t>联系人：卡哈尔江·买买提</w:t>
            </w:r>
          </w:p>
          <w:p>
            <w:pPr>
              <w:spacing w:line="400" w:lineRule="exact"/>
              <w:jc w:val="left"/>
              <w:rPr>
                <w:rFonts w:ascii="宋体" w:hAnsi="宋体" w:cs="宋体"/>
                <w:sz w:val="24"/>
              </w:rPr>
            </w:pPr>
            <w:r>
              <w:rPr>
                <w:rFonts w:hint="eastAsia" w:ascii="宋体" w:hAnsi="宋体" w:cs="宋体"/>
                <w:sz w:val="24"/>
              </w:rPr>
              <w:t>电话：13999072396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3</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采购代理机构</w:t>
            </w:r>
          </w:p>
          <w:p>
            <w:pPr>
              <w:spacing w:line="400" w:lineRule="exact"/>
              <w:jc w:val="center"/>
              <w:rPr>
                <w:rFonts w:ascii="宋体" w:hAnsi="宋体" w:cs="宋体"/>
                <w:sz w:val="24"/>
              </w:rPr>
            </w:pPr>
            <w:r>
              <w:rPr>
                <w:rFonts w:hint="eastAsia" w:ascii="宋体" w:hAnsi="宋体" w:cs="宋体"/>
                <w:sz w:val="24"/>
              </w:rPr>
              <w:t>联系人及联系方式</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rPr>
              <w:t>代理机构：新疆经开项目管理有限公司 </w:t>
            </w:r>
          </w:p>
          <w:p>
            <w:pPr>
              <w:spacing w:line="400" w:lineRule="exact"/>
              <w:jc w:val="left"/>
              <w:rPr>
                <w:rFonts w:ascii="宋体" w:hAnsi="宋体" w:cs="宋体"/>
                <w:sz w:val="24"/>
              </w:rPr>
            </w:pPr>
            <w:r>
              <w:rPr>
                <w:rFonts w:hint="eastAsia" w:ascii="宋体" w:hAnsi="宋体" w:cs="宋体"/>
                <w:sz w:val="24"/>
              </w:rPr>
              <w:t>联 系 人：马志鹏</w:t>
            </w:r>
          </w:p>
          <w:p>
            <w:pPr>
              <w:spacing w:line="400" w:lineRule="exact"/>
              <w:jc w:val="left"/>
              <w:rPr>
                <w:rFonts w:ascii="宋体" w:hAnsi="宋体" w:cs="宋体"/>
                <w:sz w:val="24"/>
              </w:rPr>
            </w:pPr>
            <w:r>
              <w:rPr>
                <w:rFonts w:hint="eastAsia" w:ascii="宋体" w:hAnsi="宋体" w:cs="宋体"/>
                <w:sz w:val="24"/>
              </w:rPr>
              <w:t>联系电话：18699068456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4</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采购内容</w:t>
            </w:r>
          </w:p>
        </w:tc>
        <w:tc>
          <w:tcPr>
            <w:tcW w:w="6840" w:type="dxa"/>
            <w:tcBorders>
              <w:top w:val="single" w:color="auto" w:sz="4" w:space="0"/>
              <w:left w:val="single" w:color="auto" w:sz="4" w:space="0"/>
              <w:bottom w:val="single" w:color="auto" w:sz="4" w:space="0"/>
              <w:right w:val="single" w:color="auto" w:sz="4" w:space="0"/>
            </w:tcBorders>
            <w:vAlign w:val="center"/>
          </w:tcPr>
          <w:p>
            <w:pPr>
              <w:overflowPunct w:val="0"/>
              <w:spacing w:line="400" w:lineRule="exact"/>
              <w:rPr>
                <w:rFonts w:ascii="宋体" w:hAnsi="宋体" w:cs="宋体"/>
                <w:bCs/>
                <w:sz w:val="24"/>
                <w:highlight w:val="red"/>
              </w:rPr>
            </w:pPr>
            <w:r>
              <w:rPr>
                <w:rFonts w:hint="eastAsia" w:ascii="宋体" w:hAnsi="宋体" w:cs="宋体"/>
                <w:bCs/>
                <w:sz w:val="24"/>
              </w:rPr>
              <w:t>编制库车市农业灌溉水资源配置方案及供需平衡分析报告；编制库车市渠系水有效利用系数测算报告；委托实施库车市2022年农业水价综合改革（试点）验收工作的第三方支撑单位。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5</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资金来源</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 w:val="24"/>
              </w:rPr>
            </w:pPr>
            <w:r>
              <w:rPr>
                <w:rFonts w:hint="eastAsia" w:ascii="宋体" w:hAnsi="宋体" w:cs="宋体"/>
                <w:sz w:val="24"/>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6</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采购方式</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 w:val="24"/>
              </w:rPr>
            </w:pPr>
            <w:r>
              <w:rPr>
                <w:rFonts w:hint="eastAsia" w:ascii="宋体" w:hAnsi="宋体" w:cs="宋体"/>
                <w:sz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7</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报价方式</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sz w:val="24"/>
              </w:rPr>
            </w:pPr>
            <w:r>
              <w:rPr>
                <w:rFonts w:hint="eastAsia" w:ascii="宋体" w:hAnsi="宋体" w:cs="宋体"/>
                <w:sz w:val="24"/>
              </w:rPr>
              <w:t>7.1一次报价。报价应包含招标文件中所述服务的所有工作内</w:t>
            </w:r>
            <w:r>
              <w:rPr>
                <w:rFonts w:hint="eastAsia" w:ascii="宋体" w:hAnsi="宋体" w:cs="宋体"/>
                <w:bCs/>
                <w:sz w:val="24"/>
              </w:rPr>
              <w:t>容等一切费用。</w:t>
            </w:r>
          </w:p>
          <w:p>
            <w:pPr>
              <w:overflowPunct w:val="0"/>
              <w:spacing w:line="400" w:lineRule="exact"/>
              <w:rPr>
                <w:rFonts w:ascii="宋体" w:hAnsi="宋体" w:cs="宋体"/>
                <w:sz w:val="24"/>
              </w:rPr>
            </w:pPr>
            <w:r>
              <w:rPr>
                <w:rFonts w:hint="eastAsia" w:ascii="宋体" w:hAnsi="宋体" w:cs="宋体"/>
                <w:sz w:val="24"/>
              </w:rPr>
              <w:t>7.2根据《政府采购促进中小企业发展暂行办法》（财库[2020]46号）的规定，对小型和微型企业产品的价格给予10%的价格扣除，用扣除后的价格参与评标。中小微企业提供《中小企业声明函》。</w:t>
            </w:r>
          </w:p>
          <w:p>
            <w:pPr>
              <w:widowControl/>
              <w:spacing w:line="400" w:lineRule="exact"/>
              <w:jc w:val="left"/>
              <w:rPr>
                <w:rFonts w:ascii="宋体" w:hAnsi="宋体" w:cs="宋体"/>
                <w:color w:val="000000" w:themeColor="text1"/>
                <w:kern w:val="0"/>
                <w:sz w:val="24"/>
              </w:rPr>
            </w:pPr>
            <w:r>
              <w:rPr>
                <w:rFonts w:hint="eastAsia" w:ascii="宋体" w:hAnsi="宋体" w:cs="宋体"/>
                <w:sz w:val="24"/>
              </w:rPr>
              <w:t xml:space="preserve">7.3 </w:t>
            </w:r>
            <w:r>
              <w:rPr>
                <w:rFonts w:hint="eastAsia" w:ascii="宋体" w:hAnsi="宋体" w:cs="宋体"/>
                <w:color w:val="000000" w:themeColor="text1"/>
                <w:kern w:val="0"/>
                <w:sz w:val="24"/>
              </w:rPr>
              <w:t>根据《关于促进残疾人就业政府采购政策的通知》（财库[2017]141号），残疾人福利性单位视同小型、微型企业。</w:t>
            </w:r>
          </w:p>
          <w:p>
            <w:pPr>
              <w:pStyle w:val="35"/>
              <w:spacing w:line="400" w:lineRule="exact"/>
              <w:ind w:firstLine="0" w:firstLineChars="0"/>
              <w:rPr>
                <w:rFonts w:ascii="宋体" w:hAnsi="宋体" w:eastAsia="宋体" w:cs="宋体"/>
                <w:sz w:val="24"/>
                <w:szCs w:val="24"/>
              </w:rPr>
            </w:pPr>
            <w:r>
              <w:rPr>
                <w:rFonts w:hint="eastAsia" w:ascii="宋体" w:hAnsi="宋体" w:eastAsia="宋体" w:cs="宋体"/>
                <w:color w:val="000000" w:themeColor="text1"/>
                <w:kern w:val="0"/>
                <w:sz w:val="24"/>
                <w:szCs w:val="24"/>
              </w:rPr>
              <w:t>7.4残疾人福利性单位属于小型、微型企业的，不重复享受政策。</w:t>
            </w:r>
          </w:p>
          <w:p>
            <w:pPr>
              <w:widowControl/>
              <w:spacing w:line="400" w:lineRule="exact"/>
              <w:jc w:val="left"/>
              <w:rPr>
                <w:rFonts w:ascii="宋体" w:hAnsi="宋体" w:cs="宋体"/>
                <w:sz w:val="24"/>
              </w:rPr>
            </w:pPr>
            <w:r>
              <w:rPr>
                <w:rFonts w:hint="eastAsia" w:ascii="宋体" w:hAnsi="宋体" w:cs="宋体"/>
                <w:sz w:val="24"/>
              </w:rPr>
              <w:t xml:space="preserve">7.5投标人的报价明显低于其他投标人报价，或者明显低于市场价，使得其报价可能低于其个别成本的，应当要求该投标人作出书面说明并提供相应的证明材料。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8</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投标人资格</w:t>
            </w:r>
          </w:p>
        </w:tc>
        <w:tc>
          <w:tcPr>
            <w:tcW w:w="6840" w:type="dxa"/>
            <w:tcBorders>
              <w:top w:val="single" w:color="auto" w:sz="4" w:space="0"/>
              <w:left w:val="single" w:color="auto" w:sz="4" w:space="0"/>
              <w:bottom w:val="single" w:color="auto" w:sz="4" w:space="0"/>
              <w:right w:val="single" w:color="auto" w:sz="4" w:space="0"/>
            </w:tcBorders>
            <w:vAlign w:val="center"/>
          </w:tcPr>
          <w:p>
            <w:pPr>
              <w:overflowPunct w:val="0"/>
              <w:spacing w:line="400" w:lineRule="exact"/>
              <w:rPr>
                <w:rFonts w:ascii="宋体" w:hAnsi="宋体" w:cs="宋体"/>
                <w:sz w:val="24"/>
              </w:rPr>
            </w:pPr>
            <w:r>
              <w:rPr>
                <w:rFonts w:hint="eastAsia" w:ascii="宋体" w:hAnsi="宋体" w:cs="宋体"/>
                <w:sz w:val="24"/>
              </w:rPr>
              <w:t>1、投标人必须符合《中华人民共和国政府采购法》第二十二条要求；</w:t>
            </w:r>
          </w:p>
          <w:p>
            <w:pPr>
              <w:overflowPunct w:val="0"/>
              <w:spacing w:line="400" w:lineRule="exact"/>
              <w:rPr>
                <w:rFonts w:ascii="宋体" w:hAnsi="宋体" w:cs="宋体"/>
                <w:sz w:val="24"/>
              </w:rPr>
            </w:pPr>
            <w:r>
              <w:rPr>
                <w:rFonts w:hint="eastAsia" w:ascii="宋体" w:hAnsi="宋体" w:cs="宋体"/>
                <w:sz w:val="24"/>
              </w:rPr>
              <w:t>2、法人代表或其委托代理人应提交本人身份证，委托代理人还应提交《法人代表授权委托书》；</w:t>
            </w:r>
          </w:p>
          <w:p>
            <w:pPr>
              <w:overflowPunct w:val="0"/>
              <w:spacing w:line="400" w:lineRule="exact"/>
              <w:rPr>
                <w:rFonts w:ascii="宋体" w:hAnsi="宋体" w:cs="宋体"/>
                <w:sz w:val="24"/>
              </w:rPr>
            </w:pPr>
            <w:r>
              <w:rPr>
                <w:rFonts w:hint="eastAsia" w:ascii="宋体" w:hAnsi="宋体" w:cs="宋体"/>
                <w:sz w:val="24"/>
              </w:rPr>
              <w:t>3、具有独立承担民事责任的能力，有效经年检的三证合一的营业执照；</w:t>
            </w:r>
          </w:p>
          <w:p>
            <w:pPr>
              <w:overflowPunct w:val="0"/>
              <w:spacing w:line="400" w:lineRule="exact"/>
              <w:rPr>
                <w:rFonts w:ascii="宋体" w:hAnsi="宋体" w:cs="宋体"/>
                <w:sz w:val="24"/>
              </w:rPr>
            </w:pPr>
            <w:r>
              <w:rPr>
                <w:rFonts w:hint="eastAsia" w:ascii="宋体" w:hAnsi="宋体" w:cs="宋体"/>
                <w:sz w:val="24"/>
              </w:rPr>
              <w:t>4、具有履行合同所必需的服务和专业技术能力；</w:t>
            </w:r>
          </w:p>
          <w:p>
            <w:pPr>
              <w:overflowPunct w:val="0"/>
              <w:spacing w:line="400" w:lineRule="exact"/>
              <w:rPr>
                <w:rFonts w:ascii="宋体" w:hAnsi="宋体" w:cs="宋体"/>
                <w:sz w:val="24"/>
              </w:rPr>
            </w:pPr>
            <w:r>
              <w:rPr>
                <w:rFonts w:hint="eastAsia" w:ascii="宋体" w:hAnsi="宋体" w:cs="宋体"/>
                <w:sz w:val="24"/>
              </w:rPr>
              <w:t>5、近一年（2021年）的财务审计报告（成立不足一年的提供成立至今的财务报表，包含资产负债表、现金流量表、利润表）；</w:t>
            </w:r>
          </w:p>
          <w:p>
            <w:pPr>
              <w:overflowPunct w:val="0"/>
              <w:spacing w:line="400" w:lineRule="exact"/>
              <w:rPr>
                <w:rFonts w:ascii="宋体" w:hAnsi="宋体" w:cs="宋体"/>
                <w:sz w:val="24"/>
              </w:rPr>
            </w:pPr>
            <w:r>
              <w:rPr>
                <w:rFonts w:hint="eastAsia" w:ascii="宋体" w:hAnsi="宋体" w:cs="宋体"/>
                <w:sz w:val="24"/>
              </w:rPr>
              <w:t>6、有依法缴纳税收和社会保障资金的良好纪录，提供2022年内任意连续三个月完税、缴纳社保证明原件或复印件加盖公章（公司成立不到三个月的从成立之日起）</w:t>
            </w:r>
          </w:p>
          <w:p>
            <w:pPr>
              <w:overflowPunct w:val="0"/>
              <w:spacing w:line="400" w:lineRule="exact"/>
              <w:rPr>
                <w:rFonts w:ascii="宋体" w:hAnsi="宋体" w:cs="宋体"/>
                <w:sz w:val="24"/>
              </w:rPr>
            </w:pPr>
            <w:r>
              <w:rPr>
                <w:rFonts w:hint="eastAsia" w:ascii="宋体" w:hAnsi="宋体" w:cs="宋体"/>
                <w:sz w:val="24"/>
              </w:rPr>
              <w:t>7、供应商未被“信用中国”（www.creditchina.gov.cn）、中国政府采购网（www.ccgp.gov.cn）、国家企业信用信息公示系统（http://www.gsxt.gov.cn）列入失信被执行人、重大税收违法案件当事人名单、政府采购严重违法失信行为记录名单（尚在处罚期内的），将拒绝其参加本次政府采购活动﹙投标人网上自行打印后加盖投标单位公章﹚；</w:t>
            </w:r>
          </w:p>
          <w:p>
            <w:pPr>
              <w:overflowPunct w:val="0"/>
              <w:spacing w:line="400" w:lineRule="exact"/>
              <w:rPr>
                <w:rFonts w:ascii="宋体" w:hAnsi="宋体" w:cs="宋体"/>
                <w:sz w:val="24"/>
              </w:rPr>
            </w:pPr>
            <w:r>
              <w:rPr>
                <w:rFonts w:hint="eastAsia" w:ascii="宋体" w:hAnsi="宋体" w:cs="宋体"/>
                <w:sz w:val="24"/>
              </w:rPr>
              <w:t>8、单位负责人为同一人或者存在直接控股、管理关系的不同供应商，不得参加同一合同项下的政府采购活动。</w:t>
            </w:r>
          </w:p>
          <w:p>
            <w:pPr>
              <w:pStyle w:val="36"/>
              <w:spacing w:line="400" w:lineRule="exact"/>
              <w:ind w:firstLine="0" w:firstLineChars="0"/>
              <w:rPr>
                <w:rFonts w:cs="宋体"/>
                <w:sz w:val="24"/>
                <w:szCs w:val="24"/>
              </w:rPr>
            </w:pPr>
            <w:r>
              <w:rPr>
                <w:rFonts w:hint="eastAsia" w:cs="宋体"/>
                <w:sz w:val="24"/>
                <w:szCs w:val="24"/>
              </w:rPr>
              <w:t>9、本项目不接受联合体投标。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9</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kern w:val="0"/>
                <w:sz w:val="24"/>
              </w:rPr>
              <w:t>联合体</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 w:val="24"/>
              </w:rPr>
            </w:pPr>
            <w:r>
              <w:rPr>
                <w:rFonts w:hint="eastAsia" w:ascii="宋体" w:hAnsi="宋体" w:cs="宋体"/>
                <w:sz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10</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投标有效期</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 w:val="24"/>
              </w:rPr>
            </w:pPr>
            <w:r>
              <w:rPr>
                <w:rFonts w:hint="eastAsia" w:ascii="宋体" w:hAnsi="宋体" w:cs="宋体"/>
                <w:sz w:val="24"/>
              </w:rPr>
              <w:t>60天（从投标截止之日算起）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11</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付款方式</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 w:val="24"/>
              </w:rPr>
            </w:pPr>
            <w:r>
              <w:rPr>
                <w:rFonts w:hint="eastAsia" w:ascii="宋体" w:hAnsi="宋体" w:cs="宋体"/>
                <w:sz w:val="24"/>
              </w:rPr>
              <w:t>具体付款方式以签订合同为准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rPr>
            </w:pPr>
            <w:r>
              <w:rPr>
                <w:rFonts w:hint="eastAsia" w:ascii="宋体" w:hAnsi="宋体" w:cs="宋体"/>
                <w:bCs/>
                <w:sz w:val="24"/>
              </w:rPr>
              <w:t>12</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rPr>
            </w:pPr>
            <w:r>
              <w:rPr>
                <w:rFonts w:hint="eastAsia" w:ascii="宋体" w:hAnsi="宋体" w:cs="宋体"/>
                <w:bCs/>
                <w:sz w:val="24"/>
              </w:rPr>
              <w:t>合同履约期限</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sz w:val="24"/>
              </w:rPr>
            </w:pPr>
            <w:r>
              <w:rPr>
                <w:rFonts w:hint="eastAsia" w:ascii="宋体" w:hAnsi="宋体" w:cs="宋体"/>
                <w:sz w:val="24"/>
              </w:rPr>
              <w:t>甲乙双方签订合同后30日内完成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13</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rPr>
            </w:pPr>
            <w:r>
              <w:rPr>
                <w:rFonts w:hint="eastAsia" w:ascii="宋体" w:hAnsi="宋体" w:cs="宋体"/>
                <w:snapToGrid w:val="0"/>
                <w:kern w:val="0"/>
                <w:sz w:val="24"/>
              </w:rPr>
              <w:t>交货（服务）地点</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 w:val="24"/>
              </w:rPr>
            </w:pPr>
            <w:r>
              <w:rPr>
                <w:rFonts w:hint="eastAsia" w:ascii="宋体" w:hAnsi="宋体" w:cs="宋体"/>
                <w:bCs/>
                <w:sz w:val="24"/>
              </w:rPr>
              <w:t>库车市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716"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14</w:t>
            </w:r>
          </w:p>
        </w:tc>
        <w:tc>
          <w:tcPr>
            <w:tcW w:w="2180"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投标保证金</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sz w:val="24"/>
              </w:rPr>
            </w:pPr>
            <w:r>
              <w:rPr>
                <w:rFonts w:hint="eastAsia" w:ascii="宋体" w:hAnsi="宋体" w:cs="宋体"/>
                <w:b/>
                <w:sz w:val="24"/>
              </w:rPr>
              <w:t>本次不做要求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16"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15</w:t>
            </w:r>
          </w:p>
        </w:tc>
        <w:tc>
          <w:tcPr>
            <w:tcW w:w="2180"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踏勘</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 w:val="24"/>
              </w:rPr>
            </w:pPr>
            <w:r>
              <w:rPr>
                <w:rFonts w:hint="eastAsia" w:ascii="宋体" w:hAnsi="宋体" w:cs="宋体"/>
                <w:sz w:val="24"/>
              </w:rPr>
              <w:t>投标人可自行踏勘。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716"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16</w:t>
            </w:r>
          </w:p>
        </w:tc>
        <w:tc>
          <w:tcPr>
            <w:tcW w:w="2180"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投标文件的澄清</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 w:val="24"/>
              </w:rPr>
            </w:pPr>
            <w:r>
              <w:rPr>
                <w:rFonts w:hint="eastAsia" w:ascii="宋体" w:hAnsi="宋体" w:cs="宋体"/>
                <w:sz w:val="24"/>
              </w:rPr>
              <w:t>投标人如有质疑请</w:t>
            </w:r>
            <w:r>
              <w:rPr>
                <w:rFonts w:hint="eastAsia" w:ascii="宋体" w:hAnsi="宋体" w:cs="宋体"/>
                <w:color w:val="000000" w:themeColor="text1"/>
                <w:sz w:val="24"/>
              </w:rPr>
              <w:t>于</w:t>
            </w:r>
            <w:r>
              <w:rPr>
                <w:rFonts w:hint="eastAsia" w:ascii="宋体" w:hAnsi="宋体" w:cs="宋体"/>
                <w:sz w:val="24"/>
              </w:rPr>
              <w:t>开标截止时间前10天</w:t>
            </w:r>
            <w:r>
              <w:rPr>
                <w:rFonts w:hint="eastAsia" w:ascii="宋体" w:hAnsi="宋体" w:cs="宋体"/>
                <w:color w:val="000000" w:themeColor="text1"/>
                <w:sz w:val="24"/>
              </w:rPr>
              <w:t>前以书</w:t>
            </w:r>
            <w:r>
              <w:rPr>
                <w:rFonts w:hint="eastAsia" w:ascii="宋体" w:hAnsi="宋体" w:cs="宋体"/>
                <w:sz w:val="24"/>
              </w:rPr>
              <w:t>面形式向采购代理机构提出，代理机构做统一澄清。</w:t>
            </w:r>
          </w:p>
          <w:p>
            <w:pPr>
              <w:spacing w:line="400" w:lineRule="exact"/>
              <w:rPr>
                <w:rFonts w:ascii="宋体" w:hAnsi="宋体" w:cs="宋体"/>
                <w:sz w:val="24"/>
              </w:rPr>
            </w:pPr>
            <w:r>
              <w:rPr>
                <w:rFonts w:hint="eastAsia" w:ascii="宋体" w:hAnsi="宋体" w:cs="宋体"/>
                <w:sz w:val="24"/>
              </w:rPr>
              <w:t>联系邮箱：</w:t>
            </w:r>
            <w:r>
              <w:fldChar w:fldCharType="begin"/>
            </w:r>
            <w:r>
              <w:instrText xml:space="preserve"> HYPERLINK "mailto:598475349@qq.com" </w:instrText>
            </w:r>
            <w:r>
              <w:fldChar w:fldCharType="separate"/>
            </w:r>
            <w:r>
              <w:rPr>
                <w:rStyle w:val="29"/>
                <w:rFonts w:hint="eastAsia" w:ascii="宋体" w:hAnsi="宋体" w:cs="宋体"/>
                <w:color w:val="auto"/>
                <w:sz w:val="24"/>
              </w:rPr>
              <w:t>407157814@qq.com</w:t>
            </w:r>
            <w:r>
              <w:rPr>
                <w:rStyle w:val="29"/>
                <w:rFonts w:hint="eastAsia" w:ascii="宋体" w:hAnsi="宋体" w:cs="宋体"/>
                <w:color w:val="auto"/>
                <w:sz w:val="24"/>
              </w:rPr>
              <w:fldChar w:fldCharType="end"/>
            </w:r>
            <w:r>
              <w:rPr>
                <w:rFonts w:hint="eastAsia" w:ascii="宋体" w:hAnsi="宋体" w:cs="宋体"/>
                <w:sz w:val="24"/>
              </w:rPr>
              <w:t>（注：接受扫描件。）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16"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17</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b/>
                <w:bCs/>
                <w:spacing w:val="-14"/>
                <w:sz w:val="24"/>
              </w:rPr>
              <w:t>标后提交的投标文件</w:t>
            </w:r>
            <w:r>
              <w:rPr>
                <w:rFonts w:hint="eastAsia" w:ascii="宋体" w:hAnsi="宋体" w:cs="宋体"/>
                <w:b/>
                <w:bCs/>
                <w:sz w:val="24"/>
              </w:rPr>
              <w:t>份数</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 w:val="24"/>
              </w:rPr>
            </w:pPr>
            <w:r>
              <w:rPr>
                <w:rFonts w:hint="eastAsia" w:ascii="宋体" w:hAnsi="宋体" w:cs="宋体"/>
                <w:sz w:val="24"/>
              </w:rPr>
              <w:t>正本一份，副本三份（所有文件密封在一起）。</w:t>
            </w:r>
          </w:p>
          <w:p>
            <w:pPr>
              <w:spacing w:line="400" w:lineRule="exact"/>
              <w:rPr>
                <w:rFonts w:ascii="宋体" w:hAnsi="宋体" w:cs="宋体"/>
                <w:sz w:val="24"/>
              </w:rPr>
            </w:pPr>
            <w:r>
              <w:rPr>
                <w:rFonts w:hint="eastAsia" w:ascii="宋体" w:hAnsi="宋体" w:cs="宋体"/>
                <w:sz w:val="24"/>
              </w:rPr>
              <w:t>电子版文件一份，以U盘方式（单独密封）。</w:t>
            </w:r>
          </w:p>
          <w:p>
            <w:pPr>
              <w:spacing w:line="400" w:lineRule="exact"/>
              <w:rPr>
                <w:rFonts w:ascii="宋体" w:hAnsi="宋体" w:cs="宋体"/>
                <w:sz w:val="24"/>
              </w:rPr>
            </w:pPr>
            <w:r>
              <w:rPr>
                <w:rFonts w:hint="eastAsia" w:ascii="宋体" w:hAnsi="宋体" w:cs="宋体"/>
                <w:sz w:val="24"/>
              </w:rPr>
              <w:t>递交、邮寄地址：</w:t>
            </w:r>
            <w:r>
              <w:rPr>
                <w:rFonts w:hint="eastAsia" w:ascii="宋体" w:hAnsi="宋体" w:cs="宋体"/>
                <w:color w:val="333333"/>
                <w:kern w:val="0"/>
                <w:sz w:val="24"/>
              </w:rPr>
              <w:t>阿克苏市</w:t>
            </w:r>
            <w:r>
              <w:rPr>
                <w:rFonts w:hint="eastAsia" w:ascii="宋体" w:hAnsi="宋体" w:cs="宋体"/>
                <w:sz w:val="24"/>
              </w:rPr>
              <w:t>，收件人：马志鹏，联系电话：18699068456。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16"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18</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投标文件的密封</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 w:val="24"/>
              </w:rPr>
            </w:pPr>
            <w:r>
              <w:rPr>
                <w:rFonts w:hint="eastAsia" w:ascii="宋体" w:hAnsi="宋体" w:cs="宋体"/>
                <w:sz w:val="24"/>
              </w:rPr>
              <w:t>各密封袋注明：项目名称、投标编号（包号）和“在**年**月**日**时之前不得启封”的字样。投标商名称和地址，加盖投标人公章。（投标文件，一律不退）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16" w:type="dxa"/>
            <w:tcBorders>
              <w:left w:val="single" w:color="auto" w:sz="4" w:space="0"/>
              <w:bottom w:val="single" w:color="auto" w:sz="4" w:space="0"/>
              <w:right w:val="single" w:color="auto" w:sz="4" w:space="0"/>
            </w:tcBorders>
            <w:vAlign w:val="center"/>
          </w:tcPr>
          <w:p>
            <w:pPr>
              <w:spacing w:line="400" w:lineRule="exact"/>
              <w:ind w:right="-71" w:rightChars="-34"/>
              <w:jc w:val="center"/>
              <w:rPr>
                <w:rFonts w:ascii="宋体" w:hAnsi="宋体" w:cs="宋体"/>
                <w:sz w:val="24"/>
              </w:rPr>
            </w:pPr>
            <w:r>
              <w:rPr>
                <w:rFonts w:hint="eastAsia" w:ascii="宋体" w:hAnsi="宋体" w:cs="宋体"/>
                <w:sz w:val="24"/>
              </w:rPr>
              <w:t>19</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投标文件的签署</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 w:val="24"/>
              </w:rPr>
            </w:pPr>
            <w:r>
              <w:rPr>
                <w:rFonts w:hint="eastAsia" w:ascii="宋体" w:hAnsi="宋体" w:cs="宋体"/>
                <w:sz w:val="24"/>
              </w:rPr>
              <w:t>投标文件应由法人代表或授权代表逐页签署并加盖单位公章。所有投标人签字、法人代表签字、法人代表授权人签字和其它签字处必须加盖具有法律效力的投标人的印章后，投标文件方为有效。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16"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20</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投标文件的装订</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 w:val="24"/>
              </w:rPr>
            </w:pPr>
            <w:r>
              <w:rPr>
                <w:rFonts w:hint="eastAsia" w:ascii="宋体" w:hAnsi="宋体" w:cs="宋体"/>
                <w:sz w:val="24"/>
              </w:rPr>
              <w:t>投标文件以死页方式装订，必须为不可拆装的方式。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21</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ind w:right="-126" w:rightChars="-60"/>
              <w:jc w:val="center"/>
              <w:rPr>
                <w:rFonts w:ascii="宋体" w:hAnsi="宋体" w:cs="宋体"/>
                <w:b/>
                <w:sz w:val="24"/>
              </w:rPr>
            </w:pPr>
            <w:r>
              <w:rPr>
                <w:rFonts w:hint="eastAsia" w:ascii="宋体" w:hAnsi="宋体" w:cs="宋体"/>
                <w:b/>
                <w:sz w:val="24"/>
              </w:rPr>
              <w:t>投标文件递交地点</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sz w:val="24"/>
              </w:rPr>
            </w:pPr>
            <w:r>
              <w:rPr>
                <w:rFonts w:hint="eastAsia" w:ascii="宋体" w:hAnsi="宋体" w:cs="宋体"/>
                <w:b/>
                <w:sz w:val="24"/>
              </w:rPr>
              <w:t>本项目采取“不见面”形式，投标单位需在新疆政府采购网--下载专区下载--供应商客户端制作投标文件，并生成JMBS格式加密文件，在投标截止前上传至政采云网上不见面开评标系统。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22</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rPr>
            </w:pPr>
            <w:r>
              <w:rPr>
                <w:rFonts w:hint="eastAsia" w:ascii="宋体" w:hAnsi="宋体" w:cs="宋体"/>
                <w:b/>
                <w:sz w:val="24"/>
              </w:rPr>
              <w:t>投标截止时间</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sz w:val="24"/>
              </w:rPr>
            </w:pPr>
            <w:r>
              <w:rPr>
                <w:rFonts w:hint="eastAsia" w:ascii="宋体" w:hAnsi="宋体" w:cs="宋体"/>
                <w:b/>
                <w:bCs/>
                <w:sz w:val="24"/>
                <w:u w:val="single"/>
              </w:rPr>
              <w:t>2022年9月</w:t>
            </w:r>
            <w:r>
              <w:rPr>
                <w:rFonts w:hint="eastAsia" w:ascii="宋体" w:hAnsi="宋体" w:cs="宋体"/>
                <w:b/>
                <w:bCs/>
                <w:sz w:val="24"/>
                <w:u w:val="single"/>
                <w:lang w:val="en-US" w:eastAsia="zh-CN"/>
              </w:rPr>
              <w:t>28</w:t>
            </w:r>
            <w:r>
              <w:rPr>
                <w:rFonts w:hint="eastAsia" w:ascii="宋体" w:hAnsi="宋体" w:cs="宋体"/>
                <w:b/>
                <w:bCs/>
                <w:sz w:val="24"/>
                <w:u w:val="single"/>
              </w:rPr>
              <w:t>日上午10:30时</w:t>
            </w:r>
            <w:r>
              <w:rPr>
                <w:rFonts w:hint="eastAsia" w:ascii="宋体" w:hAnsi="宋体" w:cs="宋体"/>
                <w:b/>
                <w:sz w:val="24"/>
              </w:rPr>
              <w:t>（北京时间）</w:t>
            </w:r>
            <w:bookmarkStart w:id="41" w:name="_GoBack"/>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23</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rPr>
            </w:pPr>
            <w:r>
              <w:rPr>
                <w:rFonts w:hint="eastAsia" w:ascii="宋体" w:hAnsi="宋体" w:cs="宋体"/>
                <w:b/>
                <w:sz w:val="24"/>
              </w:rPr>
              <w:t>最高限价</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sz w:val="24"/>
              </w:rPr>
            </w:pPr>
            <w:r>
              <w:rPr>
                <w:rFonts w:hint="eastAsia" w:ascii="宋体" w:hAnsi="宋体" w:cs="宋体"/>
                <w:b/>
                <w:sz w:val="24"/>
              </w:rPr>
              <w:t>890000.00元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24</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rPr>
            </w:pPr>
            <w:r>
              <w:rPr>
                <w:rFonts w:hint="eastAsia" w:ascii="宋体" w:hAnsi="宋体" w:cs="宋体"/>
                <w:sz w:val="24"/>
              </w:rPr>
              <w:t>评标委员会的组建</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 w:val="24"/>
              </w:rPr>
            </w:pPr>
            <w:r>
              <w:rPr>
                <w:rFonts w:hint="eastAsia" w:ascii="宋体" w:hAnsi="宋体" w:cs="宋体"/>
                <w:sz w:val="24"/>
              </w:rPr>
              <w:t>评标委员会构成：</w:t>
            </w:r>
            <w:r>
              <w:rPr>
                <w:rFonts w:hint="eastAsia" w:ascii="宋体" w:hAnsi="宋体" w:cs="宋体"/>
                <w:sz w:val="24"/>
                <w:u w:val="single"/>
              </w:rPr>
              <w:t xml:space="preserve"> 5</w:t>
            </w:r>
            <w:r>
              <w:rPr>
                <w:rFonts w:hint="eastAsia" w:ascii="宋体" w:hAnsi="宋体" w:cs="宋体"/>
                <w:sz w:val="24"/>
              </w:rPr>
              <w:t>人，其中采购人代表</w:t>
            </w:r>
            <w:r>
              <w:rPr>
                <w:rFonts w:hint="eastAsia" w:ascii="宋体" w:hAnsi="宋体" w:cs="宋体"/>
                <w:sz w:val="24"/>
                <w:u w:val="single"/>
              </w:rPr>
              <w:t xml:space="preserve"> 0</w:t>
            </w:r>
            <w:r>
              <w:rPr>
                <w:rFonts w:hint="eastAsia" w:ascii="宋体" w:hAnsi="宋体" w:cs="宋体"/>
                <w:sz w:val="24"/>
              </w:rPr>
              <w:t>人，专家</w:t>
            </w:r>
            <w:r>
              <w:rPr>
                <w:rFonts w:hint="eastAsia" w:ascii="宋体" w:hAnsi="宋体" w:cs="宋体"/>
                <w:sz w:val="24"/>
                <w:u w:val="single"/>
              </w:rPr>
              <w:t>5</w:t>
            </w:r>
            <w:r>
              <w:rPr>
                <w:rFonts w:hint="eastAsia" w:ascii="宋体" w:hAnsi="宋体" w:cs="宋体"/>
                <w:sz w:val="24"/>
              </w:rPr>
              <w:t>人；</w:t>
            </w:r>
          </w:p>
          <w:p>
            <w:pPr>
              <w:spacing w:line="400" w:lineRule="exact"/>
              <w:rPr>
                <w:rFonts w:ascii="宋体" w:hAnsi="宋体" w:cs="宋体"/>
                <w:b/>
                <w:sz w:val="24"/>
              </w:rPr>
            </w:pPr>
            <w:r>
              <w:rPr>
                <w:rFonts w:hint="eastAsia" w:ascii="宋体" w:hAnsi="宋体" w:cs="宋体"/>
                <w:sz w:val="24"/>
              </w:rPr>
              <w:t xml:space="preserve">评标专家确定方式：政采云随机抽取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25</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rPr>
            </w:pPr>
            <w:r>
              <w:rPr>
                <w:rFonts w:hint="eastAsia" w:ascii="宋体" w:hAnsi="宋体" w:cs="宋体"/>
                <w:sz w:val="24"/>
              </w:rPr>
              <w:t>中标公示媒介及期限</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sz w:val="24"/>
              </w:rPr>
            </w:pPr>
            <w:r>
              <w:rPr>
                <w:rFonts w:hint="eastAsia" w:ascii="宋体" w:hAnsi="宋体" w:cs="宋体"/>
                <w:sz w:val="24"/>
              </w:rPr>
              <w:t>采购人将中标单位的情况在新疆政府采购网及阿克苏政府网予以公示，公示期限为3日。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26</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招标代理费</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 w:val="24"/>
              </w:rPr>
            </w:pPr>
            <w:r>
              <w:rPr>
                <w:rFonts w:hint="eastAsia" w:ascii="宋体" w:hAnsi="宋体" w:cs="宋体"/>
                <w:sz w:val="24"/>
              </w:rPr>
              <w:t>招标代理服务费用按国家计委[2002]1980号文件和国家发改委发改办价格【2003】857号文执行，由中标单位支付招标代理服务费，该费用由投标人计入投标总报价中，不再单独列项。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27</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场地费</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 w:val="24"/>
              </w:rPr>
            </w:pPr>
            <w:r>
              <w:rPr>
                <w:rFonts w:hint="eastAsia" w:ascii="宋体" w:hAnsi="宋体" w:cs="宋体"/>
                <w:sz w:val="24"/>
              </w:rPr>
              <w:t>按照相关规定缴纳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sz w:val="24"/>
              </w:rPr>
            </w:pP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b/>
                <w:bCs/>
                <w:sz w:val="24"/>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28</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sz w:val="24"/>
              </w:rPr>
            </w:pPr>
            <w:r>
              <w:rPr>
                <w:rFonts w:hint="eastAsia" w:ascii="宋体" w:hAnsi="宋体" w:cs="宋体"/>
                <w:b/>
                <w:bCs/>
                <w:sz w:val="24"/>
              </w:rPr>
              <w:t>响应文件解密时间</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b/>
                <w:bCs/>
                <w:sz w:val="24"/>
                <w:u w:val="single"/>
              </w:rPr>
            </w:pPr>
            <w:r>
              <w:rPr>
                <w:rFonts w:hint="eastAsia" w:ascii="宋体" w:hAnsi="宋体" w:cs="宋体"/>
                <w:b/>
                <w:bCs/>
                <w:sz w:val="24"/>
                <w:u w:val="single"/>
              </w:rPr>
              <w:t>响应文件解密时间30分钟；开标前需投标单位用CA证书登录政采云平台开标大厅签到，在30分钟解密时间内输入CA证书PIN码解密响应文件。在30分钟解密时间内未进行解密的投标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29</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sz w:val="24"/>
              </w:rPr>
            </w:pPr>
            <w:r>
              <w:rPr>
                <w:rFonts w:hint="eastAsia" w:ascii="宋体" w:hAnsi="宋体" w:cs="宋体"/>
                <w:b/>
                <w:bCs/>
                <w:sz w:val="24"/>
              </w:rPr>
              <w:t>供应商报价CA签字确认</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b/>
                <w:bCs/>
                <w:sz w:val="24"/>
                <w:u w:val="single"/>
              </w:rPr>
            </w:pPr>
            <w:r>
              <w:rPr>
                <w:rFonts w:hint="eastAsia" w:ascii="宋体" w:hAnsi="宋体" w:cs="宋体"/>
                <w:b/>
                <w:bCs/>
                <w:sz w:val="24"/>
                <w:u w:val="single"/>
              </w:rPr>
              <w:t>报价文件开启后将开启签字时段，供应商须在30分钟内用CA证书对报价进行签字确认。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30</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sz w:val="24"/>
              </w:rPr>
            </w:pPr>
            <w:r>
              <w:rPr>
                <w:rFonts w:hint="eastAsia" w:ascii="宋体" w:hAnsi="宋体" w:cs="宋体"/>
                <w:b/>
                <w:bCs/>
                <w:sz w:val="24"/>
              </w:rPr>
              <w:t>政采云平台电子招投标说明</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b/>
                <w:bCs/>
                <w:sz w:val="24"/>
                <w:u w:val="single"/>
              </w:rPr>
            </w:pPr>
            <w:r>
              <w:rPr>
                <w:rFonts w:hint="eastAsia" w:ascii="宋体" w:hAnsi="宋体" w:cs="宋体"/>
                <w:b/>
                <w:bCs/>
                <w:sz w:val="24"/>
                <w:u w:val="single"/>
              </w:rPr>
              <w:t>1.本项目采用政采云平台电子招投标，开标前应由供应商CA证书登录政采云平台提交响应文件，开标无需提供纸质版响应文件，请忽略本采购文件中纸质版标书制作及现场开标相关要求。</w:t>
            </w:r>
          </w:p>
          <w:p>
            <w:pPr>
              <w:spacing w:line="400" w:lineRule="exact"/>
              <w:jc w:val="left"/>
              <w:rPr>
                <w:rFonts w:ascii="宋体" w:hAnsi="宋体" w:cs="宋体"/>
                <w:sz w:val="24"/>
              </w:rPr>
            </w:pPr>
            <w:r>
              <w:rPr>
                <w:rFonts w:hint="eastAsia" w:ascii="宋体" w:hAnsi="宋体" w:cs="宋体"/>
                <w:b/>
                <w:bCs/>
                <w:sz w:val="24"/>
                <w:u w:val="single"/>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31</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sz w:val="24"/>
              </w:rPr>
            </w:pPr>
            <w:r>
              <w:rPr>
                <w:rFonts w:hint="eastAsia" w:ascii="宋体" w:hAnsi="宋体" w:cs="宋体"/>
                <w:b/>
                <w:bCs/>
                <w:sz w:val="24"/>
              </w:rPr>
              <w:t>特殊说明</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b/>
                <w:bCs/>
                <w:sz w:val="24"/>
              </w:rPr>
            </w:pPr>
            <w:r>
              <w:rPr>
                <w:rFonts w:hint="eastAsia" w:ascii="宋体" w:hAnsi="宋体" w:cs="宋体"/>
                <w:b/>
                <w:bCs/>
                <w:sz w:val="24"/>
              </w:rPr>
              <w:t>1.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pPr>
              <w:spacing w:line="400" w:lineRule="exact"/>
              <w:jc w:val="left"/>
              <w:rPr>
                <w:rFonts w:ascii="宋体" w:hAnsi="宋体" w:cs="宋体"/>
                <w:sz w:val="24"/>
              </w:rPr>
            </w:pPr>
            <w:r>
              <w:rPr>
                <w:rFonts w:hint="eastAsia" w:ascii="宋体" w:hAnsi="宋体" w:cs="宋体"/>
                <w:b/>
                <w:bCs/>
                <w:sz w:val="24"/>
              </w:rPr>
              <w:t>2.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32</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sz w:val="24"/>
              </w:rPr>
            </w:pPr>
            <w:r>
              <w:rPr>
                <w:rFonts w:hint="eastAsia" w:ascii="宋体" w:hAnsi="宋体" w:cs="宋体"/>
                <w:b/>
                <w:bCs/>
                <w:sz w:val="24"/>
              </w:rPr>
              <w:t>低于成本价不正当竞争预防措施</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b/>
                <w:bCs/>
                <w:sz w:val="24"/>
              </w:rPr>
            </w:pPr>
            <w:r>
              <w:rPr>
                <w:rFonts w:hint="eastAsia" w:ascii="宋体" w:hAnsi="宋体" w:cs="宋体"/>
                <w:b/>
                <w:bCs/>
                <w:sz w:val="24"/>
              </w:rPr>
              <w:t xml:space="preserve">低于成本价不正当竞争预防措施： </w:t>
            </w:r>
          </w:p>
          <w:p>
            <w:pPr>
              <w:spacing w:line="400" w:lineRule="exact"/>
              <w:jc w:val="left"/>
              <w:rPr>
                <w:rFonts w:ascii="宋体" w:hAnsi="宋体" w:cs="宋体"/>
                <w:b/>
                <w:bCs/>
                <w:sz w:val="24"/>
              </w:rPr>
            </w:pPr>
            <w:r>
              <w:rPr>
                <w:rFonts w:hint="eastAsia" w:ascii="宋体" w:hAnsi="宋体" w:cs="宋体"/>
                <w:b/>
                <w:bCs/>
                <w:sz w:val="24"/>
              </w:rPr>
              <w:t>根据“财政部 87 号令《政府采购货物服务招标投标管理办法》”第六十条之规定：评审委员会认为供应商报价明显低于其他通过符合性审查供应商的报价，有可能影响产品质量或者不能诚信履约的，应当要求其在评审现场合理的时间内提供书面说明，必要时提交相关证明材料；供应商不能证明其报价合理性的，评审委员会应当将其作为无效响应处理。评审委员会应当要求其在评审现场合理的时间内提供成本构成书面说明，并提交相关证明材料。供应商书面说明应当按照国家财务会计制度的规定要求，逐项就供应商提供的货物、采购内容和服务的主营业务成本（应根据供应商企业类型予以区别）、税金及附加、销售费用、管理费用、财务费用等成本构成事项详细陈述。 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审委员会应当结合采购项目采购需求、专业实际情况、供应商财务状况报告、与其他供应商比较情况等就供应商书面说明进行审查评价。供应商拒绝或者变相拒绝提供有效书面说明或者书面说明不能证明其报价合理性的，评审委员会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33</w:t>
            </w:r>
          </w:p>
        </w:tc>
        <w:tc>
          <w:tcPr>
            <w:tcW w:w="21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sz w:val="24"/>
              </w:rPr>
            </w:pPr>
            <w:r>
              <w:rPr>
                <w:rFonts w:hint="eastAsia" w:ascii="宋体" w:hAnsi="宋体" w:cs="宋体"/>
                <w:b/>
                <w:bCs/>
                <w:sz w:val="24"/>
              </w:rPr>
              <w:t>注意事项</w:t>
            </w:r>
          </w:p>
        </w:tc>
        <w:tc>
          <w:tcPr>
            <w:tcW w:w="684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b/>
                <w:bCs/>
                <w:sz w:val="24"/>
              </w:rPr>
            </w:pPr>
            <w:r>
              <w:rPr>
                <w:rFonts w:hint="eastAsia" w:ascii="宋体" w:hAnsi="宋体" w:cs="宋体"/>
                <w:b/>
                <w:bCs/>
                <w:sz w:val="24"/>
              </w:rPr>
              <w:t>1、请务必确保投标文件制作客户端为最新版本，旧版本可能导致投标文件解密失败。</w:t>
            </w:r>
          </w:p>
          <w:p>
            <w:pPr>
              <w:spacing w:line="400" w:lineRule="exact"/>
              <w:jc w:val="left"/>
              <w:rPr>
                <w:rFonts w:ascii="宋体" w:hAnsi="宋体" w:cs="宋体"/>
                <w:b/>
                <w:bCs/>
                <w:sz w:val="24"/>
              </w:rPr>
            </w:pPr>
            <w:r>
              <w:rPr>
                <w:rFonts w:hint="eastAsia" w:ascii="宋体" w:hAnsi="宋体" w:cs="宋体"/>
                <w:b/>
                <w:bCs/>
                <w:sz w:val="24"/>
              </w:rPr>
              <w:t>2、请务必确保投标文件制作时所用的CA锁与投标文件解密时的CA锁为同一把，否则可能导致投标文件解密失败。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16"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备注</w:t>
            </w:r>
          </w:p>
        </w:tc>
        <w:tc>
          <w:tcPr>
            <w:tcW w:w="90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sz w:val="24"/>
              </w:rPr>
            </w:pPr>
            <w:r>
              <w:rPr>
                <w:rFonts w:hint="eastAsia" w:ascii="宋体" w:hAnsi="宋体" w:cs="宋体"/>
                <w:b/>
                <w:sz w:val="24"/>
              </w:rPr>
              <w:t>投标人应认真阅读招标文件中的每一个条款及要求，因误读招标文件而造成的后果，采购人概不负责。</w:t>
            </w:r>
          </w:p>
          <w:p>
            <w:pPr>
              <w:spacing w:line="400" w:lineRule="exact"/>
              <w:rPr>
                <w:rFonts w:ascii="宋体" w:hAnsi="宋体" w:cs="宋体"/>
                <w:b/>
                <w:sz w:val="24"/>
              </w:rPr>
            </w:pPr>
            <w:r>
              <w:rPr>
                <w:rFonts w:hint="eastAsia" w:ascii="宋体" w:hAnsi="宋体" w:cs="宋体"/>
                <w:b/>
                <w:sz w:val="24"/>
              </w:rPr>
              <w:t>文件内容若有与本表不符部分，以本表为准。</w:t>
            </w:r>
          </w:p>
        </w:tc>
      </w:tr>
    </w:tbl>
    <w:p>
      <w:pPr>
        <w:adjustRightInd w:val="0"/>
        <w:snapToGrid w:val="0"/>
        <w:spacing w:before="100" w:beforeAutospacing="1" w:after="100" w:afterAutospacing="1"/>
        <w:jc w:val="center"/>
        <w:outlineLvl w:val="0"/>
        <w:rPr>
          <w:b/>
          <w:sz w:val="32"/>
          <w:szCs w:val="32"/>
        </w:rPr>
      </w:pPr>
      <w:r>
        <w:rPr>
          <w:sz w:val="24"/>
        </w:rPr>
        <w:br w:type="page"/>
      </w:r>
      <w:bookmarkStart w:id="1" w:name="_Toc18719"/>
      <w:r>
        <w:rPr>
          <w:b/>
          <w:sz w:val="32"/>
          <w:szCs w:val="32"/>
        </w:rPr>
        <w:t>第二部分  投标人须知</w:t>
      </w:r>
      <w:bookmarkEnd w:id="1"/>
    </w:p>
    <w:p>
      <w:pPr>
        <w:adjustRightInd w:val="0"/>
        <w:spacing w:line="360" w:lineRule="auto"/>
        <w:ind w:firstLine="482" w:firstLineChars="200"/>
        <w:rPr>
          <w:rFonts w:ascii="宋体" w:hAnsi="宋体" w:cs="宋体"/>
          <w:b/>
          <w:color w:val="000000" w:themeColor="text1"/>
          <w:sz w:val="24"/>
        </w:rPr>
      </w:pPr>
      <w:r>
        <w:rPr>
          <w:rFonts w:hint="eastAsia" w:ascii="宋体" w:hAnsi="宋体" w:cs="宋体"/>
          <w:b/>
          <w:color w:val="000000" w:themeColor="text1"/>
          <w:sz w:val="24"/>
        </w:rPr>
        <w:t>1、适用范围</w:t>
      </w:r>
    </w:p>
    <w:p>
      <w:pPr>
        <w:overflowPunct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招标文件是采购人在本项目投标过程中的规范性文件，仅适用于本次招标中所叙述项目的服务采购等内容。和采购人组织的答疑纪要一起是各投标人（以下简称投标人）编制投标文件的依据，也是采购人与中标人签订合同的依据，并作为项目合同的附件之一，与本合同具有同等的法律效力（除非合同另有约定的部分，以正式合同内容为准）。</w:t>
      </w:r>
    </w:p>
    <w:p>
      <w:pPr>
        <w:adjustRightInd w:val="0"/>
        <w:spacing w:line="360" w:lineRule="auto"/>
        <w:ind w:firstLine="482" w:firstLineChars="200"/>
        <w:rPr>
          <w:rFonts w:ascii="宋体" w:hAnsi="宋体" w:cs="宋体"/>
          <w:b/>
          <w:color w:val="000000" w:themeColor="text1"/>
          <w:sz w:val="24"/>
        </w:rPr>
      </w:pPr>
      <w:r>
        <w:rPr>
          <w:rFonts w:hint="eastAsia" w:ascii="宋体" w:hAnsi="宋体" w:cs="宋体"/>
          <w:b/>
          <w:color w:val="000000" w:themeColor="text1"/>
          <w:sz w:val="24"/>
        </w:rPr>
        <w:t>2、定义</w:t>
      </w:r>
    </w:p>
    <w:p>
      <w:pPr>
        <w:adjustRightIn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下列术语和缩写的定义为：</w:t>
      </w:r>
    </w:p>
    <w:p>
      <w:pPr>
        <w:overflowPunct w:val="0"/>
        <w:spacing w:line="360" w:lineRule="auto"/>
        <w:ind w:firstLine="480" w:firstLineChars="200"/>
        <w:rPr>
          <w:rFonts w:ascii="宋体" w:hAnsi="宋体" w:cs="宋体"/>
          <w:color w:val="000000" w:themeColor="text1"/>
          <w:sz w:val="24"/>
          <w:lang w:bidi="zh-CN"/>
        </w:rPr>
      </w:pPr>
      <w:r>
        <w:rPr>
          <w:rFonts w:hint="eastAsia" w:ascii="宋体" w:hAnsi="宋体" w:cs="宋体"/>
          <w:color w:val="000000" w:themeColor="text1"/>
          <w:sz w:val="24"/>
          <w:lang w:bidi="en-US"/>
        </w:rPr>
        <w:t>2.1</w:t>
      </w:r>
      <w:r>
        <w:rPr>
          <w:rFonts w:hint="eastAsia" w:ascii="宋体" w:hAnsi="宋体" w:cs="宋体"/>
          <w:color w:val="000000" w:themeColor="text1"/>
          <w:sz w:val="24"/>
          <w:lang w:bidi="zh-CN"/>
        </w:rPr>
        <w:t>“采购人”系指对本招标</w:t>
      </w:r>
      <w:r>
        <w:rPr>
          <w:rFonts w:hint="eastAsia" w:ascii="宋体" w:hAnsi="宋体" w:cs="宋体"/>
          <w:color w:val="000000" w:themeColor="text1"/>
          <w:sz w:val="24"/>
        </w:rPr>
        <w:t>文件</w:t>
      </w:r>
      <w:r>
        <w:rPr>
          <w:rFonts w:hint="eastAsia" w:ascii="宋体" w:hAnsi="宋体" w:cs="宋体"/>
          <w:color w:val="000000" w:themeColor="text1"/>
          <w:sz w:val="24"/>
          <w:lang w:bidi="zh-CN"/>
        </w:rPr>
        <w:t>中所列服务有需求的</w:t>
      </w:r>
      <w:r>
        <w:rPr>
          <w:rFonts w:hint="eastAsia" w:ascii="宋体" w:hAnsi="宋体" w:cs="宋体"/>
          <w:b/>
          <w:bCs/>
          <w:color w:val="000000" w:themeColor="text1"/>
          <w:sz w:val="24"/>
          <w:lang w:bidi="zh-CN"/>
        </w:rPr>
        <w:t>库车市水资源总站</w:t>
      </w:r>
      <w:r>
        <w:rPr>
          <w:rFonts w:hint="eastAsia" w:ascii="宋体" w:hAnsi="宋体" w:cs="宋体"/>
          <w:b/>
          <w:color w:val="000000" w:themeColor="text1"/>
          <w:sz w:val="24"/>
          <w:lang w:bidi="zh-CN"/>
        </w:rPr>
        <w:t>；</w:t>
      </w:r>
      <w:r>
        <w:rPr>
          <w:rFonts w:hint="eastAsia" w:ascii="宋体" w:hAnsi="宋体" w:cs="宋体"/>
          <w:color w:val="000000" w:themeColor="text1"/>
          <w:sz w:val="24"/>
          <w:lang w:bidi="zh-CN"/>
        </w:rPr>
        <w:t>“投标人”系指符合</w:t>
      </w:r>
      <w:r>
        <w:rPr>
          <w:rFonts w:hint="eastAsia" w:ascii="宋体" w:hAnsi="宋体" w:cs="宋体"/>
          <w:color w:val="000000" w:themeColor="text1"/>
          <w:sz w:val="24"/>
        </w:rPr>
        <w:t>招标</w:t>
      </w:r>
      <w:r>
        <w:rPr>
          <w:rFonts w:hint="eastAsia" w:ascii="宋体" w:hAnsi="宋体" w:cs="宋体"/>
          <w:color w:val="000000" w:themeColor="text1"/>
          <w:sz w:val="24"/>
          <w:lang w:bidi="zh-CN"/>
        </w:rPr>
        <w:t>文件要求并且通过资格审查进入</w:t>
      </w:r>
      <w:r>
        <w:rPr>
          <w:rFonts w:hint="eastAsia" w:ascii="宋体" w:hAnsi="宋体" w:cs="宋体"/>
          <w:color w:val="000000" w:themeColor="text1"/>
          <w:sz w:val="24"/>
        </w:rPr>
        <w:t>招标</w:t>
      </w:r>
      <w:r>
        <w:rPr>
          <w:rFonts w:hint="eastAsia" w:ascii="宋体" w:hAnsi="宋体" w:cs="宋体"/>
          <w:color w:val="000000" w:themeColor="text1"/>
          <w:sz w:val="24"/>
          <w:lang w:bidi="zh-CN"/>
        </w:rPr>
        <w:t>程序的投标人；“采购代理机构”系指</w:t>
      </w:r>
      <w:r>
        <w:rPr>
          <w:rFonts w:hint="eastAsia" w:ascii="宋体" w:hAnsi="宋体" w:cs="宋体"/>
          <w:b/>
          <w:bCs/>
          <w:color w:val="000000" w:themeColor="text1"/>
          <w:sz w:val="24"/>
          <w:lang w:bidi="zh-CN"/>
        </w:rPr>
        <w:t>新疆经开项目管理有限公司</w:t>
      </w:r>
      <w:r>
        <w:rPr>
          <w:rFonts w:hint="eastAsia" w:ascii="宋体" w:hAnsi="宋体" w:cs="宋体"/>
          <w:color w:val="000000" w:themeColor="text1"/>
          <w:sz w:val="24"/>
          <w:lang w:bidi="zh-CN"/>
        </w:rPr>
        <w:t>；“投标文件”系指投标人为响应</w:t>
      </w:r>
      <w:r>
        <w:rPr>
          <w:rFonts w:hint="eastAsia" w:ascii="宋体" w:hAnsi="宋体" w:cs="宋体"/>
          <w:color w:val="000000" w:themeColor="text1"/>
          <w:sz w:val="24"/>
        </w:rPr>
        <w:t>招标</w:t>
      </w:r>
      <w:r>
        <w:rPr>
          <w:rFonts w:hint="eastAsia" w:ascii="宋体" w:hAnsi="宋体" w:cs="宋体"/>
          <w:color w:val="000000" w:themeColor="text1"/>
          <w:sz w:val="24"/>
          <w:lang w:bidi="zh-CN"/>
        </w:rPr>
        <w:t>文件而编制、递交的投标文件。</w:t>
      </w:r>
    </w:p>
    <w:p>
      <w:pPr>
        <w:overflowPunct w:val="0"/>
        <w:spacing w:line="360" w:lineRule="auto"/>
        <w:ind w:firstLine="480" w:firstLineChars="200"/>
        <w:rPr>
          <w:rFonts w:ascii="宋体" w:hAnsi="宋体" w:cs="宋体"/>
          <w:color w:val="000000" w:themeColor="text1"/>
          <w:sz w:val="24"/>
          <w:lang w:bidi="zh-CN"/>
        </w:rPr>
      </w:pPr>
      <w:r>
        <w:rPr>
          <w:rFonts w:hint="eastAsia" w:ascii="宋体" w:hAnsi="宋体" w:cs="宋体"/>
          <w:color w:val="000000" w:themeColor="text1"/>
          <w:sz w:val="24"/>
          <w:lang w:bidi="zh-CN"/>
        </w:rPr>
        <w:t>2.2“买方”系</w:t>
      </w:r>
      <w:r>
        <w:rPr>
          <w:rFonts w:hint="eastAsia" w:ascii="宋体" w:hAnsi="宋体" w:cs="宋体"/>
          <w:b/>
          <w:bCs/>
          <w:color w:val="000000" w:themeColor="text1"/>
          <w:sz w:val="24"/>
          <w:lang w:bidi="zh-CN"/>
        </w:rPr>
        <w:t>库车市水资源总站</w:t>
      </w:r>
      <w:r>
        <w:rPr>
          <w:rFonts w:hint="eastAsia" w:ascii="宋体" w:hAnsi="宋体" w:cs="宋体"/>
          <w:color w:val="000000" w:themeColor="text1"/>
          <w:sz w:val="24"/>
          <w:lang w:bidi="zh-CN"/>
        </w:rPr>
        <w:t>，“卖方”系指中标投标人。</w:t>
      </w:r>
    </w:p>
    <w:p>
      <w:pPr>
        <w:overflowPunct w:val="0"/>
        <w:spacing w:line="360" w:lineRule="auto"/>
        <w:ind w:firstLine="480" w:firstLineChars="200"/>
        <w:rPr>
          <w:rFonts w:ascii="宋体" w:hAnsi="宋体" w:cs="宋体"/>
          <w:color w:val="000000" w:themeColor="text1"/>
          <w:sz w:val="24"/>
          <w:lang w:bidi="zh-CN"/>
        </w:rPr>
      </w:pPr>
      <w:r>
        <w:rPr>
          <w:rFonts w:hint="eastAsia" w:ascii="宋体" w:hAnsi="宋体" w:cs="宋体"/>
          <w:color w:val="000000" w:themeColor="text1"/>
          <w:sz w:val="24"/>
          <w:lang w:bidi="zh-CN"/>
        </w:rPr>
        <w:t>2.3“合同”系指买卖双方签署规定的，买卖双方权利与义务的协议，以及所有的附件、附录和投标文件所提到的构成合同的所有文件。</w:t>
      </w:r>
    </w:p>
    <w:p>
      <w:pPr>
        <w:overflowPunct w:val="0"/>
        <w:spacing w:line="360" w:lineRule="auto"/>
        <w:ind w:firstLine="480" w:firstLineChars="200"/>
        <w:rPr>
          <w:rFonts w:ascii="宋体" w:hAnsi="宋体" w:cs="宋体"/>
          <w:color w:val="000000" w:themeColor="text1"/>
          <w:sz w:val="24"/>
          <w:lang w:bidi="zh-CN"/>
        </w:rPr>
      </w:pPr>
      <w:r>
        <w:rPr>
          <w:rFonts w:hint="eastAsia" w:ascii="宋体" w:hAnsi="宋体" w:cs="宋体"/>
          <w:color w:val="000000" w:themeColor="text1"/>
          <w:sz w:val="24"/>
          <w:lang w:bidi="zh-CN"/>
        </w:rPr>
        <w:t>2.4“服务”系指根据本合同规定卖方必须承担相关服务工作以及其他类似的附随义务。</w:t>
      </w:r>
    </w:p>
    <w:p>
      <w:pPr>
        <w:overflowPunct w:val="0"/>
        <w:spacing w:line="360" w:lineRule="auto"/>
        <w:ind w:firstLine="480" w:firstLineChars="200"/>
        <w:rPr>
          <w:rFonts w:ascii="宋体" w:hAnsi="宋体" w:cs="宋体"/>
          <w:color w:val="000000" w:themeColor="text1"/>
          <w:sz w:val="24"/>
          <w:lang w:bidi="zh-CN"/>
        </w:rPr>
      </w:pPr>
      <w:r>
        <w:rPr>
          <w:rFonts w:hint="eastAsia" w:ascii="宋体" w:hAnsi="宋体" w:cs="宋体"/>
          <w:color w:val="000000" w:themeColor="text1"/>
          <w:sz w:val="24"/>
          <w:lang w:bidi="zh-CN"/>
        </w:rPr>
        <w:t>2.5“附随服务”系指根据本合同规定卖方必须承担与服务有关的辅助服务，以及合同中规定卖方应承担的义务，以及合同中未规定，但有利于合同履行原则，应当由卖方承担的其它义务。</w:t>
      </w:r>
    </w:p>
    <w:p>
      <w:pPr>
        <w:adjustRightInd w:val="0"/>
        <w:spacing w:line="360" w:lineRule="auto"/>
        <w:ind w:firstLine="482" w:firstLineChars="200"/>
        <w:rPr>
          <w:rFonts w:ascii="宋体" w:hAnsi="宋体" w:cs="宋体"/>
          <w:b/>
          <w:color w:val="000000" w:themeColor="text1"/>
          <w:sz w:val="24"/>
        </w:rPr>
      </w:pPr>
      <w:r>
        <w:rPr>
          <w:rFonts w:hint="eastAsia" w:ascii="宋体" w:hAnsi="宋体" w:cs="宋体"/>
          <w:b/>
          <w:color w:val="000000" w:themeColor="text1"/>
          <w:sz w:val="24"/>
        </w:rPr>
        <w:t>3、投标费用</w:t>
      </w:r>
    </w:p>
    <w:p>
      <w:pPr>
        <w:overflowPunct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3.1  无论投标结果如何，与参与招标、投标活动有关的所有费用将由投标人自行承担。</w:t>
      </w:r>
    </w:p>
    <w:p>
      <w:pPr>
        <w:overflowPunct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3.2  投标人被视为熟悉本采购项目的各种情况以及履行合同有关的一切情况。</w:t>
      </w:r>
    </w:p>
    <w:p>
      <w:pPr>
        <w:overflowPunct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3.3  投标人应承担其编制投标文件与递交投标文件所涉及的一切费用，不论投标结果如何，采购人对上述费用不做任何补偿。</w:t>
      </w:r>
    </w:p>
    <w:p>
      <w:pPr>
        <w:overflowPunct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3.4  与相关联工作间的联系协调工作，如有费用发生已包含在投标价格内。</w:t>
      </w:r>
    </w:p>
    <w:p>
      <w:pPr>
        <w:adjustRightInd w:val="0"/>
        <w:spacing w:line="360" w:lineRule="auto"/>
        <w:ind w:firstLine="482" w:firstLineChars="200"/>
        <w:rPr>
          <w:rFonts w:ascii="宋体" w:hAnsi="宋体" w:cs="宋体"/>
          <w:b/>
          <w:color w:val="000000" w:themeColor="text1"/>
          <w:sz w:val="24"/>
        </w:rPr>
      </w:pPr>
      <w:r>
        <w:rPr>
          <w:rFonts w:hint="eastAsia" w:ascii="宋体" w:hAnsi="宋体" w:cs="宋体"/>
          <w:b/>
          <w:color w:val="000000" w:themeColor="text1"/>
          <w:sz w:val="24"/>
        </w:rPr>
        <w:t>4、招标文件的构成</w:t>
      </w:r>
    </w:p>
    <w:p>
      <w:pPr>
        <w:adjustRightInd w:val="0"/>
        <w:spacing w:line="360" w:lineRule="auto"/>
        <w:ind w:firstLine="470" w:firstLineChars="196"/>
        <w:rPr>
          <w:rFonts w:ascii="宋体" w:hAnsi="宋体" w:cs="宋体"/>
          <w:color w:val="000000" w:themeColor="text1"/>
          <w:sz w:val="24"/>
        </w:rPr>
      </w:pPr>
      <w:r>
        <w:rPr>
          <w:rFonts w:hint="eastAsia" w:ascii="宋体" w:hAnsi="宋体" w:cs="宋体"/>
          <w:color w:val="000000" w:themeColor="text1"/>
          <w:sz w:val="24"/>
        </w:rPr>
        <w:t>4.1招标文件由下述部分组成</w:t>
      </w:r>
    </w:p>
    <w:p>
      <w:pPr>
        <w:overflowPunct w:val="0"/>
        <w:spacing w:line="360" w:lineRule="auto"/>
        <w:ind w:firstLine="960" w:firstLineChars="400"/>
        <w:rPr>
          <w:rFonts w:ascii="宋体" w:hAnsi="宋体" w:cs="宋体"/>
          <w:color w:val="000000" w:themeColor="text1"/>
          <w:sz w:val="24"/>
        </w:rPr>
      </w:pPr>
      <w:r>
        <w:rPr>
          <w:rFonts w:hint="eastAsia" w:ascii="宋体" w:hAnsi="宋体" w:cs="宋体"/>
          <w:color w:val="000000" w:themeColor="text1"/>
          <w:sz w:val="24"/>
        </w:rPr>
        <w:t>第一部分  招标公告</w:t>
      </w:r>
    </w:p>
    <w:p>
      <w:pPr>
        <w:overflowPunct w:val="0"/>
        <w:spacing w:line="360" w:lineRule="auto"/>
        <w:ind w:firstLine="960" w:firstLineChars="400"/>
        <w:rPr>
          <w:rFonts w:ascii="宋体" w:hAnsi="宋体" w:cs="宋体"/>
          <w:color w:val="000000" w:themeColor="text1"/>
          <w:sz w:val="24"/>
        </w:rPr>
      </w:pPr>
      <w:r>
        <w:rPr>
          <w:rFonts w:hint="eastAsia" w:ascii="宋体" w:hAnsi="宋体" w:cs="宋体"/>
          <w:color w:val="000000" w:themeColor="text1"/>
          <w:sz w:val="24"/>
        </w:rPr>
        <w:t>第二部分  招标说明</w:t>
      </w:r>
    </w:p>
    <w:p>
      <w:pPr>
        <w:overflowPunct w:val="0"/>
        <w:spacing w:line="360" w:lineRule="auto"/>
        <w:ind w:firstLine="960" w:firstLineChars="400"/>
        <w:rPr>
          <w:rFonts w:ascii="宋体" w:hAnsi="宋体" w:cs="宋体"/>
          <w:color w:val="000000" w:themeColor="text1"/>
          <w:sz w:val="24"/>
        </w:rPr>
      </w:pPr>
      <w:r>
        <w:rPr>
          <w:rFonts w:hint="eastAsia" w:ascii="宋体" w:hAnsi="宋体" w:cs="宋体"/>
          <w:color w:val="000000" w:themeColor="text1"/>
          <w:sz w:val="24"/>
        </w:rPr>
        <w:t>第三部分  投标说明</w:t>
      </w:r>
    </w:p>
    <w:p>
      <w:pPr>
        <w:overflowPunct w:val="0"/>
        <w:spacing w:line="360" w:lineRule="auto"/>
        <w:ind w:firstLine="960" w:firstLineChars="400"/>
        <w:rPr>
          <w:rFonts w:ascii="宋体" w:hAnsi="宋体" w:cs="宋体"/>
          <w:color w:val="000000" w:themeColor="text1"/>
          <w:sz w:val="24"/>
        </w:rPr>
      </w:pPr>
      <w:r>
        <w:rPr>
          <w:rFonts w:hint="eastAsia" w:ascii="宋体" w:hAnsi="宋体" w:cs="宋体"/>
          <w:color w:val="000000" w:themeColor="text1"/>
          <w:sz w:val="24"/>
        </w:rPr>
        <w:t xml:space="preserve">第四部分  </w:t>
      </w:r>
      <w:bookmarkStart w:id="2" w:name="_Toc18041"/>
      <w:bookmarkStart w:id="3" w:name="_Toc10423"/>
      <w:bookmarkStart w:id="4" w:name="_Toc396137240"/>
      <w:r>
        <w:rPr>
          <w:rFonts w:hint="eastAsia" w:ascii="宋体" w:hAnsi="宋体" w:cs="宋体"/>
          <w:color w:val="000000" w:themeColor="text1"/>
          <w:sz w:val="24"/>
          <w:lang w:val="zh-CN"/>
        </w:rPr>
        <w:t>用户需求书</w:t>
      </w:r>
      <w:bookmarkEnd w:id="2"/>
      <w:bookmarkEnd w:id="3"/>
      <w:bookmarkEnd w:id="4"/>
    </w:p>
    <w:p>
      <w:pPr>
        <w:overflowPunct w:val="0"/>
        <w:spacing w:line="360" w:lineRule="auto"/>
        <w:ind w:firstLine="960" w:firstLineChars="400"/>
        <w:rPr>
          <w:rFonts w:ascii="宋体" w:hAnsi="宋体" w:cs="宋体"/>
          <w:color w:val="000000" w:themeColor="text1"/>
          <w:sz w:val="24"/>
        </w:rPr>
      </w:pPr>
      <w:r>
        <w:rPr>
          <w:rFonts w:hint="eastAsia" w:ascii="宋体" w:hAnsi="宋体" w:cs="宋体"/>
          <w:color w:val="000000" w:themeColor="text1"/>
          <w:sz w:val="24"/>
        </w:rPr>
        <w:t>第五部分  合同条款</w:t>
      </w:r>
    </w:p>
    <w:p>
      <w:pPr>
        <w:overflowPunct w:val="0"/>
        <w:spacing w:line="360" w:lineRule="auto"/>
        <w:ind w:firstLine="960" w:firstLineChars="400"/>
        <w:rPr>
          <w:rFonts w:ascii="宋体" w:hAnsi="宋体" w:cs="宋体"/>
          <w:color w:val="000000" w:themeColor="text1"/>
          <w:sz w:val="24"/>
        </w:rPr>
      </w:pPr>
      <w:r>
        <w:rPr>
          <w:rFonts w:hint="eastAsia" w:ascii="宋体" w:hAnsi="宋体" w:cs="宋体"/>
          <w:color w:val="000000" w:themeColor="text1"/>
          <w:sz w:val="24"/>
        </w:rPr>
        <w:t>第六部分  附 表</w:t>
      </w:r>
    </w:p>
    <w:p>
      <w:pPr>
        <w:overflowPunct w:val="0"/>
        <w:spacing w:line="360" w:lineRule="auto"/>
        <w:ind w:firstLine="960" w:firstLineChars="400"/>
        <w:rPr>
          <w:rFonts w:ascii="宋体" w:hAnsi="宋体" w:cs="宋体"/>
          <w:color w:val="000000" w:themeColor="text1"/>
          <w:sz w:val="24"/>
          <w:lang w:bidi="zh-CN"/>
        </w:rPr>
      </w:pPr>
      <w:r>
        <w:rPr>
          <w:rFonts w:hint="eastAsia" w:ascii="宋体" w:hAnsi="宋体" w:cs="宋体"/>
          <w:color w:val="000000" w:themeColor="text1"/>
          <w:sz w:val="24"/>
        </w:rPr>
        <w:t xml:space="preserve">第七部分  </w:t>
      </w:r>
      <w:r>
        <w:rPr>
          <w:rFonts w:hint="eastAsia" w:ascii="宋体" w:hAnsi="宋体" w:cs="宋体"/>
          <w:color w:val="000000" w:themeColor="text1"/>
          <w:sz w:val="24"/>
          <w:lang w:bidi="zh-CN"/>
        </w:rPr>
        <w:t>评定办法和细则</w:t>
      </w:r>
    </w:p>
    <w:p>
      <w:pPr>
        <w:overflowPunct w:val="0"/>
        <w:spacing w:line="360" w:lineRule="auto"/>
        <w:ind w:firstLine="480" w:firstLineChars="200"/>
        <w:rPr>
          <w:rFonts w:ascii="宋体" w:hAnsi="宋体" w:cs="宋体"/>
          <w:color w:val="000000" w:themeColor="text1"/>
          <w:sz w:val="24"/>
          <w:lang w:bidi="zh-CN"/>
        </w:rPr>
      </w:pPr>
      <w:r>
        <w:rPr>
          <w:rFonts w:hint="eastAsia" w:ascii="宋体" w:hAnsi="宋体" w:cs="宋体"/>
          <w:color w:val="000000" w:themeColor="text1"/>
          <w:sz w:val="24"/>
          <w:lang w:bidi="zh-CN"/>
        </w:rPr>
        <w:t>4.2 一切有效的招标文件的澄清和修改的书面文件均是招标文件不可分割的部分。</w:t>
      </w:r>
    </w:p>
    <w:p>
      <w:pPr>
        <w:pStyle w:val="37"/>
        <w:adjustRightInd w:val="0"/>
        <w:spacing w:line="360" w:lineRule="auto"/>
        <w:ind w:firstLine="482"/>
        <w:rPr>
          <w:rFonts w:ascii="宋体" w:hAnsi="宋体" w:cs="宋体"/>
          <w:b/>
          <w:color w:val="000000" w:themeColor="text1"/>
          <w:sz w:val="24"/>
        </w:rPr>
      </w:pPr>
      <w:r>
        <w:rPr>
          <w:rFonts w:hint="eastAsia" w:ascii="宋体" w:hAnsi="宋体" w:cs="宋体"/>
          <w:b/>
          <w:color w:val="000000" w:themeColor="text1"/>
          <w:sz w:val="24"/>
        </w:rPr>
        <w:t>5、招标文件的澄清</w:t>
      </w:r>
    </w:p>
    <w:p>
      <w:pPr>
        <w:overflowPunct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5.1招标文件中的标题或题名仅起引导作用，而不应视为对招标文件内容的理解和解释。</w:t>
      </w:r>
    </w:p>
    <w:p>
      <w:pPr>
        <w:overflowPunct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5.2除非有特殊要求，招标文件不单独提供招标服务使用地的自然环境、气候条件、公用设施等情况，投标人被视为熟悉上述与履行合同有关的一切情况。</w:t>
      </w:r>
    </w:p>
    <w:p>
      <w:pPr>
        <w:adjustRightIn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5.3招标文件的解释权归招标人和招标代理机构。</w:t>
      </w:r>
    </w:p>
    <w:p>
      <w:pPr>
        <w:overflowPunct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5.4任何要求对招标文件进行澄清的投标人，均应将需澄清的内容以书面形式或扫描件送达采购代理机构，采购代理机构将予以答复（答复中不包括问题的来源），答复内容将发送投标人联系邮箱，不再另行通知，请各投标人务必关注联系邮箱，否则，所造成的一切风险由投标人自行承担。</w:t>
      </w:r>
    </w:p>
    <w:p>
      <w:pPr>
        <w:overflowPunct w:val="0"/>
        <w:spacing w:line="360" w:lineRule="auto"/>
        <w:ind w:firstLine="480" w:firstLineChars="200"/>
        <w:rPr>
          <w:rFonts w:ascii="宋体" w:hAnsi="宋体" w:cs="宋体"/>
          <w:color w:val="000000" w:themeColor="text1"/>
          <w:sz w:val="24"/>
          <w:lang w:bidi="zh-CN"/>
        </w:rPr>
      </w:pPr>
      <w:r>
        <w:rPr>
          <w:rFonts w:hint="eastAsia" w:ascii="宋体" w:hAnsi="宋体" w:cs="宋体"/>
          <w:color w:val="000000" w:themeColor="text1"/>
          <w:sz w:val="24"/>
        </w:rPr>
        <w:t>5.5为了使投标人</w:t>
      </w:r>
      <w:r>
        <w:rPr>
          <w:rFonts w:hint="eastAsia" w:ascii="宋体" w:hAnsi="宋体" w:cs="宋体"/>
          <w:color w:val="000000" w:themeColor="text1"/>
          <w:sz w:val="24"/>
          <w:lang w:bidi="zh-CN"/>
        </w:rPr>
        <w:t>有足够的时间准备投标文件，各投标人</w:t>
      </w:r>
      <w:r>
        <w:rPr>
          <w:rFonts w:hint="eastAsia" w:ascii="宋体" w:hAnsi="宋体" w:cs="宋体"/>
          <w:b/>
          <w:sz w:val="24"/>
          <w:u w:val="single"/>
          <w:lang w:bidi="zh-CN"/>
        </w:rPr>
        <w:t>应当在投标截止时间10日前提出</w:t>
      </w:r>
      <w:r>
        <w:rPr>
          <w:rFonts w:hint="eastAsia" w:ascii="宋体" w:hAnsi="宋体" w:cs="宋体"/>
          <w:color w:val="000000" w:themeColor="text1"/>
          <w:sz w:val="24"/>
          <w:lang w:bidi="zh-CN"/>
        </w:rPr>
        <w:t>(超过该时间收到的需澄清的内容，采购代理机构有权不予答复），准备需澄清的内容，以书面形式送达采购代理机构。</w:t>
      </w:r>
    </w:p>
    <w:p>
      <w:pPr>
        <w:adjustRightInd w:val="0"/>
        <w:spacing w:line="360" w:lineRule="auto"/>
        <w:ind w:firstLine="482" w:firstLineChars="200"/>
        <w:rPr>
          <w:rFonts w:ascii="宋体" w:hAnsi="宋体" w:cs="宋体"/>
          <w:b/>
          <w:color w:val="000000" w:themeColor="text1"/>
          <w:sz w:val="24"/>
        </w:rPr>
      </w:pPr>
      <w:r>
        <w:rPr>
          <w:rFonts w:hint="eastAsia" w:ascii="宋体" w:hAnsi="宋体" w:cs="宋体"/>
          <w:b/>
          <w:color w:val="000000" w:themeColor="text1"/>
          <w:sz w:val="24"/>
        </w:rPr>
        <w:t>6、招标文件的修改或补充</w:t>
      </w:r>
    </w:p>
    <w:p>
      <w:pPr>
        <w:overflowPunct w:val="0"/>
        <w:spacing w:line="360" w:lineRule="auto"/>
        <w:ind w:firstLine="480" w:firstLineChars="200"/>
        <w:rPr>
          <w:rFonts w:ascii="宋体" w:hAnsi="宋体" w:cs="宋体"/>
          <w:color w:val="000000" w:themeColor="text1"/>
          <w:sz w:val="24"/>
          <w:lang w:bidi="zh-CN"/>
        </w:rPr>
      </w:pPr>
      <w:r>
        <w:rPr>
          <w:rFonts w:hint="eastAsia" w:ascii="宋体" w:hAnsi="宋体" w:cs="宋体"/>
          <w:color w:val="000000" w:themeColor="text1"/>
          <w:sz w:val="24"/>
          <w:lang w:bidi="en-US"/>
        </w:rPr>
        <w:t>6.1</w:t>
      </w:r>
      <w:r>
        <w:rPr>
          <w:rFonts w:hint="eastAsia" w:ascii="宋体" w:hAnsi="宋体" w:cs="宋体"/>
          <w:color w:val="000000" w:themeColor="text1"/>
          <w:sz w:val="24"/>
          <w:lang w:bidi="zh-CN"/>
        </w:rPr>
        <w:t>特殊情形的，在递交投标文件截止期15日前，采购代理机构可主动地或在解答投标人提出的澄清问题时对招标文件进行澄清和修改。</w:t>
      </w:r>
    </w:p>
    <w:p>
      <w:pPr>
        <w:overflowPunct w:val="0"/>
        <w:spacing w:line="360" w:lineRule="auto"/>
        <w:ind w:firstLine="480" w:firstLineChars="200"/>
        <w:rPr>
          <w:rFonts w:ascii="宋体" w:hAnsi="宋体" w:cs="宋体"/>
          <w:color w:val="000000" w:themeColor="text1"/>
          <w:sz w:val="24"/>
          <w:lang w:bidi="zh-CN"/>
        </w:rPr>
      </w:pPr>
      <w:r>
        <w:rPr>
          <w:rFonts w:hint="eastAsia" w:ascii="宋体" w:hAnsi="宋体" w:cs="宋体"/>
          <w:color w:val="000000" w:themeColor="text1"/>
          <w:sz w:val="24"/>
          <w:lang w:bidi="zh-CN"/>
        </w:rPr>
        <w:t>6.2招标文件的澄清和修改将以书面公布的形式通知所有购买招标文件的投标人，并对其具有约束力。</w:t>
      </w:r>
    </w:p>
    <w:p>
      <w:pPr>
        <w:overflowPunct w:val="0"/>
        <w:spacing w:line="360" w:lineRule="auto"/>
        <w:ind w:firstLine="480" w:firstLineChars="200"/>
        <w:rPr>
          <w:rFonts w:ascii="宋体" w:hAnsi="宋体" w:cs="宋体"/>
          <w:color w:val="000000" w:themeColor="text1"/>
          <w:sz w:val="24"/>
          <w:lang w:bidi="zh-CN"/>
        </w:rPr>
      </w:pPr>
      <w:r>
        <w:rPr>
          <w:rFonts w:hint="eastAsia" w:ascii="宋体" w:hAnsi="宋体" w:cs="宋体"/>
          <w:color w:val="000000" w:themeColor="text1"/>
          <w:sz w:val="24"/>
          <w:lang w:bidi="zh-CN"/>
        </w:rPr>
        <w:t>6.3为使投标人在准备投标文件时有充分的时间对招标文件的澄清和修改部分进行研究，采购代理机构可在递交投标文件截止期15日前通知投标人，适当延长递交投标文件截止期。</w:t>
      </w:r>
    </w:p>
    <w:p>
      <w:pPr>
        <w:overflowPunct w:val="0"/>
        <w:spacing w:line="360" w:lineRule="auto"/>
        <w:ind w:firstLine="480" w:firstLineChars="200"/>
        <w:rPr>
          <w:rFonts w:ascii="宋体" w:hAnsi="宋体" w:cs="宋体"/>
          <w:color w:val="000000" w:themeColor="text1"/>
          <w:sz w:val="24"/>
          <w:lang w:bidi="zh-CN"/>
        </w:rPr>
      </w:pPr>
      <w:r>
        <w:rPr>
          <w:rFonts w:hint="eastAsia" w:ascii="宋体" w:hAnsi="宋体" w:cs="宋体"/>
          <w:color w:val="000000" w:themeColor="text1"/>
          <w:sz w:val="24"/>
          <w:lang w:bidi="en-US"/>
        </w:rPr>
        <w:t>6.4</w:t>
      </w:r>
      <w:r>
        <w:rPr>
          <w:rFonts w:hint="eastAsia" w:ascii="宋体" w:hAnsi="宋体" w:cs="宋体"/>
          <w:color w:val="000000" w:themeColor="text1"/>
          <w:sz w:val="24"/>
          <w:lang w:bidi="zh-CN"/>
        </w:rPr>
        <w:t>招标文件的澄清和修改文件是招标文件的组成部分，投标人需按照招标文件的澄清和修改文件的要求参与招标，投标人没有作出实质性响应是投标人的风险，并可能导致其投标文件被拒绝。</w:t>
      </w:r>
    </w:p>
    <w:p>
      <w:pPr>
        <w:adjustRightInd w:val="0"/>
        <w:spacing w:line="360" w:lineRule="auto"/>
        <w:ind w:firstLine="482" w:firstLineChars="200"/>
        <w:rPr>
          <w:rFonts w:ascii="宋体" w:hAnsi="宋体" w:cs="宋体"/>
          <w:b/>
          <w:color w:val="000000" w:themeColor="text1"/>
          <w:sz w:val="24"/>
        </w:rPr>
      </w:pPr>
      <w:r>
        <w:rPr>
          <w:rFonts w:hint="eastAsia" w:ascii="宋体" w:hAnsi="宋体" w:cs="宋体"/>
          <w:b/>
          <w:color w:val="000000" w:themeColor="text1"/>
          <w:sz w:val="24"/>
        </w:rPr>
        <w:t>7、索赔</w:t>
      </w:r>
    </w:p>
    <w:p>
      <w:pPr>
        <w:overflowPunct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投标人提供的</w:t>
      </w:r>
      <w:r>
        <w:rPr>
          <w:rFonts w:hint="eastAsia" w:ascii="宋体" w:hAnsi="宋体" w:cs="宋体"/>
          <w:color w:val="000000" w:themeColor="text1"/>
          <w:sz w:val="24"/>
          <w:lang w:bidi="zh-CN"/>
        </w:rPr>
        <w:t>服务</w:t>
      </w:r>
      <w:r>
        <w:rPr>
          <w:rFonts w:hint="eastAsia" w:ascii="宋体" w:hAnsi="宋体" w:cs="宋体"/>
          <w:color w:val="000000" w:themeColor="text1"/>
          <w:sz w:val="24"/>
        </w:rPr>
        <w:t>未能达到标书规定的要求，或者有明显缺陷，采购人将保留索赔的权利。</w:t>
      </w:r>
    </w:p>
    <w:p>
      <w:pPr>
        <w:adjustRightInd w:val="0"/>
        <w:spacing w:line="360" w:lineRule="auto"/>
        <w:ind w:firstLine="482" w:firstLineChars="200"/>
        <w:rPr>
          <w:rFonts w:ascii="宋体" w:hAnsi="宋体" w:cs="宋体"/>
          <w:b/>
          <w:color w:val="000000" w:themeColor="text1"/>
          <w:sz w:val="24"/>
        </w:rPr>
      </w:pPr>
      <w:r>
        <w:rPr>
          <w:rFonts w:hint="eastAsia" w:ascii="宋体" w:hAnsi="宋体" w:cs="宋体"/>
          <w:b/>
          <w:color w:val="000000" w:themeColor="text1"/>
          <w:sz w:val="24"/>
        </w:rPr>
        <w:t>8、验收</w:t>
      </w:r>
    </w:p>
    <w:p>
      <w:pPr>
        <w:overflowPunct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8.1  验收标准，按国家，行业技术标准和规范验收。</w:t>
      </w:r>
    </w:p>
    <w:p>
      <w:pPr>
        <w:adjustRightInd w:val="0"/>
        <w:spacing w:line="360" w:lineRule="auto"/>
        <w:ind w:firstLine="482" w:firstLineChars="200"/>
        <w:rPr>
          <w:rFonts w:ascii="宋体" w:hAnsi="宋体" w:cs="宋体"/>
          <w:b/>
          <w:color w:val="000000" w:themeColor="text1"/>
          <w:sz w:val="24"/>
        </w:rPr>
      </w:pPr>
      <w:r>
        <w:rPr>
          <w:rFonts w:hint="eastAsia" w:ascii="宋体" w:hAnsi="宋体" w:cs="宋体"/>
          <w:b/>
          <w:color w:val="000000" w:themeColor="text1"/>
          <w:sz w:val="24"/>
        </w:rPr>
        <w:t>9、代理服务费</w:t>
      </w:r>
    </w:p>
    <w:p>
      <w:pPr>
        <w:overflowPunct w:val="0"/>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sz w:val="24"/>
        </w:rPr>
        <w:t>服务费收费标准依据国家发展计划委员会文件（计价格[2002]1980号文）和（发改办价格[2003]857号文件）执行，由中标人支付。</w:t>
      </w:r>
    </w:p>
    <w:p>
      <w:pPr>
        <w:spacing w:line="360" w:lineRule="auto"/>
        <w:jc w:val="center"/>
        <w:rPr>
          <w:sz w:val="24"/>
        </w:rPr>
      </w:pPr>
      <w:r>
        <w:rPr>
          <w:sz w:val="24"/>
        </w:rPr>
        <w:t>招标代理收费标准</w:t>
      </w:r>
    </w:p>
    <w:tbl>
      <w:tblPr>
        <w:tblStyle w:val="23"/>
        <w:tblW w:w="952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99"/>
        <w:gridCol w:w="2174"/>
        <w:gridCol w:w="2175"/>
        <w:gridCol w:w="21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2999" w:type="dxa"/>
            <w:tcBorders>
              <w:tl2br w:val="single" w:color="auto" w:sz="4" w:space="0"/>
            </w:tcBorders>
          </w:tcPr>
          <w:p>
            <w:pPr>
              <w:snapToGrid w:val="0"/>
              <w:spacing w:line="360" w:lineRule="auto"/>
              <w:rPr>
                <w:bCs/>
                <w:sz w:val="24"/>
              </w:rPr>
            </w:pPr>
            <w:r>
              <w:rPr>
                <w:bCs/>
                <w:sz w:val="24"/>
              </w:rPr>
              <w:t xml:space="preserve">             招标类别</w:t>
            </w:r>
          </w:p>
          <w:p>
            <w:pPr>
              <w:snapToGrid w:val="0"/>
              <w:spacing w:line="360" w:lineRule="auto"/>
              <w:rPr>
                <w:bCs/>
                <w:sz w:val="24"/>
              </w:rPr>
            </w:pPr>
            <w:r>
              <w:rPr>
                <w:bCs/>
                <w:sz w:val="24"/>
              </w:rPr>
              <w:t>中标价（万）</w:t>
            </w:r>
          </w:p>
        </w:tc>
        <w:tc>
          <w:tcPr>
            <w:tcW w:w="2174" w:type="dxa"/>
            <w:vAlign w:val="center"/>
          </w:tcPr>
          <w:p>
            <w:pPr>
              <w:snapToGrid w:val="0"/>
              <w:spacing w:line="360" w:lineRule="auto"/>
              <w:jc w:val="center"/>
              <w:rPr>
                <w:bCs/>
                <w:sz w:val="24"/>
              </w:rPr>
            </w:pPr>
            <w:r>
              <w:rPr>
                <w:bCs/>
                <w:sz w:val="24"/>
              </w:rPr>
              <w:t>货物招标取费标准</w:t>
            </w:r>
          </w:p>
        </w:tc>
        <w:tc>
          <w:tcPr>
            <w:tcW w:w="2175" w:type="dxa"/>
            <w:vAlign w:val="center"/>
          </w:tcPr>
          <w:p>
            <w:pPr>
              <w:snapToGrid w:val="0"/>
              <w:spacing w:line="360" w:lineRule="auto"/>
              <w:jc w:val="center"/>
              <w:rPr>
                <w:bCs/>
                <w:sz w:val="24"/>
              </w:rPr>
            </w:pPr>
            <w:r>
              <w:rPr>
                <w:bCs/>
                <w:sz w:val="24"/>
              </w:rPr>
              <w:t>服务招标取费标准</w:t>
            </w:r>
          </w:p>
        </w:tc>
        <w:tc>
          <w:tcPr>
            <w:tcW w:w="2175" w:type="dxa"/>
            <w:vAlign w:val="center"/>
          </w:tcPr>
          <w:p>
            <w:pPr>
              <w:snapToGrid w:val="0"/>
              <w:spacing w:line="360" w:lineRule="auto"/>
              <w:jc w:val="center"/>
              <w:rPr>
                <w:bCs/>
                <w:sz w:val="24"/>
              </w:rPr>
            </w:pPr>
            <w:r>
              <w:rPr>
                <w:bCs/>
                <w:sz w:val="24"/>
              </w:rPr>
              <w:t>工程招标取费标准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pPr>
              <w:snapToGrid w:val="0"/>
              <w:spacing w:line="360" w:lineRule="auto"/>
              <w:jc w:val="center"/>
              <w:rPr>
                <w:bCs/>
                <w:sz w:val="24"/>
              </w:rPr>
            </w:pPr>
            <w:r>
              <w:rPr>
                <w:bCs/>
                <w:sz w:val="24"/>
              </w:rPr>
              <w:t>100以下</w:t>
            </w:r>
          </w:p>
        </w:tc>
        <w:tc>
          <w:tcPr>
            <w:tcW w:w="2174" w:type="dxa"/>
          </w:tcPr>
          <w:p>
            <w:pPr>
              <w:snapToGrid w:val="0"/>
              <w:spacing w:line="360" w:lineRule="auto"/>
              <w:jc w:val="center"/>
              <w:rPr>
                <w:bCs/>
                <w:sz w:val="24"/>
              </w:rPr>
            </w:pPr>
            <w:r>
              <w:rPr>
                <w:bCs/>
                <w:sz w:val="24"/>
              </w:rPr>
              <w:t>1.5%</w:t>
            </w:r>
          </w:p>
        </w:tc>
        <w:tc>
          <w:tcPr>
            <w:tcW w:w="2175" w:type="dxa"/>
          </w:tcPr>
          <w:p>
            <w:pPr>
              <w:snapToGrid w:val="0"/>
              <w:spacing w:line="360" w:lineRule="auto"/>
              <w:jc w:val="center"/>
              <w:rPr>
                <w:bCs/>
                <w:sz w:val="24"/>
              </w:rPr>
            </w:pPr>
            <w:r>
              <w:rPr>
                <w:bCs/>
                <w:sz w:val="24"/>
              </w:rPr>
              <w:t>1.5%</w:t>
            </w:r>
          </w:p>
        </w:tc>
        <w:tc>
          <w:tcPr>
            <w:tcW w:w="2175" w:type="dxa"/>
          </w:tcPr>
          <w:p>
            <w:pPr>
              <w:snapToGrid w:val="0"/>
              <w:spacing w:line="360" w:lineRule="auto"/>
              <w:jc w:val="center"/>
              <w:rPr>
                <w:bCs/>
                <w:sz w:val="24"/>
              </w:rPr>
            </w:pPr>
            <w:r>
              <w:rPr>
                <w:bCs/>
                <w:sz w:val="24"/>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pPr>
              <w:snapToGrid w:val="0"/>
              <w:spacing w:line="360" w:lineRule="auto"/>
              <w:jc w:val="center"/>
              <w:rPr>
                <w:bCs/>
                <w:sz w:val="24"/>
              </w:rPr>
            </w:pPr>
            <w:r>
              <w:rPr>
                <w:bCs/>
                <w:sz w:val="24"/>
              </w:rPr>
              <w:t>100-500</w:t>
            </w:r>
          </w:p>
        </w:tc>
        <w:tc>
          <w:tcPr>
            <w:tcW w:w="2174" w:type="dxa"/>
          </w:tcPr>
          <w:p>
            <w:pPr>
              <w:snapToGrid w:val="0"/>
              <w:spacing w:line="360" w:lineRule="auto"/>
              <w:jc w:val="center"/>
              <w:rPr>
                <w:bCs/>
                <w:sz w:val="24"/>
              </w:rPr>
            </w:pPr>
            <w:r>
              <w:rPr>
                <w:bCs/>
                <w:sz w:val="24"/>
              </w:rPr>
              <w:t>1.1%</w:t>
            </w:r>
          </w:p>
        </w:tc>
        <w:tc>
          <w:tcPr>
            <w:tcW w:w="2175" w:type="dxa"/>
          </w:tcPr>
          <w:p>
            <w:pPr>
              <w:snapToGrid w:val="0"/>
              <w:spacing w:line="360" w:lineRule="auto"/>
              <w:jc w:val="center"/>
              <w:rPr>
                <w:bCs/>
                <w:sz w:val="24"/>
              </w:rPr>
            </w:pPr>
            <w:r>
              <w:rPr>
                <w:bCs/>
                <w:sz w:val="24"/>
              </w:rPr>
              <w:t>0.8%</w:t>
            </w:r>
          </w:p>
        </w:tc>
        <w:tc>
          <w:tcPr>
            <w:tcW w:w="2175" w:type="dxa"/>
          </w:tcPr>
          <w:p>
            <w:pPr>
              <w:snapToGrid w:val="0"/>
              <w:spacing w:line="360" w:lineRule="auto"/>
              <w:jc w:val="center"/>
              <w:rPr>
                <w:bCs/>
                <w:sz w:val="24"/>
              </w:rPr>
            </w:pPr>
            <w:r>
              <w:rPr>
                <w:bCs/>
                <w:sz w:val="24"/>
              </w:rPr>
              <w:t>0.7%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pPr>
              <w:snapToGrid w:val="0"/>
              <w:spacing w:line="360" w:lineRule="auto"/>
              <w:jc w:val="center"/>
              <w:rPr>
                <w:bCs/>
                <w:sz w:val="24"/>
              </w:rPr>
            </w:pPr>
            <w:r>
              <w:rPr>
                <w:bCs/>
                <w:sz w:val="24"/>
              </w:rPr>
              <w:t>500-1000</w:t>
            </w:r>
          </w:p>
        </w:tc>
        <w:tc>
          <w:tcPr>
            <w:tcW w:w="2174" w:type="dxa"/>
          </w:tcPr>
          <w:p>
            <w:pPr>
              <w:snapToGrid w:val="0"/>
              <w:spacing w:line="360" w:lineRule="auto"/>
              <w:jc w:val="center"/>
              <w:rPr>
                <w:bCs/>
                <w:sz w:val="24"/>
              </w:rPr>
            </w:pPr>
            <w:r>
              <w:rPr>
                <w:bCs/>
                <w:sz w:val="24"/>
              </w:rPr>
              <w:t>0.8%</w:t>
            </w:r>
          </w:p>
        </w:tc>
        <w:tc>
          <w:tcPr>
            <w:tcW w:w="2175" w:type="dxa"/>
          </w:tcPr>
          <w:p>
            <w:pPr>
              <w:snapToGrid w:val="0"/>
              <w:spacing w:line="360" w:lineRule="auto"/>
              <w:jc w:val="center"/>
              <w:rPr>
                <w:bCs/>
                <w:sz w:val="24"/>
              </w:rPr>
            </w:pPr>
            <w:r>
              <w:rPr>
                <w:bCs/>
                <w:sz w:val="24"/>
              </w:rPr>
              <w:t>0.45%</w:t>
            </w:r>
          </w:p>
        </w:tc>
        <w:tc>
          <w:tcPr>
            <w:tcW w:w="2175" w:type="dxa"/>
          </w:tcPr>
          <w:p>
            <w:pPr>
              <w:snapToGrid w:val="0"/>
              <w:spacing w:line="360" w:lineRule="auto"/>
              <w:jc w:val="center"/>
              <w:rPr>
                <w:bCs/>
                <w:sz w:val="24"/>
              </w:rPr>
            </w:pPr>
            <w:r>
              <w:rPr>
                <w:bCs/>
                <w:sz w:val="24"/>
              </w:rPr>
              <w:t>0.55%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pPr>
              <w:snapToGrid w:val="0"/>
              <w:spacing w:line="360" w:lineRule="auto"/>
              <w:jc w:val="center"/>
              <w:rPr>
                <w:bCs/>
                <w:sz w:val="24"/>
              </w:rPr>
            </w:pPr>
            <w:r>
              <w:rPr>
                <w:bCs/>
                <w:sz w:val="24"/>
              </w:rPr>
              <w:t>1000-5000</w:t>
            </w:r>
          </w:p>
        </w:tc>
        <w:tc>
          <w:tcPr>
            <w:tcW w:w="2174" w:type="dxa"/>
          </w:tcPr>
          <w:p>
            <w:pPr>
              <w:snapToGrid w:val="0"/>
              <w:spacing w:line="360" w:lineRule="auto"/>
              <w:jc w:val="center"/>
              <w:rPr>
                <w:bCs/>
                <w:sz w:val="24"/>
              </w:rPr>
            </w:pPr>
            <w:r>
              <w:rPr>
                <w:bCs/>
                <w:sz w:val="24"/>
              </w:rPr>
              <w:t>0.5%</w:t>
            </w:r>
          </w:p>
        </w:tc>
        <w:tc>
          <w:tcPr>
            <w:tcW w:w="2175" w:type="dxa"/>
          </w:tcPr>
          <w:p>
            <w:pPr>
              <w:snapToGrid w:val="0"/>
              <w:spacing w:line="360" w:lineRule="auto"/>
              <w:jc w:val="center"/>
              <w:rPr>
                <w:bCs/>
                <w:sz w:val="24"/>
              </w:rPr>
            </w:pPr>
            <w:r>
              <w:rPr>
                <w:bCs/>
                <w:sz w:val="24"/>
              </w:rPr>
              <w:t>0.25%</w:t>
            </w:r>
          </w:p>
        </w:tc>
        <w:tc>
          <w:tcPr>
            <w:tcW w:w="2175" w:type="dxa"/>
          </w:tcPr>
          <w:p>
            <w:pPr>
              <w:snapToGrid w:val="0"/>
              <w:spacing w:line="360" w:lineRule="auto"/>
              <w:jc w:val="center"/>
              <w:rPr>
                <w:bCs/>
                <w:sz w:val="24"/>
              </w:rPr>
            </w:pPr>
            <w:r>
              <w:rPr>
                <w:bCs/>
                <w:sz w:val="24"/>
              </w:rPr>
              <w:t>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pPr>
              <w:snapToGrid w:val="0"/>
              <w:spacing w:line="360" w:lineRule="auto"/>
              <w:jc w:val="center"/>
              <w:rPr>
                <w:bCs/>
                <w:sz w:val="24"/>
              </w:rPr>
            </w:pPr>
            <w:r>
              <w:rPr>
                <w:bCs/>
                <w:sz w:val="24"/>
              </w:rPr>
              <w:t>5000-10000</w:t>
            </w:r>
          </w:p>
        </w:tc>
        <w:tc>
          <w:tcPr>
            <w:tcW w:w="2174" w:type="dxa"/>
          </w:tcPr>
          <w:p>
            <w:pPr>
              <w:snapToGrid w:val="0"/>
              <w:spacing w:line="360" w:lineRule="auto"/>
              <w:jc w:val="center"/>
              <w:rPr>
                <w:bCs/>
                <w:sz w:val="24"/>
              </w:rPr>
            </w:pPr>
            <w:r>
              <w:rPr>
                <w:bCs/>
                <w:sz w:val="24"/>
              </w:rPr>
              <w:t>0.25%</w:t>
            </w:r>
          </w:p>
        </w:tc>
        <w:tc>
          <w:tcPr>
            <w:tcW w:w="2175" w:type="dxa"/>
          </w:tcPr>
          <w:p>
            <w:pPr>
              <w:snapToGrid w:val="0"/>
              <w:spacing w:line="360" w:lineRule="auto"/>
              <w:jc w:val="center"/>
              <w:rPr>
                <w:bCs/>
                <w:sz w:val="24"/>
              </w:rPr>
            </w:pPr>
            <w:r>
              <w:rPr>
                <w:bCs/>
                <w:sz w:val="24"/>
              </w:rPr>
              <w:t>0.1%</w:t>
            </w:r>
          </w:p>
        </w:tc>
        <w:tc>
          <w:tcPr>
            <w:tcW w:w="2175" w:type="dxa"/>
          </w:tcPr>
          <w:p>
            <w:pPr>
              <w:snapToGrid w:val="0"/>
              <w:spacing w:line="360" w:lineRule="auto"/>
              <w:jc w:val="center"/>
              <w:rPr>
                <w:bCs/>
                <w:sz w:val="24"/>
              </w:rPr>
            </w:pPr>
            <w:r>
              <w:rPr>
                <w:bCs/>
                <w:sz w:val="24"/>
              </w:rPr>
              <w:t>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pPr>
              <w:snapToGrid w:val="0"/>
              <w:spacing w:line="360" w:lineRule="auto"/>
              <w:jc w:val="center"/>
              <w:rPr>
                <w:bCs/>
                <w:sz w:val="24"/>
              </w:rPr>
            </w:pPr>
            <w:r>
              <w:rPr>
                <w:bCs/>
                <w:sz w:val="24"/>
              </w:rPr>
              <w:t>10000-100000</w:t>
            </w:r>
          </w:p>
        </w:tc>
        <w:tc>
          <w:tcPr>
            <w:tcW w:w="2174" w:type="dxa"/>
          </w:tcPr>
          <w:p>
            <w:pPr>
              <w:snapToGrid w:val="0"/>
              <w:spacing w:line="360" w:lineRule="auto"/>
              <w:jc w:val="center"/>
              <w:rPr>
                <w:bCs/>
                <w:sz w:val="24"/>
              </w:rPr>
            </w:pPr>
            <w:r>
              <w:rPr>
                <w:bCs/>
                <w:sz w:val="24"/>
              </w:rPr>
              <w:t>0.05%</w:t>
            </w:r>
          </w:p>
        </w:tc>
        <w:tc>
          <w:tcPr>
            <w:tcW w:w="2175" w:type="dxa"/>
          </w:tcPr>
          <w:p>
            <w:pPr>
              <w:snapToGrid w:val="0"/>
              <w:spacing w:line="360" w:lineRule="auto"/>
              <w:jc w:val="center"/>
              <w:rPr>
                <w:bCs/>
                <w:sz w:val="24"/>
              </w:rPr>
            </w:pPr>
            <w:r>
              <w:rPr>
                <w:bCs/>
                <w:sz w:val="24"/>
              </w:rPr>
              <w:t>0.05%</w:t>
            </w:r>
          </w:p>
        </w:tc>
        <w:tc>
          <w:tcPr>
            <w:tcW w:w="2175" w:type="dxa"/>
          </w:tcPr>
          <w:p>
            <w:pPr>
              <w:snapToGrid w:val="0"/>
              <w:spacing w:line="360" w:lineRule="auto"/>
              <w:jc w:val="center"/>
              <w:rPr>
                <w:bCs/>
                <w:sz w:val="24"/>
              </w:rPr>
            </w:pPr>
            <w:r>
              <w:rPr>
                <w:bCs/>
                <w:sz w:val="24"/>
              </w:rPr>
              <w:t>0.05%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tcPr>
          <w:p>
            <w:pPr>
              <w:snapToGrid w:val="0"/>
              <w:spacing w:line="360" w:lineRule="auto"/>
              <w:jc w:val="center"/>
              <w:rPr>
                <w:bCs/>
                <w:sz w:val="24"/>
              </w:rPr>
            </w:pPr>
            <w:r>
              <w:rPr>
                <w:bCs/>
                <w:sz w:val="24"/>
              </w:rPr>
              <w:t>100000以上</w:t>
            </w:r>
          </w:p>
        </w:tc>
        <w:tc>
          <w:tcPr>
            <w:tcW w:w="2174" w:type="dxa"/>
          </w:tcPr>
          <w:p>
            <w:pPr>
              <w:snapToGrid w:val="0"/>
              <w:spacing w:line="360" w:lineRule="auto"/>
              <w:jc w:val="center"/>
              <w:rPr>
                <w:bCs/>
                <w:sz w:val="24"/>
              </w:rPr>
            </w:pPr>
            <w:r>
              <w:rPr>
                <w:bCs/>
                <w:sz w:val="24"/>
              </w:rPr>
              <w:t>0.01%</w:t>
            </w:r>
          </w:p>
        </w:tc>
        <w:tc>
          <w:tcPr>
            <w:tcW w:w="2175" w:type="dxa"/>
          </w:tcPr>
          <w:p>
            <w:pPr>
              <w:snapToGrid w:val="0"/>
              <w:spacing w:line="360" w:lineRule="auto"/>
              <w:jc w:val="center"/>
              <w:rPr>
                <w:bCs/>
                <w:sz w:val="24"/>
              </w:rPr>
            </w:pPr>
            <w:r>
              <w:rPr>
                <w:bCs/>
                <w:sz w:val="24"/>
              </w:rPr>
              <w:t>0.01%</w:t>
            </w:r>
          </w:p>
        </w:tc>
        <w:tc>
          <w:tcPr>
            <w:tcW w:w="2175" w:type="dxa"/>
          </w:tcPr>
          <w:p>
            <w:pPr>
              <w:snapToGrid w:val="0"/>
              <w:spacing w:line="360" w:lineRule="auto"/>
              <w:jc w:val="center"/>
              <w:rPr>
                <w:bCs/>
                <w:sz w:val="24"/>
              </w:rPr>
            </w:pPr>
            <w:r>
              <w:rPr>
                <w:bCs/>
                <w:sz w:val="24"/>
              </w:rPr>
              <w:t>0.01%</w:t>
            </w:r>
          </w:p>
        </w:tc>
      </w:tr>
    </w:tbl>
    <w:p>
      <w:pPr>
        <w:spacing w:line="360" w:lineRule="auto"/>
        <w:ind w:firstLine="480" w:firstLineChars="200"/>
        <w:rPr>
          <w:sz w:val="24"/>
        </w:rPr>
      </w:pPr>
      <w:r>
        <w:rPr>
          <w:sz w:val="24"/>
        </w:rPr>
        <w:t>注：招标代理服务收费按差额定率累进法计算。</w:t>
      </w:r>
    </w:p>
    <w:p>
      <w:pPr>
        <w:adjustRightInd w:val="0"/>
        <w:spacing w:line="360" w:lineRule="auto"/>
        <w:ind w:firstLine="482" w:firstLineChars="200"/>
        <w:rPr>
          <w:b/>
          <w:sz w:val="24"/>
        </w:rPr>
      </w:pPr>
      <w:r>
        <w:rPr>
          <w:b/>
          <w:sz w:val="24"/>
        </w:rPr>
        <w:t>1</w:t>
      </w:r>
      <w:r>
        <w:rPr>
          <w:rFonts w:hint="eastAsia"/>
          <w:b/>
          <w:sz w:val="24"/>
        </w:rPr>
        <w:t>1</w:t>
      </w:r>
      <w:r>
        <w:rPr>
          <w:b/>
          <w:sz w:val="24"/>
        </w:rPr>
        <w:t>、保密</w:t>
      </w:r>
    </w:p>
    <w:p>
      <w:pPr>
        <w:overflowPunct w:val="0"/>
        <w:spacing w:line="360" w:lineRule="exact"/>
        <w:ind w:firstLine="480" w:firstLineChars="200"/>
        <w:rPr>
          <w:sz w:val="24"/>
        </w:rPr>
      </w:pPr>
      <w:r>
        <w:rPr>
          <w:sz w:val="24"/>
        </w:rPr>
        <w:t>招投标双方应为对方在投标文件和招标文件中涉及的商业和技术等秘密保密，违者应对由此造成的后果承担责任。</w:t>
      </w:r>
    </w:p>
    <w:p>
      <w:pPr>
        <w:spacing w:line="360" w:lineRule="auto"/>
        <w:ind w:firstLine="480" w:firstLineChars="200"/>
        <w:rPr>
          <w:sz w:val="24"/>
        </w:rPr>
      </w:pPr>
    </w:p>
    <w:p>
      <w:pPr>
        <w:pStyle w:val="3"/>
        <w:adjustRightInd w:val="0"/>
        <w:snapToGrid w:val="0"/>
        <w:spacing w:before="0" w:after="0" w:line="440" w:lineRule="exact"/>
        <w:jc w:val="center"/>
        <w:rPr>
          <w:rFonts w:ascii="宋体" w:hAnsi="宋体" w:cs="宋体"/>
          <w:sz w:val="24"/>
          <w:szCs w:val="24"/>
        </w:rPr>
      </w:pPr>
      <w:r>
        <w:rPr>
          <w:sz w:val="24"/>
          <w:szCs w:val="24"/>
        </w:rPr>
        <w:br w:type="page"/>
      </w:r>
      <w:bookmarkStart w:id="5" w:name="_Toc5207"/>
      <w:r>
        <w:rPr>
          <w:rFonts w:hint="eastAsia" w:ascii="宋体" w:hAnsi="宋体" w:cs="宋体"/>
          <w:sz w:val="32"/>
          <w:szCs w:val="32"/>
        </w:rPr>
        <w:t>第三部分  投标说明</w:t>
      </w:r>
      <w:bookmarkEnd w:id="5"/>
    </w:p>
    <w:p>
      <w:pPr>
        <w:pStyle w:val="51"/>
        <w:ind w:firstLine="560"/>
      </w:pPr>
    </w:p>
    <w:p>
      <w:pPr>
        <w:pStyle w:val="4"/>
        <w:adjustRightInd w:val="0"/>
        <w:snapToGrid w:val="0"/>
        <w:spacing w:before="0" w:after="0" w:line="440" w:lineRule="exact"/>
        <w:jc w:val="center"/>
        <w:rPr>
          <w:rFonts w:ascii="宋体" w:hAnsi="宋体" w:cs="宋体"/>
          <w:sz w:val="24"/>
          <w:szCs w:val="24"/>
        </w:rPr>
      </w:pPr>
      <w:bookmarkStart w:id="6" w:name="_Toc31252"/>
      <w:r>
        <w:rPr>
          <w:rFonts w:hint="eastAsia" w:ascii="宋体" w:hAnsi="宋体" w:cs="宋体"/>
          <w:sz w:val="28"/>
          <w:szCs w:val="28"/>
        </w:rPr>
        <w:t>第一章  投标人资格要求</w:t>
      </w:r>
      <w:bookmarkEnd w:id="6"/>
    </w:p>
    <w:p>
      <w:pPr>
        <w:spacing w:line="440" w:lineRule="exact"/>
        <w:ind w:firstLine="482" w:firstLineChars="200"/>
        <w:rPr>
          <w:rFonts w:ascii="宋体" w:hAnsi="宋体" w:cs="宋体"/>
          <w:b/>
          <w:sz w:val="24"/>
        </w:rPr>
      </w:pPr>
      <w:r>
        <w:rPr>
          <w:rFonts w:hint="eastAsia" w:ascii="宋体" w:hAnsi="宋体" w:cs="宋体"/>
          <w:b/>
          <w:sz w:val="24"/>
        </w:rPr>
        <w:t>1、投标资格</w:t>
      </w:r>
    </w:p>
    <w:p>
      <w:pPr>
        <w:overflowPunct w:val="0"/>
        <w:spacing w:line="440" w:lineRule="exact"/>
        <w:ind w:firstLine="480" w:firstLineChars="200"/>
        <w:rPr>
          <w:rFonts w:ascii="宋体" w:hAnsi="宋体" w:cs="宋体"/>
          <w:sz w:val="24"/>
        </w:rPr>
      </w:pPr>
      <w:r>
        <w:rPr>
          <w:rFonts w:hint="eastAsia" w:ascii="宋体" w:hAnsi="宋体" w:cs="宋体"/>
          <w:sz w:val="24"/>
        </w:rPr>
        <w:t>（1）法人代表或其委托代理人应提交本人身份证，委托代理人还应提交《法人代表授权委托书》；</w:t>
      </w:r>
    </w:p>
    <w:p>
      <w:pPr>
        <w:overflowPunct w:val="0"/>
        <w:spacing w:line="440" w:lineRule="exact"/>
        <w:ind w:firstLine="480" w:firstLineChars="200"/>
        <w:rPr>
          <w:rFonts w:ascii="宋体" w:hAnsi="宋体" w:cs="宋体"/>
          <w:sz w:val="24"/>
        </w:rPr>
      </w:pPr>
      <w:r>
        <w:rPr>
          <w:rFonts w:hint="eastAsia" w:ascii="宋体" w:hAnsi="宋体" w:cs="宋体"/>
          <w:sz w:val="24"/>
        </w:rPr>
        <w:t>（2）具有独立承担民事责任的能力，有效经年检的三证合一的营业执照；</w:t>
      </w:r>
    </w:p>
    <w:p>
      <w:pPr>
        <w:overflowPunct w:val="0"/>
        <w:spacing w:line="440" w:lineRule="exact"/>
        <w:ind w:firstLine="480" w:firstLineChars="200"/>
        <w:rPr>
          <w:rFonts w:ascii="宋体" w:hAnsi="宋体" w:cs="宋体"/>
          <w:sz w:val="24"/>
        </w:rPr>
      </w:pPr>
      <w:r>
        <w:rPr>
          <w:rFonts w:hint="eastAsia" w:ascii="宋体" w:hAnsi="宋体" w:cs="宋体"/>
          <w:sz w:val="24"/>
        </w:rPr>
        <w:t>（3）具有履行合同所必需的服务和专业技术能力；</w:t>
      </w:r>
    </w:p>
    <w:p>
      <w:pPr>
        <w:overflowPunct w:val="0"/>
        <w:spacing w:line="440" w:lineRule="exact"/>
        <w:ind w:firstLine="480" w:firstLineChars="200"/>
        <w:rPr>
          <w:rFonts w:ascii="宋体" w:hAnsi="宋体" w:cs="宋体"/>
          <w:sz w:val="24"/>
        </w:rPr>
      </w:pPr>
      <w:r>
        <w:rPr>
          <w:rFonts w:hint="eastAsia" w:ascii="宋体" w:hAnsi="宋体" w:cs="宋体"/>
          <w:sz w:val="24"/>
        </w:rPr>
        <w:t>（4）近一年（2021年）的财务审计报告（成立不足一年的提供成立至今的财务报表，包含资产负债表、现金流量表、利润表）；</w:t>
      </w:r>
    </w:p>
    <w:p>
      <w:pPr>
        <w:overflowPunct w:val="0"/>
        <w:spacing w:line="440" w:lineRule="exact"/>
        <w:ind w:firstLine="480" w:firstLineChars="200"/>
        <w:rPr>
          <w:rFonts w:ascii="宋体" w:hAnsi="宋体" w:cs="宋体"/>
          <w:sz w:val="24"/>
        </w:rPr>
      </w:pPr>
      <w:r>
        <w:rPr>
          <w:rFonts w:hint="eastAsia" w:ascii="宋体" w:hAnsi="宋体" w:cs="宋体"/>
          <w:sz w:val="24"/>
        </w:rPr>
        <w:t>（5）有依法缴纳税收和社会保障资金的良好纪录，提供2022年内任意连续三个月完税、缴纳社保证明原件或复印件加盖公章（公司成立不到三个月的从成立之日起）</w:t>
      </w:r>
    </w:p>
    <w:p>
      <w:pPr>
        <w:overflowPunct w:val="0"/>
        <w:spacing w:line="440" w:lineRule="exact"/>
        <w:ind w:firstLine="480" w:firstLineChars="200"/>
        <w:rPr>
          <w:rFonts w:ascii="宋体" w:hAnsi="宋体" w:cs="宋体"/>
          <w:sz w:val="24"/>
        </w:rPr>
      </w:pPr>
      <w:r>
        <w:rPr>
          <w:rFonts w:hint="eastAsia" w:ascii="宋体" w:hAnsi="宋体" w:cs="宋体"/>
          <w:sz w:val="24"/>
        </w:rPr>
        <w:t>（6） 供应商未被“信用中国”（www.creditchina.gov.cn）、中国政府采购网（www.ccgp.gov.cn）、国家企业信用信息公示系统（http://www.gsxt.gov.cn）列入失信被执行人、重大税收违法案件当事人名单、政府采购严重违法失信行为记录名单（尚在处罚期内的），将拒绝其参加本次政府采购活动﹙投标人网上自行打印后加盖投标单位公章﹚；</w:t>
      </w:r>
    </w:p>
    <w:p>
      <w:pPr>
        <w:overflowPunct w:val="0"/>
        <w:spacing w:line="440" w:lineRule="exact"/>
        <w:ind w:firstLine="480" w:firstLineChars="200"/>
        <w:rPr>
          <w:rFonts w:ascii="宋体" w:hAnsi="宋体" w:cs="宋体"/>
          <w:sz w:val="24"/>
        </w:rPr>
      </w:pPr>
      <w:r>
        <w:rPr>
          <w:rFonts w:hint="eastAsia" w:ascii="宋体" w:hAnsi="宋体" w:cs="宋体"/>
          <w:sz w:val="24"/>
        </w:rPr>
        <w:t>（7）单位负责人为同一人或者存在直接控股、管理关系的不同供应商，不得参加同一合同项下的政府采购活动。</w:t>
      </w:r>
    </w:p>
    <w:p>
      <w:pPr>
        <w:overflowPunct w:val="0"/>
        <w:spacing w:line="44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）其他证明材料</w:t>
      </w:r>
    </w:p>
    <w:p>
      <w:pPr>
        <w:spacing w:line="440" w:lineRule="exact"/>
        <w:ind w:firstLine="482" w:firstLineChars="200"/>
        <w:rPr>
          <w:rFonts w:ascii="宋体" w:hAnsi="宋体" w:cs="宋体"/>
          <w:b/>
          <w:sz w:val="24"/>
        </w:rPr>
      </w:pPr>
      <w:r>
        <w:rPr>
          <w:rFonts w:hint="eastAsia" w:ascii="宋体" w:hAnsi="宋体" w:cs="宋体"/>
          <w:b/>
          <w:sz w:val="24"/>
        </w:rPr>
        <w:t>注: 以上（1）-（</w:t>
      </w:r>
      <w:r>
        <w:rPr>
          <w:rFonts w:hint="eastAsia" w:ascii="宋体" w:hAnsi="宋体" w:cs="宋体"/>
          <w:b/>
          <w:sz w:val="24"/>
          <w:lang w:val="en-US" w:eastAsia="zh-CN"/>
        </w:rPr>
        <w:t>8</w:t>
      </w:r>
      <w:r>
        <w:rPr>
          <w:rFonts w:hint="eastAsia" w:ascii="宋体" w:hAnsi="宋体" w:cs="宋体"/>
          <w:b/>
          <w:sz w:val="24"/>
        </w:rPr>
        <w:t>）资格证明文件，在投标文件中须放入加盖公章的清晰复印件或扫描件，不提供或未能提供的视为对</w:t>
      </w:r>
      <w:r>
        <w:rPr>
          <w:rFonts w:hint="eastAsia" w:ascii="宋体" w:hAnsi="宋体" w:cs="宋体"/>
          <w:b/>
          <w:bCs/>
          <w:sz w:val="24"/>
          <w:lang w:bidi="zh-CN"/>
        </w:rPr>
        <w:t>招标</w:t>
      </w:r>
      <w:r>
        <w:rPr>
          <w:rFonts w:hint="eastAsia" w:ascii="宋体" w:hAnsi="宋体" w:cs="宋体"/>
          <w:b/>
          <w:sz w:val="24"/>
        </w:rPr>
        <w:t>文件资格审查内容的不响应，投标无效，文件将被拒绝。</w:t>
      </w:r>
    </w:p>
    <w:p>
      <w:pPr>
        <w:pStyle w:val="4"/>
        <w:adjustRightInd w:val="0"/>
        <w:snapToGrid w:val="0"/>
        <w:spacing w:before="0" w:after="0" w:line="440" w:lineRule="exact"/>
        <w:jc w:val="center"/>
        <w:rPr>
          <w:rFonts w:ascii="宋体" w:hAnsi="宋体" w:cs="宋体"/>
          <w:sz w:val="28"/>
          <w:szCs w:val="28"/>
        </w:rPr>
      </w:pPr>
      <w:bookmarkStart w:id="7" w:name="_Toc32"/>
      <w:r>
        <w:rPr>
          <w:rFonts w:hint="eastAsia" w:ascii="宋体" w:hAnsi="宋体" w:cs="宋体"/>
          <w:sz w:val="28"/>
          <w:szCs w:val="28"/>
        </w:rPr>
        <w:t>第二章  投标文件的编写及编制顺序</w:t>
      </w:r>
      <w:bookmarkEnd w:id="7"/>
    </w:p>
    <w:p>
      <w:pPr>
        <w:spacing w:line="440" w:lineRule="exact"/>
        <w:ind w:firstLine="482" w:firstLineChars="200"/>
        <w:rPr>
          <w:rFonts w:ascii="宋体" w:hAnsi="宋体" w:cs="宋体"/>
          <w:b/>
          <w:sz w:val="24"/>
        </w:rPr>
      </w:pPr>
      <w:r>
        <w:rPr>
          <w:rFonts w:hint="eastAsia" w:ascii="宋体" w:hAnsi="宋体" w:cs="宋体"/>
          <w:b/>
          <w:sz w:val="24"/>
        </w:rPr>
        <w:t>2、要求</w:t>
      </w:r>
    </w:p>
    <w:p>
      <w:pPr>
        <w:overflowPunct w:val="0"/>
        <w:spacing w:line="440" w:lineRule="exact"/>
        <w:ind w:firstLine="480" w:firstLineChars="200"/>
        <w:rPr>
          <w:rFonts w:ascii="宋体" w:hAnsi="宋体" w:cs="宋体"/>
          <w:sz w:val="24"/>
        </w:rPr>
      </w:pPr>
      <w:r>
        <w:rPr>
          <w:rFonts w:hint="eastAsia" w:ascii="宋体" w:hAnsi="宋体" w:cs="宋体"/>
          <w:sz w:val="24"/>
        </w:rPr>
        <w:t>2.1  投标人应详细阅读招标文件中的条款、规范、表示、条件和格式等所有内容，按招标文件的要求份数提供投标文件，并保证所提供全部材料的真实性，以使其投标对招标文件做出实质性响应。否则，其投标会被拒绝。</w:t>
      </w:r>
    </w:p>
    <w:p>
      <w:pPr>
        <w:overflowPunct w:val="0"/>
        <w:spacing w:line="440" w:lineRule="exact"/>
        <w:ind w:firstLine="480" w:firstLineChars="200"/>
        <w:rPr>
          <w:rFonts w:ascii="宋体" w:hAnsi="宋体" w:cs="宋体"/>
          <w:sz w:val="24"/>
        </w:rPr>
      </w:pPr>
      <w:r>
        <w:rPr>
          <w:rFonts w:hint="eastAsia" w:ascii="宋体" w:hAnsi="宋体" w:cs="宋体"/>
          <w:sz w:val="24"/>
        </w:rPr>
        <w:t>2.2  开标、评标、授标均以项目为单位，投标人根据公司的自身实力进行投标，并在所投项目密封袋上清楚标明所投项目的名称。</w:t>
      </w:r>
    </w:p>
    <w:p>
      <w:pPr>
        <w:spacing w:line="440" w:lineRule="exact"/>
        <w:ind w:firstLine="482" w:firstLineChars="200"/>
        <w:rPr>
          <w:rFonts w:ascii="宋体" w:hAnsi="宋体" w:cs="宋体"/>
          <w:b/>
          <w:sz w:val="24"/>
        </w:rPr>
      </w:pPr>
      <w:r>
        <w:rPr>
          <w:rFonts w:hint="eastAsia" w:ascii="宋体" w:hAnsi="宋体" w:cs="宋体"/>
          <w:b/>
          <w:sz w:val="24"/>
        </w:rPr>
        <w:t>3、投标文件语言和度量单位</w:t>
      </w:r>
    </w:p>
    <w:p>
      <w:pPr>
        <w:overflowPunct w:val="0"/>
        <w:spacing w:line="440" w:lineRule="exact"/>
        <w:ind w:firstLine="480" w:firstLineChars="200"/>
        <w:rPr>
          <w:rFonts w:ascii="宋体" w:hAnsi="宋体" w:cs="宋体"/>
          <w:sz w:val="24"/>
        </w:rPr>
      </w:pPr>
      <w:r>
        <w:rPr>
          <w:rFonts w:hint="eastAsia" w:ascii="宋体" w:hAnsi="宋体" w:cs="宋体"/>
          <w:sz w:val="24"/>
        </w:rPr>
        <w:t>3.1 招标文件及投标人和采购方就本次采购交换的文件和往来信件，须以中文书写。</w:t>
      </w:r>
    </w:p>
    <w:p>
      <w:pPr>
        <w:overflowPunct w:val="0"/>
        <w:spacing w:line="440" w:lineRule="exact"/>
        <w:ind w:firstLine="480" w:firstLineChars="200"/>
        <w:rPr>
          <w:rFonts w:ascii="宋体" w:hAnsi="宋体" w:cs="宋体"/>
          <w:sz w:val="24"/>
        </w:rPr>
      </w:pPr>
      <w:r>
        <w:rPr>
          <w:rFonts w:hint="eastAsia" w:ascii="宋体" w:hAnsi="宋体" w:cs="宋体"/>
          <w:sz w:val="24"/>
        </w:rPr>
        <w:t>3.2 除在招标文件的技术规格中另有规定外，计量单位应使用中华人民共和国法定计量单位。</w:t>
      </w:r>
    </w:p>
    <w:p>
      <w:pPr>
        <w:spacing w:line="440" w:lineRule="exact"/>
        <w:ind w:firstLine="482" w:firstLineChars="200"/>
        <w:rPr>
          <w:rFonts w:ascii="宋体" w:hAnsi="宋体" w:cs="宋体"/>
          <w:b/>
          <w:sz w:val="24"/>
        </w:rPr>
      </w:pPr>
      <w:bookmarkStart w:id="8" w:name="_Toc47261054"/>
      <w:bookmarkStart w:id="9" w:name="_Toc205342862"/>
      <w:bookmarkStart w:id="10" w:name="_Toc49019220"/>
      <w:bookmarkStart w:id="11" w:name="_Toc47262053"/>
      <w:bookmarkStart w:id="12" w:name="_Toc47418239"/>
      <w:bookmarkStart w:id="13" w:name="_Toc47261869"/>
      <w:bookmarkStart w:id="14" w:name="_Toc47261674"/>
      <w:bookmarkStart w:id="15" w:name="_Toc48791219"/>
      <w:bookmarkStart w:id="16" w:name="_Toc48995835"/>
      <w:bookmarkStart w:id="17" w:name="_Toc47418715"/>
      <w:bookmarkStart w:id="18" w:name="_Toc47418922"/>
      <w:r>
        <w:rPr>
          <w:rFonts w:hint="eastAsia" w:ascii="宋体" w:hAnsi="宋体" w:cs="宋体"/>
          <w:b/>
          <w:sz w:val="24"/>
        </w:rPr>
        <w:t>4、投标文件的编制</w:t>
      </w:r>
      <w:bookmarkEnd w:id="8"/>
      <w:bookmarkEnd w:id="9"/>
      <w:bookmarkEnd w:id="10"/>
      <w:bookmarkEnd w:id="11"/>
      <w:bookmarkEnd w:id="12"/>
      <w:bookmarkEnd w:id="13"/>
      <w:bookmarkEnd w:id="14"/>
      <w:bookmarkEnd w:id="15"/>
      <w:bookmarkEnd w:id="16"/>
      <w:bookmarkEnd w:id="17"/>
      <w:bookmarkEnd w:id="18"/>
    </w:p>
    <w:p>
      <w:pPr>
        <w:overflowPunct w:val="0"/>
        <w:spacing w:line="440" w:lineRule="exact"/>
        <w:ind w:firstLine="480" w:firstLineChars="200"/>
        <w:rPr>
          <w:rFonts w:ascii="宋体" w:hAnsi="宋体" w:cs="宋体"/>
          <w:sz w:val="24"/>
        </w:rPr>
      </w:pPr>
      <w:r>
        <w:rPr>
          <w:rFonts w:hint="eastAsia" w:ascii="宋体" w:hAnsi="宋体" w:cs="宋体"/>
          <w:sz w:val="24"/>
        </w:rPr>
        <w:t>4.1 投标文件的构成</w:t>
      </w:r>
    </w:p>
    <w:p>
      <w:pPr>
        <w:overflowPunct w:val="0"/>
        <w:spacing w:line="440" w:lineRule="exact"/>
        <w:ind w:firstLine="480" w:firstLineChars="200"/>
        <w:rPr>
          <w:rFonts w:ascii="宋体" w:hAnsi="宋体" w:cs="宋体"/>
          <w:sz w:val="24"/>
        </w:rPr>
      </w:pPr>
      <w:r>
        <w:rPr>
          <w:rFonts w:hint="eastAsia" w:ascii="宋体" w:hAnsi="宋体" w:cs="宋体"/>
          <w:sz w:val="24"/>
        </w:rPr>
        <w:t>4.1.1投标人应认真阅读招标文件的所有内容，按招标文件的要求提供投标文件，并保证提供的全部资料的真实性，以使其投标对招标文件作出实质性响应，否则，其投标将被拒绝。</w:t>
      </w:r>
    </w:p>
    <w:p>
      <w:pPr>
        <w:overflowPunct w:val="0"/>
        <w:spacing w:line="440" w:lineRule="exact"/>
        <w:ind w:firstLine="480" w:firstLineChars="200"/>
        <w:rPr>
          <w:rFonts w:ascii="宋体" w:hAnsi="宋体" w:cs="宋体"/>
          <w:sz w:val="24"/>
        </w:rPr>
      </w:pPr>
      <w:r>
        <w:rPr>
          <w:rFonts w:hint="eastAsia" w:ascii="宋体" w:hAnsi="宋体" w:cs="宋体"/>
          <w:sz w:val="24"/>
        </w:rPr>
        <w:t>4.2 投标文件以不可拆解的方式装订文件，按照以下三部分内容编制投标文件：</w:t>
      </w:r>
    </w:p>
    <w:p>
      <w:pPr>
        <w:spacing w:line="440" w:lineRule="exact"/>
        <w:ind w:firstLine="482" w:firstLineChars="200"/>
      </w:pPr>
      <w:r>
        <w:rPr>
          <w:rFonts w:hint="eastAsia" w:ascii="宋体" w:hAnsi="宋体" w:cs="宋体"/>
          <w:b/>
          <w:sz w:val="24"/>
        </w:rPr>
        <w:t>4.2.1 资格文件</w:t>
      </w:r>
    </w:p>
    <w:p>
      <w:pPr>
        <w:overflowPunct w:val="0"/>
        <w:spacing w:line="440" w:lineRule="exact"/>
        <w:ind w:firstLine="480" w:firstLineChars="200"/>
        <w:rPr>
          <w:rFonts w:ascii="宋体" w:hAnsi="宋体" w:cs="宋体"/>
          <w:sz w:val="24"/>
        </w:rPr>
      </w:pPr>
      <w:r>
        <w:rPr>
          <w:rFonts w:hint="eastAsia" w:ascii="宋体" w:hAnsi="宋体" w:cs="宋体"/>
          <w:sz w:val="24"/>
        </w:rPr>
        <w:t>投标人必须按要求如实、</w:t>
      </w:r>
      <w:r>
        <w:rPr>
          <w:rFonts w:hint="eastAsia" w:ascii="宋体" w:hAnsi="宋体" w:cs="宋体"/>
          <w:sz w:val="24"/>
          <w:u w:val="single"/>
        </w:rPr>
        <w:t>准确</w:t>
      </w:r>
      <w:r>
        <w:rPr>
          <w:rFonts w:hint="eastAsia" w:ascii="宋体" w:hAnsi="宋体" w:cs="宋体"/>
          <w:sz w:val="24"/>
        </w:rPr>
        <w:t>、完整的提供评估因素要求的各类文件资料。否则投标将不被接受。投标文件包括以下部分（但不局限于以下部分）：</w:t>
      </w:r>
    </w:p>
    <w:p>
      <w:pPr>
        <w:overflowPunct w:val="0"/>
        <w:spacing w:line="440" w:lineRule="exact"/>
        <w:ind w:firstLine="480" w:firstLineChars="200"/>
        <w:rPr>
          <w:rFonts w:ascii="宋体" w:hAnsi="宋体" w:cs="宋体"/>
          <w:sz w:val="24"/>
        </w:rPr>
      </w:pPr>
      <w:r>
        <w:rPr>
          <w:rFonts w:hint="eastAsia" w:ascii="宋体" w:hAnsi="宋体" w:cs="宋体"/>
          <w:sz w:val="24"/>
        </w:rPr>
        <w:t>4.2.1.1 有效法人营业执照、资质证书（如有）、开户许可证（或基本存款账户信息）(原件的扫描件)；</w:t>
      </w:r>
    </w:p>
    <w:p>
      <w:pPr>
        <w:overflowPunct w:val="0"/>
        <w:spacing w:line="440" w:lineRule="exact"/>
        <w:ind w:firstLine="480" w:firstLineChars="200"/>
        <w:rPr>
          <w:rFonts w:ascii="宋体" w:hAnsi="宋体" w:cs="宋体"/>
          <w:sz w:val="24"/>
        </w:rPr>
      </w:pPr>
      <w:r>
        <w:rPr>
          <w:rFonts w:hint="eastAsia" w:ascii="宋体" w:hAnsi="宋体" w:cs="宋体"/>
          <w:sz w:val="24"/>
        </w:rPr>
        <w:t>4.2.1.2 法人授权委托书；</w:t>
      </w:r>
    </w:p>
    <w:p>
      <w:pPr>
        <w:overflowPunct w:val="0"/>
        <w:spacing w:line="440" w:lineRule="exact"/>
        <w:ind w:firstLine="480" w:firstLineChars="200"/>
        <w:rPr>
          <w:rFonts w:ascii="宋体" w:hAnsi="宋体" w:cs="宋体"/>
          <w:sz w:val="24"/>
        </w:rPr>
      </w:pPr>
      <w:r>
        <w:rPr>
          <w:rFonts w:hint="eastAsia" w:ascii="宋体" w:hAnsi="宋体" w:cs="宋体"/>
          <w:sz w:val="24"/>
        </w:rPr>
        <w:t>4.2.1.3 被授权人身份证或法人身份证（投标代表为法人时）；</w:t>
      </w:r>
    </w:p>
    <w:p>
      <w:pPr>
        <w:overflowPunct w:val="0"/>
        <w:spacing w:line="440" w:lineRule="exact"/>
        <w:ind w:firstLine="480" w:firstLineChars="200"/>
        <w:rPr>
          <w:rFonts w:ascii="宋体" w:hAnsi="宋体" w:cs="宋体"/>
          <w:sz w:val="24"/>
        </w:rPr>
      </w:pPr>
      <w:r>
        <w:rPr>
          <w:rFonts w:hint="eastAsia" w:ascii="宋体" w:hAnsi="宋体" w:cs="宋体"/>
          <w:sz w:val="24"/>
        </w:rPr>
        <w:t>4.2.1.4 提供近一年（2021）的财务审计报告（成立不足一年的提供企业成立至今的财务报表）。</w:t>
      </w:r>
    </w:p>
    <w:p>
      <w:pPr>
        <w:overflowPunct w:val="0"/>
        <w:spacing w:line="440" w:lineRule="exact"/>
        <w:ind w:firstLine="480" w:firstLineChars="200"/>
        <w:rPr>
          <w:rFonts w:ascii="宋体" w:hAnsi="宋体" w:cs="宋体"/>
          <w:sz w:val="24"/>
        </w:rPr>
      </w:pPr>
      <w:r>
        <w:rPr>
          <w:rFonts w:hint="eastAsia" w:ascii="宋体" w:hAnsi="宋体" w:cs="宋体"/>
          <w:sz w:val="24"/>
        </w:rPr>
        <w:t>4.2.1.5 完税、缴纳社保证明；</w:t>
      </w:r>
    </w:p>
    <w:p>
      <w:pPr>
        <w:overflowPunct w:val="0"/>
        <w:spacing w:line="440" w:lineRule="exact"/>
        <w:ind w:firstLine="480" w:firstLineChars="200"/>
        <w:rPr>
          <w:rFonts w:ascii="宋体" w:hAnsi="宋体" w:cs="宋体"/>
          <w:sz w:val="24"/>
        </w:rPr>
      </w:pPr>
      <w:r>
        <w:rPr>
          <w:rFonts w:hint="eastAsia" w:ascii="宋体" w:hAnsi="宋体" w:cs="宋体"/>
          <w:sz w:val="24"/>
        </w:rPr>
        <w:t>4.2.1.6 信用证明截图（信用中国及中国政府采购网、国家企业信用信息公示系统）。</w:t>
      </w:r>
    </w:p>
    <w:p>
      <w:pPr>
        <w:overflowPunct w:val="0"/>
        <w:spacing w:line="440" w:lineRule="exact"/>
        <w:ind w:firstLine="480" w:firstLineChars="200"/>
        <w:rPr>
          <w:rFonts w:ascii="宋体" w:hAnsi="宋体" w:cs="宋体"/>
          <w:sz w:val="24"/>
        </w:rPr>
      </w:pPr>
      <w:r>
        <w:rPr>
          <w:rFonts w:hint="eastAsia" w:ascii="宋体" w:hAnsi="宋体" w:cs="宋体"/>
          <w:sz w:val="24"/>
        </w:rPr>
        <w:t>4.2.1.7 具有履行合同所必需的设备和专业技术能力（格式自拟）</w:t>
      </w:r>
    </w:p>
    <w:p>
      <w:pPr>
        <w:overflowPunct w:val="0"/>
        <w:spacing w:line="440" w:lineRule="exact"/>
        <w:ind w:firstLine="480" w:firstLineChars="200"/>
        <w:rPr>
          <w:rFonts w:ascii="宋体" w:hAnsi="宋体" w:cs="宋体"/>
          <w:sz w:val="24"/>
        </w:rPr>
      </w:pPr>
      <w:r>
        <w:rPr>
          <w:rFonts w:hint="eastAsia" w:ascii="宋体" w:hAnsi="宋体" w:cs="宋体"/>
          <w:sz w:val="24"/>
        </w:rPr>
        <w:t>4.2.1.8 其他证明材料</w:t>
      </w:r>
    </w:p>
    <w:p>
      <w:pPr>
        <w:spacing w:line="440" w:lineRule="exact"/>
        <w:ind w:firstLine="482" w:firstLineChars="200"/>
        <w:rPr>
          <w:rFonts w:ascii="宋体" w:hAnsi="宋体" w:cs="宋体"/>
          <w:b/>
          <w:sz w:val="24"/>
        </w:rPr>
      </w:pPr>
      <w:r>
        <w:rPr>
          <w:rFonts w:hint="eastAsia" w:ascii="宋体" w:hAnsi="宋体" w:cs="宋体"/>
          <w:b/>
          <w:sz w:val="24"/>
        </w:rPr>
        <w:t>4.2.2 投标报价书</w:t>
      </w:r>
    </w:p>
    <w:p>
      <w:pPr>
        <w:overflowPunct w:val="0"/>
        <w:spacing w:line="440" w:lineRule="exact"/>
        <w:ind w:firstLine="480" w:firstLineChars="200"/>
        <w:rPr>
          <w:rFonts w:ascii="宋体" w:hAnsi="宋体" w:cs="宋体"/>
          <w:sz w:val="24"/>
        </w:rPr>
      </w:pPr>
      <w:r>
        <w:rPr>
          <w:rFonts w:hint="eastAsia" w:ascii="宋体" w:hAnsi="宋体" w:cs="宋体"/>
          <w:sz w:val="24"/>
        </w:rPr>
        <w:t>4.2.2.1 投标人的承诺函（按附件的格式提供）。</w:t>
      </w:r>
    </w:p>
    <w:p>
      <w:pPr>
        <w:overflowPunct w:val="0"/>
        <w:spacing w:line="440" w:lineRule="exact"/>
        <w:ind w:firstLine="480" w:firstLineChars="200"/>
        <w:rPr>
          <w:rFonts w:ascii="宋体" w:hAnsi="宋体" w:cs="宋体"/>
          <w:sz w:val="24"/>
        </w:rPr>
      </w:pPr>
      <w:r>
        <w:rPr>
          <w:rFonts w:hint="eastAsia" w:ascii="宋体" w:hAnsi="宋体" w:cs="宋体"/>
          <w:sz w:val="24"/>
        </w:rPr>
        <w:t>4.2.2.2 报价一览表（按附件的格式提供）。</w:t>
      </w:r>
    </w:p>
    <w:p>
      <w:pPr>
        <w:overflowPunct w:val="0"/>
        <w:spacing w:line="440" w:lineRule="exact"/>
        <w:ind w:firstLine="480" w:firstLineChars="200"/>
        <w:rPr>
          <w:rFonts w:ascii="宋体" w:hAnsi="宋体" w:cs="宋体"/>
          <w:sz w:val="24"/>
        </w:rPr>
      </w:pPr>
      <w:r>
        <w:rPr>
          <w:rFonts w:hint="eastAsia" w:ascii="宋体" w:hAnsi="宋体" w:cs="宋体"/>
          <w:sz w:val="24"/>
        </w:rPr>
        <w:t>4.2.2.3 报价分类明细表。</w:t>
      </w:r>
    </w:p>
    <w:p>
      <w:pPr>
        <w:spacing w:line="440" w:lineRule="exact"/>
        <w:ind w:firstLine="482" w:firstLineChars="200"/>
        <w:rPr>
          <w:rFonts w:ascii="宋体" w:hAnsi="宋体" w:cs="宋体"/>
          <w:b/>
          <w:sz w:val="24"/>
        </w:rPr>
      </w:pPr>
      <w:r>
        <w:rPr>
          <w:rFonts w:hint="eastAsia" w:ascii="宋体" w:hAnsi="宋体" w:cs="宋体"/>
          <w:b/>
          <w:sz w:val="24"/>
        </w:rPr>
        <w:t>4.2.3  商务技术投标文件</w:t>
      </w:r>
    </w:p>
    <w:p>
      <w:pPr>
        <w:overflowPunct w:val="0"/>
        <w:spacing w:line="440" w:lineRule="exact"/>
        <w:ind w:firstLine="480" w:firstLineChars="200"/>
        <w:rPr>
          <w:rFonts w:ascii="宋体" w:hAnsi="宋体" w:cs="宋体"/>
          <w:sz w:val="24"/>
        </w:rPr>
      </w:pPr>
      <w:r>
        <w:rPr>
          <w:rFonts w:hint="eastAsia" w:ascii="宋体" w:hAnsi="宋体" w:cs="宋体"/>
          <w:sz w:val="24"/>
        </w:rPr>
        <w:t>投标人必须按要求如实、</w:t>
      </w:r>
      <w:r>
        <w:rPr>
          <w:rFonts w:hint="eastAsia" w:ascii="宋体" w:hAnsi="宋体" w:cs="宋体"/>
          <w:sz w:val="24"/>
          <w:u w:val="single"/>
        </w:rPr>
        <w:t>准确</w:t>
      </w:r>
      <w:r>
        <w:rPr>
          <w:rFonts w:hint="eastAsia" w:ascii="宋体" w:hAnsi="宋体" w:cs="宋体"/>
          <w:sz w:val="24"/>
        </w:rPr>
        <w:t>、完整的提供评估因素要求的各类文件资料。否则投标将不被接受。投标文件包括以下部分（但不局限于以下部分）：</w:t>
      </w:r>
    </w:p>
    <w:p>
      <w:pPr>
        <w:overflowPunct w:val="0"/>
        <w:spacing w:line="440" w:lineRule="exact"/>
        <w:ind w:firstLine="480" w:firstLineChars="200"/>
        <w:rPr>
          <w:rFonts w:ascii="宋体" w:hAnsi="宋体" w:cs="宋体"/>
          <w:sz w:val="24"/>
        </w:rPr>
      </w:pPr>
      <w:r>
        <w:rPr>
          <w:rFonts w:hint="eastAsia" w:ascii="宋体" w:hAnsi="宋体" w:cs="宋体"/>
          <w:sz w:val="24"/>
        </w:rPr>
        <w:t>4.2.3.1承 诺 函</w:t>
      </w:r>
    </w:p>
    <w:p>
      <w:pPr>
        <w:overflowPunct w:val="0"/>
        <w:spacing w:line="440" w:lineRule="exact"/>
        <w:ind w:firstLine="480" w:firstLineChars="200"/>
        <w:rPr>
          <w:rFonts w:ascii="宋体" w:hAnsi="宋体" w:cs="宋体"/>
          <w:sz w:val="24"/>
        </w:rPr>
      </w:pPr>
      <w:r>
        <w:rPr>
          <w:rFonts w:hint="eastAsia" w:ascii="宋体" w:hAnsi="宋体" w:cs="宋体"/>
          <w:sz w:val="24"/>
        </w:rPr>
        <w:t>4.2.3.2法人代表授权书</w:t>
      </w:r>
    </w:p>
    <w:p>
      <w:pPr>
        <w:overflowPunct w:val="0"/>
        <w:spacing w:line="440" w:lineRule="exact"/>
        <w:ind w:firstLine="480" w:firstLineChars="200"/>
        <w:rPr>
          <w:rFonts w:ascii="宋体" w:hAnsi="宋体" w:cs="宋体"/>
          <w:b/>
          <w:sz w:val="24"/>
        </w:rPr>
      </w:pPr>
      <w:r>
        <w:rPr>
          <w:rFonts w:hint="eastAsia" w:ascii="宋体" w:hAnsi="宋体" w:cs="宋体"/>
          <w:sz w:val="24"/>
        </w:rPr>
        <w:t>4.2.3.3关于资格的声明函</w:t>
      </w:r>
    </w:p>
    <w:p>
      <w:pPr>
        <w:overflowPunct w:val="0"/>
        <w:spacing w:line="440" w:lineRule="exact"/>
        <w:ind w:firstLine="480" w:firstLineChars="200"/>
      </w:pPr>
      <w:r>
        <w:rPr>
          <w:rFonts w:hint="eastAsia" w:ascii="宋体" w:hAnsi="宋体" w:cs="宋体"/>
          <w:sz w:val="24"/>
        </w:rPr>
        <w:t>4.2.3.4《反商业贿赂承诺书》</w:t>
      </w:r>
    </w:p>
    <w:p>
      <w:pPr>
        <w:overflowPunct w:val="0"/>
        <w:spacing w:line="440" w:lineRule="exact"/>
        <w:ind w:firstLine="480" w:firstLineChars="200"/>
        <w:rPr>
          <w:rFonts w:ascii="宋体" w:hAnsi="宋体" w:cs="宋体"/>
          <w:sz w:val="24"/>
        </w:rPr>
      </w:pPr>
      <w:r>
        <w:rPr>
          <w:rFonts w:hint="eastAsia" w:ascii="宋体" w:hAnsi="宋体" w:cs="宋体"/>
          <w:sz w:val="24"/>
        </w:rPr>
        <w:t>4.2.3.5商务条款偏离表；</w:t>
      </w:r>
    </w:p>
    <w:p>
      <w:pPr>
        <w:overflowPunct w:val="0"/>
        <w:spacing w:line="440" w:lineRule="exact"/>
        <w:ind w:firstLine="480" w:firstLineChars="200"/>
        <w:rPr>
          <w:rFonts w:ascii="宋体" w:hAnsi="宋体" w:cs="宋体"/>
          <w:sz w:val="24"/>
        </w:rPr>
      </w:pPr>
      <w:r>
        <w:rPr>
          <w:rFonts w:hint="eastAsia" w:ascii="宋体" w:hAnsi="宋体" w:cs="宋体"/>
          <w:sz w:val="24"/>
        </w:rPr>
        <w:t>4.2.3.6技术功能偏离表</w:t>
      </w:r>
    </w:p>
    <w:p>
      <w:pPr>
        <w:overflowPunct w:val="0"/>
        <w:spacing w:line="440" w:lineRule="exact"/>
        <w:ind w:firstLine="480" w:firstLineChars="200"/>
        <w:rPr>
          <w:rFonts w:ascii="宋体" w:hAnsi="宋体" w:cs="宋体"/>
          <w:sz w:val="24"/>
        </w:rPr>
      </w:pPr>
      <w:r>
        <w:rPr>
          <w:rFonts w:hint="eastAsia" w:ascii="宋体" w:hAnsi="宋体" w:cs="宋体"/>
          <w:sz w:val="24"/>
        </w:rPr>
        <w:t>4.2.3.7项目负责人简历表、投入本项目人员表</w:t>
      </w:r>
    </w:p>
    <w:p>
      <w:pPr>
        <w:overflowPunct w:val="0"/>
        <w:spacing w:line="440" w:lineRule="exact"/>
        <w:ind w:firstLine="480" w:firstLineChars="200"/>
        <w:rPr>
          <w:rFonts w:ascii="宋体" w:hAnsi="宋体" w:cs="宋体"/>
          <w:sz w:val="24"/>
        </w:rPr>
      </w:pPr>
      <w:r>
        <w:rPr>
          <w:rFonts w:hint="eastAsia" w:ascii="宋体" w:hAnsi="宋体" w:cs="宋体"/>
          <w:sz w:val="24"/>
        </w:rPr>
        <w:t>4.2.3.8工期保证承诺</w:t>
      </w:r>
    </w:p>
    <w:p>
      <w:pPr>
        <w:overflowPunct w:val="0"/>
        <w:spacing w:line="440" w:lineRule="exact"/>
        <w:ind w:firstLine="480" w:firstLineChars="200"/>
        <w:rPr>
          <w:rFonts w:ascii="宋体" w:hAnsi="宋体" w:cs="宋体"/>
          <w:sz w:val="24"/>
        </w:rPr>
      </w:pPr>
      <w:r>
        <w:rPr>
          <w:rFonts w:hint="eastAsia" w:ascii="宋体" w:hAnsi="宋体" w:cs="宋体"/>
          <w:sz w:val="24"/>
        </w:rPr>
        <w:t>4.2.3.9项目技术方案详细说明</w:t>
      </w:r>
    </w:p>
    <w:p>
      <w:pPr>
        <w:overflowPunct w:val="0"/>
        <w:spacing w:line="440" w:lineRule="exact"/>
        <w:ind w:firstLine="480" w:firstLineChars="200"/>
        <w:rPr>
          <w:rFonts w:ascii="宋体" w:hAnsi="宋体" w:cs="宋体"/>
          <w:sz w:val="24"/>
        </w:rPr>
      </w:pPr>
      <w:r>
        <w:rPr>
          <w:rFonts w:hint="eastAsia" w:ascii="宋体" w:hAnsi="宋体" w:cs="宋体"/>
          <w:sz w:val="24"/>
        </w:rPr>
        <w:t>4.2.3.10中小企业声明函（如有）</w:t>
      </w:r>
    </w:p>
    <w:p>
      <w:pPr>
        <w:overflowPunct w:val="0"/>
        <w:spacing w:line="440" w:lineRule="exact"/>
        <w:ind w:firstLine="480" w:firstLineChars="200"/>
        <w:rPr>
          <w:rFonts w:ascii="宋体" w:hAnsi="宋体" w:cs="宋体"/>
          <w:sz w:val="24"/>
        </w:rPr>
      </w:pPr>
      <w:r>
        <w:rPr>
          <w:rFonts w:hint="eastAsia" w:ascii="宋体" w:hAnsi="宋体" w:cs="宋体"/>
          <w:sz w:val="24"/>
        </w:rPr>
        <w:t>4.2.3.11残疾人福利性单位声明函（如有）</w:t>
      </w:r>
    </w:p>
    <w:p>
      <w:pPr>
        <w:overflowPunct w:val="0"/>
        <w:spacing w:line="440" w:lineRule="exact"/>
        <w:ind w:firstLine="480" w:firstLineChars="200"/>
        <w:rPr>
          <w:rFonts w:ascii="宋体" w:hAnsi="宋体" w:cs="宋体"/>
          <w:sz w:val="24"/>
        </w:rPr>
      </w:pPr>
      <w:r>
        <w:rPr>
          <w:rFonts w:hint="eastAsia" w:ascii="宋体" w:hAnsi="宋体" w:cs="宋体"/>
          <w:sz w:val="24"/>
        </w:rPr>
        <w:t>4.2.2.12 其他证明材料</w:t>
      </w:r>
    </w:p>
    <w:p>
      <w:pPr>
        <w:spacing w:line="440" w:lineRule="exact"/>
        <w:ind w:firstLine="482" w:firstLineChars="200"/>
        <w:rPr>
          <w:rFonts w:ascii="宋体" w:hAnsi="宋体" w:cs="宋体"/>
          <w:b/>
          <w:sz w:val="24"/>
        </w:rPr>
      </w:pPr>
      <w:r>
        <w:rPr>
          <w:rFonts w:hint="eastAsia" w:ascii="宋体" w:hAnsi="宋体" w:cs="宋体"/>
          <w:b/>
          <w:sz w:val="24"/>
        </w:rPr>
        <w:t>4.3  投标文件格式</w:t>
      </w:r>
    </w:p>
    <w:p>
      <w:pPr>
        <w:overflowPunct w:val="0"/>
        <w:spacing w:line="440" w:lineRule="exact"/>
        <w:ind w:firstLine="480" w:firstLineChars="200"/>
        <w:rPr>
          <w:rFonts w:ascii="宋体" w:hAnsi="宋体" w:cs="宋体"/>
          <w:sz w:val="24"/>
        </w:rPr>
      </w:pPr>
      <w:r>
        <w:rPr>
          <w:rFonts w:hint="eastAsia" w:ascii="宋体" w:hAnsi="宋体" w:cs="宋体"/>
          <w:sz w:val="24"/>
        </w:rPr>
        <w:t>4.3.1 本项目要求按照上述内容编制标书，并按照标书中所附的投标文件规格编写，并要求打印装订成册。</w:t>
      </w:r>
    </w:p>
    <w:p>
      <w:pPr>
        <w:overflowPunct w:val="0"/>
        <w:spacing w:line="440" w:lineRule="exact"/>
        <w:ind w:firstLine="480" w:firstLineChars="200"/>
        <w:rPr>
          <w:rFonts w:ascii="宋体" w:hAnsi="宋体" w:cs="宋体"/>
          <w:sz w:val="24"/>
        </w:rPr>
      </w:pPr>
      <w:r>
        <w:rPr>
          <w:rFonts w:hint="eastAsia" w:ascii="宋体" w:hAnsi="宋体" w:cs="宋体"/>
          <w:sz w:val="24"/>
        </w:rPr>
        <w:t>4.3.2 投标人应按招标文件的内容与要求和提供的格式编写其投标文件，投标人不得缺少或留空任何招标文件要求填写的表格或提交的资料。</w:t>
      </w:r>
      <w:r>
        <w:rPr>
          <w:rFonts w:hint="eastAsia" w:ascii="宋体" w:hAnsi="宋体" w:cs="宋体"/>
          <w:kern w:val="0"/>
          <w:sz w:val="24"/>
        </w:rPr>
        <w:t>如招标文件没有提供格式的，投标人可自行设置。</w:t>
      </w:r>
    </w:p>
    <w:p>
      <w:pPr>
        <w:overflowPunct w:val="0"/>
        <w:spacing w:line="440" w:lineRule="exact"/>
        <w:ind w:firstLine="480" w:firstLineChars="200"/>
        <w:rPr>
          <w:rFonts w:ascii="宋体" w:hAnsi="宋体" w:cs="宋体"/>
          <w:sz w:val="24"/>
        </w:rPr>
      </w:pPr>
      <w:r>
        <w:rPr>
          <w:rFonts w:hint="eastAsia" w:ascii="宋体" w:hAnsi="宋体" w:cs="宋体"/>
          <w:sz w:val="24"/>
        </w:rPr>
        <w:t>4.3.3投标人应将投标文件按规定的顺序编排、并应编制目录、逐页标注连续页码，并装订成册</w:t>
      </w:r>
      <w:r>
        <w:rPr>
          <w:rFonts w:hint="eastAsia" w:ascii="宋体" w:hAnsi="宋体" w:cs="宋体"/>
          <w:b/>
          <w:sz w:val="24"/>
        </w:rPr>
        <w:t>。不得采用活页装订。</w:t>
      </w:r>
    </w:p>
    <w:p>
      <w:pPr>
        <w:spacing w:line="440" w:lineRule="exact"/>
        <w:ind w:firstLine="482" w:firstLineChars="200"/>
        <w:rPr>
          <w:rFonts w:ascii="宋体" w:hAnsi="宋体" w:cs="宋体"/>
          <w:b/>
          <w:sz w:val="24"/>
        </w:rPr>
      </w:pPr>
      <w:r>
        <w:rPr>
          <w:rFonts w:hint="eastAsia" w:ascii="宋体" w:hAnsi="宋体" w:cs="宋体"/>
          <w:b/>
          <w:sz w:val="24"/>
        </w:rPr>
        <w:t>5、投标报价</w:t>
      </w:r>
    </w:p>
    <w:p>
      <w:pPr>
        <w:overflowPunct w:val="0"/>
        <w:spacing w:line="440" w:lineRule="exact"/>
        <w:ind w:firstLine="480" w:firstLineChars="200"/>
        <w:rPr>
          <w:rFonts w:ascii="宋体" w:hAnsi="宋体" w:cs="宋体"/>
          <w:sz w:val="24"/>
        </w:rPr>
      </w:pPr>
      <w:r>
        <w:rPr>
          <w:rFonts w:hint="eastAsia" w:ascii="宋体" w:hAnsi="宋体" w:cs="宋体"/>
          <w:sz w:val="24"/>
        </w:rPr>
        <w:t>5.1 投标人应在投标明细报价表上标明本次采购拟提供服务的单价和总价。如单价和总价不符，以单价累计为准。小写和大写不符，以大写为准。投标人如果不同意上述修改原则，其投标将被拒绝。投标人应在明细报价表标明应所述服务的所有工作内容，包括相关的设备、配件、材料采购及售后服务和培训等直至交付业主正常使用前的一切费用。</w:t>
      </w:r>
    </w:p>
    <w:p>
      <w:pPr>
        <w:overflowPunct w:val="0"/>
        <w:spacing w:line="440" w:lineRule="exact"/>
        <w:ind w:firstLine="480" w:firstLineChars="200"/>
        <w:rPr>
          <w:rFonts w:ascii="宋体" w:hAnsi="宋体" w:cs="宋体"/>
          <w:sz w:val="24"/>
        </w:rPr>
      </w:pPr>
      <w:r>
        <w:rPr>
          <w:rFonts w:hint="eastAsia" w:ascii="宋体" w:hAnsi="宋体" w:cs="宋体"/>
          <w:sz w:val="24"/>
        </w:rPr>
        <w:t>5.2 投标人如果免费提供某项服务，除在价格栏中填写“0”外，还必须在备注栏中声明免费或赠送。</w:t>
      </w:r>
    </w:p>
    <w:p>
      <w:pPr>
        <w:spacing w:line="440" w:lineRule="exact"/>
        <w:ind w:firstLine="480" w:firstLineChars="200"/>
        <w:rPr>
          <w:rFonts w:ascii="宋体" w:hAnsi="宋体" w:cs="宋体"/>
          <w:sz w:val="24"/>
        </w:rPr>
      </w:pPr>
      <w:r>
        <w:rPr>
          <w:rFonts w:hint="eastAsia" w:ascii="宋体" w:hAnsi="宋体" w:cs="宋体"/>
          <w:sz w:val="24"/>
        </w:rPr>
        <w:t>5.3 投标报价时应注意下列几点：</w:t>
      </w:r>
    </w:p>
    <w:p>
      <w:pPr>
        <w:overflowPunct w:val="0"/>
        <w:spacing w:line="440" w:lineRule="exact"/>
        <w:ind w:firstLine="480" w:firstLineChars="200"/>
        <w:rPr>
          <w:rFonts w:ascii="宋体" w:hAnsi="宋体" w:cs="宋体"/>
          <w:sz w:val="24"/>
        </w:rPr>
      </w:pPr>
      <w:r>
        <w:rPr>
          <w:rFonts w:hint="eastAsia" w:ascii="宋体" w:hAnsi="宋体" w:cs="宋体"/>
          <w:sz w:val="24"/>
        </w:rPr>
        <w:t>（1）本项目如非因重大需求变化导致成本增加，不得追加费用，投标人应该考虑但没有考虑到的任何费用将由投标人自行承担。</w:t>
      </w:r>
    </w:p>
    <w:p>
      <w:pPr>
        <w:overflowPunct w:val="0"/>
        <w:spacing w:line="440" w:lineRule="exact"/>
        <w:ind w:firstLine="480" w:firstLineChars="200"/>
        <w:rPr>
          <w:rFonts w:ascii="宋体" w:hAnsi="宋体" w:cs="宋体"/>
          <w:sz w:val="24"/>
        </w:rPr>
      </w:pPr>
      <w:r>
        <w:rPr>
          <w:rFonts w:hint="eastAsia" w:ascii="宋体" w:hAnsi="宋体" w:cs="宋体"/>
          <w:sz w:val="24"/>
        </w:rPr>
        <w:t>（2）招标文件中特别要求的其它附带服务的全部费用；</w:t>
      </w:r>
    </w:p>
    <w:p>
      <w:pPr>
        <w:overflowPunct w:val="0"/>
        <w:spacing w:line="440" w:lineRule="exact"/>
        <w:ind w:firstLine="480" w:firstLineChars="200"/>
        <w:rPr>
          <w:rFonts w:ascii="宋体" w:hAnsi="宋体" w:cs="宋体"/>
          <w:b/>
          <w:sz w:val="24"/>
          <w:u w:val="single"/>
        </w:rPr>
      </w:pPr>
      <w:r>
        <w:rPr>
          <w:rFonts w:hint="eastAsia" w:ascii="宋体" w:hAnsi="宋体" w:cs="宋体"/>
          <w:sz w:val="24"/>
        </w:rPr>
        <w:t>5.4 投标人应对投标服务提供完整的详细的书面说明。</w:t>
      </w:r>
    </w:p>
    <w:p>
      <w:pPr>
        <w:overflowPunct w:val="0"/>
        <w:spacing w:line="440" w:lineRule="exact"/>
        <w:ind w:firstLine="480" w:firstLineChars="200"/>
        <w:rPr>
          <w:rFonts w:ascii="宋体" w:hAnsi="宋体" w:cs="宋体"/>
          <w:sz w:val="24"/>
        </w:rPr>
      </w:pPr>
      <w:r>
        <w:rPr>
          <w:rFonts w:hint="eastAsia" w:ascii="宋体" w:hAnsi="宋体" w:cs="宋体"/>
          <w:sz w:val="24"/>
        </w:rPr>
        <w:t>5.5 报价超过最高限价的，该报价为无效报价，不进入商务评比。</w:t>
      </w:r>
    </w:p>
    <w:p>
      <w:pPr>
        <w:overflowPunct w:val="0"/>
        <w:spacing w:line="440" w:lineRule="exact"/>
        <w:ind w:firstLine="480" w:firstLineChars="200"/>
        <w:rPr>
          <w:rFonts w:ascii="宋体" w:hAnsi="宋体" w:cs="宋体"/>
          <w:sz w:val="24"/>
        </w:rPr>
      </w:pPr>
      <w:r>
        <w:rPr>
          <w:rFonts w:hint="eastAsia" w:ascii="宋体" w:hAnsi="宋体" w:cs="宋体"/>
          <w:sz w:val="24"/>
        </w:rPr>
        <w:t>5.6 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视为无效标处理。</w:t>
      </w:r>
    </w:p>
    <w:p>
      <w:pPr>
        <w:spacing w:line="440" w:lineRule="exact"/>
        <w:ind w:firstLine="482" w:firstLineChars="200"/>
        <w:rPr>
          <w:rFonts w:ascii="宋体" w:hAnsi="宋体" w:cs="宋体"/>
          <w:b/>
          <w:sz w:val="24"/>
        </w:rPr>
      </w:pPr>
      <w:r>
        <w:rPr>
          <w:rFonts w:hint="eastAsia" w:ascii="宋体" w:hAnsi="宋体" w:cs="宋体"/>
          <w:b/>
          <w:sz w:val="24"/>
        </w:rPr>
        <w:t>6、招标文件规定的技术文件</w:t>
      </w:r>
    </w:p>
    <w:p>
      <w:pPr>
        <w:overflowPunct w:val="0"/>
        <w:spacing w:line="440" w:lineRule="exact"/>
        <w:ind w:firstLine="480" w:firstLineChars="200"/>
        <w:rPr>
          <w:rFonts w:ascii="宋体" w:hAnsi="宋体" w:cs="宋体"/>
          <w:sz w:val="24"/>
        </w:rPr>
      </w:pPr>
      <w:r>
        <w:rPr>
          <w:rFonts w:hint="eastAsia" w:ascii="宋体" w:hAnsi="宋体" w:cs="宋体"/>
          <w:sz w:val="24"/>
        </w:rPr>
        <w:t>6.1 投标人须提交证明拟供服务符合招标文件规定的文件资料，作为投标文件的一部分。</w:t>
      </w:r>
    </w:p>
    <w:p>
      <w:pPr>
        <w:overflowPunct w:val="0"/>
        <w:spacing w:line="440" w:lineRule="exact"/>
        <w:ind w:firstLine="480" w:firstLineChars="200"/>
        <w:rPr>
          <w:rFonts w:ascii="宋体" w:hAnsi="宋体" w:cs="宋体"/>
          <w:sz w:val="24"/>
        </w:rPr>
      </w:pPr>
      <w:r>
        <w:rPr>
          <w:rFonts w:hint="eastAsia" w:ascii="宋体" w:hAnsi="宋体" w:cs="宋体"/>
          <w:sz w:val="24"/>
        </w:rPr>
        <w:t>6.2 上述文件可以是文字资料、图纸和数据等，并提供规格、技术参数偏离表。</w:t>
      </w:r>
    </w:p>
    <w:p>
      <w:pPr>
        <w:overflowPunct w:val="0"/>
        <w:spacing w:line="440" w:lineRule="exact"/>
        <w:ind w:firstLine="480" w:firstLineChars="200"/>
        <w:rPr>
          <w:rFonts w:ascii="宋体" w:hAnsi="宋体" w:cs="宋体"/>
          <w:sz w:val="24"/>
        </w:rPr>
      </w:pPr>
      <w:r>
        <w:rPr>
          <w:rFonts w:hint="eastAsia" w:ascii="宋体" w:hAnsi="宋体" w:cs="宋体"/>
          <w:sz w:val="24"/>
        </w:rPr>
        <w:t>6.3 没有按要求提供资料或提供资料不完全的，将被视为对招标文件没有做出实质性响应，其风险由投标人自行承担。</w:t>
      </w:r>
    </w:p>
    <w:p>
      <w:pPr>
        <w:spacing w:line="440" w:lineRule="exact"/>
        <w:ind w:firstLine="482" w:firstLineChars="200"/>
        <w:rPr>
          <w:rFonts w:ascii="宋体" w:hAnsi="宋体" w:cs="宋体"/>
          <w:b/>
          <w:sz w:val="24"/>
        </w:rPr>
      </w:pPr>
      <w:r>
        <w:rPr>
          <w:rFonts w:hint="eastAsia" w:ascii="宋体" w:hAnsi="宋体" w:cs="宋体"/>
          <w:b/>
          <w:sz w:val="24"/>
        </w:rPr>
        <w:t>7、投标有效期</w:t>
      </w:r>
    </w:p>
    <w:p>
      <w:pPr>
        <w:overflowPunct w:val="0"/>
        <w:spacing w:line="440" w:lineRule="exact"/>
        <w:ind w:firstLine="480" w:firstLineChars="200"/>
        <w:rPr>
          <w:rFonts w:ascii="宋体" w:hAnsi="宋体" w:cs="宋体"/>
          <w:sz w:val="24"/>
        </w:rPr>
      </w:pPr>
      <w:r>
        <w:rPr>
          <w:rFonts w:hint="eastAsia" w:ascii="宋体" w:hAnsi="宋体" w:cs="宋体"/>
          <w:sz w:val="24"/>
        </w:rPr>
        <w:t>7.1 投标文件从投标之日起，投标有效期60天。</w:t>
      </w:r>
    </w:p>
    <w:p>
      <w:pPr>
        <w:overflowPunct w:val="0"/>
        <w:spacing w:line="440" w:lineRule="exact"/>
        <w:ind w:firstLine="480" w:firstLineChars="200"/>
        <w:rPr>
          <w:rFonts w:ascii="宋体" w:hAnsi="宋体" w:cs="宋体"/>
          <w:sz w:val="24"/>
        </w:rPr>
      </w:pPr>
      <w:r>
        <w:rPr>
          <w:rFonts w:hint="eastAsia" w:ascii="宋体" w:hAnsi="宋体" w:cs="宋体"/>
          <w:sz w:val="24"/>
        </w:rPr>
        <w:t>7.2 在特殊情况下，采购方可与投标人协商延长投标文件的有效期。</w:t>
      </w:r>
    </w:p>
    <w:p>
      <w:pPr>
        <w:spacing w:line="440" w:lineRule="exact"/>
        <w:ind w:firstLine="482" w:firstLineChars="200"/>
        <w:rPr>
          <w:rFonts w:ascii="宋体" w:hAnsi="宋体" w:cs="宋体"/>
          <w:b/>
          <w:sz w:val="24"/>
        </w:rPr>
      </w:pPr>
      <w:r>
        <w:rPr>
          <w:rFonts w:hint="eastAsia" w:ascii="宋体" w:hAnsi="宋体" w:cs="宋体"/>
          <w:b/>
          <w:sz w:val="24"/>
        </w:rPr>
        <w:t>8、投标文件的签署规定</w:t>
      </w:r>
    </w:p>
    <w:p>
      <w:pPr>
        <w:overflowPunct w:val="0"/>
        <w:spacing w:line="440" w:lineRule="exact"/>
        <w:ind w:firstLine="480" w:firstLineChars="200"/>
        <w:rPr>
          <w:rFonts w:ascii="宋体" w:hAnsi="宋体" w:cs="宋体"/>
          <w:sz w:val="24"/>
        </w:rPr>
      </w:pPr>
      <w:r>
        <w:rPr>
          <w:rFonts w:hint="eastAsia" w:ascii="宋体" w:hAnsi="宋体" w:cs="宋体"/>
          <w:sz w:val="24"/>
        </w:rPr>
        <w:t>8.1投标文件的页面必须用印刷体打印。</w:t>
      </w:r>
    </w:p>
    <w:p>
      <w:pPr>
        <w:overflowPunct w:val="0"/>
        <w:spacing w:line="440" w:lineRule="exact"/>
        <w:ind w:firstLine="480" w:firstLineChars="200"/>
        <w:rPr>
          <w:rFonts w:ascii="宋体" w:hAnsi="宋体" w:cs="宋体"/>
          <w:sz w:val="24"/>
        </w:rPr>
      </w:pPr>
      <w:r>
        <w:rPr>
          <w:rFonts w:hint="eastAsia" w:ascii="宋体" w:hAnsi="宋体" w:cs="宋体"/>
          <w:sz w:val="24"/>
        </w:rPr>
        <w:t>8.2投标文件应清楚工整，一般不准修改。个别非实质性修改之处应由投标人的被授权人或法人代表签章。</w:t>
      </w:r>
    </w:p>
    <w:p>
      <w:pPr>
        <w:overflowPunct w:val="0"/>
        <w:spacing w:line="440" w:lineRule="exact"/>
        <w:ind w:firstLine="480" w:firstLineChars="200"/>
        <w:rPr>
          <w:rFonts w:ascii="宋体" w:hAnsi="宋体" w:cs="宋体"/>
          <w:sz w:val="24"/>
        </w:rPr>
      </w:pPr>
      <w:r>
        <w:rPr>
          <w:rFonts w:hint="eastAsia" w:ascii="宋体" w:hAnsi="宋体" w:cs="宋体"/>
          <w:sz w:val="24"/>
        </w:rPr>
        <w:t>8.3投标文件应由法人代表或授权代表逐页签署并加盖单位公章。所有投标人签字、法人代表签字、法人代表授权人签字和其它签字处必须加盖具有法律效力的投标人的印章后，投标文件方为有效。</w:t>
      </w:r>
    </w:p>
    <w:p>
      <w:pPr>
        <w:overflowPunct w:val="0"/>
        <w:spacing w:line="440" w:lineRule="exact"/>
        <w:ind w:firstLine="480" w:firstLineChars="200"/>
        <w:rPr>
          <w:rFonts w:ascii="宋体" w:hAnsi="宋体" w:cs="宋体"/>
          <w:sz w:val="24"/>
        </w:rPr>
      </w:pPr>
      <w:r>
        <w:rPr>
          <w:rFonts w:hint="eastAsia" w:ascii="宋体" w:hAnsi="宋体" w:cs="宋体"/>
          <w:sz w:val="24"/>
        </w:rPr>
        <w:t>8.4所有投标文件必须提交纸制版正本一套和副本三套，电子版一份，（投标文件一律不退），并在封面标记“正本”和“副本”。（标后提交）</w:t>
      </w:r>
    </w:p>
    <w:p>
      <w:pPr>
        <w:overflowPunct w:val="0"/>
        <w:spacing w:line="440" w:lineRule="exact"/>
        <w:ind w:firstLine="480" w:firstLineChars="200"/>
        <w:rPr>
          <w:rFonts w:ascii="宋体" w:hAnsi="宋体" w:cs="宋体"/>
          <w:sz w:val="24"/>
        </w:rPr>
      </w:pPr>
      <w:r>
        <w:rPr>
          <w:rFonts w:hint="eastAsia" w:ascii="宋体" w:hAnsi="宋体" w:cs="宋体"/>
          <w:sz w:val="24"/>
        </w:rPr>
        <w:t>8.5投标文件的正本与副本应当完全一致。当正本和副本之间出现差异时，以正本为准。</w:t>
      </w:r>
    </w:p>
    <w:p>
      <w:pPr>
        <w:overflowPunct w:val="0"/>
        <w:spacing w:line="440" w:lineRule="exact"/>
        <w:ind w:firstLine="480" w:firstLineChars="200"/>
        <w:rPr>
          <w:rFonts w:ascii="宋体" w:hAnsi="宋体" w:cs="宋体"/>
          <w:sz w:val="24"/>
        </w:rPr>
      </w:pPr>
      <w:r>
        <w:rPr>
          <w:rFonts w:hint="eastAsia" w:ascii="宋体" w:hAnsi="宋体" w:cs="宋体"/>
          <w:sz w:val="24"/>
        </w:rPr>
        <w:t>8.6电报、电话、传真、电子邮件等形式的投标概不接受。</w:t>
      </w:r>
    </w:p>
    <w:p>
      <w:pPr>
        <w:spacing w:line="440" w:lineRule="exact"/>
        <w:ind w:firstLine="482" w:firstLineChars="200"/>
        <w:rPr>
          <w:rFonts w:ascii="宋体" w:hAnsi="宋体" w:cs="宋体"/>
          <w:b/>
          <w:sz w:val="24"/>
        </w:rPr>
      </w:pPr>
      <w:r>
        <w:rPr>
          <w:rFonts w:hint="eastAsia" w:ascii="宋体" w:hAnsi="宋体" w:cs="宋体"/>
          <w:b/>
          <w:sz w:val="24"/>
        </w:rPr>
        <w:t>9、投标文件的修改和撤销</w:t>
      </w:r>
    </w:p>
    <w:p>
      <w:pPr>
        <w:overflowPunct w:val="0"/>
        <w:spacing w:line="440" w:lineRule="exact"/>
        <w:ind w:firstLine="480" w:firstLineChars="200"/>
        <w:rPr>
          <w:rFonts w:ascii="宋体" w:hAnsi="宋体" w:cs="宋体"/>
          <w:sz w:val="24"/>
        </w:rPr>
      </w:pPr>
      <w:r>
        <w:rPr>
          <w:rFonts w:hint="eastAsia" w:ascii="宋体" w:hAnsi="宋体" w:cs="宋体"/>
          <w:sz w:val="24"/>
        </w:rPr>
        <w:t>9.1投标人在递交投标文件后，可在规定的投标截止时间之前，对其投标文件以书面通知的形式进行修改或撤销。该通知须有投标代理人的签字，并得到采购方的确认。</w:t>
      </w:r>
    </w:p>
    <w:p>
      <w:pPr>
        <w:overflowPunct w:val="0"/>
        <w:spacing w:line="440" w:lineRule="exact"/>
        <w:ind w:firstLine="480" w:firstLineChars="200"/>
        <w:rPr>
          <w:rFonts w:ascii="宋体" w:hAnsi="宋体" w:cs="宋体"/>
          <w:sz w:val="24"/>
        </w:rPr>
      </w:pPr>
      <w:r>
        <w:rPr>
          <w:rFonts w:hint="eastAsia" w:ascii="宋体" w:hAnsi="宋体" w:cs="宋体"/>
          <w:sz w:val="24"/>
        </w:rPr>
        <w:t>9.2投标人对投标文件修改的书面材料或撤消通知应按招标文件要求进行密封、标注和递交，并注明“修改投标文件”或“撤消投标”字样，修改或撤消的内容须按招标文件的要求签署、盖章，并作为投标文件和组成部分。</w:t>
      </w:r>
    </w:p>
    <w:p>
      <w:pPr>
        <w:overflowPunct w:val="0"/>
        <w:spacing w:line="440" w:lineRule="exact"/>
        <w:ind w:firstLine="480" w:firstLineChars="200"/>
        <w:rPr>
          <w:rFonts w:ascii="宋体" w:hAnsi="宋体" w:cs="宋体"/>
          <w:sz w:val="24"/>
        </w:rPr>
      </w:pPr>
      <w:r>
        <w:rPr>
          <w:rFonts w:hint="eastAsia" w:ascii="宋体" w:hAnsi="宋体" w:cs="宋体"/>
          <w:sz w:val="24"/>
        </w:rPr>
        <w:t>9.3对投标文件修改的书面材料应于投标截止日前送达采购方，投标截止时间以后不得修改投标文件。</w:t>
      </w:r>
    </w:p>
    <w:p>
      <w:pPr>
        <w:overflowPunct w:val="0"/>
        <w:spacing w:line="440" w:lineRule="exact"/>
        <w:ind w:firstLine="480" w:firstLineChars="200"/>
        <w:rPr>
          <w:rFonts w:ascii="宋体" w:hAnsi="宋体" w:cs="宋体"/>
          <w:sz w:val="24"/>
        </w:rPr>
      </w:pPr>
      <w:r>
        <w:rPr>
          <w:rFonts w:hint="eastAsia" w:ascii="宋体" w:hAnsi="宋体" w:cs="宋体"/>
          <w:sz w:val="24"/>
        </w:rPr>
        <w:t>9.4投标人不得在开标后至投标有期满前撤销投标文件，否则采购方将没收其投标保证金。</w:t>
      </w:r>
    </w:p>
    <w:p>
      <w:pPr>
        <w:pStyle w:val="4"/>
        <w:spacing w:before="0" w:after="0" w:line="440" w:lineRule="exact"/>
        <w:jc w:val="center"/>
        <w:rPr>
          <w:rFonts w:ascii="宋体" w:hAnsi="宋体" w:cs="宋体"/>
          <w:sz w:val="24"/>
          <w:szCs w:val="24"/>
        </w:rPr>
      </w:pPr>
      <w:bookmarkStart w:id="19" w:name="_Toc24549"/>
      <w:r>
        <w:rPr>
          <w:rFonts w:hint="eastAsia" w:ascii="宋体" w:hAnsi="宋体" w:cs="宋体"/>
          <w:sz w:val="28"/>
          <w:szCs w:val="28"/>
        </w:rPr>
        <w:t>第三章  投标文件的递交</w:t>
      </w:r>
      <w:bookmarkEnd w:id="19"/>
    </w:p>
    <w:p>
      <w:pPr>
        <w:spacing w:line="440" w:lineRule="exact"/>
        <w:ind w:firstLine="482" w:firstLineChars="200"/>
        <w:rPr>
          <w:rFonts w:ascii="宋体" w:hAnsi="宋体" w:cs="宋体"/>
          <w:b/>
          <w:sz w:val="24"/>
        </w:rPr>
      </w:pPr>
      <w:r>
        <w:rPr>
          <w:rFonts w:hint="eastAsia" w:ascii="宋体" w:hAnsi="宋体" w:cs="宋体"/>
          <w:b/>
          <w:sz w:val="24"/>
        </w:rPr>
        <w:t>10、投标文件的密封和标记（本项目为政采云不见面开标）</w:t>
      </w:r>
    </w:p>
    <w:p>
      <w:pPr>
        <w:overflowPunct w:val="0"/>
        <w:spacing w:line="440" w:lineRule="exact"/>
        <w:ind w:firstLine="480" w:firstLineChars="200"/>
        <w:rPr>
          <w:rFonts w:ascii="宋体" w:hAnsi="宋体" w:cs="宋体"/>
          <w:sz w:val="24"/>
        </w:rPr>
      </w:pPr>
      <w:r>
        <w:rPr>
          <w:rFonts w:hint="eastAsia" w:ascii="宋体" w:hAnsi="宋体" w:cs="宋体"/>
          <w:sz w:val="24"/>
        </w:rPr>
        <w:t>10.1 为方便开标唱标，投标人应将报价一览表单独密封一份，并在信封上标明“报价一览表”字样。</w:t>
      </w:r>
    </w:p>
    <w:p>
      <w:pPr>
        <w:overflowPunct w:val="0"/>
        <w:spacing w:line="440" w:lineRule="exact"/>
        <w:ind w:firstLine="480" w:firstLineChars="200"/>
        <w:rPr>
          <w:rFonts w:ascii="宋体" w:hAnsi="宋体" w:cs="宋体"/>
          <w:sz w:val="24"/>
        </w:rPr>
      </w:pPr>
      <w:r>
        <w:rPr>
          <w:rFonts w:hint="eastAsia" w:ascii="宋体" w:hAnsi="宋体" w:cs="宋体"/>
          <w:sz w:val="24"/>
        </w:rPr>
        <w:t>10.2 投标人应将投标文件的“正本”，所有“副本”密封装在一起。</w:t>
      </w:r>
    </w:p>
    <w:p>
      <w:pPr>
        <w:overflowPunct w:val="0"/>
        <w:spacing w:line="440" w:lineRule="exact"/>
        <w:ind w:firstLine="480" w:firstLineChars="200"/>
        <w:rPr>
          <w:rFonts w:ascii="宋体" w:hAnsi="宋体" w:cs="宋体"/>
          <w:sz w:val="24"/>
        </w:rPr>
      </w:pPr>
      <w:r>
        <w:rPr>
          <w:rFonts w:hint="eastAsia" w:ascii="宋体" w:hAnsi="宋体" w:cs="宋体"/>
          <w:sz w:val="24"/>
        </w:rPr>
        <w:t>10.3 所有密封文件均应：</w:t>
      </w:r>
    </w:p>
    <w:p>
      <w:pPr>
        <w:overflowPunct w:val="0"/>
        <w:spacing w:line="440" w:lineRule="exact"/>
        <w:ind w:firstLine="480" w:firstLineChars="200"/>
        <w:rPr>
          <w:rFonts w:ascii="宋体" w:hAnsi="宋体" w:cs="宋体"/>
          <w:sz w:val="24"/>
        </w:rPr>
      </w:pPr>
      <w:r>
        <w:rPr>
          <w:rFonts w:hint="eastAsia" w:ascii="宋体" w:hAnsi="宋体" w:cs="宋体"/>
          <w:sz w:val="24"/>
        </w:rPr>
        <w:t>清楚标明递交至“投标人须知前附表”中指明的地址。</w:t>
      </w:r>
    </w:p>
    <w:p>
      <w:pPr>
        <w:overflowPunct w:val="0"/>
        <w:spacing w:line="440" w:lineRule="exact"/>
        <w:ind w:firstLine="480" w:firstLineChars="200"/>
        <w:rPr>
          <w:rFonts w:ascii="宋体" w:hAnsi="宋体" w:cs="宋体"/>
          <w:sz w:val="24"/>
        </w:rPr>
      </w:pPr>
      <w:r>
        <w:rPr>
          <w:rFonts w:hint="eastAsia" w:ascii="宋体" w:hAnsi="宋体" w:cs="宋体"/>
          <w:sz w:val="24"/>
        </w:rPr>
        <w:t>注明“投标人须知前附表”中指明的项目名称、项目编号和“在**年**月**日**时之前不得启封”的字样。投标人名称和地址。加盖投标人公章。</w:t>
      </w:r>
    </w:p>
    <w:p>
      <w:pPr>
        <w:overflowPunct w:val="0"/>
        <w:spacing w:line="440" w:lineRule="exact"/>
        <w:ind w:firstLine="480" w:firstLineChars="200"/>
        <w:rPr>
          <w:rFonts w:ascii="宋体" w:hAnsi="宋体" w:cs="宋体"/>
          <w:sz w:val="24"/>
        </w:rPr>
      </w:pPr>
      <w:r>
        <w:rPr>
          <w:rFonts w:hint="eastAsia" w:ascii="宋体" w:hAnsi="宋体" w:cs="宋体"/>
          <w:sz w:val="24"/>
        </w:rPr>
        <w:t>10.4 如果未按本须知要求加写标记和密封，其投标将会被拒绝。</w:t>
      </w:r>
    </w:p>
    <w:p>
      <w:pPr>
        <w:overflowPunct w:val="0"/>
        <w:spacing w:line="440" w:lineRule="exact"/>
        <w:ind w:firstLine="480" w:firstLineChars="200"/>
        <w:rPr>
          <w:rFonts w:ascii="宋体" w:hAnsi="宋体" w:cs="宋体"/>
          <w:sz w:val="24"/>
        </w:rPr>
      </w:pPr>
      <w:r>
        <w:rPr>
          <w:rFonts w:hint="eastAsia" w:ascii="宋体" w:hAnsi="宋体" w:cs="宋体"/>
          <w:sz w:val="24"/>
        </w:rPr>
        <w:t>10.5 发生下列情况之一的投标文件被视为无效：</w:t>
      </w:r>
    </w:p>
    <w:p>
      <w:pPr>
        <w:overflowPunct w:val="0"/>
        <w:spacing w:line="440" w:lineRule="exact"/>
        <w:ind w:firstLine="480" w:firstLineChars="200"/>
        <w:rPr>
          <w:rFonts w:ascii="宋体" w:hAnsi="宋体" w:cs="宋体"/>
          <w:sz w:val="24"/>
        </w:rPr>
      </w:pPr>
      <w:r>
        <w:rPr>
          <w:rFonts w:hint="eastAsia" w:ascii="宋体" w:hAnsi="宋体" w:cs="宋体"/>
          <w:sz w:val="24"/>
        </w:rPr>
        <w:t>（1） 投标截止时间以后送达（签到）的投标文件；</w:t>
      </w:r>
    </w:p>
    <w:p>
      <w:pPr>
        <w:overflowPunct w:val="0"/>
        <w:spacing w:line="440" w:lineRule="exact"/>
        <w:ind w:firstLine="480" w:firstLineChars="200"/>
        <w:rPr>
          <w:rFonts w:ascii="宋体" w:hAnsi="宋体" w:cs="宋体"/>
          <w:sz w:val="24"/>
        </w:rPr>
      </w:pPr>
      <w:r>
        <w:rPr>
          <w:rFonts w:hint="eastAsia" w:ascii="宋体" w:hAnsi="宋体" w:cs="宋体"/>
          <w:sz w:val="24"/>
        </w:rPr>
        <w:t>（2） 由于包装不妥，在送交途中严重破损或失散的投标文件；</w:t>
      </w:r>
    </w:p>
    <w:p>
      <w:pPr>
        <w:overflowPunct w:val="0"/>
        <w:spacing w:line="440" w:lineRule="exact"/>
        <w:ind w:firstLine="480" w:firstLineChars="200"/>
        <w:rPr>
          <w:rFonts w:ascii="宋体" w:hAnsi="宋体" w:cs="宋体"/>
          <w:sz w:val="24"/>
        </w:rPr>
      </w:pPr>
      <w:r>
        <w:rPr>
          <w:rFonts w:hint="eastAsia" w:ascii="宋体" w:hAnsi="宋体" w:cs="宋体"/>
          <w:sz w:val="24"/>
        </w:rPr>
        <w:t>（3） 与招标文件有重大偏离的投标文件；</w:t>
      </w:r>
    </w:p>
    <w:p>
      <w:pPr>
        <w:overflowPunct w:val="0"/>
        <w:spacing w:line="440" w:lineRule="exact"/>
        <w:ind w:firstLine="480" w:firstLineChars="200"/>
        <w:rPr>
          <w:rFonts w:ascii="宋体" w:hAnsi="宋体" w:cs="宋体"/>
          <w:sz w:val="24"/>
        </w:rPr>
      </w:pPr>
      <w:r>
        <w:rPr>
          <w:rFonts w:hint="eastAsia" w:ascii="宋体" w:hAnsi="宋体" w:cs="宋体"/>
          <w:sz w:val="24"/>
        </w:rPr>
        <w:t>（4） 投标文件应盖而未盖公章或非本公司公章的、不按正确位置盖章的；未装订、未密封、法定代表人授权书、资格声明函等填写不完整或有涂改未加盖公章的；</w:t>
      </w:r>
    </w:p>
    <w:p>
      <w:pPr>
        <w:overflowPunct w:val="0"/>
        <w:spacing w:line="440" w:lineRule="exact"/>
        <w:ind w:firstLine="480" w:firstLineChars="200"/>
        <w:rPr>
          <w:rFonts w:ascii="宋体" w:hAnsi="宋体" w:cs="宋体"/>
          <w:sz w:val="24"/>
        </w:rPr>
      </w:pPr>
      <w:r>
        <w:rPr>
          <w:rFonts w:hint="eastAsia" w:ascii="宋体" w:hAnsi="宋体" w:cs="宋体"/>
          <w:sz w:val="24"/>
        </w:rPr>
        <w:t>（5） 无“报价一览表”的投标文件；</w:t>
      </w:r>
    </w:p>
    <w:p>
      <w:pPr>
        <w:overflowPunct w:val="0"/>
        <w:spacing w:line="440" w:lineRule="exact"/>
        <w:ind w:firstLine="480" w:firstLineChars="200"/>
        <w:rPr>
          <w:rFonts w:ascii="宋体" w:hAnsi="宋体" w:cs="宋体"/>
          <w:sz w:val="24"/>
        </w:rPr>
      </w:pPr>
      <w:r>
        <w:rPr>
          <w:rFonts w:hint="eastAsia" w:ascii="宋体" w:hAnsi="宋体" w:cs="宋体"/>
          <w:sz w:val="24"/>
        </w:rPr>
        <w:t>（6） “报价一览表”没有加盖公章的；</w:t>
      </w:r>
    </w:p>
    <w:p>
      <w:pPr>
        <w:overflowPunct w:val="0"/>
        <w:spacing w:line="440" w:lineRule="exact"/>
        <w:ind w:firstLine="480" w:firstLineChars="200"/>
        <w:rPr>
          <w:rFonts w:hint="eastAsia" w:ascii="宋体" w:hAnsi="宋体" w:eastAsia="宋体" w:cs="宋体"/>
          <w:sz w:val="24"/>
          <w:lang w:eastAsia="zh-CN"/>
        </w:rPr>
      </w:pPr>
      <w:r>
        <w:rPr>
          <w:rFonts w:hint="eastAsia" w:ascii="宋体" w:hAnsi="宋体" w:cs="宋体"/>
          <w:sz w:val="24"/>
        </w:rPr>
        <w:t>（7） 未按规定交纳投标保证金的投标文件；</w:t>
      </w:r>
      <w:r>
        <w:rPr>
          <w:rFonts w:hint="eastAsia" w:ascii="宋体" w:hAnsi="宋体" w:cs="宋体"/>
          <w:sz w:val="24"/>
          <w:lang w:eastAsia="zh-CN"/>
        </w:rPr>
        <w:t>（本次不做要求）</w:t>
      </w:r>
    </w:p>
    <w:p>
      <w:pPr>
        <w:overflowPunct w:val="0"/>
        <w:spacing w:line="440" w:lineRule="exact"/>
        <w:ind w:firstLine="480" w:firstLineChars="200"/>
        <w:rPr>
          <w:rFonts w:ascii="宋体" w:hAnsi="宋体" w:cs="宋体"/>
          <w:sz w:val="24"/>
        </w:rPr>
      </w:pPr>
      <w:r>
        <w:rPr>
          <w:rFonts w:hint="eastAsia" w:ascii="宋体" w:hAnsi="宋体" w:cs="宋体"/>
          <w:sz w:val="24"/>
        </w:rPr>
        <w:t>（8） 出现影响采购公正的违法违规行为的投标性文件；</w:t>
      </w:r>
    </w:p>
    <w:p>
      <w:pPr>
        <w:spacing w:line="440" w:lineRule="exact"/>
        <w:ind w:firstLine="482" w:firstLineChars="200"/>
        <w:rPr>
          <w:rFonts w:ascii="宋体" w:hAnsi="宋体" w:cs="宋体"/>
          <w:b/>
          <w:sz w:val="24"/>
        </w:rPr>
      </w:pPr>
      <w:r>
        <w:rPr>
          <w:rFonts w:hint="eastAsia" w:ascii="宋体" w:hAnsi="宋体" w:cs="宋体"/>
          <w:b/>
          <w:sz w:val="24"/>
        </w:rPr>
        <w:t>11、投标文件递交截止时间及开标时间和地点</w:t>
      </w:r>
    </w:p>
    <w:p>
      <w:pPr>
        <w:spacing w:line="440" w:lineRule="exact"/>
        <w:ind w:firstLine="482" w:firstLineChars="200"/>
        <w:rPr>
          <w:rFonts w:ascii="宋体" w:hAnsi="宋体" w:cs="宋体"/>
          <w:b/>
          <w:color w:val="000000" w:themeColor="text1"/>
          <w:sz w:val="24"/>
        </w:rPr>
      </w:pPr>
      <w:r>
        <w:rPr>
          <w:rFonts w:hint="eastAsia" w:ascii="宋体" w:hAnsi="宋体" w:cs="宋体"/>
          <w:b/>
          <w:color w:val="000000" w:themeColor="text1"/>
          <w:sz w:val="24"/>
        </w:rPr>
        <w:t>11.1 投标文件递交截止时间</w:t>
      </w:r>
      <w:r>
        <w:rPr>
          <w:rFonts w:hint="eastAsia" w:ascii="宋体" w:hAnsi="宋体" w:cs="宋体"/>
          <w:b/>
          <w:sz w:val="24"/>
        </w:rPr>
        <w:t>：</w:t>
      </w:r>
      <w:r>
        <w:rPr>
          <w:rFonts w:hint="eastAsia" w:ascii="宋体" w:hAnsi="宋体" w:cs="宋体"/>
          <w:sz w:val="24"/>
          <w:u w:val="single"/>
        </w:rPr>
        <w:t>详见投标人须知前附表</w:t>
      </w:r>
      <w:r>
        <w:rPr>
          <w:rFonts w:hint="eastAsia" w:ascii="宋体" w:hAnsi="宋体" w:cs="宋体"/>
          <w:b/>
          <w:sz w:val="24"/>
        </w:rPr>
        <w:t>。投标文件以密封形式递交至开标地点。</w:t>
      </w:r>
    </w:p>
    <w:p>
      <w:pPr>
        <w:spacing w:line="440" w:lineRule="exact"/>
        <w:ind w:firstLine="482" w:firstLineChars="200"/>
        <w:rPr>
          <w:rFonts w:ascii="宋体" w:hAnsi="宋体" w:cs="宋体"/>
          <w:b/>
          <w:color w:val="000000" w:themeColor="text1"/>
          <w:sz w:val="24"/>
        </w:rPr>
      </w:pPr>
      <w:r>
        <w:rPr>
          <w:rFonts w:hint="eastAsia" w:ascii="宋体" w:hAnsi="宋体" w:cs="宋体"/>
          <w:b/>
          <w:color w:val="000000" w:themeColor="text1"/>
          <w:sz w:val="24"/>
        </w:rPr>
        <w:t>11.2 开标时间：同投标文件递交截止时间。</w:t>
      </w:r>
    </w:p>
    <w:p>
      <w:pPr>
        <w:spacing w:line="440" w:lineRule="exact"/>
        <w:ind w:firstLine="482" w:firstLineChars="200"/>
        <w:rPr>
          <w:rFonts w:ascii="宋体" w:hAnsi="宋体" w:cs="宋体"/>
          <w:b/>
          <w:color w:val="000000" w:themeColor="text1"/>
          <w:sz w:val="24"/>
        </w:rPr>
      </w:pPr>
      <w:r>
        <w:rPr>
          <w:rFonts w:hint="eastAsia" w:ascii="宋体" w:hAnsi="宋体" w:cs="宋体"/>
          <w:b/>
          <w:color w:val="000000" w:themeColor="text1"/>
          <w:sz w:val="24"/>
        </w:rPr>
        <w:t>11.3 开标地点：</w:t>
      </w:r>
      <w:r>
        <w:rPr>
          <w:rFonts w:hint="eastAsia" w:ascii="宋体" w:hAnsi="宋体" w:cs="宋体"/>
          <w:sz w:val="24"/>
          <w:u w:val="single"/>
        </w:rPr>
        <w:t>详见投标人须知前附表</w:t>
      </w:r>
    </w:p>
    <w:p>
      <w:pPr>
        <w:spacing w:line="440" w:lineRule="exact"/>
        <w:ind w:firstLine="480" w:firstLineChars="200"/>
        <w:rPr>
          <w:rFonts w:ascii="宋体" w:hAnsi="宋体" w:cs="宋体"/>
          <w:sz w:val="24"/>
        </w:rPr>
      </w:pPr>
      <w:r>
        <w:rPr>
          <w:rFonts w:hint="eastAsia" w:ascii="宋体" w:hAnsi="宋体" w:cs="宋体"/>
          <w:sz w:val="24"/>
        </w:rPr>
        <w:t>11.4 所有投标文件都必须在采购方规定的投标截止时间之前上传政采云不见面开评标系统，在此之后投标文件，为无效投标，投标文件将一律被拒绝。</w:t>
      </w:r>
    </w:p>
    <w:p>
      <w:pPr>
        <w:spacing w:line="440" w:lineRule="exact"/>
        <w:ind w:firstLine="480" w:firstLineChars="200"/>
        <w:rPr>
          <w:rFonts w:ascii="宋体" w:hAnsi="宋体" w:cs="宋体"/>
          <w:sz w:val="24"/>
        </w:rPr>
      </w:pPr>
      <w:r>
        <w:rPr>
          <w:rFonts w:hint="eastAsia" w:ascii="宋体" w:hAnsi="宋体" w:cs="宋体"/>
          <w:sz w:val="24"/>
        </w:rPr>
        <w:t>11.5 出现因招标文件的修改而推迟投标截止时间的情况时，投标人则须按采购方的书面修改通知重新规定的投标时间递交。</w:t>
      </w:r>
    </w:p>
    <w:p>
      <w:pPr>
        <w:spacing w:line="440" w:lineRule="exact"/>
        <w:ind w:firstLine="482" w:firstLineChars="200"/>
        <w:rPr>
          <w:rFonts w:hint="eastAsia" w:ascii="宋体" w:hAnsi="宋体" w:eastAsia="宋体" w:cs="宋体"/>
          <w:b/>
          <w:sz w:val="24"/>
          <w:lang w:eastAsia="zh-CN"/>
        </w:rPr>
      </w:pPr>
      <w:r>
        <w:rPr>
          <w:rFonts w:hint="eastAsia" w:ascii="宋体" w:hAnsi="宋体" w:cs="宋体"/>
          <w:b/>
          <w:sz w:val="24"/>
        </w:rPr>
        <w:t>12、投标保证金</w:t>
      </w:r>
      <w:r>
        <w:rPr>
          <w:rFonts w:hint="eastAsia" w:ascii="宋体" w:hAnsi="宋体" w:cs="宋体"/>
          <w:b/>
          <w:sz w:val="24"/>
          <w:lang w:eastAsia="zh-CN"/>
        </w:rPr>
        <w:t>（本次不做要求）</w:t>
      </w:r>
    </w:p>
    <w:p>
      <w:pPr>
        <w:spacing w:line="440" w:lineRule="exact"/>
        <w:ind w:firstLine="480" w:firstLineChars="200"/>
        <w:rPr>
          <w:rFonts w:ascii="宋体" w:hAnsi="宋体" w:cs="宋体"/>
          <w:sz w:val="24"/>
        </w:rPr>
      </w:pPr>
      <w:r>
        <w:rPr>
          <w:rFonts w:hint="eastAsia" w:ascii="宋体" w:hAnsi="宋体" w:cs="宋体"/>
          <w:sz w:val="24"/>
        </w:rPr>
        <w:t>12.1 投标保证金是为了保护采购方免遭因投标人的行为而蒙受损失。采购方在因投标人的行为受到损害时可根据本须知的规定没收投标人的投标保证金。</w:t>
      </w:r>
    </w:p>
    <w:p>
      <w:pPr>
        <w:spacing w:line="440" w:lineRule="exact"/>
        <w:ind w:firstLine="480" w:firstLineChars="200"/>
        <w:rPr>
          <w:rFonts w:ascii="宋体" w:hAnsi="宋体" w:cs="宋体"/>
          <w:sz w:val="24"/>
        </w:rPr>
      </w:pPr>
      <w:r>
        <w:rPr>
          <w:rFonts w:hint="eastAsia" w:ascii="宋体" w:hAnsi="宋体" w:cs="宋体"/>
          <w:sz w:val="24"/>
        </w:rPr>
        <w:t>12.2 投标保证金的货币为人民币，并采用电汇，支票等形式交纳，如电汇产生的一切费用由投标人自行承担。</w:t>
      </w:r>
    </w:p>
    <w:p>
      <w:pPr>
        <w:spacing w:line="440" w:lineRule="exact"/>
        <w:ind w:firstLine="480" w:firstLineChars="200"/>
        <w:rPr>
          <w:rFonts w:ascii="宋体" w:hAnsi="宋体" w:cs="宋体"/>
          <w:sz w:val="24"/>
        </w:rPr>
      </w:pPr>
      <w:r>
        <w:rPr>
          <w:rFonts w:hint="eastAsia" w:ascii="宋体" w:hAnsi="宋体" w:cs="宋体"/>
          <w:sz w:val="24"/>
        </w:rPr>
        <w:t xml:space="preserve">12.3 </w:t>
      </w:r>
      <w:r>
        <w:rPr>
          <w:rFonts w:hint="eastAsia" w:ascii="宋体" w:hAnsi="宋体" w:cs="宋体"/>
          <w:b/>
          <w:bCs/>
          <w:sz w:val="24"/>
        </w:rPr>
        <w:t>投标保证金金额：</w:t>
      </w:r>
      <w:r>
        <w:rPr>
          <w:rFonts w:hint="eastAsia" w:ascii="宋体" w:hAnsi="宋体" w:cs="宋体"/>
          <w:sz w:val="24"/>
          <w:u w:val="single"/>
        </w:rPr>
        <w:t>详见投标人须知前附表</w:t>
      </w:r>
    </w:p>
    <w:p>
      <w:pPr>
        <w:spacing w:line="440" w:lineRule="exact"/>
        <w:ind w:firstLine="480" w:firstLineChars="200"/>
        <w:rPr>
          <w:rFonts w:ascii="宋体" w:hAnsi="宋体" w:cs="宋体"/>
          <w:color w:val="000000" w:themeColor="text1"/>
          <w:sz w:val="24"/>
        </w:rPr>
      </w:pPr>
      <w:r>
        <w:rPr>
          <w:rFonts w:hint="eastAsia" w:ascii="宋体" w:hAnsi="宋体" w:cs="宋体"/>
          <w:sz w:val="24"/>
        </w:rPr>
        <w:t>12.4 递交投标保证金截止时间：</w:t>
      </w:r>
      <w:r>
        <w:rPr>
          <w:rFonts w:hint="eastAsia" w:ascii="宋体" w:hAnsi="宋体" w:cs="宋体"/>
          <w:sz w:val="24"/>
          <w:u w:val="single"/>
        </w:rPr>
        <w:t>详见投标人须知前附表</w:t>
      </w:r>
      <w:r>
        <w:rPr>
          <w:rFonts w:hint="eastAsia" w:ascii="宋体" w:hAnsi="宋体" w:cs="宋体"/>
          <w:color w:val="000000" w:themeColor="text1"/>
          <w:sz w:val="24"/>
        </w:rPr>
        <w:t>，凡未提交投标保证金的投标，将视为自动放弃投标，投标将被拒绝。</w:t>
      </w:r>
    </w:p>
    <w:p>
      <w:pPr>
        <w:spacing w:line="440" w:lineRule="exact"/>
        <w:ind w:firstLine="480" w:firstLineChars="200"/>
        <w:rPr>
          <w:rFonts w:ascii="宋体" w:hAnsi="宋体" w:cs="宋体"/>
          <w:sz w:val="24"/>
        </w:rPr>
      </w:pPr>
      <w:r>
        <w:rPr>
          <w:rFonts w:hint="eastAsia" w:ascii="宋体" w:hAnsi="宋体" w:cs="宋体"/>
          <w:sz w:val="24"/>
        </w:rPr>
        <w:t>12.5 资格审查时没有提供投标保证金递交证明的投标，将被视为非响应性投标予以拒绝。</w:t>
      </w:r>
    </w:p>
    <w:p>
      <w:pPr>
        <w:spacing w:line="440" w:lineRule="exact"/>
        <w:ind w:firstLine="480" w:firstLineChars="200"/>
        <w:rPr>
          <w:rFonts w:ascii="宋体" w:hAnsi="宋体" w:cs="宋体"/>
          <w:sz w:val="24"/>
        </w:rPr>
      </w:pPr>
      <w:r>
        <w:rPr>
          <w:rFonts w:hint="eastAsia" w:ascii="宋体" w:hAnsi="宋体" w:cs="宋体"/>
          <w:sz w:val="24"/>
        </w:rPr>
        <w:t>12.6 中标人的投标保证金在合同签订后7个工作日内退还。</w:t>
      </w:r>
    </w:p>
    <w:p>
      <w:pPr>
        <w:spacing w:line="440" w:lineRule="exact"/>
        <w:ind w:firstLine="480" w:firstLineChars="200"/>
        <w:rPr>
          <w:rFonts w:ascii="宋体" w:hAnsi="宋体" w:cs="宋体"/>
          <w:sz w:val="24"/>
        </w:rPr>
      </w:pPr>
      <w:r>
        <w:rPr>
          <w:rFonts w:hint="eastAsia" w:ascii="宋体" w:hAnsi="宋体" w:cs="宋体"/>
          <w:sz w:val="24"/>
        </w:rPr>
        <w:t>12.7 下列任何情况发生时，投标保证金将不予退还。</w:t>
      </w:r>
    </w:p>
    <w:p>
      <w:pPr>
        <w:spacing w:line="440" w:lineRule="exact"/>
        <w:ind w:firstLine="480" w:firstLineChars="200"/>
        <w:rPr>
          <w:rFonts w:ascii="宋体" w:hAnsi="宋体" w:cs="宋体"/>
          <w:sz w:val="24"/>
        </w:rPr>
      </w:pPr>
      <w:r>
        <w:rPr>
          <w:rFonts w:hint="eastAsia" w:ascii="宋体" w:hAnsi="宋体" w:cs="宋体"/>
          <w:sz w:val="24"/>
        </w:rPr>
        <w:t>(1)  投标人在提交投标文件截止时间后撤回投标文件的；</w:t>
      </w:r>
    </w:p>
    <w:p>
      <w:pPr>
        <w:spacing w:line="440" w:lineRule="exact"/>
        <w:ind w:firstLine="480" w:firstLineChars="200"/>
        <w:rPr>
          <w:rFonts w:ascii="宋体" w:hAnsi="宋体" w:cs="宋体"/>
          <w:sz w:val="24"/>
        </w:rPr>
      </w:pPr>
      <w:r>
        <w:rPr>
          <w:rFonts w:hint="eastAsia" w:ascii="宋体" w:hAnsi="宋体" w:cs="宋体"/>
          <w:sz w:val="24"/>
        </w:rPr>
        <w:t>(2)  投标人在投标文件中提供虚假材料的；</w:t>
      </w:r>
    </w:p>
    <w:p>
      <w:pPr>
        <w:spacing w:line="440" w:lineRule="exact"/>
        <w:ind w:firstLine="480" w:firstLineChars="200"/>
        <w:rPr>
          <w:rFonts w:ascii="宋体" w:hAnsi="宋体" w:cs="宋体"/>
          <w:sz w:val="24"/>
        </w:rPr>
      </w:pPr>
      <w:r>
        <w:rPr>
          <w:rFonts w:hint="eastAsia" w:ascii="宋体" w:hAnsi="宋体" w:cs="宋体"/>
          <w:sz w:val="24"/>
        </w:rPr>
        <w:t>(3)  除因不可抗力或招标文件认可的情形外中标投标人不与采购人签订合同的；</w:t>
      </w:r>
    </w:p>
    <w:p>
      <w:pPr>
        <w:spacing w:line="440" w:lineRule="exact"/>
        <w:ind w:firstLine="480" w:firstLineChars="200"/>
        <w:rPr>
          <w:rFonts w:ascii="宋体" w:hAnsi="宋体" w:cs="宋体"/>
          <w:sz w:val="24"/>
        </w:rPr>
      </w:pPr>
      <w:r>
        <w:rPr>
          <w:rFonts w:hint="eastAsia" w:ascii="宋体" w:hAnsi="宋体" w:cs="宋体"/>
          <w:sz w:val="24"/>
        </w:rPr>
        <w:t>(4)  投标人与采购人、其他投标人或者采购代理机构恶意串通的；</w:t>
      </w:r>
    </w:p>
    <w:p>
      <w:pPr>
        <w:spacing w:line="440" w:lineRule="exact"/>
        <w:ind w:firstLine="480" w:firstLineChars="200"/>
        <w:rPr>
          <w:rFonts w:ascii="宋体" w:hAnsi="宋体" w:cs="宋体"/>
          <w:sz w:val="24"/>
        </w:rPr>
      </w:pPr>
      <w:r>
        <w:rPr>
          <w:rFonts w:hint="eastAsia" w:ascii="宋体" w:hAnsi="宋体" w:cs="宋体"/>
          <w:sz w:val="24"/>
        </w:rPr>
        <w:t>(5)  本招标文件中或《政府采购货物和服务招标投标管理办法》第七十五条规定的其他不予退还投标保证金的情形。</w:t>
      </w:r>
    </w:p>
    <w:p>
      <w:pPr>
        <w:spacing w:line="440" w:lineRule="exact"/>
        <w:ind w:firstLine="480" w:firstLineChars="200"/>
        <w:rPr>
          <w:rFonts w:ascii="宋体" w:hAnsi="宋体" w:cs="宋体"/>
          <w:sz w:val="24"/>
        </w:rPr>
      </w:pPr>
      <w:r>
        <w:rPr>
          <w:rFonts w:hint="eastAsia" w:ascii="宋体" w:hAnsi="宋体" w:cs="宋体"/>
          <w:sz w:val="24"/>
        </w:rPr>
        <w:t>上述不予退还投标保证金的情况并给代理机构造成损失的，还要承担赔偿责任。</w:t>
      </w:r>
    </w:p>
    <w:p>
      <w:pPr>
        <w:pStyle w:val="51"/>
        <w:ind w:firstLine="560"/>
      </w:pPr>
    </w:p>
    <w:p>
      <w:pPr>
        <w:pStyle w:val="51"/>
        <w:ind w:firstLine="560"/>
      </w:pPr>
    </w:p>
    <w:p>
      <w:pPr>
        <w:rPr>
          <w:rFonts w:ascii="宋体" w:hAnsi="宋体" w:cs="宋体"/>
          <w:sz w:val="24"/>
        </w:rPr>
      </w:pPr>
    </w:p>
    <w:p>
      <w:pPr>
        <w:pStyle w:val="4"/>
        <w:spacing w:before="0" w:after="0" w:line="440" w:lineRule="exact"/>
        <w:jc w:val="center"/>
        <w:rPr>
          <w:rFonts w:ascii="宋体" w:hAnsi="宋体" w:cs="宋体"/>
          <w:sz w:val="28"/>
          <w:szCs w:val="28"/>
        </w:rPr>
      </w:pPr>
      <w:bookmarkStart w:id="20" w:name="_Toc25545"/>
      <w:r>
        <w:rPr>
          <w:rFonts w:hint="eastAsia" w:ascii="宋体" w:hAnsi="宋体" w:cs="宋体"/>
          <w:sz w:val="28"/>
          <w:szCs w:val="28"/>
        </w:rPr>
        <w:t>第四章  开标（政采云不见面开标）</w:t>
      </w:r>
      <w:bookmarkEnd w:id="20"/>
    </w:p>
    <w:p>
      <w:pPr>
        <w:spacing w:line="440" w:lineRule="exact"/>
        <w:ind w:firstLine="482" w:firstLineChars="200"/>
        <w:jc w:val="left"/>
        <w:rPr>
          <w:rFonts w:ascii="宋体" w:hAnsi="宋体" w:cs="宋体"/>
          <w:b/>
          <w:sz w:val="24"/>
          <w:lang w:bidi="en-US"/>
        </w:rPr>
      </w:pPr>
      <w:r>
        <w:rPr>
          <w:rFonts w:hint="eastAsia" w:ascii="宋体" w:hAnsi="宋体" w:cs="宋体"/>
          <w:b/>
          <w:sz w:val="24"/>
          <w:lang w:bidi="en-US"/>
        </w:rPr>
        <w:t>13、开标</w:t>
      </w:r>
    </w:p>
    <w:p>
      <w:pPr>
        <w:spacing w:line="440" w:lineRule="exact"/>
        <w:ind w:firstLine="480" w:firstLineChars="200"/>
        <w:jc w:val="left"/>
        <w:rPr>
          <w:rFonts w:ascii="宋体" w:hAnsi="宋体" w:cs="宋体"/>
          <w:sz w:val="24"/>
          <w:lang w:bidi="zh-CN"/>
        </w:rPr>
      </w:pPr>
      <w:r>
        <w:rPr>
          <w:rFonts w:hint="eastAsia" w:ascii="宋体" w:hAnsi="宋体" w:cs="宋体"/>
          <w:sz w:val="24"/>
          <w:lang w:bidi="en-US"/>
        </w:rPr>
        <w:t>13.1</w:t>
      </w:r>
      <w:r>
        <w:rPr>
          <w:rFonts w:hint="eastAsia" w:ascii="宋体" w:hAnsi="宋体" w:cs="宋体"/>
          <w:sz w:val="24"/>
          <w:lang w:bidi="zh-CN"/>
        </w:rPr>
        <w:t>招标代理机构在“投标人须知前列表”中规定的日期、时间和地点组织招标会，邀请所有投标人参加。所有投标人的法定代表人或其授权代表人均应持本人身份证（授权代表人还需持授权委托书）准时出席，并在开标记录上签名确认。投标人少于3家的不得开标，招标人应当重新招标。投标人如不派代表参加的，事后不得对釆购相关人员、招标过程和招标结果提出异议。</w:t>
      </w:r>
    </w:p>
    <w:p>
      <w:pPr>
        <w:spacing w:line="440" w:lineRule="exact"/>
        <w:ind w:firstLine="480" w:firstLineChars="200"/>
        <w:jc w:val="left"/>
        <w:rPr>
          <w:rFonts w:ascii="宋体" w:hAnsi="宋体" w:cs="宋体"/>
          <w:sz w:val="24"/>
          <w:lang w:bidi="zh-CN"/>
        </w:rPr>
      </w:pPr>
      <w:r>
        <w:rPr>
          <w:rFonts w:hint="eastAsia" w:ascii="宋体" w:hAnsi="宋体" w:cs="宋体"/>
          <w:sz w:val="24"/>
          <w:lang w:bidi="zh-CN"/>
        </w:rPr>
        <w:t>13.2开标会议由招标代理人组织并主持。开标会上将按照投标人递交文件的逆顺序公布投标人名称、投标担保、投标报价、完工期、质保期和其他需宣布的内容等。</w:t>
      </w:r>
    </w:p>
    <w:p>
      <w:pPr>
        <w:spacing w:line="440" w:lineRule="exact"/>
        <w:ind w:firstLine="480" w:firstLineChars="200"/>
        <w:jc w:val="left"/>
        <w:rPr>
          <w:rFonts w:ascii="宋体" w:hAnsi="宋体" w:cs="宋体"/>
          <w:sz w:val="24"/>
          <w:lang w:bidi="zh-CN"/>
        </w:rPr>
      </w:pPr>
      <w:r>
        <w:rPr>
          <w:rFonts w:hint="eastAsia" w:ascii="宋体" w:hAnsi="宋体" w:cs="宋体"/>
          <w:sz w:val="24"/>
          <w:lang w:bidi="zh-CN"/>
        </w:rPr>
        <w:t>13.3不同投标人的投标文件异常一致或者投标报价呈规律性差异的，视为投标人相互串通投标，评标委员会应当否决其投标，招投标监督管理机构依法追究投标人及相关人员责任。</w:t>
      </w:r>
    </w:p>
    <w:p>
      <w:pPr>
        <w:spacing w:line="440" w:lineRule="exact"/>
        <w:ind w:firstLine="480" w:firstLineChars="200"/>
        <w:jc w:val="left"/>
        <w:rPr>
          <w:rFonts w:ascii="宋体" w:hAnsi="宋体" w:cs="宋体"/>
          <w:sz w:val="24"/>
          <w:lang w:bidi="zh-CN"/>
        </w:rPr>
      </w:pPr>
      <w:r>
        <w:rPr>
          <w:rFonts w:hint="eastAsia" w:ascii="宋体" w:hAnsi="宋体" w:cs="宋体"/>
          <w:sz w:val="24"/>
          <w:lang w:bidi="zh-CN"/>
        </w:rPr>
        <w:t>13.4招标代理人负责开标会议记录并归档。若招标代理人宣读的内容与投标文件不符时，投标人有权在开标现场提出异议，招标人应当当场做出答复，并进行记录。经招标监督部门当场核查确认后，招标代理人应重新宣读其投标文件。投标人的法定代表人或其授权代表人应在开标记录上签名确认。</w:t>
      </w:r>
    </w:p>
    <w:p>
      <w:pPr>
        <w:spacing w:line="440" w:lineRule="exact"/>
        <w:ind w:firstLine="361" w:firstLineChars="150"/>
        <w:jc w:val="left"/>
        <w:rPr>
          <w:rFonts w:ascii="宋体" w:hAnsi="宋体" w:cs="宋体"/>
          <w:b/>
          <w:sz w:val="24"/>
          <w:lang w:bidi="en-US"/>
        </w:rPr>
      </w:pPr>
      <w:r>
        <w:rPr>
          <w:rFonts w:hint="eastAsia" w:ascii="宋体" w:hAnsi="宋体" w:cs="宋体"/>
          <w:b/>
          <w:sz w:val="24"/>
          <w:lang w:bidi="en-US"/>
        </w:rPr>
        <w:t>14、招标会议程序</w:t>
      </w:r>
    </w:p>
    <w:p>
      <w:pPr>
        <w:spacing w:line="440" w:lineRule="exact"/>
        <w:ind w:firstLine="360" w:firstLineChars="150"/>
        <w:rPr>
          <w:rFonts w:ascii="宋体" w:hAnsi="宋体" w:cs="宋体"/>
          <w:sz w:val="24"/>
          <w:lang w:bidi="en-US"/>
        </w:rPr>
      </w:pPr>
      <w:r>
        <w:rPr>
          <w:rFonts w:hint="eastAsia" w:ascii="宋体" w:hAnsi="宋体" w:cs="宋体"/>
          <w:sz w:val="24"/>
          <w:lang w:bidi="en-US"/>
        </w:rPr>
        <w:t>14.1 开标一般按照以下程序进行：</w:t>
      </w:r>
    </w:p>
    <w:p>
      <w:pPr>
        <w:spacing w:line="440" w:lineRule="exact"/>
        <w:ind w:firstLine="360" w:firstLineChars="150"/>
        <w:rPr>
          <w:rFonts w:ascii="宋体" w:hAnsi="宋体" w:cs="宋体"/>
          <w:sz w:val="24"/>
          <w:lang w:bidi="en-US"/>
        </w:rPr>
      </w:pPr>
      <w:r>
        <w:rPr>
          <w:rFonts w:hint="eastAsia" w:ascii="宋体" w:hAnsi="宋体" w:cs="宋体"/>
          <w:sz w:val="24"/>
          <w:lang w:bidi="en-US"/>
        </w:rPr>
        <w:t>1、在招标文件确定的投标截止时间停止接受投标文件。记录人将“投标文件递交记录表”提交开标会主持人，确认投标人数量是否符合开标要求；</w:t>
      </w:r>
    </w:p>
    <w:p>
      <w:pPr>
        <w:spacing w:line="440" w:lineRule="exact"/>
        <w:ind w:firstLine="360" w:firstLineChars="150"/>
        <w:rPr>
          <w:rFonts w:ascii="宋体" w:hAnsi="宋体" w:cs="宋体"/>
          <w:sz w:val="24"/>
          <w:lang w:bidi="en-US"/>
        </w:rPr>
      </w:pPr>
      <w:r>
        <w:rPr>
          <w:rFonts w:hint="eastAsia" w:ascii="宋体" w:hAnsi="宋体" w:cs="宋体"/>
          <w:sz w:val="24"/>
          <w:lang w:bidi="en-US"/>
        </w:rPr>
        <w:t>2、主持人宣布开标会开始，宣布开标纪律；</w:t>
      </w:r>
    </w:p>
    <w:p>
      <w:pPr>
        <w:spacing w:line="440" w:lineRule="exact"/>
        <w:ind w:firstLine="360" w:firstLineChars="150"/>
        <w:rPr>
          <w:rFonts w:ascii="宋体" w:hAnsi="宋体" w:cs="宋体"/>
          <w:sz w:val="24"/>
          <w:lang w:bidi="en-US"/>
        </w:rPr>
      </w:pPr>
      <w:r>
        <w:rPr>
          <w:rFonts w:hint="eastAsia" w:ascii="宋体" w:hAnsi="宋体" w:cs="宋体"/>
          <w:sz w:val="24"/>
          <w:lang w:bidi="en-US"/>
        </w:rPr>
        <w:t>3、公布在投标截止时间递交投标文件的投标人名称，并确认投标法定代表人或者其委托代理人是否到场；</w:t>
      </w:r>
    </w:p>
    <w:p>
      <w:pPr>
        <w:spacing w:line="440" w:lineRule="exact"/>
        <w:ind w:firstLine="360" w:firstLineChars="150"/>
        <w:rPr>
          <w:rFonts w:ascii="宋体" w:hAnsi="宋体" w:cs="宋体"/>
          <w:sz w:val="24"/>
          <w:lang w:bidi="en-US"/>
        </w:rPr>
      </w:pPr>
      <w:r>
        <w:rPr>
          <w:rFonts w:hint="eastAsia" w:ascii="宋体" w:hAnsi="宋体" w:cs="宋体"/>
          <w:sz w:val="24"/>
          <w:lang w:bidi="en-US"/>
        </w:rPr>
        <w:t>4、宣布主持人、开标人、唱标人、记录人、监督人、公证机构等工作人员姓名；</w:t>
      </w:r>
    </w:p>
    <w:p>
      <w:pPr>
        <w:spacing w:line="440" w:lineRule="exact"/>
        <w:ind w:firstLine="360" w:firstLineChars="150"/>
        <w:rPr>
          <w:rFonts w:ascii="宋体" w:hAnsi="宋体" w:cs="宋体"/>
          <w:sz w:val="24"/>
          <w:lang w:bidi="en-US"/>
        </w:rPr>
      </w:pPr>
      <w:r>
        <w:rPr>
          <w:rFonts w:hint="eastAsia" w:ascii="宋体" w:hAnsi="宋体" w:cs="宋体"/>
          <w:sz w:val="24"/>
          <w:lang w:bidi="en-US"/>
        </w:rPr>
        <w:t>5、由招标人委托监督人或公证机构依次查验所需资质，宣布查验结果：</w:t>
      </w:r>
    </w:p>
    <w:p>
      <w:pPr>
        <w:spacing w:line="440" w:lineRule="exact"/>
        <w:ind w:firstLine="360" w:firstLineChars="150"/>
        <w:rPr>
          <w:rFonts w:ascii="宋体" w:hAnsi="宋体" w:cs="宋体"/>
          <w:sz w:val="24"/>
          <w:lang w:bidi="en-US"/>
        </w:rPr>
      </w:pPr>
      <w:r>
        <w:rPr>
          <w:rFonts w:hint="eastAsia" w:ascii="宋体" w:hAnsi="宋体" w:cs="宋体"/>
          <w:sz w:val="24"/>
          <w:lang w:bidi="en-US"/>
        </w:rPr>
        <w:t>6、由监督人或公证机构及投标企业授权检查投标文件的密封是否完好及符合招标文件的规定；</w:t>
      </w:r>
    </w:p>
    <w:p>
      <w:pPr>
        <w:spacing w:line="440" w:lineRule="exact"/>
        <w:ind w:firstLine="360" w:firstLineChars="150"/>
        <w:rPr>
          <w:rFonts w:ascii="宋体" w:hAnsi="宋体" w:cs="宋体"/>
          <w:sz w:val="24"/>
          <w:lang w:bidi="en-US"/>
        </w:rPr>
      </w:pPr>
      <w:r>
        <w:rPr>
          <w:rFonts w:hint="eastAsia" w:ascii="宋体" w:hAnsi="宋体" w:cs="宋体"/>
          <w:sz w:val="24"/>
          <w:lang w:bidi="en-US"/>
        </w:rPr>
        <w:t>7、经查验合格的投标文件依次按照递交投标文件的先后顺序的逆序开标、唱标人公布投标人名称、投标报价及其他内容；</w:t>
      </w:r>
    </w:p>
    <w:p>
      <w:pPr>
        <w:spacing w:line="440" w:lineRule="exact"/>
        <w:ind w:firstLine="360" w:firstLineChars="150"/>
        <w:rPr>
          <w:rFonts w:ascii="宋体" w:hAnsi="宋体" w:cs="宋体"/>
          <w:sz w:val="24"/>
          <w:lang w:bidi="en-US"/>
        </w:rPr>
      </w:pPr>
      <w:r>
        <w:rPr>
          <w:rFonts w:hint="eastAsia" w:ascii="宋体" w:hAnsi="宋体" w:cs="宋体"/>
          <w:sz w:val="24"/>
          <w:lang w:bidi="en-US"/>
        </w:rPr>
        <w:t>8、投标人法定代表人或者委托代理人、唱标人、记录人、监督人、公证处等有关人员在开标唱标记录表上签名确认；</w:t>
      </w:r>
    </w:p>
    <w:p>
      <w:pPr>
        <w:spacing w:line="440" w:lineRule="exact"/>
        <w:ind w:firstLine="360" w:firstLineChars="150"/>
        <w:rPr>
          <w:rFonts w:ascii="宋体" w:hAnsi="宋体" w:cs="宋体"/>
          <w:sz w:val="24"/>
          <w:lang w:bidi="en-US"/>
        </w:rPr>
      </w:pPr>
      <w:r>
        <w:rPr>
          <w:rFonts w:hint="eastAsia" w:ascii="宋体" w:hAnsi="宋体" w:cs="宋体"/>
          <w:sz w:val="24"/>
          <w:lang w:bidi="en-US"/>
        </w:rPr>
        <w:t>9、开标结束，进行评标。招标人或者招标代理机构应当对上述开标过程做好记录，存档备查。</w:t>
      </w:r>
    </w:p>
    <w:p>
      <w:pPr>
        <w:spacing w:line="440" w:lineRule="exact"/>
        <w:ind w:firstLine="360" w:firstLineChars="150"/>
        <w:rPr>
          <w:rFonts w:ascii="宋体" w:hAnsi="宋体" w:cs="宋体"/>
          <w:sz w:val="24"/>
          <w:lang w:bidi="en-US"/>
        </w:rPr>
      </w:pPr>
      <w:r>
        <w:rPr>
          <w:rFonts w:hint="eastAsia" w:ascii="宋体" w:hAnsi="宋体" w:cs="宋体"/>
          <w:sz w:val="24"/>
          <w:lang w:bidi="en-US"/>
        </w:rPr>
        <w:t>14.2 有下列情形之一的，监督人应当场宣布投标无效：</w:t>
      </w:r>
    </w:p>
    <w:p>
      <w:pPr>
        <w:spacing w:line="440" w:lineRule="exact"/>
        <w:ind w:firstLine="360" w:firstLineChars="150"/>
        <w:rPr>
          <w:rFonts w:ascii="宋体" w:hAnsi="宋体" w:cs="宋体"/>
          <w:sz w:val="24"/>
          <w:lang w:bidi="en-US"/>
        </w:rPr>
      </w:pPr>
      <w:r>
        <w:rPr>
          <w:rFonts w:hint="eastAsia" w:ascii="宋体" w:hAnsi="宋体" w:cs="宋体"/>
          <w:sz w:val="24"/>
          <w:lang w:bidi="en-US"/>
        </w:rPr>
        <w:t>1、未按照招标文件要求密封的；</w:t>
      </w:r>
    </w:p>
    <w:p>
      <w:pPr>
        <w:spacing w:line="440" w:lineRule="exact"/>
        <w:ind w:firstLine="360" w:firstLineChars="150"/>
        <w:rPr>
          <w:rFonts w:ascii="宋体" w:hAnsi="宋体" w:cs="宋体"/>
          <w:sz w:val="24"/>
          <w:lang w:bidi="en-US"/>
        </w:rPr>
      </w:pPr>
      <w:r>
        <w:rPr>
          <w:rFonts w:hint="eastAsia" w:ascii="宋体" w:hAnsi="宋体" w:cs="宋体"/>
          <w:sz w:val="24"/>
          <w:lang w:bidi="en-US"/>
        </w:rPr>
        <w:t>2、投标人资质审查未通过的；</w:t>
      </w:r>
    </w:p>
    <w:p>
      <w:pPr>
        <w:spacing w:line="440" w:lineRule="exact"/>
        <w:ind w:firstLine="360" w:firstLineChars="150"/>
        <w:rPr>
          <w:rFonts w:hint="eastAsia" w:ascii="宋体" w:hAnsi="宋体" w:eastAsia="宋体" w:cs="宋体"/>
          <w:sz w:val="24"/>
          <w:lang w:eastAsia="zh-CN" w:bidi="en-US"/>
        </w:rPr>
      </w:pPr>
      <w:r>
        <w:rPr>
          <w:rFonts w:hint="eastAsia" w:ascii="宋体" w:hAnsi="宋体" w:cs="宋体"/>
          <w:sz w:val="24"/>
          <w:lang w:bidi="en-US"/>
        </w:rPr>
        <w:t>3、投标保证金提交不符合规定的；</w:t>
      </w:r>
      <w:r>
        <w:rPr>
          <w:rFonts w:hint="eastAsia" w:ascii="宋体" w:hAnsi="宋体" w:cs="宋体"/>
          <w:sz w:val="24"/>
          <w:lang w:eastAsia="zh-CN" w:bidi="en-US"/>
        </w:rPr>
        <w:t>（本次不做要求）</w:t>
      </w:r>
    </w:p>
    <w:p>
      <w:pPr>
        <w:spacing w:line="440" w:lineRule="exact"/>
        <w:ind w:firstLine="360" w:firstLineChars="150"/>
        <w:rPr>
          <w:rFonts w:ascii="宋体" w:hAnsi="宋体" w:cs="宋体"/>
          <w:sz w:val="24"/>
          <w:lang w:bidi="en-US"/>
        </w:rPr>
      </w:pPr>
      <w:r>
        <w:rPr>
          <w:rFonts w:hint="eastAsia" w:ascii="宋体" w:hAnsi="宋体" w:cs="宋体"/>
          <w:sz w:val="24"/>
          <w:lang w:bidi="en-US"/>
        </w:rPr>
        <w:t>4、投标总报价高于招标控制价（即最高投标限价）的。</w:t>
      </w:r>
    </w:p>
    <w:p>
      <w:pPr>
        <w:spacing w:line="440" w:lineRule="exact"/>
        <w:ind w:firstLine="360" w:firstLineChars="150"/>
        <w:rPr>
          <w:rFonts w:ascii="宋体" w:hAnsi="宋体" w:cs="宋体"/>
          <w:sz w:val="24"/>
          <w:lang w:bidi="zh-CN"/>
        </w:rPr>
      </w:pPr>
      <w:r>
        <w:rPr>
          <w:rFonts w:hint="eastAsia" w:ascii="宋体" w:hAnsi="宋体" w:cs="宋体"/>
          <w:sz w:val="24"/>
          <w:lang w:bidi="en-US"/>
        </w:rPr>
        <w:t xml:space="preserve">14.3 </w:t>
      </w:r>
      <w:r>
        <w:rPr>
          <w:rFonts w:hint="eastAsia" w:ascii="宋体" w:hAnsi="宋体" w:cs="宋体"/>
          <w:sz w:val="24"/>
          <w:lang w:bidi="zh-CN"/>
        </w:rPr>
        <w:t>在评审过程中，评审小组可以根据招标文件和招标情况变动采购需求中的技术、服务要求以及合同草案条款，但不得变动招标文件中的实质性内容。对招标文件作出的变动是招标文件的有效组成部分，评审小组应当及时以书面形式同时通知所有参加投标的投标人。投标人应当按照招标文件的变动情况和评审小组的要求重新提交投标文件，并由其法定代表人或授权代表签字或者加盖公章。由授权代表签字的，应当附法定代表人授权书。投标人为自然人的，应当由本人签字并附身份证明。</w:t>
      </w:r>
    </w:p>
    <w:p>
      <w:pPr>
        <w:spacing w:line="440" w:lineRule="exact"/>
        <w:ind w:firstLine="480" w:firstLineChars="200"/>
        <w:rPr>
          <w:rFonts w:ascii="宋体" w:hAnsi="宋体" w:cs="宋体"/>
          <w:sz w:val="24"/>
          <w:lang w:bidi="zh-CN"/>
        </w:rPr>
      </w:pPr>
      <w:r>
        <w:rPr>
          <w:rFonts w:hint="eastAsia" w:ascii="宋体" w:hAnsi="宋体" w:cs="宋体"/>
          <w:sz w:val="24"/>
          <w:lang w:bidi="zh-CN"/>
        </w:rPr>
        <w:t>14.4 招标结束后，评审小组应当要求所有实质性响应的投标人在规定时间内提交最后报价，最后报价是投标人投标文件的有效组成部分。</w:t>
      </w:r>
    </w:p>
    <w:p>
      <w:pPr>
        <w:pStyle w:val="51"/>
        <w:ind w:firstLine="560"/>
      </w:pPr>
    </w:p>
    <w:p>
      <w:pPr>
        <w:pStyle w:val="4"/>
        <w:spacing w:before="0" w:after="0" w:line="440" w:lineRule="exact"/>
        <w:jc w:val="center"/>
        <w:rPr>
          <w:rFonts w:ascii="宋体" w:hAnsi="宋体" w:cs="宋体"/>
          <w:sz w:val="28"/>
          <w:szCs w:val="28"/>
        </w:rPr>
      </w:pPr>
      <w:bookmarkStart w:id="21" w:name="_Toc17331"/>
      <w:r>
        <w:rPr>
          <w:rFonts w:hint="eastAsia" w:ascii="宋体" w:hAnsi="宋体" w:cs="宋体"/>
          <w:sz w:val="28"/>
          <w:szCs w:val="28"/>
        </w:rPr>
        <w:t>第五章  定标</w:t>
      </w:r>
      <w:bookmarkEnd w:id="21"/>
    </w:p>
    <w:p>
      <w:pPr>
        <w:spacing w:line="440" w:lineRule="exact"/>
        <w:ind w:firstLine="472" w:firstLineChars="196"/>
        <w:rPr>
          <w:rFonts w:ascii="宋体" w:hAnsi="宋体" w:cs="宋体"/>
          <w:b/>
          <w:sz w:val="24"/>
        </w:rPr>
      </w:pPr>
      <w:r>
        <w:rPr>
          <w:rFonts w:hint="eastAsia" w:ascii="宋体" w:hAnsi="宋体" w:cs="宋体"/>
          <w:b/>
          <w:sz w:val="24"/>
        </w:rPr>
        <w:t>15、定标标准</w:t>
      </w:r>
    </w:p>
    <w:p>
      <w:pPr>
        <w:spacing w:line="440" w:lineRule="exact"/>
        <w:ind w:firstLine="472" w:firstLineChars="200"/>
        <w:rPr>
          <w:rFonts w:ascii="宋体" w:hAnsi="宋体" w:cs="宋体"/>
          <w:spacing w:val="-2"/>
          <w:sz w:val="24"/>
        </w:rPr>
      </w:pPr>
      <w:r>
        <w:rPr>
          <w:rFonts w:hint="eastAsia" w:ascii="宋体" w:hAnsi="宋体" w:cs="宋体"/>
          <w:spacing w:val="-2"/>
          <w:sz w:val="24"/>
        </w:rPr>
        <w:t>15.1 由评审小组采用综合评分法对投标人的投标文件和报价进行综合评分。综合评分法，是指投标文件满足招标文件全部实质性要求且按评审因素的量化指标评审得分最高的投标人为中标候选投标人的评审方法。</w:t>
      </w:r>
    </w:p>
    <w:p>
      <w:pPr>
        <w:spacing w:line="440" w:lineRule="exact"/>
        <w:ind w:firstLine="472" w:firstLineChars="200"/>
        <w:rPr>
          <w:rFonts w:ascii="宋体" w:hAnsi="宋体" w:cs="宋体"/>
          <w:spacing w:val="-2"/>
          <w:sz w:val="24"/>
        </w:rPr>
      </w:pPr>
      <w:r>
        <w:rPr>
          <w:rFonts w:hint="eastAsia" w:ascii="宋体" w:hAnsi="宋体" w:cs="宋体"/>
          <w:spacing w:val="-2"/>
          <w:sz w:val="24"/>
        </w:rPr>
        <w:t>评审小组根据依据此原则按由高到低排序向采购人推荐3家投标中标候选人,或拒绝所有投标人，采购人根据专家推荐意见与建议，确定和公布最终中标投标人。</w:t>
      </w:r>
    </w:p>
    <w:p>
      <w:pPr>
        <w:spacing w:line="440" w:lineRule="exact"/>
        <w:ind w:firstLine="472" w:firstLineChars="200"/>
        <w:rPr>
          <w:rFonts w:ascii="宋体" w:hAnsi="宋体" w:cs="宋体"/>
          <w:spacing w:val="-2"/>
          <w:sz w:val="24"/>
        </w:rPr>
      </w:pPr>
      <w:r>
        <w:rPr>
          <w:rFonts w:hint="eastAsia" w:ascii="宋体" w:hAnsi="宋体" w:cs="宋体"/>
          <w:spacing w:val="-2"/>
          <w:sz w:val="24"/>
        </w:rPr>
        <w:t>15.2 原则上应将排名第一的投标人确定为中标投标人，若有以下情形之一者也可确定推荐排名第二的投标人为中标人：</w:t>
      </w:r>
    </w:p>
    <w:p>
      <w:pPr>
        <w:spacing w:line="440" w:lineRule="exact"/>
        <w:ind w:firstLine="472" w:firstLineChars="200"/>
        <w:rPr>
          <w:rFonts w:ascii="宋体" w:hAnsi="宋体" w:cs="宋体"/>
          <w:spacing w:val="-2"/>
          <w:sz w:val="24"/>
        </w:rPr>
      </w:pPr>
      <w:r>
        <w:rPr>
          <w:rFonts w:hint="eastAsia" w:ascii="宋体" w:hAnsi="宋体" w:cs="宋体"/>
          <w:spacing w:val="-2"/>
          <w:sz w:val="24"/>
        </w:rPr>
        <w:t>15.2.1 排名第一的中标候选人放弃中标；</w:t>
      </w:r>
    </w:p>
    <w:p>
      <w:pPr>
        <w:spacing w:line="440" w:lineRule="exact"/>
        <w:ind w:firstLine="472" w:firstLineChars="200"/>
        <w:rPr>
          <w:rFonts w:ascii="宋体" w:hAnsi="宋体" w:cs="宋体"/>
          <w:spacing w:val="-2"/>
          <w:sz w:val="24"/>
        </w:rPr>
      </w:pPr>
      <w:r>
        <w:rPr>
          <w:rFonts w:hint="eastAsia" w:ascii="宋体" w:hAnsi="宋体" w:cs="宋体"/>
          <w:spacing w:val="-2"/>
          <w:sz w:val="24"/>
        </w:rPr>
        <w:t>15.2.2 排名第一的中标候选人因不可抗力提出不能履行合同。</w:t>
      </w:r>
    </w:p>
    <w:p>
      <w:pPr>
        <w:spacing w:line="440" w:lineRule="exact"/>
        <w:ind w:firstLine="472" w:firstLineChars="200"/>
        <w:rPr>
          <w:rFonts w:ascii="宋体" w:hAnsi="宋体" w:cs="宋体"/>
          <w:spacing w:val="-2"/>
          <w:sz w:val="24"/>
        </w:rPr>
      </w:pPr>
      <w:r>
        <w:rPr>
          <w:rFonts w:hint="eastAsia" w:ascii="宋体" w:hAnsi="宋体" w:cs="宋体"/>
          <w:spacing w:val="-2"/>
          <w:sz w:val="24"/>
        </w:rPr>
        <w:t>15.2.3 在接到中标通知30日内第一中标排序人未能如期签订合同。如果第二中标排序人不能满足此条要求（满足其他中标条件），采购人选择与中标排名第三的中标候选人进行技术、商务评审。</w:t>
      </w:r>
    </w:p>
    <w:p>
      <w:pPr>
        <w:spacing w:line="440" w:lineRule="exact"/>
        <w:ind w:firstLine="472" w:firstLineChars="200"/>
        <w:rPr>
          <w:rFonts w:ascii="宋体" w:hAnsi="宋体" w:cs="宋体"/>
          <w:spacing w:val="-2"/>
          <w:sz w:val="24"/>
        </w:rPr>
      </w:pPr>
      <w:r>
        <w:rPr>
          <w:rFonts w:hint="eastAsia" w:ascii="宋体" w:hAnsi="宋体" w:cs="宋体"/>
          <w:spacing w:val="-2"/>
          <w:sz w:val="24"/>
        </w:rPr>
        <w:t>15.3 评审组无义务向投标人进行任何有关招标、评审的解释工作。</w:t>
      </w:r>
    </w:p>
    <w:p>
      <w:pPr>
        <w:spacing w:line="440" w:lineRule="exact"/>
        <w:ind w:firstLine="472" w:firstLineChars="200"/>
        <w:rPr>
          <w:rFonts w:ascii="宋体" w:hAnsi="宋体" w:cs="宋体"/>
          <w:spacing w:val="-2"/>
          <w:sz w:val="24"/>
        </w:rPr>
      </w:pPr>
      <w:r>
        <w:rPr>
          <w:rFonts w:hint="eastAsia" w:ascii="宋体" w:hAnsi="宋体" w:cs="宋体"/>
          <w:spacing w:val="-2"/>
          <w:sz w:val="24"/>
        </w:rPr>
        <w:t>15.4 在确定和公布最终中标人前，采购人认为必要时，可以对认为有必要了解或核实的问题进行考查、核实。</w:t>
      </w:r>
    </w:p>
    <w:p>
      <w:pPr>
        <w:spacing w:line="440" w:lineRule="exact"/>
        <w:ind w:firstLine="472" w:firstLineChars="200"/>
        <w:rPr>
          <w:rFonts w:ascii="宋体" w:hAnsi="宋体" w:cs="宋体"/>
          <w:spacing w:val="-2"/>
          <w:sz w:val="24"/>
        </w:rPr>
      </w:pPr>
      <w:r>
        <w:rPr>
          <w:rFonts w:hint="eastAsia" w:ascii="宋体" w:hAnsi="宋体" w:cs="宋体"/>
          <w:spacing w:val="-2"/>
          <w:sz w:val="24"/>
        </w:rPr>
        <w:t>15.5 如果确定该投标人无条件圆满履行合同，评审小组将对下一个可能中标的投标人资格做出类似的审查。</w:t>
      </w:r>
    </w:p>
    <w:p>
      <w:pPr>
        <w:spacing w:line="440" w:lineRule="exact"/>
        <w:ind w:firstLine="474" w:firstLineChars="200"/>
        <w:rPr>
          <w:rFonts w:ascii="宋体" w:hAnsi="宋体" w:cs="宋体"/>
          <w:b/>
          <w:spacing w:val="-2"/>
          <w:sz w:val="24"/>
        </w:rPr>
      </w:pPr>
      <w:r>
        <w:rPr>
          <w:rFonts w:hint="eastAsia" w:ascii="宋体" w:hAnsi="宋体" w:cs="宋体"/>
          <w:b/>
          <w:spacing w:val="-2"/>
          <w:sz w:val="24"/>
        </w:rPr>
        <w:t>16、结果公示</w:t>
      </w:r>
    </w:p>
    <w:p>
      <w:pPr>
        <w:spacing w:line="440" w:lineRule="exact"/>
        <w:ind w:firstLine="472" w:firstLineChars="200"/>
        <w:rPr>
          <w:rFonts w:ascii="宋体" w:hAnsi="宋体" w:cs="宋体"/>
          <w:spacing w:val="-2"/>
          <w:sz w:val="24"/>
        </w:rPr>
      </w:pPr>
      <w:r>
        <w:rPr>
          <w:rFonts w:hint="eastAsia" w:ascii="宋体" w:hAnsi="宋体" w:cs="宋体"/>
          <w:spacing w:val="-2"/>
          <w:sz w:val="24"/>
        </w:rPr>
        <w:t>依法必须进行招标的项目，招标人在新疆政府采购网和阿克苏地区公共资源电子招投标平台公示中标候选人。公示内容包括：中标候选人及其投标报价、评标委员会成员。公示期一个工作日。</w:t>
      </w:r>
    </w:p>
    <w:p>
      <w:pPr>
        <w:spacing w:line="440" w:lineRule="exact"/>
        <w:ind w:firstLine="472" w:firstLineChars="196"/>
        <w:rPr>
          <w:rFonts w:ascii="宋体" w:hAnsi="宋体" w:cs="宋体"/>
          <w:b/>
          <w:sz w:val="24"/>
        </w:rPr>
      </w:pPr>
      <w:r>
        <w:rPr>
          <w:rFonts w:hint="eastAsia" w:ascii="宋体" w:hAnsi="宋体" w:cs="宋体"/>
          <w:b/>
          <w:sz w:val="24"/>
        </w:rPr>
        <w:t>17、中标通知书</w:t>
      </w:r>
    </w:p>
    <w:p>
      <w:pPr>
        <w:spacing w:line="440" w:lineRule="exact"/>
        <w:ind w:firstLine="480" w:firstLineChars="200"/>
        <w:rPr>
          <w:rFonts w:ascii="宋体" w:hAnsi="宋体" w:cs="宋体"/>
          <w:sz w:val="24"/>
        </w:rPr>
      </w:pPr>
      <w:r>
        <w:rPr>
          <w:rFonts w:hint="eastAsia" w:ascii="宋体" w:hAnsi="宋体" w:cs="宋体"/>
          <w:sz w:val="24"/>
        </w:rPr>
        <w:t>公示期若无异议，新疆经开项目管理有限公司将以书面形式发出《中标通知书》。《中标通知书》将作为签订合同的依据。</w:t>
      </w:r>
    </w:p>
    <w:p>
      <w:pPr>
        <w:spacing w:line="440" w:lineRule="exact"/>
        <w:ind w:firstLine="482" w:firstLineChars="200"/>
        <w:rPr>
          <w:rFonts w:ascii="宋体" w:hAnsi="宋体" w:cs="宋体"/>
          <w:b/>
          <w:sz w:val="24"/>
          <w:lang w:bidi="zh-CN"/>
        </w:rPr>
      </w:pPr>
      <w:r>
        <w:rPr>
          <w:rFonts w:hint="eastAsia" w:ascii="宋体" w:hAnsi="宋体" w:cs="宋体"/>
          <w:b/>
          <w:sz w:val="24"/>
          <w:lang w:bidi="zh-CN"/>
        </w:rPr>
        <w:t>18、质疑</w:t>
      </w:r>
    </w:p>
    <w:p>
      <w:pPr>
        <w:spacing w:line="440" w:lineRule="exact"/>
        <w:ind w:firstLine="480" w:firstLineChars="200"/>
        <w:contextualSpacing/>
        <w:rPr>
          <w:rFonts w:ascii="宋体" w:hAnsi="宋体" w:cs="宋体"/>
          <w:sz w:val="24"/>
        </w:rPr>
      </w:pPr>
      <w:r>
        <w:rPr>
          <w:rFonts w:hint="eastAsia" w:ascii="宋体" w:hAnsi="宋体" w:cs="宋体"/>
          <w:sz w:val="24"/>
        </w:rPr>
        <w:t>招标程序受《中华人民共和国政府采购法》、《政府采购法实施条例》和相关法律法规的约束，并受到严格的内部监督，以确保授予合同过程的公平、公正。</w:t>
      </w:r>
    </w:p>
    <w:p>
      <w:pPr>
        <w:spacing w:line="440" w:lineRule="exact"/>
        <w:ind w:firstLine="480" w:firstLineChars="200"/>
        <w:contextualSpacing/>
        <w:rPr>
          <w:rFonts w:ascii="宋体" w:hAnsi="宋体" w:cs="宋体"/>
          <w:sz w:val="24"/>
        </w:rPr>
      </w:pPr>
      <w:r>
        <w:rPr>
          <w:rFonts w:hint="eastAsia" w:ascii="宋体" w:hAnsi="宋体" w:cs="宋体"/>
          <w:sz w:val="24"/>
        </w:rPr>
        <w:t>18.1 投标人已经参与了投标，并于开标后对招标文件提出质疑的，其质疑被视为无效质疑。</w:t>
      </w:r>
    </w:p>
    <w:p>
      <w:pPr>
        <w:spacing w:line="440" w:lineRule="exact"/>
        <w:ind w:firstLine="480" w:firstLineChars="200"/>
        <w:rPr>
          <w:rFonts w:ascii="宋体" w:hAnsi="宋体" w:cs="宋体"/>
          <w:sz w:val="24"/>
        </w:rPr>
      </w:pPr>
      <w:r>
        <w:rPr>
          <w:rFonts w:hint="eastAsia" w:ascii="宋体" w:hAnsi="宋体" w:cs="宋体"/>
          <w:sz w:val="24"/>
        </w:rPr>
        <w:t>18.2 投标人对开标过程（接受投标文件、查验投标人资格、开标唱标）有异议的，应当在开标现场提出，由监标人及采购人、招标代理机构作出答复或更正，对开标过程未提出质疑的，在开标程序结束后或招标工作结束后，其对开标过程的质疑视为无效。</w:t>
      </w:r>
    </w:p>
    <w:p>
      <w:pPr>
        <w:spacing w:line="440" w:lineRule="exact"/>
        <w:ind w:firstLine="480" w:firstLineChars="200"/>
        <w:rPr>
          <w:rFonts w:ascii="宋体" w:hAnsi="宋体" w:cs="宋体"/>
          <w:sz w:val="24"/>
        </w:rPr>
      </w:pPr>
      <w:r>
        <w:rPr>
          <w:rFonts w:hint="eastAsia" w:ascii="宋体" w:hAnsi="宋体" w:cs="宋体"/>
          <w:sz w:val="24"/>
        </w:rPr>
        <w:t>18.3 投标人认为中标结果使自己的权益受到损害的，可以在知道或者应知其权益受到损害之日起七个工作日内，以书面形式向代理机构提出质疑。</w:t>
      </w:r>
    </w:p>
    <w:p>
      <w:pPr>
        <w:spacing w:line="440" w:lineRule="exact"/>
        <w:ind w:firstLine="480" w:firstLineChars="200"/>
        <w:contextualSpacing/>
        <w:rPr>
          <w:rFonts w:ascii="宋体" w:hAnsi="宋体" w:cs="宋体"/>
          <w:sz w:val="24"/>
        </w:rPr>
      </w:pPr>
      <w:r>
        <w:rPr>
          <w:rFonts w:hint="eastAsia" w:ascii="宋体" w:hAnsi="宋体" w:cs="宋体"/>
          <w:sz w:val="24"/>
        </w:rPr>
        <w:t>18.4 质疑应严格按照招标程序以质疑函书面格式向代理机构提出，质疑函须经法定代表人签字并加盖公章。</w:t>
      </w:r>
    </w:p>
    <w:p>
      <w:pPr>
        <w:spacing w:line="440" w:lineRule="exact"/>
        <w:ind w:firstLine="480" w:firstLineChars="200"/>
        <w:contextualSpacing/>
        <w:rPr>
          <w:rFonts w:ascii="宋体" w:hAnsi="宋体" w:cs="宋体"/>
          <w:sz w:val="24"/>
        </w:rPr>
      </w:pPr>
      <w:r>
        <w:rPr>
          <w:rFonts w:hint="eastAsia" w:ascii="宋体" w:hAnsi="宋体" w:cs="宋体"/>
          <w:sz w:val="24"/>
        </w:rPr>
        <w:t>18.5 按照“谁主张、谁举证”的原则，质疑时应当提供相关证明材料。质疑材料按照一式二份提供。</w:t>
      </w:r>
    </w:p>
    <w:p>
      <w:pPr>
        <w:spacing w:line="440" w:lineRule="exact"/>
        <w:ind w:firstLine="480" w:firstLineChars="200"/>
        <w:contextualSpacing/>
        <w:rPr>
          <w:rFonts w:ascii="宋体" w:hAnsi="宋体" w:cs="宋体"/>
          <w:sz w:val="24"/>
        </w:rPr>
      </w:pPr>
      <w:r>
        <w:rPr>
          <w:rFonts w:hint="eastAsia" w:ascii="宋体" w:hAnsi="宋体" w:cs="宋体"/>
          <w:sz w:val="24"/>
        </w:rPr>
        <w:t>18.6 有下列情形之一的，属于无效质疑，代理机构可不予受理：</w:t>
      </w:r>
    </w:p>
    <w:p>
      <w:pPr>
        <w:spacing w:line="440" w:lineRule="exact"/>
        <w:ind w:firstLine="1200" w:firstLineChars="500"/>
        <w:contextualSpacing/>
        <w:rPr>
          <w:rFonts w:ascii="宋体" w:hAnsi="宋体" w:cs="宋体"/>
          <w:sz w:val="24"/>
        </w:rPr>
      </w:pPr>
      <w:r>
        <w:rPr>
          <w:rFonts w:hint="eastAsia" w:ascii="宋体" w:hAnsi="宋体" w:cs="宋体"/>
          <w:sz w:val="24"/>
        </w:rPr>
        <w:t>A 未在有效期限内提出质疑的；</w:t>
      </w:r>
    </w:p>
    <w:p>
      <w:pPr>
        <w:spacing w:line="440" w:lineRule="exact"/>
        <w:ind w:firstLine="1200" w:firstLineChars="500"/>
        <w:contextualSpacing/>
        <w:rPr>
          <w:rFonts w:ascii="宋体" w:hAnsi="宋体" w:cs="宋体"/>
          <w:sz w:val="24"/>
        </w:rPr>
      </w:pPr>
      <w:r>
        <w:rPr>
          <w:rFonts w:hint="eastAsia" w:ascii="宋体" w:hAnsi="宋体" w:cs="宋体"/>
          <w:sz w:val="24"/>
        </w:rPr>
        <w:t>B 质疑未以书面形式提出的；</w:t>
      </w:r>
    </w:p>
    <w:p>
      <w:pPr>
        <w:spacing w:line="440" w:lineRule="exact"/>
        <w:ind w:firstLine="1200" w:firstLineChars="500"/>
        <w:contextualSpacing/>
        <w:rPr>
          <w:rFonts w:ascii="宋体" w:hAnsi="宋体" w:cs="宋体"/>
          <w:sz w:val="24"/>
        </w:rPr>
      </w:pPr>
      <w:r>
        <w:rPr>
          <w:rFonts w:hint="eastAsia" w:ascii="宋体" w:hAnsi="宋体" w:cs="宋体"/>
          <w:sz w:val="24"/>
        </w:rPr>
        <w:t>C 质疑函没有法定代表人签署并加盖单位公章的；</w:t>
      </w:r>
    </w:p>
    <w:p>
      <w:pPr>
        <w:spacing w:line="440" w:lineRule="exact"/>
        <w:ind w:firstLine="1200" w:firstLineChars="500"/>
        <w:contextualSpacing/>
        <w:rPr>
          <w:rFonts w:ascii="宋体" w:hAnsi="宋体" w:cs="宋体"/>
          <w:sz w:val="24"/>
        </w:rPr>
      </w:pPr>
      <w:r>
        <w:rPr>
          <w:rFonts w:hint="eastAsia" w:ascii="宋体" w:hAnsi="宋体" w:cs="宋体"/>
          <w:sz w:val="24"/>
        </w:rPr>
        <w:t>D 质疑事项已经进入投诉或者诉讼程序的；</w:t>
      </w:r>
    </w:p>
    <w:p>
      <w:pPr>
        <w:spacing w:line="440" w:lineRule="exact"/>
        <w:ind w:firstLine="1200" w:firstLineChars="500"/>
        <w:contextualSpacing/>
        <w:rPr>
          <w:rFonts w:ascii="宋体" w:hAnsi="宋体" w:cs="宋体"/>
          <w:sz w:val="24"/>
        </w:rPr>
      </w:pPr>
      <w:r>
        <w:rPr>
          <w:rFonts w:hint="eastAsia" w:ascii="宋体" w:hAnsi="宋体" w:cs="宋体"/>
          <w:sz w:val="24"/>
        </w:rPr>
        <w:t>E 其它不符合受理条件的情形。</w:t>
      </w:r>
    </w:p>
    <w:p>
      <w:pPr>
        <w:spacing w:line="440" w:lineRule="exact"/>
        <w:ind w:firstLine="600" w:firstLineChars="250"/>
        <w:contextualSpacing/>
        <w:rPr>
          <w:rFonts w:ascii="宋体" w:hAnsi="宋体" w:cs="宋体"/>
          <w:sz w:val="24"/>
        </w:rPr>
      </w:pPr>
      <w:r>
        <w:rPr>
          <w:rFonts w:hint="eastAsia" w:ascii="宋体" w:hAnsi="宋体" w:cs="宋体"/>
          <w:sz w:val="24"/>
        </w:rPr>
        <w:t>18.7 代理机构将在收到书面质疑后7个工作日内作出答复或相关处理决定，并以书面形式通知质疑投标企业和其他有关部门。</w:t>
      </w:r>
    </w:p>
    <w:p>
      <w:pPr>
        <w:spacing w:line="440" w:lineRule="exact"/>
        <w:ind w:firstLine="600" w:firstLineChars="250"/>
        <w:contextualSpacing/>
        <w:rPr>
          <w:rFonts w:ascii="宋体" w:hAnsi="宋体" w:cs="宋体"/>
          <w:sz w:val="24"/>
        </w:rPr>
      </w:pPr>
      <w:r>
        <w:rPr>
          <w:rFonts w:hint="eastAsia" w:ascii="宋体" w:hAnsi="宋体" w:cs="宋体"/>
          <w:sz w:val="24"/>
        </w:rPr>
        <w:t>18.8 投标人进行虚假和恶意质疑的，代理机构可以提请行业行政监管部门将其列入不良记录名单，在一至三年内禁止参加本地区招投标活动，并将处理决定在相关媒体上公布。</w:t>
      </w:r>
    </w:p>
    <w:p>
      <w:pPr>
        <w:spacing w:line="440" w:lineRule="exact"/>
        <w:ind w:firstLine="600" w:firstLineChars="250"/>
        <w:contextualSpacing/>
        <w:rPr>
          <w:rFonts w:ascii="宋体" w:hAnsi="宋体" w:cs="宋体"/>
          <w:sz w:val="24"/>
        </w:rPr>
      </w:pPr>
      <w:r>
        <w:rPr>
          <w:rFonts w:hint="eastAsia" w:ascii="宋体" w:hAnsi="宋体" w:cs="宋体"/>
          <w:sz w:val="24"/>
        </w:rPr>
        <w:t>18.9 投标人对代理机构的答复不满意以及代理机构未在规定的时间内做出答复的，可以在答复期满后15个工作日内向行业行政监管部门进行投诉。</w:t>
      </w:r>
    </w:p>
    <w:p>
      <w:pPr>
        <w:pStyle w:val="51"/>
        <w:ind w:firstLine="560"/>
      </w:pPr>
    </w:p>
    <w:p>
      <w:pPr>
        <w:pStyle w:val="4"/>
        <w:spacing w:before="0" w:after="0" w:line="440" w:lineRule="exact"/>
        <w:jc w:val="center"/>
        <w:rPr>
          <w:rFonts w:ascii="宋体" w:hAnsi="宋体" w:cs="宋体"/>
          <w:sz w:val="24"/>
          <w:szCs w:val="24"/>
        </w:rPr>
      </w:pPr>
      <w:bookmarkStart w:id="22" w:name="_Toc8613"/>
      <w:r>
        <w:rPr>
          <w:rFonts w:hint="eastAsia" w:ascii="宋体" w:hAnsi="宋体" w:cs="宋体"/>
          <w:sz w:val="28"/>
          <w:szCs w:val="28"/>
        </w:rPr>
        <w:t>第六章  授予合同</w:t>
      </w:r>
      <w:bookmarkEnd w:id="22"/>
    </w:p>
    <w:p>
      <w:pPr>
        <w:spacing w:line="440" w:lineRule="exact"/>
        <w:ind w:firstLine="480" w:firstLineChars="200"/>
        <w:rPr>
          <w:rFonts w:ascii="宋体" w:hAnsi="宋体" w:cs="宋体"/>
          <w:sz w:val="24"/>
        </w:rPr>
      </w:pPr>
      <w:r>
        <w:rPr>
          <w:rFonts w:hint="eastAsia" w:ascii="宋体" w:hAnsi="宋体" w:cs="宋体"/>
          <w:sz w:val="24"/>
        </w:rPr>
        <w:t>19、签订合同</w:t>
      </w:r>
    </w:p>
    <w:p>
      <w:pPr>
        <w:spacing w:line="440" w:lineRule="exact"/>
        <w:ind w:firstLine="480" w:firstLineChars="200"/>
        <w:rPr>
          <w:rFonts w:ascii="宋体" w:hAnsi="宋体" w:cs="宋体"/>
          <w:sz w:val="24"/>
        </w:rPr>
      </w:pPr>
      <w:r>
        <w:rPr>
          <w:rFonts w:hint="eastAsia" w:ascii="宋体" w:hAnsi="宋体" w:cs="宋体"/>
          <w:sz w:val="24"/>
        </w:rPr>
        <w:t>19.1中标方收到采购方的《中标通知书》后30日内，按照招标文件的约定和中标人投标文件中的承诺与采购单位签订书面合同，所签订的合同不得对招标文件和中标人的投标文件作实质性修改。</w:t>
      </w:r>
    </w:p>
    <w:p>
      <w:pPr>
        <w:spacing w:line="440" w:lineRule="exact"/>
        <w:ind w:firstLine="480" w:firstLineChars="200"/>
        <w:rPr>
          <w:rFonts w:ascii="宋体" w:hAnsi="宋体" w:cs="宋体"/>
          <w:sz w:val="24"/>
        </w:rPr>
      </w:pPr>
      <w:r>
        <w:rPr>
          <w:rFonts w:hint="eastAsia" w:ascii="宋体" w:hAnsi="宋体" w:cs="宋体"/>
          <w:sz w:val="24"/>
        </w:rPr>
        <w:t>19.2采购方在授予合同时，有权对招标文件中规定的服务的数量在10%的幅度内予以增加或减少。但不得对单价更改。</w:t>
      </w:r>
    </w:p>
    <w:p>
      <w:pPr>
        <w:spacing w:line="440" w:lineRule="exact"/>
        <w:ind w:firstLine="480" w:firstLineChars="200"/>
        <w:rPr>
          <w:rFonts w:ascii="宋体" w:hAnsi="宋体" w:cs="宋体"/>
          <w:sz w:val="24"/>
        </w:rPr>
      </w:pPr>
      <w:r>
        <w:rPr>
          <w:rFonts w:hint="eastAsia" w:ascii="宋体" w:hAnsi="宋体" w:cs="宋体"/>
          <w:sz w:val="24"/>
        </w:rPr>
        <w:t>19.3如中标方拒签合同，则按违约处理。采购方没收其投标保证金。</w:t>
      </w:r>
    </w:p>
    <w:p>
      <w:pPr>
        <w:spacing w:line="440" w:lineRule="exact"/>
        <w:ind w:firstLine="480" w:firstLineChars="200"/>
        <w:rPr>
          <w:rFonts w:ascii="宋体" w:hAnsi="宋体" w:cs="宋体"/>
          <w:sz w:val="24"/>
        </w:rPr>
      </w:pPr>
      <w:r>
        <w:rPr>
          <w:rFonts w:hint="eastAsia" w:ascii="宋体" w:hAnsi="宋体" w:cs="宋体"/>
          <w:sz w:val="24"/>
        </w:rPr>
        <w:t>19.4招标文件、中标人投标文件及其澄清文件等，均为签订经济合同的依据。</w:t>
      </w:r>
    </w:p>
    <w:p>
      <w:pPr>
        <w:spacing w:line="440" w:lineRule="exact"/>
        <w:ind w:firstLine="480" w:firstLineChars="200"/>
        <w:rPr>
          <w:rFonts w:ascii="宋体" w:hAnsi="宋体" w:cs="宋体"/>
          <w:sz w:val="24"/>
        </w:rPr>
      </w:pPr>
      <w:r>
        <w:rPr>
          <w:rFonts w:hint="eastAsia" w:ascii="宋体" w:hAnsi="宋体" w:cs="宋体"/>
          <w:sz w:val="24"/>
        </w:rPr>
        <w:t>19.5不允许中标人将中标项目分包或转交他人承担，特殊情况下，中标人必须与采购方协商后共同决定将合同标的中的部分由第三方承担供货和服务责任，但中标人必须对合同标的全部内容向采购方负责，并保证第三方提供的供货和服务符合招标文件的约定和投标文件的承诺及相关约定。</w:t>
      </w:r>
    </w:p>
    <w:p>
      <w:pPr>
        <w:pStyle w:val="3"/>
        <w:adjustRightInd w:val="0"/>
        <w:snapToGrid w:val="0"/>
        <w:spacing w:before="100" w:beforeAutospacing="1" w:after="100" w:afterAutospacing="1" w:line="240" w:lineRule="auto"/>
        <w:jc w:val="center"/>
        <w:rPr>
          <w:b/>
          <w:bCs/>
          <w:kern w:val="44"/>
          <w:sz w:val="36"/>
          <w:szCs w:val="36"/>
          <w:highlight w:val="none"/>
          <w:lang w:val="zh-CN"/>
        </w:rPr>
      </w:pPr>
      <w:r>
        <w:rPr>
          <w:bCs/>
          <w:kern w:val="0"/>
          <w:sz w:val="28"/>
          <w:szCs w:val="28"/>
        </w:rPr>
        <w:br w:type="page"/>
      </w:r>
      <w:bookmarkStart w:id="23" w:name="_Toc3439"/>
      <w:r>
        <w:rPr>
          <w:sz w:val="32"/>
          <w:szCs w:val="32"/>
        </w:rPr>
        <w:t xml:space="preserve">第四部分  </w:t>
      </w:r>
      <w:bookmarkStart w:id="24" w:name="_Hlk78547273"/>
      <w:r>
        <w:rPr>
          <w:rFonts w:hint="eastAsia" w:ascii="宋体" w:hAnsi="宋体" w:eastAsia="宋体" w:cs="宋体"/>
          <w:sz w:val="32"/>
          <w:szCs w:val="32"/>
          <w:lang w:val="zh-CN"/>
        </w:rPr>
        <w:t>用户需求书</w:t>
      </w:r>
      <w:bookmarkEnd w:id="23"/>
    </w:p>
    <w:p>
      <w:pPr>
        <w:spacing w:line="360" w:lineRule="auto"/>
        <w:jc w:val="center"/>
        <w:outlineLvl w:val="1"/>
        <w:rPr>
          <w:b/>
          <w:caps/>
          <w:sz w:val="32"/>
          <w:szCs w:val="32"/>
          <w:highlight w:val="none"/>
        </w:rPr>
      </w:pPr>
      <w:bookmarkStart w:id="25" w:name="_Toc19815"/>
      <w:bookmarkStart w:id="26" w:name="_Toc9613"/>
      <w:bookmarkStart w:id="27" w:name="_Toc4043"/>
      <w:bookmarkStart w:id="28" w:name="_Toc26795"/>
      <w:bookmarkStart w:id="29" w:name="_Toc32032"/>
      <w:r>
        <w:rPr>
          <w:rFonts w:hint="eastAsia"/>
          <w:b/>
          <w:caps/>
          <w:sz w:val="32"/>
          <w:szCs w:val="32"/>
          <w:highlight w:val="none"/>
        </w:rPr>
        <w:t xml:space="preserve">第一部分 </w:t>
      </w:r>
      <w:r>
        <w:rPr>
          <w:b/>
          <w:caps/>
          <w:sz w:val="32"/>
          <w:szCs w:val="32"/>
          <w:highlight w:val="none"/>
        </w:rPr>
        <w:t>商务条款</w:t>
      </w:r>
      <w:bookmarkEnd w:id="25"/>
      <w:bookmarkEnd w:id="26"/>
      <w:bookmarkEnd w:id="27"/>
      <w:bookmarkEnd w:id="28"/>
      <w:bookmarkEnd w:id="29"/>
    </w:p>
    <w:tbl>
      <w:tblPr>
        <w:tblStyle w:val="23"/>
        <w:tblW w:w="9737" w:type="dxa"/>
        <w:jc w:val="center"/>
        <w:tblCellSpacing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15" w:type="dxa"/>
          <w:left w:w="15" w:type="dxa"/>
          <w:bottom w:w="15" w:type="dxa"/>
          <w:right w:w="15" w:type="dxa"/>
        </w:tblCellMar>
      </w:tblPr>
      <w:tblGrid>
        <w:gridCol w:w="1274"/>
        <w:gridCol w:w="2216"/>
        <w:gridCol w:w="6247"/>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274" w:type="dxa"/>
            <w:tcBorders>
              <w:top w:val="outset" w:color="DDDDDD" w:sz="6" w:space="0"/>
              <w:left w:val="outset" w:color="DDDDDD" w:sz="6" w:space="0"/>
              <w:bottom w:val="outset" w:color="DDDDDD" w:sz="6" w:space="0"/>
              <w:right w:val="outset" w:color="DDDDDD" w:sz="6" w:space="0"/>
            </w:tcBorders>
            <w:shd w:val="clear" w:color="auto" w:fill="EEEEEE"/>
            <w:noWrap w:val="0"/>
            <w:vAlign w:val="center"/>
          </w:tcPr>
          <w:p>
            <w:pPr>
              <w:autoSpaceDE/>
              <w:autoSpaceDN/>
              <w:adjustRightInd/>
              <w:spacing w:line="400" w:lineRule="exact"/>
              <w:jc w:val="center"/>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条</w:t>
            </w:r>
            <w:r>
              <w:rPr>
                <w:rFonts w:hint="eastAsia" w:ascii="宋体" w:hAnsi="宋体" w:cs="宋体"/>
                <w:kern w:val="2"/>
                <w:sz w:val="24"/>
                <w:szCs w:val="24"/>
                <w:highlight w:val="none"/>
                <w:lang w:eastAsia="zh-CN"/>
              </w:rPr>
              <w:t>目</w:t>
            </w:r>
            <w:r>
              <w:rPr>
                <w:rFonts w:hint="eastAsia" w:ascii="宋体" w:hAnsi="宋体" w:eastAsia="宋体" w:cs="宋体"/>
                <w:kern w:val="2"/>
                <w:sz w:val="24"/>
                <w:szCs w:val="24"/>
                <w:highlight w:val="none"/>
                <w:lang w:eastAsia="zh-CN"/>
              </w:rPr>
              <w:t>号</w:t>
            </w:r>
          </w:p>
        </w:tc>
        <w:tc>
          <w:tcPr>
            <w:tcW w:w="2216" w:type="dxa"/>
            <w:tcBorders>
              <w:top w:val="outset" w:color="DDDDDD" w:sz="6" w:space="0"/>
              <w:left w:val="outset" w:color="DDDDDD" w:sz="6" w:space="0"/>
              <w:bottom w:val="outset" w:color="DDDDDD" w:sz="6" w:space="0"/>
              <w:right w:val="outset" w:color="DDDDDD" w:sz="6" w:space="0"/>
            </w:tcBorders>
            <w:shd w:val="clear" w:color="auto" w:fill="EEEEEE"/>
            <w:noWrap w:val="0"/>
            <w:vAlign w:val="center"/>
          </w:tcPr>
          <w:p>
            <w:pPr>
              <w:autoSpaceDE/>
              <w:autoSpaceDN/>
              <w:adjustRightInd/>
              <w:spacing w:line="400" w:lineRule="exact"/>
              <w:jc w:val="center"/>
              <w:rPr>
                <w:rFonts w:hint="eastAsia" w:ascii="宋体" w:hAnsi="宋体" w:eastAsia="宋体" w:cs="宋体"/>
                <w:kern w:val="2"/>
                <w:sz w:val="24"/>
                <w:szCs w:val="24"/>
                <w:highlight w:val="none"/>
              </w:rPr>
            </w:pPr>
            <w:r>
              <w:rPr>
                <w:rFonts w:hint="eastAsia" w:ascii="宋体" w:hAnsi="宋体" w:cs="宋体"/>
                <w:kern w:val="2"/>
                <w:sz w:val="24"/>
                <w:szCs w:val="24"/>
                <w:highlight w:val="none"/>
                <w:lang w:eastAsia="zh-CN"/>
              </w:rPr>
              <w:t>条款</w:t>
            </w:r>
            <w:r>
              <w:rPr>
                <w:rFonts w:hint="eastAsia" w:ascii="宋体" w:hAnsi="宋体" w:eastAsia="宋体" w:cs="宋体"/>
                <w:kern w:val="2"/>
                <w:sz w:val="24"/>
                <w:szCs w:val="24"/>
                <w:highlight w:val="none"/>
              </w:rPr>
              <w:t>名称</w:t>
            </w:r>
          </w:p>
        </w:tc>
        <w:tc>
          <w:tcPr>
            <w:tcW w:w="6247" w:type="dxa"/>
            <w:tcBorders>
              <w:top w:val="outset" w:color="DDDDDD" w:sz="6" w:space="0"/>
              <w:left w:val="outset" w:color="DDDDDD" w:sz="6" w:space="0"/>
              <w:bottom w:val="outset" w:color="DDDDDD" w:sz="6" w:space="0"/>
              <w:right w:val="outset" w:color="DDDDDD" w:sz="6" w:space="0"/>
            </w:tcBorders>
            <w:shd w:val="clear" w:color="auto" w:fill="EEEEEE"/>
            <w:noWrap w:val="0"/>
            <w:vAlign w:val="center"/>
          </w:tcPr>
          <w:p>
            <w:pPr>
              <w:autoSpaceDE/>
              <w:autoSpaceDN/>
              <w:adjustRightInd/>
              <w:spacing w:line="400" w:lineRule="exact"/>
              <w:jc w:val="center"/>
              <w:rPr>
                <w:rFonts w:hint="eastAsia" w:ascii="宋体" w:hAnsi="宋体" w:eastAsia="宋体" w:cs="宋体"/>
                <w:kern w:val="2"/>
                <w:sz w:val="24"/>
                <w:szCs w:val="24"/>
                <w:highlight w:val="none"/>
              </w:rPr>
            </w:pPr>
            <w:r>
              <w:rPr>
                <w:rFonts w:hint="eastAsia" w:ascii="宋体" w:hAnsi="宋体" w:cs="宋体"/>
                <w:kern w:val="2"/>
                <w:sz w:val="24"/>
                <w:szCs w:val="24"/>
                <w:highlight w:val="none"/>
                <w:lang w:eastAsia="zh-CN"/>
              </w:rPr>
              <w:t>条款</w:t>
            </w:r>
            <w:r>
              <w:rPr>
                <w:rFonts w:hint="eastAsia" w:ascii="宋体" w:hAnsi="宋体" w:eastAsia="宋体" w:cs="宋体"/>
                <w:kern w:val="2"/>
                <w:sz w:val="24"/>
                <w:szCs w:val="24"/>
                <w:highlight w:val="none"/>
              </w:rPr>
              <w:t>说明</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1163" w:hRule="atLeast"/>
          <w:tblCellSpacing w:w="0" w:type="dxa"/>
          <w:jc w:val="center"/>
        </w:trPr>
        <w:tc>
          <w:tcPr>
            <w:tcW w:w="1274"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w:t>
            </w:r>
          </w:p>
        </w:tc>
        <w:tc>
          <w:tcPr>
            <w:tcW w:w="2216"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报价方式</w:t>
            </w:r>
          </w:p>
        </w:tc>
        <w:tc>
          <w:tcPr>
            <w:tcW w:w="6247" w:type="dxa"/>
            <w:tcBorders>
              <w:top w:val="outset" w:color="DDDDDD" w:sz="6" w:space="0"/>
              <w:left w:val="outset" w:color="DDDDDD" w:sz="6" w:space="0"/>
              <w:bottom w:val="outset" w:color="DDDDDD" w:sz="6" w:space="0"/>
              <w:right w:val="outset" w:color="DDDDDD" w:sz="6" w:space="0"/>
            </w:tcBorders>
            <w:noWrap w:val="0"/>
            <w:vAlign w:val="center"/>
          </w:tcPr>
          <w:p>
            <w:pPr>
              <w:pStyle w:val="10"/>
              <w:spacing w:line="400" w:lineRule="exact"/>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、一次报价。报价应包含招标文件中所述服务的所有工作内容等一切费用。</w:t>
            </w:r>
          </w:p>
          <w:p>
            <w:pPr>
              <w:pStyle w:val="10"/>
              <w:spacing w:line="400" w:lineRule="exact"/>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、根据《政府采购促进中小企业发展暂行办法》（财库[2020]46号）的规定，对小型和微型企业产品的价格给予10%的价格扣除，用扣除后的价格参与评标。中小微企业提供《中小企业声明函》。</w:t>
            </w:r>
          </w:p>
          <w:p>
            <w:pPr>
              <w:pStyle w:val="10"/>
              <w:spacing w:line="400" w:lineRule="exact"/>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、根据《关于促进残疾人就业政府采购政策的通知》（财库[2017]141号），残疾人福利性单位视同小型、微型企业。</w:t>
            </w:r>
          </w:p>
          <w:p>
            <w:pPr>
              <w:pStyle w:val="10"/>
              <w:spacing w:line="400" w:lineRule="exact"/>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、残疾人福利性单位属于小型、微型企业的，不重复享受政策。</w:t>
            </w:r>
          </w:p>
          <w:p>
            <w:pPr>
              <w:pStyle w:val="10"/>
              <w:spacing w:line="400" w:lineRule="exact"/>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 xml:space="preserve">、投标人的报价明显低于其他投标人报价，或者明显低于市场价，使得其报价可能低于其个别成本的，应当要求该投标人作出书面说明并提供相应的证明材料。 </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488" w:hRule="atLeast"/>
          <w:tblCellSpacing w:w="0" w:type="dxa"/>
          <w:jc w:val="center"/>
        </w:trPr>
        <w:tc>
          <w:tcPr>
            <w:tcW w:w="1274"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center"/>
              <w:rPr>
                <w:rFonts w:hint="default"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p>
        </w:tc>
        <w:tc>
          <w:tcPr>
            <w:tcW w:w="2216" w:type="dxa"/>
            <w:tcBorders>
              <w:top w:val="outset" w:color="DDDDDD" w:sz="6" w:space="0"/>
              <w:left w:val="outset" w:color="DDDDDD" w:sz="6" w:space="0"/>
              <w:bottom w:val="outset" w:color="DDDDDD" w:sz="6" w:space="0"/>
              <w:right w:val="outset" w:color="DDDDDD" w:sz="6" w:space="0"/>
            </w:tcBorders>
            <w:noWrap w:val="0"/>
            <w:vAlign w:val="center"/>
          </w:tcPr>
          <w:p>
            <w:pPr>
              <w:spacing w:line="400" w:lineRule="exact"/>
              <w:jc w:val="center"/>
              <w:rPr>
                <w:rFonts w:hint="eastAsia" w:ascii="宋体" w:hAnsi="宋体" w:eastAsia="宋体" w:cs="宋体"/>
                <w:kern w:val="2"/>
                <w:sz w:val="24"/>
                <w:szCs w:val="24"/>
                <w:highlight w:val="none"/>
              </w:rPr>
            </w:pPr>
            <w:r>
              <w:rPr>
                <w:rFonts w:hint="eastAsia" w:ascii="宋体" w:hAnsi="宋体" w:cs="宋体"/>
                <w:sz w:val="24"/>
              </w:rPr>
              <w:t>投标有效期</w:t>
            </w:r>
          </w:p>
        </w:tc>
        <w:tc>
          <w:tcPr>
            <w:tcW w:w="6247" w:type="dxa"/>
            <w:tcBorders>
              <w:top w:val="outset" w:color="DDDDDD" w:sz="6" w:space="0"/>
              <w:left w:val="outset" w:color="DDDDDD" w:sz="6" w:space="0"/>
              <w:bottom w:val="outset" w:color="DDDDDD" w:sz="6" w:space="0"/>
              <w:right w:val="outset" w:color="DDDDDD" w:sz="6" w:space="0"/>
            </w:tcBorders>
            <w:noWrap w:val="0"/>
            <w:vAlign w:val="center"/>
          </w:tcPr>
          <w:p>
            <w:pPr>
              <w:spacing w:line="400" w:lineRule="exact"/>
              <w:rPr>
                <w:rFonts w:hint="eastAsia" w:ascii="宋体" w:hAnsi="宋体" w:eastAsia="宋体" w:cs="宋体"/>
                <w:sz w:val="24"/>
                <w:szCs w:val="24"/>
                <w:highlight w:val="none"/>
                <w:lang w:val="en-US" w:eastAsia="zh-CN"/>
              </w:rPr>
            </w:pPr>
            <w:r>
              <w:rPr>
                <w:rFonts w:hint="eastAsia" w:ascii="宋体" w:hAnsi="宋体" w:cs="宋体"/>
                <w:sz w:val="24"/>
              </w:rPr>
              <w:t>60天（从投标截止之日算起）</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299" w:hRule="atLeast"/>
          <w:tblCellSpacing w:w="0" w:type="dxa"/>
          <w:jc w:val="center"/>
        </w:trPr>
        <w:tc>
          <w:tcPr>
            <w:tcW w:w="1274"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center"/>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3</w:t>
            </w:r>
          </w:p>
        </w:tc>
        <w:tc>
          <w:tcPr>
            <w:tcW w:w="2216"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合同履约期限</w:t>
            </w:r>
          </w:p>
        </w:tc>
        <w:tc>
          <w:tcPr>
            <w:tcW w:w="6247"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甲乙双方签订合同后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0日内完成</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299" w:hRule="atLeast"/>
          <w:tblCellSpacing w:w="0" w:type="dxa"/>
          <w:jc w:val="center"/>
        </w:trPr>
        <w:tc>
          <w:tcPr>
            <w:tcW w:w="1274"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center"/>
              <w:rPr>
                <w:rFonts w:hint="default"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4</w:t>
            </w:r>
          </w:p>
        </w:tc>
        <w:tc>
          <w:tcPr>
            <w:tcW w:w="2216" w:type="dxa"/>
            <w:tcBorders>
              <w:top w:val="outset" w:color="DDDDDD" w:sz="6" w:space="0"/>
              <w:left w:val="outset" w:color="DDDDDD" w:sz="6" w:space="0"/>
              <w:bottom w:val="outset" w:color="DDDDDD" w:sz="6" w:space="0"/>
              <w:right w:val="outset" w:color="DDDDDD" w:sz="6"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cs="宋体"/>
                <w:snapToGrid w:val="0"/>
                <w:kern w:val="0"/>
                <w:sz w:val="24"/>
              </w:rPr>
              <w:t>交货（服务）地点</w:t>
            </w:r>
          </w:p>
        </w:tc>
        <w:tc>
          <w:tcPr>
            <w:tcW w:w="6247" w:type="dxa"/>
            <w:tcBorders>
              <w:top w:val="outset" w:color="DDDDDD" w:sz="6" w:space="0"/>
              <w:left w:val="outset" w:color="DDDDDD" w:sz="6" w:space="0"/>
              <w:bottom w:val="outset" w:color="DDDDDD" w:sz="6" w:space="0"/>
              <w:right w:val="outset" w:color="DDDDDD" w:sz="6" w:space="0"/>
            </w:tcBorders>
            <w:noWrap w:val="0"/>
            <w:vAlign w:val="center"/>
          </w:tcPr>
          <w:p>
            <w:pPr>
              <w:spacing w:line="400" w:lineRule="exact"/>
              <w:rPr>
                <w:rFonts w:hint="eastAsia" w:ascii="宋体" w:hAnsi="宋体" w:eastAsia="宋体" w:cs="宋体"/>
                <w:sz w:val="24"/>
                <w:szCs w:val="24"/>
                <w:highlight w:val="none"/>
              </w:rPr>
            </w:pPr>
            <w:r>
              <w:rPr>
                <w:rFonts w:hint="eastAsia" w:ascii="宋体" w:hAnsi="宋体" w:cs="宋体"/>
                <w:bCs/>
                <w:sz w:val="24"/>
              </w:rPr>
              <w:t>库车市</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617" w:hRule="atLeast"/>
          <w:tblCellSpacing w:w="0" w:type="dxa"/>
          <w:jc w:val="center"/>
        </w:trPr>
        <w:tc>
          <w:tcPr>
            <w:tcW w:w="1274"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center"/>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5</w:t>
            </w:r>
          </w:p>
        </w:tc>
        <w:tc>
          <w:tcPr>
            <w:tcW w:w="2216"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付款方法和条件</w:t>
            </w:r>
          </w:p>
        </w:tc>
        <w:tc>
          <w:tcPr>
            <w:tcW w:w="6247"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ind w:left="210" w:hanging="240" w:hangingChars="100"/>
              <w:jc w:val="both"/>
              <w:rPr>
                <w:rFonts w:hint="eastAsia" w:ascii="宋体" w:hAnsi="宋体" w:eastAsia="宋体" w:cs="宋体"/>
                <w:bCs/>
                <w:kern w:val="2"/>
                <w:sz w:val="24"/>
                <w:szCs w:val="24"/>
                <w:highlight w:val="none"/>
              </w:rPr>
            </w:pPr>
            <w:r>
              <w:rPr>
                <w:rFonts w:hint="eastAsia" w:ascii="宋体" w:hAnsi="宋体" w:cs="宋体"/>
                <w:sz w:val="24"/>
              </w:rPr>
              <w:t>具体付款方式以签订合同为准</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662" w:hRule="atLeast"/>
          <w:tblCellSpacing w:w="0" w:type="dxa"/>
          <w:jc w:val="center"/>
        </w:trPr>
        <w:tc>
          <w:tcPr>
            <w:tcW w:w="1274"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center"/>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6</w:t>
            </w:r>
          </w:p>
        </w:tc>
        <w:tc>
          <w:tcPr>
            <w:tcW w:w="2216"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服务要求</w:t>
            </w:r>
          </w:p>
        </w:tc>
        <w:tc>
          <w:tcPr>
            <w:tcW w:w="6247"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按规定程序真实、完整地取得数据，</w:t>
            </w:r>
            <w:r>
              <w:rPr>
                <w:rFonts w:hint="eastAsia" w:ascii="宋体" w:hAnsi="宋体" w:eastAsia="宋体" w:cs="宋体"/>
                <w:kern w:val="2"/>
                <w:sz w:val="24"/>
                <w:szCs w:val="24"/>
                <w:highlight w:val="none"/>
                <w:lang w:eastAsia="zh-CN"/>
              </w:rPr>
              <w:t>对数据进行逐项、客观地</w:t>
            </w:r>
            <w:r>
              <w:rPr>
                <w:rFonts w:hint="eastAsia" w:ascii="宋体" w:hAnsi="宋体" w:eastAsia="宋体" w:cs="宋体"/>
                <w:kern w:val="2"/>
                <w:sz w:val="24"/>
                <w:szCs w:val="24"/>
                <w:highlight w:val="none"/>
              </w:rPr>
              <w:t>分析评价，并对提交的</w:t>
            </w:r>
            <w:r>
              <w:rPr>
                <w:rFonts w:hint="eastAsia" w:ascii="宋体" w:hAnsi="宋体" w:eastAsia="宋体" w:cs="宋体"/>
                <w:kern w:val="2"/>
                <w:sz w:val="24"/>
                <w:szCs w:val="24"/>
                <w:highlight w:val="none"/>
                <w:lang w:val="en-US" w:eastAsia="zh-CN"/>
              </w:rPr>
              <w:t>成果文件</w:t>
            </w:r>
            <w:r>
              <w:rPr>
                <w:rFonts w:hint="eastAsia" w:ascii="宋体" w:hAnsi="宋体" w:eastAsia="宋体" w:cs="宋体"/>
                <w:kern w:val="2"/>
                <w:sz w:val="24"/>
                <w:szCs w:val="24"/>
                <w:highlight w:val="none"/>
              </w:rPr>
              <w:t>客观公正性负责。</w:t>
            </w:r>
          </w:p>
          <w:p>
            <w:pPr>
              <w:autoSpaceDE/>
              <w:autoSpaceDN/>
              <w:adjustRightInd/>
              <w:spacing w:line="400" w:lineRule="exact"/>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通过市场化手段采集、整理相关数据，对数据分析整理，生成</w:t>
            </w:r>
            <w:r>
              <w:rPr>
                <w:rFonts w:hint="eastAsia" w:ascii="宋体" w:hAnsi="宋体" w:eastAsia="宋体" w:cs="宋体"/>
                <w:kern w:val="2"/>
                <w:sz w:val="24"/>
                <w:szCs w:val="24"/>
                <w:highlight w:val="none"/>
                <w:lang w:val="en-US" w:eastAsia="zh-CN"/>
              </w:rPr>
              <w:t>报告书，</w:t>
            </w:r>
          </w:p>
          <w:p>
            <w:pPr>
              <w:autoSpaceDE/>
              <w:autoSpaceDN/>
              <w:adjustRightInd/>
              <w:spacing w:line="400" w:lineRule="exact"/>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3.提交的成果文件，须满足采购人对本项目的评审要求，以及完成后续相关工作的配套服务。</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97" w:hRule="atLeast"/>
          <w:tblCellSpacing w:w="0" w:type="dxa"/>
          <w:jc w:val="center"/>
        </w:trPr>
        <w:tc>
          <w:tcPr>
            <w:tcW w:w="1274"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center"/>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7</w:t>
            </w:r>
          </w:p>
        </w:tc>
        <w:tc>
          <w:tcPr>
            <w:tcW w:w="2216"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合同条款</w:t>
            </w:r>
          </w:p>
        </w:tc>
        <w:tc>
          <w:tcPr>
            <w:tcW w:w="6247"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投标人实质响应合同各条款。</w:t>
            </w:r>
          </w:p>
        </w:tc>
      </w:tr>
    </w:tbl>
    <w:p>
      <w:pPr>
        <w:rPr>
          <w:rFonts w:hint="eastAsia"/>
          <w:b/>
          <w:caps/>
          <w:sz w:val="32"/>
          <w:szCs w:val="32"/>
          <w:highlight w:val="none"/>
        </w:rPr>
      </w:pPr>
      <w:bookmarkStart w:id="30" w:name="_Toc30214"/>
      <w:bookmarkStart w:id="31" w:name="_Toc2503"/>
      <w:bookmarkStart w:id="32" w:name="_Toc21394"/>
      <w:r>
        <w:rPr>
          <w:rFonts w:hint="eastAsia"/>
          <w:b/>
          <w:caps/>
          <w:sz w:val="32"/>
          <w:szCs w:val="32"/>
          <w:highlight w:val="none"/>
        </w:rPr>
        <w:br w:type="page"/>
      </w:r>
    </w:p>
    <w:p>
      <w:pPr>
        <w:spacing w:line="360" w:lineRule="auto"/>
        <w:jc w:val="center"/>
        <w:outlineLvl w:val="1"/>
        <w:rPr>
          <w:rFonts w:hint="eastAsia"/>
          <w:b/>
          <w:caps/>
          <w:sz w:val="32"/>
          <w:szCs w:val="32"/>
          <w:highlight w:val="none"/>
        </w:rPr>
      </w:pPr>
      <w:bookmarkStart w:id="33" w:name="_Toc14555"/>
      <w:bookmarkStart w:id="34" w:name="_Toc2319"/>
      <w:r>
        <w:rPr>
          <w:rFonts w:hint="eastAsia"/>
          <w:b/>
          <w:caps/>
          <w:sz w:val="32"/>
          <w:szCs w:val="32"/>
          <w:highlight w:val="none"/>
        </w:rPr>
        <w:t>第二部分 技术条款</w:t>
      </w:r>
      <w:bookmarkEnd w:id="30"/>
      <w:bookmarkEnd w:id="31"/>
      <w:bookmarkEnd w:id="32"/>
      <w:bookmarkEnd w:id="33"/>
      <w:bookmarkEnd w:id="34"/>
    </w:p>
    <w:tbl>
      <w:tblPr>
        <w:tblStyle w:val="23"/>
        <w:tblW w:w="9737" w:type="dxa"/>
        <w:jc w:val="center"/>
        <w:tblCellSpacing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15" w:type="dxa"/>
          <w:left w:w="15" w:type="dxa"/>
          <w:bottom w:w="15" w:type="dxa"/>
          <w:right w:w="15" w:type="dxa"/>
        </w:tblCellMar>
      </w:tblPr>
      <w:tblGrid>
        <w:gridCol w:w="1274"/>
        <w:gridCol w:w="2216"/>
        <w:gridCol w:w="6247"/>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274" w:type="dxa"/>
            <w:tcBorders>
              <w:top w:val="outset" w:color="DDDDDD" w:sz="6" w:space="0"/>
              <w:left w:val="outset" w:color="DDDDDD" w:sz="6" w:space="0"/>
              <w:bottom w:val="outset" w:color="DDDDDD" w:sz="6" w:space="0"/>
              <w:right w:val="outset" w:color="DDDDDD" w:sz="6" w:space="0"/>
            </w:tcBorders>
            <w:shd w:val="clear" w:color="auto" w:fill="EEEEEE"/>
            <w:noWrap w:val="0"/>
            <w:vAlign w:val="center"/>
          </w:tcPr>
          <w:p>
            <w:pPr>
              <w:autoSpaceDE/>
              <w:autoSpaceDN/>
              <w:adjustRightInd/>
              <w:spacing w:line="400" w:lineRule="exact"/>
              <w:jc w:val="center"/>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条</w:t>
            </w:r>
            <w:r>
              <w:rPr>
                <w:rFonts w:hint="eastAsia" w:ascii="宋体" w:hAnsi="宋体" w:cs="宋体"/>
                <w:kern w:val="2"/>
                <w:sz w:val="24"/>
                <w:szCs w:val="24"/>
                <w:highlight w:val="none"/>
                <w:lang w:eastAsia="zh-CN"/>
              </w:rPr>
              <w:t>目</w:t>
            </w:r>
            <w:r>
              <w:rPr>
                <w:rFonts w:hint="eastAsia" w:ascii="宋体" w:hAnsi="宋体" w:eastAsia="宋体" w:cs="宋体"/>
                <w:kern w:val="2"/>
                <w:sz w:val="24"/>
                <w:szCs w:val="24"/>
                <w:highlight w:val="none"/>
                <w:lang w:eastAsia="zh-CN"/>
              </w:rPr>
              <w:t>号</w:t>
            </w:r>
          </w:p>
        </w:tc>
        <w:tc>
          <w:tcPr>
            <w:tcW w:w="2216" w:type="dxa"/>
            <w:tcBorders>
              <w:top w:val="outset" w:color="DDDDDD" w:sz="6" w:space="0"/>
              <w:left w:val="outset" w:color="DDDDDD" w:sz="6" w:space="0"/>
              <w:bottom w:val="outset" w:color="DDDDDD" w:sz="6" w:space="0"/>
              <w:right w:val="outset" w:color="DDDDDD" w:sz="6" w:space="0"/>
            </w:tcBorders>
            <w:shd w:val="clear" w:color="auto" w:fill="EEEEEE"/>
            <w:noWrap w:val="0"/>
            <w:vAlign w:val="center"/>
          </w:tcPr>
          <w:p>
            <w:pPr>
              <w:autoSpaceDE/>
              <w:autoSpaceDN/>
              <w:adjustRightInd/>
              <w:spacing w:line="400" w:lineRule="exact"/>
              <w:jc w:val="center"/>
              <w:rPr>
                <w:rFonts w:hint="eastAsia" w:ascii="宋体" w:hAnsi="宋体" w:eastAsia="宋体" w:cs="宋体"/>
                <w:kern w:val="2"/>
                <w:sz w:val="24"/>
                <w:szCs w:val="24"/>
                <w:highlight w:val="none"/>
              </w:rPr>
            </w:pPr>
            <w:r>
              <w:rPr>
                <w:rFonts w:hint="eastAsia" w:ascii="宋体" w:hAnsi="宋体" w:cs="宋体"/>
                <w:kern w:val="2"/>
                <w:sz w:val="24"/>
                <w:szCs w:val="24"/>
                <w:highlight w:val="none"/>
                <w:lang w:eastAsia="zh-CN"/>
              </w:rPr>
              <w:t>条款</w:t>
            </w:r>
            <w:r>
              <w:rPr>
                <w:rFonts w:hint="eastAsia" w:ascii="宋体" w:hAnsi="宋体" w:eastAsia="宋体" w:cs="宋体"/>
                <w:kern w:val="2"/>
                <w:sz w:val="24"/>
                <w:szCs w:val="24"/>
                <w:highlight w:val="none"/>
              </w:rPr>
              <w:t>名称</w:t>
            </w:r>
          </w:p>
        </w:tc>
        <w:tc>
          <w:tcPr>
            <w:tcW w:w="6247" w:type="dxa"/>
            <w:tcBorders>
              <w:top w:val="outset" w:color="DDDDDD" w:sz="6" w:space="0"/>
              <w:left w:val="outset" w:color="DDDDDD" w:sz="6" w:space="0"/>
              <w:bottom w:val="outset" w:color="DDDDDD" w:sz="6" w:space="0"/>
              <w:right w:val="outset" w:color="DDDDDD" w:sz="6" w:space="0"/>
            </w:tcBorders>
            <w:shd w:val="clear" w:color="auto" w:fill="EEEEEE"/>
            <w:noWrap w:val="0"/>
            <w:vAlign w:val="center"/>
          </w:tcPr>
          <w:p>
            <w:pPr>
              <w:autoSpaceDE/>
              <w:autoSpaceDN/>
              <w:adjustRightInd/>
              <w:spacing w:line="400" w:lineRule="exact"/>
              <w:jc w:val="center"/>
              <w:rPr>
                <w:rFonts w:hint="eastAsia" w:ascii="宋体" w:hAnsi="宋体" w:eastAsia="宋体" w:cs="宋体"/>
                <w:kern w:val="2"/>
                <w:sz w:val="24"/>
                <w:szCs w:val="24"/>
                <w:highlight w:val="none"/>
              </w:rPr>
            </w:pPr>
            <w:r>
              <w:rPr>
                <w:rFonts w:hint="eastAsia" w:ascii="宋体" w:hAnsi="宋体" w:cs="宋体"/>
                <w:kern w:val="2"/>
                <w:sz w:val="24"/>
                <w:szCs w:val="24"/>
                <w:highlight w:val="none"/>
                <w:lang w:eastAsia="zh-CN"/>
              </w:rPr>
              <w:t>条款</w:t>
            </w:r>
            <w:r>
              <w:rPr>
                <w:rFonts w:hint="eastAsia" w:ascii="宋体" w:hAnsi="宋体" w:eastAsia="宋体" w:cs="宋体"/>
                <w:kern w:val="2"/>
                <w:sz w:val="24"/>
                <w:szCs w:val="24"/>
                <w:highlight w:val="none"/>
              </w:rPr>
              <w:t>说明</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1163" w:hRule="atLeast"/>
          <w:tblCellSpacing w:w="0" w:type="dxa"/>
          <w:jc w:val="center"/>
        </w:trPr>
        <w:tc>
          <w:tcPr>
            <w:tcW w:w="1274"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w:t>
            </w:r>
          </w:p>
        </w:tc>
        <w:tc>
          <w:tcPr>
            <w:tcW w:w="2216"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编制依据</w:t>
            </w:r>
          </w:p>
        </w:tc>
        <w:tc>
          <w:tcPr>
            <w:tcW w:w="6247"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根据国家、地方标准及相关规范编制库车市农业灌溉水资源配置方案及供需平衡分析报告；编制库车市渠系水有效利用系数测算报告；委托实施库车市2022年农业水价综合改革（试点）验收工作的第三方支撑单位</w:t>
            </w:r>
            <w:r>
              <w:rPr>
                <w:rFonts w:hint="eastAsia" w:ascii="宋体" w:hAnsi="宋体" w:eastAsia="宋体" w:cs="宋体"/>
                <w:kern w:val="2"/>
                <w:sz w:val="24"/>
                <w:szCs w:val="24"/>
                <w:highlight w:val="none"/>
                <w:lang w:eastAsia="zh-CN"/>
              </w:rPr>
              <w:t xml:space="preserve">。 </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299" w:hRule="atLeast"/>
          <w:tblCellSpacing w:w="0" w:type="dxa"/>
          <w:jc w:val="center"/>
        </w:trPr>
        <w:tc>
          <w:tcPr>
            <w:tcW w:w="1274"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w:t>
            </w:r>
          </w:p>
        </w:tc>
        <w:tc>
          <w:tcPr>
            <w:tcW w:w="2216"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center"/>
              <w:rPr>
                <w:rFonts w:hint="eastAsia" w:ascii="宋体" w:hAnsi="宋体" w:eastAsia="宋体" w:cs="宋体"/>
                <w:kern w:val="2"/>
                <w:sz w:val="24"/>
                <w:szCs w:val="24"/>
                <w:highlight w:val="none"/>
              </w:rPr>
            </w:pPr>
            <w:r>
              <w:rPr>
                <w:rFonts w:hint="eastAsia" w:ascii="宋体" w:hAnsi="宋体" w:eastAsia="宋体" w:cs="宋体"/>
                <w:sz w:val="24"/>
                <w:szCs w:val="24"/>
                <w:lang w:val="en-US" w:eastAsia="zh-CN"/>
              </w:rPr>
              <w:t>成果要求</w:t>
            </w:r>
          </w:p>
        </w:tc>
        <w:tc>
          <w:tcPr>
            <w:tcW w:w="6247" w:type="dxa"/>
            <w:tcBorders>
              <w:top w:val="outset" w:color="DDDDDD" w:sz="6" w:space="0"/>
              <w:left w:val="outset" w:color="DDDDDD" w:sz="6" w:space="0"/>
              <w:bottom w:val="outset" w:color="DDDDDD" w:sz="6" w:space="0"/>
              <w:right w:val="outset" w:color="DDDDDD" w:sz="6" w:space="0"/>
            </w:tcBorders>
            <w:noWrap w:val="0"/>
            <w:vAlign w:val="center"/>
          </w:tcPr>
          <w:p>
            <w:pPr>
              <w:pStyle w:val="46"/>
              <w:spacing w:line="440" w:lineRule="exact"/>
              <w:ind w:left="0" w:lef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1.按规定程序真实、完整地取得数据，对数据进行逐项、客观地分析评价，并对提交的成果文件客观公正性负责。</w:t>
            </w:r>
          </w:p>
          <w:p>
            <w:pPr>
              <w:pStyle w:val="46"/>
              <w:spacing w:line="440" w:lineRule="exact"/>
              <w:ind w:left="0" w:lef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2.通过市场化手段采集、整理相关数据，对数据分析整理，生成报告书，</w:t>
            </w:r>
          </w:p>
          <w:p>
            <w:pPr>
              <w:autoSpaceDE/>
              <w:autoSpaceDN/>
              <w:adjustRightInd/>
              <w:spacing w:line="400" w:lineRule="exact"/>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SA"/>
              </w:rPr>
              <w:t>3.提交的成果文件，须满足采购人对本项目的评审要求，以及完成后续相关工作的配套服务。。</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299" w:hRule="atLeast"/>
          <w:tblCellSpacing w:w="0" w:type="dxa"/>
          <w:jc w:val="center"/>
        </w:trPr>
        <w:tc>
          <w:tcPr>
            <w:tcW w:w="1274"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center"/>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3</w:t>
            </w:r>
          </w:p>
        </w:tc>
        <w:tc>
          <w:tcPr>
            <w:tcW w:w="2216"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其他要求</w:t>
            </w:r>
          </w:p>
        </w:tc>
        <w:tc>
          <w:tcPr>
            <w:tcW w:w="6247" w:type="dxa"/>
            <w:tcBorders>
              <w:top w:val="outset" w:color="DDDDDD" w:sz="6" w:space="0"/>
              <w:left w:val="outset" w:color="DDDDDD" w:sz="6" w:space="0"/>
              <w:bottom w:val="outset" w:color="DDDDDD" w:sz="6" w:space="0"/>
              <w:right w:val="outset" w:color="DDDDDD" w:sz="6" w:space="0"/>
            </w:tcBorders>
            <w:noWrap w:val="0"/>
            <w:vAlign w:val="center"/>
          </w:tcPr>
          <w:p>
            <w:pPr>
              <w:autoSpaceDE/>
              <w:autoSpaceDN/>
              <w:adjustRightInd/>
              <w:spacing w:line="400" w:lineRule="exact"/>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符合国家、地方、行业</w:t>
            </w:r>
            <w:r>
              <w:rPr>
                <w:rFonts w:hint="eastAsia" w:ascii="宋体" w:hAnsi="宋体" w:cs="宋体"/>
                <w:kern w:val="2"/>
                <w:sz w:val="24"/>
                <w:szCs w:val="24"/>
                <w:highlight w:val="none"/>
                <w:lang w:val="en-US" w:eastAsia="zh-CN"/>
              </w:rPr>
              <w:t>、招标人</w:t>
            </w:r>
            <w:r>
              <w:rPr>
                <w:rFonts w:hint="eastAsia" w:ascii="宋体" w:hAnsi="宋体" w:eastAsia="宋体" w:cs="宋体"/>
                <w:kern w:val="2"/>
                <w:sz w:val="24"/>
                <w:szCs w:val="24"/>
                <w:highlight w:val="none"/>
                <w:lang w:val="en-US" w:eastAsia="zh-CN"/>
              </w:rPr>
              <w:t>等相关规范</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标准</w:t>
            </w:r>
            <w:r>
              <w:rPr>
                <w:rFonts w:hint="eastAsia" w:ascii="宋体" w:hAnsi="宋体" w:cs="宋体"/>
                <w:kern w:val="2"/>
                <w:sz w:val="24"/>
                <w:szCs w:val="24"/>
                <w:highlight w:val="none"/>
                <w:lang w:val="en-US" w:eastAsia="zh-CN"/>
              </w:rPr>
              <w:t>及要求</w:t>
            </w:r>
            <w:r>
              <w:rPr>
                <w:rFonts w:hint="eastAsia" w:ascii="宋体" w:hAnsi="宋体" w:eastAsia="宋体" w:cs="宋体"/>
                <w:kern w:val="2"/>
                <w:sz w:val="24"/>
                <w:szCs w:val="24"/>
                <w:highlight w:val="none"/>
                <w:lang w:val="en-US" w:eastAsia="zh-CN"/>
              </w:rPr>
              <w:t>。</w:t>
            </w:r>
          </w:p>
        </w:tc>
      </w:tr>
      <w:bookmarkEnd w:id="24"/>
    </w:tbl>
    <w:p>
      <w:pPr>
        <w:pStyle w:val="46"/>
        <w:spacing w:line="440" w:lineRule="exact"/>
        <w:ind w:firstLine="480"/>
        <w:jc w:val="left"/>
        <w:rPr>
          <w:rFonts w:ascii="宋体" w:hAnsi="宋体" w:cs="宋体"/>
        </w:rPr>
      </w:pPr>
    </w:p>
    <w:p>
      <w:pPr>
        <w:rPr>
          <w:sz w:val="32"/>
          <w:szCs w:val="32"/>
        </w:rPr>
      </w:pPr>
      <w:r>
        <w:rPr>
          <w:sz w:val="32"/>
          <w:szCs w:val="32"/>
        </w:rPr>
        <w:br w:type="page"/>
      </w:r>
    </w:p>
    <w:p>
      <w:pPr>
        <w:pStyle w:val="3"/>
        <w:keepNext w:val="0"/>
        <w:keepLines w:val="0"/>
        <w:adjustRightInd w:val="0"/>
        <w:snapToGrid w:val="0"/>
        <w:spacing w:before="100" w:beforeAutospacing="1" w:after="100" w:afterAutospacing="1" w:line="240" w:lineRule="auto"/>
        <w:jc w:val="center"/>
        <w:rPr>
          <w:sz w:val="32"/>
          <w:szCs w:val="32"/>
        </w:rPr>
      </w:pPr>
      <w:bookmarkStart w:id="35" w:name="_Toc14253"/>
      <w:r>
        <w:rPr>
          <w:sz w:val="32"/>
          <w:szCs w:val="32"/>
        </w:rPr>
        <w:t>第五部分  合同条款</w:t>
      </w:r>
      <w:bookmarkEnd w:id="35"/>
    </w:p>
    <w:p>
      <w:pPr>
        <w:spacing w:line="360" w:lineRule="auto"/>
        <w:ind w:firstLine="482" w:firstLineChars="200"/>
        <w:jc w:val="center"/>
        <w:rPr>
          <w:b/>
          <w:sz w:val="24"/>
        </w:rPr>
      </w:pPr>
      <w:r>
        <w:rPr>
          <w:rFonts w:hint="eastAsia"/>
          <w:b/>
          <w:sz w:val="24"/>
        </w:rPr>
        <w:t>(仅供参考、具体以甲乙双方签订合同为准)</w:t>
      </w:r>
    </w:p>
    <w:p>
      <w:pPr>
        <w:spacing w:line="360" w:lineRule="auto"/>
        <w:ind w:firstLine="482" w:firstLineChars="200"/>
        <w:rPr>
          <w:b/>
          <w:sz w:val="24"/>
        </w:rPr>
      </w:pPr>
      <w:r>
        <w:rPr>
          <w:b/>
          <w:sz w:val="24"/>
        </w:rPr>
        <w:t>1、定义</w:t>
      </w:r>
    </w:p>
    <w:p>
      <w:pPr>
        <w:spacing w:line="360" w:lineRule="auto"/>
        <w:ind w:firstLine="480" w:firstLineChars="200"/>
        <w:rPr>
          <w:sz w:val="24"/>
        </w:rPr>
      </w:pPr>
      <w:r>
        <w:rPr>
          <w:sz w:val="24"/>
        </w:rPr>
        <w:t>1.1  “合同”系指买方和卖方（以下简称合同双方）已达成的协议，即由双方签订的合同格式文件，包括所有的招标文件、投标文件、招标答疑纪录、澄清说明、附件、附录和组成合同的所有其他文件。</w:t>
      </w:r>
    </w:p>
    <w:p>
      <w:pPr>
        <w:spacing w:line="360" w:lineRule="auto"/>
        <w:ind w:firstLine="480" w:firstLineChars="200"/>
        <w:rPr>
          <w:sz w:val="24"/>
        </w:rPr>
      </w:pPr>
      <w:r>
        <w:rPr>
          <w:sz w:val="24"/>
        </w:rPr>
        <w:t>1.2  “合同价格”系指根据合同规定，在卖方全面正确地履行合同义务时，买方应支付给卖方的款项。</w:t>
      </w:r>
    </w:p>
    <w:p>
      <w:pPr>
        <w:spacing w:line="360" w:lineRule="auto"/>
        <w:ind w:firstLine="480" w:firstLineChars="200"/>
        <w:rPr>
          <w:sz w:val="24"/>
        </w:rPr>
      </w:pPr>
      <w:r>
        <w:rPr>
          <w:sz w:val="24"/>
        </w:rPr>
        <w:t>1.3  “服务”系指合同规定卖方必须承担的</w:t>
      </w:r>
      <w:r>
        <w:rPr>
          <w:rFonts w:hint="eastAsia"/>
          <w:sz w:val="24"/>
        </w:rPr>
        <w:t>本项目</w:t>
      </w:r>
      <w:r>
        <w:rPr>
          <w:sz w:val="24"/>
        </w:rPr>
        <w:t>以及其他</w:t>
      </w:r>
      <w:r>
        <w:rPr>
          <w:sz w:val="24"/>
          <w:lang w:bidi="zh-CN"/>
        </w:rPr>
        <w:t>附随服务</w:t>
      </w:r>
      <w:r>
        <w:rPr>
          <w:sz w:val="24"/>
        </w:rPr>
        <w:t>。</w:t>
      </w:r>
    </w:p>
    <w:p>
      <w:pPr>
        <w:spacing w:line="360" w:lineRule="auto"/>
        <w:ind w:firstLine="480" w:firstLineChars="200"/>
        <w:rPr>
          <w:sz w:val="24"/>
        </w:rPr>
      </w:pPr>
      <w:r>
        <w:rPr>
          <w:sz w:val="24"/>
        </w:rPr>
        <w:t>1.4  “甲方”、“买方”、“采购方”均系指通过招标采购，接受合同服务的自治区各行政事业单位、社会团体</w:t>
      </w:r>
      <w:r>
        <w:rPr>
          <w:rFonts w:hint="eastAsia"/>
          <w:sz w:val="24"/>
        </w:rPr>
        <w:t>（</w:t>
      </w:r>
      <w:r>
        <w:rPr>
          <w:sz w:val="24"/>
        </w:rPr>
        <w:t>采购单位</w:t>
      </w:r>
      <w:r>
        <w:rPr>
          <w:rFonts w:hint="eastAsia"/>
          <w:sz w:val="24"/>
        </w:rPr>
        <w:t>）</w:t>
      </w:r>
      <w:r>
        <w:rPr>
          <w:sz w:val="24"/>
        </w:rPr>
        <w:t>及社会代理机构。</w:t>
      </w:r>
    </w:p>
    <w:p>
      <w:pPr>
        <w:spacing w:line="360" w:lineRule="auto"/>
        <w:ind w:firstLine="480" w:firstLineChars="200"/>
        <w:rPr>
          <w:sz w:val="24"/>
        </w:rPr>
      </w:pPr>
      <w:r>
        <w:rPr>
          <w:sz w:val="24"/>
        </w:rPr>
        <w:t>1.5  “乙方”、“卖方”系指中标后提供合同服务的经济实体。</w:t>
      </w:r>
    </w:p>
    <w:p>
      <w:pPr>
        <w:spacing w:line="360" w:lineRule="auto"/>
        <w:ind w:firstLine="480" w:firstLineChars="200"/>
        <w:rPr>
          <w:sz w:val="24"/>
        </w:rPr>
      </w:pPr>
      <w:r>
        <w:rPr>
          <w:sz w:val="24"/>
        </w:rPr>
        <w:t>1.6  “现场”系指将要进行服务的地点。</w:t>
      </w:r>
    </w:p>
    <w:p>
      <w:pPr>
        <w:spacing w:line="360" w:lineRule="auto"/>
        <w:ind w:firstLine="480" w:firstLineChars="200"/>
        <w:rPr>
          <w:sz w:val="24"/>
        </w:rPr>
      </w:pPr>
      <w:r>
        <w:rPr>
          <w:sz w:val="24"/>
        </w:rPr>
        <w:t>1.7  “验收”系指买方依据国家技术规范及本合同的约定，对内技术规格规定接受合同服务所依据的程序和条件。</w:t>
      </w:r>
    </w:p>
    <w:p>
      <w:pPr>
        <w:spacing w:line="360" w:lineRule="auto"/>
        <w:ind w:firstLine="472" w:firstLineChars="196"/>
        <w:rPr>
          <w:b/>
          <w:sz w:val="24"/>
        </w:rPr>
      </w:pPr>
      <w:r>
        <w:rPr>
          <w:b/>
          <w:sz w:val="24"/>
        </w:rPr>
        <w:t>2、适用范围</w:t>
      </w:r>
    </w:p>
    <w:p>
      <w:pPr>
        <w:spacing w:line="360" w:lineRule="auto"/>
        <w:ind w:firstLine="480" w:firstLineChars="200"/>
        <w:rPr>
          <w:sz w:val="24"/>
        </w:rPr>
      </w:pPr>
      <w:r>
        <w:rPr>
          <w:sz w:val="24"/>
        </w:rPr>
        <w:t>2.1本合同条款仅适用于本次采购活动。</w:t>
      </w:r>
    </w:p>
    <w:p>
      <w:pPr>
        <w:spacing w:line="360" w:lineRule="auto"/>
        <w:ind w:firstLine="482" w:firstLineChars="200"/>
        <w:rPr>
          <w:b/>
          <w:sz w:val="24"/>
        </w:rPr>
      </w:pPr>
      <w:r>
        <w:rPr>
          <w:b/>
          <w:sz w:val="24"/>
        </w:rPr>
        <w:t>3、原产地</w:t>
      </w:r>
    </w:p>
    <w:p>
      <w:pPr>
        <w:spacing w:line="360" w:lineRule="auto"/>
        <w:ind w:firstLine="480" w:firstLineChars="200"/>
        <w:rPr>
          <w:sz w:val="24"/>
        </w:rPr>
      </w:pPr>
      <w:r>
        <w:rPr>
          <w:sz w:val="24"/>
        </w:rPr>
        <w:t>3.1原产地系指服务的生产地，或提供辅助服务的来源地。</w:t>
      </w:r>
    </w:p>
    <w:p>
      <w:pPr>
        <w:spacing w:line="360" w:lineRule="auto"/>
        <w:ind w:firstLine="482" w:firstLineChars="200"/>
        <w:rPr>
          <w:b/>
          <w:sz w:val="24"/>
        </w:rPr>
      </w:pPr>
      <w:r>
        <w:rPr>
          <w:b/>
          <w:sz w:val="24"/>
        </w:rPr>
        <w:t>4、技术规格和标准</w:t>
      </w:r>
    </w:p>
    <w:p>
      <w:pPr>
        <w:spacing w:line="360" w:lineRule="auto"/>
        <w:ind w:firstLine="480" w:firstLineChars="200"/>
        <w:rPr>
          <w:sz w:val="24"/>
        </w:rPr>
      </w:pPr>
      <w:r>
        <w:rPr>
          <w:sz w:val="24"/>
        </w:rPr>
        <w:t>4.1本合同项下所供服务的技术规格应与本招标文件技术规格规定的标准相一致。若技术规格中无相应规定，则应符合相应的国家标准或有关权威部门最新颁布的相应的正式标准。</w:t>
      </w:r>
    </w:p>
    <w:p>
      <w:pPr>
        <w:spacing w:line="360" w:lineRule="auto"/>
        <w:ind w:firstLine="482" w:firstLineChars="200"/>
        <w:rPr>
          <w:b/>
          <w:sz w:val="24"/>
        </w:rPr>
      </w:pPr>
      <w:r>
        <w:rPr>
          <w:b/>
          <w:sz w:val="24"/>
        </w:rPr>
        <w:t>5、专利权</w:t>
      </w:r>
    </w:p>
    <w:p>
      <w:pPr>
        <w:spacing w:line="360" w:lineRule="auto"/>
        <w:ind w:firstLine="480" w:firstLineChars="200"/>
        <w:rPr>
          <w:sz w:val="24"/>
        </w:rPr>
      </w:pPr>
      <w:r>
        <w:rPr>
          <w:sz w:val="24"/>
        </w:rPr>
        <w:t>5.1卖方须保障买方在使用其提供的服务及其任何部分时不受到第三方关于侵犯专利权、商标权或工业设计权的指控。任何第三方如果提出侵权指控，卖方须与第三方交涉并承担由此而引起的一切法律责任和费用。</w:t>
      </w:r>
    </w:p>
    <w:p>
      <w:pPr>
        <w:spacing w:line="360" w:lineRule="auto"/>
        <w:ind w:firstLine="482" w:firstLineChars="200"/>
        <w:rPr>
          <w:b/>
          <w:sz w:val="24"/>
        </w:rPr>
      </w:pPr>
      <w:r>
        <w:rPr>
          <w:b/>
          <w:sz w:val="24"/>
        </w:rPr>
        <w:t>6、保险</w:t>
      </w:r>
    </w:p>
    <w:p>
      <w:pPr>
        <w:spacing w:line="360" w:lineRule="auto"/>
        <w:ind w:firstLine="480" w:firstLineChars="200"/>
        <w:rPr>
          <w:sz w:val="24"/>
        </w:rPr>
      </w:pPr>
      <w:r>
        <w:rPr>
          <w:sz w:val="24"/>
        </w:rPr>
        <w:t>6.1在合同价条件下，由卖方负责办理保险。</w:t>
      </w:r>
    </w:p>
    <w:p>
      <w:pPr>
        <w:spacing w:line="360" w:lineRule="auto"/>
        <w:ind w:firstLine="482" w:firstLineChars="200"/>
        <w:rPr>
          <w:b/>
          <w:sz w:val="24"/>
        </w:rPr>
      </w:pPr>
      <w:r>
        <w:rPr>
          <w:b/>
          <w:sz w:val="24"/>
        </w:rPr>
        <w:t>7、合同价款的支付方式</w:t>
      </w:r>
    </w:p>
    <w:p>
      <w:pPr>
        <w:spacing w:line="360" w:lineRule="auto"/>
        <w:ind w:firstLine="480" w:firstLineChars="200"/>
        <w:rPr>
          <w:sz w:val="24"/>
        </w:rPr>
      </w:pPr>
      <w:r>
        <w:rPr>
          <w:sz w:val="24"/>
        </w:rPr>
        <w:t>7.1合同价款的支付方式以双方协商为准。（另有规定者外）。</w:t>
      </w:r>
    </w:p>
    <w:p>
      <w:pPr>
        <w:spacing w:line="360" w:lineRule="auto"/>
        <w:ind w:firstLine="482" w:firstLineChars="200"/>
        <w:rPr>
          <w:b/>
          <w:sz w:val="24"/>
        </w:rPr>
      </w:pPr>
      <w:r>
        <w:rPr>
          <w:b/>
          <w:sz w:val="24"/>
        </w:rPr>
        <w:t>8、价格</w:t>
      </w:r>
    </w:p>
    <w:p>
      <w:pPr>
        <w:spacing w:line="360" w:lineRule="auto"/>
        <w:ind w:firstLine="480" w:firstLineChars="200"/>
        <w:rPr>
          <w:sz w:val="24"/>
        </w:rPr>
      </w:pPr>
      <w:r>
        <w:rPr>
          <w:sz w:val="24"/>
        </w:rPr>
        <w:t>8.1除合同中另有规定者外，卖方为其所供服务而要求买方支付的金额应与其投标报价一致。</w:t>
      </w:r>
    </w:p>
    <w:p>
      <w:pPr>
        <w:spacing w:line="360" w:lineRule="auto"/>
        <w:ind w:firstLine="482" w:firstLineChars="200"/>
        <w:rPr>
          <w:b/>
          <w:sz w:val="24"/>
        </w:rPr>
      </w:pPr>
      <w:r>
        <w:rPr>
          <w:b/>
          <w:sz w:val="24"/>
        </w:rPr>
        <w:t>9、履约保证金</w:t>
      </w:r>
    </w:p>
    <w:p>
      <w:pPr>
        <w:spacing w:line="360" w:lineRule="auto"/>
        <w:ind w:firstLine="480" w:firstLineChars="200"/>
        <w:rPr>
          <w:sz w:val="24"/>
        </w:rPr>
      </w:pPr>
      <w:r>
        <w:rPr>
          <w:sz w:val="24"/>
        </w:rPr>
        <w:t>9.1合同签订后，</w:t>
      </w:r>
      <w:r>
        <w:rPr>
          <w:rFonts w:hint="eastAsia"/>
          <w:sz w:val="24"/>
        </w:rPr>
        <w:t>根据采购人需求缴纳，</w:t>
      </w:r>
      <w:r>
        <w:rPr>
          <w:sz w:val="24"/>
        </w:rPr>
        <w:t>履约保证金</w:t>
      </w:r>
      <w:r>
        <w:rPr>
          <w:rFonts w:hint="eastAsia"/>
          <w:sz w:val="24"/>
        </w:rPr>
        <w:t>金额为</w:t>
      </w:r>
      <w:r>
        <w:rPr>
          <w:sz w:val="24"/>
        </w:rPr>
        <w:t>5％的</w:t>
      </w:r>
      <w:r>
        <w:rPr>
          <w:rFonts w:hint="eastAsia"/>
          <w:sz w:val="24"/>
        </w:rPr>
        <w:t>签约合同价</w:t>
      </w:r>
      <w:r>
        <w:rPr>
          <w:sz w:val="24"/>
        </w:rPr>
        <w:t>。</w:t>
      </w:r>
    </w:p>
    <w:p>
      <w:pPr>
        <w:spacing w:line="360" w:lineRule="auto"/>
        <w:ind w:firstLine="480" w:firstLineChars="200"/>
        <w:rPr>
          <w:sz w:val="24"/>
        </w:rPr>
      </w:pPr>
      <w:r>
        <w:rPr>
          <w:sz w:val="24"/>
        </w:rPr>
        <w:t>9.2采购人在验收合格后，七个工作日内无息退还履约保证金。</w:t>
      </w:r>
    </w:p>
    <w:p>
      <w:pPr>
        <w:spacing w:line="360" w:lineRule="auto"/>
        <w:ind w:firstLine="482" w:firstLineChars="200"/>
        <w:rPr>
          <w:b/>
          <w:sz w:val="24"/>
        </w:rPr>
      </w:pPr>
      <w:r>
        <w:rPr>
          <w:b/>
          <w:sz w:val="24"/>
        </w:rPr>
        <w:t>10、索赔</w:t>
      </w:r>
    </w:p>
    <w:p>
      <w:pPr>
        <w:spacing w:line="360" w:lineRule="auto"/>
        <w:ind w:firstLine="480" w:firstLineChars="200"/>
        <w:rPr>
          <w:sz w:val="24"/>
        </w:rPr>
      </w:pPr>
      <w:r>
        <w:rPr>
          <w:sz w:val="24"/>
        </w:rPr>
        <w:t>10.1卖方对所供服务与合同约定相一致负完全责任。在买方已于规定的检验、安装、调试和验收测试期限内提出索赔时，卖方应按买方同意的下述一种或多种方法解决索赔事宜。</w:t>
      </w:r>
    </w:p>
    <w:p>
      <w:pPr>
        <w:spacing w:line="360" w:lineRule="auto"/>
        <w:ind w:firstLine="480" w:firstLineChars="200"/>
        <w:rPr>
          <w:sz w:val="24"/>
        </w:rPr>
      </w:pPr>
      <w:r>
        <w:rPr>
          <w:sz w:val="24"/>
        </w:rPr>
        <w:t>10.2</w:t>
      </w:r>
      <w:r>
        <w:rPr>
          <w:rFonts w:hint="eastAsia"/>
          <w:sz w:val="24"/>
        </w:rPr>
        <w:t>投标人</w:t>
      </w:r>
      <w:r>
        <w:rPr>
          <w:sz w:val="24"/>
        </w:rPr>
        <w:t>提供的服务未能达到标书规定的要求，或者有明显缺陷及损坏设备或软件，采购人将保留索赔的权利。</w:t>
      </w:r>
    </w:p>
    <w:p>
      <w:pPr>
        <w:spacing w:line="360" w:lineRule="auto"/>
        <w:ind w:firstLine="480" w:firstLineChars="200"/>
        <w:rPr>
          <w:sz w:val="24"/>
        </w:rPr>
      </w:pPr>
      <w:r>
        <w:rPr>
          <w:sz w:val="24"/>
        </w:rPr>
        <w:t>10.3若卖方未能在买方依据合法证据正式提出书面索赔通知的10天内或买方同意的更长时间内，按买方同意的上述任何一种方式响应和处理索赔事宜，卖方向买方赔偿违约部分金额的10%的违约金。</w:t>
      </w:r>
    </w:p>
    <w:p>
      <w:pPr>
        <w:spacing w:line="360" w:lineRule="auto"/>
        <w:ind w:firstLine="482" w:firstLineChars="200"/>
        <w:rPr>
          <w:b/>
          <w:sz w:val="24"/>
        </w:rPr>
      </w:pPr>
      <w:r>
        <w:rPr>
          <w:b/>
          <w:sz w:val="24"/>
        </w:rPr>
        <w:t>11、服务响应及恢复时间要求</w:t>
      </w:r>
    </w:p>
    <w:p>
      <w:pPr>
        <w:spacing w:line="360" w:lineRule="auto"/>
        <w:ind w:firstLine="480" w:firstLineChars="200"/>
        <w:rPr>
          <w:sz w:val="24"/>
        </w:rPr>
      </w:pPr>
      <w:r>
        <w:rPr>
          <w:sz w:val="24"/>
        </w:rPr>
        <w:t>11.1服务商提供7天x24小时技术服务与支持电话，驻场专业技术人员需遵守业主单位办公时间，除节假日外，提供5天x8小时现场服务。如遇重要时间节点，协助业主单位完成全天24小时值班工作及技术支持工作。</w:t>
      </w:r>
    </w:p>
    <w:p>
      <w:pPr>
        <w:spacing w:line="360" w:lineRule="auto"/>
        <w:ind w:firstLine="480" w:firstLineChars="200"/>
        <w:rPr>
          <w:sz w:val="24"/>
        </w:rPr>
      </w:pPr>
      <w:r>
        <w:rPr>
          <w:sz w:val="24"/>
        </w:rPr>
        <w:t>11.2业主单位安排的其它工作。</w:t>
      </w:r>
    </w:p>
    <w:p>
      <w:pPr>
        <w:spacing w:line="360" w:lineRule="auto"/>
        <w:ind w:firstLine="482" w:firstLineChars="200"/>
        <w:rPr>
          <w:b/>
          <w:sz w:val="24"/>
        </w:rPr>
      </w:pPr>
      <w:r>
        <w:rPr>
          <w:b/>
          <w:sz w:val="24"/>
        </w:rPr>
        <w:t>12、不可抗力</w:t>
      </w:r>
    </w:p>
    <w:p>
      <w:pPr>
        <w:spacing w:line="360" w:lineRule="auto"/>
        <w:ind w:firstLine="480" w:firstLineChars="200"/>
        <w:rPr>
          <w:sz w:val="24"/>
        </w:rPr>
      </w:pPr>
      <w:r>
        <w:rPr>
          <w:sz w:val="24"/>
        </w:rPr>
        <w:t>12.1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360" w:lineRule="auto"/>
        <w:ind w:firstLine="480" w:firstLineChars="200"/>
        <w:rPr>
          <w:sz w:val="24"/>
        </w:rPr>
      </w:pPr>
      <w:r>
        <w:rPr>
          <w:sz w:val="24"/>
        </w:rPr>
        <w:t>12.2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360" w:lineRule="auto"/>
        <w:ind w:firstLine="482" w:firstLineChars="200"/>
        <w:rPr>
          <w:b/>
          <w:sz w:val="24"/>
        </w:rPr>
      </w:pPr>
      <w:r>
        <w:rPr>
          <w:b/>
          <w:sz w:val="24"/>
        </w:rPr>
        <w:t>13、仲裁</w:t>
      </w:r>
    </w:p>
    <w:p>
      <w:pPr>
        <w:spacing w:line="360" w:lineRule="auto"/>
        <w:ind w:firstLine="480" w:firstLineChars="200"/>
        <w:rPr>
          <w:sz w:val="24"/>
        </w:rPr>
      </w:pPr>
      <w:r>
        <w:rPr>
          <w:sz w:val="24"/>
        </w:rPr>
        <w:t>13.1在执行本合同中发生的或与本合同有关的争端，双方应通过友好协商解决，经协商在30天内不能达成协议时，应提交仲裁。</w:t>
      </w:r>
    </w:p>
    <w:p>
      <w:pPr>
        <w:spacing w:line="360" w:lineRule="auto"/>
        <w:ind w:firstLine="480" w:firstLineChars="200"/>
        <w:rPr>
          <w:sz w:val="24"/>
        </w:rPr>
      </w:pPr>
      <w:r>
        <w:rPr>
          <w:sz w:val="24"/>
        </w:rPr>
        <w:t>13.2仲裁应由买方所在地仲裁机构，根据其仲裁程序和规则进行。</w:t>
      </w:r>
    </w:p>
    <w:p>
      <w:pPr>
        <w:spacing w:line="360" w:lineRule="auto"/>
        <w:ind w:firstLine="480" w:firstLineChars="200"/>
        <w:rPr>
          <w:sz w:val="24"/>
        </w:rPr>
      </w:pPr>
      <w:r>
        <w:rPr>
          <w:sz w:val="24"/>
        </w:rPr>
        <w:t>13.3仲裁裁决为最终决定，并对双方具有约束力。</w:t>
      </w:r>
    </w:p>
    <w:p>
      <w:pPr>
        <w:spacing w:line="360" w:lineRule="auto"/>
        <w:ind w:firstLine="480" w:firstLineChars="200"/>
        <w:rPr>
          <w:sz w:val="24"/>
        </w:rPr>
      </w:pPr>
      <w:r>
        <w:rPr>
          <w:sz w:val="24"/>
        </w:rPr>
        <w:t>13.4除另有裁决外，仲裁费应由败诉方负担。</w:t>
      </w:r>
    </w:p>
    <w:p>
      <w:pPr>
        <w:spacing w:line="360" w:lineRule="auto"/>
        <w:ind w:firstLine="480" w:firstLineChars="200"/>
        <w:rPr>
          <w:sz w:val="24"/>
        </w:rPr>
      </w:pPr>
      <w:r>
        <w:rPr>
          <w:sz w:val="24"/>
        </w:rPr>
        <w:t>13.5在仲裁期间，除正在进行的仲裁部分外，合同其它部分继续执行。</w:t>
      </w:r>
    </w:p>
    <w:p>
      <w:pPr>
        <w:spacing w:line="360" w:lineRule="auto"/>
        <w:ind w:firstLine="482" w:firstLineChars="200"/>
        <w:rPr>
          <w:b/>
          <w:sz w:val="24"/>
        </w:rPr>
      </w:pPr>
      <w:r>
        <w:rPr>
          <w:b/>
          <w:sz w:val="24"/>
        </w:rPr>
        <w:t>14、违约终止合同</w:t>
      </w:r>
    </w:p>
    <w:p>
      <w:pPr>
        <w:spacing w:line="360" w:lineRule="auto"/>
        <w:ind w:firstLine="480" w:firstLineChars="200"/>
        <w:rPr>
          <w:sz w:val="24"/>
        </w:rPr>
      </w:pPr>
      <w:r>
        <w:rPr>
          <w:sz w:val="24"/>
        </w:rPr>
        <w:t>14.1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pacing w:line="360" w:lineRule="auto"/>
        <w:ind w:firstLine="480" w:firstLineChars="200"/>
        <w:rPr>
          <w:sz w:val="24"/>
        </w:rPr>
      </w:pPr>
      <w:r>
        <w:rPr>
          <w:rFonts w:hint="eastAsia"/>
          <w:sz w:val="24"/>
        </w:rPr>
        <w:t>（1）</w:t>
      </w:r>
      <w:r>
        <w:rPr>
          <w:sz w:val="24"/>
        </w:rPr>
        <w:t>如果卖方未能在合同规定的期限内或买方准许的任何延期内交付部分或全部服务。</w:t>
      </w:r>
    </w:p>
    <w:p>
      <w:pPr>
        <w:spacing w:line="360" w:lineRule="auto"/>
        <w:ind w:firstLine="480" w:firstLineChars="200"/>
        <w:rPr>
          <w:sz w:val="24"/>
        </w:rPr>
      </w:pPr>
      <w:r>
        <w:rPr>
          <w:rFonts w:hint="eastAsia"/>
          <w:sz w:val="24"/>
        </w:rPr>
        <w:t>（2）</w:t>
      </w:r>
      <w:r>
        <w:rPr>
          <w:sz w:val="24"/>
        </w:rPr>
        <w:t>卖方未能履行合同项下的其它义务。</w:t>
      </w:r>
    </w:p>
    <w:p>
      <w:pPr>
        <w:spacing w:line="360" w:lineRule="auto"/>
        <w:ind w:firstLine="480" w:firstLineChars="200"/>
        <w:rPr>
          <w:sz w:val="24"/>
        </w:rPr>
      </w:pPr>
      <w:r>
        <w:rPr>
          <w:sz w:val="24"/>
        </w:rPr>
        <w:t>14.2一旦买方根据第21.1款终止部分或全部合同，买方可以按其认为适当的条件和方式采购类似未交付部分的服务。卖方应承担买方购买类似服务的价格差及额外费用。但是，卖方应继续履行合同中未终止的部分。</w:t>
      </w:r>
    </w:p>
    <w:p>
      <w:pPr>
        <w:spacing w:line="360" w:lineRule="auto"/>
        <w:ind w:firstLine="472" w:firstLineChars="196"/>
        <w:rPr>
          <w:b/>
          <w:sz w:val="24"/>
        </w:rPr>
      </w:pPr>
      <w:r>
        <w:rPr>
          <w:b/>
          <w:sz w:val="24"/>
        </w:rPr>
        <w:t>15、变更指示</w:t>
      </w:r>
    </w:p>
    <w:p>
      <w:pPr>
        <w:spacing w:line="360" w:lineRule="auto"/>
        <w:ind w:firstLine="480" w:firstLineChars="200"/>
        <w:rPr>
          <w:sz w:val="24"/>
        </w:rPr>
      </w:pPr>
      <w:r>
        <w:rPr>
          <w:sz w:val="24"/>
        </w:rPr>
        <w:t>15.1买卖双方经友好协商可对某些条款作出更改和调整，但不得对招投标内容做出实质性更改，且需以书面形式确认变更内容</w:t>
      </w:r>
    </w:p>
    <w:p>
      <w:pPr>
        <w:spacing w:line="360" w:lineRule="auto"/>
        <w:ind w:firstLine="480" w:firstLineChars="200"/>
        <w:rPr>
          <w:sz w:val="24"/>
        </w:rPr>
      </w:pPr>
      <w:r>
        <w:rPr>
          <w:sz w:val="24"/>
        </w:rPr>
        <w:t>15.2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spacing w:line="360" w:lineRule="auto"/>
        <w:ind w:firstLine="472" w:firstLineChars="196"/>
        <w:rPr>
          <w:b/>
          <w:sz w:val="24"/>
        </w:rPr>
      </w:pPr>
      <w:r>
        <w:rPr>
          <w:b/>
          <w:sz w:val="24"/>
        </w:rPr>
        <w:t>16、合同修改</w:t>
      </w:r>
    </w:p>
    <w:p>
      <w:pPr>
        <w:spacing w:line="360" w:lineRule="auto"/>
        <w:ind w:firstLine="480" w:firstLineChars="200"/>
        <w:rPr>
          <w:sz w:val="24"/>
        </w:rPr>
      </w:pPr>
      <w:r>
        <w:rPr>
          <w:sz w:val="24"/>
        </w:rPr>
        <w:t>16.1欲对合同条款做出任何改动或偏离，均须由买卖双方签署书面的合同修改书。</w:t>
      </w:r>
    </w:p>
    <w:p>
      <w:pPr>
        <w:spacing w:line="360" w:lineRule="auto"/>
        <w:ind w:firstLine="472" w:firstLineChars="196"/>
        <w:rPr>
          <w:b/>
          <w:sz w:val="24"/>
        </w:rPr>
      </w:pPr>
      <w:r>
        <w:rPr>
          <w:b/>
          <w:sz w:val="24"/>
        </w:rPr>
        <w:t>17、适用法律</w:t>
      </w:r>
    </w:p>
    <w:p>
      <w:pPr>
        <w:spacing w:line="360" w:lineRule="auto"/>
        <w:ind w:firstLine="480" w:firstLineChars="200"/>
        <w:rPr>
          <w:sz w:val="24"/>
        </w:rPr>
      </w:pPr>
      <w:r>
        <w:rPr>
          <w:sz w:val="24"/>
        </w:rPr>
        <w:t>17.1本合同应按中华人民共和国的相关法律解释。</w:t>
      </w:r>
    </w:p>
    <w:p>
      <w:pPr>
        <w:spacing w:line="360" w:lineRule="auto"/>
        <w:ind w:firstLine="472" w:firstLineChars="196"/>
        <w:rPr>
          <w:b/>
          <w:sz w:val="24"/>
        </w:rPr>
      </w:pPr>
      <w:r>
        <w:rPr>
          <w:b/>
          <w:sz w:val="24"/>
        </w:rPr>
        <w:t>18、通知</w:t>
      </w:r>
    </w:p>
    <w:p>
      <w:pPr>
        <w:spacing w:line="360" w:lineRule="auto"/>
        <w:ind w:firstLine="480" w:firstLineChars="200"/>
        <w:rPr>
          <w:sz w:val="24"/>
        </w:rPr>
      </w:pPr>
      <w:r>
        <w:rPr>
          <w:sz w:val="24"/>
        </w:rPr>
        <w:t>18.1本合同任何一方给另一方的通知都应以书面或电传、电报、传真的形式发送，而另一方应以书面形式确认并发送到对方明确的地址。</w:t>
      </w:r>
    </w:p>
    <w:p>
      <w:pPr>
        <w:spacing w:line="360" w:lineRule="auto"/>
        <w:ind w:firstLine="472" w:firstLineChars="196"/>
        <w:rPr>
          <w:b/>
          <w:sz w:val="24"/>
        </w:rPr>
      </w:pPr>
      <w:r>
        <w:rPr>
          <w:b/>
          <w:sz w:val="24"/>
        </w:rPr>
        <w:t>19、合同文件及资料的使用</w:t>
      </w:r>
    </w:p>
    <w:p>
      <w:pPr>
        <w:spacing w:line="360" w:lineRule="auto"/>
        <w:ind w:firstLine="480" w:firstLineChars="200"/>
        <w:rPr>
          <w:sz w:val="24"/>
        </w:rPr>
      </w:pPr>
      <w:r>
        <w:rPr>
          <w:sz w:val="24"/>
        </w:rPr>
        <w:t>19.1除了买、卖方为执行合同所雇人员外，在未经买、卖双方同意的情况下，买、卖方不得将合同、合同中的规定、有关规格、计划、图纸、式样透露给任何人。买、卖方须在对外保密的前提下，对其雇用人员提供有关情况，所提供的情况仅限于执行本合同必不可少的范围内。</w:t>
      </w:r>
    </w:p>
    <w:p>
      <w:pPr>
        <w:spacing w:line="360" w:lineRule="auto"/>
        <w:ind w:firstLine="480" w:firstLineChars="200"/>
        <w:rPr>
          <w:sz w:val="24"/>
        </w:rPr>
      </w:pPr>
      <w:r>
        <w:rPr>
          <w:sz w:val="24"/>
        </w:rPr>
        <w:t>19.2除非执行合同需要，在事先末得到买、卖方同意的情况下，买、卖方不得将与本合同有关的任何文件和资料给第三方使用。</w:t>
      </w:r>
    </w:p>
    <w:p>
      <w:pPr>
        <w:spacing w:line="360" w:lineRule="auto"/>
        <w:ind w:firstLine="472" w:firstLineChars="196"/>
        <w:rPr>
          <w:sz w:val="24"/>
        </w:rPr>
      </w:pPr>
      <w:r>
        <w:rPr>
          <w:b/>
          <w:sz w:val="24"/>
        </w:rPr>
        <w:t>20、合同生效及其他</w:t>
      </w:r>
    </w:p>
    <w:p>
      <w:pPr>
        <w:spacing w:line="360" w:lineRule="auto"/>
        <w:ind w:firstLine="480" w:firstLineChars="200"/>
        <w:rPr>
          <w:sz w:val="24"/>
        </w:rPr>
      </w:pPr>
      <w:r>
        <w:rPr>
          <w:sz w:val="24"/>
        </w:rPr>
        <w:t>20.1本合同应在买方和卖方签字盖章后生效。</w:t>
      </w:r>
    </w:p>
    <w:p>
      <w:pPr>
        <w:spacing w:line="360" w:lineRule="auto"/>
        <w:ind w:firstLine="480" w:firstLineChars="200"/>
        <w:rPr>
          <w:sz w:val="24"/>
        </w:rPr>
      </w:pPr>
      <w:r>
        <w:rPr>
          <w:sz w:val="24"/>
        </w:rPr>
        <w:t>20.2卖方须按技术规格中的规定，向买方提供与合同项下服务有关的现场、技术服务、培训等其他相关服务。</w:t>
      </w:r>
    </w:p>
    <w:p>
      <w:pPr>
        <w:spacing w:line="360" w:lineRule="auto"/>
        <w:ind w:firstLine="480" w:firstLineChars="200"/>
        <w:rPr>
          <w:sz w:val="24"/>
        </w:rPr>
      </w:pPr>
      <w:r>
        <w:rPr>
          <w:sz w:val="24"/>
        </w:rPr>
        <w:t>20.3商务合同应包括买方最后确认的价格条款和付款方式。</w:t>
      </w:r>
    </w:p>
    <w:p>
      <w:pPr>
        <w:spacing w:line="360" w:lineRule="auto"/>
        <w:ind w:firstLine="480" w:firstLineChars="200"/>
        <w:rPr>
          <w:sz w:val="24"/>
        </w:rPr>
      </w:pPr>
      <w:r>
        <w:rPr>
          <w:sz w:val="24"/>
        </w:rPr>
        <w:t>20.4下述文件将作为合同附件，为本合同不可分割的组成部分，并与本合具有同等效力；</w:t>
      </w:r>
    </w:p>
    <w:p>
      <w:pPr>
        <w:spacing w:line="360" w:lineRule="auto"/>
        <w:ind w:firstLine="600" w:firstLineChars="250"/>
        <w:rPr>
          <w:sz w:val="24"/>
        </w:rPr>
      </w:pPr>
      <w:r>
        <w:rPr>
          <w:sz w:val="24"/>
        </w:rPr>
        <w:t>（1）招标文件</w:t>
      </w:r>
      <w:r>
        <w:rPr>
          <w:rFonts w:hint="eastAsia"/>
          <w:sz w:val="24"/>
        </w:rPr>
        <w:t>；</w:t>
      </w:r>
    </w:p>
    <w:p>
      <w:pPr>
        <w:spacing w:line="360" w:lineRule="auto"/>
        <w:ind w:firstLine="600" w:firstLineChars="250"/>
        <w:rPr>
          <w:sz w:val="24"/>
        </w:rPr>
      </w:pPr>
      <w:r>
        <w:rPr>
          <w:rFonts w:hint="eastAsia"/>
          <w:sz w:val="24"/>
        </w:rPr>
        <w:t>（2）</w:t>
      </w:r>
      <w:r>
        <w:rPr>
          <w:sz w:val="24"/>
        </w:rPr>
        <w:t>中标通知书</w:t>
      </w:r>
      <w:r>
        <w:rPr>
          <w:rFonts w:hint="eastAsia"/>
          <w:sz w:val="24"/>
        </w:rPr>
        <w:t>；</w:t>
      </w:r>
    </w:p>
    <w:p>
      <w:pPr>
        <w:spacing w:line="360" w:lineRule="auto"/>
        <w:ind w:firstLine="600" w:firstLineChars="250"/>
        <w:rPr>
          <w:sz w:val="24"/>
        </w:rPr>
      </w:pPr>
      <w:r>
        <w:rPr>
          <w:rFonts w:hint="eastAsia"/>
          <w:sz w:val="24"/>
        </w:rPr>
        <w:t>（3）</w:t>
      </w:r>
      <w:r>
        <w:rPr>
          <w:sz w:val="24"/>
        </w:rPr>
        <w:t>中标人的投标文件及询标过程中的书面答疑记录</w:t>
      </w:r>
      <w:r>
        <w:rPr>
          <w:rFonts w:hint="eastAsia"/>
          <w:sz w:val="24"/>
        </w:rPr>
        <w:t>；</w:t>
      </w:r>
    </w:p>
    <w:p>
      <w:pPr>
        <w:spacing w:line="360" w:lineRule="auto"/>
        <w:ind w:firstLine="482" w:firstLineChars="200"/>
        <w:rPr>
          <w:b/>
          <w:sz w:val="24"/>
        </w:rPr>
      </w:pPr>
      <w:r>
        <w:rPr>
          <w:b/>
          <w:sz w:val="24"/>
        </w:rPr>
        <w:t>21、质量保证</w:t>
      </w:r>
    </w:p>
    <w:p>
      <w:pPr>
        <w:spacing w:line="360" w:lineRule="auto"/>
        <w:ind w:firstLine="480" w:firstLineChars="200"/>
        <w:rPr>
          <w:sz w:val="24"/>
        </w:rPr>
      </w:pPr>
      <w:r>
        <w:rPr>
          <w:sz w:val="24"/>
        </w:rPr>
        <w:t>21.1因乙方原因造成甲方不能按时使用（根据合同有关条款）所购设备或服务时，乙方应根据合同规定向甲方做出赔偿。</w:t>
      </w:r>
    </w:p>
    <w:p>
      <w:pPr>
        <w:spacing w:line="360" w:lineRule="auto"/>
        <w:ind w:firstLine="482" w:firstLineChars="200"/>
        <w:rPr>
          <w:b/>
          <w:sz w:val="24"/>
        </w:rPr>
      </w:pPr>
      <w:r>
        <w:rPr>
          <w:b/>
          <w:sz w:val="24"/>
        </w:rPr>
        <w:t>22、投标报价</w:t>
      </w:r>
    </w:p>
    <w:p>
      <w:pPr>
        <w:spacing w:line="360" w:lineRule="auto"/>
        <w:ind w:firstLine="480" w:firstLineChars="200"/>
        <w:rPr>
          <w:sz w:val="24"/>
        </w:rPr>
      </w:pPr>
      <w:r>
        <w:rPr>
          <w:sz w:val="24"/>
        </w:rPr>
        <w:t>22.1投标报价：交钥匙服务价，内容见须知前附表。</w:t>
      </w:r>
    </w:p>
    <w:p>
      <w:pPr>
        <w:spacing w:line="360" w:lineRule="auto"/>
        <w:ind w:firstLine="480" w:firstLineChars="200"/>
        <w:rPr>
          <w:sz w:val="24"/>
        </w:rPr>
      </w:pPr>
      <w:r>
        <w:rPr>
          <w:sz w:val="24"/>
        </w:rPr>
        <w:t>22.2投标货币：人民币</w:t>
      </w:r>
    </w:p>
    <w:p>
      <w:pPr>
        <w:spacing w:line="360" w:lineRule="auto"/>
        <w:ind w:firstLine="472" w:firstLineChars="196"/>
        <w:rPr>
          <w:b/>
          <w:sz w:val="24"/>
        </w:rPr>
      </w:pPr>
      <w:r>
        <w:rPr>
          <w:b/>
          <w:sz w:val="24"/>
        </w:rPr>
        <w:t>23、特殊要求</w:t>
      </w:r>
    </w:p>
    <w:p>
      <w:pPr>
        <w:spacing w:line="360" w:lineRule="auto"/>
        <w:ind w:firstLine="470" w:firstLineChars="196"/>
        <w:rPr>
          <w:b/>
          <w:sz w:val="32"/>
          <w:szCs w:val="32"/>
        </w:rPr>
      </w:pPr>
      <w:r>
        <w:rPr>
          <w:sz w:val="24"/>
        </w:rPr>
        <w:t>合同特殊条款是对合同一般条款的补充和修改，如果两者之间有不一致之处时，应以特殊条款为准。</w:t>
      </w:r>
    </w:p>
    <w:p>
      <w:pPr>
        <w:adjustRightInd w:val="0"/>
        <w:snapToGrid w:val="0"/>
        <w:spacing w:before="100" w:beforeAutospacing="1" w:after="100" w:afterAutospacing="1"/>
        <w:jc w:val="center"/>
        <w:rPr>
          <w:b/>
          <w:sz w:val="32"/>
          <w:szCs w:val="32"/>
        </w:rPr>
      </w:pPr>
    </w:p>
    <w:p>
      <w:pPr>
        <w:adjustRightInd w:val="0"/>
        <w:snapToGrid w:val="0"/>
        <w:spacing w:before="100" w:beforeAutospacing="1" w:after="100" w:afterAutospacing="1"/>
        <w:jc w:val="center"/>
        <w:rPr>
          <w:b/>
          <w:sz w:val="32"/>
          <w:szCs w:val="32"/>
        </w:rPr>
      </w:pPr>
    </w:p>
    <w:p>
      <w:pPr>
        <w:widowControl/>
        <w:jc w:val="left"/>
        <w:rPr>
          <w:b/>
          <w:kern w:val="44"/>
          <w:sz w:val="32"/>
          <w:szCs w:val="32"/>
        </w:rPr>
      </w:pPr>
      <w:r>
        <w:rPr>
          <w:sz w:val="32"/>
          <w:szCs w:val="32"/>
        </w:rPr>
        <w:br w:type="page"/>
      </w:r>
    </w:p>
    <w:p>
      <w:pPr>
        <w:pStyle w:val="3"/>
        <w:keepNext w:val="0"/>
        <w:keepLines w:val="0"/>
        <w:adjustRightInd w:val="0"/>
        <w:snapToGrid w:val="0"/>
        <w:spacing w:before="100" w:beforeAutospacing="1" w:after="100" w:afterAutospacing="1" w:line="240" w:lineRule="auto"/>
        <w:jc w:val="center"/>
        <w:rPr>
          <w:sz w:val="32"/>
          <w:szCs w:val="32"/>
        </w:rPr>
      </w:pPr>
      <w:bookmarkStart w:id="36" w:name="_Toc19012"/>
      <w:r>
        <w:rPr>
          <w:sz w:val="32"/>
          <w:szCs w:val="32"/>
        </w:rPr>
        <w:t xml:space="preserve">第六部分 </w:t>
      </w:r>
      <w:r>
        <w:rPr>
          <w:rFonts w:hint="eastAsia"/>
          <w:sz w:val="32"/>
          <w:szCs w:val="32"/>
        </w:rPr>
        <w:t>投标文件格式</w:t>
      </w:r>
      <w:bookmarkEnd w:id="36"/>
    </w:p>
    <w:p>
      <w:pPr>
        <w:spacing w:line="440" w:lineRule="exact"/>
        <w:ind w:firstLine="562" w:firstLineChars="200"/>
        <w:rPr>
          <w:b/>
          <w:sz w:val="28"/>
          <w:szCs w:val="28"/>
        </w:rPr>
      </w:pPr>
      <w:r>
        <w:rPr>
          <w:b/>
          <w:sz w:val="28"/>
          <w:szCs w:val="28"/>
        </w:rPr>
        <w:t xml:space="preserve">附表一                           </w:t>
      </w:r>
    </w:p>
    <w:p>
      <w:pPr>
        <w:spacing w:line="440" w:lineRule="exact"/>
        <w:jc w:val="center"/>
        <w:rPr>
          <w:b/>
          <w:sz w:val="28"/>
          <w:szCs w:val="28"/>
        </w:rPr>
      </w:pPr>
      <w:r>
        <w:rPr>
          <w:b/>
          <w:sz w:val="28"/>
          <w:szCs w:val="28"/>
        </w:rPr>
        <w:t>承 诺 函</w:t>
      </w:r>
    </w:p>
    <w:p>
      <w:pPr>
        <w:pStyle w:val="35"/>
        <w:ind w:firstLine="560"/>
      </w:pPr>
    </w:p>
    <w:p>
      <w:pPr>
        <w:spacing w:line="440" w:lineRule="exact"/>
        <w:ind w:firstLine="480" w:firstLineChars="200"/>
        <w:rPr>
          <w:sz w:val="24"/>
          <w:u w:val="single"/>
        </w:rPr>
      </w:pPr>
      <w:r>
        <w:rPr>
          <w:rFonts w:hint="eastAsia"/>
          <w:sz w:val="24"/>
          <w:u w:val="single"/>
        </w:rPr>
        <w:t>库车市水资源总站</w:t>
      </w:r>
    </w:p>
    <w:p>
      <w:pPr>
        <w:spacing w:line="440" w:lineRule="exact"/>
        <w:ind w:firstLine="480" w:firstLineChars="200"/>
        <w:rPr>
          <w:sz w:val="24"/>
        </w:rPr>
      </w:pPr>
      <w:r>
        <w:rPr>
          <w:rFonts w:hint="eastAsia"/>
          <w:sz w:val="24"/>
          <w:u w:val="single"/>
        </w:rPr>
        <w:t>（</w:t>
      </w:r>
      <w:r>
        <w:rPr>
          <w:sz w:val="24"/>
          <w:u w:val="single"/>
        </w:rPr>
        <w:t>投标人全称</w:t>
      </w:r>
      <w:r>
        <w:rPr>
          <w:rFonts w:hint="eastAsia"/>
          <w:sz w:val="24"/>
          <w:u w:val="single"/>
        </w:rPr>
        <w:t>）</w:t>
      </w:r>
      <w:r>
        <w:rPr>
          <w:sz w:val="24"/>
        </w:rPr>
        <w:t>授权</w:t>
      </w:r>
      <w:r>
        <w:rPr>
          <w:rFonts w:hint="eastAsia"/>
          <w:sz w:val="24"/>
          <w:u w:val="single"/>
        </w:rPr>
        <w:t>（</w:t>
      </w:r>
      <w:r>
        <w:rPr>
          <w:sz w:val="24"/>
          <w:u w:val="single"/>
        </w:rPr>
        <w:t>全权代表姓名）（职务、职称</w:t>
      </w:r>
      <w:r>
        <w:rPr>
          <w:rFonts w:hint="eastAsia"/>
          <w:sz w:val="24"/>
          <w:u w:val="single"/>
        </w:rPr>
        <w:t>）</w:t>
      </w:r>
      <w:r>
        <w:rPr>
          <w:sz w:val="24"/>
        </w:rPr>
        <w:t>为全权代表，参加贵方组织的</w:t>
      </w:r>
      <w:r>
        <w:rPr>
          <w:sz w:val="24"/>
          <w:u w:val="single"/>
        </w:rPr>
        <w:t>（采购编号、釆购项目名称）</w:t>
      </w:r>
      <w:r>
        <w:rPr>
          <w:sz w:val="24"/>
        </w:rPr>
        <w:t>招标的有关活动。为此：我方同意在投标人须知前列表规定的投标日期起遵守本承诺函中的承诺且在投标有效期满之前均具有约束力。</w:t>
      </w:r>
    </w:p>
    <w:p>
      <w:pPr>
        <w:spacing w:line="440" w:lineRule="exact"/>
        <w:ind w:firstLine="480" w:firstLineChars="200"/>
        <w:rPr>
          <w:sz w:val="24"/>
        </w:rPr>
      </w:pPr>
      <w:r>
        <w:rPr>
          <w:sz w:val="24"/>
        </w:rPr>
        <w:t>1、我方承诺已经具备《中华人民共和国政府采购法》中规定的参加政府采购活动的投标人应当具备的条件：</w:t>
      </w:r>
    </w:p>
    <w:p>
      <w:pPr>
        <w:spacing w:line="440" w:lineRule="exact"/>
        <w:ind w:firstLine="480" w:firstLineChars="200"/>
        <w:rPr>
          <w:sz w:val="24"/>
        </w:rPr>
      </w:pPr>
      <w:r>
        <w:rPr>
          <w:sz w:val="24"/>
        </w:rPr>
        <w:t>（1）具有独立承担民事责任的能力；</w:t>
      </w:r>
    </w:p>
    <w:p>
      <w:pPr>
        <w:spacing w:line="440" w:lineRule="exact"/>
        <w:ind w:firstLine="480" w:firstLineChars="200"/>
        <w:rPr>
          <w:sz w:val="24"/>
        </w:rPr>
      </w:pPr>
      <w:r>
        <w:rPr>
          <w:sz w:val="24"/>
        </w:rPr>
        <w:t>（2）遵守国家法律、行政法规，具有良好的信誉和商业道德；</w:t>
      </w:r>
    </w:p>
    <w:p>
      <w:pPr>
        <w:spacing w:line="440" w:lineRule="exact"/>
        <w:ind w:firstLine="480" w:firstLineChars="200"/>
        <w:rPr>
          <w:sz w:val="24"/>
        </w:rPr>
      </w:pPr>
      <w:r>
        <w:rPr>
          <w:sz w:val="24"/>
        </w:rPr>
        <w:t>（3）具有履行合同的能力和良好的履行合同记录；</w:t>
      </w:r>
    </w:p>
    <w:p>
      <w:pPr>
        <w:spacing w:line="440" w:lineRule="exact"/>
        <w:ind w:firstLine="480" w:firstLineChars="200"/>
        <w:rPr>
          <w:sz w:val="24"/>
        </w:rPr>
      </w:pPr>
      <w:r>
        <w:rPr>
          <w:sz w:val="24"/>
        </w:rPr>
        <w:t>（4）具有良好的资金、财务状况；</w:t>
      </w:r>
    </w:p>
    <w:p>
      <w:pPr>
        <w:spacing w:line="440" w:lineRule="exact"/>
        <w:ind w:firstLine="480" w:firstLineChars="200"/>
        <w:rPr>
          <w:sz w:val="24"/>
        </w:rPr>
      </w:pPr>
      <w:r>
        <w:rPr>
          <w:sz w:val="24"/>
        </w:rPr>
        <w:t>（5）产品及生产所需装备符合中国政府规定的相应技术标准和环保标准；</w:t>
      </w:r>
    </w:p>
    <w:p>
      <w:pPr>
        <w:spacing w:line="440" w:lineRule="exact"/>
        <w:ind w:firstLine="480" w:firstLineChars="200"/>
        <w:rPr>
          <w:sz w:val="24"/>
        </w:rPr>
      </w:pPr>
      <w:r>
        <w:rPr>
          <w:sz w:val="24"/>
        </w:rPr>
        <w:t>（6）没有违反政府采购法规、政策的记录；</w:t>
      </w:r>
    </w:p>
    <w:p>
      <w:pPr>
        <w:spacing w:line="440" w:lineRule="exact"/>
        <w:ind w:firstLine="480" w:firstLineChars="200"/>
        <w:rPr>
          <w:sz w:val="24"/>
        </w:rPr>
      </w:pPr>
      <w:r>
        <w:rPr>
          <w:sz w:val="24"/>
        </w:rPr>
        <w:t>（7）没有发生重大经济纠纷、经济犯罪和走私犯罪记录；</w:t>
      </w:r>
    </w:p>
    <w:p>
      <w:pPr>
        <w:spacing w:line="440" w:lineRule="exact"/>
        <w:ind w:firstLine="480" w:firstLineChars="200"/>
        <w:rPr>
          <w:sz w:val="24"/>
        </w:rPr>
      </w:pPr>
      <w:r>
        <w:rPr>
          <w:sz w:val="24"/>
        </w:rPr>
        <w:t>2、提供投标须知规定的全部投标文件，包括：投标文件正本份，副本份；投标人须知前列表要求的投标人提交的全部文件；投标保证金已交纳；按招标文件要求提供和交付的服务的报价详见商务报价表。</w:t>
      </w:r>
    </w:p>
    <w:p>
      <w:pPr>
        <w:spacing w:line="440" w:lineRule="exact"/>
        <w:ind w:firstLine="360" w:firstLineChars="150"/>
        <w:rPr>
          <w:sz w:val="24"/>
        </w:rPr>
      </w:pPr>
      <w:r>
        <w:rPr>
          <w:sz w:val="24"/>
        </w:rPr>
        <w:t>3、保证忠实地执行双方所签订的合同，并承担合同规定的责任和义务。</w:t>
      </w:r>
    </w:p>
    <w:p>
      <w:pPr>
        <w:spacing w:line="440" w:lineRule="exact"/>
        <w:ind w:firstLine="360" w:firstLineChars="150"/>
        <w:rPr>
          <w:sz w:val="24"/>
        </w:rPr>
      </w:pPr>
      <w:r>
        <w:rPr>
          <w:sz w:val="24"/>
        </w:rPr>
        <w:t>4、保证遵守招标文件中的其他有关条款。</w:t>
      </w:r>
    </w:p>
    <w:p>
      <w:pPr>
        <w:spacing w:line="440" w:lineRule="exact"/>
        <w:ind w:firstLine="360" w:firstLineChars="150"/>
        <w:rPr>
          <w:sz w:val="24"/>
        </w:rPr>
      </w:pPr>
      <w:r>
        <w:rPr>
          <w:sz w:val="24"/>
        </w:rPr>
        <w:t>5、如果在招标后规定的投标有效期内撤回投标文件或者有其他违约行为，我们的投标保证金可不予退还。</w:t>
      </w:r>
    </w:p>
    <w:p>
      <w:pPr>
        <w:spacing w:line="440" w:lineRule="exact"/>
        <w:ind w:firstLine="360" w:firstLineChars="150"/>
        <w:rPr>
          <w:sz w:val="24"/>
        </w:rPr>
      </w:pPr>
      <w:r>
        <w:rPr>
          <w:sz w:val="24"/>
        </w:rPr>
        <w:t>6、我们完全理解贵方不一定要接受最低报价或收到的任何投标。</w:t>
      </w:r>
    </w:p>
    <w:p>
      <w:pPr>
        <w:spacing w:line="440" w:lineRule="exact"/>
        <w:ind w:firstLine="360" w:firstLineChars="150"/>
        <w:rPr>
          <w:sz w:val="24"/>
        </w:rPr>
      </w:pPr>
      <w:r>
        <w:rPr>
          <w:sz w:val="24"/>
        </w:rPr>
        <w:t>7、我方愿意向贵方提供真实完整的任何与该项目有关的数据、情况和技术资料。若贵方需要，我方愿意提供我方作出的一切承诺的证明材料。</w:t>
      </w:r>
    </w:p>
    <w:p>
      <w:pPr>
        <w:spacing w:line="440" w:lineRule="exact"/>
        <w:ind w:firstLine="360" w:firstLineChars="150"/>
        <w:rPr>
          <w:sz w:val="24"/>
        </w:rPr>
      </w:pPr>
      <w:r>
        <w:rPr>
          <w:sz w:val="24"/>
        </w:rPr>
        <w:t>8、我方已详细审核全部招标文件，包括招标的修改文件（如有的话）、参考资料及有关附件，确认无误。</w:t>
      </w:r>
    </w:p>
    <w:p>
      <w:pPr>
        <w:spacing w:line="440" w:lineRule="exact"/>
        <w:ind w:firstLine="360" w:firstLineChars="150"/>
        <w:rPr>
          <w:sz w:val="24"/>
        </w:rPr>
      </w:pPr>
      <w:r>
        <w:rPr>
          <w:sz w:val="24"/>
        </w:rPr>
        <w:t>9、我方将严格遵守《中华人民共和国政府采购法》第七十七条规定：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pacing w:line="440" w:lineRule="exact"/>
        <w:ind w:firstLine="480" w:firstLineChars="200"/>
        <w:rPr>
          <w:sz w:val="24"/>
        </w:rPr>
      </w:pPr>
      <w:r>
        <w:rPr>
          <w:rFonts w:hint="eastAsia"/>
          <w:sz w:val="24"/>
        </w:rPr>
        <w:t>（</w:t>
      </w:r>
      <w:r>
        <w:rPr>
          <w:sz w:val="24"/>
        </w:rPr>
        <w:t>一）提供虚假材料谋取中标的；</w:t>
      </w:r>
    </w:p>
    <w:p>
      <w:pPr>
        <w:spacing w:line="440" w:lineRule="exact"/>
        <w:ind w:firstLine="480" w:firstLineChars="200"/>
        <w:rPr>
          <w:sz w:val="24"/>
        </w:rPr>
      </w:pPr>
      <w:r>
        <w:rPr>
          <w:rFonts w:hint="eastAsia"/>
          <w:sz w:val="24"/>
        </w:rPr>
        <w:t>（</w:t>
      </w:r>
      <w:r>
        <w:rPr>
          <w:sz w:val="24"/>
        </w:rPr>
        <w:t>二）采取不正当手段诋毁、排挤其他投标人的；</w:t>
      </w:r>
    </w:p>
    <w:p>
      <w:pPr>
        <w:spacing w:line="440" w:lineRule="exact"/>
        <w:ind w:firstLine="480" w:firstLineChars="200"/>
        <w:rPr>
          <w:sz w:val="24"/>
        </w:rPr>
      </w:pPr>
      <w:r>
        <w:rPr>
          <w:rFonts w:hint="eastAsia"/>
          <w:sz w:val="24"/>
        </w:rPr>
        <w:t>（</w:t>
      </w:r>
      <w:r>
        <w:rPr>
          <w:sz w:val="24"/>
        </w:rPr>
        <w:t>三）与采购单位、其它投标人或者釆购代理机构恶意串通的；</w:t>
      </w:r>
    </w:p>
    <w:p>
      <w:pPr>
        <w:spacing w:line="440" w:lineRule="exact"/>
        <w:ind w:firstLine="480" w:firstLineChars="200"/>
        <w:rPr>
          <w:sz w:val="24"/>
        </w:rPr>
      </w:pPr>
      <w:r>
        <w:rPr>
          <w:rFonts w:hint="eastAsia"/>
          <w:sz w:val="24"/>
        </w:rPr>
        <w:t>（</w:t>
      </w:r>
      <w:r>
        <w:rPr>
          <w:sz w:val="24"/>
        </w:rPr>
        <w:t>四）向采购人、采购代理机构行贿或者提供其他不正当利益的；</w:t>
      </w:r>
    </w:p>
    <w:p>
      <w:pPr>
        <w:spacing w:line="440" w:lineRule="exact"/>
        <w:ind w:firstLine="480" w:firstLineChars="200"/>
        <w:rPr>
          <w:sz w:val="24"/>
        </w:rPr>
      </w:pPr>
      <w:r>
        <w:rPr>
          <w:rFonts w:hint="eastAsia"/>
          <w:sz w:val="24"/>
        </w:rPr>
        <w:t>（</w:t>
      </w:r>
      <w:r>
        <w:rPr>
          <w:sz w:val="24"/>
        </w:rPr>
        <w:t>五）在招标采购过程中与采购人进行协商的；</w:t>
      </w:r>
    </w:p>
    <w:p>
      <w:pPr>
        <w:spacing w:line="440" w:lineRule="exact"/>
        <w:ind w:firstLine="480" w:firstLineChars="200"/>
        <w:rPr>
          <w:sz w:val="24"/>
        </w:rPr>
      </w:pPr>
      <w:r>
        <w:rPr>
          <w:rFonts w:hint="eastAsia"/>
          <w:sz w:val="24"/>
        </w:rPr>
        <w:t>（</w:t>
      </w:r>
      <w:r>
        <w:rPr>
          <w:sz w:val="24"/>
        </w:rPr>
        <w:t>六）拒绝有关部门监督检查或提供虚假情况的。</w:t>
      </w:r>
    </w:p>
    <w:p>
      <w:pPr>
        <w:spacing w:line="440" w:lineRule="exact"/>
        <w:ind w:firstLine="480" w:firstLineChars="200"/>
        <w:rPr>
          <w:sz w:val="24"/>
        </w:rPr>
      </w:pPr>
      <w:r>
        <w:rPr>
          <w:sz w:val="24"/>
        </w:rPr>
        <w:t>10、我方的投标文件在中标后</w:t>
      </w:r>
      <w:r>
        <w:rPr>
          <w:rFonts w:hint="eastAsia"/>
          <w:sz w:val="24"/>
        </w:rPr>
        <w:t>6</w:t>
      </w:r>
      <w:r>
        <w:rPr>
          <w:sz w:val="24"/>
        </w:rPr>
        <w:t>0天内有效。</w:t>
      </w:r>
    </w:p>
    <w:p>
      <w:pPr>
        <w:spacing w:line="440" w:lineRule="exact"/>
        <w:rPr>
          <w:sz w:val="24"/>
        </w:rPr>
      </w:pPr>
      <w:r>
        <w:rPr>
          <w:b/>
          <w:bCs/>
          <w:sz w:val="24"/>
        </w:rPr>
        <w:t>注：</w:t>
      </w:r>
      <w:r>
        <w:rPr>
          <w:sz w:val="24"/>
        </w:rPr>
        <w:t>未按照本承诺函要求填报的承诺函将被视为非实质性响应，从而导致其被拒绝。</w:t>
      </w:r>
    </w:p>
    <w:p>
      <w:pPr>
        <w:spacing w:line="440" w:lineRule="exact"/>
        <w:rPr>
          <w:b/>
          <w:sz w:val="28"/>
          <w:szCs w:val="28"/>
        </w:rPr>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pStyle w:val="35"/>
        <w:ind w:firstLine="560"/>
      </w:pPr>
    </w:p>
    <w:p>
      <w:pPr>
        <w:spacing w:line="440" w:lineRule="exact"/>
        <w:rPr>
          <w:sz w:val="28"/>
          <w:szCs w:val="28"/>
        </w:rPr>
      </w:pPr>
      <w:r>
        <w:rPr>
          <w:b/>
          <w:sz w:val="28"/>
          <w:szCs w:val="28"/>
        </w:rPr>
        <w:t>附表二：</w:t>
      </w:r>
    </w:p>
    <w:p>
      <w:pPr>
        <w:spacing w:line="440" w:lineRule="exact"/>
        <w:jc w:val="center"/>
        <w:rPr>
          <w:b/>
          <w:sz w:val="28"/>
          <w:szCs w:val="28"/>
        </w:rPr>
      </w:pPr>
      <w:r>
        <w:rPr>
          <w:b/>
          <w:sz w:val="28"/>
          <w:szCs w:val="28"/>
        </w:rPr>
        <w:t>法人代表授权书格式</w:t>
      </w:r>
    </w:p>
    <w:p>
      <w:pPr>
        <w:spacing w:line="440" w:lineRule="exact"/>
        <w:jc w:val="center"/>
        <w:rPr>
          <w:b/>
          <w:sz w:val="24"/>
        </w:rPr>
      </w:pPr>
    </w:p>
    <w:p>
      <w:pPr>
        <w:spacing w:line="480" w:lineRule="auto"/>
        <w:ind w:firstLine="435"/>
        <w:rPr>
          <w:sz w:val="24"/>
        </w:rPr>
      </w:pPr>
      <w:r>
        <w:rPr>
          <w:sz w:val="24"/>
        </w:rPr>
        <w:t>本授权书声明：注册于</w:t>
      </w:r>
      <w:r>
        <w:rPr>
          <w:sz w:val="24"/>
          <w:u w:val="single"/>
        </w:rPr>
        <w:t>（地区的名称）</w:t>
      </w:r>
      <w:r>
        <w:rPr>
          <w:sz w:val="24"/>
        </w:rPr>
        <w:t>的（</w:t>
      </w:r>
      <w:r>
        <w:rPr>
          <w:sz w:val="24"/>
          <w:u w:val="single"/>
        </w:rPr>
        <w:t>公司名称），</w:t>
      </w:r>
      <w:r>
        <w:rPr>
          <w:sz w:val="24"/>
        </w:rPr>
        <w:t>在下面签字的法人代表</w:t>
      </w:r>
      <w:r>
        <w:rPr>
          <w:sz w:val="24"/>
          <w:u w:val="single"/>
        </w:rPr>
        <w:t>（姓名、职务），</w:t>
      </w:r>
      <w:r>
        <w:rPr>
          <w:sz w:val="24"/>
        </w:rPr>
        <w:t>代表本公司授权在下面签字的</w:t>
      </w:r>
      <w:r>
        <w:rPr>
          <w:sz w:val="24"/>
          <w:u w:val="single"/>
        </w:rPr>
        <w:t>（被授权人的姓名、职务、身份证号）</w:t>
      </w:r>
      <w:r>
        <w:rPr>
          <w:sz w:val="24"/>
        </w:rPr>
        <w:t>为本公司的合法代理人，就</w:t>
      </w:r>
      <w:r>
        <w:rPr>
          <w:sz w:val="24"/>
          <w:u w:val="single"/>
        </w:rPr>
        <w:t>（项目名称/编号）</w:t>
      </w:r>
      <w:r>
        <w:rPr>
          <w:sz w:val="24"/>
        </w:rPr>
        <w:t>的投标，以本公司的名义处理一切与之有关的事务。</w:t>
      </w:r>
    </w:p>
    <w:p>
      <w:pPr>
        <w:spacing w:line="480" w:lineRule="auto"/>
        <w:ind w:firstLine="435"/>
        <w:rPr>
          <w:sz w:val="24"/>
        </w:rPr>
      </w:pPr>
      <w:r>
        <w:rPr>
          <w:sz w:val="24"/>
        </w:rPr>
        <w:t>本授权书于20年月日签字生效，特此声明。</w:t>
      </w:r>
    </w:p>
    <w:p>
      <w:pPr>
        <w:spacing w:line="480" w:lineRule="auto"/>
        <w:ind w:firstLine="435"/>
        <w:rPr>
          <w:sz w:val="24"/>
        </w:rPr>
      </w:pPr>
    </w:p>
    <w:p>
      <w:pPr>
        <w:spacing w:line="480" w:lineRule="auto"/>
        <w:ind w:firstLine="435"/>
        <w:rPr>
          <w:sz w:val="24"/>
          <w:u w:val="single"/>
        </w:rPr>
      </w:pPr>
      <w:r>
        <w:rPr>
          <w:sz w:val="24"/>
        </w:rPr>
        <w:t>法人代表盖章</w:t>
      </w:r>
    </w:p>
    <w:p>
      <w:pPr>
        <w:spacing w:line="480" w:lineRule="auto"/>
        <w:ind w:firstLine="435"/>
        <w:rPr>
          <w:sz w:val="24"/>
          <w:u w:val="single"/>
        </w:rPr>
      </w:pPr>
      <w:r>
        <w:rPr>
          <w:sz w:val="24"/>
        </w:rPr>
        <w:t>被授权人签字或盖章</w:t>
      </w:r>
    </w:p>
    <w:p>
      <w:pPr>
        <w:spacing w:line="480" w:lineRule="auto"/>
        <w:ind w:firstLine="435"/>
        <w:rPr>
          <w:sz w:val="24"/>
        </w:rPr>
      </w:pPr>
      <w:r>
        <w:rPr>
          <w:sz w:val="24"/>
        </w:rPr>
        <w:t>公      章：</w:t>
      </w:r>
    </w:p>
    <w:p>
      <w:pPr>
        <w:spacing w:line="480" w:lineRule="auto"/>
        <w:ind w:firstLine="480" w:firstLineChars="200"/>
        <w:rPr>
          <w:sz w:val="24"/>
        </w:rPr>
      </w:pPr>
      <w:r>
        <w:rPr>
          <w:rFonts w:hint="eastAsia"/>
          <w:sz w:val="24"/>
        </w:rPr>
        <w:t>注：法人和</w:t>
      </w:r>
      <w:r>
        <w:rPr>
          <w:sz w:val="24"/>
        </w:rPr>
        <w:t>被授权人身份证复印件</w:t>
      </w:r>
    </w:p>
    <w:p>
      <w:pPr>
        <w:spacing w:line="480" w:lineRule="auto"/>
        <w:ind w:firstLine="3612" w:firstLineChars="1505"/>
        <w:jc w:val="right"/>
        <w:rPr>
          <w:sz w:val="24"/>
        </w:rPr>
      </w:pPr>
    </w:p>
    <w:p>
      <w:pPr>
        <w:spacing w:line="480" w:lineRule="auto"/>
        <w:ind w:firstLine="3612" w:firstLineChars="1505"/>
        <w:jc w:val="right"/>
        <w:rPr>
          <w:sz w:val="24"/>
        </w:rPr>
      </w:pPr>
      <w:r>
        <w:rPr>
          <w:sz w:val="24"/>
        </w:rPr>
        <w:t>授权日期：20年月日</w:t>
      </w:r>
    </w:p>
    <w:p>
      <w:pPr>
        <w:spacing w:line="440" w:lineRule="exact"/>
        <w:rPr>
          <w:sz w:val="24"/>
        </w:rPr>
      </w:pPr>
    </w:p>
    <w:p>
      <w:pPr>
        <w:spacing w:line="440" w:lineRule="exact"/>
        <w:rPr>
          <w:sz w:val="24"/>
        </w:rPr>
      </w:pPr>
      <w:r>
        <w:rPr>
          <w:b/>
          <w:bCs/>
          <w:sz w:val="24"/>
        </w:rPr>
        <w:t>注：</w:t>
      </w:r>
      <w:r>
        <w:rPr>
          <w:sz w:val="24"/>
        </w:rPr>
        <w:t>法人代表本人作为公司代理人前来参加投标的投标人，可不提供此项证明文件。</w:t>
      </w:r>
    </w:p>
    <w:p>
      <w:pPr>
        <w:spacing w:line="440" w:lineRule="exact"/>
        <w:rPr>
          <w:b/>
          <w:sz w:val="28"/>
          <w:szCs w:val="28"/>
        </w:rPr>
      </w:pPr>
    </w:p>
    <w:p>
      <w:pPr>
        <w:spacing w:line="440" w:lineRule="exact"/>
        <w:rPr>
          <w:b/>
          <w:sz w:val="28"/>
          <w:szCs w:val="28"/>
        </w:rPr>
      </w:pPr>
    </w:p>
    <w:p>
      <w:pPr>
        <w:pStyle w:val="35"/>
        <w:ind w:firstLine="560"/>
      </w:pPr>
    </w:p>
    <w:p>
      <w:pPr>
        <w:pStyle w:val="35"/>
        <w:ind w:firstLine="560"/>
      </w:pPr>
    </w:p>
    <w:p>
      <w:pPr>
        <w:pStyle w:val="35"/>
        <w:ind w:firstLine="560"/>
      </w:pPr>
    </w:p>
    <w:p>
      <w:pPr>
        <w:pStyle w:val="35"/>
        <w:ind w:firstLine="560"/>
      </w:pPr>
    </w:p>
    <w:p>
      <w:pPr>
        <w:spacing w:line="440" w:lineRule="exact"/>
        <w:rPr>
          <w:b/>
          <w:sz w:val="28"/>
          <w:szCs w:val="28"/>
        </w:rPr>
      </w:pPr>
    </w:p>
    <w:p>
      <w:pPr>
        <w:spacing w:line="440" w:lineRule="exact"/>
        <w:rPr>
          <w:b/>
          <w:sz w:val="24"/>
          <w:lang w:val="zh-CN"/>
        </w:rPr>
      </w:pPr>
      <w:r>
        <w:rPr>
          <w:b/>
          <w:sz w:val="28"/>
          <w:szCs w:val="28"/>
        </w:rPr>
        <w:t>附表三：</w:t>
      </w:r>
    </w:p>
    <w:p>
      <w:pPr>
        <w:spacing w:line="440" w:lineRule="exact"/>
        <w:ind w:firstLine="3486" w:firstLineChars="1240"/>
        <w:rPr>
          <w:b/>
          <w:sz w:val="28"/>
          <w:szCs w:val="28"/>
        </w:rPr>
      </w:pPr>
      <w:r>
        <w:rPr>
          <w:b/>
          <w:sz w:val="28"/>
          <w:szCs w:val="28"/>
        </w:rPr>
        <w:t>投标报价一览表</w:t>
      </w:r>
    </w:p>
    <w:p>
      <w:pPr>
        <w:wordWrap w:val="0"/>
        <w:spacing w:line="440" w:lineRule="exact"/>
        <w:ind w:right="960" w:firstLine="360" w:firstLineChars="150"/>
        <w:textAlignment w:val="baseline"/>
        <w:rPr>
          <w:b/>
          <w:sz w:val="24"/>
        </w:rPr>
      </w:pPr>
      <w:r>
        <w:rPr>
          <w:sz w:val="24"/>
        </w:rPr>
        <w:t xml:space="preserve">项目名称：                                           </w:t>
      </w:r>
    </w:p>
    <w:tbl>
      <w:tblPr>
        <w:tblStyle w:val="23"/>
        <w:tblW w:w="9753" w:type="dxa"/>
        <w:jc w:val="center"/>
        <w:tblLayout w:type="fixed"/>
        <w:tblCellMar>
          <w:top w:w="0" w:type="dxa"/>
          <w:left w:w="0" w:type="dxa"/>
          <w:bottom w:w="0" w:type="dxa"/>
          <w:right w:w="0" w:type="dxa"/>
        </w:tblCellMar>
      </w:tblPr>
      <w:tblGrid>
        <w:gridCol w:w="3548"/>
        <w:gridCol w:w="6205"/>
      </w:tblGrid>
      <w:tr>
        <w:tblPrEx>
          <w:tblCellMar>
            <w:top w:w="0" w:type="dxa"/>
            <w:left w:w="0" w:type="dxa"/>
            <w:bottom w:w="0" w:type="dxa"/>
            <w:right w:w="0" w:type="dxa"/>
          </w:tblCellMar>
        </w:tblPrEx>
        <w:trPr>
          <w:trHeight w:val="615" w:hRule="atLeast"/>
          <w:jc w:val="center"/>
        </w:trPr>
        <w:tc>
          <w:tcPr>
            <w:tcW w:w="354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40" w:lineRule="exact"/>
              <w:ind w:right="480"/>
              <w:jc w:val="center"/>
              <w:textAlignment w:val="baseline"/>
              <w:rPr>
                <w:b/>
                <w:sz w:val="24"/>
              </w:rPr>
            </w:pPr>
            <w:r>
              <w:rPr>
                <w:b/>
                <w:sz w:val="24"/>
              </w:rPr>
              <w:t>投标人名称</w:t>
            </w:r>
          </w:p>
        </w:tc>
        <w:tc>
          <w:tcPr>
            <w:tcW w:w="6205" w:type="dxa"/>
            <w:tcBorders>
              <w:top w:val="single" w:color="000000" w:sz="4" w:space="0"/>
              <w:bottom w:val="single" w:color="000000" w:sz="4" w:space="0"/>
              <w:right w:val="single" w:color="000000" w:sz="4" w:space="0"/>
            </w:tcBorders>
            <w:tcMar>
              <w:left w:w="0" w:type="dxa"/>
              <w:right w:w="0" w:type="dxa"/>
            </w:tcMar>
            <w:vAlign w:val="center"/>
          </w:tcPr>
          <w:p>
            <w:pPr>
              <w:spacing w:line="440" w:lineRule="exact"/>
              <w:ind w:right="480"/>
              <w:jc w:val="center"/>
              <w:textAlignment w:val="baseline"/>
              <w:rPr>
                <w:b/>
                <w:sz w:val="24"/>
              </w:rPr>
            </w:pPr>
          </w:p>
        </w:tc>
      </w:tr>
      <w:tr>
        <w:tblPrEx>
          <w:tblCellMar>
            <w:top w:w="0" w:type="dxa"/>
            <w:left w:w="0" w:type="dxa"/>
            <w:bottom w:w="0" w:type="dxa"/>
            <w:right w:w="0" w:type="dxa"/>
          </w:tblCellMar>
        </w:tblPrEx>
        <w:trPr>
          <w:trHeight w:val="615" w:hRule="atLeast"/>
          <w:jc w:val="center"/>
        </w:trPr>
        <w:tc>
          <w:tcPr>
            <w:tcW w:w="3548" w:type="dxa"/>
            <w:vMerge w:val="restart"/>
            <w:tcBorders>
              <w:left w:val="single" w:color="000000" w:sz="4" w:space="0"/>
              <w:right w:val="single" w:color="000000" w:sz="4" w:space="0"/>
            </w:tcBorders>
            <w:tcMar>
              <w:left w:w="0" w:type="dxa"/>
              <w:right w:w="0" w:type="dxa"/>
            </w:tcMar>
            <w:vAlign w:val="center"/>
          </w:tcPr>
          <w:p>
            <w:pPr>
              <w:spacing w:line="440" w:lineRule="exact"/>
              <w:ind w:right="480"/>
              <w:jc w:val="center"/>
              <w:textAlignment w:val="baseline"/>
              <w:rPr>
                <w:b/>
                <w:sz w:val="24"/>
              </w:rPr>
            </w:pPr>
            <w:r>
              <w:rPr>
                <w:b/>
                <w:sz w:val="24"/>
              </w:rPr>
              <w:t>投标总报价</w:t>
            </w:r>
            <w:r>
              <w:rPr>
                <w:rFonts w:hint="eastAsia"/>
                <w:b/>
                <w:sz w:val="24"/>
              </w:rPr>
              <w:t>（</w:t>
            </w:r>
            <w:r>
              <w:rPr>
                <w:b/>
                <w:sz w:val="24"/>
              </w:rPr>
              <w:t>元</w:t>
            </w:r>
            <w:r>
              <w:rPr>
                <w:rFonts w:hint="eastAsia"/>
                <w:b/>
                <w:sz w:val="24"/>
              </w:rPr>
              <w:t>）</w:t>
            </w:r>
          </w:p>
        </w:tc>
        <w:tc>
          <w:tcPr>
            <w:tcW w:w="6205" w:type="dxa"/>
            <w:tcBorders>
              <w:bottom w:val="single" w:color="000000" w:sz="4" w:space="0"/>
              <w:right w:val="single" w:color="000000" w:sz="4" w:space="0"/>
            </w:tcBorders>
            <w:tcMar>
              <w:left w:w="0" w:type="dxa"/>
              <w:right w:w="0" w:type="dxa"/>
            </w:tcMar>
            <w:vAlign w:val="center"/>
          </w:tcPr>
          <w:p>
            <w:pPr>
              <w:spacing w:line="440" w:lineRule="exact"/>
              <w:ind w:right="480"/>
              <w:textAlignment w:val="baseline"/>
              <w:rPr>
                <w:b/>
                <w:sz w:val="24"/>
              </w:rPr>
            </w:pPr>
            <w:r>
              <w:rPr>
                <w:b/>
                <w:sz w:val="24"/>
              </w:rPr>
              <w:t xml:space="preserve">大写:                     </w:t>
            </w:r>
          </w:p>
        </w:tc>
      </w:tr>
      <w:tr>
        <w:tblPrEx>
          <w:tblCellMar>
            <w:top w:w="0" w:type="dxa"/>
            <w:left w:w="0" w:type="dxa"/>
            <w:bottom w:w="0" w:type="dxa"/>
            <w:right w:w="0" w:type="dxa"/>
          </w:tblCellMar>
        </w:tblPrEx>
        <w:trPr>
          <w:trHeight w:val="615" w:hRule="atLeast"/>
          <w:jc w:val="center"/>
        </w:trPr>
        <w:tc>
          <w:tcPr>
            <w:tcW w:w="3548" w:type="dxa"/>
            <w:vMerge w:val="continue"/>
            <w:tcBorders>
              <w:left w:val="single" w:color="000000" w:sz="4" w:space="0"/>
              <w:bottom w:val="single" w:color="000000" w:sz="4" w:space="0"/>
              <w:right w:val="single" w:color="000000" w:sz="4" w:space="0"/>
            </w:tcBorders>
            <w:tcMar>
              <w:left w:w="0" w:type="dxa"/>
              <w:right w:w="0" w:type="dxa"/>
            </w:tcMar>
            <w:vAlign w:val="center"/>
          </w:tcPr>
          <w:p>
            <w:pPr>
              <w:spacing w:line="440" w:lineRule="exact"/>
              <w:ind w:right="480"/>
              <w:jc w:val="center"/>
              <w:textAlignment w:val="baseline"/>
              <w:rPr>
                <w:b/>
                <w:sz w:val="24"/>
              </w:rPr>
            </w:pPr>
          </w:p>
        </w:tc>
        <w:tc>
          <w:tcPr>
            <w:tcW w:w="6205" w:type="dxa"/>
            <w:tcBorders>
              <w:bottom w:val="single" w:color="000000" w:sz="4" w:space="0"/>
              <w:right w:val="single" w:color="000000" w:sz="4" w:space="0"/>
            </w:tcBorders>
            <w:tcMar>
              <w:left w:w="0" w:type="dxa"/>
              <w:right w:w="0" w:type="dxa"/>
            </w:tcMar>
            <w:vAlign w:val="center"/>
          </w:tcPr>
          <w:p>
            <w:pPr>
              <w:spacing w:line="440" w:lineRule="exact"/>
              <w:ind w:right="480"/>
              <w:textAlignment w:val="baseline"/>
              <w:rPr>
                <w:b/>
                <w:sz w:val="24"/>
              </w:rPr>
            </w:pPr>
            <w:r>
              <w:rPr>
                <w:b/>
                <w:sz w:val="24"/>
              </w:rPr>
              <w:t>小写￥：</w:t>
            </w:r>
          </w:p>
        </w:tc>
      </w:tr>
      <w:tr>
        <w:tblPrEx>
          <w:tblCellMar>
            <w:top w:w="0" w:type="dxa"/>
            <w:left w:w="0" w:type="dxa"/>
            <w:bottom w:w="0" w:type="dxa"/>
            <w:right w:w="0" w:type="dxa"/>
          </w:tblCellMar>
        </w:tblPrEx>
        <w:trPr>
          <w:trHeight w:val="615" w:hRule="atLeast"/>
          <w:jc w:val="center"/>
        </w:trPr>
        <w:tc>
          <w:tcPr>
            <w:tcW w:w="3548" w:type="dxa"/>
            <w:tcBorders>
              <w:left w:val="single" w:color="000000" w:sz="4" w:space="0"/>
              <w:bottom w:val="single" w:color="000000" w:sz="4" w:space="0"/>
              <w:right w:val="single" w:color="000000" w:sz="4" w:space="0"/>
            </w:tcBorders>
            <w:tcMar>
              <w:left w:w="0" w:type="dxa"/>
              <w:right w:w="0" w:type="dxa"/>
            </w:tcMar>
            <w:vAlign w:val="center"/>
          </w:tcPr>
          <w:p>
            <w:pPr>
              <w:spacing w:line="440" w:lineRule="exact"/>
              <w:ind w:right="480"/>
              <w:jc w:val="center"/>
              <w:textAlignment w:val="baseline"/>
              <w:rPr>
                <w:b/>
                <w:sz w:val="24"/>
              </w:rPr>
            </w:pPr>
            <w:r>
              <w:rPr>
                <w:rFonts w:hint="eastAsia"/>
                <w:b/>
                <w:sz w:val="24"/>
              </w:rPr>
              <w:t>合同履约期限</w:t>
            </w:r>
          </w:p>
        </w:tc>
        <w:tc>
          <w:tcPr>
            <w:tcW w:w="6205" w:type="dxa"/>
            <w:tcBorders>
              <w:bottom w:val="single" w:color="000000" w:sz="4" w:space="0"/>
              <w:right w:val="single" w:color="000000" w:sz="4" w:space="0"/>
            </w:tcBorders>
            <w:tcMar>
              <w:left w:w="0" w:type="dxa"/>
              <w:right w:w="0" w:type="dxa"/>
            </w:tcMar>
            <w:vAlign w:val="center"/>
          </w:tcPr>
          <w:p>
            <w:pPr>
              <w:spacing w:line="440" w:lineRule="exact"/>
              <w:ind w:right="480"/>
              <w:textAlignment w:val="baseline"/>
              <w:rPr>
                <w:b/>
                <w:sz w:val="24"/>
              </w:rPr>
            </w:pPr>
          </w:p>
        </w:tc>
      </w:tr>
      <w:tr>
        <w:tblPrEx>
          <w:tblCellMar>
            <w:top w:w="0" w:type="dxa"/>
            <w:left w:w="0" w:type="dxa"/>
            <w:bottom w:w="0" w:type="dxa"/>
            <w:right w:w="0" w:type="dxa"/>
          </w:tblCellMar>
        </w:tblPrEx>
        <w:trPr>
          <w:trHeight w:val="615" w:hRule="atLeast"/>
          <w:jc w:val="center"/>
        </w:trPr>
        <w:tc>
          <w:tcPr>
            <w:tcW w:w="3548" w:type="dxa"/>
            <w:tcBorders>
              <w:left w:val="single" w:color="000000" w:sz="4" w:space="0"/>
              <w:bottom w:val="single" w:color="000000" w:sz="4" w:space="0"/>
              <w:right w:val="single" w:color="000000" w:sz="4" w:space="0"/>
            </w:tcBorders>
            <w:tcMar>
              <w:left w:w="0" w:type="dxa"/>
              <w:right w:w="0" w:type="dxa"/>
            </w:tcMar>
            <w:vAlign w:val="center"/>
          </w:tcPr>
          <w:p>
            <w:pPr>
              <w:spacing w:line="440" w:lineRule="exact"/>
              <w:ind w:right="480"/>
              <w:jc w:val="center"/>
              <w:textAlignment w:val="baseline"/>
              <w:rPr>
                <w:b/>
                <w:sz w:val="24"/>
              </w:rPr>
            </w:pPr>
            <w:r>
              <w:rPr>
                <w:rFonts w:hint="eastAsia"/>
                <w:b/>
                <w:sz w:val="24"/>
              </w:rPr>
              <w:t>交货（服务）地点</w:t>
            </w:r>
          </w:p>
        </w:tc>
        <w:tc>
          <w:tcPr>
            <w:tcW w:w="6205" w:type="dxa"/>
            <w:tcBorders>
              <w:bottom w:val="single" w:color="000000" w:sz="4" w:space="0"/>
              <w:right w:val="single" w:color="000000" w:sz="4" w:space="0"/>
            </w:tcBorders>
            <w:tcMar>
              <w:left w:w="0" w:type="dxa"/>
              <w:right w:w="0" w:type="dxa"/>
            </w:tcMar>
            <w:vAlign w:val="center"/>
          </w:tcPr>
          <w:p>
            <w:pPr>
              <w:spacing w:line="440" w:lineRule="exact"/>
              <w:ind w:right="480"/>
              <w:textAlignment w:val="baseline"/>
              <w:rPr>
                <w:b/>
                <w:sz w:val="24"/>
              </w:rPr>
            </w:pPr>
          </w:p>
        </w:tc>
      </w:tr>
      <w:tr>
        <w:tblPrEx>
          <w:tblCellMar>
            <w:top w:w="0" w:type="dxa"/>
            <w:left w:w="0" w:type="dxa"/>
            <w:bottom w:w="0" w:type="dxa"/>
            <w:right w:w="0" w:type="dxa"/>
          </w:tblCellMar>
        </w:tblPrEx>
        <w:trPr>
          <w:trHeight w:val="675" w:hRule="atLeast"/>
          <w:jc w:val="center"/>
        </w:trPr>
        <w:tc>
          <w:tcPr>
            <w:tcW w:w="354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40" w:lineRule="exact"/>
              <w:jc w:val="center"/>
              <w:textAlignment w:val="baseline"/>
              <w:rPr>
                <w:b/>
                <w:sz w:val="24"/>
              </w:rPr>
            </w:pPr>
            <w:r>
              <w:rPr>
                <w:rFonts w:hint="eastAsia"/>
                <w:b/>
                <w:sz w:val="24"/>
              </w:rPr>
              <w:t>是否为小微企业或残疾人福利性单位</w:t>
            </w:r>
          </w:p>
        </w:tc>
        <w:tc>
          <w:tcPr>
            <w:tcW w:w="620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40" w:lineRule="exact"/>
              <w:ind w:right="480"/>
              <w:jc w:val="center"/>
              <w:textAlignment w:val="baseline"/>
              <w:rPr>
                <w:b/>
                <w:sz w:val="24"/>
              </w:rPr>
            </w:pPr>
          </w:p>
        </w:tc>
      </w:tr>
    </w:tbl>
    <w:p>
      <w:pPr>
        <w:rPr>
          <w:sz w:val="24"/>
        </w:rPr>
      </w:pPr>
    </w:p>
    <w:p>
      <w:pPr>
        <w:rPr>
          <w:rFonts w:ascii="宋体" w:hAnsi="宋体" w:cs="宋体"/>
          <w:sz w:val="24"/>
        </w:rPr>
      </w:pPr>
      <w:r>
        <w:rPr>
          <w:rFonts w:hint="eastAsia" w:ascii="宋体" w:hAnsi="宋体" w:cs="宋体"/>
          <w:b/>
          <w:bCs/>
          <w:sz w:val="24"/>
        </w:rPr>
        <w:t>注</w:t>
      </w:r>
      <w:r>
        <w:rPr>
          <w:rFonts w:hint="eastAsia" w:ascii="宋体" w:hAnsi="宋体" w:cs="宋体"/>
          <w:sz w:val="24"/>
        </w:rPr>
        <w:t>：1、如果按单价计算的结果与总价不一致，以单价为准修正总价。</w:t>
      </w:r>
    </w:p>
    <w:p>
      <w:pPr>
        <w:ind w:firstLine="480" w:firstLineChars="200"/>
        <w:rPr>
          <w:rFonts w:ascii="宋体" w:hAnsi="宋体" w:cs="宋体"/>
          <w:sz w:val="24"/>
        </w:rPr>
      </w:pPr>
      <w:r>
        <w:rPr>
          <w:rFonts w:hint="eastAsia" w:ascii="宋体" w:hAnsi="宋体" w:cs="宋体"/>
          <w:sz w:val="24"/>
        </w:rPr>
        <w:t>2、以上所有报价不得高于招标文件规定的最高限价。</w:t>
      </w:r>
    </w:p>
    <w:p>
      <w:pPr>
        <w:ind w:firstLine="480" w:firstLineChars="200"/>
        <w:rPr>
          <w:rFonts w:ascii="宋体" w:hAnsi="宋体" w:cs="宋体"/>
          <w:sz w:val="24"/>
        </w:rPr>
      </w:pPr>
      <w:r>
        <w:rPr>
          <w:rFonts w:hint="eastAsia" w:ascii="宋体" w:hAnsi="宋体" w:cs="宋体"/>
          <w:sz w:val="24"/>
        </w:rPr>
        <w:t>3、合同履约期限必须响应招标文件。</w:t>
      </w:r>
    </w:p>
    <w:p>
      <w:pPr>
        <w:rPr>
          <w:rFonts w:ascii="宋体" w:hAnsi="宋体" w:cs="宋体"/>
          <w:sz w:val="24"/>
        </w:rPr>
      </w:pPr>
    </w:p>
    <w:p/>
    <w:p>
      <w:pPr>
        <w:spacing w:line="440" w:lineRule="exact"/>
        <w:ind w:right="480"/>
        <w:jc w:val="right"/>
        <w:textAlignment w:val="baseline"/>
        <w:rPr>
          <w:b/>
          <w:sz w:val="24"/>
        </w:rPr>
      </w:pPr>
    </w:p>
    <w:p>
      <w:pPr>
        <w:spacing w:line="440" w:lineRule="exact"/>
        <w:ind w:right="480"/>
        <w:jc w:val="center"/>
        <w:rPr>
          <w:sz w:val="24"/>
        </w:rPr>
      </w:pPr>
      <w:r>
        <w:rPr>
          <w:sz w:val="24"/>
        </w:rPr>
        <w:t xml:space="preserve">                                  投标人：（单位盖章）</w:t>
      </w:r>
    </w:p>
    <w:p>
      <w:pPr>
        <w:spacing w:line="440" w:lineRule="exact"/>
        <w:ind w:right="120"/>
        <w:jc w:val="right"/>
        <w:rPr>
          <w:sz w:val="24"/>
        </w:rPr>
      </w:pPr>
      <w:r>
        <w:rPr>
          <w:sz w:val="24"/>
        </w:rPr>
        <w:t>法定代表人或代理人：（签字或盖章）</w:t>
      </w:r>
    </w:p>
    <w:p>
      <w:pPr>
        <w:spacing w:line="440" w:lineRule="exact"/>
        <w:ind w:right="480" w:firstLine="5400" w:firstLineChars="2250"/>
        <w:rPr>
          <w:sz w:val="24"/>
        </w:rPr>
      </w:pPr>
      <w:r>
        <w:rPr>
          <w:sz w:val="24"/>
        </w:rPr>
        <w:t>日期：         年  月  日</w:t>
      </w:r>
    </w:p>
    <w:p>
      <w:pPr>
        <w:spacing w:line="440" w:lineRule="exact"/>
        <w:rPr>
          <w:b/>
          <w:sz w:val="28"/>
          <w:szCs w:val="28"/>
        </w:rPr>
      </w:pPr>
    </w:p>
    <w:p>
      <w:pPr>
        <w:spacing w:line="440" w:lineRule="exact"/>
        <w:rPr>
          <w:b/>
          <w:sz w:val="28"/>
          <w:szCs w:val="28"/>
        </w:rPr>
      </w:pPr>
    </w:p>
    <w:p>
      <w:pPr>
        <w:spacing w:line="440" w:lineRule="exact"/>
        <w:rPr>
          <w:b/>
          <w:sz w:val="28"/>
          <w:szCs w:val="28"/>
        </w:rPr>
      </w:pPr>
    </w:p>
    <w:p>
      <w:pPr>
        <w:spacing w:line="440" w:lineRule="exact"/>
        <w:jc w:val="left"/>
        <w:rPr>
          <w:b/>
          <w:sz w:val="28"/>
          <w:szCs w:val="28"/>
        </w:rPr>
      </w:pPr>
    </w:p>
    <w:p>
      <w:pPr>
        <w:rPr>
          <w:b/>
          <w:sz w:val="28"/>
          <w:szCs w:val="28"/>
        </w:rPr>
      </w:pPr>
      <w:r>
        <w:rPr>
          <w:b/>
          <w:sz w:val="28"/>
          <w:szCs w:val="28"/>
        </w:rPr>
        <w:br w:type="page"/>
      </w:r>
    </w:p>
    <w:p>
      <w:pPr>
        <w:spacing w:line="440" w:lineRule="exact"/>
        <w:jc w:val="left"/>
        <w:rPr>
          <w:b/>
          <w:sz w:val="28"/>
          <w:szCs w:val="28"/>
        </w:rPr>
      </w:pPr>
      <w:r>
        <w:rPr>
          <w:b/>
          <w:sz w:val="28"/>
          <w:szCs w:val="28"/>
        </w:rPr>
        <w:t>附</w:t>
      </w:r>
      <w:r>
        <w:rPr>
          <w:rFonts w:hint="eastAsia"/>
          <w:b/>
          <w:sz w:val="28"/>
          <w:szCs w:val="28"/>
        </w:rPr>
        <w:t>表</w:t>
      </w:r>
      <w:r>
        <w:rPr>
          <w:b/>
          <w:sz w:val="28"/>
          <w:szCs w:val="28"/>
        </w:rPr>
        <w:t>四：</w:t>
      </w:r>
    </w:p>
    <w:p>
      <w:pPr>
        <w:spacing w:line="440" w:lineRule="exact"/>
        <w:jc w:val="center"/>
        <w:rPr>
          <w:b/>
          <w:sz w:val="28"/>
          <w:szCs w:val="28"/>
        </w:rPr>
      </w:pPr>
      <w:r>
        <w:rPr>
          <w:b/>
          <w:sz w:val="28"/>
          <w:szCs w:val="28"/>
        </w:rPr>
        <w:t>报价明细表</w:t>
      </w:r>
      <w:r>
        <w:rPr>
          <w:rFonts w:hint="eastAsia"/>
          <w:b/>
          <w:sz w:val="28"/>
          <w:szCs w:val="28"/>
        </w:rPr>
        <w:t>（如有）</w:t>
      </w:r>
    </w:p>
    <w:p>
      <w:pPr>
        <w:spacing w:line="440" w:lineRule="exact"/>
        <w:ind w:firstLine="720" w:firstLineChars="300"/>
        <w:rPr>
          <w:sz w:val="24"/>
        </w:rPr>
      </w:pPr>
      <w:r>
        <w:rPr>
          <w:sz w:val="24"/>
        </w:rPr>
        <w:t xml:space="preserve">项目名称：                                           </w:t>
      </w:r>
    </w:p>
    <w:tbl>
      <w:tblPr>
        <w:tblStyle w:val="23"/>
        <w:tblW w:w="9724" w:type="dxa"/>
        <w:jc w:val="center"/>
        <w:tblLayout w:type="fixed"/>
        <w:tblCellMar>
          <w:top w:w="0" w:type="dxa"/>
          <w:left w:w="0" w:type="dxa"/>
          <w:bottom w:w="0" w:type="dxa"/>
          <w:right w:w="0" w:type="dxa"/>
        </w:tblCellMar>
      </w:tblPr>
      <w:tblGrid>
        <w:gridCol w:w="1123"/>
        <w:gridCol w:w="4607"/>
        <w:gridCol w:w="7"/>
        <w:gridCol w:w="798"/>
        <w:gridCol w:w="7"/>
        <w:gridCol w:w="736"/>
        <w:gridCol w:w="7"/>
        <w:gridCol w:w="736"/>
        <w:gridCol w:w="743"/>
        <w:gridCol w:w="960"/>
      </w:tblGrid>
      <w:tr>
        <w:tblPrEx>
          <w:tblCellMar>
            <w:top w:w="0" w:type="dxa"/>
            <w:left w:w="0" w:type="dxa"/>
            <w:bottom w:w="0" w:type="dxa"/>
            <w:right w:w="0" w:type="dxa"/>
          </w:tblCellMar>
        </w:tblPrEx>
        <w:trPr>
          <w:trHeight w:val="720" w:hRule="atLeast"/>
          <w:jc w:val="center"/>
        </w:trPr>
        <w:tc>
          <w:tcPr>
            <w:tcW w:w="1123" w:type="dxa"/>
            <w:tcBorders>
              <w:top w:val="single" w:color="000000" w:sz="4" w:space="0"/>
              <w:left w:val="single" w:color="000000" w:sz="6" w:space="0"/>
              <w:bottom w:val="single" w:color="000000" w:sz="6" w:space="0"/>
              <w:right w:val="single" w:color="auto" w:sz="4" w:space="0"/>
            </w:tcBorders>
            <w:tcMar>
              <w:left w:w="0" w:type="dxa"/>
              <w:right w:w="0" w:type="dxa"/>
            </w:tcMar>
            <w:vAlign w:val="center"/>
          </w:tcPr>
          <w:p>
            <w:pPr>
              <w:jc w:val="center"/>
              <w:rPr>
                <w:sz w:val="24"/>
              </w:rPr>
            </w:pPr>
            <w:r>
              <w:rPr>
                <w:sz w:val="24"/>
              </w:rPr>
              <w:t>序号</w:t>
            </w:r>
          </w:p>
        </w:tc>
        <w:tc>
          <w:tcPr>
            <w:tcW w:w="46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z w:val="24"/>
              </w:rPr>
            </w:pPr>
            <w:r>
              <w:rPr>
                <w:sz w:val="24"/>
              </w:rPr>
              <w:t>服务项目</w:t>
            </w:r>
          </w:p>
        </w:tc>
        <w:tc>
          <w:tcPr>
            <w:tcW w:w="805"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z w:val="24"/>
              </w:rPr>
            </w:pPr>
          </w:p>
        </w:tc>
        <w:tc>
          <w:tcPr>
            <w:tcW w:w="743" w:type="dxa"/>
            <w:gridSpan w:val="2"/>
            <w:tcBorders>
              <w:top w:val="single" w:color="000000" w:sz="4" w:space="0"/>
              <w:left w:val="single" w:color="auto" w:sz="4" w:space="0"/>
              <w:bottom w:val="single" w:color="000000" w:sz="6" w:space="0"/>
              <w:right w:val="single" w:color="000000" w:sz="6" w:space="0"/>
            </w:tcBorders>
            <w:tcMar>
              <w:left w:w="0" w:type="dxa"/>
              <w:right w:w="0" w:type="dxa"/>
            </w:tcMar>
            <w:vAlign w:val="center"/>
          </w:tcPr>
          <w:p>
            <w:pPr>
              <w:jc w:val="center"/>
              <w:rPr>
                <w:sz w:val="24"/>
              </w:rPr>
            </w:pPr>
            <w:r>
              <w:rPr>
                <w:sz w:val="24"/>
              </w:rPr>
              <w:t>单位</w:t>
            </w:r>
          </w:p>
        </w:tc>
        <w:tc>
          <w:tcPr>
            <w:tcW w:w="743" w:type="dxa"/>
            <w:gridSpan w:val="2"/>
            <w:tcBorders>
              <w:top w:val="single" w:color="000000" w:sz="4" w:space="0"/>
              <w:left w:val="single" w:color="000000" w:sz="6" w:space="0"/>
              <w:bottom w:val="single" w:color="000000" w:sz="6" w:space="0"/>
              <w:right w:val="single" w:color="000000" w:sz="6" w:space="0"/>
            </w:tcBorders>
            <w:tcMar>
              <w:left w:w="0" w:type="dxa"/>
              <w:right w:w="0" w:type="dxa"/>
            </w:tcMar>
            <w:vAlign w:val="center"/>
          </w:tcPr>
          <w:p>
            <w:pPr>
              <w:jc w:val="center"/>
              <w:rPr>
                <w:sz w:val="24"/>
              </w:rPr>
            </w:pPr>
            <w:r>
              <w:rPr>
                <w:sz w:val="24"/>
              </w:rPr>
              <w:t>数量</w:t>
            </w:r>
          </w:p>
        </w:tc>
        <w:tc>
          <w:tcPr>
            <w:tcW w:w="743"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pPr>
              <w:jc w:val="center"/>
              <w:rPr>
                <w:sz w:val="24"/>
              </w:rPr>
            </w:pPr>
            <w:r>
              <w:rPr>
                <w:sz w:val="24"/>
              </w:rPr>
              <w:t>单价</w:t>
            </w:r>
          </w:p>
        </w:tc>
        <w:tc>
          <w:tcPr>
            <w:tcW w:w="960" w:type="dxa"/>
            <w:tcBorders>
              <w:top w:val="single" w:color="000000" w:sz="4" w:space="0"/>
              <w:left w:val="single" w:color="000000" w:sz="6" w:space="0"/>
              <w:bottom w:val="single" w:color="000000" w:sz="6" w:space="0"/>
              <w:right w:val="single" w:color="000000" w:sz="4" w:space="0"/>
            </w:tcBorders>
            <w:tcMar>
              <w:left w:w="0" w:type="dxa"/>
              <w:right w:w="0" w:type="dxa"/>
            </w:tcMar>
            <w:vAlign w:val="center"/>
          </w:tcPr>
          <w:p>
            <w:pPr>
              <w:jc w:val="center"/>
              <w:rPr>
                <w:sz w:val="24"/>
              </w:rPr>
            </w:pPr>
            <w:r>
              <w:rPr>
                <w:sz w:val="24"/>
              </w:rPr>
              <w:t>合价</w:t>
            </w:r>
          </w:p>
        </w:tc>
      </w:tr>
      <w:tr>
        <w:tblPrEx>
          <w:tblCellMar>
            <w:top w:w="0" w:type="dxa"/>
            <w:left w:w="0" w:type="dxa"/>
            <w:bottom w:w="0" w:type="dxa"/>
            <w:right w:w="0" w:type="dxa"/>
          </w:tblCellMar>
        </w:tblPrEx>
        <w:trPr>
          <w:cantSplit/>
          <w:trHeight w:val="454" w:hRule="exact"/>
          <w:jc w:val="center"/>
        </w:trPr>
        <w:tc>
          <w:tcPr>
            <w:tcW w:w="1123" w:type="dxa"/>
            <w:tcBorders>
              <w:top w:val="single" w:color="000000" w:sz="6" w:space="0"/>
              <w:left w:val="single" w:color="000000" w:sz="6" w:space="0"/>
              <w:bottom w:val="single" w:color="000000" w:sz="6" w:space="0"/>
              <w:right w:val="single" w:color="auto" w:sz="4" w:space="0"/>
            </w:tcBorders>
            <w:tcMar>
              <w:left w:w="0" w:type="dxa"/>
              <w:right w:w="0" w:type="dxa"/>
            </w:tcMar>
            <w:vAlign w:val="center"/>
          </w:tcPr>
          <w:p>
            <w:pPr>
              <w:jc w:val="center"/>
              <w:rPr>
                <w:sz w:val="24"/>
              </w:rPr>
            </w:pPr>
            <w:r>
              <w:rPr>
                <w:sz w:val="24"/>
              </w:rPr>
              <w:t>1</w:t>
            </w:r>
          </w:p>
        </w:tc>
        <w:tc>
          <w:tcPr>
            <w:tcW w:w="46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z w:val="24"/>
              </w:rPr>
            </w:pPr>
          </w:p>
        </w:tc>
        <w:tc>
          <w:tcPr>
            <w:tcW w:w="805"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z w:val="24"/>
              </w:rPr>
            </w:pPr>
          </w:p>
        </w:tc>
        <w:tc>
          <w:tcPr>
            <w:tcW w:w="743" w:type="dxa"/>
            <w:gridSpan w:val="2"/>
            <w:tcBorders>
              <w:top w:val="single" w:color="000000" w:sz="6" w:space="0"/>
              <w:left w:val="single" w:color="auto" w:sz="4" w:space="0"/>
              <w:bottom w:val="single" w:color="000000" w:sz="6" w:space="0"/>
              <w:right w:val="single" w:color="000000" w:sz="6" w:space="0"/>
            </w:tcBorders>
            <w:tcMar>
              <w:left w:w="0" w:type="dxa"/>
              <w:right w:w="0" w:type="dxa"/>
            </w:tcMar>
            <w:vAlign w:val="center"/>
          </w:tcPr>
          <w:p>
            <w:pPr>
              <w:jc w:val="center"/>
              <w:rPr>
                <w:sz w:val="24"/>
              </w:rPr>
            </w:pPr>
          </w:p>
        </w:tc>
        <w:tc>
          <w:tcPr>
            <w:tcW w:w="74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sz w:val="24"/>
              </w:rPr>
            </w:pPr>
          </w:p>
        </w:tc>
        <w:tc>
          <w:tcPr>
            <w:tcW w:w="7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sz w:val="24"/>
              </w:rPr>
            </w:pPr>
          </w:p>
        </w:tc>
        <w:tc>
          <w:tcPr>
            <w:tcW w:w="960"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jc w:val="center"/>
              <w:rPr>
                <w:sz w:val="24"/>
              </w:rPr>
            </w:pPr>
          </w:p>
        </w:tc>
      </w:tr>
      <w:tr>
        <w:tblPrEx>
          <w:tblCellMar>
            <w:top w:w="0" w:type="dxa"/>
            <w:left w:w="0" w:type="dxa"/>
            <w:bottom w:w="0" w:type="dxa"/>
            <w:right w:w="0" w:type="dxa"/>
          </w:tblCellMar>
        </w:tblPrEx>
        <w:trPr>
          <w:cantSplit/>
          <w:trHeight w:val="454" w:hRule="exact"/>
          <w:jc w:val="center"/>
        </w:trPr>
        <w:tc>
          <w:tcPr>
            <w:tcW w:w="1123" w:type="dxa"/>
            <w:tcBorders>
              <w:top w:val="single" w:color="000000" w:sz="6" w:space="0"/>
              <w:left w:val="single" w:color="000000" w:sz="6" w:space="0"/>
              <w:bottom w:val="single" w:color="000000" w:sz="6" w:space="0"/>
              <w:right w:val="single" w:color="auto" w:sz="4" w:space="0"/>
            </w:tcBorders>
            <w:tcMar>
              <w:left w:w="0" w:type="dxa"/>
              <w:right w:w="0" w:type="dxa"/>
            </w:tcMar>
            <w:vAlign w:val="center"/>
          </w:tcPr>
          <w:p>
            <w:pPr>
              <w:jc w:val="center"/>
              <w:rPr>
                <w:sz w:val="24"/>
              </w:rPr>
            </w:pPr>
            <w:r>
              <w:rPr>
                <w:sz w:val="24"/>
              </w:rPr>
              <w:t>2</w:t>
            </w:r>
          </w:p>
        </w:tc>
        <w:tc>
          <w:tcPr>
            <w:tcW w:w="46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z w:val="24"/>
              </w:rPr>
            </w:pPr>
          </w:p>
        </w:tc>
        <w:tc>
          <w:tcPr>
            <w:tcW w:w="805"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z w:val="24"/>
              </w:rPr>
            </w:pPr>
          </w:p>
        </w:tc>
        <w:tc>
          <w:tcPr>
            <w:tcW w:w="743" w:type="dxa"/>
            <w:gridSpan w:val="2"/>
            <w:tcBorders>
              <w:top w:val="single" w:color="000000" w:sz="6" w:space="0"/>
              <w:left w:val="single" w:color="auto" w:sz="4" w:space="0"/>
              <w:bottom w:val="single" w:color="000000" w:sz="6" w:space="0"/>
              <w:right w:val="single" w:color="000000" w:sz="6" w:space="0"/>
            </w:tcBorders>
            <w:tcMar>
              <w:left w:w="0" w:type="dxa"/>
              <w:right w:w="0" w:type="dxa"/>
            </w:tcMar>
            <w:vAlign w:val="center"/>
          </w:tcPr>
          <w:p>
            <w:pPr>
              <w:jc w:val="center"/>
              <w:rPr>
                <w:sz w:val="24"/>
              </w:rPr>
            </w:pPr>
          </w:p>
        </w:tc>
        <w:tc>
          <w:tcPr>
            <w:tcW w:w="74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sz w:val="24"/>
              </w:rPr>
            </w:pPr>
          </w:p>
        </w:tc>
        <w:tc>
          <w:tcPr>
            <w:tcW w:w="7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sz w:val="24"/>
              </w:rPr>
            </w:pPr>
          </w:p>
        </w:tc>
        <w:tc>
          <w:tcPr>
            <w:tcW w:w="960"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jc w:val="center"/>
              <w:rPr>
                <w:sz w:val="24"/>
              </w:rPr>
            </w:pPr>
          </w:p>
        </w:tc>
      </w:tr>
      <w:tr>
        <w:tblPrEx>
          <w:tblCellMar>
            <w:top w:w="0" w:type="dxa"/>
            <w:left w:w="0" w:type="dxa"/>
            <w:bottom w:w="0" w:type="dxa"/>
            <w:right w:w="0" w:type="dxa"/>
          </w:tblCellMar>
        </w:tblPrEx>
        <w:trPr>
          <w:cantSplit/>
          <w:trHeight w:val="410" w:hRule="exact"/>
          <w:jc w:val="center"/>
        </w:trPr>
        <w:tc>
          <w:tcPr>
            <w:tcW w:w="1123" w:type="dxa"/>
            <w:tcBorders>
              <w:top w:val="single" w:color="000000" w:sz="6" w:space="0"/>
              <w:left w:val="single" w:color="000000" w:sz="6" w:space="0"/>
              <w:bottom w:val="single" w:color="000000" w:sz="6" w:space="0"/>
              <w:right w:val="single" w:color="auto" w:sz="4" w:space="0"/>
            </w:tcBorders>
            <w:tcMar>
              <w:left w:w="0" w:type="dxa"/>
              <w:right w:w="0" w:type="dxa"/>
            </w:tcMar>
            <w:vAlign w:val="center"/>
          </w:tcPr>
          <w:p>
            <w:pPr>
              <w:jc w:val="center"/>
              <w:rPr>
                <w:sz w:val="24"/>
              </w:rPr>
            </w:pPr>
            <w:r>
              <w:rPr>
                <w:sz w:val="24"/>
              </w:rPr>
              <w:t>3</w:t>
            </w:r>
          </w:p>
        </w:tc>
        <w:tc>
          <w:tcPr>
            <w:tcW w:w="46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z w:val="24"/>
              </w:rPr>
            </w:pPr>
          </w:p>
        </w:tc>
        <w:tc>
          <w:tcPr>
            <w:tcW w:w="805"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z w:val="24"/>
              </w:rPr>
            </w:pPr>
          </w:p>
        </w:tc>
        <w:tc>
          <w:tcPr>
            <w:tcW w:w="743" w:type="dxa"/>
            <w:gridSpan w:val="2"/>
            <w:tcBorders>
              <w:top w:val="single" w:color="000000" w:sz="6" w:space="0"/>
              <w:left w:val="single" w:color="auto" w:sz="4" w:space="0"/>
              <w:bottom w:val="single" w:color="000000" w:sz="6" w:space="0"/>
              <w:right w:val="single" w:color="000000" w:sz="6" w:space="0"/>
            </w:tcBorders>
            <w:tcMar>
              <w:left w:w="0" w:type="dxa"/>
              <w:right w:w="0" w:type="dxa"/>
            </w:tcMar>
            <w:vAlign w:val="center"/>
          </w:tcPr>
          <w:p>
            <w:pPr>
              <w:jc w:val="center"/>
              <w:rPr>
                <w:sz w:val="24"/>
              </w:rPr>
            </w:pPr>
          </w:p>
        </w:tc>
        <w:tc>
          <w:tcPr>
            <w:tcW w:w="74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sz w:val="24"/>
              </w:rPr>
            </w:pPr>
          </w:p>
        </w:tc>
        <w:tc>
          <w:tcPr>
            <w:tcW w:w="7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sz w:val="24"/>
              </w:rPr>
            </w:pPr>
          </w:p>
        </w:tc>
        <w:tc>
          <w:tcPr>
            <w:tcW w:w="960"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jc w:val="center"/>
              <w:rPr>
                <w:sz w:val="24"/>
              </w:rPr>
            </w:pPr>
          </w:p>
        </w:tc>
      </w:tr>
      <w:tr>
        <w:tblPrEx>
          <w:tblCellMar>
            <w:top w:w="0" w:type="dxa"/>
            <w:left w:w="0" w:type="dxa"/>
            <w:bottom w:w="0" w:type="dxa"/>
            <w:right w:w="0" w:type="dxa"/>
          </w:tblCellMar>
        </w:tblPrEx>
        <w:trPr>
          <w:cantSplit/>
          <w:trHeight w:val="454" w:hRule="exact"/>
          <w:jc w:val="center"/>
        </w:trPr>
        <w:tc>
          <w:tcPr>
            <w:tcW w:w="1123" w:type="dxa"/>
            <w:tcBorders>
              <w:top w:val="single" w:color="000000" w:sz="6" w:space="0"/>
              <w:left w:val="single" w:color="000000" w:sz="6" w:space="0"/>
              <w:bottom w:val="single" w:color="000000" w:sz="6" w:space="0"/>
              <w:right w:val="single" w:color="auto" w:sz="4" w:space="0"/>
            </w:tcBorders>
            <w:tcMar>
              <w:left w:w="0" w:type="dxa"/>
              <w:right w:w="0" w:type="dxa"/>
            </w:tcMar>
            <w:vAlign w:val="center"/>
          </w:tcPr>
          <w:p>
            <w:pPr>
              <w:jc w:val="center"/>
              <w:rPr>
                <w:sz w:val="24"/>
              </w:rPr>
            </w:pPr>
            <w:r>
              <w:rPr>
                <w:sz w:val="24"/>
              </w:rPr>
              <w:t>…</w:t>
            </w:r>
          </w:p>
        </w:tc>
        <w:tc>
          <w:tcPr>
            <w:tcW w:w="46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z w:val="24"/>
              </w:rPr>
            </w:pPr>
          </w:p>
        </w:tc>
        <w:tc>
          <w:tcPr>
            <w:tcW w:w="805"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z w:val="24"/>
              </w:rPr>
            </w:pPr>
          </w:p>
        </w:tc>
        <w:tc>
          <w:tcPr>
            <w:tcW w:w="743" w:type="dxa"/>
            <w:gridSpan w:val="2"/>
            <w:tcBorders>
              <w:top w:val="single" w:color="000000" w:sz="6" w:space="0"/>
              <w:left w:val="single" w:color="auto" w:sz="4" w:space="0"/>
              <w:bottom w:val="single" w:color="000000" w:sz="6" w:space="0"/>
              <w:right w:val="single" w:color="auto" w:sz="4" w:space="0"/>
            </w:tcBorders>
            <w:tcMar>
              <w:left w:w="0" w:type="dxa"/>
              <w:right w:w="0" w:type="dxa"/>
            </w:tcMar>
            <w:vAlign w:val="center"/>
          </w:tcPr>
          <w:p>
            <w:pPr>
              <w:jc w:val="center"/>
              <w:rPr>
                <w:sz w:val="24"/>
              </w:rPr>
            </w:pPr>
          </w:p>
        </w:tc>
        <w:tc>
          <w:tcPr>
            <w:tcW w:w="743" w:type="dxa"/>
            <w:gridSpan w:val="2"/>
            <w:tcBorders>
              <w:top w:val="single" w:color="000000" w:sz="6" w:space="0"/>
              <w:left w:val="single" w:color="auto" w:sz="4" w:space="0"/>
              <w:bottom w:val="single" w:color="000000" w:sz="6" w:space="0"/>
              <w:right w:val="single" w:color="000000" w:sz="6" w:space="0"/>
            </w:tcBorders>
            <w:tcMar>
              <w:left w:w="0" w:type="dxa"/>
              <w:right w:w="0" w:type="dxa"/>
            </w:tcMar>
            <w:vAlign w:val="center"/>
          </w:tcPr>
          <w:p>
            <w:pPr>
              <w:jc w:val="center"/>
              <w:rPr>
                <w:sz w:val="24"/>
              </w:rPr>
            </w:pPr>
          </w:p>
        </w:tc>
        <w:tc>
          <w:tcPr>
            <w:tcW w:w="7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sz w:val="24"/>
              </w:rPr>
            </w:pPr>
          </w:p>
        </w:tc>
        <w:tc>
          <w:tcPr>
            <w:tcW w:w="960"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jc w:val="center"/>
              <w:rPr>
                <w:sz w:val="24"/>
              </w:rPr>
            </w:pPr>
          </w:p>
        </w:tc>
      </w:tr>
      <w:tr>
        <w:tblPrEx>
          <w:tblCellMar>
            <w:top w:w="0" w:type="dxa"/>
            <w:left w:w="0" w:type="dxa"/>
            <w:bottom w:w="0" w:type="dxa"/>
            <w:right w:w="0" w:type="dxa"/>
          </w:tblCellMar>
        </w:tblPrEx>
        <w:trPr>
          <w:cantSplit/>
          <w:trHeight w:val="454" w:hRule="exact"/>
          <w:jc w:val="center"/>
        </w:trPr>
        <w:tc>
          <w:tcPr>
            <w:tcW w:w="112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sz w:val="24"/>
              </w:rPr>
            </w:pPr>
          </w:p>
        </w:tc>
        <w:tc>
          <w:tcPr>
            <w:tcW w:w="4614" w:type="dxa"/>
            <w:gridSpan w:val="2"/>
            <w:tcBorders>
              <w:top w:val="single" w:color="000000" w:sz="6" w:space="0"/>
              <w:left w:val="single" w:color="000000" w:sz="6" w:space="0"/>
              <w:bottom w:val="single" w:color="000000" w:sz="6" w:space="0"/>
              <w:right w:val="single" w:color="auto" w:sz="4" w:space="0"/>
            </w:tcBorders>
            <w:tcMar>
              <w:left w:w="0" w:type="dxa"/>
              <w:right w:w="0" w:type="dxa"/>
            </w:tcMar>
            <w:vAlign w:val="center"/>
          </w:tcPr>
          <w:p>
            <w:pPr>
              <w:jc w:val="center"/>
              <w:rPr>
                <w:sz w:val="24"/>
              </w:rPr>
            </w:pPr>
          </w:p>
        </w:tc>
        <w:tc>
          <w:tcPr>
            <w:tcW w:w="805" w:type="dxa"/>
            <w:gridSpan w:val="2"/>
            <w:tcBorders>
              <w:top w:val="single" w:color="000000" w:sz="6" w:space="0"/>
              <w:left w:val="single" w:color="auto" w:sz="4" w:space="0"/>
              <w:bottom w:val="single" w:color="000000" w:sz="6" w:space="0"/>
              <w:right w:val="single" w:color="auto" w:sz="4" w:space="0"/>
            </w:tcBorders>
            <w:tcMar>
              <w:left w:w="0" w:type="dxa"/>
              <w:right w:w="0" w:type="dxa"/>
            </w:tcMar>
            <w:vAlign w:val="center"/>
          </w:tcPr>
          <w:p>
            <w:pPr>
              <w:jc w:val="center"/>
              <w:rPr>
                <w:sz w:val="24"/>
              </w:rPr>
            </w:pPr>
          </w:p>
        </w:tc>
        <w:tc>
          <w:tcPr>
            <w:tcW w:w="743" w:type="dxa"/>
            <w:gridSpan w:val="2"/>
            <w:tcBorders>
              <w:top w:val="single" w:color="000000" w:sz="6" w:space="0"/>
              <w:left w:val="single" w:color="auto" w:sz="4" w:space="0"/>
              <w:bottom w:val="single" w:color="000000" w:sz="6" w:space="0"/>
              <w:right w:val="single" w:color="auto" w:sz="4" w:space="0"/>
            </w:tcBorders>
            <w:tcMar>
              <w:left w:w="0" w:type="dxa"/>
              <w:right w:w="0" w:type="dxa"/>
            </w:tcMar>
            <w:vAlign w:val="center"/>
          </w:tcPr>
          <w:p>
            <w:pPr>
              <w:jc w:val="center"/>
              <w:rPr>
                <w:sz w:val="24"/>
              </w:rPr>
            </w:pPr>
          </w:p>
        </w:tc>
        <w:tc>
          <w:tcPr>
            <w:tcW w:w="736" w:type="dxa"/>
            <w:tcBorders>
              <w:top w:val="single" w:color="000000" w:sz="6" w:space="0"/>
              <w:left w:val="single" w:color="auto" w:sz="4" w:space="0"/>
              <w:bottom w:val="single" w:color="000000" w:sz="6" w:space="0"/>
              <w:right w:val="single" w:color="000000" w:sz="6" w:space="0"/>
            </w:tcBorders>
            <w:tcMar>
              <w:left w:w="0" w:type="dxa"/>
              <w:right w:w="0" w:type="dxa"/>
            </w:tcMar>
            <w:vAlign w:val="center"/>
          </w:tcPr>
          <w:p>
            <w:pPr>
              <w:jc w:val="center"/>
              <w:rPr>
                <w:sz w:val="24"/>
              </w:rPr>
            </w:pPr>
          </w:p>
        </w:tc>
        <w:tc>
          <w:tcPr>
            <w:tcW w:w="7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sz w:val="24"/>
              </w:rPr>
            </w:pPr>
          </w:p>
        </w:tc>
        <w:tc>
          <w:tcPr>
            <w:tcW w:w="960"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jc w:val="center"/>
              <w:rPr>
                <w:sz w:val="24"/>
              </w:rPr>
            </w:pPr>
          </w:p>
        </w:tc>
      </w:tr>
      <w:tr>
        <w:tblPrEx>
          <w:tblCellMar>
            <w:top w:w="0" w:type="dxa"/>
            <w:left w:w="0" w:type="dxa"/>
            <w:bottom w:w="0" w:type="dxa"/>
            <w:right w:w="0" w:type="dxa"/>
          </w:tblCellMar>
        </w:tblPrEx>
        <w:trPr>
          <w:cantSplit/>
          <w:trHeight w:val="454" w:hRule="exact"/>
          <w:jc w:val="center"/>
        </w:trPr>
        <w:tc>
          <w:tcPr>
            <w:tcW w:w="112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sz w:val="24"/>
              </w:rPr>
            </w:pPr>
          </w:p>
        </w:tc>
        <w:tc>
          <w:tcPr>
            <w:tcW w:w="4614" w:type="dxa"/>
            <w:gridSpan w:val="2"/>
            <w:tcBorders>
              <w:top w:val="single" w:color="000000" w:sz="6" w:space="0"/>
              <w:left w:val="single" w:color="000000" w:sz="6" w:space="0"/>
              <w:bottom w:val="single" w:color="000000" w:sz="6" w:space="0"/>
              <w:right w:val="single" w:color="auto" w:sz="4" w:space="0"/>
            </w:tcBorders>
            <w:tcMar>
              <w:left w:w="0" w:type="dxa"/>
              <w:right w:w="0" w:type="dxa"/>
            </w:tcMar>
            <w:vAlign w:val="center"/>
          </w:tcPr>
          <w:p>
            <w:pPr>
              <w:jc w:val="center"/>
              <w:rPr>
                <w:sz w:val="24"/>
              </w:rPr>
            </w:pPr>
          </w:p>
        </w:tc>
        <w:tc>
          <w:tcPr>
            <w:tcW w:w="805" w:type="dxa"/>
            <w:gridSpan w:val="2"/>
            <w:tcBorders>
              <w:top w:val="single" w:color="000000" w:sz="6" w:space="0"/>
              <w:left w:val="single" w:color="auto" w:sz="4" w:space="0"/>
              <w:bottom w:val="single" w:color="000000" w:sz="6" w:space="0"/>
              <w:right w:val="single" w:color="auto" w:sz="4" w:space="0"/>
            </w:tcBorders>
            <w:tcMar>
              <w:left w:w="0" w:type="dxa"/>
              <w:right w:w="0" w:type="dxa"/>
            </w:tcMar>
            <w:vAlign w:val="center"/>
          </w:tcPr>
          <w:p>
            <w:pPr>
              <w:jc w:val="center"/>
              <w:rPr>
                <w:sz w:val="24"/>
              </w:rPr>
            </w:pPr>
          </w:p>
        </w:tc>
        <w:tc>
          <w:tcPr>
            <w:tcW w:w="743" w:type="dxa"/>
            <w:gridSpan w:val="2"/>
            <w:tcBorders>
              <w:top w:val="single" w:color="000000" w:sz="6" w:space="0"/>
              <w:left w:val="single" w:color="auto" w:sz="4" w:space="0"/>
              <w:bottom w:val="single" w:color="000000" w:sz="6" w:space="0"/>
              <w:right w:val="single" w:color="auto" w:sz="4" w:space="0"/>
            </w:tcBorders>
            <w:tcMar>
              <w:left w:w="0" w:type="dxa"/>
              <w:right w:w="0" w:type="dxa"/>
            </w:tcMar>
            <w:vAlign w:val="center"/>
          </w:tcPr>
          <w:p>
            <w:pPr>
              <w:jc w:val="center"/>
              <w:rPr>
                <w:sz w:val="24"/>
              </w:rPr>
            </w:pPr>
          </w:p>
        </w:tc>
        <w:tc>
          <w:tcPr>
            <w:tcW w:w="736" w:type="dxa"/>
            <w:tcBorders>
              <w:top w:val="single" w:color="000000" w:sz="6" w:space="0"/>
              <w:left w:val="single" w:color="auto" w:sz="4" w:space="0"/>
              <w:bottom w:val="single" w:color="000000" w:sz="6" w:space="0"/>
              <w:right w:val="single" w:color="000000" w:sz="6" w:space="0"/>
            </w:tcBorders>
            <w:tcMar>
              <w:left w:w="0" w:type="dxa"/>
              <w:right w:w="0" w:type="dxa"/>
            </w:tcMar>
            <w:vAlign w:val="center"/>
          </w:tcPr>
          <w:p>
            <w:pPr>
              <w:jc w:val="center"/>
              <w:rPr>
                <w:sz w:val="24"/>
              </w:rPr>
            </w:pPr>
          </w:p>
        </w:tc>
        <w:tc>
          <w:tcPr>
            <w:tcW w:w="7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sz w:val="24"/>
              </w:rPr>
            </w:pPr>
          </w:p>
        </w:tc>
        <w:tc>
          <w:tcPr>
            <w:tcW w:w="960"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jc w:val="center"/>
              <w:rPr>
                <w:sz w:val="24"/>
              </w:rPr>
            </w:pPr>
          </w:p>
        </w:tc>
      </w:tr>
      <w:tr>
        <w:tblPrEx>
          <w:tblCellMar>
            <w:top w:w="0" w:type="dxa"/>
            <w:left w:w="0" w:type="dxa"/>
            <w:bottom w:w="0" w:type="dxa"/>
            <w:right w:w="0" w:type="dxa"/>
          </w:tblCellMar>
        </w:tblPrEx>
        <w:trPr>
          <w:cantSplit/>
          <w:trHeight w:val="439" w:hRule="exact"/>
          <w:jc w:val="center"/>
        </w:trPr>
        <w:tc>
          <w:tcPr>
            <w:tcW w:w="112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sz w:val="24"/>
              </w:rPr>
            </w:pPr>
          </w:p>
        </w:tc>
        <w:tc>
          <w:tcPr>
            <w:tcW w:w="4614" w:type="dxa"/>
            <w:gridSpan w:val="2"/>
            <w:tcBorders>
              <w:top w:val="single" w:color="000000" w:sz="6" w:space="0"/>
              <w:left w:val="single" w:color="000000" w:sz="6" w:space="0"/>
              <w:bottom w:val="single" w:color="000000" w:sz="6" w:space="0"/>
              <w:right w:val="single" w:color="auto" w:sz="4" w:space="0"/>
            </w:tcBorders>
            <w:tcMar>
              <w:left w:w="0" w:type="dxa"/>
              <w:right w:w="0" w:type="dxa"/>
            </w:tcMar>
            <w:vAlign w:val="center"/>
          </w:tcPr>
          <w:p>
            <w:pPr>
              <w:jc w:val="center"/>
              <w:rPr>
                <w:sz w:val="24"/>
              </w:rPr>
            </w:pPr>
          </w:p>
        </w:tc>
        <w:tc>
          <w:tcPr>
            <w:tcW w:w="805" w:type="dxa"/>
            <w:gridSpan w:val="2"/>
            <w:tcBorders>
              <w:top w:val="single" w:color="000000" w:sz="6" w:space="0"/>
              <w:left w:val="single" w:color="auto" w:sz="4" w:space="0"/>
              <w:bottom w:val="single" w:color="000000" w:sz="6" w:space="0"/>
              <w:right w:val="single" w:color="auto" w:sz="4" w:space="0"/>
            </w:tcBorders>
            <w:tcMar>
              <w:left w:w="0" w:type="dxa"/>
              <w:right w:w="0" w:type="dxa"/>
            </w:tcMar>
            <w:vAlign w:val="center"/>
          </w:tcPr>
          <w:p>
            <w:pPr>
              <w:jc w:val="center"/>
              <w:rPr>
                <w:sz w:val="24"/>
              </w:rPr>
            </w:pPr>
          </w:p>
        </w:tc>
        <w:tc>
          <w:tcPr>
            <w:tcW w:w="743" w:type="dxa"/>
            <w:gridSpan w:val="2"/>
            <w:tcBorders>
              <w:top w:val="single" w:color="000000" w:sz="6" w:space="0"/>
              <w:left w:val="single" w:color="auto" w:sz="4" w:space="0"/>
              <w:bottom w:val="single" w:color="000000" w:sz="6" w:space="0"/>
              <w:right w:val="single" w:color="auto" w:sz="4" w:space="0"/>
            </w:tcBorders>
            <w:tcMar>
              <w:left w:w="0" w:type="dxa"/>
              <w:right w:w="0" w:type="dxa"/>
            </w:tcMar>
            <w:vAlign w:val="center"/>
          </w:tcPr>
          <w:p>
            <w:pPr>
              <w:jc w:val="center"/>
              <w:rPr>
                <w:sz w:val="24"/>
              </w:rPr>
            </w:pPr>
          </w:p>
        </w:tc>
        <w:tc>
          <w:tcPr>
            <w:tcW w:w="736" w:type="dxa"/>
            <w:tcBorders>
              <w:top w:val="single" w:color="000000" w:sz="6" w:space="0"/>
              <w:left w:val="single" w:color="auto" w:sz="4" w:space="0"/>
              <w:bottom w:val="single" w:color="000000" w:sz="6" w:space="0"/>
              <w:right w:val="single" w:color="000000" w:sz="6" w:space="0"/>
            </w:tcBorders>
            <w:tcMar>
              <w:left w:w="0" w:type="dxa"/>
              <w:right w:w="0" w:type="dxa"/>
            </w:tcMar>
            <w:vAlign w:val="center"/>
          </w:tcPr>
          <w:p>
            <w:pPr>
              <w:jc w:val="center"/>
              <w:rPr>
                <w:sz w:val="24"/>
              </w:rPr>
            </w:pPr>
          </w:p>
        </w:tc>
        <w:tc>
          <w:tcPr>
            <w:tcW w:w="7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sz w:val="24"/>
              </w:rPr>
            </w:pPr>
          </w:p>
        </w:tc>
        <w:tc>
          <w:tcPr>
            <w:tcW w:w="960"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jc w:val="center"/>
              <w:rPr>
                <w:sz w:val="24"/>
              </w:rPr>
            </w:pPr>
          </w:p>
        </w:tc>
      </w:tr>
      <w:tr>
        <w:tblPrEx>
          <w:tblCellMar>
            <w:top w:w="0" w:type="dxa"/>
            <w:left w:w="0" w:type="dxa"/>
            <w:bottom w:w="0" w:type="dxa"/>
            <w:right w:w="0" w:type="dxa"/>
          </w:tblCellMar>
        </w:tblPrEx>
        <w:trPr>
          <w:cantSplit/>
          <w:trHeight w:val="831" w:hRule="exact"/>
          <w:jc w:val="center"/>
        </w:trPr>
        <w:tc>
          <w:tcPr>
            <w:tcW w:w="112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sz w:val="24"/>
              </w:rPr>
            </w:pPr>
          </w:p>
        </w:tc>
        <w:tc>
          <w:tcPr>
            <w:tcW w:w="4614" w:type="dxa"/>
            <w:gridSpan w:val="2"/>
            <w:tcBorders>
              <w:top w:val="single" w:color="000000" w:sz="6" w:space="0"/>
              <w:left w:val="single" w:color="000000" w:sz="6" w:space="0"/>
              <w:bottom w:val="single" w:color="000000" w:sz="6" w:space="0"/>
              <w:right w:val="single" w:color="auto" w:sz="4" w:space="0"/>
            </w:tcBorders>
            <w:tcMar>
              <w:left w:w="0" w:type="dxa"/>
              <w:right w:w="0" w:type="dxa"/>
            </w:tcMar>
            <w:vAlign w:val="center"/>
          </w:tcPr>
          <w:p>
            <w:pPr>
              <w:jc w:val="center"/>
              <w:rPr>
                <w:sz w:val="24"/>
              </w:rPr>
            </w:pPr>
          </w:p>
        </w:tc>
        <w:tc>
          <w:tcPr>
            <w:tcW w:w="805" w:type="dxa"/>
            <w:gridSpan w:val="2"/>
            <w:tcBorders>
              <w:top w:val="single" w:color="000000" w:sz="6" w:space="0"/>
              <w:left w:val="single" w:color="auto" w:sz="4" w:space="0"/>
              <w:bottom w:val="single" w:color="000000" w:sz="6" w:space="0"/>
              <w:right w:val="single" w:color="auto" w:sz="4" w:space="0"/>
            </w:tcBorders>
            <w:tcMar>
              <w:left w:w="0" w:type="dxa"/>
              <w:right w:w="0" w:type="dxa"/>
            </w:tcMar>
            <w:vAlign w:val="center"/>
          </w:tcPr>
          <w:p>
            <w:pPr>
              <w:jc w:val="center"/>
              <w:rPr>
                <w:sz w:val="24"/>
              </w:rPr>
            </w:pPr>
          </w:p>
        </w:tc>
        <w:tc>
          <w:tcPr>
            <w:tcW w:w="743" w:type="dxa"/>
            <w:gridSpan w:val="2"/>
            <w:tcBorders>
              <w:top w:val="single" w:color="000000" w:sz="6" w:space="0"/>
              <w:left w:val="single" w:color="auto" w:sz="4" w:space="0"/>
              <w:bottom w:val="single" w:color="000000" w:sz="6" w:space="0"/>
              <w:right w:val="single" w:color="auto" w:sz="4" w:space="0"/>
            </w:tcBorders>
            <w:tcMar>
              <w:left w:w="0" w:type="dxa"/>
              <w:right w:w="0" w:type="dxa"/>
            </w:tcMar>
            <w:vAlign w:val="center"/>
          </w:tcPr>
          <w:p>
            <w:pPr>
              <w:jc w:val="center"/>
              <w:rPr>
                <w:sz w:val="24"/>
              </w:rPr>
            </w:pPr>
          </w:p>
        </w:tc>
        <w:tc>
          <w:tcPr>
            <w:tcW w:w="736" w:type="dxa"/>
            <w:tcBorders>
              <w:top w:val="single" w:color="000000" w:sz="6" w:space="0"/>
              <w:left w:val="single" w:color="auto" w:sz="4" w:space="0"/>
              <w:bottom w:val="single" w:color="000000" w:sz="6" w:space="0"/>
              <w:right w:val="single" w:color="000000" w:sz="6" w:space="0"/>
            </w:tcBorders>
            <w:tcMar>
              <w:left w:w="0" w:type="dxa"/>
              <w:right w:w="0" w:type="dxa"/>
            </w:tcMar>
            <w:vAlign w:val="center"/>
          </w:tcPr>
          <w:p>
            <w:pPr>
              <w:jc w:val="center"/>
              <w:rPr>
                <w:sz w:val="24"/>
              </w:rPr>
            </w:pPr>
          </w:p>
        </w:tc>
        <w:tc>
          <w:tcPr>
            <w:tcW w:w="7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jc w:val="center"/>
              <w:rPr>
                <w:sz w:val="24"/>
              </w:rPr>
            </w:pPr>
          </w:p>
        </w:tc>
        <w:tc>
          <w:tcPr>
            <w:tcW w:w="960"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jc w:val="center"/>
              <w:rPr>
                <w:sz w:val="24"/>
              </w:rPr>
            </w:pPr>
          </w:p>
        </w:tc>
      </w:tr>
      <w:tr>
        <w:tblPrEx>
          <w:tblCellMar>
            <w:top w:w="0" w:type="dxa"/>
            <w:left w:w="0" w:type="dxa"/>
            <w:bottom w:w="0" w:type="dxa"/>
            <w:right w:w="0" w:type="dxa"/>
          </w:tblCellMar>
        </w:tblPrEx>
        <w:trPr>
          <w:cantSplit/>
          <w:trHeight w:val="621" w:hRule="exact"/>
          <w:jc w:val="center"/>
        </w:trPr>
        <w:tc>
          <w:tcPr>
            <w:tcW w:w="1123"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pPr>
              <w:jc w:val="center"/>
              <w:rPr>
                <w:sz w:val="24"/>
              </w:rPr>
            </w:pPr>
            <w:r>
              <w:rPr>
                <w:sz w:val="24"/>
              </w:rPr>
              <w:t>其他费用（元）</w:t>
            </w:r>
          </w:p>
        </w:tc>
        <w:tc>
          <w:tcPr>
            <w:tcW w:w="4614" w:type="dxa"/>
            <w:gridSpan w:val="2"/>
            <w:tcBorders>
              <w:top w:val="single" w:color="000000" w:sz="6" w:space="0"/>
              <w:left w:val="single" w:color="000000" w:sz="6" w:space="0"/>
              <w:bottom w:val="single" w:color="000000" w:sz="4" w:space="0"/>
              <w:right w:val="single" w:color="auto" w:sz="4" w:space="0"/>
            </w:tcBorders>
            <w:tcMar>
              <w:left w:w="0" w:type="dxa"/>
              <w:right w:w="0" w:type="dxa"/>
            </w:tcMar>
            <w:vAlign w:val="center"/>
          </w:tcPr>
          <w:p>
            <w:pPr>
              <w:jc w:val="center"/>
              <w:rPr>
                <w:sz w:val="24"/>
              </w:rPr>
            </w:pPr>
          </w:p>
        </w:tc>
        <w:tc>
          <w:tcPr>
            <w:tcW w:w="805" w:type="dxa"/>
            <w:gridSpan w:val="2"/>
            <w:tcBorders>
              <w:top w:val="single" w:color="000000" w:sz="6" w:space="0"/>
              <w:left w:val="single" w:color="auto" w:sz="4" w:space="0"/>
              <w:bottom w:val="single" w:color="000000" w:sz="4" w:space="0"/>
              <w:right w:val="single" w:color="auto" w:sz="4" w:space="0"/>
            </w:tcBorders>
            <w:tcMar>
              <w:left w:w="0" w:type="dxa"/>
              <w:right w:w="0" w:type="dxa"/>
            </w:tcMar>
            <w:vAlign w:val="center"/>
          </w:tcPr>
          <w:p>
            <w:pPr>
              <w:jc w:val="center"/>
              <w:rPr>
                <w:sz w:val="24"/>
              </w:rPr>
            </w:pPr>
          </w:p>
        </w:tc>
        <w:tc>
          <w:tcPr>
            <w:tcW w:w="743" w:type="dxa"/>
            <w:gridSpan w:val="2"/>
            <w:tcBorders>
              <w:top w:val="single" w:color="000000" w:sz="6" w:space="0"/>
              <w:left w:val="single" w:color="auto" w:sz="4" w:space="0"/>
              <w:bottom w:val="single" w:color="000000" w:sz="4" w:space="0"/>
              <w:right w:val="single" w:color="auto" w:sz="4" w:space="0"/>
            </w:tcBorders>
            <w:tcMar>
              <w:left w:w="0" w:type="dxa"/>
              <w:right w:w="0" w:type="dxa"/>
            </w:tcMar>
            <w:vAlign w:val="center"/>
          </w:tcPr>
          <w:p>
            <w:pPr>
              <w:jc w:val="center"/>
              <w:rPr>
                <w:sz w:val="24"/>
              </w:rPr>
            </w:pPr>
          </w:p>
        </w:tc>
        <w:tc>
          <w:tcPr>
            <w:tcW w:w="736" w:type="dxa"/>
            <w:tcBorders>
              <w:top w:val="single" w:color="000000" w:sz="6" w:space="0"/>
              <w:left w:val="single" w:color="auto" w:sz="4" w:space="0"/>
              <w:bottom w:val="single" w:color="000000" w:sz="4" w:space="0"/>
              <w:right w:val="single" w:color="000000" w:sz="6" w:space="0"/>
            </w:tcBorders>
            <w:tcMar>
              <w:left w:w="0" w:type="dxa"/>
              <w:right w:w="0" w:type="dxa"/>
            </w:tcMar>
            <w:vAlign w:val="center"/>
          </w:tcPr>
          <w:p>
            <w:pPr>
              <w:jc w:val="center"/>
              <w:rPr>
                <w:sz w:val="24"/>
              </w:rPr>
            </w:pPr>
          </w:p>
        </w:tc>
        <w:tc>
          <w:tcPr>
            <w:tcW w:w="743"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pPr>
              <w:jc w:val="center"/>
              <w:rPr>
                <w:sz w:val="24"/>
              </w:rPr>
            </w:pPr>
          </w:p>
        </w:tc>
        <w:tc>
          <w:tcPr>
            <w:tcW w:w="960" w:type="dxa"/>
            <w:tcBorders>
              <w:top w:val="single" w:color="000000" w:sz="6" w:space="0"/>
              <w:left w:val="single" w:color="000000" w:sz="6" w:space="0"/>
              <w:bottom w:val="single" w:color="000000" w:sz="4" w:space="0"/>
              <w:right w:val="single" w:color="000000" w:sz="4" w:space="0"/>
            </w:tcBorders>
            <w:tcMar>
              <w:left w:w="0" w:type="dxa"/>
              <w:right w:w="0" w:type="dxa"/>
            </w:tcMar>
            <w:vAlign w:val="center"/>
          </w:tcPr>
          <w:p>
            <w:pPr>
              <w:jc w:val="center"/>
              <w:rPr>
                <w:sz w:val="24"/>
              </w:rPr>
            </w:pPr>
          </w:p>
        </w:tc>
      </w:tr>
      <w:tr>
        <w:tblPrEx>
          <w:tblCellMar>
            <w:top w:w="0" w:type="dxa"/>
            <w:left w:w="0" w:type="dxa"/>
            <w:bottom w:w="0" w:type="dxa"/>
            <w:right w:w="0" w:type="dxa"/>
          </w:tblCellMar>
        </w:tblPrEx>
        <w:trPr>
          <w:cantSplit/>
          <w:trHeight w:val="621" w:hRule="exact"/>
          <w:jc w:val="center"/>
        </w:trPr>
        <w:tc>
          <w:tcPr>
            <w:tcW w:w="1123" w:type="dxa"/>
            <w:vMerge w:val="restart"/>
            <w:tcBorders>
              <w:top w:val="single" w:color="000000" w:sz="6" w:space="0"/>
              <w:left w:val="single" w:color="000000" w:sz="6" w:space="0"/>
              <w:right w:val="single" w:color="000000" w:sz="6" w:space="0"/>
            </w:tcBorders>
            <w:tcMar>
              <w:left w:w="0" w:type="dxa"/>
              <w:right w:w="0" w:type="dxa"/>
            </w:tcMar>
            <w:vAlign w:val="center"/>
          </w:tcPr>
          <w:p>
            <w:pPr>
              <w:jc w:val="center"/>
              <w:rPr>
                <w:sz w:val="24"/>
              </w:rPr>
            </w:pPr>
            <w:r>
              <w:rPr>
                <w:sz w:val="24"/>
              </w:rPr>
              <w:t>八、投标总报价（元）</w:t>
            </w:r>
          </w:p>
        </w:tc>
        <w:tc>
          <w:tcPr>
            <w:tcW w:w="8601" w:type="dxa"/>
            <w:gridSpan w:val="9"/>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rPr>
                <w:sz w:val="24"/>
              </w:rPr>
            </w:pPr>
            <w:r>
              <w:rPr>
                <w:sz w:val="24"/>
              </w:rPr>
              <w:t>大写：</w:t>
            </w:r>
          </w:p>
        </w:tc>
      </w:tr>
      <w:tr>
        <w:tblPrEx>
          <w:tblCellMar>
            <w:top w:w="0" w:type="dxa"/>
            <w:left w:w="0" w:type="dxa"/>
            <w:bottom w:w="0" w:type="dxa"/>
            <w:right w:w="0" w:type="dxa"/>
          </w:tblCellMar>
        </w:tblPrEx>
        <w:trPr>
          <w:cantSplit/>
          <w:trHeight w:val="621" w:hRule="exact"/>
          <w:jc w:val="center"/>
        </w:trPr>
        <w:tc>
          <w:tcPr>
            <w:tcW w:w="1123" w:type="dxa"/>
            <w:vMerge w:val="continue"/>
            <w:tcBorders>
              <w:left w:val="single" w:color="000000" w:sz="6" w:space="0"/>
              <w:bottom w:val="single" w:color="000000" w:sz="4" w:space="0"/>
              <w:right w:val="single" w:color="000000" w:sz="6" w:space="0"/>
            </w:tcBorders>
            <w:tcMar>
              <w:left w:w="0" w:type="dxa"/>
              <w:right w:w="0" w:type="dxa"/>
            </w:tcMar>
            <w:vAlign w:val="center"/>
          </w:tcPr>
          <w:p>
            <w:pPr>
              <w:jc w:val="center"/>
              <w:rPr>
                <w:sz w:val="24"/>
              </w:rPr>
            </w:pPr>
          </w:p>
        </w:tc>
        <w:tc>
          <w:tcPr>
            <w:tcW w:w="8601" w:type="dxa"/>
            <w:gridSpan w:val="9"/>
            <w:tcBorders>
              <w:top w:val="single" w:color="000000" w:sz="6" w:space="0"/>
              <w:left w:val="single" w:color="000000" w:sz="6" w:space="0"/>
              <w:bottom w:val="single" w:color="000000" w:sz="4" w:space="0"/>
              <w:right w:val="single" w:color="000000" w:sz="4" w:space="0"/>
            </w:tcBorders>
            <w:tcMar>
              <w:left w:w="0" w:type="dxa"/>
              <w:right w:w="0" w:type="dxa"/>
            </w:tcMar>
            <w:vAlign w:val="center"/>
          </w:tcPr>
          <w:p>
            <w:pPr>
              <w:rPr>
                <w:sz w:val="24"/>
              </w:rPr>
            </w:pPr>
            <w:r>
              <w:rPr>
                <w:sz w:val="24"/>
              </w:rPr>
              <w:t>小写：</w:t>
            </w:r>
          </w:p>
        </w:tc>
      </w:tr>
    </w:tbl>
    <w:p>
      <w:pPr>
        <w:spacing w:line="440" w:lineRule="exact"/>
        <w:ind w:firstLine="241" w:firstLineChars="100"/>
        <w:rPr>
          <w:sz w:val="24"/>
        </w:rPr>
      </w:pPr>
      <w:r>
        <w:rPr>
          <w:b/>
          <w:bCs/>
          <w:sz w:val="24"/>
        </w:rPr>
        <w:t>注：</w:t>
      </w:r>
      <w:r>
        <w:rPr>
          <w:sz w:val="24"/>
        </w:rPr>
        <w:t>1、本表投标总报价应与《投标报价一览表》中投标总报价相符。</w:t>
      </w:r>
    </w:p>
    <w:p>
      <w:pPr>
        <w:spacing w:line="440" w:lineRule="exact"/>
        <w:ind w:firstLine="720" w:firstLineChars="300"/>
        <w:rPr>
          <w:sz w:val="24"/>
        </w:rPr>
      </w:pPr>
      <w:r>
        <w:rPr>
          <w:sz w:val="24"/>
        </w:rPr>
        <w:t>2、如上表中有关费用投标人免费提供，请注明“免费”字样。</w:t>
      </w:r>
    </w:p>
    <w:p>
      <w:pPr>
        <w:spacing w:line="440" w:lineRule="exact"/>
        <w:rPr>
          <w:sz w:val="24"/>
        </w:rPr>
      </w:pPr>
    </w:p>
    <w:p>
      <w:pPr>
        <w:spacing w:line="440" w:lineRule="exact"/>
        <w:ind w:firstLine="240" w:firstLineChars="100"/>
        <w:jc w:val="right"/>
        <w:rPr>
          <w:sz w:val="24"/>
        </w:rPr>
      </w:pPr>
    </w:p>
    <w:p>
      <w:pPr>
        <w:spacing w:line="440" w:lineRule="exact"/>
        <w:ind w:firstLine="240" w:firstLineChars="100"/>
        <w:jc w:val="right"/>
        <w:rPr>
          <w:sz w:val="24"/>
        </w:rPr>
      </w:pPr>
      <w:r>
        <w:rPr>
          <w:sz w:val="24"/>
        </w:rPr>
        <w:t>投标人法定代表人或代理人（盖章或签字）：</w:t>
      </w:r>
    </w:p>
    <w:p>
      <w:pPr>
        <w:wordWrap w:val="0"/>
        <w:spacing w:line="440" w:lineRule="exact"/>
        <w:ind w:firstLine="240" w:firstLineChars="100"/>
        <w:jc w:val="right"/>
        <w:rPr>
          <w:sz w:val="24"/>
        </w:rPr>
      </w:pPr>
      <w:r>
        <w:rPr>
          <w:sz w:val="24"/>
        </w:rPr>
        <w:t xml:space="preserve">投标人盖章：                           </w:t>
      </w:r>
    </w:p>
    <w:p>
      <w:pPr>
        <w:spacing w:line="440" w:lineRule="exact"/>
        <w:rPr>
          <w:sz w:val="24"/>
        </w:rPr>
      </w:pPr>
      <w:r>
        <w:rPr>
          <w:sz w:val="24"/>
        </w:rPr>
        <w:t xml:space="preserve">                                                            年   月   日      </w:t>
      </w:r>
    </w:p>
    <w:p>
      <w:pPr>
        <w:spacing w:line="440" w:lineRule="exact"/>
        <w:rPr>
          <w:b/>
          <w:sz w:val="28"/>
          <w:szCs w:val="28"/>
        </w:rPr>
      </w:pPr>
    </w:p>
    <w:p>
      <w:pPr>
        <w:rPr>
          <w:b/>
          <w:sz w:val="28"/>
          <w:szCs w:val="28"/>
        </w:rPr>
      </w:pPr>
      <w:r>
        <w:rPr>
          <w:b/>
          <w:sz w:val="28"/>
          <w:szCs w:val="28"/>
        </w:rPr>
        <w:br w:type="page"/>
      </w:r>
    </w:p>
    <w:p>
      <w:pPr>
        <w:wordWrap w:val="0"/>
        <w:spacing w:line="440" w:lineRule="exact"/>
        <w:jc w:val="left"/>
        <w:rPr>
          <w:sz w:val="24"/>
        </w:rPr>
      </w:pPr>
      <w:r>
        <w:rPr>
          <w:b/>
          <w:sz w:val="28"/>
          <w:szCs w:val="28"/>
        </w:rPr>
        <w:t>附表</w:t>
      </w:r>
      <w:r>
        <w:rPr>
          <w:rFonts w:hint="eastAsia"/>
          <w:b/>
          <w:sz w:val="28"/>
          <w:szCs w:val="28"/>
        </w:rPr>
        <w:t>五</w:t>
      </w:r>
      <w:r>
        <w:rPr>
          <w:b/>
          <w:sz w:val="28"/>
          <w:szCs w:val="28"/>
        </w:rPr>
        <w:t>：</w:t>
      </w:r>
    </w:p>
    <w:p>
      <w:pPr>
        <w:spacing w:line="440" w:lineRule="exact"/>
        <w:jc w:val="center"/>
        <w:rPr>
          <w:b/>
          <w:sz w:val="28"/>
          <w:szCs w:val="28"/>
        </w:rPr>
      </w:pPr>
      <w:r>
        <w:rPr>
          <w:b/>
          <w:sz w:val="28"/>
          <w:szCs w:val="28"/>
        </w:rPr>
        <w:t>关于资格的声明函</w:t>
      </w:r>
    </w:p>
    <w:p>
      <w:pPr>
        <w:spacing w:line="440" w:lineRule="exact"/>
        <w:rPr>
          <w:sz w:val="24"/>
        </w:rPr>
      </w:pPr>
    </w:p>
    <w:p>
      <w:pPr>
        <w:spacing w:line="480" w:lineRule="auto"/>
        <w:rPr>
          <w:sz w:val="24"/>
        </w:rPr>
      </w:pPr>
      <w:r>
        <w:rPr>
          <w:sz w:val="24"/>
        </w:rPr>
        <w:t>致</w:t>
      </w:r>
      <w:r>
        <w:rPr>
          <w:rFonts w:hint="eastAsia"/>
          <w:sz w:val="24"/>
        </w:rPr>
        <w:t>新疆经开项目管理有限公司</w:t>
      </w:r>
      <w:r>
        <w:rPr>
          <w:sz w:val="24"/>
        </w:rPr>
        <w:t>：</w:t>
      </w:r>
    </w:p>
    <w:p>
      <w:pPr>
        <w:spacing w:line="480" w:lineRule="auto"/>
        <w:ind w:firstLine="570"/>
        <w:rPr>
          <w:sz w:val="24"/>
        </w:rPr>
      </w:pPr>
      <w:r>
        <w:rPr>
          <w:sz w:val="24"/>
        </w:rPr>
        <w:t>关于贵方20年月日招标公告关于</w:t>
      </w:r>
      <w:r>
        <w:rPr>
          <w:sz w:val="24"/>
          <w:u w:val="single"/>
        </w:rPr>
        <w:t>“     ”</w:t>
      </w:r>
      <w:r>
        <w:rPr>
          <w:sz w:val="24"/>
        </w:rPr>
        <w:t>的项目，本签字人愿意参加投标，并有能力提供项目中的相关服务，并保证所提交的所有文件和说明是真实和准确的。</w:t>
      </w:r>
    </w:p>
    <w:p>
      <w:pPr>
        <w:spacing w:line="480" w:lineRule="auto"/>
        <w:ind w:firstLine="570"/>
        <w:rPr>
          <w:sz w:val="24"/>
          <w:u w:val="single"/>
        </w:rPr>
      </w:pPr>
      <w:r>
        <w:rPr>
          <w:sz w:val="24"/>
        </w:rPr>
        <w:t xml:space="preserve">投标人：               签字人姓名、职务：               </w:t>
      </w:r>
    </w:p>
    <w:p>
      <w:pPr>
        <w:spacing w:line="480" w:lineRule="auto"/>
        <w:ind w:firstLine="570"/>
        <w:rPr>
          <w:sz w:val="24"/>
          <w:u w:val="single"/>
        </w:rPr>
      </w:pPr>
      <w:r>
        <w:rPr>
          <w:sz w:val="24"/>
        </w:rPr>
        <w:t xml:space="preserve">地址：                 授权签署本资格文件人： </w:t>
      </w:r>
    </w:p>
    <w:p>
      <w:pPr>
        <w:spacing w:line="480" w:lineRule="auto"/>
        <w:ind w:firstLine="570"/>
        <w:rPr>
          <w:sz w:val="24"/>
        </w:rPr>
      </w:pPr>
      <w:r>
        <w:rPr>
          <w:sz w:val="24"/>
        </w:rPr>
        <w:t xml:space="preserve">传真：        </w:t>
      </w:r>
    </w:p>
    <w:p>
      <w:pPr>
        <w:spacing w:line="480" w:lineRule="auto"/>
        <w:ind w:firstLine="570"/>
        <w:rPr>
          <w:sz w:val="24"/>
        </w:rPr>
      </w:pPr>
      <w:r>
        <w:rPr>
          <w:sz w:val="24"/>
        </w:rPr>
        <w:t>邮编：                      电话：</w:t>
      </w:r>
    </w:p>
    <w:p>
      <w:pPr>
        <w:spacing w:line="480" w:lineRule="auto"/>
        <w:ind w:firstLine="570"/>
        <w:rPr>
          <w:sz w:val="24"/>
        </w:rPr>
      </w:pPr>
      <w:r>
        <w:rPr>
          <w:sz w:val="24"/>
        </w:rPr>
        <w:t xml:space="preserve">投标人法人盖章：       </w:t>
      </w:r>
    </w:p>
    <w:p>
      <w:pPr>
        <w:spacing w:line="480" w:lineRule="auto"/>
        <w:ind w:firstLine="570"/>
        <w:rPr>
          <w:sz w:val="24"/>
        </w:rPr>
      </w:pPr>
      <w:r>
        <w:rPr>
          <w:sz w:val="24"/>
        </w:rPr>
        <w:t>投标人盖章：                                     20年月日</w:t>
      </w:r>
    </w:p>
    <w:p>
      <w:pPr>
        <w:spacing w:line="440" w:lineRule="exact"/>
        <w:rPr>
          <w:b/>
          <w:sz w:val="28"/>
          <w:szCs w:val="28"/>
        </w:rPr>
      </w:pPr>
      <w:r>
        <w:rPr>
          <w:b/>
          <w:sz w:val="28"/>
          <w:szCs w:val="28"/>
        </w:rPr>
        <w:br w:type="page"/>
      </w:r>
      <w:r>
        <w:rPr>
          <w:b/>
          <w:sz w:val="28"/>
          <w:szCs w:val="28"/>
        </w:rPr>
        <w:t>附表</w:t>
      </w:r>
      <w:r>
        <w:rPr>
          <w:rFonts w:hint="eastAsia"/>
          <w:b/>
          <w:sz w:val="28"/>
          <w:szCs w:val="28"/>
        </w:rPr>
        <w:t>六</w:t>
      </w:r>
      <w:r>
        <w:rPr>
          <w:b/>
          <w:sz w:val="28"/>
          <w:szCs w:val="28"/>
        </w:rPr>
        <w:t>：</w:t>
      </w:r>
    </w:p>
    <w:p>
      <w:pPr>
        <w:spacing w:before="156" w:beforeLines="50" w:after="156" w:afterLines="50" w:line="480" w:lineRule="auto"/>
        <w:jc w:val="center"/>
        <w:rPr>
          <w:b/>
          <w:sz w:val="28"/>
          <w:szCs w:val="28"/>
        </w:rPr>
      </w:pPr>
      <w:r>
        <w:rPr>
          <w:b/>
          <w:sz w:val="28"/>
          <w:szCs w:val="28"/>
        </w:rPr>
        <w:t>（投标人）《反商业贿赂承诺书》</w:t>
      </w:r>
    </w:p>
    <w:p>
      <w:pPr>
        <w:pStyle w:val="11"/>
        <w:spacing w:line="480" w:lineRule="auto"/>
        <w:ind w:firstLine="482"/>
        <w:rPr>
          <w:b w:val="0"/>
        </w:rPr>
      </w:pPr>
      <w:r>
        <w:rPr>
          <w:b w:val="0"/>
        </w:rPr>
        <w:t>我公司承诺在</w:t>
      </w:r>
      <w:r>
        <w:rPr>
          <w:b w:val="0"/>
          <w:u w:val="single"/>
        </w:rPr>
        <w:t>（项目名称、项目编号）</w:t>
      </w:r>
      <w:r>
        <w:rPr>
          <w:b w:val="0"/>
        </w:rPr>
        <w:t xml:space="preserve">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1"/>
        <w:spacing w:line="480" w:lineRule="auto"/>
        <w:ind w:firstLine="482"/>
        <w:rPr>
          <w:b w:val="0"/>
        </w:rPr>
      </w:pPr>
      <w:r>
        <w:rPr>
          <w:b w:val="0"/>
        </w:rPr>
        <w:t>法定代表人：</w:t>
      </w:r>
    </w:p>
    <w:p>
      <w:pPr>
        <w:pStyle w:val="11"/>
        <w:spacing w:line="480" w:lineRule="auto"/>
        <w:ind w:firstLine="482"/>
        <w:rPr>
          <w:b w:val="0"/>
        </w:rPr>
      </w:pPr>
      <w:r>
        <w:rPr>
          <w:b w:val="0"/>
        </w:rPr>
        <w:t>法人授权代表：                          日期：</w:t>
      </w:r>
    </w:p>
    <w:p>
      <w:pPr>
        <w:spacing w:line="440" w:lineRule="exact"/>
        <w:rPr>
          <w:b/>
          <w:sz w:val="28"/>
          <w:szCs w:val="28"/>
        </w:rPr>
      </w:pPr>
    </w:p>
    <w:p>
      <w:pPr>
        <w:spacing w:line="440" w:lineRule="exact"/>
        <w:rPr>
          <w:b/>
          <w:sz w:val="28"/>
          <w:szCs w:val="28"/>
        </w:rPr>
      </w:pPr>
    </w:p>
    <w:p>
      <w:pPr>
        <w:spacing w:line="440" w:lineRule="exact"/>
        <w:rPr>
          <w:b/>
          <w:sz w:val="28"/>
          <w:szCs w:val="28"/>
        </w:rPr>
      </w:pPr>
      <w:r>
        <w:rPr>
          <w:b/>
          <w:sz w:val="28"/>
          <w:szCs w:val="28"/>
        </w:rPr>
        <w:t>附表</w:t>
      </w:r>
      <w:r>
        <w:rPr>
          <w:rFonts w:hint="eastAsia"/>
          <w:b/>
          <w:sz w:val="28"/>
          <w:szCs w:val="28"/>
        </w:rPr>
        <w:t>七</w:t>
      </w:r>
      <w:r>
        <w:rPr>
          <w:b/>
          <w:sz w:val="28"/>
          <w:szCs w:val="28"/>
        </w:rPr>
        <w:t>：</w:t>
      </w:r>
    </w:p>
    <w:p>
      <w:pPr>
        <w:pStyle w:val="38"/>
        <w:spacing w:line="440" w:lineRule="exact"/>
        <w:jc w:val="center"/>
        <w:rPr>
          <w:b/>
          <w:color w:val="auto"/>
          <w:sz w:val="28"/>
          <w:szCs w:val="28"/>
        </w:rPr>
      </w:pPr>
      <w:r>
        <w:rPr>
          <w:b/>
          <w:color w:val="auto"/>
          <w:sz w:val="28"/>
          <w:szCs w:val="28"/>
        </w:rPr>
        <w:t>近</w:t>
      </w:r>
      <w:r>
        <w:rPr>
          <w:rFonts w:hint="eastAsia"/>
          <w:b/>
          <w:color w:val="auto"/>
          <w:sz w:val="28"/>
          <w:szCs w:val="28"/>
        </w:rPr>
        <w:t>二</w:t>
      </w:r>
      <w:r>
        <w:rPr>
          <w:b/>
          <w:color w:val="auto"/>
          <w:sz w:val="28"/>
          <w:szCs w:val="28"/>
        </w:rPr>
        <w:t>年（20</w:t>
      </w:r>
      <w:r>
        <w:rPr>
          <w:rFonts w:hint="eastAsia"/>
          <w:b/>
          <w:color w:val="auto"/>
          <w:sz w:val="28"/>
          <w:szCs w:val="28"/>
        </w:rPr>
        <w:t>19</w:t>
      </w:r>
      <w:r>
        <w:rPr>
          <w:b/>
          <w:color w:val="auto"/>
          <w:sz w:val="28"/>
          <w:szCs w:val="28"/>
        </w:rPr>
        <w:t>年</w:t>
      </w:r>
      <w:r>
        <w:rPr>
          <w:rFonts w:hint="eastAsia"/>
          <w:b/>
          <w:color w:val="auto"/>
          <w:sz w:val="28"/>
          <w:szCs w:val="28"/>
        </w:rPr>
        <w:t>1</w:t>
      </w:r>
      <w:r>
        <w:rPr>
          <w:b/>
          <w:color w:val="auto"/>
          <w:sz w:val="28"/>
          <w:szCs w:val="28"/>
        </w:rPr>
        <w:t>月至今）类似项目业绩表</w:t>
      </w:r>
      <w:r>
        <w:rPr>
          <w:rFonts w:hint="eastAsia"/>
          <w:b/>
          <w:color w:val="auto"/>
          <w:sz w:val="28"/>
          <w:szCs w:val="28"/>
        </w:rPr>
        <w:t>（如有）</w:t>
      </w:r>
    </w:p>
    <w:p>
      <w:pPr>
        <w:pStyle w:val="38"/>
        <w:spacing w:line="440" w:lineRule="exact"/>
        <w:rPr>
          <w:color w:val="auto"/>
          <w:sz w:val="24"/>
        </w:rPr>
      </w:pPr>
      <w:r>
        <w:rPr>
          <w:color w:val="auto"/>
          <w:sz w:val="24"/>
        </w:rPr>
        <w:t xml:space="preserve">项目名称：                             </w:t>
      </w:r>
    </w:p>
    <w:tbl>
      <w:tblPr>
        <w:tblStyle w:val="23"/>
        <w:tblW w:w="978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0"/>
        <w:gridCol w:w="1538"/>
        <w:gridCol w:w="2106"/>
        <w:gridCol w:w="979"/>
        <w:gridCol w:w="2374"/>
        <w:gridCol w:w="18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70" w:type="dxa"/>
            <w:tcBorders>
              <w:top w:val="double" w:color="auto" w:sz="4" w:space="0"/>
              <w:left w:val="double" w:color="auto" w:sz="4" w:space="0"/>
              <w:bottom w:val="single" w:color="auto" w:sz="6" w:space="0"/>
              <w:right w:val="single" w:color="auto" w:sz="6" w:space="0"/>
            </w:tcBorders>
            <w:vAlign w:val="center"/>
          </w:tcPr>
          <w:p>
            <w:pPr>
              <w:pStyle w:val="39"/>
              <w:spacing w:line="440" w:lineRule="exact"/>
              <w:jc w:val="center"/>
              <w:rPr>
                <w:color w:val="auto"/>
              </w:rPr>
            </w:pPr>
            <w:r>
              <w:rPr>
                <w:color w:val="auto"/>
              </w:rPr>
              <w:t>序号</w:t>
            </w:r>
          </w:p>
        </w:tc>
        <w:tc>
          <w:tcPr>
            <w:tcW w:w="1538" w:type="dxa"/>
            <w:tcBorders>
              <w:top w:val="double" w:color="auto" w:sz="4" w:space="0"/>
              <w:left w:val="single" w:color="auto" w:sz="6" w:space="0"/>
              <w:bottom w:val="single" w:color="auto" w:sz="6" w:space="0"/>
              <w:right w:val="single" w:color="auto" w:sz="6" w:space="0"/>
            </w:tcBorders>
            <w:vAlign w:val="center"/>
          </w:tcPr>
          <w:p>
            <w:pPr>
              <w:pStyle w:val="39"/>
              <w:spacing w:line="440" w:lineRule="exact"/>
              <w:jc w:val="center"/>
              <w:rPr>
                <w:color w:val="auto"/>
              </w:rPr>
            </w:pPr>
            <w:r>
              <w:rPr>
                <w:color w:val="auto"/>
              </w:rPr>
              <w:t>项目名称</w:t>
            </w:r>
          </w:p>
        </w:tc>
        <w:tc>
          <w:tcPr>
            <w:tcW w:w="2106" w:type="dxa"/>
            <w:tcBorders>
              <w:top w:val="double" w:color="auto" w:sz="4" w:space="0"/>
              <w:left w:val="single" w:color="auto" w:sz="6" w:space="0"/>
              <w:bottom w:val="single" w:color="auto" w:sz="6" w:space="0"/>
              <w:right w:val="single" w:color="auto" w:sz="6" w:space="0"/>
            </w:tcBorders>
            <w:vAlign w:val="center"/>
          </w:tcPr>
          <w:p>
            <w:pPr>
              <w:pStyle w:val="39"/>
              <w:spacing w:line="440" w:lineRule="exact"/>
              <w:jc w:val="center"/>
              <w:rPr>
                <w:color w:val="auto"/>
              </w:rPr>
            </w:pPr>
            <w:r>
              <w:rPr>
                <w:color w:val="auto"/>
              </w:rPr>
              <w:t>年份</w:t>
            </w:r>
          </w:p>
        </w:tc>
        <w:tc>
          <w:tcPr>
            <w:tcW w:w="979" w:type="dxa"/>
            <w:tcBorders>
              <w:top w:val="double" w:color="auto" w:sz="4" w:space="0"/>
              <w:left w:val="single" w:color="auto" w:sz="6" w:space="0"/>
              <w:bottom w:val="single" w:color="auto" w:sz="6" w:space="0"/>
              <w:right w:val="single" w:color="auto" w:sz="6" w:space="0"/>
            </w:tcBorders>
            <w:vAlign w:val="center"/>
          </w:tcPr>
          <w:p>
            <w:pPr>
              <w:pStyle w:val="39"/>
              <w:spacing w:line="440" w:lineRule="exact"/>
              <w:ind w:left="785" w:hanging="784" w:hangingChars="327"/>
              <w:jc w:val="center"/>
              <w:rPr>
                <w:color w:val="auto"/>
              </w:rPr>
            </w:pPr>
            <w:r>
              <w:rPr>
                <w:color w:val="auto"/>
              </w:rPr>
              <w:t>中标价</w:t>
            </w:r>
          </w:p>
        </w:tc>
        <w:tc>
          <w:tcPr>
            <w:tcW w:w="2374" w:type="dxa"/>
            <w:tcBorders>
              <w:top w:val="double" w:color="auto" w:sz="4" w:space="0"/>
              <w:left w:val="single" w:color="auto" w:sz="6" w:space="0"/>
              <w:bottom w:val="single" w:color="auto" w:sz="6" w:space="0"/>
              <w:right w:val="single" w:color="auto" w:sz="6" w:space="0"/>
            </w:tcBorders>
          </w:tcPr>
          <w:p>
            <w:pPr>
              <w:pStyle w:val="39"/>
              <w:spacing w:line="440" w:lineRule="exact"/>
              <w:jc w:val="center"/>
              <w:rPr>
                <w:color w:val="auto"/>
              </w:rPr>
            </w:pPr>
            <w:r>
              <w:rPr>
                <w:color w:val="auto"/>
              </w:rPr>
              <w:t>项目实施单位</w:t>
            </w:r>
          </w:p>
        </w:tc>
        <w:tc>
          <w:tcPr>
            <w:tcW w:w="1814" w:type="dxa"/>
            <w:tcBorders>
              <w:top w:val="double" w:color="auto" w:sz="4" w:space="0"/>
              <w:left w:val="single" w:color="auto" w:sz="6" w:space="0"/>
              <w:bottom w:val="single" w:color="auto" w:sz="6" w:space="0"/>
              <w:right w:val="double" w:color="auto" w:sz="4" w:space="0"/>
            </w:tcBorders>
            <w:vAlign w:val="center"/>
          </w:tcPr>
          <w:p>
            <w:pPr>
              <w:pStyle w:val="39"/>
              <w:spacing w:line="440" w:lineRule="exact"/>
              <w:jc w:val="center"/>
              <w:rPr>
                <w:color w:val="auto"/>
              </w:rPr>
            </w:pPr>
            <w:r>
              <w:rPr>
                <w:color w:val="auto"/>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39"/>
              <w:spacing w:line="440" w:lineRule="exact"/>
              <w:jc w:val="center"/>
              <w:rPr>
                <w:color w:val="auto"/>
              </w:rPr>
            </w:pPr>
            <w:r>
              <w:rPr>
                <w:color w:val="auto"/>
              </w:rPr>
              <w:t>1</w:t>
            </w:r>
          </w:p>
        </w:tc>
        <w:tc>
          <w:tcPr>
            <w:tcW w:w="1538"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2106"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979"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2374" w:type="dxa"/>
            <w:tcBorders>
              <w:top w:val="single" w:color="auto" w:sz="6" w:space="0"/>
              <w:left w:val="single" w:color="auto" w:sz="6" w:space="0"/>
              <w:bottom w:val="single" w:color="auto" w:sz="6" w:space="0"/>
              <w:right w:val="single" w:color="auto" w:sz="6" w:space="0"/>
            </w:tcBorders>
          </w:tcPr>
          <w:p>
            <w:pPr>
              <w:pStyle w:val="39"/>
              <w:spacing w:line="440" w:lineRule="exact"/>
              <w:jc w:val="center"/>
              <w:rPr>
                <w:color w:val="auto"/>
              </w:rPr>
            </w:pPr>
          </w:p>
        </w:tc>
        <w:tc>
          <w:tcPr>
            <w:tcW w:w="1814" w:type="dxa"/>
            <w:tcBorders>
              <w:top w:val="single" w:color="auto" w:sz="6" w:space="0"/>
              <w:left w:val="single" w:color="auto" w:sz="6" w:space="0"/>
              <w:bottom w:val="single" w:color="auto" w:sz="6" w:space="0"/>
              <w:right w:val="double" w:color="auto" w:sz="4" w:space="0"/>
            </w:tcBorders>
            <w:vAlign w:val="center"/>
          </w:tcPr>
          <w:p>
            <w:pPr>
              <w:pStyle w:val="39"/>
              <w:spacing w:line="440" w:lineRule="exact"/>
              <w:jc w:val="center"/>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39"/>
              <w:spacing w:line="440" w:lineRule="exact"/>
              <w:jc w:val="center"/>
              <w:rPr>
                <w:color w:val="auto"/>
              </w:rPr>
            </w:pPr>
            <w:r>
              <w:rPr>
                <w:color w:val="auto"/>
              </w:rPr>
              <w:t>2</w:t>
            </w:r>
          </w:p>
        </w:tc>
        <w:tc>
          <w:tcPr>
            <w:tcW w:w="1538"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2106"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979"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2374" w:type="dxa"/>
            <w:tcBorders>
              <w:top w:val="single" w:color="auto" w:sz="6" w:space="0"/>
              <w:left w:val="single" w:color="auto" w:sz="6" w:space="0"/>
              <w:bottom w:val="single" w:color="auto" w:sz="6" w:space="0"/>
              <w:right w:val="single" w:color="auto" w:sz="6" w:space="0"/>
            </w:tcBorders>
          </w:tcPr>
          <w:p>
            <w:pPr>
              <w:pStyle w:val="39"/>
              <w:spacing w:line="440" w:lineRule="exact"/>
              <w:jc w:val="center"/>
              <w:rPr>
                <w:color w:val="auto"/>
              </w:rPr>
            </w:pPr>
          </w:p>
        </w:tc>
        <w:tc>
          <w:tcPr>
            <w:tcW w:w="1814" w:type="dxa"/>
            <w:tcBorders>
              <w:top w:val="single" w:color="auto" w:sz="6" w:space="0"/>
              <w:left w:val="single" w:color="auto" w:sz="6" w:space="0"/>
              <w:bottom w:val="single" w:color="auto" w:sz="6" w:space="0"/>
              <w:right w:val="double" w:color="auto" w:sz="4" w:space="0"/>
            </w:tcBorders>
            <w:vAlign w:val="center"/>
          </w:tcPr>
          <w:p>
            <w:pPr>
              <w:pStyle w:val="39"/>
              <w:spacing w:line="440" w:lineRule="exact"/>
              <w:jc w:val="center"/>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39"/>
              <w:spacing w:line="440" w:lineRule="exact"/>
              <w:jc w:val="center"/>
              <w:rPr>
                <w:color w:val="auto"/>
              </w:rPr>
            </w:pPr>
            <w:r>
              <w:rPr>
                <w:color w:val="auto"/>
              </w:rPr>
              <w:t>3</w:t>
            </w:r>
          </w:p>
        </w:tc>
        <w:tc>
          <w:tcPr>
            <w:tcW w:w="1538"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2106"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979"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2374" w:type="dxa"/>
            <w:tcBorders>
              <w:top w:val="single" w:color="auto" w:sz="6" w:space="0"/>
              <w:left w:val="single" w:color="auto" w:sz="6" w:space="0"/>
              <w:bottom w:val="single" w:color="auto" w:sz="6" w:space="0"/>
              <w:right w:val="single" w:color="auto" w:sz="6" w:space="0"/>
            </w:tcBorders>
          </w:tcPr>
          <w:p>
            <w:pPr>
              <w:pStyle w:val="39"/>
              <w:spacing w:line="440" w:lineRule="exact"/>
              <w:jc w:val="center"/>
              <w:rPr>
                <w:color w:val="auto"/>
              </w:rPr>
            </w:pPr>
          </w:p>
        </w:tc>
        <w:tc>
          <w:tcPr>
            <w:tcW w:w="1814" w:type="dxa"/>
            <w:tcBorders>
              <w:top w:val="single" w:color="auto" w:sz="6" w:space="0"/>
              <w:left w:val="single" w:color="auto" w:sz="6" w:space="0"/>
              <w:bottom w:val="single" w:color="auto" w:sz="6" w:space="0"/>
              <w:right w:val="double" w:color="auto" w:sz="4" w:space="0"/>
            </w:tcBorders>
            <w:vAlign w:val="center"/>
          </w:tcPr>
          <w:p>
            <w:pPr>
              <w:pStyle w:val="39"/>
              <w:spacing w:line="440" w:lineRule="exact"/>
              <w:jc w:val="center"/>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39"/>
              <w:spacing w:line="440" w:lineRule="exact"/>
              <w:jc w:val="center"/>
              <w:rPr>
                <w:color w:val="auto"/>
              </w:rPr>
            </w:pPr>
            <w:r>
              <w:rPr>
                <w:color w:val="auto"/>
              </w:rPr>
              <w:t>4</w:t>
            </w:r>
          </w:p>
        </w:tc>
        <w:tc>
          <w:tcPr>
            <w:tcW w:w="1538"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2106"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979"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2374" w:type="dxa"/>
            <w:tcBorders>
              <w:top w:val="single" w:color="auto" w:sz="6" w:space="0"/>
              <w:left w:val="single" w:color="auto" w:sz="6" w:space="0"/>
              <w:bottom w:val="single" w:color="auto" w:sz="6" w:space="0"/>
              <w:right w:val="single" w:color="auto" w:sz="6" w:space="0"/>
            </w:tcBorders>
          </w:tcPr>
          <w:p>
            <w:pPr>
              <w:pStyle w:val="39"/>
              <w:spacing w:line="440" w:lineRule="exact"/>
              <w:jc w:val="center"/>
              <w:rPr>
                <w:color w:val="auto"/>
              </w:rPr>
            </w:pPr>
          </w:p>
        </w:tc>
        <w:tc>
          <w:tcPr>
            <w:tcW w:w="1814" w:type="dxa"/>
            <w:tcBorders>
              <w:top w:val="single" w:color="auto" w:sz="6" w:space="0"/>
              <w:left w:val="single" w:color="auto" w:sz="6" w:space="0"/>
              <w:bottom w:val="single" w:color="auto" w:sz="6" w:space="0"/>
              <w:right w:val="double" w:color="auto" w:sz="4" w:space="0"/>
            </w:tcBorders>
            <w:vAlign w:val="center"/>
          </w:tcPr>
          <w:p>
            <w:pPr>
              <w:pStyle w:val="39"/>
              <w:spacing w:line="440" w:lineRule="exact"/>
              <w:jc w:val="center"/>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39"/>
              <w:spacing w:line="440" w:lineRule="exact"/>
              <w:jc w:val="center"/>
              <w:rPr>
                <w:color w:val="auto"/>
              </w:rPr>
            </w:pPr>
            <w:r>
              <w:rPr>
                <w:color w:val="auto"/>
              </w:rPr>
              <w:t>……</w:t>
            </w:r>
          </w:p>
        </w:tc>
        <w:tc>
          <w:tcPr>
            <w:tcW w:w="1538"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2106"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979" w:type="dxa"/>
            <w:tcBorders>
              <w:top w:val="single" w:color="auto" w:sz="6" w:space="0"/>
              <w:left w:val="single" w:color="auto" w:sz="6" w:space="0"/>
              <w:bottom w:val="single" w:color="auto" w:sz="6" w:space="0"/>
              <w:right w:val="single" w:color="auto" w:sz="6" w:space="0"/>
            </w:tcBorders>
            <w:vAlign w:val="center"/>
          </w:tcPr>
          <w:p>
            <w:pPr>
              <w:pStyle w:val="39"/>
              <w:spacing w:line="440" w:lineRule="exact"/>
              <w:jc w:val="center"/>
              <w:rPr>
                <w:color w:val="auto"/>
              </w:rPr>
            </w:pPr>
          </w:p>
        </w:tc>
        <w:tc>
          <w:tcPr>
            <w:tcW w:w="2374" w:type="dxa"/>
            <w:tcBorders>
              <w:top w:val="single" w:color="auto" w:sz="6" w:space="0"/>
              <w:left w:val="single" w:color="auto" w:sz="6" w:space="0"/>
              <w:bottom w:val="single" w:color="auto" w:sz="6" w:space="0"/>
              <w:right w:val="single" w:color="auto" w:sz="6" w:space="0"/>
            </w:tcBorders>
          </w:tcPr>
          <w:p>
            <w:pPr>
              <w:pStyle w:val="39"/>
              <w:spacing w:line="440" w:lineRule="exact"/>
              <w:jc w:val="center"/>
              <w:rPr>
                <w:color w:val="auto"/>
              </w:rPr>
            </w:pPr>
          </w:p>
        </w:tc>
        <w:tc>
          <w:tcPr>
            <w:tcW w:w="1814" w:type="dxa"/>
            <w:tcBorders>
              <w:top w:val="single" w:color="auto" w:sz="6" w:space="0"/>
              <w:left w:val="single" w:color="auto" w:sz="6" w:space="0"/>
              <w:bottom w:val="single" w:color="auto" w:sz="6" w:space="0"/>
              <w:right w:val="double" w:color="auto" w:sz="4" w:space="0"/>
            </w:tcBorders>
            <w:vAlign w:val="center"/>
          </w:tcPr>
          <w:p>
            <w:pPr>
              <w:pStyle w:val="39"/>
              <w:spacing w:line="440" w:lineRule="exact"/>
              <w:jc w:val="center"/>
              <w:rPr>
                <w:color w:val="auto"/>
              </w:rPr>
            </w:pPr>
          </w:p>
        </w:tc>
      </w:tr>
    </w:tbl>
    <w:p>
      <w:pPr>
        <w:spacing w:line="440" w:lineRule="exact"/>
        <w:rPr>
          <w:sz w:val="24"/>
        </w:rPr>
      </w:pPr>
      <w:r>
        <w:rPr>
          <w:rFonts w:hint="eastAsia"/>
          <w:sz w:val="24"/>
        </w:rPr>
        <w:t>附：中标通知书或合同协议书</w:t>
      </w:r>
    </w:p>
    <w:p>
      <w:pPr>
        <w:wordWrap w:val="0"/>
        <w:spacing w:line="440" w:lineRule="exact"/>
        <w:jc w:val="right"/>
        <w:rPr>
          <w:sz w:val="24"/>
        </w:rPr>
      </w:pPr>
    </w:p>
    <w:p>
      <w:pPr>
        <w:wordWrap w:val="0"/>
        <w:spacing w:line="440" w:lineRule="exact"/>
        <w:ind w:right="120"/>
        <w:jc w:val="right"/>
        <w:rPr>
          <w:sz w:val="24"/>
        </w:rPr>
      </w:pPr>
      <w:r>
        <w:rPr>
          <w:sz w:val="24"/>
        </w:rPr>
        <w:t xml:space="preserve">投标人盖章：                     </w:t>
      </w:r>
    </w:p>
    <w:p>
      <w:pPr>
        <w:spacing w:line="440" w:lineRule="exact"/>
        <w:jc w:val="right"/>
        <w:rPr>
          <w:sz w:val="24"/>
        </w:rPr>
      </w:pPr>
    </w:p>
    <w:p>
      <w:pPr>
        <w:spacing w:line="440" w:lineRule="exact"/>
        <w:jc w:val="right"/>
        <w:rPr>
          <w:sz w:val="24"/>
        </w:rPr>
      </w:pPr>
      <w:r>
        <w:rPr>
          <w:sz w:val="24"/>
        </w:rPr>
        <w:t>投标人法人或代理人（盖章或签字）：</w:t>
      </w:r>
    </w:p>
    <w:p>
      <w:pPr>
        <w:spacing w:line="440" w:lineRule="exact"/>
        <w:jc w:val="right"/>
        <w:rPr>
          <w:sz w:val="24"/>
        </w:rPr>
      </w:pPr>
    </w:p>
    <w:p>
      <w:pPr>
        <w:spacing w:line="440" w:lineRule="exact"/>
        <w:jc w:val="right"/>
        <w:rPr>
          <w:sz w:val="24"/>
        </w:rPr>
      </w:pPr>
      <w:r>
        <w:rPr>
          <w:sz w:val="24"/>
        </w:rPr>
        <w:t xml:space="preserve">                                      年    月     日</w:t>
      </w:r>
    </w:p>
    <w:p>
      <w:pPr>
        <w:spacing w:line="440" w:lineRule="exact"/>
        <w:jc w:val="right"/>
        <w:rPr>
          <w:sz w:val="24"/>
        </w:rPr>
      </w:pPr>
      <w:r>
        <w:rPr>
          <w:sz w:val="24"/>
        </w:rPr>
        <w:br w:type="page"/>
      </w:r>
    </w:p>
    <w:p>
      <w:pPr>
        <w:spacing w:line="440" w:lineRule="exact"/>
        <w:rPr>
          <w:b/>
          <w:sz w:val="28"/>
          <w:szCs w:val="28"/>
        </w:rPr>
      </w:pPr>
      <w:r>
        <w:rPr>
          <w:b/>
          <w:sz w:val="28"/>
          <w:szCs w:val="28"/>
        </w:rPr>
        <w:t>附表</w:t>
      </w:r>
      <w:r>
        <w:rPr>
          <w:rFonts w:hint="eastAsia"/>
          <w:b/>
          <w:sz w:val="28"/>
          <w:szCs w:val="28"/>
        </w:rPr>
        <w:t>八</w:t>
      </w:r>
      <w:r>
        <w:rPr>
          <w:b/>
          <w:sz w:val="28"/>
          <w:szCs w:val="28"/>
        </w:rPr>
        <w:t>：</w:t>
      </w:r>
    </w:p>
    <w:p>
      <w:pPr>
        <w:spacing w:line="440" w:lineRule="exact"/>
        <w:jc w:val="center"/>
        <w:rPr>
          <w:b/>
          <w:sz w:val="28"/>
          <w:szCs w:val="28"/>
        </w:rPr>
      </w:pPr>
      <w:r>
        <w:rPr>
          <w:rFonts w:hint="eastAsia"/>
          <w:b/>
          <w:sz w:val="28"/>
          <w:szCs w:val="28"/>
        </w:rPr>
        <w:t>投标保证金缴纳凭证：（本次不做要求）</w:t>
      </w:r>
    </w:p>
    <w:p>
      <w:pPr>
        <w:spacing w:line="440" w:lineRule="exact"/>
        <w:rPr>
          <w:b/>
          <w:sz w:val="28"/>
          <w:szCs w:val="28"/>
        </w:rPr>
      </w:pPr>
    </w:p>
    <w:p>
      <w:pPr>
        <w:spacing w:line="440" w:lineRule="exact"/>
        <w:rPr>
          <w:b/>
          <w:sz w:val="28"/>
          <w:szCs w:val="28"/>
        </w:rPr>
      </w:pPr>
    </w:p>
    <w:p>
      <w:pPr>
        <w:spacing w:line="440" w:lineRule="exact"/>
        <w:rPr>
          <w:b/>
          <w:sz w:val="28"/>
          <w:szCs w:val="28"/>
        </w:rPr>
      </w:pPr>
    </w:p>
    <w:p>
      <w:pPr>
        <w:rPr>
          <w:b/>
          <w:sz w:val="28"/>
          <w:szCs w:val="28"/>
        </w:rPr>
      </w:pPr>
    </w:p>
    <w:p>
      <w:pPr>
        <w:rPr>
          <w:b/>
          <w:sz w:val="28"/>
          <w:szCs w:val="28"/>
        </w:rPr>
      </w:pPr>
    </w:p>
    <w:p>
      <w:pPr>
        <w:rPr>
          <w:b/>
          <w:sz w:val="28"/>
          <w:szCs w:val="28"/>
        </w:rPr>
      </w:pPr>
    </w:p>
    <w:p>
      <w:pPr>
        <w:rPr>
          <w:b/>
          <w:sz w:val="28"/>
          <w:szCs w:val="28"/>
        </w:rPr>
      </w:pPr>
      <w:r>
        <w:rPr>
          <w:b/>
          <w:sz w:val="28"/>
          <w:szCs w:val="28"/>
        </w:rPr>
        <w:t>附表</w:t>
      </w:r>
      <w:r>
        <w:rPr>
          <w:rFonts w:hint="eastAsia"/>
          <w:b/>
          <w:sz w:val="28"/>
          <w:szCs w:val="28"/>
        </w:rPr>
        <w:t>九</w:t>
      </w:r>
      <w:r>
        <w:rPr>
          <w:b/>
          <w:sz w:val="28"/>
          <w:szCs w:val="28"/>
        </w:rPr>
        <w:t>：</w:t>
      </w:r>
    </w:p>
    <w:p>
      <w:pPr>
        <w:spacing w:line="440" w:lineRule="exact"/>
        <w:rPr>
          <w:b/>
          <w:sz w:val="28"/>
          <w:szCs w:val="28"/>
        </w:rPr>
      </w:pPr>
    </w:p>
    <w:p>
      <w:pPr>
        <w:spacing w:line="440" w:lineRule="exact"/>
        <w:rPr>
          <w:b/>
          <w:sz w:val="28"/>
          <w:szCs w:val="28"/>
        </w:rPr>
      </w:pPr>
    </w:p>
    <w:p>
      <w:pPr>
        <w:spacing w:line="440" w:lineRule="exact"/>
        <w:jc w:val="center"/>
        <w:rPr>
          <w:b/>
          <w:sz w:val="28"/>
          <w:szCs w:val="28"/>
        </w:rPr>
      </w:pPr>
      <w:r>
        <w:rPr>
          <w:b/>
          <w:sz w:val="28"/>
          <w:szCs w:val="28"/>
        </w:rPr>
        <w:t>商务条款偏离表</w:t>
      </w:r>
    </w:p>
    <w:p>
      <w:pPr>
        <w:spacing w:line="440" w:lineRule="exact"/>
        <w:rPr>
          <w:sz w:val="24"/>
          <w:u w:val="single"/>
        </w:rPr>
      </w:pPr>
      <w:r>
        <w:rPr>
          <w:sz w:val="24"/>
        </w:rPr>
        <w:t>项目名称：</w:t>
      </w:r>
    </w:p>
    <w:tbl>
      <w:tblPr>
        <w:tblStyle w:val="23"/>
        <w:tblW w:w="9781" w:type="dxa"/>
        <w:tblInd w:w="108" w:type="dxa"/>
        <w:tblLayout w:type="fixed"/>
        <w:tblCellMar>
          <w:top w:w="0" w:type="dxa"/>
          <w:left w:w="108" w:type="dxa"/>
          <w:bottom w:w="0" w:type="dxa"/>
          <w:right w:w="108" w:type="dxa"/>
        </w:tblCellMar>
      </w:tblPr>
      <w:tblGrid>
        <w:gridCol w:w="886"/>
        <w:gridCol w:w="2221"/>
        <w:gridCol w:w="1823"/>
        <w:gridCol w:w="1824"/>
        <w:gridCol w:w="1346"/>
        <w:gridCol w:w="1681"/>
      </w:tblGrid>
      <w:tr>
        <w:tblPrEx>
          <w:tblCellMar>
            <w:top w:w="0" w:type="dxa"/>
            <w:left w:w="108" w:type="dxa"/>
            <w:bottom w:w="0" w:type="dxa"/>
            <w:right w:w="108" w:type="dxa"/>
          </w:tblCellMar>
        </w:tblPrEx>
        <w:trPr>
          <w:trHeight w:val="75" w:hRule="atLeast"/>
        </w:trPr>
        <w:tc>
          <w:tcPr>
            <w:tcW w:w="88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序号</w:t>
            </w:r>
          </w:p>
        </w:tc>
        <w:tc>
          <w:tcPr>
            <w:tcW w:w="222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招标文件条目号</w:t>
            </w:r>
          </w:p>
        </w:tc>
        <w:tc>
          <w:tcPr>
            <w:tcW w:w="182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招标文件的商务条款</w:t>
            </w: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投标文件的商务条款</w:t>
            </w:r>
          </w:p>
        </w:tc>
        <w:tc>
          <w:tcPr>
            <w:tcW w:w="1346" w:type="dxa"/>
            <w:tcBorders>
              <w:top w:val="single" w:color="auto" w:sz="4" w:space="0"/>
              <w:left w:val="single" w:color="auto" w:sz="4" w:space="0"/>
              <w:bottom w:val="single" w:color="auto" w:sz="4" w:space="0"/>
              <w:right w:val="single" w:color="auto" w:sz="4" w:space="0"/>
            </w:tcBorders>
            <w:vAlign w:val="center"/>
          </w:tcPr>
          <w:p>
            <w:pPr>
              <w:ind w:firstLine="120" w:firstLineChars="50"/>
              <w:rPr>
                <w:sz w:val="24"/>
              </w:rPr>
            </w:pPr>
            <w:r>
              <w:rPr>
                <w:sz w:val="24"/>
              </w:rPr>
              <w:t>偏离情况</w:t>
            </w:r>
          </w:p>
        </w:tc>
        <w:tc>
          <w:tcPr>
            <w:tcW w:w="168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说明</w:t>
            </w:r>
          </w:p>
        </w:tc>
      </w:tr>
      <w:tr>
        <w:tblPrEx>
          <w:tblCellMar>
            <w:top w:w="0" w:type="dxa"/>
            <w:left w:w="108" w:type="dxa"/>
            <w:bottom w:w="0" w:type="dxa"/>
            <w:right w:w="108" w:type="dxa"/>
          </w:tblCellMar>
        </w:tblPrEx>
        <w:trPr>
          <w:trHeight w:val="462" w:hRule="atLeast"/>
        </w:trPr>
        <w:tc>
          <w:tcPr>
            <w:tcW w:w="88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w:t>
            </w:r>
          </w:p>
        </w:tc>
        <w:tc>
          <w:tcPr>
            <w:tcW w:w="2221"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23"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81"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CellMar>
            <w:top w:w="0" w:type="dxa"/>
            <w:left w:w="108" w:type="dxa"/>
            <w:bottom w:w="0" w:type="dxa"/>
            <w:right w:w="108" w:type="dxa"/>
          </w:tblCellMar>
        </w:tblPrEx>
        <w:trPr>
          <w:trHeight w:val="482" w:hRule="atLeast"/>
        </w:trPr>
        <w:tc>
          <w:tcPr>
            <w:tcW w:w="88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2221"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23"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81"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CellMar>
            <w:top w:w="0" w:type="dxa"/>
            <w:left w:w="108" w:type="dxa"/>
            <w:bottom w:w="0" w:type="dxa"/>
            <w:right w:w="108" w:type="dxa"/>
          </w:tblCellMar>
        </w:tblPrEx>
        <w:trPr>
          <w:trHeight w:val="482" w:hRule="atLeast"/>
        </w:trPr>
        <w:tc>
          <w:tcPr>
            <w:tcW w:w="88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w:t>
            </w:r>
          </w:p>
        </w:tc>
        <w:tc>
          <w:tcPr>
            <w:tcW w:w="2221"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23"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81"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bl>
    <w:p>
      <w:pPr>
        <w:spacing w:line="440" w:lineRule="exact"/>
        <w:rPr>
          <w:sz w:val="24"/>
        </w:rPr>
      </w:pPr>
      <w:r>
        <w:rPr>
          <w:b/>
          <w:bCs/>
          <w:sz w:val="24"/>
        </w:rPr>
        <w:t>注：</w:t>
      </w:r>
      <w:r>
        <w:rPr>
          <w:sz w:val="24"/>
        </w:rPr>
        <w:t>1、如没有偏离，请写“无”。</w:t>
      </w:r>
    </w:p>
    <w:p>
      <w:pPr>
        <w:spacing w:line="440" w:lineRule="exact"/>
        <w:ind w:firstLine="480"/>
        <w:rPr>
          <w:sz w:val="24"/>
        </w:rPr>
      </w:pPr>
      <w:r>
        <w:rPr>
          <w:sz w:val="24"/>
        </w:rPr>
        <w:t>2、与招标文件要求逐条对应填写。</w:t>
      </w:r>
    </w:p>
    <w:p>
      <w:pPr>
        <w:spacing w:line="440" w:lineRule="exact"/>
        <w:ind w:firstLine="480"/>
        <w:rPr>
          <w:sz w:val="24"/>
        </w:rPr>
      </w:pPr>
      <w:r>
        <w:rPr>
          <w:sz w:val="24"/>
        </w:rPr>
        <w:t>3、表格形式可做适当调整但不得增减实质内容</w:t>
      </w:r>
    </w:p>
    <w:p>
      <w:pPr>
        <w:tabs>
          <w:tab w:val="left" w:pos="5910"/>
        </w:tabs>
        <w:wordWrap w:val="0"/>
        <w:spacing w:line="440" w:lineRule="exact"/>
        <w:ind w:firstLine="480"/>
        <w:jc w:val="right"/>
        <w:rPr>
          <w:sz w:val="24"/>
        </w:rPr>
      </w:pPr>
      <w:r>
        <w:rPr>
          <w:sz w:val="24"/>
        </w:rPr>
        <w:t xml:space="preserve">投标人名称（公章）： </w:t>
      </w:r>
    </w:p>
    <w:p>
      <w:pPr>
        <w:spacing w:line="440" w:lineRule="exact"/>
        <w:ind w:firstLine="480"/>
        <w:jc w:val="right"/>
        <w:rPr>
          <w:sz w:val="24"/>
        </w:rPr>
      </w:pPr>
    </w:p>
    <w:p>
      <w:pPr>
        <w:wordWrap w:val="0"/>
        <w:spacing w:line="440" w:lineRule="exact"/>
        <w:ind w:firstLine="480"/>
        <w:jc w:val="right"/>
        <w:rPr>
          <w:sz w:val="24"/>
          <w:u w:val="single"/>
        </w:rPr>
      </w:pPr>
      <w:r>
        <w:rPr>
          <w:sz w:val="24"/>
        </w:rPr>
        <w:t xml:space="preserve">投标人法人或代理人（盖章或签字）： </w:t>
      </w:r>
    </w:p>
    <w:p>
      <w:pPr>
        <w:tabs>
          <w:tab w:val="left" w:pos="3975"/>
        </w:tabs>
        <w:spacing w:line="440" w:lineRule="exact"/>
        <w:ind w:firstLine="480" w:firstLineChars="200"/>
        <w:jc w:val="right"/>
        <w:rPr>
          <w:sz w:val="24"/>
        </w:rPr>
      </w:pPr>
      <w:r>
        <w:rPr>
          <w:sz w:val="24"/>
        </w:rPr>
        <w:t>年   月    日</w:t>
      </w:r>
    </w:p>
    <w:p>
      <w:pPr>
        <w:rPr>
          <w:b/>
          <w:sz w:val="28"/>
          <w:szCs w:val="28"/>
        </w:rPr>
      </w:pPr>
    </w:p>
    <w:p>
      <w:pPr>
        <w:rPr>
          <w:b/>
          <w:sz w:val="28"/>
          <w:szCs w:val="28"/>
        </w:rPr>
      </w:pPr>
    </w:p>
    <w:p>
      <w:pPr>
        <w:rPr>
          <w:b/>
          <w:sz w:val="28"/>
          <w:szCs w:val="28"/>
        </w:rPr>
      </w:pPr>
    </w:p>
    <w:p>
      <w:pPr>
        <w:rPr>
          <w:b/>
          <w:sz w:val="28"/>
          <w:szCs w:val="28"/>
        </w:rPr>
      </w:pPr>
    </w:p>
    <w:p>
      <w:pPr>
        <w:rPr>
          <w:b/>
          <w:sz w:val="28"/>
          <w:szCs w:val="28"/>
        </w:rPr>
      </w:pPr>
      <w:r>
        <w:rPr>
          <w:b/>
          <w:sz w:val="28"/>
          <w:szCs w:val="28"/>
        </w:rPr>
        <w:t>附表</w:t>
      </w:r>
      <w:r>
        <w:rPr>
          <w:rFonts w:hint="eastAsia"/>
          <w:b/>
          <w:sz w:val="28"/>
          <w:szCs w:val="28"/>
        </w:rPr>
        <w:t>十</w:t>
      </w:r>
      <w:r>
        <w:rPr>
          <w:b/>
          <w:sz w:val="28"/>
          <w:szCs w:val="28"/>
        </w:rPr>
        <w:t>：</w:t>
      </w:r>
    </w:p>
    <w:p>
      <w:pPr>
        <w:spacing w:line="440" w:lineRule="exact"/>
        <w:jc w:val="center"/>
        <w:rPr>
          <w:rFonts w:ascii="宋体" w:hAnsi="宋体"/>
          <w:b/>
          <w:sz w:val="28"/>
          <w:szCs w:val="28"/>
        </w:rPr>
      </w:pPr>
      <w:r>
        <w:rPr>
          <w:rFonts w:hint="eastAsia" w:ascii="宋体" w:hAnsi="宋体"/>
          <w:b/>
          <w:sz w:val="28"/>
          <w:szCs w:val="28"/>
        </w:rPr>
        <w:t>技术功能偏离表</w:t>
      </w:r>
    </w:p>
    <w:p>
      <w:pPr>
        <w:spacing w:line="440" w:lineRule="exact"/>
        <w:rPr>
          <w:rFonts w:ascii="宋体" w:hAnsi="宋体"/>
          <w:sz w:val="24"/>
          <w:u w:val="single"/>
        </w:rPr>
      </w:pPr>
      <w:r>
        <w:rPr>
          <w:rFonts w:hint="eastAsia" w:ascii="宋体" w:hAnsi="宋体"/>
          <w:sz w:val="24"/>
        </w:rPr>
        <w:t>项目名称：</w:t>
      </w:r>
    </w:p>
    <w:tbl>
      <w:tblPr>
        <w:tblStyle w:val="23"/>
        <w:tblW w:w="9781" w:type="dxa"/>
        <w:tblInd w:w="108" w:type="dxa"/>
        <w:tblLayout w:type="fixed"/>
        <w:tblCellMar>
          <w:top w:w="0" w:type="dxa"/>
          <w:left w:w="108" w:type="dxa"/>
          <w:bottom w:w="0" w:type="dxa"/>
          <w:right w:w="108" w:type="dxa"/>
        </w:tblCellMar>
      </w:tblPr>
      <w:tblGrid>
        <w:gridCol w:w="886"/>
        <w:gridCol w:w="2221"/>
        <w:gridCol w:w="1823"/>
        <w:gridCol w:w="1824"/>
        <w:gridCol w:w="1346"/>
        <w:gridCol w:w="1681"/>
      </w:tblGrid>
      <w:tr>
        <w:tblPrEx>
          <w:tblCellMar>
            <w:top w:w="0" w:type="dxa"/>
            <w:left w:w="108" w:type="dxa"/>
            <w:bottom w:w="0" w:type="dxa"/>
            <w:right w:w="108" w:type="dxa"/>
          </w:tblCellMar>
        </w:tblPrEx>
        <w:trPr>
          <w:trHeight w:val="75" w:hRule="atLeast"/>
        </w:trPr>
        <w:tc>
          <w:tcPr>
            <w:tcW w:w="88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序号</w:t>
            </w:r>
          </w:p>
        </w:tc>
        <w:tc>
          <w:tcPr>
            <w:tcW w:w="222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招标文件条目号</w:t>
            </w:r>
          </w:p>
        </w:tc>
        <w:tc>
          <w:tcPr>
            <w:tcW w:w="182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招标文件的</w:t>
            </w:r>
            <w:r>
              <w:rPr>
                <w:rFonts w:hint="eastAsia"/>
                <w:sz w:val="24"/>
                <w:lang w:eastAsia="zh-CN"/>
              </w:rPr>
              <w:t>技术</w:t>
            </w:r>
            <w:r>
              <w:rPr>
                <w:sz w:val="24"/>
              </w:rPr>
              <w:t>条款</w:t>
            </w: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投标文件的</w:t>
            </w:r>
            <w:r>
              <w:rPr>
                <w:rFonts w:hint="eastAsia"/>
                <w:sz w:val="24"/>
                <w:lang w:eastAsia="zh-CN"/>
              </w:rPr>
              <w:t>技术</w:t>
            </w:r>
            <w:r>
              <w:rPr>
                <w:sz w:val="24"/>
              </w:rPr>
              <w:t>条款</w:t>
            </w:r>
          </w:p>
        </w:tc>
        <w:tc>
          <w:tcPr>
            <w:tcW w:w="1346" w:type="dxa"/>
            <w:tcBorders>
              <w:top w:val="single" w:color="auto" w:sz="4" w:space="0"/>
              <w:left w:val="single" w:color="auto" w:sz="4" w:space="0"/>
              <w:bottom w:val="single" w:color="auto" w:sz="4" w:space="0"/>
              <w:right w:val="single" w:color="auto" w:sz="4" w:space="0"/>
            </w:tcBorders>
            <w:vAlign w:val="center"/>
          </w:tcPr>
          <w:p>
            <w:pPr>
              <w:ind w:firstLine="120" w:firstLineChars="50"/>
              <w:rPr>
                <w:sz w:val="24"/>
              </w:rPr>
            </w:pPr>
            <w:r>
              <w:rPr>
                <w:sz w:val="24"/>
              </w:rPr>
              <w:t>偏离情况</w:t>
            </w:r>
          </w:p>
        </w:tc>
        <w:tc>
          <w:tcPr>
            <w:tcW w:w="168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说明</w:t>
            </w:r>
          </w:p>
        </w:tc>
      </w:tr>
      <w:tr>
        <w:tblPrEx>
          <w:tblCellMar>
            <w:top w:w="0" w:type="dxa"/>
            <w:left w:w="108" w:type="dxa"/>
            <w:bottom w:w="0" w:type="dxa"/>
            <w:right w:w="108" w:type="dxa"/>
          </w:tblCellMar>
        </w:tblPrEx>
        <w:trPr>
          <w:trHeight w:val="462" w:hRule="atLeast"/>
        </w:trPr>
        <w:tc>
          <w:tcPr>
            <w:tcW w:w="88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w:t>
            </w:r>
          </w:p>
        </w:tc>
        <w:tc>
          <w:tcPr>
            <w:tcW w:w="2221"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23"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81"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CellMar>
            <w:top w:w="0" w:type="dxa"/>
            <w:left w:w="108" w:type="dxa"/>
            <w:bottom w:w="0" w:type="dxa"/>
            <w:right w:w="108" w:type="dxa"/>
          </w:tblCellMar>
        </w:tblPrEx>
        <w:trPr>
          <w:trHeight w:val="482" w:hRule="atLeast"/>
        </w:trPr>
        <w:tc>
          <w:tcPr>
            <w:tcW w:w="88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w:t>
            </w:r>
          </w:p>
        </w:tc>
        <w:tc>
          <w:tcPr>
            <w:tcW w:w="2221"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23"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81"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CellMar>
            <w:top w:w="0" w:type="dxa"/>
            <w:left w:w="108" w:type="dxa"/>
            <w:bottom w:w="0" w:type="dxa"/>
            <w:right w:w="108" w:type="dxa"/>
          </w:tblCellMar>
        </w:tblPrEx>
        <w:trPr>
          <w:trHeight w:val="482" w:hRule="atLeast"/>
        </w:trPr>
        <w:tc>
          <w:tcPr>
            <w:tcW w:w="88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w:t>
            </w:r>
          </w:p>
        </w:tc>
        <w:tc>
          <w:tcPr>
            <w:tcW w:w="2221"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23"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81"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bl>
    <w:p>
      <w:pPr>
        <w:spacing w:line="440" w:lineRule="exact"/>
        <w:rPr>
          <w:sz w:val="24"/>
        </w:rPr>
      </w:pPr>
      <w:r>
        <w:rPr>
          <w:b/>
          <w:bCs/>
          <w:sz w:val="24"/>
        </w:rPr>
        <w:t>注：</w:t>
      </w:r>
      <w:r>
        <w:rPr>
          <w:sz w:val="24"/>
        </w:rPr>
        <w:t>1、如没有偏离，请写“无”。</w:t>
      </w:r>
    </w:p>
    <w:p>
      <w:pPr>
        <w:spacing w:line="440" w:lineRule="exact"/>
        <w:ind w:firstLine="480"/>
        <w:rPr>
          <w:sz w:val="24"/>
        </w:rPr>
      </w:pPr>
      <w:r>
        <w:rPr>
          <w:sz w:val="24"/>
        </w:rPr>
        <w:t>2、与招标文件要求逐条对应填写。</w:t>
      </w:r>
    </w:p>
    <w:p>
      <w:pPr>
        <w:spacing w:line="440" w:lineRule="exact"/>
        <w:ind w:firstLine="480" w:firstLineChars="200"/>
        <w:rPr>
          <w:rFonts w:ascii="宋体" w:hAnsi="宋体"/>
          <w:sz w:val="24"/>
        </w:rPr>
      </w:pPr>
      <w:r>
        <w:rPr>
          <w:sz w:val="24"/>
        </w:rPr>
        <w:t>3、表格形式可做适当调整但不得增减实质内容</w:t>
      </w:r>
      <w:r>
        <w:rPr>
          <w:rFonts w:hint="eastAsia" w:ascii="宋体" w:hAnsi="宋体"/>
          <w:sz w:val="24"/>
        </w:rPr>
        <w:t>。</w:t>
      </w:r>
    </w:p>
    <w:p>
      <w:pPr>
        <w:spacing w:line="440" w:lineRule="exact"/>
        <w:ind w:firstLine="240" w:firstLineChars="100"/>
        <w:rPr>
          <w:rFonts w:ascii="宋体" w:hAnsi="宋体"/>
          <w:sz w:val="24"/>
        </w:rPr>
      </w:pPr>
    </w:p>
    <w:p>
      <w:pPr>
        <w:spacing w:line="440" w:lineRule="exact"/>
        <w:ind w:firstLine="240" w:firstLineChars="100"/>
        <w:rPr>
          <w:rFonts w:ascii="宋体" w:hAnsi="宋体"/>
          <w:sz w:val="24"/>
        </w:rPr>
      </w:pPr>
    </w:p>
    <w:p>
      <w:pPr>
        <w:spacing w:line="440" w:lineRule="exact"/>
        <w:ind w:right="1440" w:firstLine="240" w:firstLineChars="100"/>
        <w:jc w:val="center"/>
        <w:rPr>
          <w:rFonts w:ascii="宋体" w:hAnsi="宋体"/>
          <w:sz w:val="24"/>
          <w:u w:val="single"/>
        </w:rPr>
      </w:pPr>
      <w:r>
        <w:rPr>
          <w:rFonts w:hint="eastAsia" w:ascii="宋体" w:hAnsi="宋体"/>
          <w:sz w:val="24"/>
        </w:rPr>
        <w:t xml:space="preserve">                                       投标人名称（公章）：    </w:t>
      </w:r>
    </w:p>
    <w:p>
      <w:pPr>
        <w:spacing w:line="440" w:lineRule="exact"/>
        <w:ind w:firstLine="240" w:firstLineChars="100"/>
        <w:jc w:val="right"/>
        <w:rPr>
          <w:rFonts w:ascii="宋体" w:hAnsi="宋体"/>
          <w:sz w:val="24"/>
        </w:rPr>
      </w:pPr>
    </w:p>
    <w:p>
      <w:pPr>
        <w:spacing w:line="440" w:lineRule="exact"/>
        <w:jc w:val="right"/>
        <w:rPr>
          <w:rFonts w:ascii="宋体" w:hAnsi="宋体"/>
          <w:sz w:val="24"/>
          <w:u w:val="single"/>
        </w:rPr>
      </w:pPr>
      <w:r>
        <w:rPr>
          <w:rFonts w:hint="eastAsia" w:ascii="宋体" w:hAnsi="宋体"/>
          <w:sz w:val="24"/>
        </w:rPr>
        <w:t>投标人法人或代理人（盖章或签字）：</w:t>
      </w:r>
    </w:p>
    <w:p>
      <w:pPr>
        <w:spacing w:line="440" w:lineRule="exact"/>
        <w:jc w:val="right"/>
        <w:rPr>
          <w:b/>
          <w:sz w:val="28"/>
          <w:szCs w:val="28"/>
        </w:rPr>
      </w:pPr>
      <w:r>
        <w:rPr>
          <w:sz w:val="24"/>
        </w:rPr>
        <w:t>年   月    日</w:t>
      </w:r>
      <w:r>
        <w:rPr>
          <w:b/>
          <w:sz w:val="28"/>
          <w:szCs w:val="28"/>
        </w:rPr>
        <w:br w:type="page"/>
      </w:r>
    </w:p>
    <w:p>
      <w:pPr>
        <w:spacing w:line="440" w:lineRule="exact"/>
        <w:rPr>
          <w:rFonts w:ascii="宋体" w:hAnsi="宋体"/>
          <w:b/>
          <w:sz w:val="28"/>
          <w:szCs w:val="28"/>
        </w:rPr>
      </w:pPr>
      <w:r>
        <w:rPr>
          <w:rFonts w:hint="eastAsia" w:ascii="宋体" w:hAnsi="宋体"/>
          <w:b/>
          <w:sz w:val="28"/>
          <w:szCs w:val="28"/>
        </w:rPr>
        <w:t>附表十一：</w:t>
      </w:r>
    </w:p>
    <w:p>
      <w:pPr>
        <w:spacing w:before="156" w:beforeLines="50" w:after="156" w:afterLines="50" w:line="480" w:lineRule="auto"/>
        <w:jc w:val="center"/>
        <w:rPr>
          <w:rFonts w:ascii="宋体" w:hAnsi="宋体"/>
          <w:b/>
          <w:sz w:val="28"/>
          <w:szCs w:val="28"/>
        </w:rPr>
      </w:pPr>
      <w:r>
        <w:rPr>
          <w:rFonts w:hint="eastAsia" w:ascii="宋体" w:hAnsi="宋体"/>
          <w:b/>
          <w:sz w:val="28"/>
          <w:szCs w:val="28"/>
        </w:rPr>
        <w:t>项目负责人简历表</w:t>
      </w:r>
    </w:p>
    <w:tbl>
      <w:tblPr>
        <w:tblStyle w:val="23"/>
        <w:tblW w:w="9968" w:type="dxa"/>
        <w:jc w:val="center"/>
        <w:tblLayout w:type="fixed"/>
        <w:tblCellMar>
          <w:top w:w="0" w:type="dxa"/>
          <w:left w:w="108" w:type="dxa"/>
          <w:bottom w:w="0" w:type="dxa"/>
          <w:right w:w="108" w:type="dxa"/>
        </w:tblCellMar>
      </w:tblPr>
      <w:tblGrid>
        <w:gridCol w:w="3196"/>
        <w:gridCol w:w="1118"/>
        <w:gridCol w:w="1284"/>
        <w:gridCol w:w="1256"/>
        <w:gridCol w:w="1256"/>
        <w:gridCol w:w="1858"/>
      </w:tblGrid>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单位名称</w:t>
            </w:r>
          </w:p>
        </w:tc>
        <w:tc>
          <w:tcPr>
            <w:tcW w:w="365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职    务</w:t>
            </w: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姓    名</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性    别</w:t>
            </w:r>
          </w:p>
        </w:tc>
        <w:tc>
          <w:tcPr>
            <w:tcW w:w="12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出生年月</w:t>
            </w: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文化程度</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毕业院校</w:t>
            </w:r>
          </w:p>
        </w:tc>
        <w:tc>
          <w:tcPr>
            <w:tcW w:w="437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从事相关专业工作年限</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专业</w:t>
            </w:r>
          </w:p>
        </w:tc>
        <w:tc>
          <w:tcPr>
            <w:tcW w:w="437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564" w:hRule="atLeast"/>
          <w:jc w:val="center"/>
        </w:trPr>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现任职务</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技术职称</w:t>
            </w:r>
          </w:p>
        </w:tc>
        <w:tc>
          <w:tcPr>
            <w:tcW w:w="12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聘任时间</w:t>
            </w:r>
          </w:p>
        </w:tc>
        <w:tc>
          <w:tcPr>
            <w:tcW w:w="18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资格证书编号</w:t>
            </w:r>
          </w:p>
        </w:tc>
        <w:tc>
          <w:tcPr>
            <w:tcW w:w="240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发证单位</w:t>
            </w:r>
          </w:p>
        </w:tc>
        <w:tc>
          <w:tcPr>
            <w:tcW w:w="311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1061" w:hRule="atLeast"/>
          <w:jc w:val="center"/>
        </w:trPr>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主要工作经历</w:t>
            </w:r>
          </w:p>
        </w:tc>
        <w:tc>
          <w:tcPr>
            <w:tcW w:w="677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sz w:val="24"/>
              </w:rPr>
            </w:pPr>
          </w:p>
        </w:tc>
      </w:tr>
    </w:tbl>
    <w:p>
      <w:pPr>
        <w:spacing w:line="360" w:lineRule="auto"/>
        <w:rPr>
          <w:rFonts w:ascii="宋体" w:hAnsi="宋体"/>
          <w:sz w:val="24"/>
        </w:rPr>
      </w:pPr>
      <w:r>
        <w:rPr>
          <w:rFonts w:hint="eastAsia" w:ascii="宋体" w:hAnsi="宋体"/>
          <w:sz w:val="24"/>
        </w:rPr>
        <w:t>注：1、项目负责人必须填报本表；</w:t>
      </w:r>
    </w:p>
    <w:p>
      <w:pPr>
        <w:spacing w:line="360" w:lineRule="auto"/>
        <w:ind w:firstLine="480" w:firstLineChars="200"/>
        <w:rPr>
          <w:rFonts w:ascii="宋体" w:hAnsi="宋体"/>
          <w:sz w:val="24"/>
        </w:rPr>
      </w:pPr>
      <w:r>
        <w:rPr>
          <w:rFonts w:hint="eastAsia" w:ascii="宋体" w:hAnsi="宋体"/>
          <w:sz w:val="24"/>
        </w:rPr>
        <w:t>2、须附上身份证、学历证书、职称证书复印件（加盖公章）</w:t>
      </w:r>
    </w:p>
    <w:p>
      <w:pPr>
        <w:spacing w:line="360" w:lineRule="auto"/>
        <w:ind w:firstLine="5760" w:firstLineChars="2400"/>
        <w:rPr>
          <w:rFonts w:ascii="宋体" w:hAnsi="宋体"/>
          <w:sz w:val="24"/>
          <w:u w:val="single"/>
        </w:rPr>
      </w:pPr>
      <w:r>
        <w:rPr>
          <w:rFonts w:hint="eastAsia" w:ascii="宋体" w:hAnsi="宋体"/>
          <w:sz w:val="24"/>
        </w:rPr>
        <w:t>投标人：</w:t>
      </w:r>
      <w:r>
        <w:rPr>
          <w:rFonts w:hint="eastAsia" w:ascii="宋体" w:hAnsi="宋体"/>
          <w:sz w:val="24"/>
          <w:u w:val="single"/>
        </w:rPr>
        <w:t xml:space="preserve">               （公章）</w:t>
      </w:r>
    </w:p>
    <w:p>
      <w:pPr>
        <w:spacing w:line="360" w:lineRule="auto"/>
        <w:ind w:firstLine="5760" w:firstLineChars="2400"/>
        <w:rPr>
          <w:rFonts w:ascii="宋体" w:hAnsi="宋体"/>
          <w:sz w:val="24"/>
        </w:rPr>
      </w:pPr>
    </w:p>
    <w:p>
      <w:pPr>
        <w:spacing w:line="360" w:lineRule="auto"/>
        <w:ind w:firstLine="5760" w:firstLineChars="2400"/>
        <w:rPr>
          <w:rFonts w:ascii="宋体" w:hAnsi="宋体"/>
          <w:b/>
          <w:sz w:val="28"/>
          <w:szCs w:val="28"/>
        </w:rPr>
      </w:pPr>
      <w:r>
        <w:rPr>
          <w:rFonts w:hint="eastAsia" w:ascii="宋体" w:hAnsi="宋体"/>
          <w:sz w:val="24"/>
        </w:rPr>
        <w:t>日  期：</w:t>
      </w:r>
    </w:p>
    <w:p>
      <w:pPr>
        <w:spacing w:before="156" w:beforeLines="50" w:after="156" w:afterLines="50" w:line="480" w:lineRule="auto"/>
        <w:jc w:val="center"/>
        <w:rPr>
          <w:rFonts w:ascii="宋体" w:hAnsi="宋体"/>
          <w:b/>
          <w:sz w:val="28"/>
          <w:szCs w:val="28"/>
        </w:rPr>
      </w:pPr>
      <w:r>
        <w:rPr>
          <w:rFonts w:hint="eastAsia" w:ascii="宋体" w:hAnsi="宋体"/>
          <w:b/>
          <w:sz w:val="28"/>
          <w:szCs w:val="28"/>
        </w:rPr>
        <w:t>投入本项目人员表</w:t>
      </w:r>
    </w:p>
    <w:tbl>
      <w:tblPr>
        <w:tblStyle w:val="23"/>
        <w:tblW w:w="9966" w:type="dxa"/>
        <w:jc w:val="center"/>
        <w:tblLayout w:type="fixed"/>
        <w:tblCellMar>
          <w:top w:w="0" w:type="dxa"/>
          <w:left w:w="108" w:type="dxa"/>
          <w:bottom w:w="0" w:type="dxa"/>
          <w:right w:w="108" w:type="dxa"/>
        </w:tblCellMar>
      </w:tblPr>
      <w:tblGrid>
        <w:gridCol w:w="2635"/>
        <w:gridCol w:w="1225"/>
        <w:gridCol w:w="1225"/>
        <w:gridCol w:w="1225"/>
        <w:gridCol w:w="1227"/>
        <w:gridCol w:w="2429"/>
      </w:tblGrid>
      <w:tr>
        <w:tblPrEx>
          <w:tblCellMar>
            <w:top w:w="0" w:type="dxa"/>
            <w:left w:w="108" w:type="dxa"/>
            <w:bottom w:w="0" w:type="dxa"/>
            <w:right w:w="108" w:type="dxa"/>
          </w:tblCellMar>
        </w:tblPrEx>
        <w:trPr>
          <w:trHeight w:val="624" w:hRule="atLeast"/>
          <w:jc w:val="center"/>
        </w:trPr>
        <w:tc>
          <w:tcPr>
            <w:tcW w:w="2635" w:type="dxa"/>
            <w:tcBorders>
              <w:top w:val="single" w:color="auto" w:sz="4" w:space="0"/>
              <w:left w:val="single" w:color="auto" w:sz="4" w:space="0"/>
              <w:bottom w:val="single" w:color="auto" w:sz="4" w:space="0"/>
              <w:right w:val="single" w:color="auto" w:sz="4" w:space="0"/>
              <w:tl2br w:val="single" w:color="auto" w:sz="4" w:space="0"/>
            </w:tcBorders>
            <w:vAlign w:val="center"/>
          </w:tcPr>
          <w:p>
            <w:pPr>
              <w:adjustRightInd w:val="0"/>
              <w:snapToGrid w:val="0"/>
              <w:spacing w:line="276" w:lineRule="auto"/>
              <w:ind w:firstLine="600" w:firstLineChars="250"/>
              <w:jc w:val="center"/>
              <w:rPr>
                <w:rFonts w:ascii="宋体" w:hAnsi="宋体"/>
                <w:sz w:val="24"/>
              </w:rPr>
            </w:pPr>
            <w:r>
              <w:rPr>
                <w:rFonts w:hint="eastAsia" w:ascii="宋体" w:hAnsi="宋体"/>
                <w:sz w:val="24"/>
              </w:rPr>
              <w:t xml:space="preserve">     资历</w:t>
            </w:r>
          </w:p>
          <w:p>
            <w:pPr>
              <w:adjustRightInd w:val="0"/>
              <w:snapToGrid w:val="0"/>
              <w:spacing w:line="276" w:lineRule="auto"/>
              <w:rPr>
                <w:rFonts w:ascii="宋体" w:hAnsi="宋体"/>
                <w:sz w:val="24"/>
              </w:rPr>
            </w:pPr>
            <w:r>
              <w:rPr>
                <w:rFonts w:hint="eastAsia" w:ascii="宋体" w:hAnsi="宋体"/>
                <w:sz w:val="24"/>
              </w:rPr>
              <w:t>拟任职务</w:t>
            </w: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姓名</w:t>
            </w: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职称</w:t>
            </w: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专业</w:t>
            </w:r>
          </w:p>
        </w:tc>
        <w:tc>
          <w:tcPr>
            <w:tcW w:w="12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工作年限</w:t>
            </w:r>
          </w:p>
        </w:tc>
        <w:tc>
          <w:tcPr>
            <w:tcW w:w="24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备注</w:t>
            </w:r>
          </w:p>
        </w:tc>
      </w:tr>
      <w:tr>
        <w:tblPrEx>
          <w:tblCellMar>
            <w:top w:w="0" w:type="dxa"/>
            <w:left w:w="108" w:type="dxa"/>
            <w:bottom w:w="0" w:type="dxa"/>
            <w:right w:w="108" w:type="dxa"/>
          </w:tblCellMar>
        </w:tblPrEx>
        <w:trPr>
          <w:trHeight w:val="370" w:hRule="atLeast"/>
          <w:jc w:val="center"/>
        </w:trPr>
        <w:tc>
          <w:tcPr>
            <w:tcW w:w="26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项目负责人</w:t>
            </w: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70" w:hRule="atLeast"/>
          <w:jc w:val="center"/>
        </w:trPr>
        <w:tc>
          <w:tcPr>
            <w:tcW w:w="26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hint="eastAsia" w:ascii="宋体" w:hAnsi="宋体"/>
                <w:sz w:val="24"/>
              </w:rPr>
              <w:t>技术负责人</w:t>
            </w: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08" w:hRule="atLeast"/>
          <w:jc w:val="center"/>
        </w:trPr>
        <w:tc>
          <w:tcPr>
            <w:tcW w:w="26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ascii="宋体" w:hAnsi="宋体"/>
                <w:sz w:val="24"/>
              </w:rPr>
              <w:t>……</w:t>
            </w: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43" w:hRule="atLeast"/>
          <w:jc w:val="center"/>
        </w:trPr>
        <w:tc>
          <w:tcPr>
            <w:tcW w:w="26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r>
              <w:rPr>
                <w:rFonts w:ascii="宋体" w:hAnsi="宋体"/>
                <w:sz w:val="24"/>
              </w:rPr>
              <w:t>……</w:t>
            </w: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 w:val="24"/>
              </w:rPr>
            </w:pPr>
          </w:p>
        </w:tc>
      </w:tr>
    </w:tbl>
    <w:p>
      <w:pPr>
        <w:spacing w:line="360" w:lineRule="auto"/>
        <w:ind w:firstLine="480" w:firstLineChars="200"/>
        <w:rPr>
          <w:rFonts w:ascii="宋体" w:hAnsi="宋体"/>
          <w:sz w:val="24"/>
        </w:rPr>
      </w:pPr>
      <w:r>
        <w:rPr>
          <w:rFonts w:hint="eastAsia" w:ascii="宋体" w:hAnsi="宋体"/>
          <w:sz w:val="24"/>
        </w:rPr>
        <w:t>注：1、须附上身份证、学历证书、职称证书复印件（加盖公章）</w:t>
      </w:r>
    </w:p>
    <w:p>
      <w:pPr>
        <w:spacing w:line="360" w:lineRule="auto"/>
        <w:rPr>
          <w:rFonts w:ascii="宋体" w:hAnsi="宋体"/>
          <w:sz w:val="24"/>
        </w:rPr>
      </w:pPr>
    </w:p>
    <w:p>
      <w:pPr>
        <w:spacing w:line="360" w:lineRule="auto"/>
        <w:ind w:firstLine="6720" w:firstLineChars="2800"/>
        <w:rPr>
          <w:rFonts w:ascii="宋体" w:hAnsi="宋体"/>
          <w:sz w:val="24"/>
        </w:rPr>
      </w:pPr>
      <w:r>
        <w:rPr>
          <w:rFonts w:hint="eastAsia" w:ascii="宋体" w:hAnsi="宋体"/>
          <w:sz w:val="24"/>
        </w:rPr>
        <w:t>投标人：</w:t>
      </w:r>
      <w:r>
        <w:rPr>
          <w:rFonts w:hint="eastAsia" w:ascii="宋体" w:hAnsi="宋体"/>
          <w:sz w:val="24"/>
          <w:u w:val="single"/>
        </w:rPr>
        <w:t xml:space="preserve">           （公章）</w:t>
      </w:r>
    </w:p>
    <w:p>
      <w:pPr>
        <w:jc w:val="center"/>
        <w:rPr>
          <w:rFonts w:ascii="宋体" w:hAnsi="宋体"/>
          <w:sz w:val="24"/>
        </w:rPr>
      </w:pPr>
      <w:r>
        <w:rPr>
          <w:rFonts w:hint="eastAsia" w:ascii="宋体" w:hAnsi="宋体"/>
          <w:sz w:val="24"/>
        </w:rPr>
        <w:t xml:space="preserve">                                        日  期：</w:t>
      </w:r>
    </w:p>
    <w:p>
      <w:pPr>
        <w:pStyle w:val="7"/>
      </w:pPr>
    </w:p>
    <w:p>
      <w:pPr>
        <w:rPr>
          <w:b/>
          <w:sz w:val="28"/>
          <w:szCs w:val="28"/>
        </w:rPr>
      </w:pPr>
      <w:r>
        <w:rPr>
          <w:b/>
          <w:sz w:val="28"/>
          <w:szCs w:val="28"/>
        </w:rPr>
        <w:br w:type="page"/>
      </w:r>
    </w:p>
    <w:p>
      <w:pPr>
        <w:rPr>
          <w:b/>
          <w:sz w:val="28"/>
          <w:szCs w:val="28"/>
        </w:rPr>
      </w:pPr>
      <w:r>
        <w:rPr>
          <w:b/>
          <w:sz w:val="28"/>
          <w:szCs w:val="28"/>
        </w:rPr>
        <w:t>附</w:t>
      </w:r>
      <w:r>
        <w:rPr>
          <w:rFonts w:hint="eastAsia"/>
          <w:b/>
          <w:sz w:val="28"/>
          <w:szCs w:val="28"/>
        </w:rPr>
        <w:t>表十二</w:t>
      </w:r>
      <w:r>
        <w:rPr>
          <w:b/>
          <w:sz w:val="28"/>
          <w:szCs w:val="28"/>
        </w:rPr>
        <w:t xml:space="preserve">：          </w:t>
      </w:r>
    </w:p>
    <w:p>
      <w:pPr>
        <w:spacing w:line="440" w:lineRule="exact"/>
        <w:ind w:firstLine="3345" w:firstLineChars="1190"/>
        <w:rPr>
          <w:b/>
          <w:sz w:val="28"/>
          <w:szCs w:val="28"/>
        </w:rPr>
      </w:pPr>
      <w:r>
        <w:rPr>
          <w:rFonts w:hint="eastAsia"/>
          <w:b/>
          <w:sz w:val="28"/>
          <w:szCs w:val="28"/>
        </w:rPr>
        <w:t>工</w:t>
      </w:r>
      <w:r>
        <w:rPr>
          <w:b/>
          <w:sz w:val="28"/>
          <w:szCs w:val="28"/>
        </w:rPr>
        <w:t>期保证</w:t>
      </w:r>
      <w:r>
        <w:rPr>
          <w:rFonts w:hint="eastAsia"/>
          <w:b/>
          <w:sz w:val="28"/>
          <w:szCs w:val="28"/>
        </w:rPr>
        <w:t>承诺</w:t>
      </w:r>
    </w:p>
    <w:p>
      <w:pPr>
        <w:spacing w:line="440" w:lineRule="exact"/>
        <w:rPr>
          <w:rFonts w:ascii="宋体" w:hAnsi="宋体" w:cs="宋体"/>
          <w:sz w:val="24"/>
        </w:rPr>
      </w:pPr>
      <w:r>
        <w:rPr>
          <w:rFonts w:hint="eastAsia" w:ascii="宋体" w:hAnsi="宋体" w:cs="宋体"/>
          <w:sz w:val="24"/>
        </w:rPr>
        <w:t>承诺内容：</w:t>
      </w:r>
    </w:p>
    <w:p>
      <w:pPr>
        <w:spacing w:line="440" w:lineRule="exact"/>
        <w:rPr>
          <w:rFonts w:ascii="宋体" w:hAnsi="宋体" w:cs="宋体"/>
          <w:sz w:val="24"/>
        </w:rPr>
      </w:pPr>
      <w:r>
        <w:rPr>
          <w:rFonts w:hint="eastAsia" w:ascii="宋体" w:hAnsi="宋体" w:cs="宋体"/>
          <w:sz w:val="24"/>
        </w:rPr>
        <w:t>1、工期进度计划及保证措施：编制合理的进度计划</w:t>
      </w:r>
    </w:p>
    <w:p>
      <w:pPr>
        <w:tabs>
          <w:tab w:val="left" w:pos="5910"/>
        </w:tabs>
        <w:wordWrap w:val="0"/>
        <w:spacing w:line="440" w:lineRule="exact"/>
        <w:ind w:firstLine="480"/>
        <w:jc w:val="right"/>
        <w:rPr>
          <w:sz w:val="24"/>
        </w:rPr>
      </w:pPr>
    </w:p>
    <w:p>
      <w:pPr>
        <w:tabs>
          <w:tab w:val="left" w:pos="5910"/>
        </w:tabs>
        <w:wordWrap w:val="0"/>
        <w:spacing w:line="440" w:lineRule="exact"/>
        <w:ind w:firstLine="480"/>
        <w:jc w:val="right"/>
        <w:rPr>
          <w:sz w:val="24"/>
        </w:rPr>
      </w:pPr>
      <w:r>
        <w:rPr>
          <w:sz w:val="24"/>
        </w:rPr>
        <w:t xml:space="preserve">投标人名称（公章）： </w:t>
      </w:r>
    </w:p>
    <w:p>
      <w:pPr>
        <w:spacing w:line="440" w:lineRule="exact"/>
        <w:ind w:firstLine="480"/>
        <w:jc w:val="right"/>
        <w:rPr>
          <w:sz w:val="24"/>
        </w:rPr>
      </w:pPr>
    </w:p>
    <w:p>
      <w:pPr>
        <w:wordWrap w:val="0"/>
        <w:spacing w:line="440" w:lineRule="exact"/>
        <w:ind w:firstLine="480"/>
        <w:jc w:val="right"/>
        <w:rPr>
          <w:sz w:val="24"/>
          <w:u w:val="single"/>
        </w:rPr>
      </w:pPr>
      <w:r>
        <w:rPr>
          <w:sz w:val="24"/>
        </w:rPr>
        <w:t xml:space="preserve">投标人法人或代理人（盖章或签字）： </w:t>
      </w:r>
    </w:p>
    <w:p>
      <w:pPr>
        <w:tabs>
          <w:tab w:val="left" w:pos="3975"/>
        </w:tabs>
        <w:spacing w:line="440" w:lineRule="exact"/>
        <w:ind w:firstLine="480" w:firstLineChars="200"/>
        <w:jc w:val="right"/>
        <w:rPr>
          <w:sz w:val="24"/>
        </w:rPr>
      </w:pPr>
    </w:p>
    <w:p>
      <w:pPr>
        <w:tabs>
          <w:tab w:val="left" w:pos="3975"/>
        </w:tabs>
        <w:spacing w:line="440" w:lineRule="exact"/>
        <w:ind w:firstLine="480" w:firstLineChars="200"/>
        <w:jc w:val="right"/>
        <w:rPr>
          <w:sz w:val="24"/>
        </w:rPr>
      </w:pPr>
      <w:r>
        <w:rPr>
          <w:sz w:val="24"/>
        </w:rPr>
        <w:t>年   月    日</w:t>
      </w:r>
    </w:p>
    <w:p>
      <w:pPr>
        <w:spacing w:line="440" w:lineRule="exact"/>
        <w:rPr>
          <w:b/>
          <w:sz w:val="28"/>
          <w:szCs w:val="28"/>
        </w:rPr>
      </w:pPr>
    </w:p>
    <w:p>
      <w:pPr>
        <w:spacing w:line="440" w:lineRule="exact"/>
        <w:rPr>
          <w:b/>
          <w:sz w:val="28"/>
          <w:szCs w:val="28"/>
        </w:rPr>
      </w:pPr>
    </w:p>
    <w:p>
      <w:pPr>
        <w:spacing w:line="440" w:lineRule="exact"/>
        <w:rPr>
          <w:b/>
          <w:sz w:val="28"/>
          <w:szCs w:val="28"/>
        </w:rPr>
      </w:pPr>
    </w:p>
    <w:p>
      <w:pPr>
        <w:spacing w:line="440" w:lineRule="exact"/>
        <w:rPr>
          <w:b/>
          <w:sz w:val="28"/>
          <w:szCs w:val="28"/>
        </w:rPr>
      </w:pPr>
    </w:p>
    <w:p>
      <w:pPr>
        <w:spacing w:line="440" w:lineRule="exact"/>
        <w:rPr>
          <w:b/>
          <w:sz w:val="28"/>
          <w:szCs w:val="28"/>
        </w:rPr>
      </w:pPr>
    </w:p>
    <w:p>
      <w:pPr>
        <w:spacing w:line="440" w:lineRule="exact"/>
        <w:rPr>
          <w:b/>
          <w:sz w:val="28"/>
          <w:szCs w:val="28"/>
        </w:rPr>
      </w:pPr>
      <w:r>
        <w:rPr>
          <w:b/>
          <w:sz w:val="28"/>
          <w:szCs w:val="28"/>
        </w:rPr>
        <w:t>附</w:t>
      </w:r>
      <w:r>
        <w:rPr>
          <w:rFonts w:hint="eastAsia"/>
          <w:b/>
          <w:sz w:val="28"/>
          <w:szCs w:val="28"/>
        </w:rPr>
        <w:t>表十三</w:t>
      </w:r>
      <w:r>
        <w:rPr>
          <w:b/>
          <w:sz w:val="28"/>
          <w:szCs w:val="28"/>
        </w:rPr>
        <w:t>：</w:t>
      </w:r>
    </w:p>
    <w:p>
      <w:pPr>
        <w:spacing w:line="440" w:lineRule="exact"/>
        <w:jc w:val="center"/>
        <w:rPr>
          <w:b/>
          <w:bCs/>
          <w:sz w:val="24"/>
        </w:rPr>
      </w:pPr>
      <w:r>
        <w:rPr>
          <w:rFonts w:hint="eastAsia"/>
          <w:b/>
          <w:sz w:val="28"/>
          <w:szCs w:val="28"/>
        </w:rPr>
        <w:t>项目技术方案</w:t>
      </w:r>
    </w:p>
    <w:p>
      <w:pPr>
        <w:spacing w:line="440" w:lineRule="exact"/>
        <w:ind w:firstLine="480" w:firstLineChars="200"/>
        <w:jc w:val="center"/>
        <w:rPr>
          <w:sz w:val="24"/>
        </w:rPr>
      </w:pPr>
      <w:r>
        <w:rPr>
          <w:rFonts w:hint="eastAsia"/>
          <w:sz w:val="24"/>
        </w:rPr>
        <w:t>（包括但不限于：</w:t>
      </w:r>
      <w:r>
        <w:rPr>
          <w:rFonts w:hint="eastAsia"/>
          <w:color w:val="000000"/>
          <w:sz w:val="24"/>
        </w:rPr>
        <w:t>对项目和建设重点、难点的理解、项目管理及实施方案、</w:t>
      </w:r>
      <w:r>
        <w:rPr>
          <w:rFonts w:hint="eastAsia" w:ascii="宋体" w:hAnsi="宋体"/>
          <w:sz w:val="24"/>
        </w:rPr>
        <w:t>技术路线、</w:t>
      </w:r>
      <w:r>
        <w:rPr>
          <w:rFonts w:hint="eastAsia"/>
          <w:color w:val="000000"/>
          <w:sz w:val="24"/>
        </w:rPr>
        <w:t>现场服务方式及响应速度、</w:t>
      </w:r>
      <w:r>
        <w:rPr>
          <w:rFonts w:hint="eastAsia" w:ascii="宋体" w:hAnsi="宋体"/>
          <w:sz w:val="24"/>
        </w:rPr>
        <w:t>编制成果质量保证体系与控制措施，请</w:t>
      </w:r>
      <w:r>
        <w:rPr>
          <w:rFonts w:hint="eastAsia"/>
          <w:sz w:val="24"/>
        </w:rPr>
        <w:t>根据评标办法编制完善</w:t>
      </w:r>
      <w:r>
        <w:rPr>
          <w:sz w:val="24"/>
        </w:rPr>
        <w:t>。</w:t>
      </w:r>
      <w:r>
        <w:rPr>
          <w:rFonts w:hint="eastAsia"/>
          <w:sz w:val="24"/>
        </w:rPr>
        <w:t>）</w:t>
      </w: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rPr>
          <w:b/>
          <w:sz w:val="28"/>
          <w:szCs w:val="28"/>
        </w:rPr>
      </w:pPr>
      <w:r>
        <w:rPr>
          <w:b/>
          <w:sz w:val="28"/>
          <w:szCs w:val="28"/>
        </w:rPr>
        <w:br w:type="page"/>
      </w:r>
    </w:p>
    <w:p>
      <w:pPr>
        <w:spacing w:line="440" w:lineRule="exact"/>
        <w:rPr>
          <w:b/>
          <w:sz w:val="28"/>
          <w:szCs w:val="28"/>
        </w:rPr>
      </w:pPr>
      <w:r>
        <w:rPr>
          <w:b/>
          <w:sz w:val="28"/>
          <w:szCs w:val="28"/>
        </w:rPr>
        <w:t>附</w:t>
      </w:r>
      <w:r>
        <w:rPr>
          <w:rFonts w:hint="eastAsia"/>
          <w:b/>
          <w:sz w:val="28"/>
          <w:szCs w:val="28"/>
        </w:rPr>
        <w:t>表十四</w:t>
      </w:r>
      <w:r>
        <w:rPr>
          <w:b/>
          <w:sz w:val="28"/>
          <w:szCs w:val="28"/>
        </w:rPr>
        <w:t>：</w:t>
      </w:r>
    </w:p>
    <w:p>
      <w:pPr>
        <w:spacing w:line="440" w:lineRule="exact"/>
        <w:jc w:val="center"/>
        <w:rPr>
          <w:b/>
          <w:bCs/>
          <w:sz w:val="24"/>
        </w:rPr>
      </w:pPr>
      <w:r>
        <w:rPr>
          <w:b/>
          <w:bCs/>
          <w:sz w:val="24"/>
        </w:rPr>
        <w:t>具有履行合同所必需的设备和专业技术能力</w:t>
      </w:r>
      <w:r>
        <w:rPr>
          <w:rFonts w:hint="eastAsia"/>
          <w:b/>
          <w:bCs/>
          <w:sz w:val="24"/>
        </w:rPr>
        <w:t>（格式自拟）</w:t>
      </w:r>
    </w:p>
    <w:p>
      <w:pPr>
        <w:rPr>
          <w:rFonts w:ascii="宋体" w:hAnsi="宋体"/>
          <w:b/>
          <w:sz w:val="28"/>
          <w:szCs w:val="28"/>
        </w:rPr>
      </w:pPr>
      <w:r>
        <w:rPr>
          <w:rFonts w:hint="eastAsia" w:ascii="宋体" w:hAnsi="宋体"/>
          <w:b/>
          <w:sz w:val="28"/>
          <w:szCs w:val="28"/>
        </w:rPr>
        <w:br w:type="page"/>
      </w:r>
    </w:p>
    <w:p>
      <w:pPr>
        <w:rPr>
          <w:rFonts w:ascii="宋体" w:hAnsi="宋体"/>
          <w:b/>
          <w:sz w:val="28"/>
          <w:szCs w:val="28"/>
        </w:rPr>
      </w:pPr>
      <w:r>
        <w:rPr>
          <w:b/>
          <w:sz w:val="28"/>
          <w:szCs w:val="28"/>
        </w:rPr>
        <w:t>附</w:t>
      </w:r>
      <w:r>
        <w:rPr>
          <w:rFonts w:hint="eastAsia"/>
          <w:b/>
          <w:sz w:val="28"/>
          <w:szCs w:val="28"/>
        </w:rPr>
        <w:t>表十五</w:t>
      </w:r>
      <w:r>
        <w:rPr>
          <w:b/>
          <w:sz w:val="28"/>
          <w:szCs w:val="28"/>
        </w:rPr>
        <w:t>：</w:t>
      </w:r>
    </w:p>
    <w:p>
      <w:pPr>
        <w:spacing w:line="440" w:lineRule="exact"/>
        <w:jc w:val="center"/>
        <w:rPr>
          <w:b/>
          <w:bCs/>
          <w:sz w:val="24"/>
        </w:rPr>
      </w:pPr>
      <w:r>
        <w:rPr>
          <w:rFonts w:hint="eastAsia"/>
          <w:b/>
          <w:bCs/>
          <w:sz w:val="24"/>
        </w:rPr>
        <w:t>“信用中国”网站（www.creditchina.gov.cn）、中国政府采购网（www.ccgp.gov.cn）、国家企业信用信息公示系统（http://www.gsxt.gov.cn）信用记录查询结果截图（被列入失信被执行人、重大税收违法案件当事人名单、严重违法失信行为记录名单）</w:t>
      </w:r>
    </w:p>
    <w:p>
      <w:pPr>
        <w:rPr>
          <w:rFonts w:ascii="宋体" w:hAnsi="宋体"/>
          <w:b/>
          <w:sz w:val="28"/>
          <w:szCs w:val="28"/>
        </w:rPr>
      </w:pPr>
      <w:r>
        <w:rPr>
          <w:rFonts w:hint="eastAsia" w:ascii="宋体" w:hAnsi="宋体"/>
          <w:b/>
          <w:sz w:val="28"/>
          <w:szCs w:val="28"/>
        </w:rPr>
        <w:br w:type="page"/>
      </w:r>
    </w:p>
    <w:p>
      <w:pPr>
        <w:spacing w:line="440" w:lineRule="exact"/>
        <w:rPr>
          <w:rFonts w:ascii="宋体" w:hAnsi="宋体"/>
          <w:b/>
          <w:sz w:val="28"/>
          <w:szCs w:val="28"/>
        </w:rPr>
      </w:pPr>
      <w:r>
        <w:rPr>
          <w:rFonts w:hint="eastAsia" w:ascii="宋体" w:hAnsi="宋体"/>
          <w:b/>
          <w:sz w:val="28"/>
          <w:szCs w:val="28"/>
        </w:rPr>
        <w:t>附</w:t>
      </w:r>
      <w:r>
        <w:rPr>
          <w:rFonts w:hint="eastAsia"/>
          <w:b/>
          <w:sz w:val="28"/>
          <w:szCs w:val="28"/>
        </w:rPr>
        <w:t>表</w:t>
      </w:r>
      <w:r>
        <w:rPr>
          <w:rFonts w:hint="eastAsia" w:ascii="宋体" w:hAnsi="宋体"/>
          <w:b/>
          <w:sz w:val="28"/>
          <w:szCs w:val="28"/>
        </w:rPr>
        <w:t xml:space="preserve">十六：               </w:t>
      </w:r>
    </w:p>
    <w:p>
      <w:pPr>
        <w:widowControl/>
        <w:spacing w:before="100" w:after="100" w:line="360" w:lineRule="exact"/>
        <w:ind w:firstLine="420"/>
        <w:jc w:val="center"/>
        <w:rPr>
          <w:rFonts w:ascii="宋体" w:hAnsi="宋体" w:cs="宋体"/>
          <w:b/>
          <w:bCs/>
          <w:kern w:val="0"/>
          <w:sz w:val="24"/>
        </w:rPr>
      </w:pPr>
      <w:r>
        <w:rPr>
          <w:rFonts w:hint="eastAsia" w:ascii="宋体" w:hAnsi="宋体" w:cs="宋体"/>
          <w:b/>
          <w:bCs/>
          <w:kern w:val="0"/>
          <w:sz w:val="24"/>
        </w:rPr>
        <w:t>中小企业声明函（格式）</w:t>
      </w:r>
    </w:p>
    <w:p>
      <w:pPr>
        <w:pStyle w:val="12"/>
        <w:tabs>
          <w:tab w:val="left" w:pos="1260"/>
          <w:tab w:val="right" w:leader="dot" w:pos="8630"/>
        </w:tabs>
        <w:rPr>
          <w:sz w:val="24"/>
        </w:rPr>
      </w:pPr>
    </w:p>
    <w:p>
      <w:pPr>
        <w:widowControl/>
        <w:spacing w:line="560" w:lineRule="exact"/>
        <w:ind w:firstLine="720" w:firstLineChars="300"/>
        <w:jc w:val="left"/>
        <w:rPr>
          <w:rFonts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采购活动，服务全部由符合政策要求的中小企业承接。相关企业（含联合体中的中小企业、签订分包意向协议的中小企业）的具体情况如下：</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rPr>
        <w:t>（采购文件中明确的所属行业）</w:t>
      </w:r>
      <w:r>
        <w:rPr>
          <w:rFonts w:hint="eastAsia" w:ascii="宋体" w:hAnsi="宋体" w:cs="宋体"/>
          <w:kern w:val="0"/>
          <w:sz w:val="24"/>
        </w:rPr>
        <w:t>；承接企业为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 xml:space="preserve">； </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rPr>
        <w:t>（采购文件中明确的所属行业）</w:t>
      </w:r>
      <w:r>
        <w:rPr>
          <w:rFonts w:hint="eastAsia" w:ascii="宋体" w:hAnsi="宋体" w:cs="宋体"/>
          <w:kern w:val="0"/>
          <w:sz w:val="24"/>
        </w:rPr>
        <w:t>；承接企业为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 xml:space="preserve">； </w:t>
      </w:r>
    </w:p>
    <w:p>
      <w:pPr>
        <w:pStyle w:val="12"/>
        <w:tabs>
          <w:tab w:val="left" w:pos="1260"/>
          <w:tab w:val="right" w:leader="dot" w:pos="8630"/>
        </w:tabs>
        <w:rPr>
          <w:rFonts w:ascii="宋体" w:hAnsi="宋体" w:cs="宋体"/>
          <w:kern w:val="0"/>
          <w:sz w:val="24"/>
        </w:rPr>
      </w:pPr>
    </w:p>
    <w:p>
      <w:pPr>
        <w:rPr>
          <w:rFonts w:ascii="宋体" w:hAnsi="宋体" w:cs="宋体"/>
          <w:kern w:val="0"/>
          <w:sz w:val="24"/>
        </w:rPr>
      </w:pPr>
    </w:p>
    <w:p>
      <w:pPr>
        <w:pStyle w:val="12"/>
        <w:tabs>
          <w:tab w:val="left" w:pos="1260"/>
          <w:tab w:val="right" w:leader="dot" w:pos="8630"/>
        </w:tabs>
        <w:rPr>
          <w:sz w:val="24"/>
        </w:rPr>
      </w:pP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 xml:space="preserve"> 以上企业，不属于大企业的分支机构，不存在控股股东为大企业的情形，也不存在与大企业的负责人为同一人的情形。</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 xml:space="preserve"> 本企业对上述声明内容的真实性负责。如有虚假，将依法承担相应责任。 </w:t>
      </w:r>
    </w:p>
    <w:p>
      <w:pPr>
        <w:widowControl/>
        <w:spacing w:line="560" w:lineRule="exact"/>
        <w:ind w:firstLine="3600" w:firstLineChars="1500"/>
        <w:jc w:val="left"/>
        <w:rPr>
          <w:rFonts w:ascii="宋体" w:hAnsi="宋体" w:cs="宋体"/>
          <w:kern w:val="0"/>
          <w:sz w:val="24"/>
        </w:rPr>
      </w:pPr>
    </w:p>
    <w:p>
      <w:pPr>
        <w:widowControl/>
        <w:spacing w:line="560" w:lineRule="exact"/>
        <w:ind w:firstLine="3600" w:firstLineChars="1500"/>
        <w:jc w:val="center"/>
        <w:rPr>
          <w:rFonts w:ascii="宋体" w:hAnsi="宋体" w:cs="宋体"/>
          <w:kern w:val="0"/>
          <w:sz w:val="24"/>
        </w:rPr>
      </w:pPr>
    </w:p>
    <w:p>
      <w:pPr>
        <w:widowControl/>
        <w:spacing w:line="560" w:lineRule="exact"/>
        <w:ind w:firstLine="3600" w:firstLineChars="1500"/>
        <w:jc w:val="center"/>
        <w:rPr>
          <w:rFonts w:ascii="宋体" w:hAnsi="宋体" w:cs="宋体"/>
          <w:kern w:val="0"/>
          <w:sz w:val="24"/>
          <w:u w:val="single"/>
        </w:rPr>
      </w:pPr>
      <w:r>
        <w:rPr>
          <w:rFonts w:hint="eastAsia" w:ascii="宋体" w:hAnsi="宋体" w:cs="宋体"/>
          <w:kern w:val="0"/>
          <w:sz w:val="24"/>
        </w:rPr>
        <w:t>企业名称（盖章）：</w:t>
      </w:r>
      <w:r>
        <w:rPr>
          <w:rFonts w:hint="eastAsia" w:ascii="宋体" w:hAnsi="宋体" w:cs="宋体"/>
          <w:kern w:val="0"/>
          <w:sz w:val="24"/>
          <w:u w:val="single"/>
        </w:rPr>
        <w:t xml:space="preserve">             </w:t>
      </w:r>
    </w:p>
    <w:p>
      <w:pPr>
        <w:spacing w:line="440" w:lineRule="exact"/>
        <w:jc w:val="center"/>
        <w:rPr>
          <w:sz w:val="24"/>
        </w:rPr>
      </w:pPr>
      <w:r>
        <w:rPr>
          <w:rFonts w:hint="eastAsia" w:ascii="宋体" w:hAnsi="宋体" w:cs="宋体"/>
          <w:kern w:val="0"/>
          <w:sz w:val="24"/>
        </w:rPr>
        <w:t xml:space="preserve">                                          日期：</w:t>
      </w:r>
      <w:r>
        <w:rPr>
          <w:rFonts w:hint="eastAsia" w:ascii="宋体" w:hAnsi="宋体" w:cs="宋体"/>
          <w:kern w:val="0"/>
          <w:sz w:val="24"/>
          <w:u w:val="single"/>
        </w:rPr>
        <w:t xml:space="preserve">             </w:t>
      </w:r>
    </w:p>
    <w:p>
      <w:pPr>
        <w:spacing w:line="360" w:lineRule="auto"/>
        <w:rPr>
          <w:sz w:val="24"/>
        </w:rPr>
      </w:pPr>
    </w:p>
    <w:p>
      <w:pPr>
        <w:spacing w:line="360" w:lineRule="auto"/>
        <w:rPr>
          <w:b/>
          <w:bCs/>
          <w:sz w:val="28"/>
          <w:szCs w:val="28"/>
        </w:rPr>
      </w:pPr>
    </w:p>
    <w:p>
      <w:pPr>
        <w:spacing w:line="360" w:lineRule="auto"/>
        <w:rPr>
          <w:b/>
          <w:bCs/>
          <w:sz w:val="28"/>
          <w:szCs w:val="28"/>
        </w:rPr>
      </w:pPr>
    </w:p>
    <w:p>
      <w:pPr>
        <w:spacing w:line="360" w:lineRule="auto"/>
        <w:rPr>
          <w:b/>
          <w:bCs/>
          <w:sz w:val="28"/>
          <w:szCs w:val="28"/>
        </w:rPr>
      </w:pPr>
    </w:p>
    <w:p>
      <w:pPr>
        <w:rPr>
          <w:b/>
          <w:bCs/>
          <w:sz w:val="28"/>
          <w:szCs w:val="28"/>
        </w:rPr>
      </w:pPr>
      <w:r>
        <w:rPr>
          <w:b/>
          <w:bCs/>
          <w:sz w:val="28"/>
          <w:szCs w:val="28"/>
        </w:rPr>
        <w:t>附</w:t>
      </w:r>
      <w:r>
        <w:rPr>
          <w:rFonts w:hint="eastAsia"/>
          <w:b/>
          <w:sz w:val="28"/>
          <w:szCs w:val="28"/>
        </w:rPr>
        <w:t>表</w:t>
      </w:r>
      <w:r>
        <w:rPr>
          <w:b/>
          <w:bCs/>
          <w:sz w:val="28"/>
          <w:szCs w:val="28"/>
        </w:rPr>
        <w:t>十</w:t>
      </w:r>
      <w:r>
        <w:rPr>
          <w:rFonts w:hint="eastAsia"/>
          <w:b/>
          <w:bCs/>
          <w:sz w:val="28"/>
          <w:szCs w:val="28"/>
        </w:rPr>
        <w:t>七</w:t>
      </w:r>
      <w:r>
        <w:rPr>
          <w:b/>
          <w:bCs/>
          <w:sz w:val="28"/>
          <w:szCs w:val="28"/>
        </w:rPr>
        <w:t>：</w:t>
      </w:r>
    </w:p>
    <w:p>
      <w:pPr>
        <w:pStyle w:val="35"/>
        <w:spacing w:line="240" w:lineRule="auto"/>
        <w:ind w:firstLine="0" w:firstLineChars="0"/>
        <w:jc w:val="center"/>
        <w:rPr>
          <w:rFonts w:ascii="宋体" w:hAnsi="宋体" w:eastAsia="宋体"/>
          <w:b/>
          <w:szCs w:val="28"/>
        </w:rPr>
      </w:pPr>
      <w:r>
        <w:rPr>
          <w:rFonts w:hint="eastAsia" w:ascii="宋体" w:hAnsi="宋体" w:eastAsia="宋体"/>
          <w:b/>
          <w:szCs w:val="28"/>
        </w:rPr>
        <w:t>残疾人福利性单位声明函</w:t>
      </w:r>
    </w:p>
    <w:p>
      <w:pPr>
        <w:spacing w:line="440" w:lineRule="exact"/>
        <w:ind w:firstLine="480" w:firstLineChars="200"/>
        <w:rPr>
          <w:rFonts w:ascii="宋体" w:hAnsi="宋体"/>
          <w:sz w:val="24"/>
        </w:rPr>
      </w:pPr>
    </w:p>
    <w:p>
      <w:pPr>
        <w:widowControl/>
        <w:spacing w:line="560" w:lineRule="exact"/>
        <w:ind w:firstLine="720" w:firstLineChars="300"/>
        <w:jc w:val="left"/>
        <w:rPr>
          <w:rFonts w:ascii="宋体" w:hAnsi="宋体" w:cs="宋体"/>
          <w:kern w:val="0"/>
          <w:sz w:val="24"/>
        </w:rPr>
      </w:pPr>
      <w:r>
        <w:rPr>
          <w:rFonts w:hint="eastAsia" w:ascii="宋体" w:hAnsi="宋体" w:cs="宋体"/>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widowControl/>
        <w:spacing w:line="560" w:lineRule="exact"/>
        <w:ind w:firstLine="720" w:firstLineChars="300"/>
        <w:jc w:val="left"/>
        <w:rPr>
          <w:rFonts w:ascii="宋体" w:hAnsi="宋体" w:cs="宋体"/>
          <w:kern w:val="0"/>
          <w:sz w:val="24"/>
        </w:rPr>
      </w:pPr>
      <w:r>
        <w:rPr>
          <w:rFonts w:hint="eastAsia" w:ascii="宋体" w:hAnsi="宋体" w:cs="宋体"/>
          <w:kern w:val="0"/>
          <w:sz w:val="24"/>
        </w:rPr>
        <w:t>本单位对上述声明的真实性负责。如有虚假，将依法承担相应责任。</w:t>
      </w:r>
    </w:p>
    <w:p>
      <w:pPr>
        <w:widowControl/>
        <w:spacing w:line="560" w:lineRule="exact"/>
        <w:ind w:firstLine="720" w:firstLineChars="300"/>
        <w:jc w:val="left"/>
        <w:rPr>
          <w:rFonts w:ascii="宋体" w:hAnsi="宋体" w:cs="宋体"/>
          <w:kern w:val="0"/>
          <w:sz w:val="24"/>
        </w:rPr>
      </w:pPr>
    </w:p>
    <w:p>
      <w:pPr>
        <w:widowControl/>
        <w:spacing w:line="560" w:lineRule="exact"/>
        <w:ind w:firstLine="720" w:firstLineChars="300"/>
        <w:jc w:val="left"/>
        <w:rPr>
          <w:rFonts w:ascii="宋体" w:hAnsi="宋体" w:cs="宋体"/>
          <w:kern w:val="0"/>
          <w:sz w:val="24"/>
        </w:rPr>
      </w:pPr>
    </w:p>
    <w:p>
      <w:pPr>
        <w:widowControl/>
        <w:spacing w:line="560" w:lineRule="exact"/>
        <w:ind w:firstLine="720" w:firstLineChars="300"/>
        <w:jc w:val="left"/>
        <w:rPr>
          <w:rFonts w:ascii="宋体" w:hAnsi="宋体" w:cs="宋体"/>
          <w:kern w:val="0"/>
          <w:sz w:val="24"/>
        </w:rPr>
      </w:pPr>
      <w:r>
        <w:rPr>
          <w:rFonts w:hint="eastAsia" w:ascii="宋体" w:hAnsi="宋体" w:cs="宋体"/>
          <w:kern w:val="0"/>
          <w:sz w:val="24"/>
        </w:rPr>
        <w:t xml:space="preserve">                        残疾人福利性单位名称（盖单位章）：</w:t>
      </w:r>
      <w:r>
        <w:rPr>
          <w:rFonts w:hint="eastAsia" w:ascii="宋体" w:hAnsi="宋体" w:cs="宋体"/>
          <w:kern w:val="0"/>
          <w:sz w:val="24"/>
          <w:u w:val="single"/>
        </w:rPr>
        <w:t xml:space="preserve">               </w:t>
      </w:r>
    </w:p>
    <w:p>
      <w:pPr>
        <w:spacing w:line="440" w:lineRule="exact"/>
        <w:rPr>
          <w:sz w:val="24"/>
        </w:rPr>
      </w:pPr>
      <w:r>
        <w:rPr>
          <w:rFonts w:hint="eastAsia" w:ascii="宋体" w:hAnsi="宋体" w:cs="宋体"/>
          <w:kern w:val="0"/>
          <w:sz w:val="24"/>
        </w:rPr>
        <w:t xml:space="preserve">                              日  期：</w:t>
      </w:r>
      <w:r>
        <w:rPr>
          <w:rFonts w:hint="eastAsia" w:ascii="宋体" w:hAnsi="宋体" w:cs="宋体"/>
          <w:kern w:val="0"/>
          <w:sz w:val="24"/>
          <w:u w:val="single"/>
        </w:rPr>
        <w:t xml:space="preserve">                                         </w:t>
      </w:r>
      <w:r>
        <w:rPr>
          <w:rFonts w:hint="eastAsia" w:ascii="宋体" w:hAnsi="宋体"/>
          <w:b/>
          <w:sz w:val="24"/>
        </w:rPr>
        <w:t xml:space="preserve">   </w:t>
      </w:r>
    </w:p>
    <w:p>
      <w:pPr>
        <w:spacing w:line="360" w:lineRule="auto"/>
        <w:jc w:val="center"/>
        <w:rPr>
          <w:b/>
          <w:bCs/>
          <w:sz w:val="24"/>
        </w:rPr>
      </w:pPr>
    </w:p>
    <w:p>
      <w:pPr>
        <w:spacing w:line="360" w:lineRule="auto"/>
        <w:jc w:val="center"/>
        <w:rPr>
          <w:b/>
          <w:bCs/>
          <w:sz w:val="24"/>
        </w:rPr>
      </w:pPr>
    </w:p>
    <w:p>
      <w:pPr>
        <w:spacing w:line="440" w:lineRule="exact"/>
        <w:rPr>
          <w:rFonts w:ascii="宋体" w:hAnsi="宋体"/>
          <w:b/>
          <w:sz w:val="28"/>
          <w:szCs w:val="28"/>
        </w:rPr>
      </w:pPr>
      <w:r>
        <w:rPr>
          <w:rFonts w:hint="eastAsia" w:ascii="宋体" w:hAnsi="宋体"/>
          <w:b/>
          <w:sz w:val="28"/>
          <w:szCs w:val="28"/>
        </w:rPr>
        <w:t>附</w:t>
      </w:r>
      <w:r>
        <w:rPr>
          <w:rFonts w:hint="eastAsia"/>
          <w:b/>
          <w:sz w:val="28"/>
          <w:szCs w:val="28"/>
        </w:rPr>
        <w:t>表</w:t>
      </w:r>
      <w:r>
        <w:rPr>
          <w:rFonts w:hint="eastAsia" w:ascii="宋体" w:hAnsi="宋体"/>
          <w:b/>
          <w:sz w:val="28"/>
          <w:szCs w:val="28"/>
        </w:rPr>
        <w:t>十八：</w:t>
      </w:r>
    </w:p>
    <w:p>
      <w:pPr>
        <w:pStyle w:val="35"/>
        <w:ind w:firstLine="562"/>
        <w:jc w:val="center"/>
      </w:pPr>
      <w:r>
        <w:rPr>
          <w:rFonts w:hint="eastAsia" w:ascii="宋体" w:hAnsi="宋体" w:eastAsia="宋体"/>
          <w:b/>
          <w:szCs w:val="28"/>
        </w:rPr>
        <w:t>其他证明材料</w:t>
      </w:r>
    </w:p>
    <w:p>
      <w:pPr>
        <w:spacing w:line="360" w:lineRule="auto"/>
        <w:jc w:val="center"/>
        <w:rPr>
          <w:b/>
          <w:bCs/>
          <w:sz w:val="24"/>
        </w:rPr>
      </w:pPr>
    </w:p>
    <w:p>
      <w:pPr>
        <w:spacing w:line="360" w:lineRule="auto"/>
        <w:jc w:val="center"/>
        <w:rPr>
          <w:b/>
          <w:bCs/>
          <w:sz w:val="24"/>
        </w:rPr>
      </w:pPr>
      <w:r>
        <w:rPr>
          <w:b/>
          <w:bCs/>
          <w:sz w:val="24"/>
        </w:rPr>
        <w:t>其他资料</w:t>
      </w:r>
    </w:p>
    <w:p>
      <w:pPr>
        <w:spacing w:line="360" w:lineRule="auto"/>
        <w:ind w:firstLine="480" w:firstLineChars="200"/>
        <w:rPr>
          <w:sz w:val="24"/>
        </w:rPr>
      </w:pPr>
      <w:r>
        <w:rPr>
          <w:sz w:val="24"/>
        </w:rPr>
        <w:t>投标人认为有必要提供的其他资料。</w:t>
      </w:r>
    </w:p>
    <w:p>
      <w:pPr>
        <w:spacing w:line="360" w:lineRule="auto"/>
        <w:rPr>
          <w:b/>
          <w:sz w:val="28"/>
          <w:szCs w:val="28"/>
        </w:rPr>
      </w:pPr>
    </w:p>
    <w:p>
      <w:pPr>
        <w:rPr>
          <w:b/>
          <w:sz w:val="32"/>
          <w:szCs w:val="32"/>
        </w:rPr>
      </w:pPr>
      <w:r>
        <w:rPr>
          <w:b/>
          <w:sz w:val="32"/>
          <w:szCs w:val="32"/>
        </w:rPr>
        <w:br w:type="page"/>
      </w:r>
    </w:p>
    <w:p>
      <w:pPr>
        <w:adjustRightInd w:val="0"/>
        <w:snapToGrid w:val="0"/>
        <w:spacing w:before="100" w:beforeAutospacing="1" w:after="100" w:afterAutospacing="1" w:line="360" w:lineRule="auto"/>
        <w:jc w:val="center"/>
        <w:outlineLvl w:val="0"/>
        <w:rPr>
          <w:b/>
          <w:sz w:val="28"/>
          <w:szCs w:val="28"/>
        </w:rPr>
      </w:pPr>
      <w:bookmarkStart w:id="37" w:name="_Toc13846"/>
      <w:r>
        <w:rPr>
          <w:b/>
          <w:sz w:val="32"/>
          <w:szCs w:val="32"/>
        </w:rPr>
        <w:t>第七部分  评标办法和细则</w:t>
      </w:r>
      <w:bookmarkEnd w:id="37"/>
    </w:p>
    <w:p>
      <w:pPr>
        <w:adjustRightInd w:val="0"/>
        <w:snapToGrid w:val="0"/>
        <w:spacing w:line="440" w:lineRule="exact"/>
        <w:ind w:firstLine="480" w:firstLineChars="200"/>
        <w:rPr>
          <w:rFonts w:ascii="宋体" w:hAnsi="宋体" w:cs="宋体"/>
          <w:sz w:val="24"/>
        </w:rPr>
      </w:pPr>
      <w:r>
        <w:rPr>
          <w:rFonts w:hint="eastAsia" w:ascii="宋体" w:hAnsi="宋体" w:cs="宋体"/>
          <w:sz w:val="24"/>
        </w:rPr>
        <w:t>根据《中华人民共和国招标投标法》、《中华人民共和国政府采购法》、《政府采购招标采购方式管理暂行办法》《政府采购货物和服务招标投标管理办法》《评标委员会和评标方法暂行规定》、《政府采购评审专家管理办法》以及国家和地方颁布的有关法令、法规，并结合本项目的实际，按照公正、公平、科学、择优的原则选择中标人，特制定本办法。</w:t>
      </w:r>
    </w:p>
    <w:p>
      <w:pPr>
        <w:adjustRightInd w:val="0"/>
        <w:snapToGrid w:val="0"/>
        <w:spacing w:line="440" w:lineRule="exact"/>
        <w:ind w:firstLine="482" w:firstLineChars="200"/>
        <w:rPr>
          <w:rFonts w:ascii="宋体" w:hAnsi="宋体" w:cs="宋体"/>
          <w:b/>
          <w:sz w:val="24"/>
        </w:rPr>
      </w:pPr>
      <w:r>
        <w:rPr>
          <w:rFonts w:hint="eastAsia" w:ascii="宋体" w:hAnsi="宋体" w:cs="宋体"/>
          <w:b/>
          <w:sz w:val="24"/>
        </w:rPr>
        <w:t>一、评定总则和规定</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1.1 为最大限度地保护各当事人的权益，评审小组应严格按照招标文件的要求进行评定，编制评标报告。评审人员必须严格遵守保密规定，不得泄漏评审有关的情况，不得索贿受贿，不得参加影响评审的任何活动。</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1.2 评审时，评审小组应当对照招标文件规定的条件和标准，对各投标人投标文件的合格性、完整性和有效性进行审查、比较和评估，其中对投标人的资格条件、主要技术参数、商务报价和其他评审要素等，评定人员应逐项进行审查、比较，不得漏评少评。如发现与招标文件要求相偏离的，应对其偏离情况进行必要的核实，并在工作底稿中予以说明；如属于实质性偏离或符合无效响应条件的，应当询问投标人，并允许投标人进行陈述申辩，但不允许其对实质性偏离条款进行补充、修正或撤回。</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1.3 评定原则</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1.3.1采取综合评分法。由评审小组采用综合评分法对提交有效报价的投标人的投标文件进行综合评分。综合评分法，是指投标文件满足招标文件全部实质性要求且按评审因素的量化指标评审得分最高的投标人为中标候选投标人的评审方法。</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1.3.2评审小组应当根据综合评分情况，按照评审得分由高到低顺序推荐3 名以上中标候选投标人，并编写评标报告。评审得分相同的，按照最后报价由低到高的顺序推荐。评审得分且最后报价相同的，由评审小组确定以按照技术指标优劣顺序或抽签确定排名先后推荐。</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1.4 本评标办法仅适用于本次招标。</w:t>
      </w:r>
    </w:p>
    <w:p>
      <w:pPr>
        <w:adjustRightInd w:val="0"/>
        <w:snapToGrid w:val="0"/>
        <w:spacing w:line="440" w:lineRule="exact"/>
        <w:ind w:firstLine="482" w:firstLineChars="200"/>
        <w:rPr>
          <w:rFonts w:ascii="宋体" w:hAnsi="宋体" w:cs="宋体"/>
          <w:b/>
          <w:sz w:val="24"/>
        </w:rPr>
      </w:pPr>
      <w:r>
        <w:rPr>
          <w:rFonts w:hint="eastAsia" w:ascii="宋体" w:hAnsi="宋体" w:cs="宋体"/>
          <w:b/>
          <w:sz w:val="24"/>
        </w:rPr>
        <w:t>二、机构组成和职能</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2.1 本次招标将设监督小组、组织机构和评审小组。</w:t>
      </w:r>
    </w:p>
    <w:p>
      <w:pPr>
        <w:adjustRightInd w:val="0"/>
        <w:snapToGrid w:val="0"/>
        <w:spacing w:line="440" w:lineRule="exact"/>
        <w:ind w:firstLine="482" w:firstLineChars="200"/>
        <w:rPr>
          <w:rFonts w:ascii="宋体" w:hAnsi="宋体" w:cs="宋体"/>
          <w:b/>
          <w:sz w:val="24"/>
        </w:rPr>
      </w:pPr>
      <w:r>
        <w:rPr>
          <w:rFonts w:hint="eastAsia" w:ascii="宋体" w:hAnsi="宋体" w:cs="宋体"/>
          <w:b/>
          <w:sz w:val="24"/>
        </w:rPr>
        <w:t>2.2 监督小组机构组成和职能</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2.2.1机构成员：由库车市水资源总站相关部门负责。</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2.2.2职能：独立行使监督工作，对所有招标工作做出复审意见。</w:t>
      </w:r>
    </w:p>
    <w:p>
      <w:pPr>
        <w:adjustRightInd w:val="0"/>
        <w:snapToGrid w:val="0"/>
        <w:spacing w:line="440" w:lineRule="exact"/>
        <w:ind w:firstLine="482" w:firstLineChars="200"/>
        <w:rPr>
          <w:rFonts w:ascii="宋体" w:hAnsi="宋体" w:cs="宋体"/>
          <w:b/>
          <w:sz w:val="24"/>
        </w:rPr>
      </w:pPr>
      <w:r>
        <w:rPr>
          <w:rFonts w:hint="eastAsia" w:ascii="宋体" w:hAnsi="宋体" w:cs="宋体"/>
          <w:b/>
          <w:sz w:val="24"/>
        </w:rPr>
        <w:t>2.3 组织机构的组成和职能</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2.3.1机构成员：由本项目采购代理机构相关人员组成。</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2.3.2职能：按规定的程序和要求依法严密组织招标、评定等各项活动，且客观如实予以记录和反映，对评审小组的评分记录，评定过程中不干扰和影响评审小组正常的评定工作。</w:t>
      </w:r>
    </w:p>
    <w:p>
      <w:pPr>
        <w:adjustRightInd w:val="0"/>
        <w:snapToGrid w:val="0"/>
        <w:spacing w:line="440" w:lineRule="exact"/>
        <w:ind w:firstLine="482" w:firstLineChars="200"/>
        <w:rPr>
          <w:rFonts w:ascii="宋体" w:hAnsi="宋体" w:cs="宋体"/>
          <w:b/>
          <w:sz w:val="24"/>
        </w:rPr>
      </w:pPr>
      <w:r>
        <w:rPr>
          <w:rFonts w:hint="eastAsia" w:ascii="宋体" w:hAnsi="宋体" w:cs="宋体"/>
          <w:b/>
          <w:sz w:val="24"/>
        </w:rPr>
        <w:t>2.4 评审小组组成和职能</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2.4.1机构成员：由采购人和专家共5人组成，其中相关行业专家5人，占评审小组人数的三分之二，业主代表0人。</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2.4.2职能：根据招标文件的要求，对投标文件进行初步检查、汇总、分析和比较，并做好记录；对合格的投标人提出投标文件中需要澄清的问题。对不合格的投标人说明原因；对合格的投标文件认真、客观、公正地评审；对合格的投标人进行评定；完成所评审项目的评定报告，评审小组按评定原则推荐中标候选人。</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2.5 评审小组的专家由采购人和采购代理机构在相关专家库随机抽取。</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2.6 各评审小组成员的评分情况和评审意见由采购代理机构审查，如发现评审小组的评审意见带有明显倾向性，或不按规定程序和标准评审、计分的，必须要求评审小组进行书面澄清和说明。</w:t>
      </w:r>
    </w:p>
    <w:p>
      <w:pPr>
        <w:adjustRightInd w:val="0"/>
        <w:snapToGrid w:val="0"/>
        <w:spacing w:line="440" w:lineRule="exact"/>
        <w:ind w:firstLine="482" w:firstLineChars="200"/>
        <w:rPr>
          <w:rFonts w:ascii="宋体" w:hAnsi="宋体" w:cs="宋体"/>
          <w:b/>
          <w:sz w:val="24"/>
        </w:rPr>
      </w:pPr>
      <w:r>
        <w:rPr>
          <w:rFonts w:hint="eastAsia" w:ascii="宋体" w:hAnsi="宋体" w:cs="宋体"/>
          <w:b/>
          <w:sz w:val="24"/>
        </w:rPr>
        <w:t>2.7 评标原则</w:t>
      </w:r>
    </w:p>
    <w:p>
      <w:pPr>
        <w:adjustRightInd w:val="0"/>
        <w:snapToGrid w:val="0"/>
        <w:spacing w:line="440" w:lineRule="exact"/>
        <w:ind w:firstLine="480" w:firstLineChars="200"/>
        <w:rPr>
          <w:rFonts w:ascii="宋体" w:hAnsi="宋体" w:cs="宋体"/>
          <w:bCs/>
          <w:sz w:val="24"/>
        </w:rPr>
      </w:pPr>
      <w:r>
        <w:rPr>
          <w:rFonts w:hint="eastAsia" w:ascii="宋体" w:hAnsi="宋体" w:cs="宋体"/>
          <w:bCs/>
          <w:sz w:val="24"/>
        </w:rPr>
        <w:t>2.7.1评标遵循公平、公正、科学、择优的原则。</w:t>
      </w:r>
    </w:p>
    <w:p>
      <w:pPr>
        <w:adjustRightInd w:val="0"/>
        <w:snapToGrid w:val="0"/>
        <w:spacing w:line="440" w:lineRule="exact"/>
        <w:ind w:firstLine="480" w:firstLineChars="200"/>
        <w:rPr>
          <w:rFonts w:ascii="宋体" w:hAnsi="宋体" w:cs="宋体"/>
          <w:bCs/>
          <w:sz w:val="24"/>
        </w:rPr>
      </w:pPr>
      <w:r>
        <w:rPr>
          <w:rFonts w:hint="eastAsia" w:ascii="宋体" w:hAnsi="宋体" w:cs="宋体"/>
          <w:bCs/>
          <w:sz w:val="24"/>
        </w:rPr>
        <w:t>2.7.2对所有投标人的投标评估，都采用相同的程序和标准。</w:t>
      </w:r>
    </w:p>
    <w:p>
      <w:pPr>
        <w:adjustRightInd w:val="0"/>
        <w:snapToGrid w:val="0"/>
        <w:spacing w:line="440" w:lineRule="exact"/>
        <w:ind w:firstLine="480" w:firstLineChars="200"/>
        <w:rPr>
          <w:rFonts w:ascii="宋体" w:hAnsi="宋体" w:cs="宋体"/>
          <w:bCs/>
          <w:sz w:val="24"/>
        </w:rPr>
      </w:pPr>
      <w:r>
        <w:rPr>
          <w:rFonts w:hint="eastAsia" w:ascii="宋体" w:hAnsi="宋体" w:cs="宋体"/>
          <w:bCs/>
          <w:sz w:val="24"/>
        </w:rPr>
        <w:t>2.7.3评标将严格按照招标文件的要求和评标标准及办法进行。</w:t>
      </w:r>
    </w:p>
    <w:p>
      <w:pPr>
        <w:adjustRightInd w:val="0"/>
        <w:snapToGrid w:val="0"/>
        <w:spacing w:line="440" w:lineRule="exact"/>
        <w:ind w:firstLine="480" w:firstLineChars="200"/>
        <w:rPr>
          <w:rFonts w:ascii="宋体" w:hAnsi="宋体" w:cs="宋体"/>
          <w:bCs/>
          <w:sz w:val="24"/>
        </w:rPr>
      </w:pPr>
      <w:r>
        <w:rPr>
          <w:rFonts w:hint="eastAsia" w:ascii="宋体" w:hAnsi="宋体" w:cs="宋体"/>
          <w:bCs/>
          <w:sz w:val="24"/>
        </w:rPr>
        <w:t>2.7.4根据招标文件规定的各项评价标准通过评审打分排序推荐出1-3名中标候选人。</w:t>
      </w:r>
    </w:p>
    <w:p>
      <w:pPr>
        <w:adjustRightInd w:val="0"/>
        <w:snapToGrid w:val="0"/>
        <w:spacing w:line="440" w:lineRule="exact"/>
        <w:ind w:firstLine="480" w:firstLineChars="200"/>
        <w:rPr>
          <w:rFonts w:ascii="宋体" w:hAnsi="宋体" w:cs="宋体"/>
          <w:bCs/>
          <w:sz w:val="24"/>
        </w:rPr>
      </w:pPr>
      <w:r>
        <w:rPr>
          <w:rFonts w:hint="eastAsia" w:ascii="宋体" w:hAnsi="宋体" w:cs="宋体"/>
          <w:bCs/>
          <w:sz w:val="24"/>
        </w:rPr>
        <w:t>2.7.5评标委员会判断投标文件的响应性仅基于投标文件本身而不靠外部证据。</w:t>
      </w:r>
    </w:p>
    <w:p>
      <w:pPr>
        <w:adjustRightInd w:val="0"/>
        <w:snapToGrid w:val="0"/>
        <w:spacing w:line="440" w:lineRule="exact"/>
        <w:ind w:firstLine="480" w:firstLineChars="200"/>
        <w:rPr>
          <w:rFonts w:ascii="宋体" w:hAnsi="宋体" w:cs="宋体"/>
          <w:sz w:val="24"/>
        </w:rPr>
      </w:pPr>
      <w:r>
        <w:rPr>
          <w:rFonts w:hint="eastAsia" w:ascii="宋体" w:hAnsi="宋体" w:cs="宋体"/>
          <w:bCs/>
          <w:sz w:val="24"/>
        </w:rPr>
        <w:t>2.7.6评标委员会拒绝被确定为非实质性响应的投标，投标人不能通过修正或撤销不符之处而使其投标成为实质性响应的投标。</w:t>
      </w:r>
    </w:p>
    <w:p>
      <w:pPr>
        <w:adjustRightInd w:val="0"/>
        <w:snapToGrid w:val="0"/>
        <w:spacing w:line="440" w:lineRule="exact"/>
        <w:ind w:firstLine="480" w:firstLineChars="200"/>
        <w:rPr>
          <w:rFonts w:ascii="宋体" w:hAnsi="宋体" w:cs="宋体"/>
          <w:sz w:val="24"/>
        </w:rPr>
      </w:pPr>
      <w:r>
        <w:rPr>
          <w:rFonts w:hint="eastAsia" w:ascii="宋体" w:hAnsi="宋体" w:cs="宋体"/>
          <w:bCs/>
          <w:sz w:val="24"/>
        </w:rPr>
        <w:t>2.</w:t>
      </w:r>
      <w:r>
        <w:rPr>
          <w:rFonts w:hint="eastAsia" w:ascii="宋体" w:hAnsi="宋体" w:cs="宋体"/>
          <w:sz w:val="24"/>
        </w:rPr>
        <w:t>8 评标纪律</w:t>
      </w:r>
    </w:p>
    <w:p>
      <w:pPr>
        <w:adjustRightInd w:val="0"/>
        <w:snapToGrid w:val="0"/>
        <w:spacing w:line="440" w:lineRule="exact"/>
        <w:ind w:firstLine="480" w:firstLineChars="200"/>
        <w:rPr>
          <w:rFonts w:ascii="宋体" w:hAnsi="宋体" w:cs="宋体"/>
          <w:sz w:val="24"/>
        </w:rPr>
      </w:pPr>
      <w:r>
        <w:rPr>
          <w:rFonts w:hint="eastAsia" w:ascii="宋体" w:hAnsi="宋体" w:cs="宋体"/>
          <w:bCs/>
          <w:sz w:val="24"/>
        </w:rPr>
        <w:t>2.</w:t>
      </w:r>
      <w:r>
        <w:rPr>
          <w:rFonts w:hint="eastAsia" w:ascii="宋体" w:hAnsi="宋体" w:cs="宋体"/>
          <w:sz w:val="24"/>
        </w:rPr>
        <w:t>8.1评标委员会成员应当客观、公正地履行职责，遵守职业道德，对所提出的评审意见承担个人责任；</w:t>
      </w:r>
    </w:p>
    <w:p>
      <w:pPr>
        <w:adjustRightInd w:val="0"/>
        <w:snapToGrid w:val="0"/>
        <w:spacing w:line="440" w:lineRule="exact"/>
        <w:ind w:firstLine="480" w:firstLineChars="200"/>
        <w:rPr>
          <w:rFonts w:ascii="宋体" w:hAnsi="宋体" w:cs="宋体"/>
          <w:sz w:val="24"/>
        </w:rPr>
      </w:pPr>
      <w:r>
        <w:rPr>
          <w:rFonts w:hint="eastAsia" w:ascii="宋体" w:hAnsi="宋体" w:cs="宋体"/>
          <w:bCs/>
          <w:sz w:val="24"/>
        </w:rPr>
        <w:t>2.</w:t>
      </w:r>
      <w:r>
        <w:rPr>
          <w:rFonts w:hint="eastAsia" w:ascii="宋体" w:hAnsi="宋体" w:cs="宋体"/>
          <w:sz w:val="24"/>
        </w:rPr>
        <w:t>8.2评标委员会成员和与评标活动有关的工作人员不得向任何投标人或与评标工作无关的人员透露与评标有关的任何情况；</w:t>
      </w:r>
    </w:p>
    <w:p>
      <w:pPr>
        <w:adjustRightInd w:val="0"/>
        <w:snapToGrid w:val="0"/>
        <w:spacing w:line="440" w:lineRule="exact"/>
        <w:ind w:firstLine="480" w:firstLineChars="200"/>
        <w:rPr>
          <w:rFonts w:ascii="宋体" w:hAnsi="宋体" w:cs="宋体"/>
          <w:sz w:val="24"/>
        </w:rPr>
      </w:pPr>
      <w:r>
        <w:rPr>
          <w:rFonts w:hint="eastAsia" w:ascii="宋体" w:hAnsi="宋体" w:cs="宋体"/>
          <w:bCs/>
          <w:sz w:val="24"/>
        </w:rPr>
        <w:t>2.</w:t>
      </w:r>
      <w:r>
        <w:rPr>
          <w:rFonts w:hint="eastAsia" w:ascii="宋体" w:hAnsi="宋体" w:cs="宋体"/>
          <w:sz w:val="24"/>
        </w:rPr>
        <w:t>8.3封闭评标期间，评委不得独自与外界接触，个人的通讯工具均应交由招标监督人员集中保管。需要和外部联系应通过招标监督人员联系。</w:t>
      </w:r>
    </w:p>
    <w:p>
      <w:pPr>
        <w:adjustRightInd w:val="0"/>
        <w:snapToGrid w:val="0"/>
        <w:spacing w:line="440" w:lineRule="exact"/>
        <w:ind w:firstLine="480" w:firstLineChars="200"/>
        <w:rPr>
          <w:rFonts w:ascii="宋体" w:hAnsi="宋体" w:cs="宋体"/>
          <w:sz w:val="24"/>
        </w:rPr>
      </w:pPr>
      <w:r>
        <w:rPr>
          <w:rFonts w:hint="eastAsia" w:ascii="宋体" w:hAnsi="宋体" w:cs="宋体"/>
          <w:bCs/>
          <w:sz w:val="24"/>
        </w:rPr>
        <w:t>2.</w:t>
      </w:r>
      <w:r>
        <w:rPr>
          <w:rFonts w:hint="eastAsia" w:ascii="宋体" w:hAnsi="宋体" w:cs="宋体"/>
          <w:sz w:val="24"/>
        </w:rPr>
        <w:t>8.4评标期间，投标人应服从工作人员的指挥，不得出现干扰评标工作的正常进行或影响评标公正性的现象，否则，将视为废标。</w:t>
      </w:r>
    </w:p>
    <w:p>
      <w:pPr>
        <w:adjustRightInd w:val="0"/>
        <w:snapToGrid w:val="0"/>
        <w:spacing w:line="440" w:lineRule="exact"/>
        <w:ind w:firstLine="482" w:firstLineChars="200"/>
        <w:rPr>
          <w:b/>
          <w:sz w:val="24"/>
        </w:rPr>
      </w:pPr>
      <w:r>
        <w:rPr>
          <w:b/>
          <w:sz w:val="24"/>
        </w:rPr>
        <w:t>三、评定程序</w:t>
      </w:r>
    </w:p>
    <w:p>
      <w:pPr>
        <w:adjustRightInd w:val="0"/>
        <w:snapToGrid w:val="0"/>
        <w:spacing w:line="440" w:lineRule="exact"/>
        <w:ind w:firstLine="482" w:firstLineChars="200"/>
        <w:rPr>
          <w:b/>
          <w:bCs/>
          <w:sz w:val="24"/>
        </w:rPr>
      </w:pPr>
      <w:r>
        <w:rPr>
          <w:b/>
          <w:bCs/>
          <w:sz w:val="24"/>
        </w:rPr>
        <w:t>3.1 初步评审</w:t>
      </w:r>
      <w:r>
        <w:rPr>
          <w:rFonts w:hint="eastAsia"/>
          <w:b/>
          <w:bCs/>
          <w:sz w:val="24"/>
        </w:rPr>
        <w:t>（</w:t>
      </w:r>
      <w:r>
        <w:rPr>
          <w:rFonts w:hint="eastAsia"/>
          <w:b/>
          <w:sz w:val="24"/>
        </w:rPr>
        <w:t>资格审查、</w:t>
      </w:r>
      <w:r>
        <w:rPr>
          <w:rFonts w:hint="eastAsia"/>
          <w:b/>
          <w:bCs/>
          <w:sz w:val="24"/>
        </w:rPr>
        <w:t>符合性审查）</w:t>
      </w:r>
      <w:r>
        <w:rPr>
          <w:b/>
          <w:bCs/>
          <w:sz w:val="24"/>
        </w:rPr>
        <w:t>及报价复核</w:t>
      </w:r>
    </w:p>
    <w:p>
      <w:pPr>
        <w:adjustRightInd w:val="0"/>
        <w:snapToGrid w:val="0"/>
        <w:spacing w:line="440" w:lineRule="exact"/>
        <w:ind w:firstLine="480" w:firstLineChars="200"/>
        <w:rPr>
          <w:sz w:val="24"/>
        </w:rPr>
      </w:pPr>
      <w:r>
        <w:rPr>
          <w:bCs/>
          <w:sz w:val="24"/>
        </w:rPr>
        <w:t>3.1.1初步评审将对开标时有效的投标文件进行</w:t>
      </w:r>
      <w:r>
        <w:rPr>
          <w:rFonts w:hint="eastAsia"/>
          <w:bCs/>
          <w:sz w:val="24"/>
        </w:rPr>
        <w:t>，</w:t>
      </w:r>
      <w:r>
        <w:rPr>
          <w:bCs/>
          <w:sz w:val="24"/>
        </w:rPr>
        <w:t>根据招标文件</w:t>
      </w:r>
      <w:r>
        <w:rPr>
          <w:rFonts w:hint="eastAsia"/>
          <w:bCs/>
          <w:sz w:val="24"/>
        </w:rPr>
        <w:t>，</w:t>
      </w:r>
      <w:r>
        <w:rPr>
          <w:bCs/>
          <w:sz w:val="24"/>
        </w:rPr>
        <w:t>审查并逐项列出投标文件的全部投标重大偏差。</w:t>
      </w:r>
    </w:p>
    <w:p>
      <w:pPr>
        <w:adjustRightInd w:val="0"/>
        <w:snapToGrid w:val="0"/>
        <w:spacing w:line="440" w:lineRule="exact"/>
        <w:ind w:firstLine="480" w:firstLineChars="200"/>
        <w:rPr>
          <w:sz w:val="24"/>
        </w:rPr>
      </w:pPr>
      <w:r>
        <w:rPr>
          <w:sz w:val="24"/>
        </w:rPr>
        <w:t>3.1.2下列情况属于重大偏差：</w:t>
      </w:r>
    </w:p>
    <w:p>
      <w:pPr>
        <w:adjustRightInd w:val="0"/>
        <w:snapToGrid w:val="0"/>
        <w:spacing w:line="440" w:lineRule="exact"/>
        <w:ind w:firstLine="480" w:firstLineChars="200"/>
        <w:rPr>
          <w:sz w:val="24"/>
        </w:rPr>
      </w:pPr>
      <w:bookmarkStart w:id="38" w:name="OLE_LINK17"/>
      <w:bookmarkStart w:id="39" w:name="OLE_LINK18"/>
      <w:r>
        <w:rPr>
          <w:sz w:val="24"/>
        </w:rPr>
        <w:t>（1）没有按照招标文件要求提供投标保证金，或者提供的投标保证金有瑕疵；</w:t>
      </w:r>
      <w:r>
        <w:rPr>
          <w:rFonts w:hint="eastAsia"/>
          <w:sz w:val="24"/>
        </w:rPr>
        <w:t>（本次不做要求）</w:t>
      </w:r>
    </w:p>
    <w:p>
      <w:pPr>
        <w:adjustRightInd w:val="0"/>
        <w:snapToGrid w:val="0"/>
        <w:spacing w:line="440" w:lineRule="exact"/>
        <w:ind w:firstLine="480" w:firstLineChars="200"/>
        <w:rPr>
          <w:sz w:val="24"/>
        </w:rPr>
      </w:pPr>
      <w:r>
        <w:rPr>
          <w:sz w:val="24"/>
        </w:rPr>
        <w:t>（2）投标文件没有投标单位法定代表人或其授权代表签字加盖投标单位公章的；</w:t>
      </w:r>
    </w:p>
    <w:p>
      <w:pPr>
        <w:adjustRightInd w:val="0"/>
        <w:snapToGrid w:val="0"/>
        <w:spacing w:line="440" w:lineRule="exact"/>
        <w:ind w:firstLine="480" w:firstLineChars="200"/>
        <w:rPr>
          <w:sz w:val="24"/>
        </w:rPr>
      </w:pPr>
      <w:r>
        <w:rPr>
          <w:sz w:val="24"/>
        </w:rPr>
        <w:t>（3）无法定代表人出具的授权委托书的；</w:t>
      </w:r>
    </w:p>
    <w:p>
      <w:pPr>
        <w:adjustRightInd w:val="0"/>
        <w:snapToGrid w:val="0"/>
        <w:spacing w:line="440" w:lineRule="exact"/>
        <w:ind w:firstLine="480" w:firstLineChars="200"/>
        <w:rPr>
          <w:sz w:val="24"/>
        </w:rPr>
      </w:pPr>
      <w:r>
        <w:rPr>
          <w:sz w:val="24"/>
        </w:rPr>
        <w:t>（4）不满足第四章“</w:t>
      </w:r>
      <w:r>
        <w:rPr>
          <w:rFonts w:hint="eastAsia"/>
          <w:sz w:val="24"/>
          <w:lang w:eastAsia="zh-CN"/>
        </w:rPr>
        <w:t>用户需求书</w:t>
      </w:r>
      <w:r>
        <w:rPr>
          <w:sz w:val="24"/>
        </w:rPr>
        <w:t>”中主要参数</w:t>
      </w:r>
      <w:r>
        <w:rPr>
          <w:rFonts w:hint="eastAsia"/>
          <w:sz w:val="24"/>
          <w:lang w:eastAsia="zh-CN"/>
        </w:rPr>
        <w:t>条款</w:t>
      </w:r>
      <w:r>
        <w:rPr>
          <w:sz w:val="24"/>
        </w:rPr>
        <w:t>的；</w:t>
      </w:r>
    </w:p>
    <w:p>
      <w:pPr>
        <w:adjustRightInd w:val="0"/>
        <w:snapToGrid w:val="0"/>
        <w:spacing w:line="440" w:lineRule="exact"/>
        <w:ind w:firstLine="480" w:firstLineChars="200"/>
        <w:rPr>
          <w:sz w:val="24"/>
        </w:rPr>
      </w:pPr>
      <w:r>
        <w:rPr>
          <w:sz w:val="24"/>
        </w:rPr>
        <w:t>（5）投标人对同一招标项目作出两个以上报价未明确效力的；</w:t>
      </w:r>
    </w:p>
    <w:p>
      <w:pPr>
        <w:adjustRightInd w:val="0"/>
        <w:snapToGrid w:val="0"/>
        <w:spacing w:line="440" w:lineRule="exact"/>
        <w:ind w:firstLine="480" w:firstLineChars="200"/>
        <w:rPr>
          <w:sz w:val="24"/>
        </w:rPr>
      </w:pPr>
      <w:r>
        <w:rPr>
          <w:sz w:val="24"/>
        </w:rPr>
        <w:t>（6）未按招标文件的格式填写，内容不全或关键字迹模糊、无法辨认的；</w:t>
      </w:r>
    </w:p>
    <w:p>
      <w:pPr>
        <w:adjustRightInd w:val="0"/>
        <w:snapToGrid w:val="0"/>
        <w:spacing w:line="440" w:lineRule="exact"/>
        <w:ind w:firstLine="480" w:firstLineChars="200"/>
        <w:rPr>
          <w:sz w:val="24"/>
        </w:rPr>
      </w:pPr>
      <w:r>
        <w:rPr>
          <w:sz w:val="24"/>
        </w:rPr>
        <w:t>（7）投标有效期不满足招标文件要求的；</w:t>
      </w:r>
    </w:p>
    <w:p>
      <w:pPr>
        <w:adjustRightInd w:val="0"/>
        <w:snapToGrid w:val="0"/>
        <w:spacing w:line="440" w:lineRule="exact"/>
        <w:ind w:firstLine="480" w:firstLineChars="200"/>
        <w:rPr>
          <w:sz w:val="24"/>
        </w:rPr>
      </w:pPr>
      <w:r>
        <w:rPr>
          <w:sz w:val="24"/>
        </w:rPr>
        <w:t>（8）投标文件附有招标人不能接受的条件。</w:t>
      </w:r>
    </w:p>
    <w:p>
      <w:pPr>
        <w:adjustRightInd w:val="0"/>
        <w:snapToGrid w:val="0"/>
        <w:spacing w:line="440" w:lineRule="exact"/>
        <w:ind w:firstLine="480" w:firstLineChars="200"/>
        <w:rPr>
          <w:sz w:val="24"/>
        </w:rPr>
      </w:pPr>
      <w:r>
        <w:rPr>
          <w:sz w:val="24"/>
        </w:rPr>
        <w:t>（9）存在招标文件规定的其它废标情况。</w:t>
      </w:r>
    </w:p>
    <w:bookmarkEnd w:id="38"/>
    <w:bookmarkEnd w:id="39"/>
    <w:p>
      <w:pPr>
        <w:adjustRightInd w:val="0"/>
        <w:snapToGrid w:val="0"/>
        <w:spacing w:line="440" w:lineRule="exact"/>
        <w:ind w:firstLine="480" w:firstLineChars="200"/>
        <w:rPr>
          <w:sz w:val="24"/>
        </w:rPr>
      </w:pPr>
      <w:r>
        <w:rPr>
          <w:sz w:val="24"/>
        </w:rPr>
        <w:t>3.1.3投标文件有上述重大偏差之一的，为未能对招标文件做出实质性响应，作废标处理，不再进入以后的评标程序。</w:t>
      </w:r>
    </w:p>
    <w:p>
      <w:pPr>
        <w:adjustRightInd w:val="0"/>
        <w:snapToGrid w:val="0"/>
        <w:spacing w:line="440" w:lineRule="exact"/>
        <w:ind w:firstLine="480" w:firstLineChars="200"/>
        <w:rPr>
          <w:sz w:val="24"/>
        </w:rPr>
      </w:pPr>
      <w:r>
        <w:rPr>
          <w:sz w:val="24"/>
        </w:rPr>
        <w:t>3.1.4细微偏差是指投标文件在实质上响应招标文件要求，但在个别地方存在漏项或者提供了不完整的技术信息和数据等情况，并且补正这些遗漏或者不完整不会对其他投标人造成不公平结果。细微偏差不影响投标文件的有效性。</w:t>
      </w:r>
    </w:p>
    <w:p>
      <w:pPr>
        <w:adjustRightInd w:val="0"/>
        <w:snapToGrid w:val="0"/>
        <w:spacing w:line="440" w:lineRule="exact"/>
        <w:ind w:firstLine="480" w:firstLineChars="200"/>
        <w:rPr>
          <w:sz w:val="24"/>
        </w:rPr>
      </w:pPr>
      <w:r>
        <w:rPr>
          <w:sz w:val="24"/>
        </w:rPr>
        <w:t>3.1.5评标委员会应当书面要求存在细微偏差的投标人在评标结果前予以补正。</w:t>
      </w:r>
    </w:p>
    <w:p>
      <w:pPr>
        <w:adjustRightInd w:val="0"/>
        <w:snapToGrid w:val="0"/>
        <w:spacing w:line="440" w:lineRule="exact"/>
        <w:ind w:firstLine="480" w:firstLineChars="200"/>
        <w:rPr>
          <w:sz w:val="24"/>
        </w:rPr>
      </w:pPr>
      <w:r>
        <w:rPr>
          <w:bCs/>
          <w:sz w:val="24"/>
        </w:rPr>
        <w:t>3.1</w:t>
      </w:r>
      <w:r>
        <w:rPr>
          <w:sz w:val="24"/>
        </w:rPr>
        <w:t>.6计算错误将按以下方法更正：若按单价计算的结果与总价不一致，以单价为准修改总价；若用文字表示的数值与用数字表示的数值不一致，以文字表示的数值为准。如果投标人不接受对其错误的更正，其投标将被拒绝。</w:t>
      </w:r>
    </w:p>
    <w:p>
      <w:pPr>
        <w:adjustRightInd w:val="0"/>
        <w:snapToGrid w:val="0"/>
        <w:spacing w:line="440" w:lineRule="exact"/>
        <w:ind w:firstLine="480" w:firstLineChars="200"/>
        <w:rPr>
          <w:sz w:val="24"/>
        </w:rPr>
      </w:pPr>
      <w:r>
        <w:rPr>
          <w:bCs/>
          <w:sz w:val="24"/>
        </w:rPr>
        <w:t>3.1</w:t>
      </w:r>
      <w:r>
        <w:rPr>
          <w:sz w:val="24"/>
        </w:rPr>
        <w:t>.7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的实质性内容。拒不按照要求对投标文件进行澄清、说明或者补正的，评标委员会可以否决其投标，作废标处理。</w:t>
      </w:r>
    </w:p>
    <w:p>
      <w:pPr>
        <w:adjustRightInd w:val="0"/>
        <w:snapToGrid w:val="0"/>
        <w:spacing w:line="440" w:lineRule="exact"/>
        <w:ind w:firstLine="480" w:firstLineChars="200"/>
        <w:rPr>
          <w:sz w:val="24"/>
        </w:rPr>
      </w:pPr>
      <w:r>
        <w:rPr>
          <w:bCs/>
          <w:sz w:val="24"/>
        </w:rPr>
        <w:t>3.1.8</w:t>
      </w:r>
      <w:r>
        <w:rPr>
          <w:sz w:val="24"/>
        </w:rPr>
        <w:t>评标委员会判断投标文件的响应程度仅基于投标文件本身，而不靠外部证据。</w:t>
      </w:r>
    </w:p>
    <w:p>
      <w:pPr>
        <w:adjustRightInd w:val="0"/>
        <w:snapToGrid w:val="0"/>
        <w:spacing w:line="440" w:lineRule="exact"/>
        <w:ind w:firstLine="480" w:firstLineChars="200"/>
        <w:rPr>
          <w:sz w:val="24"/>
        </w:rPr>
      </w:pPr>
      <w:r>
        <w:rPr>
          <w:bCs/>
          <w:sz w:val="24"/>
        </w:rPr>
        <w:t>3.</w:t>
      </w:r>
      <w:r>
        <w:rPr>
          <w:sz w:val="24"/>
        </w:rPr>
        <w:t>1.9在评标过程中，评标委员会发现投标人以他人的名义投标、串通投标、以行贿手段谋取中标或者以其它弄虚作假方式投标的,该投标将作废标处理。</w:t>
      </w:r>
    </w:p>
    <w:p>
      <w:pPr>
        <w:adjustRightInd w:val="0"/>
        <w:snapToGrid w:val="0"/>
        <w:spacing w:line="440" w:lineRule="exact"/>
        <w:ind w:firstLine="480" w:firstLineChars="200"/>
        <w:rPr>
          <w:sz w:val="24"/>
        </w:rPr>
      </w:pPr>
      <w:r>
        <w:rPr>
          <w:bCs/>
          <w:sz w:val="24"/>
        </w:rPr>
        <w:t>3.</w:t>
      </w:r>
      <w:r>
        <w:rPr>
          <w:sz w:val="24"/>
        </w:rPr>
        <w:t>1.10评标委员会经评审，认为所有投标都不符合招标文件要求的或所有投标报价均过高时，可以否决所有投标。评标委员会经评审，认定投标人以低于成本报价竟标的，其投标将作废标处理。</w:t>
      </w:r>
    </w:p>
    <w:p>
      <w:pPr>
        <w:adjustRightInd w:val="0"/>
        <w:snapToGrid w:val="0"/>
        <w:spacing w:line="440" w:lineRule="exact"/>
        <w:ind w:firstLine="480" w:firstLineChars="200"/>
        <w:rPr>
          <w:bCs/>
          <w:sz w:val="24"/>
        </w:rPr>
      </w:pPr>
      <w:r>
        <w:rPr>
          <w:bCs/>
          <w:sz w:val="24"/>
        </w:rPr>
        <w:t>3.1.11经过初步评审，如果由于有效投标不足三家使得投标明显缺乏竞争的，评标委员会可以否决全部投标。</w:t>
      </w:r>
    </w:p>
    <w:p>
      <w:pPr>
        <w:adjustRightInd w:val="0"/>
        <w:snapToGrid w:val="0"/>
        <w:spacing w:line="440" w:lineRule="exact"/>
        <w:ind w:firstLine="482" w:firstLineChars="200"/>
        <w:rPr>
          <w:b/>
          <w:bCs/>
          <w:sz w:val="24"/>
        </w:rPr>
      </w:pPr>
      <w:r>
        <w:rPr>
          <w:b/>
          <w:bCs/>
          <w:sz w:val="24"/>
        </w:rPr>
        <w:t>3.2 详细评审</w:t>
      </w:r>
    </w:p>
    <w:p>
      <w:pPr>
        <w:adjustRightInd w:val="0"/>
        <w:snapToGrid w:val="0"/>
        <w:spacing w:line="440" w:lineRule="exact"/>
        <w:ind w:firstLine="480" w:firstLineChars="200"/>
        <w:rPr>
          <w:bCs/>
          <w:sz w:val="24"/>
        </w:rPr>
      </w:pPr>
      <w:r>
        <w:rPr>
          <w:bCs/>
          <w:sz w:val="24"/>
        </w:rPr>
        <w:t>经初步评审合格的投标文件，评标委员会成员将对投标文件进行进一步评审、比较。</w:t>
      </w:r>
    </w:p>
    <w:p>
      <w:pPr>
        <w:adjustRightInd w:val="0"/>
        <w:snapToGrid w:val="0"/>
        <w:spacing w:line="440" w:lineRule="exact"/>
        <w:ind w:firstLine="482" w:firstLineChars="200"/>
        <w:rPr>
          <w:b/>
          <w:sz w:val="24"/>
        </w:rPr>
      </w:pPr>
      <w:r>
        <w:rPr>
          <w:b/>
          <w:bCs/>
          <w:sz w:val="24"/>
        </w:rPr>
        <w:t>3.</w:t>
      </w:r>
      <w:r>
        <w:rPr>
          <w:b/>
          <w:sz w:val="24"/>
        </w:rPr>
        <w:t>3 评分办法</w:t>
      </w:r>
    </w:p>
    <w:p>
      <w:pPr>
        <w:adjustRightInd w:val="0"/>
        <w:snapToGrid w:val="0"/>
        <w:spacing w:line="440" w:lineRule="exact"/>
        <w:ind w:firstLine="480" w:firstLineChars="200"/>
        <w:rPr>
          <w:bCs/>
          <w:sz w:val="24"/>
        </w:rPr>
      </w:pPr>
      <w:r>
        <w:rPr>
          <w:bCs/>
          <w:sz w:val="24"/>
        </w:rPr>
        <w:t>3.3.1经济标（</w:t>
      </w:r>
      <w:r>
        <w:rPr>
          <w:rFonts w:hint="eastAsia"/>
          <w:bCs/>
          <w:sz w:val="24"/>
          <w:lang w:val="en-US" w:eastAsia="zh-CN"/>
        </w:rPr>
        <w:t>1</w:t>
      </w:r>
      <w:r>
        <w:rPr>
          <w:bCs/>
          <w:sz w:val="24"/>
        </w:rPr>
        <w:t>0分）</w:t>
      </w:r>
    </w:p>
    <w:p>
      <w:pPr>
        <w:adjustRightInd w:val="0"/>
        <w:snapToGrid w:val="0"/>
        <w:spacing w:line="440" w:lineRule="exact"/>
        <w:ind w:firstLine="480" w:firstLineChars="200"/>
        <w:rPr>
          <w:bCs/>
          <w:sz w:val="24"/>
        </w:rPr>
      </w:pPr>
      <w:r>
        <w:rPr>
          <w:bCs/>
          <w:sz w:val="24"/>
        </w:rPr>
        <w:t>3.3.2商务</w:t>
      </w:r>
      <w:r>
        <w:rPr>
          <w:rFonts w:hint="eastAsia"/>
          <w:bCs/>
          <w:sz w:val="24"/>
        </w:rPr>
        <w:t>及技术</w:t>
      </w:r>
      <w:r>
        <w:rPr>
          <w:bCs/>
          <w:sz w:val="24"/>
        </w:rPr>
        <w:t>标（</w:t>
      </w:r>
      <w:r>
        <w:rPr>
          <w:rFonts w:hint="eastAsia"/>
          <w:bCs/>
          <w:sz w:val="24"/>
          <w:lang w:val="en-US" w:eastAsia="zh-CN"/>
        </w:rPr>
        <w:t>9</w:t>
      </w:r>
      <w:r>
        <w:rPr>
          <w:bCs/>
          <w:sz w:val="24"/>
        </w:rPr>
        <w:t>0分）</w:t>
      </w:r>
    </w:p>
    <w:p>
      <w:pPr>
        <w:adjustRightInd w:val="0"/>
        <w:snapToGrid w:val="0"/>
        <w:spacing w:line="440" w:lineRule="exact"/>
        <w:ind w:firstLine="482" w:firstLineChars="200"/>
        <w:rPr>
          <w:b/>
          <w:sz w:val="24"/>
        </w:rPr>
      </w:pPr>
      <w:r>
        <w:rPr>
          <w:b/>
          <w:sz w:val="24"/>
        </w:rPr>
        <w:t>3.3.4价格调整原则</w:t>
      </w:r>
    </w:p>
    <w:p>
      <w:pPr>
        <w:adjustRightInd w:val="0"/>
        <w:snapToGrid w:val="0"/>
        <w:spacing w:line="440" w:lineRule="exact"/>
        <w:ind w:firstLine="480" w:firstLineChars="200"/>
        <w:rPr>
          <w:sz w:val="24"/>
        </w:rPr>
      </w:pPr>
      <w:r>
        <w:rPr>
          <w:sz w:val="24"/>
        </w:rPr>
        <w:t>1）投标人的报价必须包含所有服务内容。</w:t>
      </w:r>
    </w:p>
    <w:p>
      <w:pPr>
        <w:adjustRightInd w:val="0"/>
        <w:snapToGrid w:val="0"/>
        <w:spacing w:line="440" w:lineRule="exact"/>
        <w:ind w:firstLine="480" w:firstLineChars="200"/>
        <w:rPr>
          <w:sz w:val="24"/>
        </w:rPr>
      </w:pPr>
      <w:r>
        <w:rPr>
          <w:sz w:val="24"/>
        </w:rPr>
        <w:t>2）投标人报价如有漏项，则须将其他投标人报价中该项价格的最高价加计入该投标人的投标总价。</w:t>
      </w:r>
    </w:p>
    <w:p>
      <w:pPr>
        <w:adjustRightInd w:val="0"/>
        <w:snapToGrid w:val="0"/>
        <w:spacing w:line="440" w:lineRule="exact"/>
        <w:ind w:firstLine="480" w:firstLineChars="200"/>
        <w:rPr>
          <w:sz w:val="24"/>
        </w:rPr>
      </w:pPr>
      <w:r>
        <w:rPr>
          <w:sz w:val="24"/>
        </w:rPr>
        <w:t>3）调整后的价格作为投标人的评标价。根据评标价测算各投标人的经济标分值。</w:t>
      </w:r>
    </w:p>
    <w:p>
      <w:pPr>
        <w:adjustRightInd w:val="0"/>
        <w:snapToGrid w:val="0"/>
        <w:spacing w:line="440" w:lineRule="exact"/>
        <w:ind w:firstLine="482" w:firstLineChars="200"/>
        <w:rPr>
          <w:sz w:val="24"/>
        </w:rPr>
      </w:pPr>
      <w:r>
        <w:rPr>
          <w:b/>
          <w:sz w:val="24"/>
        </w:rPr>
        <w:t>3.3.</w:t>
      </w:r>
      <w:r>
        <w:rPr>
          <w:rFonts w:hint="eastAsia"/>
          <w:b/>
          <w:sz w:val="24"/>
        </w:rPr>
        <w:t>5</w:t>
      </w:r>
      <w:r>
        <w:rPr>
          <w:b/>
          <w:sz w:val="24"/>
        </w:rPr>
        <w:t>经济标不设标底，依照如下标准计算商务标得分：</w:t>
      </w:r>
    </w:p>
    <w:p>
      <w:pPr>
        <w:adjustRightInd w:val="0"/>
        <w:snapToGrid w:val="0"/>
        <w:spacing w:line="440" w:lineRule="exact"/>
        <w:ind w:firstLine="480" w:firstLineChars="200"/>
        <w:rPr>
          <w:sz w:val="24"/>
        </w:rPr>
      </w:pPr>
      <w:r>
        <w:rPr>
          <w:sz w:val="24"/>
        </w:rPr>
        <w:t>1</w:t>
      </w:r>
      <w:r>
        <w:rPr>
          <w:rFonts w:hint="eastAsia"/>
          <w:sz w:val="24"/>
        </w:rPr>
        <w:t>）</w:t>
      </w:r>
      <w:r>
        <w:rPr>
          <w:sz w:val="24"/>
        </w:rPr>
        <w:t>基准价为合理低价，即满足招标文件要求且投标价格最低的投标报价为评标基准价，其价格分为满分。其他投标投标人的价格分统一按照下列公式计算：</w:t>
      </w:r>
    </w:p>
    <w:p>
      <w:pPr>
        <w:adjustRightInd w:val="0"/>
        <w:snapToGrid w:val="0"/>
        <w:spacing w:line="440" w:lineRule="exact"/>
        <w:ind w:firstLine="480" w:firstLineChars="200"/>
        <w:rPr>
          <w:sz w:val="24"/>
        </w:rPr>
      </w:pPr>
      <w:r>
        <w:rPr>
          <w:sz w:val="24"/>
        </w:rPr>
        <w:t>投标报价得分=</w:t>
      </w:r>
      <w:r>
        <w:rPr>
          <w:rFonts w:hint="eastAsia"/>
          <w:sz w:val="24"/>
        </w:rPr>
        <w:t>（</w:t>
      </w:r>
      <w:r>
        <w:rPr>
          <w:sz w:val="24"/>
        </w:rPr>
        <w:t>评标基准价／投标报价</w:t>
      </w:r>
      <w:r>
        <w:rPr>
          <w:rFonts w:hint="eastAsia"/>
          <w:sz w:val="24"/>
        </w:rPr>
        <w:t>）</w:t>
      </w:r>
      <w:r>
        <w:rPr>
          <w:sz w:val="24"/>
        </w:rPr>
        <w:t xml:space="preserve">×价格分值×100% </w:t>
      </w:r>
    </w:p>
    <w:p>
      <w:pPr>
        <w:adjustRightInd w:val="0"/>
        <w:snapToGrid w:val="0"/>
        <w:spacing w:line="440" w:lineRule="exact"/>
        <w:ind w:firstLine="480" w:firstLineChars="200"/>
        <w:rPr>
          <w:sz w:val="24"/>
        </w:rPr>
      </w:pPr>
      <w:r>
        <w:rPr>
          <w:sz w:val="24"/>
        </w:rPr>
        <w:t>结果保留两位小数。</w:t>
      </w:r>
    </w:p>
    <w:p>
      <w:pPr>
        <w:adjustRightInd w:val="0"/>
        <w:snapToGrid w:val="0"/>
        <w:spacing w:line="440" w:lineRule="exact"/>
        <w:ind w:firstLine="480" w:firstLineChars="200"/>
        <w:rPr>
          <w:sz w:val="24"/>
        </w:rPr>
      </w:pPr>
      <w:r>
        <w:rPr>
          <w:sz w:val="24"/>
        </w:rPr>
        <w:t>2</w:t>
      </w:r>
      <w:r>
        <w:rPr>
          <w:rFonts w:hint="eastAsia"/>
          <w:sz w:val="24"/>
        </w:rPr>
        <w:t>）</w:t>
      </w:r>
      <w:r>
        <w:rPr>
          <w:sz w:val="24"/>
        </w:rPr>
        <w:t>如果得分为负分时</w:t>
      </w:r>
      <w:r>
        <w:rPr>
          <w:rFonts w:hint="eastAsia"/>
          <w:sz w:val="24"/>
        </w:rPr>
        <w:t>，</w:t>
      </w:r>
      <w:r>
        <w:rPr>
          <w:sz w:val="24"/>
        </w:rPr>
        <w:t>按零分计。</w:t>
      </w:r>
    </w:p>
    <w:p>
      <w:pPr>
        <w:spacing w:line="360" w:lineRule="auto"/>
        <w:rPr>
          <w:b/>
          <w:sz w:val="24"/>
        </w:rPr>
      </w:pPr>
      <w:r>
        <w:rPr>
          <w:b/>
          <w:sz w:val="24"/>
        </w:rPr>
        <w:t>附表1：</w:t>
      </w:r>
      <w:r>
        <w:rPr>
          <w:rFonts w:hint="eastAsia"/>
          <w:b/>
          <w:sz w:val="24"/>
        </w:rPr>
        <w:t>资格审查表</w:t>
      </w:r>
    </w:p>
    <w:tbl>
      <w:tblPr>
        <w:tblStyle w:val="23"/>
        <w:tblW w:w="97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84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jc w:val="center"/>
        </w:trPr>
        <w:tc>
          <w:tcPr>
            <w:tcW w:w="1266" w:type="dxa"/>
            <w:vAlign w:val="center"/>
          </w:tcPr>
          <w:p>
            <w:pPr>
              <w:snapToGrid w:val="0"/>
              <w:jc w:val="center"/>
              <w:rPr>
                <w:rFonts w:ascii="宋体" w:hAnsi="宋体" w:cs="宋体"/>
                <w:b/>
                <w:sz w:val="24"/>
              </w:rPr>
            </w:pPr>
            <w:r>
              <w:rPr>
                <w:rFonts w:hint="eastAsia" w:ascii="宋体" w:hAnsi="宋体" w:cs="宋体"/>
                <w:b/>
                <w:sz w:val="24"/>
              </w:rPr>
              <w:t>序号</w:t>
            </w:r>
          </w:p>
        </w:tc>
        <w:tc>
          <w:tcPr>
            <w:tcW w:w="8499" w:type="dxa"/>
            <w:vAlign w:val="center"/>
          </w:tcPr>
          <w:p>
            <w:pPr>
              <w:snapToGrid w:val="0"/>
              <w:jc w:val="center"/>
              <w:rPr>
                <w:rFonts w:ascii="宋体" w:hAnsi="宋体" w:cs="宋体"/>
                <w:b/>
                <w:sz w:val="24"/>
              </w:rPr>
            </w:pPr>
            <w:r>
              <w:rPr>
                <w:rFonts w:hint="eastAsia" w:ascii="宋体" w:hAnsi="宋体" w:cs="宋体"/>
                <w:b/>
                <w:bCs/>
                <w:sz w:val="24"/>
              </w:rPr>
              <w:t>检查项目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jc w:val="center"/>
        </w:trPr>
        <w:tc>
          <w:tcPr>
            <w:tcW w:w="1266" w:type="dxa"/>
            <w:vAlign w:val="center"/>
          </w:tcPr>
          <w:p>
            <w:pPr>
              <w:snapToGrid w:val="0"/>
              <w:jc w:val="center"/>
              <w:rPr>
                <w:rFonts w:ascii="宋体" w:hAnsi="宋体" w:cs="宋体"/>
                <w:bCs/>
                <w:sz w:val="24"/>
              </w:rPr>
            </w:pPr>
            <w:r>
              <w:rPr>
                <w:rFonts w:hint="eastAsia" w:ascii="宋体" w:hAnsi="宋体" w:cs="宋体"/>
                <w:bCs/>
                <w:sz w:val="24"/>
              </w:rPr>
              <w:t>1</w:t>
            </w:r>
          </w:p>
        </w:tc>
        <w:tc>
          <w:tcPr>
            <w:tcW w:w="8499" w:type="dxa"/>
            <w:vAlign w:val="center"/>
          </w:tcPr>
          <w:p>
            <w:pPr>
              <w:snapToGrid w:val="0"/>
              <w:jc w:val="left"/>
              <w:rPr>
                <w:rFonts w:ascii="宋体" w:hAnsi="宋体" w:cs="宋体"/>
                <w:b/>
                <w:bCs/>
                <w:sz w:val="24"/>
              </w:rPr>
            </w:pPr>
            <w:r>
              <w:rPr>
                <w:rFonts w:hint="eastAsia" w:ascii="宋体" w:hAnsi="宋体" w:cs="宋体"/>
                <w:sz w:val="24"/>
              </w:rPr>
              <w:t>法人代表或其委托代理人应提交本人身份证，委托代理人还应提交《法人代表授权委托书》；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266" w:type="dxa"/>
            <w:vAlign w:val="center"/>
          </w:tcPr>
          <w:p>
            <w:pPr>
              <w:jc w:val="center"/>
              <w:rPr>
                <w:rFonts w:ascii="宋体" w:hAnsi="宋体" w:cs="宋体"/>
                <w:bCs/>
                <w:sz w:val="24"/>
              </w:rPr>
            </w:pPr>
            <w:r>
              <w:rPr>
                <w:rFonts w:hint="eastAsia" w:ascii="宋体" w:hAnsi="宋体" w:cs="宋体"/>
                <w:bCs/>
                <w:sz w:val="24"/>
              </w:rPr>
              <w:t>2</w:t>
            </w:r>
          </w:p>
        </w:tc>
        <w:tc>
          <w:tcPr>
            <w:tcW w:w="8499" w:type="dxa"/>
            <w:vAlign w:val="center"/>
          </w:tcPr>
          <w:p>
            <w:pPr>
              <w:rPr>
                <w:rFonts w:ascii="宋体" w:hAnsi="宋体" w:cs="宋体"/>
                <w:sz w:val="24"/>
              </w:rPr>
            </w:pPr>
            <w:r>
              <w:rPr>
                <w:rFonts w:hint="eastAsia" w:ascii="宋体" w:hAnsi="宋体" w:cs="宋体"/>
                <w:sz w:val="24"/>
              </w:rPr>
              <w:t>具有独立承担民事责任的能力，有效经年检的三证合一的营业执照；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266" w:type="dxa"/>
            <w:vAlign w:val="center"/>
          </w:tcPr>
          <w:p>
            <w:pPr>
              <w:jc w:val="center"/>
              <w:rPr>
                <w:rFonts w:ascii="宋体" w:hAnsi="宋体" w:cs="宋体"/>
                <w:bCs/>
                <w:sz w:val="24"/>
              </w:rPr>
            </w:pPr>
            <w:r>
              <w:rPr>
                <w:rFonts w:hint="eastAsia" w:ascii="宋体" w:hAnsi="宋体" w:cs="宋体"/>
                <w:bCs/>
                <w:sz w:val="24"/>
              </w:rPr>
              <w:t>3</w:t>
            </w:r>
          </w:p>
        </w:tc>
        <w:tc>
          <w:tcPr>
            <w:tcW w:w="8499" w:type="dxa"/>
            <w:vAlign w:val="center"/>
          </w:tcPr>
          <w:p>
            <w:pPr>
              <w:rPr>
                <w:rFonts w:ascii="宋体" w:hAnsi="宋体" w:cs="宋体"/>
                <w:sz w:val="24"/>
              </w:rPr>
            </w:pPr>
            <w:r>
              <w:rPr>
                <w:rFonts w:hint="eastAsia" w:ascii="宋体" w:hAnsi="宋体" w:cs="宋体"/>
                <w:sz w:val="24"/>
              </w:rPr>
              <w:t>具有履行合同所必需的服务和专业技术能力；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266" w:type="dxa"/>
            <w:vAlign w:val="center"/>
          </w:tcPr>
          <w:p>
            <w:pPr>
              <w:jc w:val="center"/>
              <w:rPr>
                <w:rFonts w:ascii="宋体" w:hAnsi="宋体" w:cs="宋体"/>
                <w:bCs/>
                <w:sz w:val="24"/>
              </w:rPr>
            </w:pPr>
            <w:r>
              <w:rPr>
                <w:rFonts w:hint="eastAsia" w:ascii="宋体" w:hAnsi="宋体" w:cs="宋体"/>
                <w:bCs/>
                <w:sz w:val="24"/>
              </w:rPr>
              <w:t>4</w:t>
            </w:r>
          </w:p>
        </w:tc>
        <w:tc>
          <w:tcPr>
            <w:tcW w:w="8499" w:type="dxa"/>
            <w:vAlign w:val="center"/>
          </w:tcPr>
          <w:p>
            <w:pPr>
              <w:rPr>
                <w:rFonts w:ascii="宋体" w:hAnsi="宋体" w:cs="宋体"/>
                <w:sz w:val="24"/>
              </w:rPr>
            </w:pPr>
            <w:r>
              <w:rPr>
                <w:rFonts w:hint="eastAsia" w:ascii="宋体" w:hAnsi="宋体" w:cs="宋体"/>
                <w:sz w:val="24"/>
              </w:rPr>
              <w:t>近一年（2021年）的财务审计报告（成立不足一年的提供成立至今的财务报表，包含资产负债表、现金流量表、利润表）；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266" w:type="dxa"/>
            <w:vAlign w:val="center"/>
          </w:tcPr>
          <w:p>
            <w:pPr>
              <w:jc w:val="center"/>
              <w:rPr>
                <w:rFonts w:ascii="宋体" w:hAnsi="宋体" w:cs="宋体"/>
                <w:bCs/>
                <w:sz w:val="24"/>
              </w:rPr>
            </w:pPr>
            <w:r>
              <w:rPr>
                <w:rFonts w:hint="eastAsia" w:ascii="宋体" w:hAnsi="宋体" w:cs="宋体"/>
                <w:bCs/>
                <w:sz w:val="24"/>
              </w:rPr>
              <w:t>5</w:t>
            </w:r>
          </w:p>
        </w:tc>
        <w:tc>
          <w:tcPr>
            <w:tcW w:w="8499" w:type="dxa"/>
            <w:vAlign w:val="center"/>
          </w:tcPr>
          <w:p>
            <w:pPr>
              <w:rPr>
                <w:rFonts w:ascii="宋体" w:hAnsi="宋体" w:cs="宋体"/>
                <w:sz w:val="24"/>
              </w:rPr>
            </w:pPr>
            <w:r>
              <w:rPr>
                <w:rFonts w:hint="eastAsia" w:ascii="宋体" w:hAnsi="宋体" w:cs="宋体"/>
                <w:sz w:val="24"/>
              </w:rPr>
              <w:t>有依法缴纳税收和社会保障资金的良好纪录，提供2022年内任意连续三个月完税、缴纳社保证明原件或复印件加盖公章（公司成立不到三个月的从成立之日起）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1266" w:type="dxa"/>
            <w:vAlign w:val="center"/>
          </w:tcPr>
          <w:p>
            <w:pPr>
              <w:jc w:val="center"/>
              <w:rPr>
                <w:rFonts w:ascii="宋体" w:hAnsi="宋体" w:cs="宋体"/>
                <w:bCs/>
                <w:sz w:val="24"/>
              </w:rPr>
            </w:pPr>
            <w:r>
              <w:rPr>
                <w:rFonts w:hint="eastAsia" w:ascii="宋体" w:hAnsi="宋体" w:cs="宋体"/>
                <w:bCs/>
                <w:sz w:val="24"/>
              </w:rPr>
              <w:t>6</w:t>
            </w:r>
          </w:p>
        </w:tc>
        <w:tc>
          <w:tcPr>
            <w:tcW w:w="8499" w:type="dxa"/>
            <w:vAlign w:val="center"/>
          </w:tcPr>
          <w:p>
            <w:pPr>
              <w:rPr>
                <w:rFonts w:ascii="宋体" w:hAnsi="宋体" w:cs="宋体"/>
                <w:sz w:val="24"/>
              </w:rPr>
            </w:pPr>
            <w:r>
              <w:rPr>
                <w:rFonts w:hint="eastAsia" w:ascii="宋体" w:hAnsi="宋体" w:cs="宋体"/>
                <w:sz w:val="24"/>
              </w:rPr>
              <w:t>供应商未被“信用中国”（www.creditchina.gov.cn）、中国政府采购网（www.ccgp.gov.cn）、国家企业信用信息公示系统（http://www.gsxt.gov.cn）列入失信被执行人、重大税收违法案件当事人名单、政府采购严重违法失信行为记录名单（尚在处罚期内的），将拒绝其参加本次政府采购活动﹙投标人网上自行打印后加盖投标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1266" w:type="dxa"/>
            <w:vAlign w:val="center"/>
          </w:tcPr>
          <w:p>
            <w:pPr>
              <w:jc w:val="center"/>
              <w:rPr>
                <w:rFonts w:ascii="宋体" w:hAnsi="宋体" w:cs="宋体"/>
                <w:bCs/>
                <w:sz w:val="24"/>
              </w:rPr>
            </w:pPr>
            <w:r>
              <w:rPr>
                <w:rFonts w:hint="eastAsia" w:ascii="宋体" w:hAnsi="宋体" w:cs="宋体"/>
                <w:bCs/>
                <w:sz w:val="24"/>
              </w:rPr>
              <w:t>7</w:t>
            </w:r>
          </w:p>
        </w:tc>
        <w:tc>
          <w:tcPr>
            <w:tcW w:w="8499" w:type="dxa"/>
            <w:vAlign w:val="center"/>
          </w:tcPr>
          <w:p>
            <w:pPr>
              <w:rPr>
                <w:rFonts w:ascii="宋体" w:hAnsi="宋体" w:cs="宋体"/>
                <w:sz w:val="24"/>
              </w:rPr>
            </w:pPr>
            <w:r>
              <w:rPr>
                <w:rFonts w:hint="eastAsia" w:ascii="宋体" w:hAnsi="宋体" w:cs="宋体"/>
                <w:sz w:val="24"/>
              </w:rPr>
              <w:t>单位负责人为同一人或者存在直接控股、管理关系的不同供应商，不得参加同一合同项下的政府采购活动。</w:t>
            </w:r>
          </w:p>
        </w:tc>
      </w:tr>
    </w:tbl>
    <w:p>
      <w:pPr>
        <w:spacing w:line="360" w:lineRule="auto"/>
        <w:rPr>
          <w:b/>
          <w:bCs/>
          <w:sz w:val="24"/>
        </w:rPr>
      </w:pPr>
      <w:r>
        <w:rPr>
          <w:b/>
          <w:sz w:val="24"/>
        </w:rPr>
        <w:t>附表</w:t>
      </w:r>
      <w:r>
        <w:rPr>
          <w:rFonts w:hint="eastAsia"/>
          <w:b/>
          <w:sz w:val="24"/>
        </w:rPr>
        <w:t>2</w:t>
      </w:r>
      <w:r>
        <w:rPr>
          <w:b/>
          <w:sz w:val="24"/>
        </w:rPr>
        <w:t>：</w:t>
      </w:r>
      <w:r>
        <w:rPr>
          <w:rFonts w:hint="eastAsia"/>
          <w:b/>
          <w:bCs/>
          <w:sz w:val="24"/>
        </w:rPr>
        <w:t>符合性审查表</w:t>
      </w:r>
    </w:p>
    <w:tbl>
      <w:tblPr>
        <w:tblStyle w:val="23"/>
        <w:tblW w:w="97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84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jc w:val="center"/>
        </w:trPr>
        <w:tc>
          <w:tcPr>
            <w:tcW w:w="1266" w:type="dxa"/>
            <w:vAlign w:val="center"/>
          </w:tcPr>
          <w:p>
            <w:pPr>
              <w:snapToGrid w:val="0"/>
              <w:jc w:val="center"/>
              <w:rPr>
                <w:b/>
                <w:sz w:val="24"/>
              </w:rPr>
            </w:pPr>
            <w:r>
              <w:rPr>
                <w:b/>
                <w:sz w:val="24"/>
              </w:rPr>
              <w:t>序号</w:t>
            </w:r>
          </w:p>
        </w:tc>
        <w:tc>
          <w:tcPr>
            <w:tcW w:w="8499" w:type="dxa"/>
            <w:vAlign w:val="center"/>
          </w:tcPr>
          <w:p>
            <w:pPr>
              <w:snapToGrid w:val="0"/>
              <w:jc w:val="center"/>
              <w:rPr>
                <w:b/>
                <w:sz w:val="24"/>
              </w:rPr>
            </w:pPr>
            <w:r>
              <w:rPr>
                <w:b/>
                <w:bCs/>
                <w:sz w:val="24"/>
              </w:rPr>
              <w:t>检查项目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266" w:type="dxa"/>
            <w:vAlign w:val="center"/>
          </w:tcPr>
          <w:p>
            <w:pPr>
              <w:ind w:firstLine="232" w:firstLineChars="97"/>
              <w:rPr>
                <w:sz w:val="24"/>
              </w:rPr>
            </w:pPr>
            <w:r>
              <w:rPr>
                <w:sz w:val="24"/>
              </w:rPr>
              <w:t>1</w:t>
            </w:r>
          </w:p>
        </w:tc>
        <w:tc>
          <w:tcPr>
            <w:tcW w:w="8499" w:type="dxa"/>
            <w:vAlign w:val="center"/>
          </w:tcPr>
          <w:p>
            <w:pPr>
              <w:rPr>
                <w:sz w:val="24"/>
              </w:rPr>
            </w:pPr>
            <w:r>
              <w:rPr>
                <w:rFonts w:hint="eastAsia"/>
                <w:sz w:val="24"/>
              </w:rPr>
              <w:t>是否只有一个有效报价且不超过预算金额。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266" w:type="dxa"/>
            <w:vAlign w:val="center"/>
          </w:tcPr>
          <w:p>
            <w:pPr>
              <w:ind w:firstLine="232" w:firstLineChars="97"/>
              <w:rPr>
                <w:sz w:val="24"/>
              </w:rPr>
            </w:pPr>
            <w:r>
              <w:rPr>
                <w:rFonts w:hint="eastAsia"/>
                <w:sz w:val="24"/>
              </w:rPr>
              <w:t>2</w:t>
            </w:r>
          </w:p>
        </w:tc>
        <w:tc>
          <w:tcPr>
            <w:tcW w:w="8499" w:type="dxa"/>
            <w:vAlign w:val="center"/>
          </w:tcPr>
          <w:p>
            <w:pPr>
              <w:rPr>
                <w:sz w:val="24"/>
              </w:rPr>
            </w:pPr>
            <w:r>
              <w:rPr>
                <w:rFonts w:hint="eastAsia" w:ascii="宋体" w:hAnsi="宋体" w:cs="宋体"/>
                <w:sz w:val="24"/>
              </w:rPr>
              <w:t>签字盖章是否符合招标文件要求。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266" w:type="dxa"/>
            <w:vAlign w:val="center"/>
          </w:tcPr>
          <w:p>
            <w:pPr>
              <w:ind w:firstLine="232" w:firstLineChars="97"/>
              <w:rPr>
                <w:sz w:val="24"/>
              </w:rPr>
            </w:pPr>
            <w:r>
              <w:rPr>
                <w:rFonts w:hint="eastAsia"/>
                <w:sz w:val="24"/>
              </w:rPr>
              <w:t>3</w:t>
            </w:r>
          </w:p>
        </w:tc>
        <w:tc>
          <w:tcPr>
            <w:tcW w:w="8499" w:type="dxa"/>
            <w:vAlign w:val="center"/>
          </w:tcPr>
          <w:p>
            <w:pPr>
              <w:rPr>
                <w:sz w:val="24"/>
              </w:rPr>
            </w:pPr>
            <w:r>
              <w:rPr>
                <w:sz w:val="24"/>
              </w:rPr>
              <w:t>是否满足招标文件载明的项目完成期限。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1266" w:type="dxa"/>
            <w:vAlign w:val="center"/>
          </w:tcPr>
          <w:p>
            <w:pPr>
              <w:ind w:firstLine="232" w:firstLineChars="97"/>
              <w:rPr>
                <w:sz w:val="24"/>
              </w:rPr>
            </w:pPr>
            <w:r>
              <w:rPr>
                <w:rFonts w:hint="eastAsia"/>
                <w:sz w:val="24"/>
              </w:rPr>
              <w:t>4</w:t>
            </w:r>
          </w:p>
        </w:tc>
        <w:tc>
          <w:tcPr>
            <w:tcW w:w="8499" w:type="dxa"/>
            <w:vAlign w:val="center"/>
          </w:tcPr>
          <w:p>
            <w:pPr>
              <w:rPr>
                <w:sz w:val="24"/>
              </w:rPr>
            </w:pPr>
            <w:r>
              <w:rPr>
                <w:rFonts w:hint="eastAsia"/>
                <w:sz w:val="24"/>
              </w:rPr>
              <w:t>有商务偏离表并且对本次招标的商务条件全部响应。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1266" w:type="dxa"/>
            <w:vAlign w:val="center"/>
          </w:tcPr>
          <w:p>
            <w:pPr>
              <w:ind w:firstLine="232" w:firstLineChars="97"/>
              <w:rPr>
                <w:sz w:val="24"/>
              </w:rPr>
            </w:pPr>
            <w:r>
              <w:rPr>
                <w:rFonts w:hint="eastAsia"/>
                <w:sz w:val="24"/>
              </w:rPr>
              <w:t>5</w:t>
            </w:r>
          </w:p>
        </w:tc>
        <w:tc>
          <w:tcPr>
            <w:tcW w:w="8499" w:type="dxa"/>
            <w:vAlign w:val="center"/>
          </w:tcPr>
          <w:p>
            <w:pPr>
              <w:rPr>
                <w:sz w:val="24"/>
              </w:rPr>
            </w:pPr>
            <w:r>
              <w:rPr>
                <w:rFonts w:hint="eastAsia"/>
                <w:sz w:val="24"/>
              </w:rPr>
              <w:t>有技术偏离表并且对本次招标的所有技术标准全部响应。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1266" w:type="dxa"/>
            <w:vAlign w:val="center"/>
          </w:tcPr>
          <w:p>
            <w:pPr>
              <w:ind w:firstLine="232" w:firstLineChars="97"/>
              <w:rPr>
                <w:sz w:val="24"/>
              </w:rPr>
            </w:pPr>
            <w:r>
              <w:rPr>
                <w:rFonts w:hint="eastAsia"/>
                <w:sz w:val="24"/>
              </w:rPr>
              <w:t>5</w:t>
            </w:r>
          </w:p>
        </w:tc>
        <w:tc>
          <w:tcPr>
            <w:tcW w:w="8499" w:type="dxa"/>
            <w:vAlign w:val="center"/>
          </w:tcPr>
          <w:p>
            <w:pPr>
              <w:rPr>
                <w:sz w:val="24"/>
              </w:rPr>
            </w:pPr>
            <w:r>
              <w:rPr>
                <w:rFonts w:hint="eastAsia"/>
                <w:sz w:val="24"/>
              </w:rPr>
              <w:t>投标有效期符合招标文件要求。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1266" w:type="dxa"/>
            <w:vAlign w:val="center"/>
          </w:tcPr>
          <w:p>
            <w:pPr>
              <w:ind w:firstLine="232" w:firstLineChars="97"/>
              <w:rPr>
                <w:sz w:val="24"/>
              </w:rPr>
            </w:pPr>
            <w:r>
              <w:rPr>
                <w:rFonts w:hint="eastAsia"/>
                <w:sz w:val="24"/>
              </w:rPr>
              <w:t>7</w:t>
            </w:r>
          </w:p>
        </w:tc>
        <w:tc>
          <w:tcPr>
            <w:tcW w:w="8499" w:type="dxa"/>
            <w:vAlign w:val="center"/>
          </w:tcPr>
          <w:p>
            <w:pPr>
              <w:rPr>
                <w:sz w:val="24"/>
              </w:rPr>
            </w:pPr>
            <w:r>
              <w:rPr>
                <w:rFonts w:hint="eastAsia" w:ascii="宋体" w:hAnsi="宋体" w:cs="宋体"/>
                <w:sz w:val="24"/>
              </w:rPr>
              <w:t>投标文件附有采购人不能接受条件的；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1266" w:type="dxa"/>
            <w:vAlign w:val="center"/>
          </w:tcPr>
          <w:p>
            <w:pPr>
              <w:ind w:firstLine="232" w:firstLineChars="97"/>
              <w:rPr>
                <w:sz w:val="24"/>
              </w:rPr>
            </w:pPr>
            <w:r>
              <w:rPr>
                <w:rFonts w:hint="eastAsia"/>
                <w:sz w:val="24"/>
              </w:rPr>
              <w:t>8</w:t>
            </w:r>
          </w:p>
        </w:tc>
        <w:tc>
          <w:tcPr>
            <w:tcW w:w="8499" w:type="dxa"/>
            <w:vAlign w:val="center"/>
          </w:tcPr>
          <w:p>
            <w:pPr>
              <w:rPr>
                <w:rFonts w:ascii="宋体" w:hAnsi="宋体" w:cs="宋体"/>
                <w:sz w:val="24"/>
              </w:rPr>
            </w:pPr>
            <w:r>
              <w:rPr>
                <w:rFonts w:hint="eastAsia" w:ascii="宋体" w:hAnsi="宋体" w:cs="宋体"/>
                <w:sz w:val="24"/>
              </w:rPr>
              <w:t>不满足招标文件实质性要求的其他情形；</w:t>
            </w:r>
          </w:p>
        </w:tc>
      </w:tr>
    </w:tbl>
    <w:p>
      <w:pPr>
        <w:spacing w:line="360" w:lineRule="auto"/>
        <w:ind w:firstLine="482" w:firstLineChars="200"/>
        <w:rPr>
          <w:b/>
          <w:sz w:val="24"/>
        </w:rPr>
      </w:pPr>
      <w:r>
        <w:rPr>
          <w:b/>
          <w:bCs/>
          <w:sz w:val="24"/>
        </w:rPr>
        <w:t>特别说明：</w:t>
      </w:r>
      <w:r>
        <w:rPr>
          <w:sz w:val="24"/>
        </w:rPr>
        <w:t>如投标人的投标文件中没有按此表的内容提供相关证明文件（如无特别要求，均提供复印件）或不符合上述审查内容的任意一条，其投标文件将视为无效投标文件。</w:t>
      </w:r>
    </w:p>
    <w:p>
      <w:pPr>
        <w:pStyle w:val="7"/>
      </w:pPr>
    </w:p>
    <w:p>
      <w:pPr>
        <w:spacing w:line="360" w:lineRule="auto"/>
        <w:rPr>
          <w:b/>
          <w:sz w:val="24"/>
          <w:highlight w:val="none"/>
        </w:rPr>
      </w:pPr>
      <w:r>
        <w:rPr>
          <w:b/>
          <w:sz w:val="24"/>
        </w:rPr>
        <w:t>附表2：经济标得分（</w:t>
      </w:r>
      <w:r>
        <w:rPr>
          <w:b/>
          <w:sz w:val="24"/>
          <w:highlight w:val="none"/>
        </w:rPr>
        <w:t>1</w:t>
      </w:r>
      <w:r>
        <w:rPr>
          <w:rFonts w:hint="eastAsia"/>
          <w:b/>
          <w:sz w:val="24"/>
          <w:highlight w:val="none"/>
        </w:rPr>
        <w:t>0</w:t>
      </w:r>
      <w:r>
        <w:rPr>
          <w:b/>
          <w:sz w:val="24"/>
          <w:highlight w:val="none"/>
        </w:rPr>
        <w:t>分）</w:t>
      </w:r>
    </w:p>
    <w:tbl>
      <w:tblPr>
        <w:tblStyle w:val="23"/>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850"/>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shd w:val="clear" w:color="auto" w:fill="D7D7D7" w:themeFill="background1" w:themeFillShade="D8"/>
            <w:vAlign w:val="center"/>
          </w:tcPr>
          <w:p>
            <w:pPr>
              <w:spacing w:line="276" w:lineRule="auto"/>
              <w:jc w:val="center"/>
              <w:rPr>
                <w:b/>
                <w:bCs/>
                <w:sz w:val="24"/>
                <w:highlight w:val="none"/>
              </w:rPr>
            </w:pPr>
            <w:r>
              <w:rPr>
                <w:b/>
                <w:bCs/>
                <w:sz w:val="24"/>
                <w:highlight w:val="none"/>
              </w:rPr>
              <w:t>评分项目</w:t>
            </w:r>
          </w:p>
        </w:tc>
        <w:tc>
          <w:tcPr>
            <w:tcW w:w="850" w:type="dxa"/>
            <w:shd w:val="clear" w:color="auto" w:fill="D7D7D7" w:themeFill="background1" w:themeFillShade="D8"/>
            <w:vAlign w:val="center"/>
          </w:tcPr>
          <w:p>
            <w:pPr>
              <w:spacing w:line="276" w:lineRule="auto"/>
              <w:jc w:val="center"/>
              <w:rPr>
                <w:b/>
                <w:bCs/>
                <w:sz w:val="24"/>
                <w:highlight w:val="none"/>
              </w:rPr>
            </w:pPr>
            <w:r>
              <w:rPr>
                <w:b/>
                <w:bCs/>
                <w:sz w:val="24"/>
                <w:highlight w:val="none"/>
              </w:rPr>
              <w:t>分值</w:t>
            </w:r>
          </w:p>
        </w:tc>
        <w:tc>
          <w:tcPr>
            <w:tcW w:w="7483" w:type="dxa"/>
            <w:shd w:val="clear" w:color="auto" w:fill="D7D7D7" w:themeFill="background1" w:themeFillShade="D8"/>
            <w:vAlign w:val="center"/>
          </w:tcPr>
          <w:p>
            <w:pPr>
              <w:spacing w:line="276" w:lineRule="auto"/>
              <w:jc w:val="center"/>
              <w:rPr>
                <w:b/>
                <w:bCs/>
                <w:sz w:val="24"/>
                <w:highlight w:val="none"/>
              </w:rPr>
            </w:pPr>
            <w:r>
              <w:rPr>
                <w:b/>
                <w:bCs/>
                <w:sz w:val="24"/>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vAlign w:val="center"/>
          </w:tcPr>
          <w:p>
            <w:pPr>
              <w:spacing w:line="276" w:lineRule="auto"/>
              <w:jc w:val="center"/>
              <w:rPr>
                <w:color w:val="000000" w:themeColor="text1"/>
                <w:sz w:val="24"/>
                <w:highlight w:val="none"/>
              </w:rPr>
            </w:pPr>
            <w:r>
              <w:rPr>
                <w:color w:val="000000" w:themeColor="text1"/>
                <w:sz w:val="24"/>
                <w:highlight w:val="none"/>
              </w:rPr>
              <w:t>经济标</w:t>
            </w:r>
          </w:p>
        </w:tc>
        <w:tc>
          <w:tcPr>
            <w:tcW w:w="850" w:type="dxa"/>
            <w:vAlign w:val="center"/>
          </w:tcPr>
          <w:p>
            <w:pPr>
              <w:spacing w:line="276" w:lineRule="auto"/>
              <w:jc w:val="center"/>
              <w:rPr>
                <w:color w:val="000000" w:themeColor="text1"/>
                <w:sz w:val="24"/>
                <w:highlight w:val="none"/>
              </w:rPr>
            </w:pPr>
            <w:r>
              <w:rPr>
                <w:rFonts w:ascii="宋体" w:hAnsi="宋体" w:cs="宋体"/>
                <w:color w:val="000000" w:themeColor="text1"/>
                <w:sz w:val="24"/>
                <w:highlight w:val="none"/>
              </w:rPr>
              <w:t>1</w:t>
            </w:r>
            <w:r>
              <w:rPr>
                <w:rFonts w:hint="eastAsia" w:ascii="宋体" w:hAnsi="宋体" w:cs="宋体"/>
                <w:color w:val="000000" w:themeColor="text1"/>
                <w:sz w:val="24"/>
                <w:highlight w:val="none"/>
              </w:rPr>
              <w:t>0</w:t>
            </w:r>
            <w:r>
              <w:rPr>
                <w:color w:val="000000" w:themeColor="text1"/>
                <w:sz w:val="24"/>
                <w:highlight w:val="none"/>
              </w:rPr>
              <w:t>分</w:t>
            </w:r>
          </w:p>
        </w:tc>
        <w:tc>
          <w:tcPr>
            <w:tcW w:w="7483" w:type="dxa"/>
          </w:tcPr>
          <w:p>
            <w:pPr>
              <w:widowControl/>
              <w:jc w:val="left"/>
              <w:rPr>
                <w:rFonts w:asciiTheme="minorEastAsia" w:hAnsiTheme="minorEastAsia" w:eastAsiaTheme="minorEastAsia" w:cstheme="minorEastAsia"/>
                <w:b/>
                <w:bCs/>
                <w:color w:val="000000" w:themeColor="text1"/>
                <w:kern w:val="0"/>
                <w:sz w:val="24"/>
                <w:highlight w:val="none"/>
              </w:rPr>
            </w:pPr>
            <w:r>
              <w:rPr>
                <w:rFonts w:hint="eastAsia" w:asciiTheme="minorEastAsia" w:hAnsiTheme="minorEastAsia" w:eastAsiaTheme="minorEastAsia" w:cstheme="minorEastAsia"/>
                <w:b/>
                <w:bCs/>
                <w:color w:val="000000" w:themeColor="text1"/>
                <w:kern w:val="0"/>
                <w:sz w:val="24"/>
                <w:highlight w:val="none"/>
              </w:rPr>
              <w:t>投标报价得分=(评标基准价/修正后投标报价)×100%×</w:t>
            </w:r>
            <w:r>
              <w:rPr>
                <w:rFonts w:asciiTheme="minorEastAsia" w:hAnsiTheme="minorEastAsia" w:eastAsiaTheme="minorEastAsia" w:cstheme="minorEastAsia"/>
                <w:b/>
                <w:bCs/>
                <w:color w:val="000000" w:themeColor="text1"/>
                <w:kern w:val="0"/>
                <w:sz w:val="24"/>
                <w:highlight w:val="none"/>
              </w:rPr>
              <w:t>1</w:t>
            </w:r>
            <w:r>
              <w:rPr>
                <w:rFonts w:hint="eastAsia" w:asciiTheme="minorEastAsia" w:hAnsiTheme="minorEastAsia" w:eastAsiaTheme="minorEastAsia" w:cstheme="minorEastAsia"/>
                <w:b/>
                <w:bCs/>
                <w:color w:val="000000" w:themeColor="text1"/>
                <w:kern w:val="0"/>
                <w:sz w:val="24"/>
                <w:highlight w:val="none"/>
              </w:rPr>
              <w:t>0</w:t>
            </w:r>
          </w:p>
          <w:p>
            <w:pPr>
              <w:widowControl/>
              <w:rPr>
                <w:rFonts w:asciiTheme="minorEastAsia" w:hAnsiTheme="minorEastAsia" w:eastAsiaTheme="minorEastAsia" w:cstheme="minorEastAsia"/>
                <w:color w:val="000000" w:themeColor="text1"/>
                <w:kern w:val="0"/>
                <w:sz w:val="24"/>
                <w:highlight w:val="none"/>
              </w:rPr>
            </w:pPr>
            <w:r>
              <w:rPr>
                <w:rFonts w:hint="eastAsia" w:asciiTheme="minorEastAsia" w:hAnsiTheme="minorEastAsia" w:eastAsiaTheme="minorEastAsia" w:cstheme="minorEastAsia"/>
                <w:color w:val="000000" w:themeColor="text1"/>
                <w:kern w:val="0"/>
                <w:sz w:val="24"/>
                <w:highlight w:val="none"/>
              </w:rPr>
              <w:t>1、投标价格评分采用低价优先法计算；</w:t>
            </w:r>
          </w:p>
          <w:p>
            <w:pPr>
              <w:widowControl/>
              <w:rPr>
                <w:rFonts w:asciiTheme="minorEastAsia" w:hAnsiTheme="minorEastAsia" w:eastAsiaTheme="minorEastAsia" w:cstheme="minorEastAsia"/>
                <w:color w:val="000000" w:themeColor="text1"/>
                <w:kern w:val="0"/>
                <w:sz w:val="24"/>
                <w:highlight w:val="none"/>
              </w:rPr>
            </w:pPr>
            <w:r>
              <w:rPr>
                <w:rFonts w:hint="eastAsia" w:asciiTheme="minorEastAsia" w:hAnsiTheme="minorEastAsia" w:eastAsiaTheme="minorEastAsia" w:cstheme="minorEastAsia"/>
                <w:color w:val="000000" w:themeColor="text1"/>
                <w:kern w:val="0"/>
                <w:sz w:val="24"/>
                <w:highlight w:val="none"/>
              </w:rPr>
              <w:t>2、评标基准价：满足招标文件要求且经算术修正，依据政府采购政策进行价格扣除后的最低报价为评标基准价；</w:t>
            </w:r>
          </w:p>
          <w:p>
            <w:pPr>
              <w:widowControl/>
              <w:rPr>
                <w:rFonts w:asciiTheme="minorEastAsia" w:hAnsiTheme="minorEastAsia" w:eastAsiaTheme="minorEastAsia" w:cstheme="minorEastAsia"/>
                <w:color w:val="000000" w:themeColor="text1"/>
                <w:kern w:val="0"/>
                <w:sz w:val="24"/>
                <w:highlight w:val="none"/>
              </w:rPr>
            </w:pPr>
            <w:r>
              <w:rPr>
                <w:rFonts w:hint="eastAsia" w:asciiTheme="minorEastAsia" w:hAnsiTheme="minorEastAsia" w:eastAsiaTheme="minorEastAsia" w:cstheme="minorEastAsia"/>
                <w:color w:val="000000" w:themeColor="text1"/>
                <w:kern w:val="0"/>
                <w:sz w:val="24"/>
                <w:highlight w:val="none"/>
              </w:rPr>
              <w:t>3、修正后投标报价：评标委员会以开标一览表中投标报价为基础，对其进行算术修正，依据政府采购政策进行价格扣除后，作为投标报价计算的依据。</w:t>
            </w:r>
          </w:p>
          <w:p>
            <w:pPr>
              <w:widowControl/>
              <w:jc w:val="left"/>
              <w:rPr>
                <w:rFonts w:asciiTheme="minorEastAsia" w:hAnsiTheme="minorEastAsia" w:eastAsiaTheme="minorEastAsia" w:cstheme="minorEastAsia"/>
                <w:color w:val="000000" w:themeColor="text1"/>
                <w:kern w:val="0"/>
                <w:sz w:val="24"/>
                <w:highlight w:val="none"/>
              </w:rPr>
            </w:pPr>
            <w:r>
              <w:rPr>
                <w:rFonts w:hint="eastAsia" w:asciiTheme="minorEastAsia" w:hAnsiTheme="minorEastAsia" w:eastAsiaTheme="minorEastAsia" w:cstheme="minorEastAsia"/>
                <w:color w:val="000000" w:themeColor="text1"/>
                <w:kern w:val="0"/>
                <w:sz w:val="24"/>
                <w:highlight w:val="none"/>
              </w:rPr>
              <w:t>4、根据《政府采购促进中小企业发展暂行办法》的相关规定，对小型和微型企业制造（生产）产品的价格给予10%的扣除，用扣除后的价格参与评审。</w:t>
            </w:r>
          </w:p>
          <w:p>
            <w:pPr>
              <w:widowControl/>
              <w:jc w:val="left"/>
              <w:rPr>
                <w:rFonts w:asciiTheme="minorEastAsia" w:hAnsiTheme="minorEastAsia" w:eastAsiaTheme="minorEastAsia" w:cstheme="minorEastAsia"/>
                <w:color w:val="000000" w:themeColor="text1"/>
                <w:kern w:val="0"/>
                <w:sz w:val="24"/>
                <w:highlight w:val="none"/>
              </w:rPr>
            </w:pPr>
            <w:r>
              <w:rPr>
                <w:rFonts w:hint="eastAsia" w:asciiTheme="minorEastAsia" w:hAnsiTheme="minorEastAsia" w:eastAsiaTheme="minorEastAsia" w:cstheme="minorEastAsia"/>
                <w:color w:val="000000" w:themeColor="text1"/>
                <w:kern w:val="0"/>
                <w:sz w:val="24"/>
                <w:highlight w:val="none"/>
              </w:rPr>
              <w:t>5、根据《关于促进残疾人就业政府采购政策的通知》（财库[2017]141号），残疾人福利性单位视同小型、微型企业。</w:t>
            </w:r>
          </w:p>
          <w:p>
            <w:pPr>
              <w:spacing w:line="276" w:lineRule="auto"/>
              <w:jc w:val="left"/>
              <w:rPr>
                <w:color w:val="000000" w:themeColor="text1"/>
                <w:sz w:val="24"/>
                <w:highlight w:val="none"/>
              </w:rPr>
            </w:pPr>
            <w:r>
              <w:rPr>
                <w:rFonts w:hint="eastAsia" w:asciiTheme="minorEastAsia" w:hAnsiTheme="minorEastAsia" w:eastAsiaTheme="minorEastAsia" w:cstheme="minorEastAsia"/>
                <w:color w:val="000000" w:themeColor="text1"/>
                <w:kern w:val="0"/>
                <w:sz w:val="24"/>
                <w:highlight w:val="none"/>
              </w:rPr>
              <w:t>6、残疾人福利性单位属于小型、微型企业的，不重复享受政策。</w:t>
            </w:r>
          </w:p>
        </w:tc>
      </w:tr>
    </w:tbl>
    <w:p>
      <w:pPr>
        <w:spacing w:line="360" w:lineRule="auto"/>
        <w:rPr>
          <w:b/>
          <w:color w:val="000000" w:themeColor="text1"/>
          <w:sz w:val="24"/>
        </w:rPr>
      </w:pPr>
      <w:r>
        <w:rPr>
          <w:b/>
          <w:color w:val="000000" w:themeColor="text1"/>
          <w:sz w:val="24"/>
        </w:rPr>
        <w:br w:type="page"/>
      </w:r>
    </w:p>
    <w:p>
      <w:pPr>
        <w:spacing w:line="360" w:lineRule="auto"/>
        <w:rPr>
          <w:b/>
          <w:color w:val="000000" w:themeColor="text1"/>
          <w:sz w:val="24"/>
          <w:highlight w:val="none"/>
        </w:rPr>
      </w:pPr>
      <w:r>
        <w:rPr>
          <w:b/>
          <w:color w:val="000000" w:themeColor="text1"/>
          <w:sz w:val="24"/>
        </w:rPr>
        <w:t>附表</w:t>
      </w:r>
      <w:r>
        <w:rPr>
          <w:b/>
          <w:color w:val="000000" w:themeColor="text1"/>
          <w:sz w:val="24"/>
          <w:highlight w:val="none"/>
        </w:rPr>
        <w:t>3、商务</w:t>
      </w:r>
      <w:r>
        <w:rPr>
          <w:rFonts w:hint="eastAsia"/>
          <w:b/>
          <w:color w:val="000000" w:themeColor="text1"/>
          <w:sz w:val="24"/>
          <w:highlight w:val="none"/>
        </w:rPr>
        <w:t>及技术</w:t>
      </w:r>
      <w:r>
        <w:rPr>
          <w:b/>
          <w:color w:val="000000" w:themeColor="text1"/>
          <w:sz w:val="24"/>
          <w:highlight w:val="none"/>
        </w:rPr>
        <w:t>部分评审表（9</w:t>
      </w:r>
      <w:r>
        <w:rPr>
          <w:rFonts w:hint="eastAsia"/>
          <w:b/>
          <w:color w:val="000000" w:themeColor="text1"/>
          <w:sz w:val="24"/>
          <w:highlight w:val="none"/>
        </w:rPr>
        <w:t>0</w:t>
      </w:r>
      <w:r>
        <w:rPr>
          <w:b/>
          <w:color w:val="000000" w:themeColor="text1"/>
          <w:sz w:val="24"/>
          <w:highlight w:val="none"/>
        </w:rPr>
        <w:t>分）</w:t>
      </w:r>
    </w:p>
    <w:tbl>
      <w:tblPr>
        <w:tblStyle w:val="23"/>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857"/>
        <w:gridCol w:w="7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401" w:type="dxa"/>
            <w:shd w:val="clear" w:color="auto" w:fill="D7D7D7" w:themeFill="background1" w:themeFillShade="D8"/>
            <w:tcMar>
              <w:top w:w="28" w:type="dxa"/>
              <w:left w:w="108" w:type="dxa"/>
              <w:bottom w:w="28" w:type="dxa"/>
              <w:right w:w="108" w:type="dxa"/>
            </w:tcMar>
            <w:vAlign w:val="center"/>
          </w:tcPr>
          <w:p>
            <w:pPr>
              <w:adjustRightInd w:val="0"/>
              <w:snapToGrid w:val="0"/>
              <w:spacing w:line="276" w:lineRule="auto"/>
              <w:jc w:val="center"/>
              <w:rPr>
                <w:rFonts w:ascii="宋体" w:hAnsi="宋体"/>
                <w:b/>
                <w:color w:val="000000"/>
                <w:sz w:val="24"/>
                <w:highlight w:val="none"/>
              </w:rPr>
            </w:pPr>
            <w:r>
              <w:rPr>
                <w:rFonts w:hint="eastAsia" w:ascii="宋体" w:hAnsi="宋体"/>
                <w:b/>
                <w:color w:val="000000"/>
                <w:sz w:val="24"/>
                <w:highlight w:val="none"/>
              </w:rPr>
              <w:t>项目</w:t>
            </w:r>
          </w:p>
        </w:tc>
        <w:tc>
          <w:tcPr>
            <w:tcW w:w="857" w:type="dxa"/>
            <w:shd w:val="clear" w:color="auto" w:fill="D7D7D7" w:themeFill="background1" w:themeFillShade="D8"/>
            <w:tcMar>
              <w:top w:w="28" w:type="dxa"/>
              <w:left w:w="108" w:type="dxa"/>
              <w:bottom w:w="28" w:type="dxa"/>
              <w:right w:w="108" w:type="dxa"/>
            </w:tcMar>
            <w:vAlign w:val="center"/>
          </w:tcPr>
          <w:p>
            <w:pPr>
              <w:adjustRightInd w:val="0"/>
              <w:snapToGrid w:val="0"/>
              <w:spacing w:line="276" w:lineRule="auto"/>
              <w:jc w:val="center"/>
              <w:rPr>
                <w:rFonts w:ascii="宋体" w:hAnsi="宋体"/>
                <w:b/>
                <w:color w:val="000000"/>
                <w:sz w:val="24"/>
                <w:highlight w:val="none"/>
              </w:rPr>
            </w:pPr>
            <w:r>
              <w:rPr>
                <w:rFonts w:hint="eastAsia" w:ascii="宋体" w:hAnsi="宋体"/>
                <w:b/>
                <w:color w:val="000000"/>
                <w:sz w:val="24"/>
                <w:highlight w:val="none"/>
              </w:rPr>
              <w:t>分值</w:t>
            </w:r>
          </w:p>
        </w:tc>
        <w:tc>
          <w:tcPr>
            <w:tcW w:w="7433" w:type="dxa"/>
            <w:shd w:val="clear" w:color="auto" w:fill="D7D7D7" w:themeFill="background1" w:themeFillShade="D8"/>
            <w:tcMar>
              <w:top w:w="28" w:type="dxa"/>
              <w:left w:w="108" w:type="dxa"/>
              <w:bottom w:w="28" w:type="dxa"/>
              <w:right w:w="108" w:type="dxa"/>
            </w:tcMar>
            <w:vAlign w:val="center"/>
          </w:tcPr>
          <w:p>
            <w:pPr>
              <w:adjustRightInd w:val="0"/>
              <w:snapToGrid w:val="0"/>
              <w:spacing w:line="276" w:lineRule="auto"/>
              <w:jc w:val="center"/>
              <w:rPr>
                <w:rFonts w:ascii="宋体" w:hAnsi="宋体"/>
                <w:b/>
                <w:color w:val="000000"/>
                <w:sz w:val="24"/>
                <w:highlight w:val="none"/>
              </w:rPr>
            </w:pPr>
            <w:r>
              <w:rPr>
                <w:rFonts w:hint="eastAsia" w:ascii="宋体" w:hAnsi="宋体"/>
                <w:b/>
                <w:color w:val="000000"/>
                <w:sz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1401" w:type="dxa"/>
            <w:vAlign w:val="center"/>
          </w:tcPr>
          <w:p>
            <w:pPr>
              <w:spacing w:line="276" w:lineRule="auto"/>
              <w:jc w:val="center"/>
              <w:rPr>
                <w:color w:val="000000"/>
                <w:sz w:val="24"/>
                <w:highlight w:val="none"/>
              </w:rPr>
            </w:pPr>
            <w:r>
              <w:rPr>
                <w:rFonts w:hint="eastAsia"/>
                <w:color w:val="000000"/>
                <w:sz w:val="24"/>
                <w:highlight w:val="none"/>
              </w:rPr>
              <w:t>项目组人员配置</w:t>
            </w:r>
          </w:p>
        </w:tc>
        <w:tc>
          <w:tcPr>
            <w:tcW w:w="857" w:type="dxa"/>
            <w:tcMar>
              <w:top w:w="28" w:type="dxa"/>
              <w:left w:w="108" w:type="dxa"/>
              <w:bottom w:w="28" w:type="dxa"/>
              <w:right w:w="108" w:type="dxa"/>
            </w:tcMar>
            <w:vAlign w:val="center"/>
          </w:tcPr>
          <w:p>
            <w:pPr>
              <w:spacing w:line="276" w:lineRule="auto"/>
              <w:jc w:val="center"/>
              <w:rPr>
                <w:rFonts w:ascii="宋体" w:hAnsi="宋体" w:cs="宋体"/>
                <w:color w:val="000000"/>
                <w:sz w:val="24"/>
                <w:highlight w:val="none"/>
              </w:rPr>
            </w:pPr>
            <w:r>
              <w:rPr>
                <w:rFonts w:hint="eastAsia"/>
                <w:color w:val="000000"/>
                <w:sz w:val="24"/>
                <w:highlight w:val="none"/>
              </w:rPr>
              <w:t>5分</w:t>
            </w:r>
          </w:p>
        </w:tc>
        <w:tc>
          <w:tcPr>
            <w:tcW w:w="7433" w:type="dxa"/>
            <w:tcMar>
              <w:top w:w="28" w:type="dxa"/>
              <w:left w:w="108" w:type="dxa"/>
              <w:bottom w:w="28" w:type="dxa"/>
              <w:right w:w="108" w:type="dxa"/>
            </w:tcMar>
            <w:vAlign w:val="center"/>
          </w:tcPr>
          <w:p>
            <w:pPr>
              <w:spacing w:line="276" w:lineRule="auto"/>
              <w:jc w:val="left"/>
              <w:rPr>
                <w:color w:val="000000"/>
                <w:sz w:val="24"/>
                <w:highlight w:val="none"/>
              </w:rPr>
            </w:pPr>
            <w:r>
              <w:rPr>
                <w:rFonts w:hint="eastAsia"/>
                <w:color w:val="000000"/>
                <w:sz w:val="24"/>
                <w:highlight w:val="none"/>
              </w:rPr>
              <w:t>1、拟任本项目负责人具备相关专业高级工程师及以上职称得</w:t>
            </w:r>
            <w:r>
              <w:rPr>
                <w:color w:val="000000"/>
                <w:sz w:val="24"/>
                <w:highlight w:val="none"/>
              </w:rPr>
              <w:t>2</w:t>
            </w:r>
            <w:r>
              <w:rPr>
                <w:rFonts w:hint="eastAsia"/>
                <w:color w:val="000000"/>
                <w:sz w:val="24"/>
                <w:highlight w:val="none"/>
              </w:rPr>
              <w:t>分；否则不得分。</w:t>
            </w:r>
          </w:p>
          <w:p>
            <w:pPr>
              <w:spacing w:line="276" w:lineRule="auto"/>
              <w:jc w:val="left"/>
              <w:rPr>
                <w:color w:val="000000"/>
                <w:sz w:val="24"/>
                <w:highlight w:val="none"/>
              </w:rPr>
            </w:pPr>
            <w:r>
              <w:rPr>
                <w:rFonts w:hint="eastAsia"/>
                <w:color w:val="000000"/>
                <w:sz w:val="24"/>
                <w:highlight w:val="none"/>
              </w:rPr>
              <w:t>2、拟投入本项目的技术人员，专业配置合理，覆盖水文、水资源、环境工程专业人员，每满足一个专业得1分，总分3分。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01" w:type="dxa"/>
            <w:vAlign w:val="center"/>
          </w:tcPr>
          <w:p>
            <w:pPr>
              <w:spacing w:line="276" w:lineRule="auto"/>
              <w:jc w:val="center"/>
              <w:rPr>
                <w:sz w:val="24"/>
                <w:highlight w:val="none"/>
              </w:rPr>
            </w:pPr>
            <w:r>
              <w:rPr>
                <w:rFonts w:hint="eastAsia"/>
                <w:sz w:val="24"/>
                <w:highlight w:val="none"/>
              </w:rPr>
              <w:t>企业综合实力</w:t>
            </w:r>
          </w:p>
        </w:tc>
        <w:tc>
          <w:tcPr>
            <w:tcW w:w="857" w:type="dxa"/>
            <w:tcMar>
              <w:top w:w="28" w:type="dxa"/>
              <w:left w:w="108" w:type="dxa"/>
              <w:bottom w:w="28" w:type="dxa"/>
              <w:right w:w="108" w:type="dxa"/>
            </w:tcMar>
            <w:vAlign w:val="center"/>
          </w:tcPr>
          <w:p>
            <w:pPr>
              <w:spacing w:line="276" w:lineRule="auto"/>
              <w:jc w:val="center"/>
              <w:rPr>
                <w:sz w:val="24"/>
                <w:highlight w:val="none"/>
              </w:rPr>
            </w:pPr>
            <w:r>
              <w:rPr>
                <w:sz w:val="24"/>
                <w:highlight w:val="none"/>
              </w:rPr>
              <w:t>1</w:t>
            </w:r>
            <w:r>
              <w:rPr>
                <w:rFonts w:hint="eastAsia"/>
                <w:sz w:val="24"/>
                <w:highlight w:val="none"/>
              </w:rPr>
              <w:t>5分</w:t>
            </w:r>
          </w:p>
        </w:tc>
        <w:tc>
          <w:tcPr>
            <w:tcW w:w="7433" w:type="dxa"/>
            <w:tcMar>
              <w:top w:w="28" w:type="dxa"/>
              <w:left w:w="108" w:type="dxa"/>
              <w:bottom w:w="28" w:type="dxa"/>
              <w:right w:w="108" w:type="dxa"/>
            </w:tcMar>
            <w:vAlign w:val="center"/>
          </w:tcPr>
          <w:p>
            <w:pPr>
              <w:pStyle w:val="37"/>
              <w:numPr>
                <w:ilvl w:val="0"/>
                <w:numId w:val="0"/>
              </w:numPr>
              <w:spacing w:line="400" w:lineRule="exact"/>
              <w:ind w:leftChars="0"/>
              <w:rPr>
                <w:rFonts w:hint="eastAsia" w:ascii="宋体" w:hAnsi="宋体" w:eastAsia="宋体" w:cs="宋体"/>
                <w:sz w:val="24"/>
                <w:highlight w:val="none"/>
                <w:lang w:eastAsia="zh-CN"/>
              </w:rPr>
            </w:pPr>
            <w:r>
              <w:rPr>
                <w:rFonts w:hint="eastAsia" w:ascii="宋体" w:hAnsi="宋体" w:cs="宋体"/>
                <w:sz w:val="24"/>
                <w:highlight w:val="none"/>
                <w:lang w:val="en-US" w:eastAsia="zh-CN"/>
              </w:rPr>
              <w:t>1、</w:t>
            </w:r>
            <w:r>
              <w:rPr>
                <w:rFonts w:hint="eastAsia" w:ascii="宋体" w:hAnsi="宋体" w:cs="宋体"/>
                <w:sz w:val="24"/>
                <w:highlight w:val="none"/>
              </w:rPr>
              <w:t>投标人具有质量管理体系、环境管理体系和职业健康安全管理体系认证，每项得2分，</w:t>
            </w:r>
            <w:r>
              <w:rPr>
                <w:rFonts w:hint="eastAsia" w:ascii="宋体" w:hAnsi="宋体" w:cs="宋体"/>
                <w:sz w:val="24"/>
                <w:highlight w:val="none"/>
                <w:lang w:eastAsia="zh-CN"/>
              </w:rPr>
              <w:t>最高得</w:t>
            </w:r>
            <w:r>
              <w:rPr>
                <w:rFonts w:hint="eastAsia" w:ascii="宋体" w:hAnsi="宋体" w:eastAsia="宋体" w:cs="宋体"/>
                <w:sz w:val="24"/>
                <w:highlight w:val="none"/>
              </w:rPr>
              <w:t>6分</w:t>
            </w:r>
            <w:r>
              <w:rPr>
                <w:rFonts w:hint="eastAsia" w:ascii="宋体" w:hAnsi="宋体" w:cs="宋体"/>
                <w:sz w:val="24"/>
                <w:highlight w:val="none"/>
                <w:lang w:eastAsia="zh-CN"/>
              </w:rPr>
              <w:t>，</w:t>
            </w:r>
            <w:r>
              <w:rPr>
                <w:rFonts w:hint="eastAsia" w:ascii="宋体" w:hAnsi="宋体" w:eastAsia="宋体" w:cs="宋体"/>
                <w:sz w:val="24"/>
                <w:highlight w:val="none"/>
                <w:lang w:val="en-US" w:eastAsia="zh-CN"/>
              </w:rPr>
              <w:t>未提供的得0分</w:t>
            </w:r>
            <w:r>
              <w:rPr>
                <w:rFonts w:hint="eastAsia" w:ascii="宋体" w:hAnsi="宋体" w:cs="宋体"/>
                <w:sz w:val="24"/>
                <w:highlight w:val="none"/>
              </w:rPr>
              <w:t>；</w:t>
            </w:r>
          </w:p>
          <w:p>
            <w:pPr>
              <w:pStyle w:val="37"/>
              <w:numPr>
                <w:ilvl w:val="0"/>
                <w:numId w:val="0"/>
              </w:numPr>
              <w:spacing w:line="400" w:lineRule="exact"/>
              <w:ind w:leftChars="0"/>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投标人具有“水文、水资源调查评价资质”</w:t>
            </w:r>
            <w:r>
              <w:rPr>
                <w:rFonts w:hint="eastAsia" w:ascii="宋体" w:hAnsi="宋体" w:cs="宋体"/>
                <w:sz w:val="24"/>
                <w:highlight w:val="none"/>
                <w:lang w:eastAsia="zh-CN"/>
              </w:rPr>
              <w:t>、</w:t>
            </w:r>
            <w:r>
              <w:rPr>
                <w:rFonts w:hint="eastAsia" w:ascii="宋体" w:hAnsi="宋体" w:cs="宋体"/>
                <w:sz w:val="24"/>
                <w:highlight w:val="none"/>
              </w:rPr>
              <w:t>“水资源论证资质”，每项得3分，</w:t>
            </w:r>
            <w:r>
              <w:rPr>
                <w:rFonts w:hint="eastAsia" w:ascii="宋体" w:hAnsi="宋体" w:cs="宋体"/>
                <w:sz w:val="24"/>
                <w:highlight w:val="none"/>
                <w:lang w:eastAsia="zh-CN"/>
              </w:rPr>
              <w:t>最高得</w:t>
            </w:r>
            <w:r>
              <w:rPr>
                <w:rFonts w:hint="eastAsia" w:ascii="宋体" w:hAnsi="宋体" w:eastAsia="宋体" w:cs="宋体"/>
                <w:sz w:val="24"/>
                <w:highlight w:val="none"/>
              </w:rPr>
              <w:t>6分</w:t>
            </w:r>
            <w:r>
              <w:rPr>
                <w:rFonts w:hint="eastAsia" w:ascii="宋体" w:hAnsi="宋体" w:cs="宋体"/>
                <w:sz w:val="24"/>
                <w:highlight w:val="none"/>
                <w:lang w:eastAsia="zh-CN"/>
              </w:rPr>
              <w:t>，</w:t>
            </w:r>
            <w:r>
              <w:rPr>
                <w:rFonts w:hint="eastAsia" w:ascii="宋体" w:hAnsi="宋体" w:eastAsia="宋体" w:cs="宋体"/>
                <w:sz w:val="24"/>
                <w:highlight w:val="none"/>
                <w:lang w:val="en-US" w:eastAsia="zh-CN"/>
              </w:rPr>
              <w:t>未提供的得0分</w:t>
            </w:r>
            <w:r>
              <w:rPr>
                <w:rFonts w:hint="eastAsia" w:ascii="宋体" w:hAnsi="宋体" w:cs="宋体"/>
                <w:sz w:val="24"/>
                <w:highlight w:val="none"/>
              </w:rPr>
              <w:t>；</w:t>
            </w:r>
          </w:p>
          <w:p>
            <w:pPr>
              <w:spacing w:line="400" w:lineRule="exact"/>
              <w:rPr>
                <w:highlight w:val="none"/>
              </w:rPr>
            </w:pPr>
            <w:r>
              <w:rPr>
                <w:rFonts w:hint="eastAsia" w:ascii="宋体" w:hAnsi="宋体" w:cs="宋体"/>
                <w:sz w:val="24"/>
                <w:highlight w:val="none"/>
                <w:lang w:val="en-US" w:eastAsia="zh-CN"/>
              </w:rPr>
              <w:t>3</w:t>
            </w:r>
            <w:r>
              <w:rPr>
                <w:rFonts w:hint="eastAsia" w:ascii="宋体" w:hAnsi="宋体" w:cs="宋体"/>
                <w:sz w:val="24"/>
                <w:highlight w:val="none"/>
              </w:rPr>
              <w:t>、近三年投标人财务状况良好，每年净利润都没有亏损得3分，否则得0分。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1401" w:type="dxa"/>
            <w:vAlign w:val="center"/>
          </w:tcPr>
          <w:p>
            <w:pPr>
              <w:jc w:val="center"/>
              <w:rPr>
                <w:highlight w:val="none"/>
              </w:rPr>
            </w:pPr>
            <w:r>
              <w:rPr>
                <w:rFonts w:hint="eastAsia" w:ascii="宋体" w:hAnsi="宋体"/>
                <w:sz w:val="24"/>
                <w:highlight w:val="none"/>
              </w:rPr>
              <w:t>企业类似业绩</w:t>
            </w:r>
          </w:p>
        </w:tc>
        <w:tc>
          <w:tcPr>
            <w:tcW w:w="857" w:type="dxa"/>
            <w:tcMar>
              <w:top w:w="28" w:type="dxa"/>
              <w:left w:w="108" w:type="dxa"/>
              <w:bottom w:w="28" w:type="dxa"/>
              <w:right w:w="108" w:type="dxa"/>
            </w:tcMar>
            <w:vAlign w:val="center"/>
          </w:tcPr>
          <w:p>
            <w:pPr>
              <w:spacing w:line="276" w:lineRule="auto"/>
              <w:jc w:val="center"/>
              <w:rPr>
                <w:rFonts w:ascii="宋体" w:hAnsi="宋体" w:cs="宋体"/>
                <w:color w:val="000000"/>
                <w:sz w:val="24"/>
                <w:highlight w:val="none"/>
              </w:rPr>
            </w:pPr>
            <w:r>
              <w:rPr>
                <w:rFonts w:ascii="宋体" w:hAnsi="宋体" w:cs="宋体"/>
                <w:color w:val="000000"/>
                <w:sz w:val="24"/>
                <w:highlight w:val="none"/>
              </w:rPr>
              <w:t>8</w:t>
            </w:r>
            <w:r>
              <w:rPr>
                <w:rFonts w:hint="eastAsia" w:ascii="宋体" w:hAnsi="宋体" w:cs="宋体"/>
                <w:color w:val="000000"/>
                <w:sz w:val="24"/>
                <w:highlight w:val="none"/>
              </w:rPr>
              <w:t>分</w:t>
            </w:r>
          </w:p>
        </w:tc>
        <w:tc>
          <w:tcPr>
            <w:tcW w:w="7433" w:type="dxa"/>
            <w:tcMar>
              <w:top w:w="28" w:type="dxa"/>
              <w:left w:w="108" w:type="dxa"/>
              <w:bottom w:w="28" w:type="dxa"/>
              <w:right w:w="108" w:type="dxa"/>
            </w:tcMar>
            <w:vAlign w:val="center"/>
          </w:tcPr>
          <w:p>
            <w:pPr>
              <w:spacing w:line="276" w:lineRule="auto"/>
              <w:jc w:val="left"/>
              <w:rPr>
                <w:rFonts w:ascii="宋体" w:hAnsi="宋体" w:cs="宋体"/>
                <w:color w:val="000000"/>
                <w:sz w:val="24"/>
                <w:highlight w:val="none"/>
              </w:rPr>
            </w:pPr>
            <w:r>
              <w:rPr>
                <w:rFonts w:hint="eastAsia" w:ascii="宋体" w:hAnsi="宋体" w:cs="宋体"/>
                <w:bCs/>
                <w:sz w:val="24"/>
                <w:highlight w:val="none"/>
              </w:rPr>
              <w:t>投标人近三年（2019年1月1日-至今）完成过类似项目业绩，每提供1项类似业绩证明材料（</w:t>
            </w:r>
            <w:r>
              <w:rPr>
                <w:rFonts w:hint="eastAsia" w:ascii="宋体" w:hAnsi="宋体" w:cs="宋体"/>
                <w:bCs/>
                <w:sz w:val="24"/>
                <w:highlight w:val="none"/>
                <w:lang w:eastAsia="zh-CN"/>
              </w:rPr>
              <w:t>中标通知</w:t>
            </w:r>
            <w:r>
              <w:rPr>
                <w:rFonts w:hint="eastAsia" w:ascii="宋体" w:hAnsi="宋体" w:cs="宋体"/>
                <w:bCs/>
                <w:sz w:val="24"/>
                <w:highlight w:val="none"/>
              </w:rPr>
              <w:t>书</w:t>
            </w:r>
            <w:r>
              <w:rPr>
                <w:rFonts w:hint="eastAsia" w:ascii="宋体" w:hAnsi="宋体" w:cs="宋体"/>
                <w:bCs/>
                <w:sz w:val="24"/>
                <w:highlight w:val="none"/>
                <w:lang w:eastAsia="zh-CN"/>
              </w:rPr>
              <w:t>或合同协议书</w:t>
            </w:r>
            <w:r>
              <w:rPr>
                <w:rFonts w:hint="eastAsia" w:ascii="宋体" w:hAnsi="宋体" w:cs="宋体"/>
                <w:bCs/>
                <w:sz w:val="24"/>
                <w:highlight w:val="none"/>
              </w:rPr>
              <w:t>）加2分，本项满分</w:t>
            </w:r>
            <w:r>
              <w:rPr>
                <w:rFonts w:ascii="宋体" w:hAnsi="宋体" w:cs="宋体"/>
                <w:bCs/>
                <w:sz w:val="24"/>
                <w:highlight w:val="none"/>
              </w:rPr>
              <w:t>8</w:t>
            </w:r>
            <w:r>
              <w:rPr>
                <w:rFonts w:hint="eastAsia" w:ascii="宋体" w:hAnsi="宋体" w:cs="宋体"/>
                <w:bCs/>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01" w:type="dxa"/>
            <w:tcBorders>
              <w:right w:val="single" w:color="auto" w:sz="4" w:space="0"/>
            </w:tcBorders>
            <w:vAlign w:val="center"/>
          </w:tcPr>
          <w:p>
            <w:pPr>
              <w:spacing w:line="360" w:lineRule="exact"/>
              <w:jc w:val="center"/>
              <w:rPr>
                <w:color w:val="000000"/>
                <w:sz w:val="24"/>
                <w:highlight w:val="none"/>
              </w:rPr>
            </w:pPr>
            <w:r>
              <w:rPr>
                <w:rFonts w:hint="eastAsia"/>
                <w:color w:val="000000"/>
                <w:sz w:val="24"/>
                <w:highlight w:val="none"/>
              </w:rPr>
              <w:t>对项目和建设重点、难点的理解</w:t>
            </w:r>
          </w:p>
        </w:tc>
        <w:tc>
          <w:tcPr>
            <w:tcW w:w="857" w:type="dxa"/>
            <w:tcBorders>
              <w:left w:val="single" w:color="auto" w:sz="4" w:space="0"/>
              <w:right w:val="single" w:color="auto" w:sz="4" w:space="0"/>
            </w:tcBorders>
            <w:tcMar>
              <w:top w:w="28" w:type="dxa"/>
              <w:left w:w="108" w:type="dxa"/>
              <w:bottom w:w="28" w:type="dxa"/>
              <w:right w:w="108" w:type="dxa"/>
            </w:tcMar>
            <w:vAlign w:val="center"/>
          </w:tcPr>
          <w:p>
            <w:pPr>
              <w:spacing w:line="400" w:lineRule="exact"/>
              <w:jc w:val="center"/>
              <w:rPr>
                <w:rFonts w:ascii="宋体" w:hAnsi="宋体" w:cs="宋体"/>
                <w:sz w:val="24"/>
                <w:highlight w:val="none"/>
              </w:rPr>
            </w:pPr>
            <w:r>
              <w:rPr>
                <w:rFonts w:hint="eastAsia" w:ascii="宋体" w:hAnsi="宋体" w:cs="宋体"/>
                <w:sz w:val="24"/>
                <w:highlight w:val="none"/>
              </w:rPr>
              <w:t>15分</w:t>
            </w:r>
          </w:p>
        </w:tc>
        <w:tc>
          <w:tcPr>
            <w:tcW w:w="7433"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spacing w:line="400" w:lineRule="exact"/>
              <w:rPr>
                <w:rFonts w:ascii="宋体" w:hAnsi="宋体" w:cs="宋体"/>
                <w:sz w:val="24"/>
                <w:highlight w:val="none"/>
              </w:rPr>
            </w:pPr>
            <w:r>
              <w:rPr>
                <w:rFonts w:hint="eastAsia" w:ascii="宋体" w:hAnsi="宋体" w:cs="宋体"/>
                <w:sz w:val="24"/>
                <w:highlight w:val="none"/>
              </w:rPr>
              <w:t>1、对本项目的现状及特点熟悉，总体目标、总体框架、建设内容理解准确得4-5分，一般的得2-3分；差的得0-1分；</w:t>
            </w:r>
          </w:p>
          <w:p>
            <w:pPr>
              <w:spacing w:line="400" w:lineRule="exact"/>
              <w:rPr>
                <w:rFonts w:ascii="宋体" w:hAnsi="宋体" w:cs="宋体"/>
                <w:sz w:val="24"/>
                <w:highlight w:val="none"/>
              </w:rPr>
            </w:pPr>
            <w:r>
              <w:rPr>
                <w:rFonts w:hint="eastAsia" w:ascii="宋体" w:hAnsi="宋体" w:cs="宋体"/>
                <w:sz w:val="24"/>
                <w:highlight w:val="none"/>
              </w:rPr>
              <w:t>2、对本项目建设的重点、难点、应对措施分析明确、透彻、完整,提出切实可行的对策和措施的得4-5分，一般的得2-3分；差的得0-1分；</w:t>
            </w:r>
          </w:p>
          <w:p>
            <w:pPr>
              <w:spacing w:line="400" w:lineRule="exact"/>
              <w:rPr>
                <w:rFonts w:ascii="宋体" w:hAnsi="宋体" w:cs="宋体"/>
                <w:sz w:val="24"/>
                <w:highlight w:val="none"/>
              </w:rPr>
            </w:pPr>
            <w:r>
              <w:rPr>
                <w:rFonts w:hint="eastAsia" w:ascii="宋体" w:hAnsi="宋体" w:cs="宋体"/>
                <w:sz w:val="24"/>
                <w:highlight w:val="none"/>
              </w:rPr>
              <w:t>3、新法规、新条例、新技术、新工艺采用状况，</w:t>
            </w:r>
            <w:r>
              <w:rPr>
                <w:rFonts w:hint="eastAsia" w:ascii="宋体" w:hAnsi="宋体"/>
                <w:sz w:val="24"/>
                <w:highlight w:val="none"/>
              </w:rPr>
              <w:t>优</w:t>
            </w:r>
            <w:r>
              <w:rPr>
                <w:rFonts w:hint="eastAsia" w:ascii="宋体" w:hAnsi="宋体" w:cs="宋体"/>
                <w:color w:val="000000"/>
                <w:kern w:val="0"/>
                <w:sz w:val="24"/>
                <w:highlight w:val="none"/>
              </w:rPr>
              <w:t>秀</w:t>
            </w:r>
            <w:r>
              <w:rPr>
                <w:rFonts w:hint="eastAsia" w:ascii="宋体" w:hAnsi="宋体"/>
                <w:sz w:val="24"/>
                <w:highlight w:val="none"/>
              </w:rPr>
              <w:t>得4-5分，一般2-3分，差0-1分</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01" w:type="dxa"/>
            <w:tcBorders>
              <w:right w:val="single" w:color="auto" w:sz="4" w:space="0"/>
            </w:tcBorders>
            <w:vAlign w:val="center"/>
          </w:tcPr>
          <w:p>
            <w:pPr>
              <w:spacing w:line="360" w:lineRule="exact"/>
              <w:jc w:val="center"/>
              <w:rPr>
                <w:color w:val="000000"/>
                <w:sz w:val="24"/>
                <w:highlight w:val="none"/>
              </w:rPr>
            </w:pPr>
            <w:r>
              <w:rPr>
                <w:rFonts w:hint="eastAsia"/>
                <w:color w:val="000000"/>
                <w:sz w:val="24"/>
                <w:highlight w:val="none"/>
              </w:rPr>
              <w:t>项目管理及实施方案</w:t>
            </w:r>
          </w:p>
        </w:tc>
        <w:tc>
          <w:tcPr>
            <w:tcW w:w="857" w:type="dxa"/>
            <w:tcBorders>
              <w:left w:val="single" w:color="auto" w:sz="4" w:space="0"/>
              <w:right w:val="single" w:color="auto" w:sz="4" w:space="0"/>
            </w:tcBorders>
            <w:tcMar>
              <w:top w:w="28" w:type="dxa"/>
              <w:left w:w="108" w:type="dxa"/>
              <w:bottom w:w="28" w:type="dxa"/>
              <w:right w:w="108" w:type="dxa"/>
            </w:tcMar>
            <w:vAlign w:val="center"/>
          </w:tcPr>
          <w:p>
            <w:pPr>
              <w:spacing w:line="400" w:lineRule="exact"/>
              <w:jc w:val="center"/>
              <w:rPr>
                <w:rFonts w:ascii="宋体" w:hAnsi="宋体" w:cs="宋体"/>
                <w:sz w:val="24"/>
                <w:highlight w:val="none"/>
              </w:rPr>
            </w:pPr>
            <w:r>
              <w:rPr>
                <w:rFonts w:hint="eastAsia" w:ascii="宋体" w:hAnsi="宋体" w:cs="宋体"/>
                <w:sz w:val="24"/>
                <w:highlight w:val="none"/>
              </w:rPr>
              <w:t>15分</w:t>
            </w:r>
          </w:p>
        </w:tc>
        <w:tc>
          <w:tcPr>
            <w:tcW w:w="7433"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spacing w:line="400" w:lineRule="exact"/>
              <w:rPr>
                <w:rFonts w:ascii="宋体" w:hAnsi="宋体" w:cs="宋体"/>
                <w:sz w:val="24"/>
                <w:highlight w:val="none"/>
              </w:rPr>
            </w:pPr>
            <w:r>
              <w:rPr>
                <w:rFonts w:hint="eastAsia" w:ascii="宋体" w:hAnsi="宋体" w:cs="宋体"/>
                <w:sz w:val="24"/>
                <w:highlight w:val="none"/>
              </w:rPr>
              <w:t>1、有完善的项目管理体系得4-5分，一般得2-3分，差得0-1分；</w:t>
            </w:r>
          </w:p>
          <w:p>
            <w:pPr>
              <w:spacing w:line="400" w:lineRule="exact"/>
              <w:rPr>
                <w:rFonts w:ascii="宋体" w:hAnsi="宋体" w:cs="宋体"/>
                <w:sz w:val="24"/>
                <w:highlight w:val="none"/>
              </w:rPr>
            </w:pPr>
            <w:r>
              <w:rPr>
                <w:rFonts w:hint="eastAsia" w:ascii="宋体" w:hAnsi="宋体" w:cs="宋体"/>
                <w:sz w:val="24"/>
                <w:highlight w:val="none"/>
              </w:rPr>
              <w:t>2、实施方案主要内容、实施计划、及人员安排，实施人员分工合理性，项目计划和进度科学合理性，优秀得7-10分，一般得3-6分，差得0-2分；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01" w:type="dxa"/>
            <w:tcBorders>
              <w:right w:val="single" w:color="auto" w:sz="4" w:space="0"/>
            </w:tcBorders>
            <w:vAlign w:val="center"/>
          </w:tcPr>
          <w:p>
            <w:pPr>
              <w:spacing w:line="360" w:lineRule="exact"/>
              <w:jc w:val="center"/>
              <w:rPr>
                <w:color w:val="000000"/>
                <w:sz w:val="24"/>
                <w:highlight w:val="none"/>
              </w:rPr>
            </w:pPr>
            <w:r>
              <w:rPr>
                <w:rFonts w:hint="eastAsia" w:ascii="宋体" w:hAnsi="宋体"/>
                <w:sz w:val="24"/>
                <w:highlight w:val="none"/>
              </w:rPr>
              <w:t>技术路线</w:t>
            </w:r>
          </w:p>
        </w:tc>
        <w:tc>
          <w:tcPr>
            <w:tcW w:w="857" w:type="dxa"/>
            <w:tcBorders>
              <w:left w:val="single" w:color="auto" w:sz="4" w:space="0"/>
              <w:right w:val="single" w:color="auto" w:sz="4" w:space="0"/>
            </w:tcBorders>
            <w:tcMar>
              <w:top w:w="28" w:type="dxa"/>
              <w:left w:w="108" w:type="dxa"/>
              <w:bottom w:w="28" w:type="dxa"/>
              <w:right w:w="108" w:type="dxa"/>
            </w:tcMar>
            <w:vAlign w:val="center"/>
          </w:tcPr>
          <w:p>
            <w:pPr>
              <w:spacing w:line="360" w:lineRule="exact"/>
              <w:jc w:val="center"/>
              <w:rPr>
                <w:color w:val="000000"/>
                <w:sz w:val="24"/>
                <w:highlight w:val="none"/>
              </w:rPr>
            </w:pPr>
            <w:r>
              <w:rPr>
                <w:rFonts w:hint="eastAsia" w:ascii="宋体" w:hAnsi="宋体" w:cs="宋体"/>
                <w:sz w:val="24"/>
                <w:highlight w:val="none"/>
              </w:rPr>
              <w:t>5分</w:t>
            </w:r>
          </w:p>
        </w:tc>
        <w:tc>
          <w:tcPr>
            <w:tcW w:w="7433"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widowControl/>
              <w:jc w:val="left"/>
              <w:rPr>
                <w:rFonts w:ascii="宋体" w:hAnsi="宋体" w:cs="宋体"/>
                <w:color w:val="000000"/>
                <w:kern w:val="0"/>
                <w:sz w:val="24"/>
                <w:highlight w:val="none"/>
              </w:rPr>
            </w:pPr>
            <w:r>
              <w:rPr>
                <w:rFonts w:hint="eastAsia" w:ascii="宋体" w:hAnsi="宋体"/>
                <w:sz w:val="24"/>
                <w:highlight w:val="none"/>
              </w:rPr>
              <w:t>按照相关文件、技术和规程要求，工作方法和技术路线符合要求，合理可行。优</w:t>
            </w:r>
            <w:r>
              <w:rPr>
                <w:rFonts w:hint="eastAsia" w:ascii="宋体" w:hAnsi="宋体" w:cs="宋体"/>
                <w:color w:val="000000"/>
                <w:kern w:val="0"/>
                <w:sz w:val="24"/>
                <w:highlight w:val="none"/>
              </w:rPr>
              <w:t>秀</w:t>
            </w:r>
            <w:r>
              <w:rPr>
                <w:rFonts w:hint="eastAsia" w:ascii="宋体" w:hAnsi="宋体"/>
                <w:sz w:val="24"/>
                <w:highlight w:val="none"/>
              </w:rPr>
              <w:t>得4-5分，一般2-3分，差0-1分。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1401" w:type="dxa"/>
            <w:tcBorders>
              <w:right w:val="single" w:color="auto" w:sz="4" w:space="0"/>
            </w:tcBorders>
            <w:vAlign w:val="center"/>
          </w:tcPr>
          <w:p>
            <w:pPr>
              <w:spacing w:line="360" w:lineRule="exact"/>
              <w:jc w:val="center"/>
              <w:rPr>
                <w:color w:val="000000"/>
                <w:sz w:val="24"/>
                <w:highlight w:val="none"/>
              </w:rPr>
            </w:pPr>
            <w:r>
              <w:rPr>
                <w:rFonts w:hint="eastAsia"/>
                <w:color w:val="000000"/>
                <w:sz w:val="24"/>
                <w:highlight w:val="none"/>
              </w:rPr>
              <w:t>现场服务方式及保证</w:t>
            </w:r>
            <w:r>
              <w:rPr>
                <w:rFonts w:hint="eastAsia" w:ascii="宋体" w:hAnsi="宋体" w:eastAsia="宋体" w:cs="宋体"/>
                <w:sz w:val="24"/>
                <w:highlight w:val="none"/>
              </w:rPr>
              <w:t>措施</w:t>
            </w:r>
          </w:p>
        </w:tc>
        <w:tc>
          <w:tcPr>
            <w:tcW w:w="857" w:type="dxa"/>
            <w:tcBorders>
              <w:left w:val="single" w:color="auto" w:sz="4" w:space="0"/>
              <w:right w:val="single" w:color="auto" w:sz="4" w:space="0"/>
            </w:tcBorders>
            <w:tcMar>
              <w:top w:w="28" w:type="dxa"/>
              <w:left w:w="108" w:type="dxa"/>
              <w:bottom w:w="28" w:type="dxa"/>
              <w:right w:w="108" w:type="dxa"/>
            </w:tcMar>
            <w:vAlign w:val="center"/>
          </w:tcPr>
          <w:p>
            <w:pPr>
              <w:spacing w:line="360" w:lineRule="exact"/>
              <w:jc w:val="center"/>
              <w:rPr>
                <w:color w:val="000000"/>
                <w:sz w:val="24"/>
                <w:highlight w:val="none"/>
              </w:rPr>
            </w:pPr>
            <w:r>
              <w:rPr>
                <w:rFonts w:ascii="宋体" w:hAnsi="宋体" w:cs="宋体"/>
                <w:sz w:val="24"/>
                <w:highlight w:val="none"/>
              </w:rPr>
              <w:t>15</w:t>
            </w:r>
            <w:r>
              <w:rPr>
                <w:rFonts w:hint="eastAsia" w:ascii="宋体" w:hAnsi="宋体" w:cs="宋体"/>
                <w:sz w:val="24"/>
                <w:highlight w:val="none"/>
              </w:rPr>
              <w:t>分</w:t>
            </w:r>
          </w:p>
        </w:tc>
        <w:tc>
          <w:tcPr>
            <w:tcW w:w="7433"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spacing w:line="4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1、投标人设立的售后服务机构，有完整的售后服务架构，包括场所、人员配置、响应程度、承诺等，综合评审：优3分、良2分、一般1分、差或未提供的得0分。</w:t>
            </w:r>
          </w:p>
          <w:p>
            <w:pPr>
              <w:spacing w:line="400" w:lineRule="exact"/>
              <w:rPr>
                <w:rFonts w:hint="eastAsia" w:ascii="宋体" w:hAnsi="宋体" w:eastAsia="宋体" w:cs="宋体"/>
                <w:sz w:val="24"/>
                <w:highlight w:val="none"/>
              </w:rPr>
            </w:pPr>
            <w:r>
              <w:rPr>
                <w:rFonts w:hint="eastAsia" w:ascii="宋体" w:hAnsi="宋体" w:eastAsia="宋体" w:cs="宋体"/>
                <w:sz w:val="24"/>
                <w:highlight w:val="none"/>
              </w:rPr>
              <w:t>2、派驻常驻库车水利局现场技术人员，具备相关专业高级工程师职称及以上的，每名得2分，</w:t>
            </w:r>
            <w:r>
              <w:rPr>
                <w:rFonts w:hint="eastAsia" w:ascii="宋体" w:hAnsi="宋体" w:cs="宋体"/>
                <w:sz w:val="24"/>
                <w:highlight w:val="none"/>
                <w:lang w:eastAsia="zh-CN"/>
              </w:rPr>
              <w:t>最高得</w:t>
            </w:r>
            <w:r>
              <w:rPr>
                <w:rFonts w:hint="eastAsia" w:ascii="宋体" w:hAnsi="宋体" w:eastAsia="宋体" w:cs="宋体"/>
                <w:sz w:val="24"/>
                <w:highlight w:val="none"/>
              </w:rPr>
              <w:t>6分</w:t>
            </w:r>
            <w:r>
              <w:rPr>
                <w:rFonts w:hint="eastAsia" w:ascii="宋体" w:hAnsi="宋体" w:cs="宋体"/>
                <w:sz w:val="24"/>
                <w:highlight w:val="none"/>
                <w:lang w:eastAsia="zh-CN"/>
              </w:rPr>
              <w:t>，</w:t>
            </w:r>
            <w:r>
              <w:rPr>
                <w:rFonts w:hint="eastAsia" w:ascii="宋体" w:hAnsi="宋体" w:eastAsia="宋体" w:cs="宋体"/>
                <w:sz w:val="24"/>
                <w:highlight w:val="none"/>
                <w:lang w:val="en-US" w:eastAsia="zh-CN"/>
              </w:rPr>
              <w:t>未提供的得0分</w:t>
            </w:r>
            <w:r>
              <w:rPr>
                <w:rFonts w:hint="eastAsia" w:ascii="宋体" w:hAnsi="宋体" w:eastAsia="宋体" w:cs="宋体"/>
                <w:sz w:val="24"/>
                <w:highlight w:val="none"/>
              </w:rPr>
              <w:t>；</w:t>
            </w:r>
          </w:p>
          <w:p>
            <w:pPr>
              <w:spacing w:line="400" w:lineRule="exact"/>
              <w:rPr>
                <w:rFonts w:hint="eastAsia" w:ascii="宋体" w:hAnsi="宋体" w:eastAsia="宋体" w:cs="宋体"/>
                <w:sz w:val="24"/>
                <w:highlight w:val="none"/>
              </w:rPr>
            </w:pPr>
            <w:r>
              <w:rPr>
                <w:rFonts w:hint="eastAsia" w:ascii="宋体" w:hAnsi="宋体" w:eastAsia="宋体" w:cs="宋体"/>
                <w:sz w:val="24"/>
                <w:highlight w:val="none"/>
              </w:rPr>
              <w:t>3、服务保证措施全面，针对项目实施各阶段均提出了具体的服务计划和实施细则，可操作性得强5-6分；</w:t>
            </w:r>
          </w:p>
          <w:p>
            <w:pPr>
              <w:spacing w:line="400" w:lineRule="exact"/>
              <w:rPr>
                <w:rFonts w:hint="eastAsia" w:ascii="宋体" w:hAnsi="宋体" w:eastAsia="宋体" w:cs="宋体"/>
                <w:sz w:val="24"/>
                <w:highlight w:val="none"/>
              </w:rPr>
            </w:pPr>
            <w:r>
              <w:rPr>
                <w:rFonts w:hint="eastAsia" w:ascii="宋体" w:hAnsi="宋体" w:eastAsia="宋体" w:cs="宋体"/>
                <w:sz w:val="24"/>
                <w:highlight w:val="none"/>
              </w:rPr>
              <w:t>服务保证措施基本完整，提出了服务计划和实施细则，具有一定的可操作性得3-4分；</w:t>
            </w:r>
          </w:p>
          <w:p>
            <w:pPr>
              <w:spacing w:line="400" w:lineRule="exact"/>
              <w:rPr>
                <w:rFonts w:hint="eastAsia" w:ascii="宋体" w:hAnsi="宋体" w:eastAsia="宋体" w:cs="宋体"/>
                <w:sz w:val="24"/>
                <w:highlight w:val="none"/>
              </w:rPr>
            </w:pPr>
            <w:r>
              <w:rPr>
                <w:rFonts w:hint="eastAsia" w:ascii="宋体" w:hAnsi="宋体" w:eastAsia="宋体" w:cs="宋体"/>
                <w:sz w:val="24"/>
                <w:highlight w:val="none"/>
              </w:rPr>
              <w:t>服务保证措施不全面，无具体的服务计划和实施细则，无可操作性得0-2分；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01" w:type="dxa"/>
            <w:tcBorders>
              <w:right w:val="single" w:color="auto" w:sz="4" w:space="0"/>
            </w:tcBorders>
            <w:vAlign w:val="center"/>
          </w:tcPr>
          <w:p>
            <w:pPr>
              <w:spacing w:line="360" w:lineRule="exact"/>
              <w:jc w:val="center"/>
              <w:rPr>
                <w:color w:val="000000"/>
                <w:sz w:val="24"/>
                <w:highlight w:val="none"/>
              </w:rPr>
            </w:pPr>
            <w:r>
              <w:rPr>
                <w:rFonts w:hint="eastAsia" w:ascii="宋体" w:hAnsi="宋体"/>
                <w:sz w:val="24"/>
                <w:highlight w:val="none"/>
              </w:rPr>
              <w:t>编制成果质量保证体系与控制措施</w:t>
            </w:r>
          </w:p>
        </w:tc>
        <w:tc>
          <w:tcPr>
            <w:tcW w:w="857" w:type="dxa"/>
            <w:tcBorders>
              <w:left w:val="single" w:color="auto" w:sz="4" w:space="0"/>
              <w:right w:val="single" w:color="auto" w:sz="4" w:space="0"/>
            </w:tcBorders>
            <w:tcMar>
              <w:top w:w="28" w:type="dxa"/>
              <w:left w:w="108" w:type="dxa"/>
              <w:bottom w:w="28" w:type="dxa"/>
              <w:right w:w="108" w:type="dxa"/>
            </w:tcMar>
            <w:vAlign w:val="center"/>
          </w:tcPr>
          <w:p>
            <w:pPr>
              <w:spacing w:line="360" w:lineRule="exact"/>
              <w:jc w:val="center"/>
              <w:rPr>
                <w:color w:val="000000"/>
                <w:sz w:val="24"/>
                <w:highlight w:val="none"/>
              </w:rPr>
            </w:pPr>
            <w:r>
              <w:rPr>
                <w:color w:val="000000"/>
                <w:sz w:val="24"/>
                <w:highlight w:val="none"/>
              </w:rPr>
              <w:t>12</w:t>
            </w:r>
            <w:r>
              <w:rPr>
                <w:rFonts w:hint="eastAsia"/>
                <w:color w:val="000000"/>
                <w:sz w:val="24"/>
                <w:highlight w:val="none"/>
              </w:rPr>
              <w:t>分</w:t>
            </w:r>
          </w:p>
        </w:tc>
        <w:tc>
          <w:tcPr>
            <w:tcW w:w="7433"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widowControl/>
              <w:jc w:val="left"/>
              <w:rPr>
                <w:color w:val="000000"/>
                <w:sz w:val="24"/>
                <w:highlight w:val="none"/>
              </w:rPr>
            </w:pPr>
            <w:r>
              <w:rPr>
                <w:rFonts w:hint="eastAsia"/>
                <w:color w:val="000000"/>
                <w:sz w:val="24"/>
                <w:highlight w:val="none"/>
              </w:rPr>
              <w:t>评标委员会对投标人的编制成果质量保证体系与控制措施进行综合评审。</w:t>
            </w:r>
          </w:p>
          <w:p>
            <w:pPr>
              <w:widowControl/>
              <w:jc w:val="left"/>
              <w:rPr>
                <w:color w:val="000000"/>
                <w:sz w:val="24"/>
                <w:highlight w:val="none"/>
              </w:rPr>
            </w:pPr>
            <w:r>
              <w:rPr>
                <w:rFonts w:hint="eastAsia"/>
                <w:color w:val="000000"/>
                <w:sz w:val="24"/>
                <w:highlight w:val="none"/>
              </w:rPr>
              <w:t>投标人的编制成果质量保证措施科学性、可行性、合理性、针对性等方面</w:t>
            </w:r>
            <w:r>
              <w:rPr>
                <w:rFonts w:hint="eastAsia" w:ascii="宋体" w:hAnsi="宋体"/>
                <w:sz w:val="24"/>
                <w:highlight w:val="none"/>
              </w:rPr>
              <w:t>优</w:t>
            </w:r>
            <w:r>
              <w:rPr>
                <w:rFonts w:hint="eastAsia" w:ascii="宋体" w:hAnsi="宋体" w:cs="宋体"/>
                <w:color w:val="000000"/>
                <w:kern w:val="0"/>
                <w:sz w:val="24"/>
                <w:highlight w:val="none"/>
              </w:rPr>
              <w:t>秀</w:t>
            </w:r>
            <w:r>
              <w:rPr>
                <w:rFonts w:hint="eastAsia" w:ascii="宋体" w:hAnsi="宋体"/>
                <w:sz w:val="24"/>
                <w:highlight w:val="none"/>
              </w:rPr>
              <w:t>得</w:t>
            </w:r>
            <w:r>
              <w:rPr>
                <w:rFonts w:ascii="宋体" w:hAnsi="宋体"/>
                <w:sz w:val="24"/>
                <w:highlight w:val="none"/>
              </w:rPr>
              <w:t>9</w:t>
            </w:r>
            <w:r>
              <w:rPr>
                <w:rFonts w:hint="eastAsia" w:ascii="宋体" w:hAnsi="宋体"/>
                <w:sz w:val="24"/>
                <w:highlight w:val="none"/>
              </w:rPr>
              <w:t>-</w:t>
            </w:r>
            <w:r>
              <w:rPr>
                <w:rFonts w:ascii="宋体" w:hAnsi="宋体"/>
                <w:sz w:val="24"/>
                <w:highlight w:val="none"/>
              </w:rPr>
              <w:t>12</w:t>
            </w:r>
            <w:r>
              <w:rPr>
                <w:rFonts w:hint="eastAsia" w:ascii="宋体" w:hAnsi="宋体"/>
                <w:sz w:val="24"/>
                <w:highlight w:val="none"/>
              </w:rPr>
              <w:t>分，一般</w:t>
            </w:r>
            <w:r>
              <w:rPr>
                <w:rFonts w:ascii="宋体" w:hAnsi="宋体"/>
                <w:sz w:val="24"/>
                <w:highlight w:val="none"/>
              </w:rPr>
              <w:t>5</w:t>
            </w:r>
            <w:r>
              <w:rPr>
                <w:rFonts w:hint="eastAsia" w:ascii="宋体" w:hAnsi="宋体"/>
                <w:sz w:val="24"/>
                <w:highlight w:val="none"/>
              </w:rPr>
              <w:t>-</w:t>
            </w:r>
            <w:r>
              <w:rPr>
                <w:rFonts w:ascii="宋体" w:hAnsi="宋体"/>
                <w:sz w:val="24"/>
                <w:highlight w:val="none"/>
              </w:rPr>
              <w:t>8</w:t>
            </w:r>
            <w:r>
              <w:rPr>
                <w:rFonts w:hint="eastAsia" w:ascii="宋体" w:hAnsi="宋体"/>
                <w:sz w:val="24"/>
                <w:highlight w:val="none"/>
              </w:rPr>
              <w:t>分，差0-</w:t>
            </w:r>
            <w:r>
              <w:rPr>
                <w:rFonts w:ascii="宋体" w:hAnsi="宋体"/>
                <w:sz w:val="24"/>
                <w:highlight w:val="none"/>
              </w:rPr>
              <w:t>4</w:t>
            </w:r>
            <w:r>
              <w:rPr>
                <w:rFonts w:hint="eastAsia" w:ascii="宋体" w:hAnsi="宋体"/>
                <w:sz w:val="24"/>
                <w:highlight w:val="none"/>
              </w:rPr>
              <w:t>分。</w:t>
            </w:r>
          </w:p>
        </w:tc>
      </w:tr>
    </w:tbl>
    <w:p>
      <w:pPr>
        <w:spacing w:line="440" w:lineRule="exact"/>
        <w:ind w:firstLine="482" w:firstLineChars="200"/>
        <w:rPr>
          <w:rFonts w:ascii="宋体" w:hAnsi="宋体" w:cs="宋体"/>
          <w:b/>
          <w:sz w:val="24"/>
        </w:rPr>
      </w:pPr>
      <w:r>
        <w:rPr>
          <w:rFonts w:hint="eastAsia" w:ascii="宋体" w:hAnsi="宋体" w:cs="宋体"/>
          <w:b/>
          <w:sz w:val="24"/>
        </w:rPr>
        <w:t>注：以上内容均应在投标文件中体现，投标人应根据评标办法来完善投标文件。</w:t>
      </w:r>
    </w:p>
    <w:p>
      <w:pPr>
        <w:spacing w:line="440" w:lineRule="exact"/>
        <w:ind w:firstLine="482" w:firstLineChars="200"/>
        <w:rPr>
          <w:rFonts w:ascii="宋体" w:hAnsi="宋体" w:cs="宋体"/>
          <w:b/>
          <w:sz w:val="24"/>
        </w:rPr>
      </w:pPr>
      <w:r>
        <w:rPr>
          <w:rFonts w:hint="eastAsia" w:ascii="宋体" w:hAnsi="宋体" w:cs="宋体"/>
          <w:b/>
          <w:sz w:val="24"/>
        </w:rPr>
        <w:t>四、招标注意事项</w:t>
      </w:r>
    </w:p>
    <w:p>
      <w:pPr>
        <w:spacing w:line="440" w:lineRule="exact"/>
        <w:ind w:firstLine="480" w:firstLineChars="200"/>
        <w:rPr>
          <w:rFonts w:ascii="宋体" w:hAnsi="宋体" w:cs="宋体"/>
          <w:sz w:val="24"/>
        </w:rPr>
      </w:pPr>
      <w:r>
        <w:rPr>
          <w:rFonts w:hint="eastAsia" w:ascii="宋体" w:hAnsi="宋体" w:cs="宋体"/>
          <w:sz w:val="24"/>
        </w:rPr>
        <w:t>4.1投标时，投标人应派代表在指定的地点参加投标。投标人人员必须及时解释和澄清投标文件内容，并以书面的形式签署确定等。</w:t>
      </w:r>
    </w:p>
    <w:p>
      <w:pPr>
        <w:spacing w:line="440" w:lineRule="exact"/>
        <w:ind w:firstLine="480" w:firstLineChars="200"/>
        <w:rPr>
          <w:rFonts w:ascii="宋体" w:hAnsi="宋体" w:cs="宋体"/>
          <w:sz w:val="24"/>
        </w:rPr>
      </w:pPr>
      <w:r>
        <w:rPr>
          <w:rFonts w:hint="eastAsia" w:ascii="宋体" w:hAnsi="宋体" w:cs="宋体"/>
          <w:sz w:val="24"/>
        </w:rPr>
        <w:t>4.2评审时如发现投标人的报价明显高于其市场报价或低于成本价的，应要求该投标人书面说明并提供相关证明材料。该投标人不能合理说明原因并提供证明材料的，评审小组应将该投标人的采购投标文件作无效处理，同时采购组织机构应将该情况报同级财政部门，并视情将其列入不良投标人名单。</w:t>
      </w:r>
    </w:p>
    <w:p>
      <w:pPr>
        <w:spacing w:line="440" w:lineRule="exact"/>
        <w:ind w:firstLine="482" w:firstLineChars="200"/>
        <w:rPr>
          <w:rFonts w:ascii="宋体" w:hAnsi="宋体" w:cs="宋体"/>
          <w:b/>
          <w:sz w:val="24"/>
        </w:rPr>
      </w:pPr>
      <w:r>
        <w:rPr>
          <w:rFonts w:hint="eastAsia" w:ascii="宋体" w:hAnsi="宋体" w:cs="宋体"/>
          <w:b/>
          <w:sz w:val="24"/>
        </w:rPr>
        <w:t>五、评定纪律</w:t>
      </w:r>
    </w:p>
    <w:p>
      <w:pPr>
        <w:spacing w:line="440" w:lineRule="exact"/>
        <w:ind w:firstLine="480" w:firstLineChars="200"/>
        <w:rPr>
          <w:rFonts w:ascii="宋体" w:hAnsi="宋体" w:cs="宋体"/>
          <w:sz w:val="24"/>
        </w:rPr>
      </w:pPr>
      <w:r>
        <w:rPr>
          <w:rFonts w:hint="eastAsia" w:ascii="宋体" w:hAnsi="宋体" w:cs="宋体"/>
          <w:sz w:val="24"/>
        </w:rPr>
        <w:t>5.1评审小组必须公平、公正评定；遵纪守法，客观、廉洁地履行职责；</w:t>
      </w:r>
    </w:p>
    <w:p>
      <w:pPr>
        <w:spacing w:line="440" w:lineRule="exact"/>
        <w:ind w:firstLine="480" w:firstLineChars="200"/>
        <w:rPr>
          <w:rFonts w:ascii="宋体" w:hAnsi="宋体" w:cs="宋体"/>
          <w:sz w:val="24"/>
        </w:rPr>
      </w:pPr>
      <w:r>
        <w:rPr>
          <w:rFonts w:hint="eastAsia" w:ascii="宋体" w:hAnsi="宋体" w:cs="宋体"/>
          <w:sz w:val="24"/>
        </w:rPr>
        <w:t>5.2评审小组在评定开始前，应关闭随身携带的各种通信工具；</w:t>
      </w:r>
    </w:p>
    <w:p>
      <w:pPr>
        <w:spacing w:line="440" w:lineRule="exact"/>
        <w:ind w:firstLine="480" w:firstLineChars="200"/>
        <w:rPr>
          <w:rFonts w:ascii="宋体" w:hAnsi="宋体" w:cs="宋体"/>
          <w:sz w:val="24"/>
        </w:rPr>
      </w:pPr>
      <w:r>
        <w:rPr>
          <w:rFonts w:hint="eastAsia" w:ascii="宋体" w:hAnsi="宋体" w:cs="宋体"/>
          <w:sz w:val="24"/>
        </w:rPr>
        <w:t>5.3评审小组在评定过程中，未经许可不得中途离开评定现场，不得迟到早退；</w:t>
      </w:r>
    </w:p>
    <w:p>
      <w:pPr>
        <w:spacing w:line="440" w:lineRule="exact"/>
        <w:ind w:firstLine="480" w:firstLineChars="200"/>
        <w:rPr>
          <w:rFonts w:ascii="宋体" w:hAnsi="宋体" w:cs="宋体"/>
          <w:sz w:val="24"/>
        </w:rPr>
      </w:pPr>
      <w:r>
        <w:rPr>
          <w:rFonts w:hint="eastAsia" w:ascii="宋体" w:hAnsi="宋体" w:cs="宋体"/>
          <w:sz w:val="24"/>
        </w:rPr>
        <w:t>5.4评审小组和工作人员不得透露评定过程中的讨论情况和评定结果。</w:t>
      </w:r>
    </w:p>
    <w:p>
      <w:pPr>
        <w:spacing w:line="440" w:lineRule="exact"/>
        <w:ind w:firstLine="480" w:firstLineChars="200"/>
        <w:rPr>
          <w:rFonts w:ascii="宋体" w:hAnsi="宋体" w:cs="宋体"/>
          <w:sz w:val="24"/>
        </w:rPr>
      </w:pPr>
      <w:r>
        <w:rPr>
          <w:rFonts w:hint="eastAsia" w:ascii="宋体" w:hAnsi="宋体" w:cs="宋体"/>
          <w:sz w:val="24"/>
        </w:rPr>
        <w:t>5.5评审小组应当对照招标文件规定的条件和标准，对各投标人投标文件的合格性、完整性和有效性进行审查、比较和评估，其中对投标人的资格条件、主要技术参数、商务报价和其他评审要素等，评审专家应逐项进行审查、比较，不得漏评少评。如发现与采购文件要求相偏离的，应对其偏离情形进行必要的核实，并在评审报告中予以说明；如属于实质性偏离或符合无效响应条件的，应当询问投标人，并允许投标人进行陈述申辩，但不允许其对偏离条款时行补充、修正或搞撤回。</w:t>
      </w:r>
    </w:p>
    <w:p>
      <w:pPr>
        <w:spacing w:line="440" w:lineRule="exact"/>
        <w:ind w:firstLine="480" w:firstLineChars="200"/>
        <w:rPr>
          <w:rFonts w:ascii="宋体" w:hAnsi="宋体" w:cs="宋体"/>
          <w:sz w:val="24"/>
        </w:rPr>
      </w:pPr>
      <w:r>
        <w:rPr>
          <w:rFonts w:hint="eastAsia" w:ascii="宋体" w:hAnsi="宋体" w:cs="宋体"/>
          <w:sz w:val="24"/>
        </w:rPr>
        <w:t>5.6评审小组在评定过程中不得将自己的观点，强加给其他评审小组，评审小组应自主发表见解，对评审意见承担个人责任。</w:t>
      </w:r>
    </w:p>
    <w:p>
      <w:pPr>
        <w:spacing w:line="440" w:lineRule="exact"/>
        <w:ind w:firstLine="480" w:firstLineChars="200"/>
        <w:rPr>
          <w:rFonts w:ascii="宋体" w:hAnsi="宋体" w:cs="宋体"/>
          <w:sz w:val="24"/>
        </w:rPr>
      </w:pPr>
      <w:r>
        <w:rPr>
          <w:rFonts w:hint="eastAsia" w:ascii="宋体" w:hAnsi="宋体" w:cs="宋体"/>
          <w:sz w:val="24"/>
        </w:rPr>
        <w:t>5.7评审小组应根据评定办法确定项目得分，并参与评标报告的起草，按评定原则推荐1-3名中标候选人。</w:t>
      </w:r>
    </w:p>
    <w:p>
      <w:pPr>
        <w:spacing w:line="440" w:lineRule="exact"/>
        <w:ind w:firstLine="480" w:firstLineChars="200"/>
        <w:rPr>
          <w:rFonts w:ascii="宋体" w:hAnsi="宋体" w:cs="宋体"/>
          <w:sz w:val="24"/>
        </w:rPr>
      </w:pPr>
      <w:r>
        <w:rPr>
          <w:rFonts w:hint="eastAsia" w:ascii="宋体" w:hAnsi="宋体" w:cs="宋体"/>
          <w:sz w:val="24"/>
        </w:rPr>
        <w:t>5.8各评审人员应当独立、客观、公正地提出评审意见，不得带有倾向性，不得影响其他人员评审，并在评标报告上签字；如对评标报告有异议的，可以在报告上签署不同意见，并说明理由，否则将视为同意。</w:t>
      </w:r>
    </w:p>
    <w:p>
      <w:pPr>
        <w:spacing w:line="440" w:lineRule="exact"/>
        <w:ind w:firstLine="480" w:firstLineChars="200"/>
        <w:rPr>
          <w:rFonts w:ascii="宋体" w:hAnsi="宋体" w:cs="宋体"/>
          <w:sz w:val="24"/>
        </w:rPr>
      </w:pPr>
      <w:r>
        <w:rPr>
          <w:rFonts w:hint="eastAsia" w:ascii="宋体" w:hAnsi="宋体" w:cs="宋体"/>
          <w:sz w:val="24"/>
        </w:rPr>
        <w:t>5.9配合财政部门的投诉处理工作。</w:t>
      </w:r>
    </w:p>
    <w:p>
      <w:pPr>
        <w:spacing w:line="440" w:lineRule="exact"/>
        <w:ind w:firstLine="480" w:firstLineChars="200"/>
        <w:rPr>
          <w:rFonts w:ascii="宋体" w:hAnsi="宋体" w:cs="宋体"/>
          <w:sz w:val="24"/>
        </w:rPr>
      </w:pPr>
      <w:r>
        <w:rPr>
          <w:rFonts w:hint="eastAsia" w:ascii="宋体" w:hAnsi="宋体" w:cs="宋体"/>
          <w:sz w:val="24"/>
        </w:rPr>
        <w:t>5.10配合采购代理机构单位答复投标人提出的质疑。</w:t>
      </w:r>
    </w:p>
    <w:p>
      <w:pPr>
        <w:spacing w:line="440" w:lineRule="exact"/>
        <w:ind w:firstLine="480" w:firstLineChars="200"/>
        <w:rPr>
          <w:rFonts w:ascii="宋体" w:hAnsi="宋体" w:cs="宋体"/>
          <w:sz w:val="24"/>
        </w:rPr>
      </w:pPr>
      <w:r>
        <w:rPr>
          <w:rFonts w:hint="eastAsia" w:ascii="宋体" w:hAnsi="宋体" w:cs="宋体"/>
          <w:sz w:val="24"/>
        </w:rPr>
        <w:t>5.11评定委员会成员有如下行为之一的，责令改正，给予警告，可以并处一千元以下的罚款：</w:t>
      </w:r>
    </w:p>
    <w:p>
      <w:pPr>
        <w:spacing w:line="440" w:lineRule="exact"/>
        <w:ind w:firstLine="480" w:firstLineChars="200"/>
        <w:rPr>
          <w:rFonts w:ascii="宋体" w:hAnsi="宋体" w:cs="宋体"/>
          <w:sz w:val="24"/>
        </w:rPr>
      </w:pPr>
      <w:r>
        <w:rPr>
          <w:rFonts w:hint="eastAsia" w:ascii="宋体" w:hAnsi="宋体" w:cs="宋体"/>
          <w:sz w:val="24"/>
        </w:rPr>
        <w:t>5.11.1明知应当回避而未主动回避的；</w:t>
      </w:r>
    </w:p>
    <w:p>
      <w:pPr>
        <w:spacing w:line="440" w:lineRule="exact"/>
        <w:ind w:firstLine="480" w:firstLineChars="200"/>
        <w:rPr>
          <w:rFonts w:ascii="宋体" w:hAnsi="宋体" w:cs="宋体"/>
          <w:sz w:val="24"/>
        </w:rPr>
      </w:pPr>
      <w:r>
        <w:rPr>
          <w:rFonts w:hint="eastAsia" w:ascii="宋体" w:hAnsi="宋体" w:cs="宋体"/>
          <w:sz w:val="24"/>
        </w:rPr>
        <w:t>5.11.2在知道自己为评审小组身份后至评定结束前的时段内私下接触投标人的；</w:t>
      </w:r>
    </w:p>
    <w:p>
      <w:pPr>
        <w:spacing w:line="440" w:lineRule="exact"/>
        <w:ind w:firstLine="480" w:firstLineChars="200"/>
        <w:rPr>
          <w:rFonts w:ascii="宋体" w:hAnsi="宋体" w:cs="宋体"/>
          <w:sz w:val="24"/>
        </w:rPr>
      </w:pPr>
      <w:r>
        <w:rPr>
          <w:rFonts w:hint="eastAsia" w:ascii="宋体" w:hAnsi="宋体" w:cs="宋体"/>
          <w:sz w:val="24"/>
        </w:rPr>
        <w:t>5.11.3在评定过程中擅离职守，影响评定程序正常进行的；</w:t>
      </w:r>
    </w:p>
    <w:p>
      <w:pPr>
        <w:spacing w:line="440" w:lineRule="exact"/>
        <w:ind w:firstLine="480" w:firstLineChars="200"/>
        <w:rPr>
          <w:rFonts w:ascii="宋体" w:hAnsi="宋体" w:cs="宋体"/>
          <w:sz w:val="24"/>
        </w:rPr>
      </w:pPr>
      <w:r>
        <w:rPr>
          <w:rFonts w:hint="eastAsia" w:ascii="宋体" w:hAnsi="宋体" w:cs="宋体"/>
          <w:sz w:val="24"/>
        </w:rPr>
        <w:t>5.11.4在评定过程有明显不合理或者不正当倾向性的；</w:t>
      </w:r>
    </w:p>
    <w:p>
      <w:pPr>
        <w:spacing w:line="440" w:lineRule="exact"/>
        <w:ind w:firstLine="480" w:firstLineChars="200"/>
        <w:rPr>
          <w:rFonts w:ascii="宋体" w:hAnsi="宋体" w:cs="宋体"/>
          <w:sz w:val="24"/>
        </w:rPr>
      </w:pPr>
      <w:r>
        <w:rPr>
          <w:rFonts w:hint="eastAsia" w:ascii="宋体" w:hAnsi="宋体" w:cs="宋体"/>
          <w:sz w:val="24"/>
        </w:rPr>
        <w:t xml:space="preserve">5.11.5未按招标文件规定的评定方法和标准进行评定的。 </w:t>
      </w:r>
    </w:p>
    <w:p>
      <w:pPr>
        <w:rPr>
          <w:rFonts w:ascii="宋体" w:hAnsi="宋体" w:cs="宋体"/>
          <w:sz w:val="24"/>
        </w:rPr>
      </w:pPr>
      <w:r>
        <w:rPr>
          <w:rFonts w:hint="eastAsia" w:ascii="宋体" w:hAnsi="宋体" w:cs="宋体"/>
          <w:sz w:val="24"/>
        </w:rPr>
        <w:br w:type="page"/>
      </w:r>
    </w:p>
    <w:p>
      <w:pPr>
        <w:adjustRightInd w:val="0"/>
        <w:snapToGrid w:val="0"/>
        <w:spacing w:before="100" w:beforeAutospacing="1" w:after="100" w:afterAutospacing="1" w:line="360" w:lineRule="auto"/>
        <w:jc w:val="center"/>
        <w:outlineLvl w:val="0"/>
        <w:rPr>
          <w:b/>
          <w:sz w:val="32"/>
          <w:szCs w:val="32"/>
        </w:rPr>
      </w:pPr>
      <w:bookmarkStart w:id="40" w:name="_Toc19211"/>
      <w:r>
        <w:rPr>
          <w:rFonts w:hint="eastAsia"/>
          <w:b/>
          <w:sz w:val="32"/>
          <w:szCs w:val="32"/>
        </w:rPr>
        <w:t>第八部分政府采购项目招标代理协议书</w:t>
      </w:r>
      <w:bookmarkEnd w:id="40"/>
    </w:p>
    <w:p>
      <w:pPr>
        <w:snapToGrid w:val="0"/>
        <w:spacing w:line="600" w:lineRule="exact"/>
        <w:ind w:firstLine="480" w:firstLineChars="200"/>
        <w:rPr>
          <w:rFonts w:ascii="宋体" w:hAnsi="宋体" w:cs="宋体"/>
          <w:sz w:val="24"/>
        </w:rPr>
      </w:pPr>
      <w:r>
        <w:rPr>
          <w:rFonts w:hint="eastAsia" w:ascii="宋体" w:hAnsi="宋体" w:cs="宋体"/>
          <w:sz w:val="24"/>
        </w:rPr>
        <w:t>委托人：</w:t>
      </w:r>
      <w:r>
        <w:rPr>
          <w:rFonts w:hint="eastAsia" w:ascii="宋体" w:hAnsi="宋体" w:cs="宋体"/>
          <w:sz w:val="24"/>
          <w:u w:val="single"/>
        </w:rPr>
        <w:t>库车市水资源总站</w:t>
      </w:r>
    </w:p>
    <w:p>
      <w:pPr>
        <w:snapToGrid w:val="0"/>
        <w:spacing w:line="600" w:lineRule="exact"/>
        <w:ind w:firstLine="480" w:firstLineChars="200"/>
        <w:rPr>
          <w:rFonts w:ascii="宋体" w:hAnsi="宋体" w:cs="宋体"/>
          <w:sz w:val="24"/>
        </w:rPr>
      </w:pPr>
      <w:r>
        <w:rPr>
          <w:rFonts w:hint="eastAsia" w:ascii="宋体" w:hAnsi="宋体" w:cs="宋体"/>
          <w:sz w:val="24"/>
        </w:rPr>
        <w:t>受委托人：</w:t>
      </w:r>
      <w:r>
        <w:rPr>
          <w:rFonts w:hint="eastAsia"/>
          <w:sz w:val="24"/>
          <w:u w:val="single"/>
        </w:rPr>
        <w:t>新疆经开项目管理有限公司</w:t>
      </w:r>
    </w:p>
    <w:p>
      <w:pPr>
        <w:snapToGrid w:val="0"/>
        <w:spacing w:line="600" w:lineRule="exact"/>
        <w:ind w:firstLine="480" w:firstLineChars="200"/>
        <w:rPr>
          <w:rFonts w:ascii="宋体" w:hAnsi="宋体" w:cs="宋体"/>
          <w:sz w:val="24"/>
        </w:rPr>
      </w:pPr>
      <w:r>
        <w:rPr>
          <w:rFonts w:hint="eastAsia" w:ascii="宋体" w:hAnsi="宋体" w:cs="宋体"/>
          <w:sz w:val="24"/>
        </w:rPr>
        <w:t>依照《中华人民共和国合同法》、《中华人民共和国政府采购法》及国家的有关法律、行政法规，遵循平等、自愿、公平和诚实信用的原则，双方就</w:t>
      </w:r>
      <w:r>
        <w:rPr>
          <w:rFonts w:hint="eastAsia" w:ascii="宋体" w:hAnsi="宋体" w:cs="宋体"/>
          <w:sz w:val="24"/>
          <w:u w:val="single"/>
        </w:rPr>
        <w:t>本项目</w:t>
      </w:r>
      <w:r>
        <w:rPr>
          <w:rFonts w:hint="eastAsia" w:ascii="宋体" w:hAnsi="宋体" w:cs="宋体"/>
          <w:sz w:val="24"/>
        </w:rPr>
        <w:t>的招标代理事项协商一致，订立本合同。</w:t>
      </w:r>
    </w:p>
    <w:p>
      <w:pPr>
        <w:snapToGrid w:val="0"/>
        <w:spacing w:line="600" w:lineRule="exact"/>
        <w:ind w:firstLine="480" w:firstLineChars="200"/>
        <w:rPr>
          <w:rFonts w:ascii="宋体" w:hAnsi="宋体" w:cs="宋体"/>
          <w:sz w:val="24"/>
        </w:rPr>
      </w:pPr>
      <w:r>
        <w:rPr>
          <w:rFonts w:hint="eastAsia" w:ascii="宋体" w:hAnsi="宋体" w:cs="宋体"/>
          <w:sz w:val="24"/>
        </w:rPr>
        <w:t>一、项目概况</w:t>
      </w:r>
    </w:p>
    <w:p>
      <w:pPr>
        <w:tabs>
          <w:tab w:val="left" w:pos="8820"/>
        </w:tabs>
        <w:snapToGrid w:val="0"/>
        <w:spacing w:line="600" w:lineRule="exact"/>
        <w:ind w:firstLine="480" w:firstLineChars="200"/>
        <w:jc w:val="left"/>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库车市农业水价综合改革项目</w:t>
      </w:r>
    </w:p>
    <w:p>
      <w:pPr>
        <w:tabs>
          <w:tab w:val="left" w:pos="8820"/>
        </w:tabs>
        <w:snapToGrid w:val="0"/>
        <w:spacing w:line="600" w:lineRule="exact"/>
        <w:ind w:firstLine="480" w:firstLineChars="200"/>
        <w:jc w:val="left"/>
        <w:rPr>
          <w:rFonts w:ascii="宋体" w:hAnsi="宋体" w:cs="宋体"/>
          <w:sz w:val="24"/>
          <w:u w:val="single"/>
        </w:rPr>
      </w:pPr>
      <w:r>
        <w:rPr>
          <w:rFonts w:hint="eastAsia"/>
          <w:sz w:val="24"/>
        </w:rPr>
        <w:t>建设地址：</w:t>
      </w:r>
      <w:r>
        <w:rPr>
          <w:rFonts w:hint="eastAsia"/>
          <w:sz w:val="24"/>
          <w:u w:val="single"/>
        </w:rPr>
        <w:t xml:space="preserve">本项目位于阿克苏地区库车市。   </w:t>
      </w:r>
    </w:p>
    <w:p>
      <w:pPr>
        <w:tabs>
          <w:tab w:val="left" w:pos="8820"/>
        </w:tabs>
        <w:snapToGrid w:val="0"/>
        <w:spacing w:line="600" w:lineRule="exact"/>
        <w:ind w:firstLine="480" w:firstLineChars="200"/>
        <w:jc w:val="left"/>
        <w:rPr>
          <w:rFonts w:ascii="宋体" w:hAnsi="宋体" w:cs="宋体"/>
          <w:sz w:val="24"/>
          <w:u w:val="single"/>
        </w:rPr>
      </w:pPr>
      <w:r>
        <w:rPr>
          <w:rFonts w:hint="eastAsia" w:ascii="宋体" w:hAnsi="宋体" w:cs="宋体"/>
          <w:sz w:val="24"/>
        </w:rPr>
        <w:t>建筑规模：</w:t>
      </w:r>
      <w:r>
        <w:rPr>
          <w:rFonts w:hint="eastAsia" w:ascii="宋体" w:hAnsi="宋体" w:cs="宋体"/>
          <w:sz w:val="24"/>
          <w:u w:val="single"/>
        </w:rPr>
        <w:t>编制库车市农业灌溉水资源配置方案及供需平衡分析报告；编制库车市渠系水有效利用系数测算报告；委托实施库车市2022年农业水价综合改革（试点）验收工作的第三方支撑单位。</w:t>
      </w:r>
    </w:p>
    <w:p>
      <w:pPr>
        <w:tabs>
          <w:tab w:val="left" w:pos="8400"/>
        </w:tabs>
        <w:snapToGrid w:val="0"/>
        <w:spacing w:line="600" w:lineRule="exact"/>
        <w:ind w:firstLine="480" w:firstLineChars="200"/>
        <w:rPr>
          <w:rFonts w:ascii="宋体" w:hAnsi="宋体" w:cs="宋体"/>
          <w:sz w:val="24"/>
          <w:highlight w:val="yellow"/>
        </w:rPr>
      </w:pPr>
      <w:r>
        <w:rPr>
          <w:rFonts w:hint="eastAsia" w:ascii="宋体" w:hAnsi="宋体" w:cs="宋体"/>
          <w:sz w:val="24"/>
        </w:rPr>
        <w:t>预算金额：</w:t>
      </w:r>
      <w:r>
        <w:rPr>
          <w:rFonts w:hint="eastAsia" w:ascii="宋体" w:hAnsi="宋体" w:cs="宋体"/>
          <w:sz w:val="24"/>
          <w:u w:val="single"/>
        </w:rPr>
        <w:t>89万</w:t>
      </w:r>
      <w:r>
        <w:rPr>
          <w:rFonts w:hint="eastAsia" w:ascii="宋体" w:hAnsi="宋体" w:cs="宋体"/>
          <w:sz w:val="24"/>
          <w:szCs w:val="22"/>
          <w:u w:val="single"/>
        </w:rPr>
        <w:t xml:space="preserve">元 </w:t>
      </w:r>
    </w:p>
    <w:p>
      <w:pPr>
        <w:snapToGrid w:val="0"/>
        <w:spacing w:line="600" w:lineRule="exact"/>
        <w:ind w:firstLine="480" w:firstLineChars="200"/>
        <w:jc w:val="left"/>
        <w:rPr>
          <w:rFonts w:ascii="宋体" w:hAnsi="宋体" w:cs="宋体"/>
          <w:sz w:val="24"/>
        </w:rPr>
      </w:pPr>
      <w:r>
        <w:rPr>
          <w:rFonts w:hint="eastAsia" w:ascii="宋体" w:hAnsi="宋体" w:cs="宋体"/>
          <w:sz w:val="24"/>
        </w:rPr>
        <w:t>二、委托人委托受托人为本次采购项目的招标代理机构，承担本项目</w:t>
      </w:r>
      <w:r>
        <w:rPr>
          <w:rFonts w:hint="eastAsia" w:ascii="宋体" w:hAnsi="宋体" w:cs="宋体"/>
          <w:sz w:val="24"/>
          <w:u w:val="single"/>
        </w:rPr>
        <w:t>服务</w:t>
      </w:r>
      <w:r>
        <w:rPr>
          <w:rFonts w:hint="eastAsia" w:ascii="宋体" w:hAnsi="宋体" w:cs="宋体"/>
          <w:sz w:val="24"/>
        </w:rPr>
        <w:t>的招标代理工作。</w:t>
      </w:r>
    </w:p>
    <w:p>
      <w:pPr>
        <w:snapToGrid w:val="0"/>
        <w:spacing w:line="600" w:lineRule="exact"/>
        <w:ind w:firstLine="480" w:firstLineChars="200"/>
        <w:rPr>
          <w:rFonts w:ascii="宋体" w:hAnsi="宋体" w:cs="宋体"/>
          <w:sz w:val="24"/>
        </w:rPr>
      </w:pPr>
      <w:r>
        <w:rPr>
          <w:rFonts w:hint="eastAsia" w:ascii="宋体" w:hAnsi="宋体" w:cs="宋体"/>
          <w:sz w:val="24"/>
        </w:rPr>
        <w:t>三、合同价款</w:t>
      </w:r>
    </w:p>
    <w:p>
      <w:pPr>
        <w:snapToGrid w:val="0"/>
        <w:spacing w:line="600" w:lineRule="exact"/>
        <w:ind w:firstLine="480" w:firstLineChars="200"/>
        <w:rPr>
          <w:rFonts w:ascii="宋体" w:hAnsi="宋体" w:cs="宋体"/>
          <w:sz w:val="24"/>
          <w:u w:val="single"/>
        </w:rPr>
      </w:pPr>
      <w:r>
        <w:rPr>
          <w:rFonts w:hint="eastAsia" w:ascii="宋体" w:hAnsi="宋体" w:cs="宋体"/>
          <w:sz w:val="24"/>
        </w:rPr>
        <w:t>代理报酬为人民币</w:t>
      </w:r>
      <w:r>
        <w:rPr>
          <w:rFonts w:hint="eastAsia"/>
          <w:sz w:val="24"/>
          <w:u w:val="single"/>
        </w:rPr>
        <w:t>根据国家计委《计价格[2002]1980号》文件</w:t>
      </w:r>
      <w:r>
        <w:rPr>
          <w:rFonts w:hint="eastAsia"/>
          <w:sz w:val="24"/>
        </w:rPr>
        <w:t>计取，由中标人支付</w:t>
      </w:r>
      <w:r>
        <w:rPr>
          <w:rFonts w:hint="eastAsia" w:ascii="宋体" w:hAnsi="宋体" w:cs="宋体"/>
          <w:sz w:val="24"/>
        </w:rPr>
        <w:t xml:space="preserve">。 </w:t>
      </w:r>
    </w:p>
    <w:p>
      <w:pPr>
        <w:snapToGrid w:val="0"/>
        <w:spacing w:line="600" w:lineRule="exact"/>
        <w:ind w:firstLine="480" w:firstLineChars="200"/>
        <w:rPr>
          <w:rFonts w:ascii="宋体" w:hAnsi="宋体" w:cs="宋体"/>
          <w:sz w:val="24"/>
        </w:rPr>
      </w:pPr>
      <w:r>
        <w:rPr>
          <w:rFonts w:hint="eastAsia" w:ascii="宋体" w:hAnsi="宋体" w:cs="宋体"/>
          <w:sz w:val="24"/>
        </w:rPr>
        <w:t>四、合同订立</w:t>
      </w:r>
    </w:p>
    <w:p>
      <w:pPr>
        <w:snapToGrid w:val="0"/>
        <w:spacing w:line="600" w:lineRule="exact"/>
        <w:ind w:firstLine="480" w:firstLineChars="200"/>
        <w:rPr>
          <w:rFonts w:ascii="宋体" w:hAnsi="宋体" w:cs="宋体"/>
          <w:sz w:val="24"/>
        </w:rPr>
      </w:pPr>
      <w:r>
        <w:rPr>
          <w:rFonts w:hint="eastAsia" w:ascii="宋体" w:hAnsi="宋体" w:cs="宋体"/>
          <w:sz w:val="24"/>
        </w:rPr>
        <w:t>合同订立时间：</w:t>
      </w:r>
      <w:r>
        <w:rPr>
          <w:rFonts w:hint="eastAsia" w:ascii="宋体" w:hAnsi="宋体" w:cs="宋体"/>
          <w:sz w:val="24"/>
          <w:u w:val="single"/>
        </w:rPr>
        <w:t xml:space="preserve"> 2022</w:t>
      </w:r>
      <w:r>
        <w:rPr>
          <w:rFonts w:hint="eastAsia" w:ascii="宋体" w:hAnsi="宋体" w:cs="宋体"/>
          <w:sz w:val="24"/>
        </w:rPr>
        <w:t>年</w:t>
      </w:r>
      <w:r>
        <w:rPr>
          <w:rFonts w:hint="eastAsia" w:ascii="宋体" w:hAnsi="宋体" w:cs="宋体"/>
          <w:sz w:val="24"/>
          <w:u w:val="single"/>
        </w:rPr>
        <w:t>8</w:t>
      </w:r>
      <w:r>
        <w:rPr>
          <w:rFonts w:hint="eastAsia" w:ascii="宋体" w:hAnsi="宋体" w:cs="宋体"/>
          <w:sz w:val="24"/>
        </w:rPr>
        <w:t>月</w:t>
      </w:r>
      <w:r>
        <w:rPr>
          <w:rFonts w:hint="eastAsia" w:ascii="宋体" w:hAnsi="宋体" w:cs="宋体"/>
          <w:sz w:val="24"/>
          <w:u w:val="single"/>
        </w:rPr>
        <w:t>25</w:t>
      </w:r>
      <w:r>
        <w:rPr>
          <w:rFonts w:hint="eastAsia" w:ascii="宋体" w:hAnsi="宋体" w:cs="宋体"/>
          <w:sz w:val="24"/>
        </w:rPr>
        <w:t>日</w:t>
      </w:r>
    </w:p>
    <w:p>
      <w:pPr>
        <w:snapToGrid w:val="0"/>
        <w:spacing w:line="600" w:lineRule="exact"/>
        <w:ind w:firstLine="480" w:firstLineChars="200"/>
        <w:rPr>
          <w:rFonts w:ascii="宋体" w:hAnsi="宋体" w:cs="宋体"/>
          <w:sz w:val="24"/>
        </w:rPr>
      </w:pPr>
      <w:r>
        <w:rPr>
          <w:rFonts w:hint="eastAsia" w:ascii="宋体" w:hAnsi="宋体" w:cs="宋体"/>
          <w:sz w:val="24"/>
        </w:rPr>
        <w:t>合同订立地点：</w:t>
      </w:r>
      <w:r>
        <w:rPr>
          <w:rFonts w:hint="eastAsia" w:ascii="宋体" w:hAnsi="宋体" w:cs="宋体"/>
          <w:sz w:val="24"/>
          <w:u w:val="single"/>
        </w:rPr>
        <w:t>库车市水资源总站</w:t>
      </w:r>
    </w:p>
    <w:p>
      <w:pPr>
        <w:snapToGrid w:val="0"/>
        <w:spacing w:line="600" w:lineRule="exact"/>
        <w:rPr>
          <w:rFonts w:ascii="宋体" w:hAnsi="宋体" w:cs="宋体"/>
          <w:sz w:val="24"/>
        </w:rPr>
        <w:sectPr>
          <w:headerReference r:id="rId9" w:type="default"/>
          <w:footerReference r:id="rId10" w:type="default"/>
          <w:pgSz w:w="11906" w:h="16838"/>
          <w:pgMar w:top="1440" w:right="1080" w:bottom="1440" w:left="1080" w:header="851" w:footer="992" w:gutter="0"/>
          <w:cols w:space="720" w:num="1"/>
          <w:docGrid w:type="lines" w:linePitch="312" w:charSpace="0"/>
        </w:sectPr>
      </w:pPr>
    </w:p>
    <w:p>
      <w:pPr>
        <w:snapToGrid w:val="0"/>
        <w:spacing w:line="600" w:lineRule="exact"/>
        <w:ind w:firstLine="480" w:firstLineChars="200"/>
        <w:rPr>
          <w:rFonts w:ascii="宋体" w:hAnsi="宋体" w:cs="宋体"/>
          <w:sz w:val="24"/>
        </w:rPr>
      </w:pPr>
      <w:r>
        <w:rPr>
          <w:rFonts w:hint="eastAsia" w:ascii="宋体" w:hAnsi="宋体" w:cs="宋体"/>
          <w:sz w:val="24"/>
        </w:rPr>
        <w:t>五、合同生效</w:t>
      </w:r>
    </w:p>
    <w:p>
      <w:pPr>
        <w:snapToGrid w:val="0"/>
        <w:spacing w:line="600" w:lineRule="exact"/>
        <w:ind w:firstLine="480" w:firstLineChars="200"/>
        <w:rPr>
          <w:rFonts w:ascii="宋体" w:hAnsi="宋体" w:cs="宋体"/>
          <w:sz w:val="24"/>
        </w:rPr>
      </w:pPr>
      <w:r>
        <w:rPr>
          <w:rFonts w:hint="eastAsia" w:ascii="宋体" w:hAnsi="宋体" w:cs="宋体"/>
          <w:sz w:val="24"/>
        </w:rPr>
        <w:t>本合同双方约定</w:t>
      </w:r>
      <w:r>
        <w:rPr>
          <w:rFonts w:hint="eastAsia" w:ascii="宋体" w:hAnsi="宋体" w:cs="宋体"/>
          <w:sz w:val="24"/>
          <w:u w:val="single"/>
        </w:rPr>
        <w:t xml:space="preserve">  签字盖章  </w:t>
      </w:r>
      <w:r>
        <w:rPr>
          <w:rFonts w:hint="eastAsia" w:ascii="宋体" w:hAnsi="宋体" w:cs="宋体"/>
          <w:sz w:val="24"/>
        </w:rPr>
        <w:t>后生效</w:t>
      </w:r>
    </w:p>
    <w:p>
      <w:pPr>
        <w:snapToGrid w:val="0"/>
        <w:spacing w:line="460" w:lineRule="exact"/>
        <w:ind w:firstLine="480" w:firstLineChars="200"/>
        <w:rPr>
          <w:rFonts w:ascii="宋体" w:hAnsi="宋体" w:cs="宋体"/>
          <w:sz w:val="24"/>
        </w:rPr>
      </w:pPr>
    </w:p>
    <w:p>
      <w:pPr>
        <w:snapToGrid w:val="0"/>
        <w:spacing w:line="460" w:lineRule="exact"/>
        <w:rPr>
          <w:rFonts w:ascii="宋体" w:hAnsi="宋体" w:cs="宋体"/>
          <w:sz w:val="24"/>
        </w:rPr>
      </w:pPr>
    </w:p>
    <w:p>
      <w:pPr>
        <w:tabs>
          <w:tab w:val="left" w:pos="4680"/>
        </w:tabs>
        <w:snapToGrid w:val="0"/>
        <w:spacing w:line="460" w:lineRule="exact"/>
        <w:ind w:firstLine="480" w:firstLineChars="200"/>
        <w:rPr>
          <w:rFonts w:ascii="宋体" w:hAnsi="宋体" w:cs="宋体"/>
          <w:sz w:val="24"/>
        </w:rPr>
      </w:pPr>
      <w:r>
        <w:rPr>
          <w:rFonts w:hint="eastAsia" w:ascii="宋体" w:hAnsi="宋体" w:cs="宋体"/>
          <w:sz w:val="24"/>
        </w:rPr>
        <w:t xml:space="preserve">委托人(盖章)：                   </w:t>
      </w:r>
    </w:p>
    <w:p>
      <w:pPr>
        <w:tabs>
          <w:tab w:val="left" w:pos="4680"/>
        </w:tabs>
        <w:snapToGrid w:val="0"/>
        <w:spacing w:line="460" w:lineRule="exact"/>
        <w:ind w:firstLine="480" w:firstLineChars="200"/>
        <w:rPr>
          <w:rFonts w:ascii="宋体" w:hAnsi="宋体" w:cs="宋体"/>
          <w:sz w:val="24"/>
          <w:u w:val="single"/>
        </w:rPr>
      </w:pPr>
      <w:r>
        <w:rPr>
          <w:rFonts w:hint="eastAsia" w:ascii="宋体" w:hAnsi="宋体" w:cs="宋体"/>
          <w:sz w:val="24"/>
        </w:rPr>
        <w:t>法定代表人(签字或盖章)：</w:t>
      </w:r>
    </w:p>
    <w:p>
      <w:pPr>
        <w:tabs>
          <w:tab w:val="left" w:pos="4680"/>
        </w:tabs>
        <w:snapToGrid w:val="0"/>
        <w:spacing w:line="460" w:lineRule="exact"/>
        <w:ind w:firstLine="480" w:firstLineChars="200"/>
        <w:rPr>
          <w:rFonts w:ascii="宋体" w:hAnsi="宋体" w:cs="宋体"/>
          <w:sz w:val="24"/>
          <w:u w:val="single"/>
        </w:rPr>
      </w:pPr>
      <w:r>
        <w:rPr>
          <w:rFonts w:hint="eastAsia" w:ascii="宋体" w:hAnsi="宋体" w:cs="宋体"/>
          <w:sz w:val="24"/>
        </w:rPr>
        <w:t>授权代理人(签字或盖章)：</w:t>
      </w:r>
    </w:p>
    <w:p>
      <w:pPr>
        <w:tabs>
          <w:tab w:val="left" w:pos="4680"/>
        </w:tabs>
        <w:snapToGrid w:val="0"/>
        <w:spacing w:line="460" w:lineRule="exact"/>
        <w:ind w:firstLine="480" w:firstLineChars="200"/>
        <w:rPr>
          <w:rFonts w:ascii="宋体" w:hAnsi="宋体" w:cs="宋体"/>
          <w:sz w:val="24"/>
          <w:u w:val="single"/>
        </w:rPr>
      </w:pPr>
      <w:r>
        <w:rPr>
          <w:rFonts w:hint="eastAsia" w:ascii="宋体" w:hAnsi="宋体" w:cs="宋体"/>
          <w:sz w:val="24"/>
        </w:rPr>
        <w:t>单位地址：</w:t>
      </w:r>
    </w:p>
    <w:p>
      <w:pPr>
        <w:tabs>
          <w:tab w:val="left" w:pos="4680"/>
        </w:tabs>
        <w:snapToGrid w:val="0"/>
        <w:spacing w:line="460" w:lineRule="exact"/>
        <w:ind w:firstLine="480" w:firstLineChars="200"/>
        <w:rPr>
          <w:rFonts w:ascii="宋体" w:hAnsi="宋体" w:cs="宋体"/>
          <w:sz w:val="24"/>
        </w:rPr>
      </w:pPr>
      <w:r>
        <w:rPr>
          <w:rFonts w:hint="eastAsia" w:ascii="宋体" w:hAnsi="宋体" w:cs="宋体"/>
          <w:sz w:val="24"/>
        </w:rPr>
        <w:t>邮政编码：</w:t>
      </w:r>
    </w:p>
    <w:p>
      <w:pPr>
        <w:tabs>
          <w:tab w:val="left" w:pos="4140"/>
        </w:tabs>
        <w:snapToGrid w:val="0"/>
        <w:spacing w:line="460" w:lineRule="exact"/>
        <w:ind w:firstLine="480" w:firstLineChars="200"/>
        <w:jc w:val="left"/>
        <w:rPr>
          <w:rFonts w:ascii="宋体" w:hAnsi="宋体" w:cs="宋体"/>
          <w:sz w:val="24"/>
        </w:rPr>
      </w:pPr>
      <w:r>
        <w:rPr>
          <w:rFonts w:hint="eastAsia" w:ascii="宋体" w:hAnsi="宋体" w:cs="宋体"/>
          <w:sz w:val="24"/>
        </w:rPr>
        <w:t>联系电话：</w:t>
      </w:r>
    </w:p>
    <w:p>
      <w:pPr>
        <w:tabs>
          <w:tab w:val="left" w:pos="4140"/>
        </w:tabs>
        <w:snapToGrid w:val="0"/>
        <w:spacing w:line="460" w:lineRule="exact"/>
        <w:ind w:firstLine="480" w:firstLineChars="200"/>
        <w:rPr>
          <w:rFonts w:ascii="宋体" w:hAnsi="宋体" w:cs="宋体"/>
          <w:sz w:val="24"/>
          <w:u w:val="single"/>
        </w:rPr>
      </w:pPr>
      <w:r>
        <w:rPr>
          <w:rFonts w:hint="eastAsia" w:ascii="宋体" w:hAnsi="宋体" w:cs="宋体"/>
          <w:sz w:val="24"/>
        </w:rPr>
        <w:t>传    真：</w:t>
      </w:r>
      <w:r>
        <w:rPr>
          <w:rFonts w:hint="eastAsia" w:ascii="宋体" w:hAnsi="宋体" w:cs="宋体"/>
          <w:sz w:val="24"/>
          <w:u w:val="single"/>
        </w:rPr>
        <w:tab/>
      </w:r>
    </w:p>
    <w:p>
      <w:pPr>
        <w:snapToGrid w:val="0"/>
        <w:spacing w:line="460" w:lineRule="exact"/>
        <w:ind w:firstLine="480" w:firstLineChars="200"/>
        <w:rPr>
          <w:rFonts w:ascii="宋体" w:hAnsi="宋体" w:cs="宋体"/>
          <w:sz w:val="24"/>
          <w:u w:val="single"/>
        </w:rPr>
      </w:pPr>
      <w:r>
        <w:rPr>
          <w:rFonts w:hint="eastAsia" w:ascii="宋体" w:hAnsi="宋体" w:cs="宋体"/>
          <w:sz w:val="24"/>
        </w:rPr>
        <w:t>电子信箱：</w:t>
      </w:r>
      <w:r>
        <w:rPr>
          <w:rFonts w:hint="eastAsia" w:ascii="宋体" w:hAnsi="宋体" w:cs="宋体"/>
          <w:sz w:val="24"/>
          <w:u w:val="single"/>
        </w:rPr>
        <w:tab/>
      </w:r>
      <w:r>
        <w:rPr>
          <w:rFonts w:hint="eastAsia" w:ascii="宋体" w:hAnsi="宋体" w:cs="宋体"/>
          <w:sz w:val="24"/>
          <w:u w:val="single"/>
        </w:rPr>
        <w:t xml:space="preserve">                 </w:t>
      </w:r>
    </w:p>
    <w:p>
      <w:pPr>
        <w:tabs>
          <w:tab w:val="left" w:pos="4140"/>
        </w:tabs>
        <w:snapToGrid w:val="0"/>
        <w:spacing w:line="460" w:lineRule="exact"/>
        <w:ind w:left="478" w:leftChars="228"/>
        <w:rPr>
          <w:rFonts w:ascii="宋体" w:hAnsi="宋体" w:cs="宋体"/>
          <w:sz w:val="24"/>
          <w:u w:val="single"/>
        </w:rPr>
      </w:pPr>
      <w:r>
        <w:rPr>
          <w:rFonts w:hint="eastAsia" w:ascii="宋体" w:hAnsi="宋体" w:cs="宋体"/>
          <w:sz w:val="24"/>
        </w:rPr>
        <w:t>开户银行：</w:t>
      </w:r>
      <w:r>
        <w:rPr>
          <w:rFonts w:hint="eastAsia" w:ascii="宋体" w:hAnsi="宋体" w:cs="宋体"/>
          <w:sz w:val="24"/>
          <w:u w:val="single"/>
        </w:rPr>
        <w:tab/>
      </w:r>
    </w:p>
    <w:p>
      <w:pPr>
        <w:tabs>
          <w:tab w:val="left" w:pos="4140"/>
        </w:tabs>
        <w:snapToGrid w:val="0"/>
        <w:spacing w:line="460" w:lineRule="exact"/>
        <w:ind w:left="478" w:leftChars="228"/>
        <w:rPr>
          <w:rFonts w:ascii="宋体" w:hAnsi="宋体" w:cs="宋体"/>
          <w:sz w:val="24"/>
          <w:u w:val="single"/>
        </w:rPr>
      </w:pPr>
      <w:r>
        <w:rPr>
          <w:rFonts w:hint="eastAsia" w:ascii="宋体" w:hAnsi="宋体" w:cs="宋体"/>
          <w:sz w:val="24"/>
        </w:rPr>
        <w:t>帐    号：</w:t>
      </w:r>
    </w:p>
    <w:p>
      <w:pPr>
        <w:tabs>
          <w:tab w:val="left" w:pos="4110"/>
        </w:tabs>
        <w:snapToGrid w:val="0"/>
        <w:spacing w:line="460" w:lineRule="exact"/>
        <w:ind w:firstLine="480" w:firstLineChars="200"/>
        <w:rPr>
          <w:rFonts w:ascii="宋体" w:hAnsi="宋体" w:cs="宋体"/>
          <w:sz w:val="24"/>
        </w:rPr>
      </w:pPr>
      <w:r>
        <w:rPr>
          <w:rFonts w:hint="eastAsia" w:ascii="宋体" w:hAnsi="宋体" w:cs="宋体"/>
          <w:sz w:val="24"/>
        </w:rPr>
        <w:tab/>
      </w:r>
    </w:p>
    <w:p>
      <w:pPr>
        <w:tabs>
          <w:tab w:val="left" w:pos="3750"/>
        </w:tabs>
        <w:snapToGrid w:val="0"/>
        <w:spacing w:line="440" w:lineRule="exact"/>
        <w:ind w:firstLine="480" w:firstLineChars="200"/>
        <w:rPr>
          <w:rFonts w:ascii="宋体" w:hAnsi="宋体" w:cs="宋体"/>
          <w:sz w:val="24"/>
        </w:rPr>
      </w:pPr>
      <w:r>
        <w:rPr>
          <w:rFonts w:hint="eastAsia" w:ascii="宋体" w:hAnsi="宋体" w:cs="宋体"/>
          <w:sz w:val="24"/>
        </w:rPr>
        <w:t>受托人(盖章)：</w:t>
      </w:r>
    </w:p>
    <w:p>
      <w:pPr>
        <w:tabs>
          <w:tab w:val="left" w:pos="3750"/>
        </w:tabs>
        <w:snapToGrid w:val="0"/>
        <w:spacing w:line="440" w:lineRule="exact"/>
        <w:ind w:left="478" w:leftChars="228"/>
        <w:rPr>
          <w:rFonts w:ascii="宋体" w:hAnsi="宋体" w:cs="宋体"/>
          <w:sz w:val="24"/>
          <w:u w:val="single"/>
        </w:rPr>
      </w:pPr>
      <w:r>
        <w:rPr>
          <w:rFonts w:hint="eastAsia" w:ascii="宋体" w:hAnsi="宋体" w:cs="宋体"/>
          <w:sz w:val="24"/>
        </w:rPr>
        <w:t>法定代表人(签字或盖章)：</w:t>
      </w:r>
      <w:r>
        <w:rPr>
          <w:rFonts w:hint="eastAsia" w:ascii="宋体" w:hAnsi="宋体" w:cs="宋体"/>
          <w:sz w:val="24"/>
        </w:rPr>
        <w:br w:type="textWrapping"/>
      </w:r>
      <w:r>
        <w:rPr>
          <w:rFonts w:hint="eastAsia" w:ascii="宋体" w:hAnsi="宋体" w:cs="宋体"/>
          <w:sz w:val="24"/>
        </w:rPr>
        <w:t>授权代理人(签字或盖章)：</w:t>
      </w:r>
      <w:r>
        <w:rPr>
          <w:rFonts w:hint="eastAsia" w:ascii="宋体" w:hAnsi="宋体" w:cs="宋体"/>
          <w:sz w:val="24"/>
        </w:rPr>
        <w:br w:type="textWrapping"/>
      </w:r>
      <w:r>
        <w:rPr>
          <w:rFonts w:hint="eastAsia" w:ascii="宋体" w:hAnsi="宋体" w:cs="宋体"/>
          <w:sz w:val="24"/>
        </w:rPr>
        <w:t>单位地址：</w:t>
      </w:r>
      <w:r>
        <w:rPr>
          <w:rFonts w:hint="eastAsia" w:ascii="宋体" w:hAnsi="宋体" w:cs="宋体"/>
          <w:sz w:val="24"/>
          <w:u w:val="single"/>
        </w:rPr>
        <w:t>新疆阿克苏地区库车市东城街道长安社区幸福路65号开发区企业公馆B座1201室</w:t>
      </w:r>
    </w:p>
    <w:p>
      <w:pPr>
        <w:tabs>
          <w:tab w:val="left" w:pos="3750"/>
        </w:tabs>
        <w:snapToGrid w:val="0"/>
        <w:spacing w:line="440" w:lineRule="exact"/>
        <w:ind w:firstLine="480" w:firstLineChars="200"/>
        <w:rPr>
          <w:rFonts w:ascii="宋体" w:hAnsi="宋体" w:cs="宋体"/>
          <w:sz w:val="24"/>
        </w:rPr>
      </w:pPr>
      <w:r>
        <w:rPr>
          <w:rFonts w:hint="eastAsia" w:ascii="宋体" w:hAnsi="宋体" w:cs="宋体"/>
          <w:sz w:val="24"/>
        </w:rPr>
        <w:t>邮政编码：</w:t>
      </w:r>
      <w:r>
        <w:rPr>
          <w:rFonts w:hint="eastAsia" w:ascii="宋体" w:hAnsi="宋体" w:cs="宋体"/>
          <w:sz w:val="24"/>
          <w:u w:val="single"/>
        </w:rPr>
        <w:t>842000</w:t>
      </w:r>
    </w:p>
    <w:p>
      <w:pPr>
        <w:tabs>
          <w:tab w:val="left" w:pos="3750"/>
        </w:tabs>
        <w:snapToGrid w:val="0"/>
        <w:spacing w:line="440" w:lineRule="exact"/>
        <w:ind w:firstLine="480" w:firstLineChars="200"/>
        <w:rPr>
          <w:rFonts w:ascii="宋体" w:hAnsi="宋体" w:cs="宋体"/>
          <w:sz w:val="24"/>
          <w:u w:val="single"/>
        </w:rPr>
      </w:pPr>
      <w:r>
        <w:rPr>
          <w:rFonts w:hint="eastAsia" w:ascii="宋体" w:hAnsi="宋体" w:cs="宋体"/>
          <w:sz w:val="24"/>
        </w:rPr>
        <w:t>联系电话：</w:t>
      </w:r>
      <w:r>
        <w:rPr>
          <w:rFonts w:hint="eastAsia" w:ascii="宋体" w:hAnsi="宋体" w:cs="宋体"/>
          <w:sz w:val="24"/>
          <w:u w:val="single"/>
        </w:rPr>
        <w:t>18699068456</w:t>
      </w:r>
    </w:p>
    <w:p>
      <w:pPr>
        <w:tabs>
          <w:tab w:val="left" w:pos="3750"/>
        </w:tabs>
        <w:snapToGrid w:val="0"/>
        <w:spacing w:line="440" w:lineRule="exact"/>
        <w:ind w:firstLine="480" w:firstLineChars="200"/>
        <w:rPr>
          <w:rFonts w:ascii="宋体" w:hAnsi="宋体" w:cs="宋体"/>
          <w:sz w:val="24"/>
        </w:rPr>
      </w:pPr>
      <w:r>
        <w:rPr>
          <w:rFonts w:hint="eastAsia" w:ascii="宋体" w:hAnsi="宋体" w:cs="宋体"/>
          <w:sz w:val="24"/>
        </w:rPr>
        <w:t>电子信箱：</w:t>
      </w:r>
      <w:r>
        <w:rPr>
          <w:rStyle w:val="29"/>
          <w:rFonts w:hint="eastAsia" w:ascii="宋体" w:hAnsi="宋体" w:cs="宋体"/>
          <w:color w:val="auto"/>
          <w:sz w:val="24"/>
        </w:rPr>
        <w:t>407157814</w:t>
      </w:r>
      <w:r>
        <w:rPr>
          <w:rFonts w:hint="eastAsia" w:ascii="宋体" w:hAnsi="宋体" w:cs="宋体"/>
          <w:sz w:val="24"/>
          <w:u w:val="single"/>
        </w:rPr>
        <w:t>@qq.com</w:t>
      </w:r>
    </w:p>
    <w:p>
      <w:pPr>
        <w:tabs>
          <w:tab w:val="left" w:pos="3750"/>
        </w:tabs>
        <w:snapToGrid w:val="0"/>
        <w:spacing w:line="440" w:lineRule="exact"/>
        <w:ind w:firstLine="480" w:firstLineChars="200"/>
        <w:rPr>
          <w:rFonts w:ascii="宋体" w:hAnsi="宋体" w:cs="宋体"/>
          <w:sz w:val="24"/>
        </w:rPr>
      </w:pPr>
      <w:r>
        <w:rPr>
          <w:rFonts w:hint="eastAsia" w:ascii="宋体" w:hAnsi="宋体" w:cs="宋体"/>
          <w:sz w:val="24"/>
        </w:rPr>
        <w:t>开户银行：</w:t>
      </w:r>
      <w:r>
        <w:rPr>
          <w:rFonts w:hint="eastAsia" w:ascii="宋体" w:hAnsi="宋体" w:cs="宋体"/>
          <w:sz w:val="24"/>
          <w:u w:val="single"/>
        </w:rPr>
        <w:t>中国工商银行股份有限公司库车支行营业部</w:t>
      </w:r>
    </w:p>
    <w:p>
      <w:pPr>
        <w:tabs>
          <w:tab w:val="left" w:pos="3750"/>
        </w:tabs>
        <w:snapToGrid w:val="0"/>
        <w:spacing w:line="440" w:lineRule="exact"/>
        <w:ind w:firstLine="480" w:firstLineChars="200"/>
        <w:rPr>
          <w:rFonts w:ascii="宋体" w:hAnsi="宋体" w:cs="宋体"/>
          <w:sz w:val="24"/>
        </w:rPr>
      </w:pPr>
      <w:r>
        <w:rPr>
          <w:rFonts w:hint="eastAsia" w:ascii="宋体" w:hAnsi="宋体" w:cs="宋体"/>
          <w:sz w:val="24"/>
        </w:rPr>
        <w:t>帐    号：</w:t>
      </w:r>
      <w:r>
        <w:rPr>
          <w:rFonts w:hint="eastAsia" w:ascii="宋体" w:hAnsi="宋体" w:cs="宋体"/>
          <w:sz w:val="24"/>
          <w:u w:val="single"/>
        </w:rPr>
        <w:t>3014120109200197604</w:t>
      </w:r>
    </w:p>
    <w:p>
      <w:pPr>
        <w:tabs>
          <w:tab w:val="left" w:pos="3750"/>
        </w:tabs>
        <w:snapToGrid w:val="0"/>
        <w:spacing w:line="440" w:lineRule="exact"/>
        <w:rPr>
          <w:rFonts w:ascii="宋体" w:hAnsi="宋体" w:cs="宋体"/>
          <w:sz w:val="24"/>
        </w:rPr>
      </w:pPr>
    </w:p>
    <w:p>
      <w:pPr>
        <w:tabs>
          <w:tab w:val="left" w:pos="3750"/>
        </w:tabs>
        <w:snapToGrid w:val="0"/>
        <w:spacing w:line="440" w:lineRule="exact"/>
        <w:ind w:firstLine="480" w:firstLineChars="200"/>
        <w:rPr>
          <w:rFonts w:ascii="宋体" w:hAnsi="宋体" w:cs="宋体"/>
          <w:sz w:val="24"/>
        </w:rPr>
      </w:pPr>
    </w:p>
    <w:p>
      <w:pPr>
        <w:tabs>
          <w:tab w:val="left" w:pos="3750"/>
        </w:tabs>
        <w:snapToGrid w:val="0"/>
        <w:spacing w:line="440" w:lineRule="exact"/>
        <w:ind w:firstLine="480" w:firstLineChars="200"/>
        <w:rPr>
          <w:rFonts w:ascii="宋体" w:hAnsi="宋体" w:cs="宋体"/>
          <w:sz w:val="24"/>
        </w:rPr>
      </w:pPr>
    </w:p>
    <w:p>
      <w:pPr>
        <w:tabs>
          <w:tab w:val="left" w:pos="3750"/>
        </w:tabs>
        <w:snapToGrid w:val="0"/>
        <w:spacing w:line="440" w:lineRule="exact"/>
        <w:ind w:firstLine="480" w:firstLineChars="200"/>
        <w:rPr>
          <w:rFonts w:ascii="宋体" w:hAnsi="宋体" w:cs="宋体"/>
          <w:sz w:val="24"/>
        </w:rPr>
      </w:pPr>
    </w:p>
    <w:p>
      <w:pPr>
        <w:tabs>
          <w:tab w:val="left" w:pos="3750"/>
        </w:tabs>
        <w:snapToGrid w:val="0"/>
        <w:spacing w:line="440" w:lineRule="exact"/>
        <w:ind w:firstLine="480" w:firstLineChars="200"/>
        <w:rPr>
          <w:rFonts w:ascii="宋体" w:hAnsi="宋体" w:cs="宋体"/>
          <w:sz w:val="24"/>
        </w:rPr>
      </w:pPr>
    </w:p>
    <w:p>
      <w:pPr>
        <w:tabs>
          <w:tab w:val="left" w:pos="3750"/>
        </w:tabs>
        <w:snapToGrid w:val="0"/>
        <w:spacing w:line="440" w:lineRule="exact"/>
        <w:ind w:firstLine="480" w:firstLineChars="200"/>
        <w:rPr>
          <w:rFonts w:ascii="宋体" w:hAnsi="宋体" w:cs="宋体"/>
          <w:sz w:val="24"/>
        </w:rPr>
      </w:pPr>
    </w:p>
    <w:p>
      <w:pPr>
        <w:rPr>
          <w:rFonts w:ascii="宋体" w:hAnsi="宋体" w:cs="宋体"/>
          <w:b/>
          <w:sz w:val="24"/>
        </w:rPr>
      </w:pPr>
    </w:p>
    <w:p>
      <w:pPr>
        <w:spacing w:line="600" w:lineRule="exact"/>
        <w:ind w:firstLine="480" w:firstLineChars="200"/>
        <w:rPr>
          <w:rFonts w:ascii="宋体" w:hAnsi="宋体" w:cs="宋体"/>
          <w:sz w:val="24"/>
        </w:rPr>
      </w:pPr>
      <w:r>
        <w:rPr>
          <w:rFonts w:hint="eastAsia" w:ascii="宋体" w:hAnsi="宋体" w:cs="宋体"/>
          <w:b/>
          <w:sz w:val="24"/>
        </w:rPr>
        <w:t>一、委托代理范围</w:t>
      </w:r>
    </w:p>
    <w:p>
      <w:pPr>
        <w:spacing w:line="600" w:lineRule="exact"/>
        <w:ind w:firstLine="480" w:firstLineChars="200"/>
        <w:rPr>
          <w:rFonts w:ascii="宋体" w:hAnsi="宋体" w:cs="宋体"/>
          <w:sz w:val="24"/>
        </w:rPr>
      </w:pPr>
      <w:r>
        <w:rPr>
          <w:rFonts w:hint="eastAsia" w:ascii="宋体" w:hAnsi="宋体" w:cs="宋体"/>
          <w:sz w:val="24"/>
        </w:rPr>
        <w:t>1、组织招标工作的内容和时间：招标前期咨询；项目招标备案；发布招标公告；投标报名单位资质审查；编制招标文件；组织澄清和答疑；组织开标、评标、定标；发布中标公示；签发中标通知书；协助处理异议、投诉；协调合同的签订等服务。具体时间安排依据项目的实际进展情况。</w:t>
      </w:r>
    </w:p>
    <w:p>
      <w:pPr>
        <w:spacing w:line="600" w:lineRule="exact"/>
        <w:ind w:firstLine="480" w:firstLineChars="200"/>
        <w:rPr>
          <w:rFonts w:ascii="宋体" w:hAnsi="宋体" w:cs="宋体"/>
          <w:sz w:val="24"/>
        </w:rPr>
      </w:pPr>
      <w:r>
        <w:rPr>
          <w:rFonts w:hint="eastAsia" w:ascii="宋体" w:hAnsi="宋体" w:cs="宋体"/>
          <w:b/>
          <w:sz w:val="24"/>
        </w:rPr>
        <w:t>二、委托人的权利</w:t>
      </w:r>
    </w:p>
    <w:p>
      <w:pPr>
        <w:spacing w:line="600" w:lineRule="exact"/>
        <w:ind w:firstLine="480" w:firstLineChars="200"/>
        <w:rPr>
          <w:rFonts w:ascii="宋体" w:hAnsi="宋体" w:cs="宋体"/>
          <w:sz w:val="24"/>
        </w:rPr>
      </w:pPr>
      <w:r>
        <w:rPr>
          <w:rFonts w:hint="eastAsia" w:ascii="宋体" w:hAnsi="宋体" w:cs="宋体"/>
          <w:sz w:val="24"/>
        </w:rPr>
        <w:t>1、委托人有权参与招投标的有关活动，审定代理人提交的招标公告、资格预审文件、招标文件、评标办法等相关文件文本。并有权要求代理人对其中与采购需要相关的地方进行修改，但修改不得违反相关法律、法规的规定。</w:t>
      </w:r>
    </w:p>
    <w:p>
      <w:pPr>
        <w:spacing w:line="600" w:lineRule="exact"/>
        <w:ind w:firstLine="480" w:firstLineChars="200"/>
        <w:rPr>
          <w:rFonts w:ascii="宋体" w:hAnsi="宋体" w:cs="宋体"/>
          <w:sz w:val="24"/>
        </w:rPr>
      </w:pPr>
      <w:r>
        <w:rPr>
          <w:rFonts w:hint="eastAsia" w:ascii="宋体" w:hAnsi="宋体" w:cs="宋体"/>
          <w:sz w:val="24"/>
        </w:rPr>
        <w:t>2、委托人有权要求代理人及时提供代理工作阶段性的进展情况。</w:t>
      </w:r>
    </w:p>
    <w:p>
      <w:pPr>
        <w:spacing w:line="600" w:lineRule="exact"/>
        <w:ind w:firstLine="480" w:firstLineChars="200"/>
        <w:rPr>
          <w:rFonts w:ascii="宋体" w:hAnsi="宋体" w:cs="宋体"/>
          <w:sz w:val="24"/>
        </w:rPr>
      </w:pPr>
      <w:r>
        <w:rPr>
          <w:rFonts w:hint="eastAsia" w:ascii="宋体" w:hAnsi="宋体" w:cs="宋体"/>
          <w:sz w:val="24"/>
        </w:rPr>
        <w:t>3、委托人有权要求代理人更换不称职的人员或应回避的人员。</w:t>
      </w:r>
    </w:p>
    <w:p>
      <w:pPr>
        <w:spacing w:line="600" w:lineRule="exact"/>
        <w:ind w:firstLine="480" w:firstLineChars="200"/>
        <w:rPr>
          <w:rFonts w:ascii="宋体" w:hAnsi="宋体" w:cs="宋体"/>
          <w:sz w:val="24"/>
        </w:rPr>
      </w:pPr>
      <w:r>
        <w:rPr>
          <w:rFonts w:hint="eastAsia" w:ascii="宋体" w:hAnsi="宋体" w:cs="宋体"/>
          <w:sz w:val="24"/>
        </w:rPr>
        <w:t>4、委托人有权确定代理人的具体工作内容。</w:t>
      </w:r>
    </w:p>
    <w:p>
      <w:pPr>
        <w:spacing w:line="600" w:lineRule="exact"/>
        <w:ind w:firstLine="480" w:firstLineChars="200"/>
        <w:rPr>
          <w:rFonts w:ascii="宋体" w:hAnsi="宋体" w:cs="宋体"/>
          <w:sz w:val="24"/>
        </w:rPr>
      </w:pPr>
      <w:r>
        <w:rPr>
          <w:rFonts w:hint="eastAsia" w:ascii="宋体" w:hAnsi="宋体" w:cs="宋体"/>
          <w:sz w:val="24"/>
        </w:rPr>
        <w:t>5、如委托人或政府采购主管部门发现代理人在代理活动中违反有关的法律、法规或采购程序并经确认，委托人有权要求代理人纠正，直至中止合同。</w:t>
      </w:r>
    </w:p>
    <w:p>
      <w:pPr>
        <w:spacing w:line="600" w:lineRule="exact"/>
        <w:ind w:firstLine="480" w:firstLineChars="200"/>
        <w:rPr>
          <w:rFonts w:ascii="宋体" w:hAnsi="宋体" w:cs="宋体"/>
          <w:sz w:val="24"/>
        </w:rPr>
      </w:pPr>
      <w:r>
        <w:rPr>
          <w:rFonts w:hint="eastAsia" w:ascii="宋体" w:hAnsi="宋体" w:cs="宋体"/>
          <w:b/>
          <w:sz w:val="24"/>
        </w:rPr>
        <w:t>三、委托人的义务和责任</w:t>
      </w:r>
    </w:p>
    <w:p>
      <w:pPr>
        <w:spacing w:line="600" w:lineRule="exact"/>
        <w:ind w:firstLine="480" w:firstLineChars="200"/>
        <w:rPr>
          <w:rFonts w:ascii="宋体" w:hAnsi="宋体" w:cs="宋体"/>
          <w:sz w:val="24"/>
        </w:rPr>
      </w:pPr>
      <w:r>
        <w:rPr>
          <w:rFonts w:hint="eastAsia" w:ascii="宋体" w:hAnsi="宋体" w:cs="宋体"/>
          <w:sz w:val="24"/>
        </w:rPr>
        <w:t>1、委托人在代理人开展招标代理业务之前应按照有关规定办全本项目招标所需的有关审批手续，编制政府采购计划，落实本次采购活动的资金，使招标工作具备条件。</w:t>
      </w:r>
    </w:p>
    <w:p>
      <w:pPr>
        <w:spacing w:line="600" w:lineRule="exact"/>
        <w:ind w:firstLine="480" w:firstLineChars="200"/>
        <w:rPr>
          <w:rFonts w:ascii="宋体" w:hAnsi="宋体" w:cs="宋体"/>
          <w:sz w:val="24"/>
        </w:rPr>
      </w:pPr>
      <w:r>
        <w:rPr>
          <w:rFonts w:hint="eastAsia" w:ascii="宋体" w:hAnsi="宋体" w:cs="宋体"/>
          <w:sz w:val="24"/>
        </w:rPr>
        <w:t>2、委托人应当向代理人及时、无偿、真实、详细的提供招投标代理工作范围内所需的文件和资料（如采购标的的服务、商务等有关采购需求）。并负责对供应商有关采购标的的服务、商务等与采购需求有关询问、质疑的答复。</w:t>
      </w:r>
    </w:p>
    <w:p>
      <w:pPr>
        <w:spacing w:line="600" w:lineRule="exact"/>
        <w:ind w:firstLine="480" w:firstLineChars="200"/>
        <w:rPr>
          <w:rFonts w:ascii="宋体" w:hAnsi="宋体" w:cs="宋体"/>
          <w:sz w:val="24"/>
        </w:rPr>
      </w:pPr>
      <w:r>
        <w:rPr>
          <w:rFonts w:hint="eastAsia" w:ascii="宋体" w:hAnsi="宋体" w:cs="宋体"/>
          <w:sz w:val="24"/>
        </w:rPr>
        <w:t>3、对代理人提出的书面要求，委托人应当在三日内做出书面答复，如因此造成的时间延长由委托人负责。</w:t>
      </w:r>
    </w:p>
    <w:p>
      <w:pPr>
        <w:spacing w:line="600" w:lineRule="exact"/>
        <w:ind w:firstLine="480" w:firstLineChars="200"/>
        <w:rPr>
          <w:rFonts w:ascii="宋体" w:hAnsi="宋体" w:cs="宋体"/>
          <w:sz w:val="24"/>
        </w:rPr>
      </w:pPr>
      <w:r>
        <w:rPr>
          <w:rFonts w:hint="eastAsia" w:ascii="宋体" w:hAnsi="宋体" w:cs="宋体"/>
          <w:sz w:val="24"/>
        </w:rPr>
        <w:t>4、在合同履行期间，委派熟悉业务、知晓法律法规、工作认真负责的作为委托人的代表，配合代理人工作。</w:t>
      </w:r>
    </w:p>
    <w:p>
      <w:pPr>
        <w:spacing w:line="600" w:lineRule="exact"/>
        <w:ind w:firstLine="480" w:firstLineChars="200"/>
        <w:rPr>
          <w:rFonts w:ascii="宋体" w:hAnsi="宋体" w:cs="宋体"/>
          <w:sz w:val="24"/>
        </w:rPr>
      </w:pPr>
      <w:r>
        <w:rPr>
          <w:rFonts w:hint="eastAsia" w:ascii="宋体" w:hAnsi="宋体" w:cs="宋体"/>
          <w:sz w:val="24"/>
        </w:rPr>
        <w:t>5、委托代理咨询项目中如内容、时间等有重大调整，委托人应当书面提前三日通知代理人，以便调整相应的工作安排，如因此造成的时间延长由委托人负责。</w:t>
      </w:r>
    </w:p>
    <w:p>
      <w:pPr>
        <w:spacing w:line="600" w:lineRule="exact"/>
        <w:ind w:firstLine="480" w:firstLineChars="200"/>
        <w:rPr>
          <w:rFonts w:ascii="宋体" w:hAnsi="宋体" w:cs="宋体"/>
          <w:sz w:val="24"/>
        </w:rPr>
      </w:pPr>
      <w:r>
        <w:rPr>
          <w:rFonts w:hint="eastAsia" w:ascii="宋体" w:hAnsi="宋体" w:cs="宋体"/>
          <w:sz w:val="24"/>
        </w:rPr>
        <w:t>6、委托人不得泄露依法应当保密的任何信息。</w:t>
      </w:r>
    </w:p>
    <w:p>
      <w:pPr>
        <w:spacing w:line="600" w:lineRule="exact"/>
        <w:ind w:firstLine="480" w:firstLineChars="200"/>
        <w:rPr>
          <w:rFonts w:ascii="宋体" w:hAnsi="宋体" w:cs="宋体"/>
          <w:sz w:val="24"/>
        </w:rPr>
      </w:pPr>
      <w:r>
        <w:rPr>
          <w:rFonts w:hint="eastAsia" w:ascii="宋体" w:hAnsi="宋体" w:cs="宋体"/>
          <w:sz w:val="24"/>
        </w:rPr>
        <w:t>7、在法律规定的时限内签订采购合同，并在签订合同后提交政府采购监管机构备案。</w:t>
      </w:r>
    </w:p>
    <w:p>
      <w:pPr>
        <w:spacing w:line="600" w:lineRule="exact"/>
        <w:ind w:firstLine="480" w:firstLineChars="200"/>
        <w:rPr>
          <w:rFonts w:ascii="宋体" w:hAnsi="宋体" w:cs="宋体"/>
          <w:sz w:val="24"/>
        </w:rPr>
      </w:pPr>
      <w:r>
        <w:rPr>
          <w:rFonts w:hint="eastAsia" w:ascii="宋体" w:hAnsi="宋体" w:cs="宋体"/>
          <w:sz w:val="24"/>
        </w:rPr>
        <w:t>8、委托人应负责对供应商履约的验收。</w:t>
      </w:r>
    </w:p>
    <w:p>
      <w:pPr>
        <w:spacing w:line="600" w:lineRule="exact"/>
        <w:ind w:firstLine="480" w:firstLineChars="200"/>
        <w:rPr>
          <w:rFonts w:ascii="宋体" w:hAnsi="宋体" w:cs="宋体"/>
          <w:sz w:val="24"/>
        </w:rPr>
      </w:pPr>
      <w:r>
        <w:rPr>
          <w:rFonts w:hint="eastAsia" w:ascii="宋体" w:hAnsi="宋体" w:cs="宋体"/>
          <w:sz w:val="24"/>
        </w:rPr>
        <w:t>9、承担由于自己过失造成代理人的经济损失。</w:t>
      </w:r>
    </w:p>
    <w:p>
      <w:pPr>
        <w:spacing w:line="600" w:lineRule="exact"/>
        <w:ind w:firstLine="480" w:firstLineChars="200"/>
        <w:rPr>
          <w:rFonts w:ascii="宋体" w:hAnsi="宋体" w:cs="宋体"/>
          <w:sz w:val="24"/>
        </w:rPr>
      </w:pPr>
      <w:r>
        <w:rPr>
          <w:rFonts w:hint="eastAsia" w:ascii="宋体" w:hAnsi="宋体" w:cs="宋体"/>
          <w:sz w:val="24"/>
        </w:rPr>
        <w:t>10、委托方及其工作人员，不得以任何形式向代理人收受或索要回扣、好处费、礼金、有价证券和其它礼物，不得要求代理人报销应由个人支付的费用。</w:t>
      </w:r>
    </w:p>
    <w:p>
      <w:pPr>
        <w:spacing w:line="600" w:lineRule="exact"/>
        <w:ind w:firstLine="480" w:firstLineChars="200"/>
        <w:rPr>
          <w:rFonts w:ascii="宋体" w:hAnsi="宋体" w:cs="宋体"/>
          <w:sz w:val="24"/>
        </w:rPr>
      </w:pPr>
      <w:r>
        <w:rPr>
          <w:rFonts w:hint="eastAsia" w:ascii="宋体" w:hAnsi="宋体" w:cs="宋体"/>
          <w:sz w:val="24"/>
        </w:rPr>
        <w:t>11、委托人应当完成的其它工作：</w:t>
      </w:r>
    </w:p>
    <w:p>
      <w:pPr>
        <w:spacing w:line="600" w:lineRule="exact"/>
        <w:ind w:firstLine="480" w:firstLineChars="200"/>
        <w:rPr>
          <w:rFonts w:ascii="宋体" w:hAnsi="宋体" w:cs="宋体"/>
          <w:sz w:val="24"/>
        </w:rPr>
      </w:pPr>
      <w:r>
        <w:rPr>
          <w:rFonts w:hint="eastAsia" w:ascii="宋体" w:hAnsi="宋体" w:cs="宋体"/>
          <w:sz w:val="24"/>
          <w:u w:val="single"/>
        </w:rPr>
        <w:t xml:space="preserve">                              /                                            </w:t>
      </w:r>
    </w:p>
    <w:p>
      <w:pPr>
        <w:spacing w:line="600" w:lineRule="exact"/>
        <w:ind w:firstLine="480" w:firstLineChars="200"/>
        <w:rPr>
          <w:rFonts w:ascii="宋体" w:hAnsi="宋体" w:cs="宋体"/>
          <w:sz w:val="24"/>
        </w:rPr>
      </w:pPr>
      <w:r>
        <w:rPr>
          <w:rFonts w:hint="eastAsia" w:ascii="宋体" w:hAnsi="宋体" w:cs="宋体"/>
          <w:b/>
          <w:sz w:val="24"/>
        </w:rPr>
        <w:t>四、代理人的权利</w:t>
      </w:r>
    </w:p>
    <w:p>
      <w:pPr>
        <w:spacing w:line="600" w:lineRule="exact"/>
        <w:ind w:firstLine="480" w:firstLineChars="200"/>
        <w:rPr>
          <w:rFonts w:ascii="宋体" w:hAnsi="宋体" w:cs="宋体"/>
          <w:sz w:val="24"/>
        </w:rPr>
      </w:pPr>
      <w:r>
        <w:rPr>
          <w:rFonts w:hint="eastAsia" w:ascii="宋体" w:hAnsi="宋体" w:cs="宋体"/>
          <w:sz w:val="24"/>
        </w:rPr>
        <w:t>1、有权拒绝违反国家法律、法规和规章以及政府采购主管部门有关规定的人为干预。</w:t>
      </w:r>
    </w:p>
    <w:p>
      <w:pPr>
        <w:spacing w:line="600" w:lineRule="exact"/>
        <w:ind w:firstLine="480" w:firstLineChars="200"/>
        <w:rPr>
          <w:rFonts w:ascii="宋体" w:hAnsi="宋体" w:cs="宋体"/>
          <w:sz w:val="24"/>
        </w:rPr>
      </w:pPr>
      <w:r>
        <w:rPr>
          <w:rFonts w:hint="eastAsia" w:ascii="宋体" w:hAnsi="宋体" w:cs="宋体"/>
          <w:sz w:val="24"/>
        </w:rPr>
        <w:t>2、依据国家有关法律法规的规定，在授权范围内办理委托项目的招标工作。</w:t>
      </w:r>
    </w:p>
    <w:p>
      <w:pPr>
        <w:spacing w:line="600" w:lineRule="exact"/>
        <w:ind w:firstLine="480" w:firstLineChars="200"/>
        <w:rPr>
          <w:rFonts w:ascii="宋体" w:hAnsi="宋体" w:cs="宋体"/>
          <w:sz w:val="24"/>
        </w:rPr>
      </w:pPr>
      <w:r>
        <w:rPr>
          <w:rFonts w:hint="eastAsia" w:ascii="宋体" w:hAnsi="宋体" w:cs="宋体"/>
          <w:sz w:val="24"/>
        </w:rPr>
        <w:t>3、有权建议更换不称职或有其它原因不宜参与招标活动的委托方人员。</w:t>
      </w:r>
    </w:p>
    <w:p>
      <w:pPr>
        <w:spacing w:line="600" w:lineRule="exact"/>
        <w:ind w:firstLine="480" w:firstLineChars="200"/>
        <w:rPr>
          <w:rFonts w:ascii="宋体" w:hAnsi="宋体" w:cs="宋体"/>
          <w:sz w:val="24"/>
        </w:rPr>
      </w:pPr>
      <w:r>
        <w:rPr>
          <w:rFonts w:hint="eastAsia" w:ascii="宋体" w:hAnsi="宋体" w:cs="宋体"/>
          <w:sz w:val="24"/>
        </w:rPr>
        <w:t>4、如委托人的某些条件和要求不符合现行的法律、法规或程序，代理人可以建议委托人进行修改。拒不修改的，代理人有权单方面终止履行合同。</w:t>
      </w:r>
    </w:p>
    <w:p>
      <w:pPr>
        <w:spacing w:line="600" w:lineRule="exact"/>
        <w:ind w:firstLine="480" w:firstLineChars="200"/>
        <w:rPr>
          <w:rFonts w:ascii="宋体" w:hAnsi="宋体" w:cs="宋体"/>
          <w:sz w:val="24"/>
        </w:rPr>
      </w:pPr>
      <w:r>
        <w:rPr>
          <w:rFonts w:hint="eastAsia" w:ascii="宋体" w:hAnsi="宋体" w:cs="宋体"/>
          <w:b/>
          <w:sz w:val="24"/>
        </w:rPr>
        <w:t>五、代理人的义务和责任</w:t>
      </w:r>
    </w:p>
    <w:p>
      <w:pPr>
        <w:spacing w:line="600" w:lineRule="exact"/>
        <w:ind w:firstLine="480" w:firstLineChars="200"/>
        <w:rPr>
          <w:rFonts w:ascii="宋体" w:hAnsi="宋体" w:cs="宋体"/>
          <w:sz w:val="24"/>
        </w:rPr>
      </w:pPr>
      <w:r>
        <w:rPr>
          <w:rFonts w:hint="eastAsia" w:ascii="宋体" w:hAnsi="宋体" w:cs="宋体"/>
          <w:sz w:val="24"/>
        </w:rPr>
        <w:t>1、按照国家法律、法规以及政府采购行政主管部门的有关规定从事招投标代理活动。</w:t>
      </w:r>
    </w:p>
    <w:p>
      <w:pPr>
        <w:spacing w:line="600" w:lineRule="exact"/>
        <w:ind w:firstLine="480" w:firstLineChars="200"/>
        <w:rPr>
          <w:rFonts w:ascii="宋体" w:hAnsi="宋体" w:cs="宋体"/>
          <w:sz w:val="24"/>
        </w:rPr>
      </w:pPr>
      <w:r>
        <w:rPr>
          <w:rFonts w:hint="eastAsia" w:ascii="宋体" w:hAnsi="宋体" w:cs="宋体"/>
          <w:sz w:val="24"/>
        </w:rPr>
        <w:t>2、在本合同规定的范围内为委托方提供招标代理服务，不得将本合同所确定的招标代理服务转让给第三方。</w:t>
      </w:r>
    </w:p>
    <w:p>
      <w:pPr>
        <w:spacing w:line="600" w:lineRule="exact"/>
        <w:ind w:firstLine="480" w:firstLineChars="200"/>
        <w:rPr>
          <w:rFonts w:ascii="宋体" w:hAnsi="宋体" w:cs="宋体"/>
          <w:sz w:val="24"/>
        </w:rPr>
      </w:pPr>
      <w:r>
        <w:rPr>
          <w:rFonts w:hint="eastAsia" w:ascii="宋体" w:hAnsi="宋体" w:cs="宋体"/>
          <w:sz w:val="24"/>
        </w:rPr>
        <w:t>3、有义务向委托方提供招标计划以及相关的招投标资料，做好相关法律、法规及规章的解释工作。并协助委托人做好采购供应商的询问、质疑的答复。</w:t>
      </w:r>
    </w:p>
    <w:p>
      <w:pPr>
        <w:spacing w:line="600" w:lineRule="exact"/>
        <w:ind w:firstLine="480" w:firstLineChars="200"/>
        <w:rPr>
          <w:rFonts w:ascii="宋体" w:hAnsi="宋体" w:cs="宋体"/>
          <w:sz w:val="24"/>
        </w:rPr>
      </w:pPr>
      <w:r>
        <w:rPr>
          <w:rFonts w:hint="eastAsia" w:ascii="宋体" w:hAnsi="宋体" w:cs="宋体"/>
          <w:sz w:val="24"/>
        </w:rPr>
        <w:t>4、代理方工作人员如与本采购项目潜在投标人有任何利益关系应主动提出回避。</w:t>
      </w:r>
    </w:p>
    <w:p>
      <w:pPr>
        <w:spacing w:line="600" w:lineRule="exact"/>
        <w:ind w:firstLine="480" w:firstLineChars="200"/>
        <w:rPr>
          <w:rFonts w:ascii="宋体" w:hAnsi="宋体" w:cs="宋体"/>
          <w:sz w:val="24"/>
        </w:rPr>
      </w:pPr>
      <w:r>
        <w:rPr>
          <w:rFonts w:hint="eastAsia" w:ascii="宋体" w:hAnsi="宋体" w:cs="宋体"/>
          <w:sz w:val="24"/>
        </w:rPr>
        <w:t>5、在代理活动中不得泄露依法应当保密的任何信息。</w:t>
      </w:r>
    </w:p>
    <w:p>
      <w:pPr>
        <w:spacing w:line="600" w:lineRule="exact"/>
        <w:ind w:firstLine="480" w:firstLineChars="200"/>
        <w:rPr>
          <w:rFonts w:ascii="宋体" w:hAnsi="宋体" w:cs="宋体"/>
          <w:sz w:val="24"/>
        </w:rPr>
      </w:pPr>
      <w:r>
        <w:rPr>
          <w:rFonts w:hint="eastAsia" w:ascii="宋体" w:hAnsi="宋体" w:cs="宋体"/>
          <w:sz w:val="24"/>
        </w:rPr>
        <w:t>6、对代理人在代理过程中自行提出的技术方案、数据参数、技术经济的分析结论负责。</w:t>
      </w:r>
    </w:p>
    <w:p>
      <w:pPr>
        <w:spacing w:line="600" w:lineRule="exact"/>
        <w:ind w:firstLine="480" w:firstLineChars="200"/>
        <w:rPr>
          <w:rFonts w:ascii="宋体" w:hAnsi="宋体" w:cs="宋体"/>
          <w:sz w:val="24"/>
        </w:rPr>
      </w:pPr>
      <w:r>
        <w:rPr>
          <w:rFonts w:hint="eastAsia" w:ascii="宋体" w:hAnsi="宋体" w:cs="宋体"/>
          <w:sz w:val="24"/>
        </w:rPr>
        <w:t>7、代理人成立招标代理项目组，并任命具有中级及以上职称的技术人员为项目组组长，负责该项目招标代理工作。</w:t>
      </w:r>
    </w:p>
    <w:p>
      <w:pPr>
        <w:spacing w:line="600" w:lineRule="exact"/>
        <w:ind w:firstLine="480" w:firstLineChars="200"/>
        <w:rPr>
          <w:rFonts w:ascii="宋体" w:hAnsi="宋体" w:cs="宋体"/>
          <w:sz w:val="24"/>
        </w:rPr>
      </w:pPr>
      <w:r>
        <w:rPr>
          <w:rFonts w:hint="eastAsia" w:ascii="宋体" w:hAnsi="宋体" w:cs="宋体"/>
          <w:sz w:val="24"/>
        </w:rPr>
        <w:t>8、因代理人的单方过失造成的经济损失，应当向委托人进行赔偿。累计赔偿总额不应超过招标代理服务费总额（除去税金）。</w:t>
      </w:r>
    </w:p>
    <w:p>
      <w:pPr>
        <w:spacing w:line="600" w:lineRule="exact"/>
        <w:ind w:firstLine="480" w:firstLineChars="200"/>
        <w:rPr>
          <w:rFonts w:ascii="宋体" w:hAnsi="宋体" w:cs="宋体"/>
          <w:sz w:val="24"/>
        </w:rPr>
      </w:pPr>
      <w:r>
        <w:rPr>
          <w:rFonts w:hint="eastAsia" w:ascii="宋体" w:hAnsi="宋体" w:cs="宋体"/>
          <w:sz w:val="24"/>
        </w:rPr>
        <w:t>9、因不可抗力导致代理合同不能全部或部分履行，代理人不承担责任。</w:t>
      </w:r>
    </w:p>
    <w:p>
      <w:pPr>
        <w:spacing w:line="600" w:lineRule="exact"/>
        <w:ind w:firstLine="480" w:firstLineChars="200"/>
        <w:rPr>
          <w:rFonts w:ascii="宋体" w:hAnsi="宋体" w:cs="宋体"/>
          <w:sz w:val="24"/>
        </w:rPr>
      </w:pPr>
      <w:r>
        <w:rPr>
          <w:rFonts w:hint="eastAsia" w:ascii="宋体" w:hAnsi="宋体" w:cs="宋体"/>
          <w:sz w:val="24"/>
        </w:rPr>
        <w:t>10、代理人不得采用行贿、给予其他利益或者诋毁他人等不正当手段进行竞争。</w:t>
      </w:r>
    </w:p>
    <w:p>
      <w:pPr>
        <w:spacing w:line="600" w:lineRule="exact"/>
        <w:ind w:firstLine="480" w:firstLineChars="200"/>
        <w:rPr>
          <w:rFonts w:ascii="宋体" w:hAnsi="宋体" w:cs="宋体"/>
          <w:sz w:val="24"/>
        </w:rPr>
      </w:pPr>
      <w:r>
        <w:rPr>
          <w:rFonts w:hint="eastAsia" w:ascii="宋体" w:hAnsi="宋体" w:cs="宋体"/>
          <w:b/>
          <w:sz w:val="24"/>
        </w:rPr>
        <w:t>六、招标代理服务收费的计取</w:t>
      </w:r>
    </w:p>
    <w:p>
      <w:pPr>
        <w:spacing w:line="600" w:lineRule="exact"/>
        <w:ind w:firstLine="480" w:firstLineChars="200"/>
        <w:rPr>
          <w:rFonts w:ascii="宋体" w:hAnsi="宋体" w:cs="宋体"/>
          <w:sz w:val="24"/>
        </w:rPr>
      </w:pPr>
      <w:r>
        <w:rPr>
          <w:rFonts w:hint="eastAsia" w:ascii="宋体" w:hAnsi="宋体" w:cs="宋体"/>
          <w:sz w:val="24"/>
        </w:rPr>
        <w:t>1、根据国家现行取费政策，按照以下计算方法确定招标代理服务费金额：</w:t>
      </w:r>
    </w:p>
    <w:p>
      <w:pPr>
        <w:snapToGrid w:val="0"/>
        <w:spacing w:line="600" w:lineRule="exact"/>
        <w:ind w:firstLine="480" w:firstLineChars="200"/>
        <w:rPr>
          <w:rFonts w:ascii="宋体" w:hAnsi="宋体" w:cs="宋体"/>
          <w:sz w:val="24"/>
          <w:u w:val="single"/>
        </w:rPr>
      </w:pPr>
      <w:r>
        <w:rPr>
          <w:rFonts w:hint="eastAsia" w:ascii="宋体" w:hAnsi="宋体" w:cs="宋体"/>
          <w:sz w:val="24"/>
        </w:rPr>
        <w:t>公开（邀请）招标：</w:t>
      </w:r>
      <w:r>
        <w:rPr>
          <w:rFonts w:hint="eastAsia" w:ascii="宋体" w:hAnsi="宋体" w:cs="宋体"/>
          <w:sz w:val="24"/>
          <w:u w:val="single"/>
        </w:rPr>
        <w:t>同招标代理协议书第三款“合同价款”的要求</w:t>
      </w:r>
    </w:p>
    <w:p>
      <w:pPr>
        <w:spacing w:line="600" w:lineRule="exact"/>
        <w:ind w:firstLine="480" w:firstLineChars="200"/>
        <w:rPr>
          <w:rFonts w:ascii="宋体" w:hAnsi="宋体" w:cs="宋体"/>
          <w:sz w:val="24"/>
          <w:u w:val="single"/>
        </w:rPr>
      </w:pPr>
      <w:r>
        <w:rPr>
          <w:rFonts w:hint="eastAsia" w:ascii="宋体" w:hAnsi="宋体" w:cs="宋体"/>
          <w:sz w:val="24"/>
        </w:rPr>
        <w:t>非招标采购方式：</w:t>
      </w:r>
      <w:r>
        <w:rPr>
          <w:rFonts w:hint="eastAsia" w:ascii="宋体" w:hAnsi="宋体" w:cs="宋体"/>
          <w:sz w:val="24"/>
          <w:u w:val="single"/>
        </w:rPr>
        <w:t>同招标代理协议书第三款“合同价款”的要求</w:t>
      </w:r>
    </w:p>
    <w:p>
      <w:pPr>
        <w:spacing w:line="600" w:lineRule="exact"/>
        <w:ind w:firstLine="480" w:firstLineChars="200"/>
        <w:rPr>
          <w:rFonts w:ascii="宋体" w:hAnsi="宋体" w:cs="宋体"/>
          <w:sz w:val="24"/>
        </w:rPr>
      </w:pPr>
      <w:r>
        <w:rPr>
          <w:rFonts w:hint="eastAsia" w:ascii="宋体" w:hAnsi="宋体" w:cs="宋体"/>
          <w:sz w:val="24"/>
        </w:rPr>
        <w:t>2、招标代理服务费的支付，采用以下</w:t>
      </w:r>
      <w:r>
        <w:rPr>
          <w:rFonts w:hint="eastAsia" w:ascii="宋体" w:hAnsi="宋体" w:cs="宋体"/>
          <w:sz w:val="24"/>
          <w:u w:val="single"/>
        </w:rPr>
        <w:t>（2）</w:t>
      </w:r>
      <w:r>
        <w:rPr>
          <w:rFonts w:hint="eastAsia" w:ascii="宋体" w:hAnsi="宋体" w:cs="宋体"/>
          <w:sz w:val="24"/>
        </w:rPr>
        <w:t>方式。</w:t>
      </w:r>
    </w:p>
    <w:p>
      <w:pPr>
        <w:spacing w:line="600" w:lineRule="exact"/>
        <w:ind w:firstLine="480" w:firstLineChars="200"/>
        <w:rPr>
          <w:rFonts w:ascii="宋体" w:hAnsi="宋体" w:cs="宋体"/>
          <w:sz w:val="24"/>
        </w:rPr>
      </w:pPr>
      <w:r>
        <w:rPr>
          <w:rFonts w:hint="eastAsia" w:ascii="宋体" w:hAnsi="宋体" w:cs="宋体"/>
          <w:sz w:val="24"/>
        </w:rPr>
        <w:t xml:space="preserve">   （1）由委托人支付。</w:t>
      </w:r>
    </w:p>
    <w:p>
      <w:pPr>
        <w:spacing w:line="600" w:lineRule="exact"/>
        <w:ind w:firstLine="480" w:firstLineChars="200"/>
        <w:rPr>
          <w:rFonts w:ascii="宋体" w:hAnsi="宋体" w:cs="宋体"/>
          <w:sz w:val="24"/>
        </w:rPr>
      </w:pPr>
      <w:r>
        <w:rPr>
          <w:rFonts w:hint="eastAsia" w:ascii="宋体" w:hAnsi="宋体" w:cs="宋体"/>
          <w:sz w:val="24"/>
        </w:rPr>
        <w:t xml:space="preserve">   （2）由中标人支付。</w:t>
      </w:r>
    </w:p>
    <w:p>
      <w:pPr>
        <w:spacing w:line="600" w:lineRule="exact"/>
        <w:ind w:firstLine="480" w:firstLineChars="200"/>
        <w:rPr>
          <w:rFonts w:ascii="宋体" w:hAnsi="宋体" w:cs="宋体"/>
          <w:sz w:val="24"/>
        </w:rPr>
      </w:pPr>
      <w:r>
        <w:rPr>
          <w:rFonts w:hint="eastAsia" w:ascii="宋体" w:hAnsi="宋体" w:cs="宋体"/>
          <w:sz w:val="24"/>
        </w:rPr>
        <w:t>采用第（2）种方式支付招标代理服务费的，招标文件必须写明，并包含在投标报价中。</w:t>
      </w:r>
    </w:p>
    <w:p>
      <w:pPr>
        <w:spacing w:line="600" w:lineRule="exact"/>
        <w:ind w:firstLine="480" w:firstLineChars="200"/>
        <w:rPr>
          <w:rFonts w:ascii="宋体" w:hAnsi="宋体" w:cs="宋体"/>
          <w:sz w:val="24"/>
        </w:rPr>
      </w:pPr>
      <w:r>
        <w:rPr>
          <w:rFonts w:hint="eastAsia" w:ascii="宋体" w:hAnsi="宋体" w:cs="宋体"/>
          <w:b/>
          <w:sz w:val="24"/>
        </w:rPr>
        <w:t>七、委托人对代理人完成本合同委托内容的时间要求</w:t>
      </w:r>
    </w:p>
    <w:p>
      <w:pPr>
        <w:spacing w:line="600" w:lineRule="exact"/>
        <w:ind w:firstLine="480" w:firstLineChars="200"/>
        <w:rPr>
          <w:rFonts w:ascii="宋体" w:hAnsi="宋体" w:cs="宋体"/>
          <w:sz w:val="24"/>
          <w:u w:val="single"/>
        </w:rPr>
      </w:pPr>
      <w:r>
        <w:rPr>
          <w:rFonts w:hint="eastAsia" w:ascii="宋体" w:hAnsi="宋体" w:cs="宋体"/>
          <w:sz w:val="24"/>
        </w:rPr>
        <w:t>1、代理工作开始时间：</w:t>
      </w:r>
      <w:r>
        <w:rPr>
          <w:rFonts w:hint="eastAsia" w:ascii="宋体" w:hAnsi="宋体" w:cs="宋体"/>
          <w:sz w:val="24"/>
          <w:u w:val="single"/>
        </w:rPr>
        <w:t xml:space="preserve">    合同签订之日起    </w:t>
      </w:r>
    </w:p>
    <w:p>
      <w:pPr>
        <w:spacing w:line="600" w:lineRule="exact"/>
        <w:ind w:firstLine="480" w:firstLineChars="200"/>
        <w:rPr>
          <w:rFonts w:ascii="宋体" w:hAnsi="宋体" w:cs="宋体"/>
          <w:sz w:val="24"/>
        </w:rPr>
      </w:pPr>
      <w:r>
        <w:rPr>
          <w:rFonts w:hint="eastAsia" w:ascii="宋体" w:hAnsi="宋体" w:cs="宋体"/>
          <w:sz w:val="24"/>
        </w:rPr>
        <w:t>2、代理工作完成时间：</w:t>
      </w:r>
      <w:r>
        <w:rPr>
          <w:rFonts w:hint="eastAsia" w:ascii="宋体" w:hAnsi="宋体" w:cs="宋体"/>
          <w:sz w:val="24"/>
          <w:u w:val="single"/>
        </w:rPr>
        <w:t xml:space="preserve">    项目招投标档案资料交接完毕        </w:t>
      </w:r>
    </w:p>
    <w:p>
      <w:pPr>
        <w:spacing w:line="600" w:lineRule="exact"/>
        <w:ind w:firstLine="480" w:firstLineChars="200"/>
        <w:rPr>
          <w:rFonts w:ascii="宋体" w:hAnsi="宋体" w:cs="宋体"/>
          <w:sz w:val="24"/>
        </w:rPr>
      </w:pPr>
      <w:r>
        <w:rPr>
          <w:rFonts w:hint="eastAsia" w:ascii="宋体" w:hAnsi="宋体" w:cs="宋体"/>
          <w:sz w:val="24"/>
        </w:rPr>
        <w:t>非代理方原因造成的时间延误，结束时间相应延长；代理结束以完成</w:t>
      </w:r>
      <w:r>
        <w:rPr>
          <w:rFonts w:hint="eastAsia" w:ascii="宋体" w:hAnsi="宋体" w:cs="宋体"/>
          <w:sz w:val="24"/>
          <w:u w:val="single"/>
        </w:rPr>
        <w:t>委托人与中标人签订合同并生效</w:t>
      </w:r>
      <w:r>
        <w:rPr>
          <w:rFonts w:hint="eastAsia" w:ascii="宋体" w:hAnsi="宋体" w:cs="宋体"/>
          <w:sz w:val="24"/>
        </w:rPr>
        <w:t>时间为准。</w:t>
      </w:r>
    </w:p>
    <w:p>
      <w:pPr>
        <w:spacing w:line="600" w:lineRule="exact"/>
        <w:ind w:firstLine="480" w:firstLineChars="200"/>
        <w:rPr>
          <w:rFonts w:ascii="宋体" w:hAnsi="宋体" w:cs="宋体"/>
          <w:sz w:val="24"/>
        </w:rPr>
      </w:pPr>
      <w:r>
        <w:rPr>
          <w:rFonts w:hint="eastAsia" w:ascii="宋体" w:hAnsi="宋体" w:cs="宋体"/>
          <w:b/>
          <w:sz w:val="24"/>
        </w:rPr>
        <w:t>八、违约和争议的解决</w:t>
      </w:r>
    </w:p>
    <w:p>
      <w:pPr>
        <w:spacing w:line="600" w:lineRule="exact"/>
        <w:ind w:firstLine="480" w:firstLineChars="200"/>
        <w:rPr>
          <w:rFonts w:ascii="宋体" w:hAnsi="宋体" w:cs="宋体"/>
          <w:sz w:val="24"/>
        </w:rPr>
      </w:pPr>
      <w:r>
        <w:rPr>
          <w:rFonts w:hint="eastAsia" w:ascii="宋体" w:hAnsi="宋体" w:cs="宋体"/>
          <w:sz w:val="24"/>
        </w:rPr>
        <w:t>1、由于一方违约造成的损失，由违约方承担，另一方要求违约方继续履行合同时，违约方承担上述违约责任后仍应继续履行合同。</w:t>
      </w:r>
    </w:p>
    <w:p>
      <w:pPr>
        <w:spacing w:line="600" w:lineRule="exact"/>
        <w:ind w:firstLine="480" w:firstLineChars="200"/>
        <w:rPr>
          <w:rFonts w:ascii="宋体" w:hAnsi="宋体" w:cs="宋体"/>
          <w:sz w:val="24"/>
        </w:rPr>
      </w:pPr>
      <w:r>
        <w:rPr>
          <w:rFonts w:hint="eastAsia" w:ascii="宋体" w:hAnsi="宋体" w:cs="宋体"/>
          <w:sz w:val="24"/>
        </w:rPr>
        <w:t>2、由于违约造成第三方损失的，也由违约方在赔偿另一方损失的基础上再赔偿第三方损失。</w:t>
      </w:r>
    </w:p>
    <w:p>
      <w:pPr>
        <w:spacing w:line="600" w:lineRule="exact"/>
        <w:ind w:firstLine="480" w:firstLineChars="200"/>
        <w:rPr>
          <w:rFonts w:ascii="宋体" w:hAnsi="宋体" w:cs="宋体"/>
          <w:sz w:val="24"/>
        </w:rPr>
      </w:pPr>
      <w:r>
        <w:rPr>
          <w:rFonts w:hint="eastAsia" w:ascii="宋体" w:hAnsi="宋体" w:cs="宋体"/>
          <w:sz w:val="24"/>
        </w:rPr>
        <w:t>3、双方对代理合同条款变更时必须另签补充合同条款，补充合同条款作为本代理合同的组成部分与主合同具有同等法律效力。</w:t>
      </w:r>
    </w:p>
    <w:p>
      <w:pPr>
        <w:spacing w:line="600" w:lineRule="exact"/>
        <w:ind w:firstLine="480" w:firstLineChars="200"/>
        <w:rPr>
          <w:rFonts w:ascii="宋体" w:hAnsi="宋体" w:cs="宋体"/>
          <w:sz w:val="24"/>
        </w:rPr>
      </w:pPr>
      <w:r>
        <w:rPr>
          <w:rFonts w:hint="eastAsia" w:ascii="宋体" w:hAnsi="宋体" w:cs="宋体"/>
          <w:sz w:val="24"/>
        </w:rPr>
        <w:t>4、委托人与代理人在合同履行期间发生争议时，可以和解或者要求有关主管部门调解。一方不愿和解、调解或者和解、调解不成的，双方可以选择以下</w:t>
      </w:r>
      <w:r>
        <w:rPr>
          <w:rFonts w:hint="eastAsia" w:ascii="宋体" w:hAnsi="宋体" w:cs="宋体"/>
          <w:sz w:val="24"/>
          <w:u w:val="single"/>
        </w:rPr>
        <w:t>（2）</w:t>
      </w:r>
      <w:r>
        <w:rPr>
          <w:rFonts w:hint="eastAsia" w:ascii="宋体" w:hAnsi="宋体" w:cs="宋体"/>
          <w:sz w:val="24"/>
        </w:rPr>
        <w:t>方式解决争议：</w:t>
      </w:r>
    </w:p>
    <w:p>
      <w:pPr>
        <w:spacing w:line="600" w:lineRule="exact"/>
        <w:ind w:firstLine="480" w:firstLineChars="200"/>
        <w:rPr>
          <w:rFonts w:ascii="宋体" w:hAnsi="宋体" w:cs="宋体"/>
          <w:sz w:val="24"/>
        </w:rPr>
      </w:pPr>
      <w:r>
        <w:rPr>
          <w:rFonts w:hint="eastAsia" w:ascii="宋体" w:hAnsi="宋体" w:cs="宋体"/>
          <w:sz w:val="24"/>
        </w:rPr>
        <w:t>（1）双方约定向</w:t>
      </w:r>
      <w:r>
        <w:rPr>
          <w:rFonts w:hint="eastAsia" w:ascii="宋体" w:hAnsi="宋体" w:cs="宋体"/>
          <w:sz w:val="24"/>
          <w:u w:val="single"/>
        </w:rPr>
        <w:t xml:space="preserve">      /       </w:t>
      </w:r>
      <w:r>
        <w:rPr>
          <w:rFonts w:hint="eastAsia" w:ascii="宋体" w:hAnsi="宋体" w:cs="宋体"/>
          <w:sz w:val="24"/>
        </w:rPr>
        <w:t>仲裁委员会申请仲裁。</w:t>
      </w:r>
    </w:p>
    <w:p>
      <w:pPr>
        <w:spacing w:line="600" w:lineRule="exact"/>
        <w:ind w:firstLine="480" w:firstLineChars="200"/>
        <w:rPr>
          <w:rFonts w:ascii="宋体" w:hAnsi="宋体" w:cs="宋体"/>
          <w:sz w:val="24"/>
        </w:rPr>
      </w:pPr>
      <w:r>
        <w:rPr>
          <w:rFonts w:hint="eastAsia" w:ascii="宋体" w:hAnsi="宋体" w:cs="宋体"/>
          <w:sz w:val="24"/>
        </w:rPr>
        <w:t>（2）向</w:t>
      </w:r>
      <w:r>
        <w:rPr>
          <w:rFonts w:hint="eastAsia" w:ascii="宋体" w:hAnsi="宋体" w:cs="宋体"/>
          <w:sz w:val="24"/>
          <w:u w:val="single"/>
        </w:rPr>
        <w:t xml:space="preserve">库车市   </w:t>
      </w:r>
      <w:r>
        <w:rPr>
          <w:rFonts w:hint="eastAsia" w:ascii="宋体" w:hAnsi="宋体" w:cs="宋体"/>
          <w:sz w:val="24"/>
        </w:rPr>
        <w:t>人民法院起诉。</w:t>
      </w:r>
    </w:p>
    <w:p>
      <w:pPr>
        <w:spacing w:line="600" w:lineRule="exact"/>
        <w:ind w:firstLine="480" w:firstLineChars="200"/>
        <w:rPr>
          <w:rFonts w:ascii="宋体" w:hAnsi="宋体" w:cs="宋体"/>
          <w:sz w:val="24"/>
        </w:rPr>
      </w:pPr>
      <w:r>
        <w:rPr>
          <w:rFonts w:hint="eastAsia" w:ascii="宋体" w:hAnsi="宋体" w:cs="宋体"/>
          <w:b/>
          <w:sz w:val="24"/>
        </w:rPr>
        <w:t>九、合同份数</w:t>
      </w:r>
    </w:p>
    <w:p>
      <w:pPr>
        <w:spacing w:line="600" w:lineRule="exact"/>
        <w:ind w:firstLine="480" w:firstLineChars="200"/>
        <w:rPr>
          <w:rFonts w:ascii="宋体" w:hAnsi="宋体" w:cs="宋体"/>
          <w:sz w:val="24"/>
        </w:rPr>
      </w:pPr>
      <w:r>
        <w:rPr>
          <w:rFonts w:hint="eastAsia" w:ascii="宋体" w:hAnsi="宋体" w:cs="宋体"/>
          <w:sz w:val="24"/>
        </w:rPr>
        <w:t>双方约定本合同正本一式</w:t>
      </w:r>
      <w:r>
        <w:rPr>
          <w:rFonts w:hint="eastAsia" w:ascii="宋体" w:hAnsi="宋体" w:cs="宋体"/>
          <w:sz w:val="24"/>
          <w:u w:val="single"/>
        </w:rPr>
        <w:t>贰</w:t>
      </w:r>
      <w:r>
        <w:rPr>
          <w:rFonts w:hint="eastAsia" w:ascii="宋体" w:hAnsi="宋体" w:cs="宋体"/>
          <w:sz w:val="24"/>
        </w:rPr>
        <w:t>份，双方各执</w:t>
      </w:r>
      <w:r>
        <w:rPr>
          <w:rFonts w:hint="eastAsia" w:ascii="宋体" w:hAnsi="宋体" w:cs="宋体"/>
          <w:sz w:val="24"/>
          <w:u w:val="single"/>
        </w:rPr>
        <w:t>壹</w:t>
      </w:r>
      <w:r>
        <w:rPr>
          <w:rFonts w:hint="eastAsia" w:ascii="宋体" w:hAnsi="宋体" w:cs="宋体"/>
          <w:sz w:val="24"/>
        </w:rPr>
        <w:t>份，副本一式</w:t>
      </w:r>
      <w:r>
        <w:rPr>
          <w:rFonts w:hint="eastAsia" w:ascii="宋体" w:hAnsi="宋体" w:cs="宋体"/>
          <w:sz w:val="24"/>
          <w:u w:val="single"/>
        </w:rPr>
        <w:t xml:space="preserve"> 叁 </w:t>
      </w:r>
      <w:r>
        <w:rPr>
          <w:rFonts w:hint="eastAsia" w:ascii="宋体" w:hAnsi="宋体" w:cs="宋体"/>
          <w:sz w:val="24"/>
        </w:rPr>
        <w:t>份。</w:t>
      </w:r>
    </w:p>
    <w:p>
      <w:pPr>
        <w:spacing w:line="600" w:lineRule="exact"/>
        <w:ind w:firstLine="480" w:firstLineChars="200"/>
        <w:rPr>
          <w:rFonts w:ascii="宋体" w:hAnsi="宋体" w:cs="宋体"/>
          <w:sz w:val="24"/>
        </w:rPr>
      </w:pPr>
      <w:r>
        <w:rPr>
          <w:rFonts w:hint="eastAsia" w:ascii="宋体" w:hAnsi="宋体" w:cs="宋体"/>
          <w:sz w:val="24"/>
        </w:rPr>
        <w:t>补充条款：</w:t>
      </w:r>
    </w:p>
    <w:p>
      <w:pPr>
        <w:spacing w:line="600" w:lineRule="exact"/>
        <w:ind w:firstLine="480" w:firstLineChars="200"/>
        <w:rPr>
          <w:rFonts w:ascii="宋体" w:hAnsi="宋体" w:cs="宋体"/>
          <w:sz w:val="24"/>
          <w:u w:val="single"/>
        </w:rPr>
      </w:pPr>
    </w:p>
    <w:p>
      <w:pPr>
        <w:spacing w:line="600" w:lineRule="exact"/>
        <w:ind w:firstLine="480" w:firstLineChars="200"/>
        <w:rPr>
          <w:rFonts w:ascii="宋体" w:hAnsi="宋体" w:cs="宋体"/>
          <w:sz w:val="24"/>
          <w:u w:val="single"/>
        </w:rPr>
      </w:pPr>
    </w:p>
    <w:p>
      <w:pPr>
        <w:spacing w:line="600" w:lineRule="exact"/>
        <w:ind w:firstLine="480" w:firstLineChars="200"/>
        <w:rPr>
          <w:rFonts w:ascii="宋体" w:hAnsi="宋体" w:cs="宋体"/>
          <w:sz w:val="24"/>
          <w:u w:val="single"/>
        </w:rPr>
      </w:pPr>
    </w:p>
    <w:p>
      <w:pPr>
        <w:spacing w:line="600" w:lineRule="exact"/>
        <w:ind w:firstLine="480" w:firstLineChars="200"/>
        <w:rPr>
          <w:rFonts w:ascii="宋体" w:hAnsi="宋体" w:cs="宋体"/>
          <w:sz w:val="24"/>
          <w:u w:val="single"/>
        </w:rPr>
      </w:pPr>
    </w:p>
    <w:p>
      <w:pPr>
        <w:spacing w:line="600" w:lineRule="exact"/>
        <w:ind w:firstLine="480" w:firstLineChars="200"/>
        <w:rPr>
          <w:rFonts w:ascii="宋体" w:hAnsi="宋体" w:cs="宋体"/>
          <w:sz w:val="24"/>
          <w:u w:val="single"/>
        </w:rPr>
      </w:pPr>
    </w:p>
    <w:p>
      <w:pPr>
        <w:spacing w:line="600" w:lineRule="exact"/>
        <w:ind w:firstLine="480" w:firstLineChars="200"/>
        <w:rPr>
          <w:rFonts w:ascii="宋体" w:hAnsi="宋体" w:cs="宋体"/>
          <w:sz w:val="24"/>
          <w:u w:val="single"/>
        </w:rPr>
      </w:pPr>
    </w:p>
    <w:p>
      <w:pPr>
        <w:spacing w:line="600" w:lineRule="exact"/>
        <w:ind w:firstLine="480" w:firstLineChars="200"/>
        <w:rPr>
          <w:rFonts w:ascii="宋体" w:hAnsi="宋体" w:cs="宋体"/>
          <w:sz w:val="24"/>
          <w:u w:val="single"/>
        </w:rPr>
      </w:pPr>
    </w:p>
    <w:p>
      <w:pPr>
        <w:spacing w:line="600" w:lineRule="exact"/>
        <w:ind w:firstLine="480" w:firstLineChars="200"/>
        <w:rPr>
          <w:rFonts w:ascii="宋体" w:hAnsi="宋体" w:cs="宋体"/>
          <w:sz w:val="24"/>
          <w:u w:val="single"/>
        </w:rPr>
      </w:pPr>
    </w:p>
    <w:p>
      <w:pPr>
        <w:spacing w:line="600" w:lineRule="exact"/>
        <w:rPr>
          <w:rFonts w:ascii="宋体" w:hAnsi="宋体" w:cs="宋体"/>
          <w:sz w:val="24"/>
          <w:u w:val="single"/>
        </w:rPr>
      </w:pPr>
    </w:p>
    <w:p>
      <w:pPr>
        <w:spacing w:line="600" w:lineRule="exact"/>
        <w:rPr>
          <w:rFonts w:ascii="宋体" w:hAnsi="宋体" w:cs="宋体"/>
          <w:sz w:val="24"/>
          <w:u w:val="single"/>
        </w:rPr>
      </w:pPr>
    </w:p>
    <w:p>
      <w:pPr>
        <w:rPr>
          <w:rFonts w:ascii="宋体" w:hAnsi="宋体" w:cs="宋体"/>
          <w:sz w:val="24"/>
        </w:rPr>
      </w:pPr>
    </w:p>
    <w:p>
      <w:pPr>
        <w:rPr>
          <w:rFonts w:ascii="宋体" w:hAnsi="宋体" w:cs="宋体"/>
          <w:sz w:val="24"/>
        </w:rPr>
      </w:pPr>
      <w:r>
        <w:rPr>
          <w:rFonts w:hint="eastAsia" w:ascii="宋体" w:hAnsi="宋体" w:cs="宋体"/>
          <w:sz w:val="24"/>
        </w:rPr>
        <w:br w:type="page"/>
      </w:r>
    </w:p>
    <w:p>
      <w:pPr>
        <w:spacing w:line="380" w:lineRule="exact"/>
        <w:rPr>
          <w:rFonts w:ascii="宋体" w:hAnsi="宋体" w:cs="宋体"/>
          <w:sz w:val="24"/>
        </w:rPr>
      </w:pPr>
      <w:r>
        <w:rPr>
          <w:rFonts w:hint="eastAsia" w:ascii="宋体" w:hAnsi="宋体" w:cs="宋体"/>
          <w:sz w:val="24"/>
        </w:rPr>
        <w:t>附:</w:t>
      </w:r>
      <w:r>
        <w:fldChar w:fldCharType="begin"/>
      </w:r>
      <w:r>
        <w:instrText xml:space="preserve"> HYPERLINK "http://www.cin.gov.cn/law/other/2003010201.doc" \t "_blank" </w:instrText>
      </w:r>
      <w:r>
        <w:fldChar w:fldCharType="separate"/>
      </w:r>
      <w:r>
        <w:rPr>
          <w:rStyle w:val="29"/>
          <w:rFonts w:hint="eastAsia" w:ascii="宋体" w:hAnsi="宋体" w:cs="宋体"/>
          <w:color w:val="auto"/>
          <w:sz w:val="24"/>
        </w:rPr>
        <w:t>招标代理服务计</w:t>
      </w:r>
      <w:r>
        <w:rPr>
          <w:rStyle w:val="29"/>
          <w:rFonts w:hint="eastAsia" w:ascii="宋体" w:hAnsi="宋体" w:cs="宋体"/>
          <w:color w:val="auto"/>
          <w:sz w:val="24"/>
        </w:rPr>
        <w:fldChar w:fldCharType="end"/>
      </w:r>
      <w:r>
        <w:rPr>
          <w:rFonts w:hint="eastAsia" w:ascii="宋体" w:hAnsi="宋体" w:cs="宋体"/>
          <w:sz w:val="24"/>
        </w:rPr>
        <w:t>算方法</w:t>
      </w:r>
    </w:p>
    <w:tbl>
      <w:tblPr>
        <w:tblStyle w:val="23"/>
        <w:tblpPr w:leftFromText="180" w:rightFromText="180" w:vertAnchor="text" w:horzAnchor="page" w:tblpXSpec="center" w:tblpY="374"/>
        <w:tblOverlap w:val="never"/>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7"/>
        <w:gridCol w:w="2352"/>
        <w:gridCol w:w="235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907" w:type="dxa"/>
            <w:tcBorders>
              <w:tl2br w:val="single" w:color="auto" w:sz="4" w:space="0"/>
            </w:tcBorders>
            <w:vAlign w:val="center"/>
          </w:tcPr>
          <w:p>
            <w:pPr>
              <w:spacing w:line="440" w:lineRule="exact"/>
              <w:ind w:firstLine="1200" w:firstLineChars="500"/>
              <w:jc w:val="right"/>
              <w:rPr>
                <w:rFonts w:ascii="宋体" w:hAnsi="宋体" w:cs="宋体"/>
                <w:b/>
                <w:sz w:val="24"/>
              </w:rPr>
            </w:pPr>
            <w:r>
              <w:rPr>
                <w:rFonts w:ascii="宋体" w:hAnsi="宋体" w:cs="宋体"/>
                <w:b/>
                <w:sz w:val="24"/>
              </w:rPr>
              <w:pict>
                <v:line id="_x0000_s1026" o:spid="_x0000_s1026" o:spt="20" style="position:absolute;left:0pt;margin-left:-9pt;margin-top:-0.5pt;height:0pt;width:0.05pt;z-index:251659264;mso-width-relative:page;mso-height-relative:page;"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uR037VAAAACQEAAA8AAAAAAAAAAQAgAAAA&#10;IgAAAGRycy9kb3ducmV2LnhtbFBLAQIUABQAAAAIAIdO4kAUouyz1QEAAJIDAAAOAAAAAAAAAAEA&#10;IAAAACQBAABkcnMvZTJvRG9jLnhtbFBLBQYAAAAABgAGAFkBAABrBQAAAAA=&#10;">
                  <v:path arrowok="t"/>
                  <v:fill focussize="0,0"/>
                  <v:stroke/>
                  <v:imagedata o:title=""/>
                  <o:lock v:ext="edit"/>
                </v:line>
              </w:pict>
            </w:r>
            <w:r>
              <w:rPr>
                <w:rFonts w:hint="eastAsia" w:ascii="宋体" w:hAnsi="宋体" w:cs="宋体"/>
                <w:b/>
                <w:sz w:val="24"/>
              </w:rPr>
              <w:t>服务类型</w:t>
            </w:r>
          </w:p>
          <w:p>
            <w:pPr>
              <w:spacing w:line="440" w:lineRule="exact"/>
              <w:jc w:val="left"/>
              <w:rPr>
                <w:rFonts w:ascii="宋体" w:hAnsi="宋体" w:cs="宋体"/>
                <w:b/>
                <w:sz w:val="24"/>
              </w:rPr>
            </w:pPr>
            <w:r>
              <w:rPr>
                <w:rFonts w:hint="eastAsia" w:ascii="宋体" w:hAnsi="宋体" w:cs="宋体"/>
                <w:b/>
                <w:sz w:val="24"/>
              </w:rPr>
              <w:t>中标金额</w:t>
            </w:r>
          </w:p>
        </w:tc>
        <w:tc>
          <w:tcPr>
            <w:tcW w:w="2352" w:type="dxa"/>
            <w:vAlign w:val="center"/>
          </w:tcPr>
          <w:p>
            <w:pPr>
              <w:spacing w:line="440" w:lineRule="exact"/>
              <w:jc w:val="center"/>
              <w:rPr>
                <w:rFonts w:ascii="宋体" w:hAnsi="宋体" w:cs="宋体"/>
                <w:b/>
                <w:sz w:val="24"/>
              </w:rPr>
            </w:pPr>
            <w:r>
              <w:rPr>
                <w:rFonts w:hint="eastAsia" w:ascii="宋体" w:hAnsi="宋体" w:cs="宋体"/>
                <w:b/>
                <w:sz w:val="24"/>
              </w:rPr>
              <w:t>货物招标</w:t>
            </w:r>
          </w:p>
        </w:tc>
        <w:tc>
          <w:tcPr>
            <w:tcW w:w="2351" w:type="dxa"/>
            <w:vAlign w:val="center"/>
          </w:tcPr>
          <w:p>
            <w:pPr>
              <w:spacing w:line="440" w:lineRule="exact"/>
              <w:jc w:val="center"/>
              <w:rPr>
                <w:rFonts w:ascii="宋体" w:hAnsi="宋体" w:cs="宋体"/>
                <w:b/>
                <w:sz w:val="24"/>
              </w:rPr>
            </w:pPr>
            <w:r>
              <w:rPr>
                <w:rFonts w:hint="eastAsia" w:ascii="宋体" w:hAnsi="宋体" w:cs="宋体"/>
                <w:b/>
                <w:sz w:val="24"/>
              </w:rPr>
              <w:t>服务招标</w:t>
            </w:r>
          </w:p>
        </w:tc>
        <w:tc>
          <w:tcPr>
            <w:tcW w:w="2352" w:type="dxa"/>
            <w:vAlign w:val="center"/>
          </w:tcPr>
          <w:p>
            <w:pPr>
              <w:spacing w:line="440" w:lineRule="exact"/>
              <w:jc w:val="center"/>
              <w:rPr>
                <w:rFonts w:ascii="宋体" w:hAnsi="宋体" w:cs="宋体"/>
                <w:b/>
                <w:sz w:val="24"/>
              </w:rPr>
            </w:pPr>
            <w:r>
              <w:rPr>
                <w:rFonts w:hint="eastAsia" w:ascii="宋体" w:hAnsi="宋体" w:cs="宋体"/>
                <w:b/>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vAlign w:val="center"/>
          </w:tcPr>
          <w:p>
            <w:pPr>
              <w:spacing w:line="440" w:lineRule="exact"/>
              <w:jc w:val="center"/>
              <w:rPr>
                <w:rFonts w:ascii="宋体" w:hAnsi="宋体" w:cs="宋体"/>
                <w:sz w:val="24"/>
              </w:rPr>
            </w:pPr>
            <w:r>
              <w:rPr>
                <w:rFonts w:hint="eastAsia" w:ascii="宋体" w:hAnsi="宋体" w:cs="宋体"/>
                <w:sz w:val="24"/>
              </w:rPr>
              <w:t>100万元以下</w:t>
            </w:r>
          </w:p>
        </w:tc>
        <w:tc>
          <w:tcPr>
            <w:tcW w:w="2352" w:type="dxa"/>
            <w:vAlign w:val="center"/>
          </w:tcPr>
          <w:p>
            <w:pPr>
              <w:spacing w:line="440" w:lineRule="exact"/>
              <w:jc w:val="center"/>
              <w:rPr>
                <w:rFonts w:ascii="宋体" w:hAnsi="宋体" w:cs="宋体"/>
                <w:sz w:val="24"/>
              </w:rPr>
            </w:pPr>
            <w:r>
              <w:rPr>
                <w:rFonts w:hint="eastAsia" w:ascii="宋体" w:hAnsi="宋体" w:cs="宋体"/>
                <w:sz w:val="24"/>
              </w:rPr>
              <w:t>1.5%</w:t>
            </w:r>
          </w:p>
        </w:tc>
        <w:tc>
          <w:tcPr>
            <w:tcW w:w="2351" w:type="dxa"/>
            <w:vAlign w:val="center"/>
          </w:tcPr>
          <w:p>
            <w:pPr>
              <w:spacing w:line="440" w:lineRule="exact"/>
              <w:jc w:val="center"/>
              <w:rPr>
                <w:rFonts w:ascii="宋体" w:hAnsi="宋体" w:cs="宋体"/>
                <w:sz w:val="24"/>
              </w:rPr>
            </w:pPr>
            <w:r>
              <w:rPr>
                <w:rFonts w:hint="eastAsia" w:ascii="宋体" w:hAnsi="宋体" w:cs="宋体"/>
                <w:sz w:val="24"/>
              </w:rPr>
              <w:t>1.5%</w:t>
            </w:r>
          </w:p>
        </w:tc>
        <w:tc>
          <w:tcPr>
            <w:tcW w:w="2352" w:type="dxa"/>
            <w:vAlign w:val="center"/>
          </w:tcPr>
          <w:p>
            <w:pPr>
              <w:spacing w:line="440" w:lineRule="exact"/>
              <w:jc w:val="center"/>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vAlign w:val="center"/>
          </w:tcPr>
          <w:p>
            <w:pPr>
              <w:spacing w:line="440" w:lineRule="exact"/>
              <w:jc w:val="center"/>
              <w:rPr>
                <w:rFonts w:ascii="宋体" w:hAnsi="宋体" w:cs="宋体"/>
                <w:sz w:val="24"/>
              </w:rPr>
            </w:pPr>
            <w:r>
              <w:rPr>
                <w:rFonts w:hint="eastAsia" w:ascii="宋体" w:hAnsi="宋体" w:cs="宋体"/>
                <w:sz w:val="24"/>
              </w:rPr>
              <w:t>100-500万元</w:t>
            </w:r>
          </w:p>
        </w:tc>
        <w:tc>
          <w:tcPr>
            <w:tcW w:w="2352" w:type="dxa"/>
            <w:vAlign w:val="center"/>
          </w:tcPr>
          <w:p>
            <w:pPr>
              <w:spacing w:line="440" w:lineRule="exact"/>
              <w:jc w:val="center"/>
              <w:rPr>
                <w:rFonts w:ascii="宋体" w:hAnsi="宋体" w:cs="宋体"/>
                <w:sz w:val="24"/>
              </w:rPr>
            </w:pPr>
            <w:r>
              <w:rPr>
                <w:rFonts w:hint="eastAsia" w:ascii="宋体" w:hAnsi="宋体" w:cs="宋体"/>
                <w:sz w:val="24"/>
              </w:rPr>
              <w:t>1.1%</w:t>
            </w:r>
          </w:p>
        </w:tc>
        <w:tc>
          <w:tcPr>
            <w:tcW w:w="2351" w:type="dxa"/>
            <w:vAlign w:val="center"/>
          </w:tcPr>
          <w:p>
            <w:pPr>
              <w:spacing w:line="440" w:lineRule="exact"/>
              <w:jc w:val="center"/>
              <w:rPr>
                <w:rFonts w:ascii="宋体" w:hAnsi="宋体" w:cs="宋体"/>
                <w:sz w:val="24"/>
              </w:rPr>
            </w:pPr>
            <w:r>
              <w:rPr>
                <w:rFonts w:hint="eastAsia" w:ascii="宋体" w:hAnsi="宋体" w:cs="宋体"/>
                <w:sz w:val="24"/>
              </w:rPr>
              <w:t>0.8%</w:t>
            </w:r>
          </w:p>
        </w:tc>
        <w:tc>
          <w:tcPr>
            <w:tcW w:w="2352" w:type="dxa"/>
            <w:vAlign w:val="center"/>
          </w:tcPr>
          <w:p>
            <w:pPr>
              <w:spacing w:line="440" w:lineRule="exact"/>
              <w:jc w:val="center"/>
              <w:rPr>
                <w:rFonts w:ascii="宋体" w:hAnsi="宋体" w:cs="宋体"/>
                <w:sz w:val="24"/>
              </w:rPr>
            </w:pPr>
            <w:r>
              <w:rPr>
                <w:rFonts w:hint="eastAsia" w:ascii="宋体" w:hAnsi="宋体" w:cs="宋体"/>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vAlign w:val="center"/>
          </w:tcPr>
          <w:p>
            <w:pPr>
              <w:spacing w:line="440" w:lineRule="exact"/>
              <w:jc w:val="center"/>
              <w:rPr>
                <w:rFonts w:ascii="宋体" w:hAnsi="宋体" w:cs="宋体"/>
                <w:sz w:val="24"/>
              </w:rPr>
            </w:pPr>
            <w:r>
              <w:rPr>
                <w:rFonts w:hint="eastAsia" w:ascii="宋体" w:hAnsi="宋体" w:cs="宋体"/>
                <w:sz w:val="24"/>
              </w:rPr>
              <w:t>500-1000万元</w:t>
            </w:r>
          </w:p>
        </w:tc>
        <w:tc>
          <w:tcPr>
            <w:tcW w:w="2352" w:type="dxa"/>
            <w:vAlign w:val="center"/>
          </w:tcPr>
          <w:p>
            <w:pPr>
              <w:spacing w:line="440" w:lineRule="exact"/>
              <w:jc w:val="center"/>
              <w:rPr>
                <w:rFonts w:ascii="宋体" w:hAnsi="宋体" w:cs="宋体"/>
                <w:sz w:val="24"/>
              </w:rPr>
            </w:pPr>
            <w:r>
              <w:rPr>
                <w:rFonts w:hint="eastAsia" w:ascii="宋体" w:hAnsi="宋体" w:cs="宋体"/>
                <w:sz w:val="24"/>
              </w:rPr>
              <w:t>0.8%</w:t>
            </w:r>
          </w:p>
        </w:tc>
        <w:tc>
          <w:tcPr>
            <w:tcW w:w="2351" w:type="dxa"/>
            <w:vAlign w:val="center"/>
          </w:tcPr>
          <w:p>
            <w:pPr>
              <w:spacing w:line="440" w:lineRule="exact"/>
              <w:jc w:val="center"/>
              <w:rPr>
                <w:rFonts w:ascii="宋体" w:hAnsi="宋体" w:cs="宋体"/>
                <w:sz w:val="24"/>
              </w:rPr>
            </w:pPr>
            <w:r>
              <w:rPr>
                <w:rFonts w:hint="eastAsia" w:ascii="宋体" w:hAnsi="宋体" w:cs="宋体"/>
                <w:sz w:val="24"/>
              </w:rPr>
              <w:t>0.45%</w:t>
            </w:r>
          </w:p>
        </w:tc>
        <w:tc>
          <w:tcPr>
            <w:tcW w:w="2352" w:type="dxa"/>
            <w:vAlign w:val="center"/>
          </w:tcPr>
          <w:p>
            <w:pPr>
              <w:spacing w:line="440" w:lineRule="exact"/>
              <w:jc w:val="center"/>
              <w:rPr>
                <w:rFonts w:ascii="宋体" w:hAnsi="宋体" w:cs="宋体"/>
                <w:sz w:val="24"/>
              </w:rPr>
            </w:pPr>
            <w:r>
              <w:rPr>
                <w:rFonts w:hint="eastAsia" w:ascii="宋体" w:hAnsi="宋体" w:cs="宋体"/>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vAlign w:val="center"/>
          </w:tcPr>
          <w:p>
            <w:pPr>
              <w:spacing w:line="440" w:lineRule="exact"/>
              <w:jc w:val="center"/>
              <w:rPr>
                <w:rFonts w:ascii="宋体" w:hAnsi="宋体" w:cs="宋体"/>
                <w:sz w:val="24"/>
              </w:rPr>
            </w:pPr>
            <w:r>
              <w:rPr>
                <w:rFonts w:hint="eastAsia" w:ascii="宋体" w:hAnsi="宋体" w:cs="宋体"/>
                <w:sz w:val="24"/>
              </w:rPr>
              <w:t>1000-5000万元</w:t>
            </w:r>
          </w:p>
        </w:tc>
        <w:tc>
          <w:tcPr>
            <w:tcW w:w="2352" w:type="dxa"/>
            <w:vAlign w:val="center"/>
          </w:tcPr>
          <w:p>
            <w:pPr>
              <w:spacing w:line="440" w:lineRule="exact"/>
              <w:jc w:val="center"/>
              <w:rPr>
                <w:rFonts w:ascii="宋体" w:hAnsi="宋体" w:cs="宋体"/>
                <w:sz w:val="24"/>
              </w:rPr>
            </w:pPr>
            <w:r>
              <w:rPr>
                <w:rFonts w:hint="eastAsia" w:ascii="宋体" w:hAnsi="宋体" w:cs="宋体"/>
                <w:sz w:val="24"/>
              </w:rPr>
              <w:t>0.5%</w:t>
            </w:r>
          </w:p>
        </w:tc>
        <w:tc>
          <w:tcPr>
            <w:tcW w:w="2351" w:type="dxa"/>
            <w:vAlign w:val="center"/>
          </w:tcPr>
          <w:p>
            <w:pPr>
              <w:spacing w:line="440" w:lineRule="exact"/>
              <w:jc w:val="center"/>
              <w:rPr>
                <w:rFonts w:ascii="宋体" w:hAnsi="宋体" w:cs="宋体"/>
                <w:sz w:val="24"/>
              </w:rPr>
            </w:pPr>
            <w:r>
              <w:rPr>
                <w:rFonts w:hint="eastAsia" w:ascii="宋体" w:hAnsi="宋体" w:cs="宋体"/>
                <w:sz w:val="24"/>
              </w:rPr>
              <w:t>0.25%</w:t>
            </w:r>
          </w:p>
        </w:tc>
        <w:tc>
          <w:tcPr>
            <w:tcW w:w="2352" w:type="dxa"/>
            <w:vAlign w:val="center"/>
          </w:tcPr>
          <w:p>
            <w:pPr>
              <w:spacing w:line="440" w:lineRule="exact"/>
              <w:jc w:val="center"/>
              <w:rPr>
                <w:rFonts w:ascii="宋体" w:hAnsi="宋体" w:cs="宋体"/>
                <w:sz w:val="24"/>
              </w:rPr>
            </w:pPr>
            <w:r>
              <w:rPr>
                <w:rFonts w:hint="eastAsia" w:ascii="宋体" w:hAnsi="宋体" w:cs="宋体"/>
                <w:sz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vAlign w:val="center"/>
          </w:tcPr>
          <w:p>
            <w:pPr>
              <w:spacing w:line="440" w:lineRule="exact"/>
              <w:jc w:val="center"/>
              <w:rPr>
                <w:rFonts w:ascii="宋体" w:hAnsi="宋体" w:cs="宋体"/>
                <w:sz w:val="24"/>
              </w:rPr>
            </w:pPr>
            <w:r>
              <w:rPr>
                <w:rFonts w:hint="eastAsia" w:ascii="宋体" w:hAnsi="宋体" w:cs="宋体"/>
                <w:sz w:val="24"/>
              </w:rPr>
              <w:t>5000万元-1亿元</w:t>
            </w:r>
          </w:p>
        </w:tc>
        <w:tc>
          <w:tcPr>
            <w:tcW w:w="2352" w:type="dxa"/>
            <w:vAlign w:val="center"/>
          </w:tcPr>
          <w:p>
            <w:pPr>
              <w:spacing w:line="440" w:lineRule="exact"/>
              <w:jc w:val="center"/>
              <w:rPr>
                <w:rFonts w:ascii="宋体" w:hAnsi="宋体" w:cs="宋体"/>
                <w:sz w:val="24"/>
              </w:rPr>
            </w:pPr>
            <w:r>
              <w:rPr>
                <w:rFonts w:hint="eastAsia" w:ascii="宋体" w:hAnsi="宋体" w:cs="宋体"/>
                <w:sz w:val="24"/>
              </w:rPr>
              <w:t>0.25%</w:t>
            </w:r>
          </w:p>
        </w:tc>
        <w:tc>
          <w:tcPr>
            <w:tcW w:w="2351" w:type="dxa"/>
            <w:vAlign w:val="center"/>
          </w:tcPr>
          <w:p>
            <w:pPr>
              <w:spacing w:line="440" w:lineRule="exact"/>
              <w:jc w:val="center"/>
              <w:rPr>
                <w:rFonts w:ascii="宋体" w:hAnsi="宋体" w:cs="宋体"/>
                <w:sz w:val="24"/>
              </w:rPr>
            </w:pPr>
            <w:r>
              <w:rPr>
                <w:rFonts w:hint="eastAsia" w:ascii="宋体" w:hAnsi="宋体" w:cs="宋体"/>
                <w:sz w:val="24"/>
              </w:rPr>
              <w:t>0.1%</w:t>
            </w:r>
          </w:p>
        </w:tc>
        <w:tc>
          <w:tcPr>
            <w:tcW w:w="2352" w:type="dxa"/>
            <w:vAlign w:val="center"/>
          </w:tcPr>
          <w:p>
            <w:pPr>
              <w:spacing w:line="440" w:lineRule="exact"/>
              <w:jc w:val="center"/>
              <w:rPr>
                <w:rFonts w:ascii="宋体" w:hAnsi="宋体" w:cs="宋体"/>
                <w:sz w:val="24"/>
              </w:rPr>
            </w:pPr>
            <w:r>
              <w:rPr>
                <w:rFonts w:hint="eastAsia" w:ascii="宋体" w:hAnsi="宋体" w:cs="宋体"/>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vAlign w:val="center"/>
          </w:tcPr>
          <w:p>
            <w:pPr>
              <w:spacing w:line="440" w:lineRule="exact"/>
              <w:jc w:val="center"/>
              <w:rPr>
                <w:rFonts w:ascii="宋体" w:hAnsi="宋体" w:cs="宋体"/>
                <w:sz w:val="24"/>
              </w:rPr>
            </w:pPr>
            <w:r>
              <w:rPr>
                <w:rFonts w:hint="eastAsia" w:ascii="宋体" w:hAnsi="宋体" w:cs="宋体"/>
                <w:sz w:val="24"/>
              </w:rPr>
              <w:t>1-5亿元</w:t>
            </w:r>
          </w:p>
        </w:tc>
        <w:tc>
          <w:tcPr>
            <w:tcW w:w="2352" w:type="dxa"/>
            <w:vAlign w:val="center"/>
          </w:tcPr>
          <w:p>
            <w:pPr>
              <w:spacing w:line="440" w:lineRule="exact"/>
              <w:jc w:val="center"/>
              <w:rPr>
                <w:rFonts w:ascii="宋体" w:hAnsi="宋体" w:cs="宋体"/>
                <w:sz w:val="24"/>
              </w:rPr>
            </w:pPr>
            <w:r>
              <w:rPr>
                <w:rFonts w:hint="eastAsia" w:ascii="宋体" w:hAnsi="宋体" w:cs="宋体"/>
                <w:sz w:val="24"/>
              </w:rPr>
              <w:t>0.05%</w:t>
            </w:r>
          </w:p>
        </w:tc>
        <w:tc>
          <w:tcPr>
            <w:tcW w:w="2351" w:type="dxa"/>
            <w:vAlign w:val="center"/>
          </w:tcPr>
          <w:p>
            <w:pPr>
              <w:spacing w:line="440" w:lineRule="exact"/>
              <w:jc w:val="center"/>
              <w:rPr>
                <w:rFonts w:ascii="宋体" w:hAnsi="宋体" w:cs="宋体"/>
                <w:sz w:val="24"/>
              </w:rPr>
            </w:pPr>
            <w:r>
              <w:rPr>
                <w:rFonts w:hint="eastAsia" w:ascii="宋体" w:hAnsi="宋体" w:cs="宋体"/>
                <w:sz w:val="24"/>
              </w:rPr>
              <w:t>0.05%</w:t>
            </w:r>
          </w:p>
        </w:tc>
        <w:tc>
          <w:tcPr>
            <w:tcW w:w="2352" w:type="dxa"/>
            <w:vAlign w:val="center"/>
          </w:tcPr>
          <w:p>
            <w:pPr>
              <w:spacing w:line="440" w:lineRule="exact"/>
              <w:jc w:val="center"/>
              <w:rPr>
                <w:rFonts w:ascii="宋体" w:hAnsi="宋体" w:cs="宋体"/>
                <w:sz w:val="24"/>
              </w:rPr>
            </w:pPr>
            <w:r>
              <w:rPr>
                <w:rFonts w:hint="eastAsia" w:ascii="宋体" w:hAnsi="宋体" w:cs="宋体"/>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vAlign w:val="center"/>
          </w:tcPr>
          <w:p>
            <w:pPr>
              <w:spacing w:line="440" w:lineRule="exact"/>
              <w:jc w:val="center"/>
              <w:rPr>
                <w:rFonts w:ascii="宋体" w:hAnsi="宋体" w:cs="宋体"/>
                <w:sz w:val="24"/>
              </w:rPr>
            </w:pPr>
            <w:r>
              <w:rPr>
                <w:rFonts w:hint="eastAsia" w:ascii="宋体" w:hAnsi="宋体" w:cs="宋体"/>
                <w:sz w:val="24"/>
              </w:rPr>
              <w:t>5-10亿元</w:t>
            </w:r>
          </w:p>
        </w:tc>
        <w:tc>
          <w:tcPr>
            <w:tcW w:w="2352" w:type="dxa"/>
            <w:vAlign w:val="center"/>
          </w:tcPr>
          <w:p>
            <w:pPr>
              <w:spacing w:line="440" w:lineRule="exact"/>
              <w:jc w:val="center"/>
              <w:rPr>
                <w:rFonts w:ascii="宋体" w:hAnsi="宋体" w:cs="宋体"/>
                <w:sz w:val="24"/>
              </w:rPr>
            </w:pPr>
            <w:r>
              <w:rPr>
                <w:rFonts w:hint="eastAsia" w:ascii="宋体" w:hAnsi="宋体" w:cs="宋体"/>
                <w:sz w:val="24"/>
              </w:rPr>
              <w:t>0.035%</w:t>
            </w:r>
          </w:p>
        </w:tc>
        <w:tc>
          <w:tcPr>
            <w:tcW w:w="2351" w:type="dxa"/>
            <w:vAlign w:val="center"/>
          </w:tcPr>
          <w:p>
            <w:pPr>
              <w:spacing w:line="440" w:lineRule="exact"/>
              <w:jc w:val="center"/>
              <w:rPr>
                <w:rFonts w:ascii="宋体" w:hAnsi="宋体" w:cs="宋体"/>
                <w:sz w:val="24"/>
              </w:rPr>
            </w:pPr>
            <w:r>
              <w:rPr>
                <w:rFonts w:hint="eastAsia" w:ascii="宋体" w:hAnsi="宋体" w:cs="宋体"/>
                <w:sz w:val="24"/>
              </w:rPr>
              <w:t>0.035%</w:t>
            </w:r>
          </w:p>
        </w:tc>
        <w:tc>
          <w:tcPr>
            <w:tcW w:w="2352" w:type="dxa"/>
            <w:vAlign w:val="center"/>
          </w:tcPr>
          <w:p>
            <w:pPr>
              <w:spacing w:line="440" w:lineRule="exact"/>
              <w:jc w:val="center"/>
              <w:rPr>
                <w:rFonts w:ascii="宋体" w:hAnsi="宋体" w:cs="宋体"/>
                <w:sz w:val="24"/>
              </w:rPr>
            </w:pPr>
            <w:r>
              <w:rPr>
                <w:rFonts w:hint="eastAsia" w:ascii="宋体" w:hAnsi="宋体" w:cs="宋体"/>
                <w:sz w:val="24"/>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vAlign w:val="center"/>
          </w:tcPr>
          <w:p>
            <w:pPr>
              <w:spacing w:line="440" w:lineRule="exact"/>
              <w:jc w:val="center"/>
              <w:rPr>
                <w:rFonts w:ascii="宋体" w:hAnsi="宋体" w:cs="宋体"/>
                <w:sz w:val="24"/>
              </w:rPr>
            </w:pPr>
            <w:r>
              <w:rPr>
                <w:rFonts w:hint="eastAsia" w:ascii="宋体" w:hAnsi="宋体" w:cs="宋体"/>
                <w:sz w:val="24"/>
              </w:rPr>
              <w:t>10-50亿元</w:t>
            </w:r>
          </w:p>
        </w:tc>
        <w:tc>
          <w:tcPr>
            <w:tcW w:w="2352" w:type="dxa"/>
            <w:vAlign w:val="center"/>
          </w:tcPr>
          <w:p>
            <w:pPr>
              <w:spacing w:line="440" w:lineRule="exact"/>
              <w:jc w:val="center"/>
              <w:rPr>
                <w:rFonts w:ascii="宋体" w:hAnsi="宋体" w:cs="宋体"/>
                <w:sz w:val="24"/>
              </w:rPr>
            </w:pPr>
            <w:r>
              <w:rPr>
                <w:rFonts w:hint="eastAsia" w:ascii="宋体" w:hAnsi="宋体" w:cs="宋体"/>
                <w:sz w:val="24"/>
              </w:rPr>
              <w:t>0.008%</w:t>
            </w:r>
          </w:p>
        </w:tc>
        <w:tc>
          <w:tcPr>
            <w:tcW w:w="2351" w:type="dxa"/>
            <w:vAlign w:val="center"/>
          </w:tcPr>
          <w:p>
            <w:pPr>
              <w:spacing w:line="440" w:lineRule="exact"/>
              <w:jc w:val="center"/>
              <w:rPr>
                <w:rFonts w:ascii="宋体" w:hAnsi="宋体" w:cs="宋体"/>
                <w:sz w:val="24"/>
              </w:rPr>
            </w:pPr>
            <w:r>
              <w:rPr>
                <w:rFonts w:hint="eastAsia" w:ascii="宋体" w:hAnsi="宋体" w:cs="宋体"/>
                <w:sz w:val="24"/>
              </w:rPr>
              <w:t>0.008%</w:t>
            </w:r>
          </w:p>
        </w:tc>
        <w:tc>
          <w:tcPr>
            <w:tcW w:w="2352" w:type="dxa"/>
            <w:vAlign w:val="center"/>
          </w:tcPr>
          <w:p>
            <w:pPr>
              <w:spacing w:line="440" w:lineRule="exact"/>
              <w:jc w:val="center"/>
              <w:rPr>
                <w:rFonts w:ascii="宋体" w:hAnsi="宋体" w:cs="宋体"/>
                <w:sz w:val="24"/>
              </w:rPr>
            </w:pPr>
            <w:r>
              <w:rPr>
                <w:rFonts w:hint="eastAsia" w:ascii="宋体" w:hAnsi="宋体" w:cs="宋体"/>
                <w:sz w:val="24"/>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vAlign w:val="center"/>
          </w:tcPr>
          <w:p>
            <w:pPr>
              <w:spacing w:line="440" w:lineRule="exact"/>
              <w:jc w:val="center"/>
              <w:rPr>
                <w:rFonts w:ascii="宋体" w:hAnsi="宋体" w:cs="宋体"/>
                <w:sz w:val="24"/>
              </w:rPr>
            </w:pPr>
            <w:r>
              <w:rPr>
                <w:rFonts w:hint="eastAsia" w:ascii="宋体" w:hAnsi="宋体" w:cs="宋体"/>
                <w:sz w:val="24"/>
              </w:rPr>
              <w:t>50-100亿元</w:t>
            </w:r>
          </w:p>
        </w:tc>
        <w:tc>
          <w:tcPr>
            <w:tcW w:w="2352" w:type="dxa"/>
            <w:vAlign w:val="center"/>
          </w:tcPr>
          <w:p>
            <w:pPr>
              <w:spacing w:line="440" w:lineRule="exact"/>
              <w:jc w:val="center"/>
              <w:rPr>
                <w:rFonts w:ascii="宋体" w:hAnsi="宋体" w:cs="宋体"/>
                <w:sz w:val="24"/>
              </w:rPr>
            </w:pPr>
            <w:r>
              <w:rPr>
                <w:rFonts w:hint="eastAsia" w:ascii="宋体" w:hAnsi="宋体" w:cs="宋体"/>
                <w:sz w:val="24"/>
              </w:rPr>
              <w:t>0.006%</w:t>
            </w:r>
          </w:p>
        </w:tc>
        <w:tc>
          <w:tcPr>
            <w:tcW w:w="2351" w:type="dxa"/>
            <w:vAlign w:val="center"/>
          </w:tcPr>
          <w:p>
            <w:pPr>
              <w:spacing w:line="440" w:lineRule="exact"/>
              <w:jc w:val="center"/>
              <w:rPr>
                <w:rFonts w:ascii="宋体" w:hAnsi="宋体" w:cs="宋体"/>
                <w:sz w:val="24"/>
              </w:rPr>
            </w:pPr>
            <w:r>
              <w:rPr>
                <w:rFonts w:hint="eastAsia" w:ascii="宋体" w:hAnsi="宋体" w:cs="宋体"/>
                <w:sz w:val="24"/>
              </w:rPr>
              <w:t>0.006%</w:t>
            </w:r>
          </w:p>
        </w:tc>
        <w:tc>
          <w:tcPr>
            <w:tcW w:w="2352" w:type="dxa"/>
            <w:vAlign w:val="center"/>
          </w:tcPr>
          <w:p>
            <w:pPr>
              <w:spacing w:line="440" w:lineRule="exact"/>
              <w:jc w:val="center"/>
              <w:rPr>
                <w:rFonts w:ascii="宋体" w:hAnsi="宋体" w:cs="宋体"/>
                <w:sz w:val="24"/>
              </w:rPr>
            </w:pPr>
            <w:r>
              <w:rPr>
                <w:rFonts w:hint="eastAsia" w:ascii="宋体" w:hAnsi="宋体" w:cs="宋体"/>
                <w:sz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vAlign w:val="center"/>
          </w:tcPr>
          <w:p>
            <w:pPr>
              <w:spacing w:line="440" w:lineRule="exact"/>
              <w:jc w:val="center"/>
              <w:rPr>
                <w:rFonts w:ascii="宋体" w:hAnsi="宋体" w:cs="宋体"/>
                <w:sz w:val="24"/>
              </w:rPr>
            </w:pPr>
            <w:r>
              <w:rPr>
                <w:rFonts w:hint="eastAsia" w:ascii="宋体" w:hAnsi="宋体" w:cs="宋体"/>
                <w:sz w:val="24"/>
              </w:rPr>
              <w:t>100亿元以上</w:t>
            </w:r>
          </w:p>
        </w:tc>
        <w:tc>
          <w:tcPr>
            <w:tcW w:w="2352" w:type="dxa"/>
            <w:vAlign w:val="center"/>
          </w:tcPr>
          <w:p>
            <w:pPr>
              <w:spacing w:line="440" w:lineRule="exact"/>
              <w:jc w:val="center"/>
              <w:rPr>
                <w:rFonts w:ascii="宋体" w:hAnsi="宋体" w:cs="宋体"/>
                <w:sz w:val="24"/>
              </w:rPr>
            </w:pPr>
            <w:r>
              <w:rPr>
                <w:rFonts w:hint="eastAsia" w:ascii="宋体" w:hAnsi="宋体" w:cs="宋体"/>
                <w:sz w:val="24"/>
              </w:rPr>
              <w:t>0.004%</w:t>
            </w:r>
          </w:p>
        </w:tc>
        <w:tc>
          <w:tcPr>
            <w:tcW w:w="2351" w:type="dxa"/>
            <w:vAlign w:val="center"/>
          </w:tcPr>
          <w:p>
            <w:pPr>
              <w:spacing w:line="440" w:lineRule="exact"/>
              <w:jc w:val="center"/>
              <w:rPr>
                <w:rFonts w:ascii="宋体" w:hAnsi="宋体" w:cs="宋体"/>
                <w:sz w:val="24"/>
              </w:rPr>
            </w:pPr>
            <w:r>
              <w:rPr>
                <w:rFonts w:hint="eastAsia" w:ascii="宋体" w:hAnsi="宋体" w:cs="宋体"/>
                <w:sz w:val="24"/>
              </w:rPr>
              <w:t>0.004%</w:t>
            </w:r>
          </w:p>
        </w:tc>
        <w:tc>
          <w:tcPr>
            <w:tcW w:w="2352" w:type="dxa"/>
            <w:vAlign w:val="center"/>
          </w:tcPr>
          <w:p>
            <w:pPr>
              <w:spacing w:line="440" w:lineRule="exact"/>
              <w:jc w:val="center"/>
              <w:rPr>
                <w:rFonts w:ascii="宋体" w:hAnsi="宋体" w:cs="宋体"/>
                <w:sz w:val="24"/>
              </w:rPr>
            </w:pPr>
            <w:r>
              <w:rPr>
                <w:rFonts w:hint="eastAsia" w:ascii="宋体" w:hAnsi="宋体" w:cs="宋体"/>
                <w:sz w:val="24"/>
              </w:rPr>
              <w:t>0.004%</w:t>
            </w:r>
          </w:p>
        </w:tc>
      </w:tr>
    </w:tbl>
    <w:p>
      <w:pPr>
        <w:rPr>
          <w:rFonts w:ascii="宋体" w:hAnsi="宋体" w:cs="宋体"/>
          <w:sz w:val="24"/>
        </w:rPr>
      </w:pPr>
    </w:p>
    <w:p>
      <w:pPr>
        <w:spacing w:line="600" w:lineRule="exact"/>
        <w:rPr>
          <w:rFonts w:ascii="宋体" w:hAnsi="宋体" w:cs="宋体"/>
          <w:sz w:val="24"/>
        </w:rPr>
      </w:pPr>
      <w:r>
        <w:rPr>
          <w:rFonts w:hint="eastAsia" w:ascii="宋体" w:hAnsi="宋体" w:cs="宋体"/>
          <w:sz w:val="24"/>
        </w:rPr>
        <w:t>注：1.按本表费率计算的收费为招标代理服务全过程的收费基准价格，单独提供编制招标文件（有标底的含标底）服务的，可按规定标准的30%计收。</w:t>
      </w:r>
    </w:p>
    <w:p>
      <w:pPr>
        <w:spacing w:line="600" w:lineRule="exact"/>
        <w:rPr>
          <w:rFonts w:ascii="宋体" w:hAnsi="宋体" w:cs="宋体"/>
          <w:sz w:val="24"/>
        </w:rPr>
      </w:pPr>
      <w:r>
        <w:rPr>
          <w:rFonts w:hint="eastAsia" w:ascii="宋体" w:hAnsi="宋体" w:cs="宋体"/>
          <w:sz w:val="24"/>
        </w:rPr>
        <w:t>2.招标代理服务收费按差额定率累进法计算。例如：某工程招标代理业务中标金额为6000万元，计算招标代理服务收费额如下：</w:t>
      </w:r>
    </w:p>
    <w:p>
      <w:pPr>
        <w:spacing w:line="600" w:lineRule="exact"/>
        <w:rPr>
          <w:rFonts w:ascii="宋体" w:hAnsi="宋体" w:cs="宋体"/>
          <w:sz w:val="24"/>
        </w:rPr>
      </w:pPr>
      <w:r>
        <w:rPr>
          <w:rFonts w:hint="eastAsia" w:ascii="宋体" w:hAnsi="宋体" w:cs="宋体"/>
          <w:sz w:val="24"/>
        </w:rPr>
        <w:t>100万元×1.0%=1万元</w:t>
      </w:r>
    </w:p>
    <w:p>
      <w:pPr>
        <w:spacing w:line="600" w:lineRule="exact"/>
        <w:rPr>
          <w:rFonts w:ascii="宋体" w:hAnsi="宋体" w:cs="宋体"/>
          <w:sz w:val="24"/>
        </w:rPr>
      </w:pPr>
      <w:r>
        <w:rPr>
          <w:rFonts w:hint="eastAsia" w:ascii="宋体" w:hAnsi="宋体" w:cs="宋体"/>
          <w:sz w:val="24"/>
        </w:rPr>
        <w:t>（500-100）万元×0.7%=2.8万元</w:t>
      </w:r>
    </w:p>
    <w:p>
      <w:pPr>
        <w:spacing w:line="600" w:lineRule="exact"/>
        <w:rPr>
          <w:rFonts w:ascii="宋体" w:hAnsi="宋体" w:cs="宋体"/>
          <w:sz w:val="24"/>
        </w:rPr>
      </w:pPr>
      <w:r>
        <w:rPr>
          <w:rFonts w:hint="eastAsia" w:ascii="宋体" w:hAnsi="宋体" w:cs="宋体"/>
          <w:sz w:val="24"/>
        </w:rPr>
        <w:t>（1000-500）×0.55%=2.75万元</w:t>
      </w:r>
    </w:p>
    <w:p>
      <w:pPr>
        <w:spacing w:line="600" w:lineRule="exact"/>
        <w:rPr>
          <w:rFonts w:ascii="宋体" w:hAnsi="宋体" w:cs="宋体"/>
          <w:sz w:val="24"/>
        </w:rPr>
      </w:pPr>
      <w:r>
        <w:rPr>
          <w:rFonts w:hint="eastAsia" w:ascii="宋体" w:hAnsi="宋体" w:cs="宋体"/>
          <w:sz w:val="24"/>
        </w:rPr>
        <w:t>（5000-1000）×0.35%=14万元</w:t>
      </w:r>
    </w:p>
    <w:p>
      <w:pPr>
        <w:spacing w:line="600" w:lineRule="exact"/>
        <w:rPr>
          <w:rFonts w:ascii="宋体" w:hAnsi="宋体" w:cs="宋体"/>
          <w:sz w:val="24"/>
        </w:rPr>
      </w:pPr>
      <w:r>
        <w:rPr>
          <w:rFonts w:hint="eastAsia" w:ascii="宋体" w:hAnsi="宋体" w:cs="宋体"/>
          <w:sz w:val="24"/>
        </w:rPr>
        <w:t>（6000-5000）×0.2%=2万元</w:t>
      </w:r>
    </w:p>
    <w:p>
      <w:pPr>
        <w:pStyle w:val="33"/>
      </w:pPr>
      <w:r>
        <w:rPr>
          <w:rFonts w:hint="eastAsia" w:ascii="宋体" w:hAnsi="宋体" w:cs="宋体"/>
          <w:sz w:val="24"/>
          <w:szCs w:val="24"/>
        </w:rPr>
        <w:t xml:space="preserve"> 合计收费=1+2.8+2.75+14+2=22.55（万元）</w:t>
      </w:r>
    </w:p>
    <w:p/>
    <w:sectPr>
      <w:pgSz w:w="11906" w:h="16838"/>
      <w:pgMar w:top="993" w:right="1080" w:bottom="1440" w:left="1080" w:header="4" w:footer="567"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Angsana New">
    <w:panose1 w:val="02020603050405020304"/>
    <w:charset w:val="DE"/>
    <w:family w:val="roman"/>
    <w:pitch w:val="default"/>
    <w:sig w:usb0="81000003" w:usb1="00000000" w:usb2="00000000" w:usb3="00000000" w:csb0="0001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Uighur">
    <w:panose1 w:val="02000000000000000000"/>
    <w:charset w:val="00"/>
    <w:family w:val="auto"/>
    <w:pitch w:val="default"/>
    <w:sig w:usb0="00002003" w:usb1="80000000" w:usb2="00000008" w:usb3="00000000" w:csb0="0000004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56</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path/>
          <v:fill on="f" focussize="0,0"/>
          <v:stroke on="f" weight="0.5pt" joinstyle="miter"/>
          <v:imagedata o:title=""/>
          <o:lock v:ext="edit"/>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v:textbox>
        </v:shape>
      </w:pict>
    </w:r>
  </w:p>
  <w:p>
    <w:pPr>
      <w:pStyle w:val="14"/>
      <w:rPr>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left"/>
      <w:rPr>
        <w:rFonts w:ascii="仿宋_GB2312" w:hAnsi="华文楷体" w:eastAsia="仿宋_GB2312"/>
        <w:b/>
        <w:bCs/>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87842"/>
    <w:multiLevelType w:val="multilevel"/>
    <w:tmpl w:val="64487842"/>
    <w:lvl w:ilvl="0" w:tentative="0">
      <w:start w:val="1"/>
      <w:numFmt w:val="decimal"/>
      <w:pStyle w:val="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F0E499E"/>
    <w:multiLevelType w:val="multilevel"/>
    <w:tmpl w:val="6F0E499E"/>
    <w:lvl w:ilvl="0" w:tentative="0">
      <w:start w:val="1"/>
      <w:numFmt w:val="decimal"/>
      <w:pStyle w:val="5"/>
      <w:lvlText w:val="%1、"/>
      <w:lvlJc w:val="left"/>
      <w:pPr>
        <w:ind w:left="704" w:hanging="420"/>
      </w:pPr>
      <w:rPr>
        <w:rFonts w:hint="default"/>
      </w:rPr>
    </w:lvl>
    <w:lvl w:ilvl="1" w:tentative="0">
      <w:start w:val="1"/>
      <w:numFmt w:val="lowerLetter"/>
      <w:lvlText w:val="%2)"/>
      <w:lvlJc w:val="left"/>
      <w:pPr>
        <w:ind w:left="5094" w:hanging="420"/>
      </w:pPr>
    </w:lvl>
    <w:lvl w:ilvl="2" w:tentative="0">
      <w:start w:val="1"/>
      <w:numFmt w:val="lowerRoman"/>
      <w:lvlText w:val="%3."/>
      <w:lvlJc w:val="right"/>
      <w:pPr>
        <w:ind w:left="5514" w:hanging="420"/>
      </w:pPr>
    </w:lvl>
    <w:lvl w:ilvl="3" w:tentative="0">
      <w:start w:val="1"/>
      <w:numFmt w:val="decimal"/>
      <w:lvlText w:val="%4."/>
      <w:lvlJc w:val="left"/>
      <w:pPr>
        <w:ind w:left="5934" w:hanging="420"/>
      </w:pPr>
    </w:lvl>
    <w:lvl w:ilvl="4" w:tentative="0">
      <w:start w:val="1"/>
      <w:numFmt w:val="lowerLetter"/>
      <w:lvlText w:val="%5)"/>
      <w:lvlJc w:val="left"/>
      <w:pPr>
        <w:ind w:left="6354" w:hanging="420"/>
      </w:pPr>
    </w:lvl>
    <w:lvl w:ilvl="5" w:tentative="0">
      <w:start w:val="1"/>
      <w:numFmt w:val="lowerRoman"/>
      <w:lvlText w:val="%6."/>
      <w:lvlJc w:val="right"/>
      <w:pPr>
        <w:ind w:left="6774" w:hanging="420"/>
      </w:pPr>
    </w:lvl>
    <w:lvl w:ilvl="6" w:tentative="0">
      <w:start w:val="1"/>
      <w:numFmt w:val="decimal"/>
      <w:lvlText w:val="%7."/>
      <w:lvlJc w:val="left"/>
      <w:pPr>
        <w:ind w:left="7194" w:hanging="420"/>
      </w:pPr>
    </w:lvl>
    <w:lvl w:ilvl="7" w:tentative="0">
      <w:start w:val="1"/>
      <w:numFmt w:val="lowerLetter"/>
      <w:lvlText w:val="%8)"/>
      <w:lvlJc w:val="left"/>
      <w:pPr>
        <w:ind w:left="7614" w:hanging="420"/>
      </w:pPr>
    </w:lvl>
    <w:lvl w:ilvl="8" w:tentative="0">
      <w:start w:val="1"/>
      <w:numFmt w:val="lowerRoman"/>
      <w:lvlText w:val="%9."/>
      <w:lvlJc w:val="right"/>
      <w:pPr>
        <w:ind w:left="803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AxYzc4ZTQzZjZkMzFiZDA3YTUyNmQ0NDU3NTY5YzQifQ=="/>
  </w:docVars>
  <w:rsids>
    <w:rsidRoot w:val="04A10F5C"/>
    <w:rsid w:val="0002281C"/>
    <w:rsid w:val="00025388"/>
    <w:rsid w:val="000423BA"/>
    <w:rsid w:val="00065754"/>
    <w:rsid w:val="000749E3"/>
    <w:rsid w:val="000759A5"/>
    <w:rsid w:val="00080820"/>
    <w:rsid w:val="00094D67"/>
    <w:rsid w:val="000955B0"/>
    <w:rsid w:val="000B6818"/>
    <w:rsid w:val="000C0542"/>
    <w:rsid w:val="000C71A0"/>
    <w:rsid w:val="000E0E13"/>
    <w:rsid w:val="000E144D"/>
    <w:rsid w:val="000E411D"/>
    <w:rsid w:val="001009ED"/>
    <w:rsid w:val="00124C2E"/>
    <w:rsid w:val="00131FC5"/>
    <w:rsid w:val="001433F4"/>
    <w:rsid w:val="001452DA"/>
    <w:rsid w:val="001705D7"/>
    <w:rsid w:val="00180B54"/>
    <w:rsid w:val="001C379F"/>
    <w:rsid w:val="001D2F6F"/>
    <w:rsid w:val="001E2CDB"/>
    <w:rsid w:val="001F4C71"/>
    <w:rsid w:val="00234DD4"/>
    <w:rsid w:val="00270CEC"/>
    <w:rsid w:val="00280B1B"/>
    <w:rsid w:val="0028565E"/>
    <w:rsid w:val="00291257"/>
    <w:rsid w:val="002A316A"/>
    <w:rsid w:val="002A7346"/>
    <w:rsid w:val="002B0F3C"/>
    <w:rsid w:val="002F09E1"/>
    <w:rsid w:val="00304A7E"/>
    <w:rsid w:val="00321DB0"/>
    <w:rsid w:val="00352FE0"/>
    <w:rsid w:val="00354510"/>
    <w:rsid w:val="00356005"/>
    <w:rsid w:val="00374080"/>
    <w:rsid w:val="00376872"/>
    <w:rsid w:val="00377EFE"/>
    <w:rsid w:val="003925CB"/>
    <w:rsid w:val="0039329C"/>
    <w:rsid w:val="003A3AEF"/>
    <w:rsid w:val="003D222A"/>
    <w:rsid w:val="003D6A01"/>
    <w:rsid w:val="0040493B"/>
    <w:rsid w:val="0041192A"/>
    <w:rsid w:val="00415C52"/>
    <w:rsid w:val="00417DD7"/>
    <w:rsid w:val="00423D60"/>
    <w:rsid w:val="0042588E"/>
    <w:rsid w:val="004572B6"/>
    <w:rsid w:val="0046293C"/>
    <w:rsid w:val="00473F00"/>
    <w:rsid w:val="00496CCE"/>
    <w:rsid w:val="004A5330"/>
    <w:rsid w:val="004B25A2"/>
    <w:rsid w:val="004C23C2"/>
    <w:rsid w:val="004D592C"/>
    <w:rsid w:val="004E0F63"/>
    <w:rsid w:val="004F13ED"/>
    <w:rsid w:val="004F3314"/>
    <w:rsid w:val="005139AD"/>
    <w:rsid w:val="00522057"/>
    <w:rsid w:val="005535BF"/>
    <w:rsid w:val="00555E7E"/>
    <w:rsid w:val="005606BA"/>
    <w:rsid w:val="005607B9"/>
    <w:rsid w:val="00572B40"/>
    <w:rsid w:val="00587C54"/>
    <w:rsid w:val="00595FBC"/>
    <w:rsid w:val="005A6300"/>
    <w:rsid w:val="005B2260"/>
    <w:rsid w:val="005C6A18"/>
    <w:rsid w:val="005D3880"/>
    <w:rsid w:val="005F6E15"/>
    <w:rsid w:val="00614BCB"/>
    <w:rsid w:val="00614FB5"/>
    <w:rsid w:val="00622AD1"/>
    <w:rsid w:val="00630321"/>
    <w:rsid w:val="00633BA9"/>
    <w:rsid w:val="00671D07"/>
    <w:rsid w:val="00674899"/>
    <w:rsid w:val="006818C1"/>
    <w:rsid w:val="00681CF0"/>
    <w:rsid w:val="00681DEA"/>
    <w:rsid w:val="00682D2E"/>
    <w:rsid w:val="006A47A7"/>
    <w:rsid w:val="006B3A30"/>
    <w:rsid w:val="006B5DFC"/>
    <w:rsid w:val="006C4CE2"/>
    <w:rsid w:val="006D695D"/>
    <w:rsid w:val="006F1963"/>
    <w:rsid w:val="006F2FE2"/>
    <w:rsid w:val="006F433D"/>
    <w:rsid w:val="006F68F1"/>
    <w:rsid w:val="0070030F"/>
    <w:rsid w:val="00711467"/>
    <w:rsid w:val="00722750"/>
    <w:rsid w:val="00723885"/>
    <w:rsid w:val="00732E10"/>
    <w:rsid w:val="00735D4F"/>
    <w:rsid w:val="00740B71"/>
    <w:rsid w:val="0074351A"/>
    <w:rsid w:val="00746AE7"/>
    <w:rsid w:val="007571D1"/>
    <w:rsid w:val="007A0767"/>
    <w:rsid w:val="007B330E"/>
    <w:rsid w:val="007B53CD"/>
    <w:rsid w:val="007D5EB3"/>
    <w:rsid w:val="007F015C"/>
    <w:rsid w:val="007F4A9F"/>
    <w:rsid w:val="00815C31"/>
    <w:rsid w:val="00821789"/>
    <w:rsid w:val="00826009"/>
    <w:rsid w:val="00835472"/>
    <w:rsid w:val="00861C0C"/>
    <w:rsid w:val="00862D39"/>
    <w:rsid w:val="008725A3"/>
    <w:rsid w:val="00885042"/>
    <w:rsid w:val="008B35C9"/>
    <w:rsid w:val="008C651E"/>
    <w:rsid w:val="008D1543"/>
    <w:rsid w:val="008F1784"/>
    <w:rsid w:val="00902E92"/>
    <w:rsid w:val="00911B93"/>
    <w:rsid w:val="009230BA"/>
    <w:rsid w:val="00923438"/>
    <w:rsid w:val="009615A1"/>
    <w:rsid w:val="00970733"/>
    <w:rsid w:val="0098760E"/>
    <w:rsid w:val="00991ADF"/>
    <w:rsid w:val="009C5E93"/>
    <w:rsid w:val="009F28BF"/>
    <w:rsid w:val="00A25A08"/>
    <w:rsid w:val="00A4057E"/>
    <w:rsid w:val="00A52EB8"/>
    <w:rsid w:val="00A93221"/>
    <w:rsid w:val="00AB1C14"/>
    <w:rsid w:val="00AC09FC"/>
    <w:rsid w:val="00AD0BE4"/>
    <w:rsid w:val="00AD5837"/>
    <w:rsid w:val="00AE75C4"/>
    <w:rsid w:val="00AF7CA9"/>
    <w:rsid w:val="00B03E26"/>
    <w:rsid w:val="00B06065"/>
    <w:rsid w:val="00B14DB4"/>
    <w:rsid w:val="00B32B72"/>
    <w:rsid w:val="00B37484"/>
    <w:rsid w:val="00B5323E"/>
    <w:rsid w:val="00B63A66"/>
    <w:rsid w:val="00B708C9"/>
    <w:rsid w:val="00B8118E"/>
    <w:rsid w:val="00BA256F"/>
    <w:rsid w:val="00BC46D9"/>
    <w:rsid w:val="00BD5D7F"/>
    <w:rsid w:val="00C51C42"/>
    <w:rsid w:val="00CA6719"/>
    <w:rsid w:val="00CD094A"/>
    <w:rsid w:val="00D030BB"/>
    <w:rsid w:val="00D344B7"/>
    <w:rsid w:val="00D40CCD"/>
    <w:rsid w:val="00D4306A"/>
    <w:rsid w:val="00D526AE"/>
    <w:rsid w:val="00D5285B"/>
    <w:rsid w:val="00D85F96"/>
    <w:rsid w:val="00DB5921"/>
    <w:rsid w:val="00DD6500"/>
    <w:rsid w:val="00DF4433"/>
    <w:rsid w:val="00E01495"/>
    <w:rsid w:val="00E01DD1"/>
    <w:rsid w:val="00E0260A"/>
    <w:rsid w:val="00E11A29"/>
    <w:rsid w:val="00E15163"/>
    <w:rsid w:val="00E15234"/>
    <w:rsid w:val="00E2349B"/>
    <w:rsid w:val="00E24262"/>
    <w:rsid w:val="00E348E1"/>
    <w:rsid w:val="00E36024"/>
    <w:rsid w:val="00E52194"/>
    <w:rsid w:val="00EC52C3"/>
    <w:rsid w:val="00EE62B0"/>
    <w:rsid w:val="00EF550D"/>
    <w:rsid w:val="00F06C7B"/>
    <w:rsid w:val="00F1543D"/>
    <w:rsid w:val="00F3351E"/>
    <w:rsid w:val="00F34892"/>
    <w:rsid w:val="00F41FC5"/>
    <w:rsid w:val="00F42B57"/>
    <w:rsid w:val="00F4324D"/>
    <w:rsid w:val="00F62216"/>
    <w:rsid w:val="00F63F5A"/>
    <w:rsid w:val="00F73896"/>
    <w:rsid w:val="00FA4EBD"/>
    <w:rsid w:val="00FD2601"/>
    <w:rsid w:val="00FD7E74"/>
    <w:rsid w:val="00FE394E"/>
    <w:rsid w:val="00FE5671"/>
    <w:rsid w:val="00FE6902"/>
    <w:rsid w:val="00FE6A9D"/>
    <w:rsid w:val="00FF06CB"/>
    <w:rsid w:val="00FF6DE1"/>
    <w:rsid w:val="01020542"/>
    <w:rsid w:val="010D427B"/>
    <w:rsid w:val="0119677B"/>
    <w:rsid w:val="011C44BE"/>
    <w:rsid w:val="01211AD4"/>
    <w:rsid w:val="012C2CC7"/>
    <w:rsid w:val="012D2A7A"/>
    <w:rsid w:val="01534979"/>
    <w:rsid w:val="0156177E"/>
    <w:rsid w:val="015C1D7C"/>
    <w:rsid w:val="0174398E"/>
    <w:rsid w:val="018A6BE2"/>
    <w:rsid w:val="019B2EF9"/>
    <w:rsid w:val="019E3F56"/>
    <w:rsid w:val="01A06E9D"/>
    <w:rsid w:val="01C25065"/>
    <w:rsid w:val="01C831C4"/>
    <w:rsid w:val="01D620C3"/>
    <w:rsid w:val="01E160C9"/>
    <w:rsid w:val="01E50D53"/>
    <w:rsid w:val="02067955"/>
    <w:rsid w:val="023458FA"/>
    <w:rsid w:val="025C1016"/>
    <w:rsid w:val="02647ECA"/>
    <w:rsid w:val="02780693"/>
    <w:rsid w:val="02B7510C"/>
    <w:rsid w:val="02C44E0D"/>
    <w:rsid w:val="02D05560"/>
    <w:rsid w:val="02FC1D07"/>
    <w:rsid w:val="03012D45"/>
    <w:rsid w:val="031C5BED"/>
    <w:rsid w:val="03205AAB"/>
    <w:rsid w:val="032064E7"/>
    <w:rsid w:val="032B7330"/>
    <w:rsid w:val="03326D42"/>
    <w:rsid w:val="034F43D4"/>
    <w:rsid w:val="03565A76"/>
    <w:rsid w:val="03597303"/>
    <w:rsid w:val="03CD0470"/>
    <w:rsid w:val="03EB2744"/>
    <w:rsid w:val="03F4702C"/>
    <w:rsid w:val="041871BE"/>
    <w:rsid w:val="04190476"/>
    <w:rsid w:val="04477AA3"/>
    <w:rsid w:val="046B5540"/>
    <w:rsid w:val="04A10F5C"/>
    <w:rsid w:val="04A44EF6"/>
    <w:rsid w:val="04D34BDF"/>
    <w:rsid w:val="04D8694E"/>
    <w:rsid w:val="04DD2A95"/>
    <w:rsid w:val="04EB042F"/>
    <w:rsid w:val="04F03C97"/>
    <w:rsid w:val="05017C52"/>
    <w:rsid w:val="051D1CC1"/>
    <w:rsid w:val="053915D1"/>
    <w:rsid w:val="05566A4F"/>
    <w:rsid w:val="057B4A25"/>
    <w:rsid w:val="05840D2E"/>
    <w:rsid w:val="059705B7"/>
    <w:rsid w:val="05AC6D31"/>
    <w:rsid w:val="05C553A5"/>
    <w:rsid w:val="05E97064"/>
    <w:rsid w:val="05FB6D97"/>
    <w:rsid w:val="05FD48BE"/>
    <w:rsid w:val="060B1AE7"/>
    <w:rsid w:val="06204D8B"/>
    <w:rsid w:val="063D115E"/>
    <w:rsid w:val="065F4D96"/>
    <w:rsid w:val="067B1C86"/>
    <w:rsid w:val="06814C3B"/>
    <w:rsid w:val="06840B3B"/>
    <w:rsid w:val="06943F80"/>
    <w:rsid w:val="06AA1A32"/>
    <w:rsid w:val="06C4416E"/>
    <w:rsid w:val="06C87947"/>
    <w:rsid w:val="06CC603E"/>
    <w:rsid w:val="06EB13F0"/>
    <w:rsid w:val="06F757B1"/>
    <w:rsid w:val="06F967A7"/>
    <w:rsid w:val="075306D3"/>
    <w:rsid w:val="0762044C"/>
    <w:rsid w:val="07634BF4"/>
    <w:rsid w:val="078604E1"/>
    <w:rsid w:val="078E1545"/>
    <w:rsid w:val="07911761"/>
    <w:rsid w:val="07BA233A"/>
    <w:rsid w:val="07C35CD4"/>
    <w:rsid w:val="07C75005"/>
    <w:rsid w:val="07CB3F4E"/>
    <w:rsid w:val="07F70A37"/>
    <w:rsid w:val="082223BA"/>
    <w:rsid w:val="083A61D5"/>
    <w:rsid w:val="084F1FE0"/>
    <w:rsid w:val="085608FD"/>
    <w:rsid w:val="0870600E"/>
    <w:rsid w:val="087E07B8"/>
    <w:rsid w:val="08941AA5"/>
    <w:rsid w:val="08BC7646"/>
    <w:rsid w:val="08C23B9D"/>
    <w:rsid w:val="08C4058D"/>
    <w:rsid w:val="08CA572C"/>
    <w:rsid w:val="08CB1337"/>
    <w:rsid w:val="08DC4C5E"/>
    <w:rsid w:val="08EF122D"/>
    <w:rsid w:val="09137F54"/>
    <w:rsid w:val="09254382"/>
    <w:rsid w:val="092B2202"/>
    <w:rsid w:val="09382988"/>
    <w:rsid w:val="095626EF"/>
    <w:rsid w:val="09604164"/>
    <w:rsid w:val="096C6BA2"/>
    <w:rsid w:val="098470A4"/>
    <w:rsid w:val="098F7F12"/>
    <w:rsid w:val="09944DDA"/>
    <w:rsid w:val="09AC2584"/>
    <w:rsid w:val="09CD44CE"/>
    <w:rsid w:val="09F125A0"/>
    <w:rsid w:val="09F75AC8"/>
    <w:rsid w:val="09FE6AEA"/>
    <w:rsid w:val="0A3665F0"/>
    <w:rsid w:val="0A456833"/>
    <w:rsid w:val="0A725D8F"/>
    <w:rsid w:val="0A9934A8"/>
    <w:rsid w:val="0AB92482"/>
    <w:rsid w:val="0B1361DB"/>
    <w:rsid w:val="0B3C7C36"/>
    <w:rsid w:val="0B4A607C"/>
    <w:rsid w:val="0B4B60CB"/>
    <w:rsid w:val="0B651A09"/>
    <w:rsid w:val="0B6F53AD"/>
    <w:rsid w:val="0B7C53CD"/>
    <w:rsid w:val="0BBA7D82"/>
    <w:rsid w:val="0BC85764"/>
    <w:rsid w:val="0BD82F27"/>
    <w:rsid w:val="0BE15762"/>
    <w:rsid w:val="0BE91440"/>
    <w:rsid w:val="0BFF5B37"/>
    <w:rsid w:val="0C0B7CD8"/>
    <w:rsid w:val="0C162666"/>
    <w:rsid w:val="0C1E3050"/>
    <w:rsid w:val="0C1F2F11"/>
    <w:rsid w:val="0C205157"/>
    <w:rsid w:val="0C660306"/>
    <w:rsid w:val="0C66480D"/>
    <w:rsid w:val="0C692E54"/>
    <w:rsid w:val="0C6B7A2A"/>
    <w:rsid w:val="0C7C7FF7"/>
    <w:rsid w:val="0C842572"/>
    <w:rsid w:val="0C894029"/>
    <w:rsid w:val="0C944FBF"/>
    <w:rsid w:val="0C945850"/>
    <w:rsid w:val="0CA31AC4"/>
    <w:rsid w:val="0CAF268A"/>
    <w:rsid w:val="0CB53909"/>
    <w:rsid w:val="0CBA0FFB"/>
    <w:rsid w:val="0CCA3020"/>
    <w:rsid w:val="0CE43377"/>
    <w:rsid w:val="0D0522AA"/>
    <w:rsid w:val="0D246AC1"/>
    <w:rsid w:val="0D465956"/>
    <w:rsid w:val="0D4E1D85"/>
    <w:rsid w:val="0D576FA9"/>
    <w:rsid w:val="0D6C19DE"/>
    <w:rsid w:val="0D8F7A56"/>
    <w:rsid w:val="0DC22639"/>
    <w:rsid w:val="0DC8579F"/>
    <w:rsid w:val="0DD55107"/>
    <w:rsid w:val="0DEC6F5F"/>
    <w:rsid w:val="0E364E11"/>
    <w:rsid w:val="0E574D87"/>
    <w:rsid w:val="0E664FCA"/>
    <w:rsid w:val="0E6B25E0"/>
    <w:rsid w:val="0E770F85"/>
    <w:rsid w:val="0EBA0110"/>
    <w:rsid w:val="0EBB5316"/>
    <w:rsid w:val="0EBE394A"/>
    <w:rsid w:val="0EE12A16"/>
    <w:rsid w:val="0F0B299E"/>
    <w:rsid w:val="0F2F3E65"/>
    <w:rsid w:val="0F386966"/>
    <w:rsid w:val="0F5E06D2"/>
    <w:rsid w:val="0F6F19F5"/>
    <w:rsid w:val="0F86221E"/>
    <w:rsid w:val="0F927274"/>
    <w:rsid w:val="0F9D2E3B"/>
    <w:rsid w:val="0FCB06D7"/>
    <w:rsid w:val="0FD001C2"/>
    <w:rsid w:val="0FF52AA9"/>
    <w:rsid w:val="10240C99"/>
    <w:rsid w:val="104430E9"/>
    <w:rsid w:val="10501A8E"/>
    <w:rsid w:val="10A65B52"/>
    <w:rsid w:val="10BA62DC"/>
    <w:rsid w:val="10C9219B"/>
    <w:rsid w:val="10E24DDC"/>
    <w:rsid w:val="10EC77C3"/>
    <w:rsid w:val="11391A19"/>
    <w:rsid w:val="11625F1D"/>
    <w:rsid w:val="11A50E79"/>
    <w:rsid w:val="11B524F0"/>
    <w:rsid w:val="11BB562D"/>
    <w:rsid w:val="11C52008"/>
    <w:rsid w:val="11F12DFD"/>
    <w:rsid w:val="11FD3133"/>
    <w:rsid w:val="120508AC"/>
    <w:rsid w:val="121A67F7"/>
    <w:rsid w:val="121E2100"/>
    <w:rsid w:val="122F1CA3"/>
    <w:rsid w:val="1235718D"/>
    <w:rsid w:val="124A70DD"/>
    <w:rsid w:val="125C5139"/>
    <w:rsid w:val="126902C7"/>
    <w:rsid w:val="12A713F3"/>
    <w:rsid w:val="12C66037"/>
    <w:rsid w:val="12D54D34"/>
    <w:rsid w:val="12DB7AF4"/>
    <w:rsid w:val="12E66C85"/>
    <w:rsid w:val="12EC2D29"/>
    <w:rsid w:val="12F60D91"/>
    <w:rsid w:val="132F322B"/>
    <w:rsid w:val="13685340"/>
    <w:rsid w:val="136E6DFB"/>
    <w:rsid w:val="136F66CF"/>
    <w:rsid w:val="139F590B"/>
    <w:rsid w:val="13A24CF6"/>
    <w:rsid w:val="13B35A4F"/>
    <w:rsid w:val="13BD1122"/>
    <w:rsid w:val="13E96D0C"/>
    <w:rsid w:val="13F32DFD"/>
    <w:rsid w:val="13FA779F"/>
    <w:rsid w:val="14042DB7"/>
    <w:rsid w:val="141421B6"/>
    <w:rsid w:val="14270D58"/>
    <w:rsid w:val="142B6890"/>
    <w:rsid w:val="142C1457"/>
    <w:rsid w:val="14412082"/>
    <w:rsid w:val="14537E40"/>
    <w:rsid w:val="145A4D42"/>
    <w:rsid w:val="14637B45"/>
    <w:rsid w:val="146F48E9"/>
    <w:rsid w:val="14797507"/>
    <w:rsid w:val="14863CD0"/>
    <w:rsid w:val="14912710"/>
    <w:rsid w:val="14924446"/>
    <w:rsid w:val="14983A03"/>
    <w:rsid w:val="14AF5969"/>
    <w:rsid w:val="14CA6F83"/>
    <w:rsid w:val="14D7531B"/>
    <w:rsid w:val="14EA24B1"/>
    <w:rsid w:val="14F0601E"/>
    <w:rsid w:val="150A66AF"/>
    <w:rsid w:val="150C4858"/>
    <w:rsid w:val="15204125"/>
    <w:rsid w:val="15312B70"/>
    <w:rsid w:val="1532074D"/>
    <w:rsid w:val="154E0CCD"/>
    <w:rsid w:val="15595808"/>
    <w:rsid w:val="15783F61"/>
    <w:rsid w:val="157F7058"/>
    <w:rsid w:val="160133BB"/>
    <w:rsid w:val="165678A8"/>
    <w:rsid w:val="16662F5D"/>
    <w:rsid w:val="16687B33"/>
    <w:rsid w:val="16865DF7"/>
    <w:rsid w:val="16907AC1"/>
    <w:rsid w:val="16A27929"/>
    <w:rsid w:val="16A3500D"/>
    <w:rsid w:val="16A91EF8"/>
    <w:rsid w:val="16DE3658"/>
    <w:rsid w:val="16FE0496"/>
    <w:rsid w:val="173B5412"/>
    <w:rsid w:val="174152AC"/>
    <w:rsid w:val="174D331F"/>
    <w:rsid w:val="17732F8B"/>
    <w:rsid w:val="178A1F00"/>
    <w:rsid w:val="17B370DB"/>
    <w:rsid w:val="17BD5B44"/>
    <w:rsid w:val="17E340BC"/>
    <w:rsid w:val="17FB2C27"/>
    <w:rsid w:val="182D3CDB"/>
    <w:rsid w:val="184027AC"/>
    <w:rsid w:val="184629F8"/>
    <w:rsid w:val="184A3267"/>
    <w:rsid w:val="18511A82"/>
    <w:rsid w:val="187C78C4"/>
    <w:rsid w:val="1880614A"/>
    <w:rsid w:val="18B03A11"/>
    <w:rsid w:val="18B776FF"/>
    <w:rsid w:val="18C96881"/>
    <w:rsid w:val="18E4746B"/>
    <w:rsid w:val="18F066DE"/>
    <w:rsid w:val="19033E41"/>
    <w:rsid w:val="192166BD"/>
    <w:rsid w:val="193C5F89"/>
    <w:rsid w:val="19483C4A"/>
    <w:rsid w:val="19634C35"/>
    <w:rsid w:val="19682338"/>
    <w:rsid w:val="19810F0A"/>
    <w:rsid w:val="199271FE"/>
    <w:rsid w:val="199724DC"/>
    <w:rsid w:val="19A54BF8"/>
    <w:rsid w:val="19B25567"/>
    <w:rsid w:val="19B72B7E"/>
    <w:rsid w:val="19C257AA"/>
    <w:rsid w:val="19EC54DE"/>
    <w:rsid w:val="19F416DC"/>
    <w:rsid w:val="1A293A7B"/>
    <w:rsid w:val="1A385ECC"/>
    <w:rsid w:val="1A3A1D53"/>
    <w:rsid w:val="1A440639"/>
    <w:rsid w:val="1A536139"/>
    <w:rsid w:val="1A7A244E"/>
    <w:rsid w:val="1A8769F4"/>
    <w:rsid w:val="1AA32ED4"/>
    <w:rsid w:val="1AF66A57"/>
    <w:rsid w:val="1B214753"/>
    <w:rsid w:val="1B2168A4"/>
    <w:rsid w:val="1B2C2BD7"/>
    <w:rsid w:val="1B5468D6"/>
    <w:rsid w:val="1B5C1C2F"/>
    <w:rsid w:val="1B68296A"/>
    <w:rsid w:val="1B6F54BE"/>
    <w:rsid w:val="1B702951"/>
    <w:rsid w:val="1B76000B"/>
    <w:rsid w:val="1B805D40"/>
    <w:rsid w:val="1B9211AC"/>
    <w:rsid w:val="1BA24DBD"/>
    <w:rsid w:val="1BAF14AC"/>
    <w:rsid w:val="1BD14A1C"/>
    <w:rsid w:val="1BFD51C0"/>
    <w:rsid w:val="1C1826E0"/>
    <w:rsid w:val="1C2362A8"/>
    <w:rsid w:val="1C250C0E"/>
    <w:rsid w:val="1C2B1C40"/>
    <w:rsid w:val="1C550358"/>
    <w:rsid w:val="1C692927"/>
    <w:rsid w:val="1C76648A"/>
    <w:rsid w:val="1C896A53"/>
    <w:rsid w:val="1C9E36FB"/>
    <w:rsid w:val="1CA27B15"/>
    <w:rsid w:val="1CFF3E3D"/>
    <w:rsid w:val="1D0D6025"/>
    <w:rsid w:val="1D100A69"/>
    <w:rsid w:val="1D1522F2"/>
    <w:rsid w:val="1D1D719C"/>
    <w:rsid w:val="1D247334"/>
    <w:rsid w:val="1D417BBA"/>
    <w:rsid w:val="1D444728"/>
    <w:rsid w:val="1D7248EE"/>
    <w:rsid w:val="1DA01267"/>
    <w:rsid w:val="1DAE493C"/>
    <w:rsid w:val="1DCF018E"/>
    <w:rsid w:val="1DD619D9"/>
    <w:rsid w:val="1E1D1D65"/>
    <w:rsid w:val="1E262347"/>
    <w:rsid w:val="1E2973BC"/>
    <w:rsid w:val="1E390E69"/>
    <w:rsid w:val="1E3E4C49"/>
    <w:rsid w:val="1E547805"/>
    <w:rsid w:val="1E753245"/>
    <w:rsid w:val="1E933BB9"/>
    <w:rsid w:val="1EA21E15"/>
    <w:rsid w:val="1EAE27A1"/>
    <w:rsid w:val="1EF50A5B"/>
    <w:rsid w:val="1EFF4CE4"/>
    <w:rsid w:val="1F432F96"/>
    <w:rsid w:val="1F5A6485"/>
    <w:rsid w:val="1F5E5F75"/>
    <w:rsid w:val="1F690E94"/>
    <w:rsid w:val="1F7216C1"/>
    <w:rsid w:val="1F8452B0"/>
    <w:rsid w:val="1F974FE3"/>
    <w:rsid w:val="1F9B1C25"/>
    <w:rsid w:val="1FB75686"/>
    <w:rsid w:val="1FC55E7C"/>
    <w:rsid w:val="1FE560C6"/>
    <w:rsid w:val="1FEF6BCD"/>
    <w:rsid w:val="20323B1D"/>
    <w:rsid w:val="2039104C"/>
    <w:rsid w:val="204B3751"/>
    <w:rsid w:val="20592BE1"/>
    <w:rsid w:val="205B1084"/>
    <w:rsid w:val="206A6C89"/>
    <w:rsid w:val="206D3F96"/>
    <w:rsid w:val="206E426A"/>
    <w:rsid w:val="208048FB"/>
    <w:rsid w:val="208539D6"/>
    <w:rsid w:val="20854AE6"/>
    <w:rsid w:val="20894213"/>
    <w:rsid w:val="2091237A"/>
    <w:rsid w:val="20B81328"/>
    <w:rsid w:val="20C1485B"/>
    <w:rsid w:val="20CA2B64"/>
    <w:rsid w:val="20CE17ED"/>
    <w:rsid w:val="20D364EF"/>
    <w:rsid w:val="20E91E77"/>
    <w:rsid w:val="20EA55E7"/>
    <w:rsid w:val="21072BF0"/>
    <w:rsid w:val="2107788D"/>
    <w:rsid w:val="21294361"/>
    <w:rsid w:val="213F3B84"/>
    <w:rsid w:val="21401046"/>
    <w:rsid w:val="215A2846"/>
    <w:rsid w:val="2181453C"/>
    <w:rsid w:val="218E28AD"/>
    <w:rsid w:val="21CF5AE2"/>
    <w:rsid w:val="21D41DD3"/>
    <w:rsid w:val="21D70261"/>
    <w:rsid w:val="21E25BC6"/>
    <w:rsid w:val="21E85FCA"/>
    <w:rsid w:val="22131A27"/>
    <w:rsid w:val="22373980"/>
    <w:rsid w:val="2245098C"/>
    <w:rsid w:val="226830ED"/>
    <w:rsid w:val="22851372"/>
    <w:rsid w:val="22B24EA1"/>
    <w:rsid w:val="22D30A28"/>
    <w:rsid w:val="22E57ED1"/>
    <w:rsid w:val="22F41543"/>
    <w:rsid w:val="230D27BA"/>
    <w:rsid w:val="231A3C2B"/>
    <w:rsid w:val="231E22FE"/>
    <w:rsid w:val="23203D54"/>
    <w:rsid w:val="23215484"/>
    <w:rsid w:val="23390F0A"/>
    <w:rsid w:val="235100D0"/>
    <w:rsid w:val="235633E8"/>
    <w:rsid w:val="23737B15"/>
    <w:rsid w:val="23755929"/>
    <w:rsid w:val="23DF3883"/>
    <w:rsid w:val="23E313B8"/>
    <w:rsid w:val="23E427C1"/>
    <w:rsid w:val="23EC3205"/>
    <w:rsid w:val="240370EB"/>
    <w:rsid w:val="240A66CC"/>
    <w:rsid w:val="243472A5"/>
    <w:rsid w:val="243E6375"/>
    <w:rsid w:val="244E3DAE"/>
    <w:rsid w:val="245F6A86"/>
    <w:rsid w:val="246D4540"/>
    <w:rsid w:val="247955FF"/>
    <w:rsid w:val="24883A94"/>
    <w:rsid w:val="24A645D9"/>
    <w:rsid w:val="24C50DD5"/>
    <w:rsid w:val="24DA5513"/>
    <w:rsid w:val="24FE5B05"/>
    <w:rsid w:val="250A45CC"/>
    <w:rsid w:val="253A7ACB"/>
    <w:rsid w:val="25783B09"/>
    <w:rsid w:val="259D0E7A"/>
    <w:rsid w:val="25AB6067"/>
    <w:rsid w:val="25AC694C"/>
    <w:rsid w:val="261011F7"/>
    <w:rsid w:val="26117E15"/>
    <w:rsid w:val="2612067E"/>
    <w:rsid w:val="263168D5"/>
    <w:rsid w:val="264834DB"/>
    <w:rsid w:val="26527C90"/>
    <w:rsid w:val="265A7B33"/>
    <w:rsid w:val="265D6B71"/>
    <w:rsid w:val="26770CDC"/>
    <w:rsid w:val="2684180E"/>
    <w:rsid w:val="26844E74"/>
    <w:rsid w:val="26887C85"/>
    <w:rsid w:val="26922E4C"/>
    <w:rsid w:val="26972240"/>
    <w:rsid w:val="26E054C2"/>
    <w:rsid w:val="26F1370C"/>
    <w:rsid w:val="26F15921"/>
    <w:rsid w:val="27085BFB"/>
    <w:rsid w:val="27092ACA"/>
    <w:rsid w:val="270F2585"/>
    <w:rsid w:val="27233601"/>
    <w:rsid w:val="2741775F"/>
    <w:rsid w:val="274301E8"/>
    <w:rsid w:val="274A360B"/>
    <w:rsid w:val="27545EB0"/>
    <w:rsid w:val="27624080"/>
    <w:rsid w:val="276A6AC0"/>
    <w:rsid w:val="279544FE"/>
    <w:rsid w:val="27AB0AEE"/>
    <w:rsid w:val="27C65FAA"/>
    <w:rsid w:val="27DB3EDB"/>
    <w:rsid w:val="27E91D37"/>
    <w:rsid w:val="27FD48FE"/>
    <w:rsid w:val="28537F15"/>
    <w:rsid w:val="2890116A"/>
    <w:rsid w:val="289C366A"/>
    <w:rsid w:val="28D23530"/>
    <w:rsid w:val="28DE0127"/>
    <w:rsid w:val="28EB2280"/>
    <w:rsid w:val="28F17E5A"/>
    <w:rsid w:val="28FB2A87"/>
    <w:rsid w:val="29015BC3"/>
    <w:rsid w:val="29304698"/>
    <w:rsid w:val="297E0FC2"/>
    <w:rsid w:val="29A0718A"/>
    <w:rsid w:val="29D924A0"/>
    <w:rsid w:val="29EC615C"/>
    <w:rsid w:val="2A0C2212"/>
    <w:rsid w:val="2A0C2316"/>
    <w:rsid w:val="2A202079"/>
    <w:rsid w:val="2A2B0FCB"/>
    <w:rsid w:val="2A31719F"/>
    <w:rsid w:val="2A353271"/>
    <w:rsid w:val="2A50504C"/>
    <w:rsid w:val="2A9A62D0"/>
    <w:rsid w:val="2A9C5BA4"/>
    <w:rsid w:val="2AE447CB"/>
    <w:rsid w:val="2AEB0496"/>
    <w:rsid w:val="2AF161D4"/>
    <w:rsid w:val="2B400C25"/>
    <w:rsid w:val="2B670055"/>
    <w:rsid w:val="2B6A7A50"/>
    <w:rsid w:val="2B9F3B9D"/>
    <w:rsid w:val="2BA50A88"/>
    <w:rsid w:val="2BCA26AE"/>
    <w:rsid w:val="2BD3243F"/>
    <w:rsid w:val="2BE33EDA"/>
    <w:rsid w:val="2C0564A4"/>
    <w:rsid w:val="2C105B86"/>
    <w:rsid w:val="2C1C3C0F"/>
    <w:rsid w:val="2C8043FC"/>
    <w:rsid w:val="2CA95B0F"/>
    <w:rsid w:val="2CBA0319"/>
    <w:rsid w:val="2CBD21FA"/>
    <w:rsid w:val="2CC460B5"/>
    <w:rsid w:val="2CCA6412"/>
    <w:rsid w:val="2CD6590B"/>
    <w:rsid w:val="2D4F33A1"/>
    <w:rsid w:val="2D643070"/>
    <w:rsid w:val="2D853B95"/>
    <w:rsid w:val="2D9C735E"/>
    <w:rsid w:val="2DA83F99"/>
    <w:rsid w:val="2DAC25A2"/>
    <w:rsid w:val="2DBD5646"/>
    <w:rsid w:val="2DC225E3"/>
    <w:rsid w:val="2DE955A4"/>
    <w:rsid w:val="2DF922D4"/>
    <w:rsid w:val="2E02243A"/>
    <w:rsid w:val="2E277E7A"/>
    <w:rsid w:val="2E3916CB"/>
    <w:rsid w:val="2E58756D"/>
    <w:rsid w:val="2E5A3DAC"/>
    <w:rsid w:val="2E905B07"/>
    <w:rsid w:val="2E981A17"/>
    <w:rsid w:val="2EB21E3A"/>
    <w:rsid w:val="2EC61641"/>
    <w:rsid w:val="2ED718A0"/>
    <w:rsid w:val="2EFC44C7"/>
    <w:rsid w:val="2F037C30"/>
    <w:rsid w:val="2F1E6A16"/>
    <w:rsid w:val="2F290264"/>
    <w:rsid w:val="2F4F0498"/>
    <w:rsid w:val="2F7D0215"/>
    <w:rsid w:val="2F8B61E7"/>
    <w:rsid w:val="2F974B8C"/>
    <w:rsid w:val="2F994DA8"/>
    <w:rsid w:val="2FC10A62"/>
    <w:rsid w:val="2FE2558D"/>
    <w:rsid w:val="2FEC4A36"/>
    <w:rsid w:val="3005243D"/>
    <w:rsid w:val="302D3FB4"/>
    <w:rsid w:val="303F0EEB"/>
    <w:rsid w:val="304D032C"/>
    <w:rsid w:val="305666F0"/>
    <w:rsid w:val="30617E20"/>
    <w:rsid w:val="30965626"/>
    <w:rsid w:val="30B654E5"/>
    <w:rsid w:val="30C3128A"/>
    <w:rsid w:val="30C776F3"/>
    <w:rsid w:val="30E43E01"/>
    <w:rsid w:val="30EC5878"/>
    <w:rsid w:val="30F57DBC"/>
    <w:rsid w:val="311D6658"/>
    <w:rsid w:val="312B1D4E"/>
    <w:rsid w:val="318F172B"/>
    <w:rsid w:val="319966B1"/>
    <w:rsid w:val="31A23A12"/>
    <w:rsid w:val="31AE3035"/>
    <w:rsid w:val="31B639EF"/>
    <w:rsid w:val="31C45729"/>
    <w:rsid w:val="31D04385"/>
    <w:rsid w:val="31E247E4"/>
    <w:rsid w:val="32030F40"/>
    <w:rsid w:val="322632A5"/>
    <w:rsid w:val="32300F16"/>
    <w:rsid w:val="323C2E8C"/>
    <w:rsid w:val="323F73DA"/>
    <w:rsid w:val="324D3E12"/>
    <w:rsid w:val="32726CAA"/>
    <w:rsid w:val="32791867"/>
    <w:rsid w:val="32AD727A"/>
    <w:rsid w:val="32BF01BA"/>
    <w:rsid w:val="32BF68D3"/>
    <w:rsid w:val="32D71984"/>
    <w:rsid w:val="32D97B55"/>
    <w:rsid w:val="32E334F3"/>
    <w:rsid w:val="32EB2FB9"/>
    <w:rsid w:val="33254336"/>
    <w:rsid w:val="33266952"/>
    <w:rsid w:val="335C05C6"/>
    <w:rsid w:val="3361379C"/>
    <w:rsid w:val="3380787D"/>
    <w:rsid w:val="338C0A3B"/>
    <w:rsid w:val="33AD6236"/>
    <w:rsid w:val="33B64661"/>
    <w:rsid w:val="33C566E9"/>
    <w:rsid w:val="33E3199F"/>
    <w:rsid w:val="33E412BD"/>
    <w:rsid w:val="33FD66B1"/>
    <w:rsid w:val="34164C19"/>
    <w:rsid w:val="3455442B"/>
    <w:rsid w:val="349B3370"/>
    <w:rsid w:val="34B25955"/>
    <w:rsid w:val="34C93A39"/>
    <w:rsid w:val="34CE1050"/>
    <w:rsid w:val="34F94FD1"/>
    <w:rsid w:val="35110564"/>
    <w:rsid w:val="35165C82"/>
    <w:rsid w:val="351F5D4F"/>
    <w:rsid w:val="355A2FBA"/>
    <w:rsid w:val="356419B4"/>
    <w:rsid w:val="359762E1"/>
    <w:rsid w:val="359C2EFC"/>
    <w:rsid w:val="35CB1AEF"/>
    <w:rsid w:val="35DA3A24"/>
    <w:rsid w:val="35EF1430"/>
    <w:rsid w:val="35F26EE6"/>
    <w:rsid w:val="35FE3BB6"/>
    <w:rsid w:val="36224829"/>
    <w:rsid w:val="36272473"/>
    <w:rsid w:val="362A394C"/>
    <w:rsid w:val="3645426A"/>
    <w:rsid w:val="3650773F"/>
    <w:rsid w:val="36592B9B"/>
    <w:rsid w:val="3660007A"/>
    <w:rsid w:val="36806F5E"/>
    <w:rsid w:val="368E4F3A"/>
    <w:rsid w:val="369B1405"/>
    <w:rsid w:val="36B21D04"/>
    <w:rsid w:val="36B65063"/>
    <w:rsid w:val="36C739BA"/>
    <w:rsid w:val="36DA644C"/>
    <w:rsid w:val="37240FDC"/>
    <w:rsid w:val="373D2F9E"/>
    <w:rsid w:val="375A5B41"/>
    <w:rsid w:val="37642410"/>
    <w:rsid w:val="376B527C"/>
    <w:rsid w:val="37751A06"/>
    <w:rsid w:val="37845886"/>
    <w:rsid w:val="378D51F2"/>
    <w:rsid w:val="37991EBF"/>
    <w:rsid w:val="37C84F19"/>
    <w:rsid w:val="37D96425"/>
    <w:rsid w:val="381A520E"/>
    <w:rsid w:val="38351008"/>
    <w:rsid w:val="38367638"/>
    <w:rsid w:val="386D0B7F"/>
    <w:rsid w:val="38790164"/>
    <w:rsid w:val="3885236D"/>
    <w:rsid w:val="38AC78FA"/>
    <w:rsid w:val="38B779DA"/>
    <w:rsid w:val="38D94467"/>
    <w:rsid w:val="38DE3B01"/>
    <w:rsid w:val="38E52E0C"/>
    <w:rsid w:val="391E1E7A"/>
    <w:rsid w:val="393D110C"/>
    <w:rsid w:val="399F120C"/>
    <w:rsid w:val="39A6259B"/>
    <w:rsid w:val="39B448EE"/>
    <w:rsid w:val="39CD7B28"/>
    <w:rsid w:val="39D32C64"/>
    <w:rsid w:val="3A3A39FA"/>
    <w:rsid w:val="3A3C6A5B"/>
    <w:rsid w:val="3A3C6CAC"/>
    <w:rsid w:val="3A467F8E"/>
    <w:rsid w:val="3A4D58B7"/>
    <w:rsid w:val="3A794F7C"/>
    <w:rsid w:val="3A7B07FD"/>
    <w:rsid w:val="3AA407BD"/>
    <w:rsid w:val="3AAD7959"/>
    <w:rsid w:val="3AAE1C46"/>
    <w:rsid w:val="3B0C6285"/>
    <w:rsid w:val="3B110927"/>
    <w:rsid w:val="3B246063"/>
    <w:rsid w:val="3B265113"/>
    <w:rsid w:val="3B4C7D7B"/>
    <w:rsid w:val="3B63409B"/>
    <w:rsid w:val="3B702E61"/>
    <w:rsid w:val="3B771E7D"/>
    <w:rsid w:val="3B840735"/>
    <w:rsid w:val="3B911029"/>
    <w:rsid w:val="3B913C82"/>
    <w:rsid w:val="3BA720BB"/>
    <w:rsid w:val="3BB56AC5"/>
    <w:rsid w:val="3BEE64D7"/>
    <w:rsid w:val="3BF72025"/>
    <w:rsid w:val="3C027831"/>
    <w:rsid w:val="3C2829AE"/>
    <w:rsid w:val="3C2E275D"/>
    <w:rsid w:val="3C471A00"/>
    <w:rsid w:val="3C595532"/>
    <w:rsid w:val="3C6D42A2"/>
    <w:rsid w:val="3CCF1E09"/>
    <w:rsid w:val="3CD70087"/>
    <w:rsid w:val="3CE32237"/>
    <w:rsid w:val="3CF4361D"/>
    <w:rsid w:val="3D0371AF"/>
    <w:rsid w:val="3D164601"/>
    <w:rsid w:val="3D2C3253"/>
    <w:rsid w:val="3D436353"/>
    <w:rsid w:val="3D5E14F9"/>
    <w:rsid w:val="3D69223C"/>
    <w:rsid w:val="3D7B45E7"/>
    <w:rsid w:val="3DBC05DF"/>
    <w:rsid w:val="3DFF671E"/>
    <w:rsid w:val="3E0A7283"/>
    <w:rsid w:val="3E37499A"/>
    <w:rsid w:val="3E532C8F"/>
    <w:rsid w:val="3E5B31AB"/>
    <w:rsid w:val="3E5C147A"/>
    <w:rsid w:val="3E650498"/>
    <w:rsid w:val="3E75078E"/>
    <w:rsid w:val="3E7B2753"/>
    <w:rsid w:val="3E98586C"/>
    <w:rsid w:val="3EB56AD2"/>
    <w:rsid w:val="3EBD1FBA"/>
    <w:rsid w:val="3ED6224D"/>
    <w:rsid w:val="3EE618F9"/>
    <w:rsid w:val="3EFE0783"/>
    <w:rsid w:val="3F2B3D4A"/>
    <w:rsid w:val="3F3F6447"/>
    <w:rsid w:val="3F516B05"/>
    <w:rsid w:val="3F584337"/>
    <w:rsid w:val="3F5A449A"/>
    <w:rsid w:val="3FCE45FA"/>
    <w:rsid w:val="4012098A"/>
    <w:rsid w:val="40231A17"/>
    <w:rsid w:val="40271F5C"/>
    <w:rsid w:val="402E32EA"/>
    <w:rsid w:val="403F2E01"/>
    <w:rsid w:val="40537DE8"/>
    <w:rsid w:val="4084103D"/>
    <w:rsid w:val="40AB4931"/>
    <w:rsid w:val="40AF29F5"/>
    <w:rsid w:val="40C1415E"/>
    <w:rsid w:val="40C41559"/>
    <w:rsid w:val="40C7345C"/>
    <w:rsid w:val="40D95004"/>
    <w:rsid w:val="40E90FBF"/>
    <w:rsid w:val="4103323B"/>
    <w:rsid w:val="411E335F"/>
    <w:rsid w:val="41207FB7"/>
    <w:rsid w:val="416442EA"/>
    <w:rsid w:val="41945FD1"/>
    <w:rsid w:val="41A462E8"/>
    <w:rsid w:val="41ED17A8"/>
    <w:rsid w:val="42015821"/>
    <w:rsid w:val="42082B19"/>
    <w:rsid w:val="42407B97"/>
    <w:rsid w:val="42462327"/>
    <w:rsid w:val="429C09DF"/>
    <w:rsid w:val="42BB1633"/>
    <w:rsid w:val="42BF46CD"/>
    <w:rsid w:val="42D24401"/>
    <w:rsid w:val="42DE125C"/>
    <w:rsid w:val="430912E0"/>
    <w:rsid w:val="430976F7"/>
    <w:rsid w:val="430E377B"/>
    <w:rsid w:val="4317039A"/>
    <w:rsid w:val="431C677E"/>
    <w:rsid w:val="43387203"/>
    <w:rsid w:val="434E13A9"/>
    <w:rsid w:val="436E4930"/>
    <w:rsid w:val="43776534"/>
    <w:rsid w:val="43891618"/>
    <w:rsid w:val="43AB5691"/>
    <w:rsid w:val="43B56997"/>
    <w:rsid w:val="43D7687B"/>
    <w:rsid w:val="43DD3B6B"/>
    <w:rsid w:val="43E50164"/>
    <w:rsid w:val="43E91F39"/>
    <w:rsid w:val="440D6621"/>
    <w:rsid w:val="440D7267"/>
    <w:rsid w:val="441632C2"/>
    <w:rsid w:val="44541936"/>
    <w:rsid w:val="44797F00"/>
    <w:rsid w:val="447C5593"/>
    <w:rsid w:val="448F52BB"/>
    <w:rsid w:val="44A26055"/>
    <w:rsid w:val="44C166F5"/>
    <w:rsid w:val="4508012C"/>
    <w:rsid w:val="45206EA7"/>
    <w:rsid w:val="45236573"/>
    <w:rsid w:val="45263E91"/>
    <w:rsid w:val="45391E05"/>
    <w:rsid w:val="453B3CB1"/>
    <w:rsid w:val="45554082"/>
    <w:rsid w:val="45685D0B"/>
    <w:rsid w:val="45790967"/>
    <w:rsid w:val="45877724"/>
    <w:rsid w:val="459B0E92"/>
    <w:rsid w:val="45BE408F"/>
    <w:rsid w:val="45D71407"/>
    <w:rsid w:val="45EE1552"/>
    <w:rsid w:val="46072613"/>
    <w:rsid w:val="46113492"/>
    <w:rsid w:val="46736CD7"/>
    <w:rsid w:val="469D2F78"/>
    <w:rsid w:val="46C06704"/>
    <w:rsid w:val="46C4213A"/>
    <w:rsid w:val="46C91A68"/>
    <w:rsid w:val="46D02A05"/>
    <w:rsid w:val="46D149CF"/>
    <w:rsid w:val="46E841F3"/>
    <w:rsid w:val="472E107D"/>
    <w:rsid w:val="47490A0A"/>
    <w:rsid w:val="476475F1"/>
    <w:rsid w:val="479C50F8"/>
    <w:rsid w:val="47BB389B"/>
    <w:rsid w:val="47BE31A6"/>
    <w:rsid w:val="47D324F0"/>
    <w:rsid w:val="47DB411D"/>
    <w:rsid w:val="47E36768"/>
    <w:rsid w:val="480C3F11"/>
    <w:rsid w:val="48474F49"/>
    <w:rsid w:val="48604926"/>
    <w:rsid w:val="486F0E49"/>
    <w:rsid w:val="487B2A8B"/>
    <w:rsid w:val="48802C4C"/>
    <w:rsid w:val="48873E41"/>
    <w:rsid w:val="48B74D60"/>
    <w:rsid w:val="48CA7928"/>
    <w:rsid w:val="48D04F3E"/>
    <w:rsid w:val="48F826E7"/>
    <w:rsid w:val="48FD2B21"/>
    <w:rsid w:val="49074DFE"/>
    <w:rsid w:val="49276B29"/>
    <w:rsid w:val="494E2307"/>
    <w:rsid w:val="495518E8"/>
    <w:rsid w:val="49A60395"/>
    <w:rsid w:val="49D361E3"/>
    <w:rsid w:val="4A073FC5"/>
    <w:rsid w:val="4A1379A0"/>
    <w:rsid w:val="4A272951"/>
    <w:rsid w:val="4A446121"/>
    <w:rsid w:val="4A477482"/>
    <w:rsid w:val="4A4B3126"/>
    <w:rsid w:val="4A555C30"/>
    <w:rsid w:val="4A7364C9"/>
    <w:rsid w:val="4A8D00A4"/>
    <w:rsid w:val="4ADC607A"/>
    <w:rsid w:val="4B187071"/>
    <w:rsid w:val="4B23033F"/>
    <w:rsid w:val="4B7818BD"/>
    <w:rsid w:val="4B787A3F"/>
    <w:rsid w:val="4B8F2339"/>
    <w:rsid w:val="4BA426B2"/>
    <w:rsid w:val="4BC0271E"/>
    <w:rsid w:val="4BFF1F54"/>
    <w:rsid w:val="4C4C074C"/>
    <w:rsid w:val="4C4F261E"/>
    <w:rsid w:val="4C5C2F8D"/>
    <w:rsid w:val="4C7416A3"/>
    <w:rsid w:val="4C8756E3"/>
    <w:rsid w:val="4C951AAA"/>
    <w:rsid w:val="4C982217"/>
    <w:rsid w:val="4CB62B01"/>
    <w:rsid w:val="4CCA2BFB"/>
    <w:rsid w:val="4CCE113F"/>
    <w:rsid w:val="4CE3349F"/>
    <w:rsid w:val="4CF34742"/>
    <w:rsid w:val="4D1137F0"/>
    <w:rsid w:val="4D4E28D6"/>
    <w:rsid w:val="4D6245D3"/>
    <w:rsid w:val="4D736443"/>
    <w:rsid w:val="4D8D29C9"/>
    <w:rsid w:val="4DB84022"/>
    <w:rsid w:val="4DC671CB"/>
    <w:rsid w:val="4DCF14E0"/>
    <w:rsid w:val="4DD70B1D"/>
    <w:rsid w:val="4E165F61"/>
    <w:rsid w:val="4E203E0E"/>
    <w:rsid w:val="4E23222F"/>
    <w:rsid w:val="4E2D63F2"/>
    <w:rsid w:val="4E4B5067"/>
    <w:rsid w:val="4E754349"/>
    <w:rsid w:val="4EAA6232"/>
    <w:rsid w:val="4ED814B2"/>
    <w:rsid w:val="4EFC5790"/>
    <w:rsid w:val="4F037C1C"/>
    <w:rsid w:val="4F142BB7"/>
    <w:rsid w:val="4F255813"/>
    <w:rsid w:val="4F2A5CF8"/>
    <w:rsid w:val="4F416B96"/>
    <w:rsid w:val="4F493BB5"/>
    <w:rsid w:val="4F4B5368"/>
    <w:rsid w:val="4F597CC8"/>
    <w:rsid w:val="4F5A1A06"/>
    <w:rsid w:val="4F5B577E"/>
    <w:rsid w:val="4F7D3946"/>
    <w:rsid w:val="4F7F4EB2"/>
    <w:rsid w:val="4F846A83"/>
    <w:rsid w:val="4FA7654E"/>
    <w:rsid w:val="4FB357B1"/>
    <w:rsid w:val="4FB9443F"/>
    <w:rsid w:val="4FBC446F"/>
    <w:rsid w:val="4FBD08DF"/>
    <w:rsid w:val="4FC46117"/>
    <w:rsid w:val="4FE6207D"/>
    <w:rsid w:val="4FEB08B0"/>
    <w:rsid w:val="500009EA"/>
    <w:rsid w:val="50170A09"/>
    <w:rsid w:val="50281B04"/>
    <w:rsid w:val="5029771A"/>
    <w:rsid w:val="509251CF"/>
    <w:rsid w:val="50B05148"/>
    <w:rsid w:val="50B17533"/>
    <w:rsid w:val="50CA6E12"/>
    <w:rsid w:val="5160707C"/>
    <w:rsid w:val="517A5834"/>
    <w:rsid w:val="517D7C2E"/>
    <w:rsid w:val="518C1818"/>
    <w:rsid w:val="51C05FDF"/>
    <w:rsid w:val="51D112E0"/>
    <w:rsid w:val="51D80421"/>
    <w:rsid w:val="51DC2D32"/>
    <w:rsid w:val="51E47CAD"/>
    <w:rsid w:val="51E655A8"/>
    <w:rsid w:val="51EB4AD5"/>
    <w:rsid w:val="521042BA"/>
    <w:rsid w:val="52271F77"/>
    <w:rsid w:val="5227608F"/>
    <w:rsid w:val="52293911"/>
    <w:rsid w:val="525D1F0B"/>
    <w:rsid w:val="52664385"/>
    <w:rsid w:val="52C925BC"/>
    <w:rsid w:val="52EE58FC"/>
    <w:rsid w:val="53016CFD"/>
    <w:rsid w:val="531C5BCB"/>
    <w:rsid w:val="534D70A9"/>
    <w:rsid w:val="536746F1"/>
    <w:rsid w:val="5382152B"/>
    <w:rsid w:val="53A44F5A"/>
    <w:rsid w:val="53B82FE0"/>
    <w:rsid w:val="53D068D4"/>
    <w:rsid w:val="53F4459D"/>
    <w:rsid w:val="540C5D72"/>
    <w:rsid w:val="54270993"/>
    <w:rsid w:val="543F0341"/>
    <w:rsid w:val="54442C85"/>
    <w:rsid w:val="544E58B1"/>
    <w:rsid w:val="54513065"/>
    <w:rsid w:val="54524082"/>
    <w:rsid w:val="54723DEB"/>
    <w:rsid w:val="549534E0"/>
    <w:rsid w:val="54A656ED"/>
    <w:rsid w:val="54AD53A0"/>
    <w:rsid w:val="54AD67B2"/>
    <w:rsid w:val="54BB2F47"/>
    <w:rsid w:val="54D2649A"/>
    <w:rsid w:val="54EC26AA"/>
    <w:rsid w:val="55103E40"/>
    <w:rsid w:val="55306D65"/>
    <w:rsid w:val="557650C0"/>
    <w:rsid w:val="557B06BC"/>
    <w:rsid w:val="557D6F17"/>
    <w:rsid w:val="55893909"/>
    <w:rsid w:val="55920CA6"/>
    <w:rsid w:val="55A439DB"/>
    <w:rsid w:val="55A66B18"/>
    <w:rsid w:val="55D7493B"/>
    <w:rsid w:val="55F95084"/>
    <w:rsid w:val="56002BDB"/>
    <w:rsid w:val="56072502"/>
    <w:rsid w:val="561E4EE7"/>
    <w:rsid w:val="56947CB9"/>
    <w:rsid w:val="56A87D26"/>
    <w:rsid w:val="56B6200C"/>
    <w:rsid w:val="56C31910"/>
    <w:rsid w:val="56CD475D"/>
    <w:rsid w:val="56F16703"/>
    <w:rsid w:val="56F63B7D"/>
    <w:rsid w:val="56FB3ACE"/>
    <w:rsid w:val="57174680"/>
    <w:rsid w:val="572C012C"/>
    <w:rsid w:val="57494A63"/>
    <w:rsid w:val="574F3E1A"/>
    <w:rsid w:val="575B27BF"/>
    <w:rsid w:val="575C28F0"/>
    <w:rsid w:val="577468CB"/>
    <w:rsid w:val="57C93D34"/>
    <w:rsid w:val="57D2216F"/>
    <w:rsid w:val="57E5652D"/>
    <w:rsid w:val="58146A07"/>
    <w:rsid w:val="58415BA0"/>
    <w:rsid w:val="585A4825"/>
    <w:rsid w:val="586E4240"/>
    <w:rsid w:val="58772B82"/>
    <w:rsid w:val="588A66DF"/>
    <w:rsid w:val="589760B9"/>
    <w:rsid w:val="58BC103B"/>
    <w:rsid w:val="58C53696"/>
    <w:rsid w:val="58C54444"/>
    <w:rsid w:val="58D740C7"/>
    <w:rsid w:val="58DE1025"/>
    <w:rsid w:val="58EC42D4"/>
    <w:rsid w:val="58F6733F"/>
    <w:rsid w:val="58FA7DB6"/>
    <w:rsid w:val="5903310E"/>
    <w:rsid w:val="59176D0E"/>
    <w:rsid w:val="59377FE6"/>
    <w:rsid w:val="59554FEC"/>
    <w:rsid w:val="59577B31"/>
    <w:rsid w:val="595A6079"/>
    <w:rsid w:val="595E27CE"/>
    <w:rsid w:val="59607A69"/>
    <w:rsid w:val="5979360D"/>
    <w:rsid w:val="5987231B"/>
    <w:rsid w:val="59892CB1"/>
    <w:rsid w:val="59961CCE"/>
    <w:rsid w:val="599761D5"/>
    <w:rsid w:val="5A111F61"/>
    <w:rsid w:val="5A481559"/>
    <w:rsid w:val="5A5D5CA9"/>
    <w:rsid w:val="5A846212"/>
    <w:rsid w:val="5A8F631C"/>
    <w:rsid w:val="5A931F9C"/>
    <w:rsid w:val="5A9F51BF"/>
    <w:rsid w:val="5AA21243"/>
    <w:rsid w:val="5ABA09C3"/>
    <w:rsid w:val="5AD563E4"/>
    <w:rsid w:val="5B4517BC"/>
    <w:rsid w:val="5B5A4B3C"/>
    <w:rsid w:val="5BA76254"/>
    <w:rsid w:val="5BB97AB4"/>
    <w:rsid w:val="5BC76675"/>
    <w:rsid w:val="5BEA2363"/>
    <w:rsid w:val="5BF1122A"/>
    <w:rsid w:val="5BF14209"/>
    <w:rsid w:val="5BFE5E0F"/>
    <w:rsid w:val="5C0D1106"/>
    <w:rsid w:val="5C0D324F"/>
    <w:rsid w:val="5C1A6735"/>
    <w:rsid w:val="5C205D85"/>
    <w:rsid w:val="5C243387"/>
    <w:rsid w:val="5C311D40"/>
    <w:rsid w:val="5C5A7255"/>
    <w:rsid w:val="5C672957"/>
    <w:rsid w:val="5C6F4617"/>
    <w:rsid w:val="5C8B4720"/>
    <w:rsid w:val="5C913CB0"/>
    <w:rsid w:val="5CDA4186"/>
    <w:rsid w:val="5CF214D0"/>
    <w:rsid w:val="5CF27DDB"/>
    <w:rsid w:val="5D170F36"/>
    <w:rsid w:val="5D270DF1"/>
    <w:rsid w:val="5D276C9F"/>
    <w:rsid w:val="5D333896"/>
    <w:rsid w:val="5D35760E"/>
    <w:rsid w:val="5D47794D"/>
    <w:rsid w:val="5D6172F6"/>
    <w:rsid w:val="5D6718A8"/>
    <w:rsid w:val="5D9A773F"/>
    <w:rsid w:val="5DA4378F"/>
    <w:rsid w:val="5DA44433"/>
    <w:rsid w:val="5DBA48BB"/>
    <w:rsid w:val="5DD200E2"/>
    <w:rsid w:val="5DFE3EA4"/>
    <w:rsid w:val="5DFE6F3B"/>
    <w:rsid w:val="5DFF3FD4"/>
    <w:rsid w:val="5E033269"/>
    <w:rsid w:val="5E0F1C0D"/>
    <w:rsid w:val="5E141DC9"/>
    <w:rsid w:val="5E5910D4"/>
    <w:rsid w:val="5E602B41"/>
    <w:rsid w:val="5EA315E6"/>
    <w:rsid w:val="5EAB50CF"/>
    <w:rsid w:val="5EB0185E"/>
    <w:rsid w:val="5EB40E6F"/>
    <w:rsid w:val="5EB75082"/>
    <w:rsid w:val="5ED82947"/>
    <w:rsid w:val="5F1A373D"/>
    <w:rsid w:val="5F6B2401"/>
    <w:rsid w:val="5F6D434A"/>
    <w:rsid w:val="5F940380"/>
    <w:rsid w:val="5F9E76ED"/>
    <w:rsid w:val="5FCC6AA8"/>
    <w:rsid w:val="5FCC7BD9"/>
    <w:rsid w:val="5FD21C15"/>
    <w:rsid w:val="5FD96977"/>
    <w:rsid w:val="5FDC0D4A"/>
    <w:rsid w:val="5FE61094"/>
    <w:rsid w:val="5FE92684"/>
    <w:rsid w:val="5FEE4D0A"/>
    <w:rsid w:val="602F3F48"/>
    <w:rsid w:val="60430294"/>
    <w:rsid w:val="60713851"/>
    <w:rsid w:val="60AC2319"/>
    <w:rsid w:val="60B371C8"/>
    <w:rsid w:val="60C82547"/>
    <w:rsid w:val="60DB22E9"/>
    <w:rsid w:val="60F63CF5"/>
    <w:rsid w:val="60FA0BA4"/>
    <w:rsid w:val="60FF240D"/>
    <w:rsid w:val="61227EAA"/>
    <w:rsid w:val="612479FF"/>
    <w:rsid w:val="613F43DB"/>
    <w:rsid w:val="614B4949"/>
    <w:rsid w:val="6156210C"/>
    <w:rsid w:val="616A7F28"/>
    <w:rsid w:val="61723CCE"/>
    <w:rsid w:val="619E281F"/>
    <w:rsid w:val="61C13B66"/>
    <w:rsid w:val="61CC66FB"/>
    <w:rsid w:val="61DD622E"/>
    <w:rsid w:val="61F938BC"/>
    <w:rsid w:val="622B71B9"/>
    <w:rsid w:val="627174B3"/>
    <w:rsid w:val="62726C0F"/>
    <w:rsid w:val="62A24608"/>
    <w:rsid w:val="62E053D1"/>
    <w:rsid w:val="630A262A"/>
    <w:rsid w:val="631C1745"/>
    <w:rsid w:val="63812B2C"/>
    <w:rsid w:val="639F3A33"/>
    <w:rsid w:val="63B92BCC"/>
    <w:rsid w:val="63C35974"/>
    <w:rsid w:val="63CE7438"/>
    <w:rsid w:val="63D84C8C"/>
    <w:rsid w:val="63D9219A"/>
    <w:rsid w:val="63E06A7E"/>
    <w:rsid w:val="63EC01F2"/>
    <w:rsid w:val="63F208C0"/>
    <w:rsid w:val="64015D03"/>
    <w:rsid w:val="64047D3A"/>
    <w:rsid w:val="64155AA4"/>
    <w:rsid w:val="641E51DF"/>
    <w:rsid w:val="642C178F"/>
    <w:rsid w:val="644230E2"/>
    <w:rsid w:val="64436AB5"/>
    <w:rsid w:val="64552463"/>
    <w:rsid w:val="647A6706"/>
    <w:rsid w:val="64867564"/>
    <w:rsid w:val="64915A72"/>
    <w:rsid w:val="649D491C"/>
    <w:rsid w:val="64D21BE7"/>
    <w:rsid w:val="650A75D2"/>
    <w:rsid w:val="651112BF"/>
    <w:rsid w:val="652C1320"/>
    <w:rsid w:val="658E1FB1"/>
    <w:rsid w:val="658F0C8A"/>
    <w:rsid w:val="65943C08"/>
    <w:rsid w:val="65960E66"/>
    <w:rsid w:val="65AD4628"/>
    <w:rsid w:val="65B01F28"/>
    <w:rsid w:val="65B55E97"/>
    <w:rsid w:val="65B759C2"/>
    <w:rsid w:val="65C571F4"/>
    <w:rsid w:val="65D34AA2"/>
    <w:rsid w:val="65DC3A1F"/>
    <w:rsid w:val="65DE7A95"/>
    <w:rsid w:val="65E020AF"/>
    <w:rsid w:val="65E6594A"/>
    <w:rsid w:val="66002466"/>
    <w:rsid w:val="661105B9"/>
    <w:rsid w:val="66185489"/>
    <w:rsid w:val="66195D1F"/>
    <w:rsid w:val="662B5A52"/>
    <w:rsid w:val="66303069"/>
    <w:rsid w:val="663C7C5F"/>
    <w:rsid w:val="66501015"/>
    <w:rsid w:val="666B2ED2"/>
    <w:rsid w:val="666F3B91"/>
    <w:rsid w:val="66725A80"/>
    <w:rsid w:val="66725BFB"/>
    <w:rsid w:val="66756CCD"/>
    <w:rsid w:val="66791730"/>
    <w:rsid w:val="667C0290"/>
    <w:rsid w:val="667C4500"/>
    <w:rsid w:val="669827C7"/>
    <w:rsid w:val="66C00A6B"/>
    <w:rsid w:val="66C27D6F"/>
    <w:rsid w:val="66C337DE"/>
    <w:rsid w:val="66D26775"/>
    <w:rsid w:val="66DA049A"/>
    <w:rsid w:val="66DE2AC5"/>
    <w:rsid w:val="66E16111"/>
    <w:rsid w:val="66EF5AA1"/>
    <w:rsid w:val="66FF19F9"/>
    <w:rsid w:val="67006EDF"/>
    <w:rsid w:val="67184229"/>
    <w:rsid w:val="671958AB"/>
    <w:rsid w:val="671D477F"/>
    <w:rsid w:val="671F7E10"/>
    <w:rsid w:val="67452B44"/>
    <w:rsid w:val="67676573"/>
    <w:rsid w:val="6787315C"/>
    <w:rsid w:val="67A35B3A"/>
    <w:rsid w:val="67AE693B"/>
    <w:rsid w:val="67C0431D"/>
    <w:rsid w:val="67CF0D07"/>
    <w:rsid w:val="67F500C6"/>
    <w:rsid w:val="68085F5A"/>
    <w:rsid w:val="68131D4B"/>
    <w:rsid w:val="681A18DB"/>
    <w:rsid w:val="6821710D"/>
    <w:rsid w:val="68272C9C"/>
    <w:rsid w:val="68365B27"/>
    <w:rsid w:val="684626A3"/>
    <w:rsid w:val="684D3A5E"/>
    <w:rsid w:val="68623356"/>
    <w:rsid w:val="6865011A"/>
    <w:rsid w:val="689E1495"/>
    <w:rsid w:val="68B26D5D"/>
    <w:rsid w:val="68C857DA"/>
    <w:rsid w:val="68D8555E"/>
    <w:rsid w:val="68DC4DE2"/>
    <w:rsid w:val="68F9194F"/>
    <w:rsid w:val="69182864"/>
    <w:rsid w:val="691B0000"/>
    <w:rsid w:val="69374E2F"/>
    <w:rsid w:val="694A2693"/>
    <w:rsid w:val="694A4DB3"/>
    <w:rsid w:val="699343FB"/>
    <w:rsid w:val="69CC4E56"/>
    <w:rsid w:val="69DA57C5"/>
    <w:rsid w:val="69DB6C70"/>
    <w:rsid w:val="69E737BD"/>
    <w:rsid w:val="6A057816"/>
    <w:rsid w:val="6A096CD3"/>
    <w:rsid w:val="6A222ACA"/>
    <w:rsid w:val="6A3A44B6"/>
    <w:rsid w:val="6A5A55C2"/>
    <w:rsid w:val="6A5A6906"/>
    <w:rsid w:val="6A7E0847"/>
    <w:rsid w:val="6AA858C3"/>
    <w:rsid w:val="6AB3678B"/>
    <w:rsid w:val="6ACA4F42"/>
    <w:rsid w:val="6AF723A7"/>
    <w:rsid w:val="6B06502A"/>
    <w:rsid w:val="6B0D4172"/>
    <w:rsid w:val="6B11490F"/>
    <w:rsid w:val="6B302937"/>
    <w:rsid w:val="6B4D1FC7"/>
    <w:rsid w:val="6B572DC3"/>
    <w:rsid w:val="6B614B0C"/>
    <w:rsid w:val="6B623CC4"/>
    <w:rsid w:val="6B637A3C"/>
    <w:rsid w:val="6B7923D0"/>
    <w:rsid w:val="6B80414A"/>
    <w:rsid w:val="6B902452"/>
    <w:rsid w:val="6B9F4B52"/>
    <w:rsid w:val="6BA442DD"/>
    <w:rsid w:val="6BAC3191"/>
    <w:rsid w:val="6BB5310E"/>
    <w:rsid w:val="6BD149A6"/>
    <w:rsid w:val="6BD353EB"/>
    <w:rsid w:val="6BE566A3"/>
    <w:rsid w:val="6C111246"/>
    <w:rsid w:val="6C1C0317"/>
    <w:rsid w:val="6C1D5E3D"/>
    <w:rsid w:val="6C286A26"/>
    <w:rsid w:val="6C5630FD"/>
    <w:rsid w:val="6C803039"/>
    <w:rsid w:val="6C8F6784"/>
    <w:rsid w:val="6C9003BD"/>
    <w:rsid w:val="6C916AB9"/>
    <w:rsid w:val="6CB43503"/>
    <w:rsid w:val="6CBE13CE"/>
    <w:rsid w:val="6CCB5899"/>
    <w:rsid w:val="6CD94E77"/>
    <w:rsid w:val="6CDF2C45"/>
    <w:rsid w:val="6CF50B68"/>
    <w:rsid w:val="6D22603A"/>
    <w:rsid w:val="6D3F3B91"/>
    <w:rsid w:val="6D4A31D0"/>
    <w:rsid w:val="6D6A002E"/>
    <w:rsid w:val="6D823EBE"/>
    <w:rsid w:val="6D865C91"/>
    <w:rsid w:val="6D8C0532"/>
    <w:rsid w:val="6DBB76BC"/>
    <w:rsid w:val="6DC153B5"/>
    <w:rsid w:val="6DD34C67"/>
    <w:rsid w:val="6E0B1A73"/>
    <w:rsid w:val="6E153270"/>
    <w:rsid w:val="6E214824"/>
    <w:rsid w:val="6E250FD9"/>
    <w:rsid w:val="6E286823"/>
    <w:rsid w:val="6E657628"/>
    <w:rsid w:val="6E6B6F27"/>
    <w:rsid w:val="6E7805E6"/>
    <w:rsid w:val="6E80505B"/>
    <w:rsid w:val="6E8126B3"/>
    <w:rsid w:val="6E835C32"/>
    <w:rsid w:val="6E9A5523"/>
    <w:rsid w:val="6E9D034A"/>
    <w:rsid w:val="6EAD16FA"/>
    <w:rsid w:val="6EAE77A9"/>
    <w:rsid w:val="6EB128F0"/>
    <w:rsid w:val="6ED94286"/>
    <w:rsid w:val="6EF914F5"/>
    <w:rsid w:val="6F03131A"/>
    <w:rsid w:val="6F0B6421"/>
    <w:rsid w:val="6F1572A0"/>
    <w:rsid w:val="6F2C51E7"/>
    <w:rsid w:val="6F476480"/>
    <w:rsid w:val="6F564F1C"/>
    <w:rsid w:val="6FA1728E"/>
    <w:rsid w:val="6FA46DD8"/>
    <w:rsid w:val="6FC860C0"/>
    <w:rsid w:val="6FF43359"/>
    <w:rsid w:val="70006D09"/>
    <w:rsid w:val="7006027C"/>
    <w:rsid w:val="701249CD"/>
    <w:rsid w:val="703C5E27"/>
    <w:rsid w:val="70530CEF"/>
    <w:rsid w:val="706C2A94"/>
    <w:rsid w:val="706D6DED"/>
    <w:rsid w:val="706E686D"/>
    <w:rsid w:val="707F71AA"/>
    <w:rsid w:val="70860455"/>
    <w:rsid w:val="70871AD7"/>
    <w:rsid w:val="70A46B2D"/>
    <w:rsid w:val="70AB42E9"/>
    <w:rsid w:val="70D0428E"/>
    <w:rsid w:val="70D535B7"/>
    <w:rsid w:val="70D806F3"/>
    <w:rsid w:val="70DF5DB7"/>
    <w:rsid w:val="70E23EAC"/>
    <w:rsid w:val="71033854"/>
    <w:rsid w:val="712C56E3"/>
    <w:rsid w:val="714E56D2"/>
    <w:rsid w:val="714F6A99"/>
    <w:rsid w:val="715A543E"/>
    <w:rsid w:val="71664F1F"/>
    <w:rsid w:val="716E0B9D"/>
    <w:rsid w:val="71D21478"/>
    <w:rsid w:val="72146F50"/>
    <w:rsid w:val="723F63A5"/>
    <w:rsid w:val="724539F8"/>
    <w:rsid w:val="724F2AC9"/>
    <w:rsid w:val="72604CD6"/>
    <w:rsid w:val="726F1F3A"/>
    <w:rsid w:val="72830C57"/>
    <w:rsid w:val="72D72D41"/>
    <w:rsid w:val="72FC307A"/>
    <w:rsid w:val="731B14E6"/>
    <w:rsid w:val="73353A6C"/>
    <w:rsid w:val="73756254"/>
    <w:rsid w:val="737A29C8"/>
    <w:rsid w:val="7388747A"/>
    <w:rsid w:val="738B2725"/>
    <w:rsid w:val="738E0DD8"/>
    <w:rsid w:val="739C1D3D"/>
    <w:rsid w:val="73EC265C"/>
    <w:rsid w:val="741D7F20"/>
    <w:rsid w:val="741E09A4"/>
    <w:rsid w:val="741E5701"/>
    <w:rsid w:val="7423420D"/>
    <w:rsid w:val="745443C6"/>
    <w:rsid w:val="74710DA4"/>
    <w:rsid w:val="7491404D"/>
    <w:rsid w:val="74922880"/>
    <w:rsid w:val="74923DD8"/>
    <w:rsid w:val="74980757"/>
    <w:rsid w:val="74DB0643"/>
    <w:rsid w:val="74DB106B"/>
    <w:rsid w:val="75106440"/>
    <w:rsid w:val="752E2E69"/>
    <w:rsid w:val="756C51E3"/>
    <w:rsid w:val="757F17D4"/>
    <w:rsid w:val="758A4827"/>
    <w:rsid w:val="75A0762E"/>
    <w:rsid w:val="75AB479D"/>
    <w:rsid w:val="75CE7D56"/>
    <w:rsid w:val="75DD2AFA"/>
    <w:rsid w:val="75F23911"/>
    <w:rsid w:val="75F25761"/>
    <w:rsid w:val="76165DD7"/>
    <w:rsid w:val="762F455C"/>
    <w:rsid w:val="76447F3E"/>
    <w:rsid w:val="76A11F6D"/>
    <w:rsid w:val="76B16AF6"/>
    <w:rsid w:val="76C422CD"/>
    <w:rsid w:val="76DE7925"/>
    <w:rsid w:val="76F33836"/>
    <w:rsid w:val="76F517C0"/>
    <w:rsid w:val="76FF4ABD"/>
    <w:rsid w:val="771B4819"/>
    <w:rsid w:val="772137DB"/>
    <w:rsid w:val="7723168A"/>
    <w:rsid w:val="774626EC"/>
    <w:rsid w:val="777702D8"/>
    <w:rsid w:val="778337AB"/>
    <w:rsid w:val="778E3A71"/>
    <w:rsid w:val="778F4F02"/>
    <w:rsid w:val="77C655DB"/>
    <w:rsid w:val="77D92E4D"/>
    <w:rsid w:val="7825412B"/>
    <w:rsid w:val="784309DA"/>
    <w:rsid w:val="784C7EB0"/>
    <w:rsid w:val="7859644F"/>
    <w:rsid w:val="785E52D9"/>
    <w:rsid w:val="78825428"/>
    <w:rsid w:val="789576E4"/>
    <w:rsid w:val="78957F17"/>
    <w:rsid w:val="78981F3D"/>
    <w:rsid w:val="78A551F0"/>
    <w:rsid w:val="78BF439F"/>
    <w:rsid w:val="78ED0A1D"/>
    <w:rsid w:val="78FD14F2"/>
    <w:rsid w:val="79077C59"/>
    <w:rsid w:val="79102FB2"/>
    <w:rsid w:val="791C6763"/>
    <w:rsid w:val="791E76D9"/>
    <w:rsid w:val="79330A4E"/>
    <w:rsid w:val="793D1D39"/>
    <w:rsid w:val="793F3198"/>
    <w:rsid w:val="79515378"/>
    <w:rsid w:val="79904AAD"/>
    <w:rsid w:val="79921B7D"/>
    <w:rsid w:val="79955265"/>
    <w:rsid w:val="79977184"/>
    <w:rsid w:val="799A1440"/>
    <w:rsid w:val="79A438AD"/>
    <w:rsid w:val="79B606C6"/>
    <w:rsid w:val="79ED703A"/>
    <w:rsid w:val="7A187C44"/>
    <w:rsid w:val="7A28257D"/>
    <w:rsid w:val="7A390E51"/>
    <w:rsid w:val="7A431664"/>
    <w:rsid w:val="7A635363"/>
    <w:rsid w:val="7A770E0E"/>
    <w:rsid w:val="7A7E03EF"/>
    <w:rsid w:val="7A804167"/>
    <w:rsid w:val="7A8D6872"/>
    <w:rsid w:val="7A943D7D"/>
    <w:rsid w:val="7A98273D"/>
    <w:rsid w:val="7A9C2087"/>
    <w:rsid w:val="7AB43E11"/>
    <w:rsid w:val="7AC62AC8"/>
    <w:rsid w:val="7ACB117D"/>
    <w:rsid w:val="7AD51C0E"/>
    <w:rsid w:val="7AF2795C"/>
    <w:rsid w:val="7AF4245F"/>
    <w:rsid w:val="7B087DC6"/>
    <w:rsid w:val="7B1152C8"/>
    <w:rsid w:val="7B18614D"/>
    <w:rsid w:val="7B230245"/>
    <w:rsid w:val="7B3B2BBC"/>
    <w:rsid w:val="7B6475E5"/>
    <w:rsid w:val="7B6C7864"/>
    <w:rsid w:val="7B8F013F"/>
    <w:rsid w:val="7B9F686F"/>
    <w:rsid w:val="7BAD0F8C"/>
    <w:rsid w:val="7BB702A7"/>
    <w:rsid w:val="7BC93656"/>
    <w:rsid w:val="7BC9569A"/>
    <w:rsid w:val="7BC96752"/>
    <w:rsid w:val="7BD823A4"/>
    <w:rsid w:val="7BFB0ABB"/>
    <w:rsid w:val="7C125848"/>
    <w:rsid w:val="7C1728A9"/>
    <w:rsid w:val="7C254791"/>
    <w:rsid w:val="7C29438A"/>
    <w:rsid w:val="7C4D1E27"/>
    <w:rsid w:val="7C5E2286"/>
    <w:rsid w:val="7C5F6F1C"/>
    <w:rsid w:val="7C6465C1"/>
    <w:rsid w:val="7C780A48"/>
    <w:rsid w:val="7C7C0683"/>
    <w:rsid w:val="7C7C66A8"/>
    <w:rsid w:val="7C7D3061"/>
    <w:rsid w:val="7C812119"/>
    <w:rsid w:val="7C82611E"/>
    <w:rsid w:val="7CAA6373"/>
    <w:rsid w:val="7CAE4C51"/>
    <w:rsid w:val="7CE20856"/>
    <w:rsid w:val="7CE85FC4"/>
    <w:rsid w:val="7D05671F"/>
    <w:rsid w:val="7D1B0AD7"/>
    <w:rsid w:val="7D2D4BBF"/>
    <w:rsid w:val="7D515947"/>
    <w:rsid w:val="7D592F5B"/>
    <w:rsid w:val="7D6878F6"/>
    <w:rsid w:val="7DBD2FDC"/>
    <w:rsid w:val="7DC30D31"/>
    <w:rsid w:val="7DFC5F79"/>
    <w:rsid w:val="7E024E93"/>
    <w:rsid w:val="7E110BB2"/>
    <w:rsid w:val="7E293129"/>
    <w:rsid w:val="7E3F60E7"/>
    <w:rsid w:val="7E86775F"/>
    <w:rsid w:val="7EB43D17"/>
    <w:rsid w:val="7EB54CAE"/>
    <w:rsid w:val="7EF21420"/>
    <w:rsid w:val="7F1565E0"/>
    <w:rsid w:val="7F1F3BBC"/>
    <w:rsid w:val="7F2B3C8E"/>
    <w:rsid w:val="7F305AED"/>
    <w:rsid w:val="7F487DDB"/>
    <w:rsid w:val="7F507DBC"/>
    <w:rsid w:val="7F531E4A"/>
    <w:rsid w:val="7F567244"/>
    <w:rsid w:val="7F594F87"/>
    <w:rsid w:val="7F6A686B"/>
    <w:rsid w:val="7F7B4D7A"/>
    <w:rsid w:val="7F82628B"/>
    <w:rsid w:val="7F9F6E3D"/>
    <w:rsid w:val="7FBA13A9"/>
    <w:rsid w:val="7FDF548C"/>
    <w:rsid w:val="7FEC5D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6" w:lineRule="auto"/>
      <w:outlineLvl w:val="0"/>
    </w:pPr>
    <w:rPr>
      <w:b/>
      <w:kern w:val="44"/>
      <w:sz w:val="44"/>
      <w:szCs w:val="20"/>
    </w:rPr>
  </w:style>
  <w:style w:type="paragraph" w:styleId="4">
    <w:name w:val="heading 2"/>
    <w:basedOn w:val="1"/>
    <w:next w:val="1"/>
    <w:qFormat/>
    <w:uiPriority w:val="0"/>
    <w:pPr>
      <w:keepNext/>
      <w:keepLines/>
      <w:spacing w:before="260" w:after="120" w:line="415" w:lineRule="auto"/>
      <w:outlineLvl w:val="1"/>
    </w:pPr>
    <w:rPr>
      <w:rFonts w:ascii="Arial" w:hAnsi="Arial"/>
      <w:b/>
      <w:bCs/>
      <w:kern w:val="0"/>
      <w:sz w:val="32"/>
      <w:szCs w:val="32"/>
    </w:rPr>
  </w:style>
  <w:style w:type="paragraph" w:styleId="5">
    <w:name w:val="heading 3"/>
    <w:basedOn w:val="1"/>
    <w:next w:val="1"/>
    <w:unhideWhenUsed/>
    <w:qFormat/>
    <w:uiPriority w:val="0"/>
    <w:pPr>
      <w:keepNext/>
      <w:keepLines/>
      <w:numPr>
        <w:ilvl w:val="0"/>
        <w:numId w:val="1"/>
      </w:numPr>
      <w:spacing w:before="260" w:line="360" w:lineRule="auto"/>
      <w:ind w:left="420" w:right="100" w:rightChars="100"/>
      <w:jc w:val="left"/>
      <w:outlineLvl w:val="2"/>
    </w:pPr>
    <w:rPr>
      <w:b/>
      <w:bCs/>
      <w:sz w:val="28"/>
      <w:szCs w:val="32"/>
    </w:rPr>
  </w:style>
  <w:style w:type="paragraph" w:styleId="6">
    <w:name w:val="heading 4"/>
    <w:basedOn w:val="1"/>
    <w:next w:val="1"/>
    <w:unhideWhenUsed/>
    <w:qFormat/>
    <w:uiPriority w:val="0"/>
    <w:pPr>
      <w:keepNext/>
      <w:keepLines/>
      <w:numPr>
        <w:ilvl w:val="0"/>
        <w:numId w:val="2"/>
      </w:numPr>
      <w:spacing w:before="280" w:line="377"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40" w:lineRule="exact"/>
      <w:ind w:firstLine="412" w:firstLineChars="200"/>
    </w:pPr>
    <w:rPr>
      <w:rFonts w:ascii="宋体" w:hAnsi="宋体"/>
      <w:b/>
      <w:bCs/>
      <w:szCs w:val="20"/>
    </w:rPr>
  </w:style>
  <w:style w:type="paragraph" w:styleId="7">
    <w:name w:val="Normal Indent"/>
    <w:basedOn w:val="1"/>
    <w:next w:val="1"/>
    <w:qFormat/>
    <w:uiPriority w:val="0"/>
    <w:pPr>
      <w:ind w:firstLine="420" w:firstLineChars="200"/>
    </w:pPr>
  </w:style>
  <w:style w:type="paragraph" w:styleId="8">
    <w:name w:val="caption"/>
    <w:basedOn w:val="1"/>
    <w:next w:val="1"/>
    <w:unhideWhenUsed/>
    <w:qFormat/>
    <w:uiPriority w:val="0"/>
    <w:rPr>
      <w:rFonts w:eastAsia="黑体" w:asciiTheme="majorHAnsi" w:hAnsiTheme="majorHAnsi" w:cstheme="majorBidi"/>
      <w:sz w:val="20"/>
      <w:szCs w:val="20"/>
    </w:rPr>
  </w:style>
  <w:style w:type="paragraph" w:styleId="9">
    <w:name w:val="annotation text"/>
    <w:basedOn w:val="1"/>
    <w:link w:val="48"/>
    <w:qFormat/>
    <w:uiPriority w:val="0"/>
    <w:pPr>
      <w:jc w:val="left"/>
    </w:pPr>
  </w:style>
  <w:style w:type="paragraph" w:styleId="10">
    <w:name w:val="Body Text"/>
    <w:basedOn w:val="1"/>
    <w:next w:val="1"/>
    <w:qFormat/>
    <w:uiPriority w:val="0"/>
    <w:pPr>
      <w:spacing w:after="120"/>
    </w:pPr>
  </w:style>
  <w:style w:type="paragraph" w:styleId="11">
    <w:name w:val="Body Text Indent"/>
    <w:basedOn w:val="1"/>
    <w:qFormat/>
    <w:uiPriority w:val="0"/>
    <w:pPr>
      <w:ind w:firstLine="444"/>
    </w:pPr>
    <w:rPr>
      <w:b/>
      <w:kern w:val="0"/>
      <w:sz w:val="24"/>
    </w:rPr>
  </w:style>
  <w:style w:type="paragraph" w:styleId="12">
    <w:name w:val="toc 3"/>
    <w:basedOn w:val="1"/>
    <w:next w:val="1"/>
    <w:qFormat/>
    <w:uiPriority w:val="0"/>
    <w:pPr>
      <w:ind w:left="840" w:leftChars="400"/>
    </w:pPr>
  </w:style>
  <w:style w:type="paragraph" w:styleId="13">
    <w:name w:val="Balloon Text"/>
    <w:basedOn w:val="1"/>
    <w:link w:val="45"/>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dotted" w:color="auto" w:sz="4" w:space="1"/>
      </w:pBdr>
      <w:tabs>
        <w:tab w:val="center" w:pos="4153"/>
        <w:tab w:val="right" w:pos="8306"/>
      </w:tabs>
      <w:adjustRightInd w:val="0"/>
      <w:spacing w:line="240" w:lineRule="atLeast"/>
      <w:textAlignment w:val="baseline"/>
    </w:pPr>
    <w:rPr>
      <w:rFonts w:ascii="华文楷体" w:hAnsi="华文楷体" w:eastAsia="华文楷体"/>
      <w:kern w:val="0"/>
      <w:sz w:val="18"/>
      <w:szCs w:val="18"/>
    </w:rPr>
  </w:style>
  <w:style w:type="paragraph" w:styleId="16">
    <w:name w:val="toc 1"/>
    <w:basedOn w:val="1"/>
    <w:next w:val="1"/>
    <w:qFormat/>
    <w:uiPriority w:val="39"/>
    <w:rPr>
      <w:rFonts w:cs="Angsana New"/>
      <w:lang w:bidi="th-TH"/>
    </w:rPr>
  </w:style>
  <w:style w:type="paragraph" w:styleId="17">
    <w:name w:val="List"/>
    <w:basedOn w:val="1"/>
    <w:qFormat/>
    <w:uiPriority w:val="0"/>
    <w:pPr>
      <w:ind w:left="200" w:hanging="200" w:hangingChars="200"/>
    </w:pPr>
    <w:rPr>
      <w:szCs w:val="20"/>
    </w:rPr>
  </w:style>
  <w:style w:type="paragraph" w:styleId="18">
    <w:name w:val="toc 2"/>
    <w:basedOn w:val="1"/>
    <w:next w:val="1"/>
    <w:qFormat/>
    <w:uiPriority w:val="39"/>
    <w:pPr>
      <w:ind w:left="420" w:leftChars="200"/>
    </w:pPr>
    <w:rPr>
      <w:rFonts w:cs="Angsana New"/>
      <w:lang w:bidi="th-TH"/>
    </w:r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annotation subject"/>
    <w:basedOn w:val="9"/>
    <w:next w:val="9"/>
    <w:link w:val="49"/>
    <w:qFormat/>
    <w:uiPriority w:val="0"/>
    <w:rPr>
      <w:b/>
      <w:bCs/>
    </w:rPr>
  </w:style>
  <w:style w:type="paragraph" w:styleId="21">
    <w:name w:val="Body Text First Indent"/>
    <w:basedOn w:val="10"/>
    <w:qFormat/>
    <w:uiPriority w:val="0"/>
    <w:pPr>
      <w:ind w:firstLine="100" w:firstLineChars="100"/>
    </w:pPr>
    <w:rPr>
      <w:szCs w:val="20"/>
    </w:rPr>
  </w:style>
  <w:style w:type="paragraph" w:styleId="22">
    <w:name w:val="Body Text First Indent 2"/>
    <w:basedOn w:val="11"/>
    <w:qFormat/>
    <w:uiPriority w:val="0"/>
    <w:pPr>
      <w:tabs>
        <w:tab w:val="left" w:pos="930"/>
      </w:tabs>
      <w:ind w:firstLine="210"/>
    </w:pPr>
    <w:rPr>
      <w:szCs w:val="20"/>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basedOn w:val="25"/>
    <w:unhideWhenUsed/>
    <w:qFormat/>
    <w:uiPriority w:val="0"/>
    <w:rPr>
      <w:color w:val="800080"/>
      <w:u w:val="single"/>
    </w:rPr>
  </w:style>
  <w:style w:type="character" w:styleId="29">
    <w:name w:val="Hyperlink"/>
    <w:qFormat/>
    <w:uiPriority w:val="99"/>
    <w:rPr>
      <w:color w:val="0000FF"/>
      <w:u w:val="single"/>
    </w:rPr>
  </w:style>
  <w:style w:type="character" w:styleId="30">
    <w:name w:val="annotation reference"/>
    <w:basedOn w:val="25"/>
    <w:qFormat/>
    <w:uiPriority w:val="0"/>
    <w:rPr>
      <w:sz w:val="21"/>
      <w:szCs w:val="21"/>
    </w:rPr>
  </w:style>
  <w:style w:type="paragraph" w:customStyle="1" w:styleId="31">
    <w:name w:val="style4"/>
    <w:basedOn w:val="1"/>
    <w:next w:val="32"/>
    <w:qFormat/>
    <w:uiPriority w:val="0"/>
    <w:pPr>
      <w:widowControl/>
      <w:spacing w:before="280" w:after="280"/>
    </w:pPr>
    <w:rPr>
      <w:rFonts w:ascii="宋体"/>
      <w:sz w:val="18"/>
    </w:rPr>
  </w:style>
  <w:style w:type="paragraph" w:customStyle="1" w:styleId="32">
    <w:name w:val="2"/>
    <w:next w:val="1"/>
    <w:qFormat/>
    <w:uiPriority w:val="0"/>
    <w:pPr>
      <w:widowControl w:val="0"/>
      <w:jc w:val="both"/>
    </w:pPr>
    <w:rPr>
      <w:rFonts w:ascii="Calibri" w:hAnsi="Calibri" w:eastAsia="宋体" w:cs="Times New Roman"/>
      <w:sz w:val="21"/>
      <w:szCs w:val="22"/>
      <w:lang w:val="en-US" w:eastAsia="zh-CN" w:bidi="ar-SA"/>
    </w:rPr>
  </w:style>
  <w:style w:type="paragraph" w:styleId="33">
    <w:name w:val="No Spacing"/>
    <w:qFormat/>
    <w:uiPriority w:val="0"/>
    <w:rPr>
      <w:rFonts w:ascii="Times New Roman" w:hAnsi="Times New Roman" w:eastAsia="宋体" w:cs="Times New Roman"/>
      <w:sz w:val="22"/>
      <w:szCs w:val="22"/>
      <w:lang w:val="en-US" w:eastAsia="zh-CN" w:bidi="ar-SA"/>
    </w:rPr>
  </w:style>
  <w:style w:type="character" w:customStyle="1" w:styleId="34">
    <w:name w:val="标题 1 字符"/>
    <w:link w:val="3"/>
    <w:qFormat/>
    <w:uiPriority w:val="0"/>
    <w:rPr>
      <w:rFonts w:ascii="Times New Roman" w:hAnsi="Times New Roman" w:eastAsia="宋体" w:cs="Times New Roman"/>
      <w:b/>
      <w:kern w:val="44"/>
      <w:sz w:val="44"/>
    </w:rPr>
  </w:style>
  <w:style w:type="paragraph" w:customStyle="1" w:styleId="35">
    <w:name w:val="z-正文"/>
    <w:basedOn w:val="1"/>
    <w:qFormat/>
    <w:uiPriority w:val="0"/>
    <w:pPr>
      <w:spacing w:line="560" w:lineRule="exact"/>
      <w:ind w:firstLine="200" w:firstLineChars="200"/>
      <w:jc w:val="left"/>
    </w:pPr>
    <w:rPr>
      <w:rFonts w:eastAsia="仿宋_GB2312"/>
      <w:sz w:val="28"/>
      <w:szCs w:val="44"/>
    </w:rPr>
  </w:style>
  <w:style w:type="paragraph" w:customStyle="1" w:styleId="36">
    <w:name w:val="列出段落11"/>
    <w:basedOn w:val="1"/>
    <w:qFormat/>
    <w:uiPriority w:val="34"/>
    <w:pPr>
      <w:ind w:firstLine="420" w:firstLineChars="200"/>
    </w:pPr>
    <w:rPr>
      <w:rFonts w:ascii="宋体" w:hAnsi="宋体"/>
      <w:szCs w:val="22"/>
    </w:rPr>
  </w:style>
  <w:style w:type="paragraph" w:styleId="37">
    <w:name w:val="List Paragraph"/>
    <w:basedOn w:val="1"/>
    <w:qFormat/>
    <w:uiPriority w:val="34"/>
    <w:pPr>
      <w:ind w:firstLine="420" w:firstLineChars="200"/>
    </w:pPr>
  </w:style>
  <w:style w:type="paragraph" w:customStyle="1" w:styleId="38">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
    <w:name w:val="标书正文"/>
    <w:basedOn w:val="1"/>
    <w:qFormat/>
    <w:uiPriority w:val="0"/>
    <w:pPr>
      <w:spacing w:line="560" w:lineRule="exact"/>
      <w:ind w:firstLine="723" w:firstLineChars="200"/>
      <w:jc w:val="center"/>
    </w:pPr>
    <w:rPr>
      <w:rFonts w:ascii="仿宋_GB2312" w:eastAsia="仿宋_GB2312"/>
      <w:b/>
      <w:sz w:val="36"/>
      <w:szCs w:val="20"/>
    </w:rPr>
  </w:style>
  <w:style w:type="paragraph" w:customStyle="1" w:styleId="41">
    <w:name w:val="列出段落2"/>
    <w:basedOn w:val="1"/>
    <w:qFormat/>
    <w:uiPriority w:val="34"/>
    <w:pPr>
      <w:spacing w:line="360" w:lineRule="auto"/>
      <w:ind w:firstLine="420" w:firstLineChars="200"/>
    </w:pPr>
    <w:rPr>
      <w:rFonts w:ascii="Calibri" w:hAnsi="Calibri"/>
      <w:sz w:val="24"/>
      <w:szCs w:val="22"/>
    </w:rPr>
  </w:style>
  <w:style w:type="paragraph" w:customStyle="1" w:styleId="42">
    <w:name w:val="正文（绿盟科技）"/>
    <w:qFormat/>
    <w:uiPriority w:val="0"/>
    <w:pPr>
      <w:spacing w:line="300" w:lineRule="auto"/>
    </w:pPr>
    <w:rPr>
      <w:rFonts w:ascii="Arial" w:hAnsi="Arial" w:eastAsia="宋体" w:cs="Times New Roman"/>
      <w:szCs w:val="21"/>
      <w:lang w:val="en-US" w:eastAsia="zh-CN" w:bidi="ar-SA"/>
    </w:rPr>
  </w:style>
  <w:style w:type="paragraph" w:customStyle="1" w:styleId="43">
    <w:name w:val="正文_河南黄河信息技术公司模板"/>
    <w:basedOn w:val="1"/>
    <w:qFormat/>
    <w:uiPriority w:val="99"/>
    <w:pPr>
      <w:spacing w:line="360" w:lineRule="auto"/>
      <w:ind w:firstLine="200" w:firstLineChars="200"/>
    </w:pPr>
    <w:rPr>
      <w:rFonts w:ascii="Calibri" w:hAnsi="Calibri" w:cs="Microsoft Uighur"/>
      <w:sz w:val="24"/>
    </w:rPr>
  </w:style>
  <w:style w:type="paragraph" w:customStyle="1" w:styleId="44">
    <w:name w:val="正文 Char Char"/>
    <w:basedOn w:val="1"/>
    <w:qFormat/>
    <w:uiPriority w:val="0"/>
    <w:pPr>
      <w:adjustRightInd w:val="0"/>
      <w:spacing w:line="360" w:lineRule="auto"/>
      <w:ind w:firstLine="480" w:firstLineChars="200"/>
      <w:textAlignment w:val="baseline"/>
    </w:pPr>
    <w:rPr>
      <w:rFonts w:ascii="宋体" w:hAnsi="宋体"/>
      <w:kern w:val="0"/>
      <w:sz w:val="24"/>
    </w:rPr>
  </w:style>
  <w:style w:type="character" w:customStyle="1" w:styleId="45">
    <w:name w:val="批注框文本 字符"/>
    <w:basedOn w:val="25"/>
    <w:link w:val="13"/>
    <w:qFormat/>
    <w:uiPriority w:val="0"/>
    <w:rPr>
      <w:kern w:val="2"/>
      <w:sz w:val="18"/>
      <w:szCs w:val="18"/>
    </w:rPr>
  </w:style>
  <w:style w:type="paragraph" w:customStyle="1" w:styleId="46">
    <w:name w:val="正文A"/>
    <w:basedOn w:val="1"/>
    <w:qFormat/>
    <w:uiPriority w:val="0"/>
    <w:pPr>
      <w:spacing w:line="360" w:lineRule="auto"/>
      <w:ind w:firstLine="200" w:firstLineChars="200"/>
    </w:pPr>
    <w:rPr>
      <w:sz w:val="24"/>
    </w:rPr>
  </w:style>
  <w:style w:type="paragraph" w:customStyle="1" w:styleId="47">
    <w:name w:val="正文_河南黄河信息技术公司"/>
    <w:basedOn w:val="1"/>
    <w:qFormat/>
    <w:uiPriority w:val="0"/>
    <w:pPr>
      <w:spacing w:line="360" w:lineRule="auto"/>
      <w:ind w:left="105" w:leftChars="50" w:firstLine="480" w:firstLineChars="200"/>
    </w:pPr>
    <w:rPr>
      <w:sz w:val="24"/>
    </w:rPr>
  </w:style>
  <w:style w:type="character" w:customStyle="1" w:styleId="48">
    <w:name w:val="批注文字 字符"/>
    <w:basedOn w:val="25"/>
    <w:link w:val="9"/>
    <w:qFormat/>
    <w:uiPriority w:val="0"/>
    <w:rPr>
      <w:kern w:val="2"/>
      <w:sz w:val="21"/>
      <w:szCs w:val="24"/>
    </w:rPr>
  </w:style>
  <w:style w:type="character" w:customStyle="1" w:styleId="49">
    <w:name w:val="批注主题 字符"/>
    <w:basedOn w:val="48"/>
    <w:link w:val="20"/>
    <w:qFormat/>
    <w:uiPriority w:val="0"/>
    <w:rPr>
      <w:b/>
      <w:bCs/>
      <w:kern w:val="2"/>
      <w:sz w:val="21"/>
      <w:szCs w:val="24"/>
    </w:rPr>
  </w:style>
  <w:style w:type="paragraph" w:customStyle="1" w:styleId="50">
    <w:name w:val="图表标题"/>
    <w:basedOn w:val="1"/>
    <w:qFormat/>
    <w:uiPriority w:val="0"/>
    <w:pPr>
      <w:spacing w:line="360" w:lineRule="auto"/>
      <w:jc w:val="center"/>
    </w:pPr>
    <w:rPr>
      <w:rFonts w:eastAsia="黑体"/>
    </w:rPr>
  </w:style>
  <w:style w:type="paragraph" w:customStyle="1" w:styleId="51">
    <w:name w:val="A 正文"/>
    <w:basedOn w:val="1"/>
    <w:qFormat/>
    <w:uiPriority w:val="0"/>
    <w:pPr>
      <w:adjustRightInd w:val="0"/>
      <w:snapToGrid w:val="0"/>
      <w:spacing w:line="288" w:lineRule="auto"/>
      <w:ind w:firstLine="200" w:firstLineChars="200"/>
    </w:pPr>
    <w:rPr>
      <w:rFonts w:ascii="宋体" w:hAnsi="宋体"/>
      <w:sz w:val="28"/>
    </w:rPr>
  </w:style>
  <w:style w:type="paragraph" w:customStyle="1" w:styleId="52">
    <w:name w:val="样式 首行缩进:  2 字符 行距: 单倍行距"/>
    <w:basedOn w:val="1"/>
    <w:qFormat/>
    <w:uiPriority w:val="0"/>
    <w:pPr>
      <w:adjustRightInd w:val="0"/>
      <w:snapToGrid w:val="0"/>
      <w:spacing w:line="288" w:lineRule="auto"/>
      <w:ind w:firstLine="200" w:firstLineChars="200"/>
    </w:pPr>
    <w:rPr>
      <w:rFonts w:ascii="Calibri" w:hAnsi="Calibri" w:cs="宋体"/>
      <w:sz w:val="28"/>
      <w:szCs w:val="20"/>
    </w:rPr>
  </w:style>
  <w:style w:type="paragraph" w:customStyle="1" w:styleId="53">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54">
    <w:name w:val="正文_塔河"/>
    <w:basedOn w:val="1"/>
    <w:qFormat/>
    <w:uiPriority w:val="0"/>
    <w:pPr>
      <w:spacing w:line="360" w:lineRule="auto"/>
      <w:ind w:firstLine="200" w:firstLineChars="200"/>
    </w:pPr>
    <w:rPr>
      <w:rFonts w:ascii="Calibri" w:hAnsi="Calibri" w:cs="黑体"/>
      <w:sz w:val="24"/>
    </w:rPr>
  </w:style>
  <w:style w:type="paragraph" w:customStyle="1" w:styleId="55">
    <w:name w:val="烽火正文"/>
    <w:basedOn w:val="7"/>
    <w:qFormat/>
    <w:uiPriority w:val="0"/>
    <w:pPr>
      <w:spacing w:line="360" w:lineRule="auto"/>
      <w:ind w:firstLine="200"/>
      <w:jc w:val="left"/>
    </w:pPr>
    <w:rPr>
      <w:szCs w:val="21"/>
    </w:rPr>
  </w:style>
  <w:style w:type="character" w:customStyle="1" w:styleId="56">
    <w:name w:val="font151"/>
    <w:basedOn w:val="25"/>
    <w:qFormat/>
    <w:uiPriority w:val="0"/>
    <w:rPr>
      <w:rFonts w:hint="eastAsia" w:ascii="宋体" w:hAnsi="宋体" w:eastAsia="宋体" w:cs="宋体"/>
      <w:color w:val="000000"/>
      <w:sz w:val="18"/>
      <w:szCs w:val="18"/>
      <w:u w:val="none"/>
    </w:rPr>
  </w:style>
  <w:style w:type="character" w:customStyle="1" w:styleId="57">
    <w:name w:val="font251"/>
    <w:basedOn w:val="25"/>
    <w:qFormat/>
    <w:uiPriority w:val="0"/>
    <w:rPr>
      <w:rFonts w:ascii="Wingdings 2" w:hAnsi="Wingdings 2" w:eastAsia="Wingdings 2" w:cs="Wingdings 2"/>
      <w:color w:val="000000"/>
      <w:sz w:val="18"/>
      <w:szCs w:val="18"/>
      <w:u w:val="none"/>
    </w:rPr>
  </w:style>
  <w:style w:type="character" w:customStyle="1" w:styleId="58">
    <w:name w:val="font281"/>
    <w:basedOn w:val="25"/>
    <w:qFormat/>
    <w:uiPriority w:val="0"/>
    <w:rPr>
      <w:rFonts w:hint="default" w:ascii="Wingdings 2" w:hAnsi="Wingdings 2" w:eastAsia="Wingdings 2" w:cs="Wingdings 2"/>
      <w:color w:val="000000"/>
      <w:sz w:val="18"/>
      <w:szCs w:val="18"/>
      <w:u w:val="none"/>
    </w:rPr>
  </w:style>
  <w:style w:type="character" w:customStyle="1" w:styleId="59">
    <w:name w:val="font241"/>
    <w:basedOn w:val="25"/>
    <w:qFormat/>
    <w:uiPriority w:val="0"/>
    <w:rPr>
      <w:rFonts w:hint="eastAsia" w:ascii="宋体" w:hAnsi="宋体" w:eastAsia="宋体" w:cs="宋体"/>
      <w:b/>
      <w:bCs/>
      <w:color w:val="000000"/>
      <w:sz w:val="18"/>
      <w:szCs w:val="18"/>
      <w:u w:val="single"/>
    </w:rPr>
  </w:style>
  <w:style w:type="character" w:customStyle="1" w:styleId="60">
    <w:name w:val="font51"/>
    <w:basedOn w:val="25"/>
    <w:qFormat/>
    <w:uiPriority w:val="0"/>
    <w:rPr>
      <w:rFonts w:hint="eastAsia" w:ascii="宋体" w:hAnsi="宋体" w:eastAsia="宋体" w:cs="宋体"/>
      <w:color w:val="000000"/>
      <w:sz w:val="18"/>
      <w:szCs w:val="18"/>
      <w:u w:val="none"/>
    </w:rPr>
  </w:style>
  <w:style w:type="character" w:customStyle="1" w:styleId="61">
    <w:name w:val="font291"/>
    <w:basedOn w:val="25"/>
    <w:qFormat/>
    <w:uiPriority w:val="0"/>
    <w:rPr>
      <w:rFonts w:hint="default" w:ascii="Times New Roman" w:hAnsi="Times New Roman" w:cs="Times New Roman"/>
      <w:color w:val="000000"/>
      <w:sz w:val="24"/>
      <w:szCs w:val="24"/>
      <w:u w:val="none"/>
    </w:rPr>
  </w:style>
  <w:style w:type="character" w:customStyle="1" w:styleId="62">
    <w:name w:val="font271"/>
    <w:basedOn w:val="25"/>
    <w:qFormat/>
    <w:uiPriority w:val="0"/>
    <w:rPr>
      <w:rFonts w:hint="eastAsia" w:ascii="微软雅黑" w:hAnsi="微软雅黑" w:eastAsia="微软雅黑" w:cs="微软雅黑"/>
      <w:color w:val="000000"/>
      <w:sz w:val="24"/>
      <w:szCs w:val="24"/>
      <w:u w:val="none"/>
    </w:rPr>
  </w:style>
  <w:style w:type="character" w:customStyle="1" w:styleId="63">
    <w:name w:val="font141"/>
    <w:basedOn w:val="25"/>
    <w:qFormat/>
    <w:uiPriority w:val="0"/>
    <w:rPr>
      <w:rFonts w:hint="eastAsia" w:ascii="宋体" w:hAnsi="宋体" w:eastAsia="宋体" w:cs="宋体"/>
      <w:color w:val="000000"/>
      <w:sz w:val="18"/>
      <w:szCs w:val="18"/>
      <w:u w:val="none"/>
    </w:rPr>
  </w:style>
  <w:style w:type="character" w:customStyle="1" w:styleId="64">
    <w:name w:val="font381"/>
    <w:basedOn w:val="25"/>
    <w:qFormat/>
    <w:uiPriority w:val="0"/>
    <w:rPr>
      <w:rFonts w:hint="eastAsia" w:ascii="宋体" w:hAnsi="宋体" w:eastAsia="宋体" w:cs="宋体"/>
      <w:b/>
      <w:bCs/>
      <w:color w:val="000000"/>
      <w:sz w:val="18"/>
      <w:szCs w:val="18"/>
      <w:u w:val="single"/>
    </w:rPr>
  </w:style>
  <w:style w:type="character" w:customStyle="1" w:styleId="65">
    <w:name w:val="font341"/>
    <w:basedOn w:val="25"/>
    <w:qFormat/>
    <w:uiPriority w:val="0"/>
    <w:rPr>
      <w:rFonts w:hint="eastAsia" w:ascii="微软雅黑" w:hAnsi="微软雅黑" w:eastAsia="微软雅黑" w:cs="微软雅黑"/>
      <w:color w:val="000000"/>
      <w:sz w:val="24"/>
      <w:szCs w:val="24"/>
      <w:u w:val="none"/>
    </w:rPr>
  </w:style>
  <w:style w:type="character" w:customStyle="1" w:styleId="66">
    <w:name w:val="font11"/>
    <w:basedOn w:val="25"/>
    <w:qFormat/>
    <w:uiPriority w:val="0"/>
    <w:rPr>
      <w:rFonts w:hint="eastAsia" w:ascii="微软雅黑" w:hAnsi="微软雅黑" w:eastAsia="微软雅黑" w:cs="微软雅黑"/>
      <w:color w:val="000000"/>
      <w:sz w:val="20"/>
      <w:szCs w:val="20"/>
      <w:u w:val="none"/>
    </w:rPr>
  </w:style>
  <w:style w:type="character" w:customStyle="1" w:styleId="67">
    <w:name w:val="font321"/>
    <w:basedOn w:val="25"/>
    <w:qFormat/>
    <w:uiPriority w:val="0"/>
    <w:rPr>
      <w:rFonts w:hint="eastAsia" w:ascii="宋体" w:hAnsi="宋体" w:eastAsia="宋体" w:cs="宋体"/>
      <w:b/>
      <w:bCs/>
      <w:color w:val="000000"/>
      <w:sz w:val="18"/>
      <w:szCs w:val="18"/>
      <w:u w:val="single"/>
    </w:rPr>
  </w:style>
  <w:style w:type="character" w:customStyle="1" w:styleId="68">
    <w:name w:val="font41"/>
    <w:basedOn w:val="25"/>
    <w:qFormat/>
    <w:uiPriority w:val="0"/>
    <w:rPr>
      <w:rFonts w:hint="eastAsia" w:ascii="宋体" w:hAnsi="宋体" w:eastAsia="宋体" w:cs="宋体"/>
      <w:color w:val="000000"/>
      <w:sz w:val="20"/>
      <w:szCs w:val="20"/>
      <w:u w:val="none"/>
    </w:rPr>
  </w:style>
  <w:style w:type="character" w:customStyle="1" w:styleId="69">
    <w:name w:val="font12"/>
    <w:basedOn w:val="25"/>
    <w:qFormat/>
    <w:uiPriority w:val="0"/>
    <w:rPr>
      <w:rFonts w:hint="eastAsia" w:ascii="宋体" w:hAnsi="宋体" w:eastAsia="宋体" w:cs="宋体"/>
      <w:b/>
      <w:bCs/>
      <w:color w:val="000000"/>
      <w:sz w:val="18"/>
      <w:szCs w:val="18"/>
      <w:u w:val="none"/>
    </w:rPr>
  </w:style>
  <w:style w:type="character" w:customStyle="1" w:styleId="70">
    <w:name w:val="font71"/>
    <w:basedOn w:val="25"/>
    <w:qFormat/>
    <w:uiPriority w:val="0"/>
    <w:rPr>
      <w:rFonts w:hint="default" w:ascii="Times New Roman" w:hAnsi="Times New Roman" w:cs="Times New Roman"/>
      <w:b/>
      <w:bCs/>
      <w:color w:val="000000"/>
      <w:sz w:val="18"/>
      <w:szCs w:val="18"/>
      <w:u w:val="none"/>
    </w:rPr>
  </w:style>
  <w:style w:type="character" w:customStyle="1" w:styleId="71">
    <w:name w:val="font61"/>
    <w:basedOn w:val="2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E43291-B469-48B6-9CDC-AF3EC24C801F}">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60</Pages>
  <Words>30111</Words>
  <Characters>32424</Characters>
  <Lines>255</Lines>
  <Paragraphs>71</Paragraphs>
  <TotalTime>3</TotalTime>
  <ScaleCrop>false</ScaleCrop>
  <LinksUpToDate>false</LinksUpToDate>
  <CharactersWithSpaces>33818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2022-08-05T03:35:00Z</dcterms:created>
  <dc:creator>Ray</dc:creator>
  <cp:lastModifiedBy>单枪匹马1417441690</cp:lastModifiedBy>
  <cp:lastPrinted>2022-08-01T11:12:00Z</cp:lastPrinted>
  <dcterms:modified xsi:type="dcterms:W3CDTF">2022-09-05T03:46:28Z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1903329AC8EA4FABB44407824F598EC3</vt:lpwstr>
  </property>
</Properties>
</file>