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0"/>
        </w:tabs>
        <w:autoSpaceDE w:val="0"/>
        <w:autoSpaceDN w:val="0"/>
        <w:adjustRightInd w:val="0"/>
        <w:spacing w:before="0" w:after="0" w:line="360" w:lineRule="auto"/>
        <w:jc w:val="center"/>
        <w:rPr>
          <w:rFonts w:hint="eastAsia" w:ascii="仿宋" w:hAnsi="仿宋" w:eastAsia="仿宋" w:cs="仿宋"/>
        </w:rPr>
      </w:pPr>
      <w:bookmarkStart w:id="0" w:name="_Toc28359022"/>
      <w:bookmarkStart w:id="1" w:name="_Toc35393809"/>
      <w:r>
        <w:rPr>
          <w:rFonts w:hint="eastAsia" w:ascii="仿宋" w:hAnsi="仿宋" w:eastAsia="仿宋" w:cs="仿宋"/>
          <w:sz w:val="40"/>
          <w:szCs w:val="40"/>
        </w:rPr>
        <w:t>中标（成交）结果公告</w:t>
      </w:r>
      <w:bookmarkEnd w:id="0"/>
      <w:bookmarkEnd w:id="1"/>
    </w:p>
    <w:p>
      <w:pPr>
        <w:pStyle w:val="8"/>
        <w:numPr>
          <w:ilvl w:val="0"/>
          <w:numId w:val="2"/>
        </w:numPr>
        <w:spacing w:line="360" w:lineRule="auto"/>
        <w:jc w:val="left"/>
        <w:rPr>
          <w:rFonts w:hint="eastAsia" w:ascii="仿宋" w:hAnsi="仿宋" w:eastAsia="仿宋" w:cs="仿宋"/>
          <w:sz w:val="24"/>
          <w:szCs w:val="24"/>
          <w:lang w:eastAsia="zh-CN"/>
        </w:rPr>
      </w:pPr>
      <w:r>
        <w:rPr>
          <w:rFonts w:hint="eastAsia" w:ascii="仿宋" w:hAnsi="仿宋" w:eastAsia="仿宋" w:cs="仿宋"/>
          <w:b/>
          <w:bCs/>
          <w:sz w:val="24"/>
          <w:szCs w:val="24"/>
        </w:rPr>
        <w:t>项目编号：</w:t>
      </w:r>
      <w:r>
        <w:rPr>
          <w:rFonts w:hint="eastAsia" w:ascii="仿宋" w:hAnsi="仿宋" w:eastAsia="仿宋" w:cs="仿宋"/>
          <w:sz w:val="24"/>
          <w:szCs w:val="24"/>
        </w:rPr>
        <w:t>HYGS-ZC-2022-65-2</w:t>
      </w:r>
    </w:p>
    <w:p>
      <w:pPr>
        <w:pStyle w:val="8"/>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二、项目名称：</w:t>
      </w:r>
      <w:r>
        <w:rPr>
          <w:rFonts w:hint="eastAsia" w:ascii="仿宋" w:hAnsi="仿宋" w:eastAsia="仿宋" w:cs="仿宋"/>
          <w:sz w:val="24"/>
          <w:szCs w:val="24"/>
        </w:rPr>
        <w:t>克拉玛依市教育局2023年克拉玛依市青少年科技活动中心（市少儿活动中心）运营</w:t>
      </w:r>
    </w:p>
    <w:p>
      <w:pPr>
        <w:pStyle w:val="8"/>
        <w:numPr>
          <w:ilvl w:val="0"/>
          <w:numId w:val="0"/>
        </w:num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rPr>
        <w:t>三、中标（成交）信息</w:t>
      </w:r>
      <w:r>
        <w:rPr>
          <w:rFonts w:hint="eastAsia" w:ascii="仿宋" w:hAnsi="仿宋" w:eastAsia="仿宋" w:cs="仿宋"/>
          <w:b/>
          <w:bCs/>
          <w:sz w:val="24"/>
          <w:szCs w:val="24"/>
          <w:lang w:eastAsia="zh-CN"/>
        </w:rPr>
        <w:t>：</w:t>
      </w:r>
    </w:p>
    <w:p>
      <w:pPr>
        <w:pStyle w:val="8"/>
        <w:numPr>
          <w:ilvl w:val="0"/>
          <w:numId w:val="0"/>
        </w:num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供应商名称：新疆极客未来教育科技有限公司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供应商地址：新疆克拉玛依市克拉玛依区世纪大道117号</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中标（成交）金额</w:t>
      </w:r>
      <w:r>
        <w:rPr>
          <w:rFonts w:hint="eastAsia" w:ascii="仿宋" w:hAnsi="仿宋" w:eastAsia="仿宋" w:cs="仿宋"/>
          <w:sz w:val="24"/>
          <w:szCs w:val="24"/>
          <w:lang w:val="en-US" w:eastAsia="zh-CN"/>
        </w:rPr>
        <w:t>：小写：670.00万元</w:t>
      </w:r>
    </w:p>
    <w:p>
      <w:pPr>
        <w:spacing w:line="360" w:lineRule="auto"/>
        <w:ind w:firstLine="2640" w:firstLineChars="1100"/>
        <w:rPr>
          <w:rFonts w:hint="eastAsia" w:ascii="仿宋" w:hAnsi="仿宋" w:eastAsia="仿宋" w:cs="仿宋"/>
          <w:sz w:val="24"/>
          <w:szCs w:val="24"/>
        </w:rPr>
      </w:pPr>
      <w:r>
        <w:rPr>
          <w:rFonts w:hint="eastAsia" w:ascii="仿宋" w:hAnsi="仿宋" w:eastAsia="仿宋" w:cs="仿宋"/>
          <w:sz w:val="24"/>
          <w:szCs w:val="24"/>
          <w:lang w:val="en-US" w:eastAsia="zh-CN"/>
        </w:rPr>
        <w:t>大写：陆佰柒拾万元整</w:t>
      </w:r>
    </w:p>
    <w:p>
      <w:pPr>
        <w:numPr>
          <w:ilvl w:val="0"/>
          <w:numId w:val="3"/>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主要标的信息</w:t>
      </w:r>
      <w:r>
        <w:rPr>
          <w:rFonts w:hint="eastAsia" w:ascii="仿宋" w:hAnsi="仿宋" w:eastAsia="仿宋" w:cs="仿宋"/>
          <w:b/>
          <w:bCs/>
          <w:sz w:val="24"/>
          <w:szCs w:val="24"/>
          <w:lang w:eastAsia="zh-CN"/>
        </w:rPr>
        <w:t>：</w:t>
      </w:r>
    </w:p>
    <w:tbl>
      <w:tblPr>
        <w:tblStyle w:val="1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1275"/>
        <w:gridCol w:w="4733"/>
        <w:gridCol w:w="800"/>
        <w:gridCol w:w="797"/>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59" w:type="dxa"/>
          </w:tcPr>
          <w:p>
            <w:pPr>
              <w:pStyle w:val="14"/>
              <w:numPr>
                <w:ilvl w:val="0"/>
                <w:numId w:val="0"/>
              </w:numPr>
              <w:spacing w:line="360" w:lineRule="auto"/>
              <w:jc w:val="both"/>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lang w:eastAsia="zh-CN"/>
              </w:rPr>
              <w:t>序号</w:t>
            </w:r>
          </w:p>
        </w:tc>
        <w:tc>
          <w:tcPr>
            <w:tcW w:w="1275" w:type="dxa"/>
          </w:tcPr>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lang w:eastAsia="zh-CN"/>
              </w:rPr>
              <w:t>项目名称</w:t>
            </w:r>
          </w:p>
        </w:tc>
        <w:tc>
          <w:tcPr>
            <w:tcW w:w="4733" w:type="dxa"/>
          </w:tcPr>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lang w:eastAsia="zh-CN"/>
              </w:rPr>
              <w:t>服务范围</w:t>
            </w:r>
          </w:p>
        </w:tc>
        <w:tc>
          <w:tcPr>
            <w:tcW w:w="800" w:type="dxa"/>
          </w:tcPr>
          <w:p>
            <w:pPr>
              <w:pStyle w:val="14"/>
              <w:numPr>
                <w:ilvl w:val="0"/>
                <w:numId w:val="0"/>
              </w:numPr>
              <w:spacing w:line="360" w:lineRule="auto"/>
              <w:jc w:val="center"/>
              <w:rPr>
                <w:rFonts w:hint="eastAsia" w:ascii="仿宋" w:hAnsi="仿宋" w:eastAsia="仿宋" w:cs="仿宋"/>
                <w:i w:val="0"/>
                <w:caps w:val="0"/>
                <w:color w:val="000000"/>
                <w:spacing w:val="0"/>
                <w:sz w:val="24"/>
                <w:szCs w:val="24"/>
                <w:highlight w:val="none"/>
                <w:lang w:eastAsia="zh-CN"/>
              </w:rPr>
            </w:pPr>
            <w:r>
              <w:rPr>
                <w:rFonts w:hint="eastAsia" w:ascii="仿宋" w:hAnsi="仿宋" w:eastAsia="仿宋" w:cs="仿宋"/>
                <w:i w:val="0"/>
                <w:caps w:val="0"/>
                <w:color w:val="000000"/>
                <w:spacing w:val="0"/>
                <w:sz w:val="24"/>
                <w:szCs w:val="24"/>
                <w:highlight w:val="none"/>
                <w:lang w:eastAsia="zh-CN"/>
              </w:rPr>
              <w:t>服务要求</w:t>
            </w:r>
          </w:p>
        </w:tc>
        <w:tc>
          <w:tcPr>
            <w:tcW w:w="797" w:type="dxa"/>
          </w:tcPr>
          <w:p>
            <w:pPr>
              <w:pStyle w:val="14"/>
              <w:numPr>
                <w:ilvl w:val="0"/>
                <w:numId w:val="0"/>
              </w:numPr>
              <w:spacing w:line="360" w:lineRule="auto"/>
              <w:jc w:val="center"/>
              <w:rPr>
                <w:rFonts w:hint="eastAsia" w:ascii="仿宋" w:hAnsi="仿宋" w:eastAsia="仿宋" w:cs="仿宋"/>
                <w:i w:val="0"/>
                <w:caps w:val="0"/>
                <w:color w:val="000000"/>
                <w:spacing w:val="0"/>
                <w:sz w:val="24"/>
                <w:szCs w:val="24"/>
                <w:highlight w:val="none"/>
                <w:lang w:eastAsia="zh-CN"/>
              </w:rPr>
            </w:pPr>
            <w:r>
              <w:rPr>
                <w:rFonts w:hint="eastAsia" w:ascii="仿宋" w:hAnsi="仿宋" w:eastAsia="仿宋" w:cs="仿宋"/>
                <w:i w:val="0"/>
                <w:caps w:val="0"/>
                <w:color w:val="000000"/>
                <w:spacing w:val="0"/>
                <w:sz w:val="24"/>
                <w:szCs w:val="24"/>
                <w:highlight w:val="none"/>
                <w:lang w:eastAsia="zh-CN"/>
              </w:rPr>
              <w:t>服务时间</w:t>
            </w:r>
          </w:p>
        </w:tc>
        <w:tc>
          <w:tcPr>
            <w:tcW w:w="867" w:type="dxa"/>
          </w:tcPr>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auto"/>
                <w:spacing w:val="0"/>
                <w:sz w:val="24"/>
                <w:szCs w:val="24"/>
                <w:highlight w:val="none"/>
                <w:lang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59" w:type="dxa"/>
          </w:tcPr>
          <w:p>
            <w:pPr>
              <w:pStyle w:val="14"/>
              <w:numPr>
                <w:ilvl w:val="0"/>
                <w:numId w:val="0"/>
              </w:numPr>
              <w:spacing w:line="360" w:lineRule="auto"/>
              <w:jc w:val="center"/>
              <w:rPr>
                <w:rFonts w:hint="eastAsia" w:ascii="仿宋" w:hAnsi="仿宋" w:eastAsia="仿宋" w:cs="仿宋"/>
                <w:i w:val="0"/>
                <w:caps w:val="0"/>
                <w:color w:val="000000"/>
                <w:spacing w:val="0"/>
                <w:sz w:val="24"/>
                <w:szCs w:val="24"/>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1</w:t>
            </w:r>
          </w:p>
        </w:tc>
        <w:tc>
          <w:tcPr>
            <w:tcW w:w="1275" w:type="dxa"/>
          </w:tcPr>
          <w:p>
            <w:pPr>
              <w:pStyle w:val="14"/>
              <w:numPr>
                <w:ilvl w:val="0"/>
                <w:numId w:val="0"/>
              </w:numPr>
              <w:spacing w:line="360" w:lineRule="auto"/>
              <w:jc w:val="both"/>
              <w:rPr>
                <w:rFonts w:hint="eastAsia" w:ascii="仿宋" w:hAnsi="仿宋" w:eastAsia="仿宋" w:cs="仿宋"/>
                <w:i w:val="0"/>
                <w:caps w:val="0"/>
                <w:color w:val="000000"/>
                <w:spacing w:val="0"/>
                <w:sz w:val="24"/>
                <w:szCs w:val="24"/>
              </w:rPr>
            </w:pPr>
          </w:p>
          <w:p>
            <w:pPr>
              <w:pStyle w:val="14"/>
              <w:numPr>
                <w:ilvl w:val="0"/>
                <w:numId w:val="0"/>
              </w:numPr>
              <w:spacing w:line="360" w:lineRule="auto"/>
              <w:jc w:val="both"/>
              <w:rPr>
                <w:rFonts w:hint="eastAsia" w:ascii="仿宋" w:hAnsi="仿宋" w:eastAsia="仿宋" w:cs="仿宋"/>
                <w:i w:val="0"/>
                <w:caps w:val="0"/>
                <w:color w:val="000000"/>
                <w:spacing w:val="0"/>
                <w:sz w:val="24"/>
                <w:szCs w:val="24"/>
              </w:rPr>
            </w:pPr>
          </w:p>
          <w:p>
            <w:pPr>
              <w:pStyle w:val="14"/>
              <w:numPr>
                <w:ilvl w:val="0"/>
                <w:numId w:val="0"/>
              </w:numPr>
              <w:spacing w:line="360" w:lineRule="auto"/>
              <w:jc w:val="both"/>
              <w:rPr>
                <w:rFonts w:hint="eastAsia" w:ascii="仿宋" w:hAnsi="仿宋" w:eastAsia="仿宋" w:cs="仿宋"/>
                <w:i w:val="0"/>
                <w:caps w:val="0"/>
                <w:color w:val="000000"/>
                <w:spacing w:val="0"/>
                <w:sz w:val="24"/>
                <w:szCs w:val="24"/>
              </w:rPr>
            </w:pPr>
          </w:p>
          <w:p>
            <w:pPr>
              <w:pStyle w:val="14"/>
              <w:numPr>
                <w:ilvl w:val="0"/>
                <w:numId w:val="0"/>
              </w:numPr>
              <w:spacing w:line="360" w:lineRule="auto"/>
              <w:jc w:val="both"/>
              <w:rPr>
                <w:rFonts w:hint="eastAsia" w:ascii="仿宋" w:hAnsi="仿宋" w:eastAsia="仿宋" w:cs="仿宋"/>
                <w:i w:val="0"/>
                <w:caps w:val="0"/>
                <w:color w:val="000000"/>
                <w:spacing w:val="0"/>
                <w:sz w:val="24"/>
                <w:szCs w:val="24"/>
              </w:rPr>
            </w:pPr>
          </w:p>
          <w:p>
            <w:pPr>
              <w:pStyle w:val="14"/>
              <w:numPr>
                <w:ilvl w:val="0"/>
                <w:numId w:val="0"/>
              </w:numPr>
              <w:spacing w:line="360" w:lineRule="auto"/>
              <w:jc w:val="both"/>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克拉玛依市教育局2023年克拉玛依市青少年科技活动中心（市少儿活动中心）运营</w:t>
            </w:r>
          </w:p>
        </w:tc>
        <w:tc>
          <w:tcPr>
            <w:tcW w:w="4733" w:type="dxa"/>
          </w:tcPr>
          <w:p>
            <w:pPr>
              <w:pStyle w:val="14"/>
              <w:numPr>
                <w:ilvl w:val="0"/>
                <w:numId w:val="0"/>
              </w:numPr>
              <w:spacing w:line="360" w:lineRule="auto"/>
              <w:jc w:val="left"/>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克拉玛依市青少年科技活动中心（市少儿活动中心）是公益性的校外活动中心，由两个教学场所组成，分别是以艺术教育为主的少儿活动中心和以科技教育为主题的青少年</w:t>
            </w:r>
            <w:bookmarkStart w:id="14" w:name="_GoBack"/>
            <w:bookmarkEnd w:id="14"/>
            <w:r>
              <w:rPr>
                <w:rFonts w:hint="eastAsia" w:ascii="仿宋" w:hAnsi="仿宋" w:eastAsia="仿宋" w:cs="仿宋"/>
                <w:i w:val="0"/>
                <w:caps w:val="0"/>
                <w:color w:val="000000"/>
                <w:spacing w:val="0"/>
                <w:sz w:val="24"/>
                <w:szCs w:val="24"/>
              </w:rPr>
              <w:t>科技活动中心。本次招标项目为青少年科技活动中心的运营管理服务。此次招标包含青少年科技活动中心1-4层的全部实验室、活动室、教室等教学活动区域（含部分5层教室）及专项教学服务的运营管理。鉴于新冠疫情的不可确定性，在全部实验室、活动室、教室等教学活动区域不能正常开放，相关服务不能线下开展的情况下，在保证教学及相关活动质量的前提下，可以根据实际情况，灵活采取线上教学、网课录播、线上推文、线上培训等多种方式，进行教学服务工作，满足广大青少年学习需求。</w:t>
            </w:r>
          </w:p>
        </w:tc>
        <w:tc>
          <w:tcPr>
            <w:tcW w:w="800" w:type="dxa"/>
          </w:tcPr>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lang w:eastAsia="zh-CN"/>
              </w:rPr>
              <w:t>详见成交通知书</w:t>
            </w:r>
          </w:p>
        </w:tc>
        <w:tc>
          <w:tcPr>
            <w:tcW w:w="797" w:type="dxa"/>
          </w:tcPr>
          <w:p>
            <w:pPr>
              <w:pStyle w:val="14"/>
              <w:numPr>
                <w:ilvl w:val="0"/>
                <w:numId w:val="0"/>
              </w:numPr>
              <w:spacing w:line="360" w:lineRule="auto"/>
              <w:jc w:val="center"/>
              <w:rPr>
                <w:rFonts w:hint="eastAsia" w:ascii="仿宋" w:hAnsi="仿宋" w:eastAsia="仿宋" w:cs="仿宋"/>
                <w:i w:val="0"/>
                <w:caps w:val="0"/>
                <w:color w:val="000000"/>
                <w:spacing w:val="0"/>
                <w:sz w:val="24"/>
                <w:szCs w:val="24"/>
                <w:lang w:val="en-US"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val="en-US"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val="en-US"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val="en-US"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val="en-US"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val="en-US"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val="en-US"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一年</w:t>
            </w:r>
          </w:p>
        </w:tc>
        <w:tc>
          <w:tcPr>
            <w:tcW w:w="867" w:type="dxa"/>
          </w:tcPr>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p>
          <w:p>
            <w:pPr>
              <w:pStyle w:val="14"/>
              <w:numPr>
                <w:ilvl w:val="0"/>
                <w:numId w:val="0"/>
              </w:numPr>
              <w:spacing w:line="360" w:lineRule="auto"/>
              <w:jc w:val="center"/>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lang w:eastAsia="zh-CN"/>
              </w:rPr>
              <w:t>合格</w:t>
            </w:r>
          </w:p>
        </w:tc>
      </w:tr>
    </w:tbl>
    <w:p>
      <w:pPr>
        <w:pStyle w:val="14"/>
        <w:numPr>
          <w:ilvl w:val="0"/>
          <w:numId w:val="0"/>
        </w:numPr>
        <w:spacing w:line="360" w:lineRule="auto"/>
        <w:rPr>
          <w:rFonts w:hint="eastAsia" w:ascii="仿宋" w:hAnsi="仿宋" w:eastAsia="仿宋" w:cs="仿宋"/>
          <w:sz w:val="22"/>
          <w:szCs w:val="20"/>
        </w:rPr>
      </w:pPr>
    </w:p>
    <w:p>
      <w:pPr>
        <w:numPr>
          <w:ilvl w:val="0"/>
          <w:numId w:val="4"/>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评审专家（单一来源采购人员）名单：</w:t>
      </w:r>
    </w:p>
    <w:p>
      <w:pPr>
        <w:numPr>
          <w:ilvl w:val="0"/>
          <w:numId w:val="0"/>
        </w:numPr>
        <w:tabs>
          <w:tab w:val="left" w:pos="601"/>
        </w:tabs>
        <w:spacing w:line="360" w:lineRule="auto"/>
        <w:ind w:leftChars="0"/>
        <w:rPr>
          <w:rFonts w:hint="eastAsia" w:ascii="仿宋" w:hAnsi="仿宋" w:eastAsia="仿宋" w:cs="仿宋"/>
          <w:sz w:val="24"/>
          <w:szCs w:val="24"/>
          <w:lang w:eastAsia="zh-CN"/>
        </w:rPr>
      </w:pPr>
      <w:r>
        <w:rPr>
          <w:rFonts w:hint="eastAsia" w:ascii="仿宋" w:hAnsi="仿宋" w:eastAsia="仿宋" w:cs="仿宋"/>
          <w:sz w:val="24"/>
          <w:szCs w:val="24"/>
          <w:lang w:eastAsia="zh-CN"/>
        </w:rPr>
        <w:tab/>
      </w:r>
      <w:r>
        <w:rPr>
          <w:rFonts w:hint="eastAsia" w:ascii="仿宋" w:hAnsi="仿宋" w:eastAsia="仿宋" w:cs="仿宋"/>
          <w:sz w:val="24"/>
          <w:szCs w:val="24"/>
          <w:lang w:eastAsia="zh-CN"/>
        </w:rPr>
        <w:t>原旭华、胡顺全、苏玉果、韩淑萍、徐红（采购人代表）</w:t>
      </w:r>
    </w:p>
    <w:p>
      <w:pPr>
        <w:numPr>
          <w:ilvl w:val="0"/>
          <w:numId w:val="4"/>
        </w:numPr>
        <w:spacing w:line="360" w:lineRule="auto"/>
        <w:ind w:left="0" w:leftChars="0" w:firstLine="0" w:firstLineChars="0"/>
        <w:rPr>
          <w:rFonts w:hint="eastAsia" w:ascii="仿宋" w:hAnsi="仿宋" w:eastAsia="仿宋" w:cs="仿宋"/>
          <w:b/>
          <w:bCs/>
          <w:sz w:val="24"/>
          <w:szCs w:val="24"/>
        </w:rPr>
      </w:pPr>
      <w:r>
        <w:rPr>
          <w:rFonts w:hint="eastAsia" w:ascii="仿宋" w:hAnsi="仿宋" w:eastAsia="仿宋" w:cs="仿宋"/>
          <w:b/>
          <w:bCs/>
          <w:sz w:val="24"/>
          <w:szCs w:val="24"/>
        </w:rPr>
        <w:t>代理服务收费标准及金额：</w:t>
      </w:r>
    </w:p>
    <w:p>
      <w:pPr>
        <w:numPr>
          <w:ilvl w:val="0"/>
          <w:numId w:val="0"/>
        </w:numPr>
        <w:spacing w:line="360" w:lineRule="auto"/>
        <w:ind w:leftChars="0" w:firstLine="480" w:firstLineChars="200"/>
        <w:rPr>
          <w:rFonts w:hint="eastAsia" w:ascii="仿宋" w:hAnsi="仿宋" w:eastAsia="仿宋" w:cs="仿宋"/>
          <w:sz w:val="24"/>
          <w:szCs w:val="24"/>
        </w:rPr>
      </w:pPr>
      <w:r>
        <w:rPr>
          <w:rFonts w:hint="eastAsia" w:ascii="仿宋" w:hAnsi="仿宋" w:eastAsia="仿宋" w:cs="仿宋"/>
          <w:sz w:val="24"/>
          <w:szCs w:val="24"/>
        </w:rPr>
        <w:t>本项目采购代理费经与采购人协调，确定由中标供应商进行支付，总金额为人民币20000元（大写：人民币贰万元整），中标供应商领取成交通知书时支付采购代理费。</w:t>
      </w:r>
    </w:p>
    <w:p>
      <w:pPr>
        <w:numPr>
          <w:ilvl w:val="0"/>
          <w:numId w:val="4"/>
        </w:numPr>
        <w:spacing w:line="360" w:lineRule="auto"/>
        <w:ind w:left="0" w:leftChars="0" w:firstLine="0" w:firstLineChars="0"/>
        <w:rPr>
          <w:rFonts w:hint="eastAsia" w:ascii="仿宋" w:hAnsi="仿宋" w:eastAsia="仿宋" w:cs="仿宋"/>
          <w:b/>
          <w:bCs/>
          <w:sz w:val="24"/>
          <w:szCs w:val="24"/>
        </w:rPr>
      </w:pPr>
      <w:r>
        <w:rPr>
          <w:rFonts w:hint="eastAsia" w:ascii="仿宋" w:hAnsi="仿宋" w:eastAsia="仿宋" w:cs="仿宋"/>
          <w:b/>
          <w:bCs/>
          <w:sz w:val="24"/>
          <w:szCs w:val="24"/>
        </w:rPr>
        <w:t>公告期限</w:t>
      </w:r>
      <w:r>
        <w:rPr>
          <w:rFonts w:hint="eastAsia" w:ascii="仿宋" w:hAnsi="仿宋" w:eastAsia="仿宋" w:cs="仿宋"/>
          <w:b/>
          <w:bCs/>
          <w:sz w:val="24"/>
          <w:szCs w:val="24"/>
          <w:lang w:eastAsia="zh-CN"/>
        </w:rPr>
        <w:t>：</w:t>
      </w:r>
    </w:p>
    <w:p>
      <w:pPr>
        <w:numPr>
          <w:ilvl w:val="0"/>
          <w:numId w:val="0"/>
        </w:numPr>
        <w:spacing w:line="360" w:lineRule="auto"/>
        <w:ind w:leftChars="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自本公告发布之日起1个工作日。</w:t>
      </w:r>
    </w:p>
    <w:p>
      <w:pPr>
        <w:numPr>
          <w:ilvl w:val="0"/>
          <w:numId w:val="0"/>
        </w:numPr>
        <w:spacing w:line="360" w:lineRule="auto"/>
        <w:rPr>
          <w:rFonts w:hint="eastAsia" w:ascii="仿宋" w:hAnsi="仿宋" w:eastAsia="仿宋" w:cs="仿宋"/>
          <w:b/>
          <w:bCs/>
          <w:kern w:val="0"/>
          <w:sz w:val="24"/>
          <w:szCs w:val="24"/>
          <w:lang w:eastAsia="zh-CN"/>
        </w:rPr>
      </w:pPr>
      <w:r>
        <w:rPr>
          <w:rFonts w:hint="eastAsia" w:ascii="仿宋" w:hAnsi="仿宋" w:eastAsia="仿宋" w:cs="仿宋"/>
          <w:b/>
          <w:bCs/>
          <w:sz w:val="24"/>
          <w:szCs w:val="24"/>
          <w:lang w:eastAsia="zh-CN"/>
        </w:rPr>
        <w:t>八、</w:t>
      </w:r>
      <w:r>
        <w:rPr>
          <w:rFonts w:hint="eastAsia" w:ascii="仿宋" w:hAnsi="仿宋" w:eastAsia="仿宋" w:cs="仿宋"/>
          <w:b/>
          <w:bCs/>
          <w:sz w:val="24"/>
          <w:szCs w:val="24"/>
        </w:rPr>
        <w:t>其他补充事</w:t>
      </w:r>
      <w:r>
        <w:rPr>
          <w:rFonts w:hint="eastAsia" w:ascii="仿宋" w:hAnsi="仿宋" w:eastAsia="仿宋" w:cs="仿宋"/>
          <w:b/>
          <w:bCs/>
          <w:kern w:val="0"/>
          <w:sz w:val="24"/>
          <w:szCs w:val="24"/>
        </w:rPr>
        <w:t>宜</w:t>
      </w:r>
      <w:r>
        <w:rPr>
          <w:rFonts w:hint="eastAsia" w:ascii="仿宋" w:hAnsi="仿宋" w:eastAsia="仿宋" w:cs="仿宋"/>
          <w:b/>
          <w:bCs/>
          <w:kern w:val="0"/>
          <w:sz w:val="24"/>
          <w:szCs w:val="24"/>
          <w:lang w:eastAsia="zh-CN"/>
        </w:rPr>
        <w:t>：</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kern w:val="0"/>
          <w:sz w:val="24"/>
          <w:szCs w:val="24"/>
          <w:lang w:eastAsia="zh-CN"/>
        </w:rPr>
        <w:t>本项目公告期限为1个工作日，各参加政府采购活动的供应商认为该中标/成交结果和采购过程等使自己的权益受到损害的，可以自本公告期限届满之日（本公告发布之日后第2个工作日）起7个工作日内，以书面形式向采购人或受其委托的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九、</w:t>
      </w:r>
      <w:r>
        <w:rPr>
          <w:rFonts w:hint="eastAsia" w:ascii="仿宋" w:hAnsi="仿宋" w:eastAsia="仿宋" w:cs="仿宋"/>
          <w:b/>
          <w:bCs/>
          <w:sz w:val="24"/>
          <w:szCs w:val="24"/>
        </w:rPr>
        <w:t>凡对本次公告内容提出询问，请按以下方式联系。</w:t>
      </w:r>
    </w:p>
    <w:p>
      <w:pPr>
        <w:spacing w:line="360" w:lineRule="auto"/>
        <w:ind w:firstLine="480" w:firstLineChars="200"/>
        <w:rPr>
          <w:rFonts w:hint="eastAsia" w:ascii="仿宋" w:hAnsi="仿宋" w:eastAsia="仿宋" w:cs="仿宋"/>
          <w:sz w:val="24"/>
          <w:szCs w:val="24"/>
        </w:rPr>
      </w:pPr>
      <w:bookmarkStart w:id="2" w:name="_Toc28359023"/>
      <w:bookmarkStart w:id="3" w:name="_Toc28359100"/>
      <w:bookmarkStart w:id="4" w:name="_Toc35393641"/>
      <w:bookmarkStart w:id="5" w:name="_Toc35393810"/>
      <w:r>
        <w:rPr>
          <w:rFonts w:hint="eastAsia" w:ascii="仿宋" w:hAnsi="仿宋" w:eastAsia="仿宋" w:cs="仿宋"/>
          <w:sz w:val="24"/>
          <w:szCs w:val="24"/>
        </w:rPr>
        <w:t>1.采购人信息</w:t>
      </w:r>
      <w:bookmarkEnd w:id="2"/>
      <w:bookmarkEnd w:id="3"/>
      <w:bookmarkEnd w:id="4"/>
      <w:bookmarkEnd w:id="5"/>
    </w:p>
    <w:p>
      <w:pPr>
        <w:spacing w:line="360" w:lineRule="auto"/>
        <w:ind w:firstLine="480" w:firstLineChars="200"/>
        <w:rPr>
          <w:rFonts w:hint="eastAsia" w:ascii="仿宋" w:hAnsi="仿宋" w:eastAsia="仿宋" w:cs="仿宋"/>
          <w:sz w:val="24"/>
          <w:szCs w:val="24"/>
          <w:lang w:eastAsia="zh-CN"/>
        </w:rPr>
      </w:pPr>
      <w:bookmarkStart w:id="6" w:name="_Toc35393642"/>
      <w:bookmarkStart w:id="7" w:name="_Toc28359024"/>
      <w:bookmarkStart w:id="8" w:name="_Toc35393811"/>
      <w:bookmarkStart w:id="9" w:name="_Toc28359101"/>
      <w:r>
        <w:rPr>
          <w:rFonts w:hint="eastAsia" w:ascii="仿宋" w:hAnsi="仿宋" w:eastAsia="仿宋" w:cs="仿宋"/>
          <w:sz w:val="24"/>
          <w:szCs w:val="24"/>
        </w:rPr>
        <w:t>联 系 人：</w:t>
      </w:r>
      <w:r>
        <w:rPr>
          <w:rFonts w:hint="eastAsia" w:ascii="仿宋" w:hAnsi="仿宋" w:eastAsia="仿宋" w:cs="仿宋"/>
          <w:sz w:val="24"/>
          <w:szCs w:val="24"/>
          <w:lang w:eastAsia="zh-CN"/>
        </w:rPr>
        <w:t>薛鹏飞</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联系地址：克拉玛依市八一路6号</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联系电话：</w:t>
      </w:r>
      <w:r>
        <w:rPr>
          <w:rFonts w:hint="eastAsia" w:ascii="仿宋" w:hAnsi="仿宋" w:eastAsia="仿宋" w:cs="仿宋"/>
          <w:sz w:val="24"/>
          <w:szCs w:val="24"/>
          <w:lang w:eastAsia="zh-CN"/>
        </w:rPr>
        <w:t>0990-6222740</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bookmarkEnd w:id="6"/>
      <w:bookmarkEnd w:id="7"/>
      <w:bookmarkEnd w:id="8"/>
      <w:bookmarkEnd w:id="9"/>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称：新疆宏宇建设工程项目管理有限责任公司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val="en-US" w:eastAsia="zh-CN"/>
        </w:rPr>
        <w:t>克拉玛依市恒隆广场A座401-1室</w:t>
      </w:r>
      <w:r>
        <w:rPr>
          <w:rFonts w:hint="eastAsia" w:ascii="仿宋" w:hAnsi="仿宋" w:eastAsia="仿宋" w:cs="仿宋"/>
          <w:sz w:val="24"/>
          <w:szCs w:val="24"/>
        </w:rPr>
        <w:t xml:space="preserve"> </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0990-6608599</w:t>
      </w:r>
    </w:p>
    <w:p>
      <w:pPr>
        <w:spacing w:line="360" w:lineRule="auto"/>
        <w:ind w:firstLine="480" w:firstLineChars="200"/>
        <w:rPr>
          <w:rFonts w:hint="eastAsia" w:ascii="仿宋" w:hAnsi="仿宋" w:eastAsia="仿宋" w:cs="仿宋"/>
          <w:sz w:val="24"/>
          <w:szCs w:val="24"/>
        </w:rPr>
      </w:pPr>
      <w:bookmarkStart w:id="10" w:name="_Toc35393643"/>
      <w:bookmarkStart w:id="11" w:name="_Toc35393812"/>
      <w:bookmarkStart w:id="12" w:name="_Toc28359025"/>
      <w:bookmarkStart w:id="13" w:name="_Toc28359102"/>
      <w:r>
        <w:rPr>
          <w:rFonts w:hint="eastAsia" w:ascii="仿宋" w:hAnsi="仿宋" w:eastAsia="仿宋" w:cs="仿宋"/>
          <w:sz w:val="24"/>
          <w:szCs w:val="24"/>
        </w:rPr>
        <w:t>3.项目联系方式</w:t>
      </w:r>
      <w:bookmarkEnd w:id="10"/>
      <w:bookmarkEnd w:id="11"/>
      <w:bookmarkEnd w:id="12"/>
      <w:bookmarkEnd w:id="13"/>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：薛鹏飞、杨童艳、侯文强</w:t>
      </w:r>
    </w:p>
    <w:p>
      <w:pPr>
        <w:spacing w:line="360" w:lineRule="auto"/>
        <w:ind w:firstLine="480" w:firstLineChars="200"/>
        <w:rPr>
          <w:rFonts w:hint="eastAsia" w:ascii="仿宋" w:hAnsi="仿宋" w:eastAsia="仿宋" w:cs="仿宋"/>
          <w:sz w:val="20"/>
          <w:szCs w:val="20"/>
        </w:rPr>
      </w:pPr>
      <w:r>
        <w:rPr>
          <w:rFonts w:hint="eastAsia" w:ascii="仿宋" w:hAnsi="仿宋" w:eastAsia="仿宋" w:cs="仿宋"/>
          <w:sz w:val="24"/>
          <w:szCs w:val="24"/>
          <w:lang w:val="en-US" w:eastAsia="zh-CN"/>
        </w:rPr>
        <w:t>电　    话：0990-6222740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0990-6608599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0272E"/>
    <w:multiLevelType w:val="singleLevel"/>
    <w:tmpl w:val="9490272E"/>
    <w:lvl w:ilvl="0" w:tentative="0">
      <w:start w:val="5"/>
      <w:numFmt w:val="chineseCounting"/>
      <w:suff w:val="nothing"/>
      <w:lvlText w:val="%1、"/>
      <w:lvlJc w:val="left"/>
      <w:rPr>
        <w:rFonts w:hint="eastAsia"/>
      </w:rPr>
    </w:lvl>
  </w:abstractNum>
  <w:abstractNum w:abstractNumId="1">
    <w:nsid w:val="BA4BA650"/>
    <w:multiLevelType w:val="singleLevel"/>
    <w:tmpl w:val="BA4BA650"/>
    <w:lvl w:ilvl="0" w:tentative="0">
      <w:start w:val="4"/>
      <w:numFmt w:val="chineseCounting"/>
      <w:suff w:val="nothing"/>
      <w:lvlText w:val="%1、"/>
      <w:lvlJc w:val="left"/>
      <w:rPr>
        <w:rFonts w:hint="eastAsia"/>
      </w:rPr>
    </w:lvl>
  </w:abstractNum>
  <w:abstractNum w:abstractNumId="2">
    <w:nsid w:val="110A591B"/>
    <w:multiLevelType w:val="multilevel"/>
    <w:tmpl w:val="110A591B"/>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4"/>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4994F113"/>
    <w:multiLevelType w:val="singleLevel"/>
    <w:tmpl w:val="4994F113"/>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mZlYjNkNDk5NTJkYWZmZDlkNTdjNGRhMmRkMmQifQ=="/>
  </w:docVars>
  <w:rsids>
    <w:rsidRoot w:val="04DF5587"/>
    <w:rsid w:val="0075537A"/>
    <w:rsid w:val="01E0420D"/>
    <w:rsid w:val="04DF5587"/>
    <w:rsid w:val="0781198C"/>
    <w:rsid w:val="12EB1923"/>
    <w:rsid w:val="15BF3FFD"/>
    <w:rsid w:val="1CEF4747"/>
    <w:rsid w:val="24604B7C"/>
    <w:rsid w:val="285B7327"/>
    <w:rsid w:val="29515315"/>
    <w:rsid w:val="29D45E3D"/>
    <w:rsid w:val="2B571714"/>
    <w:rsid w:val="2F330080"/>
    <w:rsid w:val="30013E5F"/>
    <w:rsid w:val="360E4A61"/>
    <w:rsid w:val="363D111F"/>
    <w:rsid w:val="3C225BA4"/>
    <w:rsid w:val="3DFB43B0"/>
    <w:rsid w:val="3EE837F8"/>
    <w:rsid w:val="41717932"/>
    <w:rsid w:val="42611755"/>
    <w:rsid w:val="4A582B06"/>
    <w:rsid w:val="4B074E64"/>
    <w:rsid w:val="4D9A51DD"/>
    <w:rsid w:val="4DD16068"/>
    <w:rsid w:val="50733E16"/>
    <w:rsid w:val="51260C3F"/>
    <w:rsid w:val="5151508A"/>
    <w:rsid w:val="564E74F0"/>
    <w:rsid w:val="5F0B5EF6"/>
    <w:rsid w:val="5F953432"/>
    <w:rsid w:val="6229112B"/>
    <w:rsid w:val="62B37DB4"/>
    <w:rsid w:val="636E1FCA"/>
    <w:rsid w:val="63B219B9"/>
    <w:rsid w:val="686F0D0D"/>
    <w:rsid w:val="694E136B"/>
    <w:rsid w:val="6985191D"/>
    <w:rsid w:val="713734FD"/>
    <w:rsid w:val="752B3C75"/>
    <w:rsid w:val="756E3FAE"/>
    <w:rsid w:val="77EB1F96"/>
    <w:rsid w:val="7A1C5986"/>
    <w:rsid w:val="7DAB14FB"/>
    <w:rsid w:val="7F42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line="520" w:lineRule="exact"/>
      <w:ind w:left="570"/>
    </w:pPr>
    <w:rPr>
      <w:rFonts w:ascii="方正仿宋简体" w:hAnsi="创艺简仿宋" w:eastAsia="方正仿宋简体"/>
      <w:sz w:val="24"/>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eastAsiaTheme="minorEastAsia" w:cstheme="minorBidi"/>
      <w:szCs w:val="2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表格文字"/>
    <w:basedOn w:val="1"/>
    <w:qFormat/>
    <w:uiPriority w:val="0"/>
    <w:pPr>
      <w:jc w:val="left"/>
    </w:pPr>
    <w:rPr>
      <w:bCs/>
      <w:spacing w:val="1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1001</Words>
  <Characters>1087</Characters>
  <Lines>0</Lines>
  <Paragraphs>0</Paragraphs>
  <TotalTime>3</TotalTime>
  <ScaleCrop>false</ScaleCrop>
  <LinksUpToDate>false</LinksUpToDate>
  <CharactersWithSpaces>1103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2020-09-13T07:33:00Z</dcterms:created>
  <dc:creator>Administrator</dc:creator>
  <cp:lastModifiedBy>小氿</cp:lastModifiedBy>
  <dcterms:modified xsi:type="dcterms:W3CDTF">2022-12-28T08:24:12Z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4252CFAA892C41DFAFBE55B803C5ACE5</vt:lpwstr>
  </property>
</Properties>
</file>