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ascii="仿宋" w:hAnsi="仿宋" w:eastAsia="仿宋"/>
          <w:color w:val="000000"/>
          <w:sz w:val="44"/>
          <w:szCs w:val="18"/>
        </w:rPr>
      </w:pPr>
      <w:bookmarkStart w:id="0" w:name="_Toc82497891"/>
      <w:bookmarkStart w:id="1" w:name="_Toc55990499"/>
      <w:bookmarkStart w:id="2" w:name="_Toc56170377"/>
      <w:bookmarkStart w:id="3" w:name="_Toc55990498"/>
      <w:r>
        <w:rPr>
          <w:rFonts w:hint="eastAsia" w:ascii="仿宋" w:hAnsi="仿宋" w:eastAsia="仿宋"/>
          <w:color w:val="000000"/>
          <w:sz w:val="96"/>
          <w:szCs w:val="96"/>
        </w:rPr>
        <w:t>单一来源采购文件</w:t>
      </w:r>
    </w:p>
    <w:p>
      <w:pPr>
        <w:pStyle w:val="29"/>
        <w:spacing w:before="1716" w:beforeLines="550" w:line="360" w:lineRule="auto"/>
        <w:ind w:left="634" w:leftChars="302" w:firstLine="4" w:firstLineChars="0"/>
        <w:rPr>
          <w:rFonts w:ascii="仿宋" w:hAnsi="仿宋" w:eastAsia="仿宋" w:cs="仿宋"/>
          <w:sz w:val="36"/>
          <w:szCs w:val="36"/>
          <w:highlight w:val="none"/>
        </w:rPr>
      </w:pPr>
      <w:r>
        <w:rPr>
          <w:rFonts w:hint="eastAsia" w:ascii="仿宋" w:hAnsi="仿宋" w:eastAsia="仿宋" w:cs="仿宋"/>
          <w:sz w:val="36"/>
          <w:szCs w:val="36"/>
          <w:highlight w:val="none"/>
        </w:rPr>
        <w:t>项目编号：</w:t>
      </w:r>
      <w:r>
        <w:rPr>
          <w:rFonts w:hint="eastAsia" w:ascii="仿宋" w:hAnsi="仿宋" w:eastAsia="仿宋" w:cs="仿宋"/>
          <w:sz w:val="36"/>
          <w:szCs w:val="36"/>
          <w:highlight w:val="none"/>
          <w:lang w:eastAsia="zh-CN"/>
        </w:rPr>
        <w:t>XJKC-ZB-ejk202203-4</w:t>
      </w:r>
    </w:p>
    <w:p>
      <w:pPr>
        <w:pStyle w:val="29"/>
        <w:spacing w:line="360" w:lineRule="auto"/>
        <w:ind w:left="634" w:leftChars="302" w:firstLine="4" w:firstLineChars="0"/>
        <w:rPr>
          <w:rFonts w:hint="eastAsia" w:ascii="仿宋" w:hAnsi="仿宋" w:eastAsia="仿宋" w:cs="仿宋"/>
          <w:sz w:val="36"/>
          <w:szCs w:val="36"/>
          <w:lang w:eastAsia="zh-CN"/>
        </w:rPr>
      </w:pPr>
      <w:r>
        <w:rPr>
          <w:rFonts w:hint="eastAsia" w:ascii="仿宋" w:hAnsi="仿宋" w:eastAsia="仿宋" w:cs="仿宋"/>
          <w:sz w:val="36"/>
          <w:szCs w:val="36"/>
          <w:highlight w:val="none"/>
        </w:rPr>
        <w:t>项目名称：</w:t>
      </w:r>
      <w:r>
        <w:rPr>
          <w:rFonts w:hint="eastAsia" w:ascii="仿宋" w:hAnsi="仿宋" w:eastAsia="仿宋" w:cs="仿宋"/>
          <w:sz w:val="36"/>
          <w:szCs w:val="36"/>
          <w:highlight w:val="none"/>
          <w:lang w:eastAsia="zh-CN"/>
        </w:rPr>
        <w:t>新疆维吾尔自治区第二济困医院(新疆维吾尔自治区第五人民医院)电解质模块采购项目</w:t>
      </w:r>
    </w:p>
    <w:p>
      <w:pPr>
        <w:pStyle w:val="29"/>
        <w:spacing w:line="360" w:lineRule="auto"/>
        <w:ind w:left="634" w:leftChars="302" w:firstLine="4" w:firstLineChars="0"/>
        <w:rPr>
          <w:rFonts w:hint="eastAsia" w:ascii="仿宋" w:hAnsi="仿宋" w:eastAsia="仿宋" w:cs="仿宋"/>
          <w:sz w:val="36"/>
          <w:szCs w:val="36"/>
          <w:lang w:eastAsia="zh-CN"/>
        </w:rPr>
      </w:pPr>
      <w:r>
        <w:rPr>
          <w:rFonts w:hint="eastAsia" w:ascii="仿宋" w:hAnsi="仿宋" w:eastAsia="仿宋" w:cs="仿宋"/>
          <w:sz w:val="36"/>
          <w:szCs w:val="36"/>
        </w:rPr>
        <w:t>采 购 人</w:t>
      </w:r>
      <w:r>
        <w:rPr>
          <w:rFonts w:hint="eastAsia" w:ascii="仿宋" w:hAnsi="仿宋" w:eastAsia="仿宋" w:cs="仿宋"/>
          <w:color w:val="000000" w:themeColor="text1"/>
          <w:sz w:val="36"/>
          <w:szCs w:val="36"/>
        </w:rPr>
        <w:t>（盖章）</w:t>
      </w:r>
      <w:r>
        <w:rPr>
          <w:rFonts w:hint="eastAsia" w:ascii="仿宋" w:hAnsi="仿宋" w:eastAsia="仿宋" w:cs="仿宋"/>
          <w:sz w:val="36"/>
          <w:szCs w:val="36"/>
        </w:rPr>
        <w:t>：</w:t>
      </w:r>
      <w:r>
        <w:rPr>
          <w:rFonts w:hint="eastAsia" w:ascii="仿宋" w:hAnsi="仿宋" w:eastAsia="仿宋" w:cs="仿宋"/>
          <w:sz w:val="36"/>
          <w:szCs w:val="36"/>
          <w:lang w:eastAsia="zh-CN"/>
        </w:rPr>
        <w:t xml:space="preserve">新疆维吾尔自治区第二济困医院(新疆维吾尔自治区第五人民医院) </w:t>
      </w:r>
    </w:p>
    <w:p>
      <w:pPr>
        <w:pStyle w:val="29"/>
        <w:spacing w:line="360" w:lineRule="auto"/>
        <w:ind w:firstLine="720"/>
        <w:rPr>
          <w:rFonts w:ascii="仿宋" w:hAnsi="仿宋" w:eastAsia="仿宋" w:cs="仿宋"/>
          <w:sz w:val="36"/>
          <w:szCs w:val="36"/>
        </w:rPr>
      </w:pPr>
    </w:p>
    <w:p>
      <w:pPr>
        <w:pStyle w:val="29"/>
        <w:spacing w:line="360" w:lineRule="auto"/>
        <w:ind w:firstLine="720"/>
        <w:rPr>
          <w:rFonts w:ascii="仿宋" w:hAnsi="仿宋" w:eastAsia="仿宋" w:cs="仿宋"/>
          <w:sz w:val="36"/>
          <w:szCs w:val="36"/>
        </w:rPr>
      </w:pPr>
    </w:p>
    <w:p>
      <w:pPr>
        <w:pStyle w:val="29"/>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采购代理：新疆科辰工程项目管理有限公司</w:t>
      </w:r>
    </w:p>
    <w:p>
      <w:pPr>
        <w:pStyle w:val="29"/>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址：新疆乌鲁木齐市水磨沟区红光山路2588号绿地中心201/205商业，商务办公楼20层办公8室</w:t>
      </w:r>
    </w:p>
    <w:p>
      <w:pPr>
        <w:pStyle w:val="29"/>
        <w:spacing w:line="360" w:lineRule="auto"/>
        <w:ind w:firstLine="720"/>
        <w:rPr>
          <w:rFonts w:hint="default" w:ascii="仿宋" w:hAnsi="仿宋" w:eastAsia="仿宋" w:cs="仿宋"/>
          <w:sz w:val="36"/>
          <w:szCs w:val="36"/>
          <w:lang w:val="en-US" w:eastAsia="zh-CN"/>
        </w:rPr>
      </w:pPr>
      <w:r>
        <w:rPr>
          <w:rFonts w:hint="eastAsia" w:ascii="仿宋" w:hAnsi="仿宋" w:eastAsia="仿宋" w:cs="仿宋"/>
          <w:sz w:val="36"/>
          <w:szCs w:val="36"/>
        </w:rPr>
        <w:t>联系电话：</w:t>
      </w:r>
      <w:r>
        <w:rPr>
          <w:rFonts w:hint="eastAsia" w:ascii="仿宋" w:hAnsi="仿宋" w:eastAsia="仿宋" w:cs="仿宋"/>
          <w:sz w:val="36"/>
          <w:szCs w:val="36"/>
          <w:lang w:val="en-US" w:eastAsia="zh-CN"/>
        </w:rPr>
        <w:t>13179816599</w:t>
      </w:r>
    </w:p>
    <w:p>
      <w:pPr>
        <w:rPr>
          <w:rFonts w:ascii="仿宋" w:hAnsi="仿宋" w:eastAsia="仿宋" w:cs="仿宋"/>
        </w:rPr>
      </w:pPr>
      <w:r>
        <w:rPr>
          <w:rFonts w:hint="eastAsia" w:ascii="仿宋" w:hAnsi="仿宋" w:eastAsia="仿宋" w:cs="仿宋"/>
        </w:rPr>
        <w:br w:type="page"/>
      </w:r>
    </w:p>
    <w:p>
      <w:pPr>
        <w:tabs>
          <w:tab w:val="left" w:pos="2700"/>
        </w:tabs>
        <w:spacing w:line="360" w:lineRule="auto"/>
        <w:jc w:val="center"/>
        <w:rPr>
          <w:rFonts w:ascii="仿宋" w:hAnsi="仿宋" w:eastAsia="仿宋"/>
          <w:color w:val="000000"/>
          <w:sz w:val="44"/>
          <w:szCs w:val="44"/>
        </w:rPr>
      </w:pPr>
    </w:p>
    <w:p>
      <w:pPr>
        <w:rPr>
          <w:rFonts w:ascii="仿宋" w:hAnsi="仿宋" w:eastAsia="仿宋"/>
          <w:color w:val="000000"/>
          <w:sz w:val="44"/>
          <w:szCs w:val="44"/>
        </w:rPr>
      </w:pPr>
      <w:r>
        <w:rPr>
          <w:rFonts w:hint="eastAsia" w:ascii="仿宋" w:hAnsi="仿宋" w:eastAsia="仿宋"/>
          <w:color w:val="000000"/>
          <w:sz w:val="44"/>
          <w:szCs w:val="44"/>
        </w:rPr>
        <w:br w:type="page"/>
      </w:r>
    </w:p>
    <w:p>
      <w:pPr>
        <w:tabs>
          <w:tab w:val="left" w:pos="2700"/>
        </w:tabs>
        <w:spacing w:line="360" w:lineRule="auto"/>
        <w:jc w:val="center"/>
        <w:rPr>
          <w:rFonts w:ascii="仿宋" w:hAnsi="仿宋" w:eastAsia="仿宋"/>
          <w:color w:val="000000"/>
          <w:sz w:val="44"/>
          <w:szCs w:val="44"/>
        </w:rPr>
      </w:pPr>
      <w:r>
        <w:rPr>
          <w:rFonts w:hint="eastAsia" w:ascii="仿宋" w:hAnsi="仿宋" w:eastAsia="仿宋"/>
          <w:color w:val="000000"/>
          <w:sz w:val="44"/>
          <w:szCs w:val="44"/>
        </w:rPr>
        <w:t>目    录</w:t>
      </w:r>
    </w:p>
    <w:p>
      <w:pPr>
        <w:pStyle w:val="11"/>
      </w:pPr>
    </w:p>
    <w:p>
      <w:pPr>
        <w:pStyle w:val="17"/>
        <w:tabs>
          <w:tab w:val="right" w:leader="dot" w:pos="8360"/>
        </w:tabs>
        <w:ind w:firstLine="0" w:firstLineChars="0"/>
        <w:rPr>
          <w:rFonts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"1-2" \h \z \u </w:instrText>
      </w:r>
      <w:r>
        <w:rPr>
          <w:rFonts w:hint="eastAsia" w:ascii="仿宋" w:hAnsi="仿宋" w:eastAsia="仿宋" w:cs="仿宋"/>
          <w:b w:val="0"/>
          <w:bCs w:val="0"/>
          <w:sz w:val="28"/>
          <w:szCs w:val="28"/>
        </w:rPr>
        <w:fldChar w:fldCharType="separate"/>
      </w:r>
      <w:r>
        <w:fldChar w:fldCharType="begin"/>
      </w:r>
      <w:r>
        <w:instrText xml:space="preserve"> HYPERLINK \l "_Toc892" </w:instrText>
      </w:r>
      <w:r>
        <w:fldChar w:fldCharType="separate"/>
      </w:r>
      <w:r>
        <w:rPr>
          <w:rFonts w:hint="eastAsia" w:ascii="仿宋" w:hAnsi="仿宋" w:eastAsia="仿宋" w:cs="仿宋"/>
          <w:b w:val="0"/>
          <w:bCs w:val="0"/>
          <w:sz w:val="28"/>
          <w:szCs w:val="28"/>
        </w:rPr>
        <w:t>第一章、单一来源邀请公告</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_Toc892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7"/>
        <w:tabs>
          <w:tab w:val="right" w:leader="dot" w:pos="8360"/>
        </w:tabs>
        <w:ind w:firstLine="0" w:firstLineChars="0"/>
        <w:rPr>
          <w:rFonts w:ascii="仿宋" w:hAnsi="仿宋" w:eastAsia="仿宋" w:cs="仿宋"/>
          <w:b w:val="0"/>
          <w:bCs w:val="0"/>
          <w:sz w:val="28"/>
          <w:szCs w:val="28"/>
        </w:rPr>
      </w:pPr>
      <w:r>
        <w:fldChar w:fldCharType="begin"/>
      </w:r>
      <w:r>
        <w:instrText xml:space="preserve"> HYPERLINK \l "_Toc7954" </w:instrText>
      </w:r>
      <w:r>
        <w:fldChar w:fldCharType="separate"/>
      </w:r>
      <w:r>
        <w:rPr>
          <w:rFonts w:hint="eastAsia" w:ascii="仿宋" w:hAnsi="仿宋" w:eastAsia="仿宋" w:cs="仿宋"/>
          <w:b w:val="0"/>
          <w:bCs w:val="0"/>
          <w:sz w:val="28"/>
          <w:szCs w:val="28"/>
        </w:rPr>
        <w:t>第二章、谈判须知</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_Toc7954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7"/>
        <w:tabs>
          <w:tab w:val="right" w:leader="dot" w:pos="8360"/>
        </w:tabs>
        <w:ind w:firstLine="0" w:firstLineChars="0"/>
        <w:rPr>
          <w:rFonts w:ascii="仿宋" w:hAnsi="仿宋" w:eastAsia="仿宋" w:cs="仿宋"/>
          <w:b w:val="0"/>
          <w:bCs w:val="0"/>
          <w:sz w:val="28"/>
          <w:szCs w:val="28"/>
        </w:rPr>
      </w:pPr>
      <w:r>
        <w:fldChar w:fldCharType="begin"/>
      </w:r>
      <w:r>
        <w:instrText xml:space="preserve"> HYPERLINK \l "_Toc14432" </w:instrText>
      </w:r>
      <w:r>
        <w:fldChar w:fldCharType="separate"/>
      </w:r>
      <w:r>
        <w:rPr>
          <w:rFonts w:hint="eastAsia" w:ascii="仿宋" w:hAnsi="仿宋" w:eastAsia="仿宋" w:cs="仿宋"/>
          <w:b w:val="0"/>
          <w:bCs w:val="0"/>
          <w:sz w:val="28"/>
          <w:szCs w:val="28"/>
        </w:rPr>
        <w:t>第三章、招标内容及技术要求</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_Toc14432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26</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7"/>
        <w:tabs>
          <w:tab w:val="right" w:leader="dot" w:pos="8360"/>
        </w:tabs>
        <w:ind w:firstLine="0" w:firstLineChars="0"/>
        <w:rPr>
          <w:rFonts w:ascii="仿宋" w:hAnsi="仿宋" w:eastAsia="仿宋" w:cs="仿宋"/>
          <w:b w:val="0"/>
          <w:bCs w:val="0"/>
          <w:sz w:val="28"/>
          <w:szCs w:val="28"/>
        </w:rPr>
      </w:pPr>
      <w:r>
        <w:fldChar w:fldCharType="begin"/>
      </w:r>
      <w:r>
        <w:instrText xml:space="preserve"> HYPERLINK \l "_Toc22847" </w:instrText>
      </w:r>
      <w:r>
        <w:fldChar w:fldCharType="separate"/>
      </w:r>
      <w:r>
        <w:rPr>
          <w:rFonts w:hint="eastAsia" w:ascii="仿宋" w:hAnsi="仿宋" w:eastAsia="仿宋" w:cs="仿宋"/>
          <w:b w:val="0"/>
          <w:bCs w:val="0"/>
          <w:sz w:val="28"/>
          <w:szCs w:val="28"/>
        </w:rPr>
        <w:t>第四章、合同</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_Toc22847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30</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7"/>
        <w:tabs>
          <w:tab w:val="right" w:leader="dot" w:pos="8360"/>
        </w:tabs>
        <w:ind w:firstLine="0" w:firstLineChars="0"/>
        <w:rPr>
          <w:rFonts w:ascii="仿宋" w:hAnsi="仿宋" w:eastAsia="仿宋" w:cs="仿宋"/>
          <w:b w:val="0"/>
          <w:bCs w:val="0"/>
          <w:sz w:val="28"/>
          <w:szCs w:val="28"/>
        </w:rPr>
      </w:pPr>
      <w:r>
        <w:fldChar w:fldCharType="begin"/>
      </w:r>
      <w:r>
        <w:instrText xml:space="preserve"> HYPERLINK \l "_Toc7006" </w:instrText>
      </w:r>
      <w:r>
        <w:fldChar w:fldCharType="separate"/>
      </w:r>
      <w:r>
        <w:rPr>
          <w:rFonts w:hint="eastAsia" w:ascii="仿宋" w:hAnsi="仿宋" w:eastAsia="仿宋" w:cs="仿宋"/>
          <w:b w:val="0"/>
          <w:bCs w:val="0"/>
          <w:sz w:val="28"/>
          <w:szCs w:val="28"/>
        </w:rPr>
        <w:t>第五章、单一来源响应文件格式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_Toc7006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39</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1"/>
        <w:spacing w:line="360" w:lineRule="auto"/>
        <w:rPr>
          <w:rFonts w:ascii="仿宋" w:hAnsi="仿宋" w:eastAsia="仿宋" w:cs="仿宋"/>
          <w:b/>
          <w:color w:val="000000"/>
          <w:sz w:val="36"/>
        </w:rPr>
      </w:pPr>
      <w:r>
        <w:rPr>
          <w:rFonts w:hint="eastAsia" w:ascii="仿宋" w:hAnsi="仿宋" w:eastAsia="仿宋" w:cs="仿宋"/>
          <w:sz w:val="28"/>
          <w:szCs w:val="28"/>
        </w:rPr>
        <w:fldChar w:fldCharType="end"/>
      </w:r>
    </w:p>
    <w:p>
      <w:pPr>
        <w:pStyle w:val="5"/>
        <w:spacing w:line="360" w:lineRule="auto"/>
        <w:rPr>
          <w:rFonts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p>
    <w:bookmarkEnd w:id="0"/>
    <w:bookmarkEnd w:id="1"/>
    <w:bookmarkEnd w:id="2"/>
    <w:p>
      <w:pPr>
        <w:pStyle w:val="4"/>
        <w:rPr>
          <w:rFonts w:cs="仿宋"/>
          <w:highlight w:val="none"/>
        </w:rPr>
      </w:pPr>
      <w:bookmarkStart w:id="4" w:name="_Toc892"/>
      <w:bookmarkStart w:id="5" w:name="_Toc78799055"/>
      <w:r>
        <w:rPr>
          <w:rFonts w:hint="eastAsia" w:cs="仿宋"/>
          <w:highlight w:val="none"/>
        </w:rPr>
        <w:t>第一章、单一来源邀请公告</w:t>
      </w:r>
      <w:bookmarkEnd w:id="4"/>
      <w:bookmarkEnd w:id="5"/>
    </w:p>
    <w:p>
      <w:pPr>
        <w:pStyle w:val="28"/>
        <w:snapToGrid w:val="0"/>
        <w:spacing w:line="480" w:lineRule="exact"/>
        <w:ind w:firstLine="560" w:firstLineChars="200"/>
        <w:jc w:val="both"/>
        <w:rPr>
          <w:rFonts w:ascii="仿宋" w:hAnsi="仿宋" w:eastAsia="仿宋" w:cs="仿宋"/>
          <w:sz w:val="28"/>
          <w:highlight w:val="none"/>
        </w:rPr>
      </w:pPr>
      <w:r>
        <w:rPr>
          <w:rFonts w:hint="eastAsia" w:ascii="仿宋" w:hAnsi="仿宋" w:eastAsia="仿宋" w:cs="仿宋"/>
          <w:sz w:val="28"/>
          <w:highlight w:val="none"/>
        </w:rPr>
        <w:t xml:space="preserve">一、招标项目编号： </w:t>
      </w:r>
      <w:r>
        <w:rPr>
          <w:rFonts w:hint="eastAsia" w:ascii="仿宋" w:hAnsi="仿宋" w:eastAsia="仿宋" w:cs="仿宋"/>
          <w:sz w:val="28"/>
          <w:highlight w:val="none"/>
          <w:lang w:eastAsia="zh-CN"/>
        </w:rPr>
        <w:t>XJKC-ZB-ejk202203-4</w:t>
      </w:r>
      <w:r>
        <w:rPr>
          <w:rFonts w:hint="eastAsia" w:ascii="仿宋" w:hAnsi="仿宋" w:eastAsia="仿宋" w:cs="仿宋"/>
          <w:sz w:val="28"/>
          <w:highlight w:val="none"/>
        </w:rPr>
        <w:t xml:space="preserve"> </w:t>
      </w:r>
    </w:p>
    <w:p>
      <w:pPr>
        <w:pStyle w:val="28"/>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二、采购组织类型：部门分散采购-委托中介机构</w:t>
      </w:r>
    </w:p>
    <w:p>
      <w:pPr>
        <w:pStyle w:val="28"/>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三、招标项目概况：</w:t>
      </w:r>
      <w:r>
        <w:rPr>
          <w:rFonts w:hint="eastAsia" w:ascii="仿宋" w:hAnsi="仿宋" w:eastAsia="仿宋" w:cs="仿宋"/>
          <w:sz w:val="28"/>
          <w:szCs w:val="22"/>
        </w:rPr>
        <w:t>生化电解质模块，预算</w:t>
      </w:r>
      <w:r>
        <w:rPr>
          <w:rFonts w:hint="eastAsia" w:ascii="仿宋" w:hAnsi="仿宋" w:eastAsia="仿宋" w:cs="仿宋"/>
          <w:sz w:val="28"/>
          <w:szCs w:val="22"/>
          <w:lang w:val="en-US" w:eastAsia="zh-CN"/>
        </w:rPr>
        <w:t>10</w:t>
      </w:r>
      <w:r>
        <w:rPr>
          <w:rFonts w:hint="eastAsia" w:ascii="仿宋" w:hAnsi="仿宋" w:eastAsia="仿宋" w:cs="仿宋"/>
          <w:sz w:val="28"/>
          <w:szCs w:val="22"/>
        </w:rPr>
        <w:t>万元。</w:t>
      </w:r>
    </w:p>
    <w:p>
      <w:pPr>
        <w:pStyle w:val="28"/>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四、供应商资格要求：</w:t>
      </w:r>
    </w:p>
    <w:p>
      <w:pPr>
        <w:pStyle w:val="28"/>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1、符合《中华人民共和国政府采购法》第二十二条款规定；</w:t>
      </w:r>
    </w:p>
    <w:p>
      <w:pPr>
        <w:pStyle w:val="28"/>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2、具有有效的营业执照；</w:t>
      </w:r>
    </w:p>
    <w:p>
      <w:pPr>
        <w:pStyle w:val="28"/>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8"/>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4、进口设备代理商投标的，须提供制造或生产商出具的针对本次招标的有效的投标授权书原件；</w:t>
      </w:r>
    </w:p>
    <w:p>
      <w:pPr>
        <w:pStyle w:val="28"/>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5、法定代表人投标需携带法定代表人证明书（原件）及法定代表人身份证（原件），委托代理人投标需携带法定代表人授权委托书（原件）及委托代理人身份证（原件）；</w:t>
      </w:r>
    </w:p>
    <w:p>
      <w:pPr>
        <w:pStyle w:val="28"/>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8"/>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7、本项目不接受联合体投标。</w:t>
      </w:r>
    </w:p>
    <w:p>
      <w:pPr>
        <w:pStyle w:val="28"/>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8"/>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五、单一来源采购文件的报名/发售时间、地址、售价。</w:t>
      </w:r>
    </w:p>
    <w:p>
      <w:pPr>
        <w:pStyle w:val="28"/>
        <w:snapToGrid w:val="0"/>
        <w:spacing w:line="480" w:lineRule="exact"/>
        <w:ind w:firstLine="560" w:firstLineChars="200"/>
        <w:jc w:val="both"/>
        <w:rPr>
          <w:rFonts w:ascii="仿宋" w:hAnsi="仿宋" w:eastAsia="仿宋" w:cs="仿宋"/>
          <w:sz w:val="28"/>
          <w:highlight w:val="yellow"/>
        </w:rPr>
      </w:pPr>
      <w:r>
        <w:rPr>
          <w:rFonts w:hint="eastAsia" w:ascii="仿宋" w:hAnsi="仿宋" w:eastAsia="仿宋" w:cs="仿宋"/>
          <w:sz w:val="28"/>
        </w:rPr>
        <w:t>1．报名（发售／获取）时间：</w:t>
      </w:r>
      <w:bookmarkStart w:id="6" w:name="_Hlk56775080"/>
      <w:r>
        <w:rPr>
          <w:rFonts w:hint="eastAsia" w:ascii="仿宋" w:hAnsi="仿宋" w:eastAsia="仿宋" w:cs="仿宋"/>
          <w:sz w:val="28"/>
          <w:highlight w:val="yellow"/>
          <w:u w:val="single"/>
        </w:rPr>
        <w:t>2022</w:t>
      </w:r>
      <w:r>
        <w:rPr>
          <w:rFonts w:hint="eastAsia" w:ascii="仿宋" w:hAnsi="仿宋" w:eastAsia="仿宋" w:cs="仿宋"/>
          <w:sz w:val="28"/>
          <w:highlight w:val="yellow"/>
        </w:rPr>
        <w:t>年</w:t>
      </w:r>
      <w:r>
        <w:rPr>
          <w:rFonts w:hint="eastAsia" w:ascii="仿宋" w:hAnsi="仿宋" w:eastAsia="仿宋" w:cs="仿宋"/>
          <w:sz w:val="28"/>
          <w:highlight w:val="yellow"/>
          <w:u w:val="single"/>
          <w:lang w:val="en-US" w:eastAsia="zh-CN"/>
        </w:rPr>
        <w:t>12</w:t>
      </w:r>
      <w:r>
        <w:rPr>
          <w:rFonts w:hint="eastAsia" w:ascii="仿宋" w:hAnsi="仿宋" w:eastAsia="仿宋" w:cs="仿宋"/>
          <w:sz w:val="28"/>
          <w:highlight w:val="yellow"/>
        </w:rPr>
        <w:t>月</w:t>
      </w:r>
      <w:r>
        <w:rPr>
          <w:rFonts w:hint="eastAsia" w:ascii="仿宋" w:hAnsi="仿宋" w:eastAsia="仿宋" w:cs="仿宋"/>
          <w:sz w:val="28"/>
          <w:highlight w:val="yellow"/>
          <w:u w:val="single"/>
          <w:lang w:val="en-US" w:eastAsia="zh-CN"/>
        </w:rPr>
        <w:t xml:space="preserve">  </w:t>
      </w:r>
      <w:r>
        <w:rPr>
          <w:rFonts w:hint="eastAsia" w:ascii="仿宋" w:hAnsi="仿宋" w:eastAsia="仿宋" w:cs="仿宋"/>
          <w:sz w:val="28"/>
          <w:highlight w:val="yellow"/>
        </w:rPr>
        <w:t>日-</w:t>
      </w:r>
      <w:r>
        <w:rPr>
          <w:rFonts w:hint="eastAsia" w:ascii="仿宋" w:hAnsi="仿宋" w:eastAsia="仿宋" w:cs="仿宋"/>
          <w:sz w:val="28"/>
          <w:highlight w:val="yellow"/>
          <w:u w:val="single"/>
        </w:rPr>
        <w:t>2022</w:t>
      </w:r>
      <w:r>
        <w:rPr>
          <w:rFonts w:hint="eastAsia" w:ascii="仿宋" w:hAnsi="仿宋" w:eastAsia="仿宋" w:cs="仿宋"/>
          <w:sz w:val="28"/>
          <w:highlight w:val="yellow"/>
        </w:rPr>
        <w:t>年</w:t>
      </w:r>
      <w:r>
        <w:rPr>
          <w:rFonts w:hint="eastAsia" w:ascii="仿宋" w:hAnsi="仿宋" w:eastAsia="仿宋" w:cs="仿宋"/>
          <w:sz w:val="28"/>
          <w:highlight w:val="yellow"/>
          <w:u w:val="single"/>
          <w:lang w:val="en-US" w:eastAsia="zh-CN"/>
        </w:rPr>
        <w:t>12</w:t>
      </w:r>
      <w:r>
        <w:rPr>
          <w:rFonts w:hint="eastAsia" w:ascii="仿宋" w:hAnsi="仿宋" w:eastAsia="仿宋" w:cs="仿宋"/>
          <w:sz w:val="28"/>
          <w:highlight w:val="yellow"/>
        </w:rPr>
        <w:t>月</w:t>
      </w:r>
      <w:r>
        <w:rPr>
          <w:rFonts w:hint="eastAsia" w:ascii="仿宋" w:hAnsi="仿宋" w:eastAsia="仿宋" w:cs="仿宋"/>
          <w:sz w:val="28"/>
          <w:highlight w:val="yellow"/>
          <w:u w:val="single"/>
          <w:lang w:val="en-US" w:eastAsia="zh-CN"/>
        </w:rPr>
        <w:t xml:space="preserve">  </w:t>
      </w:r>
      <w:r>
        <w:rPr>
          <w:rFonts w:hint="eastAsia" w:ascii="仿宋" w:hAnsi="仿宋" w:eastAsia="仿宋" w:cs="仿宋"/>
          <w:sz w:val="28"/>
          <w:highlight w:val="yellow"/>
        </w:rPr>
        <w:t>日</w:t>
      </w:r>
      <w:bookmarkEnd w:id="6"/>
    </w:p>
    <w:p>
      <w:pPr>
        <w:pStyle w:val="28"/>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上午：10：00-13：30，下午：15：30-18：30</w:t>
      </w:r>
    </w:p>
    <w:p>
      <w:pPr>
        <w:pStyle w:val="28"/>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2．报名（发售／获取）地址：线上联系采购代理机构工作人员</w:t>
      </w:r>
    </w:p>
    <w:p>
      <w:pPr>
        <w:pStyle w:val="28"/>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3．标书售价（元）</w:t>
      </w:r>
      <w:r>
        <w:rPr>
          <w:rFonts w:hint="eastAsia" w:ascii="仿宋" w:hAnsi="仿宋" w:eastAsia="仿宋" w:cs="仿宋"/>
          <w:sz w:val="28"/>
          <w:lang w:eastAsia="zh-CN"/>
        </w:rPr>
        <w:t>：</w:t>
      </w:r>
      <w:r>
        <w:rPr>
          <w:rFonts w:hint="eastAsia" w:ascii="仿宋" w:hAnsi="仿宋" w:eastAsia="仿宋" w:cs="仿宋"/>
          <w:sz w:val="28"/>
        </w:rPr>
        <w:t>每包300</w:t>
      </w:r>
    </w:p>
    <w:p>
      <w:pPr>
        <w:pStyle w:val="28"/>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4．供应商购买单一来源采购文件时应提交的资料：获取文件需将报名资料法定代表人证明书或法定代表人授权委托书及被授权人的身份证、营业执照、网页截图证明、进口设备代理商投标的，须提供制造或生产商出具的针对本次招标的有效的投标授权书原件。所有报名的供应商需提供上述所需资料扫描件（PDF格式）并加盖公章发送至指定邮箱</w:t>
      </w:r>
      <w:r>
        <w:rPr>
          <w:rFonts w:hint="eastAsia" w:ascii="仿宋" w:hAnsi="仿宋" w:eastAsia="仿宋" w:cs="仿宋"/>
          <w:sz w:val="28"/>
          <w:lang w:val="en-US" w:eastAsia="zh-CN"/>
        </w:rPr>
        <w:t>/</w:t>
      </w:r>
      <w:r>
        <w:rPr>
          <w:rFonts w:hint="eastAsia" w:ascii="仿宋" w:hAnsi="仿宋" w:eastAsia="仿宋" w:cs="仿宋"/>
          <w:sz w:val="28"/>
        </w:rPr>
        <w:t>@qq.com，并联系代理公司人员进行确认（注：如因疫情原因无法加盖公章及法人章，可将有关材料先行提供，待本地区疫情解封后3日内将公章及法人章加盖齐全并重新提供，否则视为报名无效。）</w:t>
      </w:r>
    </w:p>
    <w:p>
      <w:pPr>
        <w:pStyle w:val="28"/>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六、单一来源响应文件递交截止时间：</w:t>
      </w:r>
      <w:bookmarkStart w:id="7" w:name="_Hlk56775416"/>
      <w:r>
        <w:rPr>
          <w:rFonts w:hint="eastAsia" w:ascii="仿宋" w:hAnsi="仿宋" w:eastAsia="仿宋" w:cs="仿宋"/>
          <w:sz w:val="28"/>
          <w:highlight w:val="yellow"/>
          <w:u w:val="single"/>
        </w:rPr>
        <w:t>2022</w:t>
      </w:r>
      <w:r>
        <w:rPr>
          <w:rFonts w:hint="eastAsia" w:ascii="仿宋" w:hAnsi="仿宋" w:eastAsia="仿宋" w:cs="仿宋"/>
          <w:sz w:val="28"/>
          <w:highlight w:val="yellow"/>
        </w:rPr>
        <w:t>年</w:t>
      </w:r>
      <w:r>
        <w:rPr>
          <w:rFonts w:hint="eastAsia" w:ascii="仿宋" w:hAnsi="仿宋" w:eastAsia="仿宋" w:cs="仿宋"/>
          <w:sz w:val="28"/>
          <w:highlight w:val="yellow"/>
          <w:u w:val="single"/>
          <w:lang w:val="en-US" w:eastAsia="zh-CN"/>
        </w:rPr>
        <w:t>12</w:t>
      </w:r>
      <w:r>
        <w:rPr>
          <w:rFonts w:hint="eastAsia" w:ascii="仿宋" w:hAnsi="仿宋" w:eastAsia="仿宋" w:cs="仿宋"/>
          <w:sz w:val="28"/>
          <w:highlight w:val="yellow"/>
        </w:rPr>
        <w:t>月</w:t>
      </w:r>
      <w:r>
        <w:rPr>
          <w:rFonts w:hint="eastAsia" w:ascii="仿宋" w:hAnsi="仿宋" w:eastAsia="仿宋" w:cs="仿宋"/>
          <w:sz w:val="28"/>
          <w:highlight w:val="yellow"/>
          <w:u w:val="single"/>
          <w:lang w:val="en-US" w:eastAsia="zh-CN"/>
        </w:rPr>
        <w:t>24</w:t>
      </w:r>
      <w:r>
        <w:rPr>
          <w:rFonts w:hint="eastAsia" w:ascii="仿宋" w:hAnsi="仿宋" w:eastAsia="仿宋" w:cs="仿宋"/>
          <w:sz w:val="28"/>
          <w:highlight w:val="yellow"/>
        </w:rPr>
        <w:t>日</w:t>
      </w:r>
      <w:r>
        <w:rPr>
          <w:rFonts w:hint="eastAsia" w:ascii="仿宋" w:hAnsi="仿宋" w:eastAsia="仿宋" w:cs="仿宋"/>
          <w:sz w:val="28"/>
          <w:highlight w:val="yellow"/>
          <w:u w:val="single"/>
          <w:lang w:val="en-US" w:eastAsia="zh-CN"/>
        </w:rPr>
        <w:t>16</w:t>
      </w:r>
      <w:r>
        <w:rPr>
          <w:rFonts w:hint="eastAsia" w:ascii="仿宋" w:hAnsi="仿宋" w:eastAsia="仿宋" w:cs="仿宋"/>
          <w:sz w:val="28"/>
          <w:highlight w:val="yellow"/>
        </w:rPr>
        <w:t>时</w:t>
      </w:r>
      <w:r>
        <w:rPr>
          <w:rFonts w:hint="eastAsia" w:ascii="仿宋" w:hAnsi="仿宋" w:eastAsia="仿宋" w:cs="仿宋"/>
          <w:sz w:val="28"/>
          <w:highlight w:val="yellow"/>
          <w:u w:val="single"/>
        </w:rPr>
        <w:t>00</w:t>
      </w:r>
      <w:r>
        <w:rPr>
          <w:rFonts w:hint="eastAsia" w:ascii="仿宋" w:hAnsi="仿宋" w:eastAsia="仿宋" w:cs="仿宋"/>
          <w:sz w:val="28"/>
          <w:highlight w:val="yellow"/>
        </w:rPr>
        <w:t>分</w:t>
      </w:r>
      <w:r>
        <w:rPr>
          <w:rFonts w:hint="eastAsia" w:ascii="仿宋" w:hAnsi="仿宋" w:eastAsia="仿宋" w:cs="仿宋"/>
          <w:sz w:val="28"/>
        </w:rPr>
        <w:t>（北京时间）</w:t>
      </w:r>
      <w:bookmarkEnd w:id="7"/>
    </w:p>
    <w:p>
      <w:pPr>
        <w:pStyle w:val="28"/>
        <w:snapToGrid w:val="0"/>
        <w:spacing w:line="480" w:lineRule="exact"/>
        <w:ind w:firstLine="560" w:firstLineChars="200"/>
        <w:jc w:val="both"/>
        <w:rPr>
          <w:rFonts w:hint="eastAsia" w:ascii="仿宋" w:hAnsi="仿宋" w:eastAsia="仿宋" w:cs="仿宋"/>
          <w:sz w:val="28"/>
          <w:lang w:eastAsia="zh-CN"/>
        </w:rPr>
      </w:pPr>
      <w:r>
        <w:rPr>
          <w:rFonts w:hint="eastAsia" w:ascii="仿宋" w:hAnsi="仿宋" w:eastAsia="仿宋" w:cs="仿宋"/>
          <w:sz w:val="28"/>
        </w:rPr>
        <w:t>七、单一来源响应文件递交地址：</w:t>
      </w:r>
      <w:r>
        <w:rPr>
          <w:rFonts w:hint="eastAsia" w:ascii="仿宋" w:hAnsi="仿宋" w:eastAsia="仿宋" w:cs="仿宋"/>
          <w:sz w:val="28"/>
          <w:lang w:val="en-US" w:eastAsia="zh-CN"/>
        </w:rPr>
        <w:t>/</w:t>
      </w:r>
    </w:p>
    <w:p>
      <w:pPr>
        <w:pStyle w:val="28"/>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八、开标时间：</w:t>
      </w:r>
      <w:r>
        <w:rPr>
          <w:rFonts w:hint="eastAsia" w:ascii="仿宋" w:hAnsi="仿宋" w:eastAsia="仿宋" w:cs="仿宋"/>
          <w:sz w:val="28"/>
          <w:highlight w:val="yellow"/>
          <w:u w:val="single"/>
        </w:rPr>
        <w:t>2022</w:t>
      </w:r>
      <w:r>
        <w:rPr>
          <w:rFonts w:hint="eastAsia" w:ascii="仿宋" w:hAnsi="仿宋" w:eastAsia="仿宋" w:cs="仿宋"/>
          <w:sz w:val="28"/>
          <w:highlight w:val="yellow"/>
        </w:rPr>
        <w:t>年</w:t>
      </w:r>
      <w:r>
        <w:rPr>
          <w:rFonts w:hint="eastAsia" w:ascii="仿宋" w:hAnsi="仿宋" w:eastAsia="仿宋" w:cs="仿宋"/>
          <w:sz w:val="28"/>
          <w:highlight w:val="yellow"/>
          <w:u w:val="single"/>
          <w:lang w:val="en-US" w:eastAsia="zh-CN"/>
        </w:rPr>
        <w:t>12</w:t>
      </w:r>
      <w:r>
        <w:rPr>
          <w:rFonts w:hint="eastAsia" w:ascii="仿宋" w:hAnsi="仿宋" w:eastAsia="仿宋" w:cs="仿宋"/>
          <w:sz w:val="28"/>
          <w:highlight w:val="yellow"/>
        </w:rPr>
        <w:t>月</w:t>
      </w:r>
      <w:r>
        <w:rPr>
          <w:rFonts w:hint="eastAsia" w:ascii="仿宋" w:hAnsi="仿宋" w:eastAsia="仿宋" w:cs="仿宋"/>
          <w:sz w:val="28"/>
          <w:highlight w:val="yellow"/>
          <w:lang w:val="en-US" w:eastAsia="zh-CN"/>
        </w:rPr>
        <w:t>24</w:t>
      </w:r>
      <w:r>
        <w:rPr>
          <w:rFonts w:hint="eastAsia" w:ascii="仿宋" w:hAnsi="仿宋" w:eastAsia="仿宋" w:cs="仿宋"/>
          <w:sz w:val="28"/>
          <w:highlight w:val="yellow"/>
        </w:rPr>
        <w:t>日</w:t>
      </w:r>
      <w:r>
        <w:rPr>
          <w:rFonts w:hint="eastAsia" w:ascii="仿宋" w:hAnsi="仿宋" w:eastAsia="仿宋" w:cs="仿宋"/>
          <w:sz w:val="28"/>
          <w:highlight w:val="yellow"/>
          <w:lang w:val="en-US" w:eastAsia="zh-CN"/>
        </w:rPr>
        <w:t>16</w:t>
      </w:r>
      <w:r>
        <w:rPr>
          <w:rFonts w:hint="eastAsia" w:ascii="仿宋" w:hAnsi="仿宋" w:eastAsia="仿宋" w:cs="仿宋"/>
          <w:sz w:val="28"/>
          <w:highlight w:val="yellow"/>
        </w:rPr>
        <w:t>时</w:t>
      </w:r>
      <w:r>
        <w:rPr>
          <w:rFonts w:hint="eastAsia" w:ascii="仿宋" w:hAnsi="仿宋" w:eastAsia="仿宋" w:cs="仿宋"/>
          <w:sz w:val="28"/>
          <w:highlight w:val="yellow"/>
          <w:u w:val="single"/>
        </w:rPr>
        <w:t>00</w:t>
      </w:r>
      <w:r>
        <w:rPr>
          <w:rFonts w:hint="eastAsia" w:ascii="仿宋" w:hAnsi="仿宋" w:eastAsia="仿宋" w:cs="仿宋"/>
          <w:sz w:val="28"/>
          <w:highlight w:val="yellow"/>
        </w:rPr>
        <w:t>分</w:t>
      </w:r>
      <w:r>
        <w:rPr>
          <w:rFonts w:hint="eastAsia" w:ascii="仿宋" w:hAnsi="仿宋" w:eastAsia="仿宋" w:cs="仿宋"/>
          <w:sz w:val="28"/>
        </w:rPr>
        <w:t>（北京时间）</w:t>
      </w:r>
    </w:p>
    <w:p>
      <w:pPr>
        <w:pStyle w:val="28"/>
        <w:snapToGrid w:val="0"/>
        <w:spacing w:line="480" w:lineRule="exact"/>
        <w:ind w:firstLine="560" w:firstLineChars="200"/>
        <w:jc w:val="both"/>
        <w:rPr>
          <w:rFonts w:hint="eastAsia" w:ascii="仿宋" w:hAnsi="仿宋" w:eastAsia="仿宋" w:cs="仿宋"/>
          <w:sz w:val="28"/>
          <w:lang w:val="en-US" w:eastAsia="zh-CN"/>
        </w:rPr>
      </w:pPr>
      <w:r>
        <w:rPr>
          <w:rFonts w:hint="eastAsia" w:ascii="仿宋" w:hAnsi="仿宋" w:eastAsia="仿宋" w:cs="仿宋"/>
          <w:sz w:val="28"/>
        </w:rPr>
        <w:t>九、开标地址：</w:t>
      </w:r>
    </w:p>
    <w:p>
      <w:pPr>
        <w:pStyle w:val="28"/>
        <w:snapToGrid w:val="0"/>
        <w:spacing w:line="480" w:lineRule="exact"/>
        <w:ind w:firstLine="560"/>
        <w:jc w:val="both"/>
        <w:rPr>
          <w:rFonts w:ascii="仿宋" w:hAnsi="仿宋" w:eastAsia="仿宋" w:cs="仿宋"/>
          <w:sz w:val="28"/>
        </w:rPr>
      </w:pPr>
      <w:r>
        <w:rPr>
          <w:rFonts w:hint="eastAsia" w:ascii="仿宋" w:hAnsi="仿宋" w:eastAsia="仿宋" w:cs="仿宋"/>
          <w:sz w:val="28"/>
        </w:rPr>
        <w:t>十、联系方式</w:t>
      </w:r>
    </w:p>
    <w:p>
      <w:pPr>
        <w:pStyle w:val="28"/>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1.采购人信息</w:t>
      </w:r>
    </w:p>
    <w:p>
      <w:pPr>
        <w:pStyle w:val="28"/>
        <w:snapToGrid w:val="0"/>
        <w:spacing w:line="480" w:lineRule="exact"/>
        <w:ind w:firstLine="560"/>
        <w:jc w:val="both"/>
        <w:rPr>
          <w:rFonts w:hint="eastAsia" w:ascii="仿宋" w:hAnsi="仿宋" w:eastAsia="仿宋" w:cs="仿宋"/>
          <w:sz w:val="28"/>
          <w:szCs w:val="22"/>
          <w:lang w:eastAsia="zh-CN"/>
        </w:rPr>
      </w:pPr>
      <w:r>
        <w:rPr>
          <w:rFonts w:hint="eastAsia" w:ascii="仿宋" w:hAnsi="仿宋" w:eastAsia="仿宋" w:cs="仿宋"/>
          <w:sz w:val="28"/>
          <w:szCs w:val="22"/>
        </w:rPr>
        <w:t>名 称：</w:t>
      </w:r>
      <w:r>
        <w:rPr>
          <w:rFonts w:hint="eastAsia" w:ascii="仿宋" w:hAnsi="仿宋" w:eastAsia="仿宋" w:cs="仿宋"/>
          <w:sz w:val="28"/>
          <w:szCs w:val="22"/>
          <w:lang w:eastAsia="zh-CN"/>
        </w:rPr>
        <w:t xml:space="preserve">新疆维吾尔自治区第二济困医院(新疆维吾尔自治区第五人民医院) </w:t>
      </w:r>
    </w:p>
    <w:p>
      <w:pPr>
        <w:pStyle w:val="28"/>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地 址：乌鲁木齐市新市区喀什西路159号</w:t>
      </w:r>
    </w:p>
    <w:p>
      <w:pPr>
        <w:pStyle w:val="28"/>
        <w:snapToGrid w:val="0"/>
        <w:spacing w:line="480" w:lineRule="exact"/>
        <w:ind w:firstLine="560"/>
        <w:jc w:val="both"/>
        <w:rPr>
          <w:rFonts w:hint="eastAsia" w:ascii="仿宋" w:hAnsi="仿宋" w:eastAsia="仿宋" w:cs="仿宋"/>
          <w:sz w:val="28"/>
          <w:szCs w:val="22"/>
          <w:lang w:eastAsia="zh-CN"/>
        </w:rPr>
      </w:pPr>
      <w:r>
        <w:rPr>
          <w:rFonts w:hint="eastAsia" w:ascii="仿宋" w:hAnsi="仿宋" w:eastAsia="仿宋" w:cs="仿宋"/>
          <w:sz w:val="28"/>
          <w:szCs w:val="22"/>
        </w:rPr>
        <w:t>联系方式：</w:t>
      </w:r>
      <w:r>
        <w:rPr>
          <w:rFonts w:hint="eastAsia" w:ascii="仿宋" w:hAnsi="仿宋" w:eastAsia="仿宋" w:cs="仿宋"/>
          <w:sz w:val="28"/>
          <w:szCs w:val="22"/>
          <w:lang w:eastAsia="zh-CN"/>
        </w:rPr>
        <w:t>0991-5269101</w:t>
      </w:r>
    </w:p>
    <w:p>
      <w:pPr>
        <w:pStyle w:val="28"/>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2.采购代理机构信息</w:t>
      </w:r>
    </w:p>
    <w:p>
      <w:pPr>
        <w:pStyle w:val="28"/>
        <w:snapToGrid w:val="0"/>
        <w:spacing w:line="480" w:lineRule="exact"/>
        <w:ind w:firstLine="560"/>
        <w:jc w:val="both"/>
        <w:rPr>
          <w:rFonts w:hint="eastAsia" w:ascii="仿宋" w:hAnsi="仿宋" w:eastAsia="仿宋" w:cs="仿宋"/>
          <w:sz w:val="28"/>
          <w:szCs w:val="22"/>
          <w:lang w:eastAsia="zh-CN"/>
        </w:rPr>
      </w:pPr>
      <w:r>
        <w:rPr>
          <w:rFonts w:hint="eastAsia" w:ascii="仿宋" w:hAnsi="仿宋" w:eastAsia="仿宋" w:cs="仿宋"/>
          <w:sz w:val="28"/>
          <w:szCs w:val="22"/>
        </w:rPr>
        <w:t>名 称：</w:t>
      </w:r>
      <w:r>
        <w:rPr>
          <w:rFonts w:hint="eastAsia" w:ascii="仿宋" w:hAnsi="仿宋" w:eastAsia="仿宋" w:cs="仿宋"/>
          <w:sz w:val="28"/>
          <w:szCs w:val="22"/>
          <w:lang w:eastAsia="zh-CN"/>
        </w:rPr>
        <w:t>新疆科辰工程项目管理有限公司</w:t>
      </w:r>
    </w:p>
    <w:p>
      <w:pPr>
        <w:pStyle w:val="28"/>
        <w:snapToGrid w:val="0"/>
        <w:spacing w:line="480" w:lineRule="exact"/>
        <w:ind w:firstLine="560"/>
        <w:jc w:val="both"/>
        <w:rPr>
          <w:rFonts w:hint="eastAsia" w:ascii="仿宋" w:hAnsi="仿宋" w:eastAsia="仿宋" w:cs="仿宋"/>
          <w:sz w:val="28"/>
          <w:szCs w:val="22"/>
          <w:lang w:eastAsia="zh-CN"/>
        </w:rPr>
      </w:pPr>
      <w:r>
        <w:rPr>
          <w:rFonts w:hint="eastAsia" w:ascii="仿宋" w:hAnsi="仿宋" w:eastAsia="仿宋" w:cs="仿宋"/>
          <w:sz w:val="28"/>
          <w:szCs w:val="22"/>
        </w:rPr>
        <w:t>地 址：</w:t>
      </w:r>
      <w:r>
        <w:rPr>
          <w:rFonts w:hint="eastAsia" w:ascii="仿宋" w:hAnsi="仿宋" w:eastAsia="仿宋" w:cs="仿宋"/>
          <w:sz w:val="28"/>
          <w:lang w:eastAsia="zh-CN"/>
        </w:rPr>
        <w:t>新疆乌鲁木齐市水磨沟区红光山路2588号绿地中心201/205商业、商务办公楼20层办公8室</w:t>
      </w:r>
    </w:p>
    <w:p>
      <w:pPr>
        <w:pStyle w:val="28"/>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3.项目联系方式</w:t>
      </w:r>
    </w:p>
    <w:p>
      <w:pPr>
        <w:pStyle w:val="28"/>
        <w:snapToGrid w:val="0"/>
        <w:spacing w:line="480" w:lineRule="exact"/>
        <w:ind w:firstLine="560"/>
        <w:jc w:val="both"/>
        <w:rPr>
          <w:rFonts w:hint="eastAsia" w:ascii="仿宋" w:hAnsi="仿宋" w:eastAsia="仿宋" w:cs="仿宋"/>
          <w:sz w:val="28"/>
          <w:lang w:val="en-US" w:eastAsia="zh-CN"/>
        </w:rPr>
      </w:pPr>
      <w:r>
        <w:rPr>
          <w:rFonts w:hint="eastAsia" w:ascii="仿宋" w:hAnsi="仿宋" w:eastAsia="仿宋" w:cs="仿宋"/>
          <w:sz w:val="28"/>
          <w:szCs w:val="22"/>
        </w:rPr>
        <w:t>项目联系人：</w:t>
      </w:r>
      <w:r>
        <w:rPr>
          <w:rFonts w:hint="eastAsia" w:ascii="仿宋" w:hAnsi="仿宋" w:eastAsia="仿宋" w:cs="仿宋"/>
          <w:sz w:val="28"/>
          <w:szCs w:val="22"/>
          <w:lang w:val="en-US" w:eastAsia="zh-CN"/>
        </w:rPr>
        <w:t>李老师</w:t>
      </w:r>
    </w:p>
    <w:p>
      <w:pPr>
        <w:pStyle w:val="28"/>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电 话：13179816599</w:t>
      </w:r>
    </w:p>
    <w:p>
      <w:pPr>
        <w:pStyle w:val="4"/>
        <w:rPr>
          <w:rFonts w:cs="仿宋"/>
        </w:rPr>
      </w:pPr>
      <w:r>
        <w:rPr>
          <w:rFonts w:hint="eastAsia" w:cs="仿宋"/>
        </w:rPr>
        <w:br w:type="page"/>
      </w:r>
      <w:bookmarkEnd w:id="3"/>
      <w:bookmarkStart w:id="8" w:name="_Toc55990500"/>
      <w:bookmarkStart w:id="9" w:name="_Toc7954"/>
      <w:bookmarkStart w:id="10" w:name="_Toc56170378"/>
      <w:bookmarkStart w:id="11" w:name="_Toc5896489"/>
      <w:bookmarkStart w:id="12" w:name="_Toc78799056"/>
      <w:bookmarkStart w:id="13" w:name="_Toc399523005"/>
      <w:r>
        <w:rPr>
          <w:rFonts w:hint="eastAsia" w:cs="仿宋"/>
        </w:rPr>
        <w:t>第二章、谈判须知</w:t>
      </w:r>
      <w:bookmarkEnd w:id="8"/>
      <w:bookmarkEnd w:id="9"/>
      <w:bookmarkEnd w:id="10"/>
      <w:bookmarkEnd w:id="11"/>
      <w:bookmarkEnd w:id="12"/>
    </w:p>
    <w:p>
      <w:pPr>
        <w:pStyle w:val="6"/>
        <w:rPr>
          <w:rFonts w:cs="仿宋"/>
        </w:rPr>
      </w:pPr>
      <w:bookmarkStart w:id="14" w:name="_Toc31109"/>
      <w:bookmarkStart w:id="15" w:name="_Toc78799057"/>
      <w:bookmarkStart w:id="16" w:name="_Toc56170379"/>
      <w:r>
        <w:rPr>
          <w:rFonts w:hint="eastAsia" w:cs="仿宋"/>
        </w:rPr>
        <w:t>谈判须知前附表</w:t>
      </w:r>
      <w:bookmarkEnd w:id="14"/>
      <w:bookmarkEnd w:id="15"/>
      <w:bookmarkEnd w:id="16"/>
    </w:p>
    <w:tbl>
      <w:tblPr>
        <w:tblStyle w:val="22"/>
        <w:tblW w:w="9644"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0"/>
        <w:gridCol w:w="87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6" w:hRule="atLeast"/>
          <w:tblHeader/>
          <w:jc w:val="center"/>
        </w:trPr>
        <w:tc>
          <w:tcPr>
            <w:tcW w:w="880" w:type="dxa"/>
            <w:vAlign w:val="center"/>
          </w:tcPr>
          <w:p>
            <w:pPr>
              <w:pStyle w:val="29"/>
              <w:snapToGrid w:val="0"/>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8764" w:type="dxa"/>
            <w:vAlign w:val="center"/>
          </w:tcPr>
          <w:p>
            <w:pPr>
              <w:pStyle w:val="29"/>
              <w:snapToGrid w:val="0"/>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25" w:hRule="atLeast"/>
          <w:jc w:val="center"/>
        </w:trPr>
        <w:tc>
          <w:tcPr>
            <w:tcW w:w="880" w:type="dxa"/>
            <w:vAlign w:val="center"/>
          </w:tcPr>
          <w:p>
            <w:pPr>
              <w:pStyle w:val="29"/>
              <w:spacing w:line="360" w:lineRule="auto"/>
              <w:ind w:firstLine="0" w:firstLineChars="0"/>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764" w:type="dxa"/>
            <w:tcBorders>
              <w:bottom w:val="single" w:color="auto" w:sz="4" w:space="0"/>
            </w:tcBorders>
            <w:vAlign w:val="center"/>
          </w:tcPr>
          <w:p>
            <w:pPr>
              <w:pStyle w:val="29"/>
              <w:spacing w:line="360" w:lineRule="auto"/>
              <w:ind w:firstLine="0" w:firstLineChars="0"/>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sz w:val="24"/>
                <w:szCs w:val="24"/>
                <w:highlight w:val="none"/>
              </w:rPr>
              <w:t>项目名称：</w:t>
            </w:r>
            <w:r>
              <w:rPr>
                <w:rFonts w:hint="eastAsia" w:ascii="仿宋" w:hAnsi="仿宋" w:eastAsia="仿宋" w:cs="仿宋"/>
                <w:color w:val="000000"/>
                <w:sz w:val="24"/>
                <w:szCs w:val="24"/>
                <w:highlight w:val="none"/>
                <w:lang w:eastAsia="zh-CN"/>
              </w:rPr>
              <w:t>新疆维吾尔自治区第二济困医院(新疆维吾尔自治区第五人民医院)电解质模块采购项目</w:t>
            </w:r>
          </w:p>
          <w:p>
            <w:pPr>
              <w:pStyle w:val="29"/>
              <w:spacing w:line="360" w:lineRule="auto"/>
              <w:ind w:firstLine="0" w:firstLineChars="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项目编号：</w:t>
            </w:r>
            <w:r>
              <w:rPr>
                <w:rFonts w:hint="eastAsia" w:ascii="仿宋" w:hAnsi="仿宋" w:eastAsia="仿宋" w:cs="仿宋"/>
                <w:color w:val="000000"/>
                <w:sz w:val="24"/>
                <w:szCs w:val="24"/>
                <w:highlight w:val="none"/>
                <w:lang w:eastAsia="zh-CN"/>
              </w:rPr>
              <w:t>XJKC-ZB-ejk202203-4</w:t>
            </w:r>
            <w:r>
              <w:rPr>
                <w:rFonts w:hint="eastAsia" w:ascii="仿宋" w:hAnsi="仿宋" w:eastAsia="仿宋" w:cs="仿宋"/>
                <w:color w:val="000000"/>
                <w:sz w:val="24"/>
                <w:szCs w:val="24"/>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25" w:hRule="atLeast"/>
          <w:jc w:val="center"/>
        </w:trPr>
        <w:tc>
          <w:tcPr>
            <w:tcW w:w="880" w:type="dxa"/>
            <w:vAlign w:val="center"/>
          </w:tcPr>
          <w:p>
            <w:pPr>
              <w:pStyle w:val="29"/>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8764" w:type="dxa"/>
            <w:tcBorders>
              <w:bottom w:val="single" w:color="auto" w:sz="4" w:space="0"/>
            </w:tcBorders>
            <w:vAlign w:val="center"/>
          </w:tcPr>
          <w:p>
            <w:pPr>
              <w:pStyle w:val="29"/>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000000"/>
                <w:sz w:val="24"/>
                <w:szCs w:val="24"/>
              </w:rPr>
              <w:t>项目采购预算：投标人报价不得超过最高限价（详见第一章招标公告），否则将导致废标。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7" w:hRule="atLeast"/>
          <w:jc w:val="center"/>
        </w:trPr>
        <w:tc>
          <w:tcPr>
            <w:tcW w:w="880" w:type="dxa"/>
            <w:vAlign w:val="center"/>
          </w:tcPr>
          <w:p>
            <w:pPr>
              <w:pStyle w:val="29"/>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8764" w:type="dxa"/>
            <w:vAlign w:val="center"/>
          </w:tcPr>
          <w:p>
            <w:pPr>
              <w:pStyle w:val="29"/>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采购人：</w:t>
            </w:r>
            <w:r>
              <w:rPr>
                <w:rFonts w:hint="eastAsia" w:ascii="仿宋" w:hAnsi="仿宋" w:eastAsia="仿宋" w:cs="仿宋"/>
                <w:color w:val="000000"/>
                <w:sz w:val="24"/>
                <w:szCs w:val="24"/>
                <w:lang w:eastAsia="zh-CN"/>
              </w:rPr>
              <w:t xml:space="preserve">新疆维吾尔自治区第二济困医院(新疆维吾尔自治区第五人民医院) </w:t>
            </w:r>
          </w:p>
          <w:p>
            <w:pPr>
              <w:pStyle w:val="29"/>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lang w:eastAsia="zh-CN"/>
              </w:rPr>
              <w:t>0991-5269101</w:t>
            </w:r>
          </w:p>
          <w:p>
            <w:pPr>
              <w:pStyle w:val="29"/>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地址：</w:t>
            </w:r>
            <w:r>
              <w:rPr>
                <w:rFonts w:hint="eastAsia" w:ascii="仿宋" w:hAnsi="仿宋" w:eastAsia="仿宋" w:cs="仿宋"/>
                <w:color w:val="000000"/>
                <w:sz w:val="24"/>
                <w:szCs w:val="24"/>
                <w:lang w:eastAsia="zh-CN"/>
              </w:rPr>
              <w:t>乌鲁木齐市新市区喀什西路159号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74" w:hRule="atLeast"/>
          <w:jc w:val="center"/>
        </w:trPr>
        <w:tc>
          <w:tcPr>
            <w:tcW w:w="880" w:type="dxa"/>
            <w:vAlign w:val="center"/>
          </w:tcPr>
          <w:p>
            <w:pPr>
              <w:pStyle w:val="29"/>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8764" w:type="dxa"/>
            <w:vAlign w:val="center"/>
          </w:tcPr>
          <w:p>
            <w:pPr>
              <w:pStyle w:val="29"/>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采购代理机构：</w:t>
            </w:r>
            <w:r>
              <w:rPr>
                <w:rFonts w:hint="eastAsia" w:ascii="仿宋" w:hAnsi="仿宋" w:eastAsia="仿宋" w:cs="仿宋"/>
                <w:color w:val="000000"/>
                <w:sz w:val="24"/>
                <w:szCs w:val="24"/>
                <w:lang w:eastAsia="zh-CN"/>
              </w:rPr>
              <w:t>新疆科辰工程项目管理有限公司</w:t>
            </w:r>
          </w:p>
          <w:p>
            <w:pPr>
              <w:pStyle w:val="29"/>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地址：</w:t>
            </w:r>
            <w:r>
              <w:rPr>
                <w:rFonts w:hint="eastAsia" w:ascii="仿宋" w:hAnsi="仿宋" w:eastAsia="仿宋" w:cs="仿宋"/>
                <w:color w:val="000000"/>
                <w:sz w:val="24"/>
                <w:szCs w:val="24"/>
                <w:lang w:eastAsia="zh-CN"/>
              </w:rPr>
              <w:t>新疆乌鲁木齐市水磨沟区红光山路2588号绿地中心201/205商业、商务办公楼20层办公8室</w:t>
            </w:r>
          </w:p>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eastAsia="zh-CN"/>
              </w:rPr>
              <w:t>李老师</w:t>
            </w:r>
          </w:p>
          <w:p>
            <w:pPr>
              <w:pStyle w:val="29"/>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CN"/>
              </w:rPr>
              <w:t>13179816599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447" w:hRule="atLeast"/>
          <w:jc w:val="center"/>
        </w:trPr>
        <w:tc>
          <w:tcPr>
            <w:tcW w:w="880" w:type="dxa"/>
            <w:vAlign w:val="center"/>
          </w:tcPr>
          <w:p>
            <w:pPr>
              <w:pStyle w:val="29"/>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8764" w:type="dxa"/>
            <w:vAlign w:val="center"/>
          </w:tcPr>
          <w:p>
            <w:pPr>
              <w:pStyle w:val="29"/>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lang w:val="en-US" w:eastAsia="zh-CN"/>
              </w:rPr>
              <w:t>3000</w:t>
            </w:r>
            <w:r>
              <w:rPr>
                <w:rFonts w:hint="eastAsia" w:ascii="仿宋" w:hAnsi="仿宋" w:eastAsia="仿宋" w:cs="仿宋"/>
                <w:color w:val="000000"/>
                <w:sz w:val="24"/>
                <w:szCs w:val="24"/>
              </w:rPr>
              <w:t>元（大写：</w:t>
            </w:r>
            <w:r>
              <w:rPr>
                <w:rFonts w:hint="eastAsia" w:ascii="仿宋" w:hAnsi="仿宋" w:eastAsia="仿宋" w:cs="仿宋"/>
                <w:color w:val="000000"/>
                <w:sz w:val="24"/>
                <w:szCs w:val="24"/>
                <w:lang w:val="en-US" w:eastAsia="zh-CN"/>
              </w:rPr>
              <w:t>叁仟</w:t>
            </w:r>
            <w:r>
              <w:rPr>
                <w:rFonts w:hint="eastAsia" w:ascii="仿宋" w:hAnsi="仿宋" w:eastAsia="仿宋" w:cs="仿宋"/>
                <w:color w:val="000000"/>
                <w:sz w:val="24"/>
                <w:szCs w:val="24"/>
                <w:u w:val="single"/>
              </w:rPr>
              <w:t>元整</w:t>
            </w:r>
            <w:r>
              <w:rPr>
                <w:rFonts w:hint="eastAsia" w:ascii="仿宋" w:hAnsi="仿宋" w:eastAsia="仿宋" w:cs="仿宋"/>
                <w:color w:val="000000"/>
                <w:sz w:val="24"/>
                <w:szCs w:val="24"/>
              </w:rPr>
              <w:t>）；须以</w:t>
            </w:r>
            <w:r>
              <w:rPr>
                <w:rFonts w:hint="eastAsia" w:ascii="仿宋" w:hAnsi="仿宋" w:eastAsia="仿宋" w:cs="仿宋"/>
                <w:color w:val="000000"/>
                <w:sz w:val="24"/>
                <w:szCs w:val="24"/>
                <w:lang w:val="en-US" w:eastAsia="zh-CN"/>
              </w:rPr>
              <w:t>现金</w:t>
            </w:r>
            <w:r>
              <w:rPr>
                <w:rFonts w:hint="eastAsia" w:ascii="仿宋" w:hAnsi="仿宋" w:eastAsia="仿宋" w:cs="仿宋"/>
                <w:color w:val="000000"/>
                <w:sz w:val="24"/>
                <w:szCs w:val="24"/>
              </w:rPr>
              <w:t>的形式由供应商的基本账户账户汇出，须于单一来源响应文件递交截止时间前交至招标代理机构，公示期结束后</w:t>
            </w:r>
            <w:r>
              <w:rPr>
                <w:rFonts w:hint="eastAsia" w:ascii="仿宋" w:hAnsi="仿宋" w:eastAsia="仿宋" w:cs="仿宋"/>
                <w:color w:val="000000"/>
                <w:sz w:val="24"/>
                <w:szCs w:val="24"/>
                <w:lang w:val="en-US" w:eastAsia="zh-CN"/>
              </w:rPr>
              <w:t>转为中标服务费</w:t>
            </w:r>
            <w:r>
              <w:rPr>
                <w:rFonts w:hint="eastAsia" w:ascii="仿宋" w:hAnsi="仿宋" w:eastAsia="仿宋" w:cs="仿宋"/>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5" w:hRule="atLeast"/>
          <w:jc w:val="center"/>
        </w:trPr>
        <w:tc>
          <w:tcPr>
            <w:tcW w:w="880" w:type="dxa"/>
            <w:vAlign w:val="center"/>
          </w:tcPr>
          <w:p>
            <w:pPr>
              <w:pStyle w:val="29"/>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8764" w:type="dxa"/>
            <w:vAlign w:val="center"/>
          </w:tcPr>
          <w:p>
            <w:pPr>
              <w:pStyle w:val="28"/>
              <w:snapToGrid w:val="0"/>
              <w:spacing w:line="360" w:lineRule="auto"/>
              <w:rPr>
                <w:rFonts w:ascii="仿宋" w:hAnsi="仿宋" w:eastAsia="仿宋" w:cs="仿宋"/>
                <w:szCs w:val="24"/>
              </w:rPr>
            </w:pPr>
            <w:r>
              <w:rPr>
                <w:rFonts w:hint="eastAsia" w:ascii="仿宋" w:hAnsi="仿宋" w:eastAsia="仿宋" w:cs="仿宋"/>
                <w:szCs w:val="24"/>
              </w:rPr>
              <w:t>供应商资格要求：</w:t>
            </w:r>
          </w:p>
          <w:p>
            <w:pPr>
              <w:pStyle w:val="28"/>
              <w:snapToGrid w:val="0"/>
              <w:spacing w:line="360" w:lineRule="auto"/>
              <w:rPr>
                <w:rFonts w:ascii="仿宋" w:hAnsi="仿宋" w:eastAsia="仿宋" w:cs="仿宋"/>
                <w:szCs w:val="24"/>
              </w:rPr>
            </w:pPr>
            <w:r>
              <w:rPr>
                <w:rFonts w:hint="eastAsia" w:ascii="仿宋" w:hAnsi="仿宋" w:eastAsia="仿宋" w:cs="仿宋"/>
                <w:szCs w:val="24"/>
              </w:rPr>
              <w:t>1、符合《中华人民共和国政府采购法》第二十二条款规定；</w:t>
            </w:r>
          </w:p>
          <w:p>
            <w:pPr>
              <w:pStyle w:val="28"/>
              <w:snapToGrid w:val="0"/>
              <w:spacing w:line="360" w:lineRule="auto"/>
              <w:rPr>
                <w:rFonts w:ascii="仿宋" w:hAnsi="仿宋" w:eastAsia="仿宋" w:cs="仿宋"/>
                <w:szCs w:val="24"/>
              </w:rPr>
            </w:pPr>
            <w:r>
              <w:rPr>
                <w:rFonts w:hint="eastAsia" w:ascii="仿宋" w:hAnsi="仿宋" w:eastAsia="仿宋" w:cs="仿宋"/>
                <w:szCs w:val="24"/>
              </w:rPr>
              <w:t>2、具有有效的营业执照；</w:t>
            </w:r>
          </w:p>
          <w:p>
            <w:pPr>
              <w:pStyle w:val="28"/>
              <w:snapToGrid w:val="0"/>
              <w:spacing w:line="360" w:lineRule="auto"/>
              <w:rPr>
                <w:rFonts w:ascii="仿宋" w:hAnsi="仿宋" w:eastAsia="仿宋" w:cs="仿宋"/>
                <w:szCs w:val="24"/>
              </w:rPr>
            </w:pPr>
            <w:r>
              <w:rPr>
                <w:rFonts w:hint="eastAsia" w:ascii="仿宋" w:hAnsi="仿宋" w:eastAsia="仿宋" w:cs="仿宋"/>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8"/>
              <w:snapToGrid w:val="0"/>
              <w:spacing w:line="360" w:lineRule="auto"/>
              <w:rPr>
                <w:rFonts w:ascii="仿宋" w:hAnsi="仿宋" w:eastAsia="仿宋" w:cs="仿宋"/>
                <w:szCs w:val="24"/>
              </w:rPr>
            </w:pPr>
            <w:r>
              <w:rPr>
                <w:rFonts w:hint="eastAsia" w:ascii="仿宋" w:hAnsi="仿宋" w:eastAsia="仿宋" w:cs="仿宋"/>
                <w:szCs w:val="24"/>
              </w:rPr>
              <w:t>4、进口设备代理商投标的，须提供制造或生产商出具的针对本次招标的有效的投标授权书原件；</w:t>
            </w:r>
          </w:p>
          <w:p>
            <w:pPr>
              <w:pStyle w:val="28"/>
              <w:snapToGrid w:val="0"/>
              <w:spacing w:line="360" w:lineRule="auto"/>
              <w:rPr>
                <w:rFonts w:ascii="仿宋" w:hAnsi="仿宋" w:eastAsia="仿宋" w:cs="仿宋"/>
                <w:szCs w:val="24"/>
              </w:rPr>
            </w:pPr>
            <w:r>
              <w:rPr>
                <w:rFonts w:hint="eastAsia" w:ascii="仿宋" w:hAnsi="仿宋" w:eastAsia="仿宋" w:cs="仿宋"/>
                <w:szCs w:val="24"/>
              </w:rPr>
              <w:t>5、法定代表人投标需携带法定代表人证明书（原件）及法定代表人身份证（原件），委托代理人投标需携带法定代表人授权委托书（原件）及委托代理人身份证（原件）；</w:t>
            </w:r>
          </w:p>
          <w:p>
            <w:pPr>
              <w:pStyle w:val="28"/>
              <w:snapToGrid w:val="0"/>
              <w:spacing w:line="360" w:lineRule="auto"/>
              <w:rPr>
                <w:rFonts w:ascii="仿宋" w:hAnsi="仿宋" w:eastAsia="仿宋" w:cs="仿宋"/>
                <w:szCs w:val="24"/>
              </w:rPr>
            </w:pPr>
            <w:r>
              <w:rPr>
                <w:rFonts w:hint="eastAsia" w:ascii="仿宋" w:hAnsi="仿宋" w:eastAsia="仿宋" w:cs="仿宋"/>
                <w:szCs w:val="24"/>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8"/>
              <w:snapToGrid w:val="0"/>
              <w:spacing w:line="360" w:lineRule="auto"/>
              <w:rPr>
                <w:rFonts w:ascii="仿宋" w:hAnsi="仿宋" w:eastAsia="仿宋" w:cs="仿宋"/>
                <w:szCs w:val="24"/>
              </w:rPr>
            </w:pPr>
            <w:r>
              <w:rPr>
                <w:rFonts w:hint="eastAsia" w:ascii="仿宋" w:hAnsi="仿宋" w:eastAsia="仿宋" w:cs="仿宋"/>
                <w:szCs w:val="24"/>
              </w:rPr>
              <w:t>7、本项目不接受联合体投标。</w:t>
            </w:r>
          </w:p>
          <w:p>
            <w:pPr>
              <w:pStyle w:val="28"/>
              <w:snapToGrid w:val="0"/>
              <w:spacing w:line="360" w:lineRule="auto"/>
              <w:rPr>
                <w:rFonts w:ascii="仿宋" w:hAnsi="仿宋" w:eastAsia="仿宋" w:cs="仿宋"/>
                <w:szCs w:val="24"/>
              </w:rPr>
            </w:pPr>
            <w:r>
              <w:rPr>
                <w:rFonts w:hint="eastAsia" w:ascii="仿宋" w:hAnsi="仿宋" w:eastAsia="仿宋" w:cs="仿宋"/>
                <w:szCs w:val="24"/>
              </w:rPr>
              <w:t>8、供应商不得为“信用中国”网站（www.creditchina.gov.cn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8"/>
              <w:snapToGrid w:val="0"/>
              <w:spacing w:line="360" w:lineRule="auto"/>
              <w:rPr>
                <w:rFonts w:ascii="仿宋" w:hAnsi="仿宋" w:eastAsia="仿宋" w:cs="仿宋"/>
                <w:b/>
                <w:bCs/>
                <w:szCs w:val="24"/>
              </w:rPr>
            </w:pPr>
            <w:r>
              <w:rPr>
                <w:rFonts w:hint="eastAsia" w:ascii="仿宋" w:hAnsi="仿宋" w:eastAsia="仿宋" w:cs="仿宋"/>
                <w:b/>
                <w:bCs/>
                <w:szCs w:val="24"/>
              </w:rPr>
              <w:t>资格证明文件（以下证件开标时须单独携带）：</w:t>
            </w:r>
          </w:p>
          <w:p>
            <w:pPr>
              <w:pStyle w:val="28"/>
              <w:snapToGrid w:val="0"/>
              <w:spacing w:line="360" w:lineRule="auto"/>
              <w:ind w:left="0" w:leftChars="0" w:firstLine="220" w:firstLineChars="0"/>
              <w:rPr>
                <w:rFonts w:ascii="仿宋" w:hAnsi="仿宋" w:eastAsia="仿宋"/>
                <w:b/>
                <w:bCs/>
                <w:szCs w:val="24"/>
              </w:rPr>
            </w:pPr>
            <w:r>
              <w:rPr>
                <w:rFonts w:hint="eastAsia" w:ascii="仿宋" w:hAnsi="仿宋" w:eastAsia="仿宋"/>
                <w:b/>
                <w:bCs/>
                <w:szCs w:val="24"/>
              </w:rPr>
              <w:t>（1）企业营业执照（复印件加盖公章，原件或者针对复印件开具的公证书原件谈判时携带备查）。</w:t>
            </w:r>
          </w:p>
          <w:p>
            <w:pPr>
              <w:pStyle w:val="28"/>
              <w:snapToGrid w:val="0"/>
              <w:spacing w:line="360" w:lineRule="auto"/>
              <w:ind w:left="0" w:leftChars="0" w:firstLine="220" w:firstLineChars="0"/>
              <w:rPr>
                <w:rFonts w:ascii="仿宋" w:hAnsi="仿宋" w:eastAsia="仿宋"/>
                <w:b/>
                <w:bCs/>
                <w:szCs w:val="24"/>
              </w:rPr>
            </w:pPr>
            <w:r>
              <w:rPr>
                <w:rFonts w:hint="eastAsia" w:ascii="仿宋" w:hAnsi="仿宋" w:eastAsia="仿宋"/>
                <w:b/>
                <w:bCs/>
                <w:szCs w:val="24"/>
              </w:rPr>
              <w:t>（2）谈判代表的法人授权委托书（原件装订在正本，复印件装订在副本中）及被授权人身份证复印件（身份证原件谈判时携带备查）。授权委托书应由法定代表签名并加盖企业公章，私章无效。</w:t>
            </w:r>
          </w:p>
          <w:p>
            <w:pPr>
              <w:pStyle w:val="28"/>
              <w:snapToGrid w:val="0"/>
              <w:spacing w:line="360" w:lineRule="auto"/>
              <w:ind w:left="0" w:leftChars="0" w:firstLine="220" w:firstLineChars="0"/>
              <w:rPr>
                <w:rFonts w:ascii="仿宋" w:hAnsi="仿宋" w:eastAsia="仿宋"/>
                <w:b/>
                <w:bCs/>
                <w:szCs w:val="24"/>
              </w:rPr>
            </w:pPr>
            <w:r>
              <w:rPr>
                <w:rFonts w:hint="eastAsia" w:ascii="仿宋" w:hAnsi="仿宋" w:eastAsia="仿宋"/>
                <w:b/>
                <w:bCs/>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8"/>
              <w:snapToGrid w:val="0"/>
              <w:spacing w:line="360" w:lineRule="auto"/>
              <w:ind w:left="0" w:leftChars="0" w:firstLine="220" w:firstLineChars="0"/>
              <w:rPr>
                <w:rFonts w:ascii="仿宋" w:hAnsi="仿宋" w:eastAsia="仿宋"/>
                <w:b/>
                <w:bCs/>
                <w:szCs w:val="24"/>
              </w:rPr>
            </w:pPr>
            <w:r>
              <w:rPr>
                <w:rFonts w:hint="eastAsia" w:ascii="仿宋" w:hAnsi="仿宋" w:eastAsia="仿宋"/>
                <w:b/>
                <w:bCs/>
                <w:szCs w:val="24"/>
              </w:rPr>
              <w:t>（4）进口设备代理商投标的，须提供制造或生产商出具的针对本次招标的有效的投标授权书原件；</w:t>
            </w:r>
          </w:p>
          <w:p>
            <w:pPr>
              <w:pStyle w:val="28"/>
              <w:snapToGrid w:val="0"/>
              <w:spacing w:line="360" w:lineRule="auto"/>
              <w:ind w:left="0" w:leftChars="0" w:firstLine="220" w:firstLineChars="0"/>
              <w:rPr>
                <w:rFonts w:ascii="仿宋" w:hAnsi="仿宋" w:eastAsia="仿宋"/>
                <w:b/>
                <w:bCs/>
                <w:szCs w:val="24"/>
              </w:rPr>
            </w:pPr>
            <w:r>
              <w:rPr>
                <w:rFonts w:hint="eastAsia" w:ascii="仿宋" w:hAnsi="仿宋" w:eastAsia="仿宋"/>
                <w:b/>
                <w:bCs/>
                <w:szCs w:val="24"/>
              </w:rPr>
              <w:t>（5）谈判保证金。</w:t>
            </w:r>
          </w:p>
          <w:p>
            <w:pPr>
              <w:pStyle w:val="28"/>
              <w:snapToGrid w:val="0"/>
              <w:spacing w:line="360" w:lineRule="auto"/>
              <w:ind w:left="0" w:leftChars="0" w:firstLine="220" w:firstLineChars="0"/>
              <w:rPr>
                <w:rFonts w:ascii="仿宋" w:hAnsi="仿宋" w:eastAsia="仿宋" w:cs="仿宋"/>
                <w:szCs w:val="24"/>
              </w:rPr>
            </w:pPr>
            <w:r>
              <w:rPr>
                <w:rFonts w:hint="eastAsia" w:ascii="仿宋" w:hAnsi="仿宋" w:eastAsia="仿宋"/>
                <w:b/>
                <w:bCs/>
                <w:szCs w:val="24"/>
              </w:rPr>
              <w:t>（6）参加政府采购活动近三年内在经营活动中没有重大违法记录的书面声明。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7" w:hRule="atLeast"/>
          <w:jc w:val="center"/>
        </w:trPr>
        <w:tc>
          <w:tcPr>
            <w:tcW w:w="880" w:type="dxa"/>
            <w:vAlign w:val="center"/>
          </w:tcPr>
          <w:p>
            <w:pPr>
              <w:pStyle w:val="29"/>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8764" w:type="dxa"/>
            <w:vAlign w:val="center"/>
          </w:tcPr>
          <w:p>
            <w:pPr>
              <w:pStyle w:val="29"/>
              <w:spacing w:line="360" w:lineRule="auto"/>
              <w:ind w:firstLine="0" w:firstLineChars="0"/>
              <w:jc w:val="left"/>
              <w:rPr>
                <w:rFonts w:ascii="仿宋" w:hAnsi="仿宋" w:eastAsia="仿宋" w:cs="仿宋"/>
                <w:color w:val="000000"/>
                <w:sz w:val="24"/>
                <w:szCs w:val="24"/>
              </w:rPr>
            </w:pPr>
            <w:r>
              <w:rPr>
                <w:rFonts w:hint="eastAsia" w:ascii="仿宋" w:hAnsi="仿宋" w:eastAsia="仿宋"/>
                <w:color w:val="000000"/>
                <w:sz w:val="24"/>
                <w:szCs w:val="24"/>
              </w:rPr>
              <w:t>单一来源响应文件有效期</w:t>
            </w:r>
            <w:r>
              <w:rPr>
                <w:rFonts w:hint="eastAsia" w:ascii="仿宋" w:hAnsi="仿宋" w:eastAsia="仿宋" w:cs="仿宋"/>
                <w:color w:val="000000"/>
                <w:sz w:val="24"/>
                <w:szCs w:val="24"/>
              </w:rPr>
              <w:t>：</w:t>
            </w:r>
            <w:r>
              <w:rPr>
                <w:rFonts w:hint="eastAsia" w:ascii="仿宋" w:hAnsi="仿宋" w:eastAsia="仿宋"/>
                <w:color w:val="000000"/>
                <w:sz w:val="24"/>
                <w:szCs w:val="24"/>
              </w:rPr>
              <w:t>供应商同意单一来源响应文件在单一来源采购文件规定的投标截止日期届满后立即对供应商产生法律约束力，谈判有效期截至谈判日后90日历天。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7" w:hRule="atLeast"/>
          <w:jc w:val="center"/>
        </w:trPr>
        <w:tc>
          <w:tcPr>
            <w:tcW w:w="880" w:type="dxa"/>
            <w:vAlign w:val="center"/>
          </w:tcPr>
          <w:p>
            <w:pPr>
              <w:pStyle w:val="29"/>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olor w:val="000000"/>
                <w:sz w:val="24"/>
                <w:szCs w:val="24"/>
              </w:rPr>
              <w:t>谈判报价：供应商应在谈判一览表中标明其提供的相关工作范围内所有费用的总价。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5"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谈判截止时间：</w:t>
            </w:r>
            <w:r>
              <w:rPr>
                <w:rFonts w:hint="eastAsia" w:ascii="仿宋" w:hAnsi="仿宋" w:eastAsia="仿宋" w:cs="仿宋"/>
                <w:color w:val="000000"/>
                <w:sz w:val="24"/>
                <w:szCs w:val="24"/>
                <w:highlight w:val="yellow"/>
                <w:u w:val="single"/>
              </w:rPr>
              <w:t>2022年</w:t>
            </w:r>
            <w:r>
              <w:rPr>
                <w:rFonts w:hint="eastAsia" w:ascii="仿宋" w:hAnsi="仿宋" w:eastAsia="仿宋" w:cs="仿宋"/>
                <w:color w:val="000000"/>
                <w:sz w:val="24"/>
                <w:szCs w:val="24"/>
                <w:highlight w:val="yellow"/>
                <w:u w:val="single"/>
                <w:lang w:val="en-US" w:eastAsia="zh-CN"/>
              </w:rPr>
              <w:t>12</w:t>
            </w:r>
            <w:r>
              <w:rPr>
                <w:rFonts w:hint="eastAsia" w:ascii="仿宋" w:hAnsi="仿宋" w:eastAsia="仿宋" w:cs="仿宋"/>
                <w:color w:val="000000"/>
                <w:sz w:val="24"/>
                <w:szCs w:val="24"/>
                <w:highlight w:val="yellow"/>
                <w:u w:val="single"/>
              </w:rPr>
              <w:t>月</w:t>
            </w:r>
            <w:r>
              <w:rPr>
                <w:rFonts w:hint="eastAsia" w:ascii="仿宋" w:hAnsi="仿宋" w:eastAsia="仿宋" w:cs="仿宋"/>
                <w:color w:val="000000"/>
                <w:sz w:val="24"/>
                <w:szCs w:val="24"/>
                <w:highlight w:val="yellow"/>
                <w:u w:val="single"/>
                <w:lang w:val="en-US" w:eastAsia="zh-CN"/>
              </w:rPr>
              <w:t>24</w:t>
            </w:r>
            <w:r>
              <w:rPr>
                <w:rFonts w:hint="eastAsia" w:ascii="仿宋" w:hAnsi="仿宋" w:eastAsia="仿宋" w:cs="仿宋"/>
                <w:color w:val="000000"/>
                <w:sz w:val="24"/>
                <w:szCs w:val="24"/>
                <w:highlight w:val="yellow"/>
                <w:u w:val="single"/>
              </w:rPr>
              <w:t>日</w:t>
            </w:r>
            <w:r>
              <w:rPr>
                <w:rFonts w:hint="eastAsia" w:ascii="仿宋" w:hAnsi="仿宋" w:eastAsia="仿宋" w:cs="仿宋"/>
                <w:color w:val="000000"/>
                <w:sz w:val="24"/>
                <w:szCs w:val="24"/>
                <w:highlight w:val="yellow"/>
                <w:u w:val="single"/>
                <w:lang w:val="en-US" w:eastAsia="zh-CN"/>
              </w:rPr>
              <w:t>16</w:t>
            </w:r>
            <w:r>
              <w:rPr>
                <w:rFonts w:hint="eastAsia" w:ascii="仿宋" w:hAnsi="仿宋" w:eastAsia="仿宋" w:cs="仿宋"/>
                <w:color w:val="000000"/>
                <w:sz w:val="24"/>
                <w:szCs w:val="24"/>
                <w:highlight w:val="yellow"/>
                <w:u w:val="single"/>
              </w:rPr>
              <w:t>时00分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1"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olor w:val="000000"/>
                <w:sz w:val="24"/>
                <w:szCs w:val="24"/>
              </w:rPr>
              <w:t>单一来源响应</w:t>
            </w:r>
            <w:r>
              <w:rPr>
                <w:rFonts w:hint="eastAsia" w:ascii="仿宋" w:hAnsi="仿宋" w:eastAsia="仿宋" w:cs="仿宋"/>
                <w:color w:val="000000"/>
                <w:sz w:val="24"/>
                <w:szCs w:val="24"/>
              </w:rPr>
              <w:t>文件的数目：正本</w:t>
            </w:r>
            <w:r>
              <w:rPr>
                <w:rFonts w:hint="eastAsia" w:ascii="仿宋" w:hAnsi="仿宋" w:eastAsia="仿宋" w:cs="仿宋"/>
                <w:color w:val="000000"/>
                <w:sz w:val="24"/>
                <w:szCs w:val="24"/>
                <w:u w:val="single"/>
              </w:rPr>
              <w:t>壹</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（需提供以U盘为介质的电子版单一来源响应文件一份）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9"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8764" w:type="dxa"/>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olor w:val="000000"/>
                <w:sz w:val="24"/>
                <w:szCs w:val="24"/>
              </w:rPr>
              <w:t>单一来源响应</w:t>
            </w:r>
            <w:r>
              <w:rPr>
                <w:rFonts w:hint="eastAsia" w:ascii="仿宋" w:hAnsi="仿宋" w:eastAsia="仿宋" w:cs="仿宋"/>
                <w:color w:val="000000"/>
                <w:sz w:val="24"/>
                <w:szCs w:val="24"/>
              </w:rPr>
              <w:t>文件递交至：</w:t>
            </w:r>
            <w:r>
              <w:rPr>
                <w:rFonts w:hint="eastAsia" w:ascii="仿宋" w:hAnsi="仿宋" w:eastAsia="仿宋" w:cs="仿宋"/>
                <w:color w:val="000000"/>
                <w:sz w:val="24"/>
                <w:szCs w:val="24"/>
                <w:lang w:eastAsia="zh-CN"/>
              </w:rPr>
              <w:t>新疆乌鲁木齐市水磨沟区红光山路2588号绿地中心201/205商业、商务办公楼20层办公8室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5"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谈判时间：</w:t>
            </w:r>
            <w:r>
              <w:rPr>
                <w:rFonts w:hint="eastAsia" w:ascii="仿宋" w:hAnsi="仿宋" w:eastAsia="仿宋" w:cs="仿宋"/>
                <w:color w:val="000000"/>
                <w:sz w:val="24"/>
                <w:szCs w:val="24"/>
                <w:highlight w:val="yellow"/>
                <w:u w:val="single"/>
              </w:rPr>
              <w:t>2022年11月</w:t>
            </w:r>
            <w:r>
              <w:rPr>
                <w:rFonts w:hint="eastAsia" w:ascii="仿宋" w:hAnsi="仿宋" w:eastAsia="仿宋" w:cs="仿宋"/>
                <w:color w:val="000000"/>
                <w:sz w:val="24"/>
                <w:szCs w:val="24"/>
                <w:highlight w:val="yellow"/>
                <w:u w:val="single"/>
                <w:lang w:val="en-US" w:eastAsia="zh-CN"/>
              </w:rPr>
              <w:t>24</w:t>
            </w:r>
            <w:r>
              <w:rPr>
                <w:rFonts w:hint="eastAsia" w:ascii="仿宋" w:hAnsi="仿宋" w:eastAsia="仿宋" w:cs="仿宋"/>
                <w:color w:val="000000"/>
                <w:sz w:val="24"/>
                <w:szCs w:val="24"/>
                <w:highlight w:val="yellow"/>
                <w:u w:val="single"/>
              </w:rPr>
              <w:t>日</w:t>
            </w:r>
            <w:r>
              <w:rPr>
                <w:rFonts w:hint="eastAsia" w:ascii="仿宋" w:hAnsi="仿宋" w:eastAsia="仿宋" w:cs="仿宋"/>
                <w:color w:val="000000"/>
                <w:sz w:val="24"/>
                <w:szCs w:val="24"/>
                <w:highlight w:val="yellow"/>
                <w:u w:val="single"/>
                <w:lang w:val="en-US" w:eastAsia="zh-CN"/>
              </w:rPr>
              <w:t>16</w:t>
            </w:r>
            <w:r>
              <w:rPr>
                <w:rFonts w:hint="eastAsia" w:ascii="仿宋" w:hAnsi="仿宋" w:eastAsia="仿宋" w:cs="仿宋"/>
                <w:color w:val="000000"/>
                <w:sz w:val="24"/>
                <w:szCs w:val="24"/>
                <w:highlight w:val="yellow"/>
                <w:u w:val="single"/>
              </w:rPr>
              <w:t>时00分（北京时间）</w:t>
            </w:r>
            <w:r>
              <w:rPr>
                <w:rFonts w:hint="eastAsia" w:ascii="仿宋" w:hAnsi="仿宋" w:eastAsia="仿宋" w:cs="仿宋"/>
                <w:color w:val="000000"/>
                <w:sz w:val="24"/>
                <w:szCs w:val="24"/>
              </w:rPr>
              <w:t>，逾期送达的单一来源响应文件将被拒收。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5"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8764" w:type="dxa"/>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谈判地点：</w:t>
            </w:r>
            <w:r>
              <w:rPr>
                <w:rFonts w:hint="eastAsia" w:ascii="仿宋" w:hAnsi="仿宋" w:eastAsia="仿宋" w:cs="仿宋"/>
                <w:color w:val="000000"/>
                <w:sz w:val="24"/>
                <w:szCs w:val="24"/>
                <w:lang w:eastAsia="zh-CN"/>
              </w:rPr>
              <w:t>新疆乌鲁木齐市水磨沟区红光山路2588号绿地中心201/205商业、商务办公楼20层办公8室</w:t>
            </w:r>
          </w:p>
          <w:p>
            <w:pPr>
              <w:spacing w:line="360" w:lineRule="auto"/>
              <w:jc w:val="left"/>
              <w:rPr>
                <w:rFonts w:ascii="仿宋" w:hAnsi="仿宋" w:eastAsia="仿宋" w:cs="仿宋"/>
                <w:color w:val="000000"/>
                <w:sz w:val="24"/>
                <w:szCs w:val="24"/>
              </w:rPr>
            </w:pPr>
            <w:r>
              <w:rPr>
                <w:rFonts w:hint="eastAsia" w:ascii="仿宋" w:hAnsi="仿宋" w:eastAsia="仿宋"/>
                <w:color w:val="FF0000"/>
                <w:sz w:val="24"/>
                <w:szCs w:val="24"/>
              </w:rPr>
              <w:t>(如因疫情原因，开标时未解封，投标、开标地点可能会变更为网上开标，望各投标人周知）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jc w:val="center"/>
        </w:trPr>
        <w:tc>
          <w:tcPr>
            <w:tcW w:w="8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14</w:t>
            </w:r>
          </w:p>
        </w:tc>
        <w:tc>
          <w:tcPr>
            <w:tcW w:w="8764"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b/>
                <w:bCs/>
                <w:color w:val="auto"/>
                <w:sz w:val="24"/>
                <w:szCs w:val="24"/>
              </w:rPr>
              <w:t>质保期：不少于2年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jc w:val="center"/>
        </w:trPr>
        <w:tc>
          <w:tcPr>
            <w:tcW w:w="8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8764" w:type="dxa"/>
            <w:vAlign w:val="center"/>
          </w:tcPr>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交货期：所有货物、产品在合同签约后</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日历日以内全部交货并通过最终验收合格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s="仿宋"/>
                <w:b/>
                <w:bCs/>
                <w:color w:val="000000"/>
                <w:sz w:val="24"/>
                <w:szCs w:val="24"/>
              </w:rPr>
              <w:t>售后服务要求：</w:t>
            </w:r>
            <w:r>
              <w:rPr>
                <w:rFonts w:hint="eastAsia" w:ascii="仿宋" w:hAnsi="仿宋" w:eastAsia="仿宋" w:cs="仿宋"/>
                <w:color w:val="000000"/>
                <w:sz w:val="24"/>
                <w:szCs w:val="24"/>
              </w:rPr>
              <w:t xml:space="preserve"> 1、自验收合格之日起质保期整机</w:t>
            </w:r>
            <w:r>
              <w:rPr>
                <w:rFonts w:hint="eastAsia" w:ascii="仿宋" w:hAnsi="仿宋" w:eastAsia="仿宋" w:cs="仿宋"/>
                <w:color w:val="000000"/>
                <w:sz w:val="24"/>
                <w:szCs w:val="24"/>
                <w:lang w:val="en-US" w:eastAsia="zh-CN"/>
              </w:rPr>
              <w:t>二</w:t>
            </w:r>
            <w:r>
              <w:rPr>
                <w:rFonts w:hint="eastAsia" w:ascii="仿宋" w:hAnsi="仿宋" w:eastAsia="仿宋" w:cs="仿宋"/>
                <w:color w:val="000000"/>
                <w:sz w:val="24"/>
                <w:szCs w:val="24"/>
              </w:rPr>
              <w:t>年。质保期内产品出现任何非人为故障及质量问题免费上门服务，质保期满后只收取材料成本费，软件终身免费升级，硬件终身维修。</w:t>
            </w:r>
          </w:p>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2、响应时间：30分钟内响应，12小时内给出解决方案，24小时内服务人员到场解决。（提供承诺函并加盖公章）</w:t>
            </w:r>
          </w:p>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3、培训要求：供应商应提供现场技术培训，保证使用人员能够正确地使用设备各种功能。（提供承诺函并加盖公章）</w:t>
            </w:r>
          </w:p>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4、供应商向采购人提供全部合格有效证件、软件使用证、操作手册、维修手册、图纸各一套(如有)，提供全套专用维修工具，应标明配置、规格、承诺作为合同附件，与合同具有同等法律效力。</w:t>
            </w:r>
          </w:p>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5、货物抵达使用单位后，供应商应在三天内派工程技术人员到达现场，在院方技术人员和检验检疫人员在场的情况下开箱点货物，卸车搬运，安装调试均由供应商负责，供应商承担所有费用。</w:t>
            </w:r>
          </w:p>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6、供应商派技术部门负责人到达现场，确认售后服务内容和相关事项，同时提供招标产品的检测报告(或技术白皮书)。</w:t>
            </w:r>
          </w:p>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7、验收合格进入保修期的条件是：符合商务条款的全部内容、符合合同内所有硬件、软件功能及临床应用培训的全部要求，采购人代表和有关专家签字、验收并有买方盖章为合格有效日期。依据合同逐项验收,如有不符合项即作为不合格产品,供应商承担一切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880" w:type="dxa"/>
            <w:vAlign w:val="center"/>
          </w:tcPr>
          <w:p>
            <w:pPr>
              <w:spacing w:line="360" w:lineRule="auto"/>
              <w:ind w:firstLine="120" w:firstLineChars="50"/>
              <w:jc w:val="center"/>
              <w:rPr>
                <w:rFonts w:ascii="仿宋" w:hAnsi="仿宋" w:eastAsia="仿宋" w:cs="仿宋"/>
                <w:sz w:val="24"/>
                <w:szCs w:val="24"/>
              </w:rPr>
            </w:pPr>
            <w:r>
              <w:rPr>
                <w:rFonts w:hint="eastAsia" w:ascii="仿宋" w:hAnsi="仿宋" w:eastAsia="仿宋" w:cs="仿宋"/>
                <w:sz w:val="24"/>
                <w:szCs w:val="24"/>
              </w:rPr>
              <w:t>17</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付款方式：</w:t>
            </w:r>
            <w:r>
              <w:rPr>
                <w:rFonts w:hint="eastAsia" w:ascii="仿宋" w:hAnsi="仿宋" w:eastAsia="仿宋" w:cs="仿宋"/>
                <w:color w:val="000000"/>
                <w:sz w:val="24"/>
                <w:szCs w:val="24"/>
                <w:lang w:val="en-US" w:eastAsia="zh-CN"/>
              </w:rPr>
              <w:t>按医院合同执行。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880" w:type="dxa"/>
            <w:vAlign w:val="center"/>
          </w:tcPr>
          <w:p>
            <w:pPr>
              <w:spacing w:line="360" w:lineRule="auto"/>
              <w:ind w:firstLine="120" w:firstLineChars="50"/>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8764" w:type="dxa"/>
            <w:vAlign w:val="center"/>
          </w:tcPr>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单一来源响应文件</w:t>
            </w:r>
            <w:r>
              <w:rPr>
                <w:rFonts w:hint="eastAsia" w:ascii="仿宋" w:hAnsi="仿宋" w:eastAsia="仿宋" w:cs="仿宋"/>
                <w:sz w:val="24"/>
                <w:szCs w:val="24"/>
              </w:rPr>
              <w:t>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73" w:hRule="atLeast"/>
          <w:jc w:val="center"/>
        </w:trPr>
        <w:tc>
          <w:tcPr>
            <w:tcW w:w="880" w:type="dxa"/>
            <w:vAlign w:val="center"/>
          </w:tcPr>
          <w:p>
            <w:pPr>
              <w:spacing w:line="360" w:lineRule="auto"/>
              <w:ind w:firstLine="120" w:firstLineChars="50"/>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8764" w:type="dxa"/>
            <w:vAlign w:val="center"/>
          </w:tcPr>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中小微企业政策文件：</w:t>
            </w:r>
          </w:p>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snapToGrid w:val="0"/>
              <w:spacing w:line="360" w:lineRule="auto"/>
              <w:jc w:val="left"/>
            </w:pPr>
            <w:r>
              <w:rPr>
                <w:rFonts w:hint="eastAsia" w:ascii="仿宋" w:hAnsi="仿宋" w:eastAsia="仿宋" w:cs="仿宋"/>
                <w:sz w:val="24"/>
                <w:szCs w:val="24"/>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2" w:hRule="atLeast"/>
          <w:jc w:val="center"/>
        </w:trPr>
        <w:tc>
          <w:tcPr>
            <w:tcW w:w="880" w:type="dxa"/>
            <w:vAlign w:val="center"/>
          </w:tcPr>
          <w:p>
            <w:pPr>
              <w:spacing w:line="360" w:lineRule="auto"/>
              <w:ind w:firstLine="120" w:firstLineChars="50"/>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876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供应商须仔细阅读本单一来源采购文件的所有条款。如果在商务、技术等方面有偏离，供应商须在</w:t>
            </w:r>
            <w:r>
              <w:rPr>
                <w:rFonts w:hint="eastAsia" w:ascii="仿宋" w:hAnsi="仿宋" w:eastAsia="仿宋" w:cs="仿宋"/>
                <w:color w:val="000000"/>
                <w:sz w:val="24"/>
                <w:szCs w:val="24"/>
              </w:rPr>
              <w:t>单一来源响应文件</w:t>
            </w:r>
            <w:r>
              <w:rPr>
                <w:rFonts w:hint="eastAsia" w:ascii="仿宋" w:hAnsi="仿宋" w:eastAsia="仿宋" w:cs="仿宋"/>
                <w:sz w:val="24"/>
                <w:szCs w:val="24"/>
              </w:rPr>
              <w:t>“商务偏离表”、“技术规格偏离表”中一一列出。另外，供应商应对字体置黑的条款、注有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4" w:hRule="atLeast"/>
          <w:jc w:val="center"/>
        </w:trPr>
        <w:tc>
          <w:tcPr>
            <w:tcW w:w="880" w:type="dxa"/>
            <w:vAlign w:val="center"/>
          </w:tcPr>
          <w:p>
            <w:pPr>
              <w:spacing w:line="360" w:lineRule="auto"/>
              <w:ind w:firstLine="120" w:firstLineChars="50"/>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876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在评标过程直至签订合同前的任何时间，如经证实发现供应商提供虚假投标资料或信息骗取成交的，或者未按本单一来源采购文件要求提交履约保证金的（如有要求），将取消其成交供应商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499" w:hRule="atLeast"/>
          <w:jc w:val="center"/>
        </w:trPr>
        <w:tc>
          <w:tcPr>
            <w:tcW w:w="880" w:type="dxa"/>
            <w:vAlign w:val="center"/>
          </w:tcPr>
          <w:p>
            <w:pPr>
              <w:spacing w:line="360" w:lineRule="auto"/>
              <w:ind w:firstLine="120" w:firstLineChars="50"/>
              <w:jc w:val="center"/>
              <w:rPr>
                <w:rFonts w:ascii="仿宋" w:hAnsi="仿宋" w:eastAsia="仿宋" w:cs="仿宋"/>
                <w:color w:val="000000"/>
                <w:sz w:val="24"/>
                <w:szCs w:val="24"/>
              </w:rPr>
            </w:pPr>
            <w:r>
              <w:rPr>
                <w:rFonts w:hint="eastAsia" w:ascii="仿宋" w:hAnsi="仿宋" w:eastAsia="仿宋" w:cs="仿宋"/>
                <w:color w:val="000000"/>
                <w:sz w:val="24"/>
                <w:szCs w:val="24"/>
              </w:rPr>
              <w:t>22</w:t>
            </w:r>
          </w:p>
        </w:tc>
        <w:tc>
          <w:tcPr>
            <w:tcW w:w="8764" w:type="dxa"/>
            <w:vAlign w:val="center"/>
          </w:tcPr>
          <w:p>
            <w:pPr>
              <w:spacing w:line="360" w:lineRule="auto"/>
              <w:jc w:val="left"/>
              <w:rPr>
                <w:rFonts w:ascii="仿宋" w:hAnsi="仿宋" w:eastAsia="仿宋" w:cs="仿宋"/>
                <w:sz w:val="24"/>
                <w:szCs w:val="24"/>
              </w:rPr>
            </w:pPr>
            <w:r>
              <w:rPr>
                <w:rFonts w:hint="eastAsia" w:ascii="仿宋" w:hAnsi="仿宋" w:eastAsia="仿宋" w:cs="仿宋"/>
                <w:color w:val="000000"/>
                <w:sz w:val="24"/>
                <w:szCs w:val="24"/>
              </w:rPr>
              <w:t>注：供应商认为单一来源采购文件、采购过程、中标或者成交结果使自己的权益受到损害的，可以在知道或者应知其权益受到损害之日起7个工作日内，以书面形式向采购人、采购代理机构提出质疑。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880" w:type="dxa"/>
            <w:vAlign w:val="center"/>
          </w:tcPr>
          <w:p>
            <w:pPr>
              <w:spacing w:line="360" w:lineRule="auto"/>
              <w:ind w:firstLine="120" w:firstLineChars="50"/>
              <w:jc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8764" w:type="dxa"/>
            <w:vAlign w:val="center"/>
          </w:tcPr>
          <w:p>
            <w:pPr>
              <w:spacing w:line="360" w:lineRule="auto"/>
              <w:jc w:val="left"/>
              <w:rPr>
                <w:rFonts w:ascii="仿宋" w:hAnsi="仿宋" w:eastAsia="仿宋" w:cs="仿宋"/>
                <w:sz w:val="24"/>
                <w:szCs w:val="24"/>
              </w:rPr>
            </w:pPr>
            <w:r>
              <w:rPr>
                <w:rFonts w:hint="eastAsia" w:ascii="仿宋" w:hAnsi="仿宋" w:eastAsia="仿宋"/>
                <w:color w:val="000000"/>
                <w:sz w:val="24"/>
                <w:szCs w:val="24"/>
              </w:rPr>
              <w:t>成交供应商须向招标代理机构交纳代理服务费：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880" w:type="dxa"/>
            <w:vAlign w:val="center"/>
          </w:tcPr>
          <w:p>
            <w:pPr>
              <w:spacing w:line="360" w:lineRule="auto"/>
              <w:ind w:firstLine="120" w:firstLineChars="50"/>
              <w:jc w:val="center"/>
              <w:rPr>
                <w:rFonts w:hint="eastAsia" w:ascii="仿宋" w:hAnsi="仿宋" w:eastAsia="仿宋" w:cs="仿宋"/>
                <w:color w:val="000000"/>
                <w:sz w:val="24"/>
                <w:szCs w:val="24"/>
              </w:rPr>
            </w:pPr>
            <w:bookmarkStart w:id="105" w:name="_GoBack" w:colFirst="0" w:colLast="1"/>
            <w:r>
              <w:rPr>
                <w:rFonts w:hint="eastAsia" w:ascii="仿宋" w:hAnsi="仿宋" w:eastAsia="仿宋" w:cs="仿宋"/>
                <w:b/>
                <w:bCs/>
                <w:color w:val="000000"/>
                <w:sz w:val="24"/>
                <w:szCs w:val="24"/>
                <w:lang w:val="en-US" w:eastAsia="zh-CN"/>
              </w:rPr>
              <w:t>24</w:t>
            </w:r>
          </w:p>
        </w:tc>
        <w:tc>
          <w:tcPr>
            <w:tcW w:w="8764" w:type="dxa"/>
            <w:vAlign w:val="center"/>
          </w:tcPr>
          <w:p>
            <w:pPr>
              <w:spacing w:line="360" w:lineRule="auto"/>
              <w:jc w:val="left"/>
              <w:rPr>
                <w:rFonts w:hint="eastAsia" w:ascii="仿宋" w:hAnsi="仿宋" w:eastAsia="仿宋"/>
                <w:color w:val="000000"/>
                <w:sz w:val="24"/>
                <w:szCs w:val="24"/>
              </w:rPr>
            </w:pPr>
            <w:r>
              <w:rPr>
                <w:rFonts w:hint="eastAsia" w:ascii="仿宋" w:hAnsi="仿宋" w:eastAsia="仿宋"/>
                <w:b/>
                <w:bCs/>
                <w:color w:val="000000"/>
                <w:sz w:val="24"/>
                <w:szCs w:val="24"/>
                <w:lang w:val="en-US" w:eastAsia="zh-CN"/>
              </w:rPr>
              <w:t>本项采购开标现场有二次报价环节！</w:t>
            </w:r>
          </w:p>
        </w:tc>
      </w:tr>
      <w:bookmarkEnd w:id="105"/>
    </w:tbl>
    <w:p>
      <w:pPr>
        <w:rPr>
          <w:rFonts w:ascii="仿宋" w:hAnsi="仿宋" w:eastAsia="仿宋" w:cs="仿宋"/>
        </w:rPr>
      </w:pPr>
    </w:p>
    <w:p>
      <w:pPr>
        <w:pStyle w:val="6"/>
        <w:rPr>
          <w:rFonts w:cs="仿宋"/>
        </w:rPr>
      </w:pPr>
      <w:r>
        <w:rPr>
          <w:rFonts w:hint="eastAsia" w:cs="仿宋"/>
        </w:rPr>
        <w:br w:type="page"/>
      </w:r>
      <w:bookmarkEnd w:id="13"/>
      <w:bookmarkStart w:id="17" w:name="_Toc82497894"/>
      <w:bookmarkStart w:id="18" w:name="_Toc56170380"/>
      <w:bookmarkStart w:id="19" w:name="_Toc31678"/>
      <w:bookmarkStart w:id="20" w:name="_Toc65158527"/>
      <w:r>
        <w:rPr>
          <w:rFonts w:hint="eastAsia" w:cs="仿宋"/>
        </w:rPr>
        <w:t>一、总 则</w:t>
      </w:r>
      <w:bookmarkEnd w:id="17"/>
      <w:bookmarkEnd w:id="18"/>
      <w:bookmarkEnd w:id="19"/>
      <w:bookmarkEnd w:id="20"/>
    </w:p>
    <w:p>
      <w:pPr>
        <w:pStyle w:val="28"/>
        <w:spacing w:line="360" w:lineRule="auto"/>
        <w:ind w:firstLine="562"/>
        <w:jc w:val="both"/>
        <w:rPr>
          <w:rFonts w:ascii="仿宋" w:hAnsi="仿宋" w:eastAsia="仿宋" w:cs="仿宋"/>
          <w:sz w:val="28"/>
        </w:rPr>
      </w:pPr>
      <w:r>
        <w:rPr>
          <w:rFonts w:hint="eastAsia" w:ascii="仿宋" w:hAnsi="仿宋" w:eastAsia="仿宋" w:cs="仿宋"/>
          <w:sz w:val="28"/>
        </w:rPr>
        <w:t>1. 合格的供应商</w:t>
      </w:r>
    </w:p>
    <w:p>
      <w:pPr>
        <w:pStyle w:val="28"/>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谈判服务的资格和能力，技术规范，并具有有效的营业执照、相关资质证书的国内供应商，符合本项目谈判公告资质要求的，承认和履行单一来源采购文件中的各项规定者，均可参加谈判。（见谈判须知前附表</w:t>
      </w:r>
      <w:r>
        <w:rPr>
          <w:rFonts w:ascii="仿宋" w:hAnsi="仿宋" w:eastAsia="仿宋"/>
          <w:sz w:val="28"/>
        </w:rPr>
        <w:t>1</w:t>
      </w:r>
      <w:r>
        <w:rPr>
          <w:rFonts w:hint="eastAsia" w:ascii="仿宋" w:hAnsi="仿宋" w:eastAsia="仿宋"/>
          <w:sz w:val="28"/>
        </w:rPr>
        <w:t>）</w:t>
      </w:r>
    </w:p>
    <w:p>
      <w:pPr>
        <w:pStyle w:val="28"/>
        <w:spacing w:line="360" w:lineRule="auto"/>
        <w:ind w:firstLine="562"/>
        <w:rPr>
          <w:rFonts w:ascii="仿宋" w:hAnsi="仿宋" w:eastAsia="仿宋"/>
          <w:sz w:val="28"/>
        </w:rPr>
      </w:pPr>
      <w:r>
        <w:rPr>
          <w:rFonts w:hint="eastAsia" w:ascii="仿宋" w:hAnsi="仿宋" w:eastAsia="仿宋"/>
          <w:sz w:val="28"/>
        </w:rPr>
        <w:t>1.2 凡参加谈判的供应商必须具有国际或国内相应的资质等级，信誉可靠，且应具有履行本单一来源采购文件规定的有关义务的能力。</w:t>
      </w:r>
    </w:p>
    <w:p>
      <w:pPr>
        <w:pStyle w:val="28"/>
        <w:spacing w:line="360" w:lineRule="auto"/>
        <w:ind w:firstLine="562"/>
        <w:jc w:val="both"/>
        <w:rPr>
          <w:rFonts w:ascii="仿宋" w:hAnsi="仿宋" w:eastAsia="仿宋" w:cs="仿宋"/>
          <w:sz w:val="28"/>
        </w:rPr>
      </w:pPr>
      <w:r>
        <w:rPr>
          <w:rFonts w:hint="eastAsia" w:ascii="仿宋" w:hAnsi="仿宋" w:eastAsia="仿宋" w:cs="仿宋"/>
          <w:sz w:val="28"/>
        </w:rPr>
        <w:t>1.3 供应商在本次谈判活动中，必须遵循《中华人民共和国政府采购法》及其实施条例（658号令）、《政府采购货物和服务招标投标管理办法》（财政部87号令）、《财政部关于加强政府采购货物和服务项目价格评审管理的通知》财库（2007）2号文、《政府采购非招标采购方式管理办法》（74号令）的规定。</w:t>
      </w:r>
    </w:p>
    <w:p>
      <w:pPr>
        <w:pStyle w:val="28"/>
        <w:spacing w:line="360" w:lineRule="auto"/>
        <w:ind w:firstLine="562"/>
        <w:jc w:val="both"/>
        <w:rPr>
          <w:rFonts w:ascii="仿宋" w:hAnsi="仿宋" w:eastAsia="仿宋" w:cs="仿宋"/>
          <w:sz w:val="28"/>
        </w:rPr>
      </w:pPr>
      <w:r>
        <w:rPr>
          <w:rFonts w:hint="eastAsia" w:ascii="仿宋" w:hAnsi="仿宋" w:eastAsia="仿宋" w:cs="仿宋"/>
          <w:sz w:val="28"/>
        </w:rPr>
        <w:t>1.4 本项目不接受联合体投标。</w:t>
      </w:r>
    </w:p>
    <w:p>
      <w:pPr>
        <w:pStyle w:val="28"/>
        <w:spacing w:line="360" w:lineRule="auto"/>
        <w:ind w:firstLine="562"/>
        <w:jc w:val="both"/>
        <w:rPr>
          <w:rFonts w:ascii="仿宋" w:hAnsi="仿宋" w:eastAsia="仿宋" w:cs="仿宋"/>
          <w:sz w:val="28"/>
        </w:rPr>
      </w:pPr>
      <w:r>
        <w:rPr>
          <w:rFonts w:hint="eastAsia" w:ascii="仿宋" w:hAnsi="仿宋" w:eastAsia="仿宋" w:cs="仿宋"/>
          <w:sz w:val="28"/>
        </w:rPr>
        <w:t>1.5 不符合1.1、1.2、1.3、1.4条款规定的供应商，其投标将被拒绝。</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 定义</w:t>
      </w:r>
    </w:p>
    <w:p>
      <w:pPr>
        <w:pStyle w:val="28"/>
        <w:spacing w:line="360" w:lineRule="auto"/>
        <w:ind w:firstLine="560"/>
        <w:jc w:val="both"/>
        <w:rPr>
          <w:rFonts w:hint="eastAsia" w:ascii="仿宋" w:hAnsi="仿宋" w:eastAsia="仿宋" w:cs="仿宋"/>
          <w:sz w:val="28"/>
          <w:lang w:eastAsia="zh-CN"/>
        </w:rPr>
      </w:pPr>
      <w:r>
        <w:rPr>
          <w:rFonts w:hint="eastAsia" w:ascii="仿宋" w:hAnsi="仿宋" w:eastAsia="仿宋" w:cs="仿宋"/>
          <w:sz w:val="28"/>
        </w:rPr>
        <w:t>2.1“采购代理机构”系指</w:t>
      </w:r>
      <w:r>
        <w:rPr>
          <w:rFonts w:hint="eastAsia" w:ascii="仿宋" w:hAnsi="仿宋" w:eastAsia="仿宋" w:cs="仿宋"/>
          <w:sz w:val="28"/>
          <w:lang w:eastAsia="zh-CN"/>
        </w:rPr>
        <w:t>新疆科辰工程项目管理有限公司</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2.2“供应商”系指向采购代理机构提交单一来源响应文件的货物制造商、经销商。</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28"/>
        <w:spacing w:line="360" w:lineRule="auto"/>
        <w:ind w:firstLine="561"/>
        <w:jc w:val="both"/>
        <w:rPr>
          <w:rFonts w:ascii="仿宋" w:hAnsi="仿宋" w:eastAsia="仿宋" w:cs="仿宋"/>
          <w:sz w:val="28"/>
        </w:rPr>
      </w:pPr>
      <w:r>
        <w:rPr>
          <w:rFonts w:hint="eastAsia" w:ascii="仿宋" w:hAnsi="仿宋" w:eastAsia="仿宋" w:cs="仿宋"/>
          <w:sz w:val="28"/>
        </w:rPr>
        <w:t>2.6“买方”系指购买货物和服务的单位，即为本次谈判的采购人。</w:t>
      </w:r>
    </w:p>
    <w:p>
      <w:pPr>
        <w:pStyle w:val="28"/>
        <w:spacing w:line="360" w:lineRule="auto"/>
        <w:ind w:firstLine="561"/>
        <w:jc w:val="both"/>
        <w:rPr>
          <w:rFonts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28"/>
        <w:spacing w:line="360" w:lineRule="auto"/>
        <w:ind w:firstLine="561"/>
        <w:rPr>
          <w:rFonts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8"/>
        <w:spacing w:line="360" w:lineRule="auto"/>
        <w:ind w:firstLine="561"/>
        <w:rPr>
          <w:rFonts w:ascii="仿宋" w:hAnsi="仿宋" w:eastAsia="仿宋" w:cs="仿宋"/>
          <w:sz w:val="28"/>
        </w:rPr>
      </w:pPr>
      <w:r>
        <w:rPr>
          <w:rFonts w:hint="eastAsia" w:ascii="仿宋" w:hAnsi="仿宋" w:eastAsia="仿宋" w:cs="仿宋"/>
          <w:sz w:val="28"/>
        </w:rPr>
        <w:t>3. 其他要求</w:t>
      </w:r>
    </w:p>
    <w:p>
      <w:pPr>
        <w:pStyle w:val="28"/>
        <w:spacing w:line="360" w:lineRule="auto"/>
        <w:ind w:firstLine="561"/>
        <w:rPr>
          <w:rFonts w:ascii="仿宋" w:hAnsi="仿宋" w:eastAsia="仿宋" w:cs="仿宋"/>
          <w:sz w:val="28"/>
        </w:rPr>
      </w:pPr>
      <w:r>
        <w:rPr>
          <w:rFonts w:hint="eastAsia" w:ascii="仿宋" w:hAnsi="仿宋" w:eastAsia="仿宋" w:cs="仿宋"/>
          <w:sz w:val="28"/>
        </w:rPr>
        <w:t>3.1 供应商应自行承担所有与本次谈判有关的费用，而不论谈判的结果如何。</w:t>
      </w:r>
    </w:p>
    <w:p>
      <w:pPr>
        <w:pStyle w:val="28"/>
        <w:spacing w:line="360" w:lineRule="auto"/>
        <w:ind w:firstLine="561"/>
        <w:rPr>
          <w:rFonts w:ascii="仿宋" w:hAnsi="仿宋" w:eastAsia="仿宋" w:cs="仿宋"/>
          <w:sz w:val="28"/>
        </w:rPr>
      </w:pPr>
      <w:r>
        <w:rPr>
          <w:rFonts w:hint="eastAsia" w:ascii="仿宋" w:hAnsi="仿宋" w:eastAsia="仿宋" w:cs="仿宋"/>
          <w:sz w:val="28"/>
        </w:rPr>
        <w:t>3.2 政府采购政策支持</w:t>
      </w:r>
    </w:p>
    <w:p>
      <w:pPr>
        <w:pStyle w:val="28"/>
        <w:spacing w:line="360" w:lineRule="auto"/>
        <w:ind w:firstLine="561"/>
        <w:rPr>
          <w:rFonts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28"/>
        <w:spacing w:line="360" w:lineRule="auto"/>
        <w:ind w:firstLine="561"/>
        <w:rPr>
          <w:rFonts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28"/>
        <w:spacing w:line="360" w:lineRule="auto"/>
        <w:ind w:firstLine="561"/>
        <w:rPr>
          <w:rFonts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6"/>
        <w:spacing w:line="360" w:lineRule="auto"/>
        <w:rPr>
          <w:rFonts w:cs="仿宋"/>
        </w:rPr>
      </w:pPr>
      <w:bookmarkStart w:id="21" w:name="_Toc65158528"/>
      <w:bookmarkStart w:id="22" w:name="_Toc82497895"/>
      <w:bookmarkStart w:id="23" w:name="_Toc56170381"/>
      <w:bookmarkStart w:id="24" w:name="_Toc13516"/>
      <w:r>
        <w:rPr>
          <w:rFonts w:hint="eastAsia" w:cs="仿宋"/>
        </w:rPr>
        <w:t>二、</w:t>
      </w:r>
      <w:bookmarkEnd w:id="21"/>
      <w:bookmarkEnd w:id="22"/>
      <w:bookmarkEnd w:id="23"/>
      <w:r>
        <w:rPr>
          <w:rFonts w:hint="eastAsia" w:cs="仿宋"/>
        </w:rPr>
        <w:t>单一来源采购文件</w:t>
      </w:r>
      <w:bookmarkEnd w:id="24"/>
    </w:p>
    <w:p>
      <w:pPr>
        <w:pStyle w:val="28"/>
        <w:spacing w:line="360" w:lineRule="auto"/>
        <w:ind w:firstLine="560"/>
        <w:jc w:val="both"/>
        <w:rPr>
          <w:rFonts w:ascii="仿宋" w:hAnsi="仿宋" w:eastAsia="仿宋" w:cs="仿宋"/>
          <w:sz w:val="28"/>
        </w:rPr>
      </w:pPr>
      <w:r>
        <w:rPr>
          <w:rFonts w:hint="eastAsia" w:ascii="仿宋" w:hAnsi="仿宋" w:eastAsia="仿宋" w:cs="仿宋"/>
          <w:sz w:val="28"/>
        </w:rPr>
        <w:t>4. 单一来源采购文件</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4.1 单一来源采购文件用以阐明所需货物和服务、招标投标程序和合同条款。包括：</w:t>
      </w:r>
    </w:p>
    <w:p>
      <w:pPr>
        <w:pStyle w:val="28"/>
        <w:spacing w:line="360" w:lineRule="auto"/>
        <w:ind w:firstLine="560"/>
        <w:jc w:val="both"/>
        <w:rPr>
          <w:rFonts w:ascii="仿宋" w:hAnsi="仿宋" w:eastAsia="仿宋" w:cs="仿宋"/>
          <w:sz w:val="28"/>
          <w:szCs w:val="28"/>
        </w:rPr>
      </w:pPr>
      <w:r>
        <w:rPr>
          <w:rFonts w:hint="eastAsia" w:ascii="仿宋" w:hAnsi="仿宋" w:eastAsia="仿宋" w:cs="仿宋"/>
          <w:sz w:val="28"/>
          <w:szCs w:val="28"/>
        </w:rPr>
        <w:t>4.1.1 单一来源邀请公告</w:t>
      </w:r>
    </w:p>
    <w:p>
      <w:pPr>
        <w:pStyle w:val="28"/>
        <w:spacing w:line="360" w:lineRule="auto"/>
        <w:ind w:firstLine="560"/>
        <w:jc w:val="both"/>
        <w:rPr>
          <w:rFonts w:ascii="仿宋" w:hAnsi="仿宋" w:eastAsia="仿宋" w:cs="仿宋"/>
          <w:sz w:val="28"/>
          <w:szCs w:val="28"/>
        </w:rPr>
      </w:pPr>
      <w:r>
        <w:rPr>
          <w:rFonts w:hint="eastAsia" w:ascii="仿宋" w:hAnsi="仿宋" w:eastAsia="仿宋" w:cs="仿宋"/>
          <w:sz w:val="28"/>
          <w:szCs w:val="28"/>
        </w:rPr>
        <w:t>4.1.2 谈判须知</w:t>
      </w:r>
    </w:p>
    <w:p>
      <w:pPr>
        <w:pStyle w:val="28"/>
        <w:spacing w:line="360" w:lineRule="auto"/>
        <w:ind w:firstLine="560"/>
        <w:jc w:val="both"/>
        <w:rPr>
          <w:rFonts w:ascii="仿宋" w:hAnsi="仿宋" w:eastAsia="仿宋" w:cs="仿宋"/>
          <w:sz w:val="28"/>
          <w:szCs w:val="28"/>
        </w:rPr>
      </w:pPr>
      <w:r>
        <w:rPr>
          <w:rFonts w:hint="eastAsia" w:ascii="仿宋" w:hAnsi="仿宋" w:eastAsia="仿宋" w:cs="仿宋"/>
          <w:sz w:val="28"/>
          <w:szCs w:val="28"/>
        </w:rPr>
        <w:t>4.1.3 谈判内容及技术要求</w:t>
      </w:r>
    </w:p>
    <w:p>
      <w:pPr>
        <w:pStyle w:val="28"/>
        <w:spacing w:line="360" w:lineRule="auto"/>
        <w:ind w:firstLine="560"/>
        <w:jc w:val="both"/>
        <w:rPr>
          <w:rFonts w:ascii="仿宋" w:hAnsi="仿宋" w:eastAsia="仿宋" w:cs="仿宋"/>
          <w:sz w:val="28"/>
          <w:szCs w:val="28"/>
        </w:rPr>
      </w:pPr>
      <w:r>
        <w:rPr>
          <w:rFonts w:hint="eastAsia" w:ascii="仿宋" w:hAnsi="仿宋" w:eastAsia="仿宋" w:cs="仿宋"/>
          <w:sz w:val="28"/>
          <w:szCs w:val="28"/>
        </w:rPr>
        <w:t>4.1.4 合同</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4.1.5 单一来源响应文件格式</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4.2 供应商应认真阅读单一来源采购文件中所有的事项、格式、条款和规范等要求。如果没有按照单一来源采购文件要求提交全部资料或者单一来源响应文件没有对单一来源采购文件做出实质性响应，其投标将被拒绝。</w:t>
      </w:r>
    </w:p>
    <w:p>
      <w:pPr>
        <w:pStyle w:val="28"/>
        <w:spacing w:line="360" w:lineRule="auto"/>
        <w:ind w:firstLine="560"/>
        <w:jc w:val="both"/>
        <w:rPr>
          <w:rFonts w:ascii="仿宋" w:hAnsi="仿宋" w:eastAsia="仿宋" w:cs="仿宋"/>
          <w:color w:val="auto"/>
          <w:sz w:val="28"/>
        </w:rPr>
      </w:pPr>
      <w:r>
        <w:rPr>
          <w:rFonts w:hint="eastAsia" w:ascii="仿宋" w:hAnsi="仿宋" w:eastAsia="仿宋" w:cs="仿宋"/>
          <w:color w:val="auto"/>
          <w:sz w:val="28"/>
        </w:rPr>
        <w:t>5. 单一来源采购文件的澄清和修改</w:t>
      </w:r>
    </w:p>
    <w:p>
      <w:pPr>
        <w:pStyle w:val="28"/>
        <w:spacing w:line="360" w:lineRule="auto"/>
        <w:ind w:firstLine="560"/>
        <w:jc w:val="both"/>
        <w:rPr>
          <w:rFonts w:ascii="仿宋" w:hAnsi="仿宋" w:eastAsia="仿宋" w:cs="仿宋"/>
          <w:sz w:val="28"/>
        </w:rPr>
      </w:pPr>
      <w:r>
        <w:rPr>
          <w:rFonts w:hint="eastAsia" w:ascii="仿宋" w:hAnsi="仿宋" w:eastAsia="仿宋" w:cs="仿宋"/>
          <w:color w:val="auto"/>
          <w:sz w:val="28"/>
        </w:rPr>
        <w:t>5.1 采购人如需对已发出的单一来源采购文件进行必要澄清或者修改的，澄清或者修改的的内容可能影响到单一来源响应文件编制的，采购代理机构应当在单一来源响应文件递交截止时间五日前，以书面形式通知所有获取单一来源采购文件的潜在供应商。该澄清或者修改的内容为</w:t>
      </w:r>
      <w:r>
        <w:rPr>
          <w:rFonts w:hint="eastAsia" w:ascii="仿宋" w:hAnsi="仿宋" w:eastAsia="仿宋" w:cs="仿宋"/>
          <w:sz w:val="28"/>
        </w:rPr>
        <w:t>单一来源采购文件的组成部分。</w:t>
      </w:r>
    </w:p>
    <w:p>
      <w:pPr>
        <w:pStyle w:val="6"/>
        <w:spacing w:line="360" w:lineRule="auto"/>
        <w:rPr>
          <w:rFonts w:cs="仿宋"/>
        </w:rPr>
      </w:pPr>
      <w:bookmarkStart w:id="25" w:name="_Toc56170382"/>
      <w:bookmarkStart w:id="26" w:name="_Toc65158529"/>
      <w:bookmarkStart w:id="27" w:name="_Toc11558"/>
      <w:bookmarkStart w:id="28" w:name="_Toc82497896"/>
      <w:r>
        <w:rPr>
          <w:rFonts w:hint="eastAsia" w:cs="仿宋"/>
        </w:rPr>
        <w:t>三、单一来源响应文件的编制</w:t>
      </w:r>
      <w:bookmarkEnd w:id="25"/>
      <w:bookmarkEnd w:id="26"/>
      <w:bookmarkEnd w:id="27"/>
      <w:bookmarkEnd w:id="28"/>
    </w:p>
    <w:p>
      <w:pPr>
        <w:pStyle w:val="28"/>
        <w:spacing w:line="360" w:lineRule="auto"/>
        <w:ind w:firstLine="560"/>
        <w:jc w:val="both"/>
        <w:rPr>
          <w:rFonts w:ascii="仿宋" w:hAnsi="仿宋" w:eastAsia="仿宋" w:cs="仿宋"/>
          <w:sz w:val="28"/>
        </w:rPr>
      </w:pPr>
      <w:r>
        <w:rPr>
          <w:rFonts w:hint="eastAsia" w:ascii="仿宋" w:hAnsi="仿宋" w:eastAsia="仿宋" w:cs="仿宋"/>
          <w:sz w:val="28"/>
        </w:rPr>
        <w:t>6. 单一来源响应文件的编写</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6.1 供应商应仔细阅读单一来源采购文件，了解单一来源采购文件的要求，并在充分理解单一来源采购文件提出的货物技术规范、服务和商务条款后的基础上制作单一来源响应文件。</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7. 单一来源响应文件的语言及计量单位</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7.1 供应商的单一来源响应文件以及供应商与采购代理机构就有关谈判活动的所有来往函电均应使用中文。如果单一来源响应文件或与投标有关的其它文件、信件及来往函电以其它语言书写的，供应商应将其译成中文。</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7.2 单一来源响应文件中所使用的计量单位除单一来源采购文件中有特殊规定外，一律使用法定计量单位。</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8. 单一来源响应文件构成</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8.1 供应商编写的单一来源响应文件应按下列顺序及内容提供：</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8.1.1 资格证明文件（以下文件必须在有效期内）</w:t>
      </w:r>
    </w:p>
    <w:p>
      <w:pPr>
        <w:pStyle w:val="28"/>
        <w:spacing w:line="360" w:lineRule="auto"/>
        <w:ind w:firstLine="562"/>
        <w:jc w:val="both"/>
        <w:rPr>
          <w:rFonts w:ascii="仿宋" w:hAnsi="仿宋" w:eastAsia="仿宋" w:cs="仿宋"/>
          <w:bCs/>
          <w:sz w:val="28"/>
        </w:rPr>
      </w:pPr>
      <w:r>
        <w:rPr>
          <w:rFonts w:hint="eastAsia" w:ascii="仿宋" w:hAnsi="仿宋" w:eastAsia="仿宋" w:cs="仿宋"/>
          <w:sz w:val="28"/>
        </w:rPr>
        <w:t>（1） 见谈判须知前附表序号6——资格证明文件</w:t>
      </w:r>
    </w:p>
    <w:p>
      <w:pPr>
        <w:pStyle w:val="28"/>
        <w:spacing w:line="360" w:lineRule="auto"/>
        <w:ind w:firstLine="562"/>
        <w:jc w:val="both"/>
        <w:rPr>
          <w:rFonts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28"/>
        <w:spacing w:line="360" w:lineRule="auto"/>
        <w:ind w:firstLine="562"/>
        <w:jc w:val="both"/>
        <w:rPr>
          <w:rFonts w:ascii="仿宋" w:hAnsi="仿宋" w:eastAsia="仿宋" w:cs="仿宋"/>
          <w:sz w:val="28"/>
        </w:rPr>
      </w:pPr>
      <w:r>
        <w:rPr>
          <w:rFonts w:hint="eastAsia" w:ascii="仿宋" w:hAnsi="仿宋" w:eastAsia="仿宋" w:cs="仿宋"/>
          <w:sz w:val="28"/>
        </w:rPr>
        <w:t>8.1.2 商务部分</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 单一来源响应文件</w:t>
      </w:r>
    </w:p>
    <w:p>
      <w:pPr>
        <w:pStyle w:val="28"/>
        <w:spacing w:line="360" w:lineRule="auto"/>
        <w:ind w:firstLine="562"/>
        <w:jc w:val="both"/>
        <w:rPr>
          <w:rFonts w:ascii="仿宋" w:hAnsi="仿宋" w:eastAsia="仿宋" w:cs="仿宋"/>
          <w:sz w:val="28"/>
        </w:rPr>
      </w:pPr>
      <w:r>
        <w:rPr>
          <w:rFonts w:hint="eastAsia" w:ascii="仿宋" w:hAnsi="仿宋" w:eastAsia="仿宋" w:cs="仿宋"/>
          <w:sz w:val="28"/>
        </w:rPr>
        <w:t>（2） 开标一览表</w:t>
      </w:r>
    </w:p>
    <w:p>
      <w:pPr>
        <w:pStyle w:val="28"/>
        <w:spacing w:line="360" w:lineRule="auto"/>
        <w:ind w:firstLine="562" w:firstLineChars="201"/>
        <w:jc w:val="both"/>
        <w:rPr>
          <w:rFonts w:ascii="仿宋" w:hAnsi="仿宋" w:eastAsia="仿宋" w:cs="仿宋"/>
          <w:sz w:val="28"/>
        </w:rPr>
      </w:pPr>
      <w:r>
        <w:rPr>
          <w:rFonts w:hint="eastAsia" w:ascii="仿宋" w:hAnsi="仿宋" w:eastAsia="仿宋" w:cs="仿宋"/>
          <w:sz w:val="28"/>
        </w:rPr>
        <w:t>（3） 分项报价表</w:t>
      </w:r>
    </w:p>
    <w:p>
      <w:pPr>
        <w:pStyle w:val="28"/>
        <w:spacing w:line="360" w:lineRule="auto"/>
        <w:ind w:firstLine="562" w:firstLineChars="201"/>
        <w:jc w:val="both"/>
        <w:rPr>
          <w:rFonts w:ascii="仿宋" w:hAnsi="仿宋" w:eastAsia="仿宋" w:cs="仿宋"/>
          <w:sz w:val="28"/>
        </w:rPr>
      </w:pPr>
      <w:r>
        <w:rPr>
          <w:rFonts w:hint="eastAsia" w:ascii="仿宋" w:hAnsi="仿宋" w:eastAsia="仿宋" w:cs="仿宋"/>
          <w:sz w:val="28"/>
        </w:rPr>
        <w:t>（4） 商务条款偏离表</w:t>
      </w:r>
    </w:p>
    <w:p>
      <w:pPr>
        <w:pStyle w:val="28"/>
        <w:spacing w:line="360" w:lineRule="auto"/>
        <w:ind w:firstLine="548" w:firstLineChars="196"/>
        <w:jc w:val="both"/>
        <w:rPr>
          <w:rFonts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28"/>
        <w:spacing w:line="360" w:lineRule="auto"/>
        <w:ind w:firstLine="548" w:firstLineChars="196"/>
        <w:jc w:val="both"/>
        <w:rPr>
          <w:rFonts w:ascii="仿宋" w:hAnsi="仿宋" w:eastAsia="仿宋" w:cs="仿宋"/>
          <w:sz w:val="28"/>
        </w:rPr>
      </w:pPr>
      <w:r>
        <w:rPr>
          <w:rFonts w:hint="eastAsia" w:ascii="仿宋" w:hAnsi="仿宋" w:eastAsia="仿宋" w:cs="仿宋"/>
          <w:sz w:val="28"/>
        </w:rPr>
        <w:t>（6） 售后服务承诺书及培训计划</w:t>
      </w:r>
    </w:p>
    <w:p>
      <w:pPr>
        <w:pStyle w:val="29"/>
        <w:spacing w:line="360" w:lineRule="auto"/>
        <w:ind w:firstLine="560"/>
        <w:rPr>
          <w:rFonts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（8） 供应商认为有必要提供的声明及文件资料</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8.1.3 技术部分</w:t>
      </w:r>
    </w:p>
    <w:p>
      <w:pPr>
        <w:pStyle w:val="28"/>
        <w:spacing w:line="360" w:lineRule="auto"/>
        <w:ind w:firstLine="420" w:firstLineChars="150"/>
        <w:jc w:val="both"/>
        <w:rPr>
          <w:rFonts w:ascii="仿宋" w:hAnsi="仿宋" w:eastAsia="仿宋" w:cs="仿宋"/>
          <w:sz w:val="28"/>
        </w:rPr>
      </w:pPr>
      <w:r>
        <w:rPr>
          <w:rFonts w:hint="eastAsia" w:ascii="仿宋" w:hAnsi="仿宋" w:eastAsia="仿宋" w:cs="仿宋"/>
          <w:sz w:val="28"/>
        </w:rPr>
        <w:t>（1） 产品的详细技术参数说明</w:t>
      </w:r>
    </w:p>
    <w:p>
      <w:pPr>
        <w:pStyle w:val="28"/>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8"/>
        <w:snapToGrid w:val="0"/>
        <w:spacing w:line="360" w:lineRule="auto"/>
        <w:ind w:firstLine="560" w:firstLineChars="200"/>
        <w:rPr>
          <w:rFonts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28"/>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（3） 备品备件及专用工具清单</w:t>
      </w:r>
    </w:p>
    <w:p>
      <w:pPr>
        <w:pStyle w:val="28"/>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28"/>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（5） 供应商认为有必要提供的声明及完整文件或支持资料。</w:t>
      </w:r>
    </w:p>
    <w:p>
      <w:pPr>
        <w:pStyle w:val="28"/>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8.2 第8.1.1条中第（1）项、第8.1.2条中第（1） （2） （3） （4） （6）项、第8.1.3条中第（1） （2） （3）项为必备项，供应商在单一来源响应文件中必须提供有关材料，如果缺项，或不符合要求，将导致投标无效。</w:t>
      </w:r>
    </w:p>
    <w:p>
      <w:pPr>
        <w:pStyle w:val="28"/>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8.3 供应商在投标中违反国家有关法律法规的强制性规定的，其投标按未满足单一来源采购文件实质性要求处理。</w:t>
      </w:r>
    </w:p>
    <w:p>
      <w:pPr>
        <w:pStyle w:val="28"/>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9. 单一来源响应文件格式</w:t>
      </w:r>
    </w:p>
    <w:p>
      <w:pPr>
        <w:pStyle w:val="28"/>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9.1 供应商应按单一来源采购文件提供的格式完整地填写所提供的货物、服务、数量及价格。</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10. 投标报价</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10.1 供应商应按单一来源采购文件所附的《开标一览表》和《投标产品名称、数量、规格及报价明细表》中的项目，标明拟提供货物和服务的单价和总价。如单价和总价不符，以单价累计为准。</w:t>
      </w:r>
    </w:p>
    <w:p>
      <w:pPr>
        <w:pStyle w:val="28"/>
        <w:spacing w:line="360" w:lineRule="auto"/>
        <w:ind w:firstLine="567"/>
        <w:jc w:val="both"/>
        <w:rPr>
          <w:rFonts w:ascii="仿宋" w:hAnsi="仿宋" w:eastAsia="仿宋" w:cs="仿宋"/>
          <w:sz w:val="28"/>
        </w:rPr>
      </w:pPr>
      <w:r>
        <w:rPr>
          <w:rFonts w:hint="eastAsia" w:ascii="仿宋" w:hAnsi="仿宋" w:eastAsia="仿宋" w:cs="仿宋"/>
          <w:sz w:val="28"/>
        </w:rPr>
        <w:t>10.2 本标只接受一个报价，不接受备选方案，但不拒绝优惠声明，优惠声明需在《开标一览表》备注中填写。</w:t>
      </w:r>
    </w:p>
    <w:p>
      <w:pPr>
        <w:pStyle w:val="28"/>
        <w:spacing w:line="360" w:lineRule="auto"/>
        <w:ind w:firstLine="562"/>
        <w:rPr>
          <w:rFonts w:ascii="仿宋" w:hAnsi="仿宋" w:eastAsia="仿宋" w:cs="仿宋"/>
          <w:sz w:val="28"/>
        </w:rPr>
      </w:pPr>
      <w:r>
        <w:rPr>
          <w:rFonts w:hint="eastAsia" w:ascii="仿宋" w:hAnsi="仿宋" w:eastAsia="仿宋" w:cs="仿宋"/>
          <w:sz w:val="28"/>
        </w:rPr>
        <w:t>10.3 供应商应按单一来源采购文件的要求对有关设计、货物及其配套服务的全部内容进行报价。投标报价应包括：</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10.3.2 单一来源采购文件中特别要求的零、备件费用。</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11. 投标货币</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11.1 本次投标货币为人民币。</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12. 证明供应商合格和资格的文件</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12.1 按照第8条规定，供应商应提交证明其有资格参加投标和一旦其投标被接受则有能力履行合同的文件，并作为其单一来源响应文件的一部分。</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12.2 供应商应填写并提交单一来源采购文件所要求的资格证明类文件。</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13. 证明货物的合格性和符合单一来源采购文件规定的文件</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13.1 按照第8条规定，供应商应提交单一来源采购文件要求的货物及其服务的合格性及符合单一来源采购文件规定的证明文件。证明文件可以是手册、图纸和资料，并作为单一来源响应文件的一部分。</w:t>
      </w:r>
    </w:p>
    <w:p>
      <w:pPr>
        <w:pStyle w:val="28"/>
        <w:spacing w:line="360" w:lineRule="auto"/>
        <w:ind w:firstLine="560"/>
        <w:rPr>
          <w:rFonts w:ascii="仿宋" w:hAnsi="仿宋" w:eastAsia="仿宋" w:cs="仿宋"/>
          <w:sz w:val="28"/>
        </w:rPr>
      </w:pPr>
      <w:r>
        <w:rPr>
          <w:rFonts w:hint="eastAsia" w:ascii="仿宋" w:hAnsi="仿宋" w:eastAsia="仿宋" w:cs="仿宋"/>
          <w:sz w:val="28"/>
        </w:rPr>
        <w:t>13.2 供应商应逐条阅读单一来源采购文件要求的技术规格及商务条款要求，指出自己提供的货物和服务是否对单一来源采购文件做出响应，并将不能响应之处在单一来源响应文件所附的“技术偏离表”和“商务（合同条款）偏离表”中一一列出。</w:t>
      </w:r>
    </w:p>
    <w:p>
      <w:pPr>
        <w:pStyle w:val="28"/>
        <w:spacing w:line="360" w:lineRule="auto"/>
        <w:ind w:firstLine="560"/>
        <w:rPr>
          <w:rFonts w:ascii="仿宋" w:hAnsi="仿宋" w:eastAsia="仿宋" w:cs="仿宋"/>
          <w:sz w:val="28"/>
        </w:rPr>
      </w:pPr>
      <w:r>
        <w:rPr>
          <w:rFonts w:hint="eastAsia" w:ascii="仿宋" w:hAnsi="仿宋" w:eastAsia="仿宋" w:cs="仿宋"/>
          <w:sz w:val="28"/>
        </w:rPr>
        <w:t>13.3 证明货物的合格性和符合单一来源采购文件规定的文件应包括下列内容：</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13.3.1 投标货物的试（检）验报告、鉴定证书（复印件）；</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13.3.2 执行的制造、验收标准；</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13.3.3 荣获产品质量、生产管理等方面的荣誉证书（复印件）；</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13.3.4 有关的产品样册、手册、图纸和资料；</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13.3.5 供应商认为有必要提供的其它证明文件；</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14. 单一来源响应文件的有效期</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14.1 单一来源响应文件从实际开标之日起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14.2 在特殊情况下，在原投标有效期届满之前，采购代理机构可与投标单位协商延长单一来源响应文件的有效期，并经投标方确认。</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15. 单一来源响应文件的书写要求、签署及份数。</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15.1 单一来源响应文件正本须用不褪色的墨水笔书写或打印。</w:t>
      </w:r>
    </w:p>
    <w:p>
      <w:pPr>
        <w:spacing w:line="360" w:lineRule="auto"/>
        <w:ind w:firstLine="560"/>
        <w:rPr>
          <w:rFonts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单一来源响应文件</w:t>
      </w:r>
      <w:r>
        <w:rPr>
          <w:rFonts w:hint="eastAsia" w:ascii="仿宋" w:hAnsi="仿宋" w:eastAsia="仿宋" w:cs="仿宋"/>
          <w:color w:val="000000"/>
          <w:sz w:val="28"/>
        </w:rPr>
        <w:t>的书写应清楚工整，修改处应由供应商授权代表签字或盖章。</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15.3 未实质性响应单一来源采购文件、或者关键字迹潦草、关键内容表达不清、或者未按要求填写或可能导致非唯一理解的单一来源响应文件将不能通过符合性检查，按重大偏离处理。</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15.4 单一来源响应文件应由企业法人或法人授权代表在所有规定签章处逐一签署及加盖单位的公章。</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15.5 单一来源响应文件的份数：详见《谈判须知前附表》。供应商应在单一来源响应文件封面左上角注明“正本”、“副本”字样，一旦正本和副本不符，以正本为准，参考资料不限量</w:t>
      </w:r>
      <w:r>
        <w:rPr>
          <w:rFonts w:hint="eastAsia" w:ascii="仿宋" w:hAnsi="仿宋" w:eastAsia="仿宋" w:cs="仿宋"/>
          <w:sz w:val="28"/>
          <w:szCs w:val="28"/>
        </w:rPr>
        <w:t>。</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15.6 供应商可根据投标内容的具体需要自行编制其它文件一式5份纳入单一来源响应文件中。</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15.7 单一来源响应文件的装订必须采用胶粘本，不允许任何活页形式装订（非胶粘方式装订的单一来源响应文件一律视同活页装订），活页方式装订视为投标无效。</w:t>
      </w:r>
    </w:p>
    <w:p>
      <w:pPr>
        <w:pStyle w:val="28"/>
        <w:spacing w:line="360" w:lineRule="auto"/>
        <w:ind w:firstLine="560"/>
        <w:rPr>
          <w:rFonts w:ascii="仿宋" w:hAnsi="仿宋" w:eastAsia="仿宋" w:cs="仿宋"/>
          <w:sz w:val="28"/>
        </w:rPr>
      </w:pPr>
      <w:r>
        <w:rPr>
          <w:rFonts w:hint="eastAsia" w:ascii="仿宋" w:hAnsi="仿宋" w:eastAsia="仿宋" w:cs="仿宋"/>
          <w:sz w:val="28"/>
        </w:rPr>
        <w:t>16. 谈判保证金</w:t>
      </w:r>
    </w:p>
    <w:p>
      <w:pPr>
        <w:pStyle w:val="28"/>
        <w:spacing w:line="360" w:lineRule="auto"/>
        <w:ind w:firstLine="560"/>
        <w:rPr>
          <w:rFonts w:ascii="仿宋" w:hAnsi="仿宋" w:eastAsia="仿宋" w:cs="仿宋"/>
          <w:sz w:val="28"/>
        </w:rPr>
      </w:pPr>
      <w:r>
        <w:rPr>
          <w:rFonts w:hint="eastAsia" w:ascii="仿宋" w:hAnsi="仿宋" w:eastAsia="仿宋" w:cs="仿宋"/>
          <w:sz w:val="28"/>
        </w:rPr>
        <w:t>16.1 谈判保证金金额见投标人须知前附表。</w:t>
      </w:r>
    </w:p>
    <w:p>
      <w:pPr>
        <w:pStyle w:val="28"/>
        <w:spacing w:line="360" w:lineRule="auto"/>
        <w:ind w:firstLine="560"/>
        <w:rPr>
          <w:rFonts w:ascii="仿宋" w:hAnsi="仿宋" w:eastAsia="仿宋" w:cs="仿宋"/>
          <w:sz w:val="28"/>
        </w:rPr>
      </w:pPr>
      <w:r>
        <w:rPr>
          <w:rFonts w:hint="eastAsia" w:ascii="仿宋" w:hAnsi="仿宋" w:eastAsia="仿宋" w:cs="仿宋"/>
          <w:sz w:val="28"/>
        </w:rPr>
        <w:t>16.2 谈判保证金用于保护本次招标免受供应商的违规、违约行为而引起的风险。</w:t>
      </w:r>
    </w:p>
    <w:p>
      <w:pPr>
        <w:pStyle w:val="28"/>
        <w:spacing w:line="360" w:lineRule="auto"/>
        <w:ind w:firstLine="560"/>
        <w:rPr>
          <w:rFonts w:ascii="仿宋" w:hAnsi="仿宋" w:eastAsia="仿宋" w:cs="仿宋"/>
          <w:sz w:val="28"/>
        </w:rPr>
      </w:pPr>
      <w:r>
        <w:rPr>
          <w:rFonts w:hint="eastAsia" w:ascii="仿宋" w:hAnsi="仿宋" w:eastAsia="仿宋" w:cs="仿宋"/>
          <w:sz w:val="28"/>
        </w:rPr>
        <w:t>16.3 谈判保证金应用人民币，由供应商按《谈判须知前附表》中明确的银行、账号，按16.1条要求的数额办理，并在单一来源响应文件中放保证金汇款凭证。</w:t>
      </w:r>
    </w:p>
    <w:p>
      <w:pPr>
        <w:pStyle w:val="28"/>
        <w:spacing w:line="360" w:lineRule="auto"/>
        <w:ind w:firstLine="560"/>
        <w:rPr>
          <w:rFonts w:ascii="仿宋" w:hAnsi="仿宋" w:eastAsia="仿宋" w:cs="仿宋"/>
          <w:sz w:val="28"/>
        </w:rPr>
      </w:pPr>
      <w:r>
        <w:rPr>
          <w:rFonts w:hint="eastAsia" w:ascii="仿宋" w:hAnsi="仿宋" w:eastAsia="仿宋" w:cs="仿宋"/>
          <w:sz w:val="28"/>
        </w:rPr>
        <w:t>16.4 谈判保证金的退还</w:t>
      </w:r>
    </w:p>
    <w:p>
      <w:pPr>
        <w:pStyle w:val="28"/>
        <w:spacing w:line="360" w:lineRule="auto"/>
        <w:ind w:firstLine="560"/>
        <w:rPr>
          <w:rFonts w:ascii="仿宋" w:hAnsi="仿宋" w:eastAsia="仿宋" w:cs="仿宋"/>
          <w:sz w:val="28"/>
        </w:rPr>
      </w:pPr>
      <w:r>
        <w:rPr>
          <w:rFonts w:hint="eastAsia" w:ascii="仿宋" w:hAnsi="仿宋" w:eastAsia="仿宋" w:cs="仿宋"/>
          <w:sz w:val="28"/>
        </w:rPr>
        <w:t>在该项目中标公示期满后，五个工作日内退还原账户。</w:t>
      </w:r>
    </w:p>
    <w:p>
      <w:pPr>
        <w:pStyle w:val="28"/>
        <w:spacing w:line="360" w:lineRule="auto"/>
        <w:ind w:firstLine="560"/>
        <w:rPr>
          <w:rFonts w:ascii="仿宋" w:hAnsi="仿宋" w:eastAsia="仿宋" w:cs="仿宋"/>
          <w:sz w:val="28"/>
        </w:rPr>
      </w:pPr>
      <w:r>
        <w:rPr>
          <w:rFonts w:hint="eastAsia" w:ascii="仿宋" w:hAnsi="仿宋" w:eastAsia="仿宋" w:cs="仿宋"/>
          <w:sz w:val="28"/>
        </w:rPr>
        <w:t>16.5 发生以下情况谈判保证金可能被没收：</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16.5.1 如果供应商在投标有效期内撤销单一来源响应文件；</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16.5.2 如果供应商串通投标的；</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16.5.3 如果中标供应商未能做到：</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a. 按29条规定签定合同；</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b. 第32条有关缴纳成交服务费的规定；</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c. 按单一来源采购文件要求提交合同履约保证金的。</w:t>
      </w:r>
    </w:p>
    <w:p>
      <w:pPr>
        <w:pStyle w:val="6"/>
        <w:spacing w:line="360" w:lineRule="auto"/>
        <w:jc w:val="center"/>
        <w:rPr>
          <w:rFonts w:cs="仿宋"/>
        </w:rPr>
      </w:pPr>
      <w:bookmarkStart w:id="29" w:name="_Toc82497897"/>
      <w:bookmarkStart w:id="30" w:name="_Toc56170383"/>
      <w:bookmarkStart w:id="31" w:name="_Toc65158530"/>
      <w:bookmarkStart w:id="32" w:name="_Toc29047"/>
      <w:r>
        <w:rPr>
          <w:rFonts w:hint="eastAsia" w:cs="仿宋"/>
        </w:rPr>
        <w:t>四、单一来源响应文件的递交</w:t>
      </w:r>
      <w:bookmarkEnd w:id="29"/>
      <w:bookmarkEnd w:id="30"/>
      <w:bookmarkEnd w:id="31"/>
      <w:bookmarkEnd w:id="32"/>
    </w:p>
    <w:p>
      <w:pPr>
        <w:pStyle w:val="28"/>
        <w:spacing w:line="360" w:lineRule="auto"/>
        <w:ind w:firstLine="560"/>
        <w:jc w:val="both"/>
        <w:rPr>
          <w:rFonts w:ascii="仿宋" w:hAnsi="仿宋" w:eastAsia="仿宋" w:cs="仿宋"/>
          <w:sz w:val="28"/>
        </w:rPr>
      </w:pPr>
      <w:r>
        <w:rPr>
          <w:rFonts w:hint="eastAsia" w:ascii="仿宋" w:hAnsi="仿宋" w:eastAsia="仿宋" w:cs="仿宋"/>
          <w:sz w:val="28"/>
        </w:rPr>
        <w:t>17. 单一来源响应文件的密封与标记</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17.1 供应商应将单一来源响应文件正本和副本分别装入信袋内加以密封，分别在信袋上标“正本”或“副本”，并在密封处加盖公章（或合同专用章）。</w:t>
      </w:r>
    </w:p>
    <w:p>
      <w:pPr>
        <w:pStyle w:val="28"/>
        <w:spacing w:line="360" w:lineRule="auto"/>
        <w:ind w:firstLine="562"/>
        <w:jc w:val="both"/>
        <w:rPr>
          <w:rFonts w:ascii="仿宋" w:hAnsi="仿宋" w:eastAsia="仿宋" w:cs="仿宋"/>
          <w:sz w:val="28"/>
        </w:rPr>
      </w:pPr>
      <w:r>
        <w:rPr>
          <w:rFonts w:hint="eastAsia" w:ascii="仿宋" w:hAnsi="仿宋" w:eastAsia="仿宋" w:cs="仿宋"/>
          <w:sz w:val="28"/>
        </w:rPr>
        <w:t>17.2 供应商应将填好的开标一览表单独</w:t>
      </w:r>
      <w:r>
        <w:rPr>
          <w:rFonts w:hint="eastAsia" w:ascii="仿宋" w:hAnsi="仿宋" w:eastAsia="仿宋" w:cs="仿宋"/>
          <w:bCs/>
          <w:sz w:val="28"/>
        </w:rPr>
        <w:t>密封一份在信袋内，在密封处加盖公章（或合同专用章），在信袋上注明“开标一览表”字样，作为</w:t>
      </w:r>
      <w:r>
        <w:rPr>
          <w:rFonts w:hint="eastAsia" w:ascii="仿宋" w:hAnsi="仿宋" w:eastAsia="仿宋" w:cs="仿宋"/>
          <w:sz w:val="28"/>
        </w:rPr>
        <w:t>单一来源响应文件</w:t>
      </w:r>
      <w:r>
        <w:rPr>
          <w:rFonts w:hint="eastAsia" w:ascii="仿宋" w:hAnsi="仿宋" w:eastAsia="仿宋" w:cs="仿宋"/>
          <w:bCs/>
          <w:sz w:val="28"/>
        </w:rPr>
        <w:t>的一部分</w:t>
      </w:r>
      <w:r>
        <w:rPr>
          <w:rFonts w:hint="eastAsia" w:ascii="仿宋" w:hAnsi="仿宋" w:eastAsia="仿宋" w:cs="仿宋"/>
          <w:sz w:val="28"/>
        </w:rPr>
        <w:t>。</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17.3 所有单一来源响应文件信袋封口处均应加贴封条，封条上应写明：</w:t>
      </w:r>
    </w:p>
    <w:p>
      <w:pPr>
        <w:pStyle w:val="28"/>
        <w:snapToGrid w:val="0"/>
        <w:spacing w:line="360" w:lineRule="auto"/>
        <w:ind w:firstLine="560" w:firstLineChars="200"/>
        <w:rPr>
          <w:rFonts w:hint="eastAsia" w:ascii="仿宋" w:hAnsi="仿宋" w:eastAsia="仿宋" w:cs="仿宋"/>
          <w:sz w:val="28"/>
          <w:lang w:eastAsia="zh-CN"/>
        </w:rPr>
      </w:pPr>
      <w:r>
        <w:rPr>
          <w:rFonts w:hint="eastAsia" w:ascii="仿宋" w:hAnsi="仿宋" w:eastAsia="仿宋" w:cs="仿宋"/>
          <w:sz w:val="28"/>
        </w:rPr>
        <w:t>⑴采购代理机构单位：</w:t>
      </w:r>
      <w:r>
        <w:rPr>
          <w:rFonts w:hint="eastAsia" w:ascii="仿宋" w:hAnsi="仿宋" w:eastAsia="仿宋" w:cs="仿宋"/>
          <w:sz w:val="28"/>
          <w:lang w:eastAsia="zh-CN"/>
        </w:rPr>
        <w:t>新疆科辰工程项目管理有限公司</w:t>
      </w:r>
    </w:p>
    <w:p>
      <w:pPr>
        <w:pStyle w:val="28"/>
        <w:snapToGrid w:val="0"/>
        <w:spacing w:line="360" w:lineRule="auto"/>
        <w:ind w:firstLine="560" w:firstLineChars="200"/>
        <w:rPr>
          <w:rFonts w:ascii="仿宋" w:hAnsi="仿宋" w:eastAsia="仿宋" w:cs="仿宋"/>
          <w:sz w:val="28"/>
        </w:rPr>
      </w:pPr>
      <w:r>
        <w:rPr>
          <w:rFonts w:hint="eastAsia" w:ascii="仿宋" w:hAnsi="仿宋" w:eastAsia="仿宋" w:cs="仿宋"/>
          <w:sz w:val="28"/>
        </w:rPr>
        <w:t xml:space="preserve">⑵项目名称： </w:t>
      </w:r>
    </w:p>
    <w:p>
      <w:pPr>
        <w:pStyle w:val="28"/>
        <w:snapToGrid w:val="0"/>
        <w:spacing w:line="360" w:lineRule="auto"/>
        <w:ind w:firstLine="560" w:firstLineChars="200"/>
        <w:rPr>
          <w:rFonts w:ascii="仿宋" w:hAnsi="仿宋" w:eastAsia="仿宋" w:cs="仿宋"/>
          <w:sz w:val="28"/>
        </w:rPr>
      </w:pPr>
      <w:r>
        <w:rPr>
          <w:rFonts w:hint="eastAsia" w:ascii="仿宋" w:hAnsi="仿宋" w:eastAsia="仿宋" w:cs="仿宋"/>
          <w:sz w:val="28"/>
        </w:rPr>
        <w:t>⑶招标编号：</w:t>
      </w:r>
    </w:p>
    <w:p>
      <w:pPr>
        <w:pStyle w:val="28"/>
        <w:snapToGrid w:val="0"/>
        <w:spacing w:line="360" w:lineRule="auto"/>
        <w:ind w:firstLine="560" w:firstLineChars="200"/>
        <w:rPr>
          <w:rFonts w:ascii="仿宋" w:hAnsi="仿宋" w:eastAsia="仿宋" w:cs="仿宋"/>
          <w:sz w:val="28"/>
        </w:rPr>
      </w:pPr>
      <w:r>
        <w:rPr>
          <w:rFonts w:hint="eastAsia" w:ascii="仿宋" w:hAnsi="仿宋" w:eastAsia="仿宋" w:cs="仿宋"/>
          <w:sz w:val="28"/>
        </w:rPr>
        <w:t>⑷投标企业名称和地址：</w:t>
      </w:r>
    </w:p>
    <w:p>
      <w:pPr>
        <w:pStyle w:val="28"/>
        <w:snapToGrid w:val="0"/>
        <w:spacing w:line="360" w:lineRule="auto"/>
        <w:ind w:firstLine="560" w:firstLineChars="200"/>
        <w:rPr>
          <w:rFonts w:ascii="仿宋" w:hAnsi="仿宋" w:eastAsia="仿宋" w:cs="仿宋"/>
          <w:sz w:val="28"/>
        </w:rPr>
      </w:pPr>
      <w:r>
        <w:rPr>
          <w:rFonts w:hint="eastAsia" w:ascii="仿宋" w:hAnsi="仿宋" w:eastAsia="仿宋" w:cs="仿宋"/>
          <w:sz w:val="28"/>
        </w:rPr>
        <w:t>⑸注明“谈判截止时间前不准启封”，“正本”，“副本”。</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17.4 未按本须知要求密封、标记和投递的单一来源响应文件，采购代理机构不对其后果负责。</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18. 单一来源响应文件递交的截止日期</w:t>
      </w:r>
    </w:p>
    <w:p>
      <w:pPr>
        <w:pStyle w:val="28"/>
        <w:spacing w:line="360" w:lineRule="auto"/>
        <w:ind w:firstLine="560" w:firstLineChars="200"/>
        <w:jc w:val="both"/>
        <w:rPr>
          <w:rFonts w:ascii="仿宋" w:hAnsi="仿宋" w:eastAsia="仿宋" w:cs="仿宋"/>
          <w:sz w:val="28"/>
          <w:u w:val="single"/>
        </w:rPr>
      </w:pPr>
      <w:r>
        <w:rPr>
          <w:rFonts w:hint="eastAsia" w:ascii="仿宋" w:hAnsi="仿宋" w:eastAsia="仿宋" w:cs="仿宋"/>
          <w:sz w:val="28"/>
        </w:rPr>
        <w:t>18.1 供应商必须在《谈判须知前附表》中规定的时间之前将单一来源响应文件送达到规定的地点。</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18.2 超过单一来源采购文件规定的投标截止时间送达的单一来源响应文件将不予接受。</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19. 单一来源响应文件的修改、撤回和撤销</w:t>
      </w:r>
    </w:p>
    <w:p>
      <w:pPr>
        <w:pStyle w:val="30"/>
        <w:spacing w:before="156" w:line="360" w:lineRule="auto"/>
        <w:ind w:firstLine="560"/>
        <w:rPr>
          <w:rFonts w:ascii="仿宋" w:hAnsi="仿宋" w:eastAsia="仿宋" w:cs="仿宋"/>
          <w:sz w:val="28"/>
        </w:rPr>
      </w:pPr>
      <w:r>
        <w:rPr>
          <w:rFonts w:hint="eastAsia" w:ascii="仿宋" w:hAnsi="仿宋" w:eastAsia="仿宋" w:cs="仿宋"/>
          <w:sz w:val="28"/>
        </w:rPr>
        <w:t>19.1 供应商在递交单一来源响应文件后，可在规定的投标截止时间之前，对其单一来源响应文件以书面通知的形式进行修改或撤销。该通知必须有授权委托人的签字，并得到采购人的确认。</w:t>
      </w:r>
    </w:p>
    <w:p>
      <w:pPr>
        <w:pStyle w:val="30"/>
        <w:spacing w:before="156" w:line="360" w:lineRule="auto"/>
        <w:ind w:firstLine="560"/>
        <w:rPr>
          <w:rFonts w:ascii="仿宋" w:hAnsi="仿宋" w:eastAsia="仿宋" w:cs="仿宋"/>
          <w:sz w:val="28"/>
        </w:rPr>
      </w:pPr>
      <w:r>
        <w:rPr>
          <w:rFonts w:hint="eastAsia" w:ascii="仿宋" w:hAnsi="仿宋" w:eastAsia="仿宋" w:cs="仿宋"/>
          <w:sz w:val="28"/>
        </w:rPr>
        <w:t>19.2 供应商对单一来源响应文件修改的书面材料或撤销通知应按单一来源采购文件要求进行密封、标注和递交，并注明“修改”或“撤销”字样，修改或撤销的内容须按单一来源采购文件的要求签署、盖章，并作为单一来源响应文件和其组成部分。</w:t>
      </w:r>
    </w:p>
    <w:p>
      <w:pPr>
        <w:pStyle w:val="30"/>
        <w:spacing w:before="156" w:line="360" w:lineRule="auto"/>
        <w:ind w:firstLine="560"/>
        <w:rPr>
          <w:rFonts w:ascii="仿宋" w:hAnsi="仿宋" w:eastAsia="仿宋" w:cs="仿宋"/>
          <w:sz w:val="28"/>
        </w:rPr>
      </w:pPr>
      <w:r>
        <w:rPr>
          <w:rFonts w:hint="eastAsia" w:ascii="仿宋" w:hAnsi="仿宋" w:eastAsia="仿宋" w:cs="仿宋"/>
          <w:sz w:val="28"/>
        </w:rPr>
        <w:t>19.3 对单一来源响应文件修改的书面材料应于谈判截止日前送达采购人，谈判截止时间以后不得修改单一来源响应文件。</w:t>
      </w:r>
    </w:p>
    <w:p>
      <w:pPr>
        <w:pStyle w:val="30"/>
        <w:spacing w:before="156" w:line="360" w:lineRule="auto"/>
        <w:ind w:firstLine="560"/>
        <w:jc w:val="both"/>
        <w:rPr>
          <w:rFonts w:ascii="仿宋" w:hAnsi="仿宋" w:eastAsia="仿宋" w:cs="仿宋"/>
          <w:sz w:val="28"/>
        </w:rPr>
      </w:pPr>
      <w:r>
        <w:rPr>
          <w:rFonts w:hint="eastAsia" w:ascii="仿宋" w:hAnsi="仿宋" w:eastAsia="仿宋" w:cs="仿宋"/>
          <w:sz w:val="28"/>
        </w:rPr>
        <w:t>19.4 供应商不得在开标后至谈判有效期满前撤销单一来源响应文件，否则采购人将没收其谈判保证金。</w:t>
      </w:r>
    </w:p>
    <w:p>
      <w:pPr>
        <w:pStyle w:val="30"/>
        <w:spacing w:line="360" w:lineRule="auto"/>
        <w:ind w:firstLine="560"/>
        <w:jc w:val="both"/>
        <w:rPr>
          <w:rFonts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有下列情形之一的，视为供应商串通投标，其投标无效：</w:t>
      </w:r>
    </w:p>
    <w:p>
      <w:pPr>
        <w:pStyle w:val="30"/>
        <w:spacing w:line="360" w:lineRule="auto"/>
        <w:ind w:firstLine="560"/>
        <w:jc w:val="both"/>
        <w:rPr>
          <w:rFonts w:ascii="仿宋" w:hAnsi="仿宋" w:eastAsia="仿宋" w:cs="仿宋"/>
          <w:sz w:val="28"/>
        </w:rPr>
      </w:pPr>
      <w:r>
        <w:rPr>
          <w:rFonts w:hint="eastAsia" w:ascii="仿宋" w:hAnsi="仿宋" w:eastAsia="仿宋" w:cs="仿宋"/>
          <w:sz w:val="28"/>
        </w:rPr>
        <w:t>⑴ 不同供应商的单一来源响应文件由同一单位或者个人编制;</w:t>
      </w:r>
    </w:p>
    <w:p>
      <w:pPr>
        <w:pStyle w:val="30"/>
        <w:spacing w:line="360" w:lineRule="auto"/>
        <w:ind w:firstLine="560"/>
        <w:jc w:val="both"/>
        <w:rPr>
          <w:rFonts w:ascii="仿宋" w:hAnsi="仿宋" w:eastAsia="仿宋" w:cs="仿宋"/>
          <w:sz w:val="28"/>
        </w:rPr>
      </w:pPr>
      <w:r>
        <w:rPr>
          <w:rFonts w:hint="eastAsia" w:ascii="仿宋" w:hAnsi="仿宋" w:eastAsia="仿宋" w:cs="仿宋"/>
          <w:sz w:val="28"/>
        </w:rPr>
        <w:t>⑵ 不同供应商委托同一单位或者个人办理投标事宜;</w:t>
      </w:r>
    </w:p>
    <w:p>
      <w:pPr>
        <w:pStyle w:val="30"/>
        <w:spacing w:line="360" w:lineRule="auto"/>
        <w:ind w:firstLine="560"/>
        <w:jc w:val="both"/>
        <w:rPr>
          <w:rFonts w:ascii="仿宋" w:hAnsi="仿宋" w:eastAsia="仿宋" w:cs="仿宋"/>
          <w:sz w:val="28"/>
        </w:rPr>
      </w:pPr>
      <w:r>
        <w:rPr>
          <w:rFonts w:hint="eastAsia" w:ascii="仿宋" w:hAnsi="仿宋" w:eastAsia="仿宋" w:cs="仿宋"/>
          <w:sz w:val="28"/>
        </w:rPr>
        <w:t>⑶ 不同供应商的单一来源响应文件载明的项目管理成员或者联系人员为同一人;</w:t>
      </w:r>
    </w:p>
    <w:p>
      <w:pPr>
        <w:pStyle w:val="30"/>
        <w:spacing w:line="360" w:lineRule="auto"/>
        <w:ind w:firstLine="560"/>
        <w:jc w:val="both"/>
        <w:rPr>
          <w:rFonts w:ascii="仿宋" w:hAnsi="仿宋" w:eastAsia="仿宋" w:cs="仿宋"/>
          <w:sz w:val="28"/>
        </w:rPr>
      </w:pPr>
      <w:r>
        <w:rPr>
          <w:rFonts w:hint="eastAsia" w:ascii="仿宋" w:hAnsi="仿宋" w:eastAsia="仿宋" w:cs="仿宋"/>
          <w:sz w:val="28"/>
        </w:rPr>
        <w:t>⑷ 不同供应商的单一来源响应文件异常一致或者投标报价呈规律性差异;</w:t>
      </w:r>
    </w:p>
    <w:p>
      <w:pPr>
        <w:pStyle w:val="30"/>
        <w:spacing w:line="360" w:lineRule="auto"/>
        <w:ind w:firstLine="560"/>
        <w:jc w:val="both"/>
        <w:rPr>
          <w:rFonts w:ascii="仿宋" w:hAnsi="仿宋" w:eastAsia="仿宋" w:cs="仿宋"/>
          <w:sz w:val="28"/>
        </w:rPr>
      </w:pPr>
      <w:r>
        <w:rPr>
          <w:rFonts w:hint="eastAsia" w:ascii="仿宋" w:hAnsi="仿宋" w:eastAsia="仿宋" w:cs="仿宋"/>
          <w:sz w:val="28"/>
        </w:rPr>
        <w:t>⑸ 不同供应商的单一来源响应文件相互混装;</w:t>
      </w:r>
    </w:p>
    <w:p>
      <w:pPr>
        <w:pStyle w:val="30"/>
        <w:spacing w:line="360" w:lineRule="auto"/>
        <w:ind w:firstLine="560"/>
        <w:jc w:val="both"/>
        <w:rPr>
          <w:rFonts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6"/>
        <w:spacing w:line="360" w:lineRule="auto"/>
        <w:rPr>
          <w:rFonts w:cs="仿宋"/>
        </w:rPr>
      </w:pPr>
      <w:bookmarkStart w:id="33" w:name="_Toc65158531"/>
      <w:bookmarkStart w:id="34" w:name="_Toc56170384"/>
      <w:bookmarkStart w:id="35" w:name="_Toc82497898"/>
      <w:bookmarkStart w:id="36" w:name="_Toc5267"/>
      <w:r>
        <w:rPr>
          <w:rFonts w:hint="eastAsia" w:cs="仿宋"/>
        </w:rPr>
        <w:t>五、</w:t>
      </w:r>
      <w:bookmarkEnd w:id="33"/>
      <w:bookmarkEnd w:id="34"/>
      <w:bookmarkEnd w:id="35"/>
      <w:r>
        <w:rPr>
          <w:rFonts w:hint="eastAsia" w:cs="仿宋"/>
        </w:rPr>
        <w:t>谈判</w:t>
      </w:r>
      <w:bookmarkEnd w:id="36"/>
    </w:p>
    <w:p>
      <w:pPr>
        <w:pStyle w:val="30"/>
        <w:spacing w:line="360" w:lineRule="auto"/>
        <w:ind w:firstLine="560"/>
        <w:jc w:val="both"/>
        <w:rPr>
          <w:rFonts w:ascii="仿宋" w:hAnsi="仿宋" w:eastAsia="仿宋" w:cs="仿宋"/>
          <w:sz w:val="28"/>
        </w:rPr>
      </w:pPr>
      <w:r>
        <w:rPr>
          <w:rFonts w:hint="eastAsia" w:ascii="仿宋" w:hAnsi="仿宋" w:eastAsia="仿宋" w:cs="仿宋"/>
          <w:sz w:val="28"/>
        </w:rPr>
        <w:t>21. 谈判</w:t>
      </w:r>
    </w:p>
    <w:p>
      <w:pPr>
        <w:pStyle w:val="28"/>
        <w:spacing w:line="360" w:lineRule="auto"/>
        <w:ind w:left="1" w:firstLine="562" w:firstLineChars="201"/>
        <w:jc w:val="both"/>
        <w:rPr>
          <w:rFonts w:ascii="仿宋" w:hAnsi="仿宋" w:eastAsia="仿宋" w:cs="仿宋"/>
          <w:sz w:val="28"/>
          <w:u w:val="single"/>
        </w:rPr>
      </w:pPr>
      <w:r>
        <w:rPr>
          <w:rFonts w:hint="eastAsia" w:ascii="仿宋" w:hAnsi="仿宋" w:eastAsia="仿宋" w:cs="仿宋"/>
          <w:sz w:val="28"/>
        </w:rPr>
        <w:t>21.1 除非采购代理机构另外书面通知，本项目将按本单一来源采购文件《谈判须知前附表》中规定的时间和地点进行谈判。</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21.2 谈判时，供应商须在密封的单一来源响应文件之外</w:t>
      </w:r>
      <w:r>
        <w:rPr>
          <w:rFonts w:hint="eastAsia" w:ascii="仿宋" w:hAnsi="仿宋" w:eastAsia="仿宋" w:cs="仿宋"/>
          <w:sz w:val="28"/>
          <w:szCs w:val="28"/>
          <w:em w:val="dot"/>
        </w:rPr>
        <w:t>随身携带</w:t>
      </w:r>
      <w:r>
        <w:rPr>
          <w:rFonts w:hint="eastAsia" w:ascii="仿宋" w:hAnsi="仿宋" w:eastAsia="仿宋" w:cs="仿宋"/>
          <w:sz w:val="28"/>
        </w:rPr>
        <w:t>投标人须知前附表6中所述证件，以备采购人对其资格进行审查。</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21.3 开标时唱《开标一览表》的内容，供应商名称、数量和价格等在唱标时一并唱出。</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21.4 唱标完毕后，如果供应商对所唱《开标一览表》内容有异议，应当场立即提出。经现场监标人员确认，认为有必要重新唱标的，由唱标员重新唱标。</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21.5 所有唱标均记录在案，并经各供应商代表和监标人员签字，作为各供应商单一来源响应文件的组成部分。</w:t>
      </w:r>
    </w:p>
    <w:p>
      <w:pPr>
        <w:pStyle w:val="6"/>
        <w:spacing w:line="360" w:lineRule="auto"/>
        <w:rPr>
          <w:rFonts w:cs="仿宋"/>
        </w:rPr>
      </w:pPr>
      <w:bookmarkStart w:id="37" w:name="_Toc65158532"/>
      <w:bookmarkStart w:id="38" w:name="_Toc12931"/>
      <w:bookmarkStart w:id="39" w:name="_Toc56170385"/>
      <w:bookmarkStart w:id="40" w:name="_Toc82497899"/>
      <w:r>
        <w:rPr>
          <w:rFonts w:hint="eastAsia" w:cs="仿宋"/>
        </w:rPr>
        <w:t>六、资格审查</w:t>
      </w:r>
      <w:bookmarkEnd w:id="37"/>
      <w:bookmarkEnd w:id="38"/>
      <w:bookmarkEnd w:id="39"/>
      <w:bookmarkEnd w:id="40"/>
    </w:p>
    <w:p>
      <w:pPr>
        <w:pStyle w:val="28"/>
        <w:spacing w:line="360" w:lineRule="auto"/>
        <w:ind w:firstLine="561"/>
        <w:rPr>
          <w:rFonts w:ascii="仿宋" w:hAnsi="仿宋" w:eastAsia="仿宋" w:cs="仿宋"/>
          <w:sz w:val="28"/>
        </w:rPr>
      </w:pPr>
      <w:r>
        <w:rPr>
          <w:rFonts w:hint="eastAsia" w:ascii="仿宋" w:hAnsi="仿宋" w:eastAsia="仿宋" w:cs="仿宋"/>
          <w:sz w:val="28"/>
        </w:rPr>
        <w:t>22. 资格审查</w:t>
      </w:r>
    </w:p>
    <w:p>
      <w:pPr>
        <w:pStyle w:val="28"/>
        <w:spacing w:line="360" w:lineRule="auto"/>
        <w:ind w:firstLine="561"/>
        <w:rPr>
          <w:rFonts w:ascii="仿宋" w:hAnsi="仿宋" w:eastAsia="仿宋" w:cs="仿宋"/>
          <w:sz w:val="28"/>
        </w:rPr>
      </w:pPr>
      <w:r>
        <w:rPr>
          <w:rFonts w:hint="eastAsia" w:ascii="仿宋" w:hAnsi="仿宋" w:eastAsia="仿宋" w:cs="仿宋"/>
          <w:sz w:val="28"/>
        </w:rPr>
        <w:t>22.1 采购人按照本章第8.1.1条中规定的内容对单一来源供应商的单一来源响应文件进行资格审查。资格审查不合格的，其投标无效。</w:t>
      </w:r>
    </w:p>
    <w:p>
      <w:pPr>
        <w:pStyle w:val="6"/>
        <w:spacing w:line="360" w:lineRule="auto"/>
        <w:rPr>
          <w:rFonts w:cs="仿宋"/>
        </w:rPr>
      </w:pPr>
      <w:bookmarkStart w:id="41" w:name="_Toc65158533"/>
      <w:bookmarkStart w:id="42" w:name="_Toc31900"/>
      <w:bookmarkStart w:id="43" w:name="_Toc82497900"/>
      <w:bookmarkStart w:id="44" w:name="_Toc56170386"/>
      <w:r>
        <w:rPr>
          <w:rFonts w:hint="eastAsia" w:cs="仿宋"/>
        </w:rPr>
        <w:t>七、谈判和定标</w:t>
      </w:r>
      <w:bookmarkEnd w:id="41"/>
      <w:bookmarkEnd w:id="42"/>
      <w:bookmarkEnd w:id="43"/>
      <w:bookmarkEnd w:id="44"/>
    </w:p>
    <w:p>
      <w:pPr>
        <w:pStyle w:val="28"/>
        <w:spacing w:line="360" w:lineRule="auto"/>
        <w:ind w:firstLine="560"/>
        <w:jc w:val="both"/>
        <w:rPr>
          <w:rFonts w:ascii="仿宋" w:hAnsi="仿宋" w:eastAsia="仿宋" w:cs="仿宋"/>
          <w:sz w:val="28"/>
        </w:rPr>
      </w:pPr>
      <w:r>
        <w:rPr>
          <w:rFonts w:hint="eastAsia" w:ascii="仿宋" w:hAnsi="仿宋" w:eastAsia="仿宋" w:cs="仿宋"/>
          <w:sz w:val="28"/>
        </w:rPr>
        <w:t>23. 谈判原则</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23.1 本项目的谈判遵循公平、公正、科学、择优的原则。</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23.2 谈判小组将严格按照《中华人民共和国政府采购法》、《中华人民共和国政府采购法实施条例》（国务院令第658号）、《政府采购货物和服务招标投标管理办法》（财政部87号令）、《政府采购非招标采购方式管理办法》（财政部74号令）等相关法律法规的规定依法谈判，维护各方当事人的合法权益。</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23.3 不徇私情，不明招暗定。</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23.4 资格审查合格的供应商，均有同等机会参加竞争。</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23.5 谈判小组不得私自泄露谈判内容，不得进行旨在影响谈判结果公正、公平的任何活动。</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24. 谈判方法</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24.1 采购代理机构将根据有关法律法规的规定组建本次谈判的谈判小组。谈判小组成员由本行业相关技术、经济等方面的专家组成。其中，技术、经济等方面的专家不少于成员总人数的三分之二。</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24.2 谈判的依据为单一来源采购文件和单一来源响应文件。根据相关法律法规的规定，谈判小组不以任何外部证据作为其谈判的依据或标准。</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24.3 谈判过程将严格保密。开标后直到授予中标供应商合同止，凡是属于审查、澄清、评价和比较的有关谈判资料以及授标建议等均不得向供应商或其他无关的人员透露。</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24.4 在谈判的整个过程中，供应商所进行的旨在影响谈判结果的活动，可能导致其投标被拒绝，或者被取消中标资格。</w:t>
      </w:r>
    </w:p>
    <w:p>
      <w:pPr>
        <w:pStyle w:val="28"/>
        <w:spacing w:line="360" w:lineRule="auto"/>
        <w:ind w:firstLine="562"/>
        <w:jc w:val="both"/>
        <w:rPr>
          <w:rFonts w:ascii="仿宋" w:hAnsi="仿宋" w:eastAsia="仿宋"/>
          <w:sz w:val="28"/>
        </w:rPr>
      </w:pPr>
      <w:r>
        <w:rPr>
          <w:rFonts w:hint="eastAsia" w:ascii="仿宋" w:hAnsi="仿宋" w:eastAsia="仿宋"/>
          <w:sz w:val="28"/>
        </w:rPr>
        <w:t>24.5 本次谈判采用最低价法进行谈判。谈判分符合性审查和价格谈判两个阶段。</w:t>
      </w:r>
    </w:p>
    <w:p>
      <w:pPr>
        <w:pStyle w:val="28"/>
        <w:spacing w:line="360" w:lineRule="auto"/>
        <w:ind w:firstLine="562"/>
        <w:jc w:val="both"/>
        <w:rPr>
          <w:rFonts w:ascii="仿宋" w:hAnsi="仿宋" w:eastAsia="仿宋"/>
          <w:sz w:val="28"/>
        </w:rPr>
      </w:pPr>
      <w:r>
        <w:rPr>
          <w:rFonts w:hint="eastAsia" w:ascii="仿宋" w:hAnsi="仿宋" w:eastAsia="仿宋"/>
          <w:sz w:val="28"/>
        </w:rPr>
        <w:t>24.5.1 只有通过符合性审查的单一来源响应文件才可进入谈判阶段。</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24.6 符合性审查</w:t>
      </w:r>
    </w:p>
    <w:p>
      <w:pPr>
        <w:pStyle w:val="28"/>
        <w:spacing w:line="360" w:lineRule="auto"/>
        <w:ind w:firstLine="560"/>
        <w:jc w:val="both"/>
        <w:rPr>
          <w:rFonts w:ascii="仿宋" w:hAnsi="仿宋" w:eastAsia="仿宋" w:cs="仿宋"/>
          <w:sz w:val="28"/>
        </w:rPr>
      </w:pPr>
      <w:r>
        <w:rPr>
          <w:rFonts w:hint="eastAsia" w:ascii="仿宋" w:hAnsi="仿宋" w:eastAsia="仿宋" w:cs="仿宋"/>
          <w:sz w:val="28"/>
        </w:rPr>
        <w:t>谈判小组对符合资格的供应商的单一来源响应文件进行符合性审查，以确定其是否满足单一来源采购文件的实质性要求，是否存在重大偏离。重大偏离系指单一来源响应文件的有效性、真实性、合同的供货范围、质量、性能和规格等内容在实质上与单一来源采购文件形成了重大的不一致，而这种不一致可能限制了买方的权力和供应商的义务，纠正或承认这些偏离将会对该供应商和其它供应商合理的竞争地位产生不公正的影响。与单一来源采购文件有重大偏离的单一来源响应文件将被拒绝，投标无效。具体评审内容系指：</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单一来源响应文件</w:t>
      </w:r>
      <w:r>
        <w:rPr>
          <w:rFonts w:hint="eastAsia" w:ascii="仿宋" w:hAnsi="仿宋" w:eastAsia="仿宋" w:cs="仿宋"/>
          <w:color w:val="000000"/>
          <w:sz w:val="28"/>
        </w:rPr>
        <w:t>组成不完整，主要内容未能按单一来源采购文件规定的内容、格式填写、装订；</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单一来源响应文件</w:t>
      </w:r>
      <w:r>
        <w:rPr>
          <w:rFonts w:hint="eastAsia" w:ascii="仿宋" w:hAnsi="仿宋" w:eastAsia="仿宋" w:cs="仿宋"/>
          <w:color w:val="000000"/>
          <w:sz w:val="28"/>
        </w:rPr>
        <w:t>的有效期不满足单一来源采购文件的规定；</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24.6.3 投标代表授权书未能由法定代表人签署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24.6.4 单一来源响应文件没有按照规定在应由企业法人或法人授权代表在所有规定签章处逐一签署及加盖单位公章的；</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24.6.5 明显不符合单一来源采购文件关于对投标项目技术规格和标准的要求；</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单一来源响应文件</w:t>
      </w:r>
      <w:r>
        <w:rPr>
          <w:rFonts w:hint="eastAsia" w:ascii="仿宋" w:hAnsi="仿宋" w:eastAsia="仿宋" w:cs="仿宋"/>
          <w:color w:val="000000"/>
          <w:sz w:val="28"/>
        </w:rPr>
        <w:t>载明的投标项目交货期限超过单一来源采购文件规定的期限；</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单一来源响应文件</w:t>
      </w:r>
      <w:r>
        <w:rPr>
          <w:rFonts w:hint="eastAsia" w:ascii="仿宋" w:hAnsi="仿宋" w:eastAsia="仿宋" w:cs="仿宋"/>
          <w:color w:val="000000"/>
          <w:sz w:val="28"/>
        </w:rPr>
        <w:t>载明的功能需求、验收标准和方法等不符合单一来源采购文件的要求；</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单一来源响应文件</w:t>
      </w:r>
      <w:r>
        <w:rPr>
          <w:rFonts w:hint="eastAsia" w:ascii="仿宋" w:hAnsi="仿宋" w:eastAsia="仿宋" w:cs="仿宋"/>
          <w:color w:val="000000"/>
          <w:sz w:val="28"/>
        </w:rPr>
        <w:t>含有采购人不能接受的附加条件；</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24.6.10 不符合法律、法规和单一来源采购文件中规定的其他实质性要求。</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单一来源响应文件</w:t>
      </w:r>
      <w:r>
        <w:rPr>
          <w:rFonts w:hint="eastAsia" w:ascii="仿宋" w:hAnsi="仿宋" w:eastAsia="仿宋" w:cs="仿宋"/>
          <w:color w:val="000000"/>
        </w:rPr>
        <w:t>，谈判小组将对其进行算术性修正。算术性修正是指对</w:t>
      </w:r>
      <w:r>
        <w:rPr>
          <w:rFonts w:hint="eastAsia" w:ascii="仿宋" w:hAnsi="仿宋" w:eastAsia="仿宋" w:cs="仿宋"/>
        </w:rPr>
        <w:t>单一来源响应文件</w:t>
      </w:r>
      <w:r>
        <w:rPr>
          <w:rFonts w:hint="eastAsia" w:ascii="仿宋" w:hAnsi="仿宋" w:eastAsia="仿宋" w:cs="仿宋"/>
          <w:color w:val="000000"/>
        </w:rPr>
        <w:t>报价出现前后不一致的进行校核，并对其算术上和运算上的差错给予修正。修正的原则如下：</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单一来源响应文件</w:t>
      </w:r>
      <w:r>
        <w:rPr>
          <w:rFonts w:hint="eastAsia" w:ascii="仿宋" w:hAnsi="仿宋" w:eastAsia="仿宋" w:cs="仿宋"/>
          <w:color w:val="000000"/>
          <w:sz w:val="28"/>
        </w:rPr>
        <w:t>中投标一览表内容与</w:t>
      </w:r>
      <w:r>
        <w:rPr>
          <w:rFonts w:hint="eastAsia" w:ascii="仿宋" w:hAnsi="仿宋" w:eastAsia="仿宋" w:cs="仿宋"/>
          <w:sz w:val="28"/>
        </w:rPr>
        <w:t>单一来源响应文件</w:t>
      </w:r>
      <w:r>
        <w:rPr>
          <w:rFonts w:hint="eastAsia" w:ascii="仿宋" w:hAnsi="仿宋" w:eastAsia="仿宋" w:cs="仿宋"/>
          <w:color w:val="000000"/>
          <w:sz w:val="28"/>
        </w:rPr>
        <w:t>中相应内容不一致的，以投标一览表为准；</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单一来源响应文件</w:t>
      </w:r>
      <w:r>
        <w:rPr>
          <w:rFonts w:hint="eastAsia" w:ascii="仿宋" w:hAnsi="仿宋" w:eastAsia="仿宋" w:cs="仿宋"/>
          <w:color w:val="000000"/>
          <w:sz w:val="28"/>
        </w:rPr>
        <w:t>的大写金额和小写金额不一致的，以大写金额为准；</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24.7.3 单价金额小数点或者百分比有明显错位的，以投标一览表的总价为准，并修改单价；</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同时出现两种以上不一致的，按照上述规定的顺序修正。修正后的报价须供应商确认，如果供应商拒绝确认，其投标无效。</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24.7.6 对不同文字文本单一来源响应文件的解释发生异议的，以中文文本为准。</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24.7.7 谈判小组将拒绝被定为实质上非响应性的投标，供应商不能通过修正或撤销不符之处而使其投标成为响应性投标。</w:t>
      </w:r>
    </w:p>
    <w:p>
      <w:pPr>
        <w:pStyle w:val="20"/>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24.7.8 谈判小组将允许投标中有微小的不正规、不一致或不规则，而该微小之处不构成重大偏离。</w:t>
      </w:r>
    </w:p>
    <w:p>
      <w:pPr>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24.8  经谈判小组评议，认为投标报价过高、均超出采购人预算或最高限价的项目，可以不确立中标供应商，重新组织招标。</w:t>
      </w:r>
    </w:p>
    <w:p>
      <w:pPr>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25. 单一来源响应文件的澄清</w:t>
      </w:r>
    </w:p>
    <w:p>
      <w:pPr>
        <w:autoSpaceDE w:val="0"/>
        <w:autoSpaceDN w:val="0"/>
        <w:adjustRightInd w:val="0"/>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25.1 谈判小组在评标过程中有权随时请供应商就单一来源响应文件中含混之处加以澄清或答疑。</w:t>
      </w:r>
    </w:p>
    <w:p>
      <w:pPr>
        <w:autoSpaceDE w:val="0"/>
        <w:autoSpaceDN w:val="0"/>
        <w:adjustRightInd w:val="0"/>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25.3  供应商的澄清文件是单一来源响应文件的组成部分，并取代单一来源响应文件中被澄清的部分。</w:t>
      </w:r>
    </w:p>
    <w:p>
      <w:pPr>
        <w:autoSpaceDE w:val="0"/>
        <w:autoSpaceDN w:val="0"/>
        <w:adjustRightInd w:val="0"/>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25.4  单一来源响应文件的澄清不得改变谈判的实质内容。</w:t>
      </w:r>
    </w:p>
    <w:p>
      <w:pPr>
        <w:autoSpaceDE w:val="0"/>
        <w:autoSpaceDN w:val="0"/>
        <w:adjustRightInd w:val="0"/>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s="仿宋"/>
          <w:color w:val="000000"/>
          <w:sz w:val="28"/>
        </w:rPr>
        <w:t>在全部满足单一来源采购文件中规定的商务、技术等方面的实质性要求后，谈判小组将向采购人推荐报价最低的供应商作为中标人。中标</w:t>
      </w:r>
      <w:r>
        <w:rPr>
          <w:rFonts w:hint="eastAsia" w:ascii="仿宋" w:hAnsi="仿宋" w:eastAsia="仿宋"/>
          <w:color w:val="000000"/>
          <w:kern w:val="0"/>
          <w:sz w:val="28"/>
        </w:rPr>
        <w:t>供应商拒绝与采购人签订合同的，采购人可以按照谈判报告推荐的中标供应商名单排序，确定下一候选人为成交供应商，也可以重新开展政府采购活动。</w:t>
      </w:r>
    </w:p>
    <w:p>
      <w:pPr>
        <w:pStyle w:val="28"/>
        <w:spacing w:line="360" w:lineRule="auto"/>
        <w:ind w:firstLine="560" w:firstLineChars="200"/>
        <w:jc w:val="both"/>
        <w:rPr>
          <w:rFonts w:ascii="仿宋" w:hAnsi="仿宋" w:eastAsia="仿宋" w:cs="仿宋"/>
          <w:kern w:val="2"/>
          <w:sz w:val="28"/>
        </w:rPr>
      </w:pPr>
      <w:r>
        <w:rPr>
          <w:rFonts w:hint="eastAsia" w:ascii="仿宋" w:hAnsi="仿宋" w:eastAsia="仿宋" w:cs="仿宋"/>
          <w:kern w:val="2"/>
          <w:sz w:val="28"/>
        </w:rPr>
        <w:t>27. 中标通知</w:t>
      </w:r>
    </w:p>
    <w:p>
      <w:pPr>
        <w:pStyle w:val="28"/>
        <w:spacing w:line="360" w:lineRule="auto"/>
        <w:ind w:firstLine="560" w:firstLineChars="200"/>
        <w:jc w:val="both"/>
        <w:rPr>
          <w:rFonts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28"/>
        <w:spacing w:line="360" w:lineRule="auto"/>
        <w:ind w:firstLine="560" w:firstLineChars="200"/>
        <w:jc w:val="both"/>
        <w:rPr>
          <w:rFonts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采购代理机构在《中标通知书》发出后五个工作日内退还未中标供应商的投标保证金，在采购合同签订后五个工作日内退还中标供应商的投标保证金。对于所有供应商的单一来源响应文件均</w:t>
      </w:r>
      <w:r>
        <w:rPr>
          <w:rFonts w:hint="eastAsia" w:ascii="仿宋" w:hAnsi="仿宋" w:eastAsia="仿宋" w:cs="仿宋"/>
          <w:sz w:val="28"/>
          <w:shd w:val="clear" w:color="auto" w:fill="FFFFFF"/>
        </w:rPr>
        <w:t>不予以退还，但对其承担保密责任。</w:t>
      </w:r>
    </w:p>
    <w:p>
      <w:pPr>
        <w:pStyle w:val="28"/>
        <w:spacing w:line="360" w:lineRule="auto"/>
        <w:ind w:firstLine="560" w:firstLineChars="200"/>
        <w:jc w:val="both"/>
        <w:rPr>
          <w:rFonts w:ascii="仿宋" w:hAnsi="仿宋" w:eastAsia="仿宋" w:cs="仿宋"/>
          <w:kern w:val="2"/>
          <w:sz w:val="28"/>
        </w:rPr>
      </w:pPr>
      <w:r>
        <w:rPr>
          <w:rFonts w:hint="eastAsia" w:ascii="仿宋" w:hAnsi="仿宋" w:eastAsia="仿宋" w:cs="仿宋"/>
          <w:kern w:val="2"/>
          <w:sz w:val="28"/>
        </w:rPr>
        <w:t>28. 拒绝某些或所有投标的权力。</w:t>
      </w:r>
    </w:p>
    <w:p>
      <w:pPr>
        <w:pStyle w:val="28"/>
        <w:spacing w:line="360" w:lineRule="auto"/>
        <w:ind w:firstLine="560" w:firstLineChars="200"/>
        <w:jc w:val="both"/>
        <w:rPr>
          <w:rFonts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6"/>
        <w:spacing w:line="360" w:lineRule="auto"/>
        <w:rPr>
          <w:rFonts w:cs="仿宋"/>
        </w:rPr>
      </w:pPr>
      <w:bookmarkStart w:id="45" w:name="_Toc56170387"/>
      <w:bookmarkStart w:id="46" w:name="_Toc17800"/>
      <w:bookmarkStart w:id="47" w:name="_Toc82497901"/>
      <w:bookmarkStart w:id="48" w:name="_Toc65158534"/>
      <w:r>
        <w:rPr>
          <w:rFonts w:hint="eastAsia" w:cs="仿宋"/>
        </w:rPr>
        <w:t>七、授予合同</w:t>
      </w:r>
      <w:bookmarkEnd w:id="45"/>
      <w:bookmarkEnd w:id="46"/>
      <w:bookmarkEnd w:id="47"/>
      <w:bookmarkEnd w:id="48"/>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29. 签订合同</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成交合同不得转让或分包。如需对合同的非主体部分进行转让或分包，供应商必须在单一来源采购文件中予以说明，并需经采购人同意。否则，采购人有权取消中标供应商的资格。</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30. 合同的组成</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30.1 下列文件均为经济合同不可分割的组成部分：</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30.1.1 单一来源采购文件及其附件、补遗文件；</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 xml:space="preserve">30.1.2 中标供应商的单一来源响应文件及其他附件； </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30.1.3 经确认的答疑记录；</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30.1.4 中标通知书。</w:t>
      </w:r>
    </w:p>
    <w:p>
      <w:pPr>
        <w:pStyle w:val="6"/>
        <w:spacing w:line="360" w:lineRule="auto"/>
        <w:rPr>
          <w:rFonts w:cs="仿宋"/>
        </w:rPr>
      </w:pPr>
      <w:bookmarkStart w:id="49" w:name="_Toc56170388"/>
      <w:bookmarkStart w:id="50" w:name="_Toc31821"/>
      <w:bookmarkStart w:id="51" w:name="_Toc82497902"/>
      <w:bookmarkStart w:id="52" w:name="_Toc65158535"/>
      <w:r>
        <w:rPr>
          <w:rFonts w:hint="eastAsia" w:cs="仿宋"/>
        </w:rPr>
        <w:t>八、买方授标时更改采购服务数量的权利</w:t>
      </w:r>
      <w:bookmarkEnd w:id="49"/>
      <w:bookmarkEnd w:id="50"/>
      <w:bookmarkEnd w:id="51"/>
      <w:bookmarkEnd w:id="52"/>
    </w:p>
    <w:p>
      <w:pPr>
        <w:pStyle w:val="29"/>
        <w:spacing w:before="100" w:after="50" w:line="360" w:lineRule="auto"/>
        <w:ind w:firstLine="560"/>
        <w:rPr>
          <w:rFonts w:ascii="仿宋" w:hAnsi="仿宋" w:eastAsia="仿宋" w:cs="仿宋"/>
          <w:color w:val="000000"/>
        </w:rPr>
      </w:pPr>
      <w:r>
        <w:rPr>
          <w:rFonts w:hint="eastAsia" w:ascii="仿宋" w:hAnsi="仿宋" w:eastAsia="仿宋" w:cs="仿宋"/>
          <w:color w:val="000000"/>
        </w:rPr>
        <w:t>31. 采购人在采购合同履行期间，有权按“投标须知前附表”第14项约定的内容对“货物需求表”中规定的货物数量和服务予以局部增加或减少，但不得对单价或其它实质性内容做任何改变，对增减的数量按同类型成交产品价结算货款。</w:t>
      </w:r>
    </w:p>
    <w:p>
      <w:pPr>
        <w:pStyle w:val="6"/>
        <w:spacing w:line="360" w:lineRule="auto"/>
        <w:rPr>
          <w:rFonts w:cs="仿宋"/>
        </w:rPr>
      </w:pPr>
      <w:bookmarkStart w:id="53" w:name="_Toc56170389"/>
      <w:bookmarkStart w:id="54" w:name="_Toc82497903"/>
      <w:bookmarkStart w:id="55" w:name="_Toc19926"/>
      <w:bookmarkStart w:id="56" w:name="_Toc65158536"/>
      <w:r>
        <w:rPr>
          <w:rFonts w:hint="eastAsia" w:cs="仿宋"/>
        </w:rPr>
        <w:t>九、其他事项</w:t>
      </w:r>
      <w:bookmarkEnd w:id="53"/>
      <w:bookmarkEnd w:id="54"/>
      <w:bookmarkEnd w:id="55"/>
      <w:bookmarkEnd w:id="56"/>
    </w:p>
    <w:p>
      <w:pPr>
        <w:pStyle w:val="28"/>
        <w:spacing w:line="360" w:lineRule="auto"/>
        <w:ind w:firstLine="560" w:firstLineChars="200"/>
        <w:rPr>
          <w:rFonts w:ascii="仿宋" w:hAnsi="仿宋" w:eastAsia="仿宋" w:cs="仿宋"/>
          <w:sz w:val="28"/>
        </w:rPr>
      </w:pPr>
      <w:r>
        <w:rPr>
          <w:rFonts w:hint="eastAsia" w:ascii="仿宋" w:hAnsi="仿宋" w:eastAsia="仿宋" w:cs="仿宋"/>
          <w:sz w:val="28"/>
        </w:rPr>
        <w:t>32.  代理服务费</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32.1 中标供应商应按本单一来源采购文件的规定，在《中标通知书》核发时至核发后3天内，向采购代理机构支付代理服务费；</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33. 本单一来源采购文件是根据《中华人民共和国政府采购法》及其实施条例（658号令）及《政府采购货物和服务招标投标管理办法》（87号令）规定编制的，解释权属</w:t>
      </w:r>
      <w:r>
        <w:rPr>
          <w:rFonts w:hint="eastAsia" w:ascii="仿宋" w:hAnsi="仿宋" w:eastAsia="仿宋" w:cs="仿宋"/>
          <w:sz w:val="28"/>
          <w:lang w:eastAsia="zh-CN"/>
        </w:rPr>
        <w:t>新疆科辰工程项目管理有限公司</w:t>
      </w:r>
      <w:r>
        <w:rPr>
          <w:rFonts w:hint="eastAsia" w:ascii="仿宋" w:hAnsi="仿宋" w:eastAsia="仿宋" w:cs="仿宋"/>
          <w:sz w:val="28"/>
        </w:rPr>
        <w:t>。</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34. 为了做好投标工作，供应商应组织有关商务和技术人员，认真解答或澄清谈判小组在评标过程中提出的有关商务和技术问题。</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28"/>
        <w:numPr>
          <w:ilvl w:val="0"/>
          <w:numId w:val="2"/>
        </w:numPr>
        <w:spacing w:line="360" w:lineRule="auto"/>
        <w:ind w:firstLine="560" w:firstLineChars="200"/>
        <w:jc w:val="both"/>
        <w:rPr>
          <w:rFonts w:ascii="仿宋" w:hAnsi="仿宋" w:eastAsia="仿宋" w:cs="仿宋"/>
          <w:sz w:val="28"/>
        </w:rPr>
      </w:pPr>
      <w:r>
        <w:rPr>
          <w:rFonts w:hint="eastAsia" w:ascii="仿宋" w:hAnsi="仿宋" w:eastAsia="仿宋" w:cs="仿宋"/>
          <w:sz w:val="28"/>
        </w:rPr>
        <w:t>与招标代理机构、招标人和谈判小组的接触</w:t>
      </w:r>
    </w:p>
    <w:p>
      <w:pPr>
        <w:pStyle w:val="28"/>
        <w:spacing w:line="360" w:lineRule="auto"/>
        <w:ind w:firstLine="560" w:firstLineChars="200"/>
        <w:jc w:val="both"/>
        <w:rPr>
          <w:rFonts w:ascii="仿宋" w:hAnsi="仿宋" w:eastAsia="仿宋" w:cs="仿宋"/>
          <w:sz w:val="28"/>
        </w:rPr>
      </w:pPr>
      <w:bookmarkStart w:id="57" w:name="_Hlt83546623"/>
      <w:bookmarkEnd w:id="57"/>
      <w:r>
        <w:rPr>
          <w:rFonts w:hint="eastAsia" w:ascii="仿宋" w:hAnsi="仿宋" w:eastAsia="仿宋" w:cs="仿宋"/>
          <w:sz w:val="28"/>
        </w:rPr>
        <w:t>35.1 除本须知第24.2条的规定外，从开标之日起至授予合同期间，供应商不得就与其投标有关的事项与招标代理机构、招标人和谈判小组接触。</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35.2 供应商试图对招标代理机构、招标人和谈判小组的评标或授予合同的决定进行影响，都可能导致其投标被拒绝，并承担相应的法律责任。</w:t>
      </w:r>
    </w:p>
    <w:p>
      <w:pPr>
        <w:pStyle w:val="28"/>
        <w:spacing w:line="360" w:lineRule="auto"/>
        <w:ind w:firstLine="560" w:firstLineChars="200"/>
        <w:jc w:val="both"/>
        <w:rPr>
          <w:rFonts w:ascii="仿宋" w:hAnsi="仿宋" w:eastAsia="仿宋" w:cs="仿宋"/>
          <w:sz w:val="28"/>
        </w:rPr>
      </w:pPr>
      <w:r>
        <w:rPr>
          <w:rFonts w:hint="eastAsia" w:ascii="仿宋" w:hAnsi="仿宋" w:eastAsia="仿宋" w:cs="仿宋"/>
          <w:sz w:val="28"/>
        </w:rPr>
        <w:t>35.3 开标后直至向中标的供应商授予合同止，凡与审查、澄清、评价和比较投标的有关资料以及授权意见等，参与谈判人员均不得向供应商及任何与评标无关的其他人透露。</w:t>
      </w:r>
    </w:p>
    <w:p>
      <w:pPr>
        <w:pStyle w:val="4"/>
        <w:numPr>
          <w:ilvl w:val="0"/>
          <w:numId w:val="3"/>
        </w:numPr>
        <w:rPr>
          <w:rFonts w:cs="仿宋"/>
        </w:rPr>
      </w:pPr>
      <w:r>
        <w:rPr>
          <w:rFonts w:hint="eastAsia" w:cs="仿宋"/>
        </w:rPr>
        <w:br w:type="page"/>
      </w:r>
      <w:bookmarkStart w:id="58" w:name="_Toc14432"/>
      <w:bookmarkStart w:id="59" w:name="_Toc56170390"/>
      <w:bookmarkStart w:id="60" w:name="_Toc82497904"/>
      <w:bookmarkStart w:id="61" w:name="_Toc55990501"/>
      <w:r>
        <w:rPr>
          <w:rFonts w:hint="eastAsia" w:cs="仿宋"/>
        </w:rPr>
        <w:t>招标内容及技术要求</w:t>
      </w:r>
      <w:bookmarkEnd w:id="58"/>
      <w:bookmarkEnd w:id="59"/>
      <w:bookmarkEnd w:id="60"/>
      <w:bookmarkEnd w:id="61"/>
    </w:p>
    <w:p>
      <w:pPr>
        <w:jc w:val="center"/>
        <w:rPr>
          <w:rFonts w:hint="eastAsia" w:ascii="仿宋" w:hAnsi="仿宋" w:eastAsia="仿宋" w:cs="仿宋"/>
          <w:sz w:val="24"/>
          <w:szCs w:val="22"/>
          <w:lang w:val="en-US" w:eastAsia="zh-CN"/>
        </w:rPr>
      </w:pPr>
      <w:bookmarkStart w:id="62" w:name="_Toc82497923"/>
      <w:bookmarkStart w:id="63" w:name="_Toc55990502"/>
      <w:bookmarkStart w:id="64" w:name="_Toc56170391"/>
      <w:r>
        <w:rPr>
          <w:rFonts w:hint="eastAsia" w:ascii="仿宋" w:hAnsi="仿宋" w:eastAsia="仿宋" w:cs="仿宋"/>
          <w:b/>
          <w:bCs/>
          <w:sz w:val="28"/>
          <w:szCs w:val="24"/>
          <w:lang w:val="en-US" w:eastAsia="zh-CN"/>
        </w:rPr>
        <w:t>生化电解质模块 1套</w:t>
      </w:r>
    </w:p>
    <w:tbl>
      <w:tblPr>
        <w:tblStyle w:val="22"/>
        <w:tblW w:w="9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7"/>
        <w:gridCol w:w="3776"/>
        <w:gridCol w:w="3530"/>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2" w:hRule="atLeast"/>
        </w:trPr>
        <w:tc>
          <w:tcPr>
            <w:tcW w:w="9530" w:type="dxa"/>
            <w:gridSpan w:val="4"/>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0"/>
                <w:szCs w:val="40"/>
                <w:u w:val="none"/>
                <w:lang w:val="en-US" w:eastAsia="zh-CN" w:bidi="ar"/>
              </w:rPr>
              <w:t>迈瑞生化电解质模块技术参数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3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参数条目</w:t>
            </w:r>
          </w:p>
        </w:tc>
        <w:tc>
          <w:tcPr>
            <w:tcW w:w="3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招标参数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测量项目</w:t>
            </w:r>
          </w:p>
        </w:tc>
        <w:tc>
          <w:tcPr>
            <w:tcW w:w="3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Na+  K+  Cl-</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3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测试原理</w:t>
            </w:r>
          </w:p>
        </w:tc>
        <w:tc>
          <w:tcPr>
            <w:tcW w:w="3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间接离子选择电极法，样本量22μL，理论稀释倍数33倍</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3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样本类型</w:t>
            </w:r>
          </w:p>
        </w:tc>
        <w:tc>
          <w:tcPr>
            <w:tcW w:w="3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血清、血浆、尿液</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3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测试速度</w:t>
            </w:r>
          </w:p>
        </w:tc>
        <w:tc>
          <w:tcPr>
            <w:tcW w:w="3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200个血清样本/H、150尿液样本/H</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3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血清、血浆测量范围</w:t>
            </w:r>
          </w:p>
        </w:tc>
        <w:tc>
          <w:tcPr>
            <w:tcW w:w="3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Na---100~～200 mmol/L，K ---1～~10 mmol/L，Cl---50~～200 mmol/L</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37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尿液测量范围</w:t>
            </w:r>
          </w:p>
        </w:tc>
        <w:tc>
          <w:tcPr>
            <w:tcW w:w="3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Na---10～~400 mmol/L，K ---2～~300 mmol/L，Cl---15~～400 mmol/L</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8"/>
                <w:szCs w:val="28"/>
                <w:u w:val="none"/>
              </w:rPr>
            </w:pPr>
          </w:p>
        </w:tc>
      </w:tr>
    </w:tbl>
    <w:p>
      <w:pPr>
        <w:pStyle w:val="2"/>
        <w:rPr>
          <w:rFonts w:hint="default"/>
          <w:sz w:val="21"/>
          <w:szCs w:val="21"/>
          <w:lang w:val="en-US" w:eastAsia="zh-CN"/>
        </w:rPr>
      </w:pPr>
    </w:p>
    <w:p>
      <w:pPr>
        <w:rPr>
          <w:rFonts w:ascii="仿宋" w:hAnsi="仿宋" w:eastAsia="仿宋" w:cs="仿宋"/>
          <w:color w:val="000000" w:themeColor="text1"/>
          <w:kern w:val="0"/>
          <w:sz w:val="36"/>
          <w:szCs w:val="36"/>
        </w:rPr>
      </w:pPr>
      <w:r>
        <w:rPr>
          <w:rFonts w:hint="eastAsia" w:ascii="仿宋" w:hAnsi="仿宋" w:eastAsia="仿宋" w:cs="仿宋"/>
          <w:color w:val="000000" w:themeColor="text1"/>
          <w:kern w:val="0"/>
          <w:sz w:val="36"/>
          <w:szCs w:val="36"/>
        </w:rPr>
        <w:br w:type="page"/>
      </w:r>
    </w:p>
    <w:p>
      <w:pPr>
        <w:jc w:val="center"/>
        <w:rPr>
          <w:rFonts w:ascii="仿宋" w:hAnsi="仿宋" w:eastAsia="仿宋" w:cs="仿宋"/>
          <w:color w:val="auto"/>
          <w:kern w:val="0"/>
          <w:sz w:val="44"/>
          <w:szCs w:val="44"/>
        </w:rPr>
      </w:pPr>
      <w:r>
        <w:rPr>
          <w:rFonts w:hint="eastAsia" w:ascii="仿宋" w:hAnsi="仿宋" w:eastAsia="仿宋" w:cs="仿宋"/>
          <w:color w:val="auto"/>
          <w:kern w:val="0"/>
          <w:sz w:val="44"/>
          <w:szCs w:val="44"/>
        </w:rPr>
        <w:t>商务要求</w:t>
      </w:r>
    </w:p>
    <w:p>
      <w:pPr>
        <w:adjustRightInd w:val="0"/>
        <w:snapToGrid w:val="0"/>
        <w:spacing w:line="56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（一）交货时间：</w:t>
      </w:r>
      <w:r>
        <w:rPr>
          <w:rFonts w:hint="eastAsia" w:ascii="仿宋" w:hAnsi="仿宋" w:eastAsia="仿宋" w:cs="仿宋"/>
          <w:bCs/>
          <w:color w:val="auto"/>
          <w:kern w:val="0"/>
          <w:sz w:val="32"/>
          <w:szCs w:val="32"/>
        </w:rPr>
        <w:t>合同签订后</w:t>
      </w:r>
      <w:r>
        <w:rPr>
          <w:rFonts w:hint="eastAsia" w:ascii="仿宋" w:hAnsi="仿宋" w:eastAsia="仿宋" w:cs="仿宋"/>
          <w:bCs/>
          <w:color w:val="auto"/>
          <w:kern w:val="0"/>
          <w:sz w:val="32"/>
          <w:szCs w:val="32"/>
          <w:lang w:val="en-US" w:eastAsia="zh-CN"/>
        </w:rPr>
        <w:t>3</w:t>
      </w:r>
      <w:r>
        <w:rPr>
          <w:rFonts w:hint="eastAsia" w:ascii="仿宋" w:hAnsi="仿宋" w:eastAsia="仿宋" w:cs="仿宋"/>
          <w:bCs/>
          <w:color w:val="auto"/>
          <w:kern w:val="0"/>
          <w:sz w:val="32"/>
          <w:szCs w:val="32"/>
        </w:rPr>
        <w:t>0个日历日。</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（二）交货地点：</w:t>
      </w:r>
      <w:r>
        <w:rPr>
          <w:rFonts w:hint="eastAsia" w:ascii="仿宋" w:hAnsi="仿宋" w:eastAsia="仿宋" w:cs="仿宋"/>
          <w:kern w:val="0"/>
          <w:sz w:val="32"/>
          <w:szCs w:val="32"/>
          <w:lang w:eastAsia="zh-CN"/>
        </w:rPr>
        <w:t xml:space="preserve">新疆维吾尔自治区第二济困医院(新疆维吾尔自治区第五人民医院) </w:t>
      </w:r>
      <w:r>
        <w:rPr>
          <w:rFonts w:hint="eastAsia" w:ascii="仿宋" w:hAnsi="仿宋" w:eastAsia="仿宋" w:cs="仿宋"/>
          <w:kern w:val="0"/>
          <w:sz w:val="32"/>
          <w:szCs w:val="32"/>
        </w:rPr>
        <w:t xml:space="preserve">。   </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）提供投标设备的检测报告或技术白皮书，以国家权威部门提供的检测报告为准，并提供所投产品的彩色页面介绍。</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四</w:t>
      </w:r>
      <w:r>
        <w:rPr>
          <w:rFonts w:hint="eastAsia" w:ascii="仿宋" w:hAnsi="仿宋" w:eastAsia="仿宋" w:cs="仿宋"/>
          <w:kern w:val="0"/>
          <w:sz w:val="32"/>
          <w:szCs w:val="32"/>
        </w:rPr>
        <w:t>）售后服务要求：</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1、自验收合格之日起质保期整机</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rPr>
        <w:t>年。质保期内产品出现任何非人为故障及质量问题免费上门服务，质保期满后只收取材料成本费，软件终身免费升级，硬件终身维修。</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2、响应时间：30分钟内响应，12小时内给出解决方案，24小时内服务人员到场解决。（提供承诺函并加盖公章）</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3、培训要求：供应商应提供现场技术培训，保证使用人员能够正确地使用设备各种功能。（提供承诺函并加盖公章）</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4、供应商向采购人提供全部合格有效证件、软件使用证、操作手册、维修手册、图纸各一套(如有)，提供全套专用维修工具，应标明配置、规格、承诺作为合同附件，与合同具有同等法律效力。</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5、货物抵达使用单位后，供应商应在三天内派工程技术人员到达现场，在院方技术人员和检验检疫人员在场的情况下开箱点货物，卸车搬运，安装调试均由供应商负责，供应商承担所有费用。</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6、供应商派技术部门负责人到达现场，确认售后服务内容和相关事项，同时提供招标产品的检测报告(或技术白皮书)。</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7、验收合格进入保修期的条件是：符合商务条款的全部内容、符合合同内所有硬件、软件功能及临床应用培训的全部要求，采购人代表和有关专家签字、验收并有买方盖章为合格有效日期。依据合同逐项验收,如有不符合项即作为不合格产品,供应商承担一切责任；</w:t>
      </w:r>
    </w:p>
    <w:p>
      <w:pPr>
        <w:adjustRightInd w:val="0"/>
        <w:snapToGrid w:val="0"/>
        <w:spacing w:line="560" w:lineRule="exact"/>
        <w:rPr>
          <w:rFonts w:ascii="仿宋" w:hAnsi="仿宋" w:eastAsia="仿宋" w:cs="仿宋"/>
          <w:color w:val="auto"/>
          <w:kern w:val="0"/>
          <w:sz w:val="32"/>
          <w:szCs w:val="32"/>
        </w:rPr>
      </w:pPr>
      <w:r>
        <w:rPr>
          <w:rFonts w:hint="eastAsia" w:ascii="仿宋" w:hAnsi="仿宋" w:eastAsia="仿宋" w:cs="仿宋"/>
          <w:kern w:val="0"/>
          <w:sz w:val="32"/>
          <w:szCs w:val="32"/>
        </w:rPr>
        <w:t>（</w:t>
      </w:r>
      <w:r>
        <w:rPr>
          <w:rFonts w:hint="eastAsia" w:ascii="仿宋" w:hAnsi="仿宋" w:eastAsia="仿宋" w:cs="仿宋"/>
          <w:color w:val="auto"/>
          <w:kern w:val="0"/>
          <w:sz w:val="32"/>
          <w:szCs w:val="32"/>
        </w:rPr>
        <w:t>五）验收：</w:t>
      </w:r>
    </w:p>
    <w:p>
      <w:pPr>
        <w:adjustRightInd w:val="0"/>
        <w:snapToGrid w:val="0"/>
        <w:spacing w:line="56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1、严格按照采购文件要求和成交供应商响应文件内容进行验收。</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color w:val="auto"/>
          <w:kern w:val="0"/>
          <w:sz w:val="32"/>
          <w:szCs w:val="32"/>
        </w:rPr>
        <w:t>2、严格按照政府采购相关法</w:t>
      </w:r>
      <w:r>
        <w:rPr>
          <w:rFonts w:hint="eastAsia" w:ascii="仿宋" w:hAnsi="仿宋" w:eastAsia="仿宋" w:cs="仿宋"/>
          <w:kern w:val="0"/>
          <w:sz w:val="32"/>
          <w:szCs w:val="32"/>
        </w:rPr>
        <w:t>律法规以的要求进行验收。</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3、采购人可根据项目情况邀请专家进行验收。</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（六）其它要求：</w:t>
      </w:r>
    </w:p>
    <w:p>
      <w:pPr>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设备使用中有耗材，需提供耗材明细及报价（单价），并注明序号、产品名称、注册证名称、生产厂家、单价，（耗材报价需提供相应证明材料，如合同、中标通知书或其他证明材料）。</w:t>
      </w:r>
    </w:p>
    <w:p>
      <w:pPr>
        <w:adjustRightInd w:val="0"/>
        <w:snapToGrid w:val="0"/>
        <w:spacing w:line="560" w:lineRule="exact"/>
        <w:rPr>
          <w:rFonts w:ascii="仿宋" w:hAnsi="仿宋" w:eastAsia="仿宋" w:cs="仿宋"/>
          <w:kern w:val="0"/>
          <w:sz w:val="32"/>
          <w:szCs w:val="32"/>
        </w:rPr>
      </w:pPr>
    </w:p>
    <w:p/>
    <w:p>
      <w:pPr>
        <w:jc w:val="center"/>
        <w:rPr>
          <w:rFonts w:cs="仿宋"/>
          <w:sz w:val="28"/>
        </w:rPr>
      </w:pPr>
      <w:r>
        <w:rPr>
          <w:rFonts w:hint="eastAsia" w:ascii="仿宋" w:hAnsi="仿宋" w:eastAsia="仿宋" w:cs="仿宋"/>
        </w:rPr>
        <w:br w:type="page"/>
      </w:r>
      <w:bookmarkStart w:id="65" w:name="_Toc22847"/>
      <w:r>
        <w:rPr>
          <w:rFonts w:hint="eastAsia" w:ascii="仿宋" w:hAnsi="仿宋" w:eastAsia="仿宋" w:cs="宋体"/>
          <w:b/>
          <w:bCs/>
          <w:kern w:val="0"/>
          <w:sz w:val="28"/>
          <w:szCs w:val="28"/>
        </w:rPr>
        <w:t>第四章、合同</w:t>
      </w:r>
      <w:bookmarkEnd w:id="62"/>
      <w:bookmarkEnd w:id="63"/>
      <w:bookmarkEnd w:id="64"/>
      <w:bookmarkEnd w:id="65"/>
    </w:p>
    <w:p>
      <w:pPr>
        <w:widowControl/>
        <w:spacing w:before="135" w:after="135" w:line="240" w:lineRule="auto"/>
        <w:jc w:val="center"/>
        <w:rPr>
          <w:rFonts w:hint="eastAsia" w:ascii="宋体" w:hAnsi="宋体" w:eastAsia="宋体" w:cs="宋体"/>
          <w:b/>
          <w:bCs/>
          <w:color w:val="000000"/>
          <w:kern w:val="0"/>
          <w:sz w:val="36"/>
          <w:szCs w:val="36"/>
          <w:highlight w:val="none"/>
        </w:rPr>
      </w:pPr>
      <w:bookmarkStart w:id="66" w:name="_Toc82497924"/>
      <w:bookmarkStart w:id="67" w:name="_Toc56170392"/>
      <w:r>
        <w:rPr>
          <w:rFonts w:hint="eastAsia" w:ascii="宋体" w:hAnsi="宋体" w:eastAsia="宋体" w:cs="宋体"/>
          <w:b/>
          <w:bCs/>
          <w:color w:val="000000"/>
          <w:kern w:val="0"/>
          <w:sz w:val="36"/>
          <w:szCs w:val="36"/>
          <w:highlight w:val="none"/>
        </w:rPr>
        <w:t xml:space="preserve">新疆维吾尔自治区第二济困医院  </w:t>
      </w:r>
      <w:r>
        <w:rPr>
          <w:rFonts w:hint="eastAsia" w:ascii="宋体" w:hAnsi="宋体" w:eastAsia="宋体" w:cs="宋体"/>
          <w:b/>
          <w:bCs/>
          <w:color w:val="000000"/>
          <w:kern w:val="0"/>
          <w:sz w:val="36"/>
          <w:szCs w:val="36"/>
          <w:highlight w:val="none"/>
          <w:lang w:val="en-US" w:eastAsia="zh-CN"/>
        </w:rPr>
        <w:t xml:space="preserve">   </w:t>
      </w:r>
      <w:r>
        <w:rPr>
          <w:rFonts w:hint="eastAsia" w:ascii="宋体" w:hAnsi="宋体" w:eastAsia="宋体" w:cs="宋体"/>
          <w:b/>
          <w:bCs/>
          <w:color w:val="000000"/>
          <w:kern w:val="0"/>
          <w:sz w:val="36"/>
          <w:szCs w:val="36"/>
          <w:highlight w:val="none"/>
        </w:rPr>
        <w:t xml:space="preserve"> </w:t>
      </w:r>
      <w:r>
        <w:rPr>
          <w:rFonts w:hint="eastAsia" w:ascii="宋体" w:hAnsi="宋体" w:eastAsia="宋体" w:cs="宋体"/>
          <w:b/>
          <w:bCs/>
          <w:color w:val="000000"/>
          <w:kern w:val="0"/>
          <w:sz w:val="36"/>
          <w:szCs w:val="36"/>
          <w:highlight w:val="none"/>
          <w:lang w:val="en-US" w:eastAsia="zh-CN"/>
        </w:rPr>
        <w:t xml:space="preserve"> </w:t>
      </w:r>
      <w:r>
        <w:rPr>
          <w:rFonts w:hint="eastAsia" w:ascii="宋体" w:hAnsi="宋体" w:eastAsia="宋体" w:cs="宋体"/>
          <w:b/>
          <w:bCs/>
          <w:color w:val="000000"/>
          <w:kern w:val="0"/>
          <w:sz w:val="36"/>
          <w:szCs w:val="36"/>
          <w:highlight w:val="none"/>
        </w:rPr>
        <w:t xml:space="preserve">             </w:t>
      </w:r>
      <w:r>
        <w:rPr>
          <w:rFonts w:hint="eastAsia" w:ascii="宋体" w:hAnsi="宋体" w:eastAsia="宋体" w:cs="宋体"/>
          <w:b/>
          <w:bCs/>
          <w:color w:val="000000"/>
          <w:kern w:val="0"/>
          <w:sz w:val="36"/>
          <w:szCs w:val="36"/>
          <w:highlight w:val="none"/>
          <w:lang w:val="en-US" w:eastAsia="zh-CN"/>
        </w:rPr>
        <w:t xml:space="preserve">    </w:t>
      </w:r>
      <w:r>
        <w:rPr>
          <w:rFonts w:hint="eastAsia" w:ascii="宋体" w:hAnsi="宋体" w:eastAsia="宋体" w:cs="宋体"/>
          <w:b/>
          <w:bCs/>
          <w:color w:val="000000"/>
          <w:kern w:val="0"/>
          <w:sz w:val="36"/>
          <w:szCs w:val="36"/>
          <w:highlight w:val="none"/>
        </w:rPr>
        <w:t>（新疆维吾尔自治区第五人民医院）</w:t>
      </w:r>
    </w:p>
    <w:p>
      <w:pPr>
        <w:widowControl/>
        <w:spacing w:before="135" w:after="135" w:line="440" w:lineRule="exact"/>
        <w:jc w:val="center"/>
        <w:rPr>
          <w:rFonts w:ascii="宋体" w:hAnsi="宋体" w:eastAsia="宋体" w:cs="宋体"/>
          <w:b/>
          <w:bCs/>
          <w:color w:val="000000"/>
          <w:kern w:val="0"/>
          <w:sz w:val="36"/>
          <w:szCs w:val="36"/>
          <w:highlight w:val="none"/>
        </w:rPr>
      </w:pPr>
      <w:r>
        <w:rPr>
          <w:rFonts w:hint="eastAsia" w:ascii="宋体" w:hAnsi="宋体" w:eastAsia="宋体" w:cs="宋体"/>
          <w:b/>
          <w:bCs/>
          <w:color w:val="000000"/>
          <w:kern w:val="0"/>
          <w:sz w:val="36"/>
          <w:szCs w:val="36"/>
          <w:highlight w:val="none"/>
        </w:rPr>
        <w:t>购买合同</w:t>
      </w:r>
    </w:p>
    <w:p>
      <w:pPr>
        <w:widowControl/>
        <w:spacing w:before="135" w:after="135" w:line="336" w:lineRule="auto"/>
        <w:jc w:val="left"/>
        <w:rPr>
          <w:rFonts w:ascii="宋体" w:hAnsi="宋体" w:eastAsia="宋体" w:cs="宋体"/>
          <w:b/>
          <w:bCs/>
          <w:color w:val="000000"/>
          <w:kern w:val="0"/>
          <w:highlight w:val="none"/>
        </w:rPr>
      </w:pPr>
      <w:r>
        <w:rPr>
          <w:rFonts w:ascii="宋体" w:hAnsi="宋体" w:eastAsia="宋体" w:cs="宋体"/>
          <w:b/>
          <w:bCs/>
          <w:color w:val="000000"/>
          <w:kern w:val="0"/>
          <w:highlight w:val="none"/>
        </w:rPr>
        <w:t>合同编号：</w:t>
      </w:r>
    </w:p>
    <w:p>
      <w:pPr>
        <w:widowControl/>
        <w:spacing w:before="135" w:after="135" w:line="336" w:lineRule="auto"/>
        <w:jc w:val="left"/>
        <w:rPr>
          <w:rFonts w:ascii="宋体" w:hAnsi="宋体" w:eastAsia="宋体" w:cs="宋体"/>
          <w:color w:val="000000"/>
          <w:kern w:val="0"/>
          <w:szCs w:val="21"/>
          <w:highlight w:val="none"/>
        </w:rPr>
      </w:pPr>
      <w:r>
        <w:rPr>
          <w:rFonts w:ascii="宋体" w:hAnsi="宋体" w:eastAsia="宋体" w:cs="宋体"/>
          <w:b/>
          <w:bCs/>
          <w:color w:val="000000"/>
          <w:kern w:val="0"/>
          <w:highlight w:val="none"/>
        </w:rPr>
        <w:t>签约地：</w:t>
      </w:r>
      <w:r>
        <w:rPr>
          <w:rFonts w:hint="eastAsia" w:ascii="宋体" w:hAnsi="宋体" w:eastAsia="宋体" w:cs="宋体"/>
          <w:b/>
          <w:bCs/>
          <w:color w:val="000000"/>
          <w:kern w:val="0"/>
          <w:highlight w:val="none"/>
        </w:rPr>
        <w:t>新疆维吾尔自治区第二济困医院</w:t>
      </w:r>
      <w:r>
        <w:rPr>
          <w:rFonts w:hint="eastAsia" w:ascii="宋体" w:hAnsi="宋体" w:eastAsia="宋体" w:cs="宋体"/>
          <w:b/>
          <w:bCs/>
          <w:color w:val="000000"/>
          <w:kern w:val="0"/>
          <w:szCs w:val="21"/>
          <w:highlight w:val="none"/>
        </w:rPr>
        <w:t>（新疆维吾尔自治区第五人民医院）</w:t>
      </w:r>
    </w:p>
    <w:p>
      <w:pPr>
        <w:widowControl/>
        <w:spacing w:before="135" w:after="135" w:line="336" w:lineRule="auto"/>
        <w:jc w:val="left"/>
        <w:rPr>
          <w:rFonts w:ascii="宋体" w:hAnsi="宋体" w:eastAsia="宋体" w:cs="宋体"/>
          <w:b/>
          <w:bCs/>
          <w:color w:val="000000"/>
          <w:kern w:val="0"/>
          <w:highlight w:val="none"/>
        </w:rPr>
      </w:pPr>
      <w:r>
        <w:rPr>
          <w:rFonts w:ascii="宋体" w:hAnsi="宋体" w:eastAsia="宋体" w:cs="宋体"/>
          <w:b/>
          <w:bCs/>
          <w:color w:val="000000"/>
          <w:kern w:val="0"/>
          <w:highlight w:val="none"/>
        </w:rPr>
        <w:t>甲方（买方）：</w:t>
      </w:r>
      <w:r>
        <w:rPr>
          <w:rFonts w:hint="eastAsia" w:ascii="宋体" w:hAnsi="宋体" w:eastAsia="宋体" w:cs="宋体"/>
          <w:b/>
          <w:bCs/>
          <w:color w:val="000000"/>
          <w:kern w:val="0"/>
          <w:highlight w:val="none"/>
        </w:rPr>
        <w:t>新疆维吾尔自治区第二济困医院</w:t>
      </w:r>
      <w:r>
        <w:rPr>
          <w:rFonts w:hint="eastAsia" w:ascii="宋体" w:hAnsi="宋体" w:eastAsia="宋体" w:cs="宋体"/>
          <w:b/>
          <w:bCs/>
          <w:color w:val="000000"/>
          <w:kern w:val="0"/>
          <w:szCs w:val="21"/>
          <w:highlight w:val="none"/>
        </w:rPr>
        <w:t>（新疆维吾尔自治区第五人民医院）</w:t>
      </w:r>
    </w:p>
    <w:p>
      <w:pPr>
        <w:widowControl/>
        <w:spacing w:line="336" w:lineRule="auto"/>
        <w:jc w:val="left"/>
        <w:rPr>
          <w:rFonts w:ascii="宋体" w:hAnsi="宋体" w:eastAsia="宋体" w:cs="宋体"/>
          <w:b/>
          <w:bCs/>
          <w:color w:val="0000FF"/>
          <w:kern w:val="0"/>
          <w:highlight w:val="none"/>
        </w:rPr>
      </w:pPr>
      <w:r>
        <w:rPr>
          <w:rFonts w:ascii="宋体" w:hAnsi="宋体" w:eastAsia="宋体" w:cs="宋体"/>
          <w:b/>
          <w:bCs/>
          <w:color w:val="0000FF"/>
          <w:kern w:val="0"/>
          <w:highlight w:val="none"/>
        </w:rPr>
        <w:t>乙方（卖方）：</w:t>
      </w:r>
    </w:p>
    <w:tbl>
      <w:tblPr>
        <w:tblStyle w:val="23"/>
        <w:tblpPr w:leftFromText="180" w:rightFromText="180" w:vertAnchor="text" w:horzAnchor="page" w:tblpXSpec="center" w:tblpY="873"/>
        <w:tblOverlap w:val="never"/>
        <w:tblW w:w="103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48"/>
        <w:gridCol w:w="1860"/>
        <w:gridCol w:w="1938"/>
        <w:gridCol w:w="696"/>
        <w:gridCol w:w="1477"/>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708" w:type="dxa"/>
            <w:noWrap w:val="0"/>
            <w:vAlign w:val="top"/>
          </w:tcPr>
          <w:p>
            <w:pPr>
              <w:spacing w:line="480" w:lineRule="auto"/>
              <w:jc w:val="center"/>
              <w:rPr>
                <w:rFonts w:ascii="宋体" w:hAnsi="宋体" w:eastAsia="宋体" w:cs="宋体"/>
                <w:color w:val="0000FF"/>
                <w:szCs w:val="21"/>
                <w:highlight w:val="none"/>
              </w:rPr>
            </w:pPr>
            <w:r>
              <w:rPr>
                <w:rFonts w:hint="eastAsia" w:ascii="宋体" w:hAnsi="宋体" w:eastAsia="宋体" w:cs="宋体"/>
                <w:color w:val="0000FF"/>
                <w:szCs w:val="21"/>
                <w:highlight w:val="none"/>
              </w:rPr>
              <w:t>序号</w:t>
            </w:r>
          </w:p>
        </w:tc>
        <w:tc>
          <w:tcPr>
            <w:tcW w:w="2148" w:type="dxa"/>
            <w:noWrap w:val="0"/>
            <w:vAlign w:val="top"/>
          </w:tcPr>
          <w:p>
            <w:pPr>
              <w:spacing w:line="480" w:lineRule="auto"/>
              <w:jc w:val="center"/>
              <w:rPr>
                <w:rFonts w:ascii="宋体" w:hAnsi="宋体" w:eastAsia="宋体" w:cs="宋体"/>
                <w:color w:val="0000FF"/>
                <w:szCs w:val="21"/>
                <w:highlight w:val="none"/>
              </w:rPr>
            </w:pPr>
            <w:r>
              <w:rPr>
                <w:rFonts w:hint="eastAsia" w:ascii="宋体" w:hAnsi="宋体" w:eastAsia="宋体" w:cs="宋体"/>
                <w:color w:val="0000FF"/>
                <w:szCs w:val="21"/>
                <w:highlight w:val="none"/>
              </w:rPr>
              <w:t>设备名称</w:t>
            </w:r>
          </w:p>
        </w:tc>
        <w:tc>
          <w:tcPr>
            <w:tcW w:w="1860" w:type="dxa"/>
            <w:noWrap w:val="0"/>
            <w:vAlign w:val="top"/>
          </w:tcPr>
          <w:p>
            <w:pPr>
              <w:spacing w:line="480" w:lineRule="auto"/>
              <w:jc w:val="center"/>
              <w:rPr>
                <w:rFonts w:ascii="宋体" w:hAnsi="宋体" w:eastAsia="宋体" w:cs="宋体"/>
                <w:color w:val="0000FF"/>
                <w:szCs w:val="21"/>
                <w:highlight w:val="none"/>
              </w:rPr>
            </w:pPr>
            <w:r>
              <w:rPr>
                <w:rFonts w:hint="eastAsia" w:ascii="宋体" w:hAnsi="宋体" w:eastAsia="宋体" w:cs="宋体"/>
                <w:color w:val="0000FF"/>
                <w:szCs w:val="21"/>
                <w:highlight w:val="none"/>
              </w:rPr>
              <w:t>规格/型号</w:t>
            </w:r>
          </w:p>
        </w:tc>
        <w:tc>
          <w:tcPr>
            <w:tcW w:w="1938" w:type="dxa"/>
            <w:noWrap w:val="0"/>
            <w:vAlign w:val="top"/>
          </w:tcPr>
          <w:p>
            <w:pPr>
              <w:spacing w:line="480" w:lineRule="auto"/>
              <w:jc w:val="center"/>
              <w:rPr>
                <w:rFonts w:ascii="宋体" w:hAnsi="宋体" w:eastAsia="宋体" w:cs="宋体"/>
                <w:color w:val="0000FF"/>
                <w:szCs w:val="21"/>
                <w:highlight w:val="none"/>
              </w:rPr>
            </w:pPr>
            <w:r>
              <w:rPr>
                <w:rFonts w:hint="eastAsia" w:ascii="宋体" w:hAnsi="宋体" w:eastAsia="宋体" w:cs="宋体"/>
                <w:color w:val="0000FF"/>
                <w:szCs w:val="21"/>
                <w:highlight w:val="none"/>
              </w:rPr>
              <w:t>产地/品牌</w:t>
            </w:r>
          </w:p>
        </w:tc>
        <w:tc>
          <w:tcPr>
            <w:tcW w:w="696" w:type="dxa"/>
            <w:noWrap w:val="0"/>
            <w:vAlign w:val="top"/>
          </w:tcPr>
          <w:p>
            <w:pPr>
              <w:spacing w:line="480" w:lineRule="auto"/>
              <w:jc w:val="center"/>
              <w:rPr>
                <w:rFonts w:ascii="宋体" w:hAnsi="宋体" w:eastAsia="宋体" w:cs="宋体"/>
                <w:color w:val="0000FF"/>
                <w:szCs w:val="21"/>
                <w:highlight w:val="none"/>
              </w:rPr>
            </w:pPr>
            <w:r>
              <w:rPr>
                <w:rFonts w:hint="eastAsia" w:ascii="宋体" w:hAnsi="宋体" w:eastAsia="宋体" w:cs="宋体"/>
                <w:color w:val="0000FF"/>
                <w:szCs w:val="21"/>
                <w:highlight w:val="none"/>
              </w:rPr>
              <w:t>数量</w:t>
            </w:r>
          </w:p>
        </w:tc>
        <w:tc>
          <w:tcPr>
            <w:tcW w:w="1477" w:type="dxa"/>
            <w:noWrap w:val="0"/>
            <w:vAlign w:val="top"/>
          </w:tcPr>
          <w:p>
            <w:pPr>
              <w:spacing w:line="480" w:lineRule="auto"/>
              <w:rPr>
                <w:rFonts w:ascii="宋体" w:hAnsi="宋体" w:eastAsia="宋体" w:cs="宋体"/>
                <w:color w:val="0000FF"/>
                <w:szCs w:val="21"/>
                <w:highlight w:val="none"/>
              </w:rPr>
            </w:pPr>
            <w:r>
              <w:rPr>
                <w:rFonts w:hint="eastAsia" w:ascii="宋体" w:hAnsi="宋体" w:eastAsia="宋体" w:cs="宋体"/>
                <w:color w:val="0000FF"/>
                <w:szCs w:val="21"/>
                <w:highlight w:val="none"/>
              </w:rPr>
              <w:t>含税单价（元）</w:t>
            </w:r>
          </w:p>
        </w:tc>
        <w:tc>
          <w:tcPr>
            <w:tcW w:w="1564" w:type="dxa"/>
            <w:noWrap w:val="0"/>
            <w:vAlign w:val="top"/>
          </w:tcPr>
          <w:p>
            <w:pPr>
              <w:spacing w:line="480" w:lineRule="auto"/>
              <w:jc w:val="center"/>
              <w:rPr>
                <w:rFonts w:ascii="宋体" w:hAnsi="宋体" w:eastAsia="宋体" w:cs="宋体"/>
                <w:color w:val="0000FF"/>
                <w:szCs w:val="21"/>
                <w:highlight w:val="none"/>
              </w:rPr>
            </w:pPr>
            <w:r>
              <w:rPr>
                <w:rFonts w:hint="eastAsia" w:ascii="宋体" w:hAnsi="宋体" w:eastAsia="宋体" w:cs="宋体"/>
                <w:color w:val="0000FF"/>
                <w:szCs w:val="21"/>
                <w:highlight w:val="none"/>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708" w:type="dxa"/>
            <w:noWrap w:val="0"/>
            <w:vAlign w:val="top"/>
          </w:tcPr>
          <w:p>
            <w:pPr>
              <w:spacing w:line="48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2148" w:type="dxa"/>
            <w:noWrap w:val="0"/>
            <w:vAlign w:val="top"/>
          </w:tcPr>
          <w:p>
            <w:pPr>
              <w:pageBreakBefore w:val="0"/>
              <w:kinsoku/>
              <w:wordWrap/>
              <w:overflowPunct/>
              <w:topLinePunct w:val="0"/>
              <w:bidi w:val="0"/>
              <w:spacing w:beforeAutospacing="0" w:afterAutospacing="0" w:line="500" w:lineRule="exact"/>
              <w:jc w:val="center"/>
              <w:rPr>
                <w:rFonts w:hint="eastAsia" w:ascii="宋体" w:hAnsi="宋体" w:eastAsia="宋体" w:cs="宋体"/>
                <w:color w:val="0000FF"/>
                <w:sz w:val="21"/>
                <w:szCs w:val="21"/>
                <w:highlight w:val="none"/>
                <w:lang w:val="en-US" w:eastAsia="zh-CN"/>
              </w:rPr>
            </w:pPr>
          </w:p>
        </w:tc>
        <w:tc>
          <w:tcPr>
            <w:tcW w:w="1860" w:type="dxa"/>
            <w:noWrap w:val="0"/>
            <w:vAlign w:val="top"/>
          </w:tcPr>
          <w:p>
            <w:pPr>
              <w:pageBreakBefore w:val="0"/>
              <w:kinsoku/>
              <w:wordWrap/>
              <w:overflowPunct/>
              <w:topLinePunct w:val="0"/>
              <w:bidi w:val="0"/>
              <w:spacing w:beforeAutospacing="0" w:afterAutospacing="0" w:line="500" w:lineRule="exact"/>
              <w:jc w:val="center"/>
              <w:rPr>
                <w:rFonts w:hint="eastAsia" w:ascii="宋体" w:hAnsi="宋体" w:eastAsia="宋体" w:cs="宋体"/>
                <w:color w:val="0000FF"/>
                <w:sz w:val="21"/>
                <w:szCs w:val="21"/>
                <w:highlight w:val="none"/>
                <w:lang w:val="en-US" w:eastAsia="zh-CN"/>
              </w:rPr>
            </w:pPr>
          </w:p>
        </w:tc>
        <w:tc>
          <w:tcPr>
            <w:tcW w:w="1938" w:type="dxa"/>
            <w:noWrap w:val="0"/>
            <w:vAlign w:val="top"/>
          </w:tcPr>
          <w:p>
            <w:pPr>
              <w:spacing w:line="480" w:lineRule="auto"/>
              <w:jc w:val="center"/>
              <w:rPr>
                <w:rFonts w:hint="eastAsia" w:ascii="宋体" w:hAnsi="宋体" w:eastAsia="宋体" w:cs="宋体"/>
                <w:color w:val="0000FF"/>
                <w:sz w:val="21"/>
                <w:szCs w:val="21"/>
                <w:highlight w:val="none"/>
                <w:lang w:val="en-US" w:eastAsia="zh-CN"/>
              </w:rPr>
            </w:pPr>
          </w:p>
        </w:tc>
        <w:tc>
          <w:tcPr>
            <w:tcW w:w="696" w:type="dxa"/>
            <w:noWrap w:val="0"/>
            <w:vAlign w:val="top"/>
          </w:tcPr>
          <w:p>
            <w:pPr>
              <w:spacing w:line="480" w:lineRule="auto"/>
              <w:jc w:val="center"/>
              <w:rPr>
                <w:rFonts w:hint="eastAsia" w:ascii="宋体" w:hAnsi="宋体" w:eastAsia="宋体" w:cs="宋体"/>
                <w:color w:val="0000FF"/>
                <w:sz w:val="21"/>
                <w:szCs w:val="21"/>
                <w:highlight w:val="none"/>
                <w:lang w:val="en-US" w:eastAsia="zh-CN"/>
              </w:rPr>
            </w:pPr>
          </w:p>
        </w:tc>
        <w:tc>
          <w:tcPr>
            <w:tcW w:w="1477" w:type="dxa"/>
            <w:noWrap w:val="0"/>
            <w:vAlign w:val="top"/>
          </w:tcPr>
          <w:p>
            <w:pPr>
              <w:pageBreakBefore w:val="0"/>
              <w:kinsoku/>
              <w:wordWrap/>
              <w:overflowPunct/>
              <w:topLinePunct w:val="0"/>
              <w:bidi w:val="0"/>
              <w:spacing w:beforeAutospacing="0" w:afterAutospacing="0" w:line="500" w:lineRule="exact"/>
              <w:jc w:val="center"/>
              <w:rPr>
                <w:rFonts w:hint="eastAsia" w:ascii="宋体" w:hAnsi="宋体" w:eastAsia="宋体" w:cs="宋体"/>
                <w:color w:val="0000FF"/>
                <w:sz w:val="21"/>
                <w:szCs w:val="21"/>
                <w:highlight w:val="none"/>
                <w:lang w:val="en-US" w:eastAsia="zh-CN"/>
              </w:rPr>
            </w:pPr>
          </w:p>
        </w:tc>
        <w:tc>
          <w:tcPr>
            <w:tcW w:w="1564" w:type="dxa"/>
            <w:noWrap w:val="0"/>
            <w:vAlign w:val="top"/>
          </w:tcPr>
          <w:p>
            <w:pPr>
              <w:pageBreakBefore w:val="0"/>
              <w:kinsoku/>
              <w:wordWrap/>
              <w:overflowPunct/>
              <w:topLinePunct w:val="0"/>
              <w:bidi w:val="0"/>
              <w:spacing w:beforeAutospacing="0" w:afterAutospacing="0" w:line="500" w:lineRule="exact"/>
              <w:jc w:val="center"/>
              <w:rPr>
                <w:rFonts w:hint="eastAsia" w:ascii="宋体" w:hAnsi="宋体" w:eastAsia="宋体" w:cs="宋体"/>
                <w:color w:val="0000FF"/>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708" w:type="dxa"/>
            <w:noWrap w:val="0"/>
            <w:vAlign w:val="top"/>
          </w:tcPr>
          <w:p>
            <w:pPr>
              <w:spacing w:line="480" w:lineRule="auto"/>
              <w:jc w:val="center"/>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2</w:t>
            </w:r>
          </w:p>
        </w:tc>
        <w:tc>
          <w:tcPr>
            <w:tcW w:w="2148" w:type="dxa"/>
            <w:noWrap w:val="0"/>
            <w:vAlign w:val="top"/>
          </w:tcPr>
          <w:p>
            <w:pPr>
              <w:pageBreakBefore w:val="0"/>
              <w:kinsoku/>
              <w:wordWrap/>
              <w:overflowPunct/>
              <w:topLinePunct w:val="0"/>
              <w:bidi w:val="0"/>
              <w:spacing w:beforeAutospacing="0" w:afterAutospacing="0" w:line="500" w:lineRule="exact"/>
              <w:jc w:val="center"/>
              <w:rPr>
                <w:rFonts w:hint="eastAsia" w:ascii="宋体" w:hAnsi="宋体" w:eastAsia="宋体" w:cs="宋体"/>
                <w:color w:val="0000FF"/>
                <w:sz w:val="21"/>
                <w:szCs w:val="21"/>
                <w:highlight w:val="none"/>
                <w:lang w:val="en-US" w:eastAsia="zh-CN"/>
              </w:rPr>
            </w:pPr>
          </w:p>
        </w:tc>
        <w:tc>
          <w:tcPr>
            <w:tcW w:w="1860" w:type="dxa"/>
            <w:noWrap w:val="0"/>
            <w:vAlign w:val="top"/>
          </w:tcPr>
          <w:p>
            <w:pPr>
              <w:pageBreakBefore w:val="0"/>
              <w:kinsoku/>
              <w:wordWrap/>
              <w:overflowPunct/>
              <w:topLinePunct w:val="0"/>
              <w:bidi w:val="0"/>
              <w:spacing w:beforeAutospacing="0" w:afterAutospacing="0" w:line="500" w:lineRule="exact"/>
              <w:jc w:val="center"/>
              <w:rPr>
                <w:rFonts w:hint="eastAsia" w:ascii="宋体" w:hAnsi="宋体" w:eastAsia="宋体" w:cs="宋体"/>
                <w:color w:val="0000FF"/>
                <w:sz w:val="21"/>
                <w:szCs w:val="21"/>
                <w:highlight w:val="none"/>
                <w:lang w:val="en-US" w:eastAsia="zh-CN"/>
              </w:rPr>
            </w:pPr>
          </w:p>
        </w:tc>
        <w:tc>
          <w:tcPr>
            <w:tcW w:w="1938" w:type="dxa"/>
            <w:noWrap w:val="0"/>
            <w:vAlign w:val="top"/>
          </w:tcPr>
          <w:p>
            <w:pPr>
              <w:spacing w:line="480" w:lineRule="auto"/>
              <w:jc w:val="center"/>
              <w:rPr>
                <w:rFonts w:hint="eastAsia" w:ascii="宋体" w:hAnsi="宋体" w:eastAsia="宋体" w:cs="宋体"/>
                <w:color w:val="0000FF"/>
                <w:sz w:val="21"/>
                <w:szCs w:val="21"/>
                <w:highlight w:val="none"/>
              </w:rPr>
            </w:pPr>
          </w:p>
        </w:tc>
        <w:tc>
          <w:tcPr>
            <w:tcW w:w="696" w:type="dxa"/>
            <w:noWrap w:val="0"/>
            <w:vAlign w:val="top"/>
          </w:tcPr>
          <w:p>
            <w:pPr>
              <w:spacing w:line="480" w:lineRule="auto"/>
              <w:jc w:val="center"/>
              <w:rPr>
                <w:rFonts w:hint="eastAsia" w:ascii="宋体" w:hAnsi="宋体" w:eastAsia="宋体" w:cs="宋体"/>
                <w:color w:val="0000FF"/>
                <w:sz w:val="21"/>
                <w:szCs w:val="21"/>
                <w:highlight w:val="none"/>
                <w:lang w:val="en-US" w:eastAsia="zh-CN"/>
              </w:rPr>
            </w:pPr>
          </w:p>
        </w:tc>
        <w:tc>
          <w:tcPr>
            <w:tcW w:w="1477" w:type="dxa"/>
            <w:noWrap w:val="0"/>
            <w:vAlign w:val="top"/>
          </w:tcPr>
          <w:p>
            <w:pPr>
              <w:pageBreakBefore w:val="0"/>
              <w:kinsoku/>
              <w:wordWrap/>
              <w:overflowPunct/>
              <w:topLinePunct w:val="0"/>
              <w:bidi w:val="0"/>
              <w:spacing w:beforeAutospacing="0" w:afterAutospacing="0" w:line="500" w:lineRule="exact"/>
              <w:jc w:val="center"/>
              <w:rPr>
                <w:rFonts w:hint="eastAsia" w:ascii="宋体" w:hAnsi="宋体" w:eastAsia="宋体" w:cs="宋体"/>
                <w:color w:val="0000FF"/>
                <w:sz w:val="21"/>
                <w:szCs w:val="21"/>
                <w:highlight w:val="none"/>
                <w:lang w:val="en-US" w:eastAsia="zh-CN"/>
              </w:rPr>
            </w:pPr>
          </w:p>
        </w:tc>
        <w:tc>
          <w:tcPr>
            <w:tcW w:w="1564" w:type="dxa"/>
            <w:noWrap w:val="0"/>
            <w:vAlign w:val="top"/>
          </w:tcPr>
          <w:p>
            <w:pPr>
              <w:pageBreakBefore w:val="0"/>
              <w:kinsoku/>
              <w:wordWrap/>
              <w:overflowPunct/>
              <w:topLinePunct w:val="0"/>
              <w:bidi w:val="0"/>
              <w:spacing w:beforeAutospacing="0" w:afterAutospacing="0" w:line="500" w:lineRule="exact"/>
              <w:jc w:val="center"/>
              <w:rPr>
                <w:rFonts w:hint="eastAsia" w:ascii="宋体" w:hAnsi="宋体" w:eastAsia="宋体" w:cs="宋体"/>
                <w:color w:val="0000FF"/>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4716" w:type="dxa"/>
            <w:gridSpan w:val="3"/>
            <w:noWrap w:val="0"/>
            <w:vAlign w:val="top"/>
          </w:tcPr>
          <w:p>
            <w:pPr>
              <w:spacing w:line="480" w:lineRule="auto"/>
              <w:rPr>
                <w:rFonts w:ascii="宋体" w:hAnsi="宋体" w:eastAsia="宋体" w:cs="宋体"/>
                <w:color w:val="0000FF"/>
                <w:szCs w:val="21"/>
                <w:highlight w:val="none"/>
              </w:rPr>
            </w:pPr>
            <w:r>
              <w:rPr>
                <w:rFonts w:hint="eastAsia" w:ascii="宋体" w:hAnsi="宋体" w:eastAsia="宋体" w:cs="宋体"/>
                <w:color w:val="0000FF"/>
                <w:szCs w:val="21"/>
                <w:highlight w:val="none"/>
              </w:rPr>
              <w:t>小写含税合计金额（人民币）：</w:t>
            </w:r>
          </w:p>
        </w:tc>
        <w:tc>
          <w:tcPr>
            <w:tcW w:w="5675" w:type="dxa"/>
            <w:gridSpan w:val="4"/>
            <w:noWrap w:val="0"/>
            <w:vAlign w:val="top"/>
          </w:tcPr>
          <w:p>
            <w:pPr>
              <w:spacing w:line="480" w:lineRule="auto"/>
              <w:rPr>
                <w:rFonts w:hint="eastAsia" w:ascii="宋体" w:hAnsi="宋体" w:eastAsia="宋体" w:cs="宋体"/>
                <w:color w:val="0000FF"/>
                <w:szCs w:val="21"/>
                <w:highlight w:val="none"/>
                <w:lang w:val="en-US" w:eastAsia="zh-CN"/>
              </w:rPr>
            </w:pPr>
            <w:r>
              <w:rPr>
                <w:rFonts w:hint="eastAsia" w:ascii="宋体" w:hAnsi="宋体" w:eastAsia="宋体" w:cs="宋体"/>
                <w:color w:val="0000FF"/>
                <w:szCs w:val="21"/>
                <w:highlight w:val="none"/>
              </w:rPr>
              <w:t>大写</w:t>
            </w:r>
            <w:r>
              <w:rPr>
                <w:rFonts w:hint="eastAsia" w:ascii="宋体" w:hAnsi="宋体" w:eastAsia="宋体" w:cs="宋体"/>
                <w:color w:val="0000FF"/>
                <w:sz w:val="21"/>
                <w:szCs w:val="21"/>
                <w:highlight w:val="none"/>
              </w:rPr>
              <w:t>含税合计金额（人民币）：</w:t>
            </w:r>
          </w:p>
        </w:tc>
      </w:tr>
    </w:tbl>
    <w:p>
      <w:pPr>
        <w:widowControl/>
        <w:spacing w:line="336" w:lineRule="auto"/>
        <w:jc w:val="left"/>
        <w:rPr>
          <w:rFonts w:ascii="宋体" w:hAnsi="宋体" w:eastAsia="宋体" w:cs="宋体"/>
          <w:color w:val="000000"/>
          <w:kern w:val="0"/>
          <w:szCs w:val="21"/>
          <w:highlight w:val="none"/>
        </w:rPr>
      </w:pPr>
      <w:r>
        <w:rPr>
          <w:rFonts w:ascii="宋体" w:hAnsi="宋体" w:eastAsia="宋体" w:cs="宋体"/>
          <w:b/>
          <w:bCs/>
          <w:color w:val="000000"/>
          <w:kern w:val="0"/>
          <w:highlight w:val="none"/>
        </w:rPr>
        <w:t>1</w:t>
      </w:r>
      <w:r>
        <w:rPr>
          <w:rFonts w:hint="eastAsia" w:ascii="宋体" w:hAnsi="宋体" w:eastAsia="宋体" w:cs="宋体"/>
          <w:b/>
          <w:bCs/>
          <w:color w:val="000000"/>
          <w:kern w:val="0"/>
          <w:highlight w:val="none"/>
        </w:rPr>
        <w:t>.</w:t>
      </w:r>
      <w:r>
        <w:rPr>
          <w:rFonts w:ascii="宋体" w:hAnsi="宋体" w:eastAsia="宋体" w:cs="宋体"/>
          <w:color w:val="000000"/>
          <w:kern w:val="0"/>
          <w:szCs w:val="21"/>
          <w:highlight w:val="none"/>
        </w:rPr>
        <w:t>甲乙双方根据</w:t>
      </w:r>
      <w:r>
        <w:rPr>
          <w:rFonts w:hint="eastAsia" w:ascii="宋体" w:hAnsi="宋体" w:eastAsia="宋体" w:cs="宋体"/>
          <w:color w:val="000000"/>
          <w:kern w:val="0"/>
          <w:szCs w:val="21"/>
          <w:highlight w:val="none"/>
          <w:lang w:eastAsia="zh-CN"/>
        </w:rPr>
        <w:t>《中华人民共和国民法典》</w:t>
      </w:r>
      <w:r>
        <w:rPr>
          <w:rFonts w:ascii="宋体" w:hAnsi="宋体" w:eastAsia="宋体" w:cs="宋体"/>
          <w:color w:val="000000"/>
          <w:kern w:val="0"/>
          <w:szCs w:val="21"/>
          <w:highlight w:val="none"/>
        </w:rPr>
        <w:t>，在平等互利、协商一致的基础上，</w:t>
      </w:r>
      <w:r>
        <w:rPr>
          <w:rFonts w:hint="eastAsia" w:ascii="宋体" w:hAnsi="宋体" w:eastAsia="宋体" w:cs="宋体"/>
          <w:color w:val="0000FF"/>
          <w:kern w:val="0"/>
          <w:szCs w:val="21"/>
          <w:highlight w:val="none"/>
        </w:rPr>
        <w:t>由招标</w:t>
      </w:r>
      <w:r>
        <w:rPr>
          <w:rFonts w:ascii="宋体" w:hAnsi="宋体" w:eastAsia="宋体" w:cs="宋体"/>
          <w:color w:val="0000FF"/>
          <w:kern w:val="0"/>
          <w:szCs w:val="21"/>
          <w:highlight w:val="none"/>
        </w:rPr>
        <w:t>代理机构</w:t>
      </w:r>
      <w:r>
        <w:rPr>
          <w:rFonts w:hint="eastAsia" w:ascii="宋体" w:hAnsi="宋体" w:eastAsia="宋体" w:cs="宋体"/>
          <w:color w:val="0000FF"/>
          <w:kern w:val="0"/>
          <w:szCs w:val="21"/>
          <w:highlight w:val="none"/>
        </w:rPr>
        <w:t>:</w:t>
      </w:r>
      <w:r>
        <w:rPr>
          <w:rFonts w:hint="eastAsia" w:ascii="宋体" w:hAnsi="宋体" w:eastAsia="宋体" w:cs="宋体"/>
          <w:color w:val="0000FF"/>
          <w:kern w:val="0"/>
          <w:sz w:val="21"/>
          <w:szCs w:val="21"/>
          <w:highlight w:val="none"/>
          <w:u w:val="none"/>
          <w:lang w:val="en-US" w:eastAsia="zh-CN"/>
        </w:rPr>
        <w:t>XXX</w:t>
      </w:r>
      <w:r>
        <w:rPr>
          <w:rFonts w:hint="eastAsia" w:ascii="宋体" w:hAnsi="宋体" w:eastAsia="宋体" w:cs="宋体"/>
          <w:color w:val="0000FF"/>
          <w:kern w:val="0"/>
          <w:sz w:val="21"/>
          <w:szCs w:val="21"/>
          <w:highlight w:val="none"/>
          <w:u w:val="none"/>
        </w:rPr>
        <w:t>进行</w:t>
      </w:r>
      <w:r>
        <w:rPr>
          <w:rFonts w:ascii="宋体" w:hAnsi="宋体" w:eastAsia="宋体" w:cs="宋体"/>
          <w:color w:val="0000FF"/>
          <w:kern w:val="0"/>
          <w:sz w:val="21"/>
          <w:szCs w:val="21"/>
          <w:highlight w:val="none"/>
          <w:u w:val="none"/>
        </w:rPr>
        <w:t>招标，</w:t>
      </w:r>
      <w:r>
        <w:rPr>
          <w:rFonts w:hint="eastAsia" w:ascii="宋体" w:hAnsi="宋体" w:eastAsia="宋体" w:cs="宋体"/>
          <w:color w:val="000000"/>
          <w:kern w:val="0"/>
          <w:sz w:val="21"/>
          <w:szCs w:val="21"/>
          <w:highlight w:val="none"/>
          <w:u w:val="none"/>
          <w:lang w:eastAsia="zh-CN"/>
        </w:rPr>
        <w:t>项目编号为:</w:t>
      </w:r>
      <w:r>
        <w:rPr>
          <w:rFonts w:hint="eastAsia" w:ascii="宋体" w:hAnsi="宋体" w:eastAsia="宋体" w:cs="宋体"/>
          <w:b/>
          <w:bCs/>
          <w:color w:val="0000FF"/>
          <w:kern w:val="0"/>
          <w:sz w:val="21"/>
          <w:szCs w:val="21"/>
          <w:highlight w:val="none"/>
          <w:u w:val="none"/>
          <w:lang w:val="en-US" w:eastAsia="zh-CN"/>
        </w:rPr>
        <w:t>xxx</w:t>
      </w:r>
      <w:r>
        <w:rPr>
          <w:rFonts w:hint="eastAsia" w:ascii="宋体" w:hAnsi="宋体" w:eastAsia="宋体" w:cs="宋体"/>
          <w:color w:val="000000"/>
          <w:kern w:val="0"/>
          <w:sz w:val="21"/>
          <w:szCs w:val="21"/>
          <w:highlight w:val="none"/>
          <w:u w:val="none"/>
          <w:lang w:eastAsia="zh-CN"/>
        </w:rPr>
        <w:t>的中标通</w:t>
      </w:r>
      <w:r>
        <w:rPr>
          <w:rFonts w:ascii="宋体" w:hAnsi="宋体" w:eastAsia="宋体" w:cs="宋体"/>
          <w:color w:val="000000"/>
          <w:kern w:val="0"/>
          <w:szCs w:val="21"/>
          <w:highlight w:val="none"/>
        </w:rPr>
        <w:t>知书，</w:t>
      </w:r>
      <w:r>
        <w:rPr>
          <w:rFonts w:hint="eastAsia" w:ascii="宋体" w:hAnsi="宋体" w:eastAsia="宋体" w:cs="宋体"/>
          <w:color w:val="000000"/>
          <w:kern w:val="0"/>
          <w:szCs w:val="21"/>
          <w:highlight w:val="none"/>
        </w:rPr>
        <w:t>甲</w:t>
      </w:r>
      <w:r>
        <w:rPr>
          <w:rFonts w:ascii="宋体" w:hAnsi="宋体" w:eastAsia="宋体" w:cs="宋体"/>
          <w:color w:val="000000"/>
          <w:kern w:val="0"/>
          <w:szCs w:val="21"/>
          <w:highlight w:val="none"/>
        </w:rPr>
        <w:t>方同意向</w:t>
      </w:r>
      <w:r>
        <w:rPr>
          <w:rFonts w:hint="eastAsia" w:ascii="宋体" w:hAnsi="宋体" w:eastAsia="宋体" w:cs="宋体"/>
          <w:color w:val="000000"/>
          <w:kern w:val="0"/>
          <w:szCs w:val="21"/>
          <w:highlight w:val="none"/>
        </w:rPr>
        <w:t>乙</w:t>
      </w:r>
      <w:r>
        <w:rPr>
          <w:rFonts w:ascii="宋体" w:hAnsi="宋体" w:eastAsia="宋体" w:cs="宋体"/>
          <w:color w:val="000000"/>
          <w:kern w:val="0"/>
          <w:szCs w:val="21"/>
          <w:highlight w:val="none"/>
        </w:rPr>
        <w:t>方购买</w:t>
      </w: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同时</w:t>
      </w:r>
      <w:r>
        <w:rPr>
          <w:rFonts w:hint="eastAsia" w:ascii="宋体" w:hAnsi="宋体" w:eastAsia="宋体" w:cs="宋体"/>
          <w:color w:val="000000"/>
          <w:kern w:val="0"/>
          <w:szCs w:val="21"/>
          <w:highlight w:val="none"/>
        </w:rPr>
        <w:t>,乙</w:t>
      </w:r>
      <w:r>
        <w:rPr>
          <w:rFonts w:ascii="宋体" w:hAnsi="宋体" w:eastAsia="宋体" w:cs="宋体"/>
          <w:color w:val="000000"/>
          <w:kern w:val="0"/>
          <w:szCs w:val="21"/>
          <w:highlight w:val="none"/>
        </w:rPr>
        <w:t>方同意授予</w:t>
      </w:r>
      <w:r>
        <w:rPr>
          <w:rFonts w:hint="eastAsia" w:ascii="宋体" w:hAnsi="宋体" w:eastAsia="宋体" w:cs="宋体"/>
          <w:color w:val="000000"/>
          <w:kern w:val="0"/>
          <w:szCs w:val="21"/>
          <w:highlight w:val="none"/>
        </w:rPr>
        <w:t>甲方</w:t>
      </w:r>
      <w:r>
        <w:rPr>
          <w:rFonts w:ascii="宋体" w:hAnsi="宋体" w:eastAsia="宋体" w:cs="宋体"/>
          <w:color w:val="000000"/>
          <w:kern w:val="0"/>
          <w:szCs w:val="21"/>
          <w:highlight w:val="none"/>
        </w:rPr>
        <w:t>以下</w:t>
      </w:r>
      <w:r>
        <w:rPr>
          <w:rFonts w:hint="eastAsia" w:ascii="宋体" w:hAnsi="宋体" w:eastAsia="宋体" w:cs="宋体"/>
          <w:color w:val="000000"/>
          <w:kern w:val="0"/>
          <w:szCs w:val="21"/>
          <w:highlight w:val="none"/>
        </w:rPr>
        <w:t>设备</w:t>
      </w:r>
      <w:r>
        <w:rPr>
          <w:rFonts w:ascii="宋体" w:hAnsi="宋体" w:eastAsia="宋体" w:cs="宋体"/>
          <w:color w:val="000000"/>
          <w:kern w:val="0"/>
          <w:szCs w:val="21"/>
          <w:highlight w:val="none"/>
        </w:rPr>
        <w:t>：</w:t>
      </w:r>
    </w:p>
    <w:p>
      <w:pPr>
        <w:pStyle w:val="19"/>
        <w:shd w:val="clear" w:color="auto" w:fill="FFFFFF"/>
        <w:spacing w:line="336" w:lineRule="auto"/>
        <w:ind w:firstLine="420" w:firstLineChars="200"/>
        <w:rPr>
          <w:rFonts w:hint="default" w:ascii="宋体" w:hAnsi="宋体" w:eastAsia="宋体" w:cs="宋体"/>
          <w:color w:val="000000"/>
          <w:kern w:val="0"/>
          <w:sz w:val="21"/>
          <w:szCs w:val="21"/>
          <w:highlight w:val="none"/>
          <w:shd w:val="clear" w:color="auto" w:fill="auto"/>
        </w:rPr>
      </w:pPr>
      <w:r>
        <w:rPr>
          <w:rFonts w:hint="default" w:ascii="宋体" w:hAnsi="宋体" w:eastAsia="宋体" w:cs="宋体"/>
          <w:color w:val="000000"/>
          <w:kern w:val="0"/>
          <w:sz w:val="21"/>
          <w:szCs w:val="21"/>
          <w:highlight w:val="none"/>
          <w:shd w:val="clear" w:color="auto" w:fill="auto"/>
        </w:rPr>
        <w:t>设备的易耗配件必须在合同附件中注明，如无明确配件价格的由甲方市场询价后确认乙方的配件供给价格。</w:t>
      </w:r>
    </w:p>
    <w:p>
      <w:pPr>
        <w:widowControl/>
        <w:spacing w:line="324" w:lineRule="auto"/>
        <w:jc w:val="left"/>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lang w:val="en-US" w:eastAsia="zh-CN"/>
        </w:rPr>
        <w:t>2.</w:t>
      </w:r>
      <w:r>
        <w:rPr>
          <w:rFonts w:hint="eastAsia" w:ascii="宋体" w:hAnsi="宋体" w:eastAsia="宋体" w:cs="宋体"/>
          <w:b/>
          <w:bCs/>
          <w:color w:val="000000"/>
          <w:kern w:val="0"/>
          <w:szCs w:val="21"/>
          <w:highlight w:val="none"/>
        </w:rPr>
        <w:t>设备的交付期 </w:t>
      </w:r>
    </w:p>
    <w:p>
      <w:pPr>
        <w:widowControl/>
        <w:spacing w:line="324" w:lineRule="auto"/>
        <w:ind w:firstLine="420" w:firstLineChars="200"/>
        <w:jc w:val="left"/>
        <w:rPr>
          <w:rFonts w:hint="eastAsia" w:ascii="宋体" w:hAnsi="宋体" w:eastAsia="宋体" w:cs="宋体"/>
          <w:b/>
          <w:bCs/>
          <w:color w:val="000000"/>
          <w:kern w:val="0"/>
          <w:szCs w:val="21"/>
          <w:highlight w:val="none"/>
          <w:lang w:eastAsia="zh-CN"/>
        </w:rPr>
      </w:pPr>
      <w:r>
        <w:rPr>
          <w:rFonts w:hint="eastAsia" w:ascii="宋体" w:hAnsi="宋体" w:eastAsia="宋体" w:cs="宋体"/>
          <w:color w:val="000000"/>
          <w:kern w:val="0"/>
          <w:szCs w:val="21"/>
          <w:highlight w:val="none"/>
        </w:rPr>
        <w:t>乙方提供的国产产品在合同生效的</w:t>
      </w:r>
      <w:r>
        <w:rPr>
          <w:rFonts w:hint="eastAsia" w:ascii="宋体" w:hAnsi="宋体" w:eastAsia="宋体" w:cs="宋体"/>
          <w:b/>
          <w:bCs/>
          <w:color w:val="0000FF"/>
          <w:kern w:val="0"/>
          <w:szCs w:val="21"/>
          <w:highlight w:val="none"/>
          <w:u w:val="single"/>
          <w:lang w:val="en-US" w:eastAsia="zh-CN"/>
        </w:rPr>
        <w:t>X</w:t>
      </w:r>
      <w:r>
        <w:rPr>
          <w:rFonts w:hint="eastAsia" w:ascii="宋体" w:hAnsi="宋体" w:eastAsia="宋体" w:cs="宋体"/>
          <w:b/>
          <w:bCs/>
          <w:color w:val="0000FF"/>
          <w:kern w:val="0"/>
          <w:szCs w:val="21"/>
          <w:highlight w:val="none"/>
          <w:u w:val="single"/>
        </w:rPr>
        <w:t>天</w:t>
      </w:r>
      <w:r>
        <w:rPr>
          <w:rFonts w:hint="eastAsia" w:ascii="宋体" w:hAnsi="宋体" w:eastAsia="宋体" w:cs="宋体"/>
          <w:color w:val="000000"/>
          <w:kern w:val="0"/>
          <w:szCs w:val="21"/>
          <w:highlight w:val="none"/>
        </w:rPr>
        <w:t>内向甲方交付上述设备</w:t>
      </w:r>
      <w:r>
        <w:rPr>
          <w:rFonts w:hint="eastAsia" w:ascii="宋体" w:hAnsi="宋体" w:eastAsia="宋体" w:cs="宋体"/>
          <w:color w:val="000000"/>
          <w:kern w:val="0"/>
          <w:szCs w:val="21"/>
          <w:highlight w:val="none"/>
          <w:lang w:eastAsia="zh-CN"/>
        </w:rPr>
        <w:t>并通过最终验收合格</w:t>
      </w:r>
      <w:r>
        <w:rPr>
          <w:rFonts w:hint="eastAsia" w:ascii="宋体" w:hAnsi="宋体" w:eastAsia="宋体" w:cs="宋体"/>
          <w:color w:val="000000"/>
          <w:kern w:val="0"/>
          <w:szCs w:val="21"/>
          <w:highlight w:val="none"/>
        </w:rPr>
        <w:t>，逾期将按照第</w:t>
      </w:r>
      <w:r>
        <w:rPr>
          <w:rFonts w:hint="eastAsia" w:ascii="宋体" w:hAnsi="宋体" w:eastAsia="宋体" w:cs="宋体"/>
          <w:b/>
          <w:bCs/>
          <w:color w:val="000000"/>
          <w:kern w:val="0"/>
          <w:szCs w:val="21"/>
          <w:highlight w:val="none"/>
          <w:u w:val="thick"/>
          <w:lang w:val="en-US" w:eastAsia="zh-CN"/>
        </w:rPr>
        <w:t>7</w:t>
      </w:r>
      <w:r>
        <w:rPr>
          <w:rFonts w:hint="eastAsia" w:ascii="宋体" w:hAnsi="宋体" w:eastAsia="宋体" w:cs="宋体"/>
          <w:b/>
          <w:bCs/>
          <w:color w:val="000000"/>
          <w:kern w:val="0"/>
          <w:szCs w:val="21"/>
          <w:highlight w:val="none"/>
          <w:u w:val="thick"/>
        </w:rPr>
        <w:t>.2</w:t>
      </w:r>
      <w:r>
        <w:rPr>
          <w:rFonts w:hint="eastAsia" w:ascii="宋体" w:hAnsi="宋体" w:eastAsia="宋体" w:cs="宋体"/>
          <w:color w:val="000000"/>
          <w:kern w:val="0"/>
          <w:szCs w:val="21"/>
          <w:highlight w:val="none"/>
        </w:rPr>
        <w:t>条规定执行。</w:t>
      </w:r>
      <w:r>
        <w:rPr>
          <w:rFonts w:hint="eastAsia" w:ascii="宋体" w:hAnsi="宋体" w:eastAsia="宋体" w:cs="宋体"/>
          <w:b/>
          <w:bCs/>
          <w:color w:val="000000"/>
          <w:kern w:val="0"/>
          <w:szCs w:val="21"/>
          <w:highlight w:val="none"/>
        </w:rPr>
        <w:t> </w:t>
      </w:r>
    </w:p>
    <w:p>
      <w:pPr>
        <w:widowControl/>
        <w:spacing w:line="324" w:lineRule="auto"/>
        <w:jc w:val="left"/>
        <w:rPr>
          <w:rFonts w:hint="eastAsia" w:ascii="宋体" w:hAnsi="宋体" w:eastAsia="宋体" w:cs="宋体"/>
          <w:b/>
          <w:bCs/>
          <w:color w:val="000000"/>
          <w:kern w:val="0"/>
          <w:szCs w:val="21"/>
          <w:highlight w:val="none"/>
          <w:lang w:eastAsia="zh-CN"/>
        </w:rPr>
      </w:pPr>
      <w:r>
        <w:rPr>
          <w:rFonts w:hint="eastAsia" w:ascii="宋体" w:hAnsi="宋体" w:eastAsia="宋体" w:cs="宋体"/>
          <w:b/>
          <w:bCs/>
          <w:color w:val="000000"/>
          <w:kern w:val="0"/>
          <w:szCs w:val="21"/>
          <w:highlight w:val="none"/>
        </w:rPr>
        <w:t>3.设备运输、安装</w:t>
      </w:r>
      <w:r>
        <w:rPr>
          <w:rFonts w:hint="eastAsia" w:ascii="宋体" w:hAnsi="宋体" w:eastAsia="宋体" w:cs="宋体"/>
          <w:b/>
          <w:bCs/>
          <w:color w:val="000000"/>
          <w:kern w:val="0"/>
          <w:szCs w:val="21"/>
          <w:highlight w:val="none"/>
          <w:lang w:eastAsia="zh-CN"/>
        </w:rPr>
        <w:t>、</w:t>
      </w:r>
      <w:r>
        <w:rPr>
          <w:rFonts w:hint="eastAsia" w:ascii="宋体" w:hAnsi="宋体" w:eastAsia="宋体" w:cs="宋体"/>
          <w:b/>
          <w:bCs/>
          <w:color w:val="000000"/>
          <w:kern w:val="0"/>
          <w:szCs w:val="21"/>
          <w:highlight w:val="none"/>
        </w:rPr>
        <w:t>验收</w:t>
      </w:r>
      <w:r>
        <w:rPr>
          <w:rFonts w:hint="eastAsia" w:ascii="宋体" w:hAnsi="宋体" w:eastAsia="宋体" w:cs="宋体"/>
          <w:b/>
          <w:bCs/>
          <w:color w:val="000000"/>
          <w:kern w:val="0"/>
          <w:szCs w:val="21"/>
          <w:highlight w:val="none"/>
          <w:lang w:eastAsia="zh-CN"/>
        </w:rPr>
        <w:t>和培训</w:t>
      </w:r>
    </w:p>
    <w:p>
      <w:pPr>
        <w:widowControl/>
        <w:spacing w:line="324" w:lineRule="auto"/>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3.1乙方</w:t>
      </w:r>
      <w:r>
        <w:rPr>
          <w:rFonts w:hint="eastAsia" w:ascii="宋体" w:hAnsi="宋体" w:eastAsia="宋体" w:cs="宋体"/>
          <w:color w:val="000000"/>
          <w:kern w:val="0"/>
          <w:szCs w:val="21"/>
          <w:highlight w:val="none"/>
          <w:lang w:eastAsia="zh-CN"/>
        </w:rPr>
        <w:t>负责选择适合设备性质的包装和运输方式，</w:t>
      </w:r>
      <w:r>
        <w:rPr>
          <w:rFonts w:hint="eastAsia" w:ascii="宋体" w:hAnsi="宋体" w:eastAsia="宋体" w:cs="宋体"/>
          <w:color w:val="000000"/>
          <w:kern w:val="0"/>
          <w:szCs w:val="21"/>
          <w:highlight w:val="none"/>
        </w:rPr>
        <w:t>确保设备安全无损地运抵甲方指定的现场,设备的运费、保险费、包装费、验收</w:t>
      </w:r>
      <w:r>
        <w:rPr>
          <w:rFonts w:hint="eastAsia" w:ascii="宋体" w:hAnsi="宋体" w:eastAsia="宋体" w:cs="宋体"/>
          <w:color w:val="000000"/>
          <w:kern w:val="0"/>
          <w:szCs w:val="21"/>
          <w:highlight w:val="none"/>
          <w:lang w:eastAsia="zh-CN"/>
        </w:rPr>
        <w:t>费</w:t>
      </w:r>
      <w:r>
        <w:rPr>
          <w:rFonts w:hint="eastAsia" w:ascii="宋体" w:hAnsi="宋体" w:eastAsia="宋体" w:cs="宋体"/>
          <w:color w:val="000000"/>
          <w:kern w:val="0"/>
          <w:szCs w:val="21"/>
          <w:highlight w:val="none"/>
        </w:rPr>
        <w:t>、装卸费</w:t>
      </w:r>
      <w:r>
        <w:rPr>
          <w:rFonts w:hint="eastAsia" w:ascii="宋体" w:hAnsi="宋体" w:eastAsia="宋体" w:cs="宋体"/>
          <w:color w:val="000000"/>
          <w:kern w:val="0"/>
          <w:szCs w:val="21"/>
          <w:highlight w:val="none"/>
          <w:lang w:eastAsia="zh-CN"/>
        </w:rPr>
        <w:t>、税费、</w:t>
      </w:r>
      <w:r>
        <w:rPr>
          <w:rFonts w:hint="eastAsia" w:ascii="宋体" w:hAnsi="宋体" w:eastAsia="宋体" w:cs="宋体"/>
          <w:color w:val="000000"/>
          <w:kern w:val="0"/>
          <w:szCs w:val="21"/>
        </w:rPr>
        <w:t>第三方检测、使用培训、质保维保</w:t>
      </w:r>
      <w:r>
        <w:rPr>
          <w:rFonts w:hint="eastAsia" w:ascii="宋体" w:hAnsi="宋体" w:eastAsia="宋体" w:cs="宋体"/>
          <w:color w:val="000000"/>
          <w:kern w:val="0"/>
          <w:szCs w:val="21"/>
          <w:highlight w:val="none"/>
        </w:rPr>
        <w:t>等</w:t>
      </w:r>
      <w:r>
        <w:rPr>
          <w:rFonts w:hint="eastAsia" w:ascii="宋体" w:hAnsi="宋体" w:eastAsia="宋体" w:cs="宋体"/>
          <w:color w:val="000000"/>
          <w:kern w:val="0"/>
          <w:szCs w:val="21"/>
          <w:highlight w:val="none"/>
          <w:lang w:eastAsia="zh-CN"/>
        </w:rPr>
        <w:t>一切</w:t>
      </w:r>
      <w:r>
        <w:rPr>
          <w:rFonts w:hint="eastAsia" w:ascii="宋体" w:hAnsi="宋体" w:eastAsia="宋体" w:cs="宋体"/>
          <w:color w:val="000000"/>
          <w:kern w:val="0"/>
          <w:szCs w:val="21"/>
          <w:highlight w:val="none"/>
        </w:rPr>
        <w:t>费用，</w:t>
      </w:r>
      <w:r>
        <w:rPr>
          <w:rFonts w:hint="eastAsia" w:ascii="宋体" w:hAnsi="宋体" w:eastAsia="宋体" w:cs="宋体"/>
          <w:color w:val="000000"/>
          <w:kern w:val="0"/>
          <w:szCs w:val="21"/>
          <w:highlight w:val="none"/>
          <w:lang w:eastAsia="zh-CN"/>
        </w:rPr>
        <w:t>均</w:t>
      </w:r>
      <w:r>
        <w:rPr>
          <w:rFonts w:hint="eastAsia" w:ascii="宋体" w:hAnsi="宋体" w:eastAsia="宋体" w:cs="宋体"/>
          <w:color w:val="000000"/>
          <w:kern w:val="0"/>
          <w:szCs w:val="21"/>
          <w:highlight w:val="none"/>
        </w:rPr>
        <w:t>由</w:t>
      </w:r>
      <w:r>
        <w:rPr>
          <w:rFonts w:hint="eastAsia" w:ascii="宋体" w:hAnsi="宋体" w:eastAsia="宋体" w:cs="宋体"/>
          <w:b/>
          <w:bCs/>
          <w:color w:val="000000"/>
          <w:kern w:val="0"/>
          <w:szCs w:val="21"/>
          <w:highlight w:val="none"/>
          <w:u w:val="single"/>
        </w:rPr>
        <w:t>乙方</w:t>
      </w:r>
      <w:r>
        <w:rPr>
          <w:rFonts w:hint="eastAsia" w:ascii="宋体" w:hAnsi="宋体" w:eastAsia="宋体" w:cs="宋体"/>
          <w:color w:val="000000"/>
          <w:kern w:val="0"/>
          <w:szCs w:val="21"/>
          <w:highlight w:val="none"/>
        </w:rPr>
        <w:t>承担。确定与合同规定相符后，乙方工程师负责对设备进行安装调试，最终由甲方设备使用科室与设备科签发相关的安装验收合格报告。 </w:t>
      </w:r>
    </w:p>
    <w:p>
      <w:pPr>
        <w:widowControl/>
        <w:spacing w:line="324" w:lineRule="auto"/>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3.2甲乙双方对设备进行开箱清点检查，并在包装及外观完好的情况下收货，如果发现数量不足或货物外观破损等问题，乙方应在</w:t>
      </w:r>
      <w:r>
        <w:rPr>
          <w:rFonts w:hint="eastAsia" w:ascii="宋体" w:hAnsi="宋体" w:eastAsia="宋体" w:cs="宋体"/>
          <w:b/>
          <w:bCs/>
          <w:color w:val="000000"/>
          <w:kern w:val="0"/>
          <w:szCs w:val="21"/>
          <w:highlight w:val="none"/>
          <w:u w:val="single"/>
        </w:rPr>
        <w:t>2天</w:t>
      </w:r>
      <w:r>
        <w:rPr>
          <w:rFonts w:hint="eastAsia" w:ascii="宋体" w:hAnsi="宋体" w:eastAsia="宋体" w:cs="宋体"/>
          <w:color w:val="000000"/>
          <w:kern w:val="0"/>
          <w:szCs w:val="21"/>
          <w:highlight w:val="none"/>
        </w:rPr>
        <w:t>内，按照甲方的要求，采取补足、更换或退货等处理措施，并承担由此发生的一切损失和费用。</w:t>
      </w:r>
    </w:p>
    <w:p>
      <w:pPr>
        <w:widowControl/>
        <w:spacing w:line="324"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rPr>
        <w:t>3.3乙方所售设备均应按照国家标准和行业标准进行制造的合格产品，</w:t>
      </w:r>
      <w:r>
        <w:rPr>
          <w:rFonts w:hint="eastAsia" w:ascii="宋体" w:hAnsi="宋体" w:eastAsia="宋体" w:cs="宋体"/>
          <w:color w:val="000000"/>
          <w:kern w:val="0"/>
          <w:sz w:val="21"/>
          <w:szCs w:val="21"/>
          <w:highlight w:val="none"/>
          <w:shd w:val="clear" w:color="auto" w:fill="auto"/>
        </w:rPr>
        <w:t>乙方已知悉上述标准，并确认采用该标准的设备能满足甲方的要求。</w:t>
      </w:r>
      <w:r>
        <w:rPr>
          <w:rFonts w:hint="eastAsia" w:ascii="宋体" w:hAnsi="宋体" w:eastAsia="宋体" w:cs="宋体"/>
          <w:color w:val="000000"/>
          <w:kern w:val="0"/>
          <w:sz w:val="21"/>
          <w:szCs w:val="21"/>
          <w:highlight w:val="none"/>
        </w:rPr>
        <w:t>甲、乙双方在符合国家相关技术标准的基础上进</w:t>
      </w:r>
      <w:r>
        <w:rPr>
          <w:rFonts w:hint="eastAsia" w:ascii="宋体" w:hAnsi="宋体" w:eastAsia="宋体" w:cs="宋体"/>
          <w:color w:val="000000"/>
          <w:kern w:val="0"/>
          <w:szCs w:val="21"/>
          <w:highlight w:val="none"/>
        </w:rPr>
        <w:t>行验收。进口设备需</w:t>
      </w:r>
      <w:r>
        <w:rPr>
          <w:rFonts w:hint="eastAsia" w:ascii="宋体" w:hAnsi="宋体" w:eastAsia="宋体" w:cs="宋体"/>
          <w:color w:val="000000"/>
          <w:kern w:val="0"/>
          <w:szCs w:val="21"/>
          <w:highlight w:val="none"/>
          <w:lang w:eastAsia="zh-CN"/>
        </w:rPr>
        <w:t>由乙方</w:t>
      </w:r>
      <w:r>
        <w:rPr>
          <w:rFonts w:hint="eastAsia" w:ascii="宋体" w:hAnsi="宋体" w:eastAsia="宋体" w:cs="宋体"/>
          <w:color w:val="000000"/>
          <w:kern w:val="0"/>
          <w:szCs w:val="21"/>
          <w:highlight w:val="none"/>
        </w:rPr>
        <w:t>提供入境货物检验检疫证明。</w:t>
      </w:r>
    </w:p>
    <w:p>
      <w:pPr>
        <w:widowControl/>
        <w:spacing w:line="324"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乙方应在甲方收到货物后的3个工作日内对设备进行安装调试，经甲方确保设备能够正常使用后，符合验收标准的视为验收合格。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签字盖章，验收完成。必要时甲方可引入第三方或者委托专业机构进行验收，甲乙双方对该验收结果予以认可</w:t>
      </w:r>
      <w:r>
        <w:rPr>
          <w:rFonts w:hint="eastAsia" w:ascii="宋体" w:hAnsi="宋体" w:eastAsia="宋体" w:cs="宋体"/>
          <w:color w:val="000000"/>
          <w:kern w:val="0"/>
          <w:szCs w:val="21"/>
          <w:highlight w:val="none"/>
          <w:lang w:eastAsia="zh-CN"/>
        </w:rPr>
        <w:t>，验收费用由乙方承担</w:t>
      </w:r>
      <w:r>
        <w:rPr>
          <w:rFonts w:hint="eastAsia" w:ascii="宋体" w:hAnsi="宋体" w:eastAsia="宋体" w:cs="宋体"/>
          <w:color w:val="000000"/>
          <w:kern w:val="0"/>
          <w:szCs w:val="21"/>
          <w:highlight w:val="none"/>
        </w:rPr>
        <w:t>。</w:t>
      </w:r>
    </w:p>
    <w:p>
      <w:pPr>
        <w:widowControl/>
        <w:spacing w:line="324"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3.5</w:t>
      </w:r>
      <w:r>
        <w:rPr>
          <w:rFonts w:hint="eastAsia" w:ascii="宋体" w:hAnsi="宋体" w:eastAsia="宋体" w:cs="宋体"/>
          <w:color w:val="000000"/>
          <w:kern w:val="0"/>
          <w:szCs w:val="21"/>
          <w:highlight w:val="none"/>
        </w:rPr>
        <w:t>乙方派工程师至甲方的使用科室对相关人员进行操作培训，直到参加培训人员具备独立操作能力并能排除使用中的一般性障碍，且培训结果至甲方满意为止。</w:t>
      </w:r>
    </w:p>
    <w:p>
      <w:pPr>
        <w:pStyle w:val="2"/>
        <w:jc w:val="left"/>
        <w:rPr>
          <w:rFonts w:hint="default" w:eastAsia="宋体"/>
          <w:highlight w:val="none"/>
          <w:lang w:val="en-US" w:eastAsia="zh-CN"/>
        </w:rPr>
      </w:pPr>
      <w:r>
        <w:rPr>
          <w:rFonts w:hint="eastAsia" w:cs="宋体"/>
          <w:b/>
          <w:bCs/>
          <w:color w:val="000000"/>
          <w:kern w:val="0"/>
          <w:sz w:val="21"/>
          <w:szCs w:val="21"/>
          <w:highlight w:val="none"/>
          <w:lang w:val="en-US" w:eastAsia="zh-CN" w:bidi="ar-SA"/>
        </w:rPr>
        <w:t>4</w:t>
      </w:r>
      <w:r>
        <w:rPr>
          <w:rFonts w:hint="eastAsia" w:ascii="宋体" w:hAnsi="宋体" w:eastAsia="宋体" w:cs="宋体"/>
          <w:b/>
          <w:bCs/>
          <w:color w:val="000000"/>
          <w:kern w:val="0"/>
          <w:sz w:val="21"/>
          <w:szCs w:val="21"/>
          <w:highlight w:val="none"/>
          <w:lang w:val="en-US" w:eastAsia="zh-CN" w:bidi="ar-SA"/>
        </w:rPr>
        <w:t>.履约保证金</w:t>
      </w:r>
    </w:p>
    <w:p>
      <w:pPr>
        <w:pStyle w:val="2"/>
        <w:jc w:val="left"/>
        <w:rPr>
          <w:rFonts w:hint="eastAsia" w:ascii="宋体" w:hAnsi="宋体" w:eastAsia="宋体" w:cs="宋体"/>
          <w:color w:val="000000"/>
          <w:kern w:val="0"/>
          <w:sz w:val="21"/>
          <w:szCs w:val="21"/>
          <w:highlight w:val="none"/>
          <w:lang w:val="en-US" w:eastAsia="zh-CN" w:bidi="ar-SA"/>
        </w:rPr>
      </w:pPr>
      <w:r>
        <w:rPr>
          <w:rFonts w:hint="eastAsia" w:cs="宋体"/>
          <w:color w:val="000000"/>
          <w:kern w:val="0"/>
          <w:sz w:val="21"/>
          <w:szCs w:val="21"/>
          <w:highlight w:val="none"/>
          <w:lang w:val="en-US" w:eastAsia="zh-CN" w:bidi="ar-SA"/>
        </w:rPr>
        <w:t>4</w:t>
      </w:r>
      <w:r>
        <w:rPr>
          <w:rFonts w:hint="eastAsia" w:ascii="宋体" w:hAnsi="宋体" w:eastAsia="宋体" w:cs="宋体"/>
          <w:color w:val="000000"/>
          <w:kern w:val="0"/>
          <w:sz w:val="21"/>
          <w:szCs w:val="21"/>
          <w:highlight w:val="none"/>
          <w:lang w:val="en-US" w:eastAsia="zh-CN" w:bidi="ar-SA"/>
        </w:rPr>
        <w:t>.1履约保证金：为保证乙方在本合同中承诺的履约义务得到切实履行，经甲、乙双方友好协商，乙方愿意按照本合同约定向甲方提供履约保证金，用以担保乙方按本合同约定履行本合同项下的全部义务。</w:t>
      </w:r>
    </w:p>
    <w:p>
      <w:pPr>
        <w:pStyle w:val="2"/>
        <w:jc w:val="left"/>
        <w:rPr>
          <w:rFonts w:hint="eastAsia" w:cs="宋体"/>
          <w:b w:val="0"/>
          <w:bCs w:val="0"/>
          <w:color w:val="000000"/>
          <w:kern w:val="0"/>
          <w:sz w:val="21"/>
          <w:szCs w:val="21"/>
          <w:highlight w:val="none"/>
          <w:u w:val="none"/>
          <w:lang w:val="en-US" w:eastAsia="zh-CN" w:bidi="ar-SA"/>
        </w:rPr>
      </w:pPr>
      <w:r>
        <w:rPr>
          <w:rFonts w:hint="eastAsia" w:cs="宋体"/>
          <w:color w:val="000000"/>
          <w:kern w:val="0"/>
          <w:sz w:val="21"/>
          <w:szCs w:val="21"/>
          <w:highlight w:val="none"/>
          <w:lang w:val="en-US" w:eastAsia="zh-CN" w:bidi="ar-SA"/>
        </w:rPr>
        <w:t>4</w:t>
      </w:r>
      <w:r>
        <w:rPr>
          <w:rFonts w:hint="eastAsia" w:ascii="宋体" w:hAnsi="宋体" w:eastAsia="宋体" w:cs="宋体"/>
          <w:color w:val="000000"/>
          <w:kern w:val="0"/>
          <w:sz w:val="21"/>
          <w:szCs w:val="21"/>
          <w:highlight w:val="none"/>
          <w:lang w:val="en-US" w:eastAsia="zh-CN" w:bidi="ar-SA"/>
        </w:rPr>
        <w:t>.2履约保证金的金额为</w:t>
      </w:r>
      <w:r>
        <w:rPr>
          <w:rFonts w:hint="eastAsia" w:cs="宋体"/>
          <w:b/>
          <w:bCs/>
          <w:color w:val="000000"/>
          <w:kern w:val="0"/>
          <w:sz w:val="21"/>
          <w:szCs w:val="21"/>
          <w:highlight w:val="none"/>
          <w:u w:val="single"/>
          <w:lang w:val="en-US" w:eastAsia="zh-CN" w:bidi="ar-SA"/>
        </w:rPr>
        <w:t>合同价的10%，</w:t>
      </w:r>
      <w:r>
        <w:rPr>
          <w:rFonts w:hint="eastAsia" w:cs="宋体"/>
          <w:b w:val="0"/>
          <w:bCs w:val="0"/>
          <w:color w:val="000000"/>
          <w:kern w:val="0"/>
          <w:sz w:val="21"/>
          <w:szCs w:val="21"/>
          <w:highlight w:val="none"/>
          <w:u w:val="none"/>
          <w:lang w:val="en-US" w:eastAsia="zh-CN" w:bidi="ar-SA"/>
        </w:rPr>
        <w:t>乙方应在合同签订后</w:t>
      </w:r>
      <w:r>
        <w:rPr>
          <w:rFonts w:hint="eastAsia" w:cs="宋体"/>
          <w:b/>
          <w:bCs/>
          <w:color w:val="000000"/>
          <w:kern w:val="0"/>
          <w:sz w:val="21"/>
          <w:szCs w:val="21"/>
          <w:highlight w:val="none"/>
          <w:u w:val="single"/>
          <w:lang w:val="en-US" w:eastAsia="zh-CN" w:bidi="ar-SA"/>
        </w:rPr>
        <w:t>五个工作日内</w:t>
      </w:r>
      <w:r>
        <w:rPr>
          <w:rFonts w:hint="eastAsia" w:cs="宋体"/>
          <w:b w:val="0"/>
          <w:bCs w:val="0"/>
          <w:color w:val="000000"/>
          <w:kern w:val="0"/>
          <w:sz w:val="21"/>
          <w:szCs w:val="21"/>
          <w:highlight w:val="none"/>
          <w:u w:val="none"/>
          <w:lang w:val="en-US" w:eastAsia="zh-CN" w:bidi="ar-SA"/>
        </w:rPr>
        <w:t>将履约保证金汇入甲方指定账户，甲方履约保证金收款信息如下：</w:t>
      </w:r>
    </w:p>
    <w:p>
      <w:pPr>
        <w:widowControl/>
        <w:spacing w:line="324"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单位名称: </w:t>
      </w:r>
      <w:r>
        <w:rPr>
          <w:rFonts w:hint="eastAsia" w:ascii="宋体" w:hAnsi="宋体" w:eastAsia="宋体" w:cs="宋体"/>
          <w:color w:val="000000"/>
          <w:kern w:val="0"/>
          <w:szCs w:val="21"/>
          <w:highlight w:val="none"/>
          <w:u w:val="single"/>
        </w:rPr>
        <w:t>新疆维吾尔自治区第二济困医院（新疆维吾尔自治区第五人民医院）</w:t>
      </w:r>
    </w:p>
    <w:p>
      <w:pPr>
        <w:widowControl/>
        <w:spacing w:line="324" w:lineRule="auto"/>
        <w:ind w:firstLine="420" w:firstLineChars="200"/>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账    号：</w:t>
      </w:r>
      <w:r>
        <w:rPr>
          <w:rFonts w:hint="eastAsia" w:ascii="宋体" w:hAnsi="宋体" w:eastAsia="宋体" w:cs="宋体"/>
          <w:color w:val="000000"/>
          <w:kern w:val="0"/>
          <w:szCs w:val="21"/>
          <w:highlight w:val="none"/>
          <w:u w:val="single"/>
        </w:rPr>
        <w:t>3002029309026401065</w:t>
      </w:r>
    </w:p>
    <w:p>
      <w:pPr>
        <w:widowControl/>
        <w:spacing w:line="324" w:lineRule="auto"/>
        <w:ind w:firstLine="420" w:firstLineChars="200"/>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开户银行：</w:t>
      </w:r>
      <w:r>
        <w:rPr>
          <w:rFonts w:hint="eastAsia" w:ascii="宋体" w:hAnsi="宋体" w:eastAsia="宋体" w:cs="宋体"/>
          <w:color w:val="000000"/>
          <w:kern w:val="0"/>
          <w:szCs w:val="21"/>
          <w:highlight w:val="none"/>
          <w:u w:val="single"/>
        </w:rPr>
        <w:t>工行新疆乌鲁木齐分行三宫支行</w:t>
      </w:r>
    </w:p>
    <w:p>
      <w:pPr>
        <w:widowControl/>
        <w:spacing w:line="324" w:lineRule="auto"/>
        <w:ind w:firstLine="420" w:firstLineChars="200"/>
        <w:jc w:val="left"/>
        <w:rPr>
          <w:rFonts w:hint="default"/>
          <w:highlight w:val="none"/>
          <w:lang w:val="en-US" w:eastAsia="zh-CN"/>
        </w:rPr>
      </w:pPr>
      <w:r>
        <w:rPr>
          <w:rFonts w:hint="eastAsia" w:ascii="宋体" w:hAnsi="宋体" w:eastAsia="宋体" w:cs="宋体"/>
          <w:color w:val="000000"/>
          <w:kern w:val="0"/>
          <w:szCs w:val="21"/>
          <w:highlight w:val="none"/>
        </w:rPr>
        <w:t>行    号：</w:t>
      </w:r>
      <w:r>
        <w:rPr>
          <w:rFonts w:hint="eastAsia" w:ascii="宋体" w:hAnsi="宋体" w:eastAsia="宋体" w:cs="宋体"/>
          <w:color w:val="000000"/>
          <w:kern w:val="0"/>
          <w:szCs w:val="21"/>
          <w:highlight w:val="none"/>
          <w:u w:val="single"/>
        </w:rPr>
        <w:t>102881002936</w:t>
      </w:r>
    </w:p>
    <w:p>
      <w:pPr>
        <w:pStyle w:val="3"/>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4.3 乙方未履行本合同约定下的任何义务，甲方均有权从履约保证金中扣除乙方应向甲方支付的违约金或损失赔偿金额，如有不足的由乙方另行承担赔偿责任。</w:t>
      </w:r>
    </w:p>
    <w:p>
      <w:pPr>
        <w:rPr>
          <w:rFonts w:hint="eastAsia"/>
          <w:highlight w:val="none"/>
          <w:lang w:eastAsia="zh-CN"/>
        </w:rPr>
      </w:pPr>
      <w:r>
        <w:rPr>
          <w:rFonts w:hint="eastAsia" w:ascii="宋体" w:hAnsi="宋体" w:eastAsia="宋体" w:cs="宋体"/>
          <w:color w:val="000000"/>
          <w:kern w:val="0"/>
          <w:sz w:val="21"/>
          <w:szCs w:val="21"/>
          <w:highlight w:val="none"/>
          <w:lang w:val="en-US" w:eastAsia="zh-CN" w:bidi="ar-SA"/>
        </w:rPr>
        <w:t>4.4 乙方如约履行完本合同约定所有义务的，甲方在质保期满后无息退回履约保证金。</w:t>
      </w:r>
    </w:p>
    <w:p>
      <w:pPr>
        <w:widowControl/>
        <w:spacing w:line="324" w:lineRule="auto"/>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lang w:val="en-US" w:eastAsia="zh-CN"/>
        </w:rPr>
        <w:t>5</w:t>
      </w:r>
      <w:r>
        <w:rPr>
          <w:rFonts w:hint="eastAsia" w:ascii="宋体" w:hAnsi="宋体" w:eastAsia="宋体" w:cs="宋体"/>
          <w:b/>
          <w:bCs/>
          <w:color w:val="000000"/>
          <w:kern w:val="0"/>
          <w:szCs w:val="21"/>
          <w:highlight w:val="none"/>
        </w:rPr>
        <w:t>.付款方式</w:t>
      </w:r>
    </w:p>
    <w:p>
      <w:pPr>
        <w:widowControl/>
        <w:spacing w:line="324" w:lineRule="auto"/>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5</w:t>
      </w:r>
      <w:r>
        <w:rPr>
          <w:rFonts w:hint="eastAsia" w:ascii="宋体" w:hAnsi="宋体" w:eastAsia="宋体" w:cs="宋体"/>
          <w:color w:val="000000"/>
          <w:kern w:val="0"/>
          <w:szCs w:val="21"/>
          <w:highlight w:val="none"/>
        </w:rPr>
        <w:t>.1</w:t>
      </w:r>
      <w:r>
        <w:rPr>
          <w:rFonts w:hint="eastAsia" w:ascii="宋体" w:hAnsi="宋体" w:eastAsia="宋体" w:cs="宋体"/>
          <w:color w:val="000000"/>
          <w:kern w:val="0"/>
          <w:szCs w:val="21"/>
          <w:highlight w:val="none"/>
          <w:lang w:eastAsia="zh-CN"/>
        </w:rPr>
        <w:t>甲方</w:t>
      </w:r>
      <w:r>
        <w:rPr>
          <w:rFonts w:hint="eastAsia" w:ascii="宋体" w:hAnsi="宋体" w:eastAsia="宋体" w:cs="宋体"/>
          <w:color w:val="000000"/>
          <w:kern w:val="0"/>
          <w:szCs w:val="21"/>
          <w:highlight w:val="none"/>
        </w:rPr>
        <w:t>签订合同</w:t>
      </w:r>
      <w:r>
        <w:rPr>
          <w:rFonts w:hint="eastAsia" w:ascii="宋体" w:hAnsi="宋体" w:eastAsia="宋体" w:cs="宋体"/>
          <w:color w:val="000000"/>
          <w:kern w:val="0"/>
          <w:szCs w:val="21"/>
          <w:highlight w:val="none"/>
          <w:lang w:eastAsia="zh-CN"/>
        </w:rPr>
        <w:t>且收到乙方汇入的履约保证金</w:t>
      </w:r>
      <w:r>
        <w:rPr>
          <w:rFonts w:hint="eastAsia" w:ascii="宋体" w:hAnsi="宋体" w:eastAsia="宋体" w:cs="宋体"/>
          <w:color w:val="000000"/>
          <w:kern w:val="0"/>
          <w:szCs w:val="21"/>
          <w:highlight w:val="none"/>
        </w:rPr>
        <w:t>后支付乙方总货款的</w:t>
      </w:r>
      <w:r>
        <w:rPr>
          <w:rFonts w:hint="eastAsia" w:ascii="宋体" w:hAnsi="宋体" w:eastAsia="宋体" w:cs="宋体"/>
          <w:b/>
          <w:bCs/>
          <w:color w:val="000000"/>
          <w:kern w:val="0"/>
          <w:szCs w:val="21"/>
          <w:highlight w:val="none"/>
          <w:u w:val="single"/>
          <w:lang w:val="en-US" w:eastAsia="zh-CN"/>
        </w:rPr>
        <w:t>30</w:t>
      </w:r>
      <w:r>
        <w:rPr>
          <w:rFonts w:hint="eastAsia" w:ascii="宋体" w:hAnsi="宋体" w:eastAsia="宋体" w:cs="宋体"/>
          <w:b/>
          <w:bCs/>
          <w:color w:val="000000"/>
          <w:kern w:val="0"/>
          <w:szCs w:val="21"/>
          <w:highlight w:val="none"/>
          <w:u w:val="single"/>
        </w:rPr>
        <w:t>%(</w:t>
      </w:r>
      <w:r>
        <w:rPr>
          <w:rFonts w:hint="default" w:ascii="Arial" w:hAnsi="Arial" w:eastAsia="宋体" w:cs="Arial"/>
          <w:b/>
          <w:bCs/>
          <w:color w:val="000000"/>
          <w:kern w:val="0"/>
          <w:szCs w:val="21"/>
          <w:highlight w:val="none"/>
          <w:u w:val="single"/>
        </w:rPr>
        <w:t>¥</w:t>
      </w:r>
      <w:r>
        <w:rPr>
          <w:rFonts w:hint="eastAsia" w:ascii="宋体" w:hAnsi="宋体" w:eastAsia="宋体" w:cs="宋体"/>
          <w:b/>
          <w:bCs/>
          <w:color w:val="000000"/>
          <w:kern w:val="0"/>
          <w:szCs w:val="21"/>
          <w:highlight w:val="none"/>
          <w:u w:val="single"/>
        </w:rPr>
        <w:t>元,大写:元整 )</w:t>
      </w:r>
      <w:r>
        <w:rPr>
          <w:rFonts w:hint="eastAsia" w:ascii="宋体" w:hAnsi="宋体" w:eastAsia="宋体" w:cs="宋体"/>
          <w:color w:val="000000"/>
          <w:kern w:val="0"/>
          <w:szCs w:val="21"/>
          <w:highlight w:val="none"/>
        </w:rPr>
        <w:t>，</w:t>
      </w:r>
      <w:r>
        <w:rPr>
          <w:rFonts w:hint="eastAsia" w:ascii="宋体" w:hAnsi="宋体" w:eastAsia="宋体" w:cs="宋体"/>
          <w:color w:val="000000"/>
          <w:szCs w:val="21"/>
          <w:highlight w:val="none"/>
        </w:rPr>
        <w:t>安装调试验收合格</w:t>
      </w:r>
      <w:r>
        <w:rPr>
          <w:rFonts w:hint="eastAsia" w:ascii="宋体" w:hAnsi="宋体" w:eastAsia="宋体" w:cs="宋体"/>
          <w:color w:val="000000"/>
          <w:kern w:val="0"/>
          <w:szCs w:val="21"/>
          <w:highlight w:val="none"/>
        </w:rPr>
        <w:t>正常使用</w:t>
      </w:r>
      <w:r>
        <w:rPr>
          <w:rFonts w:hint="eastAsia" w:ascii="宋体" w:hAnsi="宋体" w:eastAsia="宋体" w:cs="宋体"/>
          <w:color w:val="000000"/>
          <w:kern w:val="0"/>
          <w:szCs w:val="21"/>
          <w:highlight w:val="none"/>
          <w:lang w:eastAsia="zh-CN"/>
        </w:rPr>
        <w:t>并向甲方提供全额发票后</w:t>
      </w:r>
      <w:r>
        <w:rPr>
          <w:rFonts w:hint="eastAsia" w:ascii="宋体" w:hAnsi="宋体" w:eastAsia="宋体" w:cs="宋体"/>
          <w:color w:val="000000"/>
          <w:kern w:val="0"/>
          <w:szCs w:val="21"/>
          <w:highlight w:val="none"/>
        </w:rPr>
        <w:t>支付</w:t>
      </w:r>
      <w:r>
        <w:rPr>
          <w:rFonts w:hint="eastAsia" w:ascii="宋体" w:hAnsi="宋体" w:eastAsia="宋体" w:cs="宋体"/>
          <w:color w:val="000000"/>
          <w:kern w:val="0"/>
          <w:szCs w:val="21"/>
          <w:highlight w:val="none"/>
          <w:lang w:eastAsia="zh-CN"/>
        </w:rPr>
        <w:t>总货款的</w:t>
      </w:r>
      <w:r>
        <w:rPr>
          <w:rFonts w:hint="eastAsia" w:ascii="宋体" w:hAnsi="宋体" w:eastAsia="宋体" w:cs="宋体"/>
          <w:b/>
          <w:bCs/>
          <w:color w:val="000000"/>
          <w:kern w:val="0"/>
          <w:szCs w:val="21"/>
          <w:highlight w:val="none"/>
          <w:u w:val="single"/>
          <w:lang w:val="en-US" w:eastAsia="zh-CN"/>
        </w:rPr>
        <w:t>40</w:t>
      </w:r>
      <w:r>
        <w:rPr>
          <w:rFonts w:hint="eastAsia" w:ascii="宋体" w:hAnsi="宋体" w:eastAsia="宋体" w:cs="宋体"/>
          <w:b/>
          <w:bCs/>
          <w:color w:val="000000"/>
          <w:kern w:val="0"/>
          <w:szCs w:val="21"/>
          <w:highlight w:val="none"/>
          <w:u w:val="single"/>
        </w:rPr>
        <w:t>%(</w:t>
      </w:r>
      <w:r>
        <w:rPr>
          <w:rFonts w:hint="default" w:ascii="Arial" w:hAnsi="Arial" w:eastAsia="宋体" w:cs="Arial"/>
          <w:b/>
          <w:bCs/>
          <w:color w:val="000000"/>
          <w:kern w:val="0"/>
          <w:szCs w:val="21"/>
          <w:highlight w:val="none"/>
          <w:u w:val="single"/>
        </w:rPr>
        <w:t>¥</w:t>
      </w:r>
      <w:r>
        <w:rPr>
          <w:rFonts w:hint="eastAsia" w:ascii="宋体" w:hAnsi="宋体" w:eastAsia="宋体" w:cs="宋体"/>
          <w:b/>
          <w:bCs/>
          <w:color w:val="000000"/>
          <w:kern w:val="0"/>
          <w:szCs w:val="21"/>
          <w:highlight w:val="none"/>
          <w:u w:val="single"/>
        </w:rPr>
        <w:t>元,大写:元整 )，</w:t>
      </w:r>
      <w:r>
        <w:rPr>
          <w:rFonts w:hint="eastAsia" w:ascii="宋体" w:hAnsi="宋体" w:eastAsia="宋体" w:cs="宋体"/>
          <w:color w:val="000000"/>
          <w:kern w:val="0"/>
          <w:szCs w:val="21"/>
          <w:highlight w:val="none"/>
        </w:rPr>
        <w:t>验收合格</w:t>
      </w:r>
      <w:r>
        <w:rPr>
          <w:rFonts w:hint="eastAsia" w:ascii="宋体" w:hAnsi="宋体" w:eastAsia="宋体" w:cs="宋体"/>
          <w:color w:val="000000"/>
          <w:kern w:val="0"/>
          <w:szCs w:val="21"/>
          <w:highlight w:val="none"/>
          <w:lang w:eastAsia="zh-CN"/>
        </w:rPr>
        <w:t>无质量问题一个月</w:t>
      </w:r>
      <w:r>
        <w:rPr>
          <w:rFonts w:hint="eastAsia" w:ascii="宋体" w:hAnsi="宋体" w:eastAsia="宋体" w:cs="宋体"/>
          <w:color w:val="000000"/>
          <w:kern w:val="0"/>
          <w:szCs w:val="21"/>
          <w:highlight w:val="none"/>
        </w:rPr>
        <w:t>后支付</w:t>
      </w:r>
      <w:r>
        <w:rPr>
          <w:rFonts w:hint="eastAsia" w:ascii="宋体" w:hAnsi="宋体" w:eastAsia="宋体" w:cs="宋体"/>
          <w:color w:val="000000"/>
          <w:kern w:val="0"/>
          <w:szCs w:val="21"/>
          <w:highlight w:val="none"/>
          <w:lang w:eastAsia="zh-CN"/>
        </w:rPr>
        <w:t>总货款的</w:t>
      </w:r>
      <w:r>
        <w:rPr>
          <w:rFonts w:hint="eastAsia" w:ascii="宋体" w:hAnsi="宋体" w:eastAsia="宋体" w:cs="宋体"/>
          <w:b/>
          <w:bCs/>
          <w:color w:val="000000"/>
          <w:kern w:val="0"/>
          <w:szCs w:val="21"/>
          <w:highlight w:val="none"/>
          <w:u w:val="single"/>
        </w:rPr>
        <w:t>30%(</w:t>
      </w:r>
      <w:r>
        <w:rPr>
          <w:rFonts w:hint="default" w:ascii="Arial" w:hAnsi="Arial" w:eastAsia="宋体" w:cs="Arial"/>
          <w:b/>
          <w:bCs/>
          <w:color w:val="000000"/>
          <w:kern w:val="0"/>
          <w:szCs w:val="21"/>
          <w:highlight w:val="none"/>
          <w:u w:val="single"/>
        </w:rPr>
        <w:t>¥</w:t>
      </w:r>
      <w:r>
        <w:rPr>
          <w:rFonts w:hint="eastAsia" w:ascii="宋体" w:hAnsi="宋体" w:eastAsia="宋体" w:cs="宋体"/>
          <w:b/>
          <w:bCs/>
          <w:color w:val="000000"/>
          <w:kern w:val="0"/>
          <w:szCs w:val="21"/>
          <w:highlight w:val="none"/>
          <w:u w:val="single"/>
        </w:rPr>
        <w:t>元,大写:元整 )</w:t>
      </w:r>
      <w:r>
        <w:rPr>
          <w:rFonts w:hint="eastAsia" w:ascii="宋体" w:hAnsi="宋体" w:eastAsia="宋体" w:cs="宋体"/>
          <w:color w:val="000000"/>
          <w:kern w:val="0"/>
          <w:szCs w:val="21"/>
          <w:highlight w:val="none"/>
        </w:rPr>
        <w:t>。</w:t>
      </w:r>
    </w:p>
    <w:p>
      <w:pPr>
        <w:widowControl/>
        <w:spacing w:line="324"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5</w:t>
      </w:r>
      <w:r>
        <w:rPr>
          <w:rFonts w:hint="eastAsia" w:ascii="宋体" w:hAnsi="宋体" w:eastAsia="宋体" w:cs="宋体"/>
          <w:color w:val="000000"/>
          <w:kern w:val="0"/>
          <w:szCs w:val="21"/>
          <w:highlight w:val="none"/>
        </w:rPr>
        <w:t>.2当本合同约定的其他付款条件成就之后或同时，乙方应当根据国家税收法律规定向甲方开具合格发票，甲方在收到乙方发票原件后向乙方支付货款，若乙方不开具合格发票，则甲方有权拒绝支付货款。</w:t>
      </w:r>
    </w:p>
    <w:p>
      <w:pPr>
        <w:widowControl/>
        <w:numPr>
          <w:ilvl w:val="0"/>
          <w:numId w:val="0"/>
        </w:numPr>
        <w:spacing w:line="324" w:lineRule="auto"/>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lang w:val="en-US" w:eastAsia="zh-CN"/>
        </w:rPr>
        <w:t>6.</w:t>
      </w:r>
      <w:r>
        <w:rPr>
          <w:rFonts w:hint="eastAsia" w:ascii="宋体" w:hAnsi="宋体" w:eastAsia="宋体" w:cs="宋体"/>
          <w:b/>
          <w:bCs/>
          <w:color w:val="000000"/>
          <w:kern w:val="0"/>
          <w:szCs w:val="21"/>
          <w:highlight w:val="none"/>
        </w:rPr>
        <w:t>质量保证及售后服务</w:t>
      </w:r>
    </w:p>
    <w:p>
      <w:pPr>
        <w:widowControl/>
        <w:shd w:val="clear" w:color="auto" w:fill="auto"/>
        <w:spacing w:line="324" w:lineRule="auto"/>
        <w:jc w:val="left"/>
        <w:rPr>
          <w:rFonts w:ascii="宋体" w:hAnsi="宋体" w:eastAsia="宋体" w:cs="宋体"/>
          <w:color w:val="000000"/>
          <w:kern w:val="0"/>
          <w:highlight w:val="none"/>
          <w:shd w:val="clear" w:color="auto" w:fill="FFFFFF"/>
        </w:rPr>
      </w:pPr>
      <w:r>
        <w:rPr>
          <w:rFonts w:hint="eastAsia" w:ascii="宋体" w:hAnsi="宋体" w:eastAsia="宋体" w:cs="宋体"/>
          <w:bCs/>
          <w:color w:val="000000"/>
          <w:kern w:val="0"/>
          <w:szCs w:val="21"/>
          <w:highlight w:val="none"/>
          <w:lang w:val="en-US" w:eastAsia="zh-CN"/>
        </w:rPr>
        <w:t>6</w:t>
      </w:r>
      <w:r>
        <w:rPr>
          <w:rFonts w:hint="eastAsia" w:ascii="宋体" w:hAnsi="宋体" w:eastAsia="宋体" w:cs="宋体"/>
          <w:bCs/>
          <w:color w:val="000000"/>
          <w:kern w:val="0"/>
          <w:szCs w:val="21"/>
          <w:highlight w:val="none"/>
        </w:rPr>
        <w:t>.1乙方所提供的商品必须是原厂正品。</w:t>
      </w:r>
      <w:r>
        <w:rPr>
          <w:rFonts w:hint="eastAsia" w:ascii="宋体" w:hAnsi="宋体" w:eastAsia="宋体" w:cs="宋体"/>
          <w:b/>
          <w:bCs/>
          <w:color w:val="000000"/>
          <w:kern w:val="0"/>
          <w:highlight w:val="none"/>
          <w:shd w:val="clear" w:color="auto" w:fill="FFFFFF"/>
        </w:rPr>
        <w:t>乙方所提供的货物的技术规格应为最新版本设备,</w:t>
      </w:r>
      <w:r>
        <w:rPr>
          <w:rFonts w:hint="eastAsia" w:ascii="宋体" w:hAnsi="宋体" w:eastAsia="宋体" w:cs="宋体"/>
          <w:bCs/>
          <w:color w:val="000000"/>
          <w:kern w:val="0"/>
          <w:sz w:val="21"/>
          <w:szCs w:val="21"/>
          <w:highlight w:val="none"/>
          <w:shd w:val="clear" w:color="auto" w:fill="auto"/>
        </w:rPr>
        <w:t>若技术性能无特殊说明，则以国家有关部门最新颁布的标准及规范为准。</w:t>
      </w:r>
      <w:r>
        <w:rPr>
          <w:rFonts w:hint="eastAsia" w:ascii="宋体" w:hAnsi="宋体" w:eastAsia="宋体" w:cs="宋体"/>
          <w:bCs/>
          <w:color w:val="000000"/>
          <w:sz w:val="21"/>
          <w:szCs w:val="21"/>
          <w:highlight w:val="none"/>
          <w:shd w:val="clear" w:color="auto" w:fill="auto"/>
        </w:rPr>
        <w:t>乙方保证所供设备的相关资质证照齐备、有效，并符合《国家医疗器械管理条例》的管理规定；乙方及所供设备的相关资证复印件作为本合同附件。</w:t>
      </w:r>
    </w:p>
    <w:p>
      <w:pPr>
        <w:widowControl/>
        <w:shd w:val="clear" w:color="auto" w:fill="FFFFFF"/>
        <w:spacing w:line="324" w:lineRule="auto"/>
        <w:jc w:val="left"/>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lang w:val="en-US" w:eastAsia="zh-CN"/>
        </w:rPr>
        <w:t>6</w:t>
      </w:r>
      <w:r>
        <w:rPr>
          <w:rFonts w:hint="eastAsia" w:ascii="宋体" w:hAnsi="宋体" w:eastAsia="宋体" w:cs="宋体"/>
          <w:bCs/>
          <w:color w:val="000000"/>
          <w:kern w:val="0"/>
          <w:szCs w:val="21"/>
          <w:highlight w:val="none"/>
        </w:rPr>
        <w:t>.2乙方对所售</w:t>
      </w:r>
      <w:r>
        <w:rPr>
          <w:rFonts w:hint="eastAsia" w:ascii="宋体" w:hAnsi="宋体" w:eastAsia="宋体" w:cs="宋体"/>
          <w:b/>
          <w:bCs w:val="0"/>
          <w:color w:val="0000FF"/>
          <w:kern w:val="0"/>
          <w:szCs w:val="21"/>
          <w:highlight w:val="none"/>
          <w:u w:val="single"/>
        </w:rPr>
        <w:t>设备提供质保期</w:t>
      </w:r>
      <w:r>
        <w:rPr>
          <w:rFonts w:hint="eastAsia" w:ascii="宋体" w:hAnsi="宋体" w:eastAsia="宋体" w:cs="宋体"/>
          <w:b/>
          <w:bCs w:val="0"/>
          <w:color w:val="0000FF"/>
          <w:kern w:val="0"/>
          <w:szCs w:val="21"/>
          <w:highlight w:val="none"/>
          <w:u w:val="single"/>
          <w:lang w:val="en-US" w:eastAsia="zh-CN"/>
        </w:rPr>
        <w:t>24</w:t>
      </w:r>
      <w:r>
        <w:rPr>
          <w:rFonts w:hint="eastAsia" w:ascii="宋体" w:hAnsi="宋体" w:eastAsia="宋体" w:cs="宋体"/>
          <w:b/>
          <w:bCs w:val="0"/>
          <w:color w:val="0000FF"/>
          <w:kern w:val="0"/>
          <w:szCs w:val="21"/>
          <w:highlight w:val="none"/>
          <w:u w:val="single"/>
        </w:rPr>
        <w:t>个月</w:t>
      </w:r>
      <w:r>
        <w:rPr>
          <w:rFonts w:hint="eastAsia" w:ascii="宋体" w:hAnsi="宋体" w:eastAsia="宋体" w:cs="宋体"/>
          <w:b/>
          <w:bCs w:val="0"/>
          <w:color w:val="000000"/>
          <w:kern w:val="0"/>
          <w:szCs w:val="21"/>
          <w:highlight w:val="none"/>
          <w:u w:val="single"/>
          <w:lang w:eastAsia="zh-CN"/>
        </w:rPr>
        <w:t>。</w:t>
      </w:r>
      <w:r>
        <w:rPr>
          <w:rFonts w:hint="eastAsia" w:ascii="宋体" w:hAnsi="宋体" w:eastAsia="宋体" w:cs="宋体"/>
          <w:bCs/>
          <w:color w:val="000000"/>
          <w:kern w:val="0"/>
          <w:szCs w:val="21"/>
          <w:highlight w:val="none"/>
        </w:rPr>
        <w:t>质保期的期限应以甲乙双方的验收合格之日起计算，保修期内免费更换零配件及工时费</w:t>
      </w:r>
      <w:r>
        <w:rPr>
          <w:rFonts w:hint="eastAsia" w:ascii="宋体" w:hAnsi="宋体" w:eastAsia="宋体" w:cs="宋体"/>
          <w:bCs/>
          <w:color w:val="000000"/>
          <w:kern w:val="0"/>
          <w:szCs w:val="21"/>
          <w:highlight w:val="none"/>
          <w:lang w:val="en-US" w:eastAsia="zh-CN"/>
        </w:rPr>
        <w:t>(非人为损伤）</w:t>
      </w:r>
      <w:r>
        <w:rPr>
          <w:rFonts w:hint="eastAsia" w:ascii="宋体" w:hAnsi="宋体" w:eastAsia="宋体" w:cs="宋体"/>
          <w:bCs/>
          <w:color w:val="000000"/>
          <w:kern w:val="0"/>
          <w:szCs w:val="21"/>
          <w:highlight w:val="none"/>
        </w:rPr>
        <w:t>。如达不到此要求，即相应延长保修期，质保期外，免费维修，若涉及更换配件的，只收取成本费。</w:t>
      </w:r>
    </w:p>
    <w:p>
      <w:pPr>
        <w:widowControl/>
        <w:shd w:val="clear" w:color="auto" w:fill="FFFFFF"/>
        <w:spacing w:line="324" w:lineRule="auto"/>
        <w:jc w:val="left"/>
        <w:rPr>
          <w:rFonts w:hint="eastAsia" w:ascii="宋体" w:hAnsi="宋体" w:eastAsia="宋体" w:cs="宋体"/>
          <w:szCs w:val="21"/>
          <w:highlight w:val="none"/>
          <w:lang w:eastAsia="zh-CN"/>
        </w:rPr>
      </w:pP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rPr>
        <w:t>.3乙方所提供的产品质量或规格如与合同不符，或证实设备是有缺陷的，包括潜在的缺陷或使用不符合要求的材料等，乙方应在接到甲方通知后</w:t>
      </w:r>
      <w:r>
        <w:rPr>
          <w:rFonts w:hint="eastAsia" w:ascii="宋体" w:hAnsi="宋体" w:eastAsia="宋体" w:cs="宋体"/>
          <w:b/>
          <w:bCs/>
          <w:color w:val="000000"/>
          <w:kern w:val="0"/>
          <w:szCs w:val="21"/>
          <w:highlight w:val="none"/>
          <w:u w:val="single"/>
        </w:rPr>
        <w:t>3天</w:t>
      </w:r>
      <w:r>
        <w:rPr>
          <w:rFonts w:hint="eastAsia" w:ascii="宋体" w:hAnsi="宋体" w:eastAsia="宋体" w:cs="宋体"/>
          <w:color w:val="000000"/>
          <w:kern w:val="0"/>
          <w:szCs w:val="21"/>
          <w:highlight w:val="none"/>
        </w:rPr>
        <w:t>内负责采用符合合同规定的规格、质量和性能要求的新零件、部件或设备来更换有缺陷的部分或修补缺陷部分，其费用由乙方负担。同时，乙方应按本合同规定，相应延长修补或更换件的质量保证期。</w:t>
      </w:r>
      <w:r>
        <w:rPr>
          <w:rFonts w:hint="eastAsia" w:ascii="宋体" w:hAnsi="宋体" w:eastAsia="宋体" w:cs="宋体"/>
          <w:szCs w:val="21"/>
          <w:highlight w:val="none"/>
        </w:rPr>
        <w:t>乙方提供设备为全新设备，如甲方在使用期间发现是经过翻新或改造等非全新的设备，造成的直接及间接损失由乙方承担，并承担相应的法律责任。甲方拥有不限时限的追索权。</w:t>
      </w:r>
    </w:p>
    <w:p>
      <w:pPr>
        <w:widowControl/>
        <w:shd w:val="clear" w:color="auto" w:fill="FFFFFF"/>
        <w:spacing w:line="324" w:lineRule="auto"/>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rPr>
        <w:t>.4当甲方发现乙方提供的产品有质量问题，或于本合同规格不符等问题，导致甲方无法使用，乙方应在</w:t>
      </w:r>
      <w:r>
        <w:rPr>
          <w:rFonts w:hint="eastAsia" w:ascii="宋体" w:hAnsi="宋体" w:eastAsia="宋体" w:cs="宋体"/>
          <w:b/>
          <w:bCs/>
          <w:color w:val="000000"/>
          <w:kern w:val="0"/>
          <w:szCs w:val="21"/>
          <w:highlight w:val="none"/>
          <w:u w:val="single"/>
        </w:rPr>
        <w:t xml:space="preserve"> 24 小时</w:t>
      </w:r>
      <w:r>
        <w:rPr>
          <w:rFonts w:hint="eastAsia" w:ascii="宋体" w:hAnsi="宋体" w:eastAsia="宋体" w:cs="宋体"/>
          <w:color w:val="000000"/>
          <w:kern w:val="0"/>
          <w:szCs w:val="21"/>
          <w:highlight w:val="none"/>
        </w:rPr>
        <w:t>内予以解决。 超过</w:t>
      </w:r>
      <w:r>
        <w:rPr>
          <w:rFonts w:hint="eastAsia" w:ascii="宋体" w:hAnsi="宋体" w:eastAsia="宋体" w:cs="宋体"/>
          <w:b/>
          <w:bCs/>
          <w:color w:val="000000"/>
          <w:kern w:val="0"/>
          <w:szCs w:val="21"/>
          <w:highlight w:val="none"/>
          <w:u w:val="single"/>
        </w:rPr>
        <w:t>48小时</w:t>
      </w:r>
      <w:r>
        <w:rPr>
          <w:rFonts w:hint="eastAsia" w:ascii="宋体" w:hAnsi="宋体" w:eastAsia="宋体" w:cs="宋体"/>
          <w:color w:val="000000"/>
          <w:kern w:val="0"/>
          <w:szCs w:val="21"/>
          <w:highlight w:val="none"/>
        </w:rPr>
        <w:t>未能解决，乙方有义务向甲方说明情况申请延期。如乙方未向甲方说明情况，甲方有权利在</w:t>
      </w:r>
      <w:r>
        <w:rPr>
          <w:rFonts w:hint="eastAsia" w:ascii="宋体" w:hAnsi="宋体" w:eastAsia="宋体" w:cs="宋体"/>
          <w:color w:val="000000"/>
          <w:kern w:val="0"/>
          <w:szCs w:val="21"/>
          <w:highlight w:val="none"/>
          <w:lang w:eastAsia="zh-CN"/>
        </w:rPr>
        <w:t>向</w:t>
      </w:r>
      <w:r>
        <w:rPr>
          <w:rFonts w:hint="eastAsia" w:ascii="宋体" w:hAnsi="宋体" w:eastAsia="宋体" w:cs="宋体"/>
          <w:color w:val="000000"/>
          <w:kern w:val="0"/>
          <w:szCs w:val="21"/>
          <w:highlight w:val="none"/>
        </w:rPr>
        <w:t>乙方</w:t>
      </w:r>
      <w:r>
        <w:rPr>
          <w:rFonts w:hint="eastAsia" w:ascii="宋体" w:hAnsi="宋体" w:eastAsia="宋体" w:cs="宋体"/>
          <w:color w:val="000000"/>
          <w:kern w:val="0"/>
          <w:szCs w:val="21"/>
          <w:highlight w:val="none"/>
          <w:lang w:eastAsia="zh-CN"/>
        </w:rPr>
        <w:t>支付</w:t>
      </w:r>
      <w:r>
        <w:rPr>
          <w:rFonts w:hint="eastAsia" w:ascii="宋体" w:hAnsi="宋体" w:eastAsia="宋体" w:cs="宋体"/>
          <w:color w:val="000000"/>
          <w:kern w:val="0"/>
          <w:szCs w:val="21"/>
          <w:highlight w:val="none"/>
        </w:rPr>
        <w:t>的货款中扣除损失费。</w:t>
      </w:r>
    </w:p>
    <w:p>
      <w:pPr>
        <w:pStyle w:val="19"/>
        <w:spacing w:line="324" w:lineRule="auto"/>
        <w:rPr>
          <w:rFonts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.5报修响应时间</w:t>
      </w:r>
      <w:r>
        <w:rPr>
          <w:rFonts w:hint="eastAsia" w:ascii="宋体" w:hAnsi="宋体" w:eastAsia="宋体" w:cs="宋体"/>
          <w:b w:val="0"/>
          <w:bCs w:val="0"/>
          <w:color w:val="000000"/>
          <w:kern w:val="0"/>
          <w:sz w:val="21"/>
          <w:szCs w:val="21"/>
          <w:highlight w:val="none"/>
          <w:u w:val="none"/>
        </w:rPr>
        <w:t>0.5小时</w:t>
      </w:r>
      <w:r>
        <w:rPr>
          <w:rFonts w:hint="eastAsia" w:ascii="宋体" w:hAnsi="宋体" w:eastAsia="宋体" w:cs="宋体"/>
          <w:color w:val="000000"/>
          <w:kern w:val="0"/>
          <w:sz w:val="21"/>
          <w:szCs w:val="21"/>
          <w:highlight w:val="none"/>
        </w:rPr>
        <w:t>，到场时间</w:t>
      </w:r>
      <w:r>
        <w:rPr>
          <w:rFonts w:hint="eastAsia" w:ascii="宋体" w:hAnsi="宋体" w:eastAsia="宋体" w:cs="宋体"/>
          <w:b w:val="0"/>
          <w:bCs w:val="0"/>
          <w:color w:val="000000"/>
          <w:kern w:val="0"/>
          <w:sz w:val="21"/>
          <w:szCs w:val="21"/>
          <w:highlight w:val="none"/>
          <w:u w:val="none"/>
        </w:rPr>
        <w:t>24小时</w:t>
      </w:r>
      <w:r>
        <w:rPr>
          <w:rFonts w:hint="eastAsia" w:ascii="宋体" w:hAnsi="宋体" w:eastAsia="宋体" w:cs="宋体"/>
          <w:color w:val="000000"/>
          <w:kern w:val="0"/>
          <w:sz w:val="21"/>
          <w:szCs w:val="21"/>
          <w:highlight w:val="none"/>
        </w:rPr>
        <w:t>（不可抗拒力量下除外）。乙方24小时不能维修到位，则自24小时届满，乙方有义务免费提供</w:t>
      </w:r>
      <w:r>
        <w:rPr>
          <w:rFonts w:hint="eastAsia" w:ascii="宋体" w:hAnsi="宋体" w:eastAsia="宋体" w:cs="宋体"/>
          <w:b w:val="0"/>
          <w:bCs w:val="0"/>
          <w:color w:val="000000"/>
          <w:kern w:val="0"/>
          <w:sz w:val="21"/>
          <w:szCs w:val="21"/>
          <w:highlight w:val="none"/>
        </w:rPr>
        <w:t>备用机</w:t>
      </w:r>
      <w:r>
        <w:rPr>
          <w:rFonts w:hint="eastAsia" w:ascii="宋体" w:hAnsi="宋体" w:eastAsia="宋体" w:cs="宋体"/>
          <w:color w:val="000000"/>
          <w:kern w:val="0"/>
          <w:sz w:val="21"/>
          <w:szCs w:val="21"/>
          <w:highlight w:val="none"/>
        </w:rPr>
        <w:t>供甲方使用。备用机的功能、能耗及使用便利性不得低于本合同项目中的机械设备。乙方逾期维修，甲方可自行组织维修，但相关维修费用由乙方承担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sz w:val="21"/>
          <w:szCs w:val="21"/>
          <w:highlight w:val="none"/>
          <w:shd w:val="clear" w:color="auto" w:fill="auto"/>
        </w:rPr>
        <w:t>甲方可直接从乙方</w:t>
      </w:r>
      <w:r>
        <w:rPr>
          <w:rFonts w:hint="eastAsia" w:ascii="宋体" w:hAnsi="宋体" w:eastAsia="宋体" w:cs="宋体"/>
          <w:color w:val="000000"/>
          <w:sz w:val="21"/>
          <w:szCs w:val="21"/>
          <w:highlight w:val="none"/>
          <w:shd w:val="clear" w:color="auto" w:fill="auto"/>
          <w:lang w:eastAsia="zh-CN"/>
        </w:rPr>
        <w:t>履约保证金</w:t>
      </w:r>
      <w:r>
        <w:rPr>
          <w:rFonts w:hint="eastAsia" w:ascii="宋体" w:hAnsi="宋体" w:eastAsia="宋体" w:cs="宋体"/>
          <w:color w:val="000000"/>
          <w:sz w:val="21"/>
          <w:szCs w:val="21"/>
          <w:highlight w:val="none"/>
          <w:shd w:val="clear" w:color="auto" w:fill="auto"/>
        </w:rPr>
        <w:t>中扣除，扣除后乙方应在5个日历日内将</w:t>
      </w:r>
      <w:r>
        <w:rPr>
          <w:rFonts w:hint="eastAsia" w:ascii="宋体" w:hAnsi="宋体" w:eastAsia="宋体" w:cs="宋体"/>
          <w:color w:val="000000"/>
          <w:sz w:val="21"/>
          <w:szCs w:val="21"/>
          <w:highlight w:val="none"/>
          <w:shd w:val="clear" w:color="auto" w:fill="auto"/>
          <w:lang w:eastAsia="zh-CN"/>
        </w:rPr>
        <w:t>履约保证金</w:t>
      </w:r>
      <w:r>
        <w:rPr>
          <w:rFonts w:hint="eastAsia" w:ascii="宋体" w:hAnsi="宋体" w:eastAsia="宋体" w:cs="宋体"/>
          <w:color w:val="000000"/>
          <w:sz w:val="21"/>
          <w:szCs w:val="21"/>
          <w:highlight w:val="none"/>
          <w:shd w:val="clear" w:color="auto" w:fill="auto"/>
        </w:rPr>
        <w:t>补足</w:t>
      </w:r>
      <w:r>
        <w:rPr>
          <w:rFonts w:hint="eastAsia" w:ascii="宋体" w:hAnsi="宋体" w:eastAsia="宋体" w:cs="宋体"/>
          <w:color w:val="000000"/>
          <w:kern w:val="0"/>
          <w:szCs w:val="21"/>
          <w:highlight w:val="none"/>
        </w:rPr>
        <w:t>。</w:t>
      </w:r>
    </w:p>
    <w:p>
      <w:pPr>
        <w:widowControl/>
        <w:numPr>
          <w:ilvl w:val="0"/>
          <w:numId w:val="0"/>
        </w:numPr>
        <w:spacing w:line="324" w:lineRule="auto"/>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lang w:val="en-US" w:eastAsia="zh-CN"/>
        </w:rPr>
        <w:t>7</w:t>
      </w:r>
      <w:r>
        <w:rPr>
          <w:rFonts w:hint="eastAsia" w:ascii="宋体" w:hAnsi="宋体" w:eastAsia="宋体" w:cs="宋体"/>
          <w:b/>
          <w:bCs/>
          <w:color w:val="000000"/>
          <w:kern w:val="0"/>
          <w:szCs w:val="21"/>
          <w:highlight w:val="none"/>
          <w:lang w:eastAsia="zh-CN"/>
        </w:rPr>
        <w:t>违约</w:t>
      </w:r>
      <w:r>
        <w:rPr>
          <w:rFonts w:hint="eastAsia" w:ascii="宋体" w:hAnsi="宋体" w:eastAsia="宋体" w:cs="宋体"/>
          <w:b/>
          <w:bCs/>
          <w:color w:val="000000"/>
          <w:kern w:val="0"/>
          <w:szCs w:val="21"/>
          <w:highlight w:val="none"/>
        </w:rPr>
        <w:t>条款 </w:t>
      </w:r>
    </w:p>
    <w:p>
      <w:pPr>
        <w:widowControl/>
        <w:spacing w:line="324" w:lineRule="auto"/>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7</w:t>
      </w:r>
      <w:r>
        <w:rPr>
          <w:rFonts w:hint="eastAsia" w:ascii="宋体" w:hAnsi="宋体" w:eastAsia="宋体" w:cs="宋体"/>
          <w:color w:val="000000"/>
          <w:kern w:val="0"/>
          <w:szCs w:val="21"/>
          <w:highlight w:val="none"/>
        </w:rPr>
        <w:t>.1 如经相关监督管理机构检验确认货物不符合本合同约定</w:t>
      </w:r>
      <w:r>
        <w:rPr>
          <w:rFonts w:hint="eastAsia" w:ascii="宋体" w:hAnsi="宋体" w:eastAsia="宋体" w:cs="宋体"/>
          <w:color w:val="000000"/>
          <w:kern w:val="0"/>
          <w:sz w:val="21"/>
          <w:szCs w:val="21"/>
          <w:highlight w:val="none"/>
          <w:lang w:eastAsia="zh-CN"/>
        </w:rPr>
        <w:t>或甲方</w:t>
      </w:r>
      <w:r>
        <w:rPr>
          <w:rFonts w:hint="eastAsia" w:ascii="宋体" w:hAnsi="宋体" w:eastAsia="宋体" w:cs="宋体"/>
          <w:color w:val="000000"/>
          <w:kern w:val="0"/>
          <w:sz w:val="21"/>
          <w:szCs w:val="21"/>
          <w:highlight w:val="none"/>
          <w:shd w:val="clear" w:color="auto" w:fill="auto"/>
        </w:rPr>
        <w:t>验收时发现设备数量、规格、品种等不符合规定的</w:t>
      </w:r>
      <w:r>
        <w:rPr>
          <w:rFonts w:hint="eastAsia" w:ascii="宋体" w:hAnsi="宋体" w:eastAsia="宋体" w:cs="宋体"/>
          <w:color w:val="000000"/>
          <w:kern w:val="0"/>
          <w:szCs w:val="21"/>
          <w:highlight w:val="none"/>
        </w:rPr>
        <w:t>，甲方有权选择下列方式之一要求乙方进行补救：</w:t>
      </w:r>
    </w:p>
    <w:p>
      <w:pPr>
        <w:widowControl/>
        <w:spacing w:line="324" w:lineRule="auto"/>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7</w:t>
      </w:r>
      <w:r>
        <w:rPr>
          <w:rFonts w:hint="eastAsia" w:ascii="宋体" w:hAnsi="宋体" w:eastAsia="宋体" w:cs="宋体"/>
          <w:color w:val="000000"/>
          <w:kern w:val="0"/>
          <w:szCs w:val="21"/>
          <w:highlight w:val="none"/>
        </w:rPr>
        <w:t>.1.1</w:t>
      </w:r>
      <w:r>
        <w:rPr>
          <w:rFonts w:hint="eastAsia" w:ascii="宋体" w:hAnsi="宋体" w:eastAsia="宋体" w:cs="宋体"/>
          <w:color w:val="000000"/>
          <w:kern w:val="0"/>
          <w:szCs w:val="21"/>
        </w:rPr>
        <w:t>甲方有权选择退货并解除合同</w:t>
      </w:r>
      <w:r>
        <w:rPr>
          <w:rFonts w:hint="eastAsia" w:ascii="宋体" w:hAnsi="宋体" w:eastAsia="宋体" w:cs="宋体"/>
          <w:color w:val="000000"/>
          <w:kern w:val="0"/>
          <w:szCs w:val="21"/>
          <w:highlight w:val="none"/>
        </w:rPr>
        <w:t>，乙方应将全额货款退还甲方，并负担因解除合同而发生的一切损失和费用。</w:t>
      </w:r>
    </w:p>
    <w:p>
      <w:pPr>
        <w:widowControl/>
        <w:spacing w:line="324" w:lineRule="auto"/>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7</w:t>
      </w:r>
      <w:r>
        <w:rPr>
          <w:rFonts w:hint="eastAsia" w:ascii="宋体" w:hAnsi="宋体" w:eastAsia="宋体" w:cs="宋体"/>
          <w:color w:val="000000"/>
          <w:kern w:val="0"/>
          <w:szCs w:val="21"/>
          <w:highlight w:val="none"/>
        </w:rPr>
        <w:t>.1.2调换有瑕疵的货物，换货必须全新并符合本合同规定的规格质量和性能，乙方并负责因此而产生的一切费用和甲方的一切损失。</w:t>
      </w:r>
    </w:p>
    <w:p>
      <w:pPr>
        <w:widowControl/>
        <w:spacing w:line="324" w:lineRule="auto"/>
        <w:jc w:val="left"/>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7</w:t>
      </w:r>
      <w:r>
        <w:rPr>
          <w:rFonts w:hint="eastAsia" w:ascii="宋体" w:hAnsi="宋体" w:eastAsia="宋体" w:cs="宋体"/>
          <w:kern w:val="0"/>
          <w:szCs w:val="21"/>
          <w:highlight w:val="none"/>
        </w:rPr>
        <w:t>.2如果乙方没有按照合同规定的时间交货和提供服务，</w:t>
      </w:r>
      <w:r>
        <w:rPr>
          <w:rFonts w:hint="eastAsia" w:ascii="宋体" w:hAnsi="宋体" w:eastAsia="宋体" w:cs="宋体"/>
          <w:color w:val="000000"/>
          <w:kern w:val="0"/>
          <w:szCs w:val="21"/>
        </w:rPr>
        <w:t>甲方有权从合同货款或履约保证金</w:t>
      </w:r>
      <w:r>
        <w:rPr>
          <w:rFonts w:hint="eastAsia" w:ascii="宋体" w:hAnsi="宋体" w:eastAsia="宋体" w:cs="宋体"/>
          <w:kern w:val="0"/>
          <w:szCs w:val="21"/>
          <w:highlight w:val="none"/>
        </w:rPr>
        <w:t>中扣除误期赔偿费，延期交货和延期服务的赔偿费均按每延期一日扣除延期交付部分的合同价的百分之零点五（</w:t>
      </w:r>
      <w:r>
        <w:rPr>
          <w:rFonts w:hint="eastAsia" w:ascii="宋体" w:hAnsi="宋体" w:eastAsia="宋体" w:cs="宋体"/>
          <w:b/>
          <w:bCs/>
          <w:kern w:val="0"/>
          <w:szCs w:val="21"/>
          <w:highlight w:val="none"/>
        </w:rPr>
        <w:t>0.5％</w:t>
      </w:r>
      <w:r>
        <w:rPr>
          <w:rFonts w:hint="eastAsia" w:ascii="宋体" w:hAnsi="宋体" w:eastAsia="宋体" w:cs="宋体"/>
          <w:kern w:val="0"/>
          <w:szCs w:val="21"/>
          <w:highlight w:val="none"/>
        </w:rPr>
        <w:t>）计算，直至交货或提供服务为止；超过</w:t>
      </w:r>
      <w:r>
        <w:rPr>
          <w:rFonts w:hint="eastAsia" w:ascii="宋体" w:hAnsi="宋体" w:eastAsia="宋体" w:cs="宋体"/>
          <w:b/>
          <w:bCs/>
          <w:kern w:val="0"/>
          <w:szCs w:val="21"/>
          <w:highlight w:val="none"/>
          <w:u w:val="single"/>
        </w:rPr>
        <w:t>30日</w:t>
      </w:r>
      <w:r>
        <w:rPr>
          <w:rFonts w:hint="eastAsia" w:ascii="宋体" w:hAnsi="宋体" w:eastAsia="宋体" w:cs="宋体"/>
          <w:kern w:val="0"/>
          <w:szCs w:val="21"/>
          <w:highlight w:val="none"/>
        </w:rPr>
        <w:t>仍未能交货或提供服务的，甲方有权解除合同</w:t>
      </w:r>
      <w:r>
        <w:rPr>
          <w:rFonts w:hint="eastAsia" w:ascii="宋体" w:hAnsi="宋体" w:eastAsia="宋体" w:cs="宋体"/>
          <w:kern w:val="0"/>
          <w:sz w:val="21"/>
          <w:szCs w:val="21"/>
          <w:highlight w:val="none"/>
          <w:lang w:eastAsia="zh-CN"/>
        </w:rPr>
        <w:t>，乙方应向甲方支付合同总额</w:t>
      </w:r>
      <w:r>
        <w:rPr>
          <w:rFonts w:hint="eastAsia" w:ascii="宋体" w:hAnsi="宋体" w:eastAsia="宋体" w:cs="宋体"/>
          <w:kern w:val="0"/>
          <w:sz w:val="21"/>
          <w:szCs w:val="21"/>
          <w:highlight w:val="none"/>
          <w:lang w:val="en-US" w:eastAsia="zh-CN"/>
        </w:rPr>
        <w:t>30%的违约金</w:t>
      </w:r>
      <w:r>
        <w:rPr>
          <w:rFonts w:hint="eastAsia" w:ascii="宋体" w:hAnsi="宋体" w:eastAsia="宋体" w:cs="宋体"/>
          <w:kern w:val="0"/>
          <w:szCs w:val="21"/>
          <w:highlight w:val="none"/>
        </w:rPr>
        <w:t>。</w:t>
      </w:r>
    </w:p>
    <w:p>
      <w:pPr>
        <w:spacing w:line="324" w:lineRule="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Cs w:val="21"/>
          <w:highlight w:val="none"/>
          <w:lang w:val="en-US" w:eastAsia="zh-CN"/>
        </w:rPr>
        <w:t>7</w:t>
      </w:r>
      <w:r>
        <w:rPr>
          <w:rFonts w:hint="eastAsia" w:ascii="宋体" w:hAnsi="宋体" w:eastAsia="宋体" w:cs="宋体"/>
          <w:color w:val="000000"/>
          <w:kern w:val="0"/>
          <w:szCs w:val="21"/>
          <w:highlight w:val="none"/>
        </w:rPr>
        <w:t>.3</w:t>
      </w:r>
      <w:r>
        <w:rPr>
          <w:rFonts w:hint="eastAsia" w:ascii="宋体" w:hAnsi="宋体" w:eastAsia="宋体" w:cs="宋体"/>
          <w:color w:val="000000"/>
          <w:kern w:val="0"/>
          <w:szCs w:val="21"/>
          <w:highlight w:val="none"/>
          <w:lang w:val="en-US" w:eastAsia="zh-CN"/>
        </w:rPr>
        <w:t xml:space="preserve"> </w:t>
      </w:r>
      <w:r>
        <w:rPr>
          <w:rFonts w:hint="eastAsia" w:ascii="宋体" w:hAnsi="宋体" w:eastAsia="宋体" w:cs="宋体"/>
          <w:color w:val="000000"/>
          <w:kern w:val="0"/>
          <w:sz w:val="21"/>
          <w:szCs w:val="21"/>
          <w:highlight w:val="none"/>
        </w:rPr>
        <w:t>如乙方</w:t>
      </w:r>
      <w:r>
        <w:rPr>
          <w:rFonts w:hint="eastAsia" w:ascii="宋体" w:hAnsi="宋体" w:eastAsia="宋体" w:cs="宋体"/>
          <w:color w:val="000000"/>
          <w:kern w:val="0"/>
          <w:sz w:val="21"/>
          <w:szCs w:val="21"/>
          <w:highlight w:val="none"/>
          <w:shd w:val="clear" w:color="auto" w:fill="auto"/>
        </w:rPr>
        <w:t>或乙方指定的售后维保商（或厂家）</w:t>
      </w:r>
      <w:r>
        <w:rPr>
          <w:rFonts w:hint="eastAsia" w:ascii="宋体" w:hAnsi="宋体" w:eastAsia="宋体" w:cs="宋体"/>
          <w:color w:val="000000"/>
          <w:kern w:val="0"/>
          <w:sz w:val="21"/>
          <w:szCs w:val="21"/>
          <w:highlight w:val="none"/>
        </w:rPr>
        <w:t>未能按照本合同第</w:t>
      </w:r>
      <w:r>
        <w:rPr>
          <w:rFonts w:hint="eastAsia" w:ascii="宋体" w:hAnsi="宋体" w:eastAsia="宋体" w:cs="宋体"/>
          <w:color w:val="000000"/>
          <w:kern w:val="0"/>
          <w:sz w:val="21"/>
          <w:szCs w:val="21"/>
          <w:highlight w:val="none"/>
          <w:lang w:eastAsia="zh-CN"/>
        </w:rPr>
        <w:t>五</w:t>
      </w:r>
      <w:r>
        <w:rPr>
          <w:rFonts w:hint="eastAsia" w:ascii="宋体" w:hAnsi="宋体" w:eastAsia="宋体" w:cs="宋体"/>
          <w:color w:val="000000"/>
          <w:kern w:val="0"/>
          <w:sz w:val="21"/>
          <w:szCs w:val="21"/>
          <w:highlight w:val="none"/>
        </w:rPr>
        <w:t>条的约定履行质保义务，或不能及时响应按时提供质保服务的，除按照本合同约定从乙方</w:t>
      </w:r>
      <w:r>
        <w:rPr>
          <w:rFonts w:hint="eastAsia" w:ascii="宋体" w:hAnsi="宋体" w:eastAsia="宋体" w:cs="宋体"/>
          <w:color w:val="000000"/>
          <w:kern w:val="0"/>
          <w:sz w:val="21"/>
          <w:szCs w:val="21"/>
          <w:highlight w:val="none"/>
          <w:lang w:eastAsia="zh-CN"/>
        </w:rPr>
        <w:t>履约保证金</w:t>
      </w:r>
      <w:r>
        <w:rPr>
          <w:rFonts w:hint="eastAsia" w:ascii="宋体" w:hAnsi="宋体" w:eastAsia="宋体" w:cs="宋体"/>
          <w:color w:val="000000"/>
          <w:kern w:val="0"/>
          <w:sz w:val="21"/>
          <w:szCs w:val="21"/>
          <w:highlight w:val="none"/>
        </w:rPr>
        <w:t>中扣除维保费用后，每发生一次违约，乙方还应向甲方支付</w:t>
      </w:r>
      <w:r>
        <w:rPr>
          <w:rFonts w:hint="eastAsia" w:ascii="宋体" w:hAnsi="宋体" w:eastAsia="宋体" w:cs="宋体"/>
          <w:color w:val="000000"/>
          <w:kern w:val="0"/>
          <w:sz w:val="21"/>
          <w:szCs w:val="21"/>
          <w:highlight w:val="none"/>
          <w:lang w:eastAsia="zh-CN"/>
        </w:rPr>
        <w:t>1</w:t>
      </w:r>
      <w:r>
        <w:rPr>
          <w:rFonts w:hint="eastAsia" w:ascii="宋体" w:hAnsi="宋体" w:eastAsia="宋体" w:cs="宋体"/>
          <w:color w:val="000000"/>
          <w:kern w:val="0"/>
          <w:sz w:val="21"/>
          <w:szCs w:val="21"/>
          <w:highlight w:val="none"/>
        </w:rPr>
        <w:t>000元的违约金。</w:t>
      </w:r>
    </w:p>
    <w:p>
      <w:pPr>
        <w:spacing w:line="324" w:lineRule="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 xml:space="preserve"> 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pPr>
        <w:widowControl/>
        <w:spacing w:line="324"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lang w:val="en-US" w:eastAsia="zh-CN"/>
        </w:rPr>
        <w:t>7.5</w:t>
      </w:r>
      <w:r>
        <w:rPr>
          <w:rFonts w:hint="eastAsia" w:ascii="宋体" w:hAnsi="宋体" w:eastAsia="宋体" w:cs="宋体"/>
          <w:color w:val="000000"/>
          <w:kern w:val="0"/>
          <w:sz w:val="21"/>
          <w:szCs w:val="21"/>
          <w:highlight w:val="none"/>
        </w:rPr>
        <w:t>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30%的违约金。</w:t>
      </w:r>
    </w:p>
    <w:p>
      <w:pPr>
        <w:widowControl/>
        <w:spacing w:line="324"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7</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rPr>
        <w:t>乙方应保证甲方和使用单位在使用该设备或其任何一部分时免受第三方提出侵犯其专利权、商标权或工业产权的起诉。</w:t>
      </w:r>
    </w:p>
    <w:p>
      <w:pPr>
        <w:pStyle w:val="19"/>
        <w:shd w:val="clear" w:color="auto" w:fill="FFFFFF"/>
        <w:spacing w:line="324" w:lineRule="auto"/>
        <w:rPr>
          <w:highlight w:val="none"/>
        </w:rPr>
      </w:pPr>
      <w:r>
        <w:rPr>
          <w:rFonts w:hint="eastAsia" w:ascii="宋体" w:hAnsi="宋体" w:eastAsia="宋体" w:cs="宋体"/>
          <w:color w:val="000000"/>
          <w:kern w:val="0"/>
          <w:sz w:val="21"/>
          <w:szCs w:val="21"/>
          <w:highlight w:val="none"/>
          <w:lang w:val="en-US" w:eastAsia="zh-CN"/>
        </w:rPr>
        <w:t>7.7</w:t>
      </w:r>
      <w:r>
        <w:rPr>
          <w:rFonts w:hint="eastAsia" w:ascii="宋体" w:hAnsi="宋体" w:eastAsia="宋体" w:cs="宋体"/>
          <w:color w:val="000000"/>
          <w:kern w:val="0"/>
          <w:sz w:val="21"/>
          <w:szCs w:val="21"/>
          <w:highlight w:val="none"/>
        </w:rPr>
        <w:t>乙方依据本合同约定应当承担的各项违约金和损失赔偿，甲方均有权从应支付乙方的款项中扣除。</w:t>
      </w:r>
    </w:p>
    <w:p>
      <w:pPr>
        <w:widowControl/>
        <w:numPr>
          <w:ilvl w:val="0"/>
          <w:numId w:val="0"/>
        </w:numPr>
        <w:spacing w:line="324" w:lineRule="auto"/>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lang w:val="en-US" w:eastAsia="zh-CN"/>
        </w:rPr>
        <w:t>8.</w:t>
      </w:r>
      <w:r>
        <w:rPr>
          <w:rFonts w:hint="eastAsia" w:ascii="宋体" w:hAnsi="宋体" w:eastAsia="宋体" w:cs="宋体"/>
          <w:b/>
          <w:bCs/>
          <w:color w:val="000000"/>
          <w:kern w:val="0"/>
          <w:szCs w:val="21"/>
          <w:highlight w:val="none"/>
        </w:rPr>
        <w:t>争</w:t>
      </w:r>
      <w:r>
        <w:rPr>
          <w:rFonts w:hint="eastAsia" w:ascii="宋体" w:hAnsi="宋体" w:eastAsia="宋体" w:cs="宋体"/>
          <w:b/>
          <w:bCs/>
          <w:color w:val="000000"/>
          <w:kern w:val="0"/>
          <w:szCs w:val="21"/>
          <w:highlight w:val="none"/>
          <w:lang w:eastAsia="zh-CN"/>
        </w:rPr>
        <w:t>议</w:t>
      </w:r>
      <w:r>
        <w:rPr>
          <w:rFonts w:hint="eastAsia" w:ascii="宋体" w:hAnsi="宋体" w:eastAsia="宋体" w:cs="宋体"/>
          <w:b/>
          <w:bCs/>
          <w:color w:val="000000"/>
          <w:kern w:val="0"/>
          <w:szCs w:val="21"/>
          <w:highlight w:val="none"/>
        </w:rPr>
        <w:t>的解决</w:t>
      </w:r>
      <w:r>
        <w:rPr>
          <w:rFonts w:hint="eastAsia" w:ascii="宋体" w:hAnsi="宋体" w:eastAsia="宋体" w:cs="宋体"/>
          <w:b/>
          <w:bCs/>
          <w:color w:val="000000"/>
          <w:kern w:val="0"/>
          <w:szCs w:val="21"/>
          <w:highlight w:val="none"/>
          <w:lang w:eastAsia="zh-CN"/>
        </w:rPr>
        <w:t>方式</w:t>
      </w:r>
    </w:p>
    <w:p>
      <w:pPr>
        <w:widowControl/>
        <w:spacing w:line="324"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甲、乙双方发生争议时，应先协商解决。协商不能达成一致，任何一方均可依法向</w:t>
      </w:r>
      <w:r>
        <w:rPr>
          <w:rFonts w:hint="eastAsia" w:ascii="宋体" w:hAnsi="宋体" w:eastAsia="宋体" w:cs="宋体"/>
          <w:szCs w:val="21"/>
          <w:highlight w:val="none"/>
          <w:lang w:eastAsia="zh-CN"/>
        </w:rPr>
        <w:t>甲方住所地</w:t>
      </w:r>
      <w:r>
        <w:rPr>
          <w:rFonts w:hint="eastAsia" w:ascii="宋体" w:hAnsi="宋体" w:eastAsia="宋体" w:cs="宋体"/>
          <w:szCs w:val="21"/>
          <w:highlight w:val="none"/>
        </w:rPr>
        <w:t>人民法院提起诉讼。</w:t>
      </w:r>
    </w:p>
    <w:p>
      <w:pPr>
        <w:widowControl/>
        <w:spacing w:line="324" w:lineRule="auto"/>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lang w:val="en-US" w:eastAsia="zh-CN"/>
        </w:rPr>
        <w:t>9</w:t>
      </w:r>
      <w:r>
        <w:rPr>
          <w:rFonts w:hint="eastAsia" w:ascii="宋体" w:hAnsi="宋体" w:eastAsia="宋体" w:cs="宋体"/>
          <w:b/>
          <w:bCs/>
          <w:color w:val="000000"/>
          <w:kern w:val="0"/>
          <w:szCs w:val="21"/>
          <w:highlight w:val="none"/>
        </w:rPr>
        <w:t>.合同生效</w:t>
      </w:r>
    </w:p>
    <w:p>
      <w:pPr>
        <w:widowControl/>
        <w:spacing w:line="324" w:lineRule="auto"/>
        <w:jc w:val="left"/>
        <w:rPr>
          <w:rFonts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.1本合同根据招投标文件、中标通知书及谈判会议上的答疑记录等均作为合同的附件进行审核签订，是本合同不可分割的组成部分，均与本合同具有同等的法律效力。</w:t>
      </w:r>
    </w:p>
    <w:p>
      <w:pPr>
        <w:widowControl/>
        <w:spacing w:line="324" w:lineRule="auto"/>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9</w:t>
      </w:r>
      <w:r>
        <w:rPr>
          <w:rFonts w:hint="eastAsia" w:ascii="宋体" w:hAnsi="宋体" w:eastAsia="宋体" w:cs="宋体"/>
          <w:color w:val="000000"/>
          <w:kern w:val="0"/>
          <w:szCs w:val="21"/>
          <w:highlight w:val="none"/>
        </w:rPr>
        <w:t>.2本合同在甲、乙双方签字盖章后生效。</w:t>
      </w:r>
    </w:p>
    <w:p>
      <w:pPr>
        <w:widowControl/>
        <w:spacing w:line="324"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9</w:t>
      </w:r>
      <w:r>
        <w:rPr>
          <w:rFonts w:hint="eastAsia" w:ascii="宋体" w:hAnsi="宋体" w:eastAsia="宋体" w:cs="宋体"/>
          <w:color w:val="000000"/>
          <w:kern w:val="0"/>
          <w:szCs w:val="21"/>
          <w:highlight w:val="none"/>
        </w:rPr>
        <w:t>.3本合同一式</w:t>
      </w:r>
      <w:r>
        <w:rPr>
          <w:rFonts w:hint="eastAsia" w:ascii="宋体" w:hAnsi="宋体" w:eastAsia="宋体" w:cs="宋体"/>
          <w:b/>
          <w:bCs/>
          <w:color w:val="000000"/>
          <w:kern w:val="0"/>
          <w:szCs w:val="21"/>
          <w:highlight w:val="none"/>
          <w:lang w:eastAsia="zh-CN"/>
        </w:rPr>
        <w:t>陆</w:t>
      </w:r>
      <w:r>
        <w:rPr>
          <w:rFonts w:hint="eastAsia" w:ascii="宋体" w:hAnsi="宋体" w:eastAsia="宋体" w:cs="宋体"/>
          <w:color w:val="000000"/>
          <w:kern w:val="0"/>
          <w:szCs w:val="21"/>
          <w:highlight w:val="none"/>
        </w:rPr>
        <w:t>份，以中文书就，甲方执</w:t>
      </w:r>
      <w:r>
        <w:rPr>
          <w:rFonts w:hint="eastAsia" w:ascii="宋体" w:hAnsi="宋体" w:eastAsia="宋体" w:cs="宋体"/>
          <w:b/>
          <w:bCs/>
          <w:color w:val="000000"/>
          <w:kern w:val="0"/>
          <w:szCs w:val="21"/>
          <w:highlight w:val="none"/>
          <w:lang w:eastAsia="zh-CN"/>
        </w:rPr>
        <w:t>伍</w:t>
      </w:r>
      <w:r>
        <w:rPr>
          <w:rFonts w:hint="eastAsia" w:ascii="宋体" w:hAnsi="宋体" w:eastAsia="宋体" w:cs="宋体"/>
          <w:color w:val="000000"/>
          <w:kern w:val="0"/>
          <w:szCs w:val="21"/>
          <w:highlight w:val="none"/>
        </w:rPr>
        <w:t>份、乙方执</w:t>
      </w:r>
      <w:r>
        <w:rPr>
          <w:rFonts w:hint="eastAsia" w:ascii="宋体" w:hAnsi="宋体" w:eastAsia="宋体" w:cs="宋体"/>
          <w:b/>
          <w:bCs/>
          <w:color w:val="000000"/>
          <w:kern w:val="0"/>
          <w:szCs w:val="21"/>
          <w:highlight w:val="none"/>
        </w:rPr>
        <w:t>壹</w:t>
      </w:r>
      <w:r>
        <w:rPr>
          <w:rFonts w:hint="eastAsia" w:ascii="宋体" w:hAnsi="宋体" w:eastAsia="宋体" w:cs="宋体"/>
          <w:color w:val="000000"/>
          <w:kern w:val="0"/>
          <w:szCs w:val="21"/>
          <w:highlight w:val="none"/>
        </w:rPr>
        <w:t>份，具有相同的法律效应。</w:t>
      </w:r>
    </w:p>
    <w:p>
      <w:pPr>
        <w:pStyle w:val="9"/>
        <w:numPr>
          <w:ilvl w:val="0"/>
          <w:numId w:val="0"/>
        </w:numPr>
        <w:rPr>
          <w:rFonts w:hint="eastAsia" w:ascii="宋体" w:hAnsi="宋体" w:eastAsia="宋体" w:cs="宋体"/>
          <w:b/>
          <w:bCs/>
          <w:color w:val="000000"/>
          <w:kern w:val="0"/>
          <w:sz w:val="21"/>
          <w:highlight w:val="none"/>
          <w:lang w:val="en-US" w:eastAsia="zh-CN"/>
        </w:rPr>
      </w:pPr>
      <w:r>
        <w:rPr>
          <w:rFonts w:hint="eastAsia" w:ascii="宋体" w:hAnsi="宋体" w:eastAsia="宋体" w:cs="宋体"/>
          <w:b/>
          <w:bCs/>
          <w:color w:val="000000"/>
          <w:kern w:val="0"/>
          <w:sz w:val="21"/>
          <w:highlight w:val="none"/>
          <w:lang w:val="en-US" w:eastAsia="zh-CN"/>
        </w:rPr>
        <w:t>10.其他</w:t>
      </w:r>
    </w:p>
    <w:p>
      <w:pPr>
        <w:widowControl/>
        <w:spacing w:line="336"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Cs w:val="21"/>
          <w:highlight w:val="none"/>
          <w:lang w:val="en-US" w:eastAsia="zh-CN"/>
        </w:rPr>
        <w:t>10.1</w:t>
      </w:r>
      <w:r>
        <w:rPr>
          <w:rFonts w:hint="eastAsia" w:ascii="宋体" w:hAnsi="宋体" w:eastAsia="宋体" w:cs="宋体"/>
          <w:color w:val="auto"/>
          <w:sz w:val="21"/>
          <w:szCs w:val="21"/>
          <w:highlight w:val="none"/>
          <w:shd w:val="clear" w:color="auto" w:fill="auto"/>
        </w:rPr>
        <w:t>招标文件、乙方投标文件、</w:t>
      </w:r>
      <w:r>
        <w:rPr>
          <w:rFonts w:hint="eastAsia" w:ascii="宋体" w:hAnsi="宋体" w:eastAsia="宋体" w:cs="宋体"/>
          <w:bCs w:val="0"/>
          <w:snapToGrid/>
          <w:color w:val="auto"/>
          <w:sz w:val="21"/>
          <w:szCs w:val="21"/>
          <w:highlight w:val="none"/>
        </w:rPr>
        <w:t>设备配置清单</w:t>
      </w:r>
      <w:r>
        <w:rPr>
          <w:rFonts w:hint="eastAsia" w:ascii="宋体" w:hAnsi="宋体" w:eastAsia="宋体" w:cs="宋体"/>
          <w:bCs w:val="0"/>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rPr>
        <w:t>设备备品备件耗材清单、</w:t>
      </w:r>
      <w:r>
        <w:rPr>
          <w:rFonts w:hint="eastAsia" w:ascii="宋体" w:hAnsi="宋体" w:eastAsia="宋体" w:cs="宋体"/>
          <w:bCs w:val="0"/>
          <w:snapToGrid/>
          <w:color w:val="auto"/>
          <w:sz w:val="21"/>
          <w:szCs w:val="21"/>
          <w:highlight w:val="none"/>
        </w:rPr>
        <w:t>设备</w:t>
      </w:r>
      <w:r>
        <w:rPr>
          <w:rFonts w:hint="eastAsia" w:ascii="宋体" w:hAnsi="宋体" w:eastAsia="宋体" w:cs="宋体"/>
          <w:bCs w:val="0"/>
          <w:color w:val="auto"/>
          <w:spacing w:val="0"/>
          <w:sz w:val="21"/>
          <w:szCs w:val="21"/>
          <w:highlight w:val="none"/>
        </w:rPr>
        <w:t>零配件消耗品购买价格清单</w:t>
      </w:r>
      <w:r>
        <w:rPr>
          <w:rFonts w:hint="eastAsia" w:ascii="宋体" w:hAnsi="宋体" w:eastAsia="宋体" w:cs="宋体"/>
          <w:color w:val="auto"/>
          <w:sz w:val="21"/>
          <w:szCs w:val="21"/>
          <w:highlight w:val="none"/>
          <w:shd w:val="clear" w:color="auto" w:fill="auto"/>
        </w:rPr>
        <w:t>等均作为本合同的附件，与本合同具有同等法律效力。</w:t>
      </w:r>
    </w:p>
    <w:p>
      <w:pPr>
        <w:widowControl/>
        <w:spacing w:line="336" w:lineRule="auto"/>
        <w:ind w:firstLine="0" w:firstLineChars="0"/>
        <w:jc w:val="left"/>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b w:val="0"/>
          <w:bCs w:val="0"/>
          <w:color w:val="auto"/>
          <w:kern w:val="2"/>
          <w:sz w:val="21"/>
          <w:szCs w:val="21"/>
          <w:highlight w:val="none"/>
          <w:shd w:val="clear" w:color="auto" w:fill="auto"/>
          <w:lang w:val="en-US" w:eastAsia="zh-CN" w:bidi="ar-SA"/>
        </w:rPr>
        <w:t>10.2</w:t>
      </w:r>
      <w:bookmarkStart w:id="68" w:name="_Hlk7478227"/>
      <w:r>
        <w:rPr>
          <w:rFonts w:hint="eastAsia" w:ascii="宋体" w:hAnsi="宋体" w:eastAsia="宋体" w:cs="宋体"/>
          <w:b w:val="0"/>
          <w:bCs w:val="0"/>
          <w:color w:val="auto"/>
          <w:kern w:val="2"/>
          <w:sz w:val="21"/>
          <w:szCs w:val="21"/>
          <w:highlight w:val="none"/>
          <w:shd w:val="clear" w:color="auto" w:fill="auto"/>
        </w:rPr>
        <w:t>本合</w:t>
      </w:r>
      <w:r>
        <w:rPr>
          <w:rFonts w:hint="eastAsia" w:ascii="宋体" w:hAnsi="宋体" w:eastAsia="宋体" w:cs="宋体"/>
          <w:color w:val="auto"/>
          <w:kern w:val="2"/>
          <w:sz w:val="21"/>
          <w:szCs w:val="21"/>
          <w:highlight w:val="none"/>
          <w:shd w:val="clear" w:color="auto" w:fill="auto"/>
        </w:rPr>
        <w:t>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pPr>
        <w:widowControl/>
        <w:spacing w:line="336" w:lineRule="auto"/>
        <w:ind w:firstLine="420" w:firstLineChars="200"/>
        <w:jc w:val="left"/>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双方确认：上述送达地址和电子邮箱适用于合同履行完毕或争议经或仲裁、一审、二审、再审、执行阶段，至案件执行程序终结时止。</w:t>
      </w:r>
    </w:p>
    <w:p>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68"/>
    </w:p>
    <w:p>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ascii="宋体" w:hAnsi="宋体" w:eastAsia="宋体" w:cs="宋体"/>
          <w:b/>
          <w:bCs/>
          <w:color w:val="000000"/>
          <w:kern w:val="0"/>
          <w:szCs w:val="21"/>
          <w:highlight w:val="none"/>
        </w:rPr>
      </w:pPr>
    </w:p>
    <w:p>
      <w:pPr>
        <w:pStyle w:val="2"/>
      </w:pPr>
    </w:p>
    <w:p>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eastAsia="宋体"/>
          <w:highlight w:val="none"/>
          <w:u w:val="single"/>
          <w:lang w:eastAsia="zh-CN"/>
        </w:rPr>
      </w:pPr>
      <w:r>
        <w:rPr>
          <w:rFonts w:ascii="宋体" w:hAnsi="宋体" w:eastAsia="宋体" w:cs="宋体"/>
          <w:b/>
          <w:bCs/>
          <w:color w:val="000000"/>
          <w:kern w:val="0"/>
          <w:szCs w:val="21"/>
          <w:highlight w:val="none"/>
        </w:rPr>
        <w:t>甲方：</w:t>
      </w:r>
      <w:r>
        <w:rPr>
          <w:rFonts w:hint="eastAsia" w:ascii="宋体" w:hAnsi="宋体" w:eastAsia="宋体" w:cs="宋体"/>
          <w:b/>
          <w:bCs/>
          <w:color w:val="000000"/>
          <w:kern w:val="0"/>
          <w:szCs w:val="21"/>
          <w:highlight w:val="none"/>
          <w:u w:val="single"/>
        </w:rPr>
        <w:t xml:space="preserve">新疆维吾尔自治区第二济困医院  </w:t>
      </w:r>
      <w:r>
        <w:rPr>
          <w:rFonts w:hint="eastAsia" w:ascii="宋体" w:hAnsi="宋体" w:eastAsia="宋体" w:cs="宋体"/>
          <w:b/>
          <w:bCs/>
          <w:color w:val="000000"/>
          <w:kern w:val="0"/>
          <w:szCs w:val="21"/>
          <w:highlight w:val="none"/>
        </w:rPr>
        <w:t xml:space="preserve">         </w:t>
      </w:r>
      <w:r>
        <w:rPr>
          <w:rFonts w:ascii="宋体" w:hAnsi="宋体" w:eastAsia="宋体" w:cs="宋体"/>
          <w:b/>
          <w:bCs/>
          <w:color w:val="0000FF"/>
          <w:kern w:val="0"/>
          <w:szCs w:val="21"/>
          <w:highlight w:val="none"/>
        </w:rPr>
        <w:t>乙方：</w:t>
      </w:r>
      <w:r>
        <w:rPr>
          <w:rFonts w:ascii="宋体" w:hAnsi="宋体" w:eastAsia="宋体" w:cs="宋体"/>
          <w:b/>
          <w:bCs/>
          <w:color w:val="000000"/>
          <w:kern w:val="0"/>
          <w:szCs w:val="21"/>
          <w:highlight w:val="none"/>
        </w:rPr>
        <w:t>（盖章）</w:t>
      </w:r>
    </w:p>
    <w:p>
      <w:pPr>
        <w:widowControl/>
        <w:spacing w:before="135" w:after="135" w:line="324" w:lineRule="auto"/>
        <w:ind w:firstLine="420" w:firstLineChars="20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u w:val="single"/>
        </w:rPr>
        <w:t>（新疆维吾尔自治区第五人民医院）</w:t>
      </w:r>
      <w:r>
        <w:rPr>
          <w:rFonts w:ascii="宋体" w:hAnsi="宋体" w:eastAsia="宋体" w:cs="宋体"/>
          <w:b/>
          <w:bCs/>
          <w:color w:val="000000"/>
          <w:kern w:val="0"/>
          <w:szCs w:val="21"/>
          <w:highlight w:val="none"/>
        </w:rPr>
        <w:t>（盖章）</w:t>
      </w:r>
      <w:r>
        <w:rPr>
          <w:rFonts w:hint="eastAsia" w:ascii="宋体" w:hAnsi="宋体" w:eastAsia="宋体" w:cs="宋体"/>
          <w:b/>
          <w:bCs/>
          <w:color w:val="000000"/>
          <w:kern w:val="0"/>
          <w:szCs w:val="21"/>
          <w:highlight w:val="none"/>
          <w:lang w:val="en-US" w:eastAsia="zh-CN"/>
        </w:rPr>
        <w:t xml:space="preserve">             </w:t>
      </w:r>
      <w:r>
        <w:rPr>
          <w:rFonts w:ascii="宋体" w:hAnsi="宋体" w:eastAsia="宋体" w:cs="宋体"/>
          <w:b/>
          <w:bCs/>
          <w:color w:val="000000"/>
          <w:kern w:val="0"/>
          <w:szCs w:val="21"/>
          <w:highlight w:val="none"/>
        </w:rPr>
        <w:t>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kern w:val="0"/>
          <w:sz w:val="21"/>
          <w:szCs w:val="21"/>
          <w:highlight w:val="none"/>
          <w:lang w:val="en-US" w:eastAsia="zh-CN"/>
        </w:rPr>
      </w:pPr>
      <w:r>
        <w:rPr>
          <w:rFonts w:ascii="宋体" w:hAnsi="宋体" w:eastAsia="宋体" w:cs="宋体"/>
          <w:b/>
          <w:bCs/>
          <w:color w:val="000000"/>
          <w:kern w:val="0"/>
          <w:sz w:val="21"/>
          <w:szCs w:val="21"/>
          <w:highlight w:val="none"/>
        </w:rPr>
        <w:t>甲方法定代表人</w:t>
      </w:r>
      <w:r>
        <w:rPr>
          <w:rFonts w:hint="eastAsia" w:ascii="宋体" w:hAnsi="宋体" w:eastAsia="宋体" w:cs="宋体"/>
          <w:b/>
          <w:bCs/>
          <w:color w:val="000000"/>
          <w:kern w:val="0"/>
          <w:sz w:val="21"/>
          <w:szCs w:val="21"/>
          <w:highlight w:val="none"/>
          <w:lang w:eastAsia="zh-CN"/>
        </w:rPr>
        <w:t>：</w:t>
      </w:r>
      <w:r>
        <w:rPr>
          <w:rFonts w:ascii="宋体" w:hAnsi="宋体" w:eastAsia="宋体" w:cs="宋体"/>
          <w:b/>
          <w:bCs/>
          <w:color w:val="000000"/>
          <w:kern w:val="0"/>
          <w:sz w:val="21"/>
          <w:szCs w:val="21"/>
          <w:highlight w:val="none"/>
        </w:rPr>
        <w:t>________________</w:t>
      </w:r>
      <w:r>
        <w:rPr>
          <w:rFonts w:hint="eastAsia" w:ascii="宋体" w:hAnsi="宋体" w:eastAsia="宋体" w:cs="宋体"/>
          <w:b/>
          <w:bCs/>
          <w:color w:val="000000"/>
          <w:kern w:val="0"/>
          <w:sz w:val="21"/>
          <w:szCs w:val="21"/>
          <w:highlight w:val="none"/>
        </w:rPr>
        <w:t xml:space="preserve">        </w:t>
      </w:r>
      <w:r>
        <w:rPr>
          <w:rFonts w:hint="eastAsia" w:ascii="宋体" w:hAnsi="宋体" w:eastAsia="宋体" w:cs="宋体"/>
          <w:b/>
          <w:bCs/>
          <w:color w:val="000000"/>
          <w:kern w:val="0"/>
          <w:sz w:val="21"/>
          <w:szCs w:val="21"/>
          <w:highlight w:val="none"/>
          <w:lang w:val="en-US" w:eastAsia="zh-CN"/>
        </w:rPr>
        <w:t xml:space="preserve"> </w:t>
      </w:r>
      <w:r>
        <w:rPr>
          <w:rFonts w:hint="eastAsia" w:ascii="宋体" w:hAnsi="宋体" w:eastAsia="宋体" w:cs="宋体"/>
          <w:b/>
          <w:bCs/>
          <w:color w:val="000000"/>
          <w:kern w:val="0"/>
          <w:sz w:val="21"/>
          <w:szCs w:val="21"/>
          <w:highlight w:val="none"/>
        </w:rPr>
        <w:t xml:space="preserve"> </w:t>
      </w:r>
      <w:r>
        <w:rPr>
          <w:rFonts w:ascii="宋体" w:hAnsi="宋体" w:eastAsia="宋体" w:cs="宋体"/>
          <w:b/>
          <w:bCs/>
          <w:color w:val="000000"/>
          <w:kern w:val="0"/>
          <w:sz w:val="21"/>
          <w:szCs w:val="21"/>
          <w:highlight w:val="none"/>
        </w:rPr>
        <w:t>乙方法定代表人</w:t>
      </w:r>
      <w:r>
        <w:rPr>
          <w:rFonts w:hint="eastAsia" w:ascii="宋体" w:hAnsi="宋体" w:eastAsia="宋体" w:cs="宋体"/>
          <w:b/>
          <w:bCs/>
          <w:color w:val="000000"/>
          <w:kern w:val="0"/>
          <w:sz w:val="21"/>
          <w:szCs w:val="21"/>
          <w:highlight w:val="none"/>
          <w:lang w:eastAsia="zh-CN"/>
        </w:rPr>
        <w:t>：</w:t>
      </w:r>
      <w:r>
        <w:rPr>
          <w:rFonts w:hint="eastAsia" w:ascii="宋体" w:hAnsi="宋体" w:eastAsia="宋体" w:cs="宋体"/>
          <w:b/>
          <w:bCs/>
          <w:color w:val="000000"/>
          <w:kern w:val="0"/>
          <w:sz w:val="21"/>
          <w:szCs w:val="21"/>
          <w:highlight w:val="none"/>
          <w:u w:val="single"/>
          <w:lang w:val="en-US" w:eastAsia="zh-CN" w:bidi="ar-SA"/>
        </w:rPr>
        <w:t xml:space="preserve">                      </w:t>
      </w:r>
      <w:r>
        <w:rPr>
          <w:rFonts w:hint="eastAsia" w:ascii="宋体" w:hAnsi="宋体" w:eastAsia="宋体" w:cs="宋体"/>
          <w:b/>
          <w:bCs/>
          <w:color w:val="000000"/>
          <w:kern w:val="0"/>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rPr>
        <w:t>委托代理人：</w:t>
      </w:r>
      <w:r>
        <w:rPr>
          <w:rFonts w:ascii="宋体" w:hAnsi="宋体" w:eastAsia="宋体" w:cs="宋体"/>
          <w:b/>
          <w:bCs/>
          <w:color w:val="000000"/>
          <w:kern w:val="0"/>
          <w:sz w:val="21"/>
          <w:szCs w:val="21"/>
          <w:highlight w:val="none"/>
          <w:lang w:val="en-US" w:eastAsia="zh-CN"/>
        </w:rPr>
        <w:t>________________</w:t>
      </w:r>
      <w:r>
        <w:rPr>
          <w:rFonts w:hint="eastAsia" w:ascii="宋体" w:hAnsi="宋体" w:eastAsia="宋体" w:cs="宋体"/>
          <w:b/>
          <w:bCs/>
          <w:color w:val="000000"/>
          <w:kern w:val="0"/>
          <w:sz w:val="21"/>
          <w:szCs w:val="21"/>
          <w:highlight w:val="none"/>
          <w:lang w:val="en-US" w:eastAsia="zh-CN"/>
        </w:rPr>
        <w:t xml:space="preserve">              委托代理人：</w:t>
      </w:r>
      <w:r>
        <w:rPr>
          <w:rFonts w:hint="eastAsia" w:ascii="宋体" w:hAnsi="宋体" w:eastAsia="宋体" w:cs="宋体"/>
          <w:b/>
          <w:bCs/>
          <w:color w:val="000000"/>
          <w:kern w:val="0"/>
          <w:sz w:val="21"/>
          <w:szCs w:val="21"/>
          <w:highlight w:val="none"/>
          <w:u w:val="single"/>
          <w:lang w:val="en-US" w:eastAsia="zh-CN" w:bidi="ar-SA"/>
        </w:rPr>
        <w:t xml:space="preserve">                          </w:t>
      </w:r>
      <w:r>
        <w:rPr>
          <w:rFonts w:hint="eastAsia" w:ascii="宋体" w:hAnsi="宋体" w:eastAsia="宋体" w:cs="宋体"/>
          <w:b/>
          <w:bCs/>
          <w:color w:val="000000"/>
          <w:kern w:val="0"/>
          <w:sz w:val="21"/>
          <w:szCs w:val="21"/>
          <w:highlight w:val="none"/>
          <w:lang w:val="en-US" w:eastAsia="zh-CN"/>
        </w:rPr>
        <w:t xml:space="preserve">      </w:t>
      </w:r>
      <w:r>
        <w:rPr>
          <w:rFonts w:hint="eastAsia" w:ascii="宋体" w:hAnsi="宋体" w:eastAsia="宋体" w:cs="宋体"/>
          <w:b/>
          <w:bCs/>
          <w:color w:val="000000"/>
          <w:kern w:val="0"/>
          <w:sz w:val="21"/>
          <w:szCs w:val="21"/>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eastAsia="宋体" w:cs="宋体"/>
          <w:b/>
          <w:bCs/>
          <w:color w:val="000000"/>
          <w:kern w:val="0"/>
          <w:sz w:val="21"/>
          <w:szCs w:val="21"/>
          <w:highlight w:val="none"/>
          <w:u w:val="single"/>
          <w:lang w:val="en-US" w:eastAsia="zh-CN" w:bidi="ar-SA"/>
        </w:rPr>
      </w:pPr>
      <w:r>
        <w:rPr>
          <w:rFonts w:hint="eastAsia" w:ascii="宋体" w:hAnsi="宋体" w:eastAsia="宋体" w:cs="宋体"/>
          <w:b/>
          <w:bCs/>
          <w:color w:val="000000"/>
          <w:kern w:val="0"/>
          <w:sz w:val="21"/>
          <w:szCs w:val="21"/>
          <w:highlight w:val="none"/>
          <w:lang w:val="en-US" w:eastAsia="zh-CN" w:bidi="ar-SA"/>
        </w:rPr>
        <w:t>联系人：</w:t>
      </w:r>
      <w:r>
        <w:rPr>
          <w:rFonts w:hint="eastAsia" w:ascii="宋体" w:hAnsi="宋体" w:eastAsia="宋体" w:cs="宋体"/>
          <w:b/>
          <w:bCs/>
          <w:color w:val="000000"/>
          <w:kern w:val="0"/>
          <w:sz w:val="21"/>
          <w:szCs w:val="21"/>
          <w:highlight w:val="none"/>
          <w:u w:val="single"/>
          <w:lang w:val="en-US" w:eastAsia="zh-CN" w:bidi="ar-SA"/>
        </w:rPr>
        <w:t xml:space="preserve">   刘艳萍              </w:t>
      </w:r>
      <w:r>
        <w:rPr>
          <w:rFonts w:hint="eastAsia" w:ascii="宋体" w:hAnsi="宋体" w:eastAsia="宋体" w:cs="宋体"/>
          <w:b/>
          <w:bCs/>
          <w:color w:val="000000"/>
          <w:kern w:val="0"/>
          <w:sz w:val="21"/>
          <w:szCs w:val="21"/>
          <w:highlight w:val="none"/>
        </w:rPr>
        <w:t xml:space="preserve"> </w:t>
      </w:r>
      <w:r>
        <w:rPr>
          <w:rFonts w:hint="eastAsia" w:ascii="宋体" w:hAnsi="宋体" w:eastAsia="宋体" w:cs="宋体"/>
          <w:b/>
          <w:bCs/>
          <w:color w:val="000000"/>
          <w:kern w:val="0"/>
          <w:sz w:val="21"/>
          <w:szCs w:val="21"/>
          <w:highlight w:val="none"/>
          <w:lang w:val="en-US" w:eastAsia="zh-CN" w:bidi="ar-SA"/>
        </w:rPr>
        <w:t xml:space="preserve">          联系人：</w:t>
      </w:r>
      <w:r>
        <w:rPr>
          <w:rFonts w:hint="eastAsia" w:ascii="宋体" w:hAnsi="宋体" w:eastAsia="宋体" w:cs="宋体"/>
          <w:b/>
          <w:bCs/>
          <w:color w:val="000000"/>
          <w:kern w:val="0"/>
          <w:sz w:val="21"/>
          <w:szCs w:val="21"/>
          <w:highlight w:val="none"/>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联系电话：</w:t>
      </w:r>
      <w:r>
        <w:rPr>
          <w:rFonts w:hint="eastAsia" w:ascii="宋体" w:hAnsi="宋体" w:eastAsia="宋体" w:cs="宋体"/>
          <w:b/>
          <w:bCs/>
          <w:color w:val="000000"/>
          <w:kern w:val="0"/>
          <w:sz w:val="21"/>
          <w:szCs w:val="21"/>
          <w:highlight w:val="none"/>
          <w:u w:val="single"/>
          <w:lang w:val="en-US" w:eastAsia="zh-CN"/>
        </w:rPr>
        <w:t>0991-5269101</w:t>
      </w:r>
      <w:r>
        <w:rPr>
          <w:rFonts w:hint="eastAsia" w:ascii="宋体" w:hAnsi="宋体" w:eastAsia="宋体" w:cs="宋体"/>
          <w:b/>
          <w:bCs/>
          <w:color w:val="000000"/>
          <w:kern w:val="0"/>
          <w:sz w:val="21"/>
          <w:szCs w:val="21"/>
          <w:highlight w:val="none"/>
          <w:u w:val="single"/>
        </w:rPr>
        <w:t xml:space="preserve"> </w:t>
      </w:r>
      <w:r>
        <w:rPr>
          <w:rFonts w:hint="eastAsia" w:ascii="宋体" w:hAnsi="宋体" w:eastAsia="宋体" w:cs="宋体"/>
          <w:b/>
          <w:bCs/>
          <w:color w:val="000000"/>
          <w:kern w:val="0"/>
          <w:sz w:val="21"/>
          <w:szCs w:val="21"/>
          <w:highlight w:val="none"/>
          <w:u w:val="single"/>
          <w:lang w:val="en-US" w:eastAsia="zh-CN"/>
        </w:rPr>
        <w:t xml:space="preserve">    </w:t>
      </w:r>
      <w:r>
        <w:rPr>
          <w:rFonts w:hint="eastAsia" w:ascii="宋体" w:hAnsi="宋体" w:eastAsia="宋体" w:cs="宋体"/>
          <w:b/>
          <w:bCs/>
          <w:color w:val="000000"/>
          <w:kern w:val="0"/>
          <w:sz w:val="21"/>
          <w:szCs w:val="21"/>
          <w:highlight w:val="none"/>
          <w:u w:val="single"/>
          <w:lang w:val="en-US" w:eastAsia="zh-CN" w:bidi="ar-SA"/>
        </w:rPr>
        <w:t xml:space="preserve">  </w:t>
      </w:r>
      <w:r>
        <w:rPr>
          <w:rFonts w:hint="eastAsia" w:ascii="宋体" w:hAnsi="宋体" w:eastAsia="宋体" w:cs="宋体"/>
          <w:b/>
          <w:bCs/>
          <w:color w:val="000000"/>
          <w:kern w:val="0"/>
          <w:sz w:val="21"/>
          <w:szCs w:val="21"/>
          <w:highlight w:val="none"/>
          <w:lang w:val="en-US" w:eastAsia="zh-CN" w:bidi="ar-SA"/>
        </w:rPr>
        <w:t xml:space="preserve">             联系电话：</w:t>
      </w:r>
      <w:r>
        <w:rPr>
          <w:rFonts w:hint="eastAsia" w:ascii="宋体" w:hAnsi="宋体" w:eastAsia="宋体" w:cs="宋体"/>
          <w:b/>
          <w:bCs/>
          <w:color w:val="000000"/>
          <w:kern w:val="0"/>
          <w:sz w:val="21"/>
          <w:szCs w:val="21"/>
          <w:highlight w:val="none"/>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宋体" w:hAnsi="宋体" w:eastAsia="宋体" w:cs="宋体"/>
          <w:b/>
          <w:bCs/>
          <w:color w:val="000000"/>
          <w:kern w:val="0"/>
          <w:sz w:val="18"/>
          <w:szCs w:val="18"/>
          <w:highlight w:val="none"/>
          <w:u w:val="single"/>
          <w:lang w:val="en-US" w:eastAsia="zh-CN" w:bidi="ar-SA"/>
        </w:rPr>
      </w:pPr>
      <w:r>
        <w:rPr>
          <w:rFonts w:hint="eastAsia" w:ascii="宋体" w:hAnsi="宋体" w:eastAsia="宋体" w:cs="宋体"/>
          <w:b/>
          <w:bCs/>
          <w:color w:val="000000"/>
          <w:kern w:val="0"/>
          <w:sz w:val="21"/>
          <w:szCs w:val="21"/>
          <w:highlight w:val="none"/>
          <w:lang w:val="en-US" w:eastAsia="zh-CN"/>
        </w:rPr>
        <w:t>地址</w:t>
      </w:r>
      <w:r>
        <w:rPr>
          <w:rFonts w:hint="eastAsia" w:ascii="宋体" w:hAnsi="宋体" w:eastAsia="宋体" w:cs="宋体"/>
          <w:b/>
          <w:bCs/>
          <w:color w:val="000000"/>
          <w:kern w:val="0"/>
          <w:sz w:val="21"/>
          <w:szCs w:val="21"/>
          <w:highlight w:val="none"/>
          <w:lang w:val="en-US" w:eastAsia="zh-CN" w:bidi="ar-SA"/>
        </w:rPr>
        <w:t>：</w:t>
      </w:r>
      <w:r>
        <w:rPr>
          <w:rFonts w:hint="eastAsia" w:ascii="宋体" w:hAnsi="宋体" w:eastAsia="宋体" w:cs="宋体"/>
          <w:b/>
          <w:bCs/>
          <w:color w:val="000000"/>
          <w:kern w:val="0"/>
          <w:sz w:val="18"/>
          <w:szCs w:val="18"/>
          <w:highlight w:val="none"/>
          <w:u w:val="single"/>
          <w:lang w:val="en-US" w:eastAsia="zh-CN" w:bidi="ar-SA"/>
        </w:rPr>
        <w:t>乌鲁木齐喀什西路159号</w:t>
      </w:r>
      <w:r>
        <w:rPr>
          <w:rFonts w:hint="eastAsia" w:ascii="宋体" w:hAnsi="宋体" w:eastAsia="宋体" w:cs="宋体"/>
          <w:b/>
          <w:bCs/>
          <w:color w:val="000000"/>
          <w:kern w:val="0"/>
          <w:sz w:val="21"/>
          <w:szCs w:val="21"/>
          <w:highlight w:val="none"/>
          <w:lang w:val="en-US" w:eastAsia="zh-CN" w:bidi="ar-SA"/>
        </w:rPr>
        <w:t xml:space="preserve">                 地址：</w:t>
      </w:r>
      <w:r>
        <w:rPr>
          <w:rFonts w:hint="eastAsia" w:ascii="宋体" w:hAnsi="宋体" w:eastAsia="宋体" w:cs="宋体"/>
          <w:b/>
          <w:bCs/>
          <w:color w:val="000000"/>
          <w:kern w:val="0"/>
          <w:sz w:val="18"/>
          <w:szCs w:val="18"/>
          <w:highlight w:val="none"/>
          <w:u w:val="single"/>
          <w:lang w:val="en-US" w:eastAsia="zh-CN" w:bidi="ar-SA"/>
        </w:rPr>
        <w:t xml:space="preserve">                              </w:t>
      </w:r>
    </w:p>
    <w:p>
      <w:pPr>
        <w:pStyle w:val="29"/>
        <w:spacing w:line="520" w:lineRule="exact"/>
        <w:ind w:left="0" w:leftChars="0" w:firstLine="0" w:firstLineChars="0"/>
        <w:rPr>
          <w:rFonts w:ascii="仿宋" w:hAnsi="仿宋" w:eastAsia="仿宋" w:cs="仿宋"/>
        </w:rPr>
      </w:pPr>
      <w:r>
        <w:rPr>
          <w:rFonts w:ascii="宋体" w:hAnsi="宋体" w:eastAsia="宋体" w:cs="宋体"/>
          <w:b/>
          <w:bCs/>
          <w:color w:val="000000"/>
          <w:kern w:val="0"/>
          <w:sz w:val="21"/>
          <w:szCs w:val="21"/>
          <w:highlight w:val="none"/>
          <w:lang w:val="en-US" w:eastAsia="zh-CN" w:bidi="ar-SA"/>
        </w:rPr>
        <w:t>日期：____________________ </w:t>
      </w:r>
      <w:r>
        <w:rPr>
          <w:rFonts w:hint="eastAsia" w:ascii="宋体" w:hAnsi="宋体" w:eastAsia="宋体" w:cs="宋体"/>
          <w:b/>
          <w:bCs/>
          <w:color w:val="000000"/>
          <w:kern w:val="0"/>
          <w:sz w:val="21"/>
          <w:szCs w:val="21"/>
          <w:highlight w:val="none"/>
          <w:lang w:val="en-US" w:eastAsia="zh-CN" w:bidi="ar-SA"/>
        </w:rPr>
        <w:t xml:space="preserve">              </w:t>
      </w:r>
      <w:r>
        <w:rPr>
          <w:rFonts w:ascii="宋体" w:hAnsi="宋体" w:eastAsia="宋体" w:cs="宋体"/>
          <w:b/>
          <w:bCs/>
          <w:color w:val="000000"/>
          <w:kern w:val="0"/>
          <w:sz w:val="21"/>
          <w:szCs w:val="21"/>
          <w:highlight w:val="none"/>
          <w:lang w:val="en-US" w:eastAsia="zh-CN" w:bidi="ar-SA"/>
        </w:rPr>
        <w:t>日期：</w:t>
      </w:r>
      <w:r>
        <w:rPr>
          <w:rFonts w:hint="eastAsia" w:ascii="宋体" w:hAnsi="宋体" w:eastAsia="宋体" w:cs="宋体"/>
          <w:b/>
          <w:bCs/>
          <w:color w:val="000000"/>
          <w:kern w:val="0"/>
          <w:sz w:val="21"/>
          <w:szCs w:val="21"/>
          <w:highlight w:val="none"/>
          <w:u w:val="single"/>
          <w:lang w:val="en-US" w:eastAsia="zh-CN" w:bidi="ar-SA"/>
        </w:rPr>
        <w:t xml:space="preserve">                          </w:t>
      </w:r>
      <w:r>
        <w:rPr>
          <w:rFonts w:hint="eastAsia" w:ascii="宋体" w:hAnsi="宋体" w:eastAsia="宋体" w:cs="宋体"/>
          <w:b/>
          <w:bCs/>
          <w:color w:val="000000"/>
          <w:kern w:val="0"/>
          <w:sz w:val="21"/>
          <w:szCs w:val="21"/>
          <w:highlight w:val="none"/>
          <w:lang w:val="en-US" w:eastAsia="zh-CN" w:bidi="ar-SA"/>
        </w:rPr>
        <w:t xml:space="preserve"> </w:t>
      </w:r>
    </w:p>
    <w:p>
      <w:pPr>
        <w:pStyle w:val="4"/>
        <w:rPr>
          <w:rFonts w:cs="仿宋"/>
        </w:rPr>
      </w:pPr>
      <w:r>
        <w:rPr>
          <w:rFonts w:hint="eastAsia"/>
        </w:rPr>
        <w:br w:type="page"/>
      </w:r>
      <w:bookmarkStart w:id="69" w:name="_Toc7006"/>
      <w:r>
        <w:rPr>
          <w:rFonts w:hint="eastAsia" w:cs="仿宋"/>
        </w:rPr>
        <w:t>第五章、单一来源响应文件格式</w:t>
      </w:r>
      <w:bookmarkEnd w:id="66"/>
      <w:bookmarkEnd w:id="67"/>
      <w:bookmarkEnd w:id="69"/>
    </w:p>
    <w:p>
      <w:pPr>
        <w:pStyle w:val="30"/>
        <w:spacing w:line="360" w:lineRule="auto"/>
        <w:ind w:firstLine="1400" w:firstLineChars="200"/>
        <w:jc w:val="both"/>
        <w:rPr>
          <w:rFonts w:ascii="仿宋" w:hAnsi="仿宋" w:eastAsia="仿宋" w:cs="仿宋"/>
          <w:sz w:val="70"/>
        </w:rPr>
      </w:pPr>
    </w:p>
    <w:p>
      <w:pPr>
        <w:spacing w:line="360" w:lineRule="auto"/>
        <w:jc w:val="center"/>
        <w:rPr>
          <w:rFonts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ascii="仿宋" w:hAnsi="仿宋" w:eastAsia="仿宋" w:cs="仿宋"/>
          <w:color w:val="000000"/>
          <w:sz w:val="72"/>
        </w:rPr>
      </w:pPr>
    </w:p>
    <w:p>
      <w:pPr>
        <w:spacing w:line="360" w:lineRule="auto"/>
        <w:jc w:val="center"/>
        <w:rPr>
          <w:rFonts w:ascii="仿宋" w:hAnsi="仿宋" w:eastAsia="仿宋" w:cs="仿宋"/>
          <w:color w:val="000000"/>
        </w:rPr>
      </w:pPr>
      <w:r>
        <w:rPr>
          <w:rFonts w:hint="eastAsia" w:ascii="仿宋" w:hAnsi="仿宋" w:eastAsia="仿宋" w:cs="仿宋"/>
          <w:color w:val="000000"/>
          <w:sz w:val="72"/>
        </w:rPr>
        <w:t>单一来源响应文件</w:t>
      </w:r>
    </w:p>
    <w:p>
      <w:pPr>
        <w:spacing w:line="360" w:lineRule="auto"/>
        <w:rPr>
          <w:rFonts w:ascii="仿宋" w:hAnsi="仿宋" w:eastAsia="仿宋" w:cs="仿宋"/>
          <w:color w:val="000000"/>
        </w:rPr>
      </w:pPr>
    </w:p>
    <w:p>
      <w:pPr>
        <w:spacing w:line="360" w:lineRule="auto"/>
        <w:ind w:firstLine="420"/>
        <w:rPr>
          <w:rFonts w:ascii="仿宋" w:hAnsi="仿宋" w:eastAsia="仿宋" w:cs="仿宋"/>
          <w:color w:val="000000"/>
        </w:rPr>
      </w:pPr>
    </w:p>
    <w:p>
      <w:pPr>
        <w:spacing w:line="360" w:lineRule="auto"/>
        <w:ind w:firstLine="880"/>
        <w:rPr>
          <w:rFonts w:ascii="仿宋" w:hAnsi="仿宋" w:eastAsia="仿宋" w:cs="仿宋"/>
          <w:color w:val="000000"/>
          <w:sz w:val="44"/>
        </w:rPr>
      </w:pPr>
    </w:p>
    <w:p>
      <w:pPr>
        <w:spacing w:line="360" w:lineRule="auto"/>
        <w:ind w:firstLine="880"/>
        <w:rPr>
          <w:rFonts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ascii="仿宋" w:hAnsi="仿宋" w:eastAsia="仿宋" w:cs="仿宋"/>
          <w:color w:val="000000"/>
          <w:sz w:val="44"/>
        </w:rPr>
      </w:pPr>
    </w:p>
    <w:p>
      <w:pPr>
        <w:spacing w:line="360" w:lineRule="auto"/>
        <w:ind w:firstLine="880"/>
        <w:rPr>
          <w:rFonts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ascii="仿宋" w:hAnsi="仿宋" w:eastAsia="仿宋" w:cs="仿宋"/>
          <w:color w:val="000000"/>
          <w:sz w:val="44"/>
        </w:rPr>
      </w:pPr>
    </w:p>
    <w:p>
      <w:pPr>
        <w:spacing w:line="360" w:lineRule="auto"/>
        <w:ind w:firstLine="880"/>
        <w:rPr>
          <w:rFonts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ascii="仿宋" w:hAnsi="仿宋" w:eastAsia="仿宋" w:cs="仿宋"/>
          <w:color w:val="000000"/>
          <w:sz w:val="32"/>
        </w:rPr>
      </w:pPr>
    </w:p>
    <w:p>
      <w:pPr>
        <w:spacing w:line="360" w:lineRule="auto"/>
        <w:ind w:firstLine="640"/>
        <w:rPr>
          <w:rFonts w:ascii="仿宋" w:hAnsi="仿宋" w:eastAsia="仿宋" w:cs="仿宋"/>
          <w:color w:val="000000"/>
          <w:sz w:val="32"/>
        </w:rPr>
      </w:pPr>
    </w:p>
    <w:p>
      <w:pPr>
        <w:spacing w:line="360" w:lineRule="auto"/>
        <w:ind w:firstLine="720"/>
        <w:jc w:val="center"/>
        <w:rPr>
          <w:rFonts w:ascii="仿宋" w:hAnsi="仿宋" w:eastAsia="仿宋" w:cs="仿宋"/>
          <w:color w:val="000000"/>
          <w:sz w:val="36"/>
        </w:rPr>
      </w:pPr>
      <w:r>
        <w:rPr>
          <w:rFonts w:hint="eastAsia" w:ascii="仿宋" w:hAnsi="仿宋" w:eastAsia="仿宋" w:cs="仿宋"/>
          <w:color w:val="000000"/>
          <w:sz w:val="36"/>
        </w:rPr>
        <w:t>年      月      日</w:t>
      </w:r>
    </w:p>
    <w:p>
      <w:pPr>
        <w:pStyle w:val="6"/>
        <w:rPr>
          <w:rFonts w:cs="仿宋"/>
        </w:rPr>
      </w:pPr>
      <w:r>
        <w:rPr>
          <w:rFonts w:hint="eastAsia" w:cs="仿宋"/>
          <w:sz w:val="36"/>
        </w:rPr>
        <w:br w:type="page"/>
      </w:r>
      <w:bookmarkStart w:id="70" w:name="_Toc56170393"/>
      <w:bookmarkStart w:id="71" w:name="_Toc82497925"/>
      <w:bookmarkStart w:id="72" w:name="_Toc21565"/>
      <w:r>
        <w:rPr>
          <w:rFonts w:hint="eastAsia" w:cs="仿宋"/>
        </w:rPr>
        <w:t>附件一、投标书</w:t>
      </w:r>
      <w:bookmarkEnd w:id="70"/>
      <w:bookmarkEnd w:id="71"/>
      <w:bookmarkEnd w:id="72"/>
    </w:p>
    <w:p>
      <w:pPr>
        <w:pStyle w:val="31"/>
        <w:spacing w:line="360" w:lineRule="auto"/>
        <w:ind w:firstLine="0" w:firstLineChars="0"/>
        <w:jc w:val="both"/>
        <w:rPr>
          <w:rFonts w:ascii="仿宋" w:hAnsi="仿宋" w:eastAsia="仿宋" w:cs="仿宋"/>
          <w:b w:val="0"/>
          <w:color w:val="000000"/>
          <w:sz w:val="28"/>
          <w:szCs w:val="16"/>
        </w:rPr>
      </w:pPr>
      <w:r>
        <w:rPr>
          <w:rFonts w:hint="eastAsia" w:ascii="仿宋" w:hAnsi="仿宋" w:eastAsia="仿宋" w:cs="仿宋"/>
          <w:b w:val="0"/>
          <w:color w:val="000000"/>
          <w:sz w:val="28"/>
          <w:szCs w:val="16"/>
          <w:lang w:eastAsia="zh-CN"/>
        </w:rPr>
        <w:t>新疆科辰工程项目管理有限公司</w:t>
      </w:r>
      <w:r>
        <w:rPr>
          <w:rFonts w:hint="eastAsia" w:ascii="仿宋" w:hAnsi="仿宋" w:eastAsia="仿宋" w:cs="仿宋"/>
          <w:b w:val="0"/>
          <w:color w:val="000000"/>
          <w:sz w:val="28"/>
          <w:szCs w:val="16"/>
        </w:rPr>
        <w:t>：</w:t>
      </w:r>
    </w:p>
    <w:p>
      <w:pPr>
        <w:spacing w:line="360" w:lineRule="auto"/>
        <w:ind w:firstLine="420"/>
        <w:rPr>
          <w:rFonts w:ascii="仿宋" w:hAnsi="仿宋" w:eastAsia="仿宋" w:cs="仿宋"/>
          <w:color w:val="000000"/>
        </w:rPr>
      </w:pP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单一来源采购文件，经认真研究，我们决定参加投标。</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 xml:space="preserve">⒈按照单一来源采购文件中的一切要求，提供招标货物、安装及技术服务，投标总价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万元（用阿拉伯数字书写）人民币，明细见投标产品名称数量报价表。</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⒉如果我们的单一来源响应文件被接受，我们将履行单一来源采购文件中规定的每一项要求，按期、按质、按量完成交货和完工任务。</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⒊我们同意按单一来源采购文件的规定，本单一来源响应文件的有效期为开标后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⒋我们愿意提供采购人在单一来源采购文件中要求的所有资料。</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⒎我方愿意遵守国家有关规定及单一来源采购文件中规定的收费标准，承付中标服务费。</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⒏该项投标在开标后的全过程中保持有效，不作任何更改和变动。</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⒐我们同意按单一来源采购文件规定，交纳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⒑综合说明：</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（2）易损件、配件及供应方式。</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（5）技术服务。</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（6）运输方式。</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（7）要求项目单位提供的配合。</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（8）对单一来源采购文件内容有不同意见的偏离说明。</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（9）其它。</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单       位：</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地       址：</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电       话：</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传       真：</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邮 政 编 码：</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ascii="仿宋" w:hAnsi="仿宋" w:eastAsia="仿宋" w:cs="仿宋"/>
          <w:color w:val="000000"/>
          <w:sz w:val="28"/>
        </w:rPr>
      </w:pPr>
    </w:p>
    <w:p>
      <w:pPr>
        <w:spacing w:line="360" w:lineRule="auto"/>
        <w:ind w:firstLine="560"/>
        <w:rPr>
          <w:rFonts w:ascii="仿宋" w:hAnsi="仿宋" w:eastAsia="仿宋" w:cs="仿宋"/>
          <w:color w:val="000000"/>
          <w:sz w:val="28"/>
        </w:rPr>
      </w:pPr>
      <w:r>
        <w:rPr>
          <w:rFonts w:hint="eastAsia" w:ascii="仿宋" w:hAnsi="仿宋" w:eastAsia="仿宋" w:cs="仿宋"/>
          <w:color w:val="000000"/>
          <w:sz w:val="28"/>
        </w:rPr>
        <w:t>投标单位：（公章）</w:t>
      </w:r>
    </w:p>
    <w:p>
      <w:pPr>
        <w:spacing w:line="360" w:lineRule="auto"/>
        <w:ind w:firstLine="560"/>
        <w:rPr>
          <w:rFonts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ascii="仿宋" w:hAnsi="仿宋" w:eastAsia="仿宋" w:cs="仿宋"/>
          <w:color w:val="000000"/>
          <w:sz w:val="28"/>
        </w:rPr>
      </w:pPr>
    </w:p>
    <w:p>
      <w:pPr>
        <w:spacing w:line="360" w:lineRule="auto"/>
        <w:ind w:firstLine="4877" w:firstLineChars="1742"/>
        <w:rPr>
          <w:rFonts w:ascii="仿宋" w:hAnsi="仿宋" w:eastAsia="仿宋" w:cs="仿宋"/>
          <w:color w:val="000000"/>
          <w:sz w:val="28"/>
        </w:rPr>
      </w:pPr>
      <w:r>
        <w:rPr>
          <w:rFonts w:hint="eastAsia" w:ascii="仿宋" w:hAnsi="仿宋" w:eastAsia="仿宋" w:cs="仿宋"/>
          <w:color w:val="000000"/>
          <w:sz w:val="28"/>
        </w:rPr>
        <w:t>年   月    日</w:t>
      </w:r>
    </w:p>
    <w:p>
      <w:pPr>
        <w:pStyle w:val="6"/>
        <w:rPr>
          <w:rFonts w:cs="仿宋"/>
        </w:rPr>
      </w:pPr>
      <w:r>
        <w:rPr>
          <w:rFonts w:hint="eastAsia" w:cs="仿宋"/>
        </w:rPr>
        <w:br w:type="page"/>
      </w:r>
      <w:bookmarkStart w:id="73" w:name="_Toc9121"/>
      <w:bookmarkStart w:id="74" w:name="_Toc56170394"/>
      <w:bookmarkStart w:id="75" w:name="_Toc82497926"/>
      <w:r>
        <w:rPr>
          <w:rFonts w:hint="eastAsia" w:cs="仿宋"/>
        </w:rPr>
        <w:t>附件二、法定代表人资格证明书</w:t>
      </w:r>
      <w:bookmarkEnd w:id="73"/>
      <w:bookmarkEnd w:id="74"/>
      <w:bookmarkEnd w:id="75"/>
    </w:p>
    <w:p>
      <w:pPr>
        <w:spacing w:line="360" w:lineRule="auto"/>
        <w:rPr>
          <w:rFonts w:ascii="仿宋" w:hAnsi="仿宋" w:eastAsia="仿宋" w:cs="仿宋"/>
          <w:color w:val="000000"/>
          <w:szCs w:val="21"/>
        </w:rPr>
      </w:pPr>
    </w:p>
    <w:p>
      <w:pPr>
        <w:pStyle w:val="29"/>
        <w:spacing w:line="360" w:lineRule="auto"/>
        <w:ind w:firstLine="560"/>
        <w:rPr>
          <w:rFonts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的法定代表人。为参加本项目，签署上述的单一来源响应文件、进行合同谈判、签署合同和处理与之有关的一切事务。</w:t>
      </w: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r>
        <w:rPr>
          <w:rFonts w:hint="eastAsia" w:ascii="仿宋" w:hAnsi="仿宋" w:eastAsia="仿宋" w:cs="仿宋"/>
          <w:color w:val="000000"/>
        </w:rPr>
        <w:t>特此证明</w:t>
      </w:r>
    </w:p>
    <w:p>
      <w:pPr>
        <w:pStyle w:val="29"/>
        <w:spacing w:line="360" w:lineRule="auto"/>
        <w:ind w:firstLine="560"/>
        <w:rPr>
          <w:rFonts w:ascii="仿宋" w:hAnsi="仿宋" w:eastAsia="仿宋" w:cs="仿宋"/>
          <w:color w:val="000000"/>
        </w:rPr>
      </w:pPr>
      <w:r>
        <w:rPr>
          <w:rFonts w:ascii="仿宋" w:hAnsi="仿宋" w:eastAsia="仿宋" w:cs="仿宋"/>
        </w:rPr>
        <w:pict>
          <v:roundrect id="_x0000_s2050" o:spid="_x0000_s2050" o:spt="2" style="position:absolute;left:0pt;margin-left:249.75pt;margin-top:15.1pt;height:141.25pt;width:213.4pt;z-index:251660288;v-text-anchor:middle;mso-width-relative:page;mso-height-relative:page;" filled="f"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path/>
            <v:fill on="f" focussize="0,0"/>
            <v:stroke weight="1pt"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rPr>
          <w:rFonts w:ascii="仿宋" w:hAnsi="仿宋" w:eastAsia="仿宋" w:cs="仿宋"/>
        </w:rPr>
        <w:pict>
          <v:roundrect id="_x0000_s2055" o:spid="_x0000_s2055" o:spt="2" style="position:absolute;left:0pt;margin-left:24.85pt;margin-top:15.1pt;height:141.25pt;width:213.4pt;z-index:251659264;v-text-anchor:middle;mso-width-relative:page;mso-height-relative:page;" filled="f"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path/>
            <v:fill on="f" focussize="0,0"/>
            <v:stroke weight="1pt"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p>
    <w:p>
      <w:pPr>
        <w:pStyle w:val="29"/>
        <w:spacing w:line="360" w:lineRule="auto"/>
        <w:ind w:firstLine="4200" w:firstLineChars="1500"/>
        <w:rPr>
          <w:rFonts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9"/>
        <w:spacing w:line="360" w:lineRule="auto"/>
        <w:ind w:firstLine="4200" w:firstLineChars="1500"/>
        <w:rPr>
          <w:rFonts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9"/>
        <w:spacing w:line="360" w:lineRule="auto"/>
        <w:ind w:firstLine="4200" w:firstLineChars="1500"/>
        <w:rPr>
          <w:rFonts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6"/>
        <w:spacing w:line="360" w:lineRule="auto"/>
        <w:rPr>
          <w:rFonts w:cs="仿宋"/>
        </w:rPr>
      </w:pPr>
      <w:r>
        <w:rPr>
          <w:rFonts w:hint="eastAsia" w:cs="仿宋"/>
        </w:rPr>
        <w:br w:type="page"/>
      </w:r>
      <w:bookmarkStart w:id="76" w:name="_Toc8289"/>
      <w:bookmarkStart w:id="77" w:name="_Toc56170395"/>
      <w:bookmarkStart w:id="78" w:name="_Toc82497927"/>
      <w:r>
        <w:rPr>
          <w:rFonts w:hint="eastAsia" w:cs="仿宋"/>
        </w:rPr>
        <w:t>附件三、法定代表人授权委托书</w:t>
      </w:r>
      <w:bookmarkEnd w:id="76"/>
      <w:bookmarkEnd w:id="77"/>
      <w:bookmarkEnd w:id="78"/>
    </w:p>
    <w:p>
      <w:pPr>
        <w:spacing w:line="360" w:lineRule="auto"/>
        <w:rPr>
          <w:rFonts w:ascii="仿宋" w:hAnsi="仿宋" w:eastAsia="仿宋" w:cs="仿宋"/>
          <w:color w:val="000000"/>
          <w:szCs w:val="21"/>
        </w:rPr>
      </w:pPr>
    </w:p>
    <w:p>
      <w:pPr>
        <w:pStyle w:val="29"/>
        <w:spacing w:line="360" w:lineRule="auto"/>
        <w:ind w:firstLine="560"/>
        <w:rPr>
          <w:rFonts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（姓名）为我公司签署本项目单一来源响应文件的法定代表人授权委托代理人，全权代表我单位处理本次投标的有关事宜。代理人所签署的一切有关文件，我单位均予承认。</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 xml:space="preserve"> 代理人无转委托权，特此声明！</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rPr>
        <w:pict>
          <v:roundrect id="_x0000_s2054" o:spid="_x0000_s2054" o:spt="2" style="position:absolute;left:0pt;margin-left:32.05pt;margin-top:7.15pt;height:125.1pt;width:213.4pt;z-index:251662336;v-text-anchor:middle;mso-width-relative:page;mso-height-relative:page;" filled="f"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path/>
            <v:fill on="f" focussize="0,0"/>
            <v:stroke weight="1pt"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r>
        <w:rPr>
          <w:rFonts w:ascii="仿宋" w:hAnsi="仿宋" w:eastAsia="仿宋" w:cs="仿宋"/>
        </w:rPr>
        <w:pict>
          <v:roundrect id="_x0000_s2053" o:spid="_x0000_s2053" o:spt="2" style="position:absolute;left:0pt;margin-left:256.95pt;margin-top:7.15pt;height:125.1pt;width:213.4pt;z-index:251663360;v-text-anchor:middle;mso-width-relative:page;mso-height-relative:page;" filled="f"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path/>
            <v:fill on="f" focussize="0,0"/>
            <v:stroke weight="1pt"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r>
        <w:rPr>
          <w:rFonts w:ascii="仿宋" w:hAnsi="仿宋" w:eastAsia="仿宋" w:cs="仿宋"/>
        </w:rPr>
        <w:pict>
          <v:roundrect id="_x0000_s2052" o:spid="_x0000_s2052" o:spt="2" style="position:absolute;left:0pt;margin-left:32.9pt;margin-top:16.55pt;height:125.1pt;width:213.4pt;z-index:251664384;v-text-anchor:middle;mso-width-relative:page;mso-height-relative:page;" filled="f"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path/>
            <v:fill on="f" focussize="0,0"/>
            <v:stroke weight="1pt"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w:r>
      <w:r>
        <w:rPr>
          <w:rFonts w:ascii="仿宋" w:hAnsi="仿宋" w:eastAsia="仿宋" w:cs="仿宋"/>
        </w:rPr>
        <w:pict>
          <v:roundrect id="_x0000_s2051" o:spid="_x0000_s2051" o:spt="2" style="position:absolute;left:0pt;margin-left:257.8pt;margin-top:17.4pt;height:125.1pt;width:213.4pt;z-index:251665408;v-text-anchor:middle;mso-width-relative:page;mso-height-relative:page;" filled="f"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path/>
            <v:fill on="f" focussize="0,0"/>
            <v:stroke weight="1pt"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w: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6"/>
        <w:rPr>
          <w:rFonts w:cs="仿宋"/>
        </w:rPr>
      </w:pPr>
      <w:r>
        <w:rPr>
          <w:rFonts w:hint="eastAsia" w:cs="仿宋"/>
        </w:rPr>
        <w:br w:type="page"/>
      </w:r>
      <w:bookmarkStart w:id="79" w:name="_Toc56170396"/>
      <w:bookmarkStart w:id="80" w:name="_Toc7822"/>
      <w:bookmarkStart w:id="81" w:name="_Toc82497928"/>
      <w:r>
        <w:rPr>
          <w:rFonts w:hint="eastAsia" w:cs="仿宋"/>
        </w:rPr>
        <w:t>附件四、关于单一来源响应文件的声明函</w:t>
      </w:r>
      <w:bookmarkEnd w:id="79"/>
      <w:bookmarkEnd w:id="80"/>
      <w:bookmarkEnd w:id="81"/>
    </w:p>
    <w:p>
      <w:pPr>
        <w:adjustRightInd w:val="0"/>
        <w:snapToGrid w:val="0"/>
        <w:spacing w:line="360" w:lineRule="auto"/>
        <w:ind w:firstLine="560" w:firstLineChars="200"/>
        <w:rPr>
          <w:rFonts w:ascii="仿宋" w:hAnsi="仿宋" w:eastAsia="仿宋" w:cs="仿宋"/>
          <w:color w:val="000000"/>
          <w:sz w:val="28"/>
          <w:szCs w:val="28"/>
        </w:rPr>
      </w:pPr>
    </w:p>
    <w:p>
      <w:pPr>
        <w:pStyle w:val="29"/>
        <w:spacing w:line="360" w:lineRule="auto"/>
        <w:ind w:firstLine="560"/>
        <w:rPr>
          <w:rFonts w:ascii="仿宋" w:hAnsi="仿宋" w:eastAsia="仿宋" w:cs="仿宋"/>
          <w:color w:val="000000"/>
        </w:rPr>
      </w:pPr>
      <w:r>
        <w:rPr>
          <w:rFonts w:hint="eastAsia" w:ascii="仿宋" w:hAnsi="仿宋" w:eastAsia="仿宋" w:cs="仿宋"/>
          <w:color w:val="000000"/>
        </w:rPr>
        <w:t>致：</w:t>
      </w:r>
      <w:r>
        <w:rPr>
          <w:rFonts w:hint="eastAsia" w:ascii="仿宋" w:hAnsi="仿宋" w:eastAsia="仿宋" w:cs="仿宋"/>
          <w:color w:val="000000"/>
          <w:lang w:eastAsia="zh-CN"/>
        </w:rPr>
        <w:t>新疆科辰工程项目管理有限公司</w:t>
      </w:r>
      <w:r>
        <w:rPr>
          <w:rFonts w:hint="eastAsia" w:ascii="仿宋" w:hAnsi="仿宋" w:eastAsia="仿宋" w:cs="仿宋"/>
          <w:color w:val="000000"/>
        </w:rPr>
        <w:t>：</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为响应你方    年    月   日的           投标邀请，下述签字人自愿参与投标，提供单一来源采购文件技术需求书中规定的         项目，提交下述文件并声明全部说明是真实的和正确的。下述签字人将就下述文件中存在的虚假或不真实内容对招标代理机构和供应商承担法律责任。</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1）我方的资格声明，各有  份正本，  份副本。</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 xml:space="preserve">供应商：    （公章）        </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日期：   年   月   日</w:t>
      </w:r>
    </w:p>
    <w:p>
      <w:pPr>
        <w:pStyle w:val="6"/>
        <w:rPr>
          <w:rFonts w:cs="仿宋"/>
        </w:rPr>
      </w:pPr>
      <w:r>
        <w:rPr>
          <w:rFonts w:hint="eastAsia" w:cs="仿宋"/>
        </w:rPr>
        <w:br w:type="page"/>
      </w:r>
      <w:bookmarkStart w:id="82" w:name="_Toc82497929"/>
      <w:bookmarkStart w:id="83" w:name="_Toc26415"/>
      <w:bookmarkStart w:id="84" w:name="_Toc56170397"/>
      <w:r>
        <w:rPr>
          <w:rFonts w:hint="eastAsia" w:cs="仿宋"/>
        </w:rPr>
        <w:t>附件五、诚信投标承诺书</w:t>
      </w:r>
      <w:bookmarkEnd w:id="82"/>
      <w:bookmarkEnd w:id="83"/>
      <w:bookmarkEnd w:id="84"/>
    </w:p>
    <w:p>
      <w:pPr>
        <w:pStyle w:val="29"/>
        <w:spacing w:line="360" w:lineRule="auto"/>
        <w:ind w:firstLine="560"/>
        <w:rPr>
          <w:rFonts w:ascii="仿宋" w:hAnsi="仿宋" w:eastAsia="仿宋" w:cs="仿宋"/>
          <w:color w:val="000000"/>
        </w:rPr>
      </w:pPr>
      <w:r>
        <w:rPr>
          <w:rFonts w:hint="eastAsia" w:ascii="仿宋" w:hAnsi="仿宋" w:eastAsia="仿宋" w:cs="仿宋"/>
          <w:color w:val="000000"/>
        </w:rPr>
        <w:t>本人以企业法定代表人的身份郑重承诺：</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一、单一来源响应文件中所提供的一切材料都是真实、有效、合法的；</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二、不以他人名义投标或者以其他方式弄虚作假，骗取成交；</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三、不与其他供应商互相串通投标，不排挤其他供应商的公平竞争，不损害供应商的合法权益；</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四、不与采购人或者招标代理机构串通投标，损害国家利益、社会公共利益或者他人的合法权益；</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五、不向采购人或者谈判小组成员行贿以牟取成交；</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投标、记入不良信用档案、没收本次投标保证金，并愿意承担由此引起的其他法律责任。</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供应商：（公章）</w:t>
      </w:r>
    </w:p>
    <w:p>
      <w:pPr>
        <w:pStyle w:val="29"/>
        <w:spacing w:line="360" w:lineRule="auto"/>
        <w:ind w:firstLine="560"/>
        <w:rPr>
          <w:rFonts w:ascii="仿宋" w:hAnsi="仿宋" w:eastAsia="仿宋" w:cs="仿宋"/>
          <w:color w:val="000000"/>
        </w:rPr>
      </w:pPr>
      <w:r>
        <w:rPr>
          <w:rFonts w:hint="eastAsia" w:ascii="仿宋" w:hAnsi="仿宋" w:eastAsia="仿宋" w:cs="仿宋"/>
          <w:color w:val="000000"/>
        </w:rPr>
        <w:t>法定代表人：（签字）       法定代表授权委托人：（签字）</w:t>
      </w:r>
    </w:p>
    <w:p>
      <w:pPr>
        <w:pStyle w:val="6"/>
        <w:rPr>
          <w:rFonts w:cs="仿宋"/>
        </w:rPr>
      </w:pPr>
      <w:r>
        <w:rPr>
          <w:rFonts w:hint="eastAsia" w:cs="仿宋"/>
          <w:szCs w:val="28"/>
        </w:rPr>
        <w:br w:type="page"/>
      </w:r>
      <w:bookmarkStart w:id="85" w:name="_Toc435087575"/>
      <w:bookmarkStart w:id="86" w:name="_Toc56170398"/>
      <w:bookmarkStart w:id="87" w:name="_Toc82497930"/>
      <w:bookmarkStart w:id="88" w:name="_Toc8836"/>
      <w:r>
        <w:rPr>
          <w:rFonts w:hint="eastAsia" w:cs="仿宋"/>
        </w:rPr>
        <w:t>附件</w:t>
      </w:r>
      <w:bookmarkEnd w:id="85"/>
      <w:r>
        <w:rPr>
          <w:rFonts w:hint="eastAsia" w:cs="仿宋"/>
        </w:rPr>
        <w:t>六、供应商反商业贿赂承诺书</w:t>
      </w:r>
      <w:bookmarkEnd w:id="86"/>
      <w:bookmarkEnd w:id="87"/>
      <w:bookmarkEnd w:id="88"/>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2、不与采购人相互勾结私下协议，弄虚作假，搞假投标、陪标、串通投标，明招暗定，暗箱操作。</w:t>
      </w:r>
    </w:p>
    <w:p>
      <w:pPr>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rPr>
      </w:pPr>
    </w:p>
    <w:p>
      <w:pPr>
        <w:autoSpaceDE w:val="0"/>
        <w:autoSpaceDN w:val="0"/>
        <w:adjustRightInd w:val="0"/>
        <w:spacing w:line="360" w:lineRule="auto"/>
        <w:ind w:left="221"/>
        <w:rPr>
          <w:rFonts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ascii="仿宋" w:hAnsi="仿宋" w:eastAsia="仿宋" w:cs="仿宋"/>
          <w:color w:val="000000"/>
          <w:kern w:val="0"/>
          <w:sz w:val="28"/>
          <w:szCs w:val="28"/>
        </w:rPr>
      </w:pPr>
    </w:p>
    <w:p>
      <w:pPr>
        <w:autoSpaceDE w:val="0"/>
        <w:autoSpaceDN w:val="0"/>
        <w:adjustRightInd w:val="0"/>
        <w:spacing w:line="360" w:lineRule="auto"/>
        <w:jc w:val="right"/>
        <w:rPr>
          <w:rFonts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9"/>
        <w:spacing w:line="360" w:lineRule="auto"/>
        <w:ind w:firstLine="560"/>
        <w:jc w:val="right"/>
        <w:rPr>
          <w:rFonts w:ascii="仿宋" w:hAnsi="仿宋" w:eastAsia="仿宋" w:cs="仿宋"/>
          <w:color w:val="000000"/>
          <w:kern w:val="0"/>
          <w:szCs w:val="28"/>
        </w:rPr>
      </w:pPr>
      <w:r>
        <w:rPr>
          <w:rFonts w:hint="eastAsia" w:ascii="仿宋" w:hAnsi="仿宋" w:eastAsia="仿宋" w:cs="仿宋"/>
          <w:color w:val="000000"/>
          <w:kern w:val="0"/>
          <w:szCs w:val="28"/>
        </w:rPr>
        <w:t>年      月     日</w:t>
      </w:r>
    </w:p>
    <w:p>
      <w:pPr>
        <w:pStyle w:val="20"/>
        <w:spacing w:before="60" w:beforeAutospacing="0" w:after="60" w:afterAutospacing="0" w:line="444" w:lineRule="atLeast"/>
        <w:ind w:left="1020"/>
        <w:jc w:val="center"/>
        <w:rPr>
          <w:rFonts w:ascii="sans-serif" w:hAnsi="sans-serif" w:eastAsia="sans-serif" w:cs="sans-serif"/>
          <w:color w:val="000000"/>
          <w:sz w:val="19"/>
          <w:szCs w:val="19"/>
        </w:rPr>
      </w:pPr>
      <w:r>
        <w:rPr>
          <w:rFonts w:hint="eastAsia" w:ascii="仿宋" w:hAnsi="仿宋" w:eastAsia="仿宋" w:cs="仿宋"/>
        </w:rPr>
        <w:br w:type="page"/>
      </w:r>
      <w:bookmarkStart w:id="89" w:name="_Toc21708"/>
      <w:r>
        <w:rPr>
          <w:rStyle w:val="40"/>
          <w:rFonts w:hint="eastAsia"/>
        </w:rPr>
        <w:t>附件七、中小企业声明函</w:t>
      </w:r>
      <w:r>
        <w:rPr>
          <w:rStyle w:val="40"/>
        </w:rPr>
        <w:t>（</w:t>
      </w:r>
      <w:r>
        <w:rPr>
          <w:rStyle w:val="40"/>
          <w:rFonts w:hint="eastAsia"/>
        </w:rPr>
        <w:t>货物</w:t>
      </w:r>
      <w:r>
        <w:rPr>
          <w:rStyle w:val="40"/>
        </w:rPr>
        <w:t>）</w:t>
      </w:r>
      <w:bookmarkEnd w:id="89"/>
    </w:p>
    <w:p>
      <w:pPr>
        <w:pStyle w:val="20"/>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本公司（联合体）郑重声明，根据《政府采购促进中小企业发展管理办法》（财库〔2020〕46号）的规定，本公司（联合体）参加</w:t>
      </w:r>
      <w:r>
        <w:rPr>
          <w:rStyle w:val="25"/>
          <w:rFonts w:ascii="仿宋_GB2312" w:hAnsi="sans-serif" w:eastAsia="仿宋_GB2312" w:cs="仿宋_GB2312"/>
          <w:i w:val="0"/>
          <w:iCs w:val="0"/>
          <w:color w:val="000000"/>
          <w:sz w:val="28"/>
          <w:szCs w:val="28"/>
          <w:u w:val="single"/>
        </w:rPr>
        <w:t>（单位名称）</w:t>
      </w:r>
      <w:r>
        <w:rPr>
          <w:rFonts w:ascii="仿宋_GB2312" w:hAnsi="sans-serif" w:eastAsia="仿宋_GB2312" w:cs="仿宋_GB2312"/>
          <w:color w:val="000000"/>
          <w:sz w:val="28"/>
          <w:szCs w:val="28"/>
        </w:rPr>
        <w:t>的</w:t>
      </w:r>
      <w:r>
        <w:rPr>
          <w:rStyle w:val="25"/>
          <w:rFonts w:ascii="仿宋_GB2312" w:hAnsi="sans-serif" w:eastAsia="仿宋_GB2312" w:cs="仿宋_GB2312"/>
          <w:i w:val="0"/>
          <w:iCs w:val="0"/>
          <w:color w:val="000000"/>
          <w:sz w:val="28"/>
          <w:szCs w:val="28"/>
          <w:u w:val="single"/>
        </w:rPr>
        <w:t>（项目名称）</w:t>
      </w:r>
      <w:r>
        <w:rPr>
          <w:rFonts w:ascii="仿宋_GB2312" w:hAnsi="sans-serif" w:eastAsia="仿宋_GB2312" w:cs="仿宋_GB2312"/>
          <w:color w:val="000000"/>
          <w:sz w:val="28"/>
          <w:szCs w:val="28"/>
        </w:rPr>
        <w:t>采购活动，提供的货物全部由符合政策要求的中小企业制造。相关企业（含联合体中的中小企业、签订分包意向协议的中小企业）的具体情况如下：</w:t>
      </w:r>
    </w:p>
    <w:p>
      <w:pPr>
        <w:pStyle w:val="20"/>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1.</w:t>
      </w:r>
      <w:r>
        <w:rPr>
          <w:rStyle w:val="25"/>
          <w:rFonts w:ascii="仿宋_GB2312" w:hAnsi="sans-serif" w:eastAsia="仿宋_GB2312" w:cs="仿宋_GB2312"/>
          <w:i w:val="0"/>
          <w:iCs w:val="0"/>
          <w:color w:val="000000"/>
          <w:sz w:val="28"/>
          <w:szCs w:val="28"/>
          <w:u w:val="single"/>
        </w:rPr>
        <w:t>（标的名称）</w:t>
      </w:r>
      <w:r>
        <w:rPr>
          <w:rFonts w:ascii="仿宋_GB2312" w:hAnsi="sans-serif" w:eastAsia="仿宋_GB2312" w:cs="仿宋_GB2312"/>
          <w:color w:val="000000"/>
          <w:sz w:val="28"/>
          <w:szCs w:val="28"/>
        </w:rPr>
        <w:t>，属于</w:t>
      </w:r>
      <w:r>
        <w:rPr>
          <w:rStyle w:val="25"/>
          <w:rFonts w:ascii="仿宋_GB2312" w:hAnsi="sans-serif" w:eastAsia="仿宋_GB2312" w:cs="仿宋_GB2312"/>
          <w:i w:val="0"/>
          <w:iCs w:val="0"/>
          <w:color w:val="000000"/>
          <w:sz w:val="28"/>
          <w:szCs w:val="28"/>
          <w:u w:val="single"/>
        </w:rPr>
        <w:t>（采购文件中明确的所属行业）</w:t>
      </w:r>
      <w:r>
        <w:rPr>
          <w:rFonts w:ascii="仿宋_GB2312" w:hAnsi="sans-serif" w:eastAsia="仿宋_GB2312" w:cs="仿宋_GB2312"/>
          <w:color w:val="000000"/>
          <w:sz w:val="28"/>
          <w:szCs w:val="28"/>
        </w:rPr>
        <w:t>；制造商为</w:t>
      </w:r>
      <w:r>
        <w:rPr>
          <w:rStyle w:val="25"/>
          <w:rFonts w:ascii="仿宋_GB2312" w:hAnsi="sans-serif" w:eastAsia="仿宋_GB2312" w:cs="仿宋_GB2312"/>
          <w:i w:val="0"/>
          <w:iCs w:val="0"/>
          <w:color w:val="000000"/>
          <w:sz w:val="28"/>
          <w:szCs w:val="28"/>
          <w:u w:val="single"/>
        </w:rPr>
        <w:t>（企业名称）</w:t>
      </w:r>
      <w:r>
        <w:rPr>
          <w:rFonts w:ascii="仿宋_GB2312" w:hAnsi="sans-serif" w:eastAsia="仿宋_GB2312" w:cs="仿宋_GB2312"/>
          <w:color w:val="000000"/>
          <w:sz w:val="28"/>
          <w:szCs w:val="28"/>
        </w:rPr>
        <w:t>，从业人员</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人，营业收入为</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万元，资产总额为</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万元，属于</w:t>
      </w:r>
      <w:r>
        <w:rPr>
          <w:rStyle w:val="25"/>
          <w:rFonts w:ascii="仿宋_GB2312" w:hAnsi="sans-serif" w:eastAsia="仿宋_GB2312" w:cs="仿宋_GB2312"/>
          <w:i w:val="0"/>
          <w:iCs w:val="0"/>
          <w:color w:val="000000"/>
          <w:sz w:val="28"/>
          <w:szCs w:val="28"/>
          <w:u w:val="single"/>
        </w:rPr>
        <w:t>（中型企业、小型企业、微型企业）</w:t>
      </w:r>
      <w:r>
        <w:rPr>
          <w:rFonts w:ascii="仿宋_GB2312" w:hAnsi="sans-serif" w:eastAsia="仿宋_GB2312" w:cs="仿宋_GB2312"/>
          <w:color w:val="000000"/>
          <w:sz w:val="28"/>
          <w:szCs w:val="28"/>
        </w:rPr>
        <w:t>；</w:t>
      </w:r>
    </w:p>
    <w:p>
      <w:pPr>
        <w:pStyle w:val="20"/>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2. </w:t>
      </w:r>
      <w:r>
        <w:rPr>
          <w:rStyle w:val="25"/>
          <w:rFonts w:ascii="仿宋_GB2312" w:hAnsi="sans-serif" w:eastAsia="仿宋_GB2312" w:cs="仿宋_GB2312"/>
          <w:i w:val="0"/>
          <w:iCs w:val="0"/>
          <w:color w:val="000000"/>
          <w:sz w:val="28"/>
          <w:szCs w:val="28"/>
          <w:u w:val="single"/>
        </w:rPr>
        <w:t>（标的名称）</w:t>
      </w:r>
      <w:r>
        <w:rPr>
          <w:rFonts w:ascii="仿宋_GB2312" w:hAnsi="sans-serif" w:eastAsia="仿宋_GB2312" w:cs="仿宋_GB2312"/>
          <w:color w:val="000000"/>
          <w:sz w:val="28"/>
          <w:szCs w:val="28"/>
        </w:rPr>
        <w:t>，属于</w:t>
      </w:r>
      <w:r>
        <w:rPr>
          <w:rStyle w:val="25"/>
          <w:rFonts w:ascii="仿宋_GB2312" w:hAnsi="sans-serif" w:eastAsia="仿宋_GB2312" w:cs="仿宋_GB2312"/>
          <w:i w:val="0"/>
          <w:iCs w:val="0"/>
          <w:color w:val="000000"/>
          <w:sz w:val="28"/>
          <w:szCs w:val="28"/>
          <w:u w:val="single"/>
        </w:rPr>
        <w:t>（采购文件中明确的所属行业）</w:t>
      </w:r>
      <w:r>
        <w:rPr>
          <w:rFonts w:ascii="仿宋_GB2312" w:hAnsi="sans-serif" w:eastAsia="仿宋_GB2312" w:cs="仿宋_GB2312"/>
          <w:color w:val="000000"/>
          <w:sz w:val="28"/>
          <w:szCs w:val="28"/>
        </w:rPr>
        <w:t>；制造商为</w:t>
      </w:r>
      <w:r>
        <w:rPr>
          <w:rStyle w:val="25"/>
          <w:rFonts w:ascii="仿宋_GB2312" w:hAnsi="sans-serif" w:eastAsia="仿宋_GB2312" w:cs="仿宋_GB2312"/>
          <w:i w:val="0"/>
          <w:iCs w:val="0"/>
          <w:color w:val="000000"/>
          <w:sz w:val="28"/>
          <w:szCs w:val="28"/>
          <w:u w:val="single"/>
        </w:rPr>
        <w:t>（企业名称）</w:t>
      </w:r>
      <w:r>
        <w:rPr>
          <w:rFonts w:ascii="仿宋_GB2312" w:hAnsi="sans-serif" w:eastAsia="仿宋_GB2312" w:cs="仿宋_GB2312"/>
          <w:color w:val="000000"/>
          <w:sz w:val="28"/>
          <w:szCs w:val="28"/>
        </w:rPr>
        <w:t>，从业人员</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人，营业收入为</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万元，资产总额为</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万元，属于</w:t>
      </w:r>
      <w:r>
        <w:rPr>
          <w:rStyle w:val="25"/>
          <w:rFonts w:ascii="仿宋_GB2312" w:hAnsi="sans-serif" w:eastAsia="仿宋_GB2312" w:cs="仿宋_GB2312"/>
          <w:i w:val="0"/>
          <w:iCs w:val="0"/>
          <w:color w:val="000000"/>
          <w:sz w:val="28"/>
          <w:szCs w:val="28"/>
          <w:u w:val="single"/>
        </w:rPr>
        <w:t>（中型企业、小型企业、微型企业）</w:t>
      </w:r>
      <w:r>
        <w:rPr>
          <w:rFonts w:ascii="仿宋_GB2312" w:hAnsi="sans-serif" w:eastAsia="仿宋_GB2312" w:cs="仿宋_GB2312"/>
          <w:color w:val="000000"/>
          <w:sz w:val="28"/>
          <w:szCs w:val="28"/>
        </w:rPr>
        <w:t>；</w:t>
      </w:r>
    </w:p>
    <w:p>
      <w:pPr>
        <w:pStyle w:val="20"/>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w:t>
      </w:r>
    </w:p>
    <w:p>
      <w:pPr>
        <w:pStyle w:val="20"/>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以上企业，不属于大企业的分支机构，不存在控股股东为大企业的情形，也不存在与大企业的负责人为同一人的情形。</w:t>
      </w:r>
    </w:p>
    <w:p>
      <w:pPr>
        <w:pStyle w:val="20"/>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本企业对上述声明内容的真实性负责。如有虚假，将依法承担相应责任。</w:t>
      </w:r>
    </w:p>
    <w:p>
      <w:pPr>
        <w:pStyle w:val="20"/>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                      企业名称（盖章）：</w:t>
      </w:r>
    </w:p>
    <w:p>
      <w:pPr>
        <w:pStyle w:val="20"/>
        <w:spacing w:before="60" w:beforeAutospacing="0" w:after="60" w:afterAutospacing="0" w:line="432" w:lineRule="atLeast"/>
        <w:ind w:firstLine="516"/>
        <w:rPr>
          <w:rFonts w:ascii="仿宋_GB2312" w:hAnsi="sans-serif" w:eastAsia="仿宋_GB2312" w:cs="仿宋_GB2312"/>
          <w:color w:val="000000"/>
          <w:sz w:val="28"/>
          <w:szCs w:val="28"/>
        </w:rPr>
      </w:pPr>
      <w:r>
        <w:rPr>
          <w:rFonts w:ascii="仿宋_GB2312" w:hAnsi="sans-serif" w:eastAsia="仿宋_GB2312" w:cs="仿宋_GB2312"/>
          <w:color w:val="000000"/>
          <w:sz w:val="28"/>
          <w:szCs w:val="28"/>
        </w:rPr>
        <w:t>                      日期：</w:t>
      </w:r>
    </w:p>
    <w:p>
      <w:pPr>
        <w:pStyle w:val="20"/>
        <w:spacing w:before="60" w:beforeAutospacing="0" w:after="60" w:afterAutospacing="0" w:line="432" w:lineRule="atLeast"/>
        <w:ind w:firstLine="516"/>
        <w:rPr>
          <w:rFonts w:ascii="仿宋_GB2312" w:hAnsi="sans-serif" w:eastAsia="仿宋_GB2312" w:cs="仿宋_GB2312"/>
          <w:color w:val="000000"/>
          <w:sz w:val="25"/>
          <w:szCs w:val="25"/>
        </w:rPr>
      </w:pPr>
    </w:p>
    <w:p>
      <w:pPr>
        <w:pStyle w:val="20"/>
        <w:spacing w:before="60" w:beforeAutospacing="0" w:after="60" w:afterAutospacing="0" w:line="444" w:lineRule="atLeast"/>
        <w:ind w:firstLine="516"/>
        <w:jc w:val="right"/>
        <w:rPr>
          <w:rFonts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6"/>
        <w:spacing w:line="360" w:lineRule="auto"/>
        <w:rPr>
          <w:rFonts w:cs="仿宋"/>
        </w:rPr>
      </w:pPr>
      <w:bookmarkStart w:id="90" w:name="_Toc25933"/>
      <w:bookmarkStart w:id="91" w:name="_Toc56170399"/>
      <w:bookmarkStart w:id="92" w:name="_Toc82497932"/>
      <w:r>
        <w:rPr>
          <w:rFonts w:hint="eastAsia" w:cs="仿宋"/>
        </w:rPr>
        <w:t>附件八、开标一览表</w:t>
      </w:r>
      <w:bookmarkEnd w:id="90"/>
      <w:bookmarkEnd w:id="91"/>
      <w:bookmarkEnd w:id="92"/>
    </w:p>
    <w:p>
      <w:pPr>
        <w:tabs>
          <w:tab w:val="center" w:pos="7115"/>
          <w:tab w:val="right" w:pos="14230"/>
        </w:tabs>
        <w:spacing w:line="360" w:lineRule="auto"/>
        <w:ind w:firstLine="140" w:firstLineChars="50"/>
        <w:rPr>
          <w:rFonts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ascii="仿宋" w:hAnsi="仿宋" w:eastAsia="仿宋" w:cs="仿宋"/>
          <w:color w:val="000000"/>
          <w:kern w:val="0"/>
          <w:sz w:val="28"/>
          <w:szCs w:val="28"/>
        </w:rPr>
      </w:pPr>
      <w:r>
        <w:rPr>
          <w:rFonts w:hint="eastAsia" w:ascii="仿宋" w:hAnsi="仿宋" w:eastAsia="仿宋" w:cs="仿宋"/>
          <w:color w:val="000000"/>
          <w:sz w:val="28"/>
          <w:szCs w:val="28"/>
        </w:rPr>
        <w:t>项目名称：                                                        编号：</w:t>
      </w:r>
    </w:p>
    <w:p>
      <w:pPr>
        <w:pStyle w:val="11"/>
      </w:pPr>
    </w:p>
    <w:tbl>
      <w:tblPr>
        <w:tblStyle w:val="22"/>
        <w:tblW w:w="139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1"/>
        <w:gridCol w:w="4465"/>
        <w:gridCol w:w="3172"/>
        <w:gridCol w:w="3172"/>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97" w:hRule="exact"/>
          <w:jc w:val="center"/>
        </w:trPr>
        <w:tc>
          <w:tcPr>
            <w:tcW w:w="1981"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设备名称</w:t>
            </w:r>
          </w:p>
        </w:tc>
        <w:tc>
          <w:tcPr>
            <w:tcW w:w="4465"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品牌/产地</w:t>
            </w:r>
          </w:p>
        </w:tc>
        <w:tc>
          <w:tcPr>
            <w:tcW w:w="3172"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规格型号</w:t>
            </w:r>
          </w:p>
        </w:tc>
        <w:tc>
          <w:tcPr>
            <w:tcW w:w="3172"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交货期</w:t>
            </w:r>
          </w:p>
        </w:tc>
        <w:tc>
          <w:tcPr>
            <w:tcW w:w="1188"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43" w:hRule="atLeast"/>
          <w:jc w:val="center"/>
        </w:trPr>
        <w:tc>
          <w:tcPr>
            <w:tcW w:w="1981" w:type="dxa"/>
            <w:tcBorders>
              <w:bottom w:val="single" w:color="auto" w:sz="4" w:space="0"/>
            </w:tcBorders>
            <w:vAlign w:val="center"/>
          </w:tcPr>
          <w:p>
            <w:pPr>
              <w:snapToGrid w:val="0"/>
              <w:spacing w:line="360" w:lineRule="auto"/>
              <w:jc w:val="center"/>
              <w:rPr>
                <w:rFonts w:ascii="仿宋" w:hAnsi="仿宋" w:eastAsia="仿宋" w:cs="仿宋"/>
                <w:color w:val="000000"/>
                <w:sz w:val="28"/>
                <w:szCs w:val="28"/>
              </w:rPr>
            </w:pPr>
          </w:p>
        </w:tc>
        <w:tc>
          <w:tcPr>
            <w:tcW w:w="4465" w:type="dxa"/>
            <w:tcBorders>
              <w:bottom w:val="single" w:color="auto" w:sz="4" w:space="0"/>
            </w:tcBorders>
            <w:vAlign w:val="center"/>
          </w:tcPr>
          <w:p>
            <w:pPr>
              <w:snapToGrid w:val="0"/>
              <w:spacing w:line="360" w:lineRule="auto"/>
              <w:jc w:val="center"/>
              <w:rPr>
                <w:rFonts w:ascii="仿宋" w:hAnsi="仿宋" w:eastAsia="仿宋" w:cs="仿宋"/>
                <w:color w:val="000000"/>
                <w:sz w:val="28"/>
                <w:szCs w:val="28"/>
              </w:rPr>
            </w:pPr>
          </w:p>
        </w:tc>
        <w:tc>
          <w:tcPr>
            <w:tcW w:w="3172" w:type="dxa"/>
            <w:tcBorders>
              <w:bottom w:val="single" w:color="auto" w:sz="4" w:space="0"/>
              <w:right w:val="single" w:color="auto" w:sz="4" w:space="0"/>
            </w:tcBorders>
            <w:vAlign w:val="center"/>
          </w:tcPr>
          <w:p>
            <w:pPr>
              <w:snapToGrid w:val="0"/>
              <w:spacing w:line="360" w:lineRule="auto"/>
              <w:jc w:val="center"/>
              <w:rPr>
                <w:rFonts w:ascii="仿宋" w:hAnsi="仿宋" w:eastAsia="仿宋" w:cs="仿宋"/>
                <w:color w:val="000000"/>
                <w:sz w:val="28"/>
                <w:szCs w:val="28"/>
              </w:rPr>
            </w:pPr>
          </w:p>
        </w:tc>
        <w:tc>
          <w:tcPr>
            <w:tcW w:w="3172" w:type="dxa"/>
            <w:tcBorders>
              <w:bottom w:val="single" w:color="auto" w:sz="4" w:space="0"/>
              <w:right w:val="single" w:color="auto" w:sz="4" w:space="0"/>
            </w:tcBorders>
            <w:vAlign w:val="center"/>
          </w:tcPr>
          <w:p>
            <w:pPr>
              <w:snapToGrid w:val="0"/>
              <w:spacing w:line="360" w:lineRule="auto"/>
              <w:jc w:val="center"/>
              <w:rPr>
                <w:rFonts w:ascii="仿宋" w:hAnsi="仿宋" w:eastAsia="仿宋" w:cs="仿宋"/>
                <w:color w:val="000000"/>
                <w:sz w:val="28"/>
                <w:szCs w:val="28"/>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2" w:hRule="exact"/>
          <w:jc w:val="center"/>
        </w:trPr>
        <w:tc>
          <w:tcPr>
            <w:tcW w:w="1981"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投标总报价</w:t>
            </w:r>
          </w:p>
        </w:tc>
        <w:tc>
          <w:tcPr>
            <w:tcW w:w="11997" w:type="dxa"/>
            <w:gridSpan w:val="4"/>
            <w:tcBorders>
              <w:bottom w:val="single" w:color="auto" w:sz="4" w:space="0"/>
            </w:tcBorders>
            <w:vAlign w:val="center"/>
          </w:tcPr>
          <w:p>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投标单位授权代表签字：                                             投标单位公章：</w:t>
      </w:r>
    </w:p>
    <w:p>
      <w:pPr>
        <w:spacing w:line="360" w:lineRule="auto"/>
        <w:ind w:firstLine="548" w:firstLineChars="196"/>
        <w:rPr>
          <w:rFonts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ascii="仿宋" w:hAnsi="仿宋" w:eastAsia="仿宋" w:cs="仿宋"/>
          <w:color w:val="000000"/>
          <w:sz w:val="28"/>
        </w:rPr>
      </w:pPr>
      <w:r>
        <w:rPr>
          <w:rFonts w:hint="eastAsia" w:ascii="仿宋" w:hAnsi="仿宋" w:eastAsia="仿宋" w:cs="仿宋"/>
          <w:color w:val="000000"/>
          <w:sz w:val="28"/>
        </w:rPr>
        <w:t xml:space="preserve">    2、在开标一览表中，按第二章投标人须知10.2条款的规定不允许出现两种报价，否则其投标将被拒绝。</w:t>
      </w:r>
    </w:p>
    <w:p>
      <w:pPr>
        <w:spacing w:line="360" w:lineRule="auto"/>
        <w:ind w:firstLine="562"/>
        <w:rPr>
          <w:rFonts w:ascii="仿宋" w:hAnsi="仿宋" w:eastAsia="仿宋" w:cs="仿宋"/>
          <w:color w:val="000000"/>
          <w:sz w:val="28"/>
        </w:rPr>
      </w:pPr>
      <w:r>
        <w:rPr>
          <w:rFonts w:hint="eastAsia" w:ascii="仿宋" w:hAnsi="仿宋" w:eastAsia="仿宋" w:cs="仿宋"/>
          <w:color w:val="000000"/>
          <w:sz w:val="28"/>
        </w:rPr>
        <w:t xml:space="preserve">    3、详细清单参照附件九自制。</w:t>
      </w:r>
    </w:p>
    <w:p>
      <w:pPr>
        <w:spacing w:line="360" w:lineRule="auto"/>
        <w:ind w:firstLine="13067" w:firstLineChars="4667"/>
        <w:rPr>
          <w:rFonts w:ascii="仿宋" w:hAnsi="仿宋" w:eastAsia="仿宋" w:cs="仿宋"/>
          <w:color w:val="000000"/>
          <w:sz w:val="28"/>
        </w:rPr>
      </w:pPr>
    </w:p>
    <w:p>
      <w:pPr>
        <w:pStyle w:val="6"/>
        <w:rPr>
          <w:rFonts w:cs="仿宋"/>
        </w:rPr>
      </w:pPr>
      <w:r>
        <w:rPr>
          <w:rFonts w:hint="eastAsia" w:cs="仿宋"/>
        </w:rPr>
        <w:br w:type="page"/>
      </w:r>
      <w:bookmarkStart w:id="93" w:name="_Toc82497933"/>
      <w:bookmarkStart w:id="94" w:name="_Toc56170400"/>
      <w:bookmarkStart w:id="95" w:name="_Toc300"/>
      <w:r>
        <w:rPr>
          <w:rFonts w:hint="eastAsia" w:cs="仿宋"/>
        </w:rPr>
        <w:t>附件九、分项报价表</w:t>
      </w:r>
      <w:bookmarkEnd w:id="93"/>
      <w:bookmarkEnd w:id="94"/>
      <w:bookmarkEnd w:id="95"/>
    </w:p>
    <w:p>
      <w:pPr>
        <w:pStyle w:val="29"/>
        <w:spacing w:line="440" w:lineRule="exact"/>
        <w:ind w:firstLine="560"/>
        <w:rPr>
          <w:rFonts w:ascii="仿宋" w:hAnsi="仿宋" w:eastAsia="仿宋" w:cs="仿宋"/>
          <w:color w:val="000000"/>
          <w:sz w:val="44"/>
        </w:rPr>
      </w:pPr>
      <w:r>
        <w:rPr>
          <w:rFonts w:hint="eastAsia" w:ascii="仿宋" w:hAnsi="仿宋" w:eastAsia="仿宋" w:cs="仿宋"/>
          <w:color w:val="000000"/>
        </w:rPr>
        <w:t>（此表参照下表由各供应商按照投标货物内容、顺序编制填写，包括详细的产品配置清单、价格、供货范围、名称、规格、技术参数、主要配件的品牌及供货厂家等。）</w:t>
      </w:r>
    </w:p>
    <w:tbl>
      <w:tblPr>
        <w:tblStyle w:val="22"/>
        <w:tblW w:w="14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3645" w:type="dxa"/>
            <w:vAlign w:val="center"/>
          </w:tcPr>
          <w:p>
            <w:pPr>
              <w:spacing w:line="360" w:lineRule="auto"/>
              <w:ind w:firstLine="480"/>
              <w:jc w:val="center"/>
              <w:rPr>
                <w:rFonts w:ascii="仿宋" w:hAnsi="仿宋" w:eastAsia="仿宋" w:cs="仿宋"/>
                <w:color w:val="000000"/>
                <w:sz w:val="24"/>
                <w:szCs w:val="24"/>
              </w:rPr>
            </w:pPr>
            <w:r>
              <w:rPr>
                <w:rFonts w:hint="eastAsia" w:ascii="仿宋" w:hAnsi="仿宋" w:eastAsia="仿宋" w:cs="仿宋"/>
                <w:color w:val="000000"/>
                <w:sz w:val="24"/>
                <w:szCs w:val="24"/>
              </w:rPr>
              <w:t>名 称</w:t>
            </w:r>
          </w:p>
        </w:tc>
        <w:tc>
          <w:tcPr>
            <w:tcW w:w="153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规格型号</w:t>
            </w:r>
          </w:p>
        </w:tc>
        <w:tc>
          <w:tcPr>
            <w:tcW w:w="1398"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数量（标明单位）</w:t>
            </w:r>
          </w:p>
        </w:tc>
        <w:tc>
          <w:tcPr>
            <w:tcW w:w="165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单价（元）</w:t>
            </w:r>
          </w:p>
        </w:tc>
        <w:tc>
          <w:tcPr>
            <w:tcW w:w="1635"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合价（元）</w:t>
            </w:r>
          </w:p>
        </w:tc>
        <w:tc>
          <w:tcPr>
            <w:tcW w:w="216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3645" w:type="dxa"/>
            <w:vAlign w:val="center"/>
          </w:tcPr>
          <w:p>
            <w:pPr>
              <w:spacing w:line="360" w:lineRule="auto"/>
              <w:jc w:val="center"/>
              <w:rPr>
                <w:rFonts w:ascii="仿宋" w:hAnsi="仿宋" w:eastAsia="仿宋" w:cs="仿宋"/>
                <w:color w:val="000000"/>
                <w:sz w:val="24"/>
                <w:szCs w:val="24"/>
              </w:rPr>
            </w:pPr>
          </w:p>
        </w:tc>
        <w:tc>
          <w:tcPr>
            <w:tcW w:w="1530" w:type="dxa"/>
            <w:vAlign w:val="center"/>
          </w:tcPr>
          <w:p>
            <w:pPr>
              <w:spacing w:line="360" w:lineRule="auto"/>
              <w:ind w:firstLine="480"/>
              <w:jc w:val="center"/>
              <w:rPr>
                <w:rFonts w:ascii="仿宋" w:hAnsi="仿宋" w:eastAsia="仿宋" w:cs="仿宋"/>
                <w:color w:val="000000"/>
                <w:sz w:val="24"/>
                <w:szCs w:val="24"/>
              </w:rPr>
            </w:pPr>
          </w:p>
        </w:tc>
        <w:tc>
          <w:tcPr>
            <w:tcW w:w="1398" w:type="dxa"/>
            <w:vAlign w:val="center"/>
          </w:tcPr>
          <w:p>
            <w:pPr>
              <w:spacing w:line="360" w:lineRule="auto"/>
              <w:ind w:firstLine="480"/>
              <w:jc w:val="center"/>
              <w:rPr>
                <w:rFonts w:ascii="仿宋" w:hAnsi="仿宋" w:eastAsia="仿宋" w:cs="仿宋"/>
                <w:color w:val="000000"/>
                <w:sz w:val="24"/>
                <w:szCs w:val="24"/>
              </w:rPr>
            </w:pPr>
          </w:p>
        </w:tc>
        <w:tc>
          <w:tcPr>
            <w:tcW w:w="1650" w:type="dxa"/>
            <w:vAlign w:val="center"/>
          </w:tcPr>
          <w:p>
            <w:pPr>
              <w:spacing w:line="360" w:lineRule="auto"/>
              <w:ind w:firstLine="480"/>
              <w:jc w:val="center"/>
              <w:rPr>
                <w:rFonts w:ascii="仿宋" w:hAnsi="仿宋" w:eastAsia="仿宋" w:cs="仿宋"/>
                <w:color w:val="000000"/>
                <w:sz w:val="24"/>
                <w:szCs w:val="24"/>
              </w:rPr>
            </w:pPr>
          </w:p>
        </w:tc>
        <w:tc>
          <w:tcPr>
            <w:tcW w:w="1635" w:type="dxa"/>
            <w:vAlign w:val="center"/>
          </w:tcPr>
          <w:p>
            <w:pPr>
              <w:spacing w:line="360" w:lineRule="auto"/>
              <w:ind w:firstLine="480"/>
              <w:jc w:val="center"/>
              <w:rPr>
                <w:rFonts w:ascii="仿宋" w:hAnsi="仿宋" w:eastAsia="仿宋" w:cs="仿宋"/>
                <w:color w:val="000000"/>
                <w:sz w:val="24"/>
                <w:szCs w:val="24"/>
              </w:rPr>
            </w:pPr>
          </w:p>
        </w:tc>
        <w:tc>
          <w:tcPr>
            <w:tcW w:w="2160" w:type="dxa"/>
            <w:vAlign w:val="center"/>
          </w:tcPr>
          <w:p>
            <w:pPr>
              <w:spacing w:line="360" w:lineRule="auto"/>
              <w:ind w:firstLine="480"/>
              <w:jc w:val="center"/>
              <w:rPr>
                <w:rFonts w:ascii="仿宋" w:hAnsi="仿宋" w:eastAsia="仿宋" w:cs="仿宋"/>
                <w:color w:val="000000"/>
                <w:sz w:val="24"/>
                <w:szCs w:val="24"/>
              </w:rPr>
            </w:pPr>
          </w:p>
        </w:tc>
        <w:tc>
          <w:tcPr>
            <w:tcW w:w="1454" w:type="dxa"/>
            <w:vAlign w:val="center"/>
          </w:tcPr>
          <w:p>
            <w:pPr>
              <w:spacing w:line="360" w:lineRule="auto"/>
              <w:ind w:firstLine="480"/>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3645" w:type="dxa"/>
            <w:vAlign w:val="center"/>
          </w:tcPr>
          <w:p>
            <w:pPr>
              <w:spacing w:line="360" w:lineRule="auto"/>
              <w:ind w:firstLine="480"/>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530" w:type="dxa"/>
            <w:vAlign w:val="center"/>
          </w:tcPr>
          <w:p>
            <w:pPr>
              <w:spacing w:line="360" w:lineRule="auto"/>
              <w:ind w:firstLine="480"/>
              <w:jc w:val="center"/>
              <w:rPr>
                <w:rFonts w:ascii="仿宋" w:hAnsi="仿宋" w:eastAsia="仿宋" w:cs="仿宋"/>
                <w:color w:val="000000"/>
                <w:sz w:val="24"/>
                <w:szCs w:val="24"/>
              </w:rPr>
            </w:pPr>
          </w:p>
        </w:tc>
        <w:tc>
          <w:tcPr>
            <w:tcW w:w="1398" w:type="dxa"/>
            <w:vAlign w:val="center"/>
          </w:tcPr>
          <w:p>
            <w:pPr>
              <w:spacing w:line="360" w:lineRule="auto"/>
              <w:ind w:firstLine="480"/>
              <w:jc w:val="center"/>
              <w:rPr>
                <w:rFonts w:ascii="仿宋" w:hAnsi="仿宋" w:eastAsia="仿宋" w:cs="仿宋"/>
                <w:color w:val="000000"/>
                <w:sz w:val="24"/>
                <w:szCs w:val="24"/>
              </w:rPr>
            </w:pPr>
          </w:p>
        </w:tc>
        <w:tc>
          <w:tcPr>
            <w:tcW w:w="1650" w:type="dxa"/>
            <w:vAlign w:val="center"/>
          </w:tcPr>
          <w:p>
            <w:pPr>
              <w:spacing w:line="360" w:lineRule="auto"/>
              <w:ind w:firstLine="480"/>
              <w:jc w:val="center"/>
              <w:rPr>
                <w:rFonts w:ascii="仿宋" w:hAnsi="仿宋" w:eastAsia="仿宋" w:cs="仿宋"/>
                <w:color w:val="000000"/>
                <w:sz w:val="24"/>
                <w:szCs w:val="24"/>
              </w:rPr>
            </w:pPr>
          </w:p>
        </w:tc>
        <w:tc>
          <w:tcPr>
            <w:tcW w:w="1635" w:type="dxa"/>
            <w:vAlign w:val="center"/>
          </w:tcPr>
          <w:p>
            <w:pPr>
              <w:spacing w:line="360" w:lineRule="auto"/>
              <w:ind w:firstLine="480"/>
              <w:jc w:val="center"/>
              <w:rPr>
                <w:rFonts w:ascii="仿宋" w:hAnsi="仿宋" w:eastAsia="仿宋" w:cs="仿宋"/>
                <w:color w:val="000000"/>
                <w:sz w:val="24"/>
                <w:szCs w:val="24"/>
              </w:rPr>
            </w:pPr>
          </w:p>
        </w:tc>
        <w:tc>
          <w:tcPr>
            <w:tcW w:w="2160" w:type="dxa"/>
            <w:vAlign w:val="center"/>
          </w:tcPr>
          <w:p>
            <w:pPr>
              <w:spacing w:line="360" w:lineRule="auto"/>
              <w:ind w:firstLine="480"/>
              <w:jc w:val="center"/>
              <w:rPr>
                <w:rFonts w:ascii="仿宋" w:hAnsi="仿宋" w:eastAsia="仿宋" w:cs="仿宋"/>
                <w:color w:val="000000"/>
                <w:sz w:val="24"/>
                <w:szCs w:val="24"/>
              </w:rPr>
            </w:pPr>
          </w:p>
        </w:tc>
        <w:tc>
          <w:tcPr>
            <w:tcW w:w="1454" w:type="dxa"/>
            <w:vAlign w:val="center"/>
          </w:tcPr>
          <w:p>
            <w:pPr>
              <w:spacing w:line="360" w:lineRule="auto"/>
              <w:ind w:firstLine="480"/>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3645" w:type="dxa"/>
            <w:vAlign w:val="center"/>
          </w:tcPr>
          <w:p>
            <w:pPr>
              <w:spacing w:line="360" w:lineRule="auto"/>
              <w:ind w:firstLine="480"/>
              <w:jc w:val="center"/>
              <w:rPr>
                <w:rFonts w:ascii="仿宋" w:hAnsi="仿宋" w:eastAsia="仿宋" w:cs="仿宋"/>
                <w:color w:val="000000"/>
                <w:sz w:val="24"/>
                <w:szCs w:val="24"/>
              </w:rPr>
            </w:pPr>
            <w:r>
              <w:rPr>
                <w:rFonts w:hint="eastAsia" w:ascii="仿宋" w:hAnsi="仿宋" w:eastAsia="仿宋" w:cs="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3645" w:type="dxa"/>
            <w:vAlign w:val="center"/>
          </w:tcPr>
          <w:p>
            <w:pPr>
              <w:spacing w:line="360" w:lineRule="auto"/>
              <w:ind w:firstLine="480"/>
              <w:jc w:val="center"/>
              <w:rPr>
                <w:rFonts w:ascii="仿宋" w:hAnsi="仿宋" w:eastAsia="仿宋" w:cs="仿宋"/>
                <w:color w:val="000000"/>
                <w:sz w:val="24"/>
                <w:szCs w:val="24"/>
              </w:rPr>
            </w:pPr>
            <w:r>
              <w:rPr>
                <w:rFonts w:hint="eastAsia" w:ascii="仿宋" w:hAnsi="仿宋" w:eastAsia="仿宋" w:cs="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3645" w:type="dxa"/>
            <w:vAlign w:val="center"/>
          </w:tcPr>
          <w:p>
            <w:pPr>
              <w:spacing w:line="360" w:lineRule="auto"/>
              <w:ind w:firstLine="480"/>
              <w:jc w:val="center"/>
              <w:rPr>
                <w:rFonts w:ascii="仿宋" w:hAnsi="仿宋" w:eastAsia="仿宋" w:cs="仿宋"/>
                <w:color w:val="000000"/>
                <w:sz w:val="24"/>
                <w:szCs w:val="24"/>
              </w:rPr>
            </w:pPr>
            <w:r>
              <w:rPr>
                <w:rFonts w:hint="eastAsia" w:ascii="仿宋" w:hAnsi="仿宋" w:eastAsia="仿宋" w:cs="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3645" w:type="dxa"/>
            <w:vAlign w:val="center"/>
          </w:tcPr>
          <w:p>
            <w:pPr>
              <w:spacing w:line="360" w:lineRule="auto"/>
              <w:ind w:firstLine="480"/>
              <w:jc w:val="center"/>
              <w:rPr>
                <w:rFonts w:ascii="仿宋" w:hAnsi="仿宋" w:eastAsia="仿宋" w:cs="仿宋"/>
                <w:color w:val="000000"/>
                <w:sz w:val="24"/>
                <w:szCs w:val="24"/>
              </w:rPr>
            </w:pPr>
            <w:r>
              <w:rPr>
                <w:rFonts w:hint="eastAsia" w:ascii="仿宋" w:hAnsi="仿宋" w:eastAsia="仿宋" w:cs="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3645" w:type="dxa"/>
            <w:vAlign w:val="center"/>
          </w:tcPr>
          <w:p>
            <w:pPr>
              <w:spacing w:line="360" w:lineRule="auto"/>
              <w:ind w:firstLine="480"/>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9838" w:type="dxa"/>
            <w:gridSpan w:val="7"/>
            <w:vAlign w:val="center"/>
          </w:tcPr>
          <w:p>
            <w:pPr>
              <w:spacing w:line="360" w:lineRule="auto"/>
              <w:ind w:firstLine="480"/>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s="仿宋"/>
                <w:color w:val="000000"/>
                <w:sz w:val="24"/>
                <w:szCs w:val="24"/>
              </w:rPr>
            </w:pPr>
            <w:r>
              <w:rPr>
                <w:rFonts w:hint="eastAsia" w:ascii="仿宋" w:hAnsi="仿宋" w:eastAsia="仿宋" w:cs="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s="仿宋"/>
                <w:color w:val="000000"/>
                <w:sz w:val="24"/>
                <w:szCs w:val="24"/>
              </w:rPr>
            </w:pPr>
          </w:p>
        </w:tc>
      </w:tr>
    </w:tbl>
    <w:p>
      <w:pPr>
        <w:spacing w:before="160" w:beforeLines="50" w:line="440" w:lineRule="exact"/>
        <w:ind w:firstLine="560" w:firstLineChars="200"/>
        <w:rPr>
          <w:rFonts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13"/>
        <w:spacing w:line="440" w:lineRule="exact"/>
        <w:ind w:right="-15" w:firstLine="1120" w:firstLineChars="400"/>
        <w:rPr>
          <w:rFonts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2、供应商须参照第三章各包所列明的内容全部报价。如果不提供详细分项报价视为未实质性响应单一来源采购文件。</w:t>
      </w:r>
    </w:p>
    <w:p>
      <w:pPr>
        <w:pStyle w:val="13"/>
        <w:spacing w:line="360" w:lineRule="auto"/>
        <w:ind w:right="-553" w:firstLine="537" w:firstLineChars="192"/>
        <w:rPr>
          <w:rFonts w:ascii="仿宋" w:hAnsi="仿宋" w:eastAsia="仿宋" w:cs="仿宋"/>
          <w:color w:val="000000"/>
          <w:sz w:val="28"/>
        </w:rPr>
      </w:pPr>
      <w:r>
        <w:rPr>
          <w:rFonts w:hint="eastAsia" w:ascii="仿宋" w:hAnsi="仿宋" w:eastAsia="仿宋" w:cs="仿宋"/>
          <w:color w:val="000000"/>
          <w:sz w:val="28"/>
        </w:rPr>
        <w:t>投标单位授权代表人签字：                                            投标单位公章：</w:t>
      </w:r>
    </w:p>
    <w:p>
      <w:pPr>
        <w:pStyle w:val="13"/>
        <w:spacing w:line="360" w:lineRule="auto"/>
        <w:ind w:right="-553" w:firstLine="537" w:firstLineChars="192"/>
        <w:rPr>
          <w:rFonts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6"/>
        <w:rPr>
          <w:rFonts w:cs="仿宋"/>
        </w:rPr>
      </w:pPr>
      <w:bookmarkStart w:id="96" w:name="_Toc56170401"/>
      <w:bookmarkStart w:id="97" w:name="_Toc82497934"/>
      <w:bookmarkStart w:id="98" w:name="_Toc15129"/>
      <w:r>
        <w:rPr>
          <w:rFonts w:hint="eastAsia" w:cs="仿宋"/>
        </w:rPr>
        <w:t>附件十、技术规格偏离表</w:t>
      </w:r>
      <w:bookmarkEnd w:id="96"/>
      <w:bookmarkEnd w:id="97"/>
      <w:bookmarkEnd w:id="98"/>
    </w:p>
    <w:tbl>
      <w:tblPr>
        <w:tblStyle w:val="22"/>
        <w:tblW w:w="14040" w:type="dxa"/>
        <w:jc w:val="center"/>
        <w:tblInd w:w="0" w:type="dxa"/>
        <w:tblLayout w:type="fixed"/>
        <w:tblCellMar>
          <w:top w:w="0" w:type="dxa"/>
          <w:left w:w="108" w:type="dxa"/>
          <w:bottom w:w="0" w:type="dxa"/>
          <w:right w:w="108" w:type="dxa"/>
        </w:tblCellMar>
      </w:tblPr>
      <w:tblGrid>
        <w:gridCol w:w="918"/>
        <w:gridCol w:w="3762"/>
        <w:gridCol w:w="3583"/>
        <w:gridCol w:w="3342"/>
        <w:gridCol w:w="2435"/>
      </w:tblGrid>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bl>
    <w:p>
      <w:pPr>
        <w:spacing w:line="360" w:lineRule="auto"/>
        <w:ind w:firstLine="562"/>
        <w:rPr>
          <w:rFonts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s="仿宋"/>
          <w:color w:val="000000"/>
          <w:sz w:val="28"/>
        </w:rPr>
      </w:pPr>
      <w:r>
        <w:rPr>
          <w:rFonts w:hint="eastAsia" w:ascii="仿宋" w:hAnsi="仿宋" w:eastAsia="仿宋" w:cs="仿宋"/>
          <w:color w:val="000000"/>
          <w:sz w:val="28"/>
        </w:rPr>
        <w:t>投标单位授权代表人签字：                                            投标单位公章：</w:t>
      </w:r>
    </w:p>
    <w:p>
      <w:pPr>
        <w:pStyle w:val="13"/>
        <w:spacing w:line="360" w:lineRule="auto"/>
        <w:ind w:right="-553"/>
        <w:jc w:val="right"/>
        <w:rPr>
          <w:rFonts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6"/>
        <w:rPr>
          <w:rFonts w:cs="仿宋"/>
        </w:rPr>
      </w:pPr>
      <w:r>
        <w:rPr>
          <w:rFonts w:hint="eastAsia" w:cs="仿宋"/>
          <w:sz w:val="42"/>
        </w:rPr>
        <w:br w:type="page"/>
      </w:r>
      <w:bookmarkStart w:id="99" w:name="_Toc82497935"/>
      <w:bookmarkStart w:id="100" w:name="_Toc56170402"/>
      <w:bookmarkStart w:id="101" w:name="_Toc17315"/>
      <w:r>
        <w:rPr>
          <w:rFonts w:hint="eastAsia" w:cs="仿宋"/>
        </w:rPr>
        <w:t>附件十一、商务条款偏离表</w:t>
      </w:r>
      <w:bookmarkEnd w:id="99"/>
      <w:bookmarkEnd w:id="100"/>
      <w:bookmarkEnd w:id="101"/>
    </w:p>
    <w:tbl>
      <w:tblPr>
        <w:tblStyle w:val="22"/>
        <w:tblW w:w="14287" w:type="dxa"/>
        <w:jc w:val="center"/>
        <w:tblInd w:w="0" w:type="dxa"/>
        <w:tblLayout w:type="fixed"/>
        <w:tblCellMar>
          <w:top w:w="0" w:type="dxa"/>
          <w:left w:w="108" w:type="dxa"/>
          <w:bottom w:w="0" w:type="dxa"/>
          <w:right w:w="108" w:type="dxa"/>
        </w:tblCellMar>
      </w:tblPr>
      <w:tblGrid>
        <w:gridCol w:w="1165"/>
        <w:gridCol w:w="1806"/>
        <w:gridCol w:w="3576"/>
        <w:gridCol w:w="4320"/>
        <w:gridCol w:w="3420"/>
      </w:tblGrid>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s="仿宋"/>
                <w:color w:val="000000"/>
                <w:sz w:val="24"/>
                <w:szCs w:val="24"/>
              </w:rPr>
            </w:pPr>
            <w:r>
              <w:rPr>
                <w:rFonts w:hint="eastAsia" w:ascii="仿宋" w:hAnsi="仿宋" w:eastAsia="仿宋" w:cs="仿宋"/>
                <w:color w:val="000000"/>
                <w:sz w:val="24"/>
                <w:szCs w:val="24"/>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bl>
    <w:p>
      <w:pPr>
        <w:pStyle w:val="13"/>
        <w:spacing w:line="360" w:lineRule="auto"/>
        <w:ind w:right="-553" w:firstLine="537" w:firstLineChars="192"/>
        <w:rPr>
          <w:rFonts w:ascii="仿宋" w:hAnsi="仿宋" w:eastAsia="仿宋" w:cs="仿宋"/>
          <w:color w:val="000000"/>
          <w:sz w:val="28"/>
        </w:rPr>
      </w:pPr>
      <w:r>
        <w:rPr>
          <w:rFonts w:hint="eastAsia" w:ascii="仿宋" w:hAnsi="仿宋" w:eastAsia="仿宋" w:cs="仿宋"/>
          <w:color w:val="000000"/>
          <w:sz w:val="28"/>
        </w:rPr>
        <w:t>投标单位授权代表人签字：                                            投标单位公章：</w:t>
      </w:r>
    </w:p>
    <w:p>
      <w:pPr>
        <w:pStyle w:val="13"/>
        <w:spacing w:line="360" w:lineRule="auto"/>
        <w:ind w:right="-553"/>
        <w:jc w:val="right"/>
        <w:rPr>
          <w:rFonts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6"/>
        <w:rPr>
          <w:rFonts w:cs="仿宋"/>
        </w:rPr>
      </w:pPr>
      <w:r>
        <w:rPr>
          <w:rFonts w:hint="eastAsia" w:cs="仿宋"/>
        </w:rPr>
        <w:br w:type="page"/>
      </w:r>
      <w:bookmarkStart w:id="102" w:name="_Toc10823"/>
      <w:bookmarkStart w:id="103" w:name="_Toc56170403"/>
      <w:bookmarkStart w:id="104" w:name="_Toc82497936"/>
      <w:r>
        <w:rPr>
          <w:rFonts w:hint="eastAsia" w:cs="仿宋"/>
        </w:rPr>
        <w:t>附件十二、类似业绩表</w:t>
      </w:r>
      <w:bookmarkEnd w:id="102"/>
      <w:bookmarkEnd w:id="103"/>
      <w:bookmarkEnd w:id="104"/>
    </w:p>
    <w:tbl>
      <w:tblPr>
        <w:tblStyle w:val="22"/>
        <w:tblW w:w="14040" w:type="dxa"/>
        <w:jc w:val="center"/>
        <w:tblInd w:w="0" w:type="dxa"/>
        <w:tblLayout w:type="fixed"/>
        <w:tblCellMar>
          <w:top w:w="0" w:type="dxa"/>
          <w:left w:w="108" w:type="dxa"/>
          <w:bottom w:w="0" w:type="dxa"/>
          <w:right w:w="108" w:type="dxa"/>
        </w:tblCellMar>
      </w:tblPr>
      <w:tblGrid>
        <w:gridCol w:w="2838"/>
        <w:gridCol w:w="3510"/>
        <w:gridCol w:w="3495"/>
        <w:gridCol w:w="1497"/>
        <w:gridCol w:w="2700"/>
      </w:tblGrid>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备 注</w:t>
            </w: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bl>
    <w:p>
      <w:pPr>
        <w:spacing w:line="360" w:lineRule="auto"/>
        <w:ind w:firstLine="137" w:firstLineChars="49"/>
        <w:rPr>
          <w:rFonts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s="仿宋"/>
          <w:color w:val="000000"/>
          <w:sz w:val="28"/>
        </w:rPr>
      </w:pPr>
      <w:r>
        <w:rPr>
          <w:rFonts w:hint="eastAsia" w:ascii="仿宋" w:hAnsi="仿宋" w:eastAsia="仿宋" w:cs="仿宋"/>
          <w:color w:val="000000"/>
          <w:sz w:val="28"/>
        </w:rPr>
        <w:t>投标单位授权代表人签字：                                            投标单位公章：</w:t>
      </w:r>
    </w:p>
    <w:p>
      <w:pPr>
        <w:pStyle w:val="13"/>
        <w:spacing w:line="360" w:lineRule="auto"/>
        <w:ind w:right="-553"/>
        <w:jc w:val="right"/>
        <w:rPr>
          <w:rFonts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ascii="仿宋" w:hAnsi="仿宋" w:eastAsia="仿宋" w:cs="仿宋"/>
        </w:rPr>
      </w:pPr>
    </w:p>
    <w:sectPr>
      <w:headerReference r:id="rId10" w:type="first"/>
      <w:headerReference r:id="rId9"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path/>
          <v:fill on="f" focussize="0,0"/>
          <v:stroke on="f" weight="1.25pt" joinstyle="miter"/>
          <v:imagedata o:title=""/>
          <o:lock v:ext="edit"/>
          <v:textbox inset="0mm,0mm,0mm,0mm" style="mso-fit-shape-to-text:t;">
            <w:txbxContent>
              <w:p>
                <w:pPr>
                  <w:pStyle w:val="1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8312" w:hangingChars="4600"/>
      <w:jc w:val="left"/>
      <w:rPr>
        <w:rFonts w:eastAsia="仿宋_GB2312"/>
      </w:rPr>
    </w:pPr>
    <w:r>
      <w:rPr>
        <w:rFonts w:hint="eastAsia" w:ascii="仿宋_GB2312" w:eastAsia="仿宋_GB2312"/>
        <w:b/>
        <w:i/>
        <w:sz w:val="18"/>
        <w:szCs w:val="18"/>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8"/>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FjMjNlNmM1MGEzZDJmYTBhMDBiNThiNTgyMjc0YmMifQ=="/>
  </w:docVars>
  <w:rsids>
    <w:rsidRoot w:val="00077980"/>
    <w:rsid w:val="00077980"/>
    <w:rsid w:val="00291BF4"/>
    <w:rsid w:val="002F442E"/>
    <w:rsid w:val="00374021"/>
    <w:rsid w:val="00465379"/>
    <w:rsid w:val="00467F74"/>
    <w:rsid w:val="00490268"/>
    <w:rsid w:val="004A1643"/>
    <w:rsid w:val="004B0738"/>
    <w:rsid w:val="004B5E54"/>
    <w:rsid w:val="004B62E9"/>
    <w:rsid w:val="005C0A97"/>
    <w:rsid w:val="00692053"/>
    <w:rsid w:val="00740931"/>
    <w:rsid w:val="00777622"/>
    <w:rsid w:val="007F27B6"/>
    <w:rsid w:val="007F3875"/>
    <w:rsid w:val="008425CA"/>
    <w:rsid w:val="0084599C"/>
    <w:rsid w:val="008D4EE8"/>
    <w:rsid w:val="008E0DF4"/>
    <w:rsid w:val="008F08CE"/>
    <w:rsid w:val="00991659"/>
    <w:rsid w:val="00A01235"/>
    <w:rsid w:val="00A56DEE"/>
    <w:rsid w:val="00AB670B"/>
    <w:rsid w:val="00C86F85"/>
    <w:rsid w:val="00CF2353"/>
    <w:rsid w:val="00D43A1C"/>
    <w:rsid w:val="00E53F88"/>
    <w:rsid w:val="00ED7884"/>
    <w:rsid w:val="00F16767"/>
    <w:rsid w:val="00FD16FA"/>
    <w:rsid w:val="01E90844"/>
    <w:rsid w:val="01FD13AB"/>
    <w:rsid w:val="01FD6321"/>
    <w:rsid w:val="02296098"/>
    <w:rsid w:val="02341698"/>
    <w:rsid w:val="026262C0"/>
    <w:rsid w:val="026B2DE7"/>
    <w:rsid w:val="026C368B"/>
    <w:rsid w:val="02932C56"/>
    <w:rsid w:val="02C97509"/>
    <w:rsid w:val="032C24F9"/>
    <w:rsid w:val="03397FDA"/>
    <w:rsid w:val="034F75D6"/>
    <w:rsid w:val="03A16576"/>
    <w:rsid w:val="03E346C9"/>
    <w:rsid w:val="03EB44B8"/>
    <w:rsid w:val="045E4EBC"/>
    <w:rsid w:val="04BA216D"/>
    <w:rsid w:val="04DC05F0"/>
    <w:rsid w:val="055307EC"/>
    <w:rsid w:val="06836239"/>
    <w:rsid w:val="06A45BBE"/>
    <w:rsid w:val="071B0BFE"/>
    <w:rsid w:val="07314873"/>
    <w:rsid w:val="07864ACB"/>
    <w:rsid w:val="07985EE9"/>
    <w:rsid w:val="07FE7A63"/>
    <w:rsid w:val="0816413E"/>
    <w:rsid w:val="081A742F"/>
    <w:rsid w:val="087F5FFF"/>
    <w:rsid w:val="08950FD1"/>
    <w:rsid w:val="08AF108B"/>
    <w:rsid w:val="093E5D8C"/>
    <w:rsid w:val="09514820"/>
    <w:rsid w:val="09661D2F"/>
    <w:rsid w:val="09791F82"/>
    <w:rsid w:val="09BB0D18"/>
    <w:rsid w:val="0A544FCF"/>
    <w:rsid w:val="0A7B238B"/>
    <w:rsid w:val="0A7B753B"/>
    <w:rsid w:val="0A8A38A8"/>
    <w:rsid w:val="0ACA33CF"/>
    <w:rsid w:val="0ACD4998"/>
    <w:rsid w:val="0B3B6AE4"/>
    <w:rsid w:val="0B6F1375"/>
    <w:rsid w:val="0BAD4690"/>
    <w:rsid w:val="0BB044B7"/>
    <w:rsid w:val="0BD0765E"/>
    <w:rsid w:val="0C2720CC"/>
    <w:rsid w:val="0C6B0ACF"/>
    <w:rsid w:val="0C917127"/>
    <w:rsid w:val="0CC6576E"/>
    <w:rsid w:val="0D071137"/>
    <w:rsid w:val="0D4654B4"/>
    <w:rsid w:val="0D695602"/>
    <w:rsid w:val="0D7C226D"/>
    <w:rsid w:val="0D7D1375"/>
    <w:rsid w:val="0DB973E7"/>
    <w:rsid w:val="0DE6032D"/>
    <w:rsid w:val="0DE90F58"/>
    <w:rsid w:val="0E3F5936"/>
    <w:rsid w:val="0E4D7AFC"/>
    <w:rsid w:val="0F150E28"/>
    <w:rsid w:val="0F87169C"/>
    <w:rsid w:val="0FA46DDA"/>
    <w:rsid w:val="0FC87C25"/>
    <w:rsid w:val="0FFB0CFE"/>
    <w:rsid w:val="1004031A"/>
    <w:rsid w:val="10067B9A"/>
    <w:rsid w:val="1079177A"/>
    <w:rsid w:val="107E79D8"/>
    <w:rsid w:val="10AC5ADF"/>
    <w:rsid w:val="10D97CD5"/>
    <w:rsid w:val="11172C7B"/>
    <w:rsid w:val="11AB268D"/>
    <w:rsid w:val="11EF390B"/>
    <w:rsid w:val="126C7B21"/>
    <w:rsid w:val="12776E22"/>
    <w:rsid w:val="128332CD"/>
    <w:rsid w:val="12943B2C"/>
    <w:rsid w:val="129E4A58"/>
    <w:rsid w:val="135D13F1"/>
    <w:rsid w:val="137361BF"/>
    <w:rsid w:val="13DD4545"/>
    <w:rsid w:val="13E67B05"/>
    <w:rsid w:val="14397409"/>
    <w:rsid w:val="1453290B"/>
    <w:rsid w:val="14863A35"/>
    <w:rsid w:val="1528327C"/>
    <w:rsid w:val="1546345F"/>
    <w:rsid w:val="15513596"/>
    <w:rsid w:val="158D515F"/>
    <w:rsid w:val="158E6DDD"/>
    <w:rsid w:val="15912BE0"/>
    <w:rsid w:val="15BA420C"/>
    <w:rsid w:val="15CD661C"/>
    <w:rsid w:val="15E802FE"/>
    <w:rsid w:val="16557DFE"/>
    <w:rsid w:val="165D1233"/>
    <w:rsid w:val="16912F26"/>
    <w:rsid w:val="170932D1"/>
    <w:rsid w:val="1736249E"/>
    <w:rsid w:val="17743904"/>
    <w:rsid w:val="17C343D2"/>
    <w:rsid w:val="180425B8"/>
    <w:rsid w:val="1845393B"/>
    <w:rsid w:val="185B1B37"/>
    <w:rsid w:val="186B4B90"/>
    <w:rsid w:val="187C31C1"/>
    <w:rsid w:val="188D47C9"/>
    <w:rsid w:val="18963552"/>
    <w:rsid w:val="18C76F03"/>
    <w:rsid w:val="18DF279C"/>
    <w:rsid w:val="18E52408"/>
    <w:rsid w:val="195B1BCF"/>
    <w:rsid w:val="19734D4D"/>
    <w:rsid w:val="19BA23E3"/>
    <w:rsid w:val="19BF70D3"/>
    <w:rsid w:val="19E72185"/>
    <w:rsid w:val="1A92241C"/>
    <w:rsid w:val="1AAC0188"/>
    <w:rsid w:val="1AC970A4"/>
    <w:rsid w:val="1AE073EA"/>
    <w:rsid w:val="1AE35837"/>
    <w:rsid w:val="1AFE3D71"/>
    <w:rsid w:val="1B230862"/>
    <w:rsid w:val="1BBC2159"/>
    <w:rsid w:val="1BD3405D"/>
    <w:rsid w:val="1C134904"/>
    <w:rsid w:val="1C340898"/>
    <w:rsid w:val="1C3B18B0"/>
    <w:rsid w:val="1C52504E"/>
    <w:rsid w:val="1CC41839"/>
    <w:rsid w:val="1CC44BB5"/>
    <w:rsid w:val="1CEB3D6E"/>
    <w:rsid w:val="1D13331E"/>
    <w:rsid w:val="1D1722B1"/>
    <w:rsid w:val="1D3D7F74"/>
    <w:rsid w:val="1DA8115B"/>
    <w:rsid w:val="1E0A6893"/>
    <w:rsid w:val="1E0F39B7"/>
    <w:rsid w:val="1E162FB7"/>
    <w:rsid w:val="1E296254"/>
    <w:rsid w:val="1E58248B"/>
    <w:rsid w:val="1EF23C8D"/>
    <w:rsid w:val="1EF26B32"/>
    <w:rsid w:val="1F093055"/>
    <w:rsid w:val="1F0E2E6E"/>
    <w:rsid w:val="1F6D440A"/>
    <w:rsid w:val="1F8719ED"/>
    <w:rsid w:val="1FA71CD1"/>
    <w:rsid w:val="1FA85442"/>
    <w:rsid w:val="1FB53339"/>
    <w:rsid w:val="1FB9629F"/>
    <w:rsid w:val="1FCF6E73"/>
    <w:rsid w:val="1FFE32B4"/>
    <w:rsid w:val="2013529E"/>
    <w:rsid w:val="20261D71"/>
    <w:rsid w:val="20626372"/>
    <w:rsid w:val="20C35BA6"/>
    <w:rsid w:val="213B7B4F"/>
    <w:rsid w:val="2149741F"/>
    <w:rsid w:val="21861DDC"/>
    <w:rsid w:val="21AE6FF1"/>
    <w:rsid w:val="21DB087F"/>
    <w:rsid w:val="22317971"/>
    <w:rsid w:val="22356D36"/>
    <w:rsid w:val="224E3661"/>
    <w:rsid w:val="23326541"/>
    <w:rsid w:val="234C6E20"/>
    <w:rsid w:val="234F72D8"/>
    <w:rsid w:val="23552C0D"/>
    <w:rsid w:val="236D0D9D"/>
    <w:rsid w:val="238D506A"/>
    <w:rsid w:val="23F059D2"/>
    <w:rsid w:val="240063DE"/>
    <w:rsid w:val="240F721A"/>
    <w:rsid w:val="24273A92"/>
    <w:rsid w:val="242A39A5"/>
    <w:rsid w:val="24561911"/>
    <w:rsid w:val="24591F38"/>
    <w:rsid w:val="249E7C41"/>
    <w:rsid w:val="24A20ED2"/>
    <w:rsid w:val="24D63971"/>
    <w:rsid w:val="24EC5A21"/>
    <w:rsid w:val="2516480B"/>
    <w:rsid w:val="2536529E"/>
    <w:rsid w:val="25807435"/>
    <w:rsid w:val="258766C7"/>
    <w:rsid w:val="25895BF3"/>
    <w:rsid w:val="25A24470"/>
    <w:rsid w:val="25BD21AD"/>
    <w:rsid w:val="25DD2143"/>
    <w:rsid w:val="25E35533"/>
    <w:rsid w:val="260C1DEF"/>
    <w:rsid w:val="26647AC3"/>
    <w:rsid w:val="27367D90"/>
    <w:rsid w:val="2746748E"/>
    <w:rsid w:val="274D36E4"/>
    <w:rsid w:val="278C51B3"/>
    <w:rsid w:val="279B63E0"/>
    <w:rsid w:val="27AE0EAD"/>
    <w:rsid w:val="27B24902"/>
    <w:rsid w:val="27D03D78"/>
    <w:rsid w:val="28261C18"/>
    <w:rsid w:val="28307103"/>
    <w:rsid w:val="28706108"/>
    <w:rsid w:val="28AA6967"/>
    <w:rsid w:val="28AD7F14"/>
    <w:rsid w:val="28B2104C"/>
    <w:rsid w:val="29B601BD"/>
    <w:rsid w:val="29F50346"/>
    <w:rsid w:val="2A4320E6"/>
    <w:rsid w:val="2A4C2202"/>
    <w:rsid w:val="2A523DD9"/>
    <w:rsid w:val="2A550FE2"/>
    <w:rsid w:val="2A591132"/>
    <w:rsid w:val="2A5F2BA2"/>
    <w:rsid w:val="2A8348CE"/>
    <w:rsid w:val="2A871F28"/>
    <w:rsid w:val="2A991C93"/>
    <w:rsid w:val="2AB949D0"/>
    <w:rsid w:val="2ACF41CB"/>
    <w:rsid w:val="2AD613E0"/>
    <w:rsid w:val="2ADD5811"/>
    <w:rsid w:val="2B3F5977"/>
    <w:rsid w:val="2B766148"/>
    <w:rsid w:val="2B785E35"/>
    <w:rsid w:val="2BF9409D"/>
    <w:rsid w:val="2C543C2F"/>
    <w:rsid w:val="2C9848CB"/>
    <w:rsid w:val="2D070CB6"/>
    <w:rsid w:val="2D483D88"/>
    <w:rsid w:val="2D831DB3"/>
    <w:rsid w:val="2DD43D83"/>
    <w:rsid w:val="2E2A6C1C"/>
    <w:rsid w:val="2E381733"/>
    <w:rsid w:val="2E441581"/>
    <w:rsid w:val="2E7327C0"/>
    <w:rsid w:val="2E854610"/>
    <w:rsid w:val="2ECD5998"/>
    <w:rsid w:val="2EF205F7"/>
    <w:rsid w:val="2F821788"/>
    <w:rsid w:val="2F8E58D1"/>
    <w:rsid w:val="2F9812E0"/>
    <w:rsid w:val="2FB6186D"/>
    <w:rsid w:val="303350A5"/>
    <w:rsid w:val="306A4E5D"/>
    <w:rsid w:val="30735246"/>
    <w:rsid w:val="30843362"/>
    <w:rsid w:val="30D54166"/>
    <w:rsid w:val="30DA11D4"/>
    <w:rsid w:val="30FA12B4"/>
    <w:rsid w:val="315B74F0"/>
    <w:rsid w:val="32087FC3"/>
    <w:rsid w:val="323E187E"/>
    <w:rsid w:val="3256718A"/>
    <w:rsid w:val="3284085C"/>
    <w:rsid w:val="32E72125"/>
    <w:rsid w:val="32EC0E75"/>
    <w:rsid w:val="32ED37B2"/>
    <w:rsid w:val="33412BAA"/>
    <w:rsid w:val="33565EF7"/>
    <w:rsid w:val="33AC0A82"/>
    <w:rsid w:val="33B66770"/>
    <w:rsid w:val="33F97BC3"/>
    <w:rsid w:val="348940F0"/>
    <w:rsid w:val="34AC0B54"/>
    <w:rsid w:val="35036A04"/>
    <w:rsid w:val="353A2B32"/>
    <w:rsid w:val="3558250D"/>
    <w:rsid w:val="355A22C0"/>
    <w:rsid w:val="358833D3"/>
    <w:rsid w:val="35CC5A3E"/>
    <w:rsid w:val="35D00DF7"/>
    <w:rsid w:val="36852831"/>
    <w:rsid w:val="36AB19CF"/>
    <w:rsid w:val="36E64773"/>
    <w:rsid w:val="374E46CA"/>
    <w:rsid w:val="37692D42"/>
    <w:rsid w:val="37715856"/>
    <w:rsid w:val="378F7F37"/>
    <w:rsid w:val="37FA03AE"/>
    <w:rsid w:val="37FE1C4C"/>
    <w:rsid w:val="380B2468"/>
    <w:rsid w:val="38246991"/>
    <w:rsid w:val="38477172"/>
    <w:rsid w:val="38E52E6A"/>
    <w:rsid w:val="392456E8"/>
    <w:rsid w:val="39281ADA"/>
    <w:rsid w:val="394D03A1"/>
    <w:rsid w:val="394D2FB2"/>
    <w:rsid w:val="39576CAC"/>
    <w:rsid w:val="39897B4B"/>
    <w:rsid w:val="39897C3B"/>
    <w:rsid w:val="39C23E2F"/>
    <w:rsid w:val="39E21F67"/>
    <w:rsid w:val="39F20D19"/>
    <w:rsid w:val="3A122237"/>
    <w:rsid w:val="3A251B90"/>
    <w:rsid w:val="3A2D0CDF"/>
    <w:rsid w:val="3AB07B2F"/>
    <w:rsid w:val="3AB1054B"/>
    <w:rsid w:val="3AD87C2E"/>
    <w:rsid w:val="3B0C7FB1"/>
    <w:rsid w:val="3B351E28"/>
    <w:rsid w:val="3B3C6A8F"/>
    <w:rsid w:val="3BB645EB"/>
    <w:rsid w:val="3BBE2933"/>
    <w:rsid w:val="3BFD417A"/>
    <w:rsid w:val="3C0F395D"/>
    <w:rsid w:val="3C146FE5"/>
    <w:rsid w:val="3C2E11BB"/>
    <w:rsid w:val="3C66126E"/>
    <w:rsid w:val="3C6712EE"/>
    <w:rsid w:val="3CB346F8"/>
    <w:rsid w:val="3CD22555"/>
    <w:rsid w:val="3CF0078C"/>
    <w:rsid w:val="3CF20C35"/>
    <w:rsid w:val="3D0F7869"/>
    <w:rsid w:val="3D5F13DF"/>
    <w:rsid w:val="3DAA1165"/>
    <w:rsid w:val="3DB90276"/>
    <w:rsid w:val="3DC25BB8"/>
    <w:rsid w:val="3DFA1107"/>
    <w:rsid w:val="3E644066"/>
    <w:rsid w:val="3E87302B"/>
    <w:rsid w:val="3EAA48DB"/>
    <w:rsid w:val="3EBB5605"/>
    <w:rsid w:val="3EDF2C1D"/>
    <w:rsid w:val="3F9A7199"/>
    <w:rsid w:val="3FB12AEB"/>
    <w:rsid w:val="3FD928AD"/>
    <w:rsid w:val="3FDE45C7"/>
    <w:rsid w:val="3FFF067D"/>
    <w:rsid w:val="4016514E"/>
    <w:rsid w:val="402033EC"/>
    <w:rsid w:val="40582531"/>
    <w:rsid w:val="407F4613"/>
    <w:rsid w:val="4085109C"/>
    <w:rsid w:val="40A551BD"/>
    <w:rsid w:val="40B97C4E"/>
    <w:rsid w:val="40DD0623"/>
    <w:rsid w:val="413668AA"/>
    <w:rsid w:val="41AA57CD"/>
    <w:rsid w:val="41C97221"/>
    <w:rsid w:val="41EF52CD"/>
    <w:rsid w:val="4222702A"/>
    <w:rsid w:val="42262F16"/>
    <w:rsid w:val="42647FCC"/>
    <w:rsid w:val="4269685C"/>
    <w:rsid w:val="42780692"/>
    <w:rsid w:val="4286439C"/>
    <w:rsid w:val="42CB1066"/>
    <w:rsid w:val="42F56A3D"/>
    <w:rsid w:val="430375B1"/>
    <w:rsid w:val="431A5ACA"/>
    <w:rsid w:val="43350757"/>
    <w:rsid w:val="435B61A4"/>
    <w:rsid w:val="43C875B2"/>
    <w:rsid w:val="441C19FF"/>
    <w:rsid w:val="44B607EB"/>
    <w:rsid w:val="44C123D8"/>
    <w:rsid w:val="44D23D76"/>
    <w:rsid w:val="450A2833"/>
    <w:rsid w:val="456B4783"/>
    <w:rsid w:val="461D1B52"/>
    <w:rsid w:val="461D4281"/>
    <w:rsid w:val="46382981"/>
    <w:rsid w:val="46630BE6"/>
    <w:rsid w:val="46A130D7"/>
    <w:rsid w:val="46F54B62"/>
    <w:rsid w:val="47455C3E"/>
    <w:rsid w:val="4770628B"/>
    <w:rsid w:val="47D31A02"/>
    <w:rsid w:val="481652EC"/>
    <w:rsid w:val="48D371C2"/>
    <w:rsid w:val="48E56029"/>
    <w:rsid w:val="48E95E38"/>
    <w:rsid w:val="48FA645F"/>
    <w:rsid w:val="48FE0BB8"/>
    <w:rsid w:val="493023AB"/>
    <w:rsid w:val="49544D03"/>
    <w:rsid w:val="49932EB3"/>
    <w:rsid w:val="49C610BE"/>
    <w:rsid w:val="49FC5FB9"/>
    <w:rsid w:val="49FE3EA7"/>
    <w:rsid w:val="4A054E2F"/>
    <w:rsid w:val="4A274866"/>
    <w:rsid w:val="4A484AC1"/>
    <w:rsid w:val="4A4B7383"/>
    <w:rsid w:val="4AF330DD"/>
    <w:rsid w:val="4B4C0E28"/>
    <w:rsid w:val="4B5D730F"/>
    <w:rsid w:val="4B5E2CBD"/>
    <w:rsid w:val="4BA41760"/>
    <w:rsid w:val="4BDF6255"/>
    <w:rsid w:val="4BEF7DD1"/>
    <w:rsid w:val="4C3545BA"/>
    <w:rsid w:val="4C786019"/>
    <w:rsid w:val="4D021EA7"/>
    <w:rsid w:val="4D6F788D"/>
    <w:rsid w:val="4D915AD6"/>
    <w:rsid w:val="4D9A2275"/>
    <w:rsid w:val="4DDD0A98"/>
    <w:rsid w:val="4DE161F9"/>
    <w:rsid w:val="4DEB0DF8"/>
    <w:rsid w:val="4E2A5C26"/>
    <w:rsid w:val="4E576E78"/>
    <w:rsid w:val="4EBD692E"/>
    <w:rsid w:val="4EE00275"/>
    <w:rsid w:val="4EF455D1"/>
    <w:rsid w:val="4EFC5D7C"/>
    <w:rsid w:val="4F111332"/>
    <w:rsid w:val="4F786970"/>
    <w:rsid w:val="4F7B405B"/>
    <w:rsid w:val="4F87640C"/>
    <w:rsid w:val="507A6D47"/>
    <w:rsid w:val="50B91B96"/>
    <w:rsid w:val="50D61560"/>
    <w:rsid w:val="50FA27B7"/>
    <w:rsid w:val="51433366"/>
    <w:rsid w:val="518E5375"/>
    <w:rsid w:val="51CD6E49"/>
    <w:rsid w:val="51EF7A40"/>
    <w:rsid w:val="51F71515"/>
    <w:rsid w:val="5222617C"/>
    <w:rsid w:val="52B8427A"/>
    <w:rsid w:val="52BE57B4"/>
    <w:rsid w:val="52BE7700"/>
    <w:rsid w:val="530C2D5B"/>
    <w:rsid w:val="53275BAC"/>
    <w:rsid w:val="540256B8"/>
    <w:rsid w:val="542A68C7"/>
    <w:rsid w:val="54BE4755"/>
    <w:rsid w:val="54EE56DE"/>
    <w:rsid w:val="5514326A"/>
    <w:rsid w:val="556C161A"/>
    <w:rsid w:val="55947227"/>
    <w:rsid w:val="55A43901"/>
    <w:rsid w:val="55E15398"/>
    <w:rsid w:val="55EC4E13"/>
    <w:rsid w:val="55FB5540"/>
    <w:rsid w:val="5614466E"/>
    <w:rsid w:val="5656707D"/>
    <w:rsid w:val="56803E45"/>
    <w:rsid w:val="568A7297"/>
    <w:rsid w:val="5697545B"/>
    <w:rsid w:val="56A45F20"/>
    <w:rsid w:val="56B36AA5"/>
    <w:rsid w:val="56E71870"/>
    <w:rsid w:val="56EF33D8"/>
    <w:rsid w:val="57323D27"/>
    <w:rsid w:val="575C2661"/>
    <w:rsid w:val="58140F2A"/>
    <w:rsid w:val="58634B40"/>
    <w:rsid w:val="59311A39"/>
    <w:rsid w:val="59390EB0"/>
    <w:rsid w:val="59671CCA"/>
    <w:rsid w:val="596F535C"/>
    <w:rsid w:val="59735AD0"/>
    <w:rsid w:val="59C226BD"/>
    <w:rsid w:val="59C56EB2"/>
    <w:rsid w:val="5A1F7AD4"/>
    <w:rsid w:val="5A854D10"/>
    <w:rsid w:val="5A9667E3"/>
    <w:rsid w:val="5AEA5DFD"/>
    <w:rsid w:val="5B2A44C3"/>
    <w:rsid w:val="5B4015FE"/>
    <w:rsid w:val="5B7975ED"/>
    <w:rsid w:val="5BD26823"/>
    <w:rsid w:val="5C39128C"/>
    <w:rsid w:val="5C7F2045"/>
    <w:rsid w:val="5C943063"/>
    <w:rsid w:val="5CC051CE"/>
    <w:rsid w:val="5CC21C34"/>
    <w:rsid w:val="5D9B1B67"/>
    <w:rsid w:val="5DB97312"/>
    <w:rsid w:val="5E1B7F6C"/>
    <w:rsid w:val="5E823B49"/>
    <w:rsid w:val="5E937D4A"/>
    <w:rsid w:val="5EA6392C"/>
    <w:rsid w:val="5ECC681D"/>
    <w:rsid w:val="5F3D5B80"/>
    <w:rsid w:val="5F742670"/>
    <w:rsid w:val="5F7558A0"/>
    <w:rsid w:val="60101E97"/>
    <w:rsid w:val="602538A6"/>
    <w:rsid w:val="6034358B"/>
    <w:rsid w:val="607A09A5"/>
    <w:rsid w:val="60CD4561"/>
    <w:rsid w:val="60D73A64"/>
    <w:rsid w:val="60E74EF8"/>
    <w:rsid w:val="60F875EA"/>
    <w:rsid w:val="610F2056"/>
    <w:rsid w:val="612E5943"/>
    <w:rsid w:val="614C6E55"/>
    <w:rsid w:val="615034B5"/>
    <w:rsid w:val="61722BDF"/>
    <w:rsid w:val="61B10E49"/>
    <w:rsid w:val="61D35CA4"/>
    <w:rsid w:val="61D51CCF"/>
    <w:rsid w:val="62007B63"/>
    <w:rsid w:val="621912AD"/>
    <w:rsid w:val="62284340"/>
    <w:rsid w:val="622A1359"/>
    <w:rsid w:val="62372822"/>
    <w:rsid w:val="625D5A4E"/>
    <w:rsid w:val="628B10C4"/>
    <w:rsid w:val="628F50BC"/>
    <w:rsid w:val="629569CE"/>
    <w:rsid w:val="62A73DF8"/>
    <w:rsid w:val="63157A02"/>
    <w:rsid w:val="63461A8D"/>
    <w:rsid w:val="636A185B"/>
    <w:rsid w:val="63747EBF"/>
    <w:rsid w:val="63E1474B"/>
    <w:rsid w:val="640732B7"/>
    <w:rsid w:val="640E76A0"/>
    <w:rsid w:val="642E160C"/>
    <w:rsid w:val="64346872"/>
    <w:rsid w:val="648C06B4"/>
    <w:rsid w:val="649563AC"/>
    <w:rsid w:val="64ED7E46"/>
    <w:rsid w:val="65290368"/>
    <w:rsid w:val="652D6046"/>
    <w:rsid w:val="65711400"/>
    <w:rsid w:val="658729D1"/>
    <w:rsid w:val="65BD1819"/>
    <w:rsid w:val="65D82EB9"/>
    <w:rsid w:val="65F92D0E"/>
    <w:rsid w:val="66055A43"/>
    <w:rsid w:val="664A28CE"/>
    <w:rsid w:val="667A42E4"/>
    <w:rsid w:val="669729F9"/>
    <w:rsid w:val="66D86E08"/>
    <w:rsid w:val="66E15D4B"/>
    <w:rsid w:val="66F34A87"/>
    <w:rsid w:val="66F916AD"/>
    <w:rsid w:val="670A6EBA"/>
    <w:rsid w:val="678F4F86"/>
    <w:rsid w:val="679726F0"/>
    <w:rsid w:val="681A2B04"/>
    <w:rsid w:val="681F5B80"/>
    <w:rsid w:val="68347765"/>
    <w:rsid w:val="689D3C55"/>
    <w:rsid w:val="689F1323"/>
    <w:rsid w:val="68A16A06"/>
    <w:rsid w:val="68C17741"/>
    <w:rsid w:val="68E1741B"/>
    <w:rsid w:val="69923DA4"/>
    <w:rsid w:val="69CE78DA"/>
    <w:rsid w:val="69DB7BEC"/>
    <w:rsid w:val="6A1E51F1"/>
    <w:rsid w:val="6A417AB5"/>
    <w:rsid w:val="6A751438"/>
    <w:rsid w:val="6A8B4921"/>
    <w:rsid w:val="6AC973EE"/>
    <w:rsid w:val="6B000621"/>
    <w:rsid w:val="6B310C5C"/>
    <w:rsid w:val="6B6657F2"/>
    <w:rsid w:val="6B7A3154"/>
    <w:rsid w:val="6BB93C0E"/>
    <w:rsid w:val="6BE720B5"/>
    <w:rsid w:val="6C0F498B"/>
    <w:rsid w:val="6C59713A"/>
    <w:rsid w:val="6C692BA0"/>
    <w:rsid w:val="6CA22515"/>
    <w:rsid w:val="6CA74FAC"/>
    <w:rsid w:val="6D1A38F7"/>
    <w:rsid w:val="6D5C063D"/>
    <w:rsid w:val="6E042DF9"/>
    <w:rsid w:val="6E8403F6"/>
    <w:rsid w:val="6EA17140"/>
    <w:rsid w:val="6F2200B6"/>
    <w:rsid w:val="6FBA2537"/>
    <w:rsid w:val="6FBB1DCF"/>
    <w:rsid w:val="6FF01B40"/>
    <w:rsid w:val="700A0487"/>
    <w:rsid w:val="704F76FE"/>
    <w:rsid w:val="705E7F32"/>
    <w:rsid w:val="708244C1"/>
    <w:rsid w:val="7099228F"/>
    <w:rsid w:val="70A72872"/>
    <w:rsid w:val="70B71331"/>
    <w:rsid w:val="70EC417D"/>
    <w:rsid w:val="711F197A"/>
    <w:rsid w:val="71224C0C"/>
    <w:rsid w:val="713C1616"/>
    <w:rsid w:val="71A5627F"/>
    <w:rsid w:val="71BF1312"/>
    <w:rsid w:val="71F7622F"/>
    <w:rsid w:val="720E38B7"/>
    <w:rsid w:val="72426CA2"/>
    <w:rsid w:val="729371AC"/>
    <w:rsid w:val="72963A7F"/>
    <w:rsid w:val="72F47B8C"/>
    <w:rsid w:val="731F7FA6"/>
    <w:rsid w:val="734464CA"/>
    <w:rsid w:val="749862DE"/>
    <w:rsid w:val="74AF5B6B"/>
    <w:rsid w:val="74E9532F"/>
    <w:rsid w:val="74EC0AA3"/>
    <w:rsid w:val="74FF7EF2"/>
    <w:rsid w:val="7513171D"/>
    <w:rsid w:val="75324707"/>
    <w:rsid w:val="753E621C"/>
    <w:rsid w:val="75442FB9"/>
    <w:rsid w:val="75466E61"/>
    <w:rsid w:val="758B2449"/>
    <w:rsid w:val="75CC06F5"/>
    <w:rsid w:val="75CD61DE"/>
    <w:rsid w:val="75DA6FFC"/>
    <w:rsid w:val="75EC3FB3"/>
    <w:rsid w:val="76322AD1"/>
    <w:rsid w:val="766E65AC"/>
    <w:rsid w:val="76A30FD2"/>
    <w:rsid w:val="76C47FCE"/>
    <w:rsid w:val="76E258C8"/>
    <w:rsid w:val="7728784A"/>
    <w:rsid w:val="7737270F"/>
    <w:rsid w:val="77706B6E"/>
    <w:rsid w:val="777F4A60"/>
    <w:rsid w:val="7788074A"/>
    <w:rsid w:val="77C52287"/>
    <w:rsid w:val="77F263D0"/>
    <w:rsid w:val="786F17CF"/>
    <w:rsid w:val="78914E57"/>
    <w:rsid w:val="78BE00B5"/>
    <w:rsid w:val="78FA6438"/>
    <w:rsid w:val="79177DEF"/>
    <w:rsid w:val="792C110C"/>
    <w:rsid w:val="793739E7"/>
    <w:rsid w:val="79986FF6"/>
    <w:rsid w:val="7A0B7F0B"/>
    <w:rsid w:val="7A331F82"/>
    <w:rsid w:val="7A811C8D"/>
    <w:rsid w:val="7ADD4111"/>
    <w:rsid w:val="7B073F40"/>
    <w:rsid w:val="7B281593"/>
    <w:rsid w:val="7B5D6256"/>
    <w:rsid w:val="7B6825E1"/>
    <w:rsid w:val="7B875186"/>
    <w:rsid w:val="7BC65BA9"/>
    <w:rsid w:val="7BDD312F"/>
    <w:rsid w:val="7BF6324B"/>
    <w:rsid w:val="7C080487"/>
    <w:rsid w:val="7C0876C1"/>
    <w:rsid w:val="7C12264D"/>
    <w:rsid w:val="7C1D11E6"/>
    <w:rsid w:val="7C1D5AC8"/>
    <w:rsid w:val="7C3B17B4"/>
    <w:rsid w:val="7C3D26D3"/>
    <w:rsid w:val="7C5A7F0B"/>
    <w:rsid w:val="7D221510"/>
    <w:rsid w:val="7D3354C1"/>
    <w:rsid w:val="7D33750B"/>
    <w:rsid w:val="7D8B0707"/>
    <w:rsid w:val="7D953C18"/>
    <w:rsid w:val="7DB33651"/>
    <w:rsid w:val="7E3F39E7"/>
    <w:rsid w:val="7E68649B"/>
    <w:rsid w:val="7E721BAB"/>
    <w:rsid w:val="7EAE6457"/>
    <w:rsid w:val="7EF53E05"/>
    <w:rsid w:val="7F751604"/>
    <w:rsid w:val="7FB63D3E"/>
    <w:rsid w:val="7FF7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5"/>
    <w:next w:val="1"/>
    <w:qFormat/>
    <w:uiPriority w:val="0"/>
    <w:pPr>
      <w:spacing w:line="360" w:lineRule="auto"/>
    </w:pPr>
    <w:rPr>
      <w:rFonts w:ascii="仿宋" w:hAnsi="仿宋" w:eastAsia="仿宋"/>
      <w:color w:val="000000"/>
      <w:sz w:val="36"/>
    </w:rPr>
  </w:style>
  <w:style w:type="paragraph" w:styleId="6">
    <w:name w:val="heading 2"/>
    <w:basedOn w:val="7"/>
    <w:next w:val="1"/>
    <w:link w:val="40"/>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8">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
    <w:basedOn w:val="1"/>
    <w:next w:val="3"/>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3">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styleId="5">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7">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9">
    <w:name w:val="toa heading"/>
    <w:basedOn w:val="1"/>
    <w:next w:val="1"/>
    <w:qFormat/>
    <w:uiPriority w:val="0"/>
    <w:pPr>
      <w:widowControl w:val="0"/>
      <w:spacing w:before="120" w:after="0"/>
      <w:ind w:left="0" w:right="0"/>
      <w:jc w:val="both"/>
    </w:pPr>
    <w:rPr>
      <w:rFonts w:ascii="Arial" w:hAnsi="Arial" w:eastAsia="微软雅黑" w:cs="Times New Roman"/>
      <w:kern w:val="2"/>
      <w:sz w:val="24"/>
      <w:szCs w:val="21"/>
      <w:lang w:val="en-US" w:eastAsia="zh-CN" w:bidi="ar-SA"/>
    </w:rPr>
  </w:style>
  <w:style w:type="paragraph" w:styleId="10">
    <w:name w:val="index 6"/>
    <w:basedOn w:val="1"/>
    <w:next w:val="1"/>
    <w:unhideWhenUsed/>
    <w:qFormat/>
    <w:uiPriority w:val="99"/>
    <w:pPr>
      <w:ind w:left="1000" w:leftChars="1000"/>
    </w:pPr>
  </w:style>
  <w:style w:type="paragraph" w:styleId="11">
    <w:name w:val="Body Text"/>
    <w:basedOn w:val="1"/>
    <w:qFormat/>
    <w:uiPriority w:val="0"/>
    <w:rPr>
      <w:sz w:val="24"/>
      <w:szCs w:val="24"/>
    </w:rPr>
  </w:style>
  <w:style w:type="paragraph" w:styleId="12">
    <w:name w:val="Body Text Indent"/>
    <w:basedOn w:val="1"/>
    <w:qFormat/>
    <w:uiPriority w:val="0"/>
    <w:pPr>
      <w:ind w:left="1617" w:leftChars="770" w:firstLine="2"/>
    </w:pPr>
    <w:rPr>
      <w:sz w:val="28"/>
    </w:rPr>
  </w:style>
  <w:style w:type="paragraph" w:styleId="13">
    <w:name w:val="Plain Text"/>
    <w:basedOn w:val="1"/>
    <w:qFormat/>
    <w:uiPriority w:val="0"/>
    <w:rPr>
      <w:rFonts w:ascii="宋体" w:hAnsi="Courier New"/>
      <w:sz w:val="11"/>
    </w:rPr>
  </w:style>
  <w:style w:type="paragraph" w:styleId="14">
    <w:name w:val="Balloon Text"/>
    <w:basedOn w:val="1"/>
    <w:link w:val="41"/>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toc 2"/>
    <w:basedOn w:val="1"/>
    <w:next w:val="1"/>
    <w:qFormat/>
    <w:uiPriority w:val="39"/>
    <w:pPr>
      <w:ind w:left="100" w:leftChars="100"/>
      <w:jc w:val="left"/>
    </w:pPr>
    <w:rPr>
      <w:rFonts w:ascii="Arial" w:hAnsi="Arial"/>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2"/>
    <w:basedOn w:val="12"/>
    <w:qFormat/>
    <w:uiPriority w:val="0"/>
    <w:pPr>
      <w:spacing w:after="120" w:line="360" w:lineRule="auto"/>
      <w:ind w:firstLine="480" w:firstLineChars="200"/>
    </w:pPr>
    <w:rPr>
      <w:sz w:val="24"/>
      <w:lang w:val="zh-CN"/>
    </w:rPr>
  </w:style>
  <w:style w:type="table" w:styleId="23">
    <w:name w:val="Table Grid"/>
    <w:basedOn w:val="22"/>
    <w:qFormat/>
    <w:uiPriority w:val="0"/>
    <w:rPr>
      <w:rFonts w:ascii="Calibri" w:hAnsi="Calibri" w:eastAsia="微软雅黑"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Emphasis"/>
    <w:basedOn w:val="24"/>
    <w:qFormat/>
    <w:uiPriority w:val="0"/>
    <w:rPr>
      <w:i/>
      <w:iCs/>
    </w:rPr>
  </w:style>
  <w:style w:type="character" w:styleId="26">
    <w:name w:val="Hyperlink"/>
    <w:qFormat/>
    <w:uiPriority w:val="99"/>
    <w:rPr>
      <w:color w:val="333333"/>
      <w:u w:val="none"/>
    </w:rPr>
  </w:style>
  <w:style w:type="paragraph" w:customStyle="1" w:styleId="27">
    <w:name w:val="_Style 2"/>
    <w:basedOn w:val="1"/>
    <w:next w:val="1"/>
    <w:qFormat/>
    <w:uiPriority w:val="99"/>
    <w:pPr>
      <w:ind w:firstLine="420" w:firstLineChars="200"/>
    </w:pPr>
    <w:rPr>
      <w:szCs w:val="24"/>
    </w:rPr>
  </w:style>
  <w:style w:type="paragraph" w:customStyle="1" w:styleId="28">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9">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3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2">
    <w:name w:val="列出段落1"/>
    <w:basedOn w:val="1"/>
    <w:qFormat/>
    <w:uiPriority w:val="34"/>
    <w:pPr>
      <w:ind w:firstLine="420" w:firstLineChars="200"/>
    </w:pPr>
    <w:rPr>
      <w:szCs w:val="21"/>
    </w:rPr>
  </w:style>
  <w:style w:type="paragraph" w:customStyle="1" w:styleId="33">
    <w:name w:val="正文缩进1"/>
    <w:basedOn w:val="1"/>
    <w:qFormat/>
    <w:uiPriority w:val="0"/>
    <w:pPr>
      <w:ind w:firstLine="420"/>
    </w:pPr>
    <w:rPr>
      <w:rFonts w:ascii="Times New Roman" w:hAnsi="Times New Roman"/>
    </w:rPr>
  </w:style>
  <w:style w:type="paragraph" w:customStyle="1" w:styleId="3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5">
    <w:name w:val="7）页眉页脚"/>
    <w:qFormat/>
    <w:uiPriority w:val="0"/>
    <w:rPr>
      <w:rFonts w:ascii="仿宋_GB2312" w:eastAsia="仿宋_GB2312"/>
      <w:b/>
      <w:i/>
      <w:sz w:val="18"/>
      <w:vertAlign w:val="baseline"/>
    </w:rPr>
  </w:style>
  <w:style w:type="paragraph" w:customStyle="1" w:styleId="36">
    <w:name w:val="答复表头"/>
    <w:basedOn w:val="37"/>
    <w:next w:val="1"/>
    <w:qFormat/>
    <w:uiPriority w:val="0"/>
    <w:pPr>
      <w:tabs>
        <w:tab w:val="left" w:pos="480"/>
      </w:tabs>
    </w:pPr>
    <w:rPr>
      <w:b/>
    </w:rPr>
  </w:style>
  <w:style w:type="paragraph" w:customStyle="1" w:styleId="3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38">
    <w:name w:val="List Paragraph"/>
    <w:basedOn w:val="1"/>
    <w:qFormat/>
    <w:uiPriority w:val="99"/>
    <w:pPr>
      <w:ind w:firstLine="420" w:firstLineChars="200"/>
    </w:pPr>
  </w:style>
  <w:style w:type="paragraph" w:customStyle="1" w:styleId="39">
    <w:name w:val="封面署名"/>
    <w:basedOn w:val="1"/>
    <w:qFormat/>
    <w:uiPriority w:val="0"/>
    <w:pPr>
      <w:jc w:val="center"/>
    </w:pPr>
    <w:rPr>
      <w:b/>
      <w:kern w:val="0"/>
      <w:sz w:val="28"/>
    </w:rPr>
  </w:style>
  <w:style w:type="character" w:customStyle="1" w:styleId="40">
    <w:name w:val="标题 2 字符"/>
    <w:link w:val="6"/>
    <w:qFormat/>
    <w:uiPriority w:val="0"/>
    <w:rPr>
      <w:rFonts w:ascii="仿宋" w:hAnsi="仿宋" w:eastAsia="仿宋" w:cs="宋体"/>
      <w:color w:val="000000"/>
      <w:kern w:val="0"/>
      <w:sz w:val="28"/>
      <w:szCs w:val="24"/>
    </w:rPr>
  </w:style>
  <w:style w:type="character" w:customStyle="1" w:styleId="41">
    <w:name w:val="批注框文本 字符"/>
    <w:basedOn w:val="24"/>
    <w:link w:val="1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7"/>
    <customShpInfo spid="_x0000_s1026"/>
    <customShpInfo spid="_x0000_s2050"/>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24179</Words>
  <Characters>25356</Characters>
  <Lines>203</Lines>
  <Paragraphs>57</Paragraphs>
  <TotalTime>0</TotalTime>
  <ScaleCrop>false</ScaleCrop>
  <LinksUpToDate>false</LinksUpToDate>
  <CharactersWithSpaces>27617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mEng</cp:lastModifiedBy>
  <cp:lastPrinted>2021-12-29T05:19:00Z</cp:lastPrinted>
  <dcterms:modified xsi:type="dcterms:W3CDTF">2022-12-21T06:23:09Z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22CB5BF5B7A942AE826C8ACB6E552002</vt:lpwstr>
  </property>
</Properties>
</file>