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ascii="仿宋" w:hAnsi="仿宋" w:eastAsia="仿宋"/>
          <w:color w:val="000000"/>
          <w:sz w:val="48"/>
        </w:rPr>
      </w:pPr>
      <w:bookmarkStart w:id="0" w:name="_Toc55990499"/>
      <w:bookmarkStart w:id="1" w:name="_Toc55990498"/>
      <w:bookmarkStart w:id="2" w:name="_Toc56170377"/>
      <w:bookmarkStart w:id="3" w:name="_Toc82497891"/>
      <w:r>
        <w:rPr>
          <w:rFonts w:hint="eastAsia" w:ascii="仿宋" w:hAnsi="仿宋" w:eastAsia="仿宋"/>
          <w:color w:val="000000"/>
          <w:sz w:val="120"/>
          <w:szCs w:val="120"/>
        </w:rPr>
        <w:t>磋 商 文 件</w:t>
      </w:r>
    </w:p>
    <w:p>
      <w:pPr>
        <w:pStyle w:val="32"/>
        <w:spacing w:line="720" w:lineRule="auto"/>
        <w:ind w:left="1606" w:hanging="1606" w:hangingChars="500"/>
        <w:jc w:val="center"/>
        <w:rPr>
          <w:rFonts w:ascii="仿宋" w:hAnsi="仿宋" w:eastAsia="仿宋"/>
          <w:b/>
          <w:bCs/>
          <w:sz w:val="32"/>
          <w:szCs w:val="32"/>
        </w:rPr>
      </w:pPr>
    </w:p>
    <w:p>
      <w:pPr>
        <w:pStyle w:val="32"/>
        <w:spacing w:line="720" w:lineRule="auto"/>
        <w:ind w:left="1606" w:hanging="1606" w:hangingChars="500"/>
        <w:jc w:val="center"/>
        <w:rPr>
          <w:rFonts w:ascii="仿宋" w:hAnsi="仿宋" w:eastAsia="仿宋"/>
          <w:b/>
          <w:bCs/>
          <w:sz w:val="32"/>
          <w:szCs w:val="32"/>
          <w:highlight w:val="none"/>
        </w:rPr>
      </w:pPr>
      <w:r>
        <w:rPr>
          <w:rFonts w:hint="eastAsia" w:ascii="仿宋" w:hAnsi="仿宋" w:eastAsia="仿宋"/>
          <w:b/>
          <w:bCs/>
          <w:sz w:val="32"/>
          <w:szCs w:val="32"/>
          <w:highlight w:val="none"/>
        </w:rPr>
        <w:t>（项目编号：</w:t>
      </w:r>
      <w:r>
        <w:rPr>
          <w:rFonts w:hint="eastAsia" w:ascii="仿宋" w:hAnsi="仿宋" w:eastAsia="仿宋"/>
          <w:b/>
          <w:bCs/>
          <w:sz w:val="32"/>
          <w:szCs w:val="32"/>
          <w:highlight w:val="none"/>
          <w:lang w:eastAsia="zh-CN"/>
        </w:rPr>
        <w:t>ZKGSF(ZB)-20223369-B</w:t>
      </w:r>
      <w:r>
        <w:rPr>
          <w:rFonts w:hint="eastAsia" w:ascii="仿宋" w:hAnsi="仿宋" w:eastAsia="仿宋"/>
          <w:b/>
          <w:bCs/>
          <w:sz w:val="32"/>
          <w:szCs w:val="32"/>
          <w:highlight w:val="none"/>
        </w:rPr>
        <w:t>）</w:t>
      </w:r>
    </w:p>
    <w:p>
      <w:pPr>
        <w:pStyle w:val="32"/>
        <w:spacing w:line="720" w:lineRule="auto"/>
        <w:ind w:left="1200" w:hanging="1200" w:hangingChars="500"/>
        <w:rPr>
          <w:rFonts w:ascii="仿宋" w:hAnsi="仿宋" w:eastAsia="仿宋"/>
          <w:color w:val="000000"/>
          <w:szCs w:val="28"/>
        </w:rPr>
      </w:pPr>
      <w:r>
        <w:rPr>
          <w:rFonts w:hint="eastAsia" w:ascii="仿宋" w:hAnsi="仿宋" w:eastAsia="仿宋"/>
          <w:sz w:val="24"/>
        </w:rPr>
        <w:t>项目名称：</w:t>
      </w:r>
      <w:r>
        <w:rPr>
          <w:rFonts w:hint="eastAsia" w:ascii="仿宋" w:hAnsi="仿宋" w:eastAsia="仿宋"/>
          <w:sz w:val="24"/>
        </w:rPr>
        <w:tab/>
      </w:r>
      <w:r>
        <w:rPr>
          <w:rFonts w:hint="eastAsia" w:ascii="仿宋" w:hAnsi="仿宋" w:eastAsia="仿宋"/>
          <w:sz w:val="24"/>
          <w:lang w:eastAsia="zh-CN"/>
        </w:rPr>
        <w:t>新疆医科大学第二附属医院医疗设备（第八批）采购项目B包</w:t>
      </w:r>
      <w:r>
        <w:rPr>
          <w:rFonts w:hint="eastAsia" w:ascii="仿宋" w:hAnsi="仿宋" w:eastAsia="仿宋"/>
          <w:sz w:val="24"/>
        </w:rPr>
        <w:t xml:space="preserve">  </w:t>
      </w:r>
    </w:p>
    <w:p>
      <w:pPr>
        <w:pStyle w:val="32"/>
        <w:spacing w:line="720" w:lineRule="auto"/>
        <w:ind w:firstLine="0" w:firstLineChars="0"/>
        <w:rPr>
          <w:rFonts w:ascii="仿宋" w:hAnsi="仿宋" w:eastAsia="仿宋"/>
          <w:sz w:val="24"/>
        </w:rPr>
      </w:pPr>
      <w:r>
        <w:rPr>
          <w:rFonts w:hint="eastAsia" w:ascii="仿宋" w:hAnsi="仿宋" w:eastAsia="仿宋"/>
          <w:sz w:val="24"/>
        </w:rPr>
        <w:t>招标人：（盖章）新疆医科大学第二附属医院</w:t>
      </w:r>
    </w:p>
    <w:p>
      <w:pPr>
        <w:pStyle w:val="32"/>
        <w:spacing w:line="720" w:lineRule="auto"/>
        <w:ind w:firstLine="0" w:firstLineChars="0"/>
        <w:rPr>
          <w:rFonts w:ascii="仿宋" w:hAnsi="仿宋" w:eastAsia="仿宋"/>
          <w:sz w:val="24"/>
        </w:rPr>
      </w:pPr>
      <w:r>
        <w:rPr>
          <w:rFonts w:hint="eastAsia" w:ascii="仿宋" w:hAnsi="仿宋" w:eastAsia="仿宋"/>
          <w:sz w:val="24"/>
        </w:rPr>
        <w:t>联系人：韩玺梅、董玮</w:t>
      </w:r>
    </w:p>
    <w:p>
      <w:pPr>
        <w:pStyle w:val="32"/>
        <w:pBdr>
          <w:bottom w:val="single" w:color="auto" w:sz="4" w:space="0"/>
        </w:pBdr>
        <w:spacing w:line="720" w:lineRule="auto"/>
        <w:ind w:firstLine="0" w:firstLineChars="0"/>
        <w:rPr>
          <w:rFonts w:ascii="仿宋" w:hAnsi="仿宋" w:eastAsia="仿宋"/>
          <w:sz w:val="24"/>
        </w:rPr>
      </w:pPr>
      <w:r>
        <w:rPr>
          <w:rFonts w:hint="eastAsia" w:ascii="仿宋" w:hAnsi="仿宋" w:eastAsia="仿宋"/>
          <w:sz w:val="24"/>
        </w:rPr>
        <w:t>联系电话：0991-4609126</w:t>
      </w:r>
    </w:p>
    <w:p>
      <w:pPr>
        <w:pStyle w:val="32"/>
        <w:spacing w:line="720" w:lineRule="auto"/>
        <w:ind w:firstLine="0" w:firstLineChars="0"/>
        <w:rPr>
          <w:rFonts w:ascii="仿宋" w:hAnsi="仿宋" w:eastAsia="仿宋"/>
          <w:sz w:val="24"/>
        </w:rPr>
      </w:pPr>
      <w:r>
        <w:rPr>
          <w:rFonts w:hint="eastAsia" w:ascii="仿宋" w:hAnsi="仿宋" w:eastAsia="仿宋"/>
          <w:sz w:val="24"/>
        </w:rPr>
        <w:t>招标代理机构：（盖章）中科高盛咨询集团有限公司</w:t>
      </w:r>
    </w:p>
    <w:p>
      <w:pPr>
        <w:pStyle w:val="32"/>
        <w:spacing w:line="720" w:lineRule="auto"/>
        <w:ind w:firstLine="0" w:firstLineChars="0"/>
        <w:rPr>
          <w:rFonts w:ascii="仿宋" w:hAnsi="仿宋" w:eastAsia="仿宋"/>
          <w:sz w:val="24"/>
        </w:rPr>
      </w:pPr>
      <w:r>
        <w:rPr>
          <w:rFonts w:hint="eastAsia" w:ascii="仿宋" w:hAnsi="仿宋" w:eastAsia="仿宋"/>
          <w:sz w:val="24"/>
        </w:rPr>
        <w:t>法定代表人：（盖章）</w:t>
      </w:r>
    </w:p>
    <w:p>
      <w:pPr>
        <w:pStyle w:val="32"/>
        <w:spacing w:line="720" w:lineRule="auto"/>
        <w:ind w:firstLine="0" w:firstLineChars="0"/>
        <w:rPr>
          <w:rFonts w:ascii="仿宋" w:hAnsi="仿宋" w:eastAsia="仿宋"/>
          <w:sz w:val="24"/>
        </w:rPr>
      </w:pPr>
      <w:r>
        <w:rPr>
          <w:rFonts w:hint="eastAsia" w:ascii="仿宋" w:hAnsi="仿宋" w:eastAsia="仿宋"/>
          <w:sz w:val="24"/>
        </w:rPr>
        <w:t>联系人：付文</w:t>
      </w:r>
    </w:p>
    <w:p>
      <w:pPr>
        <w:pStyle w:val="32"/>
        <w:spacing w:line="720" w:lineRule="auto"/>
        <w:ind w:firstLine="0" w:firstLineChars="0"/>
        <w:rPr>
          <w:rFonts w:ascii="仿宋" w:hAnsi="仿宋" w:eastAsia="仿宋"/>
          <w:sz w:val="24"/>
        </w:rPr>
      </w:pPr>
      <w:r>
        <w:rPr>
          <w:rFonts w:hint="eastAsia" w:ascii="仿宋" w:hAnsi="仿宋" w:eastAsia="仿宋"/>
          <w:sz w:val="24"/>
        </w:rPr>
        <w:t>电话：0991-4881798、13999191325</w:t>
      </w:r>
    </w:p>
    <w:p>
      <w:pPr>
        <w:pStyle w:val="32"/>
        <w:spacing w:line="720" w:lineRule="auto"/>
        <w:ind w:firstLine="0" w:firstLineChars="0"/>
      </w:pPr>
      <w:r>
        <w:rPr>
          <w:rFonts w:hint="eastAsia" w:ascii="仿宋" w:hAnsi="仿宋" w:eastAsia="仿宋"/>
          <w:sz w:val="24"/>
        </w:rPr>
        <w:t>详细地址：新疆乌鲁木齐市水磨沟区会展大道绿地中心智海2008</w:t>
      </w:r>
    </w:p>
    <w:p>
      <w:pPr>
        <w:pStyle w:val="32"/>
        <w:spacing w:line="360" w:lineRule="auto"/>
        <w:ind w:firstLine="720"/>
        <w:rPr>
          <w:rFonts w:ascii="仿宋" w:hAnsi="仿宋" w:eastAsia="仿宋" w:cs="仿宋"/>
          <w:sz w:val="36"/>
          <w:szCs w:val="36"/>
        </w:rPr>
      </w:pP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8"/>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0"/>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3"/>
      </w:pPr>
      <w:bookmarkStart w:id="4" w:name="_Toc28475"/>
      <w:bookmarkStart w:id="5" w:name="_Toc61184620"/>
      <w:r>
        <w:rPr>
          <w:rFonts w:hint="eastAsia"/>
        </w:rPr>
        <w:t>第一章、磋商公告</w:t>
      </w:r>
      <w:bookmarkEnd w:id="4"/>
      <w:bookmarkEnd w:id="5"/>
    </w:p>
    <w:p>
      <w:pPr>
        <w:pStyle w:val="31"/>
        <w:snapToGrid w:val="0"/>
        <w:spacing w:line="360" w:lineRule="auto"/>
        <w:ind w:firstLine="560" w:firstLineChars="200"/>
        <w:jc w:val="both"/>
        <w:rPr>
          <w:rFonts w:ascii="仿宋" w:hAnsi="仿宋" w:eastAsia="仿宋"/>
          <w:sz w:val="28"/>
          <w:highlight w:val="none"/>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lang w:eastAsia="zh-CN"/>
        </w:rPr>
        <w:t>ZKGSF(ZB)-20223369-B</w:t>
      </w:r>
      <w:r>
        <w:rPr>
          <w:rFonts w:hint="eastAsia" w:ascii="仿宋" w:hAnsi="仿宋" w:eastAsia="仿宋"/>
          <w:sz w:val="28"/>
          <w:highlight w:val="none"/>
        </w:rPr>
        <w:t xml:space="preserve"> </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widowControl/>
        <w:shd w:val="clear" w:color="auto" w:fill="FFFFFF"/>
        <w:snapToGrid w:val="0"/>
        <w:spacing w:line="312" w:lineRule="auto"/>
        <w:ind w:firstLine="560" w:firstLineChars="200"/>
        <w:jc w:val="left"/>
        <w:rPr>
          <w:rFonts w:hint="default" w:ascii="仿宋" w:hAnsi="仿宋" w:eastAsia="仿宋" w:cs="仿宋"/>
          <w:kern w:val="0"/>
          <w:sz w:val="28"/>
          <w:szCs w:val="28"/>
          <w:lang w:val="en-US" w:eastAsia="zh-CN"/>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cs="仿宋"/>
          <w:kern w:val="0"/>
          <w:sz w:val="28"/>
          <w:szCs w:val="28"/>
        </w:rPr>
        <w:t>总控制价</w:t>
      </w:r>
      <w:r>
        <w:rPr>
          <w:rFonts w:hint="eastAsia" w:ascii="仿宋" w:hAnsi="仿宋" w:eastAsia="仿宋" w:cs="仿宋"/>
          <w:kern w:val="0"/>
          <w:sz w:val="28"/>
          <w:szCs w:val="28"/>
          <w:lang w:val="en-US" w:eastAsia="zh-CN"/>
        </w:rPr>
        <w:t>176.80</w:t>
      </w:r>
      <w:r>
        <w:rPr>
          <w:rFonts w:hint="eastAsia" w:ascii="仿宋" w:hAnsi="仿宋" w:eastAsia="仿宋" w:cs="仿宋"/>
          <w:kern w:val="0"/>
          <w:sz w:val="28"/>
          <w:szCs w:val="28"/>
        </w:rPr>
        <w:t>万元人民币。</w:t>
      </w:r>
      <w:r>
        <w:rPr>
          <w:rFonts w:hint="eastAsia" w:ascii="仿宋" w:hAnsi="仿宋" w:eastAsia="仿宋" w:cs="仿宋"/>
          <w:kern w:val="0"/>
          <w:sz w:val="28"/>
          <w:szCs w:val="28"/>
          <w:lang w:val="en-US" w:eastAsia="zh-CN"/>
        </w:rPr>
        <w:t>其中标项一：45万元；标项二：55万元；标项三：46.8万元；标项四：30万元。</w:t>
      </w:r>
    </w:p>
    <w:tbl>
      <w:tblPr>
        <w:tblStyle w:val="23"/>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815"/>
        <w:gridCol w:w="3348"/>
        <w:gridCol w:w="1250"/>
        <w:gridCol w:w="89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187" w:type="dxa"/>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rPr>
              <w:t>标项号</w:t>
            </w:r>
          </w:p>
        </w:tc>
        <w:tc>
          <w:tcPr>
            <w:tcW w:w="1815"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标项名称</w:t>
            </w:r>
          </w:p>
        </w:tc>
        <w:tc>
          <w:tcPr>
            <w:tcW w:w="3348"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使用方</w:t>
            </w:r>
          </w:p>
        </w:tc>
        <w:tc>
          <w:tcPr>
            <w:tcW w:w="1250"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数量</w:t>
            </w:r>
          </w:p>
        </w:tc>
        <w:tc>
          <w:tcPr>
            <w:tcW w:w="890"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800" w:type="dxa"/>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rPr>
            </w:pPr>
            <w:r>
              <w:rPr>
                <w:rFonts w:hint="eastAsia" w:ascii="仿宋" w:hAnsi="仿宋" w:eastAsia="仿宋" w:cs="仿宋"/>
                <w:kern w:val="0"/>
                <w:sz w:val="24"/>
                <w:szCs w:val="24"/>
              </w:rPr>
              <w:t>最高限价合计</w:t>
            </w:r>
          </w:p>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1</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经颅磁刺激仪</w:t>
            </w:r>
          </w:p>
        </w:tc>
        <w:tc>
          <w:tcPr>
            <w:tcW w:w="3348" w:type="dxa"/>
            <w:noWrap/>
            <w:tcMar>
              <w:top w:w="15" w:type="dxa"/>
              <w:left w:w="15" w:type="dxa"/>
              <w:right w:w="15" w:type="dxa"/>
            </w:tcMar>
            <w:vAlign w:val="center"/>
          </w:tcPr>
          <w:p>
            <w:pPr>
              <w:widowControl/>
              <w:jc w:val="center"/>
              <w:textAlignment w:val="center"/>
              <w:rPr>
                <w:rFonts w:hint="eastAsia"/>
              </w:rPr>
            </w:pPr>
            <w:r>
              <w:rPr>
                <w:rFonts w:hint="eastAsia"/>
                <w:lang w:val="en-US" w:eastAsia="zh-CN"/>
              </w:rPr>
              <w:t>神经内二科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2</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低频重复经颅磁刺激仪（双位）</w:t>
            </w:r>
          </w:p>
        </w:tc>
        <w:tc>
          <w:tcPr>
            <w:tcW w:w="3348" w:type="dxa"/>
            <w:noWrap/>
            <w:tcMar>
              <w:top w:w="15" w:type="dxa"/>
              <w:left w:w="15" w:type="dxa"/>
              <w:right w:w="15" w:type="dxa"/>
            </w:tcMar>
            <w:vAlign w:val="center"/>
          </w:tcPr>
          <w:p>
            <w:pPr>
              <w:widowControl/>
              <w:jc w:val="center"/>
              <w:textAlignment w:val="center"/>
              <w:rPr>
                <w:rFonts w:hint="eastAsia"/>
              </w:rPr>
            </w:pPr>
            <w:r>
              <w:rPr>
                <w:rFonts w:hint="eastAsia"/>
                <w:lang w:val="en-US" w:eastAsia="zh-CN"/>
              </w:rPr>
              <w:t>神经内三科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3</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视频脑电图</w:t>
            </w:r>
          </w:p>
        </w:tc>
        <w:tc>
          <w:tcPr>
            <w:tcW w:w="3348" w:type="dxa"/>
            <w:vMerge w:val="restart"/>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rPr>
              <w:t>神经外科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lang w:val="en-US" w:eastAsia="zh-CN"/>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术中TCD</w:t>
            </w:r>
          </w:p>
        </w:tc>
        <w:tc>
          <w:tcPr>
            <w:tcW w:w="3348" w:type="dxa"/>
            <w:vMerge w:val="continue"/>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振动排痰仪</w:t>
            </w:r>
          </w:p>
        </w:tc>
        <w:tc>
          <w:tcPr>
            <w:tcW w:w="3348" w:type="dxa"/>
            <w:vMerge w:val="continue"/>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c>
          <w:tcPr>
            <w:tcW w:w="1800" w:type="dxa"/>
            <w:noWrap/>
            <w:tcMar>
              <w:top w:w="15" w:type="dxa"/>
              <w:left w:w="15" w:type="dxa"/>
              <w:right w:w="15" w:type="dxa"/>
            </w:tcMar>
            <w:vAlign w:val="center"/>
          </w:tcPr>
          <w:p>
            <w:pPr>
              <w:widowControl/>
              <w:jc w:val="center"/>
              <w:textAlignment w:val="center"/>
              <w:rPr>
                <w:rFonts w:hint="default"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lang w:val="en-US" w:eastAsia="zh-CN"/>
              </w:rPr>
              <w:t>4</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color w:val="auto"/>
                <w:kern w:val="0"/>
                <w:sz w:val="22"/>
                <w:szCs w:val="22"/>
                <w:lang w:val="en-US" w:eastAsia="zh-CN" w:bidi="ar"/>
              </w:rPr>
            </w:pPr>
            <w:r>
              <w:rPr>
                <w:rFonts w:hint="eastAsia" w:ascii="华文宋体" w:hAnsi="华文宋体" w:eastAsia="华文宋体" w:cs="华文宋体"/>
                <w:color w:val="auto"/>
                <w:kern w:val="0"/>
                <w:sz w:val="22"/>
                <w:szCs w:val="22"/>
                <w:lang w:bidi="ar"/>
              </w:rPr>
              <w:t>手术器械</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color w:val="auto"/>
                <w:kern w:val="0"/>
                <w:sz w:val="22"/>
                <w:szCs w:val="22"/>
                <w:lang w:bidi="ar"/>
              </w:rPr>
            </w:pPr>
            <w:r>
              <w:rPr>
                <w:rFonts w:hint="eastAsia" w:ascii="华文宋体" w:hAnsi="华文宋体" w:eastAsia="华文宋体" w:cs="华文宋体"/>
                <w:color w:val="auto"/>
                <w:kern w:val="0"/>
                <w:sz w:val="22"/>
                <w:szCs w:val="22"/>
                <w:lang w:bidi="ar"/>
              </w:rPr>
              <w:t>手术室</w:t>
            </w:r>
          </w:p>
        </w:tc>
        <w:tc>
          <w:tcPr>
            <w:tcW w:w="1250" w:type="dxa"/>
            <w:noWrap/>
            <w:tcMar>
              <w:top w:w="15" w:type="dxa"/>
              <w:left w:w="15" w:type="dxa"/>
              <w:right w:w="15" w:type="dxa"/>
            </w:tcMar>
            <w:vAlign w:val="center"/>
          </w:tcPr>
          <w:p>
            <w:pPr>
              <w:widowControl/>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等线" w:hAnsi="等线" w:eastAsia="等线" w:cs="等线"/>
                <w:color w:val="auto"/>
                <w:kern w:val="0"/>
                <w:sz w:val="22"/>
                <w:szCs w:val="22"/>
                <w:lang w:bidi="ar"/>
              </w:rPr>
              <w:t>1</w:t>
            </w:r>
          </w:p>
        </w:tc>
        <w:tc>
          <w:tcPr>
            <w:tcW w:w="890" w:type="dxa"/>
            <w:noWrap/>
            <w:tcMar>
              <w:top w:w="15" w:type="dxa"/>
              <w:left w:w="15" w:type="dxa"/>
              <w:right w:w="15" w:type="dxa"/>
            </w:tcMar>
            <w:vAlign w:val="center"/>
          </w:tcPr>
          <w:p>
            <w:pPr>
              <w:widowControl/>
              <w:jc w:val="center"/>
              <w:textAlignment w:val="center"/>
              <w:rPr>
                <w:rFonts w:hint="eastAsia" w:ascii="等线" w:hAnsi="等线" w:eastAsia="等线" w:cs="等线"/>
                <w:color w:val="auto"/>
                <w:kern w:val="0"/>
                <w:sz w:val="22"/>
                <w:szCs w:val="22"/>
                <w:lang w:val="en-US" w:eastAsia="zh-CN" w:bidi="ar"/>
              </w:rPr>
            </w:pPr>
            <w:r>
              <w:rPr>
                <w:rFonts w:hint="eastAsia" w:ascii="等线" w:hAnsi="等线" w:eastAsia="等线" w:cs="等线"/>
                <w:color w:val="auto"/>
                <w:kern w:val="0"/>
                <w:sz w:val="22"/>
                <w:szCs w:val="22"/>
                <w:lang w:bidi="ar"/>
              </w:rPr>
              <w:t>批</w:t>
            </w:r>
          </w:p>
        </w:tc>
        <w:tc>
          <w:tcPr>
            <w:tcW w:w="1800" w:type="dxa"/>
            <w:noWrap/>
            <w:tcMar>
              <w:top w:w="15" w:type="dxa"/>
              <w:left w:w="15" w:type="dxa"/>
              <w:right w:w="15" w:type="dxa"/>
            </w:tcMar>
            <w:vAlign w:val="center"/>
          </w:tcPr>
          <w:p>
            <w:pPr>
              <w:widowControl/>
              <w:jc w:val="center"/>
              <w:textAlignment w:val="center"/>
              <w:rPr>
                <w:rFonts w:hint="eastAsia" w:ascii="等线" w:hAnsi="等线" w:eastAsia="等线" w:cs="等线"/>
                <w:color w:val="auto"/>
                <w:kern w:val="0"/>
                <w:sz w:val="22"/>
                <w:szCs w:val="22"/>
                <w:lang w:val="en-US" w:eastAsia="zh-CN" w:bidi="ar"/>
              </w:rPr>
            </w:pPr>
            <w:r>
              <w:rPr>
                <w:rFonts w:hint="eastAsia" w:ascii="等线" w:hAnsi="等线" w:eastAsia="等线" w:cs="等线"/>
                <w:color w:val="auto"/>
                <w:kern w:val="0"/>
                <w:sz w:val="22"/>
                <w:szCs w:val="22"/>
                <w:lang w:bidi="ar"/>
              </w:rPr>
              <w:t>3</w:t>
            </w:r>
            <w:r>
              <w:rPr>
                <w:rFonts w:ascii="等线" w:hAnsi="等线" w:eastAsia="等线" w:cs="等线"/>
                <w:color w:val="auto"/>
                <w:kern w:val="0"/>
                <w:sz w:val="22"/>
                <w:szCs w:val="22"/>
                <w:lang w:bidi="ar"/>
              </w:rPr>
              <w:t>0</w:t>
            </w:r>
          </w:p>
        </w:tc>
      </w:tr>
    </w:tbl>
    <w:p>
      <w:pPr>
        <w:pStyle w:val="10"/>
      </w:pP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31"/>
        <w:snapToGrid w:val="0"/>
        <w:spacing w:line="360" w:lineRule="auto"/>
        <w:ind w:firstLine="560" w:firstLineChars="200"/>
        <w:jc w:val="both"/>
        <w:rPr>
          <w:rFonts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标项1、2、3为</w:t>
      </w:r>
      <w:r>
        <w:rPr>
          <w:rFonts w:hint="eastAsia" w:ascii="仿宋" w:hAnsi="仿宋" w:eastAsia="仿宋" w:cs="仿宋"/>
          <w:sz w:val="28"/>
          <w:szCs w:val="28"/>
          <w:highlight w:val="none"/>
        </w:rPr>
        <w:t xml:space="preserve">非专门面向中小企业（含中型、小型、微型企业）采购项目，根据《政府采购促进中小企业发展管理办法》（财库[2020]46号）的规定，评标时将给予此类企业进行价格10%的优惠，用优惠后的价格参与评审。 </w:t>
      </w:r>
    </w:p>
    <w:p>
      <w:pPr>
        <w:pStyle w:val="31"/>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3.本项目的特定资格要求：</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（1）具备有效的营业执照；</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（3）法定代表人投标需提供法定代表人资格证明书，委托代理人投标需提供法定代表人授权委托书；</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（4）供应商不得为“信用中国”网站（www.creditchina.gov.cn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widowControl/>
        <w:shd w:val="clear" w:color="auto" w:fill="FFFFFF"/>
        <w:snapToGrid w:val="0"/>
        <w:spacing w:line="312" w:lineRule="auto"/>
        <w:ind w:firstLine="560" w:firstLineChars="200"/>
        <w:jc w:val="left"/>
        <w:rPr>
          <w:rFonts w:ascii="仿宋" w:hAnsi="仿宋" w:eastAsia="仿宋"/>
          <w:sz w:val="28"/>
          <w:szCs w:val="28"/>
        </w:rPr>
      </w:pPr>
      <w:r>
        <w:rPr>
          <w:rFonts w:hint="eastAsia" w:ascii="仿宋" w:hAnsi="仿宋" w:eastAsia="仿宋"/>
          <w:sz w:val="28"/>
          <w:szCs w:val="28"/>
        </w:rPr>
        <w:t>（5）本项目不接受联合体投标。</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1．报名（发售／获取）时间：</w:t>
      </w:r>
      <w:r>
        <w:rPr>
          <w:rFonts w:hint="eastAsia" w:ascii="仿宋" w:hAnsi="仿宋" w:eastAsia="仿宋"/>
          <w:sz w:val="28"/>
          <w:highlight w:val="yellow"/>
          <w:u w:val="single"/>
        </w:rPr>
        <w:t>2022年12月1</w:t>
      </w:r>
      <w:r>
        <w:rPr>
          <w:rFonts w:hint="eastAsia" w:ascii="仿宋" w:hAnsi="仿宋" w:eastAsia="仿宋"/>
          <w:sz w:val="28"/>
          <w:highlight w:val="yellow"/>
          <w:u w:val="single"/>
          <w:lang w:val="en-US" w:eastAsia="zh-CN"/>
        </w:rPr>
        <w:t>9</w:t>
      </w:r>
      <w:r>
        <w:rPr>
          <w:rFonts w:hint="eastAsia" w:ascii="仿宋" w:hAnsi="仿宋" w:eastAsia="仿宋"/>
          <w:sz w:val="28"/>
          <w:highlight w:val="yellow"/>
          <w:u w:val="single"/>
        </w:rPr>
        <w:t>日-2022年12月2</w:t>
      </w:r>
      <w:r>
        <w:rPr>
          <w:rFonts w:hint="eastAsia" w:ascii="仿宋" w:hAnsi="仿宋" w:eastAsia="仿宋"/>
          <w:sz w:val="28"/>
          <w:highlight w:val="yellow"/>
          <w:u w:val="single"/>
          <w:lang w:val="en-US" w:eastAsia="zh-CN"/>
        </w:rPr>
        <w:t>6</w:t>
      </w:r>
      <w:r>
        <w:rPr>
          <w:rFonts w:hint="eastAsia" w:ascii="仿宋" w:hAnsi="仿宋" w:eastAsia="仿宋"/>
          <w:sz w:val="28"/>
          <w:highlight w:val="yellow"/>
          <w:u w:val="single"/>
        </w:rPr>
        <w:t>日</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rPr>
        <w:t>4</w:t>
      </w:r>
      <w:r>
        <w:rPr>
          <w:rFonts w:ascii="仿宋" w:hAnsi="仿宋" w:eastAsia="仿宋"/>
          <w:sz w:val="28"/>
        </w:rPr>
        <w:t>：00，下午：1</w:t>
      </w:r>
      <w:r>
        <w:rPr>
          <w:rFonts w:hint="eastAsia" w:ascii="仿宋" w:hAnsi="仿宋" w:eastAsia="仿宋"/>
          <w:sz w:val="28"/>
        </w:rPr>
        <w:t>6</w:t>
      </w:r>
      <w:r>
        <w:rPr>
          <w:rFonts w:ascii="仿宋" w:hAnsi="仿宋" w:eastAsia="仿宋"/>
          <w:sz w:val="28"/>
        </w:rPr>
        <w:t>：00-19：00</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政采云平台线上获取</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0</w:t>
      </w:r>
    </w:p>
    <w:p>
      <w:pPr>
        <w:pStyle w:val="31"/>
        <w:snapToGrid w:val="0"/>
        <w:spacing w:line="360" w:lineRule="auto"/>
        <w:ind w:firstLine="560" w:firstLineChars="200"/>
        <w:jc w:val="both"/>
        <w:rPr>
          <w:rFonts w:ascii="仿宋" w:hAnsi="仿宋" w:eastAsia="仿宋"/>
          <w:sz w:val="28"/>
        </w:rPr>
      </w:pPr>
      <w:r>
        <w:rPr>
          <w:rFonts w:ascii="仿宋" w:hAnsi="仿宋" w:eastAsia="仿宋"/>
          <w:sz w:val="28"/>
        </w:rPr>
        <w:t>4．</w:t>
      </w:r>
      <w:r>
        <w:rPr>
          <w:rFonts w:hint="eastAsia" w:ascii="仿宋" w:hAnsi="仿宋" w:eastAsia="仿宋"/>
          <w:sz w:val="28"/>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六、</w:t>
      </w:r>
      <w:r>
        <w:rPr>
          <w:rFonts w:hint="eastAsia" w:ascii="仿宋" w:hAnsi="仿宋" w:eastAsia="仿宋"/>
          <w:sz w:val="28"/>
          <w:highlight w:val="yellow"/>
        </w:rPr>
        <w:t>响应文件递交</w:t>
      </w:r>
      <w:r>
        <w:rPr>
          <w:rFonts w:ascii="仿宋" w:hAnsi="仿宋" w:eastAsia="仿宋"/>
          <w:sz w:val="28"/>
          <w:highlight w:val="yellow"/>
        </w:rPr>
        <w:t>截止时间：</w:t>
      </w:r>
      <w:bookmarkStart w:id="6" w:name="_Hlk56775416"/>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bookmarkEnd w:id="6"/>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firstLineChars="200"/>
        <w:jc w:val="both"/>
        <w:rPr>
          <w:rFonts w:ascii="仿宋" w:hAnsi="仿宋" w:eastAsia="仿宋"/>
          <w:sz w:val="28"/>
          <w:highlight w:val="yellow"/>
        </w:rPr>
      </w:pPr>
      <w:r>
        <w:rPr>
          <w:rFonts w:ascii="仿宋" w:hAnsi="仿宋" w:eastAsia="仿宋"/>
          <w:sz w:val="28"/>
          <w:highlight w:val="yellow"/>
        </w:rPr>
        <w:t>八、</w:t>
      </w:r>
      <w:r>
        <w:rPr>
          <w:rFonts w:hint="eastAsia" w:ascii="仿宋" w:hAnsi="仿宋" w:eastAsia="仿宋"/>
          <w:sz w:val="28"/>
          <w:highlight w:val="yellow"/>
        </w:rPr>
        <w:t>磋商</w:t>
      </w:r>
      <w:r>
        <w:rPr>
          <w:rFonts w:ascii="仿宋" w:hAnsi="仿宋" w:eastAsia="仿宋"/>
          <w:sz w:val="28"/>
          <w:highlight w:val="yellow"/>
        </w:rPr>
        <w:t>时间：</w:t>
      </w:r>
      <w:r>
        <w:rPr>
          <w:rFonts w:hint="eastAsia" w:ascii="仿宋" w:hAnsi="仿宋" w:eastAsia="仿宋"/>
          <w:sz w:val="28"/>
          <w:highlight w:val="yellow"/>
          <w:u w:val="single"/>
        </w:rPr>
        <w:t>2022年12月</w:t>
      </w:r>
      <w:r>
        <w:rPr>
          <w:rFonts w:ascii="仿宋" w:hAnsi="仿宋" w:eastAsia="仿宋"/>
          <w:sz w:val="28"/>
          <w:highlight w:val="yellow"/>
          <w:u w:val="single"/>
        </w:rPr>
        <w:t>30</w:t>
      </w:r>
      <w:r>
        <w:rPr>
          <w:rFonts w:hint="eastAsia" w:ascii="仿宋" w:hAnsi="仿宋" w:eastAsia="仿宋"/>
          <w:sz w:val="28"/>
          <w:highlight w:val="yellow"/>
          <w:u w:val="single"/>
        </w:rPr>
        <w:t>日11时00分</w:t>
      </w:r>
      <w:r>
        <w:rPr>
          <w:rFonts w:hint="eastAsia" w:ascii="仿宋" w:hAnsi="仿宋" w:eastAsia="仿宋"/>
          <w:sz w:val="28"/>
          <w:highlight w:val="yellow"/>
        </w:rPr>
        <w:t>（北京时间）</w:t>
      </w:r>
    </w:p>
    <w:p>
      <w:pPr>
        <w:pStyle w:val="31"/>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31"/>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1.采购人信息</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名 称：</w:t>
      </w:r>
      <w:r>
        <w:rPr>
          <w:rStyle w:val="29"/>
          <w:rFonts w:hint="eastAsia" w:ascii="仿宋" w:hAnsi="仿宋" w:eastAsia="仿宋" w:cs="仿宋"/>
          <w:color w:val="000000"/>
          <w:sz w:val="27"/>
          <w:szCs w:val="27"/>
        </w:rPr>
        <w:t>新疆医科大学第二附属医院</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rPr>
        <w:t xml:space="preserve">地 址：新疆维吾尔自治区乌鲁木齐市水磨沟区南湖东路北二巷38号 </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联系方式：0991-4609126</w:t>
      </w:r>
    </w:p>
    <w:p>
      <w:pPr>
        <w:pStyle w:val="21"/>
        <w:spacing w:before="75" w:beforeAutospacing="0" w:after="75" w:afterAutospacing="0"/>
        <w:ind w:firstLine="420"/>
        <w:rPr>
          <w:rFonts w:ascii="仿宋" w:hAnsi="仿宋" w:eastAsia="仿宋" w:cs="仿宋"/>
          <w:color w:val="000000"/>
          <w:szCs w:val="24"/>
        </w:rPr>
      </w:pPr>
      <w:r>
        <w:rPr>
          <w:rFonts w:hint="eastAsia" w:ascii="仿宋" w:hAnsi="仿宋" w:eastAsia="仿宋" w:cs="仿宋"/>
          <w:color w:val="000000"/>
          <w:sz w:val="27"/>
          <w:szCs w:val="27"/>
        </w:rPr>
        <w:t>2.采购代理机构信息</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名 称：中科高盛咨询集团有限公司</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地 址：乌鲁木齐市水磨沟区会展大道绿地中心智海2008室</w:t>
      </w:r>
    </w:p>
    <w:p>
      <w:pPr>
        <w:pStyle w:val="21"/>
        <w:spacing w:before="75" w:beforeAutospacing="0" w:after="75" w:afterAutospacing="0"/>
        <w:ind w:firstLine="420"/>
        <w:rPr>
          <w:rFonts w:ascii="仿宋" w:hAnsi="仿宋" w:eastAsia="仿宋" w:cs="仿宋"/>
          <w:color w:val="000000"/>
          <w:sz w:val="27"/>
          <w:szCs w:val="27"/>
        </w:rPr>
      </w:pPr>
      <w:r>
        <w:rPr>
          <w:rFonts w:hint="eastAsia" w:ascii="仿宋" w:hAnsi="仿宋" w:eastAsia="仿宋" w:cs="仿宋"/>
          <w:color w:val="000000"/>
          <w:sz w:val="27"/>
          <w:szCs w:val="27"/>
          <w:lang w:eastAsia="en-US"/>
        </w:rPr>
        <w:t>联系方式：0991-4881798</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3.项目联系方式</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项目联系人：付文</w:t>
      </w:r>
    </w:p>
    <w:p>
      <w:pPr>
        <w:pStyle w:val="21"/>
        <w:spacing w:before="75" w:beforeAutospacing="0" w:after="75" w:afterAutospacing="0"/>
        <w:ind w:firstLine="420"/>
        <w:rPr>
          <w:rFonts w:ascii="仿宋" w:hAnsi="仿宋" w:eastAsia="仿宋" w:cs="仿宋"/>
          <w:color w:val="000000"/>
          <w:sz w:val="27"/>
          <w:szCs w:val="27"/>
          <w:lang w:eastAsia="en-US"/>
        </w:rPr>
      </w:pPr>
      <w:r>
        <w:rPr>
          <w:rFonts w:hint="eastAsia" w:ascii="仿宋" w:hAnsi="仿宋" w:eastAsia="仿宋" w:cs="仿宋"/>
          <w:color w:val="000000"/>
          <w:sz w:val="27"/>
          <w:szCs w:val="27"/>
          <w:lang w:eastAsia="en-US"/>
        </w:rPr>
        <w:t>电 话：13999191325</w:t>
      </w:r>
    </w:p>
    <w:p>
      <w:pPr>
        <w:pStyle w:val="3"/>
      </w:pPr>
      <w:r>
        <w:rPr>
          <w:rFonts w:hint="eastAsia"/>
        </w:rPr>
        <w:br w:type="page"/>
      </w:r>
      <w:bookmarkStart w:id="7" w:name="_Toc56170378"/>
      <w:bookmarkStart w:id="8" w:name="_Toc61184621"/>
      <w:bookmarkStart w:id="9" w:name="_Toc25500"/>
      <w:bookmarkStart w:id="10" w:name="_Toc55990500"/>
      <w:bookmarkStart w:id="11" w:name="_Toc5896489"/>
      <w:bookmarkStart w:id="12" w:name="_Toc399523005"/>
      <w:r>
        <w:rPr>
          <w:rFonts w:hint="eastAsia"/>
        </w:rPr>
        <w:t>第二章、磋商须知</w:t>
      </w:r>
      <w:bookmarkEnd w:id="7"/>
      <w:bookmarkEnd w:id="8"/>
      <w:bookmarkEnd w:id="9"/>
      <w:bookmarkEnd w:id="10"/>
      <w:bookmarkEnd w:id="11"/>
    </w:p>
    <w:p>
      <w:pPr>
        <w:pStyle w:val="5"/>
      </w:pPr>
      <w:bookmarkStart w:id="13" w:name="_Toc56170379"/>
      <w:bookmarkStart w:id="14" w:name="_Toc105"/>
      <w:bookmarkStart w:id="15" w:name="_Toc61184622"/>
      <w:r>
        <w:rPr>
          <w:rFonts w:hint="eastAsia"/>
        </w:rPr>
        <w:t>磋商须知前附表</w:t>
      </w:r>
      <w:bookmarkEnd w:id="13"/>
      <w:bookmarkEnd w:id="14"/>
      <w:bookmarkEnd w:id="15"/>
    </w:p>
    <w:tbl>
      <w:tblPr>
        <w:tblStyle w:val="23"/>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8" w:hRule="atLeast"/>
          <w:tblHeader/>
          <w:jc w:val="center"/>
        </w:trPr>
        <w:tc>
          <w:tcPr>
            <w:tcW w:w="824"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32"/>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32"/>
              <w:spacing w:line="360" w:lineRule="auto"/>
              <w:ind w:firstLine="0" w:firstLineChars="0"/>
              <w:jc w:val="left"/>
              <w:rPr>
                <w:rFonts w:hint="default" w:ascii="仿宋" w:hAnsi="仿宋" w:eastAsia="仿宋"/>
                <w:color w:val="000000"/>
                <w:sz w:val="24"/>
                <w:szCs w:val="24"/>
                <w:lang w:val="en-US"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新疆医科大学第二附属医院医疗设备（第八批）采购项目B包</w:t>
            </w:r>
            <w:r>
              <w:rPr>
                <w:rFonts w:hint="eastAsia" w:ascii="仿宋" w:hAnsi="仿宋" w:eastAsia="仿宋"/>
                <w:color w:val="000000"/>
                <w:sz w:val="24"/>
                <w:szCs w:val="24"/>
                <w:lang w:val="en-US" w:eastAsia="zh-CN"/>
              </w:rPr>
              <w:t>标项一/标项二/标项三/标项四</w:t>
            </w:r>
          </w:p>
          <w:p>
            <w:pPr>
              <w:pStyle w:val="32"/>
              <w:spacing w:line="360" w:lineRule="auto"/>
              <w:ind w:firstLine="0" w:firstLineChars="0"/>
              <w:jc w:val="left"/>
              <w:rPr>
                <w:rFonts w:hint="default"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 xml:space="preserve">项目编号： </w:t>
            </w:r>
            <w:r>
              <w:rPr>
                <w:rFonts w:hint="eastAsia" w:ascii="仿宋" w:hAnsi="仿宋" w:eastAsia="仿宋"/>
                <w:color w:val="000000"/>
                <w:sz w:val="24"/>
                <w:szCs w:val="24"/>
                <w:highlight w:val="none"/>
                <w:lang w:eastAsia="zh-CN"/>
              </w:rPr>
              <w:t>ZKGSF(ZB)-20223369-B</w:t>
            </w:r>
            <w:r>
              <w:rPr>
                <w:rFonts w:hint="eastAsia" w:ascii="仿宋" w:hAnsi="仿宋" w:eastAsia="仿宋"/>
                <w:color w:val="000000"/>
                <w:sz w:val="24"/>
                <w:szCs w:val="24"/>
                <w:highlight w:val="none"/>
                <w:lang w:val="en-US" w:eastAsia="zh-CN"/>
              </w:rPr>
              <w:t>/01/02/03/04</w:t>
            </w:r>
          </w:p>
          <w:p>
            <w:pPr>
              <w:pStyle w:val="32"/>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招标内容：详见招标公告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项目采购预算：投标人报价每包不得超过最高限价（详见第一章招标公告），否则将导致废标。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采购人：新疆医科大学第二附属医院</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联系人：韩玺梅 董玮</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联系电话：0991-4609126</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地址：新疆维吾尔自治区乌鲁木齐市水磨沟区南湖东路北二巷38号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32"/>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投标保证金金额：</w:t>
            </w:r>
            <w:r>
              <w:rPr>
                <w:rFonts w:hint="eastAsia" w:ascii="仿宋" w:hAnsi="仿宋" w:eastAsia="仿宋"/>
                <w:b/>
                <w:bCs/>
                <w:color w:val="000000"/>
                <w:sz w:val="24"/>
                <w:szCs w:val="24"/>
                <w:lang w:val="en-US" w:eastAsia="zh-CN"/>
              </w:rPr>
              <w:t>标项一：4500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肆仟伍佰</w:t>
            </w:r>
            <w:r>
              <w:rPr>
                <w:rFonts w:hint="eastAsia" w:ascii="仿宋" w:hAnsi="仿宋" w:eastAsia="仿宋"/>
                <w:b/>
                <w:bCs/>
                <w:color w:val="000000"/>
                <w:sz w:val="24"/>
                <w:szCs w:val="24"/>
              </w:rPr>
              <w:t>元整）</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标项二：5500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伍仟伍佰</w:t>
            </w:r>
            <w:r>
              <w:rPr>
                <w:rFonts w:hint="eastAsia" w:ascii="仿宋" w:hAnsi="仿宋" w:eastAsia="仿宋"/>
                <w:b/>
                <w:bCs/>
                <w:color w:val="000000"/>
                <w:sz w:val="24"/>
                <w:szCs w:val="24"/>
              </w:rPr>
              <w:t>元整）</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标项三：4600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肆仟陆佰</w:t>
            </w:r>
            <w:r>
              <w:rPr>
                <w:rFonts w:hint="eastAsia" w:ascii="仿宋" w:hAnsi="仿宋" w:eastAsia="仿宋"/>
                <w:b/>
                <w:bCs/>
                <w:color w:val="000000"/>
                <w:sz w:val="24"/>
                <w:szCs w:val="24"/>
              </w:rPr>
              <w:t>元整）</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标项四：3000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w:t>
            </w:r>
            <w:r>
              <w:rPr>
                <w:rFonts w:hint="eastAsia" w:ascii="仿宋" w:hAnsi="仿宋" w:eastAsia="仿宋"/>
                <w:b/>
                <w:bCs/>
                <w:color w:val="000000"/>
                <w:sz w:val="24"/>
                <w:szCs w:val="24"/>
              </w:rPr>
              <w:t>元整）。</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须以网银转账的形式由供应商的基本账户账户汇出，须于投标截止时间前递交至招标代理机构指定账户，公示期结束后予以退还。</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开户行：中国民生银行长沙芙蓉广场支行</w:t>
            </w:r>
          </w:p>
          <w:p>
            <w:pPr>
              <w:pStyle w:val="32"/>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  号：9902 0017 7427 8038</w:t>
            </w:r>
          </w:p>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行  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31"/>
              <w:snapToGrid w:val="0"/>
              <w:spacing w:line="360" w:lineRule="auto"/>
              <w:rPr>
                <w:rFonts w:ascii="仿宋" w:hAnsi="仿宋" w:eastAsia="仿宋"/>
                <w:szCs w:val="24"/>
              </w:rPr>
            </w:pPr>
            <w:r>
              <w:rPr>
                <w:rFonts w:hint="eastAsia" w:ascii="仿宋" w:hAnsi="仿宋" w:eastAsia="仿宋"/>
                <w:szCs w:val="24"/>
              </w:rPr>
              <w:t>供应商资格要求：</w:t>
            </w:r>
          </w:p>
          <w:p>
            <w:pPr>
              <w:pStyle w:val="31"/>
              <w:snapToGrid w:val="0"/>
              <w:spacing w:line="360" w:lineRule="auto"/>
              <w:rPr>
                <w:rFonts w:ascii="仿宋" w:hAnsi="仿宋" w:eastAsia="仿宋"/>
                <w:szCs w:val="24"/>
              </w:rPr>
            </w:pPr>
            <w:r>
              <w:rPr>
                <w:rFonts w:hint="eastAsia" w:ascii="仿宋" w:hAnsi="仿宋" w:eastAsia="仿宋"/>
                <w:szCs w:val="24"/>
              </w:rPr>
              <w:t>1、符合《中华人民共和国政府采购法》第二十二条款规定；</w:t>
            </w:r>
          </w:p>
          <w:p>
            <w:pPr>
              <w:pStyle w:val="31"/>
              <w:snapToGrid w:val="0"/>
              <w:spacing w:line="360" w:lineRule="auto"/>
              <w:rPr>
                <w:rFonts w:ascii="仿宋" w:hAnsi="仿宋" w:eastAsia="仿宋"/>
                <w:szCs w:val="24"/>
              </w:rPr>
            </w:pPr>
            <w:r>
              <w:rPr>
                <w:rFonts w:hint="eastAsia" w:ascii="仿宋" w:hAnsi="仿宋" w:eastAsia="仿宋"/>
                <w:szCs w:val="24"/>
              </w:rPr>
              <w:t>2、具有有效的营业执照；</w:t>
            </w:r>
          </w:p>
          <w:p>
            <w:pPr>
              <w:pStyle w:val="31"/>
              <w:snapToGrid w:val="0"/>
              <w:spacing w:line="360" w:lineRule="auto"/>
              <w:rPr>
                <w:rFonts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31"/>
              <w:snapToGrid w:val="0"/>
              <w:spacing w:line="360" w:lineRule="auto"/>
              <w:rPr>
                <w:rFonts w:ascii="仿宋" w:hAnsi="仿宋" w:eastAsia="仿宋"/>
                <w:szCs w:val="24"/>
              </w:rPr>
            </w:pPr>
            <w:r>
              <w:rPr>
                <w:rFonts w:hint="eastAsia" w:ascii="仿宋" w:hAnsi="仿宋" w:eastAsia="仿宋"/>
                <w:szCs w:val="24"/>
              </w:rPr>
              <w:t>4、法定代表人投标需携带法定代表人证明书（原件）及法定代表人身份证（原件），委托代理人投标需携带法定代表人授权委托书（原件）及委托代理人身份证（原件）；</w:t>
            </w:r>
          </w:p>
          <w:p>
            <w:pPr>
              <w:pStyle w:val="31"/>
              <w:snapToGrid w:val="0"/>
              <w:spacing w:line="360" w:lineRule="auto"/>
              <w:rPr>
                <w:rFonts w:ascii="仿宋" w:hAnsi="仿宋" w:eastAsia="仿宋"/>
                <w:szCs w:val="24"/>
              </w:rPr>
            </w:pPr>
            <w:r>
              <w:rPr>
                <w:rFonts w:hint="eastAsia" w:ascii="仿宋" w:hAnsi="仿宋" w:eastAsia="仿宋"/>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1"/>
              <w:snapToGrid w:val="0"/>
              <w:spacing w:line="360" w:lineRule="auto"/>
              <w:rPr>
                <w:rFonts w:ascii="仿宋" w:hAnsi="仿宋" w:eastAsia="仿宋"/>
                <w:szCs w:val="24"/>
              </w:rPr>
            </w:pPr>
            <w:r>
              <w:rPr>
                <w:rFonts w:hint="eastAsia" w:ascii="仿宋" w:hAnsi="仿宋" w:eastAsia="仿宋"/>
                <w:szCs w:val="24"/>
              </w:rPr>
              <w:t>6、本项目不接受联合体投标。</w:t>
            </w:r>
          </w:p>
          <w:p>
            <w:pPr>
              <w:pStyle w:val="31"/>
              <w:snapToGrid w:val="0"/>
              <w:spacing w:line="360" w:lineRule="auto"/>
              <w:rPr>
                <w:rFonts w:ascii="仿宋" w:hAnsi="仿宋" w:eastAsia="仿宋"/>
                <w:szCs w:val="24"/>
              </w:rPr>
            </w:pPr>
            <w:r>
              <w:rPr>
                <w:rFonts w:hint="eastAsia" w:ascii="仿宋" w:hAnsi="仿宋" w:eastAsia="仿宋"/>
                <w:szCs w:val="24"/>
              </w:rPr>
              <w:t>7、供应商不得为“信用中国”网站（www.creditchina.gov.cn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31"/>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企业营业执照（原件或者针对复印件开具的公证书原件投标时携带）。</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（3） 医疗器械经营（生产）许可证原件。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（4） 保证金缴纳凭证。（加盖公章的复印件）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（5） 参加政府采购活动近三年内在经营活动中没有重大违法记录的书面声明。（原件）</w:t>
            </w:r>
          </w:p>
          <w:p>
            <w:pPr>
              <w:pStyle w:val="31"/>
              <w:snapToGrid w:val="0"/>
              <w:spacing w:line="360" w:lineRule="auto"/>
              <w:ind w:firstLine="560"/>
              <w:rPr>
                <w:rFonts w:ascii="仿宋" w:hAnsi="仿宋" w:eastAsia="仿宋"/>
                <w:b/>
                <w:bCs/>
                <w:szCs w:val="24"/>
              </w:rPr>
            </w:pPr>
            <w:r>
              <w:rPr>
                <w:rFonts w:hint="eastAsia" w:ascii="仿宋" w:hAnsi="仿宋" w:eastAsia="仿宋"/>
                <w:b/>
                <w:bCs/>
                <w:szCs w:val="24"/>
              </w:rPr>
              <w:t>（6）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32"/>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32"/>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highlight w:val="yellow"/>
              </w:rPr>
              <w:t>磋商截止时间：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highlight w:val="yellow"/>
                <w:u w:val="single"/>
              </w:rPr>
              <w:t>2022年12月</w:t>
            </w:r>
            <w:r>
              <w:rPr>
                <w:rFonts w:ascii="仿宋" w:hAnsi="仿宋" w:eastAsia="仿宋"/>
                <w:color w:val="000000"/>
                <w:sz w:val="24"/>
                <w:szCs w:val="24"/>
                <w:highlight w:val="yellow"/>
                <w:u w:val="single"/>
              </w:rPr>
              <w:t>30</w:t>
            </w:r>
            <w:r>
              <w:rPr>
                <w:rFonts w:hint="eastAsia" w:ascii="仿宋" w:hAnsi="仿宋" w:eastAsia="仿宋"/>
                <w:color w:val="000000"/>
                <w:sz w:val="24"/>
                <w:szCs w:val="24"/>
                <w:highlight w:val="yellow"/>
                <w:u w:val="single"/>
              </w:rPr>
              <w:t>日上午11时00分（北京时间）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交货期：合同签订后30个日历日。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付款方式：1、乙方在收到中标通知书之日起15个日内，向甲方提交合同总价10%的履约保函，担保期限涵盖至质保期满之日止。甲方收到保函后向乙方支付合同总价款20%的预付款；</w:t>
            </w:r>
          </w:p>
          <w:p>
            <w:pPr>
              <w:snapToGrid w:val="0"/>
              <w:spacing w:line="360" w:lineRule="auto"/>
              <w:jc w:val="left"/>
              <w:rPr>
                <w:rFonts w:ascii="仿宋" w:hAnsi="仿宋" w:eastAsia="仿宋"/>
                <w:b/>
                <w:bCs/>
                <w:color w:val="000000"/>
                <w:sz w:val="24"/>
                <w:szCs w:val="24"/>
                <w:highlight w:val="none"/>
              </w:rPr>
            </w:pPr>
            <w:r>
              <w:rPr>
                <w:rFonts w:hint="eastAsia" w:ascii="仿宋" w:hAnsi="仿宋" w:eastAsia="仿宋"/>
                <w:b/>
                <w:bCs/>
                <w:color w:val="000000"/>
                <w:sz w:val="24"/>
                <w:szCs w:val="24"/>
                <w:highlight w:val="none"/>
              </w:rPr>
              <w:t>2、剩余80％款货到经甲方书面验收合格后一次性支付，如因新冠疫情等不可抗力等原因导致货物无法送达验收的，由双方协商一致变更付款方式。</w:t>
            </w:r>
          </w:p>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3、甲方向乙方支付任何一笔款项前，乙方须提供符合甲方财务做账要求的正规发票，否则甲方有权拒付款项且不承担违约责任。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保修期：自验收合格之日起质保期整机三年。质保期内产品出现任何非人为故障及质量问题免费上门服务，质保期满后只收取材料成本费，软件终身免费升级，硬件终身维修。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（1）按发改价格[2011]534号及计价格[2002]1980号文件计算的招标代理服务收费标准，下浮50%。由成交承包商向采购代理机构缴纳。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项目联系人：付文</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电话：13999191325</w:t>
            </w:r>
          </w:p>
        </w:tc>
      </w:tr>
    </w:tbl>
    <w:p>
      <w:pPr>
        <w:rPr>
          <w:rFonts w:ascii="仿宋" w:hAnsi="仿宋" w:eastAsia="仿宋"/>
        </w:rPr>
      </w:pPr>
    </w:p>
    <w:p>
      <w:bookmarkStart w:id="16" w:name="_Toc61184623"/>
      <w:bookmarkStart w:id="17" w:name="_Toc56170380"/>
      <w:r>
        <w:rPr>
          <w:rFonts w:hint="eastAsia"/>
        </w:rPr>
        <w:br w:type="page"/>
      </w:r>
    </w:p>
    <w:p>
      <w:pPr>
        <w:pStyle w:val="5"/>
      </w:pPr>
      <w:bookmarkStart w:id="18" w:name="_Toc9701"/>
      <w:r>
        <w:rPr>
          <w:rFonts w:hint="eastAsia"/>
        </w:rPr>
        <w:t>一、总 则</w:t>
      </w:r>
      <w:bookmarkEnd w:id="16"/>
      <w:bookmarkEnd w:id="17"/>
      <w:bookmarkEnd w:id="18"/>
    </w:p>
    <w:p>
      <w:pPr>
        <w:pStyle w:val="31"/>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31"/>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31"/>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31"/>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31"/>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31"/>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2. 定义</w:t>
      </w:r>
    </w:p>
    <w:p>
      <w:pPr>
        <w:pStyle w:val="31"/>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31"/>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31"/>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31"/>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31"/>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31"/>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31"/>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31"/>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1"/>
        <w:spacing w:line="360" w:lineRule="auto"/>
        <w:ind w:firstLine="561"/>
        <w:rPr>
          <w:rFonts w:ascii="仿宋" w:hAnsi="仿宋" w:eastAsia="仿宋"/>
          <w:sz w:val="28"/>
        </w:rPr>
      </w:pPr>
      <w:r>
        <w:rPr>
          <w:rFonts w:hint="eastAsia" w:ascii="仿宋" w:hAnsi="仿宋" w:eastAsia="仿宋"/>
          <w:sz w:val="28"/>
        </w:rPr>
        <w:t>3. 其他要求</w:t>
      </w:r>
    </w:p>
    <w:p>
      <w:pPr>
        <w:pStyle w:val="31"/>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31"/>
        <w:spacing w:line="360" w:lineRule="auto"/>
        <w:ind w:firstLine="561"/>
        <w:rPr>
          <w:rFonts w:ascii="仿宋" w:hAnsi="仿宋" w:eastAsia="仿宋"/>
          <w:sz w:val="28"/>
        </w:rPr>
      </w:pPr>
      <w:r>
        <w:rPr>
          <w:rFonts w:hint="eastAsia" w:ascii="仿宋" w:hAnsi="仿宋" w:eastAsia="仿宋"/>
          <w:sz w:val="28"/>
        </w:rPr>
        <w:t>3.2 政府采购政策支持</w:t>
      </w:r>
    </w:p>
    <w:p>
      <w:pPr>
        <w:pStyle w:val="31"/>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31"/>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31"/>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5"/>
        <w:spacing w:line="360" w:lineRule="auto"/>
      </w:pPr>
      <w:bookmarkStart w:id="19" w:name="_Toc56170381"/>
      <w:bookmarkStart w:id="20" w:name="_Toc17589"/>
      <w:bookmarkStart w:id="21" w:name="_Toc61184624"/>
      <w:r>
        <w:rPr>
          <w:rFonts w:hint="eastAsia"/>
        </w:rPr>
        <w:t>二、磋商文件</w:t>
      </w:r>
      <w:bookmarkEnd w:id="19"/>
      <w:bookmarkEnd w:id="20"/>
      <w:bookmarkEnd w:id="21"/>
    </w:p>
    <w:p>
      <w:pPr>
        <w:pStyle w:val="31"/>
        <w:spacing w:line="360" w:lineRule="auto"/>
        <w:ind w:firstLine="560"/>
        <w:jc w:val="both"/>
        <w:rPr>
          <w:rFonts w:ascii="仿宋" w:hAnsi="仿宋" w:eastAsia="仿宋"/>
          <w:sz w:val="28"/>
        </w:rPr>
      </w:pPr>
      <w:r>
        <w:rPr>
          <w:rFonts w:hint="eastAsia" w:ascii="仿宋" w:hAnsi="仿宋" w:eastAsia="仿宋"/>
          <w:sz w:val="28"/>
        </w:rPr>
        <w:t>4. 磋商文件</w:t>
      </w:r>
    </w:p>
    <w:p>
      <w:pPr>
        <w:pStyle w:val="31"/>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31"/>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31"/>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31"/>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31"/>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31"/>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5"/>
        <w:spacing w:line="360" w:lineRule="auto"/>
      </w:pPr>
      <w:bookmarkStart w:id="22" w:name="_Toc56170382"/>
      <w:bookmarkStart w:id="23" w:name="_Toc61184625"/>
      <w:bookmarkStart w:id="24" w:name="_Toc29097"/>
      <w:r>
        <w:rPr>
          <w:rFonts w:hint="eastAsia"/>
        </w:rPr>
        <w:t>三、响应文件的编制</w:t>
      </w:r>
      <w:bookmarkEnd w:id="22"/>
      <w:bookmarkEnd w:id="23"/>
      <w:bookmarkEnd w:id="24"/>
    </w:p>
    <w:p>
      <w:pPr>
        <w:pStyle w:val="31"/>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31"/>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31"/>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31"/>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31"/>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31"/>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31"/>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31"/>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31"/>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31"/>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31"/>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31"/>
        <w:spacing w:line="360" w:lineRule="auto"/>
        <w:ind w:firstLine="560"/>
        <w:jc w:val="both"/>
        <w:rPr>
          <w:rFonts w:ascii="仿宋" w:hAnsi="仿宋" w:eastAsia="仿宋"/>
          <w:sz w:val="28"/>
        </w:rPr>
      </w:pPr>
      <w:r>
        <w:rPr>
          <w:rFonts w:hint="eastAsia" w:ascii="仿宋" w:hAnsi="仿宋" w:eastAsia="仿宋"/>
          <w:sz w:val="28"/>
        </w:rPr>
        <w:t>（1） 响应文件</w:t>
      </w:r>
    </w:p>
    <w:p>
      <w:pPr>
        <w:pStyle w:val="31"/>
        <w:spacing w:line="360" w:lineRule="auto"/>
        <w:ind w:firstLine="562"/>
        <w:jc w:val="both"/>
        <w:rPr>
          <w:rFonts w:ascii="仿宋" w:hAnsi="仿宋" w:eastAsia="仿宋"/>
          <w:sz w:val="28"/>
        </w:rPr>
      </w:pPr>
      <w:r>
        <w:rPr>
          <w:rFonts w:hint="eastAsia" w:ascii="仿宋" w:hAnsi="仿宋" w:eastAsia="仿宋"/>
          <w:sz w:val="28"/>
        </w:rPr>
        <w:t>（2） 磋商一览表</w:t>
      </w:r>
    </w:p>
    <w:p>
      <w:pPr>
        <w:pStyle w:val="31"/>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31"/>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32"/>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32"/>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31"/>
        <w:spacing w:line="360" w:lineRule="auto"/>
        <w:ind w:firstLine="560"/>
        <w:jc w:val="both"/>
        <w:rPr>
          <w:rFonts w:ascii="仿宋" w:hAnsi="仿宋" w:eastAsia="仿宋"/>
          <w:sz w:val="28"/>
        </w:rPr>
      </w:pPr>
      <w:r>
        <w:rPr>
          <w:rFonts w:hint="eastAsia" w:ascii="仿宋" w:hAnsi="仿宋" w:eastAsia="仿宋"/>
          <w:sz w:val="28"/>
        </w:rPr>
        <w:t>8.1.3 响应文件</w:t>
      </w:r>
    </w:p>
    <w:p>
      <w:pPr>
        <w:pStyle w:val="31"/>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31"/>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31"/>
        <w:spacing w:line="360" w:lineRule="auto"/>
        <w:ind w:firstLine="560"/>
        <w:jc w:val="both"/>
        <w:rPr>
          <w:rFonts w:ascii="仿宋" w:hAnsi="仿宋" w:eastAsia="仿宋"/>
          <w:sz w:val="28"/>
        </w:rPr>
      </w:pPr>
      <w:r>
        <w:rPr>
          <w:rFonts w:hint="eastAsia" w:ascii="仿宋" w:hAnsi="仿宋" w:eastAsia="仿宋"/>
          <w:sz w:val="28"/>
        </w:rPr>
        <w:t>10. 磋商报价</w:t>
      </w:r>
    </w:p>
    <w:p>
      <w:pPr>
        <w:pStyle w:val="31"/>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31"/>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31"/>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31"/>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31"/>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31"/>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31"/>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31"/>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31"/>
        <w:spacing w:line="360" w:lineRule="auto"/>
        <w:ind w:firstLine="560"/>
        <w:jc w:val="both"/>
        <w:rPr>
          <w:rFonts w:ascii="仿宋" w:hAnsi="仿宋" w:eastAsia="仿宋"/>
          <w:sz w:val="28"/>
        </w:rPr>
      </w:pPr>
      <w:r>
        <w:rPr>
          <w:rFonts w:hint="eastAsia" w:ascii="仿宋" w:hAnsi="仿宋" w:eastAsia="仿宋"/>
          <w:sz w:val="28"/>
        </w:rPr>
        <w:t>11. 磋商货币</w:t>
      </w:r>
    </w:p>
    <w:p>
      <w:pPr>
        <w:pStyle w:val="31"/>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31"/>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31"/>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31"/>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31"/>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31"/>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31"/>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31"/>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31"/>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31"/>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31"/>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31"/>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31"/>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31"/>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31"/>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31"/>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31"/>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31"/>
        <w:spacing w:line="360" w:lineRule="auto"/>
        <w:ind w:firstLine="560"/>
        <w:rPr>
          <w:rFonts w:ascii="仿宋" w:hAnsi="仿宋" w:eastAsia="仿宋"/>
          <w:sz w:val="28"/>
        </w:rPr>
      </w:pPr>
      <w:r>
        <w:rPr>
          <w:rFonts w:hint="eastAsia" w:ascii="仿宋" w:hAnsi="仿宋" w:eastAsia="仿宋"/>
          <w:sz w:val="28"/>
        </w:rPr>
        <w:t>16. 磋商保证金</w:t>
      </w:r>
    </w:p>
    <w:p>
      <w:pPr>
        <w:pStyle w:val="31"/>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31"/>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31"/>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31"/>
        <w:spacing w:line="360" w:lineRule="auto"/>
        <w:ind w:firstLine="560"/>
        <w:rPr>
          <w:rFonts w:ascii="仿宋" w:hAnsi="仿宋" w:eastAsia="仿宋"/>
          <w:sz w:val="28"/>
        </w:rPr>
      </w:pPr>
      <w:r>
        <w:rPr>
          <w:rFonts w:hint="eastAsia" w:ascii="仿宋" w:hAnsi="仿宋" w:eastAsia="仿宋"/>
          <w:sz w:val="28"/>
        </w:rPr>
        <w:t>16.4 磋商保证金的退还</w:t>
      </w:r>
    </w:p>
    <w:p>
      <w:pPr>
        <w:pStyle w:val="31"/>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31"/>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32"/>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32"/>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32"/>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5"/>
        <w:spacing w:line="360" w:lineRule="auto"/>
      </w:pPr>
      <w:bookmarkStart w:id="25" w:name="_Toc56170383"/>
      <w:bookmarkStart w:id="26" w:name="_Toc26897"/>
      <w:bookmarkStart w:id="27" w:name="_Toc61184626"/>
      <w:r>
        <w:rPr>
          <w:rFonts w:hint="eastAsia"/>
        </w:rPr>
        <w:t>四、响应文件的递交</w:t>
      </w:r>
      <w:bookmarkEnd w:id="25"/>
      <w:bookmarkEnd w:id="26"/>
      <w:bookmarkEnd w:id="27"/>
    </w:p>
    <w:p>
      <w:pPr>
        <w:pStyle w:val="31"/>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31"/>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31"/>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31"/>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31"/>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31"/>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31"/>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3"/>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3"/>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3"/>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3"/>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3"/>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3"/>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3"/>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3"/>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3"/>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3"/>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3"/>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5"/>
        <w:spacing w:line="360" w:lineRule="auto"/>
      </w:pPr>
      <w:bookmarkStart w:id="28" w:name="_Toc61184627"/>
      <w:bookmarkStart w:id="29" w:name="_Toc56170384"/>
      <w:bookmarkStart w:id="30" w:name="_Toc30907"/>
      <w:r>
        <w:rPr>
          <w:rFonts w:hint="eastAsia"/>
        </w:rPr>
        <w:t>五、磋商</w:t>
      </w:r>
      <w:bookmarkEnd w:id="28"/>
      <w:bookmarkEnd w:id="29"/>
      <w:bookmarkEnd w:id="30"/>
    </w:p>
    <w:p>
      <w:pPr>
        <w:pStyle w:val="33"/>
        <w:spacing w:line="360" w:lineRule="auto"/>
        <w:ind w:firstLine="560"/>
        <w:jc w:val="both"/>
        <w:rPr>
          <w:rFonts w:ascii="仿宋" w:hAnsi="仿宋" w:eastAsia="仿宋"/>
          <w:sz w:val="28"/>
        </w:rPr>
      </w:pPr>
      <w:r>
        <w:rPr>
          <w:rFonts w:hint="eastAsia" w:ascii="仿宋" w:hAnsi="仿宋" w:eastAsia="仿宋"/>
          <w:sz w:val="28"/>
        </w:rPr>
        <w:t>21. 磋商</w:t>
      </w:r>
    </w:p>
    <w:p>
      <w:pPr>
        <w:pStyle w:val="31"/>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31"/>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31"/>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31"/>
        <w:spacing w:line="360" w:lineRule="auto"/>
        <w:ind w:firstLine="560"/>
        <w:jc w:val="both"/>
        <w:rPr>
          <w:rFonts w:ascii="仿宋" w:hAnsi="仿宋" w:eastAsia="仿宋"/>
          <w:sz w:val="28"/>
        </w:rPr>
      </w:pPr>
    </w:p>
    <w:p>
      <w:pPr>
        <w:pStyle w:val="5"/>
        <w:spacing w:line="360" w:lineRule="auto"/>
      </w:pPr>
      <w:bookmarkStart w:id="31" w:name="_Toc56170385"/>
      <w:bookmarkStart w:id="32" w:name="_Toc22021"/>
      <w:bookmarkStart w:id="33" w:name="_Toc61184628"/>
      <w:r>
        <w:rPr>
          <w:rFonts w:hint="eastAsia"/>
        </w:rPr>
        <w:t>六、资格审查</w:t>
      </w:r>
      <w:bookmarkEnd w:id="31"/>
      <w:bookmarkEnd w:id="32"/>
      <w:bookmarkEnd w:id="33"/>
    </w:p>
    <w:p>
      <w:pPr>
        <w:pStyle w:val="31"/>
        <w:spacing w:line="360" w:lineRule="auto"/>
        <w:ind w:firstLine="561"/>
        <w:rPr>
          <w:rFonts w:ascii="仿宋" w:hAnsi="仿宋" w:eastAsia="仿宋"/>
          <w:b/>
          <w:bCs/>
          <w:sz w:val="28"/>
        </w:rPr>
      </w:pPr>
      <w:r>
        <w:rPr>
          <w:rFonts w:hint="eastAsia" w:ascii="仿宋" w:hAnsi="仿宋" w:eastAsia="仿宋"/>
          <w:b/>
          <w:bCs/>
          <w:sz w:val="28"/>
        </w:rPr>
        <w:t>22. 资格审查</w:t>
      </w:r>
    </w:p>
    <w:p>
      <w:pPr>
        <w:pStyle w:val="31"/>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31"/>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5"/>
        <w:spacing w:line="360" w:lineRule="auto"/>
      </w:pPr>
      <w:bookmarkStart w:id="34" w:name="_Toc3968"/>
      <w:bookmarkStart w:id="35" w:name="_Toc61184629"/>
      <w:bookmarkStart w:id="36" w:name="_Toc56170386"/>
      <w:r>
        <w:rPr>
          <w:rFonts w:hint="eastAsia"/>
        </w:rPr>
        <w:t>七、磋商和定标</w:t>
      </w:r>
      <w:bookmarkEnd w:id="34"/>
      <w:bookmarkEnd w:id="35"/>
      <w:bookmarkEnd w:id="36"/>
    </w:p>
    <w:p>
      <w:pPr>
        <w:pStyle w:val="31"/>
        <w:spacing w:line="360" w:lineRule="auto"/>
        <w:ind w:firstLine="560"/>
        <w:jc w:val="both"/>
        <w:rPr>
          <w:rFonts w:ascii="仿宋" w:hAnsi="仿宋" w:eastAsia="仿宋"/>
          <w:sz w:val="28"/>
        </w:rPr>
      </w:pPr>
      <w:r>
        <w:rPr>
          <w:rFonts w:hint="eastAsia" w:ascii="仿宋" w:hAnsi="仿宋" w:eastAsia="仿宋"/>
          <w:sz w:val="28"/>
        </w:rPr>
        <w:t>23. 磋商原则</w:t>
      </w:r>
    </w:p>
    <w:p>
      <w:pPr>
        <w:pStyle w:val="31"/>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31"/>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31"/>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31"/>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31"/>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31"/>
        <w:spacing w:line="360" w:lineRule="auto"/>
        <w:ind w:firstLine="560"/>
        <w:jc w:val="both"/>
        <w:rPr>
          <w:rFonts w:ascii="仿宋" w:hAnsi="仿宋" w:eastAsia="仿宋"/>
          <w:sz w:val="28"/>
        </w:rPr>
      </w:pPr>
      <w:r>
        <w:rPr>
          <w:rFonts w:hint="eastAsia" w:ascii="仿宋" w:hAnsi="仿宋" w:eastAsia="仿宋"/>
          <w:sz w:val="28"/>
        </w:rPr>
        <w:t>24. 磋商方法</w:t>
      </w:r>
    </w:p>
    <w:p>
      <w:pPr>
        <w:pStyle w:val="31"/>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31"/>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31"/>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31"/>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31"/>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31"/>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31"/>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31"/>
        <w:spacing w:line="360" w:lineRule="auto"/>
        <w:ind w:firstLine="560"/>
        <w:jc w:val="both"/>
        <w:rPr>
          <w:rFonts w:ascii="仿宋" w:hAnsi="仿宋" w:eastAsia="仿宋"/>
          <w:sz w:val="28"/>
        </w:rPr>
      </w:pPr>
      <w:r>
        <w:rPr>
          <w:rFonts w:hint="eastAsia" w:ascii="仿宋" w:hAnsi="仿宋" w:eastAsia="仿宋"/>
          <w:sz w:val="28"/>
        </w:rPr>
        <w:t>24.6 符合性审查</w:t>
      </w:r>
    </w:p>
    <w:p>
      <w:pPr>
        <w:pStyle w:val="31"/>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31"/>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1"/>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32"/>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1"/>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4"/>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4"/>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评标委员会将对下述评审因素进行量化，并根据评委会每个成员对投标文件的评审和理解进行打分，满分为100分。商务部分权重占50%，其中价格满分为30分，商务条件满分为20分；技术部分权重占50%，满分为50分。供应商两部分的分值相加，即为该供应商的综合评估分。</w:t>
      </w:r>
    </w:p>
    <w:p>
      <w:pPr>
        <w:pStyle w:val="34"/>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4"/>
        <w:numPr>
          <w:ilvl w:val="0"/>
          <w:numId w:val="2"/>
        </w:numPr>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商务部分（50分）</w:t>
      </w:r>
    </w:p>
    <w:tbl>
      <w:tblPr>
        <w:tblStyle w:val="23"/>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54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价格</w:t>
            </w:r>
          </w:p>
        </w:tc>
        <w:tc>
          <w:tcPr>
            <w:tcW w:w="1071" w:type="dxa"/>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30分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9"/>
              <w:spacing w:line="360" w:lineRule="exact"/>
              <w:rPr>
                <w:rFonts w:ascii="仿宋" w:hAnsi="仿宋" w:eastAsia="仿宋"/>
                <w:b w:val="0"/>
                <w:color w:val="auto"/>
                <w:sz w:val="24"/>
                <w:szCs w:val="24"/>
              </w:rPr>
            </w:pPr>
            <w:r>
              <w:rPr>
                <w:rFonts w:hint="eastAsia" w:ascii="仿宋" w:hAnsi="仿宋" w:eastAsia="仿宋"/>
                <w:b w:val="0"/>
                <w:color w:val="auto"/>
                <w:sz w:val="24"/>
                <w:szCs w:val="24"/>
              </w:rPr>
              <w:t>商务条件</w:t>
            </w:r>
          </w:p>
        </w:tc>
        <w:tc>
          <w:tcPr>
            <w:tcW w:w="1608" w:type="dxa"/>
            <w:vAlign w:val="center"/>
          </w:tcPr>
          <w:p>
            <w:pPr>
              <w:pStyle w:val="39"/>
              <w:spacing w:line="420" w:lineRule="exact"/>
              <w:rPr>
                <w:rFonts w:ascii="仿宋" w:hAnsi="仿宋" w:eastAsia="仿宋"/>
                <w:b w:val="0"/>
                <w:color w:val="auto"/>
                <w:sz w:val="24"/>
                <w:szCs w:val="24"/>
              </w:rPr>
            </w:pPr>
            <w:r>
              <w:rPr>
                <w:rFonts w:hint="eastAsia" w:ascii="仿宋" w:hAnsi="仿宋" w:eastAsia="仿宋"/>
                <w:b w:val="0"/>
                <w:color w:val="auto"/>
                <w:sz w:val="24"/>
                <w:szCs w:val="24"/>
              </w:rPr>
              <w:t>质保期</w:t>
            </w:r>
          </w:p>
        </w:tc>
        <w:tc>
          <w:tcPr>
            <w:tcW w:w="1071" w:type="dxa"/>
            <w:vAlign w:val="center"/>
          </w:tcPr>
          <w:p>
            <w:pPr>
              <w:pStyle w:val="39"/>
              <w:spacing w:line="460" w:lineRule="exact"/>
              <w:rPr>
                <w:rFonts w:ascii="仿宋" w:hAnsi="仿宋" w:eastAsia="仿宋"/>
                <w:b w:val="0"/>
                <w:color w:val="auto"/>
                <w:sz w:val="24"/>
                <w:szCs w:val="24"/>
              </w:rPr>
            </w:pPr>
            <w:r>
              <w:rPr>
                <w:rFonts w:ascii="仿宋" w:hAnsi="仿宋" w:eastAsia="仿宋" w:cs="宋体"/>
                <w:b w:val="0"/>
                <w:color w:val="auto"/>
                <w:sz w:val="24"/>
                <w:szCs w:val="24"/>
              </w:rPr>
              <w:t>2</w:t>
            </w:r>
            <w:r>
              <w:rPr>
                <w:rFonts w:hint="eastAsia" w:ascii="仿宋" w:hAnsi="仿宋" w:eastAsia="仿宋" w:cs="宋体"/>
                <w:b w:val="0"/>
                <w:color w:val="auto"/>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满足招标文件要求得</w:t>
            </w:r>
            <w:r>
              <w:rPr>
                <w:rFonts w:ascii="仿宋" w:hAnsi="仿宋" w:eastAsia="仿宋" w:cs="宋体"/>
                <w:kern w:val="0"/>
                <w:sz w:val="24"/>
                <w:szCs w:val="24"/>
              </w:rPr>
              <w:t>1</w:t>
            </w:r>
            <w:r>
              <w:rPr>
                <w:rFonts w:hint="eastAsia" w:ascii="仿宋" w:hAnsi="仿宋" w:eastAsia="仿宋" w:cs="宋体"/>
                <w:kern w:val="0"/>
                <w:sz w:val="24"/>
                <w:szCs w:val="24"/>
              </w:rPr>
              <w:t>分，每延长1年加0</w:t>
            </w:r>
            <w:r>
              <w:rPr>
                <w:rFonts w:ascii="仿宋" w:hAnsi="仿宋" w:eastAsia="仿宋" w:cs="宋体"/>
                <w:kern w:val="0"/>
                <w:sz w:val="24"/>
                <w:szCs w:val="24"/>
              </w:rPr>
              <w:t>.5</w:t>
            </w:r>
            <w:r>
              <w:rPr>
                <w:rFonts w:hint="eastAsia" w:ascii="仿宋" w:hAnsi="仿宋" w:eastAsia="仿宋" w:cs="宋体"/>
                <w:kern w:val="0"/>
                <w:sz w:val="24"/>
                <w:szCs w:val="24"/>
              </w:rPr>
              <w:t>分，满分</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20" w:lineRule="exact"/>
              <w:rPr>
                <w:rFonts w:ascii="仿宋" w:hAnsi="仿宋" w:eastAsia="仿宋"/>
                <w:b w:val="0"/>
                <w:sz w:val="24"/>
                <w:szCs w:val="24"/>
              </w:rPr>
            </w:pPr>
            <w:r>
              <w:rPr>
                <w:rFonts w:hint="eastAsia" w:ascii="仿宋" w:hAnsi="仿宋" w:eastAsia="仿宋"/>
                <w:b w:val="0"/>
                <w:sz w:val="24"/>
                <w:szCs w:val="24"/>
              </w:rPr>
              <w:t>交货期</w:t>
            </w:r>
          </w:p>
        </w:tc>
        <w:tc>
          <w:tcPr>
            <w:tcW w:w="1071" w:type="dxa"/>
            <w:vAlign w:val="center"/>
          </w:tcPr>
          <w:p>
            <w:pPr>
              <w:pStyle w:val="39"/>
              <w:spacing w:line="460" w:lineRule="exact"/>
              <w:rPr>
                <w:rFonts w:ascii="仿宋" w:hAnsi="仿宋" w:eastAsia="仿宋"/>
                <w:b w:val="0"/>
                <w:sz w:val="24"/>
                <w:szCs w:val="24"/>
              </w:rPr>
            </w:pPr>
            <w:r>
              <w:rPr>
                <w:rFonts w:ascii="仿宋" w:hAnsi="仿宋" w:eastAsia="仿宋" w:cs="宋体"/>
                <w:b w:val="0"/>
                <w:sz w:val="24"/>
                <w:szCs w:val="24"/>
              </w:rPr>
              <w:t>2</w:t>
            </w:r>
            <w:r>
              <w:rPr>
                <w:rFonts w:hint="eastAsia" w:ascii="仿宋" w:hAnsi="仿宋" w:eastAsia="仿宋" w:cs="宋体"/>
                <w:b w:val="0"/>
                <w:sz w:val="24"/>
                <w:szCs w:val="24"/>
              </w:rPr>
              <w:t>分</w:t>
            </w:r>
          </w:p>
        </w:tc>
        <w:tc>
          <w:tcPr>
            <w:tcW w:w="5541" w:type="dxa"/>
            <w:vAlign w:val="center"/>
          </w:tcPr>
          <w:p>
            <w:pPr>
              <w:widowControl/>
              <w:spacing w:line="36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满足招标文件要求得</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分，优于得</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业绩</w:t>
            </w:r>
          </w:p>
        </w:tc>
        <w:tc>
          <w:tcPr>
            <w:tcW w:w="1071" w:type="dxa"/>
            <w:vAlign w:val="center"/>
          </w:tcPr>
          <w:p>
            <w:pPr>
              <w:pStyle w:val="39"/>
              <w:spacing w:line="460" w:lineRule="exact"/>
              <w:rPr>
                <w:rFonts w:ascii="仿宋" w:hAnsi="仿宋" w:eastAsia="仿宋"/>
                <w:b w:val="0"/>
                <w:color w:val="auto"/>
                <w:sz w:val="24"/>
                <w:szCs w:val="24"/>
              </w:rPr>
            </w:pPr>
            <w:r>
              <w:rPr>
                <w:rFonts w:hint="eastAsia" w:ascii="仿宋" w:hAnsi="仿宋" w:eastAsia="仿宋"/>
                <w:b w:val="0"/>
                <w:color w:val="auto"/>
                <w:sz w:val="24"/>
                <w:szCs w:val="24"/>
              </w:rPr>
              <w:t>10分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提供近三年（从投标截至时间往前推算）同类产品业绩，每提供1份业绩得1分，满分10分。以生产厂家或供应商提供的同类业绩证明资料如合同或者成交通知书复印件为准，未提供证明资料或无效的，不计分。</w:t>
            </w:r>
            <w:r>
              <w:rPr>
                <w:rFonts w:hint="eastAsia" w:ascii="仿宋" w:hAnsi="仿宋" w:eastAsia="仿宋" w:cs="宋体"/>
                <w:b/>
                <w:bCs/>
                <w:kern w:val="0"/>
                <w:sz w:val="24"/>
                <w:szCs w:val="24"/>
              </w:rPr>
              <w:t>（业绩原件需单独密封与标书一同递交，备查）。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9"/>
              <w:spacing w:line="360" w:lineRule="exact"/>
              <w:ind w:firstLine="480"/>
              <w:rPr>
                <w:rFonts w:ascii="仿宋" w:hAnsi="仿宋" w:eastAsia="仿宋"/>
                <w:b w:val="0"/>
                <w:color w:val="auto"/>
                <w:sz w:val="24"/>
                <w:szCs w:val="24"/>
              </w:rPr>
            </w:pPr>
          </w:p>
        </w:tc>
        <w:tc>
          <w:tcPr>
            <w:tcW w:w="1608" w:type="dxa"/>
            <w:vAlign w:val="center"/>
          </w:tcPr>
          <w:p>
            <w:pPr>
              <w:widowControl/>
              <w:spacing w:line="360" w:lineRule="exact"/>
              <w:jc w:val="center"/>
              <w:rPr>
                <w:rFonts w:ascii="仿宋" w:hAnsi="仿宋" w:eastAsia="仿宋"/>
                <w:sz w:val="24"/>
                <w:szCs w:val="24"/>
              </w:rPr>
            </w:pPr>
            <w:r>
              <w:rPr>
                <w:rFonts w:hint="eastAsia" w:ascii="仿宋" w:hAnsi="仿宋" w:eastAsia="仿宋" w:cs="宋体"/>
                <w:kern w:val="0"/>
                <w:sz w:val="24"/>
                <w:szCs w:val="24"/>
              </w:rPr>
              <w:t>供货、安装、调试方案</w:t>
            </w:r>
          </w:p>
        </w:tc>
        <w:tc>
          <w:tcPr>
            <w:tcW w:w="1071" w:type="dxa"/>
            <w:vAlign w:val="center"/>
          </w:tcPr>
          <w:p>
            <w:pPr>
              <w:widowControl/>
              <w:spacing w:line="360" w:lineRule="exact"/>
              <w:jc w:val="center"/>
              <w:rPr>
                <w:rFonts w:ascii="仿宋" w:hAnsi="仿宋" w:eastAsia="仿宋"/>
                <w:color w:val="000000"/>
                <w:sz w:val="24"/>
                <w:szCs w:val="24"/>
              </w:rPr>
            </w:pP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分</w:t>
            </w:r>
          </w:p>
        </w:tc>
        <w:tc>
          <w:tcPr>
            <w:tcW w:w="5541"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供货、安装、调试方案计划详细有针对性、供货进度保证措施合理且切实可行，产品安装、调试的技术保证措施完善，方案整体优良得</w:t>
            </w:r>
            <w:r>
              <w:rPr>
                <w:rFonts w:ascii="仿宋" w:hAnsi="仿宋" w:eastAsia="仿宋" w:cs="宋体"/>
                <w:kern w:val="0"/>
                <w:sz w:val="24"/>
                <w:szCs w:val="24"/>
              </w:rPr>
              <w:t>6</w:t>
            </w:r>
            <w:r>
              <w:rPr>
                <w:rFonts w:hint="eastAsia" w:ascii="仿宋" w:hAnsi="仿宋" w:eastAsia="仿宋" w:cs="宋体"/>
                <w:kern w:val="0"/>
                <w:sz w:val="24"/>
                <w:szCs w:val="24"/>
              </w:rPr>
              <w:t>分；</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方案计划详细、供货进度保证措施合理，方案整体较好得</w:t>
            </w:r>
            <w:r>
              <w:rPr>
                <w:rFonts w:ascii="仿宋" w:hAnsi="仿宋" w:eastAsia="仿宋" w:cs="宋体"/>
                <w:kern w:val="0"/>
                <w:sz w:val="24"/>
                <w:szCs w:val="24"/>
              </w:rPr>
              <w:t>4</w:t>
            </w:r>
            <w:r>
              <w:rPr>
                <w:rFonts w:hint="eastAsia" w:ascii="仿宋" w:hAnsi="仿宋" w:eastAsia="仿宋" w:cs="宋体"/>
                <w:kern w:val="0"/>
                <w:sz w:val="24"/>
                <w:szCs w:val="24"/>
              </w:rPr>
              <w:t xml:space="preserve">分； </w:t>
            </w:r>
          </w:p>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方案计划一般、供货进度保证措施一般得2分；未提供不得分。</w:t>
            </w:r>
          </w:p>
        </w:tc>
      </w:tr>
    </w:tbl>
    <w:p>
      <w:pPr>
        <w:pStyle w:val="34"/>
        <w:numPr>
          <w:ilvl w:val="0"/>
          <w:numId w:val="2"/>
        </w:numPr>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技术部分（50分）</w:t>
      </w:r>
    </w:p>
    <w:tbl>
      <w:tblPr>
        <w:tblStyle w:val="23"/>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分；星号技术条款每偏离一条扣除2分，普通技术条款每偏离一条扣1分，最低得0分，最高得3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r>
              <w:rPr>
                <w:rFonts w:hint="eastAsia" w:ascii="仿宋" w:hAnsi="仿宋" w:eastAsia="仿宋" w:cs="宋体"/>
                <w:b/>
                <w:bCs/>
                <w:kern w:val="0"/>
                <w:sz w:val="24"/>
                <w:szCs w:val="24"/>
              </w:rPr>
              <w:t>（提供投标产品的检测报告或技术白皮书作为技术评标依据，</w:t>
            </w:r>
            <w:r>
              <w:rPr>
                <w:rFonts w:hint="eastAsia" w:ascii="仿宋" w:hAnsi="仿宋" w:eastAsia="仿宋" w:cs="仿宋"/>
                <w:b/>
                <w:bCs/>
                <w:kern w:val="0"/>
                <w:sz w:val="24"/>
                <w:szCs w:val="24"/>
              </w:rPr>
              <w:t>若无法证明参数真实有效，视为负偏离）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2分</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仿宋"/>
                <w:kern w:val="0"/>
                <w:sz w:val="24"/>
                <w:szCs w:val="24"/>
              </w:rPr>
              <w:t>有厂家授权文件及技术支持资料的得2分，否则不得分。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根据可靠性、稳定性最匹配技术参数的投标产品得6分，良好的得4分，一般的得2分，差的得0分。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6分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仿宋"/>
                <w:kern w:val="0"/>
                <w:sz w:val="24"/>
                <w:szCs w:val="24"/>
              </w:rPr>
              <w:t>可操作性、可维护性最匹配招标文件要求的得6分，良好的得4分，一般的得2分，差的得0分。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31"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9"/>
              <w:snapToGrid w:val="0"/>
              <w:rPr>
                <w:rFonts w:ascii="仿宋" w:hAnsi="仿宋" w:eastAsia="仿宋"/>
                <w:b w:val="0"/>
                <w:color w:val="auto"/>
                <w:sz w:val="24"/>
                <w:szCs w:val="24"/>
              </w:rPr>
            </w:pPr>
            <w:r>
              <w:rPr>
                <w:rFonts w:hint="eastAsia" w:ascii="仿宋" w:hAnsi="仿宋" w:eastAsia="仿宋"/>
                <w:b w:val="0"/>
                <w:color w:val="auto"/>
                <w:sz w:val="24"/>
                <w:szCs w:val="24"/>
              </w:rPr>
              <w:t>6分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仿宋"/>
                <w:kern w:val="0"/>
                <w:sz w:val="24"/>
                <w:szCs w:val="24"/>
              </w:rPr>
              <w:t>产品性能综合评价优秀得6分，良好的得4分，一般的得2分，差的得0分。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31"/>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5"/>
        <w:spacing w:line="360" w:lineRule="auto"/>
      </w:pPr>
      <w:bookmarkStart w:id="37" w:name="_Toc61184630"/>
      <w:bookmarkStart w:id="38" w:name="_Toc19574"/>
      <w:bookmarkStart w:id="39" w:name="_Toc56170387"/>
      <w:r>
        <w:rPr>
          <w:rFonts w:hint="eastAsia"/>
        </w:rPr>
        <w:t>八、授予合同</w:t>
      </w:r>
      <w:bookmarkEnd w:id="37"/>
      <w:bookmarkEnd w:id="38"/>
      <w:bookmarkEnd w:id="39"/>
    </w:p>
    <w:p>
      <w:pPr>
        <w:pStyle w:val="31"/>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5"/>
        <w:spacing w:line="360" w:lineRule="auto"/>
      </w:pPr>
      <w:bookmarkStart w:id="40" w:name="_Toc56170388"/>
      <w:bookmarkStart w:id="41" w:name="_Toc61184631"/>
      <w:bookmarkStart w:id="42" w:name="_Toc275"/>
      <w:r>
        <w:rPr>
          <w:rFonts w:hint="eastAsia"/>
        </w:rPr>
        <w:t>九、买方授标时更改采购货物数量的权利</w:t>
      </w:r>
      <w:bookmarkEnd w:id="40"/>
      <w:bookmarkEnd w:id="41"/>
      <w:bookmarkEnd w:id="42"/>
    </w:p>
    <w:p>
      <w:pPr>
        <w:pStyle w:val="32"/>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5"/>
        <w:spacing w:line="360" w:lineRule="auto"/>
      </w:pPr>
      <w:bookmarkStart w:id="43" w:name="_Toc61184632"/>
      <w:bookmarkStart w:id="44" w:name="_Toc27059"/>
      <w:bookmarkStart w:id="45" w:name="_Toc56170389"/>
      <w:r>
        <w:rPr>
          <w:rFonts w:hint="eastAsia"/>
        </w:rPr>
        <w:t>十、其他事项</w:t>
      </w:r>
      <w:bookmarkEnd w:id="43"/>
      <w:bookmarkEnd w:id="44"/>
      <w:bookmarkEnd w:id="45"/>
    </w:p>
    <w:p>
      <w:pPr>
        <w:pStyle w:val="31"/>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31"/>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2"/>
    <w:p>
      <w:pPr>
        <w:pStyle w:val="3"/>
      </w:pPr>
      <w:r>
        <w:rPr>
          <w:rFonts w:cs="Times New Roman"/>
          <w:szCs w:val="20"/>
        </w:rPr>
        <w:br w:type="page"/>
      </w:r>
      <w:bookmarkStart w:id="46" w:name="_Toc56170390"/>
      <w:bookmarkStart w:id="47" w:name="_Toc55990501"/>
      <w:bookmarkStart w:id="48" w:name="_Toc413"/>
      <w:bookmarkStart w:id="49" w:name="_Toc61184633"/>
      <w:r>
        <w:rPr>
          <w:rFonts w:hint="eastAsia"/>
        </w:rPr>
        <w:t>第三章、磋商内容及技术要求</w:t>
      </w:r>
      <w:bookmarkEnd w:id="46"/>
      <w:bookmarkEnd w:id="47"/>
      <w:bookmarkEnd w:id="48"/>
      <w:bookmarkEnd w:id="49"/>
    </w:p>
    <w:p/>
    <w:p>
      <w:pPr>
        <w:pStyle w:val="8"/>
        <w:ind w:firstLine="0"/>
        <w:rPr>
          <w:rFonts w:ascii="宋体" w:hAnsi="宋体" w:cs="宋体"/>
          <w:b/>
          <w:color w:val="FF0000"/>
          <w:sz w:val="24"/>
          <w:szCs w:val="24"/>
        </w:rPr>
      </w:pPr>
      <w:bookmarkStart w:id="50" w:name="_Toc21747"/>
      <w:bookmarkStart w:id="51" w:name="_Toc56170391"/>
      <w:bookmarkStart w:id="52" w:name="_Toc55990502"/>
      <w:bookmarkStart w:id="53" w:name="_Toc61184634"/>
    </w:p>
    <w:p>
      <w:pPr>
        <w:pStyle w:val="9"/>
      </w:pPr>
    </w:p>
    <w:p>
      <w:pPr>
        <w:adjustRightInd w:val="0"/>
        <w:snapToGrid w:val="0"/>
        <w:spacing w:line="560" w:lineRule="exact"/>
        <w:rPr>
          <w:rFonts w:ascii="仿宋" w:hAnsi="仿宋" w:eastAsia="仿宋" w:cs="仿宋"/>
          <w:sz w:val="32"/>
          <w:szCs w:val="32"/>
        </w:rPr>
      </w:pPr>
    </w:p>
    <w:tbl>
      <w:tblPr>
        <w:tblStyle w:val="23"/>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7"/>
        <w:gridCol w:w="1815"/>
        <w:gridCol w:w="3348"/>
        <w:gridCol w:w="125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1187" w:type="dxa"/>
            <w:noWrap/>
            <w:tcMar>
              <w:top w:w="15" w:type="dxa"/>
              <w:left w:w="15" w:type="dxa"/>
              <w:right w:w="15" w:type="dxa"/>
            </w:tcMar>
            <w:vAlign w:val="center"/>
          </w:tcPr>
          <w:p>
            <w:pPr>
              <w:widowControl/>
              <w:jc w:val="center"/>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lang w:val="en-US" w:eastAsia="zh-CN"/>
              </w:rPr>
              <w:t>标项号</w:t>
            </w:r>
          </w:p>
        </w:tc>
        <w:tc>
          <w:tcPr>
            <w:tcW w:w="1815"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标项名称</w:t>
            </w:r>
          </w:p>
        </w:tc>
        <w:tc>
          <w:tcPr>
            <w:tcW w:w="3348"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使用方</w:t>
            </w:r>
          </w:p>
        </w:tc>
        <w:tc>
          <w:tcPr>
            <w:tcW w:w="1250" w:type="dxa"/>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rPr>
              <w:t>数量</w:t>
            </w:r>
          </w:p>
        </w:tc>
        <w:tc>
          <w:tcPr>
            <w:tcW w:w="890" w:type="dxa"/>
            <w:noWrap/>
            <w:tcMar>
              <w:top w:w="15" w:type="dxa"/>
              <w:left w:w="15" w:type="dxa"/>
              <w:right w:w="15" w:type="dxa"/>
            </w:tcMar>
            <w:vAlign w:val="center"/>
          </w:tcPr>
          <w:p>
            <w:pPr>
              <w:widowControl/>
              <w:jc w:val="center"/>
              <w:textAlignment w:val="center"/>
              <w:rPr>
                <w:rFonts w:ascii="仿宋" w:hAnsi="仿宋" w:eastAsia="仿宋" w:cs="仿宋"/>
                <w:kern w:val="0"/>
                <w:sz w:val="24"/>
                <w:szCs w:val="24"/>
              </w:rPr>
            </w:pPr>
            <w:r>
              <w:rPr>
                <w:rFonts w:hint="eastAsia" w:ascii="仿宋" w:hAnsi="仿宋" w:eastAsia="仿宋" w:cs="仿宋"/>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1</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经颅磁刺激仪</w:t>
            </w:r>
          </w:p>
        </w:tc>
        <w:tc>
          <w:tcPr>
            <w:tcW w:w="3348" w:type="dxa"/>
            <w:noWrap/>
            <w:tcMar>
              <w:top w:w="15" w:type="dxa"/>
              <w:left w:w="15" w:type="dxa"/>
              <w:right w:w="15" w:type="dxa"/>
            </w:tcMar>
            <w:vAlign w:val="center"/>
          </w:tcPr>
          <w:p>
            <w:pPr>
              <w:widowControl/>
              <w:jc w:val="center"/>
              <w:textAlignment w:val="center"/>
              <w:rPr>
                <w:rFonts w:hint="eastAsia"/>
              </w:rPr>
            </w:pPr>
            <w:r>
              <w:rPr>
                <w:rFonts w:hint="eastAsia"/>
                <w:lang w:val="en-US" w:eastAsia="zh-CN"/>
              </w:rPr>
              <w:t>神经内二科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000000"/>
                <w:kern w:val="0"/>
                <w:sz w:val="22"/>
                <w:szCs w:val="22"/>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2</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低频重复经颅磁刺激仪（双位）</w:t>
            </w:r>
          </w:p>
        </w:tc>
        <w:tc>
          <w:tcPr>
            <w:tcW w:w="3348" w:type="dxa"/>
            <w:noWrap/>
            <w:tcMar>
              <w:top w:w="15" w:type="dxa"/>
              <w:left w:w="15" w:type="dxa"/>
              <w:right w:w="15" w:type="dxa"/>
            </w:tcMar>
            <w:vAlign w:val="center"/>
          </w:tcPr>
          <w:p>
            <w:pPr>
              <w:widowControl/>
              <w:jc w:val="center"/>
              <w:textAlignment w:val="center"/>
              <w:rPr>
                <w:rFonts w:hint="eastAsia"/>
              </w:rPr>
            </w:pPr>
            <w:r>
              <w:rPr>
                <w:rFonts w:hint="eastAsia"/>
                <w:lang w:val="en-US" w:eastAsia="zh-CN"/>
              </w:rPr>
              <w:t>神经内三科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restart"/>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rPr>
              <w:t>3</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视频脑电图</w:t>
            </w:r>
          </w:p>
        </w:tc>
        <w:tc>
          <w:tcPr>
            <w:tcW w:w="3348" w:type="dxa"/>
            <w:vMerge w:val="restart"/>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rPr>
              <w:t>神经外科</w:t>
            </w: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hint="eastAsia" w:ascii="仿宋" w:hAnsi="仿宋" w:eastAsia="仿宋" w:cs="仿宋"/>
                <w:kern w:val="0"/>
                <w:sz w:val="24"/>
                <w:szCs w:val="24"/>
                <w:lang w:val="en-US" w:eastAsia="zh-CN"/>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术中TCD</w:t>
            </w:r>
          </w:p>
        </w:tc>
        <w:tc>
          <w:tcPr>
            <w:tcW w:w="3348" w:type="dxa"/>
            <w:vMerge w:val="continue"/>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1</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vMerge w:val="continue"/>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kern w:val="0"/>
                <w:sz w:val="22"/>
                <w:szCs w:val="22"/>
                <w:lang w:val="en-US" w:eastAsia="zh-CN" w:bidi="ar"/>
              </w:rPr>
              <w:t>振动排痰仪</w:t>
            </w:r>
          </w:p>
        </w:tc>
        <w:tc>
          <w:tcPr>
            <w:tcW w:w="3348" w:type="dxa"/>
            <w:vMerge w:val="continue"/>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p>
        </w:tc>
        <w:tc>
          <w:tcPr>
            <w:tcW w:w="1250" w:type="dxa"/>
            <w:noWrap/>
            <w:tcMar>
              <w:top w:w="15" w:type="dxa"/>
              <w:left w:w="15" w:type="dxa"/>
              <w:right w:w="15" w:type="dxa"/>
            </w:tcMar>
            <w:vAlign w:val="center"/>
          </w:tcPr>
          <w:p>
            <w:pPr>
              <w:keepNext w:val="0"/>
              <w:keepLines w:val="0"/>
              <w:widowControl/>
              <w:suppressLineNumbers w:val="0"/>
              <w:jc w:val="center"/>
              <w:textAlignment w:val="center"/>
              <w:rPr>
                <w:rFonts w:ascii="等线" w:hAnsi="等线" w:eastAsia="等线" w:cs="等线"/>
                <w:color w:val="000000"/>
                <w:kern w:val="0"/>
                <w:sz w:val="20"/>
                <w:szCs w:val="20"/>
                <w:lang w:bidi="ar"/>
              </w:rPr>
            </w:pPr>
            <w:r>
              <w:rPr>
                <w:rFonts w:hint="eastAsia" w:ascii="仿宋" w:hAnsi="仿宋" w:eastAsia="仿宋" w:cs="仿宋"/>
                <w:i w:val="0"/>
                <w:iCs w:val="0"/>
                <w:color w:val="000000"/>
                <w:kern w:val="0"/>
                <w:sz w:val="24"/>
                <w:szCs w:val="24"/>
                <w:u w:val="none"/>
                <w:lang w:val="en-US" w:eastAsia="zh-CN" w:bidi="ar"/>
              </w:rPr>
              <w:t>2</w:t>
            </w:r>
          </w:p>
        </w:tc>
        <w:tc>
          <w:tcPr>
            <w:tcW w:w="890" w:type="dxa"/>
            <w:noWrap/>
            <w:tcMar>
              <w:top w:w="15" w:type="dxa"/>
              <w:left w:w="15" w:type="dxa"/>
              <w:right w:w="15" w:type="dxa"/>
            </w:tcMar>
            <w:vAlign w:val="center"/>
          </w:tcPr>
          <w:p>
            <w:pPr>
              <w:widowControl/>
              <w:jc w:val="center"/>
              <w:textAlignment w:val="center"/>
              <w:rPr>
                <w:rFonts w:ascii="等线" w:hAnsi="等线" w:eastAsia="等线" w:cs="等线"/>
                <w:color w:val="000000"/>
                <w:kern w:val="0"/>
                <w:sz w:val="22"/>
                <w:szCs w:val="22"/>
                <w:lang w:bidi="ar"/>
              </w:rPr>
            </w:pPr>
            <w:r>
              <w:rPr>
                <w:rFonts w:hint="eastAsia" w:ascii="等线" w:hAnsi="等线" w:eastAsia="等线" w:cs="等线"/>
                <w:color w:val="000000"/>
                <w:kern w:val="0"/>
                <w:sz w:val="22"/>
                <w:szCs w:val="22"/>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1187" w:type="dxa"/>
            <w:shd w:val="clear" w:color="auto" w:fill="auto"/>
            <w:noWrap/>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kern w:val="0"/>
                <w:sz w:val="24"/>
                <w:szCs w:val="24"/>
                <w:lang w:val="en-US" w:eastAsia="zh-CN"/>
              </w:rPr>
              <w:t>标项</w:t>
            </w:r>
            <w:r>
              <w:rPr>
                <w:rFonts w:hint="eastAsia" w:ascii="仿宋" w:hAnsi="仿宋" w:eastAsia="仿宋" w:cs="仿宋"/>
                <w:sz w:val="24"/>
                <w:szCs w:val="24"/>
                <w:lang w:val="en-US" w:eastAsia="zh-CN"/>
              </w:rPr>
              <w:t>4</w:t>
            </w:r>
          </w:p>
        </w:tc>
        <w:tc>
          <w:tcPr>
            <w:tcW w:w="1815" w:type="dxa"/>
            <w:shd w:val="clear" w:color="auto" w:fill="FFFFFF"/>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val="en-US" w:eastAsia="zh-CN" w:bidi="ar"/>
              </w:rPr>
            </w:pPr>
            <w:r>
              <w:rPr>
                <w:rFonts w:hint="eastAsia" w:ascii="华文宋体" w:hAnsi="华文宋体" w:eastAsia="华文宋体" w:cs="华文宋体"/>
                <w:color w:val="auto"/>
                <w:kern w:val="0"/>
                <w:sz w:val="22"/>
                <w:szCs w:val="22"/>
                <w:lang w:bidi="ar"/>
              </w:rPr>
              <w:t>手术器械</w:t>
            </w:r>
          </w:p>
        </w:tc>
        <w:tc>
          <w:tcPr>
            <w:tcW w:w="3348" w:type="dxa"/>
            <w:noWrap/>
            <w:tcMar>
              <w:top w:w="15" w:type="dxa"/>
              <w:left w:w="15" w:type="dxa"/>
              <w:right w:w="15" w:type="dxa"/>
            </w:tcMar>
            <w:vAlign w:val="center"/>
          </w:tcPr>
          <w:p>
            <w:pPr>
              <w:widowControl/>
              <w:jc w:val="center"/>
              <w:textAlignment w:val="center"/>
              <w:rPr>
                <w:rFonts w:hint="eastAsia" w:ascii="华文宋体" w:hAnsi="华文宋体" w:eastAsia="华文宋体" w:cs="华文宋体"/>
                <w:kern w:val="0"/>
                <w:sz w:val="22"/>
                <w:szCs w:val="22"/>
                <w:lang w:bidi="ar"/>
              </w:rPr>
            </w:pPr>
            <w:r>
              <w:rPr>
                <w:rFonts w:hint="eastAsia" w:ascii="华文宋体" w:hAnsi="华文宋体" w:eastAsia="华文宋体" w:cs="华文宋体"/>
                <w:color w:val="auto"/>
                <w:kern w:val="0"/>
                <w:sz w:val="22"/>
                <w:szCs w:val="22"/>
                <w:lang w:bidi="ar"/>
              </w:rPr>
              <w:t>手术室</w:t>
            </w:r>
          </w:p>
        </w:tc>
        <w:tc>
          <w:tcPr>
            <w:tcW w:w="1250" w:type="dxa"/>
            <w:noWrap/>
            <w:tcMar>
              <w:top w:w="15" w:type="dxa"/>
              <w:left w:w="15" w:type="dxa"/>
              <w:right w:w="15" w:type="dxa"/>
            </w:tcMar>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等线" w:hAnsi="等线" w:eastAsia="等线" w:cs="等线"/>
                <w:color w:val="auto"/>
                <w:kern w:val="0"/>
                <w:sz w:val="22"/>
                <w:szCs w:val="22"/>
                <w:lang w:bidi="ar"/>
              </w:rPr>
              <w:t>1</w:t>
            </w:r>
          </w:p>
        </w:tc>
        <w:tc>
          <w:tcPr>
            <w:tcW w:w="890" w:type="dxa"/>
            <w:noWrap/>
            <w:tcMar>
              <w:top w:w="15" w:type="dxa"/>
              <w:left w:w="15" w:type="dxa"/>
              <w:right w:w="15" w:type="dxa"/>
            </w:tcMar>
            <w:vAlign w:val="center"/>
          </w:tcPr>
          <w:p>
            <w:pPr>
              <w:widowControl/>
              <w:jc w:val="center"/>
              <w:textAlignment w:val="center"/>
              <w:rPr>
                <w:rFonts w:hint="eastAsia" w:ascii="等线" w:hAnsi="等线" w:eastAsia="等线" w:cs="等线"/>
                <w:color w:val="000000"/>
                <w:kern w:val="0"/>
                <w:sz w:val="22"/>
                <w:szCs w:val="22"/>
                <w:lang w:val="en-US" w:eastAsia="zh-CN" w:bidi="ar"/>
              </w:rPr>
            </w:pPr>
            <w:r>
              <w:rPr>
                <w:rFonts w:hint="eastAsia" w:ascii="等线" w:hAnsi="等线" w:eastAsia="等线" w:cs="等线"/>
                <w:color w:val="auto"/>
                <w:kern w:val="0"/>
                <w:sz w:val="22"/>
                <w:szCs w:val="22"/>
                <w:lang w:bidi="ar"/>
              </w:rPr>
              <w:t>批</w:t>
            </w:r>
          </w:p>
        </w:tc>
      </w:tr>
    </w:tbl>
    <w:p>
      <w:pPr>
        <w:pStyle w:val="9"/>
      </w:pPr>
    </w:p>
    <w:p>
      <w:pPr>
        <w:pStyle w:val="14"/>
        <w:keepNext w:val="0"/>
        <w:keepLines w:val="0"/>
        <w:pageBreakBefore w:val="0"/>
        <w:widowControl w:val="0"/>
        <w:numPr>
          <w:ilvl w:val="0"/>
          <w:numId w:val="0"/>
        </w:numPr>
        <w:kinsoku/>
        <w:wordWrap/>
        <w:overflowPunct/>
        <w:topLinePunct w:val="0"/>
        <w:bidi w:val="0"/>
        <w:adjustRightInd w:val="0"/>
        <w:snapToGrid w:val="0"/>
        <w:spacing w:line="560" w:lineRule="exact"/>
        <w:ind w:leftChars="0"/>
        <w:textAlignment w:val="auto"/>
        <w:rPr>
          <w:rFonts w:hint="default" w:ascii="仿宋" w:hAnsi="仿宋" w:eastAsia="仿宋" w:cs="仿宋"/>
          <w:b w:val="0"/>
          <w:bCs/>
          <w:color w:val="auto"/>
          <w:spacing w:val="20"/>
          <w:sz w:val="32"/>
          <w:szCs w:val="32"/>
          <w:lang w:val="en-US" w:eastAsia="zh-CN"/>
        </w:rPr>
      </w:pPr>
      <w:r>
        <w:rPr>
          <w:rFonts w:hint="eastAsia"/>
        </w:rPr>
        <w:br w:type="page"/>
      </w:r>
    </w:p>
    <w:p>
      <w:pPr>
        <w:pStyle w:val="9"/>
        <w:rPr>
          <w:rFonts w:hint="eastAsia"/>
          <w:lang w:val="en-US" w:eastAsia="zh-CN"/>
        </w:rPr>
      </w:pPr>
    </w:p>
    <w:p>
      <w:pPr>
        <w:rPr>
          <w:rFonts w:hint="eastAsia"/>
          <w:b/>
          <w:bCs/>
          <w:lang w:val="en-US" w:eastAsia="zh-CN"/>
        </w:rPr>
      </w:pPr>
      <w:r>
        <w:rPr>
          <w:rFonts w:hint="eastAsia" w:ascii="仿宋" w:hAnsi="仿宋" w:eastAsia="仿宋" w:cs="仿宋"/>
          <w:b/>
          <w:bCs/>
          <w:kern w:val="0"/>
          <w:sz w:val="24"/>
          <w:szCs w:val="24"/>
          <w:lang w:val="en-US" w:eastAsia="zh-CN"/>
        </w:rPr>
        <w:t>标项</w:t>
      </w:r>
      <w:r>
        <w:rPr>
          <w:rFonts w:hint="eastAsia" w:ascii="仿宋" w:hAnsi="仿宋" w:eastAsia="仿宋" w:cs="仿宋"/>
          <w:b/>
          <w:bCs/>
          <w:sz w:val="24"/>
          <w:szCs w:val="24"/>
        </w:rPr>
        <w:t>1</w:t>
      </w: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color w:val="auto"/>
          <w:sz w:val="44"/>
          <w:szCs w:val="44"/>
        </w:rPr>
      </w:pPr>
      <w:r>
        <w:rPr>
          <w:rFonts w:hint="eastAsia" w:ascii="仿宋" w:hAnsi="仿宋" w:eastAsia="仿宋" w:cs="仿宋"/>
          <w:color w:val="auto"/>
          <w:sz w:val="44"/>
          <w:szCs w:val="44"/>
          <w:lang w:val="en-US" w:eastAsia="zh-CN"/>
        </w:rPr>
        <w:t>经颅磁刺激仪</w:t>
      </w:r>
      <w:r>
        <w:rPr>
          <w:rFonts w:hint="eastAsia" w:ascii="仿宋" w:hAnsi="仿宋" w:eastAsia="仿宋" w:cs="仿宋"/>
          <w:color w:val="auto"/>
          <w:sz w:val="44"/>
          <w:szCs w:val="44"/>
        </w:rPr>
        <w:t>技术参数</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1、刺激频率：0-100Hz 连续可调。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具有</w:t>
      </w:r>
      <w:r>
        <w:rPr>
          <w:rFonts w:hint="eastAsia" w:ascii="仿宋" w:hAnsi="仿宋" w:eastAsia="仿宋" w:cs="仿宋"/>
          <w:color w:val="auto"/>
          <w:sz w:val="32"/>
          <w:szCs w:val="32"/>
        </w:rPr>
        <w:t>惰性液态内循环冷却系统；</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3.1具备</w:t>
      </w:r>
      <w:r>
        <w:rPr>
          <w:rFonts w:hint="eastAsia" w:ascii="仿宋" w:hAnsi="仿宋" w:eastAsia="仿宋" w:cs="仿宋"/>
          <w:color w:val="auto"/>
          <w:sz w:val="32"/>
          <w:szCs w:val="32"/>
        </w:rPr>
        <w:t>刺激频率、刺激强度、刺激时间显示；</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3.2具备</w:t>
      </w:r>
      <w:r>
        <w:rPr>
          <w:rFonts w:hint="eastAsia" w:ascii="仿宋" w:hAnsi="仿宋" w:eastAsia="仿宋" w:cs="仿宋"/>
          <w:color w:val="auto"/>
          <w:sz w:val="32"/>
          <w:szCs w:val="32"/>
        </w:rPr>
        <w:t>专家方案库、患者档案库、自定义方案；</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3.3具备</w:t>
      </w:r>
      <w:r>
        <w:rPr>
          <w:rFonts w:hint="eastAsia" w:ascii="仿宋" w:hAnsi="仿宋" w:eastAsia="仿宋" w:cs="仿宋"/>
          <w:color w:val="auto"/>
          <w:sz w:val="32"/>
          <w:szCs w:val="32"/>
        </w:rPr>
        <w:t>自定义自动停机保护时间、线圈温度控制保护上限等；</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3.4具有</w:t>
      </w:r>
      <w:r>
        <w:rPr>
          <w:rFonts w:hint="eastAsia" w:ascii="仿宋" w:hAnsi="仿宋" w:eastAsia="仿宋" w:cs="仿宋"/>
          <w:color w:val="auto"/>
          <w:sz w:val="32"/>
          <w:szCs w:val="32"/>
        </w:rPr>
        <w:t>联网功能，存储、输出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打印等功能。</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、最大刺激强度：1.5-6Tesla，连续可调；</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、最大磁场变化率：40-80KT/s</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、输出脉冲宽度：340μs±20μs；</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、脉冲上升时间：50μs±10μs</w:t>
      </w:r>
      <w:r>
        <w:rPr>
          <w:rFonts w:hint="eastAsia" w:ascii="仿宋" w:hAnsi="仿宋" w:eastAsia="仿宋" w:cs="仿宋"/>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、单脉冲、重复脉冲、连续重复脉冲、BURST、PATTERNED刺激等多种刺激模式可自由调整；</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、刺激模式和刺激强度可自主编程，手动/自动可自由转换；</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、配置内触发、外触发接口模式，可与国内外主流肌电仪、导航、脑电图等设备联机使用；</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、中文界面，</w:t>
      </w:r>
      <w:r>
        <w:rPr>
          <w:rFonts w:hint="eastAsia" w:ascii="仿宋" w:hAnsi="仿宋" w:eastAsia="仿宋" w:cs="仿宋"/>
          <w:strike w:val="0"/>
          <w:dstrike w:val="0"/>
          <w:color w:val="auto"/>
          <w:sz w:val="32"/>
          <w:szCs w:val="32"/>
          <w:lang w:val="en-US" w:eastAsia="zh-CN"/>
        </w:rPr>
        <w:t>具备</w:t>
      </w:r>
      <w:r>
        <w:rPr>
          <w:rFonts w:hint="eastAsia" w:ascii="仿宋" w:hAnsi="仿宋" w:eastAsia="仿宋" w:cs="仿宋"/>
          <w:color w:val="auto"/>
          <w:sz w:val="32"/>
          <w:szCs w:val="32"/>
        </w:rPr>
        <w:t>开机自检、故障报警与自锁等功能。</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trike w:val="0"/>
          <w:dstrike w:val="0"/>
          <w:color w:val="auto"/>
          <w:sz w:val="32"/>
          <w:szCs w:val="32"/>
        </w:rPr>
      </w:pPr>
      <w:r>
        <w:rPr>
          <w:rFonts w:hint="eastAsia" w:ascii="仿宋" w:hAnsi="仿宋" w:eastAsia="仿宋" w:cs="仿宋"/>
          <w:color w:val="auto"/>
          <w:sz w:val="32"/>
          <w:szCs w:val="32"/>
        </w:rPr>
        <w:t>13、刺激线圈可实现双面双向刺激；刺激线圈防尘防水。</w:t>
      </w:r>
      <w:r>
        <w:rPr>
          <w:rFonts w:hint="eastAsia" w:ascii="仿宋" w:hAnsi="仿宋" w:eastAsia="仿宋" w:cs="仿宋"/>
          <w:strike w:val="0"/>
          <w:dstrike w:val="0"/>
          <w:color w:val="auto"/>
          <w:sz w:val="32"/>
          <w:szCs w:val="32"/>
          <w:lang w:val="en-US" w:eastAsia="zh-CN"/>
        </w:rPr>
        <w:t>配置线圈</w:t>
      </w:r>
      <w:r>
        <w:rPr>
          <w:rFonts w:hint="eastAsia" w:ascii="仿宋" w:hAnsi="仿宋" w:eastAsia="仿宋" w:cs="仿宋"/>
          <w:strike w:val="0"/>
          <w:dstrike w:val="0"/>
          <w:color w:val="auto"/>
          <w:sz w:val="32"/>
          <w:szCs w:val="32"/>
        </w:rPr>
        <w:t>：成人八字形线圈</w:t>
      </w:r>
      <w:r>
        <w:rPr>
          <w:rFonts w:hint="eastAsia" w:ascii="仿宋" w:hAnsi="仿宋" w:eastAsia="仿宋" w:cs="仿宋"/>
          <w:strike w:val="0"/>
          <w:dstrike w:val="0"/>
          <w:color w:val="auto"/>
          <w:sz w:val="32"/>
          <w:szCs w:val="32"/>
          <w:lang w:val="en-US" w:eastAsia="zh-CN"/>
        </w:rPr>
        <w:t>1个</w:t>
      </w:r>
      <w:r>
        <w:rPr>
          <w:rFonts w:hint="eastAsia" w:ascii="仿宋" w:hAnsi="仿宋" w:eastAsia="仿宋" w:cs="仿宋"/>
          <w:strike w:val="0"/>
          <w:dstrike w:val="0"/>
          <w:color w:val="auto"/>
          <w:sz w:val="32"/>
          <w:szCs w:val="32"/>
        </w:rPr>
        <w:t>、成人圆形线圈</w:t>
      </w:r>
      <w:r>
        <w:rPr>
          <w:rFonts w:hint="eastAsia" w:ascii="仿宋" w:hAnsi="仿宋" w:eastAsia="仿宋" w:cs="仿宋"/>
          <w:strike w:val="0"/>
          <w:dstrike w:val="0"/>
          <w:color w:val="auto"/>
          <w:sz w:val="32"/>
          <w:szCs w:val="32"/>
          <w:lang w:val="en-US" w:eastAsia="zh-CN"/>
        </w:rPr>
        <w:t>1个</w:t>
      </w:r>
      <w:r>
        <w:rPr>
          <w:rFonts w:hint="eastAsia" w:ascii="仿宋" w:hAnsi="仿宋" w:eastAsia="仿宋" w:cs="仿宋"/>
          <w:strike w:val="0"/>
          <w:dstrike w:val="0"/>
          <w:color w:val="auto"/>
          <w:sz w:val="32"/>
          <w:szCs w:val="32"/>
        </w:rPr>
        <w:t>；</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具备</w:t>
      </w:r>
      <w:r>
        <w:rPr>
          <w:rFonts w:hint="eastAsia" w:ascii="仿宋" w:hAnsi="仿宋" w:eastAsia="仿宋" w:cs="仿宋"/>
          <w:color w:val="auto"/>
          <w:sz w:val="32"/>
          <w:szCs w:val="32"/>
        </w:rPr>
        <w:t>ISO13485、ISO9001质量体系认证；</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15、一体式可推移整机结构：</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a)静音脚轮设计；        </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b)可固定线圈支架；</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16、MEP检测，MEP图形、数字显示与输出；</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a)通道数不低于两通道</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★b)采样率不低于100KHz</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17</w:t>
      </w:r>
      <w:r>
        <w:rPr>
          <w:rFonts w:hint="eastAsia" w:ascii="仿宋" w:hAnsi="仿宋" w:eastAsia="仿宋" w:cs="仿宋"/>
          <w:strike w:val="0"/>
          <w:dstrike w:val="0"/>
          <w:color w:val="auto"/>
          <w:sz w:val="32"/>
          <w:szCs w:val="32"/>
          <w:lang w:eastAsia="zh-CN"/>
        </w:rPr>
        <w:t>、</w:t>
      </w:r>
      <w:r>
        <w:rPr>
          <w:rFonts w:hint="eastAsia" w:ascii="仿宋" w:hAnsi="仿宋" w:eastAsia="仿宋" w:cs="仿宋"/>
          <w:strike w:val="0"/>
          <w:dstrike w:val="0"/>
          <w:color w:val="auto"/>
          <w:sz w:val="32"/>
          <w:szCs w:val="32"/>
          <w:lang w:val="en-US" w:eastAsia="zh-CN"/>
        </w:rPr>
        <w:t>配置</w:t>
      </w:r>
      <w:r>
        <w:rPr>
          <w:rFonts w:hint="eastAsia" w:ascii="仿宋" w:hAnsi="仿宋" w:eastAsia="仿宋" w:cs="仿宋"/>
          <w:strike w:val="0"/>
          <w:dstrike w:val="0"/>
          <w:color w:val="auto"/>
          <w:sz w:val="32"/>
          <w:szCs w:val="32"/>
        </w:rPr>
        <w:t>近红外下的经颅磁刺激系统，特制的TMS刺激线圈和光纤探头帽（线圈与光纤帽二合一），实现精准重复刺激，有效地评估TMS疗效，方便用户进行脑功能方面更深层次的研究（注：投标时附刺激线圈和光纤探头帽联合应用的截图）；</w:t>
      </w:r>
    </w:p>
    <w:p>
      <w:pPr>
        <w:pStyle w:val="9"/>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trike w:val="0"/>
          <w:dstrike w:val="0"/>
          <w:color w:val="auto"/>
          <w:sz w:val="32"/>
          <w:szCs w:val="32"/>
        </w:rPr>
      </w:pPr>
      <w:r>
        <w:rPr>
          <w:rFonts w:hint="eastAsia" w:ascii="仿宋" w:hAnsi="仿宋" w:eastAsia="仿宋" w:cs="仿宋"/>
          <w:strike w:val="0"/>
          <w:dstrike w:val="0"/>
          <w:color w:val="auto"/>
          <w:sz w:val="32"/>
          <w:szCs w:val="32"/>
        </w:rPr>
        <w:t>18、</w:t>
      </w:r>
      <w:r>
        <w:rPr>
          <w:rFonts w:hint="eastAsia" w:ascii="仿宋" w:hAnsi="仿宋" w:eastAsia="仿宋" w:cs="仿宋"/>
          <w:strike w:val="0"/>
          <w:dstrike w:val="0"/>
          <w:color w:val="auto"/>
          <w:sz w:val="32"/>
          <w:szCs w:val="32"/>
          <w:lang w:val="en-US" w:eastAsia="zh-CN"/>
        </w:rPr>
        <w:t>配置</w:t>
      </w:r>
      <w:r>
        <w:rPr>
          <w:rFonts w:hint="eastAsia" w:ascii="仿宋" w:hAnsi="仿宋" w:eastAsia="仿宋" w:cs="仿宋"/>
          <w:strike w:val="0"/>
          <w:dstrike w:val="0"/>
          <w:color w:val="auto"/>
          <w:sz w:val="32"/>
          <w:szCs w:val="32"/>
        </w:rPr>
        <w:t>联机磁刺激智能机器人系统，保证TMS线圈靶点定位初始精准、过程精准和重复精准，以及智能化控制（注：投标时附经颅磁与机器人联用的使用场景截图）。</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19、提供配置清单。</w:t>
      </w:r>
    </w:p>
    <w:p>
      <w:pPr>
        <w:rPr>
          <w:rFonts w:hint="default" w:eastAsia="仿宋"/>
          <w:color w:val="auto"/>
          <w:lang w:val="en-US" w:eastAsia="zh-CN"/>
        </w:rPr>
      </w:pPr>
    </w:p>
    <w:p>
      <w:pPr>
        <w:rPr>
          <w:rFonts w:hint="eastAsia"/>
        </w:rPr>
      </w:pPr>
    </w:p>
    <w:p>
      <w:pPr>
        <w:rPr>
          <w:rFonts w:hint="eastAsia"/>
        </w:rPr>
      </w:pPr>
      <w:r>
        <w:rPr>
          <w:rFonts w:hint="eastAsia"/>
        </w:rPr>
        <w:br w:type="page"/>
      </w:r>
    </w:p>
    <w:p>
      <w:pPr>
        <w:rPr>
          <w:rFonts w:hint="eastAsia" w:eastAsia="仿宋"/>
          <w:b/>
          <w:bCs/>
          <w:lang w:val="en-US" w:eastAsia="zh-CN"/>
        </w:rPr>
      </w:pPr>
      <w:r>
        <w:rPr>
          <w:rFonts w:hint="eastAsia" w:ascii="仿宋" w:hAnsi="仿宋" w:eastAsia="仿宋" w:cs="仿宋"/>
          <w:b/>
          <w:bCs/>
          <w:kern w:val="0"/>
          <w:sz w:val="24"/>
          <w:szCs w:val="24"/>
          <w:lang w:val="en-US" w:eastAsia="zh-CN"/>
        </w:rPr>
        <w:t>标项</w:t>
      </w:r>
      <w:r>
        <w:rPr>
          <w:rFonts w:hint="eastAsia" w:ascii="仿宋" w:hAnsi="仿宋" w:eastAsia="仿宋" w:cs="仿宋"/>
          <w:b/>
          <w:bCs/>
          <w:sz w:val="24"/>
          <w:szCs w:val="24"/>
          <w:lang w:val="en-US" w:eastAsia="zh-CN"/>
        </w:rPr>
        <w:t>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磁刺激仪（双位）技术参数</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国别：国产</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数量：1</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1、刺激频率：0.1-40Hz可调;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2、冷却系统为液态内循环冷却系统，非风冷和半导体冷却，保证设备24小时连续工作；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★3、主机为双通道刺激模式，同时安装2个刺激线圈，两个线圈可以分别进行单刺激线圈独立刺激，也可以进行双刺激线圈联合刺激；</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4、刺激线圈：能实现双面双向刺激。（提供截图证明）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5、刺激线圈无散热孔无风扇，配</w:t>
      </w:r>
      <w:r>
        <w:rPr>
          <w:rFonts w:hint="eastAsia" w:ascii="仿宋" w:hAnsi="仿宋" w:eastAsia="仿宋" w:cs="仿宋"/>
          <w:color w:val="auto"/>
          <w:sz w:val="32"/>
          <w:szCs w:val="32"/>
          <w:lang w:val="en-US" w:eastAsia="zh-CN"/>
        </w:rPr>
        <w:t>置</w:t>
      </w:r>
      <w:r>
        <w:rPr>
          <w:rFonts w:hint="eastAsia" w:ascii="仿宋" w:hAnsi="仿宋" w:eastAsia="仿宋" w:cs="仿宋"/>
          <w:color w:val="auto"/>
          <w:sz w:val="32"/>
          <w:szCs w:val="32"/>
        </w:rPr>
        <w:t>：成人八字形线圈、成人圆形线圈</w:t>
      </w:r>
      <w:r>
        <w:rPr>
          <w:rFonts w:hint="eastAsia" w:ascii="仿宋" w:hAnsi="仿宋" w:eastAsia="仿宋" w:cs="仿宋"/>
          <w:color w:val="auto"/>
          <w:sz w:val="32"/>
          <w:szCs w:val="32"/>
          <w:lang w:val="en-US" w:eastAsia="zh-CN"/>
        </w:rPr>
        <w:t>各一个</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★6、最大刺激强度</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6Tesla</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7、刺激强度1.0-6Tesla连续可调；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8、磁感应强度最大变化率：40KT-70KT；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9、脉冲上升时间：60μs±10μs</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10、单个脉冲持续时间（脉冲宽度）：340μs±20μs（或双向波单边脉冲宽度不低于260μs）</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11、人机交互系统采用便携PC机控制操作，中文界面，非触摸屏，能实现机器开机自检、故障报警与自锁等功能。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12、电脑操作管理方式，能实现：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a)硬盘储存、USB储存； b)专家方案、病历管理、以及病历打印输出；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c)刺激模式图形（数字）仿真、温度显示与控制保护。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13、双通道MEP可独立应用，进行MEP检测，以及MEP图形、数字显示与输出；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a)通道数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★b)采样率</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100KHz</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14、一体式可推移整机结构：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a)静音脚轮设计；</w:t>
      </w:r>
      <w:r>
        <w:rPr>
          <w:rFonts w:hint="eastAsia" w:ascii="仿宋" w:hAnsi="仿宋" w:eastAsia="仿宋" w:cs="仿宋"/>
          <w:color w:val="auto"/>
          <w:sz w:val="32"/>
          <w:szCs w:val="32"/>
        </w:rPr>
        <w:tab/>
      </w:r>
      <w:r>
        <w:rPr>
          <w:rFonts w:hint="eastAsia" w:ascii="仿宋" w:hAnsi="仿宋" w:eastAsia="仿宋" w:cs="仿宋"/>
          <w:color w:val="auto"/>
          <w:sz w:val="32"/>
          <w:szCs w:val="32"/>
        </w:rPr>
        <w:t>b)可固定线圈支架；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15、具备触发输入输出通用接口。</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16、单脉冲、重复脉冲、</w:t>
      </w:r>
      <w:r>
        <w:rPr>
          <w:rFonts w:hint="eastAsia" w:ascii="仿宋" w:hAnsi="仿宋" w:eastAsia="仿宋" w:cs="仿宋"/>
          <w:strike w:val="0"/>
          <w:dstrike w:val="0"/>
          <w:color w:val="auto"/>
          <w:sz w:val="32"/>
          <w:szCs w:val="32"/>
        </w:rPr>
        <w:t>BURST、PATTEREND</w:t>
      </w:r>
      <w:r>
        <w:rPr>
          <w:rFonts w:hint="eastAsia" w:ascii="仿宋" w:hAnsi="仿宋" w:eastAsia="仿宋" w:cs="仿宋"/>
          <w:color w:val="auto"/>
          <w:sz w:val="32"/>
          <w:szCs w:val="32"/>
        </w:rPr>
        <w:t>刺激的多种刺激模式自由调整。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17、产品符合《中华人民共和国医药行业标准--磁刺激行业标准》（YY/T0994-2015）相关要求。</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18、设备生产厂家取得国际认证机构认证的ISO13485、ISO9001质量体系认证。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20、提供配置清单。</w:t>
      </w:r>
    </w:p>
    <w:p>
      <w:pPr>
        <w:rPr>
          <w:rFonts w:hint="eastAsia"/>
        </w:rPr>
      </w:pPr>
    </w:p>
    <w:p>
      <w:pPr>
        <w:rPr>
          <w:rFonts w:hint="eastAsia"/>
        </w:rPr>
      </w:pPr>
      <w:r>
        <w:rPr>
          <w:rFonts w:hint="eastAsia"/>
        </w:rPr>
        <w:br w:type="page"/>
      </w:r>
    </w:p>
    <w:p>
      <w:pPr>
        <w:rPr>
          <w:rFonts w:hint="eastAsia" w:eastAsia="仿宋"/>
          <w:b/>
          <w:bCs/>
          <w:lang w:val="en-US" w:eastAsia="zh-CN"/>
        </w:rPr>
      </w:pPr>
      <w:r>
        <w:rPr>
          <w:rFonts w:hint="eastAsia" w:ascii="仿宋" w:hAnsi="仿宋" w:eastAsia="仿宋" w:cs="仿宋"/>
          <w:b/>
          <w:bCs/>
          <w:kern w:val="0"/>
          <w:sz w:val="24"/>
          <w:szCs w:val="24"/>
          <w:lang w:val="en-US" w:eastAsia="zh-CN"/>
        </w:rPr>
        <w:t>标项</w:t>
      </w:r>
      <w:r>
        <w:rPr>
          <w:rFonts w:hint="eastAsia" w:ascii="仿宋" w:hAnsi="仿宋" w:eastAsia="仿宋" w:cs="仿宋"/>
          <w:b/>
          <w:bCs/>
          <w:sz w:val="24"/>
          <w:szCs w:val="24"/>
          <w:lang w:val="en-US" w:eastAsia="zh-CN"/>
        </w:rPr>
        <w:t>3</w:t>
      </w:r>
    </w:p>
    <w:p>
      <w:pPr>
        <w:rPr>
          <w:rFonts w:hint="eastAsia"/>
        </w:rPr>
      </w:pPr>
    </w:p>
    <w:p>
      <w:pPr>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数字化多功能脑电图仪技术参数</w:t>
      </w:r>
    </w:p>
    <w:p>
      <w:pPr>
        <w:jc w:val="both"/>
        <w:rPr>
          <w:rFonts w:hint="eastAsia" w:asciiTheme="minorEastAsia" w:hAnsiTheme="minorEastAsia" w:cstheme="minorEastAsia"/>
          <w:b/>
          <w:color w:val="auto"/>
          <w:sz w:val="32"/>
          <w:szCs w:val="32"/>
          <w:lang w:val="en-US" w:eastAsia="zh-CN"/>
        </w:rPr>
      </w:pPr>
      <w:r>
        <w:rPr>
          <w:rFonts w:hint="eastAsia" w:asciiTheme="minorEastAsia" w:hAnsiTheme="minorEastAsia" w:cstheme="minorEastAsia"/>
          <w:b/>
          <w:color w:val="auto"/>
          <w:sz w:val="32"/>
          <w:szCs w:val="32"/>
          <w:lang w:val="en-US" w:eastAsia="zh-CN"/>
        </w:rPr>
        <w:t>国别：国产</w:t>
      </w:r>
    </w:p>
    <w:p>
      <w:pPr>
        <w:jc w:val="both"/>
        <w:rPr>
          <w:rFonts w:hint="default" w:asciiTheme="minorEastAsia" w:hAnsiTheme="minorEastAsia" w:cstheme="minorEastAsia"/>
          <w:b/>
          <w:color w:val="auto"/>
          <w:sz w:val="32"/>
          <w:szCs w:val="32"/>
          <w:lang w:val="en-US" w:eastAsia="zh-CN"/>
        </w:rPr>
      </w:pPr>
      <w:r>
        <w:rPr>
          <w:rFonts w:hint="eastAsia" w:asciiTheme="minorEastAsia" w:hAnsiTheme="minorEastAsia" w:cstheme="minorEastAsia"/>
          <w:b/>
          <w:color w:val="auto"/>
          <w:sz w:val="32"/>
          <w:szCs w:val="32"/>
          <w:lang w:val="en-US" w:eastAsia="zh-CN"/>
        </w:rPr>
        <w:t>数量：1台</w:t>
      </w:r>
    </w:p>
    <w:p>
      <w:pPr>
        <w:ind w:left="1"/>
        <w:jc w:val="left"/>
        <w:rPr>
          <w:rFonts w:hint="eastAsia" w:asciiTheme="minorEastAsia" w:hAnsiTheme="minorEastAsia" w:eastAsiaTheme="minorEastAsia" w:cstheme="minorEastAsia"/>
          <w:b/>
          <w:color w:val="auto"/>
          <w:sz w:val="24"/>
          <w:szCs w:val="21"/>
          <w:lang w:eastAsia="zh-CN"/>
        </w:rPr>
      </w:pPr>
      <w:r>
        <w:rPr>
          <w:rFonts w:hint="eastAsia" w:asciiTheme="minorEastAsia" w:hAnsiTheme="minorEastAsia" w:cstheme="minorEastAsia"/>
          <w:b/>
          <w:color w:val="auto"/>
          <w:sz w:val="24"/>
          <w:szCs w:val="21"/>
          <w:lang w:val="en-US" w:eastAsia="zh-CN"/>
        </w:rPr>
        <w:t>一</w:t>
      </w:r>
      <w:r>
        <w:rPr>
          <w:rFonts w:hint="eastAsia" w:asciiTheme="minorEastAsia" w:hAnsiTheme="minorEastAsia" w:eastAsiaTheme="minorEastAsia" w:cstheme="minorEastAsia"/>
          <w:b/>
          <w:color w:val="auto"/>
          <w:sz w:val="24"/>
          <w:szCs w:val="21"/>
        </w:rPr>
        <w:t>、硬件</w:t>
      </w:r>
      <w:r>
        <w:rPr>
          <w:rFonts w:hint="eastAsia" w:asciiTheme="minorEastAsia" w:hAnsiTheme="minorEastAsia" w:cstheme="minorEastAsia"/>
          <w:b/>
          <w:color w:val="auto"/>
          <w:sz w:val="24"/>
          <w:szCs w:val="21"/>
          <w:lang w:val="en-US" w:eastAsia="zh-CN"/>
        </w:rPr>
        <w:t>参数</w:t>
      </w:r>
      <w:r>
        <w:rPr>
          <w:rFonts w:hint="eastAsia" w:asciiTheme="minorEastAsia" w:hAnsiTheme="minorEastAsia" w:eastAsiaTheme="minorEastAsia" w:cstheme="minorEastAsia"/>
          <w:b/>
          <w:color w:val="auto"/>
          <w:sz w:val="24"/>
          <w:szCs w:val="21"/>
        </w:rPr>
        <w:t>要求</w:t>
      </w:r>
      <w:r>
        <w:rPr>
          <w:rFonts w:hint="eastAsia" w:asciiTheme="minorEastAsia" w:hAnsiTheme="minorEastAsia" w:cstheme="minorEastAsia"/>
          <w:b/>
          <w:color w:val="auto"/>
          <w:sz w:val="24"/>
          <w:szCs w:val="21"/>
          <w:lang w:eastAsia="zh-CN"/>
        </w:rPr>
        <w:t>：</w:t>
      </w:r>
    </w:p>
    <w:p>
      <w:pPr>
        <w:pStyle w:val="42"/>
        <w:numPr>
          <w:ilvl w:val="0"/>
          <w:numId w:val="3"/>
        </w:numPr>
        <w:snapToGrid w:val="0"/>
        <w:spacing w:line="276"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放大器：≥</w:t>
      </w:r>
      <w:r>
        <w:rPr>
          <w:rFonts w:hint="eastAsia" w:asciiTheme="minorEastAsia" w:hAnsiTheme="minorEastAsia" w:eastAsiaTheme="minorEastAsia" w:cstheme="minorEastAsia"/>
          <w:color w:val="auto"/>
          <w:sz w:val="24"/>
          <w:szCs w:val="24"/>
          <w:lang w:val="en-US" w:eastAsia="zh-CN"/>
        </w:rPr>
        <w:t>32</w:t>
      </w:r>
      <w:r>
        <w:rPr>
          <w:rFonts w:hint="eastAsia" w:asciiTheme="minorEastAsia" w:hAnsiTheme="minorEastAsia" w:eastAsiaTheme="minorEastAsia" w:cstheme="minorEastAsia"/>
          <w:color w:val="auto"/>
          <w:sz w:val="24"/>
          <w:szCs w:val="24"/>
        </w:rPr>
        <w:t>通道（另带参考电极）；病人事件信号输入EVENT输入；支持血氧夹信号采集扩展；</w:t>
      </w:r>
      <w:r>
        <w:rPr>
          <w:rFonts w:hint="eastAsia" w:asciiTheme="minorEastAsia" w:hAnsiTheme="minorEastAsia" w:eastAsiaTheme="minorEastAsia" w:cstheme="minorEastAsia"/>
          <w:color w:val="auto"/>
          <w:sz w:val="24"/>
          <w:szCs w:val="24"/>
          <w:lang w:val="en-US" w:eastAsia="zh-CN"/>
        </w:rPr>
        <w:t>4导DC输入。</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血氧夹：同步检测血氧饱和度SpO2、脉率PR；</w:t>
      </w:r>
    </w:p>
    <w:p>
      <w:pPr>
        <w:pStyle w:val="42"/>
        <w:numPr>
          <w:ilvl w:val="0"/>
          <w:numId w:val="3"/>
        </w:numPr>
        <w:snapToGrid w:val="0"/>
        <w:spacing w:line="276"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高清视频音频组件：可通过软件控制摄像头360°旋转，调节焦距，缩放局部画面；视频帧数≥10 frames/s；分辨率≥1920*1080；高感度麦克风，信噪比≥75db、360°全向拾音；</w:t>
      </w:r>
    </w:p>
    <w:p>
      <w:pPr>
        <w:pStyle w:val="42"/>
        <w:numPr>
          <w:ilvl w:val="0"/>
          <w:numId w:val="3"/>
        </w:numPr>
        <w:snapToGrid w:val="0"/>
        <w:spacing w:line="276"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闪光刺激器：具有滤光片插槽，可方便更换不同的滤光片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提供不同颜色、图案的特异性的光刺激；通过软件设置闪光刺激条件包括刺激模式、刺激频率、刺激时间、间隔时间等； </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1"/>
        </w:rPr>
        <w:t>★</w:t>
      </w:r>
      <w:r>
        <w:rPr>
          <w:rFonts w:hint="eastAsia" w:asciiTheme="minorEastAsia" w:hAnsiTheme="minorEastAsia" w:eastAsiaTheme="minorEastAsia" w:cstheme="minorEastAsia"/>
          <w:color w:val="auto"/>
          <w:sz w:val="24"/>
          <w:szCs w:val="24"/>
        </w:rPr>
        <w:t>采样率：100</w:t>
      </w:r>
      <w:r>
        <w:rPr>
          <w:rFonts w:hint="eastAsia" w:asciiTheme="minorEastAsia" w:hAnsiTheme="minorEastAsia" w:eastAsiaTheme="minorEastAsia" w:cstheme="minorEastAsia"/>
          <w:color w:val="auto"/>
          <w:sz w:val="24"/>
          <w:szCs w:val="24"/>
          <w:lang w:val="en-US" w:eastAsia="zh-CN"/>
        </w:rPr>
        <w:t>Hz</w:t>
      </w:r>
      <w:r>
        <w:rPr>
          <w:rFonts w:hint="eastAsia" w:asciiTheme="minorEastAsia" w:hAnsiTheme="minorEastAsia" w:eastAsiaTheme="minorEastAsia" w:cstheme="minorEastAsia"/>
          <w:color w:val="auto"/>
          <w:sz w:val="24"/>
          <w:szCs w:val="24"/>
        </w:rPr>
        <w:t>，200</w:t>
      </w:r>
      <w:r>
        <w:rPr>
          <w:rFonts w:hint="eastAsia" w:asciiTheme="minorEastAsia" w:hAnsiTheme="minorEastAsia" w:eastAsiaTheme="minorEastAsia" w:cstheme="minorEastAsia"/>
          <w:color w:val="auto"/>
          <w:sz w:val="24"/>
          <w:szCs w:val="24"/>
          <w:lang w:val="en-US" w:eastAsia="zh-CN"/>
        </w:rPr>
        <w:t>Hz</w:t>
      </w:r>
      <w:r>
        <w:rPr>
          <w:rFonts w:hint="eastAsia" w:asciiTheme="minorEastAsia" w:hAnsiTheme="minorEastAsia" w:eastAsiaTheme="minorEastAsia" w:cstheme="minorEastAsia"/>
          <w:color w:val="auto"/>
          <w:sz w:val="24"/>
          <w:szCs w:val="24"/>
        </w:rPr>
        <w:t>，500</w:t>
      </w:r>
      <w:r>
        <w:rPr>
          <w:rFonts w:hint="eastAsia" w:asciiTheme="minorEastAsia" w:hAnsiTheme="minorEastAsia" w:eastAsiaTheme="minorEastAsia" w:cstheme="minorEastAsia"/>
          <w:color w:val="auto"/>
          <w:sz w:val="24"/>
          <w:szCs w:val="24"/>
          <w:lang w:val="en-US" w:eastAsia="zh-CN"/>
        </w:rPr>
        <w:t>Hz</w:t>
      </w:r>
      <w:r>
        <w:rPr>
          <w:rFonts w:hint="eastAsia" w:asciiTheme="minorEastAsia" w:hAnsiTheme="minorEastAsia" w:eastAsiaTheme="minorEastAsia" w:cstheme="minorEastAsia"/>
          <w:color w:val="auto"/>
          <w:sz w:val="24"/>
          <w:szCs w:val="24"/>
        </w:rPr>
        <w:t>，1000</w:t>
      </w:r>
      <w:r>
        <w:rPr>
          <w:rFonts w:hint="eastAsia" w:asciiTheme="minorEastAsia" w:hAnsiTheme="minorEastAsia" w:eastAsiaTheme="minorEastAsia" w:cstheme="minorEastAsia"/>
          <w:color w:val="auto"/>
          <w:sz w:val="24"/>
          <w:szCs w:val="24"/>
          <w:lang w:val="en-US" w:eastAsia="zh-CN"/>
        </w:rPr>
        <w:t>Hz</w:t>
      </w:r>
      <w:r>
        <w:rPr>
          <w:rFonts w:hint="eastAsia" w:asciiTheme="minorEastAsia" w:hAnsiTheme="minorEastAsia" w:eastAsiaTheme="minorEastAsia" w:cstheme="minorEastAsia"/>
          <w:color w:val="auto"/>
          <w:sz w:val="24"/>
          <w:szCs w:val="24"/>
        </w:rPr>
        <w:t>；</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采样分辨率(A/D Convertor)及精度： ≥</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bit；</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1"/>
        </w:rPr>
        <w:t>★</w:t>
      </w:r>
      <w:r>
        <w:rPr>
          <w:rFonts w:hint="eastAsia" w:asciiTheme="minorEastAsia" w:hAnsiTheme="minorEastAsia" w:eastAsiaTheme="minorEastAsia" w:cstheme="minorEastAsia"/>
          <w:color w:val="auto"/>
          <w:sz w:val="24"/>
          <w:szCs w:val="24"/>
        </w:rPr>
        <w:t>耐极化电压：±</w:t>
      </w:r>
      <w:r>
        <w:rPr>
          <w:rFonts w:hint="eastAsia" w:asciiTheme="minorEastAsia" w:hAnsiTheme="minorEastAsia" w:eastAsiaTheme="minorEastAsia" w:cstheme="minorEastAsia"/>
          <w:color w:val="auto"/>
          <w:sz w:val="24"/>
          <w:szCs w:val="24"/>
          <w:lang w:val="en-US" w:eastAsia="zh-CN"/>
        </w:rPr>
        <w:t>750</w:t>
      </w:r>
      <w:r>
        <w:rPr>
          <w:rFonts w:hint="eastAsia" w:asciiTheme="minorEastAsia" w:hAnsiTheme="minorEastAsia" w:eastAsiaTheme="minorEastAsia" w:cstheme="minorEastAsia"/>
          <w:color w:val="auto"/>
          <w:sz w:val="24"/>
          <w:szCs w:val="24"/>
        </w:rPr>
        <w:t>mV；</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放大器输入阻抗: ≥100MΩ；</w:t>
      </w:r>
    </w:p>
    <w:p>
      <w:pPr>
        <w:pStyle w:val="42"/>
        <w:numPr>
          <w:ilvl w:val="0"/>
          <w:numId w:val="3"/>
        </w:numPr>
        <w:snapToGrid w:val="0"/>
        <w:spacing w:line="360" w:lineRule="auto"/>
        <w:ind w:left="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共模抑制比：≥11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dB；</w:t>
      </w:r>
    </w:p>
    <w:p>
      <w:pPr>
        <w:pStyle w:val="42"/>
        <w:numPr>
          <w:ilvl w:val="0"/>
          <w:numId w:val="3"/>
        </w:numPr>
        <w:snapToGrid w:val="0"/>
        <w:spacing w:line="360" w:lineRule="auto"/>
        <w:ind w:left="1"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噪声电平：≤</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μV p-p；</w:t>
      </w:r>
    </w:p>
    <w:p>
      <w:pPr>
        <w:pStyle w:val="42"/>
        <w:numPr>
          <w:ilvl w:val="0"/>
          <w:numId w:val="3"/>
        </w:numPr>
        <w:snapToGrid w:val="0"/>
        <w:spacing w:line="360" w:lineRule="auto"/>
        <w:ind w:left="1"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带宽： 0.08Hz–300Hz；</w:t>
      </w:r>
    </w:p>
    <w:p>
      <w:pPr>
        <w:pStyle w:val="42"/>
        <w:numPr>
          <w:ilvl w:val="0"/>
          <w:numId w:val="3"/>
        </w:numPr>
        <w:snapToGrid w:val="0"/>
        <w:spacing w:line="276" w:lineRule="auto"/>
        <w:ind w:left="1"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阻抗检测：可以在软件界面上启动阻抗检测，电极阻抗的监检测阈值可以设置:</w:t>
      </w:r>
      <w:r>
        <w:rPr>
          <w:rFonts w:hint="eastAsia" w:asciiTheme="minorEastAsia" w:hAnsiTheme="minorEastAsia" w:cstheme="minorEastAsia"/>
          <w:color w:val="auto"/>
          <w:sz w:val="24"/>
          <w:szCs w:val="24"/>
          <w:lang w:val="en-US" w:eastAsia="zh-CN"/>
        </w:rPr>
        <w:t>≥五档可调</w:t>
      </w:r>
      <w:r>
        <w:rPr>
          <w:rFonts w:hint="eastAsia" w:asciiTheme="minorEastAsia" w:hAnsiTheme="minorEastAsia" w:eastAsiaTheme="minorEastAsia" w:cstheme="minorEastAsia"/>
          <w:color w:val="auto"/>
          <w:sz w:val="24"/>
          <w:szCs w:val="24"/>
        </w:rPr>
        <w:t>，高于预先设定阈值的电极红色高亮显示；</w:t>
      </w:r>
    </w:p>
    <w:p>
      <w:pPr>
        <w:pStyle w:val="42"/>
        <w:snapToGrid w:val="0"/>
        <w:spacing w:line="360" w:lineRule="auto"/>
        <w:ind w:firstLine="0" w:firstLineChars="0"/>
        <w:jc w:val="left"/>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rPr>
        <w:t>软件</w:t>
      </w:r>
      <w:r>
        <w:rPr>
          <w:rFonts w:hint="eastAsia" w:asciiTheme="minorEastAsia" w:hAnsiTheme="minorEastAsia" w:cstheme="minorEastAsia"/>
          <w:b/>
          <w:color w:val="auto"/>
          <w:sz w:val="24"/>
          <w:szCs w:val="24"/>
          <w:lang w:val="en-US" w:eastAsia="zh-CN"/>
        </w:rPr>
        <w:t>参数</w:t>
      </w:r>
      <w:r>
        <w:rPr>
          <w:rFonts w:hint="eastAsia" w:asciiTheme="minorEastAsia" w:hAnsiTheme="minorEastAsia" w:eastAsiaTheme="minorEastAsia" w:cstheme="minorEastAsia"/>
          <w:b/>
          <w:color w:val="auto"/>
          <w:sz w:val="24"/>
          <w:szCs w:val="24"/>
        </w:rPr>
        <w:t>要求</w:t>
      </w:r>
      <w:r>
        <w:rPr>
          <w:rFonts w:hint="eastAsia" w:asciiTheme="minorEastAsia" w:hAnsiTheme="minorEastAsia" w:cstheme="minorEastAsia"/>
          <w:b/>
          <w:color w:val="auto"/>
          <w:sz w:val="24"/>
          <w:szCs w:val="24"/>
          <w:lang w:eastAsia="zh-CN"/>
        </w:rPr>
        <w:t>：</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电压测量：误差不超过±10%；</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时间常数：0.03s~0.1s 误差不超过±40%；大于0.1s 误差不超过±20%；</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幅频特性：1H</w:t>
      </w:r>
      <w:r>
        <w:rPr>
          <w:rFonts w:hint="eastAsia" w:asciiTheme="minorEastAsia" w:hAnsiTheme="minorEastAsia" w:eastAsiaTheme="minorEastAsia" w:cstheme="minorEastAsia"/>
          <w:color w:val="auto"/>
          <w:sz w:val="24"/>
          <w:szCs w:val="24"/>
          <w:lang w:val="en-US" w:eastAsia="zh-CN"/>
        </w:rPr>
        <w:t>z</w:t>
      </w:r>
      <w:r>
        <w:rPr>
          <w:rFonts w:hint="eastAsia" w:asciiTheme="minorEastAsia" w:hAnsiTheme="minorEastAsia" w:cstheme="minorEastAsia"/>
          <w:color w:val="auto"/>
          <w:sz w:val="24"/>
          <w:szCs w:val="24"/>
          <w:lang w:val="en-US" w:eastAsia="zh-CN"/>
        </w:rPr>
        <w:t>至</w:t>
      </w:r>
      <w:r>
        <w:rPr>
          <w:rFonts w:hint="eastAsia" w:asciiTheme="minorEastAsia" w:hAnsiTheme="minorEastAsia" w:eastAsiaTheme="minorEastAsia" w:cstheme="minorEastAsia"/>
          <w:color w:val="auto"/>
          <w:sz w:val="24"/>
          <w:szCs w:val="24"/>
          <w:lang w:val="en-US" w:eastAsia="zh-CN"/>
        </w:rPr>
        <w:t>120</w:t>
      </w:r>
      <w:r>
        <w:rPr>
          <w:rFonts w:hint="eastAsia" w:asciiTheme="minorEastAsia" w:hAnsiTheme="minorEastAsia" w:eastAsiaTheme="minorEastAsia" w:cstheme="minorEastAsia"/>
          <w:color w:val="auto"/>
          <w:sz w:val="24"/>
          <w:szCs w:val="24"/>
        </w:rPr>
        <w:t>H</w:t>
      </w:r>
      <w:r>
        <w:rPr>
          <w:rFonts w:hint="eastAsia" w:asciiTheme="minorEastAsia" w:hAnsiTheme="minorEastAsia" w:eastAsiaTheme="minorEastAsia" w:cstheme="minorEastAsia"/>
          <w:color w:val="auto"/>
          <w:sz w:val="24"/>
          <w:szCs w:val="24"/>
          <w:lang w:val="en-US" w:eastAsia="zh-CN"/>
        </w:rPr>
        <w:t>z</w:t>
      </w:r>
      <w:r>
        <w:rPr>
          <w:rFonts w:hint="eastAsia" w:asciiTheme="minorEastAsia" w:hAnsiTheme="minorEastAsia" w:eastAsiaTheme="minorEastAsia" w:cstheme="minorEastAsia"/>
          <w:color w:val="auto"/>
          <w:sz w:val="24"/>
          <w:szCs w:val="24"/>
        </w:rPr>
        <w:t>，偏差不超过﹢5%</w:t>
      </w:r>
      <w:r>
        <w:rPr>
          <w:rFonts w:hint="eastAsia" w:asciiTheme="minorEastAsia" w:hAnsiTheme="minorEastAsia" w:cstheme="minorEastAsia"/>
          <w:color w:val="auto"/>
          <w:sz w:val="24"/>
          <w:szCs w:val="24"/>
          <w:lang w:val="en-US" w:eastAsia="zh-CN"/>
        </w:rPr>
        <w:t>至</w:t>
      </w:r>
      <w:r>
        <w:rPr>
          <w:rFonts w:hint="eastAsia" w:asciiTheme="minorEastAsia" w:hAnsiTheme="minorEastAsia" w:eastAsiaTheme="minorEastAsia" w:cstheme="minorEastAsia"/>
          <w:color w:val="auto"/>
          <w:sz w:val="24"/>
          <w:szCs w:val="24"/>
        </w:rPr>
        <w:t>﹣30%；</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功率谱频谱：误差不超过±10%；</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功率谱幅度：偏差不超过±10%；</w:t>
      </w:r>
    </w:p>
    <w:p>
      <w:pPr>
        <w:pStyle w:val="42"/>
        <w:numPr>
          <w:ilvl w:val="0"/>
          <w:numId w:val="4"/>
        </w:numPr>
        <w:snapToGrid w:val="0"/>
        <w:spacing w:line="276"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灵敏度：OFF、1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200μV/mm；</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时间常数RC（低切滤波）</w:t>
      </w:r>
      <w:r>
        <w:rPr>
          <w:rFonts w:hint="eastAsia" w:asciiTheme="minorEastAsia" w:hAnsiTheme="minorEastAsia" w:cstheme="minorEastAsia"/>
          <w:color w:val="auto"/>
          <w:sz w:val="24"/>
          <w:szCs w:val="24"/>
          <w:lang w:val="en-US" w:eastAsia="zh-CN"/>
        </w:rPr>
        <w:t>范围</w:t>
      </w:r>
      <w:r>
        <w:rPr>
          <w:rFonts w:hint="eastAsia" w:asciiTheme="minorEastAsia" w:hAnsiTheme="minorEastAsia" w:eastAsiaTheme="minorEastAsia" w:cstheme="minorEastAsia"/>
          <w:color w:val="auto"/>
          <w:sz w:val="24"/>
          <w:szCs w:val="24"/>
        </w:rPr>
        <w:t>：0.001</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2s；</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高切滤波器</w:t>
      </w:r>
      <w:r>
        <w:rPr>
          <w:rFonts w:hint="eastAsia" w:asciiTheme="minorEastAsia" w:hAnsiTheme="minorEastAsia" w:cstheme="minorEastAsia"/>
          <w:color w:val="auto"/>
          <w:sz w:val="24"/>
          <w:szCs w:val="24"/>
          <w:lang w:val="en-US" w:eastAsia="zh-CN"/>
        </w:rPr>
        <w:t>范围</w:t>
      </w:r>
      <w:r>
        <w:rPr>
          <w:rFonts w:hint="eastAsia" w:asciiTheme="minorEastAsia" w:hAnsiTheme="minorEastAsia" w:eastAsiaTheme="minorEastAsia" w:cstheme="minorEastAsia"/>
          <w:color w:val="auto"/>
          <w:sz w:val="24"/>
          <w:szCs w:val="24"/>
        </w:rPr>
        <w:t>：15</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300Hz；</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交流滤波器（陷波滤波器)：50Hz；</w:t>
      </w:r>
    </w:p>
    <w:p>
      <w:pPr>
        <w:pStyle w:val="42"/>
        <w:numPr>
          <w:ilvl w:val="0"/>
          <w:numId w:val="4"/>
        </w:numPr>
        <w:snapToGrid w:val="0"/>
        <w:spacing w:line="276"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波形扫描速度： 4 秒</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60 秒、5 分/页或自定义</w:t>
      </w:r>
      <w:r>
        <w:rPr>
          <w:rFonts w:hint="eastAsia" w:asciiTheme="minorEastAsia" w:hAnsiTheme="minorEastAsia" w:cstheme="minorEastAsia"/>
          <w:color w:val="auto"/>
          <w:sz w:val="24"/>
          <w:szCs w:val="24"/>
          <w:lang w:val="en-US" w:eastAsia="zh-CN"/>
        </w:rPr>
        <w:t>可调</w:t>
      </w:r>
      <w:r>
        <w:rPr>
          <w:rFonts w:hint="eastAsia" w:asciiTheme="minorEastAsia" w:hAnsiTheme="minorEastAsia" w:eastAsiaTheme="minorEastAsia" w:cstheme="minorEastAsia"/>
          <w:color w:val="auto"/>
          <w:sz w:val="24"/>
          <w:szCs w:val="24"/>
        </w:rPr>
        <w:t xml:space="preserve"> ；</w:t>
      </w:r>
    </w:p>
    <w:p>
      <w:pPr>
        <w:pStyle w:val="42"/>
        <w:numPr>
          <w:ilvl w:val="0"/>
          <w:numId w:val="4"/>
        </w:numPr>
        <w:snapToGrid w:val="0"/>
        <w:spacing w:line="276"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波形回放：支持翻页、1/10翻页、自动翻译、自动播放，支持指定时间或事件跳转；</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导联：导联显示 ≥64，支持导联显示、关闭和冻结、添加注释；</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参考电极：AV、 Aav、0V、 OFF；</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头型导联显示： 预设5套组合，可自定义13套组合；</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校准电压</w:t>
      </w:r>
      <w:r>
        <w:rPr>
          <w:rFonts w:hint="eastAsia" w:asciiTheme="minorEastAsia" w:hAnsiTheme="minorEastAsia" w:cstheme="minorEastAsia"/>
          <w:color w:val="auto"/>
          <w:sz w:val="24"/>
          <w:szCs w:val="24"/>
          <w:lang w:val="en-US" w:eastAsia="zh-CN"/>
        </w:rPr>
        <w:t>范围</w:t>
      </w:r>
      <w:r>
        <w:rPr>
          <w:rFonts w:hint="eastAsia" w:asciiTheme="minorEastAsia" w:hAnsiTheme="minorEastAsia" w:eastAsiaTheme="minorEastAsia" w:cstheme="minorEastAsia"/>
          <w:color w:val="auto"/>
          <w:sz w:val="24"/>
          <w:szCs w:val="24"/>
        </w:rPr>
        <w:t>： 2</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1000μV；</w:t>
      </w:r>
    </w:p>
    <w:p>
      <w:pPr>
        <w:pStyle w:val="42"/>
        <w:numPr>
          <w:ilvl w:val="0"/>
          <w:numId w:val="4"/>
        </w:numPr>
        <w:snapToGrid w:val="0"/>
        <w:spacing w:line="360" w:lineRule="auto"/>
        <w:ind w:left="1" w:hanging="1"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校准信号</w:t>
      </w:r>
      <w:r>
        <w:rPr>
          <w:rFonts w:hint="eastAsia" w:asciiTheme="minorEastAsia" w:hAnsiTheme="minorEastAsia" w:cstheme="minorEastAsia"/>
          <w:color w:val="auto"/>
          <w:sz w:val="24"/>
          <w:szCs w:val="24"/>
          <w:lang w:val="en-US" w:eastAsia="zh-CN"/>
        </w:rPr>
        <w:t>范围</w:t>
      </w:r>
      <w:r>
        <w:rPr>
          <w:rFonts w:hint="eastAsia" w:asciiTheme="minorEastAsia" w:hAnsiTheme="minorEastAsia" w:eastAsiaTheme="minorEastAsia" w:cstheme="minorEastAsia"/>
          <w:color w:val="auto"/>
          <w:sz w:val="24"/>
          <w:szCs w:val="24"/>
        </w:rPr>
        <w:t>：0.25 Hz方波或10 Hz正弦波，自动/手动校准模式；</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波形测量：任意波形局部时间/振幅/频率的自动测量；动态定规尺，自动调节频率和波幅最佳测量范围；时间振幅测量尺，方便测量单个波峰的频率、振幅；波形对比，通过拖曳可叠加两导联进行波形对称性对比;</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事件标记：支持事件名称自定义编辑功能，支持事件跳转；</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qEEG（定量脑电图）：具有自定义的波段功率分析，幅值分析，功率比分析</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包括</w:t>
      </w:r>
      <w:r>
        <w:rPr>
          <w:rFonts w:hint="eastAsia" w:asciiTheme="minorEastAsia" w:hAnsiTheme="minorEastAsia" w:eastAsiaTheme="minorEastAsia" w:cstheme="minorEastAsia"/>
          <w:color w:val="auto"/>
          <w:sz w:val="24"/>
        </w:rPr>
        <w:t>RBP</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ABP、TP</w:t>
      </w:r>
      <w:r>
        <w:rPr>
          <w:rFonts w:hint="eastAsia" w:asciiTheme="minorEastAsia" w:hAnsiTheme="minorEastAsia" w:eastAsiaTheme="minorEastAsia" w:cstheme="minorEastAsia"/>
          <w:color w:val="auto"/>
          <w:sz w:val="24"/>
        </w:rPr>
        <w:t>，慢快波功率比DTABR（δ+θ/α+β），DAR（δ/α）,</w:t>
      </w:r>
      <w:r>
        <w:rPr>
          <w:rFonts w:hint="eastAsia" w:asciiTheme="minorEastAsia" w:hAnsiTheme="minorEastAsia" w:eastAsiaTheme="minorEastAsia" w:cstheme="minorEastAsia"/>
          <w:color w:val="auto"/>
          <w:sz w:val="24"/>
          <w:lang w:val="en-US" w:eastAsia="zh-CN"/>
        </w:rPr>
        <w:t>峰值频率</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PPF</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边值频率（SEF）、振幅整合脑电图（aEEG）、彩色密度频谱分析（cDSA）</w:t>
      </w:r>
      <w:r>
        <w:rPr>
          <w:rFonts w:hint="eastAsia" w:asciiTheme="minorEastAsia" w:hAnsiTheme="minorEastAsia" w:eastAsiaTheme="minorEastAsia" w:cstheme="minorEastAsia"/>
          <w:color w:val="auto"/>
          <w:sz w:val="24"/>
        </w:rPr>
        <w:t>等指数统计与计算功能；</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自定义10组显示标签，可以自由组合不同导联的不同定量功能，并通过标签一键切换显示。</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脑电地形图显示：支持多种地形图显示方式，包括频率地形图与电位地形图，可显示色阶能量值，支持动态播放；</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实时回放：在检测记录同时，可对之前上一个病人病历进行回访、分析、报告 ；</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EDF格式数据保存：无需专用回放软件即可播放脑电数据，辅助教学；</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过度换气诱发试验语音提示：提供语音播报指导患者进行过渡换气诱发试验；</w:t>
      </w:r>
    </w:p>
    <w:p>
      <w:pPr>
        <w:pStyle w:val="42"/>
        <w:numPr>
          <w:ilvl w:val="0"/>
          <w:numId w:val="4"/>
        </w:numPr>
        <w:snapToGrid w:val="0"/>
        <w:spacing w:after="240"/>
        <w:ind w:firstLineChars="0"/>
        <w:rPr>
          <w:rFonts w:hint="eastAsia" w:asciiTheme="minorEastAsia" w:hAnsiTheme="minorEastAsia" w:eastAsiaTheme="minorEastAsia" w:cstheme="minorEastAsia"/>
          <w:color w:val="auto"/>
          <w:sz w:val="24"/>
        </w:rPr>
      </w:pPr>
      <w:r>
        <w:rPr>
          <w:rFonts w:hint="eastAsia" w:asciiTheme="minorEastAsia" w:hAnsiTheme="minorEastAsia" w:cstheme="minorEastAsia"/>
          <w:color w:val="auto"/>
          <w:sz w:val="24"/>
          <w:lang w:val="en-US" w:eastAsia="zh-CN"/>
        </w:rPr>
        <w:t>具备</w:t>
      </w:r>
      <w:r>
        <w:rPr>
          <w:rFonts w:hint="eastAsia" w:asciiTheme="minorEastAsia" w:hAnsiTheme="minorEastAsia" w:eastAsiaTheme="minorEastAsia" w:cstheme="minorEastAsia"/>
          <w:color w:val="auto"/>
          <w:sz w:val="24"/>
        </w:rPr>
        <w:t>断电自动保存</w:t>
      </w:r>
      <w:r>
        <w:rPr>
          <w:rFonts w:hint="eastAsia" w:asciiTheme="minorEastAsia" w:hAnsiTheme="minorEastAsia" w:cstheme="minorEastAsia"/>
          <w:color w:val="auto"/>
          <w:sz w:val="24"/>
          <w:lang w:val="en-US" w:eastAsia="zh-CN"/>
        </w:rPr>
        <w:t>功能</w:t>
      </w:r>
      <w:r>
        <w:rPr>
          <w:rFonts w:hint="eastAsia" w:asciiTheme="minorEastAsia" w:hAnsiTheme="minorEastAsia" w:eastAsiaTheme="minorEastAsia" w:cstheme="minorEastAsia"/>
          <w:color w:val="auto"/>
          <w:sz w:val="24"/>
        </w:rPr>
        <w:t>；</w:t>
      </w:r>
    </w:p>
    <w:p>
      <w:pPr>
        <w:rPr>
          <w:rFonts w:hint="eastAsia" w:asciiTheme="minorEastAsia" w:hAnsiTheme="minorEastAsia" w:eastAsiaTheme="minorEastAsia" w:cstheme="minorEastAsia"/>
          <w:color w:val="auto"/>
        </w:rPr>
      </w:pPr>
    </w:p>
    <w:p>
      <w:pPr>
        <w:rPr>
          <w:rFonts w:hint="eastAsia" w:ascii="仿宋" w:hAnsi="仿宋" w:eastAsia="仿宋" w:cs="仿宋"/>
          <w:b/>
          <w:bCs w:val="0"/>
          <w:color w:val="auto"/>
          <w:sz w:val="36"/>
          <w:szCs w:val="36"/>
          <w:lang w:val="zh-CN"/>
        </w:rPr>
      </w:pPr>
    </w:p>
    <w:p>
      <w:pPr>
        <w:rPr>
          <w:rFonts w:hint="eastAsia" w:ascii="仿宋" w:hAnsi="仿宋" w:eastAsia="仿宋" w:cs="仿宋"/>
          <w:b/>
          <w:bCs w:val="0"/>
          <w:color w:val="auto"/>
          <w:sz w:val="36"/>
          <w:szCs w:val="36"/>
          <w:lang w:val="zh-CN"/>
        </w:rPr>
      </w:pPr>
      <w:r>
        <w:rPr>
          <w:rFonts w:hint="eastAsia" w:ascii="仿宋" w:hAnsi="仿宋" w:eastAsia="仿宋" w:cs="仿宋"/>
          <w:b/>
          <w:bCs w:val="0"/>
          <w:color w:val="auto"/>
          <w:sz w:val="36"/>
          <w:szCs w:val="36"/>
          <w:lang w:val="zh-CN"/>
        </w:rPr>
        <w:br w:type="page"/>
      </w:r>
    </w:p>
    <w:p>
      <w:pPr>
        <w:keepNext w:val="0"/>
        <w:keepLines w:val="0"/>
        <w:pageBreakBefore w:val="0"/>
        <w:kinsoku/>
        <w:wordWrap/>
        <w:overflowPunct/>
        <w:topLinePunct w:val="0"/>
        <w:bidi w:val="0"/>
        <w:adjustRightInd w:val="0"/>
        <w:snapToGrid w:val="0"/>
        <w:spacing w:beforeAutospacing="0" w:afterAutospacing="0" w:line="560" w:lineRule="exact"/>
        <w:jc w:val="center"/>
        <w:textAlignment w:val="auto"/>
        <w:rPr>
          <w:rFonts w:hint="eastAsia" w:ascii="仿宋" w:hAnsi="仿宋" w:eastAsia="仿宋" w:cs="仿宋"/>
          <w:b/>
          <w:bCs w:val="0"/>
          <w:color w:val="auto"/>
          <w:sz w:val="36"/>
          <w:szCs w:val="36"/>
          <w:lang w:val="zh-CN"/>
        </w:rPr>
      </w:pPr>
      <w:r>
        <w:rPr>
          <w:rFonts w:hint="eastAsia" w:ascii="仿宋" w:hAnsi="仿宋" w:eastAsia="仿宋" w:cs="仿宋"/>
          <w:b/>
          <w:bCs w:val="0"/>
          <w:color w:val="auto"/>
          <w:sz w:val="36"/>
          <w:szCs w:val="36"/>
          <w:lang w:val="zh-CN"/>
        </w:rPr>
        <w:t>经颅多普勒血流分析仪（术中TCD）</w:t>
      </w:r>
    </w:p>
    <w:p>
      <w:pPr>
        <w:keepNext w:val="0"/>
        <w:keepLines w:val="0"/>
        <w:pageBreakBefore w:val="0"/>
        <w:numPr>
          <w:ilvl w:val="0"/>
          <w:numId w:val="5"/>
        </w:numPr>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设备名称：</w:t>
      </w:r>
      <w:r>
        <w:rPr>
          <w:rFonts w:hint="eastAsia" w:ascii="仿宋" w:hAnsi="仿宋" w:eastAsia="仿宋" w:cs="仿宋"/>
          <w:b w:val="0"/>
          <w:bCs/>
          <w:color w:val="auto"/>
          <w:sz w:val="32"/>
          <w:szCs w:val="32"/>
          <w:lang w:val="zh-CN" w:eastAsia="zh-CN"/>
        </w:rPr>
        <w:t>经颅多普勒血流分析仪</w:t>
      </w:r>
    </w:p>
    <w:p>
      <w:pPr>
        <w:keepNext w:val="0"/>
        <w:keepLines w:val="0"/>
        <w:pageBreakBefore w:val="0"/>
        <w:numPr>
          <w:ilvl w:val="0"/>
          <w:numId w:val="5"/>
        </w:numPr>
        <w:kinsoku/>
        <w:wordWrap/>
        <w:overflowPunct/>
        <w:topLinePunct w:val="0"/>
        <w:bidi w:val="0"/>
        <w:adjustRightInd w:val="0"/>
        <w:snapToGrid w:val="0"/>
        <w:spacing w:beforeAutospacing="0" w:afterAutospacing="0" w:line="560" w:lineRule="exac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国别：国产</w:t>
      </w:r>
    </w:p>
    <w:p>
      <w:pPr>
        <w:keepNext w:val="0"/>
        <w:keepLines w:val="0"/>
        <w:pageBreakBefore w:val="0"/>
        <w:numPr>
          <w:ilvl w:val="0"/>
          <w:numId w:val="5"/>
        </w:numPr>
        <w:kinsoku/>
        <w:wordWrap/>
        <w:overflowPunct/>
        <w:topLinePunct w:val="0"/>
        <w:bidi w:val="0"/>
        <w:adjustRightInd w:val="0"/>
        <w:snapToGrid w:val="0"/>
        <w:spacing w:beforeAutospacing="0" w:afterAutospacing="0" w:line="560" w:lineRule="exac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数量：1</w:t>
      </w:r>
    </w:p>
    <w:p>
      <w:pPr>
        <w:keepNext w:val="0"/>
        <w:keepLines w:val="0"/>
        <w:pageBreakBefore w:val="0"/>
        <w:numPr>
          <w:ilvl w:val="0"/>
          <w:numId w:val="5"/>
        </w:numPr>
        <w:kinsoku/>
        <w:wordWrap/>
        <w:overflowPunct/>
        <w:topLinePunct w:val="0"/>
        <w:bidi w:val="0"/>
        <w:adjustRightInd w:val="0"/>
        <w:snapToGrid w:val="0"/>
        <w:spacing w:beforeAutospacing="0" w:afterAutospacing="0" w:line="560" w:lineRule="exac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技术要求：</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一</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基本</w:t>
      </w:r>
      <w:r>
        <w:rPr>
          <w:rFonts w:hint="eastAsia" w:ascii="仿宋" w:hAnsi="仿宋" w:eastAsia="仿宋" w:cs="仿宋"/>
          <w:b w:val="0"/>
          <w:bCs/>
          <w:color w:val="auto"/>
          <w:sz w:val="32"/>
          <w:szCs w:val="32"/>
        </w:rPr>
        <w:t>要求</w:t>
      </w:r>
    </w:p>
    <w:p>
      <w:pPr>
        <w:keepNext w:val="0"/>
        <w:keepLines w:val="0"/>
        <w:pageBreakBefore w:val="0"/>
        <w:numPr>
          <w:ilvl w:val="0"/>
          <w:numId w:val="0"/>
        </w:numPr>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color w:val="auto"/>
          <w:sz w:val="32"/>
          <w:szCs w:val="32"/>
        </w:rPr>
      </w:pPr>
      <w:r>
        <w:rPr>
          <w:rFonts w:hint="eastAsia" w:ascii="仿宋" w:hAnsi="仿宋" w:eastAsia="仿宋" w:cs="仿宋"/>
          <w:b w:val="0"/>
          <w:bCs/>
          <w:color w:val="auto"/>
          <w:sz w:val="32"/>
          <w:szCs w:val="32"/>
        </w:rPr>
        <w:t>适用于颅内血管、锁骨下等颈部血管常规检查；具备微栓子监测、发泡试验、双通道脑血流监护等功能。</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二</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性能参数</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硬件要求：</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★1、便携一体式主机、触摸屏操作</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标配16MHZ术中探头1把，1.6MHZ</w:t>
      </w:r>
      <w:r>
        <w:rPr>
          <w:rFonts w:hint="eastAsia" w:ascii="仿宋" w:hAnsi="仿宋" w:eastAsia="仿宋" w:cs="仿宋"/>
          <w:color w:val="auto"/>
          <w:sz w:val="32"/>
          <w:szCs w:val="32"/>
        </w:rPr>
        <w:t>手持探头</w:t>
      </w:r>
      <w:r>
        <w:rPr>
          <w:rFonts w:hint="eastAsia" w:ascii="仿宋" w:hAnsi="仿宋" w:eastAsia="仿宋" w:cs="仿宋"/>
          <w:color w:val="auto"/>
          <w:sz w:val="32"/>
          <w:szCs w:val="32"/>
          <w:lang w:val="en-US" w:eastAsia="zh-CN"/>
        </w:rPr>
        <w:t>1把，4MHZ</w:t>
      </w:r>
      <w:r>
        <w:rPr>
          <w:rFonts w:hint="eastAsia" w:ascii="仿宋" w:hAnsi="仿宋" w:eastAsia="仿宋" w:cs="仿宋"/>
          <w:color w:val="auto"/>
          <w:sz w:val="32"/>
          <w:szCs w:val="32"/>
        </w:rPr>
        <w:t>手持探头</w:t>
      </w:r>
      <w:r>
        <w:rPr>
          <w:rFonts w:hint="eastAsia" w:ascii="仿宋" w:hAnsi="仿宋" w:eastAsia="仿宋" w:cs="仿宋"/>
          <w:color w:val="auto"/>
          <w:sz w:val="32"/>
          <w:szCs w:val="32"/>
          <w:lang w:val="en-US" w:eastAsia="zh-CN"/>
        </w:rPr>
        <w:t>1把，专用监护头架1个，1.6MHZ监护探头2把。</w:t>
      </w:r>
    </w:p>
    <w:p>
      <w:pPr>
        <w:pStyle w:val="21"/>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firstLine="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、高通滤波0-400Hz</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7档可调</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、小键盘自定义功能键≥4个，具有防水、防尘、防摔的功能（提供检验报告）</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软件要求：</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lang w:val="zh-CN"/>
        </w:rPr>
      </w:pP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lang w:val="zh-CN"/>
        </w:rPr>
        <w:t>、</w:t>
      </w:r>
      <w:r>
        <w:rPr>
          <w:rFonts w:hint="eastAsia" w:ascii="仿宋" w:hAnsi="仿宋" w:eastAsia="仿宋" w:cs="仿宋"/>
          <w:b w:val="0"/>
          <w:bCs/>
          <w:color w:val="auto"/>
          <w:sz w:val="32"/>
          <w:szCs w:val="32"/>
        </w:rPr>
        <w:t>最大血流速测量：50mm深度时，单向最大速度量程不低于750cm/s，68mm深度时，单向最大速度量程不低于600cm/s（提供检验报告）</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lang w:val="zh-CN"/>
        </w:rPr>
      </w:pPr>
      <w:r>
        <w:rPr>
          <w:rFonts w:hint="eastAsia" w:ascii="仿宋" w:hAnsi="仿宋" w:eastAsia="仿宋" w:cs="仿宋"/>
          <w:color w:val="auto"/>
          <w:sz w:val="32"/>
          <w:szCs w:val="32"/>
        </w:rPr>
        <w:t>★</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lang w:val="zh-CN"/>
        </w:rPr>
        <w:t>、</w:t>
      </w:r>
      <w:r>
        <w:rPr>
          <w:rFonts w:hint="eastAsia" w:ascii="仿宋" w:hAnsi="仿宋" w:eastAsia="仿宋" w:cs="仿宋"/>
          <w:b w:val="0"/>
          <w:bCs/>
          <w:color w:val="auto"/>
          <w:sz w:val="32"/>
          <w:szCs w:val="32"/>
        </w:rPr>
        <w:t>检测参数</w:t>
      </w:r>
      <w:r>
        <w:rPr>
          <w:rFonts w:hint="eastAsia" w:ascii="仿宋" w:hAnsi="仿宋" w:eastAsia="仿宋" w:cs="仿宋"/>
          <w:b w:val="0"/>
          <w:bCs/>
          <w:color w:val="auto"/>
          <w:sz w:val="32"/>
          <w:szCs w:val="32"/>
          <w:lang w:val="en-US" w:eastAsia="zh-CN"/>
        </w:rPr>
        <w:t>≥12种，至少具备</w:t>
      </w:r>
      <w:r>
        <w:rPr>
          <w:rFonts w:hint="eastAsia" w:ascii="仿宋" w:hAnsi="仿宋" w:eastAsia="仿宋" w:cs="仿宋"/>
          <w:b w:val="0"/>
          <w:bCs/>
          <w:color w:val="auto"/>
          <w:sz w:val="32"/>
          <w:szCs w:val="32"/>
        </w:rPr>
        <w:t>Peak、Dias、Mean、PI、RI、S/D、HR、SBI、HITS、TI、Dmean指数、lindegaard指数</w:t>
      </w:r>
      <w:r>
        <w:rPr>
          <w:rFonts w:hint="eastAsia" w:ascii="仿宋" w:hAnsi="仿宋" w:eastAsia="仿宋" w:cs="仿宋"/>
          <w:b w:val="0"/>
          <w:bCs/>
          <w:color w:val="auto"/>
          <w:sz w:val="32"/>
          <w:szCs w:val="32"/>
          <w:lang w:val="en-US" w:eastAsia="zh-CN"/>
        </w:rPr>
        <w:t>等。</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b w:val="0"/>
          <w:bCs/>
          <w:strike w:val="0"/>
          <w:dstrike w:val="0"/>
          <w:color w:val="auto"/>
          <w:sz w:val="32"/>
          <w:szCs w:val="32"/>
          <w:lang w:val="en-US" w:eastAsia="zh-CN"/>
        </w:rPr>
        <w:t>可</w:t>
      </w:r>
      <w:r>
        <w:rPr>
          <w:rFonts w:hint="eastAsia" w:ascii="仿宋" w:hAnsi="仿宋" w:eastAsia="仿宋" w:cs="仿宋"/>
          <w:b w:val="0"/>
          <w:bCs/>
          <w:color w:val="auto"/>
          <w:sz w:val="32"/>
          <w:szCs w:val="32"/>
        </w:rPr>
        <w:t>标识当前信号噪声处理状态</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b w:val="0"/>
          <w:bCs/>
          <w:strike w:val="0"/>
          <w:dstrike w:val="0"/>
          <w:color w:val="auto"/>
          <w:sz w:val="32"/>
          <w:szCs w:val="32"/>
        </w:rPr>
        <w:t>动态M模</w:t>
      </w:r>
      <w:r>
        <w:rPr>
          <w:rFonts w:hint="eastAsia" w:ascii="仿宋" w:hAnsi="仿宋" w:eastAsia="仿宋" w:cs="仿宋"/>
          <w:b w:val="0"/>
          <w:bCs/>
          <w:strike w:val="0"/>
          <w:dstrike w:val="0"/>
          <w:color w:val="auto"/>
          <w:sz w:val="32"/>
          <w:szCs w:val="32"/>
          <w:lang w:eastAsia="zh-CN"/>
        </w:rPr>
        <w:t>，</w:t>
      </w:r>
      <w:r>
        <w:rPr>
          <w:rFonts w:hint="eastAsia" w:ascii="仿宋" w:hAnsi="仿宋" w:eastAsia="仿宋" w:cs="仿宋"/>
          <w:b w:val="0"/>
          <w:bCs/>
          <w:color w:val="auto"/>
          <w:sz w:val="32"/>
          <w:szCs w:val="32"/>
        </w:rPr>
        <w:t>无限时记录原始血流信息，任何状态下可以实现</w:t>
      </w:r>
      <w:r>
        <w:rPr>
          <w:rFonts w:hint="eastAsia" w:ascii="仿宋" w:hAnsi="仿宋" w:eastAsia="仿宋" w:cs="仿宋"/>
          <w:b w:val="0"/>
          <w:bCs/>
          <w:color w:val="auto"/>
          <w:sz w:val="32"/>
          <w:szCs w:val="32"/>
          <w:lang w:val="en-US" w:eastAsia="zh-CN"/>
        </w:rPr>
        <w:t>至少</w:t>
      </w:r>
      <w:r>
        <w:rPr>
          <w:rFonts w:hint="eastAsia" w:ascii="仿宋" w:hAnsi="仿宋" w:eastAsia="仿宋" w:cs="仿宋"/>
          <w:b w:val="0"/>
          <w:bCs/>
          <w:color w:val="auto"/>
          <w:sz w:val="32"/>
          <w:szCs w:val="32"/>
        </w:rPr>
        <w:t>每1mm间隔的血流信息回放、测量，回放数据在任何电脑上都可以播放</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color w:val="auto"/>
          <w:sz w:val="32"/>
          <w:szCs w:val="32"/>
        </w:rPr>
      </w:pP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、M波速度分布</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血管内动态变化模拟显示</w:t>
      </w:r>
      <w:r>
        <w:rPr>
          <w:rFonts w:hint="eastAsia" w:ascii="仿宋" w:hAnsi="仿宋" w:eastAsia="仿宋" w:cs="仿宋"/>
          <w:b w:val="0"/>
          <w:bCs/>
          <w:color w:val="auto"/>
          <w:sz w:val="32"/>
          <w:szCs w:val="32"/>
          <w:lang w:eastAsia="zh-CN"/>
        </w:rPr>
        <w:t>。</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lang w:val="zh-CN"/>
        </w:rPr>
      </w:pPr>
      <w:r>
        <w:rPr>
          <w:rFonts w:hint="eastAsia" w:ascii="仿宋" w:hAnsi="仿宋" w:eastAsia="仿宋" w:cs="仿宋"/>
          <w:bCs/>
          <w:color w:val="auto"/>
          <w:sz w:val="32"/>
          <w:szCs w:val="32"/>
          <w:lang w:val="zh-CN"/>
        </w:rPr>
        <w:t>1</w:t>
      </w:r>
      <w:r>
        <w:rPr>
          <w:rFonts w:hint="eastAsia" w:ascii="仿宋" w:hAnsi="仿宋" w:eastAsia="仿宋" w:cs="仿宋"/>
          <w:bCs/>
          <w:color w:val="auto"/>
          <w:sz w:val="32"/>
          <w:szCs w:val="32"/>
          <w:lang w:val="en-US" w:eastAsia="zh-CN"/>
        </w:rPr>
        <w:t>0</w:t>
      </w:r>
      <w:r>
        <w:rPr>
          <w:rFonts w:hint="eastAsia" w:ascii="仿宋" w:hAnsi="仿宋" w:eastAsia="仿宋" w:cs="仿宋"/>
          <w:bCs/>
          <w:color w:val="auto"/>
          <w:sz w:val="32"/>
          <w:szCs w:val="32"/>
          <w:lang w:val="zh-CN"/>
        </w:rPr>
        <w:t>、</w:t>
      </w:r>
      <w:r>
        <w:rPr>
          <w:rFonts w:hint="eastAsia" w:ascii="仿宋" w:hAnsi="仿宋" w:eastAsia="仿宋" w:cs="仿宋"/>
          <w:bCs/>
          <w:color w:val="auto"/>
          <w:sz w:val="32"/>
          <w:szCs w:val="32"/>
          <w:lang w:val="en-US" w:eastAsia="zh-CN"/>
        </w:rPr>
        <w:t>软件</w:t>
      </w:r>
      <w:r>
        <w:rPr>
          <w:rFonts w:hint="eastAsia" w:ascii="仿宋" w:hAnsi="仿宋" w:eastAsia="仿宋" w:cs="仿宋"/>
          <w:bCs/>
          <w:color w:val="auto"/>
          <w:sz w:val="32"/>
          <w:szCs w:val="32"/>
          <w:lang w:val="zh-CN"/>
        </w:rPr>
        <w:t>功能：</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10.1、</w:t>
      </w:r>
      <w:r>
        <w:rPr>
          <w:rFonts w:hint="eastAsia" w:ascii="仿宋" w:hAnsi="仿宋" w:eastAsia="仿宋" w:cs="仿宋"/>
          <w:b w:val="0"/>
          <w:bCs/>
          <w:color w:val="auto"/>
          <w:sz w:val="32"/>
          <w:szCs w:val="32"/>
          <w:lang w:val="zh-CN"/>
        </w:rPr>
        <w:t>频谱可进行栓子分析，可手动添加栓子事件；</w:t>
      </w:r>
    </w:p>
    <w:p>
      <w:pPr>
        <w:keepNext w:val="0"/>
        <w:keepLines w:val="0"/>
        <w:pageBreakBefore w:val="0"/>
        <w:kinsoku/>
        <w:wordWrap/>
        <w:overflowPunct/>
        <w:topLinePunct w:val="0"/>
        <w:bidi w:val="0"/>
        <w:adjustRightInd w:val="0"/>
        <w:snapToGrid w:val="0"/>
        <w:spacing w:beforeAutospacing="0" w:afterAutospacing="0"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10.2、</w:t>
      </w:r>
      <w:r>
        <w:rPr>
          <w:rFonts w:hint="eastAsia" w:ascii="仿宋" w:hAnsi="仿宋" w:eastAsia="仿宋" w:cs="仿宋"/>
          <w:b w:val="0"/>
          <w:bCs/>
          <w:color w:val="auto"/>
          <w:sz w:val="32"/>
          <w:szCs w:val="32"/>
          <w:lang w:val="zh-CN"/>
        </w:rPr>
        <w:t>频谱数据可再次分析，可手动标示；</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right="4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10.3、</w:t>
      </w:r>
      <w:r>
        <w:rPr>
          <w:rFonts w:hint="eastAsia" w:ascii="仿宋" w:hAnsi="仿宋" w:eastAsia="仿宋" w:cs="仿宋"/>
          <w:b w:val="0"/>
          <w:bCs/>
          <w:color w:val="auto"/>
          <w:sz w:val="32"/>
          <w:szCs w:val="32"/>
          <w:lang w:val="zh-CN"/>
        </w:rPr>
        <w:t>频谱图像可以同时进行双向参数计算、显示；</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right="40"/>
        <w:textAlignment w:val="auto"/>
        <w:rPr>
          <w:rFonts w:hint="eastAsia" w:ascii="仿宋" w:hAnsi="仿宋" w:eastAsia="仿宋" w:cs="仿宋"/>
          <w:bCs/>
          <w:color w:val="auto"/>
          <w:sz w:val="32"/>
          <w:szCs w:val="32"/>
          <w:lang w:val="zh-CN"/>
        </w:rPr>
      </w:pPr>
      <w:r>
        <w:rPr>
          <w:rFonts w:hint="eastAsia" w:ascii="仿宋" w:hAnsi="仿宋" w:eastAsia="仿宋" w:cs="仿宋"/>
          <w:bCs/>
          <w:color w:val="auto"/>
          <w:sz w:val="32"/>
          <w:szCs w:val="32"/>
          <w:lang w:val="zh-CN"/>
        </w:rPr>
        <w:t>1</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val="zh-CN"/>
        </w:rPr>
        <w:t>、</w:t>
      </w:r>
      <w:r>
        <w:rPr>
          <w:rFonts w:hint="eastAsia" w:ascii="仿宋" w:hAnsi="仿宋" w:eastAsia="仿宋" w:cs="仿宋"/>
          <w:b w:val="0"/>
          <w:bCs/>
          <w:color w:val="auto"/>
          <w:sz w:val="32"/>
          <w:szCs w:val="32"/>
          <w:lang w:val="zh-CN"/>
        </w:rPr>
        <w:t>一键报告功能，快速完成诊断报告</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right="4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w:t>
      </w:r>
      <w:r>
        <w:rPr>
          <w:rFonts w:hint="eastAsia" w:ascii="仿宋" w:hAnsi="仿宋" w:eastAsia="仿宋" w:cs="仿宋"/>
          <w:b w:val="0"/>
          <w:bCs/>
          <w:color w:val="auto"/>
          <w:sz w:val="32"/>
          <w:szCs w:val="32"/>
        </w:rPr>
        <w:t>可以方便从病人文档中选取图谱用于幻灯演示，不需要格式转换</w:t>
      </w:r>
      <w:r>
        <w:rPr>
          <w:rFonts w:hint="eastAsia" w:ascii="仿宋" w:hAnsi="仿宋" w:eastAsia="仿宋" w:cs="仿宋"/>
          <w:b w:val="0"/>
          <w:bCs/>
          <w:color w:val="auto"/>
          <w:sz w:val="32"/>
          <w:szCs w:val="32"/>
          <w:lang w:val="en-US" w:eastAsia="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right="4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w:t>
      </w: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、实时输出与显示血红细胞强度加权平均值</w:t>
      </w:r>
      <w:r>
        <w:rPr>
          <w:rFonts w:hint="eastAsia" w:ascii="仿宋" w:hAnsi="仿宋" w:eastAsia="仿宋" w:cs="仿宋"/>
          <w:bCs/>
          <w:strike w:val="0"/>
          <w:dstrike w:val="0"/>
          <w:color w:val="auto"/>
          <w:sz w:val="32"/>
          <w:szCs w:val="32"/>
        </w:rPr>
        <w:t>IWM</w:t>
      </w:r>
      <w:r>
        <w:rPr>
          <w:rFonts w:hint="eastAsia" w:ascii="仿宋" w:hAnsi="仿宋" w:eastAsia="仿宋" w:cs="仿宋"/>
          <w:bCs/>
          <w:strike w:val="0"/>
          <w:color w:val="auto"/>
          <w:sz w:val="32"/>
          <w:szCs w:val="32"/>
        </w:rPr>
        <w:t>、</w:t>
      </w:r>
      <w:r>
        <w:rPr>
          <w:rFonts w:hint="eastAsia" w:ascii="仿宋" w:hAnsi="仿宋" w:eastAsia="仿宋" w:cs="仿宋"/>
          <w:bCs/>
          <w:color w:val="auto"/>
          <w:sz w:val="32"/>
          <w:szCs w:val="32"/>
        </w:rPr>
        <w:t>能量</w:t>
      </w:r>
      <w:r>
        <w:rPr>
          <w:rFonts w:hint="eastAsia" w:ascii="仿宋" w:hAnsi="仿宋" w:eastAsia="仿宋" w:cs="仿宋"/>
          <w:bCs/>
          <w:strike w:val="0"/>
          <w:dstrike w:val="0"/>
          <w:color w:val="auto"/>
          <w:sz w:val="32"/>
          <w:szCs w:val="32"/>
        </w:rPr>
        <w:t>Power</w:t>
      </w:r>
      <w:r>
        <w:rPr>
          <w:rFonts w:hint="eastAsia" w:ascii="仿宋" w:hAnsi="仿宋" w:eastAsia="仿宋" w:cs="仿宋"/>
          <w:bCs/>
          <w:color w:val="auto"/>
          <w:sz w:val="32"/>
          <w:szCs w:val="32"/>
        </w:rPr>
        <w:t>以及峰值血流速度Peak连续曲线，</w:t>
      </w:r>
      <w:r>
        <w:rPr>
          <w:rFonts w:hint="eastAsia" w:ascii="仿宋" w:hAnsi="仿宋" w:eastAsia="仿宋" w:cs="仿宋"/>
          <w:bCs/>
          <w:color w:val="auto"/>
          <w:sz w:val="32"/>
          <w:szCs w:val="32"/>
          <w:lang w:val="en-US" w:eastAsia="zh-CN"/>
        </w:rPr>
        <w:t>具备</w:t>
      </w:r>
      <w:r>
        <w:rPr>
          <w:rFonts w:hint="eastAsia" w:ascii="仿宋" w:hAnsi="仿宋" w:eastAsia="仿宋" w:cs="仿宋"/>
          <w:bCs/>
          <w:color w:val="auto"/>
          <w:sz w:val="32"/>
          <w:szCs w:val="32"/>
        </w:rPr>
        <w:t>IWM血红细胞数量最大值、最小值与平均值定性分析与计算  (提供检测报告)</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、具备DICOM3.0网络接口，可连接医院网络</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w:t>
      </w:r>
      <w:r>
        <w:rPr>
          <w:rFonts w:hint="eastAsia" w:ascii="仿宋" w:hAnsi="仿宋" w:eastAsia="仿宋" w:cs="仿宋"/>
          <w:b w:val="0"/>
          <w:bCs/>
          <w:color w:val="auto"/>
          <w:sz w:val="32"/>
          <w:szCs w:val="32"/>
        </w:rPr>
        <w:t>血流动力学检查方面可进行卧立位实验等；</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w:t>
      </w:r>
      <w:r>
        <w:rPr>
          <w:rFonts w:hint="eastAsia" w:ascii="仿宋" w:hAnsi="仿宋" w:eastAsia="仿宋" w:cs="仿宋"/>
          <w:b w:val="0"/>
          <w:bCs/>
          <w:color w:val="auto"/>
          <w:sz w:val="32"/>
          <w:szCs w:val="32"/>
          <w:lang w:val="en-US" w:eastAsia="zh-CN"/>
        </w:rPr>
        <w:t>具备双通道监测模式，单通道具备不少于八深度检测模式</w:t>
      </w:r>
      <w:r>
        <w:rPr>
          <w:rFonts w:hint="eastAsia" w:ascii="仿宋" w:hAnsi="仿宋" w:eastAsia="仿宋" w:cs="仿宋"/>
          <w:b w:val="0"/>
          <w:bCs/>
          <w:color w:val="auto"/>
          <w:sz w:val="32"/>
          <w:szCs w:val="32"/>
          <w:lang w:val="zh-CN"/>
        </w:rPr>
        <w:t>。</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w:t>
      </w:r>
      <w:r>
        <w:rPr>
          <w:rFonts w:hint="eastAsia" w:ascii="仿宋" w:hAnsi="仿宋" w:eastAsia="仿宋" w:cs="仿宋"/>
          <w:b w:val="0"/>
          <w:bCs/>
          <w:color w:val="auto"/>
          <w:sz w:val="32"/>
          <w:szCs w:val="32"/>
          <w:lang w:val="en-US" w:eastAsia="zh-CN"/>
        </w:rPr>
        <w:t>具备</w:t>
      </w:r>
      <w:r>
        <w:rPr>
          <w:rFonts w:hint="eastAsia" w:ascii="仿宋" w:hAnsi="仿宋" w:eastAsia="仿宋" w:cs="仿宋"/>
          <w:b w:val="0"/>
          <w:bCs/>
          <w:color w:val="auto"/>
          <w:sz w:val="32"/>
          <w:szCs w:val="32"/>
        </w:rPr>
        <w:t>微栓子监测</w:t>
      </w:r>
      <w:r>
        <w:rPr>
          <w:rFonts w:hint="eastAsia" w:ascii="仿宋" w:hAnsi="仿宋" w:eastAsia="仿宋" w:cs="仿宋"/>
          <w:b w:val="0"/>
          <w:bCs/>
          <w:color w:val="auto"/>
          <w:sz w:val="32"/>
          <w:szCs w:val="32"/>
          <w:lang w:val="en-US" w:eastAsia="zh-CN"/>
        </w:rPr>
        <w:t>功能，至少包含</w:t>
      </w:r>
      <w:r>
        <w:rPr>
          <w:rFonts w:hint="eastAsia" w:ascii="仿宋" w:hAnsi="仿宋" w:eastAsia="仿宋" w:cs="仿宋"/>
          <w:b w:val="0"/>
          <w:bCs/>
          <w:color w:val="auto"/>
          <w:sz w:val="32"/>
          <w:szCs w:val="32"/>
        </w:rPr>
        <w:t>栓子图、声谱图、统计直方图等</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可进行时间差测量</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手动添加栓子事件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自动识别栓子和伪差</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自动计数</w:t>
      </w:r>
      <w:r>
        <w:rPr>
          <w:rFonts w:hint="eastAsia" w:ascii="仿宋" w:hAnsi="仿宋" w:eastAsia="仿宋" w:cs="仿宋"/>
          <w:b w:val="0"/>
          <w:bCs/>
          <w:color w:val="auto"/>
          <w:sz w:val="32"/>
          <w:szCs w:val="32"/>
          <w:lang w:val="en-US" w:eastAsia="zh-CN"/>
        </w:rPr>
        <w:t>等。</w:t>
      </w:r>
    </w:p>
    <w:p>
      <w:pPr>
        <w:keepNext w:val="0"/>
        <w:keepLines w:val="0"/>
        <w:pageBreakBefore w:val="0"/>
        <w:kinsoku/>
        <w:wordWrap/>
        <w:overflowPunct/>
        <w:topLinePunct w:val="0"/>
        <w:bidi w:val="0"/>
        <w:adjustRightInd w:val="0"/>
        <w:snapToGrid w:val="0"/>
        <w:spacing w:beforeAutospacing="0" w:afterAutospacing="0" w:line="560" w:lineRule="exact"/>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8</w:t>
      </w:r>
      <w:r>
        <w:rPr>
          <w:rFonts w:hint="eastAsia" w:ascii="仿宋" w:hAnsi="仿宋" w:eastAsia="仿宋" w:cs="仿宋"/>
          <w:bCs/>
          <w:color w:val="auto"/>
          <w:sz w:val="32"/>
          <w:szCs w:val="32"/>
        </w:rPr>
        <w:t>、</w:t>
      </w:r>
      <w:r>
        <w:rPr>
          <w:rFonts w:hint="eastAsia" w:ascii="仿宋" w:hAnsi="仿宋" w:eastAsia="仿宋" w:cs="仿宋"/>
          <w:b w:val="0"/>
          <w:bCs/>
          <w:color w:val="auto"/>
          <w:sz w:val="32"/>
          <w:szCs w:val="32"/>
          <w:lang w:val="en-US" w:eastAsia="zh-CN"/>
        </w:rPr>
        <w:t>具备发泡实验软件：至少具备</w:t>
      </w:r>
      <w:r>
        <w:rPr>
          <w:rFonts w:hint="eastAsia" w:ascii="仿宋" w:hAnsi="仿宋" w:eastAsia="仿宋" w:cs="仿宋"/>
          <w:b w:val="0"/>
          <w:bCs/>
          <w:color w:val="auto"/>
          <w:sz w:val="32"/>
          <w:szCs w:val="32"/>
        </w:rPr>
        <w:t>自动计时、自动计数、自动去除伪差</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智能语音指导操作</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智能发泡结果分级</w:t>
      </w:r>
      <w:r>
        <w:rPr>
          <w:rFonts w:hint="eastAsia" w:ascii="仿宋" w:hAnsi="仿宋" w:eastAsia="仿宋" w:cs="仿宋"/>
          <w:b w:val="0"/>
          <w:bCs/>
          <w:color w:val="auto"/>
          <w:sz w:val="32"/>
          <w:szCs w:val="32"/>
          <w:lang w:val="en-US" w:eastAsia="zh-CN"/>
        </w:rPr>
        <w:t>等功能。</w:t>
      </w:r>
    </w:p>
    <w:p>
      <w:pPr>
        <w:pStyle w:val="42"/>
        <w:keepNext w:val="0"/>
        <w:keepLines w:val="0"/>
        <w:pageBreakBefore w:val="0"/>
        <w:numPr>
          <w:ilvl w:val="0"/>
          <w:numId w:val="0"/>
        </w:numPr>
        <w:kinsoku/>
        <w:wordWrap/>
        <w:overflowPunct/>
        <w:topLinePunct w:val="0"/>
        <w:bidi w:val="0"/>
        <w:adjustRightInd w:val="0"/>
        <w:snapToGrid w:val="0"/>
        <w:spacing w:beforeAutospacing="0" w:afterAutospacing="0" w:line="560" w:lineRule="exact"/>
        <w:ind w:leftChars="0"/>
        <w:jc w:val="left"/>
        <w:textAlignment w:val="auto"/>
        <w:rPr>
          <w:rFonts w:hint="eastAsia" w:ascii="仿宋" w:hAnsi="仿宋" w:eastAsia="仿宋" w:cs="仿宋"/>
          <w:color w:val="auto"/>
          <w:sz w:val="32"/>
          <w:szCs w:val="32"/>
        </w:rPr>
      </w:pPr>
      <w:r>
        <w:rPr>
          <w:rFonts w:hint="eastAsia" w:ascii="仿宋" w:hAnsi="仿宋" w:eastAsia="仿宋" w:cs="仿宋"/>
          <w:bCs/>
          <w:color w:val="auto"/>
          <w:sz w:val="32"/>
          <w:szCs w:val="32"/>
          <w:lang w:val="en-US" w:eastAsia="zh-CN"/>
        </w:rPr>
        <w:t>19</w:t>
      </w:r>
      <w:r>
        <w:rPr>
          <w:rFonts w:hint="eastAsia" w:ascii="仿宋" w:hAnsi="仿宋" w:eastAsia="仿宋" w:cs="仿宋"/>
          <w:bCs/>
          <w:color w:val="auto"/>
          <w:sz w:val="32"/>
          <w:szCs w:val="32"/>
        </w:rPr>
        <w:t>、</w:t>
      </w:r>
      <w:r>
        <w:rPr>
          <w:rFonts w:hint="eastAsia" w:ascii="仿宋" w:hAnsi="仿宋" w:eastAsia="仿宋" w:cs="仿宋"/>
          <w:color w:val="auto"/>
          <w:sz w:val="32"/>
          <w:szCs w:val="32"/>
        </w:rPr>
        <w:t>预留自动监护探头及跟踪系统接口，可升级：自动搜索、自动扫描、自动跟踪三个部分。</w:t>
      </w:r>
    </w:p>
    <w:p>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20、提供配置清单。</w:t>
      </w:r>
    </w:p>
    <w:p>
      <w:pPr>
        <w:jc w:val="center"/>
        <w:rPr>
          <w:rFonts w:hint="eastAsia" w:ascii="仿宋" w:hAnsi="仿宋" w:eastAsia="仿宋" w:cs="仿宋"/>
          <w:b/>
          <w:bCs/>
          <w:color w:val="auto"/>
          <w:sz w:val="44"/>
          <w:szCs w:val="44"/>
        </w:rPr>
      </w:pPr>
      <w:r>
        <w:rPr>
          <w:rFonts w:hint="eastAsia"/>
        </w:rPr>
        <w:br w:type="page"/>
      </w:r>
      <w:r>
        <w:rPr>
          <w:rFonts w:hint="eastAsia" w:ascii="仿宋" w:hAnsi="仿宋" w:eastAsia="仿宋" w:cs="仿宋"/>
          <w:b/>
          <w:bCs/>
          <w:color w:val="auto"/>
          <w:sz w:val="44"/>
          <w:szCs w:val="44"/>
        </w:rPr>
        <w:t>体外振动排痰机</w:t>
      </w:r>
    </w:p>
    <w:p>
      <w:pPr>
        <w:keepNext w:val="0"/>
        <w:keepLines w:val="0"/>
        <w:pageBreakBefore w:val="0"/>
        <w:widowControl w:val="0"/>
        <w:kinsoku/>
        <w:wordWrap/>
        <w:overflowPunct/>
        <w:topLinePunct w:val="0"/>
        <w:bidi w:val="0"/>
        <w:adjustRightInd w:val="0"/>
        <w:snapToGrid w:val="0"/>
        <w:spacing w:after="156" w:afterLines="50" w:line="560" w:lineRule="exact"/>
        <w:ind w:firstLine="0" w:firstLineChars="0"/>
        <w:jc w:val="both"/>
        <w:textAlignment w:val="auto"/>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国别：国产</w:t>
      </w:r>
    </w:p>
    <w:p>
      <w:pPr>
        <w:keepNext w:val="0"/>
        <w:keepLines w:val="0"/>
        <w:pageBreakBefore w:val="0"/>
        <w:widowControl w:val="0"/>
        <w:kinsoku/>
        <w:wordWrap/>
        <w:overflowPunct/>
        <w:topLinePunct w:val="0"/>
        <w:bidi w:val="0"/>
        <w:adjustRightInd w:val="0"/>
        <w:snapToGrid w:val="0"/>
        <w:spacing w:after="156" w:afterLines="50" w:line="560" w:lineRule="exact"/>
        <w:ind w:firstLine="0" w:firstLineChars="0"/>
        <w:jc w:val="both"/>
        <w:textAlignment w:val="auto"/>
        <w:rPr>
          <w:rFonts w:hint="default"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数量：2</w:t>
      </w:r>
    </w:p>
    <w:p>
      <w:pPr>
        <w:keepNext w:val="0"/>
        <w:keepLines w:val="0"/>
        <w:pageBreakBefore w:val="0"/>
        <w:widowControl w:val="0"/>
        <w:numPr>
          <w:ilvl w:val="0"/>
          <w:numId w:val="6"/>
        </w:numPr>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适用范围：协助术后、体弱患者增强排除呼吸系统痰液等分泌物的能力，改善淤滞的肺部血液循环状况，预防、减少呼吸系统并发症的发生。</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配置可移动台车。</w:t>
      </w:r>
    </w:p>
    <w:p>
      <w:pPr>
        <w:keepNext w:val="0"/>
        <w:keepLines w:val="0"/>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、显示方式：液晶显示。</w:t>
      </w: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、操作方式：一键飞梭的操作方式。</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单</w:t>
      </w:r>
      <w:r>
        <w:rPr>
          <w:rFonts w:hint="eastAsia" w:ascii="仿宋" w:hAnsi="仿宋" w:eastAsia="仿宋" w:cs="仿宋"/>
          <w:color w:val="auto"/>
          <w:sz w:val="32"/>
          <w:szCs w:val="32"/>
        </w:rPr>
        <w:t>路C型标准传动形式。</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、标准传动形式：动力头外径尺寸≥90mm，配备6种不同型号的治疗头。</w:t>
      </w:r>
    </w:p>
    <w:p>
      <w:pPr>
        <w:keepNext w:val="0"/>
        <w:keepLines w:val="0"/>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、传动动力头偏心距：</w:t>
      </w:r>
      <w:r>
        <w:rPr>
          <w:rFonts w:hint="eastAsia" w:ascii="仿宋" w:hAnsi="仿宋" w:eastAsia="仿宋" w:cs="仿宋"/>
          <w:color w:val="auto"/>
          <w:sz w:val="32"/>
          <w:szCs w:val="32"/>
          <w:lang w:val="en-US" w:eastAsia="zh-CN"/>
        </w:rPr>
        <w:t>约</w:t>
      </w:r>
      <w:r>
        <w:rPr>
          <w:rFonts w:hint="eastAsia" w:ascii="仿宋" w:hAnsi="仿宋" w:eastAsia="仿宋" w:cs="仿宋"/>
          <w:color w:val="auto"/>
          <w:sz w:val="32"/>
          <w:szCs w:val="32"/>
        </w:rPr>
        <w:t>3mm。</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、具有动力补偿。</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、模式：手动模式和自动程序</w:t>
      </w:r>
      <w:r>
        <w:rPr>
          <w:rFonts w:hint="eastAsia" w:ascii="仿宋" w:hAnsi="仿宋" w:eastAsia="仿宋" w:cs="仿宋"/>
          <w:color w:val="auto"/>
          <w:sz w:val="32"/>
          <w:szCs w:val="32"/>
          <w:lang w:val="en-US" w:eastAsia="zh-CN"/>
        </w:rPr>
        <w:t>两种</w:t>
      </w:r>
      <w:r>
        <w:rPr>
          <w:rFonts w:hint="eastAsia" w:ascii="仿宋" w:hAnsi="仿宋" w:eastAsia="仿宋" w:cs="仿宋"/>
          <w:color w:val="auto"/>
          <w:sz w:val="32"/>
          <w:szCs w:val="32"/>
        </w:rPr>
        <w:t>模式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自动程序模式：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四种自动程序模式。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left"/>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、手动模式频率范围：</w:t>
      </w:r>
      <w:r>
        <w:rPr>
          <w:rFonts w:hint="eastAsia" w:ascii="仿宋" w:hAnsi="仿宋" w:eastAsia="仿宋" w:cs="仿宋"/>
          <w:b w:val="0"/>
          <w:bCs w:val="0"/>
          <w:color w:val="auto"/>
          <w:sz w:val="32"/>
          <w:szCs w:val="32"/>
        </w:rPr>
        <w:t>10Hz～60Hz连续可调，步距</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1Hz。</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、手动模式定时范围：1min-60min连续可调，步距</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1min。</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、自动模式定时范围</w:t>
      </w:r>
      <w:r>
        <w:rPr>
          <w:rFonts w:hint="eastAsia" w:ascii="仿宋" w:hAnsi="仿宋" w:eastAsia="仿宋" w:cs="仿宋"/>
          <w:color w:val="auto"/>
          <w:sz w:val="32"/>
          <w:szCs w:val="32"/>
          <w:lang w:val="en-US" w:eastAsia="zh-CN"/>
        </w:rPr>
        <w:t>≥4档可调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包含但不局限于</w:t>
      </w:r>
      <w:r>
        <w:rPr>
          <w:rFonts w:hint="eastAsia" w:ascii="仿宋" w:hAnsi="仿宋" w:eastAsia="仿宋" w:cs="仿宋"/>
          <w:color w:val="auto"/>
          <w:sz w:val="32"/>
          <w:szCs w:val="32"/>
        </w:rPr>
        <w:t>5min、10min、15min、20min。</w:t>
      </w:r>
    </w:p>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13、提供配置清单</w:t>
      </w: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eastAsia" w:ascii="仿宋" w:hAnsi="仿宋" w:eastAsia="仿宋" w:cs="仿宋"/>
          <w:color w:val="auto"/>
          <w:sz w:val="32"/>
          <w:szCs w:val="32"/>
          <w:lang w:val="en-US" w:eastAsia="zh-CN"/>
        </w:rPr>
      </w:pPr>
    </w:p>
    <w:p>
      <w:pPr>
        <w:pStyle w:val="2"/>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标项4;</w:t>
      </w: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hint="eastAsia" w:ascii="仿宋" w:hAnsi="仿宋" w:eastAsia="仿宋" w:cs="仿宋"/>
          <w:b/>
          <w:color w:val="FF0000"/>
          <w:sz w:val="36"/>
          <w:szCs w:val="36"/>
        </w:rPr>
      </w:pPr>
    </w:p>
    <w:p>
      <w:pPr>
        <w:spacing w:line="500" w:lineRule="exact"/>
        <w:jc w:val="left"/>
        <w:outlineLvl w:val="0"/>
        <w:rPr>
          <w:rFonts w:ascii="仿宋" w:hAnsi="仿宋" w:eastAsia="仿宋" w:cs="仿宋"/>
          <w:b/>
          <w:color w:val="auto"/>
          <w:sz w:val="36"/>
          <w:szCs w:val="36"/>
        </w:rPr>
      </w:pPr>
      <w:bookmarkStart w:id="92" w:name="_GoBack"/>
      <w:r>
        <w:rPr>
          <w:rFonts w:hint="eastAsia" w:ascii="仿宋" w:hAnsi="仿宋" w:eastAsia="仿宋" w:cs="仿宋"/>
          <w:b/>
          <w:color w:val="auto"/>
          <w:sz w:val="36"/>
          <w:szCs w:val="36"/>
        </w:rPr>
        <w:t>商务要求：</w:t>
      </w:r>
    </w:p>
    <w:p>
      <w:pPr>
        <w:spacing w:line="500" w:lineRule="exact"/>
        <w:ind w:firstLine="560"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（一）交货时间：</w:t>
      </w:r>
      <w:r>
        <w:rPr>
          <w:rFonts w:hint="eastAsia" w:ascii="仿宋" w:hAnsi="仿宋" w:eastAsia="仿宋" w:cs="仿宋"/>
          <w:color w:val="auto"/>
          <w:sz w:val="28"/>
          <w:highlight w:val="none"/>
          <w:lang w:val="en-US" w:eastAsia="zh-CN"/>
        </w:rPr>
        <w:t>签订合同后30日前完成货物的交付、安装、培训等工作</w:t>
      </w:r>
      <w:r>
        <w:rPr>
          <w:rFonts w:hint="eastAsia" w:ascii="仿宋" w:hAnsi="仿宋" w:eastAsia="仿宋" w:cs="仿宋"/>
          <w:color w:val="auto"/>
          <w:sz w:val="28"/>
          <w:szCs w:val="28"/>
          <w:lang w:eastAsia="zh-CN"/>
        </w:rPr>
        <w:t>。</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（二）交货地点：</w:t>
      </w:r>
      <w:r>
        <w:rPr>
          <w:rFonts w:hint="eastAsia" w:ascii="仿宋" w:hAnsi="仿宋" w:eastAsia="仿宋" w:cs="仿宋"/>
          <w:color w:val="auto"/>
          <w:sz w:val="28"/>
          <w:szCs w:val="28"/>
        </w:rPr>
        <w:t>新疆医科大学第二附属医院采购人指定地点。</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（三）付款方式：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1、乙方在收到中标通知书之日起15个日内，向甲方提交合同总价10%的履约保函，担保期限涵盖至质保期满之日止。甲方收到保函后向乙方支付合同总价款20%的预付款；</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2、剩余80％款在12月31</w:t>
      </w:r>
      <w:r>
        <w:rPr>
          <w:rFonts w:hint="eastAsia" w:ascii="仿宋" w:hAnsi="仿宋" w:eastAsia="仿宋" w:cs="仿宋"/>
          <w:b w:val="0"/>
          <w:bCs/>
          <w:color w:val="auto"/>
          <w:sz w:val="28"/>
          <w:szCs w:val="28"/>
          <w:lang w:val="en-US" w:eastAsia="zh-CN"/>
        </w:rPr>
        <w:t>日</w:t>
      </w:r>
      <w:r>
        <w:rPr>
          <w:rFonts w:hint="eastAsia" w:ascii="仿宋" w:hAnsi="仿宋" w:eastAsia="仿宋" w:cs="仿宋"/>
          <w:b w:val="0"/>
          <w:bCs/>
          <w:color w:val="auto"/>
          <w:sz w:val="28"/>
          <w:szCs w:val="28"/>
        </w:rPr>
        <w:t>前到货验收后付清，如疫情原因无法到货验收，双方协商付款方式。</w:t>
      </w:r>
    </w:p>
    <w:p>
      <w:pPr>
        <w:spacing w:line="50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3、甲方向乙方支付任何一笔款项前，乙方须提供符合甲方财务做账要求的正规发票，否则甲方有权拒付款项且不承担违约责任。</w:t>
      </w:r>
    </w:p>
    <w:p>
      <w:pPr>
        <w:spacing w:line="500" w:lineRule="exact"/>
        <w:ind w:firstLine="560" w:firstLineChars="200"/>
        <w:rPr>
          <w:rFonts w:ascii="仿宋" w:hAnsi="仿宋" w:eastAsia="仿宋" w:cs="仿宋"/>
          <w:b/>
          <w:color w:val="auto"/>
          <w:sz w:val="28"/>
          <w:szCs w:val="28"/>
        </w:rPr>
      </w:pPr>
      <w:r>
        <w:rPr>
          <w:rFonts w:hint="eastAsia" w:ascii="仿宋" w:hAnsi="仿宋" w:eastAsia="仿宋" w:cs="仿宋"/>
          <w:b/>
          <w:color w:val="auto"/>
          <w:sz w:val="28"/>
          <w:szCs w:val="28"/>
        </w:rPr>
        <w:t>（四）服务要求：</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1、自验收合格之日起质保期整机三年，质保期内产品出现任何非人为故障及质量问题免费上门服务，质保期满后只收取材料成本费，软件终身免费升级，硬件终身维修。</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2、响应时间：30分钟内响应，12小时内给出解决方案，24小时内服务人员到场解决。（提供承诺函并加盖公章）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3、培训要求：供应商应提供现场技术培训，保证使用人员能够正确地使用设备各种功能（至少2次）。（提供承诺函并加盖公章）</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4、供应商向采购人提供全部合格有效证件、软件使用证、操作手册、维修手册、图纸各一套(如有)，提供全套专用维修工具，应标明配置、规格、承诺作为合同附件，与合同具有同等法律效力。</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5、货物抵达使用单位后，供应商应在三天内派工程技术人员到达现场，在院方技术人员和检验检疫人员在场的情况下开箱点货物，卸车搬运，安装调试均由供应商负责，供应商承担所有费用。</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6、供应商派技术部门负责人到达现场，确认售后服务内容和相关事项，同时提供招标产品的检测报告(或技术白皮书)。</w:t>
      </w:r>
    </w:p>
    <w:p>
      <w:pPr>
        <w:pStyle w:val="50"/>
        <w:spacing w:before="0" w:line="500" w:lineRule="exact"/>
        <w:ind w:firstLine="560"/>
        <w:rPr>
          <w:rFonts w:ascii="仿宋" w:hAnsi="仿宋" w:eastAsia="仿宋" w:cs="仿宋"/>
          <w:color w:val="auto"/>
          <w:kern w:val="0"/>
          <w:sz w:val="28"/>
          <w:szCs w:val="28"/>
        </w:rPr>
      </w:pPr>
      <w:r>
        <w:rPr>
          <w:rFonts w:hint="eastAsia" w:ascii="仿宋" w:hAnsi="仿宋" w:eastAsia="仿宋" w:cs="仿宋"/>
          <w:color w:val="auto"/>
          <w:kern w:val="0"/>
          <w:sz w:val="28"/>
          <w:szCs w:val="28"/>
        </w:rPr>
        <w:t>7、验收合格进入保修期的条件是：符合商务条款的全部内容、符合合同内所有硬件、软件功能及临床应用培训的全部要求，采购人代表和有关专家签字、验收并有买方盖章为合格有效日期。依据合同逐项验收,如有不符合项即作为不合格产品,供应商承担一切责任；</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b/>
          <w:bCs/>
          <w:color w:val="auto"/>
          <w:sz w:val="28"/>
          <w:szCs w:val="28"/>
        </w:rPr>
        <w:t>（五）其它要求：提供投标设备的检测报告或技术白皮书</w:t>
      </w:r>
    </w:p>
    <w:p>
      <w:pPr>
        <w:spacing w:line="500" w:lineRule="exact"/>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（六）验收：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1、严格按照招标文件要求和中标供应商响应文件内容进行验收。</w:t>
      </w:r>
    </w:p>
    <w:p>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2、严格按照政府采购相关法律法规以的要求进行验收。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3、采购人可根据项目情况邀请专家进行验收。</w:t>
      </w:r>
    </w:p>
    <w:bookmarkEnd w:id="92"/>
    <w:p>
      <w:pPr>
        <w:keepNext w:val="0"/>
        <w:keepLines w:val="0"/>
        <w:pageBreakBefore w:val="0"/>
        <w:widowControl w:val="0"/>
        <w:kinsoku/>
        <w:wordWrap/>
        <w:overflowPunct/>
        <w:topLinePunct w:val="0"/>
        <w:bidi w:val="0"/>
        <w:adjustRightInd w:val="0"/>
        <w:snapToGrid w:val="0"/>
        <w:spacing w:line="560" w:lineRule="exact"/>
        <w:ind w:firstLine="0" w:firstLineChars="0"/>
        <w:textAlignment w:val="auto"/>
        <w:rPr>
          <w:rFonts w:hint="default" w:ascii="仿宋" w:hAnsi="仿宋" w:eastAsia="仿宋" w:cs="仿宋"/>
          <w:color w:val="auto"/>
          <w:sz w:val="32"/>
          <w:szCs w:val="32"/>
          <w:lang w:val="en-US" w:eastAsia="zh-CN"/>
        </w:rPr>
      </w:pPr>
    </w:p>
    <w:p>
      <w:pPr>
        <w:pStyle w:val="9"/>
        <w:rPr>
          <w:rFonts w:hint="eastAsia"/>
        </w:rPr>
      </w:pPr>
    </w:p>
    <w:p>
      <w:pPr>
        <w:pStyle w:val="9"/>
        <w:rPr>
          <w:rFonts w:hint="eastAsia"/>
        </w:rPr>
      </w:pPr>
    </w:p>
    <w:p>
      <w:pPr>
        <w:rPr>
          <w:rFonts w:hint="eastAsia"/>
        </w:rPr>
      </w:pPr>
      <w:r>
        <w:rPr>
          <w:rFonts w:hint="eastAsia"/>
        </w:rPr>
        <w:br w:type="page"/>
      </w:r>
    </w:p>
    <w:p>
      <w:pPr>
        <w:pStyle w:val="3"/>
        <w:ind w:left="0" w:firstLine="0"/>
        <w:rPr>
          <w:sz w:val="28"/>
        </w:rPr>
      </w:pPr>
      <w:r>
        <w:rPr>
          <w:rFonts w:hint="eastAsia"/>
        </w:rPr>
        <w:t>第四章、合同</w:t>
      </w:r>
      <w:bookmarkEnd w:id="50"/>
      <w:bookmarkEnd w:id="51"/>
      <w:bookmarkEnd w:id="52"/>
      <w:bookmarkEnd w:id="53"/>
    </w:p>
    <w:p>
      <w:pPr>
        <w:ind w:firstLine="2800" w:firstLineChars="1000"/>
        <w:rPr>
          <w:rFonts w:ascii="仿宋" w:hAnsi="仿宋" w:eastAsia="仿宋"/>
          <w:color w:val="000000"/>
          <w:sz w:val="28"/>
        </w:rPr>
      </w:pPr>
      <w:r>
        <w:rPr>
          <w:rFonts w:hint="eastAsia" w:ascii="仿宋" w:hAnsi="仿宋" w:eastAsia="仿宋"/>
          <w:color w:val="000000"/>
          <w:sz w:val="28"/>
        </w:rPr>
        <w:t>（具体以实际签订合同为主）</w:t>
      </w:r>
    </w:p>
    <w:p>
      <w:pPr>
        <w:spacing w:line="560" w:lineRule="exact"/>
        <w:rPr>
          <w:rFonts w:ascii="仿宋" w:hAnsi="仿宋" w:eastAsia="仿宋" w:cs="仿宋"/>
          <w:color w:val="FF0000"/>
        </w:rPr>
      </w:pPr>
    </w:p>
    <w:p>
      <w:pPr>
        <w:spacing w:line="560" w:lineRule="exact"/>
        <w:rPr>
          <w:rFonts w:ascii="宋体" w:hAnsi="宋体" w:cs="宋体"/>
          <w:b/>
          <w:sz w:val="44"/>
          <w:szCs w:val="44"/>
        </w:rPr>
      </w:pPr>
      <w:r>
        <w:rPr>
          <w:rFonts w:hint="eastAsia" w:ascii="仿宋" w:hAnsi="仿宋" w:eastAsia="仿宋" w:cs="仿宋"/>
          <w:color w:val="FF0000"/>
        </w:rPr>
        <w:t xml:space="preserve">                    </w:t>
      </w:r>
      <w:r>
        <w:rPr>
          <w:rFonts w:hint="eastAsia" w:ascii="宋体" w:hAnsi="宋体" w:cs="宋体"/>
          <w:b/>
          <w:sz w:val="44"/>
          <w:szCs w:val="44"/>
        </w:rPr>
        <w:t>新疆医科大学第二附属医院</w:t>
      </w:r>
    </w:p>
    <w:p>
      <w:pPr>
        <w:spacing w:line="560" w:lineRule="exact"/>
        <w:ind w:firstLine="601"/>
        <w:jc w:val="center"/>
        <w:rPr>
          <w:rFonts w:ascii="宋体" w:hAnsi="宋体" w:cs="宋体"/>
          <w:b/>
          <w:sz w:val="44"/>
          <w:szCs w:val="44"/>
        </w:rPr>
      </w:pPr>
      <w:r>
        <w:rPr>
          <w:rFonts w:hint="eastAsia" w:ascii="宋体" w:hAnsi="宋体" w:cs="宋体"/>
          <w:b/>
          <w:sz w:val="44"/>
          <w:szCs w:val="44"/>
        </w:rPr>
        <w:t>采购安装合同书</w:t>
      </w:r>
    </w:p>
    <w:p>
      <w:pPr>
        <w:spacing w:line="560" w:lineRule="exact"/>
        <w:ind w:firstLine="601"/>
        <w:jc w:val="center"/>
        <w:rPr>
          <w:rFonts w:ascii="宋体" w:hAnsi="宋体" w:cs="宋体"/>
          <w:b/>
          <w:sz w:val="32"/>
          <w:szCs w:val="32"/>
        </w:rPr>
      </w:pPr>
    </w:p>
    <w:p>
      <w:pPr>
        <w:spacing w:line="560" w:lineRule="exact"/>
        <w:rPr>
          <w:rFonts w:ascii="宋体" w:hAnsi="宋体" w:cs="宋体"/>
          <w:sz w:val="24"/>
        </w:rPr>
      </w:pPr>
    </w:p>
    <w:p>
      <w:pPr>
        <w:spacing w:line="560" w:lineRule="exact"/>
        <w:rPr>
          <w:rFonts w:ascii="宋体" w:hAnsi="宋体" w:cs="宋体"/>
          <w:sz w:val="24"/>
        </w:rPr>
      </w:pPr>
    </w:p>
    <w:p>
      <w:pPr>
        <w:spacing w:line="560" w:lineRule="exact"/>
        <w:ind w:firstLine="1350" w:firstLineChars="450"/>
        <w:rPr>
          <w:rFonts w:ascii="宋体" w:hAnsi="宋体" w:cs="宋体"/>
          <w:sz w:val="30"/>
          <w:szCs w:val="30"/>
        </w:rPr>
      </w:pPr>
      <w:r>
        <w:rPr>
          <w:rFonts w:hint="eastAsia" w:ascii="宋体" w:hAnsi="宋体" w:cs="宋体"/>
          <w:sz w:val="30"/>
          <w:szCs w:val="30"/>
        </w:rPr>
        <w:t>买    方：新疆医科大学第二附属医院</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卖    方：</w:t>
      </w:r>
    </w:p>
    <w:p>
      <w:pPr>
        <w:spacing w:line="520" w:lineRule="exact"/>
        <w:ind w:firstLine="1200" w:firstLineChars="40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签约地点：新疆乌鲁木齐市</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sz w:val="30"/>
          <w:szCs w:val="30"/>
        </w:rPr>
      </w:pPr>
      <w:r>
        <w:rPr>
          <w:rFonts w:hint="eastAsia" w:ascii="宋体" w:hAnsi="宋体" w:cs="宋体"/>
          <w:sz w:val="30"/>
          <w:szCs w:val="30"/>
        </w:rPr>
        <w:t>签约日期：</w:t>
      </w:r>
    </w:p>
    <w:p>
      <w:pPr>
        <w:spacing w:line="560" w:lineRule="exact"/>
        <w:ind w:firstLine="1350" w:firstLineChars="450"/>
        <w:rPr>
          <w:rFonts w:ascii="宋体" w:hAnsi="宋体" w:cs="宋体"/>
          <w:sz w:val="30"/>
          <w:szCs w:val="30"/>
        </w:rPr>
      </w:pPr>
    </w:p>
    <w:p>
      <w:pPr>
        <w:spacing w:line="560" w:lineRule="exact"/>
        <w:ind w:firstLine="1350" w:firstLineChars="450"/>
        <w:rPr>
          <w:rFonts w:ascii="宋体" w:hAnsi="宋体" w:cs="宋体"/>
          <w:color w:val="FF0000"/>
          <w:sz w:val="30"/>
          <w:szCs w:val="30"/>
        </w:rPr>
      </w:pPr>
      <w:r>
        <w:rPr>
          <w:rFonts w:hint="eastAsia" w:ascii="宋体" w:hAnsi="宋体" w:cs="宋体"/>
          <w:sz w:val="30"/>
          <w:szCs w:val="30"/>
        </w:rPr>
        <w:t>合同编号：</w:t>
      </w:r>
    </w:p>
    <w:p>
      <w:pPr>
        <w:spacing w:line="560" w:lineRule="exact"/>
        <w:rPr>
          <w:rFonts w:ascii="宋体" w:hAnsi="宋体" w:cs="宋体"/>
          <w:sz w:val="30"/>
          <w:szCs w:val="30"/>
        </w:rPr>
      </w:pPr>
    </w:p>
    <w:p>
      <w:pPr>
        <w:spacing w:line="560" w:lineRule="exact"/>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二零二  年  月</w:t>
      </w:r>
    </w:p>
    <w:p>
      <w:pPr>
        <w:widowControl/>
        <w:jc w:val="left"/>
        <w:rPr>
          <w:rFonts w:ascii="宋体" w:hAnsi="宋体" w:cs="宋体"/>
          <w:sz w:val="24"/>
        </w:rPr>
      </w:pPr>
      <w:r>
        <w:rPr>
          <w:rFonts w:ascii="宋体" w:hAnsi="宋体" w:cs="宋体"/>
          <w:sz w:val="24"/>
        </w:rPr>
        <w:br w:type="page"/>
      </w:r>
    </w:p>
    <w:p>
      <w:pPr>
        <w:spacing w:line="360" w:lineRule="auto"/>
        <w:rPr>
          <w:rFonts w:ascii="宋体" w:hAnsi="宋体" w:cs="宋体"/>
          <w:sz w:val="24"/>
        </w:rPr>
      </w:pPr>
      <w:r>
        <w:rPr>
          <w:rFonts w:hint="eastAsia" w:ascii="宋体" w:hAnsi="宋体" w:cs="宋体"/>
          <w:sz w:val="24"/>
        </w:rPr>
        <w:t>甲方（买方）：新疆医科大学第二附属医院</w:t>
      </w:r>
    </w:p>
    <w:p>
      <w:pPr>
        <w:spacing w:line="360" w:lineRule="auto"/>
        <w:rPr>
          <w:rFonts w:ascii="宋体" w:hAnsi="宋体" w:cs="宋体"/>
          <w:sz w:val="24"/>
        </w:rPr>
      </w:pPr>
      <w:r>
        <w:rPr>
          <w:rFonts w:hint="eastAsia" w:ascii="宋体" w:hAnsi="宋体" w:cs="宋体"/>
          <w:sz w:val="24"/>
        </w:rPr>
        <w:t>地址：乌鲁木齐市南湖东路北二巷38号</w:t>
      </w:r>
    </w:p>
    <w:p>
      <w:pPr>
        <w:spacing w:line="360" w:lineRule="auto"/>
        <w:rPr>
          <w:rFonts w:ascii="宋体" w:hAnsi="宋体" w:cs="宋体"/>
          <w:sz w:val="24"/>
        </w:rPr>
      </w:pPr>
      <w:r>
        <w:rPr>
          <w:rFonts w:hint="eastAsia" w:ascii="宋体" w:hAnsi="宋体" w:cs="宋体"/>
          <w:sz w:val="24"/>
        </w:rPr>
        <w:t>电话：0991-4609101</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乙方（卖方）：</w:t>
      </w:r>
    </w:p>
    <w:p>
      <w:pPr>
        <w:spacing w:line="360" w:lineRule="auto"/>
        <w:rPr>
          <w:rFonts w:ascii="宋体" w:hAnsi="宋体" w:cs="宋体"/>
          <w:sz w:val="24"/>
        </w:rPr>
      </w:pPr>
      <w:r>
        <w:rPr>
          <w:rFonts w:hint="eastAsia" w:ascii="宋体" w:hAnsi="宋体" w:cs="宋体"/>
          <w:sz w:val="24"/>
        </w:rPr>
        <w:t>地址：</w:t>
      </w:r>
    </w:p>
    <w:p>
      <w:pPr>
        <w:spacing w:line="360" w:lineRule="auto"/>
        <w:rPr>
          <w:rFonts w:ascii="宋体" w:hAnsi="宋体" w:cs="宋体"/>
          <w:sz w:val="24"/>
        </w:rPr>
      </w:pPr>
      <w:r>
        <w:rPr>
          <w:rFonts w:hint="eastAsia" w:ascii="宋体" w:hAnsi="宋体" w:cs="宋体"/>
          <w:sz w:val="24"/>
        </w:rPr>
        <w:t xml:space="preserve">电话： </w:t>
      </w:r>
    </w:p>
    <w:p>
      <w:pPr>
        <w:spacing w:line="360" w:lineRule="auto"/>
        <w:ind w:firstLine="480" w:firstLineChars="200"/>
        <w:rPr>
          <w:rFonts w:ascii="宋体" w:hAnsi="宋体" w:cs="宋体"/>
          <w:sz w:val="24"/>
        </w:rPr>
      </w:pPr>
      <w:r>
        <w:rPr>
          <w:rFonts w:hint="eastAsia" w:ascii="宋体" w:hAnsi="宋体" w:cs="宋体"/>
          <w:sz w:val="24"/>
        </w:rPr>
        <w:t>新疆医科大学第二附属医院（以下简称甲方）与</w:t>
      </w:r>
      <w:r>
        <w:rPr>
          <w:rFonts w:hint="eastAsia" w:ascii="宋体" w:hAnsi="宋体" w:cs="宋体"/>
          <w:sz w:val="24"/>
          <w:u w:val="single"/>
        </w:rPr>
        <w:t xml:space="preserve">                   （以</w:t>
      </w:r>
      <w:r>
        <w:rPr>
          <w:rFonts w:hint="eastAsia" w:ascii="宋体" w:hAnsi="宋体" w:cs="宋体"/>
          <w:sz w:val="24"/>
        </w:rPr>
        <w:t>下简称乙方）</w:t>
      </w:r>
      <w:r>
        <w:rPr>
          <w:rFonts w:hint="eastAsia" w:ascii="宋体" w:hAnsi="宋体" w:cs="宋体"/>
          <w:sz w:val="24"/>
          <w:u w:val="single"/>
        </w:rPr>
        <w:t xml:space="preserve">           </w:t>
      </w:r>
      <w:r>
        <w:rPr>
          <w:rFonts w:hint="eastAsia" w:ascii="宋体" w:hAnsi="宋体" w:cs="宋体"/>
          <w:bCs/>
          <w:sz w:val="24"/>
        </w:rPr>
        <w:t>设备</w:t>
      </w:r>
      <w:r>
        <w:rPr>
          <w:rFonts w:hint="eastAsia" w:ascii="宋体" w:hAnsi="宋体" w:cs="宋体"/>
          <w:sz w:val="24"/>
        </w:rPr>
        <w:t>采购、安装事宜，根据《中华人民共和国政府采购法》、《中华人民共和国民法典》等规定，本着平等、自愿、互利、互惠的原则，经各方协商一致，订立本合同。</w:t>
      </w:r>
    </w:p>
    <w:p>
      <w:pPr>
        <w:spacing w:line="360" w:lineRule="auto"/>
        <w:ind w:firstLine="480" w:firstLineChars="200"/>
        <w:jc w:val="center"/>
        <w:rPr>
          <w:rFonts w:ascii="宋体" w:hAnsi="宋体" w:cs="宋体"/>
          <w:b/>
          <w:sz w:val="24"/>
        </w:rPr>
      </w:pPr>
      <w:r>
        <w:rPr>
          <w:rFonts w:hint="eastAsia" w:ascii="宋体" w:hAnsi="宋体" w:cs="宋体"/>
          <w:b/>
          <w:sz w:val="24"/>
        </w:rPr>
        <w:t>第一部分 通用条款</w:t>
      </w:r>
    </w:p>
    <w:p>
      <w:pPr>
        <w:spacing w:line="360" w:lineRule="auto"/>
        <w:ind w:firstLine="360" w:firstLineChars="150"/>
        <w:rPr>
          <w:rFonts w:ascii="宋体" w:hAnsi="宋体" w:cs="宋体"/>
          <w:sz w:val="24"/>
        </w:rPr>
      </w:pPr>
      <w:r>
        <w:rPr>
          <w:rFonts w:hint="eastAsia" w:ascii="宋体" w:hAnsi="宋体" w:cs="宋体"/>
          <w:sz w:val="24"/>
        </w:rPr>
        <w:t>在此供应的货物，乙方同意做如下保证:</w:t>
      </w:r>
    </w:p>
    <w:p>
      <w:pPr>
        <w:spacing w:line="360" w:lineRule="auto"/>
        <w:ind w:firstLine="480" w:firstLineChars="200"/>
        <w:rPr>
          <w:rFonts w:ascii="宋体" w:hAnsi="宋体" w:cs="宋体"/>
          <w:sz w:val="24"/>
        </w:rPr>
      </w:pPr>
      <w:r>
        <w:rPr>
          <w:rFonts w:hint="eastAsia" w:ascii="宋体" w:hAnsi="宋体" w:cs="宋体"/>
          <w:sz w:val="24"/>
        </w:rPr>
        <w:t>一、乙方供应的全部货物，必须在不涉及任何担保、留置权、专利权使用费的情况下，交付与本合同规定完全相同的货物。</w:t>
      </w:r>
    </w:p>
    <w:p>
      <w:pPr>
        <w:spacing w:line="360" w:lineRule="auto"/>
        <w:ind w:firstLine="480" w:firstLineChars="200"/>
        <w:rPr>
          <w:rFonts w:ascii="宋体" w:hAnsi="宋体" w:cs="宋体"/>
          <w:sz w:val="24"/>
        </w:rPr>
      </w:pPr>
      <w:r>
        <w:rPr>
          <w:rFonts w:hint="eastAsia" w:ascii="宋体" w:hAnsi="宋体" w:cs="宋体"/>
          <w:sz w:val="24"/>
        </w:rPr>
        <w:t>二、不能将甲方全部或部分付款看作是对有缺陷的工艺或不合格货物的认可。</w:t>
      </w:r>
    </w:p>
    <w:p>
      <w:pPr>
        <w:spacing w:line="360" w:lineRule="auto"/>
        <w:ind w:firstLine="480" w:firstLineChars="200"/>
        <w:rPr>
          <w:rFonts w:ascii="宋体" w:hAnsi="宋体" w:cs="宋体"/>
          <w:sz w:val="24"/>
        </w:rPr>
      </w:pPr>
      <w:r>
        <w:rPr>
          <w:rFonts w:hint="eastAsia" w:ascii="宋体" w:hAnsi="宋体" w:cs="宋体"/>
          <w:sz w:val="24"/>
        </w:rPr>
        <w:t>三、所供货物均须符合相应图纸和技术规范中的相关规定，并且不涉及到任何侵权行为或任何索赔。</w:t>
      </w:r>
    </w:p>
    <w:p>
      <w:pPr>
        <w:spacing w:line="360" w:lineRule="auto"/>
        <w:ind w:firstLine="480" w:firstLineChars="200"/>
        <w:rPr>
          <w:rFonts w:ascii="宋体" w:hAnsi="宋体" w:cs="宋体"/>
          <w:sz w:val="24"/>
        </w:rPr>
      </w:pPr>
      <w:r>
        <w:rPr>
          <w:rFonts w:hint="eastAsia" w:ascii="宋体" w:hAnsi="宋体" w:cs="宋体"/>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360" w:lineRule="auto"/>
        <w:ind w:firstLine="480" w:firstLineChars="200"/>
        <w:rPr>
          <w:rFonts w:ascii="宋体" w:hAnsi="宋体" w:cs="宋体"/>
          <w:sz w:val="24"/>
        </w:rPr>
      </w:pPr>
      <w:r>
        <w:rPr>
          <w:rFonts w:hint="eastAsia" w:ascii="宋体" w:hAnsi="宋体" w:cs="宋体"/>
          <w:sz w:val="24"/>
        </w:rPr>
        <w:t>甲方未提出异议的，乙方仍应于货物质保期内承担保固责任。甲方对货物的验收手续仅仅证明乙方交货的行为，并不能免除乙方应当承担的货物质量责任。</w:t>
      </w:r>
    </w:p>
    <w:p>
      <w:pPr>
        <w:spacing w:line="360" w:lineRule="auto"/>
        <w:ind w:firstLine="480" w:firstLineChars="200"/>
        <w:rPr>
          <w:rFonts w:ascii="宋体" w:hAnsi="宋体" w:cs="宋体"/>
          <w:sz w:val="24"/>
        </w:rPr>
      </w:pPr>
      <w:r>
        <w:rPr>
          <w:rFonts w:hint="eastAsia" w:ascii="宋体" w:hAnsi="宋体" w:cs="宋体"/>
          <w:sz w:val="24"/>
        </w:rPr>
        <w:t xml:space="preserve">因乙方货物质量瑕疵原因导致甲方对其他第三方承担的违约金、损失赔偿等任何赔偿责任，甲方均有权将该赔偿责任转移给乙方，乙方对此无异议。 </w:t>
      </w:r>
    </w:p>
    <w:p>
      <w:pPr>
        <w:spacing w:line="360" w:lineRule="auto"/>
        <w:ind w:firstLine="480" w:firstLineChars="200"/>
        <w:rPr>
          <w:rFonts w:ascii="宋体" w:hAnsi="宋体" w:cs="宋体"/>
          <w:sz w:val="24"/>
        </w:rPr>
      </w:pPr>
      <w:r>
        <w:rPr>
          <w:rFonts w:hint="eastAsia" w:ascii="宋体" w:hAnsi="宋体" w:cs="宋体"/>
          <w:sz w:val="24"/>
        </w:rPr>
        <w:t xml:space="preserve">五、甲方有要求乙方延迟一段合理时间再行交货的权利。     </w:t>
      </w:r>
    </w:p>
    <w:p>
      <w:pPr>
        <w:spacing w:line="360" w:lineRule="auto"/>
        <w:ind w:firstLine="480" w:firstLineChars="200"/>
        <w:rPr>
          <w:rFonts w:ascii="宋体" w:hAnsi="宋体" w:cs="宋体"/>
          <w:sz w:val="24"/>
        </w:rPr>
      </w:pPr>
      <w:r>
        <w:rPr>
          <w:rFonts w:hint="eastAsia" w:ascii="宋体" w:hAnsi="宋体" w:cs="宋体"/>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360" w:lineRule="auto"/>
        <w:ind w:firstLine="480" w:firstLineChars="200"/>
        <w:rPr>
          <w:rFonts w:ascii="宋体" w:hAnsi="宋体" w:cs="宋体"/>
          <w:sz w:val="24"/>
        </w:rPr>
      </w:pPr>
      <w:r>
        <w:rPr>
          <w:rFonts w:hint="eastAsia" w:ascii="宋体" w:hAnsi="宋体" w:cs="宋体"/>
          <w:sz w:val="24"/>
        </w:rPr>
        <w:t xml:space="preserve">七、在项目终止或甲方订立本合同所依据的本项目合同终止时，甲方经书面通知可解除本合同，此种情况不作违约处理。 </w:t>
      </w:r>
    </w:p>
    <w:p>
      <w:pPr>
        <w:spacing w:line="360" w:lineRule="auto"/>
        <w:ind w:firstLine="480" w:firstLineChars="200"/>
        <w:rPr>
          <w:rFonts w:ascii="宋体" w:hAnsi="宋体" w:cs="宋体"/>
          <w:sz w:val="24"/>
        </w:rPr>
      </w:pPr>
      <w:r>
        <w:rPr>
          <w:rFonts w:hint="eastAsia" w:ascii="宋体" w:hAnsi="宋体" w:cs="宋体"/>
          <w:sz w:val="24"/>
        </w:rPr>
        <w:t xml:space="preserve">八、所有交付到甲方现场的货物必须附有交货单。签字的交货单必须附在所有发票上作为本合同付款的前提条件。    </w:t>
      </w:r>
    </w:p>
    <w:p>
      <w:pPr>
        <w:spacing w:line="360" w:lineRule="auto"/>
        <w:ind w:firstLine="480" w:firstLineChars="200"/>
        <w:rPr>
          <w:rFonts w:ascii="宋体" w:hAnsi="宋体" w:cs="宋体"/>
          <w:sz w:val="24"/>
        </w:rPr>
      </w:pPr>
      <w:r>
        <w:rPr>
          <w:rFonts w:hint="eastAsia" w:ascii="宋体" w:hAnsi="宋体" w:cs="宋体"/>
          <w:sz w:val="24"/>
        </w:rPr>
        <w:t xml:space="preserve">九、所有交货费用均由乙方承担，乙方保证使甲方免于承担全部运费、快递费、保险费、装卸费、其他杂费以及由此带来的任何索赔，本合同专用条款有特别约定的，从特别约定。    </w:t>
      </w:r>
    </w:p>
    <w:p>
      <w:pPr>
        <w:spacing w:line="360" w:lineRule="auto"/>
        <w:ind w:firstLine="480" w:firstLineChars="200"/>
        <w:rPr>
          <w:rFonts w:ascii="宋体" w:hAnsi="宋体" w:cs="宋体"/>
          <w:sz w:val="24"/>
        </w:rPr>
      </w:pPr>
      <w:r>
        <w:rPr>
          <w:rFonts w:hint="eastAsia" w:ascii="宋体" w:hAnsi="宋体" w:cs="宋体"/>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360" w:lineRule="auto"/>
        <w:ind w:firstLine="480" w:firstLineChars="200"/>
        <w:rPr>
          <w:rFonts w:ascii="宋体" w:hAnsi="宋体" w:cs="宋体"/>
          <w:sz w:val="24"/>
        </w:rPr>
      </w:pPr>
      <w:r>
        <w:rPr>
          <w:rFonts w:hint="eastAsia" w:ascii="宋体" w:hAnsi="宋体" w:cs="宋体"/>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360" w:lineRule="auto"/>
        <w:ind w:firstLine="480" w:firstLineChars="200"/>
        <w:rPr>
          <w:rFonts w:ascii="宋体" w:hAnsi="宋体" w:cs="宋体"/>
          <w:sz w:val="24"/>
        </w:rPr>
      </w:pPr>
      <w:r>
        <w:rPr>
          <w:rFonts w:hint="eastAsia" w:ascii="宋体" w:hAnsi="宋体" w:cs="宋体"/>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360" w:lineRule="auto"/>
        <w:ind w:firstLine="480" w:firstLineChars="200"/>
        <w:rPr>
          <w:rFonts w:ascii="宋体" w:hAnsi="宋体" w:cs="宋体"/>
          <w:sz w:val="24"/>
        </w:rPr>
      </w:pPr>
      <w:r>
        <w:rPr>
          <w:rFonts w:hint="eastAsia" w:ascii="宋体" w:hAnsi="宋体" w:cs="宋体"/>
          <w:sz w:val="24"/>
        </w:rPr>
        <w:t xml:space="preserve">十三、未经甲方书面同意，乙方不得将本合同的工作内容全部或部分转让给任何第三人。 </w:t>
      </w:r>
    </w:p>
    <w:p>
      <w:pPr>
        <w:spacing w:line="360" w:lineRule="auto"/>
        <w:ind w:firstLine="480" w:firstLineChars="200"/>
        <w:rPr>
          <w:rFonts w:ascii="宋体" w:hAnsi="宋体" w:cs="宋体"/>
          <w:sz w:val="24"/>
        </w:rPr>
      </w:pPr>
      <w:r>
        <w:rPr>
          <w:rFonts w:hint="eastAsia" w:ascii="宋体" w:hAnsi="宋体" w:cs="宋体"/>
          <w:sz w:val="24"/>
        </w:rPr>
        <w:t>十四、乙方声明、陈述和保证其是合法设立并有效存续的独立法人，其授权代表已获得法人授权可代表其签署合同。</w:t>
      </w:r>
    </w:p>
    <w:p>
      <w:pPr>
        <w:spacing w:line="360" w:lineRule="auto"/>
        <w:ind w:firstLine="480" w:firstLineChars="200"/>
        <w:rPr>
          <w:rFonts w:ascii="宋体" w:hAnsi="宋体" w:cs="宋体"/>
          <w:sz w:val="24"/>
        </w:rPr>
      </w:pPr>
      <w:r>
        <w:rPr>
          <w:rFonts w:hint="eastAsia" w:ascii="宋体" w:hAnsi="宋体" w:cs="宋体"/>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360" w:lineRule="auto"/>
        <w:ind w:firstLine="480" w:firstLineChars="200"/>
        <w:jc w:val="center"/>
        <w:rPr>
          <w:rFonts w:ascii="宋体" w:hAnsi="宋体" w:cs="宋体"/>
          <w:b/>
          <w:sz w:val="24"/>
        </w:rPr>
      </w:pPr>
      <w:r>
        <w:rPr>
          <w:rFonts w:hint="eastAsia" w:ascii="宋体" w:hAnsi="宋体" w:cs="宋体"/>
          <w:b/>
          <w:sz w:val="24"/>
        </w:rPr>
        <w:t>第二部分 专用条款</w:t>
      </w:r>
    </w:p>
    <w:p>
      <w:pPr>
        <w:spacing w:line="360" w:lineRule="auto"/>
        <w:ind w:firstLine="360" w:firstLineChars="150"/>
        <w:rPr>
          <w:rFonts w:ascii="宋体" w:hAnsi="宋体" w:cs="宋体"/>
          <w:b/>
          <w:sz w:val="24"/>
        </w:rPr>
      </w:pPr>
      <w:r>
        <w:rPr>
          <w:rFonts w:hint="eastAsia" w:ascii="宋体" w:hAnsi="宋体" w:cs="宋体"/>
          <w:b/>
          <w:sz w:val="24"/>
        </w:rPr>
        <w:t xml:space="preserve">一、 合同标的 </w:t>
      </w:r>
    </w:p>
    <w:p>
      <w:pPr>
        <w:spacing w:line="360" w:lineRule="auto"/>
        <w:ind w:firstLine="360" w:firstLineChars="150"/>
        <w:rPr>
          <w:rFonts w:ascii="宋体" w:hAnsi="宋体" w:cs="宋体"/>
          <w:sz w:val="24"/>
        </w:rPr>
      </w:pPr>
      <w:r>
        <w:rPr>
          <w:rFonts w:hint="eastAsia" w:ascii="宋体" w:hAnsi="宋体" w:cs="宋体"/>
          <w:sz w:val="24"/>
        </w:rPr>
        <w:t xml:space="preserve">1、货物 </w:t>
      </w:r>
    </w:p>
    <w:p>
      <w:pPr>
        <w:spacing w:line="360" w:lineRule="auto"/>
        <w:ind w:firstLine="360" w:firstLineChars="150"/>
        <w:rPr>
          <w:rFonts w:ascii="宋体" w:hAnsi="宋体" w:cs="宋体"/>
          <w:sz w:val="24"/>
        </w:rPr>
      </w:pPr>
      <w:r>
        <w:rPr>
          <w:rFonts w:hint="eastAsia" w:ascii="宋体" w:hAnsi="宋体" w:cs="宋体"/>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360" w:lineRule="auto"/>
        <w:ind w:firstLine="360" w:firstLineChars="150"/>
        <w:rPr>
          <w:rFonts w:ascii="宋体" w:hAnsi="宋体" w:cs="宋体"/>
          <w:sz w:val="24"/>
        </w:rPr>
      </w:pPr>
      <w:r>
        <w:rPr>
          <w:rFonts w:hint="eastAsia" w:ascii="宋体" w:hAnsi="宋体" w:cs="宋体"/>
          <w:sz w:val="24"/>
        </w:rPr>
        <w:t>注:乙方应保证，甲方在中华人民共和国使用该货物或货物的任何一部分时，免受第三方提出的侵犯其专利权、商标权、工业设计权或其他知识产权的起诉。</w:t>
      </w:r>
    </w:p>
    <w:p>
      <w:pPr>
        <w:widowControl/>
        <w:jc w:val="left"/>
        <w:rPr>
          <w:rFonts w:ascii="宋体" w:hAnsi="宋体" w:cs="宋体"/>
          <w:b/>
          <w:sz w:val="24"/>
        </w:rPr>
      </w:pPr>
      <w:r>
        <w:rPr>
          <w:rFonts w:ascii="宋体" w:hAnsi="宋体" w:cs="宋体"/>
          <w:b/>
          <w:sz w:val="24"/>
        </w:rPr>
        <w:br w:type="page"/>
      </w:r>
    </w:p>
    <w:p>
      <w:pPr>
        <w:spacing w:line="360" w:lineRule="auto"/>
        <w:ind w:firstLine="480" w:firstLineChars="200"/>
        <w:rPr>
          <w:rFonts w:ascii="宋体" w:hAnsi="宋体" w:cs="宋体"/>
          <w:b/>
          <w:sz w:val="24"/>
        </w:rPr>
      </w:pPr>
      <w:r>
        <w:rPr>
          <w:rFonts w:hint="eastAsia" w:ascii="宋体" w:hAnsi="宋体" w:cs="宋体"/>
          <w:b/>
          <w:sz w:val="24"/>
        </w:rPr>
        <w:t>2、设备名称、厂家、规格、数量及价格、技术配置要求见下表：</w:t>
      </w:r>
    </w:p>
    <w:tbl>
      <w:tblPr>
        <w:tblStyle w:val="23"/>
        <w:tblpPr w:leftFromText="180" w:rightFromText="180" w:bottomFromText="200" w:vertAnchor="text" w:horzAnchor="margin" w:tblpX="-459" w:tblpY="113"/>
        <w:tblW w:w="547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576"/>
        <w:gridCol w:w="1342"/>
        <w:gridCol w:w="948"/>
        <w:gridCol w:w="1056"/>
        <w:gridCol w:w="838"/>
        <w:gridCol w:w="792"/>
        <w:gridCol w:w="1668"/>
        <w:gridCol w:w="1476"/>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trPr>
        <w:tc>
          <w:tcPr>
            <w:tcW w:w="7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rPr>
            </w:pPr>
            <w:r>
              <w:rPr>
                <w:rFonts w:hint="eastAsia" w:ascii="宋体" w:hAnsi="宋体" w:cs="宋体"/>
                <w:sz w:val="24"/>
              </w:rPr>
              <w:t>设备名称</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生产厂家或品牌</w:t>
            </w: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规格</w:t>
            </w:r>
          </w:p>
          <w:p>
            <w:pPr>
              <w:spacing w:line="360" w:lineRule="auto"/>
              <w:jc w:val="center"/>
              <w:rPr>
                <w:rFonts w:ascii="宋体" w:hAnsi="宋体" w:cs="宋体"/>
                <w:sz w:val="24"/>
              </w:rPr>
            </w:pPr>
            <w:r>
              <w:rPr>
                <w:rFonts w:hint="eastAsia" w:ascii="宋体" w:hAnsi="宋体" w:cs="宋体"/>
                <w:sz w:val="24"/>
              </w:rPr>
              <w:t>型号</w:t>
            </w: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技术</w:t>
            </w:r>
          </w:p>
          <w:p>
            <w:pPr>
              <w:spacing w:line="360" w:lineRule="auto"/>
              <w:jc w:val="center"/>
              <w:rPr>
                <w:rFonts w:ascii="宋体" w:hAnsi="宋体" w:cs="宋体"/>
                <w:sz w:val="24"/>
              </w:rPr>
            </w:pPr>
            <w:r>
              <w:rPr>
                <w:rFonts w:hint="eastAsia" w:ascii="宋体" w:hAnsi="宋体" w:cs="宋体"/>
                <w:sz w:val="24"/>
              </w:rPr>
              <w:t>参数</w:t>
            </w: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单位</w:t>
            </w: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数量</w:t>
            </w: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含税单价(元)</w:t>
            </w: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合计金额（元）</w:t>
            </w: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配置清单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rPr>
            </w:pP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2" w:hRule="atLeast"/>
        </w:trPr>
        <w:tc>
          <w:tcPr>
            <w:tcW w:w="7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4"/>
                <w:u w:val="single"/>
              </w:rPr>
            </w:pPr>
            <w:r>
              <w:rPr>
                <w:rFonts w:hint="eastAsia" w:ascii="宋体" w:hAnsi="宋体" w:cs="宋体"/>
                <w:bCs/>
                <w:sz w:val="24"/>
                <w:u w:val="single"/>
              </w:rPr>
              <w:t>合计</w:t>
            </w:r>
          </w:p>
        </w:tc>
        <w:tc>
          <w:tcPr>
            <w:tcW w:w="63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49"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500"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9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c>
          <w:tcPr>
            <w:tcW w:w="37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7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69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407"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3、本合同为</w:t>
      </w:r>
      <w:r>
        <w:rPr>
          <w:rFonts w:hint="eastAsia" w:ascii="宋体" w:hAnsi="宋体" w:cs="宋体"/>
          <w:b/>
          <w:sz w:val="24"/>
        </w:rPr>
        <w:t>固定总价</w:t>
      </w:r>
      <w:r>
        <w:rPr>
          <w:rFonts w:hint="eastAsia" w:ascii="宋体" w:hAnsi="宋体" w:cs="宋体"/>
          <w:sz w:val="24"/>
        </w:rPr>
        <w:t>，合同总价为人民币大写：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元）</w:t>
      </w:r>
      <w:r>
        <w:rPr>
          <w:rFonts w:hint="eastAsia" w:ascii="宋体" w:hAnsi="宋体" w:cs="宋体"/>
          <w:sz w:val="24"/>
        </w:rPr>
        <w:t xml:space="preserve">，包含增值税。合同价格已包括货物供给、货物包装、运输费、安装费、调试、装卸费和保险等的全部费用及相关税费。乙方应保证甲方除支付合同约定货款之外无需再行支付其他任何费用和款项。 </w:t>
      </w:r>
    </w:p>
    <w:p>
      <w:pPr>
        <w:spacing w:line="360" w:lineRule="auto"/>
        <w:ind w:firstLine="360" w:firstLineChars="150"/>
        <w:rPr>
          <w:rFonts w:ascii="宋体" w:hAnsi="宋体" w:cs="宋体"/>
          <w:sz w:val="24"/>
        </w:rPr>
      </w:pPr>
      <w:r>
        <w:rPr>
          <w:rFonts w:hint="eastAsia" w:ascii="宋体" w:hAnsi="宋体" w:cs="宋体"/>
          <w:sz w:val="24"/>
        </w:rPr>
        <w:t xml:space="preserve">4、价格清单表是基于乙方在完全理解本项目材料所需为前提，同时甲方对清单中的名称、规格、材质及数量等没有校对的义务，乙方在合同有效期内不得对清单的综合费用提出任何费用的增加。 </w:t>
      </w:r>
    </w:p>
    <w:p>
      <w:pPr>
        <w:spacing w:line="360" w:lineRule="auto"/>
        <w:ind w:firstLine="360" w:firstLineChars="150"/>
        <w:rPr>
          <w:rFonts w:ascii="宋体" w:hAnsi="宋体" w:cs="宋体"/>
          <w:b/>
          <w:sz w:val="24"/>
        </w:rPr>
      </w:pPr>
      <w:r>
        <w:rPr>
          <w:rFonts w:hint="eastAsia" w:ascii="宋体" w:hAnsi="宋体" w:cs="宋体"/>
          <w:b/>
          <w:sz w:val="24"/>
        </w:rPr>
        <w:t>二、质量保证</w:t>
      </w:r>
    </w:p>
    <w:p>
      <w:pPr>
        <w:spacing w:line="360" w:lineRule="auto"/>
        <w:ind w:firstLine="360" w:firstLineChars="150"/>
        <w:rPr>
          <w:rFonts w:ascii="宋体" w:hAnsi="宋体" w:cs="宋体"/>
          <w:sz w:val="24"/>
        </w:rPr>
      </w:pPr>
      <w:r>
        <w:rPr>
          <w:rFonts w:hint="eastAsia" w:ascii="宋体" w:hAnsi="宋体" w:cs="宋体"/>
          <w:sz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360" w:lineRule="auto"/>
        <w:ind w:firstLine="360" w:firstLineChars="150"/>
        <w:rPr>
          <w:rFonts w:ascii="宋体" w:hAnsi="宋体" w:cs="宋体"/>
          <w:sz w:val="24"/>
        </w:rPr>
      </w:pPr>
      <w:r>
        <w:rPr>
          <w:rFonts w:hint="eastAsia" w:ascii="宋体" w:hAnsi="宋体" w:cs="宋体"/>
          <w:sz w:val="24"/>
        </w:rPr>
        <w:t>2、乙方保证本协议货物是全新的、未使用过，是符合国家技术规格和国家质量标准的出厂原装合格产品，产品型号、数量、规格及技术、质量标准、售后服务、安装调试必须满足甲方和自治区政府采购协议定点采购要求。</w:t>
      </w:r>
    </w:p>
    <w:p>
      <w:pPr>
        <w:spacing w:line="360" w:lineRule="auto"/>
        <w:ind w:firstLine="360" w:firstLineChars="150"/>
        <w:rPr>
          <w:rFonts w:ascii="宋体" w:hAnsi="宋体" w:cs="宋体"/>
          <w:sz w:val="24"/>
        </w:rPr>
      </w:pPr>
      <w:r>
        <w:rPr>
          <w:rFonts w:hint="eastAsia" w:ascii="宋体" w:hAnsi="宋体" w:cs="宋体"/>
          <w:sz w:val="24"/>
        </w:rPr>
        <w:t>3、货物在交货过程中，发生意外事故和故障损失，如撞、刮、裂、损等均由乙方承担责任；</w:t>
      </w:r>
    </w:p>
    <w:p>
      <w:pPr>
        <w:spacing w:line="360" w:lineRule="auto"/>
        <w:ind w:firstLine="360" w:firstLineChars="150"/>
        <w:rPr>
          <w:rFonts w:ascii="宋体" w:hAnsi="宋体" w:cs="宋体"/>
          <w:sz w:val="24"/>
        </w:rPr>
      </w:pPr>
      <w:r>
        <w:rPr>
          <w:rFonts w:hint="eastAsia" w:ascii="宋体" w:hAnsi="宋体" w:cs="宋体"/>
          <w:sz w:val="24"/>
        </w:rPr>
        <w:t>4、乙方须按合同要求提供质量合格的货物，如期交付到甲方指定的地点，并负责安装调试。</w:t>
      </w:r>
    </w:p>
    <w:p>
      <w:pPr>
        <w:spacing w:line="360" w:lineRule="auto"/>
        <w:ind w:firstLine="360" w:firstLineChars="150"/>
        <w:rPr>
          <w:rFonts w:ascii="宋体" w:hAnsi="宋体" w:cs="宋体"/>
          <w:sz w:val="24"/>
        </w:rPr>
      </w:pPr>
      <w:r>
        <w:rPr>
          <w:rFonts w:hint="eastAsia" w:ascii="宋体" w:hAnsi="宋体" w:cs="宋体"/>
          <w:sz w:val="24"/>
        </w:rPr>
        <w:t>5、乙方的安装调试人员有义务对甲方的设备维修人员及使用人员进行免费培训，确保维修人员能对设备进行日常维护和一般性故障的查找及故障的排除，确保使用人员能够熟练掌握设备的各项功能和操作。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360" w:firstLineChars="150"/>
        <w:rPr>
          <w:rFonts w:ascii="宋体" w:hAnsi="宋体" w:cs="宋体"/>
          <w:b/>
          <w:sz w:val="24"/>
        </w:rPr>
      </w:pPr>
      <w:r>
        <w:rPr>
          <w:rFonts w:hint="eastAsia" w:ascii="宋体" w:hAnsi="宋体" w:cs="宋体"/>
          <w:b/>
          <w:sz w:val="24"/>
        </w:rPr>
        <w:t>三、质量保证期</w:t>
      </w:r>
    </w:p>
    <w:p>
      <w:pPr>
        <w:spacing w:line="360" w:lineRule="auto"/>
        <w:ind w:firstLine="360" w:firstLineChars="150"/>
        <w:rPr>
          <w:rFonts w:ascii="宋体" w:hAnsi="宋体" w:cs="宋体"/>
          <w:sz w:val="24"/>
        </w:rPr>
      </w:pPr>
      <w:r>
        <w:rPr>
          <w:rFonts w:hint="eastAsia" w:ascii="宋体" w:hAnsi="宋体" w:cs="宋体"/>
          <w:sz w:val="24"/>
        </w:rPr>
        <w:t>1、合同内货物（含所有配件）质保期为</w:t>
      </w:r>
      <w:r>
        <w:rPr>
          <w:rFonts w:hint="eastAsia" w:ascii="宋体" w:hAnsi="宋体" w:cs="宋体"/>
          <w:sz w:val="24"/>
          <w:u w:val="single"/>
        </w:rPr>
        <w:t xml:space="preserve">  年</w:t>
      </w:r>
      <w:r>
        <w:rPr>
          <w:rFonts w:hint="eastAsia" w:ascii="宋体" w:hAnsi="宋体" w:cs="宋体"/>
          <w:sz w:val="24"/>
        </w:rPr>
        <w:t>，质保期自甲方书面验收合格后，乙方开具发票之日起计算。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360" w:firstLineChars="150"/>
        <w:rPr>
          <w:rFonts w:ascii="宋体" w:hAnsi="宋体" w:cs="宋体"/>
          <w:sz w:val="24"/>
        </w:rPr>
      </w:pPr>
      <w:r>
        <w:rPr>
          <w:rFonts w:hint="eastAsia" w:ascii="宋体" w:hAnsi="宋体" w:cs="宋体"/>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360" w:lineRule="auto"/>
        <w:ind w:firstLine="360" w:firstLineChars="150"/>
        <w:rPr>
          <w:rFonts w:ascii="宋体" w:hAnsi="宋体" w:cs="宋体"/>
          <w:b/>
          <w:sz w:val="24"/>
        </w:rPr>
      </w:pPr>
      <w:r>
        <w:rPr>
          <w:rFonts w:hint="eastAsia" w:ascii="宋体" w:hAnsi="宋体" w:cs="宋体"/>
          <w:b/>
          <w:sz w:val="24"/>
        </w:rPr>
        <w:t>四、交货时间、地点</w:t>
      </w:r>
    </w:p>
    <w:p>
      <w:pPr>
        <w:spacing w:line="360" w:lineRule="auto"/>
        <w:ind w:firstLine="360" w:firstLineChars="150"/>
        <w:rPr>
          <w:rFonts w:ascii="宋体" w:hAnsi="宋体" w:cs="宋体"/>
          <w:sz w:val="24"/>
        </w:rPr>
      </w:pPr>
      <w:r>
        <w:rPr>
          <w:rFonts w:hint="eastAsia" w:ascii="宋体" w:hAnsi="宋体" w:cs="宋体"/>
          <w:sz w:val="24"/>
        </w:rPr>
        <w:t>1、乙方于合同签定后</w:t>
      </w:r>
      <w:r>
        <w:rPr>
          <w:rFonts w:hint="eastAsia" w:ascii="宋体" w:hAnsi="宋体" w:cs="宋体"/>
          <w:sz w:val="24"/>
          <w:u w:val="single"/>
        </w:rPr>
        <w:t xml:space="preserve">   天</w:t>
      </w:r>
      <w:r>
        <w:rPr>
          <w:rFonts w:hint="eastAsia" w:ascii="宋体" w:hAnsi="宋体" w:cs="宋体"/>
          <w:sz w:val="24"/>
        </w:rPr>
        <w:t>内，将货物送达至以下指定地点：</w:t>
      </w:r>
      <w:r>
        <w:rPr>
          <w:rFonts w:hint="eastAsia" w:ascii="宋体" w:hAnsi="宋体" w:cs="宋体"/>
          <w:sz w:val="24"/>
          <w:u w:val="single"/>
        </w:rPr>
        <w:t>新疆医科大学第二附属医院</w:t>
      </w:r>
      <w:r>
        <w:rPr>
          <w:rFonts w:hint="eastAsia" w:ascii="宋体" w:hAnsi="宋体" w:cs="宋体"/>
          <w:sz w:val="24"/>
        </w:rPr>
        <w:t>，并确保在</w:t>
      </w:r>
      <w:r>
        <w:rPr>
          <w:rFonts w:hint="eastAsia" w:ascii="宋体" w:hAnsi="宋体" w:cs="宋体"/>
          <w:sz w:val="24"/>
          <w:u w:val="single"/>
        </w:rPr>
        <w:t xml:space="preserve"> 3</w:t>
      </w:r>
      <w:r>
        <w:rPr>
          <w:rFonts w:hint="eastAsia" w:ascii="宋体" w:hAnsi="宋体" w:cs="宋体"/>
          <w:sz w:val="24"/>
        </w:rPr>
        <w:t>天内完成安装和调试工作，配合甲方做好验收工作。</w:t>
      </w:r>
    </w:p>
    <w:p>
      <w:pPr>
        <w:spacing w:line="360" w:lineRule="auto"/>
        <w:ind w:firstLine="360" w:firstLineChars="150"/>
        <w:rPr>
          <w:rFonts w:ascii="宋体" w:hAnsi="宋体" w:cs="宋体"/>
          <w:sz w:val="24"/>
        </w:rPr>
      </w:pPr>
      <w:r>
        <w:rPr>
          <w:rFonts w:hint="eastAsia" w:ascii="宋体" w:hAnsi="宋体" w:cs="宋体"/>
          <w:sz w:val="24"/>
        </w:rPr>
        <w:t>其它备注说明：如因甲方原因造成无法安装或延期安装，交货期限可后延，乙方同意顺延交货日期。</w:t>
      </w:r>
    </w:p>
    <w:p>
      <w:pPr>
        <w:spacing w:line="360" w:lineRule="auto"/>
        <w:ind w:firstLine="360" w:firstLineChars="150"/>
        <w:rPr>
          <w:rFonts w:ascii="宋体" w:hAnsi="宋体" w:cs="宋体"/>
          <w:b/>
          <w:sz w:val="24"/>
        </w:rPr>
      </w:pPr>
      <w:r>
        <w:rPr>
          <w:rFonts w:hint="eastAsia" w:ascii="宋体" w:hAnsi="宋体" w:cs="宋体"/>
          <w:b/>
          <w:sz w:val="24"/>
        </w:rPr>
        <w:t>2、本合同货物由乙方直接发运至甲方，乙方应自行安排专门负责装卸货物的人员到甲方处与甲方指定的接货人对接，乙方人员负责将货物卸至甲方接货人指定的地点。</w:t>
      </w:r>
    </w:p>
    <w:p>
      <w:pPr>
        <w:spacing w:line="360" w:lineRule="auto"/>
        <w:ind w:firstLine="360" w:firstLineChars="150"/>
        <w:rPr>
          <w:rFonts w:ascii="宋体" w:hAnsi="宋体" w:cs="宋体"/>
          <w:sz w:val="24"/>
          <w:u w:val="single"/>
        </w:rPr>
      </w:pPr>
      <w:r>
        <w:rPr>
          <w:rFonts w:hint="eastAsia" w:ascii="宋体" w:hAnsi="宋体" w:cs="宋体"/>
          <w:b/>
          <w:sz w:val="24"/>
        </w:rPr>
        <w:t>3、到货地点：</w:t>
      </w:r>
      <w:r>
        <w:rPr>
          <w:rFonts w:hint="eastAsia" w:ascii="宋体" w:hAnsi="宋体" w:cs="宋体"/>
          <w:b/>
          <w:sz w:val="24"/>
          <w:u w:val="single"/>
        </w:rPr>
        <w:t>新疆医科大学第二附属医院</w:t>
      </w:r>
      <w:r>
        <w:rPr>
          <w:rFonts w:hint="eastAsia" w:ascii="宋体" w:hAnsi="宋体" w:cs="宋体"/>
          <w:b/>
          <w:sz w:val="24"/>
        </w:rPr>
        <w:t>。甲方指定的接货人为：姓名</w:t>
      </w:r>
      <w:r>
        <w:rPr>
          <w:rFonts w:hint="eastAsia" w:ascii="宋体" w:hAnsi="宋体" w:cs="宋体"/>
          <w:b/>
          <w:sz w:val="24"/>
          <w:u w:val="single"/>
        </w:rPr>
        <w:t xml:space="preserve">：        </w:t>
      </w:r>
      <w:r>
        <w:rPr>
          <w:rFonts w:hint="eastAsia" w:ascii="宋体" w:hAnsi="宋体" w:cs="宋体"/>
          <w:b/>
          <w:sz w:val="24"/>
        </w:rPr>
        <w:t>，电话号码</w:t>
      </w:r>
      <w:r>
        <w:rPr>
          <w:rFonts w:hint="eastAsia" w:ascii="宋体" w:hAnsi="宋体" w:cs="宋体"/>
          <w:b/>
          <w:sz w:val="24"/>
          <w:u w:val="single"/>
        </w:rPr>
        <w:t>：         ；</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4、在交付时，乙方必须向甲方提供质量合格证书、技术资料（操作、维修、保养）、保修凭证等一切相关资料及配件，否则，甲方有权不予付款且不承担违约责任。</w:t>
      </w:r>
    </w:p>
    <w:p>
      <w:pPr>
        <w:spacing w:line="360" w:lineRule="auto"/>
        <w:ind w:firstLine="360" w:firstLineChars="150"/>
        <w:rPr>
          <w:rFonts w:ascii="宋体" w:hAnsi="宋体" w:cs="宋体"/>
          <w:sz w:val="24"/>
        </w:rPr>
      </w:pPr>
      <w:r>
        <w:rPr>
          <w:rFonts w:hint="eastAsia" w:ascii="宋体" w:hAnsi="宋体" w:cs="宋体"/>
          <w:sz w:val="24"/>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pPr>
        <w:spacing w:line="360" w:lineRule="auto"/>
        <w:ind w:firstLine="360" w:firstLineChars="150"/>
        <w:rPr>
          <w:rFonts w:ascii="宋体" w:hAnsi="宋体" w:cs="宋体"/>
          <w:b/>
          <w:sz w:val="24"/>
        </w:rPr>
      </w:pPr>
      <w:r>
        <w:rPr>
          <w:rFonts w:hint="eastAsia" w:ascii="宋体" w:hAnsi="宋体" w:cs="宋体"/>
          <w:b/>
          <w:sz w:val="24"/>
        </w:rPr>
        <w:t>五、产品包装及运输</w:t>
      </w:r>
    </w:p>
    <w:p>
      <w:pPr>
        <w:spacing w:line="360" w:lineRule="auto"/>
        <w:ind w:firstLine="360" w:firstLineChars="150"/>
        <w:rPr>
          <w:rFonts w:ascii="宋体" w:hAnsi="宋体" w:cs="宋体"/>
          <w:bCs/>
          <w:sz w:val="24"/>
        </w:rPr>
      </w:pPr>
      <w:r>
        <w:rPr>
          <w:rFonts w:hint="eastAsia" w:ascii="宋体" w:hAnsi="宋体" w:cs="宋体"/>
          <w:bCs/>
          <w:sz w:val="24"/>
        </w:rPr>
        <w:t xml:space="preserve">１、包装必须与运输方式相适应，包装方式的确定和包装费用均由乙方负责;由于不适当的包装而造成的货物有任何的损坏由乙方负责。 </w:t>
      </w:r>
    </w:p>
    <w:p>
      <w:pPr>
        <w:spacing w:line="360" w:lineRule="auto"/>
        <w:ind w:firstLine="360" w:firstLineChars="150"/>
        <w:rPr>
          <w:rFonts w:ascii="宋体" w:hAnsi="宋体" w:cs="宋体"/>
          <w:bCs/>
          <w:sz w:val="24"/>
        </w:rPr>
      </w:pPr>
      <w:r>
        <w:rPr>
          <w:rFonts w:hint="eastAsia" w:ascii="宋体" w:hAnsi="宋体" w:cs="宋体"/>
          <w:bCs/>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360" w:lineRule="auto"/>
        <w:ind w:firstLine="360" w:firstLineChars="150"/>
        <w:rPr>
          <w:rFonts w:ascii="宋体" w:hAnsi="宋体" w:cs="宋体"/>
          <w:bCs/>
          <w:sz w:val="24"/>
        </w:rPr>
      </w:pPr>
      <w:r>
        <w:rPr>
          <w:rFonts w:hint="eastAsia" w:ascii="宋体" w:hAnsi="宋体" w:cs="宋体"/>
          <w:bCs/>
          <w:sz w:val="24"/>
        </w:rPr>
        <w:t>3、包装费、运输费、装卸费和保险费均已包含在合同单价内。</w:t>
      </w:r>
    </w:p>
    <w:p>
      <w:pPr>
        <w:spacing w:line="360" w:lineRule="auto"/>
        <w:ind w:firstLine="360" w:firstLineChars="150"/>
        <w:rPr>
          <w:rFonts w:ascii="宋体" w:hAnsi="宋体" w:cs="宋体"/>
          <w:bCs/>
          <w:sz w:val="24"/>
        </w:rPr>
      </w:pPr>
      <w:r>
        <w:rPr>
          <w:rFonts w:hint="eastAsia" w:ascii="宋体" w:hAnsi="宋体" w:cs="宋体"/>
          <w:bCs/>
          <w:sz w:val="24"/>
        </w:rPr>
        <w:t>4、运输途中的货物安全问题均由乙方负责。</w:t>
      </w:r>
    </w:p>
    <w:p>
      <w:pPr>
        <w:spacing w:line="360" w:lineRule="auto"/>
        <w:ind w:firstLine="360" w:firstLineChars="150"/>
        <w:rPr>
          <w:rFonts w:ascii="宋体" w:hAnsi="宋体" w:cs="宋体"/>
          <w:bCs/>
          <w:sz w:val="24"/>
        </w:rPr>
      </w:pPr>
      <w:r>
        <w:rPr>
          <w:rFonts w:hint="eastAsia" w:ascii="宋体" w:hAnsi="宋体" w:cs="宋体"/>
          <w:b/>
          <w:sz w:val="24"/>
        </w:rPr>
        <w:t>六、验收</w:t>
      </w:r>
    </w:p>
    <w:p>
      <w:pPr>
        <w:spacing w:line="360" w:lineRule="auto"/>
        <w:ind w:firstLine="360" w:firstLineChars="150"/>
        <w:rPr>
          <w:rFonts w:ascii="宋体" w:hAnsi="宋体" w:cs="宋体"/>
          <w:sz w:val="24"/>
        </w:rPr>
      </w:pPr>
      <w:r>
        <w:rPr>
          <w:rFonts w:hint="eastAsia" w:ascii="宋体" w:hAnsi="宋体" w:cs="宋体"/>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360" w:lineRule="auto"/>
        <w:ind w:firstLine="360" w:firstLineChars="150"/>
        <w:rPr>
          <w:rFonts w:ascii="宋体" w:hAnsi="宋体" w:cs="宋体"/>
          <w:sz w:val="24"/>
        </w:rPr>
      </w:pPr>
      <w:r>
        <w:rPr>
          <w:rFonts w:hint="eastAsia" w:ascii="宋体" w:hAnsi="宋体" w:cs="宋体"/>
          <w:sz w:val="24"/>
        </w:rPr>
        <w:t xml:space="preserve">2、数量:提货验收或按乙方发货结算单验收。 </w:t>
      </w:r>
    </w:p>
    <w:p>
      <w:pPr>
        <w:spacing w:line="360" w:lineRule="auto"/>
        <w:ind w:firstLine="360" w:firstLineChars="150"/>
        <w:rPr>
          <w:rFonts w:ascii="宋体" w:hAnsi="宋体" w:cs="宋体"/>
          <w:sz w:val="24"/>
        </w:rPr>
      </w:pPr>
      <w:r>
        <w:rPr>
          <w:rFonts w:hint="eastAsia" w:ascii="宋体" w:hAnsi="宋体" w:cs="宋体"/>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360" w:lineRule="auto"/>
        <w:ind w:firstLine="360" w:firstLineChars="150"/>
        <w:rPr>
          <w:rFonts w:ascii="宋体" w:hAnsi="宋体" w:cs="宋体"/>
          <w:sz w:val="24"/>
        </w:rPr>
      </w:pPr>
      <w:r>
        <w:rPr>
          <w:rFonts w:hint="eastAsia" w:ascii="宋体" w:hAnsi="宋体" w:cs="宋体"/>
          <w:sz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360" w:lineRule="auto"/>
        <w:ind w:firstLine="360" w:firstLineChars="150"/>
        <w:rPr>
          <w:rFonts w:ascii="宋体" w:hAnsi="宋体" w:cs="宋体"/>
          <w:b/>
          <w:sz w:val="24"/>
        </w:rPr>
      </w:pPr>
      <w:r>
        <w:rPr>
          <w:rFonts w:hint="eastAsia" w:ascii="宋体" w:hAnsi="宋体" w:cs="宋体"/>
          <w:b/>
          <w:sz w:val="24"/>
        </w:rPr>
        <w:t>七、售后服务</w:t>
      </w:r>
    </w:p>
    <w:p>
      <w:pPr>
        <w:spacing w:line="360" w:lineRule="auto"/>
        <w:ind w:firstLine="480" w:firstLineChars="200"/>
        <w:rPr>
          <w:rFonts w:ascii="宋体" w:hAnsi="宋体" w:cs="宋体"/>
          <w:sz w:val="24"/>
        </w:rPr>
      </w:pPr>
      <w:r>
        <w:rPr>
          <w:rFonts w:hint="eastAsia" w:ascii="宋体" w:hAnsi="宋体" w:cs="宋体"/>
          <w:sz w:val="24"/>
        </w:rPr>
        <w:t>1、上述产品（含所有配件）的免费保修期为交货并验收合格后</w:t>
      </w:r>
      <w:r>
        <w:rPr>
          <w:rFonts w:hint="eastAsia" w:ascii="宋体" w:hAnsi="宋体" w:cs="宋体"/>
          <w:sz w:val="24"/>
          <w:u w:val="single"/>
        </w:rPr>
        <w:t xml:space="preserve">   年</w:t>
      </w:r>
      <w:r>
        <w:rPr>
          <w:rFonts w:hint="eastAsia" w:ascii="宋体" w:hAnsi="宋体" w:cs="宋体"/>
          <w:sz w:val="24"/>
        </w:rPr>
        <w:t xml:space="preserve"> 。</w:t>
      </w:r>
    </w:p>
    <w:p>
      <w:pPr>
        <w:spacing w:line="360" w:lineRule="auto"/>
        <w:ind w:firstLine="480" w:firstLineChars="200"/>
        <w:jc w:val="left"/>
        <w:rPr>
          <w:rFonts w:ascii="宋体" w:hAnsi="宋体" w:cs="宋体"/>
          <w:sz w:val="24"/>
          <w:u w:val="single"/>
        </w:rPr>
      </w:pPr>
      <w:r>
        <w:rPr>
          <w:rFonts w:hint="eastAsia" w:ascii="宋体" w:hAnsi="宋体" w:cs="宋体"/>
          <w:sz w:val="24"/>
        </w:rPr>
        <w:t>2、乙方应提供国内（包括新疆地区）维修站（地</w:t>
      </w:r>
      <w:r>
        <w:rPr>
          <w:rFonts w:hint="eastAsia" w:ascii="宋体" w:hAnsi="宋体" w:cs="宋体"/>
          <w:sz w:val="24"/>
          <w:u w:val="single"/>
        </w:rPr>
        <w:t>址）：                                  ，</w:t>
      </w:r>
      <w:r>
        <w:rPr>
          <w:rFonts w:hint="eastAsia" w:ascii="宋体" w:hAnsi="宋体" w:cs="宋体"/>
          <w:sz w:val="24"/>
        </w:rPr>
        <w:t>售后服务联系人：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。提供正规的备品备件价格表。保修期后的维修费用，先维修后付款；零备件的购买，先交货后付款；提供保修期后无偿技术支持。</w:t>
      </w:r>
    </w:p>
    <w:p>
      <w:pPr>
        <w:spacing w:line="360" w:lineRule="auto"/>
        <w:ind w:firstLine="360" w:firstLineChars="150"/>
        <w:rPr>
          <w:rFonts w:ascii="宋体" w:hAnsi="宋体" w:cs="宋体"/>
          <w:sz w:val="24"/>
        </w:rPr>
      </w:pPr>
      <w:r>
        <w:rPr>
          <w:rFonts w:hint="eastAsia" w:ascii="宋体" w:hAnsi="宋体" w:cs="宋体"/>
          <w:sz w:val="24"/>
        </w:rPr>
        <w:t>3、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pPr>
        <w:spacing w:line="360" w:lineRule="auto"/>
        <w:ind w:firstLine="360" w:firstLineChars="150"/>
        <w:rPr>
          <w:rFonts w:ascii="宋体" w:hAnsi="宋体" w:cs="宋体"/>
          <w:b/>
          <w:sz w:val="24"/>
        </w:rPr>
      </w:pPr>
      <w:r>
        <w:rPr>
          <w:rFonts w:hint="eastAsia" w:ascii="宋体" w:hAnsi="宋体" w:cs="宋体"/>
          <w:b/>
          <w:sz w:val="24"/>
        </w:rPr>
        <w:t>八、货款的支付</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1、乙方在收到中标通知书之日起15个日内，向甲方提交合同总价10%的履约保函，担保期限涵盖至质保期满之日止。甲方收到保函后向乙方支付合同总价款20%的预付款；</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2、剩余80％款货到经甲方书面验收合格后一次性支付，如因新冠疫情等不可抗力等原因导致货物无法送达验收的，由双方协商一致变更付款方式。</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3、甲方向乙方支付任何一笔款项前，乙方须提供符合甲方财务做账要求的正规发票，否则甲方有权拒付款项且不承担违约责任。</w:t>
      </w:r>
    </w:p>
    <w:p>
      <w:pPr>
        <w:spacing w:line="360" w:lineRule="auto"/>
        <w:ind w:firstLine="360" w:firstLineChars="150"/>
        <w:rPr>
          <w:rFonts w:ascii="宋体" w:hAnsi="宋体" w:cs="宋体"/>
          <w:sz w:val="24"/>
        </w:rPr>
      </w:pPr>
      <w:r>
        <w:rPr>
          <w:rFonts w:ascii="宋体" w:hAnsi="宋体" w:cs="宋体"/>
          <w:sz w:val="24"/>
        </w:rPr>
        <w:t>4</w:t>
      </w:r>
      <w:r>
        <w:rPr>
          <w:rFonts w:hint="eastAsia" w:ascii="宋体" w:hAnsi="宋体" w:cs="宋体"/>
          <w:sz w:val="24"/>
        </w:rPr>
        <w:t>、乙方银行账户信息：</w:t>
      </w:r>
    </w:p>
    <w:p>
      <w:pPr>
        <w:spacing w:line="360" w:lineRule="auto"/>
        <w:ind w:firstLine="560"/>
        <w:rPr>
          <w:rFonts w:ascii="宋体" w:hAnsi="宋体" w:cs="宋体"/>
          <w:sz w:val="24"/>
          <w:u w:val="single"/>
        </w:rPr>
      </w:pPr>
      <w:r>
        <w:rPr>
          <w:rFonts w:hint="eastAsia" w:ascii="宋体" w:hAnsi="宋体" w:cs="宋体"/>
          <w:sz w:val="24"/>
        </w:rPr>
        <w:t>开户行：</w:t>
      </w:r>
      <w:r>
        <w:rPr>
          <w:rFonts w:hint="eastAsia" w:ascii="宋体" w:hAnsi="宋体" w:cs="宋体"/>
          <w:sz w:val="24"/>
          <w:u w:val="single"/>
        </w:rPr>
        <w:t xml:space="preserve">                                   </w:t>
      </w:r>
    </w:p>
    <w:p>
      <w:pPr>
        <w:spacing w:line="360" w:lineRule="auto"/>
        <w:ind w:firstLine="560"/>
        <w:rPr>
          <w:rFonts w:ascii="宋体" w:hAnsi="宋体" w:cs="宋体"/>
          <w:sz w:val="24"/>
        </w:rPr>
      </w:pPr>
      <w:r>
        <w:rPr>
          <w:rFonts w:hint="eastAsia" w:ascii="宋体" w:hAnsi="宋体" w:cs="宋体"/>
          <w:sz w:val="24"/>
        </w:rPr>
        <w:t xml:space="preserve">账户名称：                    </w:t>
      </w:r>
    </w:p>
    <w:p>
      <w:pPr>
        <w:spacing w:line="360" w:lineRule="auto"/>
        <w:ind w:firstLine="560"/>
        <w:rPr>
          <w:rFonts w:ascii="宋体" w:hAnsi="宋体" w:cs="宋体"/>
          <w:sz w:val="24"/>
        </w:rPr>
      </w:pPr>
      <w:r>
        <w:rPr>
          <w:rFonts w:hint="eastAsia" w:ascii="宋体" w:hAnsi="宋体" w:cs="宋体"/>
          <w:sz w:val="24"/>
        </w:rPr>
        <w:t xml:space="preserve">银行账号：                    </w:t>
      </w:r>
    </w:p>
    <w:p>
      <w:pPr>
        <w:spacing w:line="360" w:lineRule="auto"/>
        <w:ind w:firstLine="480" w:firstLineChars="200"/>
        <w:rPr>
          <w:rFonts w:ascii="宋体" w:hAnsi="宋体" w:cs="宋体"/>
          <w:sz w:val="24"/>
        </w:rPr>
      </w:pPr>
      <w:r>
        <w:rPr>
          <w:rFonts w:hint="eastAsia" w:ascii="宋体" w:hAnsi="宋体" w:cs="宋体"/>
          <w:sz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spacing w:line="360" w:lineRule="auto"/>
        <w:ind w:firstLine="360" w:firstLineChars="150"/>
        <w:rPr>
          <w:rFonts w:ascii="宋体" w:hAnsi="宋体" w:cs="宋体"/>
          <w:b/>
          <w:sz w:val="24"/>
        </w:rPr>
      </w:pPr>
      <w:r>
        <w:rPr>
          <w:rFonts w:hint="eastAsia" w:ascii="宋体" w:hAnsi="宋体" w:cs="宋体"/>
          <w:b/>
          <w:sz w:val="24"/>
        </w:rPr>
        <w:t>九、违约责任</w:t>
      </w:r>
    </w:p>
    <w:p>
      <w:pPr>
        <w:autoSpaceDE w:val="0"/>
        <w:autoSpaceDN w:val="0"/>
        <w:adjustRightInd w:val="0"/>
        <w:spacing w:line="360" w:lineRule="auto"/>
        <w:ind w:left="-60" w:leftChars="-29" w:firstLine="300" w:firstLineChars="150"/>
        <w:jc w:val="left"/>
        <w:rPr>
          <w:rFonts w:ascii="宋体" w:hAnsi="宋体" w:cs="宋体"/>
          <w:kern w:val="0"/>
          <w:sz w:val="20"/>
        </w:rPr>
      </w:pPr>
      <w:r>
        <w:rPr>
          <w:rFonts w:hint="eastAsia" w:ascii="宋体" w:hAnsi="宋体" w:cs="宋体"/>
          <w:kern w:val="0"/>
          <w:sz w:val="20"/>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pPr>
        <w:spacing w:line="360" w:lineRule="auto"/>
        <w:ind w:firstLine="360" w:firstLineChars="150"/>
        <w:rPr>
          <w:rFonts w:ascii="宋体" w:hAnsi="宋体" w:cs="宋体"/>
          <w:sz w:val="24"/>
        </w:rPr>
      </w:pPr>
      <w:r>
        <w:rPr>
          <w:rFonts w:hint="eastAsia" w:ascii="宋体" w:hAnsi="宋体" w:cs="宋体"/>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360" w:lineRule="auto"/>
        <w:ind w:firstLine="360" w:firstLineChars="150"/>
        <w:rPr>
          <w:rFonts w:ascii="宋体" w:hAnsi="宋体" w:cs="宋体"/>
          <w:sz w:val="24"/>
        </w:rPr>
      </w:pPr>
      <w:r>
        <w:rPr>
          <w:rFonts w:hint="eastAsia" w:ascii="宋体" w:hAnsi="宋体" w:cs="宋体"/>
          <w:sz w:val="24"/>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pPr>
        <w:spacing w:line="360" w:lineRule="auto"/>
        <w:ind w:firstLine="360" w:firstLineChars="150"/>
        <w:rPr>
          <w:rFonts w:ascii="宋体" w:hAnsi="宋体" w:cs="宋体"/>
          <w:sz w:val="24"/>
        </w:rPr>
      </w:pPr>
      <w:r>
        <w:rPr>
          <w:rFonts w:hint="eastAsia" w:ascii="宋体" w:hAnsi="宋体" w:cs="宋体"/>
          <w:sz w:val="24"/>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pPr>
        <w:spacing w:line="360" w:lineRule="auto"/>
        <w:ind w:firstLine="360" w:firstLineChars="150"/>
        <w:rPr>
          <w:rFonts w:ascii="宋体" w:hAnsi="宋体" w:cs="宋体"/>
          <w:sz w:val="24"/>
        </w:rPr>
      </w:pPr>
      <w:r>
        <w:rPr>
          <w:rFonts w:hint="eastAsia" w:ascii="宋体" w:hAnsi="宋体" w:cs="宋体"/>
          <w:sz w:val="24"/>
        </w:rPr>
        <w:t>5）乙方向甲方承诺，如发生乙方向甲方指定人员或与该业务有关的任何工作人员行贿、送礼等行为，或与甲方相关工作人员串通，做出损害甲方利益的任何行为，每次按合同总金额的20%的数额向甲方承担违约金。</w:t>
      </w:r>
    </w:p>
    <w:p>
      <w:pPr>
        <w:spacing w:line="360" w:lineRule="auto"/>
        <w:ind w:firstLine="360" w:firstLineChars="150"/>
        <w:rPr>
          <w:rFonts w:ascii="宋体" w:hAnsi="宋体" w:cs="宋体"/>
          <w:b/>
          <w:sz w:val="24"/>
        </w:rPr>
      </w:pPr>
      <w:r>
        <w:rPr>
          <w:rFonts w:hint="eastAsia" w:ascii="宋体" w:hAnsi="宋体" w:cs="宋体"/>
          <w:b/>
          <w:sz w:val="24"/>
        </w:rPr>
        <w:t>十、不可抗力</w:t>
      </w:r>
    </w:p>
    <w:p>
      <w:pPr>
        <w:spacing w:line="360" w:lineRule="auto"/>
        <w:ind w:firstLine="360" w:firstLineChars="150"/>
        <w:rPr>
          <w:rFonts w:ascii="宋体" w:hAnsi="宋体" w:cs="宋体"/>
          <w:bCs/>
          <w:sz w:val="24"/>
        </w:rPr>
      </w:pPr>
      <w:r>
        <w:rPr>
          <w:rFonts w:hint="eastAsia" w:ascii="宋体" w:hAnsi="宋体" w:cs="宋体"/>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ind w:firstLine="360" w:firstLineChars="150"/>
        <w:rPr>
          <w:rFonts w:ascii="宋体" w:hAnsi="宋体" w:cs="宋体"/>
          <w:bCs/>
          <w:sz w:val="24"/>
        </w:rPr>
      </w:pPr>
      <w:r>
        <w:rPr>
          <w:rFonts w:hint="eastAsia" w:ascii="宋体" w:hAnsi="宋体" w:cs="宋体"/>
          <w:bCs/>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360" w:lineRule="auto"/>
        <w:ind w:firstLine="360" w:firstLineChars="150"/>
        <w:rPr>
          <w:rFonts w:ascii="宋体" w:hAnsi="宋体" w:cs="宋体"/>
          <w:b/>
          <w:sz w:val="24"/>
        </w:rPr>
      </w:pPr>
      <w:r>
        <w:rPr>
          <w:rFonts w:hint="eastAsia" w:ascii="宋体" w:hAnsi="宋体" w:cs="宋体"/>
          <w:b/>
          <w:sz w:val="24"/>
        </w:rPr>
        <w:t>十一、争议解决</w:t>
      </w:r>
    </w:p>
    <w:p>
      <w:pPr>
        <w:spacing w:line="360" w:lineRule="auto"/>
        <w:ind w:firstLine="360" w:firstLineChars="150"/>
        <w:rPr>
          <w:rFonts w:ascii="宋体" w:hAnsi="宋体" w:cs="宋体"/>
          <w:sz w:val="24"/>
        </w:rPr>
      </w:pPr>
      <w:r>
        <w:rPr>
          <w:rFonts w:hint="eastAsia" w:ascii="宋体" w:hAnsi="宋体" w:cs="宋体"/>
          <w:sz w:val="24"/>
        </w:rPr>
        <w:t>本合同如发生纠纷，当事人双方应当及时协商解决，协商不成时，可向甲方所在地人民法院起诉。</w:t>
      </w:r>
    </w:p>
    <w:p>
      <w:pPr>
        <w:spacing w:line="360" w:lineRule="auto"/>
        <w:ind w:firstLine="360" w:firstLineChars="150"/>
        <w:rPr>
          <w:rFonts w:ascii="宋体" w:hAnsi="宋体" w:cs="宋体"/>
          <w:b/>
          <w:bCs/>
          <w:sz w:val="24"/>
        </w:rPr>
      </w:pPr>
      <w:r>
        <w:rPr>
          <w:rFonts w:hint="eastAsia" w:ascii="宋体" w:hAnsi="宋体" w:cs="宋体"/>
          <w:b/>
          <w:bCs/>
          <w:sz w:val="24"/>
        </w:rPr>
        <w:t>十二、合同的文本及生效</w:t>
      </w:r>
    </w:p>
    <w:p>
      <w:pPr>
        <w:spacing w:line="360" w:lineRule="auto"/>
        <w:ind w:firstLine="360" w:firstLineChars="150"/>
        <w:rPr>
          <w:rFonts w:ascii="宋体" w:hAnsi="宋体" w:cs="宋体"/>
          <w:bCs/>
          <w:sz w:val="24"/>
        </w:rPr>
      </w:pPr>
      <w:r>
        <w:rPr>
          <w:rFonts w:hint="eastAsia" w:ascii="宋体" w:hAnsi="宋体" w:cs="宋体"/>
          <w:bCs/>
          <w:sz w:val="24"/>
        </w:rPr>
        <w:t>1、本合同一式陆份，甲方执伍份、乙方执壹份。</w:t>
      </w:r>
    </w:p>
    <w:p>
      <w:pPr>
        <w:spacing w:line="360" w:lineRule="auto"/>
        <w:ind w:firstLine="360" w:firstLineChars="150"/>
        <w:rPr>
          <w:rFonts w:ascii="宋体" w:hAnsi="宋体" w:cs="宋体"/>
          <w:bCs/>
          <w:sz w:val="24"/>
        </w:rPr>
      </w:pPr>
      <w:r>
        <w:rPr>
          <w:rFonts w:hint="eastAsia" w:ascii="宋体" w:hAnsi="宋体" w:cs="宋体"/>
          <w:bCs/>
          <w:sz w:val="24"/>
        </w:rPr>
        <w:t>2、本合同经双方法定代表人签字或单位盖章或双方委托代理人签字成立生效。</w:t>
      </w:r>
    </w:p>
    <w:p>
      <w:pPr>
        <w:spacing w:line="360" w:lineRule="auto"/>
        <w:ind w:firstLine="360" w:firstLineChars="150"/>
        <w:rPr>
          <w:rFonts w:ascii="宋体" w:hAnsi="宋体" w:cs="宋体"/>
          <w:bCs/>
          <w:sz w:val="24"/>
        </w:rPr>
      </w:pPr>
      <w:r>
        <w:rPr>
          <w:rFonts w:hint="eastAsia" w:ascii="宋体" w:hAnsi="宋体" w:cs="宋体"/>
          <w:bCs/>
          <w:sz w:val="24"/>
        </w:rPr>
        <w:t>3、合同内容如遇国家法律、法规及政策另有规定的，从其规定。</w:t>
      </w:r>
    </w:p>
    <w:p>
      <w:pPr>
        <w:spacing w:line="360" w:lineRule="auto"/>
        <w:ind w:firstLine="360" w:firstLineChars="150"/>
        <w:rPr>
          <w:rFonts w:ascii="宋体" w:hAnsi="宋体" w:cs="宋体"/>
          <w:b/>
          <w:sz w:val="24"/>
        </w:rPr>
      </w:pPr>
      <w:r>
        <w:rPr>
          <w:rFonts w:hint="eastAsia" w:ascii="宋体" w:hAnsi="宋体" w:cs="宋体"/>
          <w:b/>
          <w:sz w:val="24"/>
        </w:rPr>
        <w:t>十三、其他约定事项</w:t>
      </w:r>
    </w:p>
    <w:p>
      <w:pPr>
        <w:spacing w:line="360" w:lineRule="auto"/>
        <w:ind w:firstLine="360" w:firstLineChars="150"/>
        <w:rPr>
          <w:rFonts w:ascii="宋体" w:hAnsi="宋体" w:cs="宋体"/>
          <w:sz w:val="24"/>
        </w:rPr>
      </w:pPr>
      <w:r>
        <w:rPr>
          <w:rFonts w:hint="eastAsia" w:ascii="宋体" w:hAnsi="宋体" w:cs="宋体"/>
          <w:sz w:val="24"/>
        </w:rPr>
        <w:t>1、和本合同相关的双方往来函件(包括传真件、电子邮件)与原件具有同等的法律效力，修改无效。</w:t>
      </w:r>
    </w:p>
    <w:p>
      <w:pPr>
        <w:spacing w:line="360" w:lineRule="auto"/>
        <w:ind w:firstLine="360" w:firstLineChars="150"/>
        <w:rPr>
          <w:rFonts w:ascii="宋体" w:hAnsi="宋体" w:cs="宋体"/>
          <w:sz w:val="24"/>
        </w:rPr>
      </w:pPr>
      <w:r>
        <w:rPr>
          <w:rFonts w:hint="eastAsia" w:ascii="宋体" w:hAnsi="宋体" w:cs="宋体"/>
          <w:sz w:val="24"/>
        </w:rPr>
        <w:t>2、乙方签定的供货补充合同和供货承诺书</w:t>
      </w:r>
      <w:r>
        <w:rPr>
          <w:rFonts w:hint="eastAsia" w:ascii="宋体" w:hAnsi="宋体" w:cs="宋体"/>
          <w:b/>
          <w:sz w:val="24"/>
        </w:rPr>
        <w:t>以及与本合同有关的招投标文件、答疑附件、合同附件等</w:t>
      </w:r>
      <w:r>
        <w:rPr>
          <w:rFonts w:hint="eastAsia" w:ascii="宋体" w:hAnsi="宋体" w:cs="宋体"/>
          <w:sz w:val="24"/>
        </w:rPr>
        <w:t>是本合同不可分割的组成部分，与</w:t>
      </w:r>
      <w:r>
        <w:rPr>
          <w:rFonts w:hint="eastAsia" w:ascii="宋体" w:hAnsi="宋体" w:cs="宋体"/>
          <w:b/>
          <w:sz w:val="24"/>
        </w:rPr>
        <w:t>本合同具有同等法律效力</w:t>
      </w:r>
      <w:r>
        <w:rPr>
          <w:rFonts w:hint="eastAsia" w:ascii="宋体" w:hAnsi="宋体" w:cs="宋体"/>
          <w:sz w:val="24"/>
        </w:rPr>
        <w:t>，其他未尽事宜</w:t>
      </w:r>
      <w:r>
        <w:rPr>
          <w:rFonts w:hint="eastAsia" w:ascii="宋体" w:hAnsi="宋体" w:cs="宋体"/>
          <w:b/>
          <w:sz w:val="24"/>
        </w:rPr>
        <w:t>从其规定或另行协商签订补充协议。</w:t>
      </w:r>
    </w:p>
    <w:p>
      <w:pPr>
        <w:spacing w:line="360" w:lineRule="auto"/>
        <w:ind w:firstLine="360" w:firstLineChars="150"/>
        <w:rPr>
          <w:rFonts w:ascii="宋体" w:hAnsi="宋体" w:cs="宋体"/>
          <w:sz w:val="24"/>
        </w:rPr>
      </w:pPr>
      <w:r>
        <w:rPr>
          <w:rFonts w:hint="eastAsia" w:ascii="宋体" w:hAnsi="宋体" w:cs="宋体"/>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315" w:firstLineChars="150"/>
        <w:rPr>
          <w:rFonts w:ascii="宋体" w:hAnsi="宋体" w:cs="宋体"/>
          <w:sz w:val="24"/>
        </w:rPr>
      </w:pPr>
      <w:r>
        <w:rPr>
          <w:rFonts w:hint="eastAsia" w:ascii="宋体" w:hAnsi="宋体" w:cs="宋体"/>
          <w:szCs w:val="21"/>
        </w:rPr>
        <w:t>4、</w:t>
      </w:r>
      <w:r>
        <w:rPr>
          <w:rFonts w:hint="eastAsia" w:ascii="宋体" w:hAnsi="宋体" w:cs="宋体"/>
          <w:sz w:val="24"/>
        </w:rPr>
        <w:t>本合同首部的双方联系方式及地址为双方有效的送达地址，如有一方地址发生变更，应在变更后当日向对方书面通知，如因变更方未及时通知，相对方按合同尾部地址送达的，视为送达成功。</w:t>
      </w:r>
    </w:p>
    <w:p>
      <w:pPr>
        <w:spacing w:line="360" w:lineRule="auto"/>
        <w:ind w:firstLine="360" w:firstLineChars="150"/>
        <w:rPr>
          <w:rFonts w:ascii="宋体" w:hAnsi="宋体" w:cs="宋体"/>
          <w:sz w:val="24"/>
        </w:rPr>
      </w:pPr>
    </w:p>
    <w:p>
      <w:pPr>
        <w:tabs>
          <w:tab w:val="left" w:pos="2625"/>
        </w:tabs>
        <w:spacing w:line="360" w:lineRule="auto"/>
        <w:jc w:val="right"/>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（以下无正文，为本合同签署页）</w:t>
      </w:r>
    </w:p>
    <w:p>
      <w:pPr>
        <w:spacing w:line="360" w:lineRule="auto"/>
        <w:ind w:left="6360" w:hanging="6360" w:hangingChars="2650"/>
        <w:rPr>
          <w:rFonts w:ascii="宋体" w:hAnsi="宋体" w:cs="宋体"/>
          <w:sz w:val="24"/>
          <w:szCs w:val="24"/>
        </w:rPr>
      </w:pPr>
      <w:r>
        <w:rPr>
          <w:rFonts w:hint="eastAsia" w:ascii="宋体" w:hAnsi="宋体" w:cs="宋体"/>
          <w:sz w:val="24"/>
          <w:szCs w:val="24"/>
        </w:rPr>
        <w:t>甲方（盖章）：                                   乙方（盖章）：</w:t>
      </w:r>
    </w:p>
    <w:p>
      <w:pPr>
        <w:spacing w:line="360" w:lineRule="auto"/>
        <w:ind w:left="6360" w:hanging="6360" w:hangingChars="2650"/>
        <w:rPr>
          <w:rFonts w:ascii="宋体" w:hAnsi="宋体" w:cs="宋体"/>
          <w:b/>
          <w:sz w:val="24"/>
          <w:szCs w:val="24"/>
        </w:rPr>
      </w:pPr>
      <w:r>
        <w:rPr>
          <w:rFonts w:hint="eastAsia" w:ascii="宋体" w:hAnsi="宋体" w:cs="宋体"/>
          <w:sz w:val="24"/>
          <w:szCs w:val="24"/>
        </w:rPr>
        <w:t xml:space="preserve">新疆医科大学第二附属医院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 同 章：                                         合 同 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法人签字：                                         法人签字：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授权代表签字：                                    授权代表签字：</w:t>
      </w:r>
    </w:p>
    <w:p>
      <w:pPr>
        <w:autoSpaceDE w:val="0"/>
        <w:autoSpaceDN w:val="0"/>
        <w:adjustRightInd w:val="0"/>
        <w:spacing w:line="360" w:lineRule="auto"/>
        <w:ind w:left="-230" w:leftChars="-256" w:hanging="307" w:hangingChars="128"/>
        <w:rPr>
          <w:rFonts w:ascii="宋体" w:hAnsi="宋体" w:cs="宋体"/>
          <w:kern w:val="0"/>
          <w:sz w:val="24"/>
          <w:szCs w:val="24"/>
        </w:rPr>
      </w:pPr>
      <w:r>
        <w:rPr>
          <w:rFonts w:hint="eastAsia" w:ascii="宋体" w:hAnsi="宋体" w:cs="宋体"/>
          <w:kern w:val="0"/>
          <w:sz w:val="24"/>
          <w:szCs w:val="24"/>
        </w:rPr>
        <w:t xml:space="preserve">     电话：0991-4609101                                电话：</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纳税人识别号                                      纳税人识别号：</w:t>
      </w:r>
    </w:p>
    <w:p>
      <w:pPr>
        <w:autoSpaceDE w:val="0"/>
        <w:autoSpaceDN w:val="0"/>
        <w:adjustRightInd w:val="0"/>
        <w:spacing w:line="360" w:lineRule="auto"/>
        <w:ind w:left="5400" w:hanging="5400" w:hangingChars="2250"/>
        <w:rPr>
          <w:rFonts w:ascii="宋体" w:hAnsi="宋体" w:cs="宋体"/>
          <w:kern w:val="0"/>
          <w:sz w:val="24"/>
          <w:szCs w:val="24"/>
        </w:rPr>
      </w:pPr>
      <w:r>
        <w:rPr>
          <w:rFonts w:hint="eastAsia" w:ascii="宋体" w:hAnsi="宋体" w:cs="宋体"/>
          <w:kern w:val="0"/>
          <w:sz w:val="24"/>
          <w:szCs w:val="24"/>
        </w:rPr>
        <w:t>地址：乌鲁木齐市南湖东路北二巷38号                地址：</w:t>
      </w:r>
    </w:p>
    <w:p>
      <w:pPr>
        <w:autoSpaceDE w:val="0"/>
        <w:autoSpaceDN w:val="0"/>
        <w:adjustRightInd w:val="0"/>
        <w:spacing w:line="360" w:lineRule="auto"/>
        <w:ind w:left="5520" w:hanging="5520" w:hangingChars="2300"/>
        <w:rPr>
          <w:rFonts w:ascii="宋体" w:hAnsi="宋体" w:cs="宋体"/>
          <w:kern w:val="0"/>
          <w:sz w:val="24"/>
          <w:szCs w:val="24"/>
        </w:rPr>
      </w:pPr>
      <w:r>
        <w:rPr>
          <w:rFonts w:hint="eastAsia" w:ascii="宋体" w:hAnsi="宋体" w:cs="宋体"/>
          <w:kern w:val="0"/>
          <w:sz w:val="24"/>
          <w:szCs w:val="24"/>
        </w:rPr>
        <w:t>开户行：                                          开户行：</w:t>
      </w:r>
    </w:p>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行号：                                            行号：</w:t>
      </w:r>
    </w:p>
    <w:p>
      <w:pPr>
        <w:spacing w:line="360" w:lineRule="auto"/>
        <w:rPr>
          <w:rFonts w:ascii="宋体" w:hAnsi="宋体" w:cs="宋体"/>
          <w:sz w:val="24"/>
          <w:szCs w:val="24"/>
        </w:rPr>
      </w:pPr>
      <w:r>
        <w:rPr>
          <w:rFonts w:hint="eastAsia" w:ascii="宋体" w:hAnsi="宋体" w:cs="宋体"/>
          <w:sz w:val="24"/>
          <w:szCs w:val="24"/>
        </w:rPr>
        <w:t>银行账号：                                        银行账号：</w:t>
      </w:r>
    </w:p>
    <w:p>
      <w:pPr>
        <w:pStyle w:val="32"/>
        <w:spacing w:line="520" w:lineRule="exact"/>
        <w:ind w:firstLine="480"/>
        <w:rPr>
          <w:rFonts w:ascii="仿宋" w:hAnsi="仿宋" w:eastAsia="仿宋" w:cs="仿宋"/>
        </w:rPr>
      </w:pPr>
      <w:r>
        <w:rPr>
          <w:rFonts w:hint="eastAsia" w:ascii="宋体" w:hAnsi="宋体" w:eastAsia="宋体" w:cs="宋体"/>
          <w:kern w:val="0"/>
          <w:sz w:val="24"/>
          <w:szCs w:val="24"/>
        </w:rPr>
        <w:t>签订时间：  年  月  日                            签订时间：  年  月  日</w:t>
      </w:r>
    </w:p>
    <w:p>
      <w:pPr>
        <w:spacing w:line="580" w:lineRule="exact"/>
        <w:ind w:firstLine="1200" w:firstLineChars="500"/>
        <w:rPr>
          <w:rFonts w:ascii="仿宋" w:hAnsi="仿宋" w:eastAsia="仿宋"/>
          <w:b/>
          <w:color w:val="000000"/>
          <w:sz w:val="32"/>
          <w:szCs w:val="32"/>
        </w:rPr>
      </w:pPr>
      <w:r>
        <w:rPr>
          <w:rFonts w:ascii="仿宋" w:hAnsi="仿宋" w:eastAsia="仿宋"/>
          <w:color w:val="000000"/>
          <w:sz w:val="24"/>
        </w:rPr>
        <w:br w:type="page"/>
      </w:r>
    </w:p>
    <w:p>
      <w:pPr>
        <w:pStyle w:val="3"/>
      </w:pPr>
      <w:bookmarkStart w:id="54" w:name="_Toc61184635"/>
      <w:bookmarkStart w:id="55" w:name="_Toc6245"/>
      <w:bookmarkStart w:id="56" w:name="_Toc56170392"/>
      <w:r>
        <w:rPr>
          <w:rFonts w:hint="eastAsia"/>
        </w:rPr>
        <w:t>第五章、响应文件格式</w:t>
      </w:r>
      <w:bookmarkEnd w:id="54"/>
      <w:bookmarkEnd w:id="55"/>
      <w:bookmarkEnd w:id="56"/>
    </w:p>
    <w:p>
      <w:pPr>
        <w:pStyle w:val="33"/>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5"/>
      </w:pPr>
      <w:r>
        <w:rPr>
          <w:rFonts w:hint="eastAsia"/>
          <w:sz w:val="36"/>
        </w:rPr>
        <w:br w:type="page"/>
      </w:r>
      <w:bookmarkStart w:id="57" w:name="_Toc61184636"/>
      <w:bookmarkStart w:id="58" w:name="_Toc56170393"/>
      <w:bookmarkStart w:id="59" w:name="_Toc10657"/>
      <w:r>
        <w:rPr>
          <w:rFonts w:hint="eastAsia"/>
        </w:rPr>
        <w:t>附件一、投标书</w:t>
      </w:r>
      <w:bookmarkEnd w:id="57"/>
      <w:bookmarkEnd w:id="58"/>
      <w:bookmarkEnd w:id="59"/>
    </w:p>
    <w:p>
      <w:pPr>
        <w:pStyle w:val="34"/>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5"/>
      </w:pPr>
      <w:r>
        <w:rPr>
          <w:rFonts w:hint="eastAsia"/>
        </w:rPr>
        <w:br w:type="page"/>
      </w:r>
      <w:bookmarkStart w:id="60" w:name="_Toc26466"/>
      <w:bookmarkStart w:id="61" w:name="_Toc56170394"/>
      <w:bookmarkStart w:id="62" w:name="_Toc61184637"/>
      <w:r>
        <w:rPr>
          <w:rFonts w:hint="eastAsia"/>
        </w:rPr>
        <w:t>附件二、</w:t>
      </w:r>
      <w:r>
        <w:t>法定代表人资格证明书</w:t>
      </w:r>
      <w:bookmarkEnd w:id="60"/>
      <w:bookmarkEnd w:id="61"/>
      <w:bookmarkEnd w:id="62"/>
    </w:p>
    <w:p>
      <w:pPr>
        <w:spacing w:line="360" w:lineRule="auto"/>
        <w:rPr>
          <w:rFonts w:ascii="仿宋" w:hAnsi="仿宋" w:eastAsia="仿宋"/>
          <w:color w:val="000000"/>
          <w:szCs w:val="21"/>
        </w:rPr>
      </w:pPr>
    </w:p>
    <w:p>
      <w:pPr>
        <w:pStyle w:val="32"/>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特此证明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0" t="0" r="0" b="0"/>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0" t="0" r="0" b="0"/>
                <wp:wrapNone/>
                <wp:docPr id="16" name="圆角矩形 1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rH9GG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p>
    <w:p>
      <w:pPr>
        <w:pStyle w:val="32"/>
        <w:spacing w:line="360" w:lineRule="auto"/>
        <w:ind w:firstLine="560"/>
        <w:jc w:val="left"/>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spacing w:line="360" w:lineRule="auto"/>
        <w:rPr>
          <w:szCs w:val="21"/>
        </w:rPr>
      </w:pPr>
      <w:r>
        <w:br w:type="page"/>
      </w:r>
      <w:bookmarkStart w:id="63" w:name="_Toc56170395"/>
      <w:bookmarkStart w:id="64" w:name="_Toc3373"/>
      <w:bookmarkStart w:id="65" w:name="_Toc61184638"/>
      <w:r>
        <w:rPr>
          <w:rFonts w:hint="eastAsia"/>
        </w:rPr>
        <w:t>附件三、法定代表人</w:t>
      </w:r>
      <w:r>
        <w:t>授权委托书</w:t>
      </w:r>
      <w:bookmarkEnd w:id="63"/>
      <w:bookmarkEnd w:id="64"/>
      <w:bookmarkEnd w:id="65"/>
    </w:p>
    <w:p>
      <w:pPr>
        <w:pStyle w:val="32"/>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32"/>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0" t="0" r="0" b="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0" t="0" r="0" b="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mc:Fallback>
        </mc:AlternateContent>
      </w:r>
      <w:r>
        <w:rPr>
          <w:rFonts w:ascii="仿宋" w:hAnsi="仿宋" w:eastAsia="仿宋"/>
          <w:color w:val="000000"/>
        </w:rPr>
        <w:t xml:space="preserve"> </w: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0" t="0" r="0" b="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0" t="0" r="0" b="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12700" cap="flat" cmpd="sng" algn="ctr">
                          <a:solidFill>
                            <a:srgbClr val="000000"/>
                          </a:solidFill>
                          <a:prstDash val="solid"/>
                          <a:miter lim="800000"/>
                        </a:ln>
                      </wps:spPr>
                      <wps:txb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miterlimit="8" joinstyle="miter"/>
                <v:imagedata o:title=""/>
                <o:lock v:ext="edit" aspectratio="f"/>
                <v:textbox>
                  <w:txbxContent>
                    <w:p>
                      <w:pPr>
                        <w:pStyle w:val="32"/>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mc:Fallback>
        </mc:AlternateContent>
      </w:r>
    </w:p>
    <w:p>
      <w:pPr>
        <w:pStyle w:val="32"/>
        <w:spacing w:line="360" w:lineRule="auto"/>
        <w:ind w:firstLine="560"/>
        <w:rPr>
          <w:rFonts w:ascii="仿宋" w:hAnsi="仿宋" w:eastAsia="仿宋"/>
          <w:color w:val="000000"/>
        </w:rPr>
      </w:pPr>
    </w:p>
    <w:p>
      <w:pPr>
        <w:pStyle w:val="32"/>
        <w:spacing w:line="360" w:lineRule="auto"/>
        <w:ind w:firstLine="56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0" w:firstLineChars="0"/>
        <w:rPr>
          <w:rFonts w:ascii="仿宋" w:hAnsi="仿宋" w:eastAsia="仿宋"/>
          <w:color w:val="000000"/>
        </w:rPr>
      </w:pPr>
    </w:p>
    <w:p>
      <w:pPr>
        <w:pStyle w:val="32"/>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32"/>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32"/>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32"/>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32"/>
        <w:spacing w:line="360" w:lineRule="auto"/>
        <w:ind w:firstLine="560"/>
        <w:rPr>
          <w:rFonts w:ascii="仿宋" w:hAnsi="仿宋" w:eastAsia="仿宋"/>
          <w:color w:val="000000"/>
        </w:rPr>
      </w:pPr>
    </w:p>
    <w:p>
      <w:pPr>
        <w:pStyle w:val="5"/>
      </w:pPr>
      <w:r>
        <w:br w:type="page"/>
      </w:r>
      <w:bookmarkStart w:id="66" w:name="_Toc56170396"/>
      <w:bookmarkStart w:id="67" w:name="_Toc61184639"/>
      <w:bookmarkStart w:id="68" w:name="_Toc9301"/>
      <w:r>
        <w:rPr>
          <w:rFonts w:hint="eastAsia"/>
        </w:rPr>
        <w:t>附件四、关于磋商文件的声明函</w:t>
      </w:r>
      <w:bookmarkEnd w:id="66"/>
      <w:bookmarkEnd w:id="67"/>
      <w:bookmarkEnd w:id="68"/>
    </w:p>
    <w:p>
      <w:pPr>
        <w:adjustRightInd w:val="0"/>
        <w:snapToGrid w:val="0"/>
        <w:spacing w:line="360" w:lineRule="auto"/>
        <w:ind w:firstLine="560" w:firstLineChars="200"/>
        <w:rPr>
          <w:rFonts w:ascii="仿宋" w:hAnsi="仿宋" w:eastAsia="仿宋"/>
          <w:color w:val="000000"/>
          <w:sz w:val="28"/>
          <w:szCs w:val="28"/>
        </w:rPr>
      </w:pPr>
    </w:p>
    <w:p>
      <w:pPr>
        <w:pStyle w:val="32"/>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32"/>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32"/>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32"/>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32"/>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5"/>
      </w:pPr>
      <w:r>
        <w:rPr>
          <w:rFonts w:hint="eastAsia"/>
        </w:rPr>
        <w:br w:type="page"/>
      </w:r>
      <w:bookmarkStart w:id="69" w:name="_Toc61184640"/>
      <w:bookmarkStart w:id="70" w:name="_Toc5174"/>
      <w:bookmarkStart w:id="71" w:name="_Toc56170397"/>
      <w:r>
        <w:rPr>
          <w:rFonts w:hint="eastAsia"/>
        </w:rPr>
        <w:t>附件五、诚信磋商承诺书</w:t>
      </w:r>
      <w:bookmarkEnd w:id="69"/>
      <w:bookmarkEnd w:id="70"/>
      <w:bookmarkEnd w:id="71"/>
    </w:p>
    <w:p>
      <w:pPr>
        <w:pStyle w:val="32"/>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32"/>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32"/>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32"/>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32"/>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32"/>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32"/>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2"/>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32"/>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32"/>
        <w:spacing w:line="360" w:lineRule="auto"/>
        <w:ind w:firstLine="560"/>
        <w:rPr>
          <w:rFonts w:ascii="仿宋" w:hAnsi="仿宋" w:eastAsia="仿宋"/>
          <w:color w:val="000000"/>
        </w:rPr>
      </w:pPr>
      <w:r>
        <w:rPr>
          <w:rFonts w:hint="eastAsia" w:ascii="仿宋" w:hAnsi="仿宋" w:eastAsia="仿宋"/>
          <w:color w:val="000000"/>
        </w:rPr>
        <w:t>供应商：（公章）</w:t>
      </w:r>
    </w:p>
    <w:p>
      <w:pPr>
        <w:pStyle w:val="32"/>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5"/>
      </w:pPr>
      <w:r>
        <w:rPr>
          <w:rFonts w:hint="eastAsia"/>
          <w:szCs w:val="28"/>
        </w:rPr>
        <w:br w:type="page"/>
      </w:r>
      <w:bookmarkStart w:id="72" w:name="_Toc435087575"/>
      <w:bookmarkStart w:id="73" w:name="_Toc56170398"/>
      <w:bookmarkStart w:id="74" w:name="_Toc61184641"/>
      <w:bookmarkStart w:id="75" w:name="_Toc30642"/>
      <w:r>
        <w:rPr>
          <w:rFonts w:hint="eastAsia"/>
        </w:rPr>
        <w:t>附件</w:t>
      </w:r>
      <w:bookmarkEnd w:id="72"/>
      <w:r>
        <w:rPr>
          <w:rFonts w:hint="eastAsia"/>
        </w:rPr>
        <w:t>六、供应商反商业贿赂承诺书</w:t>
      </w:r>
      <w:bookmarkEnd w:id="73"/>
      <w:bookmarkEnd w:id="74"/>
      <w:bookmarkEnd w:id="75"/>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32"/>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5"/>
        <w:rPr>
          <w:rFonts w:cs="sans-serif"/>
          <w:sz w:val="19"/>
          <w:szCs w:val="19"/>
        </w:rPr>
      </w:pPr>
      <w:r>
        <w:br w:type="page"/>
      </w:r>
      <w:bookmarkStart w:id="76" w:name="_Toc31315"/>
      <w:r>
        <w:rPr>
          <w:rFonts w:hint="eastAsia"/>
        </w:rPr>
        <w:t>附件七、</w:t>
      </w:r>
      <w:r>
        <w:t>中小企业声明函（货物）</w:t>
      </w:r>
      <w:bookmarkEnd w:id="76"/>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32"/>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32"/>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0"/>
        <w:rPr>
          <w:rFonts w:ascii="仿宋" w:hAnsi="仿宋" w:eastAsia="仿宋"/>
        </w:rPr>
      </w:pPr>
    </w:p>
    <w:p>
      <w:pPr>
        <w:pStyle w:val="32"/>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5"/>
        <w:spacing w:line="360" w:lineRule="auto"/>
      </w:pPr>
      <w:bookmarkStart w:id="77" w:name="_Toc61184642"/>
      <w:bookmarkStart w:id="78" w:name="_Toc56170399"/>
      <w:bookmarkStart w:id="79" w:name="_Toc22501"/>
      <w:r>
        <w:rPr>
          <w:rFonts w:hint="eastAsia"/>
        </w:rPr>
        <w:t>附件八、磋商一览表</w:t>
      </w:r>
      <w:bookmarkEnd w:id="77"/>
      <w:bookmarkEnd w:id="78"/>
      <w:bookmarkEnd w:id="79"/>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3"/>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vAlign w:val="center"/>
          </w:tcPr>
          <w:p>
            <w:pPr>
              <w:snapToGrid w:val="0"/>
              <w:jc w:val="center"/>
              <w:rPr>
                <w:rFonts w:ascii="仿宋" w:hAnsi="仿宋" w:eastAsia="仿宋"/>
                <w:sz w:val="28"/>
                <w:szCs w:val="28"/>
              </w:rPr>
            </w:pPr>
          </w:p>
        </w:tc>
        <w:tc>
          <w:tcPr>
            <w:tcW w:w="1706" w:type="dxa"/>
            <w:vAlign w:val="center"/>
          </w:tcPr>
          <w:p>
            <w:pPr>
              <w:snapToGrid w:val="0"/>
              <w:jc w:val="center"/>
              <w:rPr>
                <w:rFonts w:ascii="仿宋" w:hAnsi="仿宋" w:eastAsia="仿宋"/>
                <w:sz w:val="28"/>
                <w:szCs w:val="28"/>
              </w:rPr>
            </w:pPr>
          </w:p>
        </w:tc>
        <w:tc>
          <w:tcPr>
            <w:tcW w:w="1120" w:type="dxa"/>
            <w:vAlign w:val="center"/>
          </w:tcPr>
          <w:p>
            <w:pPr>
              <w:snapToGrid w:val="0"/>
              <w:jc w:val="center"/>
              <w:rPr>
                <w:rFonts w:ascii="仿宋" w:hAnsi="仿宋" w:eastAsia="仿宋"/>
                <w:sz w:val="28"/>
                <w:szCs w:val="28"/>
              </w:rPr>
            </w:pPr>
          </w:p>
        </w:tc>
        <w:tc>
          <w:tcPr>
            <w:tcW w:w="3120" w:type="dxa"/>
            <w:vAlign w:val="center"/>
          </w:tcPr>
          <w:p>
            <w:pPr>
              <w:snapToGrid w:val="0"/>
              <w:jc w:val="center"/>
              <w:rPr>
                <w:rFonts w:ascii="仿宋" w:hAnsi="仿宋" w:eastAsia="仿宋"/>
                <w:sz w:val="28"/>
                <w:szCs w:val="28"/>
              </w:rPr>
            </w:pPr>
          </w:p>
        </w:tc>
        <w:tc>
          <w:tcPr>
            <w:tcW w:w="1990" w:type="dxa"/>
            <w:vAlign w:val="center"/>
          </w:tcPr>
          <w:p>
            <w:pPr>
              <w:snapToGrid w:val="0"/>
              <w:jc w:val="center"/>
              <w:rPr>
                <w:rFonts w:ascii="仿宋" w:hAnsi="仿宋" w:eastAsia="仿宋"/>
                <w:sz w:val="28"/>
                <w:szCs w:val="28"/>
              </w:rPr>
            </w:pPr>
          </w:p>
        </w:tc>
        <w:tc>
          <w:tcPr>
            <w:tcW w:w="1980" w:type="dxa"/>
            <w:vAlign w:val="center"/>
          </w:tcPr>
          <w:p>
            <w:pPr>
              <w:snapToGrid w:val="0"/>
              <w:jc w:val="center"/>
              <w:rPr>
                <w:rFonts w:ascii="仿宋" w:hAnsi="仿宋" w:eastAsia="仿宋"/>
                <w:sz w:val="28"/>
                <w:szCs w:val="28"/>
              </w:rPr>
            </w:pPr>
          </w:p>
        </w:tc>
        <w:tc>
          <w:tcPr>
            <w:tcW w:w="1408"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5"/>
      </w:pPr>
      <w:r>
        <w:rPr>
          <w:rFonts w:hint="eastAsia"/>
        </w:rPr>
        <w:br w:type="page"/>
      </w:r>
      <w:bookmarkStart w:id="80" w:name="_Toc61184643"/>
      <w:bookmarkStart w:id="81" w:name="_Toc2236"/>
      <w:bookmarkStart w:id="82" w:name="_Toc56170400"/>
      <w:r>
        <w:rPr>
          <w:rFonts w:hint="eastAsia"/>
        </w:rPr>
        <w:t>附件九、磋商产品名称、数量、规格分项报价表</w:t>
      </w:r>
      <w:bookmarkEnd w:id="80"/>
      <w:bookmarkEnd w:id="81"/>
      <w:bookmarkEnd w:id="82"/>
    </w:p>
    <w:p>
      <w:pPr>
        <w:pStyle w:val="32"/>
        <w:spacing w:after="160"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3"/>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160"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4"/>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br w:type="page"/>
      </w:r>
      <w:bookmarkStart w:id="83" w:name="_Toc56170401"/>
      <w:bookmarkStart w:id="84" w:name="_Toc27579"/>
      <w:bookmarkStart w:id="85" w:name="_Toc61184644"/>
      <w:r>
        <w:rPr>
          <w:rFonts w:hint="eastAsia"/>
        </w:rPr>
        <w:t>附件十、技术规格偏离表</w:t>
      </w:r>
      <w:bookmarkEnd w:id="83"/>
      <w:bookmarkEnd w:id="84"/>
      <w:bookmarkEnd w:id="85"/>
    </w:p>
    <w:tbl>
      <w:tblPr>
        <w:tblStyle w:val="23"/>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sz w:val="42"/>
        </w:rPr>
        <w:br w:type="page"/>
      </w:r>
      <w:bookmarkStart w:id="86" w:name="_Toc56170402"/>
      <w:bookmarkStart w:id="87" w:name="_Toc11172"/>
      <w:bookmarkStart w:id="88" w:name="_Toc61184645"/>
      <w:r>
        <w:rPr>
          <w:rFonts w:hint="eastAsia"/>
        </w:rPr>
        <w:t>附件十一、商务条款偏离表</w:t>
      </w:r>
      <w:bookmarkEnd w:id="86"/>
      <w:bookmarkEnd w:id="87"/>
      <w:bookmarkEnd w:id="88"/>
    </w:p>
    <w:tbl>
      <w:tblPr>
        <w:tblStyle w:val="2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5"/>
      </w:pPr>
      <w:r>
        <w:rPr>
          <w:rFonts w:hint="eastAsia"/>
        </w:rPr>
        <w:br w:type="page"/>
      </w:r>
      <w:bookmarkStart w:id="89" w:name="_Toc56170403"/>
      <w:bookmarkStart w:id="90" w:name="_Toc61184646"/>
      <w:bookmarkStart w:id="91" w:name="_Toc5354"/>
      <w:r>
        <w:rPr>
          <w:rFonts w:hint="eastAsia"/>
        </w:rPr>
        <w:t>附件十二、磋商产品近三年（从投标截至时间往前推算）同类产品销售业绩表</w:t>
      </w:r>
      <w:bookmarkEnd w:id="89"/>
      <w:bookmarkEnd w:id="90"/>
      <w:bookmarkEnd w:id="91"/>
    </w:p>
    <w:tbl>
      <w:tblPr>
        <w:tblStyle w:val="23"/>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4"/>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4"/>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宋体">
    <w:altName w:val="宋体"/>
    <w:panose1 w:val="00000000000000000000"/>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0S55Ci4CAABUBAAADgAAAAAAAAABACAAAAAgAQAAZHJzL2Uyb0RvYy54bWxQSwUGAAAA&#10;AAYABgBZAQAAwA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8420"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1587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7456;mso-width-relative:page;mso-height-relative:page;" filled="f" stroked="f" coordsize="21600,21600" o:gfxdata="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43nDC0wAAAAIBAAAPAAAAAAAAAAEAIAAAACIAAABkcnMv&#10;ZG93bnJldi54bWxQSwECFAAUAAAACACHTuJAvXdwAs8BAACWAwAADgAAAAAAAAABACAAAAAiAQAA&#10;ZHJzL2Uyb0RvYy54bWxQSwUGAAAAAAYABgBZAQAAYwUAAAAA&#10;">
              <v:fill on="f" focussize="0,0"/>
              <v:stroke on="f" weight="1.2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03505"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66432;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ITzV1AAAAAMBAAAPAAAAAAAAAAEAIAAAACIAAABk&#10;cnMvZG93bnJldi54bWxQSwECFAAUAAAACACHTuJAHwTo/9EBAACXAwAADgAAAAAAAAABACAAAAAj&#10;AQAAZHJzL2Uyb0RvYy54bWxQSwUGAAAAAAYABgBZAQAAZgUAAAAA&#10;">
              <v:fill on="f" focussize="0,0"/>
              <v:stroke on="f" weight="1.25pt"/>
              <v:imagedata o:title=""/>
              <o:lock v:ext="edit" aspectratio="f"/>
              <v:textbox inset="0mm,0mm,0mm,0mm" style="mso-fit-shape-to-text:t;">
                <w:txbxContent>
                  <w:p>
                    <w:pPr>
                      <w:pStyle w:val="16"/>
                    </w:pPr>
                  </w:p>
                </w:txbxContent>
              </v:textbox>
            </v:shape>
          </w:pict>
        </mc:Fallback>
      </mc:AlternateConten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BrE+D7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1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D7HRE2LwIAAFMEAAAOAAAAAAAAAAEAIAAAACE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15875">
                        <a:noFill/>
                      </a:ln>
                    </wps:spPr>
                    <wps:txbx>
                      <w:txbxContent>
                        <w:p>
                          <w:pPr>
                            <w:pStyle w:val="16"/>
                          </w:pP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&#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MhPNXUAAAAAwEAAA8AAAAAAAAAAQAgAAAAIgAAAGRy&#10;cy9kb3ducmV2LnhtbFBLAQIUABQAAAAIAIdO4kDJ1Rc70AEAAJUDAAAOAAAAAAAAAAEAIAAAACMB&#10;AABkcnMvZTJvRG9jLnhtbFBLBQYAAAAABgAGAFkBAABlBQAAAAA=&#10;">
              <v:fill on="f" focussize="0,0"/>
              <v:stroke on="f" weight="1.2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8"/>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21E6A"/>
    <w:multiLevelType w:val="singleLevel"/>
    <w:tmpl w:val="D2221E6A"/>
    <w:lvl w:ilvl="0" w:tentative="0">
      <w:start w:val="1"/>
      <w:numFmt w:val="chineseCounting"/>
      <w:suff w:val="nothing"/>
      <w:lvlText w:val="%1、"/>
      <w:lvlJc w:val="left"/>
      <w:rPr>
        <w:rFonts w:hint="eastAsia"/>
      </w:rPr>
    </w:lvl>
  </w:abstractNum>
  <w:abstractNum w:abstractNumId="1">
    <w:nsid w:val="F7607415"/>
    <w:multiLevelType w:val="singleLevel"/>
    <w:tmpl w:val="F7607415"/>
    <w:lvl w:ilvl="0" w:tentative="0">
      <w:start w:val="1"/>
      <w:numFmt w:val="decimal"/>
      <w:suff w:val="nothing"/>
      <w:lvlText w:val="%1、"/>
      <w:lvlJc w:val="left"/>
    </w:lvl>
  </w:abstractNum>
  <w:abstractNum w:abstractNumId="2">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7"/>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3">
    <w:nsid w:val="4C0CC0B5"/>
    <w:multiLevelType w:val="singleLevel"/>
    <w:tmpl w:val="4C0CC0B5"/>
    <w:lvl w:ilvl="0" w:tentative="0">
      <w:start w:val="1"/>
      <w:numFmt w:val="upperLetter"/>
      <w:suff w:val="nothing"/>
      <w:lvlText w:val="%1、"/>
      <w:lvlJc w:val="left"/>
    </w:lvl>
  </w:abstractNum>
  <w:abstractNum w:abstractNumId="4">
    <w:nsid w:val="584D3E68"/>
    <w:multiLevelType w:val="multilevel"/>
    <w:tmpl w:val="584D3E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352125"/>
    <w:multiLevelType w:val="multilevel"/>
    <w:tmpl w:val="60352125"/>
    <w:lvl w:ilvl="0" w:tentative="0">
      <w:start w:val="1"/>
      <w:numFmt w:val="decimal"/>
      <w:lvlText w:val="%1)"/>
      <w:lvlJc w:val="left"/>
      <w:pPr>
        <w:ind w:left="905" w:hanging="420"/>
      </w:p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jMjNlNmM1MGEzZDJmYTBhMDBiNThiNTgyMjc0YmMifQ=="/>
  </w:docVars>
  <w:rsids>
    <w:rsidRoot w:val="00077980"/>
    <w:rsid w:val="00077980"/>
    <w:rsid w:val="00083076"/>
    <w:rsid w:val="000E7CAB"/>
    <w:rsid w:val="00166CB7"/>
    <w:rsid w:val="00170B57"/>
    <w:rsid w:val="00583ABD"/>
    <w:rsid w:val="00601F6C"/>
    <w:rsid w:val="00761386"/>
    <w:rsid w:val="008546F0"/>
    <w:rsid w:val="008F08CE"/>
    <w:rsid w:val="00B50259"/>
    <w:rsid w:val="00C20AA0"/>
    <w:rsid w:val="00CD1788"/>
    <w:rsid w:val="00E40206"/>
    <w:rsid w:val="00E5232A"/>
    <w:rsid w:val="00E5707A"/>
    <w:rsid w:val="00F05F20"/>
    <w:rsid w:val="00F13624"/>
    <w:rsid w:val="00FD16FA"/>
    <w:rsid w:val="01973B44"/>
    <w:rsid w:val="01CC2A72"/>
    <w:rsid w:val="023F1905"/>
    <w:rsid w:val="026262C0"/>
    <w:rsid w:val="02720839"/>
    <w:rsid w:val="02A30234"/>
    <w:rsid w:val="032558AB"/>
    <w:rsid w:val="035E2B6B"/>
    <w:rsid w:val="035E6419"/>
    <w:rsid w:val="036A7762"/>
    <w:rsid w:val="036D3DE7"/>
    <w:rsid w:val="039D18E6"/>
    <w:rsid w:val="03E27385"/>
    <w:rsid w:val="045A77D7"/>
    <w:rsid w:val="04BA216D"/>
    <w:rsid w:val="055752FB"/>
    <w:rsid w:val="05663F59"/>
    <w:rsid w:val="056D41A2"/>
    <w:rsid w:val="0642797C"/>
    <w:rsid w:val="066F04EB"/>
    <w:rsid w:val="06741563"/>
    <w:rsid w:val="076170CE"/>
    <w:rsid w:val="076C4A0F"/>
    <w:rsid w:val="077568CE"/>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076AB"/>
    <w:rsid w:val="0C5302AB"/>
    <w:rsid w:val="0CA96E75"/>
    <w:rsid w:val="0CE71D4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9D0E5B"/>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B65D4"/>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7C2C49"/>
    <w:rsid w:val="16AD19E8"/>
    <w:rsid w:val="16B20DAC"/>
    <w:rsid w:val="16F93156"/>
    <w:rsid w:val="1736249E"/>
    <w:rsid w:val="17575DF8"/>
    <w:rsid w:val="177171E7"/>
    <w:rsid w:val="17B80644"/>
    <w:rsid w:val="183879D7"/>
    <w:rsid w:val="18567E5D"/>
    <w:rsid w:val="185B1B37"/>
    <w:rsid w:val="187076F6"/>
    <w:rsid w:val="18761063"/>
    <w:rsid w:val="18963552"/>
    <w:rsid w:val="18BA78F3"/>
    <w:rsid w:val="18D67282"/>
    <w:rsid w:val="198C3CCE"/>
    <w:rsid w:val="19C534ED"/>
    <w:rsid w:val="1A1B1B9C"/>
    <w:rsid w:val="1A1E542C"/>
    <w:rsid w:val="1A92241C"/>
    <w:rsid w:val="1B1572B6"/>
    <w:rsid w:val="1B281F85"/>
    <w:rsid w:val="1B476B6D"/>
    <w:rsid w:val="1B970EB9"/>
    <w:rsid w:val="1BA17641"/>
    <w:rsid w:val="1BBC2159"/>
    <w:rsid w:val="1C4E6DF8"/>
    <w:rsid w:val="1C9D0B01"/>
    <w:rsid w:val="1CBD485A"/>
    <w:rsid w:val="1D661C25"/>
    <w:rsid w:val="1D6E5B08"/>
    <w:rsid w:val="1DD74DE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D947ED"/>
    <w:rsid w:val="22EA4190"/>
    <w:rsid w:val="22F015DA"/>
    <w:rsid w:val="23275773"/>
    <w:rsid w:val="232F19D7"/>
    <w:rsid w:val="2333183B"/>
    <w:rsid w:val="233B75FE"/>
    <w:rsid w:val="234A05BF"/>
    <w:rsid w:val="23797C9C"/>
    <w:rsid w:val="238D506A"/>
    <w:rsid w:val="23AA500A"/>
    <w:rsid w:val="23B243CA"/>
    <w:rsid w:val="240063DE"/>
    <w:rsid w:val="240A66CC"/>
    <w:rsid w:val="242A39A5"/>
    <w:rsid w:val="242B4894"/>
    <w:rsid w:val="24464391"/>
    <w:rsid w:val="24470618"/>
    <w:rsid w:val="247E0DB7"/>
    <w:rsid w:val="249A2D2C"/>
    <w:rsid w:val="24E8562A"/>
    <w:rsid w:val="24E94CB4"/>
    <w:rsid w:val="252747E5"/>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956603"/>
    <w:rsid w:val="2CB6302F"/>
    <w:rsid w:val="2CE30411"/>
    <w:rsid w:val="2D027604"/>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0DF6285"/>
    <w:rsid w:val="314B0347"/>
    <w:rsid w:val="315106F8"/>
    <w:rsid w:val="31C51E84"/>
    <w:rsid w:val="3316539F"/>
    <w:rsid w:val="3347615B"/>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7D399A"/>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974E43"/>
    <w:rsid w:val="46A130D7"/>
    <w:rsid w:val="46E26BDC"/>
    <w:rsid w:val="474858DB"/>
    <w:rsid w:val="47506DF0"/>
    <w:rsid w:val="476E0ED6"/>
    <w:rsid w:val="477A307F"/>
    <w:rsid w:val="47FD3CCE"/>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D04653"/>
    <w:rsid w:val="50FA27B7"/>
    <w:rsid w:val="51416E8D"/>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CF027C"/>
    <w:rsid w:val="56DB1DE0"/>
    <w:rsid w:val="56E416C6"/>
    <w:rsid w:val="57266671"/>
    <w:rsid w:val="57487C6A"/>
    <w:rsid w:val="57570070"/>
    <w:rsid w:val="576553EC"/>
    <w:rsid w:val="581C0165"/>
    <w:rsid w:val="583E4D05"/>
    <w:rsid w:val="584B2BEB"/>
    <w:rsid w:val="58937D37"/>
    <w:rsid w:val="59101387"/>
    <w:rsid w:val="591C41D0"/>
    <w:rsid w:val="59264BC4"/>
    <w:rsid w:val="59390EB0"/>
    <w:rsid w:val="59627D3C"/>
    <w:rsid w:val="596F535C"/>
    <w:rsid w:val="599A4048"/>
    <w:rsid w:val="599D3885"/>
    <w:rsid w:val="59C32FE7"/>
    <w:rsid w:val="5A3D61AC"/>
    <w:rsid w:val="5A590CCA"/>
    <w:rsid w:val="5A607F12"/>
    <w:rsid w:val="5A7476F4"/>
    <w:rsid w:val="5B053875"/>
    <w:rsid w:val="5B9524A0"/>
    <w:rsid w:val="5BA23B75"/>
    <w:rsid w:val="5BA35E47"/>
    <w:rsid w:val="5C46556A"/>
    <w:rsid w:val="5C58107B"/>
    <w:rsid w:val="5C7F2045"/>
    <w:rsid w:val="5C983B6D"/>
    <w:rsid w:val="5CA01070"/>
    <w:rsid w:val="5CA02A22"/>
    <w:rsid w:val="5CF04846"/>
    <w:rsid w:val="5D1642F8"/>
    <w:rsid w:val="5D355860"/>
    <w:rsid w:val="5D3826F0"/>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471346"/>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59E6924"/>
    <w:rsid w:val="660E1EAC"/>
    <w:rsid w:val="66967370"/>
    <w:rsid w:val="66B55230"/>
    <w:rsid w:val="66BE1918"/>
    <w:rsid w:val="66E15D4B"/>
    <w:rsid w:val="66F34A87"/>
    <w:rsid w:val="67006EDF"/>
    <w:rsid w:val="67067352"/>
    <w:rsid w:val="671731D8"/>
    <w:rsid w:val="67226022"/>
    <w:rsid w:val="674C3ED2"/>
    <w:rsid w:val="67D5211A"/>
    <w:rsid w:val="67DA4BE8"/>
    <w:rsid w:val="681F5B80"/>
    <w:rsid w:val="682442E4"/>
    <w:rsid w:val="68347765"/>
    <w:rsid w:val="68570199"/>
    <w:rsid w:val="68C10EA3"/>
    <w:rsid w:val="68E00D76"/>
    <w:rsid w:val="69276BA6"/>
    <w:rsid w:val="692F726B"/>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3C6B6B"/>
    <w:rsid w:val="758B2449"/>
    <w:rsid w:val="759D45A2"/>
    <w:rsid w:val="76134355"/>
    <w:rsid w:val="76453822"/>
    <w:rsid w:val="766E65AC"/>
    <w:rsid w:val="7682346D"/>
    <w:rsid w:val="76854C71"/>
    <w:rsid w:val="76BB26B6"/>
    <w:rsid w:val="76DB3C4B"/>
    <w:rsid w:val="76E74D32"/>
    <w:rsid w:val="76F07298"/>
    <w:rsid w:val="76F9287C"/>
    <w:rsid w:val="77EC1587"/>
    <w:rsid w:val="78236D41"/>
    <w:rsid w:val="78681753"/>
    <w:rsid w:val="786D17E2"/>
    <w:rsid w:val="78BE00B5"/>
    <w:rsid w:val="792151BF"/>
    <w:rsid w:val="79627585"/>
    <w:rsid w:val="79746AF1"/>
    <w:rsid w:val="79BC0A44"/>
    <w:rsid w:val="79D81B77"/>
    <w:rsid w:val="7A0A5C53"/>
    <w:rsid w:val="7A1563A6"/>
    <w:rsid w:val="7AB34C00"/>
    <w:rsid w:val="7ACC4708"/>
    <w:rsid w:val="7B091A01"/>
    <w:rsid w:val="7B135134"/>
    <w:rsid w:val="7B281593"/>
    <w:rsid w:val="7B3B008E"/>
    <w:rsid w:val="7B875186"/>
    <w:rsid w:val="7BB35E76"/>
    <w:rsid w:val="7BB4541E"/>
    <w:rsid w:val="7BE4235C"/>
    <w:rsid w:val="7C1D5AC8"/>
    <w:rsid w:val="7C5A7F0B"/>
    <w:rsid w:val="7CB86217"/>
    <w:rsid w:val="7D000293"/>
    <w:rsid w:val="7D162B61"/>
    <w:rsid w:val="7D6F2271"/>
    <w:rsid w:val="7DE40569"/>
    <w:rsid w:val="7E565E98"/>
    <w:rsid w:val="7E7230C0"/>
    <w:rsid w:val="7EF53E05"/>
    <w:rsid w:val="7EFA244C"/>
    <w:rsid w:val="7F2D5F40"/>
    <w:rsid w:val="7F794E66"/>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4"/>
    <w:next w:val="1"/>
    <w:qFormat/>
    <w:uiPriority w:val="0"/>
    <w:pPr>
      <w:spacing w:line="360" w:lineRule="auto"/>
    </w:pPr>
    <w:rPr>
      <w:rFonts w:ascii="仿宋" w:hAnsi="仿宋" w:eastAsia="仿宋"/>
      <w:color w:val="000000"/>
      <w:sz w:val="36"/>
    </w:rPr>
  </w:style>
  <w:style w:type="paragraph" w:styleId="5">
    <w:name w:val="heading 2"/>
    <w:basedOn w:val="6"/>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7">
    <w:name w:val="heading 3"/>
    <w:basedOn w:val="1"/>
    <w:next w:val="8"/>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8">
    <w:name w:val="Normal Indent"/>
    <w:basedOn w:val="1"/>
    <w:qFormat/>
    <w:uiPriority w:val="0"/>
    <w:pPr>
      <w:ind w:firstLine="420"/>
      <w:jc w:val="left"/>
    </w:pPr>
  </w:style>
  <w:style w:type="paragraph" w:styleId="9">
    <w:name w:val="toa heading"/>
    <w:basedOn w:val="1"/>
    <w:next w:val="1"/>
    <w:qFormat/>
    <w:uiPriority w:val="0"/>
    <w:pPr>
      <w:spacing w:before="120"/>
    </w:pPr>
    <w:rPr>
      <w:rFonts w:ascii="Arial" w:hAnsi="Arial" w:cs="Arial"/>
      <w:sz w:val="24"/>
    </w:rPr>
  </w:style>
  <w:style w:type="paragraph" w:styleId="10">
    <w:name w:val="Body Text"/>
    <w:basedOn w:val="1"/>
    <w:next w:val="11"/>
    <w:qFormat/>
    <w:uiPriority w:val="0"/>
    <w:rPr>
      <w:sz w:val="24"/>
      <w:szCs w:val="24"/>
    </w:rPr>
  </w:style>
  <w:style w:type="paragraph" w:styleId="11">
    <w:name w:val="Body Text First Indent"/>
    <w:basedOn w:val="10"/>
    <w:qFormat/>
    <w:uiPriority w:val="99"/>
    <w:pPr>
      <w:spacing w:after="120"/>
      <w:ind w:firstLine="420" w:firstLineChars="100"/>
    </w:pPr>
    <w:rPr>
      <w:sz w:val="21"/>
    </w:rPr>
  </w:style>
  <w:style w:type="paragraph" w:styleId="12">
    <w:name w:val="Body Text Indent"/>
    <w:basedOn w:val="1"/>
    <w:next w:val="13"/>
    <w:unhideWhenUsed/>
    <w:qFormat/>
    <w:uiPriority w:val="0"/>
    <w:pPr>
      <w:autoSpaceDE w:val="0"/>
      <w:autoSpaceDN w:val="0"/>
      <w:spacing w:after="120"/>
      <w:ind w:left="420"/>
    </w:pPr>
    <w:rPr>
      <w:szCs w:val="24"/>
      <w:lang w:val="zh-CN"/>
    </w:rPr>
  </w:style>
  <w:style w:type="paragraph" w:styleId="13">
    <w:name w:val="envelope return"/>
    <w:basedOn w:val="1"/>
    <w:unhideWhenUsed/>
    <w:qFormat/>
    <w:uiPriority w:val="0"/>
    <w:pPr>
      <w:snapToGrid w:val="0"/>
    </w:pPr>
    <w:rPr>
      <w:rFonts w:ascii="Arial" w:hAnsi="Arial"/>
    </w:rPr>
  </w:style>
  <w:style w:type="paragraph" w:styleId="14">
    <w:name w:val="Plain Text"/>
    <w:basedOn w:val="1"/>
    <w:qFormat/>
    <w:uiPriority w:val="0"/>
    <w:rPr>
      <w:rFonts w:ascii="宋体" w:hAnsi="Courier New"/>
      <w:sz w:val="11"/>
    </w:rPr>
  </w:style>
  <w:style w:type="paragraph" w:styleId="15">
    <w:name w:val="Balloon Text"/>
    <w:basedOn w:val="1"/>
    <w:link w:val="4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line="360" w:lineRule="auto"/>
      <w:ind w:firstLine="200" w:firstLineChars="200"/>
      <w:jc w:val="left"/>
    </w:pPr>
    <w:rPr>
      <w:b/>
      <w:bCs/>
      <w:caps/>
      <w:sz w:val="20"/>
    </w:rPr>
  </w:style>
  <w:style w:type="paragraph" w:styleId="19">
    <w:name w:val="List"/>
    <w:basedOn w:val="1"/>
    <w:qFormat/>
    <w:uiPriority w:val="0"/>
    <w:pPr>
      <w:ind w:left="420" w:hanging="420"/>
    </w:pPr>
    <w:rPr>
      <w:rFonts w:ascii="Arial" w:hAnsi="Arial" w:eastAsia="楷体_GB2312"/>
      <w:sz w:val="28"/>
    </w:rPr>
  </w:style>
  <w:style w:type="paragraph" w:styleId="20">
    <w:name w:val="toc 2"/>
    <w:basedOn w:val="1"/>
    <w:next w:val="1"/>
    <w:qFormat/>
    <w:uiPriority w:val="39"/>
    <w:pPr>
      <w:ind w:left="100" w:leftChars="100"/>
      <w:jc w:val="left"/>
    </w:pPr>
    <w:rPr>
      <w:rFonts w:ascii="Arial" w:hAnsi="Arial"/>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2"/>
    <w:basedOn w:val="12"/>
    <w:next w:val="19"/>
    <w:unhideWhenUsed/>
    <w:qFormat/>
    <w:uiPriority w:val="0"/>
    <w:pPr>
      <w:ind w:firstLine="420"/>
    </w:pPr>
    <w:rPr>
      <w:lang w:bidi="zh-C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宋体" w:hAnsi="宋体" w:eastAsia="宋体"/>
    </w:rPr>
  </w:style>
  <w:style w:type="character" w:styleId="27">
    <w:name w:val="Emphasis"/>
    <w:basedOn w:val="25"/>
    <w:qFormat/>
    <w:uiPriority w:val="0"/>
    <w:rPr>
      <w:i/>
      <w:iCs/>
    </w:rPr>
  </w:style>
  <w:style w:type="character" w:styleId="28">
    <w:name w:val="Hyperlink"/>
    <w:qFormat/>
    <w:uiPriority w:val="99"/>
    <w:rPr>
      <w:color w:val="333333"/>
      <w:u w:val="none"/>
    </w:rPr>
  </w:style>
  <w:style w:type="character" w:styleId="29">
    <w:name w:val="HTML Sample"/>
    <w:basedOn w:val="25"/>
    <w:qFormat/>
    <w:uiPriority w:val="0"/>
    <w:rPr>
      <w:rFonts w:ascii="Courier New" w:hAnsi="Courier New"/>
    </w:rPr>
  </w:style>
  <w:style w:type="paragraph" w:customStyle="1" w:styleId="30">
    <w:name w:val="_Style 2"/>
    <w:basedOn w:val="1"/>
    <w:next w:val="1"/>
    <w:qFormat/>
    <w:uiPriority w:val="99"/>
    <w:pPr>
      <w:ind w:firstLine="420" w:firstLineChars="200"/>
    </w:pPr>
    <w:rPr>
      <w:szCs w:val="24"/>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3">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5">
    <w:name w:val="列出段落1"/>
    <w:basedOn w:val="1"/>
    <w:qFormat/>
    <w:uiPriority w:val="34"/>
    <w:pPr>
      <w:ind w:firstLine="420" w:firstLineChars="200"/>
    </w:pPr>
    <w:rPr>
      <w:szCs w:val="21"/>
    </w:rPr>
  </w:style>
  <w:style w:type="paragraph" w:customStyle="1" w:styleId="36">
    <w:name w:val="正文缩进1"/>
    <w:basedOn w:val="1"/>
    <w:qFormat/>
    <w:uiPriority w:val="0"/>
    <w:pPr>
      <w:ind w:firstLine="420"/>
    </w:pPr>
    <w:rPr>
      <w:rFonts w:ascii="Times New Roman" w:hAnsi="Times New Roman"/>
    </w:rPr>
  </w:style>
  <w:style w:type="paragraph" w:customStyle="1" w:styleId="3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8">
    <w:name w:val="7）页眉页脚"/>
    <w:qFormat/>
    <w:uiPriority w:val="0"/>
    <w:rPr>
      <w:rFonts w:ascii="仿宋_GB2312" w:eastAsia="仿宋_GB2312"/>
      <w:b/>
      <w:i/>
      <w:sz w:val="18"/>
      <w:vertAlign w:val="baseline"/>
    </w:rPr>
  </w:style>
  <w:style w:type="paragraph" w:customStyle="1" w:styleId="39">
    <w:name w:val="答复表头"/>
    <w:basedOn w:val="40"/>
    <w:next w:val="1"/>
    <w:qFormat/>
    <w:uiPriority w:val="0"/>
    <w:pPr>
      <w:tabs>
        <w:tab w:val="left" w:pos="480"/>
      </w:tabs>
    </w:pPr>
    <w:rPr>
      <w:b/>
    </w:rPr>
  </w:style>
  <w:style w:type="paragraph" w:customStyle="1" w:styleId="40">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41">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42">
    <w:name w:val="List Paragraph"/>
    <w:basedOn w:val="1"/>
    <w:qFormat/>
    <w:uiPriority w:val="99"/>
    <w:pPr>
      <w:ind w:firstLine="420" w:firstLineChars="200"/>
    </w:pPr>
    <w:rPr>
      <w:szCs w:val="24"/>
    </w:rPr>
  </w:style>
  <w:style w:type="character" w:customStyle="1" w:styleId="43">
    <w:name w:val="批注框文本 字符"/>
    <w:basedOn w:val="25"/>
    <w:link w:val="15"/>
    <w:qFormat/>
    <w:uiPriority w:val="0"/>
    <w:rPr>
      <w:rFonts w:ascii="Calibri" w:hAnsi="Calibri" w:eastAsia="宋体" w:cs="Times New Roman"/>
      <w:kern w:val="2"/>
      <w:sz w:val="18"/>
      <w:szCs w:val="18"/>
    </w:rPr>
  </w:style>
  <w:style w:type="paragraph" w:customStyle="1" w:styleId="44">
    <w:name w:val="引用1"/>
    <w:basedOn w:val="1"/>
    <w:next w:val="1"/>
    <w:qFormat/>
    <w:uiPriority w:val="29"/>
    <w:pPr>
      <w:spacing w:beforeLines="50" w:afterLines="50" w:line="360" w:lineRule="auto"/>
    </w:pPr>
    <w:rPr>
      <w:i/>
      <w:iCs/>
      <w:color w:val="000000"/>
      <w:szCs w:val="24"/>
      <w:lang w:val="zh-CN"/>
    </w:rPr>
  </w:style>
  <w:style w:type="paragraph" w:customStyle="1" w:styleId="45">
    <w:name w:val="Table Paragraph"/>
    <w:basedOn w:val="1"/>
    <w:qFormat/>
    <w:uiPriority w:val="1"/>
    <w:pPr>
      <w:spacing w:before="2"/>
      <w:ind w:left="107"/>
    </w:pPr>
    <w:rPr>
      <w:rFonts w:ascii="黑体" w:hAnsi="黑体" w:eastAsia="黑体" w:cs="黑体"/>
      <w:lang w:val="zh-CN" w:bidi="zh-CN"/>
    </w:rPr>
  </w:style>
  <w:style w:type="character" w:customStyle="1" w:styleId="46">
    <w:name w:val="NormalCharacter"/>
    <w:link w:val="47"/>
    <w:qFormat/>
    <w:uiPriority w:val="0"/>
    <w:rPr>
      <w:kern w:val="0"/>
      <w:sz w:val="20"/>
      <w:szCs w:val="24"/>
    </w:rPr>
  </w:style>
  <w:style w:type="paragraph" w:customStyle="1" w:styleId="47">
    <w:name w:val="UserStyle_2"/>
    <w:basedOn w:val="1"/>
    <w:link w:val="46"/>
    <w:qFormat/>
    <w:uiPriority w:val="0"/>
    <w:pPr>
      <w:textAlignment w:val="baseline"/>
    </w:pPr>
    <w:rPr>
      <w:kern w:val="0"/>
      <w:sz w:val="20"/>
      <w:szCs w:val="24"/>
    </w:rPr>
  </w:style>
  <w:style w:type="character" w:customStyle="1" w:styleId="48">
    <w:name w:val="UP标题3 Char Char"/>
    <w:link w:val="49"/>
    <w:qFormat/>
    <w:uiPriority w:val="0"/>
    <w:rPr>
      <w:rFonts w:ascii="黑体" w:eastAsia="黑体"/>
      <w:kern w:val="2"/>
      <w:sz w:val="28"/>
      <w:lang w:val="en-US" w:eastAsia="zh-CN" w:bidi="ar-SA"/>
    </w:rPr>
  </w:style>
  <w:style w:type="paragraph" w:customStyle="1" w:styleId="49">
    <w:name w:val="UP标题3"/>
    <w:basedOn w:val="1"/>
    <w:link w:val="48"/>
    <w:qFormat/>
    <w:uiPriority w:val="0"/>
    <w:pPr>
      <w:spacing w:line="360" w:lineRule="auto"/>
      <w:ind w:firstLine="149" w:firstLineChars="149"/>
    </w:pPr>
    <w:rPr>
      <w:rFonts w:ascii="黑体" w:eastAsia="黑体"/>
      <w:sz w:val="28"/>
    </w:rPr>
  </w:style>
  <w:style w:type="paragraph" w:customStyle="1" w:styleId="50">
    <w:name w:val="BodyText1I"/>
    <w:basedOn w:val="1"/>
    <w:qFormat/>
    <w:uiPriority w:val="0"/>
    <w:pPr>
      <w:widowControl/>
      <w:spacing w:before="156" w:line="360" w:lineRule="auto"/>
      <w:ind w:firstLine="200" w:firstLineChars="200"/>
      <w:textAlignment w:val="baseline"/>
    </w:pPr>
    <w:rPr>
      <w:rFonts w:ascii="仿宋_GB2312"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28438</Words>
  <Characters>30341</Characters>
  <Lines>270</Lines>
  <Paragraphs>76</Paragraphs>
  <TotalTime>3</TotalTime>
  <ScaleCrop>false</ScaleCrop>
  <LinksUpToDate>false</LinksUpToDate>
  <CharactersWithSpaces>32762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2022-12-18T02:21:00Z</dcterms:created>
  <dc:creator>20342</dc:creator>
  <cp:lastModifiedBy>啊西巴</cp:lastModifiedBy>
  <cp:lastPrinted>2022-07-28T03:22:00Z</cp:lastPrinted>
  <dcterms:modified xsi:type="dcterms:W3CDTF">2022-12-19T02:33:55Z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7C2F16EED52E4191B732E9AB9CBA4BE9</vt:lpwstr>
  </property>
</Properties>
</file>