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0" w:leftChars="-200" w:hanging="380" w:hangingChars="86"/>
        <w:jc w:val="center"/>
        <w:rPr>
          <w:b/>
          <w:bCs/>
          <w:sz w:val="44"/>
          <w:szCs w:val="44"/>
        </w:rPr>
      </w:pPr>
    </w:p>
    <w:p>
      <w:pPr>
        <w:jc w:val="center"/>
        <w:rPr>
          <w:rFonts w:hint="eastAsia" w:ascii="宋体" w:hAnsi="宋体"/>
          <w:b/>
          <w:bCs/>
          <w:color w:val="auto"/>
          <w:sz w:val="52"/>
          <w:szCs w:val="52"/>
          <w:lang w:eastAsia="zh-CN"/>
        </w:rPr>
      </w:pPr>
      <w:r>
        <w:rPr>
          <w:rFonts w:hint="eastAsia" w:ascii="宋体" w:hAnsi="宋体"/>
          <w:b/>
          <w:bCs/>
          <w:color w:val="auto"/>
          <w:sz w:val="52"/>
          <w:szCs w:val="52"/>
          <w:lang w:eastAsia="zh-CN"/>
        </w:rPr>
        <w:t>库车市林业和草原局库车市大峡谷地质公园总体规划修编项目</w:t>
      </w:r>
    </w:p>
    <w:p>
      <w:pPr>
        <w:jc w:val="center"/>
        <w:rPr>
          <w:rFonts w:ascii="宋体" w:hAnsi="宋体"/>
          <w:color w:val="auto"/>
          <w:sz w:val="48"/>
          <w:szCs w:val="44"/>
        </w:rPr>
      </w:pPr>
    </w:p>
    <w:p>
      <w:pPr>
        <w:jc w:val="center"/>
        <w:rPr>
          <w:rFonts w:ascii="黑体" w:eastAsia="黑体"/>
          <w:color w:val="auto"/>
          <w:sz w:val="96"/>
          <w:szCs w:val="72"/>
        </w:rPr>
      </w:pPr>
    </w:p>
    <w:p>
      <w:pPr>
        <w:pStyle w:val="27"/>
        <w:bidi w:val="0"/>
      </w:pPr>
    </w:p>
    <w:p>
      <w:pPr>
        <w:spacing w:line="300" w:lineRule="auto"/>
        <w:jc w:val="center"/>
        <w:rPr>
          <w:rFonts w:hint="eastAsia" w:ascii="黑体"/>
          <w:b/>
          <w:bCs w:val="0"/>
          <w:color w:val="auto"/>
          <w:sz w:val="56"/>
          <w:szCs w:val="52"/>
        </w:rPr>
      </w:pPr>
    </w:p>
    <w:p>
      <w:pPr>
        <w:spacing w:line="300" w:lineRule="auto"/>
        <w:jc w:val="center"/>
        <w:rPr>
          <w:rFonts w:ascii="黑体"/>
          <w:b/>
          <w:bCs w:val="0"/>
          <w:color w:val="auto"/>
          <w:sz w:val="56"/>
          <w:szCs w:val="52"/>
        </w:rPr>
      </w:pPr>
      <w:r>
        <w:rPr>
          <w:rFonts w:hint="eastAsia" w:ascii="黑体"/>
          <w:b/>
          <w:bCs w:val="0"/>
          <w:color w:val="auto"/>
          <w:sz w:val="56"/>
          <w:szCs w:val="52"/>
        </w:rPr>
        <w:t>竞争性磋商文件</w:t>
      </w:r>
    </w:p>
    <w:p>
      <w:pPr>
        <w:spacing w:line="560" w:lineRule="exact"/>
        <w:jc w:val="center"/>
        <w:rPr>
          <w:rFonts w:ascii="仿宋_GB2312" w:eastAsia="仿宋_GB2312"/>
          <w:color w:val="auto"/>
          <w:sz w:val="32"/>
          <w:szCs w:val="28"/>
        </w:rPr>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pStyle w:val="27"/>
        <w:bidi w:val="0"/>
      </w:pPr>
    </w:p>
    <w:p>
      <w:pPr>
        <w:pStyle w:val="27"/>
        <w:bidi w:val="0"/>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 xml:space="preserve">招 标 人： </w:t>
      </w:r>
      <w:r>
        <w:rPr>
          <w:rFonts w:hint="eastAsia" w:ascii="宋体" w:hAnsi="宋体"/>
          <w:color w:val="auto"/>
          <w:sz w:val="32"/>
          <w:szCs w:val="28"/>
          <w:lang w:eastAsia="zh-CN"/>
        </w:rPr>
        <w:t>库车市林业和草原局</w:t>
      </w:r>
    </w:p>
    <w:p>
      <w:pPr>
        <w:spacing w:line="560" w:lineRule="exact"/>
        <w:jc w:val="both"/>
        <w:rPr>
          <w:rFonts w:hint="eastAsia" w:ascii="宋体" w:hAnsi="宋体" w:eastAsiaTheme="minorEastAsia"/>
          <w:color w:val="auto"/>
          <w:sz w:val="32"/>
          <w:szCs w:val="28"/>
          <w:lang w:val="en-US" w:eastAsia="zh-CN"/>
        </w:rPr>
      </w:pPr>
      <w:r>
        <w:rPr>
          <w:rFonts w:hint="eastAsia" w:ascii="宋体" w:hAnsi="宋体"/>
          <w:color w:val="auto"/>
          <w:sz w:val="32"/>
          <w:szCs w:val="28"/>
          <w:lang w:eastAsia="zh-CN"/>
        </w:rPr>
        <w:t>联</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系</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人：薛刚</w:t>
      </w: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代理机构：</w:t>
      </w:r>
      <w:r>
        <w:rPr>
          <w:rFonts w:hint="eastAsia" w:ascii="宋体" w:hAnsi="宋体"/>
          <w:color w:val="auto"/>
          <w:sz w:val="32"/>
          <w:szCs w:val="28"/>
          <w:lang w:eastAsia="zh-CN"/>
        </w:rPr>
        <w:t>新疆星建华汇工程项目管理有限公司</w:t>
      </w:r>
    </w:p>
    <w:p>
      <w:pPr>
        <w:spacing w:line="560" w:lineRule="exact"/>
        <w:jc w:val="both"/>
        <w:rPr>
          <w:rFonts w:hint="eastAsia" w:ascii="宋体" w:hAnsi="宋体"/>
          <w:color w:val="auto"/>
          <w:sz w:val="32"/>
          <w:szCs w:val="32"/>
          <w:lang w:val="en-US" w:eastAsia="zh-CN"/>
        </w:rPr>
      </w:pPr>
      <w:r>
        <w:rPr>
          <w:rFonts w:hint="eastAsia" w:ascii="宋体" w:hAnsi="宋体"/>
          <w:color w:val="auto"/>
          <w:sz w:val="32"/>
          <w:szCs w:val="28"/>
          <w:lang w:eastAsia="zh-CN"/>
        </w:rPr>
        <w:t>联系人：</w:t>
      </w:r>
      <w:r>
        <w:rPr>
          <w:rFonts w:hint="eastAsia" w:ascii="宋体" w:hAnsi="宋体"/>
          <w:color w:val="auto"/>
          <w:sz w:val="32"/>
          <w:szCs w:val="32"/>
          <w:lang w:val="en-US" w:eastAsia="zh-CN"/>
        </w:rPr>
        <w:t>陶明江</w:t>
      </w:r>
    </w:p>
    <w:p>
      <w:pPr>
        <w:pStyle w:val="27"/>
        <w:bidi w:val="0"/>
        <w:rPr>
          <w:rFonts w:hint="eastAsia" w:ascii="宋体" w:hAnsi="宋体" w:eastAsiaTheme="minorEastAsia" w:cstheme="minorBidi"/>
          <w:color w:val="auto"/>
          <w:kern w:val="2"/>
          <w:sz w:val="32"/>
          <w:szCs w:val="28"/>
          <w:lang w:val="en-US" w:eastAsia="zh-CN" w:bidi="ar-SA"/>
        </w:rPr>
      </w:pPr>
      <w:r>
        <w:rPr>
          <w:rFonts w:hint="eastAsia" w:ascii="宋体" w:hAnsi="宋体" w:eastAsiaTheme="minorEastAsia" w:cstheme="minorBidi"/>
          <w:color w:val="auto"/>
          <w:kern w:val="2"/>
          <w:sz w:val="32"/>
          <w:szCs w:val="28"/>
          <w:lang w:val="en-US" w:eastAsia="zh-CN" w:bidi="ar-SA"/>
        </w:rPr>
        <w:t>联系电话：13565102810</w:t>
      </w:r>
    </w:p>
    <w:p>
      <w:pPr>
        <w:jc w:val="both"/>
        <w:rPr>
          <w:rFonts w:ascii="宋体" w:hAnsi="宋体"/>
          <w:color w:val="auto"/>
          <w:sz w:val="32"/>
          <w:szCs w:val="28"/>
        </w:rPr>
      </w:pPr>
    </w:p>
    <w:p>
      <w:pPr>
        <w:jc w:val="center"/>
        <w:outlineLvl w:val="9"/>
        <w:rPr>
          <w:rFonts w:ascii="宋体" w:hAnsi="宋体"/>
          <w:b/>
          <w:bCs/>
          <w:color w:val="auto"/>
          <w:sz w:val="48"/>
          <w:szCs w:val="48"/>
        </w:rPr>
      </w:pPr>
      <w:r>
        <w:rPr>
          <w:rFonts w:hint="eastAsia" w:ascii="宋体" w:hAnsi="宋体"/>
          <w:b/>
          <w:bCs/>
          <w:color w:val="auto"/>
          <w:sz w:val="48"/>
          <w:szCs w:val="48"/>
          <w:lang w:val="en-US" w:eastAsia="zh-CN"/>
        </w:rPr>
        <w:t>竞争性磋商文件</w:t>
      </w:r>
    </w:p>
    <w:p>
      <w:pPr>
        <w:pStyle w:val="2"/>
        <w:bidi w:val="0"/>
        <w:rPr>
          <w:color w:val="auto"/>
        </w:rPr>
      </w:pPr>
    </w:p>
    <w:p>
      <w:pPr>
        <w:rPr>
          <w:color w:val="auto"/>
        </w:rPr>
      </w:pPr>
    </w:p>
    <w:p>
      <w:pPr>
        <w:spacing w:line="360" w:lineRule="auto"/>
        <w:ind w:left="1526" w:leftChars="0" w:hanging="1526" w:hangingChars="477"/>
        <w:outlineLvl w:val="9"/>
        <w:rPr>
          <w:rFonts w:hint="eastAsia" w:ascii="宋体" w:hAnsi="宋体"/>
          <w:color w:val="auto"/>
          <w:sz w:val="32"/>
          <w:szCs w:val="32"/>
          <w:lang w:val="en-US" w:eastAsia="zh-CN"/>
        </w:rPr>
      </w:pPr>
      <w:r>
        <w:rPr>
          <w:rFonts w:hint="eastAsia" w:ascii="宋体" w:hAnsi="宋体"/>
          <w:color w:val="auto"/>
          <w:sz w:val="32"/>
          <w:szCs w:val="32"/>
        </w:rPr>
        <w:t>项目名称：库车市林业和草原局库车市大峡谷地质公园总体规划修编项目</w:t>
      </w:r>
    </w:p>
    <w:p>
      <w:pPr>
        <w:spacing w:line="360" w:lineRule="auto"/>
        <w:ind w:left="259" w:leftChars="0" w:hanging="259" w:hangingChars="81"/>
        <w:outlineLvl w:val="9"/>
        <w:rPr>
          <w:rFonts w:hint="eastAsia" w:ascii="宋体" w:hAnsi="宋体" w:eastAsia="宋体"/>
          <w:color w:val="auto"/>
          <w:sz w:val="32"/>
          <w:szCs w:val="32"/>
          <w:lang w:eastAsia="zh-CN"/>
        </w:rPr>
      </w:pPr>
      <w:r>
        <w:rPr>
          <w:rFonts w:hint="eastAsia" w:ascii="宋体" w:hAnsi="宋体"/>
          <w:color w:val="auto"/>
          <w:sz w:val="32"/>
          <w:szCs w:val="32"/>
        </w:rPr>
        <w:t>招   标  人：</w:t>
      </w:r>
      <w:r>
        <w:rPr>
          <w:rFonts w:hint="eastAsia" w:ascii="宋体" w:hAnsi="宋体"/>
          <w:color w:val="auto"/>
          <w:sz w:val="32"/>
          <w:szCs w:val="32"/>
          <w:lang w:val="en-US" w:eastAsia="zh-CN"/>
        </w:rPr>
        <w:t xml:space="preserve">库车市林业和草原局 </w:t>
      </w:r>
    </w:p>
    <w:p>
      <w:pPr>
        <w:spacing w:line="360" w:lineRule="auto"/>
        <w:ind w:left="259" w:leftChars="0" w:hanging="259" w:hangingChars="81"/>
        <w:jc w:val="left"/>
        <w:outlineLvl w:val="9"/>
        <w:rPr>
          <w:rFonts w:ascii="宋体" w:hAnsi="宋体"/>
          <w:color w:val="auto"/>
          <w:sz w:val="32"/>
          <w:szCs w:val="32"/>
        </w:rPr>
      </w:pPr>
      <w:r>
        <w:rPr>
          <w:rFonts w:hint="eastAsia" w:ascii="宋体" w:hAnsi="宋体"/>
          <w:color w:val="auto"/>
          <w:sz w:val="32"/>
          <w:szCs w:val="32"/>
        </w:rPr>
        <w:t xml:space="preserve">法定代表人（签章）： </w:t>
      </w:r>
    </w:p>
    <w:p>
      <w:pPr>
        <w:spacing w:line="360" w:lineRule="auto"/>
        <w:ind w:left="259" w:leftChars="0" w:hanging="259" w:hangingChars="81"/>
        <w:jc w:val="left"/>
        <w:outlineLvl w:val="9"/>
        <w:rPr>
          <w:rFonts w:hint="eastAsia" w:ascii="宋体" w:hAnsi="宋体" w:eastAsia="宋体"/>
          <w:color w:val="auto"/>
          <w:sz w:val="32"/>
          <w:szCs w:val="32"/>
          <w:lang w:eastAsia="zh-CN"/>
        </w:rPr>
      </w:pPr>
      <w:r>
        <w:rPr>
          <w:rFonts w:hint="eastAsia" w:ascii="宋体" w:hAnsi="宋体"/>
          <w:color w:val="auto"/>
          <w:sz w:val="32"/>
          <w:szCs w:val="32"/>
        </w:rPr>
        <w:t>联 系 人：</w:t>
      </w:r>
      <w:r>
        <w:rPr>
          <w:rFonts w:hint="eastAsia" w:ascii="宋体" w:hAnsi="宋体"/>
          <w:color w:val="auto"/>
          <w:sz w:val="32"/>
          <w:szCs w:val="32"/>
          <w:lang w:eastAsia="zh-CN"/>
        </w:rPr>
        <w:t>薛刚</w:t>
      </w:r>
    </w:p>
    <w:p>
      <w:pPr>
        <w:adjustRightInd w:val="0"/>
        <w:snapToGrid w:val="0"/>
        <w:spacing w:line="360" w:lineRule="auto"/>
        <w:ind w:left="259" w:leftChars="0" w:hanging="259" w:hangingChars="81"/>
        <w:outlineLvl w:val="9"/>
        <w:rPr>
          <w:rFonts w:hint="default" w:ascii="宋体" w:hAnsi="宋体" w:eastAsia="宋体"/>
          <w:color w:val="auto"/>
          <w:sz w:val="32"/>
          <w:szCs w:val="32"/>
          <w:lang w:val="en-US" w:eastAsia="zh-CN"/>
        </w:rPr>
      </w:pPr>
      <w:r>
        <w:rPr>
          <w:rFonts w:hint="eastAsia" w:ascii="宋体" w:hAnsi="宋体"/>
          <w:color w:val="auto"/>
          <w:sz w:val="32"/>
          <w:szCs w:val="32"/>
        </w:rPr>
        <w:t>电  话：</w:t>
      </w:r>
      <w:r>
        <w:rPr>
          <w:rFonts w:hint="eastAsia" w:ascii="宋体" w:hAnsi="宋体"/>
          <w:color w:val="auto"/>
          <w:sz w:val="32"/>
          <w:szCs w:val="32"/>
          <w:lang w:val="en-US" w:eastAsia="zh-CN"/>
        </w:rPr>
        <w:t>15999412999</w:t>
      </w:r>
    </w:p>
    <w:p>
      <w:pPr>
        <w:spacing w:line="360" w:lineRule="auto"/>
        <w:ind w:firstLine="480" w:firstLineChars="150"/>
        <w:jc w:val="left"/>
        <w:outlineLvl w:val="9"/>
        <w:rPr>
          <w:rFonts w:hint="eastAsia" w:ascii="宋体" w:hAnsi="宋体"/>
          <w:color w:val="auto"/>
          <w:sz w:val="32"/>
          <w:szCs w:val="32"/>
        </w:rPr>
      </w:pPr>
      <w:r>
        <w:rPr>
          <w:rFonts w:hint="eastAsia" w:ascii="宋体" w:hAnsi="宋体"/>
          <w:color w:val="auto"/>
          <w:sz w:val="32"/>
          <w:szCs w:val="32"/>
        </w:rPr>
        <w:t xml:space="preserve">   </w:t>
      </w:r>
    </w:p>
    <w:p>
      <w:pPr>
        <w:spacing w:line="480" w:lineRule="auto"/>
        <w:ind w:firstLine="480" w:firstLineChars="150"/>
        <w:jc w:val="left"/>
        <w:outlineLvl w:val="9"/>
        <w:rPr>
          <w:rFonts w:ascii="宋体" w:hAnsi="宋体"/>
          <w:color w:val="auto"/>
          <w:sz w:val="32"/>
          <w:szCs w:val="32"/>
        </w:rPr>
      </w:pPr>
    </w:p>
    <w:p>
      <w:pPr>
        <w:spacing w:line="480" w:lineRule="auto"/>
        <w:jc w:val="left"/>
        <w:outlineLvl w:val="9"/>
        <w:rPr>
          <w:rFonts w:ascii="宋体" w:hAnsi="宋体"/>
          <w:color w:val="auto"/>
          <w:sz w:val="32"/>
          <w:szCs w:val="32"/>
        </w:rPr>
      </w:pPr>
    </w:p>
    <w:p>
      <w:pPr>
        <w:spacing w:line="360" w:lineRule="auto"/>
        <w:jc w:val="left"/>
        <w:outlineLvl w:val="9"/>
        <w:rPr>
          <w:rFonts w:hint="eastAsia" w:ascii="宋体" w:hAnsi="宋体" w:eastAsia="宋体"/>
          <w:color w:val="auto"/>
          <w:sz w:val="32"/>
          <w:szCs w:val="32"/>
          <w:lang w:eastAsia="zh-CN"/>
        </w:rPr>
      </w:pPr>
      <w:r>
        <w:rPr>
          <w:rFonts w:hint="eastAsia" w:ascii="宋体" w:hAnsi="宋体"/>
          <w:color w:val="auto"/>
          <w:sz w:val="32"/>
          <w:szCs w:val="32"/>
        </w:rPr>
        <w:t>招标代理机构：</w:t>
      </w:r>
      <w:r>
        <w:rPr>
          <w:rFonts w:hint="eastAsia" w:ascii="宋体" w:hAnsi="宋体"/>
          <w:color w:val="auto"/>
          <w:sz w:val="32"/>
          <w:szCs w:val="32"/>
          <w:lang w:eastAsia="zh-CN"/>
        </w:rPr>
        <w:t>新疆星建华汇工程项目管理有限公司</w:t>
      </w:r>
    </w:p>
    <w:p>
      <w:pPr>
        <w:spacing w:line="360" w:lineRule="auto"/>
        <w:jc w:val="left"/>
        <w:outlineLvl w:val="9"/>
        <w:rPr>
          <w:rFonts w:ascii="宋体" w:hAnsi="宋体"/>
          <w:color w:val="auto"/>
          <w:sz w:val="32"/>
          <w:szCs w:val="32"/>
        </w:rPr>
      </w:pPr>
      <w:r>
        <w:rPr>
          <w:rFonts w:hint="eastAsia" w:ascii="宋体" w:hAnsi="宋体"/>
          <w:color w:val="auto"/>
          <w:spacing w:val="25"/>
          <w:sz w:val="32"/>
          <w:szCs w:val="32"/>
        </w:rPr>
        <w:t>法定代表人</w:t>
      </w:r>
      <w:r>
        <w:rPr>
          <w:rFonts w:hint="eastAsia" w:ascii="宋体" w:hAnsi="宋体"/>
          <w:color w:val="auto"/>
          <w:sz w:val="32"/>
          <w:szCs w:val="32"/>
        </w:rPr>
        <w:t>（签章）</w:t>
      </w:r>
      <w:r>
        <w:rPr>
          <w:rFonts w:hint="eastAsia" w:ascii="宋体" w:hAnsi="宋体"/>
          <w:color w:val="auto"/>
          <w:spacing w:val="25"/>
          <w:sz w:val="32"/>
          <w:szCs w:val="32"/>
        </w:rPr>
        <w:t>：</w:t>
      </w:r>
      <w:r>
        <w:rPr>
          <w:rFonts w:hint="eastAsia" w:ascii="宋体" w:hAnsi="宋体"/>
          <w:color w:val="auto"/>
          <w:sz w:val="32"/>
          <w:szCs w:val="32"/>
        </w:rPr>
        <w:t xml:space="preserve"> </w:t>
      </w:r>
    </w:p>
    <w:p>
      <w:pPr>
        <w:spacing w:line="360" w:lineRule="auto"/>
        <w:ind w:left="0" w:leftChars="0" w:firstLine="0" w:firstLineChars="0"/>
        <w:jc w:val="left"/>
        <w:outlineLvl w:val="9"/>
        <w:rPr>
          <w:rFonts w:hint="eastAsia" w:ascii="宋体" w:hAnsi="宋体" w:eastAsia="宋体"/>
          <w:color w:val="auto"/>
          <w:sz w:val="32"/>
          <w:szCs w:val="32"/>
          <w:lang w:val="en-US" w:eastAsia="zh-CN"/>
        </w:rPr>
      </w:pPr>
      <w:r>
        <w:rPr>
          <w:rFonts w:hint="eastAsia" w:ascii="宋体" w:hAnsi="宋体"/>
          <w:color w:val="auto"/>
          <w:sz w:val="32"/>
          <w:szCs w:val="32"/>
        </w:rPr>
        <w:t>联 系 人：</w:t>
      </w:r>
      <w:r>
        <w:rPr>
          <w:rFonts w:hint="eastAsia" w:ascii="宋体" w:hAnsi="宋体"/>
          <w:color w:val="auto"/>
          <w:sz w:val="32"/>
          <w:szCs w:val="32"/>
          <w:lang w:val="en-US" w:eastAsia="zh-CN"/>
        </w:rPr>
        <w:t>陶明江</w:t>
      </w:r>
    </w:p>
    <w:p>
      <w:pPr>
        <w:spacing w:line="360" w:lineRule="auto"/>
        <w:ind w:left="0" w:leftChars="0" w:firstLine="0" w:firstLineChars="0"/>
        <w:jc w:val="left"/>
        <w:outlineLvl w:val="9"/>
        <w:rPr>
          <w:rFonts w:hint="eastAsia" w:ascii="宋体" w:hAnsi="宋体"/>
          <w:color w:val="auto"/>
          <w:sz w:val="32"/>
          <w:szCs w:val="32"/>
        </w:rPr>
      </w:pPr>
      <w:r>
        <w:rPr>
          <w:rFonts w:hint="eastAsia" w:ascii="宋体" w:hAnsi="宋体"/>
          <w:color w:val="auto"/>
          <w:sz w:val="32"/>
          <w:szCs w:val="32"/>
        </w:rPr>
        <w:t>电  话：</w:t>
      </w:r>
      <w:r>
        <w:rPr>
          <w:rFonts w:hint="eastAsia" w:ascii="宋体" w:hAnsi="宋体"/>
          <w:color w:val="auto"/>
          <w:sz w:val="32"/>
          <w:szCs w:val="32"/>
          <w:lang w:val="en-US" w:eastAsia="zh-CN"/>
        </w:rPr>
        <w:t>13565102810</w:t>
      </w:r>
    </w:p>
    <w:p>
      <w:pPr>
        <w:spacing w:line="360" w:lineRule="auto"/>
        <w:ind w:left="0" w:leftChars="0" w:firstLine="0" w:firstLineChars="0"/>
        <w:jc w:val="left"/>
        <w:outlineLvl w:val="9"/>
        <w:rPr>
          <w:rFonts w:hint="eastAsia" w:ascii="宋体" w:hAnsi="宋体" w:eastAsia="宋体"/>
          <w:color w:val="auto"/>
          <w:sz w:val="32"/>
          <w:szCs w:val="32"/>
          <w:lang w:eastAsia="zh-CN"/>
        </w:rPr>
      </w:pPr>
      <w:r>
        <w:rPr>
          <w:rFonts w:hint="eastAsia" w:ascii="宋体" w:hAnsi="宋体"/>
          <w:color w:val="auto"/>
          <w:sz w:val="32"/>
          <w:szCs w:val="32"/>
        </w:rPr>
        <w:t>联系地址：</w:t>
      </w:r>
      <w:r>
        <w:rPr>
          <w:rFonts w:hint="eastAsia" w:ascii="宋体" w:hAnsi="宋体"/>
          <w:color w:val="auto"/>
          <w:sz w:val="32"/>
          <w:szCs w:val="32"/>
          <w:lang w:eastAsia="zh-CN"/>
        </w:rPr>
        <w:t>库车</w:t>
      </w:r>
      <w:r>
        <w:rPr>
          <w:rFonts w:hint="eastAsia" w:ascii="宋体" w:hAnsi="宋体"/>
          <w:color w:val="auto"/>
          <w:sz w:val="32"/>
          <w:szCs w:val="32"/>
          <w:lang w:val="en-US" w:eastAsia="zh-CN"/>
        </w:rPr>
        <w:t>市</w:t>
      </w:r>
      <w:r>
        <w:rPr>
          <w:rFonts w:hint="eastAsia" w:ascii="宋体" w:hAnsi="宋体"/>
          <w:color w:val="auto"/>
          <w:sz w:val="32"/>
          <w:szCs w:val="32"/>
          <w:lang w:eastAsia="zh-CN"/>
        </w:rPr>
        <w:t>金兹花园物业二楼</w:t>
      </w: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jc w:val="center"/>
        <w:rPr>
          <w:rFonts w:hint="eastAsia" w:eastAsia="宋体"/>
          <w:color w:val="auto"/>
          <w:sz w:val="28"/>
          <w:szCs w:val="48"/>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color w:val="auto"/>
          <w:sz w:val="28"/>
          <w:szCs w:val="48"/>
          <w:lang w:eastAsia="zh-CN"/>
        </w:rPr>
        <w:t>二零二二年</w:t>
      </w:r>
      <w:r>
        <w:rPr>
          <w:rFonts w:hint="eastAsia"/>
          <w:color w:val="auto"/>
          <w:sz w:val="28"/>
          <w:szCs w:val="48"/>
          <w:lang w:val="en-US" w:eastAsia="zh-CN"/>
        </w:rPr>
        <w:t>十</w:t>
      </w:r>
      <w:r>
        <w:rPr>
          <w:rFonts w:hint="eastAsia"/>
          <w:color w:val="auto"/>
          <w:sz w:val="28"/>
          <w:szCs w:val="48"/>
          <w:lang w:eastAsia="zh-CN"/>
        </w:rPr>
        <w:t>二月</w:t>
      </w:r>
    </w:p>
    <w:p>
      <w:pPr>
        <w:spacing w:line="500" w:lineRule="exact"/>
        <w:jc w:val="center"/>
        <w:rPr>
          <w:rFonts w:ascii="宋体"/>
          <w:b/>
          <w:bCs/>
          <w:color w:val="auto"/>
          <w:sz w:val="48"/>
          <w:szCs w:val="48"/>
        </w:rPr>
      </w:pPr>
      <w:r>
        <w:rPr>
          <w:rFonts w:hint="eastAsia" w:ascii="宋体" w:hAnsi="宋体" w:cs="宋体"/>
          <w:b/>
          <w:bCs/>
          <w:color w:val="auto"/>
          <w:sz w:val="48"/>
          <w:szCs w:val="48"/>
        </w:rPr>
        <w:t>目录</w:t>
      </w:r>
    </w:p>
    <w:p>
      <w:pPr>
        <w:spacing w:line="500" w:lineRule="exact"/>
        <w:jc w:val="center"/>
        <w:outlineLvl w:val="9"/>
        <w:rPr>
          <w:rFonts w:ascii="宋体"/>
          <w:b/>
          <w:bCs/>
          <w:color w:val="auto"/>
          <w:sz w:val="44"/>
          <w:szCs w:val="44"/>
        </w:rPr>
      </w:pPr>
    </w:p>
    <w:sdt>
      <w:sdtPr>
        <w:rPr>
          <w:rFonts w:ascii="宋体" w:hAnsi="宋体" w:eastAsia="宋体" w:cstheme="minorBidi"/>
          <w:color w:val="auto"/>
          <w:kern w:val="2"/>
          <w:sz w:val="30"/>
          <w:szCs w:val="30"/>
          <w:lang w:val="en-US" w:eastAsia="zh-CN" w:bidi="ar-SA"/>
        </w:rPr>
        <w:id w:val="147464411"/>
        <w15:color w:val="DBDBDB"/>
        <w:docPartObj>
          <w:docPartGallery w:val="Table of Contents"/>
          <w:docPartUnique/>
        </w:docPartObj>
      </w:sdtPr>
      <w:sdtEndPr>
        <w:rPr>
          <w:rFonts w:hint="eastAsia" w:ascii="宋体" w:hAnsi="宋体" w:eastAsia="宋体" w:cs="宋体"/>
          <w:bCs/>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color w:val="auto"/>
              <w:sz w:val="30"/>
              <w:szCs w:val="30"/>
            </w:rPr>
          </w:pPr>
          <w:bookmarkStart w:id="0" w:name="_Hlk39663443"/>
          <w:bookmarkStart w:id="1" w:name="_Hlk13586256"/>
          <w:bookmarkStart w:id="2" w:name="_Hlk39648029"/>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
              <w:bCs/>
              <w:color w:val="auto"/>
              <w:sz w:val="30"/>
              <w:szCs w:val="30"/>
              <w:lang w:eastAsia="zh-CN"/>
            </w:rPr>
            <w:fldChar w:fldCharType="begin"/>
          </w:r>
          <w:r>
            <w:rPr>
              <w:rFonts w:hint="eastAsia" w:ascii="宋体" w:hAnsi="宋体" w:eastAsia="宋体" w:cs="宋体"/>
              <w:b/>
              <w:bCs/>
              <w:color w:val="auto"/>
              <w:sz w:val="30"/>
              <w:szCs w:val="30"/>
              <w:lang w:eastAsia="zh-CN"/>
            </w:rPr>
            <w:instrText xml:space="preserve">TOC \o "1-1" \h \u </w:instrText>
          </w:r>
          <w:r>
            <w:rPr>
              <w:rFonts w:hint="eastAsia" w:ascii="宋体" w:hAnsi="宋体" w:eastAsia="宋体" w:cs="宋体"/>
              <w:b/>
              <w:bCs/>
              <w:color w:val="auto"/>
              <w:sz w:val="30"/>
              <w:szCs w:val="30"/>
              <w:lang w:eastAsia="zh-CN"/>
            </w:rPr>
            <w:fldChar w:fldCharType="separate"/>
          </w: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_Toc17029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bCs/>
              <w:color w:val="auto"/>
              <w:sz w:val="28"/>
              <w:szCs w:val="28"/>
              <w:lang w:eastAsia="zh-CN"/>
            </w:rPr>
            <w:t>第一章</w:t>
          </w:r>
          <w:r>
            <w:rPr>
              <w:rFonts w:hint="eastAsia" w:eastAsia="黑体"/>
              <w:bCs/>
              <w:color w:val="auto"/>
              <w:sz w:val="28"/>
              <w:szCs w:val="28"/>
              <w:lang w:val="en-US" w:eastAsia="zh-CN"/>
            </w:rPr>
            <w:t xml:space="preserve"> </w:t>
          </w:r>
          <w:r>
            <w:rPr>
              <w:rFonts w:hint="eastAsia"/>
              <w:bCs/>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_Toc17029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_Toc8759 </w:instrText>
          </w:r>
          <w:r>
            <w:rPr>
              <w:rFonts w:hint="eastAsia" w:ascii="宋体" w:hAnsi="宋体" w:eastAsia="宋体" w:cs="宋体"/>
              <w:bCs/>
              <w:color w:val="auto"/>
              <w:sz w:val="28"/>
              <w:szCs w:val="28"/>
              <w:lang w:eastAsia="zh-CN"/>
            </w:rPr>
            <w:fldChar w:fldCharType="separate"/>
          </w:r>
          <w:r>
            <w:rPr>
              <w:rFonts w:hint="eastAsia"/>
              <w:bCs/>
              <w:color w:val="auto"/>
              <w:sz w:val="28"/>
              <w:szCs w:val="28"/>
              <w:lang w:val="en-US" w:eastAsia="zh-CN"/>
            </w:rPr>
            <w:t>第二章 供应商须知</w:t>
          </w:r>
          <w:r>
            <w:rPr>
              <w:color w:val="auto"/>
              <w:sz w:val="28"/>
              <w:szCs w:val="28"/>
            </w:rPr>
            <w:tab/>
          </w:r>
          <w:r>
            <w:rPr>
              <w:color w:val="auto"/>
              <w:sz w:val="28"/>
              <w:szCs w:val="28"/>
            </w:rPr>
            <w:fldChar w:fldCharType="begin"/>
          </w:r>
          <w:r>
            <w:rPr>
              <w:color w:val="auto"/>
              <w:sz w:val="28"/>
              <w:szCs w:val="28"/>
            </w:rPr>
            <w:instrText xml:space="preserve"> PAGEREF _Toc8759 \h </w:instrText>
          </w:r>
          <w:r>
            <w:rPr>
              <w:color w:val="auto"/>
              <w:sz w:val="28"/>
              <w:szCs w:val="28"/>
            </w:rPr>
            <w:fldChar w:fldCharType="separate"/>
          </w:r>
          <w:r>
            <w:rPr>
              <w:color w:val="auto"/>
              <w:sz w:val="28"/>
              <w:szCs w:val="28"/>
            </w:rPr>
            <w:t>3</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_Toc4798 </w:instrText>
          </w:r>
          <w:r>
            <w:rPr>
              <w:rFonts w:hint="eastAsia" w:ascii="宋体" w:hAnsi="宋体" w:eastAsia="宋体" w:cs="宋体"/>
              <w:bCs/>
              <w:color w:val="auto"/>
              <w:sz w:val="28"/>
              <w:szCs w:val="28"/>
              <w:lang w:eastAsia="zh-CN"/>
            </w:rPr>
            <w:fldChar w:fldCharType="separate"/>
          </w:r>
          <w:r>
            <w:rPr>
              <w:rFonts w:hAnsi="宋体"/>
              <w:bCs/>
              <w:color w:val="auto"/>
              <w:sz w:val="28"/>
              <w:szCs w:val="28"/>
            </w:rPr>
            <w:t>第三章</w:t>
          </w:r>
          <w:r>
            <w:rPr>
              <w:rFonts w:hint="eastAsia" w:hAnsi="宋体"/>
              <w:bCs/>
              <w:color w:val="auto"/>
              <w:sz w:val="28"/>
              <w:szCs w:val="28"/>
            </w:rPr>
            <w:t xml:space="preserve">  政府采购合同</w:t>
          </w:r>
          <w:r>
            <w:rPr>
              <w:color w:val="auto"/>
              <w:sz w:val="28"/>
              <w:szCs w:val="28"/>
            </w:rPr>
            <w:tab/>
          </w:r>
          <w:r>
            <w:rPr>
              <w:color w:val="auto"/>
              <w:sz w:val="28"/>
              <w:szCs w:val="28"/>
            </w:rPr>
            <w:fldChar w:fldCharType="begin"/>
          </w:r>
          <w:r>
            <w:rPr>
              <w:color w:val="auto"/>
              <w:sz w:val="28"/>
              <w:szCs w:val="28"/>
            </w:rPr>
            <w:instrText xml:space="preserve"> PAGEREF _Toc4798 \h </w:instrText>
          </w:r>
          <w:r>
            <w:rPr>
              <w:color w:val="auto"/>
              <w:sz w:val="28"/>
              <w:szCs w:val="28"/>
            </w:rPr>
            <w:fldChar w:fldCharType="separate"/>
          </w:r>
          <w:r>
            <w:rPr>
              <w:color w:val="auto"/>
              <w:sz w:val="28"/>
              <w:szCs w:val="28"/>
            </w:rPr>
            <w:t>10</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_Toc24004 </w:instrText>
          </w:r>
          <w:r>
            <w:rPr>
              <w:rFonts w:hint="eastAsia" w:ascii="宋体" w:hAnsi="宋体" w:eastAsia="宋体" w:cs="宋体"/>
              <w:bCs/>
              <w:color w:val="auto"/>
              <w:sz w:val="28"/>
              <w:szCs w:val="28"/>
              <w:lang w:eastAsia="zh-CN"/>
            </w:rPr>
            <w:fldChar w:fldCharType="separate"/>
          </w:r>
          <w:r>
            <w:rPr>
              <w:rFonts w:hint="eastAsia" w:hAnsi="宋体"/>
              <w:bCs/>
              <w:color w:val="auto"/>
              <w:sz w:val="28"/>
              <w:szCs w:val="28"/>
            </w:rPr>
            <w:t xml:space="preserve">第四章  </w:t>
          </w:r>
          <w:r>
            <w:rPr>
              <w:rFonts w:hint="eastAsia" w:hAnsi="宋体"/>
              <w:color w:val="auto"/>
              <w:sz w:val="28"/>
              <w:szCs w:val="28"/>
            </w:rPr>
            <w:t>采购项目需求及具体要求</w:t>
          </w:r>
          <w:r>
            <w:rPr>
              <w:color w:val="auto"/>
              <w:sz w:val="28"/>
              <w:szCs w:val="28"/>
            </w:rPr>
            <w:tab/>
          </w:r>
          <w:r>
            <w:rPr>
              <w:rFonts w:hint="eastAsia"/>
              <w:color w:val="auto"/>
              <w:sz w:val="28"/>
              <w:szCs w:val="28"/>
              <w:lang w:val="en-US" w:eastAsia="zh-CN"/>
            </w:rPr>
            <w:t>1</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3</w:t>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_Toc1167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color w:val="auto"/>
              <w:sz w:val="28"/>
              <w:szCs w:val="28"/>
              <w:lang w:eastAsia="zh-CN"/>
            </w:rPr>
            <w:t>第五章</w:t>
          </w:r>
          <w:r>
            <w:rPr>
              <w:rFonts w:hint="eastAsia" w:ascii="宋体" w:hAnsi="宋体" w:eastAsia="宋体" w:cs="宋体"/>
              <w:color w:val="auto"/>
              <w:sz w:val="28"/>
              <w:szCs w:val="28"/>
            </w:rPr>
            <w:t xml:space="preserve"> 评审程序、方法和标准</w:t>
          </w:r>
          <w:r>
            <w:rPr>
              <w:color w:val="auto"/>
              <w:sz w:val="28"/>
              <w:szCs w:val="28"/>
            </w:rPr>
            <w:tab/>
          </w:r>
          <w:r>
            <w:rPr>
              <w:rFonts w:hint="eastAsia"/>
              <w:color w:val="auto"/>
              <w:sz w:val="28"/>
              <w:szCs w:val="28"/>
              <w:lang w:val="en-US" w:eastAsia="zh-CN"/>
            </w:rPr>
            <w:t>1</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4</w:t>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_Toc8071 </w:instrText>
          </w:r>
          <w:r>
            <w:rPr>
              <w:rFonts w:hint="eastAsia" w:ascii="宋体" w:hAnsi="宋体" w:eastAsia="宋体" w:cs="宋体"/>
              <w:bCs/>
              <w:color w:val="auto"/>
              <w:sz w:val="28"/>
              <w:szCs w:val="28"/>
              <w:lang w:eastAsia="zh-CN"/>
            </w:rPr>
            <w:fldChar w:fldCharType="separate"/>
          </w:r>
          <w:r>
            <w:rPr>
              <w:rFonts w:hint="eastAsia"/>
              <w:bCs/>
              <w:color w:val="auto"/>
              <w:sz w:val="28"/>
              <w:szCs w:val="28"/>
              <w:highlight w:val="white"/>
              <w:lang w:eastAsia="zh-CN"/>
            </w:rPr>
            <w:t>第六章</w:t>
          </w:r>
          <w:r>
            <w:rPr>
              <w:rFonts w:hint="eastAsia"/>
              <w:color w:val="auto"/>
              <w:sz w:val="28"/>
              <w:szCs w:val="28"/>
              <w:highlight w:val="white"/>
              <w:lang w:val="en-US" w:eastAsia="zh-CN"/>
            </w:rPr>
            <w:t xml:space="preserve"> </w:t>
          </w:r>
          <w:r>
            <w:rPr>
              <w:rFonts w:hint="eastAsia" w:ascii="宋体" w:hAnsi="宋体"/>
              <w:bCs/>
              <w:color w:val="auto"/>
              <w:kern w:val="44"/>
              <w:sz w:val="28"/>
              <w:szCs w:val="28"/>
            </w:rPr>
            <w:t>竞争性磋商须知</w:t>
          </w:r>
          <w:r>
            <w:rPr>
              <w:color w:val="auto"/>
              <w:sz w:val="28"/>
              <w:szCs w:val="28"/>
            </w:rPr>
            <w:tab/>
          </w:r>
          <w:r>
            <w:rPr>
              <w:rFonts w:hint="eastAsia"/>
              <w:color w:val="auto"/>
              <w:sz w:val="28"/>
              <w:szCs w:val="28"/>
              <w:lang w:val="en-US" w:eastAsia="zh-CN"/>
            </w:rPr>
            <w:t>2</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0</w:t>
          </w:r>
        </w:p>
        <w:p>
          <w:pPr>
            <w:pStyle w:val="139"/>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30"/>
              <w:szCs w:val="30"/>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_Toc27588 </w:instrText>
          </w:r>
          <w:r>
            <w:rPr>
              <w:rFonts w:hint="eastAsia" w:ascii="宋体" w:hAnsi="宋体" w:eastAsia="宋体" w:cs="宋体"/>
              <w:bCs/>
              <w:color w:val="auto"/>
              <w:sz w:val="28"/>
              <w:szCs w:val="28"/>
              <w:lang w:eastAsia="zh-CN"/>
            </w:rPr>
            <w:fldChar w:fldCharType="separate"/>
          </w:r>
          <w:r>
            <w:rPr>
              <w:rFonts w:hint="eastAsia" w:ascii="宋体" w:hAnsi="宋体"/>
              <w:color w:val="auto"/>
              <w:sz w:val="28"/>
              <w:szCs w:val="28"/>
            </w:rPr>
            <w:t>第七章  响应文件格式</w:t>
          </w:r>
          <w:r>
            <w:rPr>
              <w:color w:val="auto"/>
              <w:sz w:val="28"/>
              <w:szCs w:val="28"/>
            </w:rPr>
            <w:tab/>
          </w:r>
          <w:r>
            <w:rPr>
              <w:rFonts w:hint="eastAsia"/>
              <w:color w:val="auto"/>
              <w:sz w:val="28"/>
              <w:szCs w:val="28"/>
              <w:lang w:val="en-US" w:eastAsia="zh-CN"/>
            </w:rPr>
            <w:t>2</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8</w:t>
          </w:r>
        </w:p>
        <w:p>
          <w:pPr>
            <w:widowControl/>
            <w:snapToGrid w:val="0"/>
            <w:spacing w:line="400" w:lineRule="atLeast"/>
            <w:jc w:val="both"/>
            <w:rPr>
              <w:rFonts w:hint="eastAsia" w:ascii="宋体" w:hAnsi="宋体" w:eastAsia="宋体" w:cs="宋体"/>
              <w:b/>
              <w:bCs/>
              <w:color w:val="auto"/>
              <w:sz w:val="30"/>
              <w:szCs w:val="30"/>
              <w:lang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Cs/>
              <w:color w:val="auto"/>
              <w:sz w:val="30"/>
              <w:szCs w:val="30"/>
              <w:lang w:eastAsia="zh-CN"/>
            </w:rPr>
            <w:fldChar w:fldCharType="end"/>
          </w:r>
        </w:p>
      </w:sdtContent>
    </w:sdt>
    <w:p>
      <w:pPr>
        <w:widowControl/>
        <w:snapToGrid w:val="0"/>
        <w:spacing w:line="400" w:lineRule="atLeast"/>
        <w:jc w:val="center"/>
        <w:outlineLvl w:val="0"/>
        <w:rPr>
          <w:rFonts w:hint="eastAsia" w:ascii="宋体" w:hAnsi="宋体" w:eastAsia="宋体" w:cs="宋体"/>
          <w:b/>
          <w:bCs/>
          <w:color w:val="auto"/>
          <w:sz w:val="48"/>
          <w:szCs w:val="48"/>
          <w:lang w:eastAsia="zh-CN"/>
        </w:rPr>
      </w:pPr>
      <w:bookmarkStart w:id="3" w:name="_Toc17029"/>
    </w:p>
    <w:p>
      <w:pPr>
        <w:jc w:val="center"/>
        <w:outlineLvl w:val="9"/>
        <w:rPr>
          <w:rFonts w:hAnsi="宋体"/>
          <w:bCs/>
          <w:color w:val="auto"/>
          <w:sz w:val="24"/>
        </w:rPr>
      </w:pPr>
      <w:r>
        <w:rPr>
          <w:rFonts w:hint="eastAsia" w:ascii="宋体" w:hAnsi="宋体" w:eastAsia="宋体" w:cs="宋体"/>
          <w:b/>
          <w:bCs/>
          <w:color w:val="auto"/>
          <w:sz w:val="48"/>
          <w:szCs w:val="48"/>
          <w:lang w:eastAsia="zh-CN"/>
        </w:rPr>
        <w:t>第一章</w:t>
      </w:r>
      <w:r>
        <w:rPr>
          <w:rFonts w:hint="eastAsia" w:ascii="宋体" w:hAnsi="宋体" w:eastAsia="宋体" w:cs="宋体"/>
          <w:b/>
          <w:bCs/>
          <w:color w:val="auto"/>
          <w:sz w:val="48"/>
          <w:szCs w:val="48"/>
          <w:lang w:val="en-US" w:eastAsia="zh-CN"/>
        </w:rPr>
        <w:t xml:space="preserve"> </w:t>
      </w:r>
      <w:r>
        <w:rPr>
          <w:rFonts w:hint="eastAsia" w:ascii="宋体" w:hAnsi="宋体" w:eastAsia="宋体" w:cs="宋体"/>
          <w:b/>
          <w:bCs/>
          <w:color w:val="auto"/>
          <w:sz w:val="48"/>
          <w:szCs w:val="48"/>
        </w:rPr>
        <w:t>竞争性磋商公告</w:t>
      </w:r>
      <w:bookmarkEnd w:id="0"/>
      <w:bookmarkEnd w:id="1"/>
      <w:bookmarkEnd w:id="2"/>
      <w:bookmarkEnd w:id="3"/>
      <w:bookmarkStart w:id="4" w:name="_Toc9128"/>
      <w:bookmarkStart w:id="5" w:name="_Hlk38271456"/>
    </w:p>
    <w:p>
      <w:pPr>
        <w:jc w:val="center"/>
        <w:outlineLvl w:val="9"/>
        <w:rPr>
          <w:rFonts w:hAnsi="宋体"/>
          <w:bCs/>
          <w:color w:val="auto"/>
          <w:sz w:val="24"/>
        </w:rPr>
      </w:pPr>
      <w:r>
        <w:rPr>
          <w:rFonts w:hint="eastAsia" w:hAnsi="宋体" w:eastAsiaTheme="minorEastAsia"/>
          <w:bCs/>
          <w:color w:val="auto"/>
          <w:sz w:val="24"/>
          <w:lang w:eastAsia="zh-CN"/>
        </w:rPr>
        <w:drawing>
          <wp:inline distT="0" distB="0" distL="114300" distR="114300">
            <wp:extent cx="5273675" cy="3922395"/>
            <wp:effectExtent l="0" t="0" r="3175" b="190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12"/>
                    <a:stretch>
                      <a:fillRect/>
                    </a:stretch>
                  </pic:blipFill>
                  <pic:spPr>
                    <a:xfrm>
                      <a:off x="0" y="0"/>
                      <a:ext cx="5273675" cy="3922395"/>
                    </a:xfrm>
                    <a:prstGeom prst="rect">
                      <a:avLst/>
                    </a:prstGeom>
                  </pic:spPr>
                </pic:pic>
              </a:graphicData>
            </a:graphic>
          </wp:inline>
        </w:drawing>
      </w:r>
    </w:p>
    <w:p>
      <w:pPr>
        <w:jc w:val="center"/>
        <w:outlineLvl w:val="9"/>
        <w:rPr>
          <w:rFonts w:hAnsi="宋体"/>
          <w:bCs/>
          <w:color w:val="auto"/>
          <w:sz w:val="24"/>
        </w:rPr>
      </w:pPr>
    </w:p>
    <w:p>
      <w:pPr>
        <w:jc w:val="center"/>
        <w:outlineLvl w:val="9"/>
        <w:rPr>
          <w:rFonts w:hint="eastAsia" w:hAnsi="宋体" w:eastAsiaTheme="minorEastAsia"/>
          <w:bCs/>
          <w:color w:val="auto"/>
          <w:sz w:val="24"/>
          <w:lang w:eastAsia="zh-CN"/>
        </w:rPr>
      </w:pPr>
      <w:r>
        <w:rPr>
          <w:rFonts w:hint="eastAsia" w:hAnsi="宋体" w:eastAsiaTheme="minorEastAsia"/>
          <w:bCs/>
          <w:color w:val="auto"/>
          <w:sz w:val="24"/>
          <w:lang w:eastAsia="zh-CN"/>
        </w:rPr>
        <w:drawing>
          <wp:inline distT="0" distB="0" distL="114300" distR="114300">
            <wp:extent cx="4521200" cy="3559175"/>
            <wp:effectExtent l="0" t="0" r="12700" b="3175"/>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13"/>
                    <a:stretch>
                      <a:fillRect/>
                    </a:stretch>
                  </pic:blipFill>
                  <pic:spPr>
                    <a:xfrm>
                      <a:off x="0" y="0"/>
                      <a:ext cx="4521200" cy="3559175"/>
                    </a:xfrm>
                    <a:prstGeom prst="rect">
                      <a:avLst/>
                    </a:prstGeom>
                  </pic:spPr>
                </pic:pic>
              </a:graphicData>
            </a:graphic>
          </wp:inline>
        </w:drawing>
      </w:r>
    </w:p>
    <w:p>
      <w:pPr>
        <w:jc w:val="center"/>
        <w:outlineLvl w:val="9"/>
        <w:rPr>
          <w:rFonts w:hint="eastAsia" w:hAnsi="宋体" w:eastAsiaTheme="minorEastAsia"/>
          <w:bCs/>
          <w:color w:val="auto"/>
          <w:sz w:val="24"/>
          <w:lang w:eastAsia="zh-CN"/>
        </w:rPr>
      </w:pPr>
      <w:r>
        <w:rPr>
          <w:rFonts w:hint="eastAsia" w:hAnsi="宋体" w:eastAsiaTheme="minorEastAsia"/>
          <w:bCs/>
          <w:color w:val="auto"/>
          <w:sz w:val="24"/>
          <w:lang w:eastAsia="zh-CN"/>
        </w:rPr>
        <w:drawing>
          <wp:inline distT="0" distB="0" distL="114300" distR="114300">
            <wp:extent cx="5269230" cy="5450840"/>
            <wp:effectExtent l="0" t="0" r="7620" b="1651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4"/>
                    <a:stretch>
                      <a:fillRect/>
                    </a:stretch>
                  </pic:blipFill>
                  <pic:spPr>
                    <a:xfrm>
                      <a:off x="0" y="0"/>
                      <a:ext cx="5269230" cy="5450840"/>
                    </a:xfrm>
                    <a:prstGeom prst="rect">
                      <a:avLst/>
                    </a:prstGeom>
                  </pic:spPr>
                </pic:pic>
              </a:graphicData>
            </a:graphic>
          </wp:inline>
        </w:drawing>
      </w: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pStyle w:val="26"/>
        <w:rPr>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outlineLvl w:val="9"/>
        <w:rPr>
          <w:rFonts w:hAnsi="宋体"/>
          <w:bCs/>
          <w:color w:val="auto"/>
          <w:sz w:val="24"/>
        </w:rPr>
      </w:pPr>
    </w:p>
    <w:p>
      <w:pPr>
        <w:jc w:val="center"/>
        <w:outlineLvl w:val="0"/>
        <w:rPr>
          <w:rFonts w:hint="eastAsia" w:ascii="宋体" w:hAnsi="宋体" w:eastAsia="宋体" w:cs="宋体"/>
          <w:color w:val="auto"/>
          <w:sz w:val="48"/>
          <w:szCs w:val="48"/>
        </w:rPr>
      </w:pPr>
      <w:bookmarkStart w:id="6" w:name="_Toc8759"/>
      <w:r>
        <w:rPr>
          <w:rFonts w:hint="eastAsia" w:ascii="宋体" w:hAnsi="宋体" w:eastAsia="宋体" w:cs="宋体"/>
          <w:b/>
          <w:bCs/>
          <w:color w:val="auto"/>
          <w:sz w:val="48"/>
          <w:szCs w:val="48"/>
          <w:lang w:val="en-US" w:eastAsia="zh-CN"/>
        </w:rPr>
        <w:t>第二章 供应商须知</w:t>
      </w:r>
      <w:bookmarkEnd w:id="4"/>
      <w:bookmarkEnd w:id="6"/>
    </w:p>
    <w:tbl>
      <w:tblPr>
        <w:tblStyle w:val="3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lang w:val="en-US" w:eastAsia="zh-CN"/>
              </w:rPr>
              <w:t>条款号</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条 款 名 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名称：库车市林业和草原局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地址：库车市农林大厦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联系人：薛刚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电话：15999412999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采购代理机构</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地址：库车市金兹花园物业二楼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联系人：陶明江</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电话：13565102810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采购项目名称及项目编号</w:t>
            </w:r>
          </w:p>
        </w:tc>
        <w:tc>
          <w:tcPr>
            <w:tcW w:w="6078" w:type="dxa"/>
            <w:noWrap w:val="0"/>
            <w:vAlign w:val="center"/>
          </w:tcPr>
          <w:p>
            <w:pPr>
              <w:pStyle w:val="27"/>
              <w:bidi w:val="0"/>
              <w:rPr>
                <w:rFonts w:hint="default"/>
                <w:lang w:val="en-US" w:eastAsia="zh-CN"/>
              </w:rPr>
            </w:pPr>
            <w:r>
              <w:rPr>
                <w:rFonts w:hint="eastAsia" w:ascii="宋体" w:hAnsi="宋体" w:cs="宋体"/>
                <w:b w:val="0"/>
                <w:bCs w:val="0"/>
                <w:color w:val="auto"/>
                <w:spacing w:val="0"/>
                <w:sz w:val="21"/>
                <w:szCs w:val="21"/>
                <w:vertAlign w:val="baseline"/>
                <w:lang w:val="en-US" w:eastAsia="zh-CN"/>
              </w:rPr>
              <w:t>库车市林业和草原局库车市大峡谷地质公园总体规划修编项目项目编号：</w:t>
            </w:r>
            <w:r>
              <w:rPr>
                <w:rFonts w:hint="eastAsia" w:cs="宋体"/>
                <w:b w:val="0"/>
                <w:bCs w:val="0"/>
                <w:color w:val="auto"/>
                <w:spacing w:val="0"/>
                <w:sz w:val="21"/>
                <w:szCs w:val="21"/>
                <w:vertAlign w:val="baseline"/>
                <w:lang w:val="en-US" w:eastAsia="zh-CN"/>
              </w:rPr>
              <w:t>KCS2022-WT077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资金来源及比例</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资金落实情况</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采购范围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lang w:val="en-US" w:eastAsia="zh-CN"/>
              </w:rPr>
              <w:t>库车市大峡谷地质公园总体规划修编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采购预算</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210" w:firstLineChars="10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none"/>
                <w:vertAlign w:val="baseline"/>
                <w:lang w:val="en-US" w:eastAsia="zh-CN"/>
              </w:rPr>
              <w:t xml:space="preserve"> </w:t>
            </w:r>
            <w:r>
              <w:rPr>
                <w:rFonts w:hint="eastAsia" w:ascii="宋体" w:hAnsi="宋体" w:cs="宋体"/>
                <w:b/>
                <w:bCs/>
                <w:color w:val="auto"/>
                <w:spacing w:val="0"/>
                <w:sz w:val="21"/>
                <w:szCs w:val="21"/>
                <w:u w:val="none"/>
                <w:vertAlign w:val="baseline"/>
                <w:lang w:val="en-US" w:eastAsia="zh-CN"/>
              </w:rPr>
              <w:t>650000元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规划周期</w:t>
            </w:r>
          </w:p>
        </w:tc>
        <w:tc>
          <w:tcPr>
            <w:tcW w:w="6078" w:type="dxa"/>
            <w:noWrap w:val="0"/>
            <w:vAlign w:val="center"/>
          </w:tcPr>
          <w:p>
            <w:pPr>
              <w:pStyle w:val="82"/>
              <w:spacing w:before="36" w:line="297" w:lineRule="auto"/>
              <w:ind w:right="106"/>
              <w:rPr>
                <w:rFonts w:hint="eastAsia" w:ascii="Times New Roman" w:hAnsi="Times New Roman" w:eastAsia="宋体" w:cs="Times New Roman"/>
                <w:i w:val="0"/>
                <w:iCs w:val="0"/>
                <w:color w:val="auto"/>
                <w:kern w:val="2"/>
                <w:sz w:val="21"/>
                <w:szCs w:val="24"/>
                <w:lang w:val="en-US" w:eastAsia="zh-CN" w:bidi="ar-SA"/>
              </w:rPr>
            </w:pPr>
            <w:r>
              <w:rPr>
                <w:rFonts w:hint="eastAsia" w:ascii="Times New Roman" w:hAnsi="Times New Roman" w:eastAsia="宋体" w:cs="Times New Roman"/>
                <w:i w:val="0"/>
                <w:iCs w:val="0"/>
                <w:kern w:val="2"/>
                <w:sz w:val="21"/>
                <w:szCs w:val="24"/>
                <w:lang w:val="en-US" w:eastAsia="zh-CN" w:bidi="ar-SA"/>
              </w:rPr>
              <w:t>设</w:t>
            </w:r>
            <w:r>
              <w:rPr>
                <w:rFonts w:hint="eastAsia" w:ascii="Times New Roman" w:hAnsi="Times New Roman" w:eastAsia="宋体" w:cs="Times New Roman"/>
                <w:i w:val="0"/>
                <w:iCs w:val="0"/>
                <w:color w:val="auto"/>
                <w:kern w:val="2"/>
                <w:sz w:val="21"/>
                <w:szCs w:val="24"/>
                <w:lang w:val="en-US" w:eastAsia="zh-CN" w:bidi="ar-SA"/>
              </w:rPr>
              <w:t>计周期：15日历天。</w:t>
            </w:r>
          </w:p>
          <w:p>
            <w:pPr>
              <w:pStyle w:val="82"/>
              <w:spacing w:before="27" w:line="297" w:lineRule="auto"/>
              <w:ind w:right="102"/>
              <w:rPr>
                <w:rFonts w:hint="eastAsia" w:ascii="Times New Roman" w:hAnsi="Times New Roman" w:eastAsia="宋体" w:cs="Times New Roman"/>
                <w:i w:val="0"/>
                <w:iCs w:val="0"/>
                <w:color w:val="auto"/>
                <w:kern w:val="2"/>
                <w:sz w:val="21"/>
                <w:szCs w:val="24"/>
                <w:lang w:val="en-US" w:eastAsia="zh-CN" w:bidi="ar-SA"/>
              </w:rPr>
            </w:pPr>
            <w:r>
              <w:rPr>
                <w:rFonts w:hint="eastAsia" w:ascii="Times New Roman" w:hAnsi="Times New Roman" w:eastAsia="宋体" w:cs="Times New Roman"/>
                <w:i w:val="0"/>
                <w:iCs w:val="0"/>
                <w:color w:val="auto"/>
                <w:kern w:val="2"/>
                <w:sz w:val="21"/>
                <w:szCs w:val="24"/>
                <w:lang w:val="en-US" w:eastAsia="zh-CN" w:bidi="ar-SA"/>
              </w:rPr>
              <w:t>设计深度及要求：满足国家有关技术标准及规范要求，达到相应设计阶段的技术要求，并通过相关部门审查批复。</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Times New Roman" w:hAnsi="Times New Roman" w:eastAsia="宋体" w:cs="Times New Roman"/>
                <w:i w:val="0"/>
                <w:iCs w:val="0"/>
                <w:kern w:val="2"/>
                <w:sz w:val="21"/>
                <w:szCs w:val="24"/>
                <w:lang w:val="en-US" w:eastAsia="zh-CN" w:bidi="ar-SA"/>
              </w:rPr>
              <w:t>承包方式：费用采用固定总价方式支付。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交货地点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Theme="minorHAnsi" w:hAnsiTheme="minorHAnsi" w:eastAsiaTheme="minorEastAsia" w:cstheme="minorBidi"/>
                <w:color w:val="auto"/>
                <w:kern w:val="2"/>
                <w:sz w:val="21"/>
                <w:szCs w:val="22"/>
                <w:lang w:val="en-US" w:eastAsia="zh-CN" w:bidi="ar-SA"/>
              </w:rPr>
            </w:pPr>
            <w:r>
              <w:rPr>
                <w:rFonts w:hint="eastAsia" w:ascii="宋体" w:hAnsi="宋体" w:cs="宋体"/>
                <w:b w:val="0"/>
                <w:bCs w:val="0"/>
                <w:color w:val="auto"/>
                <w:spacing w:val="0"/>
                <w:sz w:val="21"/>
                <w:szCs w:val="21"/>
                <w:vertAlign w:val="baseli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10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质量标准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宋体" w:hAnsi="宋体" w:cs="宋体" w:eastAsiaTheme="minorEastAsia"/>
                <w:b w:val="0"/>
                <w:bCs w:val="0"/>
                <w:color w:val="auto"/>
                <w:spacing w:val="0"/>
                <w:kern w:val="2"/>
                <w:sz w:val="21"/>
                <w:szCs w:val="21"/>
                <w:vertAlign w:val="baseline"/>
                <w:lang w:val="en-US" w:eastAsia="zh-CN" w:bidi="ar-SA"/>
              </w:rPr>
            </w:pPr>
            <w:r>
              <w:rPr>
                <w:rFonts w:hint="default" w:ascii="宋体" w:hAnsi="宋体" w:cs="宋体" w:eastAsiaTheme="minorEastAsia"/>
                <w:b w:val="0"/>
                <w:bCs w:val="0"/>
                <w:color w:val="auto"/>
                <w:spacing w:val="0"/>
                <w:kern w:val="2"/>
                <w:sz w:val="21"/>
                <w:szCs w:val="21"/>
                <w:vertAlign w:val="baseline"/>
                <w:lang w:val="en-US" w:eastAsia="zh-CN" w:bidi="ar-SA"/>
              </w:rPr>
              <w:t>满足国家和地方相关技术规范和标准要求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响应供应商资格要求</w:t>
            </w:r>
          </w:p>
        </w:tc>
        <w:tc>
          <w:tcPr>
            <w:tcW w:w="6078" w:type="dxa"/>
            <w:noWrap w:val="0"/>
            <w:vAlign w:val="center"/>
          </w:tcPr>
          <w:p>
            <w:pPr>
              <w:pStyle w:val="32"/>
              <w:ind w:left="0" w:leftChars="0" w:firstLine="0" w:firstLineChars="0"/>
              <w:outlineLvl w:val="9"/>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资质条件：具备有效的营业执照、开户许可证；</w:t>
            </w:r>
          </w:p>
          <w:p>
            <w:pPr>
              <w:pStyle w:val="32"/>
              <w:ind w:left="0" w:leftChars="0" w:firstLine="0" w:firstLineChars="0"/>
              <w:outlineLvl w:val="9"/>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信誉要求：无不良行为记录、提供近6个月完税证明。</w:t>
            </w:r>
          </w:p>
          <w:p>
            <w:pPr>
              <w:pStyle w:val="32"/>
              <w:ind w:left="0" w:leftChars="0" w:firstLine="0" w:firstLineChars="0"/>
              <w:outlineLvl w:val="9"/>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财务要求：提供2021年财务审计报告，成立不足一年的供应商提供近三个月财务报表。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pacing w:val="0"/>
                <w:sz w:val="21"/>
                <w:szCs w:val="21"/>
                <w:vertAlign w:val="baseline"/>
                <w:lang w:val="en-US" w:eastAsia="zh-CN"/>
              </w:rPr>
            </w:pPr>
            <w:r>
              <w:rPr>
                <w:rFonts w:hint="eastAsia" w:ascii="宋体" w:hAnsi="宋体"/>
                <w:color w:val="auto"/>
                <w:szCs w:val="21"/>
                <w:lang w:val="en-US" w:eastAsia="zh-CN"/>
              </w:rPr>
              <w:t>其他要求：符合本项目采购公告的相关要求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是否接受联合体</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color w:val="auto"/>
                <w:spacing w:val="0"/>
                <w:sz w:val="21"/>
                <w:szCs w:val="21"/>
                <w:vertAlign w:val="baseline"/>
                <w:lang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响应供应商不得存在的</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其他情形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磋商文件澄清发出的形式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实质性要求和条件</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满足采购人的采购需求，具备良好的售后服务，无残次品。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构成磋商文件的其他资料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供应商提出问题的截至时间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投若有疑问，请于磋商文件规定的截至时间3日前将问题以书面形式提交采购人或采购代理机构。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磋商文件修改发出的形式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构成投标文件的其他资料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增值税税金的计算方法</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最高投标限价</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pacing w:val="0"/>
                <w:sz w:val="21"/>
                <w:szCs w:val="21"/>
                <w:vertAlign w:val="baseline"/>
                <w:lang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b/>
                <w:bCs/>
                <w:color w:val="auto"/>
                <w:szCs w:val="21"/>
              </w:rPr>
              <w:fldChar w:fldCharType="begin"/>
            </w:r>
            <w:r>
              <w:rPr>
                <w:b/>
                <w:bCs/>
                <w:color w:val="auto"/>
                <w:szCs w:val="21"/>
              </w:rPr>
              <w:instrText xml:space="preserve"> </w:instrText>
            </w:r>
            <w:r>
              <w:rPr>
                <w:rFonts w:hint="eastAsia"/>
                <w:b/>
                <w:bCs/>
                <w:color w:val="auto"/>
                <w:szCs w:val="21"/>
              </w:rPr>
              <w:instrText xml:space="preserve">eq \o\ac(□,√)</w:instrText>
            </w:r>
            <w:r>
              <w:rPr>
                <w:b/>
                <w:bCs/>
                <w:color w:val="auto"/>
                <w:szCs w:val="21"/>
              </w:rPr>
              <w:fldChar w:fldCharType="end"/>
            </w:r>
            <w:r>
              <w:rPr>
                <w:rFonts w:hint="eastAsia" w:ascii="宋体" w:hAnsi="宋体" w:cs="宋体"/>
                <w:b/>
                <w:bCs/>
                <w:color w:val="auto"/>
                <w:spacing w:val="0"/>
                <w:sz w:val="21"/>
                <w:szCs w:val="21"/>
                <w:vertAlign w:val="baseline"/>
                <w:lang w:val="en-US" w:eastAsia="zh-CN"/>
              </w:rPr>
              <w:t>有，最高投标限价：</w:t>
            </w:r>
            <w:r>
              <w:rPr>
                <w:rFonts w:hint="eastAsia" w:ascii="宋体" w:hAnsi="宋体" w:cs="宋体"/>
                <w:b/>
                <w:bCs/>
                <w:color w:val="auto"/>
                <w:spacing w:val="0"/>
                <w:sz w:val="21"/>
                <w:szCs w:val="21"/>
                <w:u w:val="single"/>
                <w:vertAlign w:val="baseline"/>
                <w:lang w:val="en-US" w:eastAsia="zh-CN"/>
              </w:rPr>
              <w:t>650000元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投标有效期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本项目不收取投标保证金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投标保证金的金额：/</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投标保证金交纳截止时</w:t>
            </w:r>
            <w:r>
              <w:rPr>
                <w:rFonts w:hint="eastAsia" w:ascii="宋体" w:hAnsi="宋体" w:cs="宋体"/>
                <w:b w:val="0"/>
                <w:bCs w:val="0"/>
                <w:color w:val="auto"/>
                <w:spacing w:val="0"/>
                <w:sz w:val="21"/>
                <w:szCs w:val="21"/>
                <w:highlight w:val="none"/>
                <w:vertAlign w:val="baseline"/>
                <w:lang w:val="en-US" w:eastAsia="zh-CN"/>
              </w:rPr>
              <w:t>间：投标截止时间前一天19:30前截止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投标保证金提交方式：</w:t>
            </w:r>
            <w:r>
              <w:rPr>
                <w:rFonts w:hint="eastAsia" w:ascii="宋体" w:hAnsi="宋体" w:cs="宋体"/>
                <w:b/>
                <w:bCs/>
                <w:color w:val="auto"/>
                <w:spacing w:val="0"/>
                <w:sz w:val="21"/>
                <w:szCs w:val="21"/>
                <w:highlight w:val="none"/>
                <w:vertAlign w:val="baseline"/>
                <w:lang w:val="en-US" w:eastAsia="zh-CN"/>
              </w:rPr>
              <w:t>从投标人所在地企业基本账户以电</w:t>
            </w:r>
            <w:r>
              <w:rPr>
                <w:rFonts w:hint="eastAsia" w:ascii="宋体" w:hAnsi="宋体" w:cs="宋体"/>
                <w:b/>
                <w:bCs/>
                <w:color w:val="auto"/>
                <w:spacing w:val="0"/>
                <w:sz w:val="21"/>
                <w:szCs w:val="21"/>
                <w:vertAlign w:val="baseline"/>
                <w:lang w:val="en-US" w:eastAsia="zh-CN"/>
              </w:rPr>
              <w:t>汇或银行转账的方式，汇到指定的投标保证账户；并载明项目名称。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开户银行：库车县农村信用合作联社天山东路信用社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行号：402891300189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帐    号：853030112010104848183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资格审查资料的特殊要求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投标人代表出席开标会：招标人邀请所有投标人的委托代理人必须按时参加开标会。在招标人按开标程序进行点名时，向招标人提交委托代理人身份证明文件，出示本人身份证，以证明其出席，委托代理人需参与开标全过程。否则视为自动放弃投标处理，投标保证金不予退还。开标前，请各投标人随身携带下列有效证件以备随时查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法定代表人到场需提供法定代表人身份证明及法定代表人身份证（公安部门相关证明），委托代理人到场需提供法定代表人授权委托书及委托代理人的身份证原件（公安部门相关证明），法定代表人身份证明或法定代表人授权委托书需单独提供，并与投标文件中所提供的相一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2、《企业营业执照》原件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3、《开户许可证》原件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4、近6个月完税证明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5、未在处罚期的（1）失信被执行人：信用中国官网（www.creditchina.gov.cn）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（2）企业经营异常名录：国家企业信用信息公示系统（</w:t>
            </w:r>
            <w:r>
              <w:rPr>
                <w:rFonts w:hint="eastAsia" w:ascii="宋体" w:hAnsi="宋体" w:cs="宋体"/>
                <w:color w:val="auto"/>
                <w:spacing w:val="0"/>
                <w:sz w:val="21"/>
                <w:szCs w:val="21"/>
                <w:vertAlign w:val="baseline"/>
                <w:lang w:val="en-US" w:eastAsia="zh-CN"/>
              </w:rPr>
              <w:fldChar w:fldCharType="begin"/>
            </w:r>
            <w:r>
              <w:rPr>
                <w:rFonts w:hint="eastAsia" w:ascii="宋体" w:hAnsi="宋体" w:cs="宋体"/>
                <w:color w:val="auto"/>
                <w:spacing w:val="0"/>
                <w:sz w:val="21"/>
                <w:szCs w:val="21"/>
                <w:vertAlign w:val="baseline"/>
                <w:lang w:val="en-US" w:eastAsia="zh-CN"/>
              </w:rPr>
              <w:instrText xml:space="preserve"> HYPERLINK "http://www.gsxt.gov.cn/index.html" </w:instrText>
            </w:r>
            <w:r>
              <w:rPr>
                <w:rFonts w:hint="eastAsia" w:ascii="宋体" w:hAnsi="宋体" w:cs="宋体"/>
                <w:color w:val="auto"/>
                <w:spacing w:val="0"/>
                <w:sz w:val="21"/>
                <w:szCs w:val="21"/>
                <w:vertAlign w:val="baseline"/>
                <w:lang w:val="en-US" w:eastAsia="zh-CN"/>
              </w:rPr>
              <w:fldChar w:fldCharType="separate"/>
            </w:r>
            <w:r>
              <w:rPr>
                <w:rFonts w:hint="eastAsia" w:ascii="宋体" w:hAnsi="宋体" w:cs="宋体"/>
                <w:color w:val="auto"/>
                <w:spacing w:val="0"/>
                <w:sz w:val="21"/>
                <w:szCs w:val="21"/>
                <w:vertAlign w:val="baseline"/>
                <w:lang w:val="en-US" w:eastAsia="zh-CN"/>
              </w:rPr>
              <w:t>http://www.gsxt.gov.cn/index.html</w:t>
            </w:r>
            <w:r>
              <w:rPr>
                <w:rFonts w:hint="eastAsia" w:ascii="宋体" w:hAnsi="宋体" w:cs="宋体"/>
                <w:color w:val="auto"/>
                <w:spacing w:val="0"/>
                <w:sz w:val="21"/>
                <w:szCs w:val="21"/>
                <w:vertAlign w:val="baseline"/>
                <w:lang w:val="en-US" w:eastAsia="zh-CN"/>
              </w:rPr>
              <w:fldChar w:fldCharType="end"/>
            </w:r>
            <w:r>
              <w:rPr>
                <w:rFonts w:hint="eastAsia" w:ascii="宋体" w:hAnsi="宋体" w:cs="宋体"/>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（3）重大税收违法案件当事人名单：信用中国官网（www.creditchina.gov.cn）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（4）政府采购严重违法失信行为记录名单：中国政府采购官网（www.ccgp.gov.cn）查询记录加盖单位公章。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上述证件齐全、满足要求的投标人为有效投标人。（以上资料开标现场提供加盖公章复印件一套）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企业信誉要求</w:t>
            </w:r>
          </w:p>
        </w:tc>
        <w:tc>
          <w:tcPr>
            <w:tcW w:w="6078" w:type="dxa"/>
            <w:noWrap w:val="0"/>
            <w:vAlign w:val="center"/>
          </w:tcPr>
          <w:p>
            <w:pPr>
              <w:spacing w:line="360" w:lineRule="exact"/>
              <w:jc w:val="left"/>
              <w:rPr>
                <w:rFonts w:ascii="宋体" w:hAnsi="宋体"/>
                <w:color w:val="auto"/>
                <w:szCs w:val="21"/>
              </w:rPr>
            </w:pPr>
            <w:r>
              <w:rPr>
                <w:rFonts w:hint="eastAsia" w:ascii="宋体" w:hAnsi="宋体"/>
                <w:color w:val="auto"/>
                <w:szCs w:val="21"/>
              </w:rPr>
              <w:t>1、参与</w:t>
            </w:r>
            <w:r>
              <w:rPr>
                <w:rFonts w:hint="eastAsia" w:ascii="宋体" w:hAnsi="宋体"/>
                <w:color w:val="auto"/>
                <w:szCs w:val="21"/>
                <w:lang w:val="en-US" w:eastAsia="zh-CN"/>
              </w:rPr>
              <w:t>本项目</w:t>
            </w:r>
            <w:r>
              <w:rPr>
                <w:rFonts w:hint="eastAsia" w:ascii="宋体" w:hAnsi="宋体"/>
                <w:color w:val="auto"/>
                <w:szCs w:val="21"/>
              </w:rPr>
              <w:t>采购活动的供应商被列入以下失信名单的，不得被推荐为政府采购项目中标候选人。</w:t>
            </w:r>
          </w:p>
          <w:p>
            <w:pPr>
              <w:spacing w:line="360" w:lineRule="exact"/>
              <w:jc w:val="left"/>
              <w:rPr>
                <w:rFonts w:ascii="宋体" w:hAnsi="宋体"/>
                <w:color w:val="auto"/>
                <w:szCs w:val="21"/>
              </w:rPr>
            </w:pPr>
            <w:r>
              <w:rPr>
                <w:rFonts w:hint="eastAsia" w:ascii="宋体" w:hAnsi="宋体"/>
                <w:color w:val="auto"/>
                <w:szCs w:val="21"/>
              </w:rPr>
              <w:t>（1）供应商被列入失信被执行人的；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（2）供应商被列入企业经营异常名录的；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（3）供应商被列入重大税收违法案件当事人名单的；</w:t>
            </w:r>
          </w:p>
          <w:p>
            <w:pPr>
              <w:keepNext w:val="0"/>
              <w:keepLines w:val="0"/>
              <w:pageBreakBefore w:val="0"/>
              <w:widowControl w:val="0"/>
              <w:kinsoku/>
              <w:wordWrap/>
              <w:overflowPunct/>
              <w:topLinePunct w:val="0"/>
              <w:bidi w:val="0"/>
              <w:adjustRightInd/>
              <w:snapToGrid/>
              <w:spacing w:line="240" w:lineRule="auto"/>
              <w:jc w:val="left"/>
              <w:rPr>
                <w:rFonts w:hint="eastAsia" w:ascii="宋体" w:hAnsi="宋体"/>
                <w:color w:val="auto"/>
                <w:szCs w:val="21"/>
              </w:rPr>
            </w:pPr>
            <w:r>
              <w:rPr>
                <w:rFonts w:hint="eastAsia" w:ascii="宋体" w:hAnsi="宋体"/>
                <w:color w:val="auto"/>
                <w:szCs w:val="21"/>
              </w:rPr>
              <w:t>（4）供应商被列入政府采购严重违法失信行为记录名单的；</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u w:val="none"/>
                <w:vertAlign w:val="baseline"/>
                <w:lang w:val="en-US" w:eastAsia="zh-CN"/>
              </w:rPr>
            </w:pPr>
            <w:r>
              <w:rPr>
                <w:rFonts w:hint="eastAsia"/>
                <w:color w:val="auto"/>
                <w:lang w:eastAsia="zh-CN"/>
              </w:rPr>
              <w:t>（</w:t>
            </w:r>
            <w:r>
              <w:rPr>
                <w:rFonts w:hint="eastAsia"/>
                <w:color w:val="auto"/>
                <w:lang w:val="en-US" w:eastAsia="zh-CN"/>
              </w:rPr>
              <w:t>尚在处罚期的</w:t>
            </w:r>
            <w:r>
              <w:rPr>
                <w:rFonts w:hint="eastAsia"/>
                <w:color w:val="auto"/>
                <w:lang w:eastAsia="zh-CN"/>
              </w:rPr>
              <w:t>）</w:t>
            </w:r>
            <w:r>
              <w:rPr>
                <w:rFonts w:hint="eastAsia" w:ascii="宋体" w:hAnsi="宋体" w:cs="宋体"/>
                <w:b w:val="0"/>
                <w:bCs w:val="0"/>
                <w:color w:val="auto"/>
                <w:spacing w:val="0"/>
                <w:sz w:val="21"/>
                <w:szCs w:val="21"/>
                <w:u w:val="none"/>
                <w:vertAlign w:val="baseline"/>
                <w:lang w:val="en-US" w:eastAsia="zh-CN"/>
              </w:rPr>
              <w:t>；</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vertAlign w:val="baseline"/>
                <w:lang w:val="en-US" w:eastAsia="zh-CN"/>
              </w:rPr>
            </w:pPr>
            <w:r>
              <w:rPr>
                <w:rFonts w:hint="eastAsia" w:ascii="宋体" w:hAnsi="宋体"/>
                <w:color w:val="auto"/>
                <w:kern w:val="2"/>
                <w:sz w:val="21"/>
                <w:szCs w:val="21"/>
                <w:lang w:val="en-US" w:eastAsia="zh-CN" w:bidi="ar-SA"/>
              </w:rPr>
              <w:t>（5）未签署《无重大违法记录声明书》、《诚信投标承诺书》。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w:t>
            </w:r>
            <w:r>
              <w:rPr>
                <w:rFonts w:hint="eastAsia" w:ascii="宋体" w:hAnsi="宋体" w:eastAsia="宋体" w:cs="宋体"/>
                <w:color w:val="auto"/>
                <w:spacing w:val="0"/>
                <w:sz w:val="21"/>
                <w:szCs w:val="21"/>
                <w:lang w:val="en-US" w:eastAsia="zh-CN"/>
              </w:rPr>
              <w:t>允许</w:t>
            </w:r>
            <w:r>
              <w:rPr>
                <w:rFonts w:hint="eastAsia" w:ascii="宋体" w:hAnsi="宋体" w:cs="宋体"/>
                <w:color w:val="auto"/>
                <w:spacing w:val="0"/>
                <w:sz w:val="21"/>
                <w:szCs w:val="21"/>
                <w:lang w:val="en-US" w:eastAsia="zh-CN"/>
              </w:rPr>
              <w:t>递交备选投标方案</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eastAsia="宋体" w:cs="宋体"/>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不</w:t>
            </w:r>
            <w:r>
              <w:rPr>
                <w:rFonts w:hint="eastAsia" w:ascii="宋体" w:hAnsi="宋体" w:eastAsia="宋体" w:cs="宋体"/>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投标文件副本份数及其他要求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投标文件份数：正本壹份，副本贰份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电子标书：电子版投标文件光盘叁份</w:t>
            </w:r>
          </w:p>
          <w:p>
            <w:pPr>
              <w:pStyle w:val="25"/>
              <w:bidi w:val="0"/>
              <w:jc w:val="left"/>
              <w:rPr>
                <w:rFonts w:hint="eastAsia"/>
                <w:color w:val="auto"/>
                <w:lang w:val="en-US" w:eastAsia="zh-CN"/>
              </w:rPr>
            </w:pPr>
            <w:r>
              <w:rPr>
                <w:rFonts w:hint="eastAsia" w:ascii="宋体" w:hAnsi="宋体"/>
                <w:color w:val="auto"/>
                <w:szCs w:val="21"/>
              </w:rPr>
              <w:t>（纸质投标文件应与电子投标文件一致）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投标文件是否需分册装订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vertAlign w:val="baseline"/>
                <w:lang w:eastAsia="zh-CN"/>
              </w:rPr>
              <w:t>□</w:t>
            </w:r>
            <w:r>
              <w:rPr>
                <w:rFonts w:hint="eastAsia" w:ascii="宋体" w:hAnsi="宋体" w:cs="宋体"/>
                <w:color w:val="auto"/>
                <w:spacing w:val="0"/>
                <w:sz w:val="21"/>
                <w:szCs w:val="21"/>
                <w:highlight w:val="none"/>
                <w:lang w:val="en-US" w:eastAsia="zh-CN"/>
              </w:rPr>
              <w:t>不需要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eq \o\ac(□,√)</w:instrText>
            </w:r>
            <w:r>
              <w:rPr>
                <w:color w:val="auto"/>
                <w:szCs w:val="21"/>
                <w:highlight w:val="none"/>
              </w:rPr>
              <w:fldChar w:fldCharType="end"/>
            </w:r>
            <w:r>
              <w:rPr>
                <w:rFonts w:hint="eastAsia" w:ascii="宋体" w:hAnsi="宋体" w:cs="宋体"/>
                <w:color w:val="auto"/>
                <w:spacing w:val="0"/>
                <w:sz w:val="21"/>
                <w:szCs w:val="21"/>
                <w:highlight w:val="none"/>
                <w:vertAlign w:val="baseline"/>
                <w:lang w:val="en-US" w:eastAsia="zh-CN"/>
              </w:rPr>
              <w:t>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注：正副本分册装订，纸质投标文件采用死页胶装方式装订,装订应牢固、不易拆散和换页，不得采用活页装订；电子版投标文件单独密封。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响应文件签字或盖章要求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企业法定代表人或授权委托人签字或盖章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color w:val="auto"/>
                <w:highlight w:val="none"/>
                <w:lang w:val="en-US" w:eastAsia="zh-CN"/>
              </w:rPr>
            </w:pPr>
            <w:r>
              <w:rPr>
                <w:rFonts w:hint="eastAsia" w:ascii="宋体" w:hAnsi="宋体" w:cs="宋体"/>
                <w:color w:val="auto"/>
                <w:spacing w:val="0"/>
                <w:sz w:val="21"/>
                <w:szCs w:val="21"/>
                <w:highlight w:val="none"/>
                <w:vertAlign w:val="baseline"/>
                <w:lang w:val="en-US" w:eastAsia="zh-CN"/>
              </w:rPr>
              <w:t>响应文件正副本须逐页加盖企业公章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响应文件密封要求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采用“封”字条完全密封，密封处加盖企业公章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封套上应载明的信息</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采购人名称：            采购人地址：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响应供应商名称、地址、联系人及联系电话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在    年    月    日下午      整（</w:t>
            </w:r>
            <w:r>
              <w:rPr>
                <w:rFonts w:hint="eastAsia" w:ascii="宋体" w:hAnsi="宋体" w:cs="宋体"/>
                <w:b w:val="0"/>
                <w:bCs w:val="0"/>
                <w:color w:val="auto"/>
                <w:spacing w:val="0"/>
                <w:sz w:val="21"/>
                <w:szCs w:val="21"/>
                <w:vertAlign w:val="baseline"/>
                <w:lang w:val="en-US" w:eastAsia="zh-CN"/>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auto"/>
                <w:spacing w:val="0"/>
                <w:sz w:val="21"/>
                <w:szCs w:val="21"/>
                <w:highlight w:val="none"/>
                <w:vertAlign w:val="baseline"/>
                <w:lang w:val="en-US" w:eastAsia="zh-CN"/>
              </w:rPr>
              <w:t>响应截止时间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auto"/>
                <w:spacing w:val="0"/>
                <w:sz w:val="21"/>
                <w:szCs w:val="21"/>
                <w:highlight w:val="none"/>
                <w:vertAlign w:val="baseline"/>
                <w:lang w:val="en-US" w:eastAsia="zh-CN"/>
              </w:rPr>
              <w:t>详见新疆政府采购网本项目采购公告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递交响应文件地点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新疆星建华汇工程项目管理有限公司二楼会议室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投标文件是否退还</w:t>
            </w:r>
          </w:p>
        </w:tc>
        <w:tc>
          <w:tcPr>
            <w:tcW w:w="6078" w:type="dxa"/>
            <w:noWrap w:val="0"/>
            <w:vAlign w:val="center"/>
          </w:tcPr>
          <w:p>
            <w:pPr>
              <w:keepNext w:val="0"/>
              <w:keepLines w:val="0"/>
              <w:pageBreakBefore w:val="0"/>
              <w:widowControl w:val="0"/>
              <w:numPr>
                <w:ilvl w:val="0"/>
                <w:numId w:val="0"/>
              </w:numPr>
              <w:tabs>
                <w:tab w:val="center" w:pos="2931"/>
              </w:tabs>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否</w:t>
            </w:r>
            <w:r>
              <w:rPr>
                <w:rFonts w:hint="eastAsia" w:ascii="宋体" w:hAnsi="宋体" w:cs="宋体"/>
                <w:color w:val="auto"/>
                <w:spacing w:val="0"/>
                <w:sz w:val="21"/>
                <w:szCs w:val="21"/>
                <w:vertAlign w:val="baseline"/>
                <w:lang w:val="en-US" w:eastAsia="zh-CN"/>
              </w:rPr>
              <w:tab/>
            </w:r>
            <w:bookmarkStart w:id="105" w:name="_GoBack"/>
            <w:bookmarkEnd w:id="105"/>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磋商时间和地点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w:t>
            </w:r>
            <w:r>
              <w:rPr>
                <w:rFonts w:hint="eastAsia" w:ascii="宋体" w:hAnsi="宋体" w:cs="宋体"/>
                <w:b w:val="0"/>
                <w:bCs w:val="0"/>
                <w:color w:val="auto"/>
                <w:spacing w:val="0"/>
                <w:sz w:val="21"/>
                <w:szCs w:val="21"/>
                <w:highlight w:val="none"/>
                <w:vertAlign w:val="baseline"/>
                <w:lang w:val="en-US" w:eastAsia="zh-CN"/>
              </w:rPr>
              <w:t>商时间：</w:t>
            </w:r>
            <w:r>
              <w:rPr>
                <w:rFonts w:hint="eastAsia" w:ascii="宋体" w:hAnsi="宋体" w:cs="宋体"/>
                <w:b/>
                <w:bCs/>
                <w:color w:val="auto"/>
                <w:spacing w:val="0"/>
                <w:sz w:val="21"/>
                <w:szCs w:val="21"/>
                <w:highlight w:val="none"/>
                <w:vertAlign w:val="baseline"/>
                <w:lang w:val="en-US" w:eastAsia="zh-CN"/>
              </w:rPr>
              <w:t>详见新疆政府采购网本项目采购公告</w:t>
            </w:r>
            <w:r>
              <w:rPr>
                <w:rFonts w:hint="eastAsia" w:ascii="宋体" w:hAnsi="宋体" w:cs="宋体"/>
                <w:b w:val="0"/>
                <w:b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磋商地点：新疆星建华汇工程项目管理有限公司会议室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竞争性磋商小组的组建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竞争性磋商小组的构成：</w:t>
            </w: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u w:val="none"/>
                <w:vertAlign w:val="baseline"/>
                <w:lang w:val="en-US" w:eastAsia="zh-CN"/>
              </w:rPr>
              <w:t>其中采购人代表</w:t>
            </w:r>
            <w:r>
              <w:rPr>
                <w:rFonts w:hint="eastAsia" w:ascii="宋体" w:hAnsi="宋体" w:cs="宋体"/>
                <w:b w:val="0"/>
                <w:bCs w:val="0"/>
                <w:color w:val="auto"/>
                <w:spacing w:val="0"/>
                <w:sz w:val="21"/>
                <w:szCs w:val="21"/>
                <w:u w:val="single"/>
                <w:vertAlign w:val="baseline"/>
                <w:lang w:val="en-US" w:eastAsia="zh-CN"/>
              </w:rPr>
              <w:t xml:space="preserve">   0   </w:t>
            </w:r>
            <w:r>
              <w:rPr>
                <w:rFonts w:hint="eastAsia" w:ascii="宋体" w:hAnsi="宋体" w:cs="宋体"/>
                <w:b w:val="0"/>
                <w:bCs w:val="0"/>
                <w:color w:val="auto"/>
                <w:spacing w:val="0"/>
                <w:sz w:val="21"/>
                <w:szCs w:val="21"/>
                <w:u w:val="none"/>
                <w:vertAlign w:val="baseline"/>
                <w:lang w:val="en-US" w:eastAsia="zh-CN"/>
              </w:rPr>
              <w:t>人，专家</w:t>
            </w: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u w:val="none"/>
                <w:vertAlign w:val="baseline"/>
                <w:lang w:val="en-US" w:eastAsia="zh-CN"/>
              </w:rPr>
              <w:t>竞争性磋商小组成员确定方式：政采云平台随机抽取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竞争性磋商小组推荐成交候选人的人数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中标候选人公示媒介及期限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公示媒介：新疆政府采购网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公示期限</w:t>
            </w:r>
            <w:r>
              <w:rPr>
                <w:rFonts w:hint="eastAsia" w:ascii="宋体" w:hAnsi="宋体" w:cs="宋体"/>
                <w:b w:val="0"/>
                <w:bCs w:val="0"/>
                <w:color w:val="auto"/>
                <w:spacing w:val="0"/>
                <w:sz w:val="21"/>
                <w:szCs w:val="21"/>
                <w:u w:val="none"/>
                <w:vertAlign w:val="baseline"/>
                <w:lang w:val="en-US" w:eastAsia="zh-CN"/>
              </w:rPr>
              <w:t>：</w:t>
            </w:r>
            <w:r>
              <w:rPr>
                <w:rFonts w:hint="eastAsia" w:ascii="宋体" w:hAnsi="宋体" w:cs="宋体"/>
                <w:b w:val="0"/>
                <w:bCs w:val="0"/>
                <w:color w:val="auto"/>
                <w:spacing w:val="0"/>
                <w:sz w:val="21"/>
                <w:szCs w:val="21"/>
                <w:u w:val="single"/>
                <w:vertAlign w:val="baseline"/>
                <w:lang w:val="en-US" w:eastAsia="zh-CN"/>
              </w:rPr>
              <w:t xml:space="preserve">  1  </w:t>
            </w:r>
            <w:r>
              <w:rPr>
                <w:rFonts w:hint="eastAsia" w:ascii="宋体" w:hAnsi="宋体" w:cs="宋体"/>
                <w:b w:val="0"/>
                <w:bCs w:val="0"/>
                <w:color w:val="auto"/>
                <w:spacing w:val="0"/>
                <w:sz w:val="21"/>
                <w:szCs w:val="21"/>
                <w:u w:val="none"/>
                <w:vertAlign w:val="baseline"/>
                <w:lang w:val="en-US" w:eastAsia="zh-CN"/>
              </w:rPr>
              <w:t>工作</w:t>
            </w:r>
            <w:r>
              <w:rPr>
                <w:rFonts w:hint="eastAsia" w:ascii="宋体" w:hAnsi="宋体" w:cs="宋体"/>
                <w:b w:val="0"/>
                <w:b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是否授权竞争性磋商小组确定成交供应商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rFonts w:hint="eastAsia"/>
                <w:color w:val="auto"/>
                <w:szCs w:val="21"/>
                <w:lang w:eastAsia="zh-CN"/>
              </w:rPr>
              <w:instrText xml:space="preserve">,</w:instrText>
            </w:r>
            <w:r>
              <w:rPr>
                <w:rFonts w:hint="eastAsia"/>
                <w:color w:val="auto"/>
                <w:position w:val="2"/>
                <w:sz w:val="13"/>
                <w:szCs w:val="21"/>
                <w:lang w:eastAsia="zh-CN"/>
              </w:rPr>
              <w:instrText xml:space="preserve">√</w:instrText>
            </w:r>
            <w:r>
              <w:rPr>
                <w:rFonts w:hint="eastAsia"/>
                <w:color w:val="auto"/>
                <w:szCs w:val="21"/>
              </w:rPr>
              <w:instrText xml:space="preserve">)</w:instrText>
            </w:r>
            <w:r>
              <w:rPr>
                <w:color w:val="auto"/>
                <w:szCs w:val="21"/>
              </w:rPr>
              <w:fldChar w:fldCharType="end"/>
            </w:r>
            <w:r>
              <w:rPr>
                <w:rFonts w:hint="eastAsia" w:ascii="宋体" w:hAnsi="宋体" w:cs="宋体"/>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履约担保的形式：支票、汇票或银行保函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履约担保的金额：中标价的</w:t>
            </w:r>
            <w:r>
              <w:rPr>
                <w:rFonts w:hint="eastAsia" w:ascii="宋体" w:hAnsi="宋体" w:cs="宋体"/>
                <w:b w:val="0"/>
                <w:bCs w:val="0"/>
                <w:color w:val="auto"/>
                <w:spacing w:val="0"/>
                <w:sz w:val="21"/>
                <w:szCs w:val="21"/>
                <w:u w:val="single"/>
                <w:vertAlign w:val="baseline"/>
                <w:lang w:val="en-US" w:eastAsia="zh-CN"/>
              </w:rPr>
              <w:t xml:space="preserve">   /   </w:t>
            </w:r>
            <w:r>
              <w:rPr>
                <w:rFonts w:hint="eastAsia" w:ascii="宋体" w:hAnsi="宋体" w:cs="宋体"/>
                <w:b w:val="0"/>
                <w:bCs w:val="0"/>
                <w:color w:val="auto"/>
                <w:spacing w:val="0"/>
                <w:sz w:val="21"/>
                <w:szCs w:val="21"/>
                <w:vertAlign w:val="baseline"/>
                <w:lang w:val="en-US" w:eastAsia="zh-CN"/>
              </w:rPr>
              <w:t>，由中标人在中标后十日内缴纳至采购人指定账户。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需要补充的其他内容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lang w:val="en-US" w:eastAsia="zh-CN"/>
              </w:rPr>
            </w:pPr>
            <w:r>
              <w:rPr>
                <w:rFonts w:hint="eastAsia"/>
                <w:lang w:val="en-US" w:eastAsia="zh-CN"/>
              </w:rPr>
              <w:t>竞争性磋商文件及补充文件要求的证明材料，响应供应商均需在开标现场持原件备查，如因响应供应商未提供原件导致的相关后果，响应供应商自行承担。</w:t>
            </w:r>
          </w:p>
          <w:p>
            <w:pPr>
              <w:pStyle w:val="2"/>
              <w:rPr>
                <w:rFonts w:hint="default"/>
                <w:lang w:val="en-US" w:eastAsia="zh-CN"/>
              </w:rPr>
            </w:pPr>
            <w:r>
              <w:rPr>
                <w:rFonts w:hint="eastAsia" w:asciiTheme="minorHAnsi" w:hAnsiTheme="minorHAnsi" w:eastAsiaTheme="minorEastAsia" w:cstheme="minorBidi"/>
                <w:kern w:val="2"/>
                <w:sz w:val="21"/>
                <w:szCs w:val="22"/>
                <w:lang w:val="en-US" w:eastAsia="zh-CN" w:bidi="ar-SA"/>
              </w:rPr>
              <w:t>本项目所属行业为：其他未列明行业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政策优惠说明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中</w:t>
            </w:r>
            <w:bookmarkStart w:id="7" w:name="_Hlk27738727"/>
            <w:r>
              <w:rPr>
                <w:rFonts w:hint="eastAsia" w:ascii="宋体" w:hAnsi="宋体" w:cs="宋体"/>
                <w:b/>
                <w:bCs/>
                <w:color w:val="auto"/>
                <w:spacing w:val="0"/>
                <w:sz w:val="21"/>
                <w:szCs w:val="21"/>
                <w:vertAlign w:val="baseline"/>
                <w:lang w:val="en-US" w:eastAsia="zh-CN"/>
              </w:rPr>
              <w:t>型、小型、微型企业：</w:t>
            </w:r>
            <w:r>
              <w:rPr>
                <w:rFonts w:hint="eastAsia" w:ascii="宋体" w:hAnsi="宋体" w:cs="宋体"/>
                <w:b w:val="0"/>
                <w:b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②提供小型企业生产的产品，给予8%的价格扣除，用扣除后的价格参与评审。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cs="宋体"/>
                <w:b w:val="0"/>
                <w:b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监狱企业：</w:t>
            </w:r>
            <w:r>
              <w:rPr>
                <w:rFonts w:hint="eastAsia" w:ascii="宋体" w:hAnsi="宋体" w:cs="宋体"/>
                <w:b w:val="0"/>
                <w:b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残疾人福利性单位：</w:t>
            </w:r>
            <w:r>
              <w:rPr>
                <w:rFonts w:hint="eastAsia" w:ascii="宋体" w:hAnsi="宋体" w:cs="宋体"/>
                <w:b w:val="0"/>
                <w:b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keepNext w:val="0"/>
              <w:keepLines w:val="0"/>
              <w:pageBreakBefore w:val="0"/>
              <w:widowControl/>
              <w:shd w:val="clear" w:color="auto" w:fill="FFFFFF"/>
              <w:kinsoku/>
              <w:wordWrap/>
              <w:overflowPunct/>
              <w:topLinePunct w:val="0"/>
              <w:autoSpaceDE/>
              <w:autoSpaceDN/>
              <w:bidi w:val="0"/>
              <w:adjustRightInd w:val="0"/>
              <w:snapToGrid w:val="0"/>
              <w:ind w:firstLine="422"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节能及环境标志产品：</w:t>
            </w:r>
            <w:r>
              <w:rPr>
                <w:rFonts w:hint="eastAsia" w:ascii="宋体" w:hAnsi="宋体" w:cs="宋体"/>
                <w:b w:val="0"/>
                <w:b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keepNext w:val="0"/>
              <w:keepLines w:val="0"/>
              <w:pageBreakBefore w:val="0"/>
              <w:widowControl/>
              <w:shd w:val="clear" w:color="auto" w:fill="FFFFFF"/>
              <w:kinsoku/>
              <w:wordWrap/>
              <w:overflowPunct/>
              <w:topLinePunct w:val="0"/>
              <w:autoSpaceDE/>
              <w:autoSpaceDN/>
              <w:bidi w:val="0"/>
              <w:adjustRightInd w:val="0"/>
              <w:snapToGrid w:val="0"/>
              <w:ind w:firstLine="420"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p>
            <w:pPr>
              <w:keepNext w:val="0"/>
              <w:keepLines w:val="0"/>
              <w:pageBreakBefore w:val="0"/>
              <w:widowControl/>
              <w:shd w:val="clear" w:color="auto" w:fill="FFFFFF"/>
              <w:kinsoku/>
              <w:wordWrap/>
              <w:overflowPunct/>
              <w:topLinePunct w:val="0"/>
              <w:autoSpaceDE/>
              <w:autoSpaceDN/>
              <w:bidi w:val="0"/>
              <w:adjustRightInd w:val="0"/>
              <w:snapToGrid w:val="0"/>
              <w:ind w:firstLine="422"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招标代理服务收费标准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中标金额</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100万以下</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100-500万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500-1000万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如本采购文件采购截止时间等与本项目新疆政府采购网采购公告截止时间不一致时，以本项目公告时间为准。</w:t>
            </w:r>
          </w:p>
        </w:tc>
      </w:tr>
    </w:tbl>
    <w:p>
      <w:pPr>
        <w:jc w:val="left"/>
        <w:rPr>
          <w:rFonts w:hint="eastAsia" w:ascii="宋体" w:hAnsi="宋体"/>
          <w:color w:val="auto"/>
          <w:sz w:val="24"/>
        </w:rPr>
      </w:pPr>
    </w:p>
    <w:p>
      <w:pPr>
        <w:jc w:val="left"/>
        <w:rPr>
          <w:rFonts w:hint="eastAsia" w:ascii="宋体" w:hAnsi="宋体"/>
          <w:color w:val="auto"/>
          <w:sz w:val="24"/>
        </w:rPr>
      </w:pPr>
    </w:p>
    <w:p>
      <w:pPr>
        <w:jc w:val="left"/>
        <w:rPr>
          <w:rFonts w:hint="eastAsia" w:ascii="宋体" w:hAnsi="宋体"/>
          <w:color w:val="auto"/>
          <w:sz w:val="24"/>
        </w:rPr>
      </w:pPr>
      <w:r>
        <w:rPr>
          <w:rFonts w:hint="eastAsia" w:ascii="宋体" w:hAnsi="宋体"/>
          <w:color w:val="auto"/>
          <w:sz w:val="24"/>
        </w:rPr>
        <w:t>一、总则</w:t>
      </w:r>
    </w:p>
    <w:p>
      <w:pPr>
        <w:jc w:val="left"/>
        <w:rPr>
          <w:rFonts w:hint="eastAsia" w:ascii="宋体" w:hAnsi="宋体"/>
          <w:color w:val="auto"/>
          <w:sz w:val="24"/>
        </w:rPr>
      </w:pPr>
      <w:bookmarkStart w:id="8" w:name="_Toc177825120"/>
      <w:bookmarkStart w:id="9" w:name="_Toc177870537"/>
      <w:bookmarkStart w:id="10" w:name="_Toc177824872"/>
      <w:bookmarkStart w:id="11" w:name="_Toc177824939"/>
      <w:r>
        <w:rPr>
          <w:rFonts w:hint="eastAsia" w:ascii="宋体" w:hAnsi="宋体"/>
          <w:color w:val="auto"/>
          <w:sz w:val="24"/>
        </w:rPr>
        <w:t>（一）适用范围</w:t>
      </w:r>
      <w:bookmarkEnd w:id="8"/>
      <w:bookmarkEnd w:id="9"/>
      <w:bookmarkEnd w:id="10"/>
      <w:bookmarkEnd w:id="11"/>
    </w:p>
    <w:p>
      <w:pPr>
        <w:jc w:val="left"/>
        <w:rPr>
          <w:rFonts w:hint="eastAsia" w:ascii="宋体" w:hAnsi="宋体"/>
          <w:color w:val="auto"/>
          <w:sz w:val="24"/>
        </w:rPr>
      </w:pPr>
      <w:r>
        <w:rPr>
          <w:rFonts w:hint="eastAsia" w:ascii="宋体" w:hAnsi="宋体"/>
          <w:color w:val="auto"/>
          <w:sz w:val="24"/>
        </w:rPr>
        <w:t>本次竞争性磋商文件适用于：</w:t>
      </w:r>
      <w:r>
        <w:rPr>
          <w:rFonts w:hint="eastAsia" w:ascii="宋体" w:hAnsi="宋体"/>
          <w:color w:val="auto"/>
          <w:sz w:val="24"/>
          <w:lang w:val="en-US" w:eastAsia="zh-CN"/>
        </w:rPr>
        <w:t>库车市大峡谷地质公园总体规划修编</w:t>
      </w:r>
      <w:r>
        <w:rPr>
          <w:rFonts w:hint="eastAsia" w:ascii="宋体" w:hAnsi="宋体"/>
          <w:color w:val="auto"/>
          <w:sz w:val="24"/>
        </w:rPr>
        <w:t>的招标、评标、定标、验收、合同履约、付款等（法律、法规另有规定的，从其规定）。</w:t>
      </w:r>
    </w:p>
    <w:p>
      <w:pPr>
        <w:jc w:val="left"/>
        <w:rPr>
          <w:rFonts w:hint="eastAsia" w:ascii="宋体" w:hAnsi="宋体"/>
          <w:color w:val="auto"/>
          <w:sz w:val="24"/>
        </w:rPr>
      </w:pPr>
      <w:bookmarkStart w:id="12" w:name="_Toc177824940"/>
      <w:bookmarkStart w:id="13" w:name="_Toc177824873"/>
      <w:bookmarkStart w:id="14" w:name="_Toc177870538"/>
      <w:bookmarkStart w:id="15" w:name="_Toc177825121"/>
      <w:r>
        <w:rPr>
          <w:rFonts w:hint="eastAsia" w:ascii="宋体" w:hAnsi="宋体"/>
          <w:color w:val="auto"/>
          <w:sz w:val="24"/>
        </w:rPr>
        <w:t>（二）定义</w:t>
      </w:r>
      <w:bookmarkEnd w:id="12"/>
      <w:bookmarkEnd w:id="13"/>
      <w:bookmarkEnd w:id="14"/>
      <w:bookmarkEnd w:id="15"/>
    </w:p>
    <w:p>
      <w:pPr>
        <w:jc w:val="left"/>
        <w:rPr>
          <w:rFonts w:hint="eastAsia" w:ascii="宋体" w:hAnsi="宋体"/>
          <w:color w:val="auto"/>
          <w:sz w:val="24"/>
        </w:rPr>
      </w:pPr>
      <w:r>
        <w:rPr>
          <w:rFonts w:hint="eastAsia" w:ascii="宋体" w:hAnsi="宋体"/>
          <w:color w:val="auto"/>
          <w:sz w:val="24"/>
        </w:rPr>
        <w:t>1.“投标人”系指向</w:t>
      </w:r>
      <w:r>
        <w:rPr>
          <w:rFonts w:hint="eastAsia" w:ascii="宋体" w:hAnsi="宋体"/>
          <w:color w:val="auto"/>
          <w:sz w:val="24"/>
          <w:lang w:eastAsia="zh-CN"/>
        </w:rPr>
        <w:t>招标人</w:t>
      </w:r>
      <w:r>
        <w:rPr>
          <w:rFonts w:hint="eastAsia" w:ascii="宋体" w:hAnsi="宋体"/>
          <w:color w:val="auto"/>
          <w:sz w:val="24"/>
        </w:rPr>
        <w:t>提交响应文件的单位。</w:t>
      </w:r>
    </w:p>
    <w:p>
      <w:pPr>
        <w:jc w:val="left"/>
        <w:rPr>
          <w:rFonts w:hint="eastAsia" w:ascii="宋体" w:hAnsi="宋体"/>
          <w:color w:val="auto"/>
          <w:sz w:val="24"/>
        </w:rPr>
      </w:pPr>
      <w:r>
        <w:rPr>
          <w:rFonts w:hint="eastAsia" w:ascii="宋体" w:hAnsi="宋体"/>
          <w:color w:val="auto"/>
          <w:sz w:val="24"/>
        </w:rPr>
        <w:t>2.“投标货物”系指供应商方按竞争性磋商文件规定，须向采购人提供的一切设备、保险、税金、备品备件、工具、手册及其它有关技术资料和代理服务等标的物。</w:t>
      </w:r>
    </w:p>
    <w:p>
      <w:pPr>
        <w:jc w:val="left"/>
        <w:rPr>
          <w:rFonts w:hint="eastAsia" w:ascii="宋体" w:hAnsi="宋体"/>
          <w:color w:val="auto"/>
          <w:sz w:val="24"/>
        </w:rPr>
      </w:pPr>
      <w:r>
        <w:rPr>
          <w:rFonts w:hint="eastAsia" w:ascii="宋体" w:hAnsi="宋体"/>
          <w:color w:val="auto"/>
          <w:sz w:val="24"/>
        </w:rPr>
        <w:t>6.“★”系指实质性要求条款。</w:t>
      </w:r>
    </w:p>
    <w:p>
      <w:pPr>
        <w:jc w:val="left"/>
        <w:rPr>
          <w:rFonts w:hint="eastAsia" w:ascii="宋体" w:hAnsi="宋体"/>
          <w:color w:val="auto"/>
          <w:sz w:val="24"/>
        </w:rPr>
      </w:pPr>
      <w:bookmarkStart w:id="16" w:name="_Toc177870539"/>
      <w:r>
        <w:rPr>
          <w:rFonts w:hint="eastAsia" w:ascii="宋体" w:hAnsi="宋体"/>
          <w:color w:val="auto"/>
          <w:sz w:val="24"/>
        </w:rPr>
        <w:t>（三）采购方式</w:t>
      </w:r>
      <w:bookmarkEnd w:id="16"/>
    </w:p>
    <w:p>
      <w:pPr>
        <w:jc w:val="left"/>
        <w:rPr>
          <w:rFonts w:hint="eastAsia" w:ascii="宋体" w:hAnsi="宋体"/>
          <w:color w:val="auto"/>
          <w:sz w:val="24"/>
        </w:rPr>
      </w:pPr>
      <w:r>
        <w:rPr>
          <w:rFonts w:hint="eastAsia" w:ascii="宋体" w:hAnsi="宋体"/>
          <w:color w:val="auto"/>
          <w:sz w:val="24"/>
        </w:rPr>
        <w:t>本项目采用竞争性磋商的方式进行。</w:t>
      </w:r>
    </w:p>
    <w:p>
      <w:pPr>
        <w:jc w:val="left"/>
        <w:rPr>
          <w:rFonts w:hint="eastAsia" w:ascii="宋体" w:hAnsi="宋体"/>
          <w:color w:val="auto"/>
          <w:sz w:val="24"/>
        </w:rPr>
      </w:pPr>
      <w:bookmarkStart w:id="17" w:name="_Toc177824874"/>
      <w:bookmarkStart w:id="18" w:name="_Toc177824941"/>
      <w:bookmarkStart w:id="19" w:name="_Toc177870540"/>
      <w:bookmarkStart w:id="20" w:name="_Toc177825122"/>
      <w:r>
        <w:rPr>
          <w:rFonts w:hint="eastAsia" w:ascii="宋体" w:hAnsi="宋体"/>
          <w:color w:val="auto"/>
          <w:sz w:val="24"/>
        </w:rPr>
        <w:t>（四）投标委托</w:t>
      </w:r>
      <w:bookmarkEnd w:id="17"/>
      <w:bookmarkEnd w:id="18"/>
      <w:bookmarkEnd w:id="19"/>
      <w:bookmarkEnd w:id="20"/>
    </w:p>
    <w:p>
      <w:pPr>
        <w:jc w:val="left"/>
        <w:rPr>
          <w:rFonts w:hint="eastAsia" w:ascii="宋体" w:hAnsi="宋体"/>
          <w:color w:val="auto"/>
          <w:sz w:val="24"/>
        </w:rPr>
      </w:pPr>
      <w:r>
        <w:rPr>
          <w:rFonts w:hint="eastAsia" w:ascii="宋体" w:hAnsi="宋体"/>
          <w:color w:val="auto"/>
          <w:sz w:val="24"/>
        </w:rPr>
        <w:t>投标人代表须携带居民身份证、法人代表证明书（或法定代表人出具的授权委托书）参加投标。</w:t>
      </w:r>
    </w:p>
    <w:p>
      <w:pPr>
        <w:jc w:val="left"/>
        <w:rPr>
          <w:rFonts w:hint="eastAsia" w:ascii="宋体" w:hAnsi="宋体"/>
          <w:color w:val="auto"/>
          <w:sz w:val="24"/>
        </w:rPr>
      </w:pPr>
      <w:bookmarkStart w:id="21" w:name="_Toc177824875"/>
      <w:bookmarkStart w:id="22" w:name="_Toc177825123"/>
      <w:bookmarkStart w:id="23" w:name="_Toc177870541"/>
      <w:bookmarkStart w:id="24" w:name="_Toc177824942"/>
      <w:r>
        <w:rPr>
          <w:rFonts w:hint="eastAsia" w:ascii="宋体" w:hAnsi="宋体"/>
          <w:color w:val="auto"/>
          <w:sz w:val="24"/>
        </w:rPr>
        <w:t>（五）投标费用</w:t>
      </w:r>
      <w:bookmarkEnd w:id="21"/>
      <w:bookmarkEnd w:id="22"/>
      <w:bookmarkEnd w:id="23"/>
      <w:bookmarkEnd w:id="24"/>
    </w:p>
    <w:p>
      <w:pPr>
        <w:jc w:val="left"/>
        <w:rPr>
          <w:rFonts w:hint="eastAsia" w:ascii="宋体" w:hAnsi="宋体"/>
          <w:color w:val="auto"/>
          <w:sz w:val="24"/>
        </w:rPr>
      </w:pPr>
      <w:r>
        <w:rPr>
          <w:rFonts w:hint="eastAsia" w:ascii="宋体" w:hAnsi="宋体"/>
          <w:color w:val="auto"/>
          <w:sz w:val="24"/>
        </w:rPr>
        <w:t>不论投标结果如何，投标人均应自行承担所有与投标有关的全部费用。</w:t>
      </w:r>
    </w:p>
    <w:p>
      <w:pPr>
        <w:jc w:val="left"/>
        <w:rPr>
          <w:rFonts w:hint="eastAsia" w:ascii="宋体" w:hAnsi="宋体"/>
          <w:color w:val="auto"/>
          <w:sz w:val="24"/>
        </w:rPr>
      </w:pPr>
      <w:r>
        <w:rPr>
          <w:rFonts w:hint="eastAsia" w:ascii="宋体" w:hAnsi="宋体"/>
          <w:color w:val="auto"/>
          <w:sz w:val="24"/>
        </w:rPr>
        <w:t>（六）联合体投标、转包及分包</w:t>
      </w:r>
    </w:p>
    <w:p>
      <w:pPr>
        <w:jc w:val="left"/>
        <w:rPr>
          <w:rFonts w:hint="eastAsia" w:ascii="宋体" w:hAnsi="宋体"/>
          <w:color w:val="auto"/>
          <w:sz w:val="24"/>
        </w:rPr>
      </w:pPr>
      <w:r>
        <w:rPr>
          <w:rFonts w:hint="eastAsia" w:ascii="宋体" w:hAnsi="宋体"/>
          <w:color w:val="auto"/>
          <w:sz w:val="24"/>
        </w:rPr>
        <w:t>本项目不接受联合体投标。本项目不允许转包或分包。</w:t>
      </w:r>
    </w:p>
    <w:p>
      <w:pPr>
        <w:jc w:val="left"/>
        <w:rPr>
          <w:rFonts w:hint="eastAsia" w:ascii="宋体" w:hAnsi="宋体"/>
          <w:color w:val="auto"/>
          <w:sz w:val="24"/>
        </w:rPr>
      </w:pPr>
      <w:r>
        <w:rPr>
          <w:rFonts w:hint="eastAsia" w:ascii="宋体" w:hAnsi="宋体"/>
          <w:color w:val="auto"/>
          <w:sz w:val="24"/>
        </w:rPr>
        <w:t>（七）特别说明：</w:t>
      </w:r>
    </w:p>
    <w:p>
      <w:pPr>
        <w:jc w:val="left"/>
        <w:rPr>
          <w:rFonts w:hint="eastAsia" w:ascii="宋体" w:hAnsi="宋体"/>
          <w:color w:val="auto"/>
          <w:sz w:val="24"/>
        </w:rPr>
      </w:pPr>
      <w:r>
        <w:rPr>
          <w:rFonts w:hint="eastAsia" w:ascii="宋体" w:hAnsi="宋体"/>
          <w:color w:val="auto"/>
          <w:sz w:val="24"/>
        </w:rPr>
        <w:t>★1.投标人投标所使用的资格、信誉、荣誉、业绩与企业认证必须为本企业所拥有。投标人投标所使用的采购项目实施人员可以为其控股公司的工作人员。</w:t>
      </w:r>
    </w:p>
    <w:p>
      <w:pPr>
        <w:jc w:val="left"/>
        <w:rPr>
          <w:rFonts w:hint="eastAsia" w:ascii="宋体" w:hAnsi="宋体"/>
          <w:color w:val="auto"/>
          <w:sz w:val="24"/>
        </w:rPr>
      </w:pPr>
      <w:r>
        <w:rPr>
          <w:rFonts w:hint="eastAsia" w:ascii="宋体" w:hAnsi="宋体"/>
          <w:color w:val="auto"/>
          <w:sz w:val="24"/>
        </w:rPr>
        <w:t>★2.投标人在投标活动中提供任何虚假材料或从事其他违法活动的,其投标无效，并报监管部门查处、中标后发现的,中标人须依照《中华人民共和国消费者权益保护法》第49条之规定执行，且民事赔偿并不免除违法投标人的行政与刑事责任。</w:t>
      </w:r>
    </w:p>
    <w:p>
      <w:pPr>
        <w:jc w:val="left"/>
        <w:rPr>
          <w:rFonts w:hint="eastAsia" w:ascii="宋体" w:hAnsi="宋体"/>
          <w:color w:val="auto"/>
          <w:sz w:val="24"/>
        </w:rPr>
      </w:pPr>
      <w:r>
        <w:rPr>
          <w:rFonts w:hint="eastAsia" w:ascii="宋体" w:hAnsi="宋体"/>
          <w:color w:val="auto"/>
          <w:sz w:val="24"/>
        </w:rPr>
        <w:t>★3.投标人应仔细阅读竞争性磋商文件的所有内容，按照竞争性磋商文件的要求提交响应文件，响应文件应对竞争性磋商文件的要求作出实质性响应，并对所提供的全部资料的真实性承担法律责任。</w:t>
      </w:r>
    </w:p>
    <w:p>
      <w:pPr>
        <w:jc w:val="left"/>
        <w:rPr>
          <w:rFonts w:hint="eastAsia" w:ascii="宋体" w:hAnsi="宋体"/>
          <w:color w:val="auto"/>
          <w:sz w:val="24"/>
        </w:rPr>
      </w:pPr>
    </w:p>
    <w:bookmarkEnd w:id="5"/>
    <w:p>
      <w:pPr>
        <w:pStyle w:val="16"/>
        <w:spacing w:line="276" w:lineRule="auto"/>
        <w:jc w:val="center"/>
        <w:rPr>
          <w:rFonts w:hAnsi="宋体"/>
          <w:b/>
          <w:bCs/>
          <w:color w:val="auto"/>
          <w:sz w:val="30"/>
          <w:szCs w:val="30"/>
        </w:rPr>
      </w:pPr>
    </w:p>
    <w:p>
      <w:pPr>
        <w:pStyle w:val="16"/>
        <w:spacing w:line="276" w:lineRule="auto"/>
        <w:jc w:val="center"/>
        <w:outlineLvl w:val="0"/>
        <w:rPr>
          <w:rFonts w:hAnsi="宋体"/>
          <w:b/>
          <w:bCs/>
          <w:color w:val="auto"/>
          <w:sz w:val="48"/>
          <w:szCs w:val="48"/>
        </w:rPr>
      </w:pPr>
      <w:bookmarkStart w:id="25" w:name="_Toc4798"/>
      <w:r>
        <w:rPr>
          <w:rFonts w:hAnsi="宋体"/>
          <w:b/>
          <w:bCs/>
          <w:color w:val="auto"/>
          <w:sz w:val="48"/>
          <w:szCs w:val="48"/>
        </w:rPr>
        <w:t>第三章</w:t>
      </w:r>
      <w:r>
        <w:rPr>
          <w:rFonts w:hint="eastAsia" w:hAnsi="宋体"/>
          <w:b/>
          <w:bCs/>
          <w:color w:val="auto"/>
          <w:sz w:val="48"/>
          <w:szCs w:val="48"/>
        </w:rPr>
        <w:t xml:space="preserve">  政府采购合同</w:t>
      </w:r>
      <w:bookmarkEnd w:id="25"/>
    </w:p>
    <w:p>
      <w:pPr>
        <w:spacing w:line="480" w:lineRule="auto"/>
        <w:ind w:firstLine="562" w:firstLineChars="200"/>
        <w:jc w:val="left"/>
        <w:outlineLvl w:val="9"/>
        <w:rPr>
          <w:rFonts w:hint="eastAsia" w:ascii="宋体" w:hAnsi="宋体" w:eastAsia="宋体" w:cs="宋体"/>
          <w:color w:val="auto"/>
          <w:sz w:val="28"/>
          <w:szCs w:val="28"/>
        </w:rPr>
      </w:pPr>
      <w:bookmarkStart w:id="26" w:name="_Toc24004"/>
      <w:r>
        <w:rPr>
          <w:rFonts w:hint="eastAsia" w:ascii="宋体" w:hAnsi="宋体" w:eastAsia="宋体" w:cs="宋体"/>
          <w:b/>
          <w:color w:val="auto"/>
          <w:sz w:val="28"/>
          <w:szCs w:val="28"/>
        </w:rPr>
        <w:t>（一）签发中标通知书。</w:t>
      </w:r>
      <w:r>
        <w:rPr>
          <w:rFonts w:hint="eastAsia" w:ascii="宋体" w:hAnsi="宋体" w:eastAsia="宋体" w:cs="宋体"/>
          <w:color w:val="auto"/>
          <w:sz w:val="28"/>
          <w:szCs w:val="28"/>
        </w:rPr>
        <w:t>确定成交供应商后，采购业务代理机构在三日内向成交供应商发出成交通知书，经</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盖章,对成交结果予以确认。</w:t>
      </w:r>
    </w:p>
    <w:p>
      <w:pPr>
        <w:wordWrap w:val="0"/>
        <w:spacing w:before="100" w:beforeAutospacing="1" w:after="100" w:afterAutospacing="1" w:line="360" w:lineRule="auto"/>
        <w:ind w:left="180" w:firstLine="281" w:firstLineChars="100"/>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（二）签订合同</w:t>
      </w:r>
      <w:r>
        <w:rPr>
          <w:rFonts w:hint="eastAsia" w:ascii="宋体" w:hAnsi="宋体" w:eastAsia="宋体" w:cs="宋体"/>
          <w:color w:val="auto"/>
          <w:sz w:val="28"/>
          <w:szCs w:val="28"/>
        </w:rPr>
        <w:t>。确定成交供应商后，采购人和成交供应商应当在中标通知书发出之后，及时书面签订政府采购合同。合同由采购人（甲方）、成交供应商（乙方）双方</w:t>
      </w:r>
      <w:r>
        <w:rPr>
          <w:rFonts w:hint="eastAsia" w:ascii="宋体" w:hAnsi="宋体" w:eastAsia="宋体" w:cs="宋体"/>
          <w:color w:val="auto"/>
          <w:sz w:val="28"/>
          <w:szCs w:val="28"/>
          <w:lang w:val="en-US" w:eastAsia="zh-CN"/>
        </w:rPr>
        <w:t>共同</w:t>
      </w:r>
      <w:r>
        <w:rPr>
          <w:rFonts w:hint="eastAsia" w:ascii="宋体" w:hAnsi="宋体" w:eastAsia="宋体" w:cs="宋体"/>
          <w:color w:val="auto"/>
          <w:sz w:val="28"/>
          <w:szCs w:val="28"/>
        </w:rPr>
        <w:t>签订。</w:t>
      </w:r>
    </w:p>
    <w:p>
      <w:pPr>
        <w:pStyle w:val="136"/>
        <w:widowControl/>
        <w:wordWrap w:val="0"/>
        <w:spacing w:before="100" w:beforeAutospacing="1" w:after="100" w:afterAutospacing="1"/>
        <w:ind w:left="420" w:firstLine="0" w:firstLineChars="0"/>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（三）合同主要条款</w:t>
      </w:r>
    </w:p>
    <w:p>
      <w:pPr>
        <w:spacing w:line="440" w:lineRule="exact"/>
        <w:ind w:firstLine="643" w:firstLineChars="200"/>
        <w:jc w:val="center"/>
        <w:rPr>
          <w:rFonts w:hint="eastAsia" w:hAnsi="宋体" w:cs="宋体"/>
          <w:b/>
          <w:bCs/>
          <w:color w:val="auto"/>
          <w:sz w:val="32"/>
          <w:szCs w:val="22"/>
          <w:highlight w:val="none"/>
        </w:rPr>
      </w:pPr>
    </w:p>
    <w:p>
      <w:pPr>
        <w:spacing w:line="440" w:lineRule="exact"/>
        <w:ind w:firstLine="643" w:firstLineChars="200"/>
        <w:jc w:val="center"/>
        <w:rPr>
          <w:rFonts w:hint="eastAsia" w:hAnsi="宋体" w:cs="宋体"/>
          <w:b/>
          <w:bCs/>
          <w:color w:val="auto"/>
          <w:sz w:val="32"/>
          <w:szCs w:val="22"/>
          <w:highlight w:val="none"/>
        </w:rPr>
      </w:pPr>
      <w:r>
        <w:rPr>
          <w:rFonts w:hint="eastAsia" w:hAnsi="宋体" w:cs="宋体"/>
          <w:b/>
          <w:bCs/>
          <w:color w:val="auto"/>
          <w:sz w:val="32"/>
          <w:szCs w:val="22"/>
          <w:highlight w:val="none"/>
        </w:rPr>
        <w:t>技术服务合同</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委托人（全称）：</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 xml:space="preserve">（简称甲方） </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受托人（全称）：</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（简称乙方）</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本合同甲方委托乙方进行</w:t>
      </w:r>
      <w:r>
        <w:rPr>
          <w:rFonts w:hint="eastAsia" w:hAnsi="宋体" w:cs="宋体"/>
          <w:color w:val="auto"/>
          <w:sz w:val="24"/>
          <w:highlight w:val="none"/>
          <w:u w:val="single"/>
          <w:lang w:val="en-US" w:eastAsia="zh-CN"/>
        </w:rPr>
        <w:t xml:space="preserve">                               （项目名称）</w:t>
      </w:r>
      <w:r>
        <w:rPr>
          <w:rFonts w:hint="eastAsia" w:hAnsi="宋体" w:cs="宋体"/>
          <w:color w:val="auto"/>
          <w:sz w:val="24"/>
          <w:highlight w:val="none"/>
        </w:rPr>
        <w:t xml:space="preserve">招标的技术服务工作。依照《中华人民共和国合同法》及其他有关法律、行政法规，遵循平等、自愿、公平和诚实信用的原则，现达成如下协议： </w:t>
      </w:r>
    </w:p>
    <w:p>
      <w:pPr>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第一条、甲方委托乙方进行技术服务的内容如下：</w:t>
      </w:r>
    </w:p>
    <w:p>
      <w:pPr>
        <w:spacing w:line="440" w:lineRule="exact"/>
        <w:ind w:firstLine="480" w:firstLineChars="200"/>
        <w:rPr>
          <w:rFonts w:hint="default" w:hAnsi="宋体" w:cs="宋体" w:eastAsiaTheme="minorEastAsia"/>
          <w:color w:val="auto"/>
          <w:sz w:val="24"/>
          <w:highlight w:val="none"/>
          <w:u w:val="single"/>
          <w:lang w:val="en-US" w:eastAsia="zh-CN"/>
        </w:rPr>
      </w:pPr>
      <w:r>
        <w:rPr>
          <w:rFonts w:hint="eastAsia" w:hAnsi="宋体" w:cs="宋体"/>
          <w:color w:val="auto"/>
          <w:sz w:val="24"/>
          <w:highlight w:val="none"/>
        </w:rPr>
        <w:t>1.</w:t>
      </w:r>
      <w:r>
        <w:rPr>
          <w:rFonts w:hAnsi="宋体" w:cs="宋体"/>
          <w:color w:val="auto"/>
          <w:sz w:val="24"/>
          <w:highlight w:val="none"/>
        </w:rPr>
        <w:t xml:space="preserve"> </w:t>
      </w:r>
      <w:r>
        <w:rPr>
          <w:rFonts w:hint="eastAsia" w:hAnsi="宋体" w:cs="宋体"/>
          <w:color w:val="auto"/>
          <w:sz w:val="24"/>
          <w:highlight w:val="none"/>
        </w:rPr>
        <w:t>技术服务的目标：</w:t>
      </w:r>
      <w:r>
        <w:rPr>
          <w:rFonts w:hint="eastAsia" w:hAnsi="宋体" w:cs="宋体"/>
          <w:color w:val="auto"/>
          <w:sz w:val="24"/>
          <w:highlight w:val="none"/>
          <w:u w:val="single"/>
          <w:lang w:val="en-US" w:eastAsia="zh-CN"/>
        </w:rPr>
        <w:t xml:space="preserve">                          。</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技术服务的内容：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3.</w:t>
      </w:r>
      <w:r>
        <w:rPr>
          <w:rFonts w:hAnsi="宋体" w:cs="宋体"/>
          <w:color w:val="auto"/>
          <w:sz w:val="24"/>
          <w:highlight w:val="none"/>
        </w:rPr>
        <w:t xml:space="preserve"> </w:t>
      </w:r>
      <w:r>
        <w:rPr>
          <w:rFonts w:hint="eastAsia" w:hAnsi="宋体" w:cs="宋体"/>
          <w:color w:val="auto"/>
          <w:sz w:val="24"/>
          <w:highlight w:val="none"/>
        </w:rPr>
        <w:t>技术服务的方式：</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第二条、乙方应按下列要求完成技术服务工作：</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Ansi="宋体" w:cs="宋体"/>
          <w:color w:val="auto"/>
          <w:sz w:val="24"/>
          <w:highlight w:val="none"/>
        </w:rPr>
        <w:t xml:space="preserve"> </w:t>
      </w:r>
      <w:r>
        <w:rPr>
          <w:rFonts w:hint="eastAsia" w:hAnsi="宋体" w:cs="宋体"/>
          <w:color w:val="auto"/>
          <w:sz w:val="24"/>
          <w:highlight w:val="none"/>
        </w:rPr>
        <w:t>技术服务地点：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技术服务期限：</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w:t>
      </w:r>
      <w:r>
        <w:rPr>
          <w:rFonts w:hAnsi="宋体" w:cs="宋体"/>
          <w:color w:val="auto"/>
          <w:sz w:val="24"/>
          <w:highlight w:val="none"/>
        </w:rPr>
        <w:t xml:space="preserve"> </w:t>
      </w:r>
      <w:r>
        <w:rPr>
          <w:rFonts w:hint="eastAsia" w:hAnsi="宋体" w:cs="宋体"/>
          <w:color w:val="auto"/>
          <w:sz w:val="24"/>
          <w:highlight w:val="none"/>
        </w:rPr>
        <w:t>技术服务进度：</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4.</w:t>
      </w:r>
      <w:r>
        <w:rPr>
          <w:rFonts w:hAnsi="宋体" w:cs="宋体"/>
          <w:color w:val="auto"/>
          <w:sz w:val="24"/>
          <w:highlight w:val="none"/>
        </w:rPr>
        <w:t xml:space="preserve"> </w:t>
      </w:r>
      <w:r>
        <w:rPr>
          <w:rFonts w:hint="eastAsia" w:hAnsi="宋体" w:cs="宋体"/>
          <w:color w:val="auto"/>
          <w:sz w:val="24"/>
          <w:highlight w:val="none"/>
        </w:rPr>
        <w:t>技术服务质量要求：</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5.</w:t>
      </w:r>
      <w:r>
        <w:rPr>
          <w:rFonts w:hAnsi="宋体" w:cs="宋体"/>
          <w:color w:val="auto"/>
          <w:sz w:val="24"/>
          <w:highlight w:val="none"/>
        </w:rPr>
        <w:t xml:space="preserve"> </w:t>
      </w:r>
      <w:r>
        <w:rPr>
          <w:rFonts w:hint="eastAsia" w:hAnsi="宋体" w:cs="宋体"/>
          <w:color w:val="auto"/>
          <w:sz w:val="24"/>
          <w:highlight w:val="none"/>
        </w:rPr>
        <w:t>技术服务质量期限求：</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6.</w:t>
      </w:r>
      <w:r>
        <w:rPr>
          <w:rFonts w:hAnsi="宋体" w:cs="宋体"/>
          <w:color w:val="auto"/>
          <w:sz w:val="24"/>
          <w:highlight w:val="none"/>
        </w:rPr>
        <w:t xml:space="preserve"> </w:t>
      </w:r>
      <w:r>
        <w:rPr>
          <w:rFonts w:hint="eastAsia" w:hAnsi="宋体" w:cs="宋体"/>
          <w:color w:val="auto"/>
          <w:sz w:val="24"/>
          <w:highlight w:val="none"/>
        </w:rPr>
        <w:t>技术服务成果的提交要求：</w:t>
      </w:r>
      <w:r>
        <w:rPr>
          <w:rFonts w:hint="eastAsia" w:hAnsi="宋体" w:cs="宋体"/>
          <w:b/>
          <w:bCs/>
          <w:color w:val="auto"/>
          <w:sz w:val="24"/>
          <w:highlight w:val="none"/>
          <w:u w:val="single"/>
        </w:rPr>
        <w:t>见服务要求。</w:t>
      </w:r>
    </w:p>
    <w:p>
      <w:pPr>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第三条、为保证乙方有效进行技术服务工作，甲方应当向乙方提供下列工作条件和协作事项：</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1.提供技术资料：</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2.提供工作条件：</w:t>
      </w:r>
      <w:r>
        <w:rPr>
          <w:rFonts w:hint="eastAsia" w:hAnsi="宋体" w:cs="宋体"/>
          <w:color w:val="auto"/>
          <w:sz w:val="24"/>
          <w:highlight w:val="none"/>
          <w:u w:val="single"/>
        </w:rPr>
        <w:t>由乙方自行解决。</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3.甲方提供上述工作条件和协作事项的时间及方式：</w:t>
      </w:r>
      <w:r>
        <w:rPr>
          <w:rFonts w:hint="eastAsia" w:hAnsi="宋体" w:cs="宋体"/>
          <w:color w:val="auto"/>
          <w:sz w:val="24"/>
          <w:highlight w:val="none"/>
          <w:u w:val="single"/>
        </w:rPr>
        <w:t>合同签订后即开始电话、传真联系。</w:t>
      </w:r>
    </w:p>
    <w:p>
      <w:pPr>
        <w:spacing w:line="440" w:lineRule="exact"/>
        <w:ind w:firstLine="482" w:firstLineChars="200"/>
        <w:rPr>
          <w:rFonts w:hAnsi="宋体" w:cs="宋体"/>
          <w:color w:val="auto"/>
          <w:sz w:val="24"/>
          <w:highlight w:val="none"/>
        </w:rPr>
      </w:pPr>
      <w:r>
        <w:rPr>
          <w:rFonts w:hint="eastAsia" w:hAnsi="宋体" w:cs="宋体"/>
          <w:b/>
          <w:bCs/>
          <w:color w:val="auto"/>
          <w:sz w:val="24"/>
          <w:highlight w:val="none"/>
        </w:rPr>
        <w:t>第四条、甲方向乙方支付技术服务报酬及支付方式为</w:t>
      </w:r>
      <w:r>
        <w:rPr>
          <w:rFonts w:hint="eastAsia" w:hAnsi="宋体" w:cs="宋体"/>
          <w:color w:val="auto"/>
          <w:sz w:val="24"/>
          <w:highlight w:val="non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1．技术服务费总额为：</w:t>
      </w:r>
      <w:r>
        <w:rPr>
          <w:rFonts w:hint="eastAsia" w:hAnsi="宋体" w:cs="宋体"/>
          <w:color w:val="auto"/>
          <w:sz w:val="24"/>
          <w:highlight w:val="none"/>
          <w:u w:val="single"/>
        </w:rPr>
        <w:t>元人民币</w:t>
      </w:r>
      <w:r>
        <w:rPr>
          <w:rFonts w:hint="eastAsia" w:hAnsi="宋体" w:cs="宋体"/>
          <w:color w:val="auto"/>
          <w:sz w:val="24"/>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2．技术服务费的支付方式：</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第五条、双方确定因履行本合同应遵守的保密义务如下：</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甲方：</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1.保密内容：与本项目有关的所有技术资料及研究成果；</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2.涉密人员范围：</w:t>
      </w:r>
      <w:r>
        <w:rPr>
          <w:rFonts w:hint="eastAsia" w:hAnsi="宋体" w:cs="宋体"/>
          <w:color w:val="auto"/>
          <w:sz w:val="24"/>
          <w:highlight w:val="none"/>
          <w:u w:val="single"/>
        </w:rPr>
        <w:t>与本项目相关人员；</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3.保密期限：</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4.泄密责任：</w:t>
      </w:r>
      <w:r>
        <w:rPr>
          <w:rFonts w:hint="eastAsia" w:hAnsi="宋体" w:cs="宋体"/>
          <w:color w:val="auto"/>
          <w:sz w:val="24"/>
          <w:highlight w:val="none"/>
          <w:u w:val="single"/>
        </w:rPr>
        <w:t>按照有关规定追究相关责任。</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乙方：</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1.保密内容：</w:t>
      </w:r>
      <w:r>
        <w:rPr>
          <w:rFonts w:hint="eastAsia" w:hAnsi="宋体" w:cs="宋体"/>
          <w:color w:val="auto"/>
          <w:sz w:val="24"/>
          <w:highlight w:val="none"/>
          <w:u w:val="single"/>
        </w:rPr>
        <w:t>甲方提供的全部资料以及乙方提交的所有研究成果均属保密内容；</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2.涉密人员范围：</w:t>
      </w:r>
      <w:r>
        <w:rPr>
          <w:rFonts w:hint="eastAsia" w:hAnsi="宋体" w:cs="宋体"/>
          <w:color w:val="auto"/>
          <w:sz w:val="24"/>
          <w:highlight w:val="none"/>
          <w:u w:val="single"/>
        </w:rPr>
        <w:t>项目负责人、主要参加人员以及报告书的审核、批准人；</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3.保密期限：</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4.泄密责任：</w:t>
      </w:r>
      <w:r>
        <w:rPr>
          <w:rFonts w:hint="eastAsia" w:hAnsi="宋体" w:cs="宋体"/>
          <w:color w:val="auto"/>
          <w:sz w:val="24"/>
          <w:highlight w:val="none"/>
          <w:u w:val="single"/>
        </w:rPr>
        <w:t>承担行政与法律责任。</w:t>
      </w:r>
    </w:p>
    <w:p>
      <w:pPr>
        <w:spacing w:line="440" w:lineRule="exact"/>
        <w:ind w:firstLine="482" w:firstLineChars="200"/>
        <w:rPr>
          <w:rFonts w:hAnsi="宋体" w:cs="宋体"/>
          <w:b/>
          <w:bCs/>
          <w:color w:val="auto"/>
          <w:sz w:val="24"/>
          <w:highlight w:val="none"/>
        </w:rPr>
      </w:pPr>
      <w:r>
        <w:rPr>
          <w:rFonts w:hint="eastAsia" w:hAnsi="宋体" w:cs="宋体"/>
          <w:b/>
          <w:bCs/>
          <w:color w:val="auto"/>
          <w:sz w:val="24"/>
          <w:highlight w:val="none"/>
        </w:rPr>
        <w:t>第六条、本合同的变更必须由双方协商一致，并以书面形式确定。</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但有下列情形之一的，一方可以向另一方提出变更合同权利与义务的请求，另一方应当在3日内予以答复，逾期未予答复的，视为同意：</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项目条件有重大变更</w:t>
      </w:r>
      <w:r>
        <w:rPr>
          <w:rFonts w:hint="eastAsia" w:hAnsi="宋体" w:cs="宋体"/>
          <w:color w:val="auto"/>
          <w:sz w:val="24"/>
          <w:highlight w:val="none"/>
        </w:rPr>
        <w:t>；</w:t>
      </w:r>
    </w:p>
    <w:p>
      <w:pPr>
        <w:spacing w:line="440" w:lineRule="exact"/>
        <w:ind w:firstLine="480" w:firstLineChars="200"/>
        <w:rPr>
          <w:rFonts w:hAnsi="宋体" w:cs="宋体"/>
          <w:color w:val="auto"/>
          <w:sz w:val="24"/>
          <w:highlight w:val="none"/>
        </w:rPr>
      </w:pPr>
      <w:r>
        <w:rPr>
          <w:rFonts w:hint="eastAsia" w:hAnsi="宋体" w:cs="宋体"/>
          <w:color w:val="auto"/>
          <w:sz w:val="24"/>
          <w:highlight w:val="none"/>
        </w:rPr>
        <w:t>第七条、双方确定以下列标准和方式对乙方的技术服务工作成果进行验收：</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1．乙方完成技术服务工作的形式：以书面形式向甲方提交项目报告；</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2.技术服务工作成果的验收标准：</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3.技术服务工作成果的验收方法：</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4.验收的时间和地点：</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Ansi="宋体" w:cs="宋体"/>
          <w:color w:val="auto"/>
          <w:sz w:val="24"/>
          <w:highlight w:val="none"/>
          <w:u w:val="single"/>
        </w:rPr>
      </w:pPr>
      <w:r>
        <w:rPr>
          <w:rFonts w:hint="eastAsia" w:hAnsi="宋体" w:cs="宋体"/>
          <w:color w:val="auto"/>
          <w:sz w:val="24"/>
          <w:highlight w:val="none"/>
        </w:rPr>
        <w:t>5.技术服务工作成果的提交</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第八条、甲、乙双方的权利和义务：</w:t>
      </w:r>
    </w:p>
    <w:p>
      <w:pPr>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0" w:firstLineChars="200"/>
        <w:rPr>
          <w:rFonts w:hAnsi="宋体" w:cs="宋体"/>
          <w:color w:val="auto"/>
          <w:sz w:val="24"/>
          <w:highlight w:val="none"/>
          <w:u w:val="single"/>
        </w:rPr>
      </w:pPr>
      <w:r>
        <w:rPr>
          <w:rFonts w:hint="eastAsia" w:hAnsi="宋体" w:cs="宋体"/>
          <w:color w:val="auto"/>
          <w:sz w:val="24"/>
          <w:highlight w:val="none"/>
        </w:rPr>
        <w:t>2．</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hAnsi="宋体" w:cs="宋体"/>
          <w:color w:val="auto"/>
          <w:sz w:val="24"/>
          <w:highlight w:val="none"/>
          <w:u w:val="single"/>
        </w:rPr>
        <w:t>。</w:t>
      </w:r>
    </w:p>
    <w:p>
      <w:pPr>
        <w:spacing w:line="440" w:lineRule="exact"/>
        <w:ind w:firstLine="482" w:firstLineChars="200"/>
        <w:rPr>
          <w:rFonts w:hAnsi="宋体" w:cs="宋体"/>
          <w:color w:val="auto"/>
          <w:sz w:val="24"/>
          <w:highlight w:val="none"/>
        </w:rPr>
      </w:pPr>
      <w:r>
        <w:rPr>
          <w:rFonts w:hint="eastAsia" w:hAnsi="宋体" w:cs="宋体"/>
          <w:b/>
          <w:bCs/>
          <w:color w:val="auto"/>
          <w:sz w:val="24"/>
          <w:highlight w:val="none"/>
        </w:rPr>
        <w:t>第九条、双方确定，按以下约定承担各自的违约责任</w:t>
      </w:r>
      <w:r>
        <w:rPr>
          <w:rFonts w:hint="eastAsia" w:hAnsi="宋体" w:cs="宋体"/>
          <w:color w:val="auto"/>
          <w:sz w:val="24"/>
          <w:highlight w:val="none"/>
        </w:rPr>
        <w:t>：</w:t>
      </w:r>
    </w:p>
    <w:p>
      <w:pPr>
        <w:spacing w:line="440" w:lineRule="exact"/>
        <w:ind w:firstLine="480" w:firstLineChars="200"/>
        <w:rPr>
          <w:rFonts w:hint="eastAsia" w:hAnsi="宋体" w:cs="宋体"/>
          <w:color w:val="auto"/>
          <w:sz w:val="24"/>
          <w:highlight w:val="none"/>
          <w:u w:val="single"/>
        </w:rPr>
      </w:pPr>
      <w:r>
        <w:rPr>
          <w:rFonts w:hint="eastAsia" w:hAnsi="宋体" w:cs="宋体"/>
          <w:color w:val="auto"/>
          <w:sz w:val="24"/>
          <w:highlight w:val="none"/>
          <w:u w:val="single"/>
        </w:rPr>
        <w:t>1.由于甲方违反本合同第三条第1款约定，甲方如果延期提供资料，乙方提交成果的时间也应相应延后。</w:t>
      </w:r>
    </w:p>
    <w:p>
      <w:pPr>
        <w:spacing w:line="440" w:lineRule="exact"/>
        <w:ind w:firstLine="480" w:firstLineChars="200"/>
        <w:rPr>
          <w:rFonts w:hAnsi="宋体" w:cs="宋体"/>
          <w:color w:val="auto"/>
          <w:sz w:val="24"/>
          <w:highlight w:val="none"/>
          <w:u w:val="single"/>
        </w:rPr>
      </w:pPr>
      <w:r>
        <w:rPr>
          <w:rFonts w:hint="eastAsia" w:hAnsi="宋体" w:cs="宋体"/>
          <w:color w:val="auto"/>
          <w:sz w:val="24"/>
          <w:highlight w:val="none"/>
          <w:u w:val="single"/>
        </w:rPr>
        <w:t>2.由于乙方原因，乙方违反本合同第二条约定，乙方应当承担违约责任并支付2‰的违约金。</w:t>
      </w:r>
    </w:p>
    <w:p>
      <w:pPr>
        <w:spacing w:line="440" w:lineRule="exact"/>
        <w:ind w:firstLine="482" w:firstLineChars="200"/>
        <w:rPr>
          <w:rFonts w:hAnsi="宋体" w:cs="宋体"/>
          <w:color w:val="auto"/>
          <w:sz w:val="24"/>
          <w:highlight w:val="none"/>
          <w:u w:val="single"/>
        </w:rPr>
      </w:pPr>
      <w:r>
        <w:rPr>
          <w:rFonts w:hint="eastAsia" w:hAnsi="宋体" w:cs="宋体"/>
          <w:b/>
          <w:bCs/>
          <w:color w:val="auto"/>
          <w:sz w:val="24"/>
          <w:highlight w:val="none"/>
          <w:u w:val="single"/>
        </w:rPr>
        <w:t>第十条、双方确定，在本合同有效期内，</w:t>
      </w:r>
    </w:p>
    <w:p>
      <w:pPr>
        <w:spacing w:line="440" w:lineRule="exact"/>
        <w:ind w:firstLine="480" w:firstLineChars="200"/>
        <w:rPr>
          <w:rFonts w:hint="eastAsia" w:hAnsi="宋体" w:cs="宋体"/>
          <w:color w:val="auto"/>
          <w:sz w:val="24"/>
          <w:highlight w:val="none"/>
          <w:u w:val="single"/>
        </w:rPr>
      </w:pPr>
      <w:r>
        <w:rPr>
          <w:rFonts w:hint="eastAsia" w:hAnsi="宋体" w:cs="宋体"/>
          <w:color w:val="auto"/>
          <w:sz w:val="24"/>
          <w:highlight w:val="none"/>
          <w:u w:val="single"/>
        </w:rPr>
        <w:t xml:space="preserve">甲方指定 </w:t>
      </w:r>
      <w:r>
        <w:rPr>
          <w:rFonts w:hAnsi="宋体" w:cs="宋体"/>
          <w:color w:val="auto"/>
          <w:sz w:val="24"/>
          <w:highlight w:val="none"/>
          <w:u w:val="single"/>
        </w:rPr>
        <w:t xml:space="preserve">   </w:t>
      </w:r>
      <w:r>
        <w:rPr>
          <w:rFonts w:hint="eastAsia" w:hAnsi="宋体" w:cs="宋体"/>
          <w:color w:val="auto"/>
          <w:sz w:val="24"/>
          <w:highlight w:val="none"/>
          <w:u w:val="single"/>
        </w:rPr>
        <w:t>为甲方项目联系人，乙方指定</w:t>
      </w:r>
      <w:r>
        <w:rPr>
          <w:rFonts w:hAnsi="宋体" w:cs="宋体"/>
          <w:color w:val="auto"/>
          <w:sz w:val="24"/>
          <w:highlight w:val="none"/>
          <w:u w:val="single"/>
        </w:rPr>
        <w:t xml:space="preserve">     </w:t>
      </w:r>
      <w:r>
        <w:rPr>
          <w:rFonts w:hint="eastAsia" w:hAnsi="宋体" w:cs="宋体"/>
          <w:color w:val="auto"/>
          <w:sz w:val="24"/>
          <w:highlight w:val="none"/>
          <w:u w:val="single"/>
        </w:rPr>
        <w:t>为</w:t>
      </w:r>
      <w:r>
        <w:rPr>
          <w:rFonts w:hint="eastAsia" w:hAnsi="宋体" w:cs="宋体"/>
          <w:color w:val="auto"/>
          <w:sz w:val="24"/>
          <w:highlight w:val="none"/>
          <w:u w:val="single"/>
          <w:lang w:val="en-US" w:eastAsia="zh-CN"/>
        </w:rPr>
        <w:t xml:space="preserve">            （项目名称）</w:t>
      </w:r>
      <w:r>
        <w:rPr>
          <w:rFonts w:hint="eastAsia" w:hAnsi="宋体" w:cs="宋体"/>
          <w:color w:val="auto"/>
          <w:sz w:val="24"/>
          <w:highlight w:val="none"/>
          <w:u w:val="single"/>
        </w:rPr>
        <w:t>的总负责人和项目联系人。项目联系人承担以下责任：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1.及时沟通工作进展情况；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2.及时沟通双方需求变化；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u w:val="single"/>
        </w:rPr>
      </w:pPr>
      <w:r>
        <w:rPr>
          <w:rFonts w:hint="eastAsia" w:hAnsi="宋体" w:cs="宋体"/>
          <w:color w:val="auto"/>
          <w:sz w:val="24"/>
          <w:highlight w:val="none"/>
          <w:u w:val="single"/>
        </w:rPr>
        <w:t>3.负责项目的接口及联络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Ansi="宋体" w:cs="宋体"/>
          <w:b/>
          <w:bCs/>
          <w:color w:val="auto"/>
          <w:sz w:val="24"/>
          <w:highlight w:val="none"/>
        </w:rPr>
      </w:pPr>
      <w:r>
        <w:rPr>
          <w:rFonts w:hint="eastAsia" w:hAnsi="宋体" w:cs="宋体"/>
          <w:b/>
          <w:bCs/>
          <w:color w:val="auto"/>
          <w:sz w:val="24"/>
          <w:highlight w:val="none"/>
        </w:rPr>
        <w:t>甲方变更项目联系人的，应当及时以书面形式通知另一方。未及时通知并影响本合同履行或造成损失的，应承担相应的责任。乙方不得变更项目总负责人。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第十一条、双方确定，出现下列情形，致使本合同的履行成为不必要或不可能的，可以解除本合同：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b/>
          <w:bCs/>
          <w:color w:val="auto"/>
          <w:sz w:val="24"/>
          <w:highlight w:val="none"/>
        </w:rPr>
      </w:pPr>
      <w:r>
        <w:rPr>
          <w:rFonts w:hint="eastAsia" w:hAnsi="宋体" w:cs="宋体"/>
          <w:color w:val="auto"/>
          <w:sz w:val="24"/>
          <w:highlight w:val="none"/>
        </w:rPr>
        <w:t>1．</w:t>
      </w:r>
      <w:r>
        <w:rPr>
          <w:rFonts w:hint="eastAsia" w:hAnsi="宋体" w:cs="宋体"/>
          <w:color w:val="auto"/>
          <w:sz w:val="24"/>
          <w:highlight w:val="none"/>
          <w:u w:val="single"/>
        </w:rPr>
        <w:t>发生不可抗力</w:t>
      </w:r>
      <w:r>
        <w:rPr>
          <w:rFonts w:hint="eastAsia"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第十二条、双方因履行本合同而发生的争议，应协商、调解解决。协商、调解不成的， 确定按以下第1种方式处理：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1.提交</w:t>
      </w:r>
      <w:r>
        <w:rPr>
          <w:rFonts w:hint="eastAsia" w:hAnsi="宋体" w:cs="宋体"/>
          <w:color w:val="auto"/>
          <w:sz w:val="24"/>
          <w:highlight w:val="none"/>
          <w:u w:val="single"/>
          <w:lang w:val="en-US" w:eastAsia="zh-CN"/>
        </w:rPr>
        <w:t>库车市</w:t>
      </w:r>
      <w:r>
        <w:rPr>
          <w:rFonts w:hint="eastAsia" w:hAnsi="宋体" w:cs="宋体"/>
          <w:color w:val="auto"/>
          <w:sz w:val="24"/>
          <w:highlight w:val="none"/>
          <w:u w:val="single"/>
        </w:rPr>
        <w:t>仲裁委员会仲裁；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u w:val="single"/>
        </w:rPr>
      </w:pPr>
      <w:r>
        <w:rPr>
          <w:rFonts w:hint="eastAsia" w:hAnsi="宋体" w:cs="宋体"/>
          <w:color w:val="auto"/>
          <w:sz w:val="24"/>
          <w:highlight w:val="none"/>
          <w:u w:val="single"/>
        </w:rPr>
        <w:t>2.依法向</w:t>
      </w:r>
      <w:r>
        <w:rPr>
          <w:rFonts w:hint="eastAsia" w:hAnsi="宋体" w:cs="宋体"/>
          <w:color w:val="auto"/>
          <w:sz w:val="24"/>
          <w:highlight w:val="none"/>
          <w:u w:val="single"/>
          <w:lang w:val="en-US" w:eastAsia="zh-CN"/>
        </w:rPr>
        <w:t>库车市</w:t>
      </w:r>
      <w:r>
        <w:rPr>
          <w:rFonts w:hint="eastAsia" w:hAnsi="宋体" w:cs="宋体"/>
          <w:color w:val="auto"/>
          <w:sz w:val="24"/>
          <w:highlight w:val="none"/>
          <w:u w:val="single"/>
        </w:rPr>
        <w:t>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第十三条、双方确定：本合同及相关附件中所涉及的有关名词和技术术语，其定义和解释如下：</w:t>
      </w:r>
      <w:r>
        <w:rPr>
          <w:rFonts w:hint="eastAsia" w:hAnsi="宋体" w:cs="宋体"/>
          <w:color w:val="auto"/>
          <w:sz w:val="24"/>
          <w:highlight w:val="none"/>
        </w:rPr>
        <w:t>无</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第十四条、与履行本合同有关的下列技术文件，经双方以协商方式确认后，为本合同的组成部分：</w:t>
      </w:r>
      <w:r>
        <w:rPr>
          <w:rFonts w:hint="eastAsia" w:hAnsi="宋体" w:cs="宋体"/>
          <w:b/>
          <w:bCs/>
          <w:color w:val="auto"/>
          <w:sz w:val="24"/>
          <w:highlight w:val="none"/>
          <w:u w:val="single"/>
        </w:rPr>
        <w:t>乙方的投标文件。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第十五条、双方约定本合同其他相关事项为：合同执行过程中双方协商解决。</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Ansi="宋体" w:cs="宋体"/>
          <w:color w:val="auto"/>
          <w:sz w:val="24"/>
          <w:highlight w:val="none"/>
        </w:rPr>
      </w:pPr>
      <w:r>
        <w:rPr>
          <w:rFonts w:hint="eastAsia" w:hAnsi="宋体" w:cs="宋体"/>
          <w:b/>
          <w:bCs/>
          <w:color w:val="auto"/>
          <w:sz w:val="24"/>
          <w:highlight w:val="none"/>
        </w:rPr>
        <w:t>第十六条、</w:t>
      </w:r>
      <w:r>
        <w:rPr>
          <w:rFonts w:hint="eastAsia" w:hAnsi="宋体" w:cs="宋体"/>
          <w:color w:val="auto"/>
          <w:sz w:val="24"/>
          <w:highlight w:val="none"/>
        </w:rPr>
        <w:t>本合同一式</w:t>
      </w:r>
      <w:r>
        <w:rPr>
          <w:rFonts w:hint="eastAsia" w:hAnsi="宋体" w:cs="宋体"/>
          <w:b/>
          <w:bCs/>
          <w:color w:val="auto"/>
          <w:sz w:val="24"/>
          <w:highlight w:val="none"/>
          <w:u w:val="single"/>
        </w:rPr>
        <w:t>肆</w:t>
      </w:r>
      <w:r>
        <w:rPr>
          <w:rFonts w:hint="eastAsia" w:hAnsi="宋体" w:cs="宋体"/>
          <w:color w:val="auto"/>
          <w:sz w:val="24"/>
          <w:highlight w:val="none"/>
        </w:rPr>
        <w:t>份，其中招标人</w:t>
      </w:r>
      <w:r>
        <w:rPr>
          <w:rFonts w:hint="eastAsia" w:hAnsi="宋体" w:cs="宋体"/>
          <w:b/>
          <w:bCs/>
          <w:color w:val="auto"/>
          <w:sz w:val="24"/>
          <w:highlight w:val="none"/>
        </w:rPr>
        <w:t>贰</w:t>
      </w:r>
      <w:r>
        <w:rPr>
          <w:rFonts w:hint="eastAsia" w:hAnsi="宋体" w:cs="宋体"/>
          <w:color w:val="auto"/>
          <w:sz w:val="24"/>
          <w:highlight w:val="none"/>
        </w:rPr>
        <w:t>份、中标单位</w:t>
      </w:r>
      <w:r>
        <w:rPr>
          <w:rFonts w:hint="eastAsia" w:hAnsi="宋体" w:cs="宋体"/>
          <w:b/>
          <w:bCs/>
          <w:color w:val="auto"/>
          <w:sz w:val="24"/>
          <w:highlight w:val="none"/>
        </w:rPr>
        <w:t>贰</w:t>
      </w:r>
      <w:r>
        <w:rPr>
          <w:rFonts w:hint="eastAsia" w:hAnsi="宋体" w:cs="宋体"/>
          <w:color w:val="auto"/>
          <w:sz w:val="24"/>
          <w:highlight w:val="none"/>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hAnsi="宋体" w:cs="宋体"/>
          <w:b/>
          <w:bCs/>
          <w:color w:val="auto"/>
          <w:sz w:val="24"/>
          <w:highlight w:val="none"/>
        </w:rPr>
      </w:pPr>
      <w:r>
        <w:rPr>
          <w:rFonts w:hint="eastAsia" w:hAnsi="宋体" w:cs="宋体"/>
          <w:b/>
          <w:bCs/>
          <w:color w:val="auto"/>
          <w:sz w:val="24"/>
          <w:highlight w:val="none"/>
        </w:rPr>
        <w:t>第十七条、合同生效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 xml:space="preserve">合同订立时间： </w:t>
      </w:r>
      <w:r>
        <w:rPr>
          <w:rFonts w:hAnsi="宋体" w:cs="宋体"/>
          <w:color w:val="auto"/>
          <w:sz w:val="24"/>
          <w:highlight w:val="none"/>
        </w:rPr>
        <w:t xml:space="preserve"> </w:t>
      </w:r>
      <w:r>
        <w:rPr>
          <w:rFonts w:hint="eastAsia" w:hAnsi="宋体" w:cs="宋体"/>
          <w:color w:val="auto"/>
          <w:sz w:val="24"/>
          <w:highlight w:val="none"/>
        </w:rPr>
        <w:t>年</w:t>
      </w:r>
      <w:r>
        <w:rPr>
          <w:rFonts w:hAnsi="宋体" w:cs="宋体"/>
          <w:color w:val="auto"/>
          <w:sz w:val="24"/>
          <w:highlight w:val="none"/>
        </w:rPr>
        <w:t xml:space="preserve"> </w:t>
      </w:r>
      <w:r>
        <w:rPr>
          <w:rFonts w:hint="eastAsia" w:hAnsi="宋体" w:cs="宋体"/>
          <w:color w:val="auto"/>
          <w:sz w:val="24"/>
          <w:highlight w:val="none"/>
        </w:rPr>
        <w:t>月</w:t>
      </w:r>
      <w:r>
        <w:rPr>
          <w:rFonts w:hAnsi="宋体" w:cs="宋体"/>
          <w:color w:val="auto"/>
          <w:sz w:val="24"/>
          <w:highlight w:val="none"/>
        </w:rPr>
        <w:t xml:space="preserve"> </w:t>
      </w:r>
      <w:r>
        <w:rPr>
          <w:rFonts w:hint="eastAsia" w:hAnsi="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合同订立地点：</w:t>
      </w:r>
      <w:r>
        <w:rPr>
          <w:rFonts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本合同双方约定：</w:t>
      </w:r>
      <w:r>
        <w:rPr>
          <w:rFonts w:hAnsi="宋体" w:cs="宋体"/>
          <w:color w:val="auto"/>
          <w:sz w:val="24"/>
          <w:highlight w:val="none"/>
        </w:rPr>
        <w:t xml:space="preserve">   </w:t>
      </w:r>
      <w:r>
        <w:rPr>
          <w:rFonts w:hint="eastAsia" w:hAnsi="宋体" w:cs="宋体"/>
          <w:color w:val="auto"/>
          <w:sz w:val="24"/>
          <w:highlight w:val="none"/>
        </w:rPr>
        <w:t>年</w:t>
      </w:r>
      <w:r>
        <w:rPr>
          <w:rFonts w:hAnsi="宋体" w:cs="宋体"/>
          <w:color w:val="auto"/>
          <w:sz w:val="24"/>
          <w:highlight w:val="none"/>
        </w:rPr>
        <w:t xml:space="preserve">    </w:t>
      </w:r>
      <w:r>
        <w:rPr>
          <w:rFonts w:hint="eastAsia" w:hAnsi="宋体" w:cs="宋体"/>
          <w:color w:val="auto"/>
          <w:sz w:val="24"/>
          <w:highlight w:val="none"/>
        </w:rPr>
        <w:t xml:space="preserve">月 </w:t>
      </w:r>
      <w:r>
        <w:rPr>
          <w:rFonts w:hAnsi="宋体" w:cs="宋体"/>
          <w:color w:val="auto"/>
          <w:sz w:val="24"/>
          <w:highlight w:val="none"/>
        </w:rPr>
        <w:t xml:space="preserve">  </w:t>
      </w:r>
      <w:r>
        <w:rPr>
          <w:rFonts w:hint="eastAsia" w:hAnsi="宋体" w:cs="宋体"/>
          <w:color w:val="auto"/>
          <w:sz w:val="24"/>
          <w:highlight w:val="none"/>
        </w:rPr>
        <w:t xml:space="preserve">日 </w:t>
      </w:r>
      <w:r>
        <w:rPr>
          <w:rFonts w:hAnsi="宋体" w:cs="宋体"/>
          <w:color w:val="auto"/>
          <w:sz w:val="24"/>
          <w:highlight w:val="none"/>
        </w:rPr>
        <w:t xml:space="preserve">  </w:t>
      </w:r>
      <w:r>
        <w:rPr>
          <w:rFonts w:hint="eastAsia" w:hAnsi="宋体" w:cs="宋体"/>
          <w:color w:val="auto"/>
          <w:sz w:val="24"/>
          <w:highlight w:val="none"/>
        </w:rPr>
        <w:t xml:space="preserve">生 </w:t>
      </w:r>
      <w:r>
        <w:rPr>
          <w:rFonts w:hAnsi="宋体" w:cs="宋体"/>
          <w:color w:val="auto"/>
          <w:sz w:val="24"/>
          <w:highlight w:val="none"/>
        </w:rPr>
        <w:t xml:space="preserve">  </w:t>
      </w:r>
      <w:r>
        <w:rPr>
          <w:rFonts w:hint="eastAsia" w:hAnsi="宋体" w:cs="宋体"/>
          <w:color w:val="auto"/>
          <w:sz w:val="24"/>
          <w:highlight w:val="none"/>
        </w:rPr>
        <w:t>效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r>
        <w:rPr>
          <w:rFonts w:hint="eastAsia" w:hAnsi="宋体" w:cs="宋体"/>
          <w:color w:val="auto"/>
          <w:sz w:val="24"/>
          <w:highlight w:val="none"/>
        </w:rPr>
        <w:t xml:space="preserve">委托人：（甲方公章） </w:t>
      </w:r>
      <w:r>
        <w:rPr>
          <w:rFonts w:hAnsi="宋体" w:cs="宋体"/>
          <w:color w:val="auto"/>
          <w:sz w:val="24"/>
          <w:highlight w:val="none"/>
        </w:rPr>
        <w:t xml:space="preserve">                     </w:t>
      </w:r>
      <w:r>
        <w:rPr>
          <w:rFonts w:hint="eastAsia" w:hAnsi="宋体" w:cs="宋体"/>
          <w:color w:val="auto"/>
          <w:sz w:val="24"/>
          <w:highlight w:val="none"/>
        </w:rPr>
        <w:t>受托人：（乙方公章）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法定代表人（签字或盖章）：                法定代表人（签字或盖章）：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授权代理人（签字或盖章）：                授权代理人（签字或盖章）：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 xml:space="preserve">单位地址：                </w:t>
      </w:r>
      <w:r>
        <w:rPr>
          <w:rFonts w:hAnsi="宋体" w:cs="宋体"/>
          <w:color w:val="auto"/>
          <w:sz w:val="24"/>
          <w:highlight w:val="none"/>
        </w:rPr>
        <w:t xml:space="preserve">                </w:t>
      </w:r>
      <w:r>
        <w:rPr>
          <w:rFonts w:hint="eastAsia" w:hAnsi="宋体" w:cs="宋体"/>
          <w:color w:val="auto"/>
          <w:sz w:val="24"/>
          <w:highlight w:val="none"/>
        </w:rPr>
        <w:t>单位地址：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邮政编码：</w:t>
      </w:r>
      <w:r>
        <w:rPr>
          <w:rFonts w:hAnsi="宋体" w:cs="宋体"/>
          <w:color w:val="auto"/>
          <w:sz w:val="24"/>
          <w:highlight w:val="none"/>
        </w:rPr>
        <w:t xml:space="preserve">     </w:t>
      </w:r>
      <w:r>
        <w:rPr>
          <w:rFonts w:hint="eastAsia" w:hAnsi="宋体" w:cs="宋体"/>
          <w:color w:val="auto"/>
          <w:sz w:val="24"/>
          <w:highlight w:val="none"/>
        </w:rPr>
        <w:t xml:space="preserve">                           邮政编码：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r>
        <w:rPr>
          <w:rFonts w:hint="eastAsia" w:hAnsi="宋体" w:cs="宋体"/>
          <w:color w:val="auto"/>
          <w:sz w:val="24"/>
          <w:highlight w:val="none"/>
        </w:rPr>
        <w:t>联系电话：                                联系电话：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r>
        <w:rPr>
          <w:rFonts w:hint="eastAsia" w:hAnsi="宋体" w:cs="宋体"/>
          <w:color w:val="auto"/>
          <w:sz w:val="24"/>
          <w:highlight w:val="none"/>
        </w:rPr>
        <w:t xml:space="preserve">开户银行：          </w:t>
      </w:r>
      <w:r>
        <w:rPr>
          <w:rFonts w:hAnsi="宋体" w:cs="宋体"/>
          <w:color w:val="auto"/>
          <w:sz w:val="24"/>
          <w:highlight w:val="none"/>
        </w:rPr>
        <w:t xml:space="preserve">                  </w:t>
      </w:r>
      <w:r>
        <w:rPr>
          <w:rFonts w:hint="eastAsia" w:hAnsi="宋体" w:cs="宋体"/>
          <w:color w:val="auto"/>
          <w:sz w:val="24"/>
          <w:highlight w:val="none"/>
        </w:rPr>
        <w:t xml:space="preserve">   </w:t>
      </w:r>
      <w:r>
        <w:rPr>
          <w:rFonts w:hAnsi="宋体" w:cs="宋体"/>
          <w:color w:val="auto"/>
          <w:sz w:val="24"/>
          <w:highlight w:val="none"/>
        </w:rPr>
        <w:t xml:space="preserve"> </w:t>
      </w:r>
      <w:r>
        <w:rPr>
          <w:rFonts w:hint="eastAsia" w:hAnsi="宋体" w:cs="宋体"/>
          <w:color w:val="auto"/>
          <w:sz w:val="24"/>
          <w:highlight w:val="none"/>
        </w:rPr>
        <w:t>开户银行：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Ansi="宋体" w:cs="宋体"/>
          <w:color w:val="auto"/>
          <w:sz w:val="24"/>
          <w:highlight w:val="none"/>
        </w:rPr>
      </w:pPr>
      <w:r>
        <w:rPr>
          <w:rFonts w:hint="eastAsia" w:hAnsi="宋体" w:cs="宋体"/>
          <w:color w:val="auto"/>
          <w:sz w:val="24"/>
          <w:highlight w:val="none"/>
        </w:rPr>
        <w:t>帐    号：                                帐    号：</w:t>
      </w:r>
    </w:p>
    <w:p>
      <w:pPr>
        <w:pStyle w:val="16"/>
        <w:spacing w:line="276" w:lineRule="auto"/>
        <w:jc w:val="center"/>
        <w:outlineLvl w:val="0"/>
        <w:rPr>
          <w:rFonts w:hint="eastAsia" w:hAnsi="宋体"/>
          <w:b/>
          <w:bCs/>
          <w:color w:val="auto"/>
          <w:sz w:val="48"/>
          <w:szCs w:val="48"/>
        </w:rPr>
      </w:pPr>
    </w:p>
    <w:p>
      <w:pPr>
        <w:pStyle w:val="16"/>
        <w:spacing w:line="276" w:lineRule="auto"/>
        <w:jc w:val="center"/>
        <w:outlineLvl w:val="0"/>
        <w:rPr>
          <w:rFonts w:hint="eastAsia" w:hAnsi="宋体"/>
          <w:b/>
          <w:bCs/>
          <w:color w:val="auto"/>
          <w:sz w:val="48"/>
          <w:szCs w:val="48"/>
        </w:rPr>
      </w:pPr>
    </w:p>
    <w:p>
      <w:pPr>
        <w:pStyle w:val="16"/>
        <w:spacing w:line="276" w:lineRule="auto"/>
        <w:jc w:val="center"/>
        <w:outlineLvl w:val="0"/>
        <w:rPr>
          <w:rFonts w:hint="default" w:hAnsi="宋体" w:eastAsia="宋体"/>
          <w:b/>
          <w:color w:val="auto"/>
          <w:sz w:val="48"/>
          <w:szCs w:val="48"/>
          <w:lang w:val="en-US" w:eastAsia="zh-CN"/>
        </w:rPr>
      </w:pPr>
      <w:r>
        <w:rPr>
          <w:rFonts w:hint="eastAsia" w:hAnsi="宋体"/>
          <w:b/>
          <w:bCs/>
          <w:color w:val="auto"/>
          <w:sz w:val="48"/>
          <w:szCs w:val="48"/>
        </w:rPr>
        <w:t xml:space="preserve">第四章  </w:t>
      </w:r>
      <w:bookmarkEnd w:id="26"/>
      <w:r>
        <w:rPr>
          <w:rFonts w:hint="eastAsia" w:hAnsi="宋体"/>
          <w:b/>
          <w:bCs/>
          <w:color w:val="auto"/>
          <w:sz w:val="48"/>
          <w:szCs w:val="48"/>
        </w:rPr>
        <w:t>采购要求</w:t>
      </w:r>
    </w:p>
    <w:p>
      <w:pPr>
        <w:pStyle w:val="92"/>
        <w:ind w:firstLine="470" w:firstLineChars="196"/>
        <w:jc w:val="center"/>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840" w:firstLineChars="200"/>
        <w:jc w:val="center"/>
        <w:textAlignment w:val="auto"/>
        <w:rPr>
          <w:rFonts w:hint="eastAsia" w:ascii="方正小标宋简体" w:hAnsi="方正小标宋简体" w:eastAsia="方正小标宋简体" w:cs="方正小标宋简体"/>
          <w:spacing w:val="10"/>
          <w:sz w:val="40"/>
          <w:szCs w:val="40"/>
          <w:lang w:val="en-US" w:eastAsia="zh-CN"/>
        </w:rPr>
      </w:pPr>
      <w:bookmarkStart w:id="27" w:name="_Toc1167"/>
      <w:r>
        <w:rPr>
          <w:rFonts w:hint="eastAsia" w:ascii="方正小标宋简体" w:hAnsi="方正小标宋简体" w:eastAsia="方正小标宋简体" w:cs="方正小标宋简体"/>
          <w:spacing w:val="10"/>
          <w:sz w:val="40"/>
          <w:szCs w:val="40"/>
          <w:lang w:val="en-US" w:eastAsia="zh-CN"/>
        </w:rPr>
        <w:t>新疆库车大峡谷国家地质公园规划修编</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200"/>
        <w:jc w:val="center"/>
        <w:textAlignment w:val="auto"/>
        <w:rPr>
          <w:rFonts w:hint="eastAsia" w:ascii="方正小标宋简体" w:hAnsi="方正小标宋简体" w:eastAsia="方正小标宋简体" w:cs="方正小标宋简体"/>
          <w:spacing w:val="10"/>
          <w:sz w:val="40"/>
          <w:szCs w:val="40"/>
          <w:lang w:val="en-US" w:eastAsia="zh-CN"/>
        </w:rPr>
      </w:pPr>
      <w:r>
        <w:rPr>
          <w:rFonts w:hint="eastAsia" w:ascii="方正小标宋简体" w:hAnsi="方正小标宋简体" w:eastAsia="方正小标宋简体" w:cs="方正小标宋简体"/>
          <w:spacing w:val="10"/>
          <w:sz w:val="40"/>
          <w:szCs w:val="40"/>
          <w:lang w:val="en-US" w:eastAsia="zh-CN"/>
        </w:rPr>
        <w:t>工作内容</w:t>
      </w:r>
    </w:p>
    <w:p>
      <w:pPr>
        <w:jc w:val="left"/>
        <w:rPr>
          <w:rFonts w:hint="eastAsia" w:ascii="宋体" w:hAnsi="宋体"/>
          <w:color w:val="auto"/>
          <w:sz w:val="24"/>
        </w:rPr>
      </w:pPr>
      <w:r>
        <w:rPr>
          <w:rFonts w:hint="eastAsia" w:ascii="宋体" w:hAnsi="宋体"/>
          <w:color w:val="auto"/>
          <w:sz w:val="24"/>
        </w:rPr>
        <w:t>一、本次修编工作重点</w:t>
      </w:r>
    </w:p>
    <w:p>
      <w:pPr>
        <w:jc w:val="left"/>
        <w:rPr>
          <w:rFonts w:hint="eastAsia" w:ascii="宋体" w:hAnsi="宋体"/>
          <w:color w:val="auto"/>
          <w:sz w:val="24"/>
        </w:rPr>
      </w:pPr>
      <w:r>
        <w:rPr>
          <w:rFonts w:hint="eastAsia" w:ascii="宋体" w:hAnsi="宋体"/>
          <w:color w:val="auto"/>
          <w:sz w:val="24"/>
        </w:rPr>
        <w:t>(1) 摸清公园内地质遗迹及其他自然人文景观资源家底</w:t>
      </w:r>
    </w:p>
    <w:p>
      <w:pPr>
        <w:jc w:val="left"/>
        <w:rPr>
          <w:rFonts w:hint="eastAsia" w:ascii="宋体" w:hAnsi="宋体"/>
          <w:color w:val="auto"/>
          <w:sz w:val="24"/>
        </w:rPr>
      </w:pPr>
      <w:r>
        <w:rPr>
          <w:rFonts w:hint="eastAsia" w:ascii="宋体" w:hAnsi="宋体"/>
          <w:color w:val="auto"/>
          <w:sz w:val="24"/>
        </w:rPr>
        <w:t>在分析现有资料的基础上，对公园内地质遗迹资源及其他人文资源进行踏勘，摸清公园内资源本底情况，为规划提供依据.</w:t>
      </w:r>
    </w:p>
    <w:p>
      <w:pPr>
        <w:jc w:val="left"/>
        <w:rPr>
          <w:rFonts w:hint="eastAsia" w:ascii="宋体" w:hAnsi="宋体"/>
          <w:color w:val="auto"/>
          <w:sz w:val="24"/>
        </w:rPr>
      </w:pPr>
      <w:r>
        <w:rPr>
          <w:rFonts w:hint="eastAsia" w:ascii="宋体" w:hAnsi="宋体"/>
          <w:color w:val="auto"/>
          <w:sz w:val="24"/>
        </w:rPr>
        <w:t>(2) 重新划分公园功能分区及保护分区</w:t>
      </w:r>
    </w:p>
    <w:p>
      <w:pPr>
        <w:jc w:val="left"/>
        <w:rPr>
          <w:rFonts w:hint="eastAsia" w:ascii="宋体" w:hAnsi="宋体"/>
          <w:color w:val="auto"/>
          <w:sz w:val="24"/>
        </w:rPr>
      </w:pPr>
      <w:r>
        <w:rPr>
          <w:rFonts w:hint="eastAsia" w:ascii="宋体" w:hAnsi="宋体"/>
          <w:color w:val="auto"/>
          <w:sz w:val="24"/>
        </w:rPr>
        <w:t>根据地质遗迹景观和其他自然人文景观的空间分布特征、地貌的自然分区、交通状况等，结合地质遗迹保护和旅游活动需求，严格按照《国家地质公园规划编制技术要求》(2016 年83 号，2019 年修订)要求进行功能分区。按照《关于建立以国家公园为主体的自然保护地体系的指导意见》(中共中央办公厅、国务院办公厅，2019) 相关规定划分保护区。</w:t>
      </w:r>
    </w:p>
    <w:p>
      <w:pPr>
        <w:jc w:val="left"/>
        <w:rPr>
          <w:rFonts w:hint="eastAsia" w:ascii="宋体" w:hAnsi="宋体"/>
          <w:color w:val="auto"/>
          <w:sz w:val="24"/>
        </w:rPr>
      </w:pPr>
      <w:r>
        <w:rPr>
          <w:rFonts w:hint="eastAsia" w:ascii="宋体" w:hAnsi="宋体"/>
          <w:color w:val="auto"/>
          <w:sz w:val="24"/>
        </w:rPr>
        <w:t>(3)科学评价地质遗迹，制定地质遗迹保护措施</w:t>
      </w:r>
    </w:p>
    <w:p>
      <w:pPr>
        <w:jc w:val="left"/>
        <w:rPr>
          <w:rFonts w:hint="eastAsia" w:ascii="宋体" w:hAnsi="宋体"/>
          <w:color w:val="auto"/>
          <w:sz w:val="24"/>
        </w:rPr>
      </w:pPr>
      <w:r>
        <w:rPr>
          <w:rFonts w:hint="eastAsia" w:ascii="宋体" w:hAnsi="宋体"/>
          <w:color w:val="auto"/>
          <w:sz w:val="24"/>
        </w:rPr>
        <w:t>开展对地质遗迹评价、登录和保护工作,说明地质遗迹保护现状，提出保护目标、计划和制定保护措施。</w:t>
      </w:r>
    </w:p>
    <w:p>
      <w:pPr>
        <w:jc w:val="left"/>
        <w:rPr>
          <w:rFonts w:hint="eastAsia" w:ascii="宋体" w:hAnsi="宋体"/>
          <w:color w:val="auto"/>
          <w:sz w:val="24"/>
        </w:rPr>
      </w:pPr>
      <w:r>
        <w:rPr>
          <w:rFonts w:hint="eastAsia" w:ascii="宋体" w:hAnsi="宋体"/>
          <w:color w:val="auto"/>
          <w:sz w:val="24"/>
        </w:rPr>
        <w:t>(4)完善公园科学解说系统规划</w:t>
      </w:r>
    </w:p>
    <w:p>
      <w:pPr>
        <w:jc w:val="left"/>
        <w:rPr>
          <w:rFonts w:hint="eastAsia" w:ascii="宋体" w:hAnsi="宋体"/>
          <w:color w:val="auto"/>
          <w:sz w:val="24"/>
        </w:rPr>
      </w:pPr>
      <w:r>
        <w:rPr>
          <w:rFonts w:hint="eastAsia" w:ascii="宋体" w:hAnsi="宋体"/>
          <w:color w:val="auto"/>
          <w:sz w:val="24"/>
        </w:rPr>
        <w:t>科学解说系统是地质公园的主要特色，其内容包括:户内外解说设施(解说碑、牌、栏、交通指示牌等)，解说员与解说设备的配备，解说出版物的出版发行(公园科学导游图、地质公园丛书、地质公园解说词及主要地质科普路线解说词，科普音像出版物等 )。制定科学解说系统建设计划，推进科学解说系统建设，更好地为游客服务。</w:t>
      </w:r>
    </w:p>
    <w:p>
      <w:pPr>
        <w:jc w:val="left"/>
        <w:rPr>
          <w:rFonts w:hint="eastAsia" w:ascii="宋体" w:hAnsi="宋体"/>
          <w:color w:val="auto"/>
          <w:sz w:val="24"/>
        </w:rPr>
      </w:pPr>
      <w:r>
        <w:rPr>
          <w:rFonts w:hint="eastAsia" w:ascii="宋体" w:hAnsi="宋体"/>
          <w:color w:val="auto"/>
          <w:sz w:val="24"/>
        </w:rPr>
        <w:t>(5)制定地质公园的科研科普方案</w:t>
      </w:r>
    </w:p>
    <w:p>
      <w:pPr>
        <w:jc w:val="left"/>
        <w:rPr>
          <w:rFonts w:hint="eastAsia" w:ascii="宋体" w:hAnsi="宋体"/>
          <w:color w:val="auto"/>
          <w:sz w:val="24"/>
        </w:rPr>
      </w:pPr>
      <w:r>
        <w:rPr>
          <w:rFonts w:hint="eastAsia" w:ascii="宋体" w:hAnsi="宋体"/>
          <w:color w:val="auto"/>
          <w:sz w:val="24"/>
        </w:rPr>
        <w:t>科学研究是提升地质公园建设和管理水平的重要举措，提升公园的科学研究程度，编制可操作性的科学研究计划，确定科学研究项目以及完成时间等。</w:t>
      </w:r>
    </w:p>
    <w:p>
      <w:pPr>
        <w:jc w:val="left"/>
        <w:rPr>
          <w:rFonts w:hint="eastAsia" w:ascii="宋体" w:hAnsi="宋体"/>
          <w:color w:val="auto"/>
          <w:sz w:val="24"/>
        </w:rPr>
      </w:pPr>
      <w:r>
        <w:rPr>
          <w:rFonts w:hint="eastAsia" w:ascii="宋体" w:hAnsi="宋体"/>
          <w:color w:val="auto"/>
          <w:sz w:val="24"/>
        </w:rPr>
        <w:t>(6)制定科学普及方案</w:t>
      </w:r>
    </w:p>
    <w:p>
      <w:pPr>
        <w:jc w:val="left"/>
        <w:rPr>
          <w:rFonts w:hint="eastAsia" w:ascii="宋体" w:hAnsi="宋体"/>
          <w:color w:val="auto"/>
          <w:sz w:val="24"/>
        </w:rPr>
      </w:pPr>
      <w:r>
        <w:rPr>
          <w:rFonts w:hint="eastAsia" w:ascii="宋体" w:hAnsi="宋体"/>
          <w:color w:val="auto"/>
          <w:sz w:val="24"/>
        </w:rPr>
        <w:t>制定有可操作性的科学普及方案，主要包括面向中小学生的乡土科普活动、面向大中专院校教学实习活动以及面向普通游客的专项科普活动。</w:t>
      </w:r>
    </w:p>
    <w:p>
      <w:pPr>
        <w:jc w:val="left"/>
        <w:rPr>
          <w:rFonts w:hint="eastAsia" w:ascii="宋体" w:hAnsi="宋体"/>
          <w:color w:val="auto"/>
          <w:sz w:val="24"/>
        </w:rPr>
      </w:pPr>
      <w:r>
        <w:rPr>
          <w:rFonts w:hint="eastAsia" w:ascii="宋体" w:hAnsi="宋体"/>
          <w:color w:val="auto"/>
          <w:sz w:val="24"/>
        </w:rPr>
        <w:t>(7) 完善地质公园信息化建设</w:t>
      </w:r>
    </w:p>
    <w:p>
      <w:pPr>
        <w:jc w:val="left"/>
        <w:rPr>
          <w:rFonts w:hint="eastAsia" w:ascii="宋体" w:hAnsi="宋体"/>
          <w:color w:val="auto"/>
          <w:sz w:val="24"/>
        </w:rPr>
      </w:pPr>
      <w:r>
        <w:rPr>
          <w:rFonts w:hint="eastAsia" w:ascii="宋体" w:hAnsi="宋体"/>
          <w:color w:val="auto"/>
          <w:sz w:val="24"/>
        </w:rPr>
        <w:t>用现代科技完善信息化建设是建设和管理地质公园的基本要求建立完善地质公园信息化建设，完善地质公园数据库、监测系统、网络系统的建设。</w:t>
      </w:r>
    </w:p>
    <w:p>
      <w:pPr>
        <w:jc w:val="left"/>
        <w:rPr>
          <w:rFonts w:hint="eastAsia" w:ascii="宋体" w:hAnsi="宋体"/>
          <w:color w:val="auto"/>
          <w:sz w:val="24"/>
        </w:rPr>
      </w:pPr>
      <w:r>
        <w:rPr>
          <w:rFonts w:hint="eastAsia" w:ascii="宋体" w:hAnsi="宋体"/>
          <w:color w:val="auto"/>
          <w:sz w:val="24"/>
        </w:rPr>
        <w:t>(8)制定基础与服务设施计划，推进地质公园建设</w:t>
      </w:r>
    </w:p>
    <w:p>
      <w:pPr>
        <w:jc w:val="left"/>
        <w:rPr>
          <w:rFonts w:hint="eastAsia" w:ascii="宋体" w:hAnsi="宋体"/>
          <w:color w:val="auto"/>
          <w:sz w:val="24"/>
        </w:rPr>
      </w:pPr>
      <w:r>
        <w:rPr>
          <w:rFonts w:hint="eastAsia" w:ascii="宋体" w:hAnsi="宋体"/>
          <w:color w:val="auto"/>
          <w:sz w:val="24"/>
        </w:rPr>
        <w:t>主要包括公园道路交通、接待服务设施、供水、供电、通讯等的建设计划，加快通往主要景点的公路建设，尽快完成公园内外通达快速便捷的科考、科普以及旅游交通网络。</w:t>
      </w:r>
    </w:p>
    <w:p>
      <w:pPr>
        <w:jc w:val="left"/>
        <w:rPr>
          <w:rFonts w:hint="eastAsia" w:ascii="宋体" w:hAnsi="宋体"/>
          <w:color w:val="auto"/>
          <w:sz w:val="24"/>
        </w:rPr>
      </w:pPr>
      <w:r>
        <w:rPr>
          <w:rFonts w:hint="eastAsia" w:ascii="宋体" w:hAnsi="宋体"/>
          <w:color w:val="auto"/>
          <w:sz w:val="24"/>
        </w:rPr>
        <w:t>(9) 协调公园建设与当地社会经济发展的关系</w:t>
      </w:r>
    </w:p>
    <w:p>
      <w:pPr>
        <w:jc w:val="left"/>
        <w:rPr>
          <w:rFonts w:hint="eastAsia" w:ascii="宋体" w:hAnsi="宋体"/>
          <w:color w:val="auto"/>
          <w:sz w:val="24"/>
          <w:lang w:val="en-US" w:eastAsia="zh-CN"/>
        </w:rPr>
      </w:pPr>
      <w:r>
        <w:rPr>
          <w:rFonts w:hint="eastAsia" w:ascii="宋体" w:hAnsi="宋体"/>
          <w:color w:val="auto"/>
          <w:sz w:val="24"/>
        </w:rPr>
        <w:t>在保护的前提下，协调公园建设与国土空间规划、社区建设的关系，提出具有可操作性的旅游活动，制定旅游路线，加入社区发展和社区共管的相关规划内容，促进当地社会经济发展</w:t>
      </w:r>
      <w:r>
        <w:rPr>
          <w:rFonts w:hint="eastAsia" w:ascii="宋体" w:hAnsi="宋体"/>
          <w:color w:val="auto"/>
          <w:sz w:val="24"/>
          <w:lang w:val="en-US" w:eastAsia="zh-CN"/>
        </w:rPr>
        <w:t>.</w:t>
      </w:r>
    </w:p>
    <w:p>
      <w:pPr>
        <w:pStyle w:val="5"/>
        <w:numPr>
          <w:ilvl w:val="0"/>
          <w:numId w:val="0"/>
        </w:numPr>
        <w:spacing w:line="276" w:lineRule="auto"/>
        <w:jc w:val="center"/>
        <w:outlineLvl w:val="0"/>
        <w:rPr>
          <w:rFonts w:ascii="宋体" w:hAnsi="宋体" w:eastAsia="宋体"/>
          <w:color w:val="auto"/>
          <w:sz w:val="48"/>
          <w:szCs w:val="48"/>
        </w:rPr>
      </w:pPr>
      <w:r>
        <w:rPr>
          <w:rFonts w:hint="eastAsia" w:ascii="宋体" w:hAnsi="宋体" w:eastAsia="宋体" w:cs="宋体"/>
          <w:color w:val="auto"/>
          <w:sz w:val="48"/>
          <w:szCs w:val="48"/>
          <w:lang w:eastAsia="zh-CN"/>
        </w:rPr>
        <w:t>第五章</w:t>
      </w:r>
      <w:r>
        <w:rPr>
          <w:rFonts w:hint="eastAsia" w:ascii="宋体" w:hAnsi="宋体" w:eastAsia="宋体" w:cs="宋体"/>
          <w:color w:val="auto"/>
          <w:sz w:val="48"/>
          <w:szCs w:val="48"/>
        </w:rPr>
        <w:t xml:space="preserve"> 评审程序、方法和标准</w:t>
      </w:r>
      <w:bookmarkEnd w:id="27"/>
    </w:p>
    <w:p>
      <w:pPr>
        <w:spacing w:line="276" w:lineRule="auto"/>
        <w:rPr>
          <w:rFonts w:ascii="宋体" w:hAnsi="宋体" w:cs="宋体"/>
          <w:b/>
          <w:color w:val="auto"/>
          <w:sz w:val="24"/>
        </w:rPr>
      </w:pPr>
      <w:bookmarkStart w:id="28" w:name="EB066763282e454600abc10582fb4919e1"/>
      <w:r>
        <w:rPr>
          <w:rFonts w:hint="eastAsia" w:ascii="宋体" w:hAnsi="宋体" w:cs="宋体"/>
          <w:b/>
          <w:color w:val="auto"/>
          <w:sz w:val="24"/>
        </w:rPr>
        <w:t>一、评审程序</w:t>
      </w:r>
    </w:p>
    <w:p>
      <w:pPr>
        <w:spacing w:line="276" w:lineRule="auto"/>
        <w:rPr>
          <w:rFonts w:ascii="宋体" w:hAnsi="宋体" w:cs="宋体"/>
          <w:b/>
          <w:color w:val="auto"/>
          <w:sz w:val="24"/>
        </w:rPr>
      </w:pPr>
      <w:r>
        <w:rPr>
          <w:rFonts w:hint="eastAsia" w:ascii="宋体" w:hAnsi="宋体" w:cs="宋体"/>
          <w:b/>
          <w:color w:val="auto"/>
          <w:sz w:val="24"/>
        </w:rPr>
        <w:t xml:space="preserve">（一）评审原则 </w:t>
      </w:r>
    </w:p>
    <w:p>
      <w:pPr>
        <w:spacing w:line="276" w:lineRule="auto"/>
        <w:ind w:firstLine="480" w:firstLineChars="200"/>
        <w:rPr>
          <w:rFonts w:ascii="宋体" w:hAnsi="宋体" w:cs="宋体"/>
          <w:color w:val="auto"/>
          <w:sz w:val="24"/>
        </w:rPr>
      </w:pPr>
      <w:r>
        <w:rPr>
          <w:rFonts w:hint="eastAsia" w:ascii="宋体" w:hAnsi="宋体" w:cs="宋体"/>
          <w:color w:val="auto"/>
          <w:sz w:val="24"/>
        </w:rPr>
        <w:t>1、合法、合规原则。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、公平、公正、科学、审慎、择优原则。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、高分优先原则。衡量响应文件满足竞争性磋商文件规定的各项评审标准的程度，折算为综合得分分值，依据每个磋商供应商的综合得分由高到低，依次确定排名顺序。</w:t>
      </w:r>
    </w:p>
    <w:p>
      <w:pPr>
        <w:bidi w:val="0"/>
        <w:rPr>
          <w:rFonts w:hint="eastAsia"/>
          <w:color w:val="auto"/>
          <w:lang w:val="en-US" w:eastAsia="zh-CN"/>
        </w:rPr>
      </w:pPr>
      <w:bookmarkStart w:id="29" w:name="_Hlk35936807"/>
      <w:bookmarkStart w:id="30" w:name="_Hlk39906399"/>
      <w:r>
        <w:rPr>
          <w:rFonts w:hint="eastAsia"/>
          <w:color w:val="auto"/>
          <w:lang w:val="en-US" w:eastAsia="zh-CN"/>
        </w:rPr>
        <w:t xml:space="preserve"> </w:t>
      </w:r>
    </w:p>
    <w:p>
      <w:pPr>
        <w:spacing w:line="276" w:lineRule="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eastAsia="zh-CN"/>
        </w:rPr>
        <w:t>二</w:t>
      </w:r>
      <w:r>
        <w:rPr>
          <w:rFonts w:hint="eastAsia" w:ascii="宋体" w:hAnsi="宋体" w:cs="宋体"/>
          <w:b/>
          <w:color w:val="auto"/>
          <w:sz w:val="24"/>
        </w:rPr>
        <w:t>）评审内容</w:t>
      </w:r>
    </w:p>
    <w:p>
      <w:pPr>
        <w:spacing w:line="276" w:lineRule="auto"/>
        <w:ind w:firstLine="480" w:firstLineChars="200"/>
        <w:rPr>
          <w:rFonts w:ascii="宋体" w:hAnsi="宋体" w:cs="宋体"/>
          <w:color w:val="auto"/>
          <w:sz w:val="24"/>
        </w:rPr>
      </w:pPr>
      <w:r>
        <w:rPr>
          <w:rFonts w:hint="eastAsia" w:ascii="宋体" w:hAnsi="宋体" w:cs="宋体"/>
          <w:color w:val="auto"/>
          <w:sz w:val="24"/>
        </w:rPr>
        <w:t>1、磋商响应文件评审内容及标准</w:t>
      </w:r>
    </w:p>
    <w:p>
      <w:pPr>
        <w:spacing w:line="276" w:lineRule="auto"/>
        <w:ind w:firstLine="480" w:firstLineChars="200"/>
        <w:rPr>
          <w:rFonts w:ascii="宋体" w:hAnsi="宋体" w:cs="宋体"/>
          <w:color w:val="auto"/>
          <w:sz w:val="24"/>
        </w:rPr>
      </w:pPr>
      <w:r>
        <w:rPr>
          <w:rFonts w:hint="eastAsia" w:ascii="宋体" w:hAnsi="宋体" w:cs="宋体"/>
          <w:color w:val="auto"/>
          <w:sz w:val="24"/>
        </w:rPr>
        <w:t>采购人或采购代理机构对响应文件的资格性审查作合格性评审, 评审结论分为“合格”与“不合格”。评审不合格的投标文件不再进行后续评审。</w:t>
      </w:r>
    </w:p>
    <w:p>
      <w:pPr>
        <w:spacing w:line="276" w:lineRule="auto"/>
        <w:ind w:firstLine="480" w:firstLineChars="200"/>
        <w:rPr>
          <w:rFonts w:ascii="宋体" w:hAnsi="宋体" w:cs="宋体"/>
          <w:color w:val="auto"/>
          <w:sz w:val="24"/>
        </w:rPr>
      </w:pPr>
      <w:r>
        <w:rPr>
          <w:rFonts w:hint="eastAsia" w:ascii="宋体" w:hAnsi="宋体" w:cs="宋体"/>
          <w:color w:val="auto"/>
          <w:sz w:val="24"/>
        </w:rPr>
        <w:t>有下列评审标准情形之一的，应做无效投标处理：</w:t>
      </w:r>
    </w:p>
    <w:tbl>
      <w:tblPr>
        <w:tblStyle w:val="3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369"/>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997"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5982"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8" w:type="dxa"/>
            <w:vMerge w:val="restart"/>
            <w:vAlign w:val="center"/>
          </w:tcPr>
          <w:p>
            <w:pPr>
              <w:rPr>
                <w:rFonts w:ascii="宋体" w:hAnsi="宋体"/>
                <w:color w:val="auto"/>
              </w:rPr>
            </w:pPr>
            <w:r>
              <w:rPr>
                <w:color w:val="auto"/>
              </w:rPr>
              <w:t>资格</w:t>
            </w:r>
            <w:r>
              <w:rPr>
                <w:rFonts w:hint="eastAsia"/>
                <w:color w:val="auto"/>
              </w:rPr>
              <w:t>评审</w:t>
            </w:r>
          </w:p>
        </w:tc>
        <w:tc>
          <w:tcPr>
            <w:tcW w:w="2369" w:type="dxa"/>
            <w:vAlign w:val="center"/>
          </w:tcPr>
          <w:p>
            <w:pPr>
              <w:jc w:val="center"/>
              <w:rPr>
                <w:rFonts w:ascii="宋体" w:hAnsi="宋体"/>
                <w:color w:val="auto"/>
              </w:rPr>
            </w:pPr>
            <w:r>
              <w:rPr>
                <w:color w:val="auto"/>
              </w:rPr>
              <w:t>营业执照</w:t>
            </w:r>
          </w:p>
        </w:tc>
        <w:tc>
          <w:tcPr>
            <w:tcW w:w="5982" w:type="dxa"/>
            <w:vAlign w:val="center"/>
          </w:tcPr>
          <w:p>
            <w:pPr>
              <w:rPr>
                <w:rFonts w:hint="eastAsia" w:ascii="宋体" w:hAnsi="宋体" w:eastAsiaTheme="minorEastAsia"/>
                <w:color w:val="auto"/>
                <w:lang w:eastAsia="zh-CN"/>
              </w:rPr>
            </w:pPr>
            <w:r>
              <w:rPr>
                <w:rFonts w:hint="eastAsia"/>
                <w:color w:val="auto"/>
                <w:lang w:eastAsia="zh-CN"/>
              </w:rPr>
              <w:t>不</w:t>
            </w:r>
            <w:r>
              <w:rPr>
                <w:rFonts w:hint="eastAsia"/>
                <w:color w:val="auto"/>
              </w:rPr>
              <w:t>具备</w:t>
            </w:r>
            <w:r>
              <w:rPr>
                <w:color w:val="auto"/>
              </w:rPr>
              <w:t>合法有效营业执照</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8" w:type="dxa"/>
            <w:vMerge w:val="continue"/>
            <w:vAlign w:val="center"/>
          </w:tcPr>
          <w:p>
            <w:pPr>
              <w:rPr>
                <w:rFonts w:ascii="宋体" w:hAnsi="宋体"/>
                <w:color w:val="auto"/>
              </w:rPr>
            </w:pPr>
          </w:p>
        </w:tc>
        <w:tc>
          <w:tcPr>
            <w:tcW w:w="2369" w:type="dxa"/>
            <w:vAlign w:val="center"/>
          </w:tcPr>
          <w:p>
            <w:pPr>
              <w:jc w:val="center"/>
              <w:rPr>
                <w:rFonts w:hint="eastAsia" w:ascii="宋体" w:hAnsi="宋体" w:eastAsiaTheme="minorEastAsia"/>
                <w:color w:val="auto"/>
                <w:lang w:eastAsia="zh-CN"/>
              </w:rPr>
            </w:pPr>
            <w:r>
              <w:rPr>
                <w:rFonts w:hint="eastAsia" w:ascii="宋体" w:hAnsi="宋体"/>
                <w:color w:val="auto"/>
                <w:lang w:eastAsia="zh-CN"/>
              </w:rPr>
              <w:t>开户许可证</w:t>
            </w:r>
          </w:p>
        </w:tc>
        <w:tc>
          <w:tcPr>
            <w:tcW w:w="5982" w:type="dxa"/>
            <w:vAlign w:val="center"/>
          </w:tcPr>
          <w:p>
            <w:pPr>
              <w:rPr>
                <w:rFonts w:hint="eastAsia" w:ascii="宋体" w:hAnsi="宋体" w:eastAsiaTheme="minorEastAsia"/>
                <w:color w:val="auto"/>
                <w:lang w:eastAsia="zh-CN"/>
              </w:rPr>
            </w:pPr>
            <w:r>
              <w:rPr>
                <w:rFonts w:hint="eastAsia" w:ascii="宋体" w:hAnsi="宋体"/>
                <w:color w:val="auto"/>
                <w:lang w:eastAsia="zh-CN"/>
              </w:rPr>
              <w:t>不具备合法有效的开户许可证；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center"/>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法定代表人或授权代表资格</w:t>
            </w:r>
          </w:p>
        </w:tc>
        <w:tc>
          <w:tcPr>
            <w:tcW w:w="5982" w:type="dxa"/>
            <w:vAlign w:val="center"/>
          </w:tcPr>
          <w:p>
            <w:pPr>
              <w:spacing w:line="440" w:lineRule="exact"/>
              <w:jc w:val="left"/>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不符合</w:t>
            </w:r>
            <w:r>
              <w:rPr>
                <w:rFonts w:hint="eastAsia" w:ascii="宋体" w:hAnsi="宋体" w:eastAsia="宋体" w:cs="Times New Roman"/>
                <w:color w:val="auto"/>
                <w:szCs w:val="21"/>
                <w:lang w:val="en-US" w:eastAsia="zh-CN"/>
              </w:rPr>
              <w:t>竞争性磋商文件</w:t>
            </w:r>
            <w:r>
              <w:rPr>
                <w:rFonts w:hint="eastAsia" w:ascii="宋体" w:hAnsi="宋体" w:eastAsia="宋体" w:cs="Times New Roman"/>
                <w:color w:val="auto"/>
                <w:szCs w:val="21"/>
              </w:rPr>
              <w:t>要求</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ascii="宋体" w:hAnsi="宋体"/>
                <w:color w:val="auto"/>
              </w:rPr>
            </w:pPr>
            <w:r>
              <w:rPr>
                <w:rFonts w:hint="eastAsia" w:ascii="宋体" w:hAnsi="宋体" w:eastAsia="宋体" w:cs="Times New Roman"/>
                <w:color w:val="auto"/>
                <w:szCs w:val="21"/>
              </w:rPr>
              <w:t>不存在禁止投标的情形</w:t>
            </w:r>
          </w:p>
        </w:tc>
        <w:tc>
          <w:tcPr>
            <w:tcW w:w="5982" w:type="dxa"/>
            <w:vAlign w:val="center"/>
          </w:tcPr>
          <w:p>
            <w:pPr>
              <w:spacing w:line="440" w:lineRule="exact"/>
              <w:jc w:val="left"/>
              <w:outlineLvl w:val="9"/>
              <w:rPr>
                <w:rFonts w:ascii="宋体" w:hAnsi="宋体"/>
                <w:color w:val="auto"/>
              </w:rPr>
            </w:pPr>
            <w:r>
              <w:rPr>
                <w:rFonts w:hint="eastAsia" w:ascii="宋体" w:hAnsi="宋体" w:eastAsia="宋体" w:cs="Times New Roman"/>
                <w:color w:val="auto"/>
                <w:szCs w:val="21"/>
                <w:lang w:val="en-US" w:eastAsia="zh-CN"/>
              </w:rPr>
              <w:t>存在竞争性磋商文件禁止投标的其他情形；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jc w:val="both"/>
              <w:rPr>
                <w:rFonts w:ascii="宋体" w:hAnsi="宋体"/>
                <w:color w:val="auto"/>
              </w:rPr>
            </w:pPr>
            <w:r>
              <w:rPr>
                <w:color w:val="auto"/>
              </w:rPr>
              <w:t>投标联合体</w:t>
            </w:r>
          </w:p>
        </w:tc>
        <w:tc>
          <w:tcPr>
            <w:tcW w:w="5982" w:type="dxa"/>
            <w:vAlign w:val="center"/>
          </w:tcPr>
          <w:p>
            <w:pPr>
              <w:rPr>
                <w:rFonts w:ascii="宋体" w:hAnsi="宋体"/>
                <w:color w:val="auto"/>
              </w:rPr>
            </w:pPr>
            <w:r>
              <w:rPr>
                <w:rFonts w:hint="eastAsia"/>
                <w:color w:val="auto"/>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hint="default" w:ascii="宋体" w:hAnsi="宋体" w:eastAsia="宋体" w:cs="Times New Roman"/>
                <w:color w:val="auto"/>
                <w:kern w:val="2"/>
                <w:sz w:val="21"/>
                <w:szCs w:val="21"/>
                <w:lang w:val="en-US" w:eastAsia="zh-CN" w:bidi="ar-SA"/>
              </w:rPr>
            </w:pPr>
            <w:r>
              <w:rPr>
                <w:rFonts w:hint="eastAsia" w:eastAsia="宋体"/>
                <w:color w:val="auto"/>
                <w:lang w:val="en-US" w:eastAsia="zh-CN"/>
              </w:rPr>
              <w:t>信誉要求</w:t>
            </w:r>
          </w:p>
        </w:tc>
        <w:tc>
          <w:tcPr>
            <w:tcW w:w="5982" w:type="dxa"/>
            <w:vAlign w:val="center"/>
          </w:tcPr>
          <w:p>
            <w:pPr>
              <w:spacing w:line="440" w:lineRule="exact"/>
              <w:jc w:val="left"/>
              <w:outlineLvl w:val="9"/>
              <w:rPr>
                <w:rFonts w:hint="eastAsia" w:ascii="宋体" w:hAnsi="宋体" w:cs="Times New Roman" w:eastAsiaTheme="minorEastAsia"/>
                <w:color w:val="auto"/>
                <w:kern w:val="2"/>
                <w:sz w:val="21"/>
                <w:szCs w:val="21"/>
                <w:lang w:val="en-US" w:eastAsia="zh-CN" w:bidi="ar-SA"/>
              </w:rPr>
            </w:pPr>
            <w:r>
              <w:rPr>
                <w:rFonts w:hint="eastAsia"/>
                <w:color w:val="auto"/>
                <w:lang w:val="en-US" w:eastAsia="zh-CN"/>
              </w:rPr>
              <w:t>不</w:t>
            </w:r>
            <w:r>
              <w:rPr>
                <w:rFonts w:hint="eastAsia"/>
                <w:color w:val="auto"/>
              </w:rPr>
              <w:t>符合</w:t>
            </w:r>
            <w:r>
              <w:rPr>
                <w:rFonts w:hint="eastAsia"/>
                <w:color w:val="auto"/>
                <w:lang w:val="en-US" w:eastAsia="zh-CN"/>
              </w:rPr>
              <w:t>竞争性磋商文件</w:t>
            </w:r>
            <w:r>
              <w:rPr>
                <w:rFonts w:hint="eastAsia"/>
                <w:color w:val="auto"/>
              </w:rPr>
              <w:t>要求</w:t>
            </w:r>
            <w:r>
              <w:rPr>
                <w:rFonts w:hint="eastAsia"/>
                <w:color w:val="auto"/>
                <w:lang w:eastAsia="zh-CN"/>
              </w:rPr>
              <w:t>，</w:t>
            </w:r>
            <w:r>
              <w:rPr>
                <w:rFonts w:hint="eastAsia"/>
                <w:color w:val="auto"/>
                <w:lang w:val="en-US" w:eastAsia="zh-CN"/>
              </w:rPr>
              <w:t>有不良行为记录；</w:t>
            </w:r>
          </w:p>
        </w:tc>
      </w:tr>
    </w:tbl>
    <w:p>
      <w:pPr>
        <w:spacing w:line="276" w:lineRule="auto"/>
        <w:ind w:firstLine="480" w:firstLineChars="200"/>
        <w:rPr>
          <w:rFonts w:ascii="宋体" w:hAnsi="宋体" w:cs="宋体"/>
          <w:color w:val="auto"/>
          <w:sz w:val="24"/>
        </w:rPr>
      </w:pPr>
    </w:p>
    <w:p>
      <w:pPr>
        <w:spacing w:line="276" w:lineRule="auto"/>
        <w:ind w:firstLine="480" w:firstLineChars="200"/>
        <w:rPr>
          <w:rFonts w:ascii="宋体" w:hAnsi="宋体" w:cs="宋体"/>
          <w:color w:val="auto"/>
          <w:sz w:val="24"/>
        </w:rPr>
      </w:pPr>
      <w:r>
        <w:rPr>
          <w:rFonts w:hint="eastAsia" w:ascii="宋体" w:hAnsi="宋体" w:cs="宋体"/>
          <w:color w:val="auto"/>
          <w:sz w:val="24"/>
        </w:rPr>
        <w:t>评标委员会对评标委员会应对响应文件中</w:t>
      </w:r>
      <w:r>
        <w:rPr>
          <w:rFonts w:hint="eastAsia" w:ascii="宋体" w:hAnsi="宋体" w:cs="宋体"/>
          <w:color w:val="auto"/>
          <w:sz w:val="24"/>
          <w:lang w:eastAsia="zh-CN"/>
        </w:rPr>
        <w:t>服务</w:t>
      </w:r>
      <w:r>
        <w:rPr>
          <w:rFonts w:hint="eastAsia" w:ascii="宋体" w:hAnsi="宋体" w:cs="宋体"/>
          <w:color w:val="auto"/>
          <w:sz w:val="24"/>
        </w:rPr>
        <w:t>内容是否满足竞争性</w:t>
      </w:r>
      <w:r>
        <w:rPr>
          <w:rFonts w:hint="eastAsia" w:ascii="宋体" w:hAnsi="宋体" w:cs="宋体"/>
          <w:color w:val="auto"/>
          <w:sz w:val="24"/>
          <w:lang w:eastAsia="zh-CN"/>
        </w:rPr>
        <w:t>磋商</w:t>
      </w:r>
      <w:r>
        <w:rPr>
          <w:rFonts w:hint="eastAsia" w:ascii="宋体" w:hAnsi="宋体" w:cs="宋体"/>
          <w:color w:val="auto"/>
          <w:sz w:val="24"/>
        </w:rPr>
        <w:t>采购文件要求进行评审。评审不合格的</w:t>
      </w:r>
      <w:r>
        <w:rPr>
          <w:rFonts w:hint="eastAsia" w:ascii="宋体" w:hAnsi="宋体" w:cs="宋体"/>
          <w:color w:val="auto"/>
          <w:sz w:val="24"/>
          <w:lang w:eastAsia="zh-CN"/>
        </w:rPr>
        <w:t>磋商</w:t>
      </w:r>
      <w:r>
        <w:rPr>
          <w:rFonts w:hint="eastAsia" w:ascii="宋体" w:hAnsi="宋体" w:cs="宋体"/>
          <w:color w:val="auto"/>
          <w:sz w:val="24"/>
        </w:rPr>
        <w:t>响应文件不再进行后续一对一</w:t>
      </w:r>
      <w:r>
        <w:rPr>
          <w:rFonts w:hint="eastAsia" w:ascii="宋体" w:hAnsi="宋体" w:cs="宋体"/>
          <w:color w:val="auto"/>
          <w:sz w:val="24"/>
          <w:lang w:eastAsia="zh-CN"/>
        </w:rPr>
        <w:t>磋商</w:t>
      </w:r>
      <w:r>
        <w:rPr>
          <w:rFonts w:hint="eastAsia" w:ascii="宋体" w:hAnsi="宋体" w:cs="宋体"/>
          <w:color w:val="auto"/>
          <w:sz w:val="24"/>
        </w:rPr>
        <w:t>。</w:t>
      </w:r>
    </w:p>
    <w:p>
      <w:pPr>
        <w:spacing w:line="276" w:lineRule="auto"/>
        <w:ind w:firstLine="480" w:firstLineChars="200"/>
        <w:rPr>
          <w:rFonts w:ascii="宋体" w:hAnsi="宋体" w:cs="宋体"/>
          <w:color w:val="auto"/>
          <w:sz w:val="24"/>
        </w:rPr>
      </w:pPr>
      <w:r>
        <w:rPr>
          <w:rFonts w:hint="eastAsia" w:ascii="宋体" w:hAnsi="宋体" w:cs="宋体"/>
          <w:color w:val="auto"/>
          <w:sz w:val="24"/>
        </w:rPr>
        <w:t xml:space="preserve">有下列评审标准情形之一的，应做无效投标处理： </w:t>
      </w:r>
    </w:p>
    <w:tbl>
      <w:tblPr>
        <w:tblStyle w:val="3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127"/>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751"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6168"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restart"/>
            <w:vAlign w:val="center"/>
          </w:tcPr>
          <w:p>
            <w:pPr>
              <w:rPr>
                <w:rFonts w:ascii="宋体" w:hAnsi="宋体"/>
                <w:color w:val="auto"/>
              </w:rPr>
            </w:pPr>
            <w:r>
              <w:rPr>
                <w:color w:val="auto"/>
              </w:rPr>
              <w:t>符合性</w:t>
            </w:r>
            <w:r>
              <w:rPr>
                <w:rFonts w:hint="eastAsia"/>
                <w:color w:val="auto"/>
              </w:rPr>
              <w:t>评审</w:t>
            </w:r>
          </w:p>
        </w:tc>
        <w:tc>
          <w:tcPr>
            <w:tcW w:w="2127" w:type="dxa"/>
            <w:tcBorders>
              <w:bottom w:val="single" w:color="auto" w:sz="4" w:space="0"/>
            </w:tcBorders>
            <w:vAlign w:val="center"/>
          </w:tcPr>
          <w:p>
            <w:pPr>
              <w:jc w:val="center"/>
              <w:rPr>
                <w:rFonts w:ascii="宋体" w:hAnsi="宋体"/>
                <w:color w:val="auto"/>
              </w:rPr>
            </w:pPr>
            <w:r>
              <w:rPr>
                <w:color w:val="auto"/>
              </w:rPr>
              <w:t>投标人名称</w:t>
            </w:r>
          </w:p>
        </w:tc>
        <w:tc>
          <w:tcPr>
            <w:tcW w:w="6168" w:type="dxa"/>
            <w:tcBorders>
              <w:bottom w:val="single" w:color="auto" w:sz="4" w:space="0"/>
            </w:tcBorders>
            <w:vAlign w:val="center"/>
          </w:tcPr>
          <w:p>
            <w:pPr>
              <w:rPr>
                <w:rFonts w:hint="eastAsia" w:ascii="宋体" w:hAnsi="宋体" w:eastAsiaTheme="minorEastAsia"/>
                <w:color w:val="auto"/>
                <w:lang w:eastAsia="zh-CN"/>
              </w:rPr>
            </w:pPr>
            <w:r>
              <w:rPr>
                <w:color w:val="auto"/>
              </w:rPr>
              <w:t>与营业执照</w:t>
            </w:r>
            <w:r>
              <w:rPr>
                <w:rFonts w:hint="eastAsia"/>
                <w:color w:val="auto"/>
                <w:lang w:eastAsia="zh-CN"/>
              </w:rPr>
              <w:t>、</w:t>
            </w:r>
            <w:r>
              <w:rPr>
                <w:rFonts w:hint="eastAsia"/>
                <w:color w:val="auto"/>
                <w:lang w:val="en-US" w:eastAsia="zh-CN"/>
              </w:rPr>
              <w:t>开户许可证不</w:t>
            </w:r>
            <w:r>
              <w:rPr>
                <w:color w:val="auto"/>
              </w:rPr>
              <w:t>一致</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color w:val="auto"/>
              </w:rPr>
            </w:pPr>
          </w:p>
        </w:tc>
        <w:tc>
          <w:tcPr>
            <w:tcW w:w="2127" w:type="dxa"/>
            <w:tcBorders>
              <w:bottom w:val="single" w:color="auto" w:sz="4" w:space="0"/>
            </w:tcBorders>
            <w:vAlign w:val="center"/>
          </w:tcPr>
          <w:p>
            <w:pPr>
              <w:jc w:val="center"/>
              <w:rPr>
                <w:color w:val="auto"/>
              </w:rPr>
            </w:pPr>
            <w:r>
              <w:rPr>
                <w:rFonts w:hint="eastAsia" w:asciiTheme="minorEastAsia" w:hAnsiTheme="minorEastAsia" w:cstheme="minorEastAsia"/>
                <w:b w:val="0"/>
                <w:bCs w:val="0"/>
                <w:color w:val="auto"/>
                <w:spacing w:val="0"/>
                <w:sz w:val="21"/>
                <w:szCs w:val="21"/>
                <w:vertAlign w:val="baseline"/>
                <w:lang w:val="en-US" w:eastAsia="zh-CN"/>
              </w:rPr>
              <w:t>投标保证金</w:t>
            </w:r>
          </w:p>
        </w:tc>
        <w:tc>
          <w:tcPr>
            <w:tcW w:w="6168" w:type="dxa"/>
            <w:tcBorders>
              <w:bottom w:val="single" w:color="auto" w:sz="4" w:space="0"/>
            </w:tcBorders>
            <w:vAlign w:val="center"/>
          </w:tcPr>
          <w:p>
            <w:pPr>
              <w:rPr>
                <w:color w:val="auto"/>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响应文件签署</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按竞争性</w:t>
            </w:r>
            <w:r>
              <w:rPr>
                <w:rFonts w:hint="eastAsia"/>
                <w:color w:val="auto"/>
                <w:lang w:eastAsia="zh-CN"/>
              </w:rPr>
              <w:t>磋商</w:t>
            </w:r>
            <w:r>
              <w:rPr>
                <w:color w:val="auto"/>
              </w:rPr>
              <w:t>文件要求加盖公章</w:t>
            </w:r>
            <w:r>
              <w:rPr>
                <w:rFonts w:hint="eastAsia"/>
                <w:color w:val="auto"/>
              </w:rPr>
              <w:t>，</w:t>
            </w:r>
            <w:r>
              <w:rPr>
                <w:color w:val="auto"/>
              </w:rPr>
              <w:t>且</w:t>
            </w:r>
            <w:r>
              <w:rPr>
                <w:rFonts w:hint="eastAsia"/>
                <w:color w:val="auto"/>
                <w:lang w:val="en-US" w:eastAsia="zh-CN"/>
              </w:rPr>
              <w:t>没</w:t>
            </w:r>
            <w:r>
              <w:rPr>
                <w:rFonts w:hint="eastAsia"/>
                <w:color w:val="auto"/>
              </w:rPr>
              <w:t>有</w:t>
            </w:r>
            <w:r>
              <w:rPr>
                <w:color w:val="auto"/>
              </w:rPr>
              <w:t>法定代表人或授权代表签字（</w:t>
            </w:r>
            <w:r>
              <w:rPr>
                <w:rFonts w:hint="eastAsia"/>
                <w:color w:val="auto"/>
              </w:rPr>
              <w:t>或</w:t>
            </w:r>
            <w:r>
              <w:rPr>
                <w:color w:val="auto"/>
              </w:rPr>
              <w:t>签章）</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响应文件格式</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w:t>
            </w:r>
            <w:r>
              <w:rPr>
                <w:rFonts w:hint="eastAsia"/>
                <w:color w:val="auto"/>
                <w:lang w:eastAsia="zh-CN"/>
              </w:rPr>
              <w:t>格式</w:t>
            </w:r>
            <w:r>
              <w:rPr>
                <w:rFonts w:hint="eastAsia"/>
                <w:color w:val="auto"/>
              </w:rPr>
              <w:t>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rFonts w:hint="eastAsia"/>
                <w:color w:val="auto"/>
                <w:lang w:val="en-US" w:eastAsia="zh-CN"/>
              </w:rPr>
              <w:t>投标</w:t>
            </w:r>
            <w:r>
              <w:rPr>
                <w:rFonts w:hint="eastAsia"/>
                <w:color w:val="auto"/>
              </w:rPr>
              <w:t>报价</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4" w:type="dxa"/>
            <w:vMerge w:val="continue"/>
            <w:vAlign w:val="center"/>
          </w:tcPr>
          <w:p>
            <w:pPr>
              <w:rPr>
                <w:rFonts w:ascii="宋体" w:hAnsi="宋体"/>
                <w:color w:val="auto"/>
              </w:rPr>
            </w:pPr>
          </w:p>
        </w:tc>
        <w:tc>
          <w:tcPr>
            <w:tcW w:w="2127" w:type="dxa"/>
            <w:vAlign w:val="center"/>
          </w:tcPr>
          <w:p>
            <w:pPr>
              <w:jc w:val="center"/>
              <w:rPr>
                <w:color w:val="auto"/>
              </w:rPr>
            </w:pPr>
            <w:r>
              <w:rPr>
                <w:color w:val="auto"/>
              </w:rPr>
              <w:t>投标有效期</w:t>
            </w:r>
          </w:p>
        </w:tc>
        <w:tc>
          <w:tcPr>
            <w:tcW w:w="6168" w:type="dxa"/>
            <w:vAlign w:val="center"/>
          </w:tcPr>
          <w:p>
            <w:pPr>
              <w:rPr>
                <w:rFonts w:hint="eastAsia"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default" w:ascii="宋体" w:hAnsi="宋体" w:eastAsiaTheme="minorEastAsia" w:cstheme="minorBidi"/>
                <w:color w:val="auto"/>
                <w:kern w:val="2"/>
                <w:sz w:val="21"/>
                <w:szCs w:val="22"/>
                <w:lang w:val="en-US" w:eastAsia="zh-CN" w:bidi="ar-SA"/>
              </w:rPr>
            </w:pPr>
            <w:r>
              <w:rPr>
                <w:rFonts w:hint="eastAsia" w:ascii="宋体" w:hAnsi="宋体" w:cs="宋体"/>
                <w:b w:val="0"/>
                <w:bCs w:val="0"/>
                <w:color w:val="auto"/>
                <w:spacing w:val="0"/>
                <w:sz w:val="21"/>
                <w:szCs w:val="21"/>
                <w:vertAlign w:val="baseline"/>
                <w:lang w:val="en-US" w:eastAsia="zh-CN"/>
              </w:rPr>
              <w:t>交货期、质保期限</w:t>
            </w:r>
            <w:r>
              <w:rPr>
                <w:color w:val="auto"/>
              </w:rPr>
              <w:t>、等</w:t>
            </w:r>
          </w:p>
        </w:tc>
        <w:tc>
          <w:tcPr>
            <w:tcW w:w="6168" w:type="dxa"/>
            <w:vAlign w:val="center"/>
          </w:tcPr>
          <w:p>
            <w:pPr>
              <w:rPr>
                <w:rFonts w:hint="eastAsia" w:ascii="宋体" w:hAnsi="宋体" w:eastAsiaTheme="minorEastAsia" w:cstheme="minorBidi"/>
                <w:color w:val="auto"/>
                <w:kern w:val="2"/>
                <w:sz w:val="21"/>
                <w:szCs w:val="22"/>
                <w:lang w:val="en-US" w:eastAsia="zh-CN" w:bidi="ar-SA"/>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default" w:ascii="宋体" w:hAnsi="宋体" w:eastAsiaTheme="minorEastAsia"/>
                <w:color w:val="auto"/>
                <w:lang w:val="en-US" w:eastAsia="zh-CN"/>
              </w:rPr>
            </w:pPr>
            <w:r>
              <w:rPr>
                <w:rFonts w:hint="eastAsia" w:ascii="宋体" w:hAnsi="宋体"/>
                <w:color w:val="auto"/>
                <w:lang w:val="en-US" w:eastAsia="zh-CN"/>
              </w:rPr>
              <w:t>其他要求</w:t>
            </w:r>
          </w:p>
        </w:tc>
        <w:tc>
          <w:tcPr>
            <w:tcW w:w="6168" w:type="dxa"/>
            <w:vAlign w:val="center"/>
          </w:tcPr>
          <w:p>
            <w:pPr>
              <w:rPr>
                <w:rFonts w:hint="eastAsia" w:ascii="宋体" w:hAnsi="宋体" w:eastAsiaTheme="minorEastAsia"/>
                <w:color w:val="auto"/>
                <w:lang w:eastAsia="zh-CN"/>
              </w:rPr>
            </w:pPr>
            <w:r>
              <w:rPr>
                <w:rFonts w:hint="eastAsia" w:ascii="宋体" w:hAnsi="宋体" w:cs="宋体"/>
                <w:sz w:val="24"/>
                <w:szCs w:val="24"/>
                <w:highlight w:val="white"/>
              </w:rPr>
              <w:t>是否有不符合招标文件中规定的其他实质性要求；</w:t>
            </w:r>
          </w:p>
        </w:tc>
      </w:tr>
      <w:bookmarkEnd w:id="29"/>
    </w:tbl>
    <w:p>
      <w:pPr>
        <w:spacing w:line="360" w:lineRule="auto"/>
        <w:ind w:firstLine="470" w:firstLineChars="196"/>
        <w:rPr>
          <w:rFonts w:hint="eastAsia" w:ascii="宋体" w:hAnsi="宋体" w:cs="宋体" w:eastAsiaTheme="minorEastAsia"/>
          <w:color w:val="auto"/>
          <w:sz w:val="24"/>
          <w:lang w:eastAsia="zh-CN"/>
        </w:rPr>
      </w:pPr>
      <w:r>
        <w:rPr>
          <w:rFonts w:hint="eastAsia" w:ascii="宋体" w:hAnsi="宋体" w:cs="宋体"/>
          <w:color w:val="auto"/>
          <w:sz w:val="24"/>
        </w:rPr>
        <w:t>2、评标委员会对通过以上审查的响应文件进行评估，确定与各供应商磋商的具体内容</w:t>
      </w:r>
      <w:r>
        <w:rPr>
          <w:rFonts w:hint="eastAsia" w:ascii="宋体" w:hAnsi="宋体" w:cs="宋体"/>
          <w:color w:val="auto"/>
          <w:sz w:val="24"/>
          <w:lang w:eastAsia="zh-CN"/>
        </w:rPr>
        <w:t>。</w:t>
      </w:r>
    </w:p>
    <w:p>
      <w:pPr>
        <w:spacing w:line="360" w:lineRule="auto"/>
        <w:ind w:firstLine="480" w:firstLineChars="200"/>
        <w:rPr>
          <w:rFonts w:hint="eastAsia" w:ascii="宋体" w:hAnsi="宋体" w:cs="宋体" w:eastAsiaTheme="minorEastAsia"/>
          <w:color w:val="auto"/>
          <w:sz w:val="24"/>
          <w:lang w:eastAsia="zh-CN"/>
        </w:rPr>
      </w:pPr>
      <w:r>
        <w:rPr>
          <w:rFonts w:hint="eastAsia" w:ascii="宋体" w:hAnsi="宋体" w:cs="宋体"/>
          <w:color w:val="auto"/>
          <w:sz w:val="24"/>
        </w:rPr>
        <w:t>3、围绕磋商要点，评标委员会全体成员按照各供应商签到顺序集中与单一供应商分别进行磋商</w:t>
      </w:r>
      <w:r>
        <w:rPr>
          <w:rFonts w:hint="eastAsia" w:ascii="宋体" w:hAnsi="宋体" w:cs="宋体"/>
          <w:color w:val="auto"/>
          <w:sz w:val="24"/>
          <w:lang w:eastAsia="zh-CN"/>
        </w:rPr>
        <w:t>，原则上只进行两轮磋商，但评标委员会认为必要时可继续进行磋商。</w:t>
      </w:r>
    </w:p>
    <w:p>
      <w:pPr>
        <w:spacing w:line="360" w:lineRule="auto"/>
        <w:ind w:firstLine="480" w:firstLineChars="200"/>
        <w:rPr>
          <w:rFonts w:ascii="宋体" w:hAnsi="宋体" w:cs="宋体"/>
          <w:color w:val="auto"/>
          <w:sz w:val="24"/>
        </w:rPr>
      </w:pPr>
      <w:r>
        <w:rPr>
          <w:rFonts w:hint="eastAsia" w:ascii="宋体" w:hAnsi="宋体" w:cs="宋体"/>
          <w:color w:val="auto"/>
          <w:sz w:val="24"/>
        </w:rPr>
        <w:t>4、实质性变动</w:t>
      </w:r>
    </w:p>
    <w:p>
      <w:pPr>
        <w:spacing w:line="360" w:lineRule="auto"/>
        <w:ind w:firstLine="480" w:firstLineChars="200"/>
        <w:rPr>
          <w:rFonts w:ascii="宋体" w:hAnsi="宋体" w:cs="宋体"/>
          <w:color w:val="auto"/>
          <w:sz w:val="24"/>
        </w:rPr>
      </w:pPr>
      <w:r>
        <w:rPr>
          <w:rFonts w:hint="eastAsia" w:ascii="宋体" w:hAnsi="宋体" w:cs="宋体"/>
          <w:color w:val="auto"/>
          <w:sz w:val="24"/>
        </w:rPr>
        <w:t>磋商过程中，评标委员会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pPr>
        <w:spacing w:line="360" w:lineRule="auto"/>
        <w:ind w:firstLine="480" w:firstLineChars="200"/>
        <w:rPr>
          <w:rFonts w:ascii="宋体" w:hAnsi="宋体" w:cs="宋体"/>
          <w:color w:val="auto"/>
          <w:sz w:val="24"/>
        </w:rPr>
      </w:pPr>
      <w:r>
        <w:rPr>
          <w:rFonts w:hint="eastAsia" w:ascii="宋体" w:hAnsi="宋体" w:cs="宋体"/>
          <w:color w:val="auto"/>
          <w:sz w:val="24"/>
        </w:rPr>
        <w:t>磋商供应商按照竞争性磋商文件的变动情况和评标委员会的要求，在规定的时间内以书面形式作出响应，并由其法定代表人或授权代表签字或者加盖公章。</w:t>
      </w:r>
    </w:p>
    <w:p>
      <w:pPr>
        <w:spacing w:line="360" w:lineRule="auto"/>
        <w:ind w:firstLine="480" w:firstLineChars="200"/>
        <w:rPr>
          <w:rFonts w:ascii="宋体" w:hAnsi="宋体" w:cs="宋体"/>
          <w:color w:val="auto"/>
          <w:sz w:val="24"/>
        </w:rPr>
      </w:pPr>
      <w:r>
        <w:rPr>
          <w:rFonts w:hint="eastAsia" w:ascii="宋体" w:hAnsi="宋体" w:cs="宋体"/>
          <w:color w:val="auto"/>
          <w:sz w:val="24"/>
        </w:rPr>
        <w:t>未按要求作出响应的响应文件，将视为无效投标。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5、最后报价</w:t>
      </w:r>
    </w:p>
    <w:p>
      <w:pPr>
        <w:spacing w:line="360" w:lineRule="auto"/>
        <w:ind w:firstLine="480" w:firstLineChars="200"/>
        <w:rPr>
          <w:rFonts w:ascii="宋体" w:hAnsi="宋体" w:cs="宋体"/>
          <w:color w:val="auto"/>
          <w:sz w:val="24"/>
        </w:rPr>
      </w:pPr>
      <w:r>
        <w:rPr>
          <w:rFonts w:hint="eastAsia" w:ascii="宋体" w:hAnsi="宋体" w:cs="宋体"/>
          <w:color w:val="auto"/>
          <w:sz w:val="24"/>
        </w:rPr>
        <w:t>磋商结束后，评标委员会将要求实质性响应竞争性磋商文件的磋商供应商在规定时间内提交最后报价。在规定的时间内，没有提交最后报价的磋商供应商，视为退出磋商。未通过实质性响应的磋商供应商将不再进行最后报价。</w:t>
      </w:r>
    </w:p>
    <w:p>
      <w:pPr>
        <w:spacing w:line="360" w:lineRule="auto"/>
        <w:ind w:firstLine="480" w:firstLineChars="200"/>
        <w:rPr>
          <w:rFonts w:ascii="宋体" w:hAnsi="宋体" w:cs="宋体"/>
          <w:b/>
          <w:color w:val="auto"/>
          <w:sz w:val="24"/>
        </w:rPr>
      </w:pPr>
      <w:r>
        <w:rPr>
          <w:rFonts w:hint="eastAsia" w:ascii="宋体" w:hAnsi="宋体" w:cs="宋体"/>
          <w:color w:val="auto"/>
          <w:sz w:val="24"/>
        </w:rPr>
        <w:t>已提交响应文件的供应商，在提交最后报价之前，可以根据磋商情况退出磋商。其磋商保证金与未列为成交供应商的磋商保证金一同退还。</w:t>
      </w:r>
    </w:p>
    <w:p>
      <w:pPr>
        <w:spacing w:line="360" w:lineRule="auto"/>
        <w:ind w:firstLine="480" w:firstLineChars="200"/>
        <w:rPr>
          <w:rFonts w:ascii="宋体" w:hAnsi="宋体" w:cs="宋体"/>
          <w:color w:val="auto"/>
          <w:sz w:val="24"/>
        </w:rPr>
      </w:pPr>
      <w:r>
        <w:rPr>
          <w:rFonts w:hint="eastAsia" w:ascii="宋体" w:hAnsi="宋体" w:cs="宋体"/>
          <w:color w:val="auto"/>
          <w:sz w:val="24"/>
        </w:rPr>
        <w:t>经磋商确定最终采购需求和提交最后报价的供应商后，由评标委员会结合本竞争性磋商文件规定的政府采购政策进行的价格扣除及综合评分法对提交最后报价的供应商的响应文件和最后报价进行综合评分。</w:t>
      </w:r>
    </w:p>
    <w:bookmarkEnd w:id="30"/>
    <w:p>
      <w:pPr>
        <w:spacing w:line="360" w:lineRule="auto"/>
        <w:rPr>
          <w:rFonts w:ascii="宋体" w:hAnsi="宋体" w:cs="宋体"/>
          <w:b/>
          <w:color w:val="auto"/>
          <w:sz w:val="24"/>
        </w:rPr>
      </w:pPr>
      <w:r>
        <w:rPr>
          <w:rFonts w:hint="eastAsia" w:ascii="宋体" w:hAnsi="宋体" w:cs="宋体"/>
          <w:b/>
          <w:color w:val="auto"/>
          <w:sz w:val="24"/>
        </w:rPr>
        <w:t>二、评审方法和标准</w:t>
      </w:r>
    </w:p>
    <w:p>
      <w:pPr>
        <w:spacing w:line="360" w:lineRule="auto"/>
        <w:rPr>
          <w:rFonts w:ascii="宋体" w:hAnsi="宋体" w:cs="宋体"/>
          <w:b/>
          <w:color w:val="auto"/>
          <w:sz w:val="24"/>
        </w:rPr>
      </w:pPr>
      <w:r>
        <w:rPr>
          <w:rFonts w:hint="eastAsia" w:ascii="宋体" w:hAnsi="宋体" w:cs="宋体"/>
          <w:b/>
          <w:color w:val="auto"/>
          <w:sz w:val="24"/>
        </w:rPr>
        <w:t>（一）、评审方法</w:t>
      </w:r>
    </w:p>
    <w:p>
      <w:pPr>
        <w:spacing w:line="360" w:lineRule="auto"/>
        <w:ind w:firstLine="480" w:firstLineChars="200"/>
        <w:rPr>
          <w:rFonts w:ascii="宋体" w:hAnsi="宋体" w:cs="宋体"/>
          <w:color w:val="auto"/>
          <w:sz w:val="24"/>
        </w:rPr>
      </w:pPr>
      <w:bookmarkStart w:id="31" w:name="_Hlk39664001"/>
      <w:r>
        <w:rPr>
          <w:rFonts w:hint="eastAsia" w:ascii="宋体" w:hAnsi="宋体" w:cs="宋体"/>
          <w:color w:val="auto"/>
          <w:sz w:val="24"/>
        </w:rPr>
        <w:t>1、本项目采用综合评分法，总分100分。综合评分法是指响应文件满足竞争性磋商文件全部实质性要求且按评审因素的量化指标评审得分由高到底的顺序推荐</w:t>
      </w:r>
      <w:r>
        <w:rPr>
          <w:rFonts w:hint="eastAsia" w:ascii="宋体" w:hAnsi="宋体" w:cs="宋体"/>
          <w:color w:val="auto"/>
          <w:sz w:val="24"/>
          <w:lang w:val="en-US" w:eastAsia="zh-CN"/>
        </w:rPr>
        <w:t>3</w:t>
      </w:r>
      <w:r>
        <w:rPr>
          <w:rFonts w:hint="eastAsia" w:ascii="宋体" w:hAnsi="宋体" w:cs="宋体"/>
          <w:color w:val="auto"/>
          <w:sz w:val="24"/>
        </w:rPr>
        <w:t>名供应商为成交候选供应商。</w:t>
      </w:r>
    </w:p>
    <w:p>
      <w:pPr>
        <w:spacing w:line="360" w:lineRule="auto"/>
        <w:ind w:firstLine="360" w:firstLineChars="15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、评标委员会按照竞争性磋商文件的要求和条件，根据各磋商供应商的技术、商务、价格、对竞争性磋商文件的响应程度等进行综合评价、评分，将评审总得分按照从高到低的顺序排列，并依此顺序推荐</w:t>
      </w:r>
      <w:r>
        <w:rPr>
          <w:rFonts w:hint="eastAsia" w:ascii="宋体" w:hAnsi="宋体" w:cs="宋体"/>
          <w:color w:val="auto"/>
          <w:sz w:val="24"/>
          <w:lang w:val="en-US" w:eastAsia="zh-CN"/>
        </w:rPr>
        <w:t>3</w:t>
      </w:r>
      <w:r>
        <w:rPr>
          <w:rFonts w:hint="eastAsia" w:ascii="宋体" w:hAnsi="宋体" w:cs="宋体"/>
          <w:color w:val="auto"/>
          <w:sz w:val="24"/>
        </w:rPr>
        <w:t>名成交候选供应商。</w:t>
      </w:r>
    </w:p>
    <w:bookmarkEnd w:id="31"/>
    <w:p>
      <w:pPr>
        <w:spacing w:line="360" w:lineRule="auto"/>
        <w:ind w:firstLine="360" w:firstLineChars="150"/>
        <w:rPr>
          <w:rFonts w:ascii="宋体" w:hAnsi="宋体" w:cs="宋体"/>
          <w:color w:val="auto"/>
          <w:sz w:val="24"/>
        </w:rPr>
      </w:pPr>
      <w:r>
        <w:rPr>
          <w:rFonts w:hint="eastAsia" w:ascii="宋体" w:hAnsi="宋体" w:cs="宋体"/>
          <w:color w:val="auto"/>
          <w:sz w:val="24"/>
        </w:rPr>
        <w:t>3、例外情况</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评审总得分相同的，按最后报价由低到高的顺序排序；评审总得分及最后报价均相同的，按技术部分得分由高到低排序；依然相同的，由</w:t>
      </w:r>
      <w:r>
        <w:rPr>
          <w:rFonts w:hint="eastAsia" w:ascii="宋体" w:hAnsi="宋体" w:cs="宋体"/>
          <w:color w:val="auto"/>
          <w:sz w:val="24"/>
          <w:lang w:eastAsia="zh-CN"/>
        </w:rPr>
        <w:t>采购人根据项目实际情况</w:t>
      </w:r>
      <w:r>
        <w:rPr>
          <w:rFonts w:hint="eastAsia" w:ascii="宋体" w:hAnsi="宋体" w:cs="宋体"/>
          <w:color w:val="auto"/>
          <w:sz w:val="24"/>
        </w:rPr>
        <w:t>确定顺序。</w:t>
      </w:r>
    </w:p>
    <w:p>
      <w:pPr>
        <w:spacing w:line="360" w:lineRule="auto"/>
        <w:ind w:firstLine="480" w:firstLineChars="200"/>
        <w:rPr>
          <w:rFonts w:hint="eastAsia" w:ascii="宋体" w:hAnsi="宋体" w:cs="宋体"/>
          <w:color w:val="auto"/>
          <w:sz w:val="24"/>
          <w:lang w:val="en-US" w:eastAsia="zh-CN"/>
        </w:rPr>
      </w:pP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pStyle w:val="23"/>
        <w:bidi w:val="0"/>
        <w:rPr>
          <w:color w:val="auto"/>
        </w:rPr>
      </w:pPr>
    </w:p>
    <w:p>
      <w:pPr>
        <w:spacing w:line="540" w:lineRule="exact"/>
        <w:rPr>
          <w:rFonts w:ascii="宋体" w:hAnsi="宋体" w:cs="宋体"/>
          <w:b/>
          <w:color w:val="auto"/>
          <w:sz w:val="24"/>
        </w:rPr>
      </w:pPr>
      <w:r>
        <w:rPr>
          <w:rFonts w:hint="eastAsia" w:ascii="宋体" w:hAnsi="宋体" w:cs="宋体"/>
          <w:b/>
          <w:color w:val="auto"/>
          <w:sz w:val="24"/>
        </w:rPr>
        <w:t>（二）评审标准</w:t>
      </w:r>
      <w:r>
        <w:rPr>
          <w:rFonts w:hint="eastAsia" w:ascii="宋体" w:hAnsi="宋体" w:cs="宋体"/>
          <w:color w:val="auto"/>
          <w:sz w:val="24"/>
        </w:rPr>
        <w:t>（数值计算结果均保留两位小数，第三位四舍五入）</w:t>
      </w:r>
    </w:p>
    <w:p>
      <w:pPr>
        <w:spacing w:line="540" w:lineRule="exact"/>
        <w:ind w:firstLine="482" w:firstLineChars="200"/>
        <w:rPr>
          <w:rFonts w:ascii="宋体" w:hAnsi="宋体" w:cs="宋体"/>
          <w:b/>
          <w:color w:val="auto"/>
          <w:sz w:val="24"/>
        </w:rPr>
      </w:pPr>
      <w:r>
        <w:rPr>
          <w:rFonts w:hint="eastAsia" w:ascii="宋体" w:hAnsi="宋体" w:cs="宋体"/>
          <w:b/>
          <w:color w:val="auto"/>
          <w:sz w:val="24"/>
        </w:rPr>
        <w:t>1、评审分值分布(满分100分)</w:t>
      </w:r>
    </w:p>
    <w:p>
      <w:pPr>
        <w:spacing w:line="360" w:lineRule="auto"/>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eastAsia="zh-CN"/>
        </w:rPr>
        <w:t>报价</w:t>
      </w:r>
      <w:r>
        <w:rPr>
          <w:rFonts w:hint="eastAsia" w:ascii="宋体" w:hAnsi="宋体" w:cs="宋体"/>
          <w:color w:val="auto"/>
          <w:sz w:val="24"/>
        </w:rPr>
        <w:t>部分（</w:t>
      </w:r>
      <w:r>
        <w:rPr>
          <w:rFonts w:hint="eastAsia" w:ascii="宋体" w:hAnsi="宋体" w:cs="宋体"/>
          <w:color w:val="auto"/>
          <w:sz w:val="24"/>
          <w:lang w:val="en-US" w:eastAsia="zh-CN"/>
        </w:rPr>
        <w:t>10</w:t>
      </w:r>
      <w:r>
        <w:rPr>
          <w:rFonts w:hint="eastAsia" w:ascii="宋体" w:hAnsi="宋体" w:cs="宋体"/>
          <w:color w:val="auto"/>
          <w:sz w:val="24"/>
        </w:rPr>
        <w:t>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商务</w:t>
      </w:r>
      <w:r>
        <w:rPr>
          <w:rFonts w:hint="eastAsia" w:ascii="宋体" w:hAnsi="宋体" w:cs="宋体"/>
          <w:color w:val="auto"/>
          <w:sz w:val="24"/>
        </w:rPr>
        <w:t>技术部分（</w:t>
      </w:r>
      <w:r>
        <w:rPr>
          <w:rFonts w:hint="eastAsia" w:ascii="宋体" w:hAnsi="宋体" w:cs="宋体"/>
          <w:color w:val="auto"/>
          <w:sz w:val="24"/>
          <w:lang w:val="en-US" w:eastAsia="zh-CN"/>
        </w:rPr>
        <w:t>90</w:t>
      </w:r>
      <w:r>
        <w:rPr>
          <w:rFonts w:hint="eastAsia" w:ascii="宋体" w:hAnsi="宋体" w:cs="宋体"/>
          <w:color w:val="auto"/>
          <w:sz w:val="24"/>
        </w:rPr>
        <w:t>分）</w:t>
      </w:r>
    </w:p>
    <w:p>
      <w:pPr>
        <w:pStyle w:val="27"/>
        <w:bidi w:val="0"/>
        <w:rPr>
          <w:rFonts w:hint="eastAsia"/>
        </w:rPr>
      </w:pPr>
    </w:p>
    <w:p>
      <w:pPr>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2、评审标准</w:t>
      </w:r>
    </w:p>
    <w:p>
      <w:pPr>
        <w:spacing w:line="360" w:lineRule="auto"/>
        <w:ind w:firstLine="480" w:firstLineChars="200"/>
      </w:pPr>
      <w:r>
        <w:rPr>
          <w:rFonts w:hint="eastAsia" w:ascii="宋体" w:hAnsi="宋体"/>
          <w:color w:val="auto"/>
          <w:sz w:val="24"/>
          <w:highlight w:val="white"/>
        </w:rPr>
        <w:t>2.1</w:t>
      </w:r>
      <w:r>
        <w:rPr>
          <w:rFonts w:hint="eastAsia" w:ascii="宋体" w:hAnsi="宋体"/>
          <w:color w:val="auto"/>
          <w:sz w:val="24"/>
          <w:highlight w:val="white"/>
          <w:lang w:eastAsia="zh-CN"/>
        </w:rPr>
        <w:t>报价</w:t>
      </w:r>
      <w:r>
        <w:rPr>
          <w:rFonts w:hint="eastAsia" w:ascii="宋体" w:hAnsi="宋体"/>
          <w:color w:val="auto"/>
          <w:sz w:val="24"/>
          <w:highlight w:val="white"/>
        </w:rPr>
        <w:t>内容及标准（</w:t>
      </w:r>
      <w:r>
        <w:rPr>
          <w:rFonts w:hint="eastAsia" w:ascii="宋体" w:hAnsi="宋体"/>
          <w:color w:val="auto"/>
          <w:sz w:val="24"/>
          <w:highlight w:val="white"/>
          <w:lang w:val="en-US" w:eastAsia="zh-CN"/>
        </w:rPr>
        <w:t>10</w:t>
      </w:r>
      <w:r>
        <w:rPr>
          <w:rFonts w:hint="eastAsia" w:ascii="宋体" w:hAnsi="宋体"/>
          <w:color w:val="auto"/>
          <w:sz w:val="24"/>
          <w:highlight w:val="white"/>
        </w:rPr>
        <w:t>分）</w:t>
      </w:r>
    </w:p>
    <w:tbl>
      <w:tblPr>
        <w:tblStyle w:val="33"/>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35"/>
        <w:gridCol w:w="944"/>
        <w:gridCol w:w="686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评审项目</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分值</w:t>
            </w:r>
          </w:p>
        </w:tc>
        <w:tc>
          <w:tcPr>
            <w:tcW w:w="6862"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96"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报价</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6862" w:type="dxa"/>
            <w:tcBorders>
              <w:top w:val="outset" w:color="auto" w:sz="6" w:space="0"/>
              <w:left w:val="outset" w:color="auto" w:sz="6" w:space="0"/>
              <w:bottom w:val="outset" w:color="auto" w:sz="6" w:space="0"/>
              <w:right w:val="outset" w:color="auto" w:sz="6" w:space="0"/>
            </w:tcBorders>
            <w:vAlign w:val="center"/>
          </w:tcPr>
          <w:p>
            <w:pPr>
              <w:pStyle w:val="10"/>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p>
          <w:p>
            <w:pPr>
              <w:pStyle w:val="10"/>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投标报价得分＝(评标基准价／投标报价）*100*10% </w:t>
            </w:r>
          </w:p>
          <w:p>
            <w:pPr>
              <w:pStyle w:val="10"/>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评标过程中，不得去掉报价中的最高报价和最低报价。</w:t>
            </w:r>
          </w:p>
          <w:p>
            <w:pPr>
              <w:pStyle w:val="10"/>
              <w:numPr>
                <w:ilvl w:val="0"/>
                <w:numId w:val="2"/>
              </w:numPr>
              <w:ind w:left="0" w:leftChars="0" w:firstLine="0" w:firstLineChars="0"/>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
              <w:numPr>
                <w:ilvl w:val="0"/>
                <w:numId w:val="2"/>
              </w:numPr>
              <w:ind w:left="0" w:leftChars="0" w:firstLine="0" w:firstLineChars="0"/>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本项目为面向中小微企业项目不再进行价格扣除。</w:t>
            </w:r>
          </w:p>
          <w:p>
            <w:pPr>
              <w:pStyle w:val="10"/>
              <w:numPr>
                <w:ilvl w:val="0"/>
                <w:numId w:val="0"/>
              </w:numPr>
              <w:jc w:val="left"/>
              <w:rPr>
                <w:rFonts w:hint="eastAsia" w:ascii="宋体" w:hAnsi="宋体" w:cs="宋体"/>
                <w:b w:val="0"/>
                <w:bCs w:val="0"/>
                <w:color w:val="auto"/>
                <w:spacing w:val="0"/>
                <w:sz w:val="24"/>
                <w:szCs w:val="24"/>
                <w:vertAlign w:val="baseline"/>
                <w:lang w:val="en-US" w:eastAsia="zh-CN"/>
              </w:rPr>
            </w:pPr>
          </w:p>
        </w:tc>
      </w:tr>
    </w:tbl>
    <w:p>
      <w:pPr>
        <w:spacing w:line="360" w:lineRule="auto"/>
        <w:ind w:firstLine="480" w:firstLineChars="200"/>
        <w:rPr>
          <w:rFonts w:hint="eastAsia" w:ascii="宋体" w:hAnsi="宋体"/>
          <w:color w:val="auto"/>
          <w:sz w:val="24"/>
          <w:highlight w:val="white"/>
        </w:rPr>
      </w:pPr>
      <w:r>
        <w:rPr>
          <w:rFonts w:hint="eastAsia" w:ascii="宋体" w:hAnsi="宋体"/>
          <w:color w:val="auto"/>
          <w:sz w:val="24"/>
          <w:highlight w:val="white"/>
        </w:rPr>
        <w:t>2.2</w:t>
      </w:r>
      <w:r>
        <w:rPr>
          <w:rFonts w:hint="eastAsia" w:ascii="宋体" w:hAnsi="宋体"/>
          <w:color w:val="auto"/>
          <w:sz w:val="24"/>
          <w:highlight w:val="white"/>
          <w:lang w:eastAsia="zh-CN"/>
        </w:rPr>
        <w:t>商务</w:t>
      </w:r>
      <w:r>
        <w:rPr>
          <w:rFonts w:hint="eastAsia" w:ascii="宋体" w:hAnsi="宋体"/>
          <w:color w:val="auto"/>
          <w:sz w:val="24"/>
          <w:highlight w:val="white"/>
        </w:rPr>
        <w:t>技术评审内容及标准（</w:t>
      </w:r>
      <w:r>
        <w:rPr>
          <w:rFonts w:hint="eastAsia" w:ascii="宋体" w:hAnsi="宋体"/>
          <w:color w:val="auto"/>
          <w:sz w:val="24"/>
          <w:highlight w:val="white"/>
          <w:lang w:val="en-US" w:eastAsia="zh-CN"/>
        </w:rPr>
        <w:t>90</w:t>
      </w:r>
      <w:r>
        <w:rPr>
          <w:rFonts w:hint="eastAsia" w:ascii="宋体" w:hAnsi="宋体"/>
          <w:color w:val="auto"/>
          <w:sz w:val="24"/>
          <w:highlight w:val="white"/>
        </w:rPr>
        <w:t>分）</w:t>
      </w:r>
    </w:p>
    <w:tbl>
      <w:tblPr>
        <w:tblStyle w:val="34"/>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95"/>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7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spacing w:line="360" w:lineRule="auto"/>
              <w:jc w:val="center"/>
              <w:rPr>
                <w:rFonts w:hint="default" w:hAnsi="宋体" w:eastAsia="宋体" w:cs="宋体" w:asciiTheme="minorHAnsi"/>
                <w:kern w:val="2"/>
                <w:sz w:val="24"/>
                <w:szCs w:val="24"/>
                <w:lang w:val="en-US" w:eastAsia="zh-CN" w:bidi="ar-SA"/>
              </w:rPr>
            </w:pPr>
            <w:r>
              <w:rPr>
                <w:rFonts w:hint="eastAsia" w:hAnsi="宋体" w:cs="宋体"/>
                <w:sz w:val="24"/>
                <w:szCs w:val="24"/>
                <w:lang w:val="en-US" w:eastAsia="zh-CN"/>
              </w:rPr>
              <w:t>实施方案44分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宋体" w:hAnsi="宋体" w:cs="宋体"/>
                <w:b w:val="0"/>
                <w:bCs w:val="0"/>
                <w:color w:val="auto"/>
                <w:spacing w:val="0"/>
                <w:sz w:val="24"/>
                <w:szCs w:val="24"/>
                <w:vertAlign w:val="baseline"/>
                <w:lang w:val="en-US" w:eastAsia="zh-CN"/>
              </w:rPr>
            </w:pPr>
            <w:r>
              <w:rPr>
                <w:rFonts w:hint="eastAsia" w:ascii="宋体" w:hAnsi="宋体" w:eastAsia="宋体" w:cs="宋体"/>
                <w:sz w:val="24"/>
                <w:szCs w:val="24"/>
                <w:lang w:val="en-US" w:eastAsia="zh-CN" w:bidi="ar-SA"/>
              </w:rPr>
              <w:t>根据供应商针对本项目</w:t>
            </w:r>
            <w:r>
              <w:rPr>
                <w:rFonts w:hint="eastAsia" w:eastAsia="宋体" w:cs="宋体"/>
                <w:sz w:val="24"/>
                <w:szCs w:val="24"/>
                <w:lang w:val="en-US" w:eastAsia="zh-CN" w:bidi="ar-SA"/>
              </w:rPr>
              <w:t>提供</w:t>
            </w:r>
            <w:r>
              <w:rPr>
                <w:rFonts w:hint="eastAsia" w:ascii="宋体" w:hAnsi="宋体" w:eastAsia="宋体" w:cs="宋体"/>
                <w:sz w:val="24"/>
                <w:szCs w:val="24"/>
                <w:lang w:val="en-US" w:eastAsia="zh-CN" w:bidi="ar-SA"/>
              </w:rPr>
              <w:t>的实施方案，包含①项目背景理解；②项目总体认知；③</w:t>
            </w:r>
            <w:r>
              <w:rPr>
                <w:rFonts w:hint="eastAsia" w:eastAsia="宋体" w:cs="宋体"/>
                <w:sz w:val="24"/>
                <w:szCs w:val="24"/>
                <w:lang w:val="en-US" w:eastAsia="zh-CN" w:bidi="ar-SA"/>
              </w:rPr>
              <w:t>库车</w:t>
            </w:r>
            <w:r>
              <w:rPr>
                <w:rFonts w:hint="eastAsia" w:ascii="宋体" w:hAnsi="宋体" w:eastAsia="宋体" w:cs="宋体"/>
                <w:sz w:val="24"/>
                <w:szCs w:val="24"/>
                <w:lang w:val="en-US" w:eastAsia="zh-CN" w:bidi="ar-SA"/>
              </w:rPr>
              <w:t>国家地质公园资源现状分析；④资源分类评价；⑤资源利用方向；⑥重点、难点分析及对策；⑦项目进度安排；⑧质量保障措施；⑨应急预案；⑩人员组织及安排；⑪旅游营销策划方向</w:t>
            </w:r>
            <w:r>
              <w:rPr>
                <w:rFonts w:hint="eastAsia" w:eastAsia="宋体" w:cs="宋体"/>
                <w:sz w:val="24"/>
                <w:szCs w:val="24"/>
                <w:lang w:val="en-US" w:eastAsia="zh-CN" w:bidi="ar-SA"/>
              </w:rPr>
              <w:t>内容</w:t>
            </w:r>
            <w:r>
              <w:rPr>
                <w:rFonts w:hint="eastAsia" w:ascii="宋体" w:hAnsi="宋体" w:eastAsia="宋体" w:cs="宋体"/>
                <w:sz w:val="24"/>
                <w:szCs w:val="24"/>
                <w:lang w:val="en-US" w:eastAsia="zh-CN" w:bidi="ar-SA"/>
              </w:rPr>
              <w:t>进行综合评分：实施方案内容齐全，完全满足项目需求得44分；每缺一项内容扣4分，每有一项内容存在缺陷的扣2分，扣完为止。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spacing w:line="360" w:lineRule="auto"/>
              <w:jc w:val="center"/>
              <w:rPr>
                <w:rFonts w:hint="default" w:hAnsi="宋体" w:eastAsia="宋体" w:cs="宋体" w:asciiTheme="minorHAnsi"/>
                <w:kern w:val="2"/>
                <w:sz w:val="24"/>
                <w:szCs w:val="24"/>
                <w:lang w:val="en-US" w:eastAsia="zh-CN" w:bidi="ar-SA"/>
              </w:rPr>
            </w:pPr>
            <w:r>
              <w:rPr>
                <w:rFonts w:hint="eastAsia" w:ascii="宋体" w:hAnsi="宋体" w:eastAsia="宋体" w:cs="宋体"/>
                <w:b w:val="0"/>
                <w:bCs w:val="0"/>
                <w:sz w:val="24"/>
                <w:szCs w:val="24"/>
              </w:rPr>
              <w:t>售后服务方案</w:t>
            </w:r>
            <w:r>
              <w:rPr>
                <w:rFonts w:hint="eastAsia" w:ascii="宋体" w:hAnsi="宋体" w:eastAsia="宋体" w:cs="宋体"/>
                <w:b w:val="0"/>
                <w:bCs w:val="0"/>
                <w:sz w:val="24"/>
                <w:szCs w:val="24"/>
                <w:lang w:val="en-US" w:eastAsia="zh-CN"/>
              </w:rPr>
              <w:t>16分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eastAsia="宋体" w:cs="宋体"/>
                <w:b w:val="0"/>
                <w:bCs w:val="0"/>
                <w:sz w:val="24"/>
                <w:szCs w:val="24"/>
              </w:rPr>
              <w:t>根据供应商针对本项目</w:t>
            </w:r>
            <w:r>
              <w:rPr>
                <w:rFonts w:hint="eastAsia" w:eastAsia="宋体" w:cs="宋体"/>
                <w:b w:val="0"/>
                <w:bCs w:val="0"/>
                <w:sz w:val="24"/>
                <w:szCs w:val="24"/>
                <w:lang w:val="en-US" w:eastAsia="zh-CN"/>
              </w:rPr>
              <w:t>提供</w:t>
            </w:r>
            <w:r>
              <w:rPr>
                <w:rFonts w:hint="eastAsia" w:ascii="宋体" w:hAnsi="宋体" w:eastAsia="宋体" w:cs="宋体"/>
                <w:b w:val="0"/>
                <w:bCs w:val="0"/>
                <w:sz w:val="24"/>
                <w:szCs w:val="24"/>
              </w:rPr>
              <w:t>的售后服务方案</w:t>
            </w:r>
            <w:r>
              <w:rPr>
                <w:rFonts w:hint="eastAsia" w:eastAsia="宋体" w:cs="宋体"/>
                <w:b w:val="0"/>
                <w:bCs w:val="0"/>
                <w:sz w:val="24"/>
                <w:szCs w:val="24"/>
                <w:lang w:eastAsia="zh-CN"/>
              </w:rPr>
              <w:t>，</w:t>
            </w:r>
            <w:r>
              <w:rPr>
                <w:rFonts w:hint="eastAsia" w:eastAsia="宋体" w:cs="宋体"/>
                <w:b w:val="0"/>
                <w:bCs w:val="0"/>
                <w:sz w:val="24"/>
                <w:szCs w:val="24"/>
                <w:lang w:val="en-US" w:eastAsia="zh-CN"/>
              </w:rPr>
              <w:t>包括：</w:t>
            </w:r>
            <w:r>
              <w:rPr>
                <w:rFonts w:hint="eastAsia" w:ascii="宋体" w:hAnsi="宋体" w:eastAsia="宋体" w:cs="宋体"/>
                <w:b w:val="0"/>
                <w:bCs w:val="0"/>
                <w:sz w:val="24"/>
                <w:szCs w:val="24"/>
              </w:rPr>
              <w:t>①售后保障体系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②售后服务人员及职责划分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③售后响应时间</w:t>
            </w:r>
            <w:r>
              <w:rPr>
                <w:rFonts w:hint="eastAsia" w:ascii="宋体" w:hAnsi="宋体" w:eastAsia="宋体" w:cs="宋体"/>
                <w:b w:val="0"/>
                <w:bCs w:val="0"/>
                <w:sz w:val="24"/>
                <w:szCs w:val="24"/>
                <w:lang w:eastAsia="zh-CN"/>
              </w:rPr>
              <w:t>；④</w:t>
            </w:r>
            <w:r>
              <w:rPr>
                <w:rFonts w:hint="eastAsia" w:ascii="宋体" w:hAnsi="宋体" w:eastAsia="宋体" w:cs="宋体"/>
                <w:b w:val="0"/>
                <w:bCs w:val="0"/>
                <w:sz w:val="24"/>
                <w:szCs w:val="24"/>
              </w:rPr>
              <w:t>售后服务承诺进行综合评分：</w:t>
            </w:r>
            <w:r>
              <w:rPr>
                <w:rFonts w:hint="eastAsia" w:ascii="宋体" w:hAnsi="宋体" w:eastAsia="宋体" w:cs="宋体"/>
                <w:b w:val="0"/>
                <w:bCs w:val="0"/>
                <w:sz w:val="24"/>
                <w:szCs w:val="24"/>
                <w:lang w:eastAsia="zh-CN"/>
              </w:rPr>
              <w:t>售后服务方案</w:t>
            </w:r>
            <w:r>
              <w:rPr>
                <w:rFonts w:hint="eastAsia" w:ascii="宋体" w:hAnsi="宋体" w:eastAsia="宋体" w:cs="宋体"/>
                <w:b w:val="0"/>
                <w:bCs w:val="0"/>
                <w:sz w:val="24"/>
                <w:szCs w:val="24"/>
              </w:rPr>
              <w:t>内容齐全，</w:t>
            </w:r>
            <w:r>
              <w:rPr>
                <w:rFonts w:hint="eastAsia" w:ascii="宋体" w:hAnsi="宋体" w:eastAsia="宋体" w:cs="宋体"/>
                <w:b w:val="0"/>
                <w:bCs w:val="0"/>
                <w:sz w:val="24"/>
                <w:szCs w:val="24"/>
                <w:lang w:eastAsia="zh-CN"/>
              </w:rPr>
              <w:t>完全满足项目需求</w:t>
            </w:r>
            <w:r>
              <w:rPr>
                <w:rFonts w:hint="eastAsia" w:ascii="宋体" w:hAnsi="宋体" w:eastAsia="宋体" w:cs="宋体"/>
                <w:b w:val="0"/>
                <w:bCs w:val="0"/>
                <w:sz w:val="24"/>
                <w:szCs w:val="24"/>
              </w:rPr>
              <w:t>得</w:t>
            </w: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分；每</w:t>
            </w:r>
            <w:r>
              <w:rPr>
                <w:rFonts w:hint="eastAsia" w:ascii="宋体" w:hAnsi="宋体" w:eastAsia="宋体" w:cs="宋体"/>
                <w:b w:val="0"/>
                <w:bCs w:val="0"/>
                <w:sz w:val="24"/>
                <w:szCs w:val="24"/>
                <w:lang w:eastAsia="zh-CN"/>
              </w:rPr>
              <w:t>缺</w:t>
            </w:r>
            <w:r>
              <w:rPr>
                <w:rFonts w:hint="eastAsia" w:ascii="宋体" w:hAnsi="宋体" w:eastAsia="宋体" w:cs="宋体"/>
                <w:b w:val="0"/>
                <w:bCs w:val="0"/>
                <w:sz w:val="24"/>
                <w:szCs w:val="24"/>
              </w:rPr>
              <w:t>一项</w:t>
            </w:r>
            <w:r>
              <w:rPr>
                <w:rFonts w:hint="eastAsia" w:ascii="宋体" w:hAnsi="宋体" w:eastAsia="宋体" w:cs="宋体"/>
                <w:b w:val="0"/>
                <w:bCs w:val="0"/>
                <w:sz w:val="24"/>
                <w:szCs w:val="24"/>
                <w:lang w:eastAsia="zh-CN"/>
              </w:rPr>
              <w:t>内容</w:t>
            </w:r>
            <w:r>
              <w:rPr>
                <w:rFonts w:hint="eastAsia" w:ascii="宋体" w:hAnsi="宋体" w:eastAsia="宋体" w:cs="宋体"/>
                <w:b w:val="0"/>
                <w:bCs w:val="0"/>
                <w:sz w:val="24"/>
                <w:szCs w:val="24"/>
              </w:rPr>
              <w:t>扣</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分，每有一项内容存在</w:t>
            </w:r>
            <w:r>
              <w:rPr>
                <w:rFonts w:hint="eastAsia" w:ascii="宋体" w:hAnsi="宋体" w:eastAsia="宋体" w:cs="宋体"/>
                <w:b w:val="0"/>
                <w:bCs w:val="0"/>
                <w:sz w:val="24"/>
                <w:szCs w:val="24"/>
                <w:lang w:eastAsia="zh-CN"/>
              </w:rPr>
              <w:t>缺陷</w:t>
            </w:r>
            <w:r>
              <w:rPr>
                <w:rFonts w:hint="eastAsia" w:ascii="宋体" w:hAnsi="宋体" w:eastAsia="宋体" w:cs="宋体"/>
                <w:b w:val="0"/>
                <w:bCs w:val="0"/>
                <w:sz w:val="24"/>
                <w:szCs w:val="24"/>
              </w:rPr>
              <w:t>的扣</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spacing w:line="360" w:lineRule="auto"/>
              <w:jc w:val="center"/>
              <w:rPr>
                <w:rFonts w:hint="eastAsia" w:hAnsi="宋体" w:cs="宋体"/>
                <w:sz w:val="24"/>
                <w:szCs w:val="24"/>
              </w:rPr>
            </w:pPr>
            <w:r>
              <w:rPr>
                <w:rFonts w:hint="eastAsia" w:hAnsi="宋体" w:cs="宋体"/>
                <w:sz w:val="24"/>
                <w:szCs w:val="24"/>
              </w:rPr>
              <w:t>拟配备</w:t>
            </w:r>
          </w:p>
          <w:p>
            <w:pPr>
              <w:spacing w:line="360" w:lineRule="auto"/>
              <w:jc w:val="center"/>
              <w:rPr>
                <w:rFonts w:hint="default" w:hAnsi="宋体" w:cs="宋体" w:eastAsiaTheme="minorEastAsia"/>
                <w:sz w:val="24"/>
                <w:szCs w:val="24"/>
                <w:lang w:val="en-US" w:eastAsia="zh-CN"/>
              </w:rPr>
            </w:pPr>
            <w:r>
              <w:rPr>
                <w:rFonts w:hint="eastAsia" w:hAnsi="宋体" w:cs="宋体"/>
                <w:sz w:val="24"/>
                <w:szCs w:val="24"/>
              </w:rPr>
              <w:t>人员</w:t>
            </w:r>
            <w:r>
              <w:rPr>
                <w:rFonts w:hint="eastAsia" w:hAnsi="宋体" w:cs="宋体"/>
                <w:sz w:val="24"/>
                <w:szCs w:val="24"/>
                <w:lang w:val="en-US" w:eastAsia="zh-CN"/>
              </w:rPr>
              <w:t>22分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p>
        </w:tc>
        <w:tc>
          <w:tcPr>
            <w:tcW w:w="5845" w:type="dxa"/>
            <w:vAlign w:val="center"/>
          </w:tcPr>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leftChars="-80" w:firstLine="240" w:firstLineChars="100"/>
              <w:textAlignment w:val="auto"/>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1、</w:t>
            </w:r>
            <w:r>
              <w:rPr>
                <w:rFonts w:hint="eastAsia" w:ascii="宋体" w:hAnsi="宋体" w:eastAsia="宋体" w:cs="宋体"/>
                <w:b w:val="0"/>
                <w:bCs w:val="0"/>
                <w:sz w:val="24"/>
                <w:szCs w:val="24"/>
                <w:lang w:val="en-US" w:eastAsia="zh-CN"/>
              </w:rPr>
              <w:t>项目负责人</w:t>
            </w:r>
          </w:p>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拟派本项目的项目负责人具有正高级职称（规划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任意一类）的得3分，具有高级职称（规划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任意一类）的得2分，具有中级职称（规划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任意一类）的得1分。本项最多得3分。</w:t>
            </w:r>
          </w:p>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2、</w:t>
            </w:r>
            <w:r>
              <w:rPr>
                <w:rFonts w:hint="eastAsia" w:ascii="宋体" w:hAnsi="宋体" w:eastAsia="宋体" w:cs="宋体"/>
                <w:b w:val="0"/>
                <w:bCs w:val="0"/>
                <w:sz w:val="24"/>
                <w:szCs w:val="24"/>
                <w:lang w:val="en-US" w:eastAsia="zh-CN"/>
              </w:rPr>
              <w:t>技术负责人</w:t>
            </w:r>
          </w:p>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拟派本项目的技术负责人具有高级</w:t>
            </w:r>
            <w:r>
              <w:rPr>
                <w:rFonts w:hint="eastAsia" w:eastAsia="宋体" w:cs="宋体"/>
                <w:b w:val="0"/>
                <w:bCs w:val="0"/>
                <w:sz w:val="24"/>
                <w:szCs w:val="24"/>
                <w:lang w:val="en-US" w:eastAsia="zh-CN"/>
              </w:rPr>
              <w:t>及以上</w:t>
            </w:r>
            <w:r>
              <w:rPr>
                <w:rFonts w:hint="eastAsia" w:ascii="宋体" w:hAnsi="宋体" w:eastAsia="宋体" w:cs="宋体"/>
                <w:b w:val="0"/>
                <w:bCs w:val="0"/>
                <w:sz w:val="24"/>
                <w:szCs w:val="24"/>
                <w:lang w:val="en-US" w:eastAsia="zh-CN"/>
              </w:rPr>
              <w:t>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任意一类）的得3分，具有中级职称（规划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任意一类）的得1分。本项最多得3分。</w:t>
            </w:r>
          </w:p>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3、</w:t>
            </w:r>
            <w:r>
              <w:rPr>
                <w:rFonts w:hint="eastAsia" w:ascii="宋体" w:hAnsi="宋体" w:eastAsia="宋体" w:cs="宋体"/>
                <w:b w:val="0"/>
                <w:bCs w:val="0"/>
                <w:sz w:val="24"/>
                <w:szCs w:val="24"/>
                <w:lang w:val="en-US" w:eastAsia="zh-CN"/>
              </w:rPr>
              <w:t>其他团队成员</w:t>
            </w:r>
          </w:p>
          <w:p>
            <w:pPr>
              <w:pStyle w:val="145"/>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 xml:space="preserve">  ①</w:t>
            </w:r>
            <w:r>
              <w:rPr>
                <w:rFonts w:hint="eastAsia" w:ascii="宋体" w:hAnsi="宋体" w:eastAsia="宋体" w:cs="宋体"/>
                <w:b w:val="0"/>
                <w:bCs w:val="0"/>
                <w:sz w:val="24"/>
                <w:szCs w:val="24"/>
                <w:lang w:val="en-US" w:eastAsia="zh-CN"/>
              </w:rPr>
              <w:t>每有1名具有相关专业（相关专业指：城市规划</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环境工程</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工业经济项目管理</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地质调查与矿产勘查</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水工环</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地球物理勘查及遥感</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地球化学勘查</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探矿工程</w:t>
            </w:r>
            <w:r>
              <w:rPr>
                <w:rFonts w:hint="eastAsia" w:eastAsia="宋体" w:cs="宋体"/>
                <w:b w:val="0"/>
                <w:bCs w:val="0"/>
                <w:sz w:val="24"/>
                <w:szCs w:val="24"/>
                <w:lang w:val="en-US" w:eastAsia="zh-CN"/>
              </w:rPr>
              <w:t>或</w:t>
            </w:r>
            <w:r>
              <w:rPr>
                <w:rFonts w:hint="eastAsia" w:ascii="宋体" w:hAnsi="宋体" w:eastAsia="宋体" w:cs="宋体"/>
                <w:b w:val="0"/>
                <w:bCs w:val="0"/>
                <w:sz w:val="24"/>
                <w:szCs w:val="24"/>
                <w:lang w:val="en-US" w:eastAsia="zh-CN"/>
              </w:rPr>
              <w:t>市政工程）职称的得1分，本项最多得10分。</w:t>
            </w:r>
          </w:p>
          <w:p>
            <w:pPr>
              <w:pStyle w:val="145"/>
              <w:keepNext w:val="0"/>
              <w:keepLines w:val="0"/>
              <w:pageBreakBefore w:val="0"/>
              <w:widowControl w:val="0"/>
              <w:kinsoku/>
              <w:wordWrap w:val="0"/>
              <w:overflowPunct/>
              <w:topLinePunct/>
              <w:autoSpaceDE/>
              <w:autoSpaceDN/>
              <w:bidi w:val="0"/>
              <w:adjustRightInd w:val="0"/>
              <w:snapToGrid w:val="0"/>
              <w:spacing w:line="360" w:lineRule="auto"/>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②每有1名具有中级及以上职称（规划</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、测绘</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、地质调查</w:t>
            </w:r>
            <w:r>
              <w:rPr>
                <w:rFonts w:hint="eastAsia" w:eastAsia="宋体" w:cs="宋体"/>
                <w:b w:val="0"/>
                <w:bCs w:val="0"/>
                <w:sz w:val="24"/>
                <w:szCs w:val="24"/>
                <w:lang w:val="en-US" w:eastAsia="zh-CN"/>
              </w:rPr>
              <w:t>类</w:t>
            </w:r>
            <w:r>
              <w:rPr>
                <w:rFonts w:hint="eastAsia" w:ascii="宋体" w:hAnsi="宋体" w:eastAsia="宋体" w:cs="宋体"/>
                <w:b w:val="0"/>
                <w:bCs w:val="0"/>
                <w:sz w:val="24"/>
                <w:szCs w:val="24"/>
                <w:lang w:val="en-US" w:eastAsia="zh-CN"/>
              </w:rPr>
              <w:t>任意一类）的得1分，本项最多得6分。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hAnsi="宋体" w:cs="宋体"/>
                <w:b/>
                <w:bCs/>
                <w:sz w:val="21"/>
                <w:szCs w:val="18"/>
              </w:rPr>
              <w:t>注：以上人员不重复得分，提供人员</w:t>
            </w:r>
            <w:r>
              <w:rPr>
                <w:rFonts w:hint="eastAsia" w:hAnsi="宋体" w:cs="宋体"/>
                <w:b/>
                <w:bCs/>
                <w:sz w:val="21"/>
                <w:szCs w:val="18"/>
                <w:lang w:val="en-US" w:eastAsia="zh-CN"/>
              </w:rPr>
              <w:t>职称</w:t>
            </w:r>
            <w:r>
              <w:rPr>
                <w:rFonts w:hint="eastAsia" w:hAnsi="宋体" w:cs="宋体"/>
                <w:b/>
                <w:bCs/>
                <w:sz w:val="21"/>
                <w:szCs w:val="18"/>
              </w:rPr>
              <w:t>证书并加盖供应商单位鲜章，否则相应得分项不得分。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宋体" w:hAnsi="宋体" w:cs="宋体" w:eastAsiaTheme="minorEastAsia"/>
                <w:b w:val="0"/>
                <w:bCs w:val="0"/>
                <w:color w:val="auto"/>
                <w:spacing w:val="0"/>
                <w:sz w:val="24"/>
                <w:szCs w:val="24"/>
                <w:vertAlign w:val="baseline"/>
                <w:lang w:val="en-US" w:eastAsia="zh-CN"/>
              </w:rPr>
            </w:pPr>
            <w:r>
              <w:rPr>
                <w:rFonts w:hint="eastAsia" w:hAnsi="宋体" w:cs="宋体"/>
                <w:sz w:val="24"/>
                <w:szCs w:val="24"/>
              </w:rPr>
              <w:t>履约能力</w:t>
            </w:r>
            <w:r>
              <w:rPr>
                <w:rFonts w:hint="eastAsia" w:hAnsi="宋体" w:cs="宋体"/>
                <w:sz w:val="24"/>
                <w:szCs w:val="24"/>
                <w:lang w:val="en-US" w:eastAsia="zh-CN"/>
              </w:rPr>
              <w:t>8分</w:t>
            </w:r>
          </w:p>
        </w:tc>
        <w:tc>
          <w:tcPr>
            <w:tcW w:w="5845" w:type="dxa"/>
            <w:vAlign w:val="center"/>
          </w:tcPr>
          <w:p>
            <w:pPr>
              <w:pStyle w:val="145"/>
              <w:keepNext w:val="0"/>
              <w:keepLines w:val="0"/>
              <w:pageBreakBefore w:val="0"/>
              <w:widowControl w:val="0"/>
              <w:kinsoku/>
              <w:wordWrap w:val="0"/>
              <w:overflowPunct/>
              <w:topLinePunct/>
              <w:autoSpaceDE/>
              <w:autoSpaceDN/>
              <w:bidi w:val="0"/>
              <w:adjustRightInd w:val="0"/>
              <w:snapToGrid w:val="0"/>
              <w:spacing w:line="360" w:lineRule="auto"/>
              <w:ind w:left="42"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201</w:t>
            </w:r>
            <w:r>
              <w:rPr>
                <w:rFonts w:hint="eastAsia" w:eastAsia="宋体" w:cs="宋体"/>
                <w:b w:val="0"/>
                <w:bCs w:val="0"/>
                <w:sz w:val="24"/>
                <w:szCs w:val="24"/>
                <w:lang w:val="en-US" w:eastAsia="zh-CN"/>
              </w:rPr>
              <w:t>9</w:t>
            </w:r>
            <w:r>
              <w:rPr>
                <w:rFonts w:hint="eastAsia" w:ascii="宋体" w:hAnsi="宋体" w:eastAsia="宋体" w:cs="宋体"/>
                <w:b w:val="0"/>
                <w:bCs w:val="0"/>
                <w:sz w:val="24"/>
                <w:szCs w:val="24"/>
                <w:lang w:val="en-US" w:eastAsia="zh-CN"/>
              </w:rPr>
              <w:t>年1月1日以来</w:t>
            </w:r>
            <w:r>
              <w:rPr>
                <w:rFonts w:hint="eastAsia" w:ascii="宋体" w:hAnsi="宋体" w:eastAsia="宋体" w:cs="宋体"/>
                <w:b w:val="0"/>
                <w:bCs w:val="0"/>
                <w:sz w:val="24"/>
                <w:szCs w:val="24"/>
              </w:rPr>
              <w:t>供应商提供类似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地质</w:t>
            </w:r>
            <w:r>
              <w:rPr>
                <w:rFonts w:hint="eastAsia" w:ascii="宋体" w:hAnsi="宋体" w:eastAsia="宋体" w:cs="宋体"/>
                <w:b w:val="0"/>
                <w:bCs w:val="0"/>
                <w:color w:val="auto"/>
                <w:sz w:val="24"/>
                <w:szCs w:val="24"/>
                <w:lang w:eastAsia="zh-CN"/>
              </w:rPr>
              <w:t>公园</w:t>
            </w:r>
            <w:r>
              <w:rPr>
                <w:rFonts w:hint="eastAsia" w:ascii="宋体" w:hAnsi="宋体" w:eastAsia="宋体" w:cs="宋体"/>
                <w:b w:val="0"/>
                <w:bCs w:val="0"/>
                <w:color w:val="auto"/>
                <w:sz w:val="24"/>
                <w:szCs w:val="24"/>
                <w:lang w:val="en-US" w:eastAsia="zh-CN"/>
              </w:rPr>
              <w:t>类、</w:t>
            </w:r>
            <w:r>
              <w:rPr>
                <w:rFonts w:hint="eastAsia" w:ascii="宋体" w:hAnsi="宋体" w:eastAsia="宋体" w:cs="宋体"/>
                <w:b w:val="0"/>
                <w:bCs w:val="0"/>
                <w:color w:val="auto"/>
                <w:sz w:val="24"/>
                <w:szCs w:val="24"/>
                <w:lang w:eastAsia="zh-CN"/>
              </w:rPr>
              <w:t>资源普查等）</w:t>
            </w:r>
            <w:r>
              <w:rPr>
                <w:rFonts w:hint="eastAsia" w:ascii="宋体" w:hAnsi="宋体" w:eastAsia="宋体" w:cs="宋体"/>
                <w:b w:val="0"/>
                <w:bCs w:val="0"/>
                <w:color w:val="auto"/>
                <w:sz w:val="24"/>
                <w:szCs w:val="24"/>
              </w:rPr>
              <w:t>项目履约经验，每</w:t>
            </w:r>
            <w:r>
              <w:rPr>
                <w:rFonts w:hint="eastAsia" w:ascii="宋体" w:hAnsi="宋体" w:eastAsia="宋体" w:cs="宋体"/>
                <w:b w:val="0"/>
                <w:bCs w:val="0"/>
                <w:sz w:val="24"/>
                <w:szCs w:val="24"/>
              </w:rPr>
              <w:t>提供1个的</w:t>
            </w:r>
            <w:r>
              <w:rPr>
                <w:rFonts w:hint="eastAsia" w:ascii="宋体" w:hAnsi="宋体" w:eastAsia="宋体" w:cs="宋体"/>
                <w:b w:val="0"/>
                <w:bCs w:val="0"/>
                <w:sz w:val="24"/>
                <w:szCs w:val="24"/>
                <w:lang w:eastAsia="zh-CN"/>
              </w:rPr>
              <w:t>得</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分，最多得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hAnsi="宋体" w:cs="宋体"/>
                <w:b/>
                <w:bCs/>
                <w:sz w:val="21"/>
                <w:szCs w:val="18"/>
              </w:rPr>
              <w:t>注：</w:t>
            </w:r>
            <w:r>
              <w:rPr>
                <w:rFonts w:hint="eastAsia" w:hAnsi="宋体" w:cs="宋体"/>
                <w:b/>
                <w:bCs/>
                <w:sz w:val="21"/>
                <w:szCs w:val="18"/>
                <w:lang w:val="zh-CN"/>
              </w:rPr>
              <w:t>提供合同复印件或中标（成交）通知书复印件</w:t>
            </w:r>
            <w:r>
              <w:rPr>
                <w:rFonts w:hint="eastAsia" w:hAnsi="宋体" w:cs="宋体"/>
                <w:b/>
                <w:bCs/>
                <w:sz w:val="21"/>
                <w:szCs w:val="18"/>
              </w:rPr>
              <w:t>并加盖供应商单位鲜章，否则相应得分项不得分。</w:t>
            </w:r>
          </w:p>
        </w:tc>
      </w:tr>
    </w:tbl>
    <w:p>
      <w:pPr>
        <w:pStyle w:val="23"/>
        <w:bidi w:val="0"/>
        <w:rPr>
          <w:color w:val="auto"/>
        </w:rPr>
      </w:pPr>
    </w:p>
    <w:bookmarkEnd w:id="28"/>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2.3评审得分计算标准</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按本章规定的评审因素和分值对报价部分计算出得分A；</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按本章规定的评审因素和分值各评审专家独立对商务技术部分进行评分，根据评审专家评分的平均值计算出各响应供应商商务技术部分得分B；</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按本章规定的评审因素和分值对其他部分计算出得分C（如有）。</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3.2.2评分分值计算保留小数点后两位，小数点后第三位“四舍五入”。</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3.2.3投标人得分=A+B+C。</w:t>
      </w:r>
    </w:p>
    <w:p>
      <w:pPr>
        <w:spacing w:line="360" w:lineRule="auto"/>
        <w:ind w:left="360"/>
        <w:rPr>
          <w:rFonts w:ascii="宋体" w:hAnsi="宋体"/>
          <w:color w:val="auto"/>
          <w:sz w:val="24"/>
          <w:highlight w:val="white"/>
        </w:rPr>
      </w:pPr>
    </w:p>
    <w:p>
      <w:pPr>
        <w:spacing w:line="360" w:lineRule="auto"/>
        <w:rPr>
          <w:rFonts w:ascii="宋体" w:hAnsi="宋体"/>
          <w:color w:val="auto"/>
          <w:sz w:val="24"/>
        </w:rPr>
      </w:pPr>
      <w:r>
        <w:rPr>
          <w:rFonts w:hint="eastAsia" w:ascii="宋体" w:hAnsi="宋体" w:cs="宋体"/>
          <w:b/>
          <w:color w:val="auto"/>
          <w:sz w:val="24"/>
        </w:rPr>
        <w:t>（三）其他</w:t>
      </w:r>
    </w:p>
    <w:p>
      <w:pPr>
        <w:spacing w:line="360" w:lineRule="auto"/>
        <w:ind w:firstLine="480" w:firstLineChars="200"/>
        <w:rPr>
          <w:rFonts w:ascii="宋体" w:hAnsi="宋体"/>
          <w:color w:val="auto"/>
          <w:sz w:val="24"/>
        </w:rPr>
      </w:pPr>
      <w:r>
        <w:rPr>
          <w:rFonts w:hint="eastAsia" w:ascii="宋体" w:hAnsi="宋体"/>
          <w:color w:val="auto"/>
          <w:sz w:val="24"/>
        </w:rPr>
        <w:t>1、参与</w:t>
      </w:r>
      <w:r>
        <w:rPr>
          <w:rFonts w:hint="eastAsia" w:ascii="宋体" w:hAnsi="宋体"/>
          <w:color w:val="auto"/>
          <w:sz w:val="24"/>
          <w:lang w:eastAsia="zh-CN"/>
        </w:rPr>
        <w:t>本项目</w:t>
      </w:r>
      <w:r>
        <w:rPr>
          <w:rFonts w:hint="eastAsia" w:ascii="宋体" w:hAnsi="宋体"/>
          <w:color w:val="auto"/>
          <w:sz w:val="24"/>
        </w:rPr>
        <w:t>采购活动的供应商被列入以下失信名单的，不得被推荐为政府采购项目中标候选人。</w:t>
      </w:r>
    </w:p>
    <w:p>
      <w:pPr>
        <w:spacing w:line="360" w:lineRule="auto"/>
        <w:ind w:firstLine="480" w:firstLineChars="200"/>
        <w:rPr>
          <w:rFonts w:ascii="宋体" w:hAnsi="宋体"/>
          <w:color w:val="auto"/>
          <w:sz w:val="24"/>
        </w:rPr>
      </w:pPr>
      <w:r>
        <w:rPr>
          <w:rFonts w:hint="eastAsia" w:ascii="宋体" w:hAnsi="宋体"/>
          <w:color w:val="auto"/>
          <w:sz w:val="24"/>
        </w:rPr>
        <w:t>（1）供应商被列入失信被执行人的；</w:t>
      </w:r>
    </w:p>
    <w:p>
      <w:pPr>
        <w:spacing w:line="360" w:lineRule="auto"/>
        <w:ind w:firstLine="480" w:firstLineChars="200"/>
        <w:rPr>
          <w:rFonts w:ascii="宋体" w:hAnsi="宋体"/>
          <w:color w:val="auto"/>
          <w:sz w:val="24"/>
        </w:rPr>
      </w:pPr>
      <w:r>
        <w:rPr>
          <w:rFonts w:hint="eastAsia" w:ascii="宋体" w:hAnsi="宋体"/>
          <w:color w:val="auto"/>
          <w:sz w:val="24"/>
        </w:rPr>
        <w:t>（2）供应商被工列入企业经营异常名录的；</w:t>
      </w:r>
    </w:p>
    <w:p>
      <w:pPr>
        <w:spacing w:line="360" w:lineRule="auto"/>
        <w:ind w:firstLine="480" w:firstLineChars="200"/>
        <w:rPr>
          <w:rFonts w:ascii="宋体" w:hAnsi="宋体"/>
          <w:color w:val="auto"/>
          <w:sz w:val="24"/>
        </w:rPr>
      </w:pPr>
      <w:r>
        <w:rPr>
          <w:rFonts w:hint="eastAsia" w:ascii="宋体" w:hAnsi="宋体"/>
          <w:color w:val="auto"/>
          <w:sz w:val="24"/>
        </w:rPr>
        <w:t>（3）供应商被列入重大税收违法案件当事人名单的；</w:t>
      </w:r>
    </w:p>
    <w:p>
      <w:pPr>
        <w:spacing w:line="360" w:lineRule="auto"/>
        <w:ind w:firstLine="480" w:firstLineChars="200"/>
        <w:rPr>
          <w:rFonts w:ascii="宋体" w:hAnsi="宋体"/>
          <w:color w:val="auto"/>
          <w:sz w:val="24"/>
        </w:rPr>
      </w:pPr>
      <w:r>
        <w:rPr>
          <w:rFonts w:hint="eastAsia" w:ascii="宋体" w:hAnsi="宋体"/>
          <w:color w:val="auto"/>
          <w:sz w:val="24"/>
        </w:rPr>
        <w:t>（4）供应商被列入政府采购严重违法失信行为记录名单的；</w:t>
      </w:r>
    </w:p>
    <w:p>
      <w:pPr>
        <w:spacing w:line="360" w:lineRule="auto"/>
        <w:ind w:firstLine="480" w:firstLineChars="200"/>
        <w:rPr>
          <w:rFonts w:ascii="宋体" w:hAnsi="宋体"/>
          <w:color w:val="auto"/>
          <w:sz w:val="24"/>
        </w:rPr>
      </w:pPr>
      <w:r>
        <w:rPr>
          <w:rFonts w:hint="eastAsia" w:ascii="宋体" w:hAnsi="宋体"/>
          <w:color w:val="auto"/>
          <w:sz w:val="24"/>
        </w:rPr>
        <w:t>2、联合体供应商，联合体任何一方存在上述不良信用记录的，视同联合体存在不良信用记录。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auto"/>
          <w:sz w:val="24"/>
        </w:rPr>
      </w:pPr>
      <w:r>
        <w:rPr>
          <w:rFonts w:hint="eastAsia" w:ascii="宋体" w:hAnsi="宋体"/>
          <w:color w:val="auto"/>
          <w:sz w:val="24"/>
        </w:rPr>
        <w:t>3、不良信用记录查询渠道如下：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rPr>
      </w:pPr>
      <w:r>
        <w:rPr>
          <w:rFonts w:hint="eastAsia" w:ascii="宋体" w:hAnsi="宋体"/>
          <w:color w:val="auto"/>
          <w:sz w:val="24"/>
        </w:rPr>
        <w:t>（1）失信被执行人：信用中国官网（www.creditchina.gov.cn）</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rPr>
      </w:pPr>
      <w:r>
        <w:rPr>
          <w:rFonts w:hint="eastAsia" w:ascii="宋体" w:hAnsi="宋体"/>
          <w:color w:val="auto"/>
          <w:sz w:val="24"/>
        </w:rPr>
        <w:t>（2）企业经营异常名录：</w:t>
      </w:r>
      <w:r>
        <w:rPr>
          <w:rFonts w:hint="eastAsia" w:ascii="宋体" w:hAnsi="宋体"/>
          <w:color w:val="auto"/>
          <w:sz w:val="24"/>
          <w:lang w:val="en-US" w:eastAsia="zh-CN"/>
        </w:rPr>
        <w:t>国家企业信用信息公示系统</w:t>
      </w:r>
      <w:r>
        <w:rPr>
          <w:rFonts w:hint="eastAsia" w:ascii="宋体" w:hAnsi="宋体"/>
          <w:color w:val="auto"/>
          <w:sz w:val="24"/>
        </w:rPr>
        <w:t>（</w:t>
      </w:r>
      <w:r>
        <w:rPr>
          <w:rFonts w:hint="eastAsia" w:ascii="宋体" w:hAnsi="宋体"/>
          <w:color w:val="auto"/>
          <w:sz w:val="24"/>
        </w:rPr>
        <w:fldChar w:fldCharType="begin"/>
      </w:r>
      <w:r>
        <w:rPr>
          <w:rFonts w:hint="eastAsia" w:ascii="宋体" w:hAnsi="宋体"/>
          <w:color w:val="auto"/>
          <w:sz w:val="24"/>
        </w:rPr>
        <w:instrText xml:space="preserve"> HYPERLINK "http://www.gsxt.gov.cn/index.html" </w:instrText>
      </w:r>
      <w:r>
        <w:rPr>
          <w:rFonts w:hint="eastAsia" w:ascii="宋体" w:hAnsi="宋体"/>
          <w:color w:val="auto"/>
          <w:sz w:val="24"/>
        </w:rPr>
        <w:fldChar w:fldCharType="separate"/>
      </w:r>
      <w:r>
        <w:rPr>
          <w:rFonts w:hint="eastAsia" w:ascii="宋体" w:hAnsi="宋体"/>
          <w:color w:val="auto"/>
          <w:sz w:val="24"/>
        </w:rPr>
        <w:t>http://www.gsxt.gov.cn/index.html</w:t>
      </w:r>
      <w:r>
        <w:rPr>
          <w:rFonts w:hint="eastAsia" w:ascii="宋体" w:hAnsi="宋体"/>
          <w:color w:val="auto"/>
          <w:sz w:val="24"/>
        </w:rPr>
        <w:fldChar w:fldCharType="end"/>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rPr>
      </w:pPr>
      <w:r>
        <w:rPr>
          <w:rFonts w:hint="eastAsia" w:ascii="宋体" w:hAnsi="宋体"/>
          <w:color w:val="auto"/>
          <w:sz w:val="24"/>
        </w:rPr>
        <w:t>（3）重大税收违法案件当事人名单：信用中国官网（www.creditchina.gov.cn）</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rPr>
      </w:pPr>
      <w:r>
        <w:rPr>
          <w:rFonts w:hint="eastAsia" w:ascii="宋体" w:hAnsi="宋体"/>
          <w:color w:val="auto"/>
          <w:sz w:val="24"/>
        </w:rPr>
        <w:t>（4）政府采购严重违法失信行为记录名单：中国政府采购官网（www.ccgp.gov.cn）</w:t>
      </w:r>
    </w:p>
    <w:p>
      <w:pPr>
        <w:spacing w:line="360" w:lineRule="auto"/>
        <w:ind w:left="360"/>
        <w:rPr>
          <w:rFonts w:ascii="宋体" w:hAnsi="宋体"/>
          <w:color w:val="auto"/>
          <w:sz w:val="24"/>
          <w:highlight w:val="white"/>
        </w:rPr>
      </w:pPr>
    </w:p>
    <w:p>
      <w:pPr>
        <w:widowControl/>
        <w:jc w:val="center"/>
        <w:outlineLvl w:val="0"/>
        <w:rPr>
          <w:rFonts w:hint="eastAsia"/>
          <w:b/>
          <w:bCs/>
          <w:color w:val="auto"/>
          <w:sz w:val="48"/>
          <w:szCs w:val="48"/>
          <w:highlight w:val="white"/>
          <w:lang w:eastAsia="zh-CN"/>
        </w:rPr>
      </w:pPr>
      <w:bookmarkStart w:id="32" w:name="_Toc8071"/>
      <w:bookmarkStart w:id="33" w:name="_Hlk38275412"/>
      <w:bookmarkStart w:id="34" w:name="_Hlk38271626"/>
    </w:p>
    <w:p>
      <w:pPr>
        <w:widowControl/>
        <w:jc w:val="center"/>
        <w:outlineLvl w:val="0"/>
        <w:rPr>
          <w:rFonts w:ascii="宋体" w:hAnsi="宋体"/>
          <w:b/>
          <w:bCs/>
          <w:color w:val="auto"/>
          <w:kern w:val="44"/>
          <w:sz w:val="30"/>
          <w:szCs w:val="30"/>
        </w:rPr>
      </w:pPr>
      <w:r>
        <w:rPr>
          <w:rFonts w:hint="eastAsia"/>
          <w:b/>
          <w:bCs/>
          <w:color w:val="auto"/>
          <w:sz w:val="48"/>
          <w:szCs w:val="48"/>
          <w:highlight w:val="white"/>
          <w:lang w:eastAsia="zh-CN"/>
        </w:rPr>
        <w:t>第六章</w:t>
      </w:r>
      <w:r>
        <w:rPr>
          <w:rFonts w:hint="eastAsia"/>
          <w:color w:val="auto"/>
          <w:sz w:val="48"/>
          <w:szCs w:val="48"/>
          <w:highlight w:val="white"/>
          <w:lang w:val="en-US" w:eastAsia="zh-CN"/>
        </w:rPr>
        <w:t xml:space="preserve"> </w:t>
      </w:r>
      <w:r>
        <w:rPr>
          <w:rFonts w:hint="eastAsia" w:ascii="宋体" w:hAnsi="宋体"/>
          <w:b/>
          <w:bCs/>
          <w:color w:val="auto"/>
          <w:kern w:val="44"/>
          <w:sz w:val="48"/>
          <w:szCs w:val="48"/>
        </w:rPr>
        <w:t>竞争性磋商须知</w:t>
      </w:r>
      <w:bookmarkEnd w:id="32"/>
      <w:bookmarkEnd w:id="33"/>
    </w:p>
    <w:p>
      <w:pPr>
        <w:adjustRightInd w:val="0"/>
        <w:snapToGrid w:val="0"/>
        <w:spacing w:line="360" w:lineRule="auto"/>
        <w:rPr>
          <w:rFonts w:ascii="宋体" w:hAnsi="宋体"/>
          <w:color w:val="auto"/>
        </w:rPr>
      </w:pPr>
      <w:r>
        <w:rPr>
          <w:rFonts w:hint="eastAsia" w:ascii="宋体" w:hAnsi="宋体"/>
          <w:b/>
          <w:color w:val="auto"/>
        </w:rPr>
        <w:t>一、说明</w:t>
      </w:r>
    </w:p>
    <w:p>
      <w:pPr>
        <w:adjustRightInd w:val="0"/>
        <w:snapToGrid w:val="0"/>
        <w:spacing w:beforeLines="50" w:line="360" w:lineRule="auto"/>
        <w:rPr>
          <w:rFonts w:ascii="宋体" w:hAnsi="宋体"/>
          <w:b/>
          <w:bCs/>
          <w:color w:val="auto"/>
        </w:rPr>
      </w:pPr>
      <w:r>
        <w:rPr>
          <w:rFonts w:hint="eastAsia" w:ascii="宋体" w:hAnsi="宋体"/>
          <w:b/>
          <w:bCs/>
          <w:color w:val="auto"/>
        </w:rPr>
        <w:t>1.定义</w:t>
      </w:r>
    </w:p>
    <w:p>
      <w:pPr>
        <w:adjustRightInd w:val="0"/>
        <w:snapToGrid w:val="0"/>
        <w:spacing w:beforeLines="50" w:line="360" w:lineRule="auto"/>
        <w:ind w:firstLine="420" w:firstLineChars="200"/>
        <w:rPr>
          <w:rFonts w:ascii="宋体" w:hAnsi="宋体"/>
          <w:b/>
          <w:color w:val="auto"/>
        </w:rPr>
      </w:pPr>
      <w:r>
        <w:rPr>
          <w:rFonts w:hint="eastAsia" w:ascii="宋体" w:hAnsi="宋体"/>
          <w:color w:val="auto"/>
        </w:rPr>
        <w:t>1.1 “采购人”系指依法进行政府采购的国家机关、事业单位、团体组织。本次采购的采购人名称、地址、电话、联系人见</w:t>
      </w:r>
      <w:r>
        <w:rPr>
          <w:rFonts w:hint="eastAsia" w:ascii="宋体" w:hAnsi="宋体"/>
          <w:b/>
          <w:color w:val="auto"/>
        </w:rPr>
        <w:t>供应商须知前附表</w:t>
      </w:r>
      <w:r>
        <w:rPr>
          <w:rFonts w:hint="eastAsia" w:ascii="宋体" w:hAnsi="宋体"/>
          <w:color w:val="auto"/>
        </w:rPr>
        <w:t>。</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1.2“供应商”系指响应竞争性磋商文件要求、参加</w:t>
      </w:r>
      <w:r>
        <w:rPr>
          <w:rFonts w:hint="eastAsia" w:ascii="宋体" w:hAnsi="宋体" w:cs="宋体"/>
          <w:color w:val="auto"/>
          <w:kern w:val="0"/>
        </w:rPr>
        <w:t>竞争性磋商</w:t>
      </w:r>
      <w:r>
        <w:rPr>
          <w:rFonts w:hint="eastAsia" w:ascii="宋体" w:hAnsi="宋体" w:cs="宋体"/>
          <w:color w:val="auto"/>
          <w:kern w:val="0"/>
          <w:lang w:val="zh-CN"/>
        </w:rPr>
        <w:t>采购活动</w:t>
      </w:r>
      <w:r>
        <w:rPr>
          <w:rFonts w:hint="eastAsia" w:ascii="宋体" w:hAnsi="宋体"/>
          <w:color w:val="auto"/>
        </w:rPr>
        <w:t>的法人、其他组织或自然人。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1.3“货物” 系指供应商按竞争性磋商文件规定,向采购人提供的各种形态和种类的物品，包括原材料、设备、产品(包括软件)及相关的其备品备件、工具、手册及其它技术资料和材料。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1.4“服务” 系指竞争性磋商文件规定供应商应承担的系统集成、安装、调试、技术协助、校准、培训以及其它类似的义务。</w:t>
      </w:r>
    </w:p>
    <w:p>
      <w:pPr>
        <w:adjustRightInd w:val="0"/>
        <w:snapToGrid w:val="0"/>
        <w:spacing w:beforeLines="50" w:line="360" w:lineRule="auto"/>
        <w:rPr>
          <w:rFonts w:ascii="宋体" w:hAnsi="宋体"/>
          <w:b/>
          <w:bCs/>
          <w:color w:val="auto"/>
          <w:u w:val="single"/>
        </w:rPr>
      </w:pPr>
      <w:r>
        <w:rPr>
          <w:rFonts w:hint="eastAsia" w:ascii="宋体" w:hAnsi="宋体"/>
          <w:b/>
          <w:bCs/>
          <w:color w:val="auto"/>
          <w:u w:val="single"/>
        </w:rPr>
        <w:t xml:space="preserve">2.参与竞争性磋商的费用 </w:t>
      </w:r>
    </w:p>
    <w:p>
      <w:pPr>
        <w:adjustRightInd w:val="0"/>
        <w:snapToGrid w:val="0"/>
        <w:spacing w:beforeLines="50" w:line="360" w:lineRule="auto"/>
        <w:ind w:firstLine="420" w:firstLineChars="200"/>
        <w:rPr>
          <w:rFonts w:ascii="宋体" w:hAnsi="宋体"/>
          <w:color w:val="auto"/>
          <w:u w:val="single"/>
        </w:rPr>
      </w:pPr>
      <w:r>
        <w:rPr>
          <w:rFonts w:hint="eastAsia" w:ascii="宋体" w:hAnsi="宋体"/>
          <w:color w:val="auto"/>
          <w:u w:val="single"/>
        </w:rPr>
        <w:t>2.1无论竞争性磋商的结果如何，供应商应自行承担所有与</w:t>
      </w:r>
      <w:r>
        <w:rPr>
          <w:rFonts w:hint="eastAsia" w:ascii="宋体" w:hAnsi="宋体" w:cs="宋体"/>
          <w:color w:val="auto"/>
          <w:kern w:val="0"/>
          <w:u w:val="single"/>
        </w:rPr>
        <w:t>竞争性磋商</w:t>
      </w:r>
      <w:r>
        <w:rPr>
          <w:rFonts w:hint="eastAsia" w:ascii="宋体" w:hAnsi="宋体" w:cs="宋体"/>
          <w:color w:val="auto"/>
          <w:kern w:val="0"/>
          <w:u w:val="single"/>
          <w:lang w:val="zh-CN"/>
        </w:rPr>
        <w:t>采购活动</w:t>
      </w:r>
      <w:r>
        <w:rPr>
          <w:rFonts w:hint="eastAsia" w:ascii="宋体" w:hAnsi="宋体"/>
          <w:color w:val="auto"/>
          <w:u w:val="single"/>
        </w:rPr>
        <w:t>有关的全部费用。</w:t>
      </w:r>
    </w:p>
    <w:p>
      <w:pPr>
        <w:adjustRightInd w:val="0"/>
        <w:snapToGrid w:val="0"/>
        <w:spacing w:beforeLines="50" w:line="360" w:lineRule="auto"/>
        <w:rPr>
          <w:rFonts w:ascii="宋体" w:hAnsi="宋体"/>
          <w:b/>
          <w:bCs/>
          <w:color w:val="auto"/>
        </w:rPr>
      </w:pPr>
      <w:r>
        <w:rPr>
          <w:rFonts w:hint="eastAsia" w:ascii="宋体" w:hAnsi="宋体"/>
          <w:b/>
          <w:color w:val="auto"/>
        </w:rPr>
        <w:t>3．</w:t>
      </w:r>
      <w:r>
        <w:rPr>
          <w:rFonts w:hint="eastAsia" w:ascii="宋体" w:hAnsi="宋体"/>
          <w:b/>
          <w:bCs/>
          <w:color w:val="auto"/>
        </w:rPr>
        <w:t>竞争性磋商委托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3.1 如供应商代表不是供应商的法定代表人，须持有《授权委托书》。</w:t>
      </w:r>
    </w:p>
    <w:p>
      <w:pPr>
        <w:adjustRightInd w:val="0"/>
        <w:snapToGrid w:val="0"/>
        <w:spacing w:beforeLines="50" w:line="360" w:lineRule="auto"/>
        <w:ind w:left="793" w:hanging="793" w:hangingChars="376"/>
        <w:rPr>
          <w:rFonts w:ascii="宋体" w:hAnsi="宋体"/>
          <w:b/>
          <w:color w:val="auto"/>
        </w:rPr>
      </w:pPr>
      <w:r>
        <w:rPr>
          <w:rFonts w:hint="eastAsia" w:ascii="宋体" w:hAnsi="宋体"/>
          <w:b/>
          <w:color w:val="auto"/>
        </w:rPr>
        <w:t>二、竞争性磋商文件</w:t>
      </w:r>
    </w:p>
    <w:p>
      <w:pPr>
        <w:adjustRightInd w:val="0"/>
        <w:snapToGrid w:val="0"/>
        <w:spacing w:beforeLines="50" w:line="360" w:lineRule="auto"/>
        <w:rPr>
          <w:rFonts w:ascii="宋体" w:hAnsi="宋体"/>
          <w:b/>
          <w:bCs/>
          <w:color w:val="auto"/>
        </w:rPr>
      </w:pPr>
      <w:r>
        <w:rPr>
          <w:rFonts w:hint="eastAsia" w:ascii="宋体" w:hAnsi="宋体"/>
          <w:b/>
          <w:bCs/>
          <w:color w:val="auto"/>
        </w:rPr>
        <w:t>4．竞争性磋商文件的组成</w:t>
      </w:r>
    </w:p>
    <w:p>
      <w:pPr>
        <w:adjustRightInd w:val="0"/>
        <w:snapToGrid w:val="0"/>
        <w:spacing w:beforeLines="50" w:line="360" w:lineRule="auto"/>
        <w:ind w:firstLine="315" w:firstLineChars="150"/>
        <w:rPr>
          <w:rFonts w:ascii="宋体" w:hAnsi="宋体"/>
          <w:color w:val="auto"/>
        </w:rPr>
      </w:pPr>
      <w:r>
        <w:rPr>
          <w:rFonts w:hint="eastAsia" w:ascii="宋体" w:hAnsi="宋体"/>
          <w:color w:val="auto"/>
        </w:rPr>
        <w:t xml:space="preserve"> 3.1 竞争性磋商文件由竞争性磋商文件及在竞争性磋商过程中发出的</w:t>
      </w:r>
      <w:r>
        <w:rPr>
          <w:rFonts w:hint="eastAsia" w:ascii="宋体" w:hAnsi="宋体"/>
          <w:color w:val="auto"/>
          <w:kern w:val="0"/>
          <w:lang w:val="zh-CN"/>
        </w:rPr>
        <w:t>澄清或者</w:t>
      </w:r>
      <w:r>
        <w:rPr>
          <w:rFonts w:hint="eastAsia" w:ascii="宋体" w:hAnsi="宋体"/>
          <w:color w:val="auto"/>
        </w:rPr>
        <w:t>修改文件组成。</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3.2供应商应仔细阅读</w:t>
      </w:r>
      <w:r>
        <w:rPr>
          <w:rFonts w:hint="eastAsia" w:ascii="宋体" w:hAnsi="宋体"/>
          <w:bCs/>
          <w:color w:val="auto"/>
        </w:rPr>
        <w:t>竞争性磋商文件</w:t>
      </w:r>
      <w:r>
        <w:rPr>
          <w:rFonts w:hint="eastAsia" w:ascii="宋体" w:hAnsi="宋体"/>
          <w:color w:val="auto"/>
        </w:rPr>
        <w:t>的全部内容，按照</w:t>
      </w:r>
      <w:r>
        <w:rPr>
          <w:rFonts w:hint="eastAsia" w:ascii="宋体" w:hAnsi="宋体"/>
          <w:bCs/>
          <w:color w:val="auto"/>
        </w:rPr>
        <w:t>竞争性磋商文件</w:t>
      </w:r>
      <w:r>
        <w:rPr>
          <w:rFonts w:hint="eastAsia" w:ascii="宋体" w:hAnsi="宋体"/>
          <w:color w:val="auto"/>
        </w:rPr>
        <w:t>要求编制竞争性磋商响应文件。任何对</w:t>
      </w:r>
      <w:r>
        <w:rPr>
          <w:rFonts w:hint="eastAsia" w:ascii="宋体" w:hAnsi="宋体"/>
          <w:bCs/>
          <w:color w:val="auto"/>
        </w:rPr>
        <w:t>竞争性磋商文件</w:t>
      </w:r>
      <w:r>
        <w:rPr>
          <w:rFonts w:hint="eastAsia" w:ascii="宋体" w:hAnsi="宋体"/>
          <w:color w:val="auto"/>
        </w:rPr>
        <w:t>的忽略或误解不能作为竞争性磋商响应文件存在缺陷或瑕疵的理由，其风险由供应商承担。</w:t>
      </w:r>
    </w:p>
    <w:p>
      <w:pPr>
        <w:adjustRightInd w:val="0"/>
        <w:snapToGrid w:val="0"/>
        <w:spacing w:beforeLines="50" w:line="360" w:lineRule="auto"/>
        <w:rPr>
          <w:rFonts w:ascii="宋体" w:hAnsi="宋体"/>
          <w:b/>
          <w:color w:val="auto"/>
          <w:u w:val="single"/>
        </w:rPr>
      </w:pPr>
      <w:r>
        <w:rPr>
          <w:rFonts w:hint="eastAsia" w:ascii="宋体" w:hAnsi="宋体"/>
          <w:b/>
          <w:color w:val="auto"/>
          <w:u w:val="single"/>
        </w:rPr>
        <w:t>5. 偏离</w:t>
      </w:r>
    </w:p>
    <w:p>
      <w:pPr>
        <w:widowControl/>
        <w:adjustRightInd w:val="0"/>
        <w:snapToGrid w:val="0"/>
        <w:spacing w:before="50" w:line="360" w:lineRule="auto"/>
        <w:ind w:right="97" w:rightChars="46" w:firstLine="420" w:firstLineChars="200"/>
        <w:rPr>
          <w:rFonts w:ascii="宋体" w:hAnsi="宋体"/>
          <w:color w:val="auto"/>
          <w:kern w:val="0"/>
          <w:u w:val="single"/>
        </w:rPr>
      </w:pPr>
      <w:r>
        <w:rPr>
          <w:rFonts w:hint="eastAsia" w:ascii="宋体" w:hAnsi="宋体"/>
          <w:bCs/>
          <w:color w:val="auto"/>
          <w:kern w:val="0"/>
          <w:u w:val="single"/>
        </w:rPr>
        <w:t>5.1本条所称</w:t>
      </w:r>
      <w:r>
        <w:rPr>
          <w:rFonts w:hint="eastAsia" w:ascii="宋体" w:hAnsi="宋体"/>
          <w:color w:val="auto"/>
          <w:kern w:val="0"/>
          <w:u w:val="single"/>
        </w:rPr>
        <w:t>偏离为竞争性磋商响应</w:t>
      </w:r>
      <w:r>
        <w:rPr>
          <w:rFonts w:hint="eastAsia" w:ascii="宋体" w:hAnsi="宋体"/>
          <w:bCs/>
          <w:color w:val="auto"/>
          <w:kern w:val="0"/>
          <w:u w:val="single"/>
        </w:rPr>
        <w:t>文件</w:t>
      </w:r>
      <w:r>
        <w:rPr>
          <w:rFonts w:hint="eastAsia" w:ascii="宋体" w:hAnsi="宋体"/>
          <w:color w:val="auto"/>
          <w:kern w:val="0"/>
          <w:u w:val="single"/>
        </w:rPr>
        <w:t>对</w:t>
      </w:r>
      <w:r>
        <w:rPr>
          <w:rFonts w:hint="eastAsia" w:ascii="宋体" w:hAnsi="宋体"/>
          <w:bCs/>
          <w:color w:val="auto"/>
          <w:kern w:val="0"/>
          <w:u w:val="single"/>
        </w:rPr>
        <w:t>竞争性磋商文件</w:t>
      </w:r>
      <w:r>
        <w:rPr>
          <w:rFonts w:hint="eastAsia" w:ascii="宋体" w:hAnsi="宋体"/>
          <w:color w:val="auto"/>
          <w:kern w:val="0"/>
          <w:u w:val="single"/>
        </w:rPr>
        <w:t>的偏离，即不满足、或不响应</w:t>
      </w:r>
      <w:r>
        <w:rPr>
          <w:rFonts w:hint="eastAsia" w:ascii="宋体" w:hAnsi="宋体"/>
          <w:bCs/>
          <w:color w:val="auto"/>
          <w:kern w:val="0"/>
          <w:u w:val="single"/>
        </w:rPr>
        <w:t>竞争性磋商文件</w:t>
      </w:r>
      <w:r>
        <w:rPr>
          <w:rFonts w:hint="eastAsia" w:ascii="宋体" w:hAnsi="宋体"/>
          <w:color w:val="auto"/>
          <w:kern w:val="0"/>
          <w:u w:val="single"/>
        </w:rPr>
        <w:t>的要求。偏离分为对</w:t>
      </w:r>
      <w:r>
        <w:rPr>
          <w:rFonts w:hint="eastAsia" w:ascii="宋体" w:hAnsi="宋体"/>
          <w:bCs/>
          <w:color w:val="auto"/>
          <w:kern w:val="0"/>
          <w:u w:val="single"/>
        </w:rPr>
        <w:t>竞争性磋商文件</w:t>
      </w:r>
      <w:r>
        <w:rPr>
          <w:rFonts w:hint="eastAsia" w:ascii="宋体" w:hAnsi="宋体"/>
          <w:color w:val="auto"/>
          <w:kern w:val="0"/>
          <w:u w:val="single"/>
        </w:rPr>
        <w:t>的实质性要求条款偏离和对</w:t>
      </w:r>
      <w:r>
        <w:rPr>
          <w:rFonts w:hint="eastAsia" w:ascii="宋体" w:hAnsi="宋体"/>
          <w:bCs/>
          <w:color w:val="auto"/>
          <w:kern w:val="0"/>
          <w:u w:val="single"/>
        </w:rPr>
        <w:t>竞争性磋商文件</w:t>
      </w:r>
      <w:r>
        <w:rPr>
          <w:rFonts w:hint="eastAsia" w:ascii="宋体" w:hAnsi="宋体"/>
          <w:color w:val="auto"/>
          <w:kern w:val="0"/>
          <w:u w:val="single"/>
        </w:rPr>
        <w:t>的一般商务和技术条款（参数）偏离。</w:t>
      </w:r>
    </w:p>
    <w:p>
      <w:pPr>
        <w:tabs>
          <w:tab w:val="left" w:pos="0"/>
        </w:tabs>
        <w:adjustRightInd w:val="0"/>
        <w:snapToGrid w:val="0"/>
        <w:spacing w:beforeLines="50" w:line="360" w:lineRule="auto"/>
        <w:ind w:firstLine="420" w:firstLineChars="200"/>
        <w:rPr>
          <w:rFonts w:ascii="宋体" w:hAnsi="宋体"/>
          <w:color w:val="auto"/>
        </w:rPr>
      </w:pPr>
      <w:r>
        <w:rPr>
          <w:rFonts w:hint="eastAsia" w:ascii="宋体" w:hAnsi="宋体"/>
          <w:color w:val="auto"/>
        </w:rPr>
        <w:t>5.2</w:t>
      </w:r>
      <w:r>
        <w:rPr>
          <w:rFonts w:hint="eastAsia" w:ascii="宋体" w:hAnsi="宋体"/>
          <w:bCs/>
          <w:color w:val="auto"/>
        </w:rPr>
        <w:t>竞争性磋商文件</w:t>
      </w:r>
      <w:r>
        <w:rPr>
          <w:rFonts w:hint="eastAsia" w:ascii="宋体" w:hAnsi="宋体"/>
          <w:color w:val="auto"/>
        </w:rPr>
        <w:t>中标注“*”符号的条款为实质性要求条款（即重要条款），对其中任何一条的偏离(即不满足、或不响应)，在评审时将其视为无效响应。</w:t>
      </w:r>
    </w:p>
    <w:p>
      <w:pPr>
        <w:adjustRightInd w:val="0"/>
        <w:snapToGrid w:val="0"/>
        <w:spacing w:beforeLines="50" w:line="360" w:lineRule="auto"/>
        <w:rPr>
          <w:rFonts w:ascii="宋体" w:hAnsi="宋体"/>
          <w:b/>
          <w:bCs/>
          <w:color w:val="auto"/>
        </w:rPr>
      </w:pPr>
      <w:r>
        <w:rPr>
          <w:rFonts w:hint="eastAsia" w:ascii="宋体" w:hAnsi="宋体"/>
          <w:b/>
          <w:bCs/>
          <w:color w:val="auto"/>
        </w:rPr>
        <w:t>6. 竞争性磋商文件的澄清、修改</w:t>
      </w:r>
    </w:p>
    <w:p>
      <w:pPr>
        <w:adjustRightInd w:val="0"/>
        <w:snapToGrid w:val="0"/>
        <w:spacing w:before="50" w:line="360" w:lineRule="auto"/>
        <w:ind w:right="-105" w:rightChars="-50" w:firstLine="420" w:firstLineChars="200"/>
        <w:rPr>
          <w:rFonts w:ascii="宋体" w:hAnsi="宋体"/>
          <w:color w:val="auto"/>
        </w:rPr>
      </w:pPr>
      <w:r>
        <w:rPr>
          <w:rFonts w:hint="eastAsia" w:ascii="宋体" w:hAnsi="宋体"/>
          <w:color w:val="auto"/>
        </w:rPr>
        <w:t>6.1采购代理机构或采购人</w:t>
      </w:r>
      <w:r>
        <w:rPr>
          <w:rFonts w:hint="eastAsia" w:ascii="宋体" w:hAnsi="宋体"/>
          <w:color w:val="auto"/>
          <w:kern w:val="0"/>
          <w:lang w:val="zh-CN"/>
        </w:rPr>
        <w:t>对已发出的</w:t>
      </w:r>
      <w:r>
        <w:rPr>
          <w:rFonts w:hint="eastAsia" w:ascii="宋体" w:hAnsi="宋体"/>
          <w:color w:val="auto"/>
        </w:rPr>
        <w:t>竞争性磋商文件进行必要澄清或者修改的，应在规定</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前通知被邀请参加竞争性磋商的供应商，采购人或代理机构不承担未及时关注的责任情形。澄清或修改的内容为竞争性磋商文件的组成部分。</w:t>
      </w:r>
    </w:p>
    <w:p>
      <w:pPr>
        <w:autoSpaceDE w:val="0"/>
        <w:autoSpaceDN w:val="0"/>
        <w:adjustRightInd w:val="0"/>
        <w:snapToGrid w:val="0"/>
        <w:spacing w:beforeLines="50" w:line="360" w:lineRule="auto"/>
        <w:ind w:firstLine="420" w:firstLineChars="200"/>
        <w:jc w:val="left"/>
        <w:rPr>
          <w:rFonts w:ascii="宋体" w:hAnsi="宋体"/>
          <w:color w:val="auto"/>
          <w:kern w:val="0"/>
          <w:lang w:val="zh-CN"/>
        </w:rPr>
      </w:pPr>
      <w:r>
        <w:rPr>
          <w:rFonts w:hint="eastAsia" w:ascii="宋体" w:hAnsi="宋体"/>
          <w:color w:val="auto"/>
        </w:rPr>
        <w:t>6.2 发出澄清或修改文件的日期距规定的</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不足</w:t>
      </w:r>
      <w:r>
        <w:rPr>
          <w:rFonts w:hint="eastAsia" w:ascii="宋体" w:hAnsi="宋体"/>
          <w:bCs/>
          <w:color w:val="auto"/>
        </w:rPr>
        <w:t>三个工作</w:t>
      </w:r>
      <w:r>
        <w:rPr>
          <w:rFonts w:hint="eastAsia" w:ascii="宋体" w:hAnsi="宋体"/>
          <w:color w:val="auto"/>
        </w:rPr>
        <w:t>日的，应当顺延</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w:t>
      </w:r>
    </w:p>
    <w:p>
      <w:pPr>
        <w:adjustRightInd w:val="0"/>
        <w:snapToGrid w:val="0"/>
        <w:spacing w:beforeLines="50" w:line="360" w:lineRule="auto"/>
        <w:rPr>
          <w:rFonts w:ascii="宋体" w:hAnsi="宋体"/>
          <w:b/>
          <w:color w:val="auto"/>
        </w:rPr>
      </w:pPr>
      <w:r>
        <w:rPr>
          <w:rFonts w:hint="eastAsia" w:ascii="宋体" w:hAnsi="宋体"/>
          <w:b/>
          <w:color w:val="auto"/>
        </w:rPr>
        <w:t>三、竞争性磋商响应文件</w:t>
      </w:r>
    </w:p>
    <w:p>
      <w:pPr>
        <w:adjustRightInd w:val="0"/>
        <w:snapToGrid w:val="0"/>
        <w:spacing w:beforeLines="50" w:line="360" w:lineRule="auto"/>
        <w:rPr>
          <w:rFonts w:ascii="宋体" w:hAnsi="宋体"/>
          <w:b/>
          <w:bCs/>
          <w:color w:val="auto"/>
        </w:rPr>
      </w:pPr>
      <w:r>
        <w:rPr>
          <w:rFonts w:hint="eastAsia" w:ascii="宋体" w:hAnsi="宋体"/>
          <w:b/>
          <w:bCs/>
          <w:color w:val="auto"/>
        </w:rPr>
        <w:t>7.一般要求</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7.1 供应商应仔细阅读竞争性磋商文件的所有内容，按竞争性磋商文件的要求</w:t>
      </w:r>
      <w:r>
        <w:rPr>
          <w:rFonts w:hint="eastAsia" w:ascii="宋体" w:hAnsi="宋体" w:cs="宋体"/>
          <w:color w:val="auto"/>
          <w:kern w:val="0"/>
          <w:lang w:val="zh-CN"/>
        </w:rPr>
        <w:t>依法真实</w:t>
      </w:r>
      <w:r>
        <w:rPr>
          <w:rFonts w:hint="eastAsia" w:ascii="宋体" w:hAnsi="宋体"/>
          <w:bCs/>
          <w:color w:val="auto"/>
        </w:rPr>
        <w:t>编制竞争性磋商</w:t>
      </w:r>
      <w:r>
        <w:rPr>
          <w:rFonts w:hint="eastAsia" w:ascii="宋体" w:hAnsi="宋体"/>
          <w:color w:val="auto"/>
        </w:rPr>
        <w:t>响应</w:t>
      </w:r>
      <w:r>
        <w:rPr>
          <w:rFonts w:hint="eastAsia" w:ascii="宋体" w:hAnsi="宋体"/>
          <w:bCs/>
          <w:color w:val="auto"/>
        </w:rPr>
        <w:t>文件，</w:t>
      </w:r>
      <w:r>
        <w:rPr>
          <w:rFonts w:hint="eastAsia" w:ascii="宋体" w:hAnsi="宋体" w:cs="宋体"/>
          <w:color w:val="auto"/>
          <w:kern w:val="0"/>
          <w:lang w:val="zh-CN"/>
        </w:rPr>
        <w:t>并对其递交的竞争性磋商</w:t>
      </w:r>
      <w:r>
        <w:rPr>
          <w:rFonts w:hint="eastAsia" w:ascii="宋体" w:hAnsi="宋体"/>
          <w:color w:val="auto"/>
        </w:rPr>
        <w:t>响应</w:t>
      </w:r>
      <w:r>
        <w:rPr>
          <w:rFonts w:hint="eastAsia" w:ascii="宋体" w:hAnsi="宋体" w:cs="宋体"/>
          <w:color w:val="auto"/>
          <w:kern w:val="0"/>
          <w:lang w:val="zh-CN"/>
        </w:rPr>
        <w:t>文件承担法律责任。</w:t>
      </w:r>
    </w:p>
    <w:p>
      <w:pPr>
        <w:autoSpaceDE w:val="0"/>
        <w:autoSpaceDN w:val="0"/>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7.2 </w:t>
      </w:r>
      <w:r>
        <w:rPr>
          <w:rFonts w:hint="eastAsia" w:ascii="宋体" w:hAnsi="宋体"/>
          <w:color w:val="auto"/>
        </w:rPr>
        <w:t>供应商提交的竞争性磋商响应文件及供应商与采购代理机构、评标委员会就有关竞争性磋商的所有来往函电均使用中文。供应商可以提交其它语言的资料，但有关响应内容应附中文注释，在有差异时以中文为准。</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 xml:space="preserve">7.3 </w:t>
      </w:r>
      <w:r>
        <w:rPr>
          <w:rFonts w:hint="eastAsia" w:ascii="宋体" w:hAnsi="宋体"/>
          <w:color w:val="auto"/>
        </w:rPr>
        <w:t>计量单位应使用我国法定计量单位。</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7.4 竞争性磋商响应文件应采用书面形式，电报、传真形式的竞争性磋商响应文件概不接受。</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7.5 供应商应按竞争性磋商文件中提供的竞争性磋商响应文件格式填写。</w:t>
      </w:r>
    </w:p>
    <w:p>
      <w:pPr>
        <w:adjustRightInd w:val="0"/>
        <w:snapToGrid w:val="0"/>
        <w:spacing w:beforeLines="50" w:line="360" w:lineRule="auto"/>
        <w:rPr>
          <w:rFonts w:ascii="宋体" w:hAnsi="宋体"/>
          <w:b/>
          <w:bCs/>
          <w:color w:val="auto"/>
        </w:rPr>
      </w:pPr>
      <w:r>
        <w:rPr>
          <w:rFonts w:hint="eastAsia" w:ascii="宋体" w:hAnsi="宋体"/>
          <w:b/>
          <w:bCs/>
          <w:color w:val="auto"/>
        </w:rPr>
        <w:t>8.</w:t>
      </w:r>
      <w:r>
        <w:rPr>
          <w:rFonts w:hint="eastAsia" w:ascii="宋体" w:hAnsi="宋体"/>
          <w:b/>
          <w:color w:val="auto"/>
        </w:rPr>
        <w:t>竞争性磋商响应文件</w:t>
      </w:r>
      <w:r>
        <w:rPr>
          <w:rFonts w:hint="eastAsia" w:ascii="宋体" w:hAnsi="宋体"/>
          <w:b/>
          <w:bCs/>
          <w:color w:val="auto"/>
        </w:rPr>
        <w:t>的组成</w:t>
      </w:r>
    </w:p>
    <w:p>
      <w:pPr>
        <w:adjustRightInd w:val="0"/>
        <w:snapToGrid w:val="0"/>
        <w:spacing w:beforeLines="50" w:line="360" w:lineRule="auto"/>
        <w:ind w:firstLine="420" w:firstLineChars="200"/>
        <w:rPr>
          <w:rFonts w:hAnsi="宋体"/>
          <w:color w:val="auto"/>
        </w:rPr>
      </w:pPr>
      <w:r>
        <w:rPr>
          <w:rFonts w:hint="eastAsia" w:ascii="宋体" w:hAnsi="宋体"/>
          <w:color w:val="auto"/>
        </w:rPr>
        <w:t>8.1 竞争性磋商响应文件</w:t>
      </w:r>
      <w:r>
        <w:rPr>
          <w:rFonts w:hint="eastAsia" w:hAnsi="宋体"/>
          <w:color w:val="auto"/>
        </w:rPr>
        <w:t>包括下列内容：</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（1）竞争性磋商响应函</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（2）磋商报价表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（3）法定代表人身份证明书、法定代表人授权书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（4）磋商保证金交纳凭证</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（5）反商业贿赂承诺书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（6）商务和技术偏差表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（7）响应供应商概况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（8）企业信誉情况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（9）技术文件</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（10）其他资料</w:t>
      </w:r>
    </w:p>
    <w:p>
      <w:pPr>
        <w:adjustRightInd w:val="0"/>
        <w:snapToGrid w:val="0"/>
        <w:spacing w:beforeLines="50" w:line="360" w:lineRule="auto"/>
        <w:ind w:firstLine="420" w:firstLineChars="200"/>
        <w:rPr>
          <w:rFonts w:hint="default" w:ascii="宋体" w:hAnsi="宋体"/>
          <w:color w:val="auto"/>
          <w:lang w:val="en-US" w:eastAsia="zh-CN"/>
        </w:rPr>
      </w:pPr>
      <w:r>
        <w:rPr>
          <w:rFonts w:hint="eastAsia" w:ascii="宋体" w:hAnsi="宋体"/>
          <w:color w:val="auto"/>
          <w:lang w:val="en-US" w:eastAsia="zh-CN"/>
        </w:rPr>
        <w:t>8.2 投标人应按8.1条及“第七章响应文件格式”目录及表格编制投标响应文件。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8.</w:t>
      </w:r>
      <w:r>
        <w:rPr>
          <w:rFonts w:hint="eastAsia" w:ascii="宋体" w:hAnsi="宋体"/>
          <w:color w:val="auto"/>
          <w:lang w:val="en-US" w:eastAsia="zh-CN"/>
        </w:rPr>
        <w:t>3</w:t>
      </w:r>
      <w:r>
        <w:rPr>
          <w:rFonts w:hint="eastAsia" w:ascii="宋体" w:hAnsi="宋体"/>
          <w:color w:val="auto"/>
        </w:rPr>
        <w:t xml:space="preserve"> 根据《中华人民共和国政府采购法》第四十二条的规定，供应商无论成交与否，其竞争性磋商响应文件不予退还。</w:t>
      </w:r>
    </w:p>
    <w:p>
      <w:pPr>
        <w:adjustRightInd w:val="0"/>
        <w:snapToGrid w:val="0"/>
        <w:spacing w:beforeLines="50" w:line="360" w:lineRule="auto"/>
        <w:rPr>
          <w:rFonts w:ascii="宋体" w:hAnsi="宋体"/>
          <w:b/>
          <w:bCs/>
          <w:color w:val="auto"/>
        </w:rPr>
      </w:pPr>
      <w:r>
        <w:rPr>
          <w:rFonts w:hint="eastAsia" w:ascii="宋体" w:hAnsi="宋体"/>
          <w:b/>
          <w:bCs/>
          <w:color w:val="auto"/>
        </w:rPr>
        <w:t>9.报价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9.1供应商应当根据竞争性磋商文件要求和范围，以</w:t>
      </w:r>
      <w:r>
        <w:rPr>
          <w:rFonts w:hint="eastAsia" w:ascii="宋体" w:hAnsi="宋体"/>
          <w:bCs/>
          <w:color w:val="auto"/>
        </w:rPr>
        <w:t>人民币</w:t>
      </w:r>
      <w:r>
        <w:rPr>
          <w:rFonts w:hint="eastAsia" w:ascii="宋体" w:hAnsi="宋体"/>
          <w:color w:val="auto"/>
        </w:rPr>
        <w:t>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9.2竞争性磋商响应文件中标明的价格在合同执行过程中是固定不变的，不得以任何理由予以变更。以可变动价格提交的报价将被认为是非实质响应采购要求而被拒绝。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9.3除</w:t>
      </w:r>
      <w:r>
        <w:rPr>
          <w:rFonts w:hint="eastAsia" w:ascii="宋体" w:hAnsi="宋体"/>
          <w:b/>
          <w:color w:val="auto"/>
        </w:rPr>
        <w:t>供应商须知前附表</w:t>
      </w:r>
      <w:r>
        <w:rPr>
          <w:rFonts w:hint="eastAsia" w:ascii="宋体" w:hAnsi="宋体"/>
          <w:color w:val="auto"/>
        </w:rPr>
        <w:t>中另有规定外，本次采购不接受备选方案报价。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9.4采购项目预算见</w:t>
      </w:r>
      <w:r>
        <w:rPr>
          <w:rFonts w:hint="eastAsia" w:ascii="宋体" w:hAnsi="宋体"/>
          <w:b/>
          <w:color w:val="auto"/>
        </w:rPr>
        <w:t>供应商须知前附表</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的报价不得超过</w:t>
      </w:r>
      <w:r>
        <w:rPr>
          <w:rFonts w:hint="eastAsia" w:ascii="宋体" w:hAnsi="宋体"/>
          <w:color w:val="auto"/>
          <w:lang w:eastAsia="zh-CN"/>
        </w:rPr>
        <w:t>或等于</w:t>
      </w:r>
      <w:r>
        <w:rPr>
          <w:rFonts w:hint="eastAsia" w:ascii="宋体" w:hAnsi="宋体"/>
          <w:color w:val="auto"/>
        </w:rPr>
        <w:t>采购项目预算。</w:t>
      </w:r>
    </w:p>
    <w:p>
      <w:pPr>
        <w:adjustRightInd w:val="0"/>
        <w:snapToGrid w:val="0"/>
        <w:spacing w:beforeLines="50" w:line="360" w:lineRule="auto"/>
        <w:rPr>
          <w:rFonts w:ascii="宋体" w:hAnsi="宋体"/>
          <w:b/>
          <w:bCs/>
          <w:color w:val="auto"/>
        </w:rPr>
      </w:pPr>
      <w:r>
        <w:rPr>
          <w:rFonts w:hint="eastAsia" w:ascii="宋体" w:hAnsi="宋体"/>
          <w:b/>
          <w:bCs/>
          <w:color w:val="auto"/>
        </w:rPr>
        <w:t>10.供应商符合竞争性磋商文件规定的证明文件</w:t>
      </w:r>
    </w:p>
    <w:p>
      <w:pPr>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cs="宋体"/>
          <w:color w:val="auto"/>
          <w:kern w:val="0"/>
          <w:lang w:val="zh-CN"/>
        </w:rPr>
        <w:t>10.1供应商应</w:t>
      </w:r>
      <w:r>
        <w:rPr>
          <w:rFonts w:hint="eastAsia" w:ascii="宋体" w:hAnsi="宋体"/>
          <w:color w:val="auto"/>
        </w:rPr>
        <w:t>提供</w:t>
      </w:r>
      <w:r>
        <w:rPr>
          <w:rFonts w:hint="eastAsia" w:ascii="宋体" w:hAnsi="宋体" w:cs="宋体"/>
          <w:color w:val="auto"/>
          <w:kern w:val="0"/>
          <w:lang w:val="zh-CN"/>
        </w:rPr>
        <w:t>符合竞争性磋商文件</w:t>
      </w:r>
      <w:r>
        <w:rPr>
          <w:rFonts w:hint="eastAsia" w:ascii="宋体" w:hAnsi="宋体"/>
          <w:color w:val="auto"/>
        </w:rPr>
        <w:t>规定的资格条件要求</w:t>
      </w:r>
      <w:r>
        <w:rPr>
          <w:rFonts w:hint="eastAsia" w:ascii="宋体" w:hAnsi="宋体" w:cs="宋体"/>
          <w:color w:val="auto"/>
          <w:kern w:val="0"/>
          <w:lang w:val="zh-CN"/>
        </w:rPr>
        <w:t>的证明材料。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10.2除</w:t>
      </w:r>
      <w:r>
        <w:rPr>
          <w:rFonts w:hint="eastAsia" w:ascii="宋体" w:hAnsi="宋体"/>
          <w:b/>
          <w:color w:val="auto"/>
        </w:rPr>
        <w:t>供应商须知前附表</w:t>
      </w:r>
      <w:r>
        <w:rPr>
          <w:rFonts w:hint="eastAsia" w:ascii="宋体" w:hAnsi="宋体"/>
          <w:color w:val="auto"/>
        </w:rPr>
        <w:t>另有规定外，</w:t>
      </w:r>
      <w:r>
        <w:rPr>
          <w:rFonts w:hint="eastAsia" w:ascii="宋体" w:hAnsi="宋体" w:cs="宋体"/>
          <w:color w:val="auto"/>
          <w:kern w:val="0"/>
          <w:lang w:val="zh-CN"/>
        </w:rPr>
        <w:t>供应商</w:t>
      </w:r>
      <w:r>
        <w:rPr>
          <w:rFonts w:hint="eastAsia" w:ascii="宋体" w:hAnsi="宋体"/>
          <w:color w:val="auto"/>
        </w:rPr>
        <w:t>提供的货物及服务不是</w:t>
      </w:r>
      <w:r>
        <w:rPr>
          <w:rFonts w:hint="eastAsia" w:ascii="宋体" w:hAnsi="宋体" w:cs="宋体"/>
          <w:color w:val="auto"/>
          <w:kern w:val="0"/>
          <w:lang w:val="zh-CN"/>
        </w:rPr>
        <w:t>供应商</w:t>
      </w:r>
      <w:r>
        <w:rPr>
          <w:rFonts w:hint="eastAsia" w:ascii="宋体" w:hAnsi="宋体"/>
          <w:color w:val="auto"/>
        </w:rPr>
        <w:t>制造或拥有的</w:t>
      </w:r>
      <w:r>
        <w:rPr>
          <w:rFonts w:ascii="宋体" w:hAnsi="宋体"/>
          <w:color w:val="auto"/>
        </w:rPr>
        <w:t>,</w:t>
      </w:r>
      <w:r>
        <w:rPr>
          <w:rFonts w:hint="eastAsia" w:ascii="宋体" w:hAnsi="宋体"/>
          <w:color w:val="auto"/>
        </w:rPr>
        <w:t>则应当提供经销、或代理采购货物、或为采购货物提供售后服务的证明文件。否则将视为非实质响应而被拒绝。</w:t>
      </w:r>
    </w:p>
    <w:p>
      <w:pPr>
        <w:adjustRightInd w:val="0"/>
        <w:snapToGrid w:val="0"/>
        <w:spacing w:beforeLines="50" w:line="360" w:lineRule="auto"/>
        <w:rPr>
          <w:rFonts w:ascii="宋体" w:hAnsi="宋体"/>
          <w:b/>
          <w:bCs/>
          <w:color w:val="auto"/>
        </w:rPr>
      </w:pPr>
      <w:r>
        <w:rPr>
          <w:rFonts w:hint="eastAsia" w:ascii="宋体" w:hAnsi="宋体"/>
          <w:b/>
          <w:bCs/>
          <w:color w:val="auto"/>
        </w:rPr>
        <w:t>11.货物符合竞争性磋商文件规定的证明文件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11.1 供应商须提交证明其拟供货物及其服务符合竞争性磋商文件规定的响应性文件，作为竞争性磋商竞争性磋商的一部分。</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11.2 证明货物及其服务与竞争性磋商文件要求一致的文件，可以是文字资料、图纸和数据，并须提供：</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（1）货物主要性能和参数的详细说明；</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（2）对照竞争性磋商文件技术规格，逐条说明所提供货物和服务对技术规格响应与偏离表，并申明技术规格条文的响应或偏离。对有具体参数要求的指标，</w:t>
      </w:r>
      <w:r>
        <w:rPr>
          <w:rFonts w:hint="eastAsia" w:ascii="宋体" w:hAnsi="宋体"/>
          <w:bCs/>
          <w:color w:val="auto"/>
        </w:rPr>
        <w:t>供应商</w:t>
      </w:r>
      <w:r>
        <w:rPr>
          <w:rFonts w:hint="eastAsia" w:ascii="宋体" w:hAnsi="宋体"/>
          <w:color w:val="auto"/>
        </w:rPr>
        <w:t>应提供具体参数值。</w:t>
      </w:r>
    </w:p>
    <w:p>
      <w:pPr>
        <w:adjustRightInd w:val="0"/>
        <w:snapToGrid w:val="0"/>
        <w:spacing w:beforeLines="50" w:line="360" w:lineRule="auto"/>
        <w:rPr>
          <w:rFonts w:ascii="宋体" w:hAnsi="宋体"/>
          <w:b/>
          <w:bCs/>
          <w:color w:val="auto"/>
        </w:rPr>
      </w:pPr>
      <w:r>
        <w:rPr>
          <w:rFonts w:hint="eastAsia" w:ascii="宋体" w:hAnsi="宋体"/>
          <w:b/>
          <w:bCs/>
          <w:color w:val="auto"/>
        </w:rPr>
        <w:t>12.保证金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12.1</w:t>
      </w:r>
      <w:r>
        <w:rPr>
          <w:rFonts w:hint="eastAsia" w:ascii="宋体" w:hAnsi="宋体"/>
          <w:b/>
          <w:color w:val="auto"/>
        </w:rPr>
        <w:t>供应商须知前附表</w:t>
      </w:r>
      <w:r>
        <w:rPr>
          <w:rFonts w:hint="eastAsia" w:ascii="宋体" w:hAnsi="宋体"/>
          <w:color w:val="auto"/>
        </w:rPr>
        <w:t>规定交纳</w:t>
      </w:r>
      <w:r>
        <w:rPr>
          <w:rFonts w:hint="eastAsia" w:ascii="宋体" w:hAnsi="宋体"/>
          <w:bCs/>
          <w:color w:val="auto"/>
        </w:rPr>
        <w:t>保证金的</w:t>
      </w:r>
      <w:r>
        <w:rPr>
          <w:rFonts w:hint="eastAsia" w:ascii="宋体" w:hAnsi="宋体"/>
          <w:color w:val="auto"/>
        </w:rPr>
        <w:t>，</w:t>
      </w:r>
      <w:r>
        <w:rPr>
          <w:rFonts w:hint="eastAsia" w:ascii="宋体" w:hAnsi="宋体"/>
          <w:bCs/>
          <w:color w:val="auto"/>
        </w:rPr>
        <w:t>供应商应</w:t>
      </w:r>
      <w:r>
        <w:rPr>
          <w:rFonts w:hint="eastAsia" w:ascii="宋体" w:hAnsi="宋体"/>
          <w:color w:val="auto"/>
        </w:rPr>
        <w:t>按</w:t>
      </w:r>
      <w:r>
        <w:rPr>
          <w:rFonts w:hint="eastAsia" w:ascii="宋体" w:hAnsi="宋体"/>
          <w:b/>
          <w:color w:val="auto"/>
        </w:rPr>
        <w:t>供应商须知前附表</w:t>
      </w:r>
      <w:r>
        <w:rPr>
          <w:rFonts w:hint="eastAsia" w:ascii="宋体" w:hAnsi="宋体"/>
          <w:color w:val="auto"/>
        </w:rPr>
        <w:t>规定的要求提交保证金，</w:t>
      </w:r>
      <w:r>
        <w:rPr>
          <w:rFonts w:hint="eastAsia" w:ascii="宋体" w:hAnsi="宋体"/>
          <w:bCs/>
          <w:color w:val="auto"/>
        </w:rPr>
        <w:t>保证金有效期应当与</w:t>
      </w:r>
      <w:r>
        <w:rPr>
          <w:rFonts w:hint="eastAsia" w:ascii="宋体" w:hAnsi="宋体"/>
          <w:color w:val="auto"/>
        </w:rPr>
        <w:t>规定</w:t>
      </w:r>
      <w:r>
        <w:rPr>
          <w:rFonts w:hint="eastAsia" w:ascii="宋体" w:hAnsi="宋体" w:cs="宋体"/>
          <w:color w:val="auto"/>
          <w:kern w:val="0"/>
          <w:lang w:val="zh-CN"/>
        </w:rPr>
        <w:t>的竞争性磋商</w:t>
      </w:r>
      <w:r>
        <w:rPr>
          <w:rFonts w:hint="eastAsia" w:ascii="宋体" w:hAnsi="宋体"/>
          <w:color w:val="auto"/>
        </w:rPr>
        <w:t>响应</w:t>
      </w:r>
      <w:r>
        <w:rPr>
          <w:rFonts w:hint="eastAsia" w:ascii="宋体" w:hAnsi="宋体"/>
          <w:bCs/>
          <w:color w:val="auto"/>
        </w:rPr>
        <w:t>文件有效期一致。</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12.2 未按规定提交保证金的竞争性磋商响应文件，将被视为非实质响应而被拒绝。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12.3 采购代理机构在成交通知书发出后1个工作日内退还未成交供应商的保证金。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12.4发生以下情况保证金将不予退还：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（1）供应商在本章规定的递交竞争性磋商响应文件截止时间后撤回竞争性磋商响应文件的；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（2）供应商在竞争性磋商响应文件中提供虚假材料或虚假承诺的；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（3）成交供应商无正当理由不与采购人签定合同或转让、分包项目以及拒绝履行合同义务的；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（4）中标公告前和中标公示期间，成交候选人无正当理由放弃中标资格的；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（5）竞争性磋商文件规定的其他情形。</w:t>
      </w:r>
    </w:p>
    <w:p>
      <w:pPr>
        <w:adjustRightInd w:val="0"/>
        <w:snapToGrid w:val="0"/>
        <w:spacing w:beforeLines="50" w:line="360" w:lineRule="auto"/>
        <w:rPr>
          <w:rFonts w:ascii="宋体" w:hAnsi="宋体"/>
          <w:b/>
          <w:bCs/>
          <w:color w:val="auto"/>
        </w:rPr>
      </w:pPr>
      <w:r>
        <w:rPr>
          <w:rFonts w:hint="eastAsia" w:ascii="宋体" w:hAnsi="宋体"/>
          <w:b/>
          <w:bCs/>
          <w:color w:val="auto"/>
        </w:rPr>
        <w:t>13.竞争性磋商</w:t>
      </w:r>
      <w:r>
        <w:rPr>
          <w:rFonts w:hint="eastAsia" w:ascii="宋体" w:hAnsi="宋体"/>
          <w:b/>
          <w:color w:val="auto"/>
        </w:rPr>
        <w:t>响应文件有效期</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13.1竞争性磋商响应文件有效期见</w:t>
      </w:r>
      <w:r>
        <w:rPr>
          <w:rFonts w:hint="eastAsia" w:ascii="宋体" w:hAnsi="宋体"/>
          <w:b/>
          <w:color w:val="auto"/>
        </w:rPr>
        <w:t>供应商须知前附表</w:t>
      </w:r>
      <w:r>
        <w:rPr>
          <w:rFonts w:hint="eastAsia" w:ascii="宋体" w:hAnsi="宋体"/>
          <w:color w:val="auto"/>
        </w:rPr>
        <w:t>，在此期间竞争性磋商响应文件对供应商具有法律约束力，竞争性磋商响应文件有效期</w:t>
      </w:r>
      <w:r>
        <w:rPr>
          <w:rFonts w:hint="eastAsia" w:ascii="宋体" w:hAnsi="宋体" w:cs="Arial"/>
          <w:color w:val="auto"/>
        </w:rPr>
        <w:t>从</w:t>
      </w:r>
      <w:r>
        <w:rPr>
          <w:rFonts w:hint="eastAsia" w:ascii="宋体" w:hAnsi="宋体"/>
          <w:color w:val="auto"/>
        </w:rPr>
        <w:t>规定的</w:t>
      </w:r>
      <w:r>
        <w:rPr>
          <w:rFonts w:hint="eastAsia" w:ascii="宋体" w:hAnsi="宋体" w:cs="Arial"/>
          <w:color w:val="auto"/>
        </w:rPr>
        <w:t>递交竞争性磋商</w:t>
      </w:r>
      <w:r>
        <w:rPr>
          <w:rFonts w:hint="eastAsia" w:ascii="宋体" w:hAnsi="宋体"/>
          <w:color w:val="auto"/>
        </w:rPr>
        <w:t>响应文件</w:t>
      </w:r>
      <w:r>
        <w:rPr>
          <w:rFonts w:hint="eastAsia" w:ascii="宋体" w:hAnsi="宋体" w:cs="Arial"/>
          <w:color w:val="auto"/>
        </w:rPr>
        <w:t>截止时间之日起计算。竞争性磋商</w:t>
      </w:r>
      <w:r>
        <w:rPr>
          <w:rFonts w:hint="eastAsia" w:ascii="宋体" w:hAnsi="宋体"/>
          <w:color w:val="auto"/>
        </w:rPr>
        <w:t>响应文件有效期不足的将被视为无效响应，并予以拒绝。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pPr>
        <w:widowControl/>
        <w:adjustRightInd w:val="0"/>
        <w:snapToGrid w:val="0"/>
        <w:spacing w:beforeLines="50" w:line="360" w:lineRule="auto"/>
        <w:jc w:val="left"/>
        <w:rPr>
          <w:rFonts w:ascii="宋体" w:hAnsi="宋体"/>
          <w:b/>
          <w:color w:val="auto"/>
        </w:rPr>
      </w:pPr>
      <w:bookmarkStart w:id="35" w:name="_Hlk39664050"/>
      <w:bookmarkStart w:id="36" w:name="_Hlk38276022"/>
      <w:r>
        <w:rPr>
          <w:rFonts w:hint="eastAsia" w:ascii="宋体" w:hAnsi="宋体" w:cs="Arial"/>
          <w:b/>
          <w:bCs/>
          <w:color w:val="auto"/>
          <w:kern w:val="0"/>
        </w:rPr>
        <w:t>14</w:t>
      </w:r>
      <w:r>
        <w:rPr>
          <w:rFonts w:ascii="宋体" w:hAnsi="宋体" w:cs="Arial"/>
          <w:b/>
          <w:bCs/>
          <w:color w:val="auto"/>
          <w:kern w:val="0"/>
        </w:rPr>
        <w:t>.</w:t>
      </w:r>
      <w:r>
        <w:rPr>
          <w:rFonts w:hint="eastAsia" w:ascii="宋体" w:hAnsi="宋体"/>
          <w:b/>
          <w:color w:val="auto"/>
        </w:rPr>
        <w:t>有下列情形之一的，视为投标人串通投标，其投标无效：</w:t>
      </w:r>
    </w:p>
    <w:p>
      <w:pPr>
        <w:widowControl/>
        <w:adjustRightInd w:val="0"/>
        <w:snapToGrid w:val="0"/>
        <w:spacing w:beforeLines="50" w:line="360" w:lineRule="auto"/>
        <w:jc w:val="left"/>
        <w:rPr>
          <w:rFonts w:ascii="宋体" w:hAnsi="宋体"/>
          <w:color w:val="auto"/>
        </w:rPr>
      </w:pPr>
      <w:r>
        <w:rPr>
          <w:rFonts w:hint="eastAsia" w:ascii="宋体" w:hAnsi="宋体"/>
          <w:color w:val="auto"/>
        </w:rPr>
        <w:t>　　14.1不同投标人的投标文件由同一单位或者个人编制；</w:t>
      </w:r>
    </w:p>
    <w:p>
      <w:pPr>
        <w:widowControl/>
        <w:adjustRightInd w:val="0"/>
        <w:snapToGrid w:val="0"/>
        <w:spacing w:beforeLines="50" w:line="360" w:lineRule="auto"/>
        <w:ind w:firstLine="210" w:firstLineChars="100"/>
        <w:jc w:val="left"/>
        <w:rPr>
          <w:rFonts w:ascii="宋体" w:hAnsi="宋体"/>
          <w:color w:val="auto"/>
        </w:rPr>
      </w:pPr>
      <w:r>
        <w:rPr>
          <w:rFonts w:hint="eastAsia" w:ascii="宋体" w:hAnsi="宋体"/>
          <w:color w:val="auto"/>
        </w:rPr>
        <w:t>　14.2不同投标人委托同一单位或者个人办理投标事宜；</w:t>
      </w:r>
    </w:p>
    <w:p>
      <w:pPr>
        <w:widowControl/>
        <w:adjustRightInd w:val="0"/>
        <w:snapToGrid w:val="0"/>
        <w:spacing w:beforeLines="50" w:line="360" w:lineRule="auto"/>
        <w:jc w:val="left"/>
        <w:rPr>
          <w:rFonts w:ascii="宋体" w:hAnsi="宋体"/>
          <w:color w:val="auto"/>
        </w:rPr>
      </w:pPr>
      <w:r>
        <w:rPr>
          <w:rFonts w:hint="eastAsia" w:ascii="宋体" w:hAnsi="宋体"/>
          <w:color w:val="auto"/>
        </w:rPr>
        <w:t>　　14.3不同投标人的投标文件载明的项目管理成员或者联系人员为同一人；</w:t>
      </w:r>
    </w:p>
    <w:p>
      <w:pPr>
        <w:widowControl/>
        <w:adjustRightInd w:val="0"/>
        <w:snapToGrid w:val="0"/>
        <w:spacing w:beforeLines="50" w:line="360" w:lineRule="auto"/>
        <w:jc w:val="left"/>
        <w:rPr>
          <w:rFonts w:ascii="宋体" w:hAnsi="宋体"/>
          <w:color w:val="auto"/>
        </w:rPr>
      </w:pP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14.4不同投标人的投标文件异常一致或者投标报价呈规律性差异；</w:t>
      </w:r>
    </w:p>
    <w:p>
      <w:pPr>
        <w:widowControl/>
        <w:adjustRightInd w:val="0"/>
        <w:snapToGrid w:val="0"/>
        <w:spacing w:beforeLines="50" w:line="360" w:lineRule="auto"/>
        <w:jc w:val="left"/>
        <w:rPr>
          <w:rFonts w:ascii="宋体" w:hAnsi="宋体"/>
          <w:color w:val="auto"/>
        </w:rPr>
      </w:pPr>
      <w:r>
        <w:rPr>
          <w:rFonts w:hint="eastAsia" w:ascii="宋体" w:hAnsi="宋体"/>
          <w:color w:val="auto"/>
        </w:rPr>
        <w:t>　　14.5不同投标人的投标文件相互混装；</w:t>
      </w:r>
    </w:p>
    <w:p>
      <w:pPr>
        <w:widowControl/>
        <w:adjustRightInd w:val="0"/>
        <w:snapToGrid w:val="0"/>
        <w:spacing w:beforeLines="50" w:line="360" w:lineRule="auto"/>
        <w:jc w:val="left"/>
        <w:rPr>
          <w:rFonts w:ascii="宋体" w:hAnsi="宋体"/>
          <w:color w:val="auto"/>
        </w:rPr>
      </w:pPr>
      <w:r>
        <w:rPr>
          <w:rFonts w:hint="eastAsia" w:ascii="宋体" w:hAnsi="宋体"/>
          <w:color w:val="auto"/>
        </w:rPr>
        <w:t>　　14.6不同投标人的投标保证金从同一单位或者个人的账户转出。</w:t>
      </w:r>
    </w:p>
    <w:bookmarkEnd w:id="35"/>
    <w:p>
      <w:pPr>
        <w:adjustRightInd w:val="0"/>
        <w:snapToGrid w:val="0"/>
        <w:spacing w:beforeLines="50" w:line="360" w:lineRule="auto"/>
        <w:rPr>
          <w:rFonts w:ascii="宋体" w:hAnsi="宋体"/>
          <w:b/>
          <w:color w:val="auto"/>
        </w:rPr>
      </w:pPr>
      <w:r>
        <w:rPr>
          <w:rFonts w:hint="eastAsia" w:ascii="宋体" w:hAnsi="宋体"/>
          <w:b/>
          <w:color w:val="auto"/>
        </w:rPr>
        <w:t>四、竞争性磋商响应文件的递交</w:t>
      </w:r>
    </w:p>
    <w:p>
      <w:pPr>
        <w:adjustRightInd w:val="0"/>
        <w:snapToGrid w:val="0"/>
        <w:spacing w:beforeLines="50" w:line="360" w:lineRule="auto"/>
        <w:rPr>
          <w:rFonts w:ascii="宋体" w:hAnsi="宋体"/>
          <w:b/>
          <w:bCs/>
          <w:color w:val="auto"/>
        </w:rPr>
      </w:pPr>
      <w:r>
        <w:rPr>
          <w:rFonts w:hint="eastAsia" w:ascii="宋体" w:hAnsi="宋体"/>
          <w:b/>
          <w:bCs/>
          <w:color w:val="auto"/>
        </w:rPr>
        <w:t>15.</w:t>
      </w:r>
      <w:r>
        <w:rPr>
          <w:rFonts w:hint="eastAsia" w:ascii="宋体" w:hAnsi="宋体"/>
          <w:b/>
          <w:color w:val="auto"/>
        </w:rPr>
        <w:t>竞争性磋商响应文件</w:t>
      </w:r>
      <w:r>
        <w:rPr>
          <w:rFonts w:hint="eastAsia" w:ascii="宋体" w:hAnsi="宋体"/>
          <w:b/>
          <w:bCs/>
          <w:color w:val="auto"/>
        </w:rPr>
        <w:t>的修改和撤回</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15.1在开标时间前，潜在</w:t>
      </w:r>
      <w:r>
        <w:rPr>
          <w:rFonts w:hint="eastAsia" w:ascii="宋体" w:hAnsi="宋体" w:cs="宋体"/>
          <w:color w:val="auto"/>
          <w:kern w:val="0"/>
          <w:lang w:val="zh-CN"/>
        </w:rPr>
        <w:t>供应商</w:t>
      </w:r>
      <w:r>
        <w:rPr>
          <w:rFonts w:hint="eastAsia" w:ascii="宋体" w:hAnsi="宋体"/>
          <w:color w:val="auto"/>
        </w:rPr>
        <w:t>对竞争性磋商文件有疑问且要求招标人澄清的，应于本投标须知前附表规定的时间前以书面形式告知招标人，招标人对竞争性磋商文件的修改或答疑回复将于本投标须知前附表规定的时间以书面形式发出,</w:t>
      </w:r>
      <w:r>
        <w:rPr>
          <w:rFonts w:hint="eastAsia" w:ascii="宋体" w:hAnsi="宋体" w:cs="宋体"/>
          <w:color w:val="auto"/>
          <w:kern w:val="0"/>
          <w:lang w:val="zh-CN"/>
        </w:rPr>
        <w:t>供应商</w:t>
      </w:r>
      <w:r>
        <w:rPr>
          <w:rFonts w:hint="eastAsia" w:ascii="宋体" w:hAnsi="宋体"/>
          <w:color w:val="auto"/>
        </w:rPr>
        <w:t>自行上网查阅，并须填写本竞争性磋商文件规定格式之回执，附在供应商竞争性磋商响应文件内。如无答疑回复，则不需填写回执。</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15.2为使供应商有合理的时间按补充文件准备竞争性磋商响应文件，招标人可能根据具体情况酌情延长投标截止日期。</w:t>
      </w:r>
    </w:p>
    <w:p>
      <w:pPr>
        <w:adjustRightInd w:val="0"/>
        <w:snapToGrid w:val="0"/>
        <w:spacing w:beforeLines="50" w:line="360" w:lineRule="auto"/>
        <w:rPr>
          <w:rFonts w:ascii="宋体" w:hAnsi="宋体"/>
          <w:b/>
          <w:bCs/>
          <w:color w:val="auto"/>
        </w:rPr>
      </w:pPr>
      <w:r>
        <w:rPr>
          <w:rFonts w:hint="eastAsia" w:ascii="宋体" w:hAnsi="宋体"/>
          <w:b/>
          <w:bCs/>
          <w:color w:val="auto"/>
        </w:rPr>
        <w:t>16.</w:t>
      </w:r>
      <w:r>
        <w:rPr>
          <w:rFonts w:hint="eastAsia" w:ascii="宋体" w:hAnsi="宋体"/>
          <w:b/>
          <w:color w:val="auto"/>
        </w:rPr>
        <w:t>竞争性磋商响应文件</w:t>
      </w:r>
      <w:r>
        <w:rPr>
          <w:rFonts w:hint="eastAsia" w:ascii="宋体" w:hAnsi="宋体"/>
          <w:b/>
          <w:bCs/>
          <w:color w:val="auto"/>
        </w:rPr>
        <w:t>的递交与接收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17.1竞争性磋商响应文件应按竞争性磋商文件的要求与格式编写。</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17.2竞争性磋商响应文件因表达不清所引起的后果由供应商负责。</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17.3供应商编制和提交竞争性磋商响应文件所需费用自理。</w:t>
      </w:r>
    </w:p>
    <w:p>
      <w:pPr>
        <w:adjustRightInd w:val="0"/>
        <w:snapToGrid w:val="0"/>
        <w:spacing w:beforeLines="50" w:line="360" w:lineRule="auto"/>
        <w:ind w:left="632" w:hanging="632" w:hangingChars="300"/>
        <w:rPr>
          <w:rFonts w:ascii="宋体" w:hAnsi="宋体"/>
          <w:b/>
          <w:bCs/>
          <w:color w:val="auto"/>
        </w:rPr>
      </w:pPr>
      <w:r>
        <w:rPr>
          <w:rFonts w:hint="eastAsia" w:ascii="宋体" w:hAnsi="宋体"/>
          <w:b/>
          <w:bCs/>
          <w:color w:val="auto"/>
        </w:rPr>
        <w:t>五、</w:t>
      </w:r>
      <w:r>
        <w:rPr>
          <w:rFonts w:hint="eastAsia" w:ascii="宋体" w:hAnsi="宋体"/>
          <w:b/>
          <w:color w:val="auto"/>
        </w:rPr>
        <w:t>评标委员会和评审</w:t>
      </w:r>
    </w:p>
    <w:p>
      <w:pPr>
        <w:adjustRightInd w:val="0"/>
        <w:snapToGrid w:val="0"/>
        <w:spacing w:beforeLines="50" w:line="360" w:lineRule="auto"/>
        <w:rPr>
          <w:rFonts w:ascii="宋体" w:hAnsi="宋体"/>
          <w:b/>
          <w:bCs/>
          <w:color w:val="auto"/>
        </w:rPr>
      </w:pPr>
      <w:r>
        <w:rPr>
          <w:rFonts w:hint="eastAsia" w:ascii="宋体" w:hAnsi="宋体"/>
          <w:b/>
          <w:bCs/>
          <w:color w:val="auto"/>
        </w:rPr>
        <w:t>17.</w:t>
      </w:r>
      <w:r>
        <w:rPr>
          <w:rFonts w:hint="eastAsia" w:ascii="宋体" w:hAnsi="宋体"/>
          <w:b/>
          <w:color w:val="auto"/>
        </w:rPr>
        <w:t>评标委员会</w:t>
      </w:r>
    </w:p>
    <w:p>
      <w:pPr>
        <w:adjustRightInd w:val="0"/>
        <w:snapToGrid w:val="0"/>
        <w:spacing w:beforeLines="50" w:line="360" w:lineRule="auto"/>
        <w:ind w:firstLine="420" w:firstLineChars="200"/>
        <w:jc w:val="left"/>
        <w:rPr>
          <w:rFonts w:ascii="宋体" w:hAnsi="宋体"/>
          <w:color w:val="auto"/>
        </w:rPr>
      </w:pPr>
      <w:r>
        <w:rPr>
          <w:rFonts w:hint="eastAsia" w:ascii="宋体" w:hAnsi="宋体"/>
          <w:bCs/>
          <w:color w:val="auto"/>
        </w:rPr>
        <w:t>17.1 招标人与采购代理机构将根据采购项目的特点依法组建</w:t>
      </w:r>
      <w:r>
        <w:rPr>
          <w:rFonts w:hint="eastAsia" w:ascii="宋体" w:hAnsi="宋体"/>
          <w:b/>
          <w:color w:val="auto"/>
        </w:rPr>
        <w:t>评标委员会</w:t>
      </w:r>
      <w:r>
        <w:rPr>
          <w:rFonts w:hint="eastAsia" w:ascii="宋体" w:hAnsi="宋体"/>
          <w:bCs/>
          <w:color w:val="auto"/>
        </w:rPr>
        <w:t>，其成员由</w:t>
      </w:r>
      <w:r>
        <w:rPr>
          <w:rFonts w:hint="eastAsia" w:ascii="宋体" w:hAnsi="宋体"/>
          <w:color w:val="auto"/>
        </w:rPr>
        <w:t>评审专家和招标人的代表组成。</w:t>
      </w:r>
      <w:r>
        <w:rPr>
          <w:rFonts w:hint="eastAsia" w:ascii="宋体" w:hAnsi="宋体"/>
          <w:b/>
          <w:color w:val="auto"/>
        </w:rPr>
        <w:t>评标委员会</w:t>
      </w:r>
      <w:r>
        <w:rPr>
          <w:rFonts w:hint="eastAsia" w:ascii="宋体" w:hAnsi="宋体"/>
          <w:color w:val="auto"/>
        </w:rPr>
        <w:t>负责对竞争性磋商响应文件进行审查、竞争性磋商、评价以及推荐成交</w:t>
      </w:r>
      <w:r>
        <w:rPr>
          <w:rFonts w:hint="eastAsia" w:ascii="宋体" w:hAnsi="宋体" w:cs="宋体"/>
          <w:color w:val="auto"/>
          <w:kern w:val="0"/>
          <w:lang w:val="zh-CN"/>
        </w:rPr>
        <w:t>供应商</w:t>
      </w:r>
      <w:r>
        <w:rPr>
          <w:rFonts w:hint="eastAsia" w:ascii="宋体" w:hAnsi="宋体"/>
          <w:color w:val="auto"/>
        </w:rPr>
        <w:t>。</w:t>
      </w:r>
    </w:p>
    <w:p>
      <w:pPr>
        <w:adjustRightInd w:val="0"/>
        <w:snapToGrid w:val="0"/>
        <w:spacing w:beforeLines="50" w:line="360" w:lineRule="auto"/>
        <w:ind w:left="628" w:leftChars="1" w:hanging="626" w:hangingChars="297"/>
        <w:rPr>
          <w:rFonts w:ascii="宋体" w:hAnsi="宋体"/>
          <w:b/>
          <w:bCs/>
          <w:color w:val="auto"/>
        </w:rPr>
      </w:pPr>
      <w:r>
        <w:rPr>
          <w:rFonts w:hint="eastAsia" w:ascii="宋体" w:hAnsi="宋体"/>
          <w:b/>
          <w:bCs/>
          <w:color w:val="auto"/>
        </w:rPr>
        <w:t>18. 资格</w:t>
      </w:r>
      <w:r>
        <w:rPr>
          <w:rFonts w:hint="eastAsia" w:ascii="宋体" w:hAnsi="宋体"/>
          <w:b/>
          <w:color w:val="auto"/>
        </w:rPr>
        <w:t>核</w:t>
      </w:r>
      <w:r>
        <w:rPr>
          <w:rFonts w:hint="eastAsia" w:ascii="宋体" w:hAnsi="宋体"/>
          <w:b/>
          <w:bCs/>
          <w:color w:val="auto"/>
        </w:rPr>
        <w:t>查</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 xml:space="preserve">18.1 </w:t>
      </w:r>
      <w:r>
        <w:rPr>
          <w:rFonts w:hint="eastAsia" w:ascii="宋体" w:hAnsi="宋体"/>
          <w:b/>
          <w:color w:val="auto"/>
        </w:rPr>
        <w:t>评标委员会</w:t>
      </w:r>
      <w:r>
        <w:rPr>
          <w:rFonts w:hint="eastAsia" w:ascii="宋体" w:hAnsi="宋体"/>
          <w:color w:val="auto"/>
        </w:rPr>
        <w:t>根据规定的</w:t>
      </w:r>
      <w:r>
        <w:rPr>
          <w:rFonts w:hint="eastAsia" w:ascii="宋体" w:hAnsi="宋体" w:cs="宋体"/>
          <w:color w:val="auto"/>
          <w:kern w:val="0"/>
          <w:lang w:val="zh-CN"/>
        </w:rPr>
        <w:t>供应商</w:t>
      </w:r>
      <w:r>
        <w:rPr>
          <w:rFonts w:hint="eastAsia" w:ascii="宋体" w:hAnsi="宋体"/>
          <w:color w:val="auto"/>
        </w:rPr>
        <w:t>资格条件要求，对竞争性磋商响应文件进行资格核</w:t>
      </w:r>
      <w:r>
        <w:rPr>
          <w:rFonts w:hint="eastAsia" w:ascii="宋体" w:hAnsi="宋体"/>
          <w:bCs/>
          <w:color w:val="auto"/>
        </w:rPr>
        <w:t>查</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不满足资格条件的，在评审时将其视为无效响应。</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18.2</w:t>
      </w:r>
      <w:r>
        <w:rPr>
          <w:rFonts w:hint="eastAsia" w:ascii="宋体" w:hAnsi="宋体"/>
          <w:b/>
          <w:color w:val="auto"/>
        </w:rPr>
        <w:t>评标委员会</w:t>
      </w:r>
      <w:r>
        <w:rPr>
          <w:rFonts w:hint="eastAsia" w:ascii="宋体" w:hAnsi="宋体"/>
          <w:color w:val="auto"/>
        </w:rPr>
        <w:t>可以要求</w:t>
      </w:r>
      <w:r>
        <w:rPr>
          <w:rFonts w:hint="eastAsia" w:ascii="宋体" w:hAnsi="宋体" w:cs="宋体"/>
          <w:color w:val="auto"/>
          <w:kern w:val="0"/>
          <w:lang w:val="zh-CN"/>
        </w:rPr>
        <w:t>供应商</w:t>
      </w:r>
      <w:r>
        <w:rPr>
          <w:rFonts w:hint="eastAsia" w:ascii="宋体" w:hAnsi="宋体"/>
          <w:color w:val="auto"/>
        </w:rPr>
        <w:t>提交有关证明和证件的原件以便核验。</w:t>
      </w:r>
    </w:p>
    <w:p>
      <w:pPr>
        <w:tabs>
          <w:tab w:val="left" w:pos="0"/>
        </w:tabs>
        <w:adjustRightInd w:val="0"/>
        <w:snapToGrid w:val="0"/>
        <w:spacing w:beforeLines="50" w:line="360" w:lineRule="auto"/>
        <w:rPr>
          <w:rFonts w:ascii="宋体" w:hAnsi="宋体"/>
          <w:b/>
          <w:bCs/>
          <w:color w:val="auto"/>
        </w:rPr>
      </w:pPr>
      <w:r>
        <w:rPr>
          <w:rFonts w:hint="eastAsia" w:ascii="宋体" w:hAnsi="宋体"/>
          <w:b/>
          <w:color w:val="auto"/>
        </w:rPr>
        <w:t>19.竞争性磋商响应文件</w:t>
      </w:r>
      <w:r>
        <w:rPr>
          <w:rFonts w:hint="eastAsia" w:ascii="宋体" w:hAnsi="宋体"/>
          <w:b/>
          <w:bCs/>
          <w:color w:val="auto"/>
        </w:rPr>
        <w:t>的符合性审查</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19.1</w:t>
      </w:r>
      <w:r>
        <w:rPr>
          <w:rFonts w:hint="eastAsia" w:ascii="宋体" w:hAnsi="宋体"/>
          <w:b/>
          <w:color w:val="auto"/>
        </w:rPr>
        <w:t>评标委员会</w:t>
      </w:r>
      <w:r>
        <w:rPr>
          <w:rFonts w:hint="eastAsia" w:ascii="宋体" w:hAnsi="宋体"/>
          <w:bCs/>
          <w:color w:val="auto"/>
        </w:rPr>
        <w:t>对</w:t>
      </w:r>
      <w:r>
        <w:rPr>
          <w:rFonts w:hint="eastAsia" w:ascii="宋体" w:hAnsi="宋体"/>
          <w:color w:val="auto"/>
        </w:rPr>
        <w:t>竞争性磋商响应文件</w:t>
      </w:r>
      <w:r>
        <w:rPr>
          <w:rFonts w:hint="eastAsia" w:ascii="宋体" w:hAnsi="宋体"/>
          <w:bCs/>
          <w:color w:val="auto"/>
        </w:rPr>
        <w:t>进行符合性审查，</w:t>
      </w:r>
      <w:r>
        <w:rPr>
          <w:rFonts w:hint="eastAsia" w:ascii="宋体" w:hAnsi="宋体"/>
          <w:color w:val="auto"/>
        </w:rPr>
        <w:t>竞争性磋商响应文件</w:t>
      </w:r>
      <w:r>
        <w:rPr>
          <w:rFonts w:hint="eastAsia" w:ascii="宋体" w:hAnsi="宋体"/>
          <w:bCs/>
          <w:color w:val="auto"/>
        </w:rPr>
        <w:t>有下列情况之一的视为无效响应：</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w:t>
      </w:r>
      <w:r>
        <w:rPr>
          <w:rFonts w:hint="eastAsia" w:ascii="宋体" w:hAnsi="宋体"/>
          <w:color w:val="auto"/>
        </w:rPr>
        <w:t>应交未交保证金或金额不足、保证金缴纳形式不符合</w:t>
      </w:r>
      <w:r>
        <w:rPr>
          <w:rFonts w:hint="eastAsia" w:ascii="宋体" w:hAnsi="宋体"/>
          <w:bCs/>
          <w:color w:val="auto"/>
        </w:rPr>
        <w:t>竞争性磋商文件</w:t>
      </w:r>
      <w:r>
        <w:rPr>
          <w:rFonts w:hint="eastAsia" w:ascii="宋体" w:hAnsi="宋体"/>
          <w:color w:val="auto"/>
        </w:rPr>
        <w:t>要求的；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rPr>
      </w:pPr>
      <w:r>
        <w:rPr>
          <w:rFonts w:hint="eastAsia" w:ascii="宋体" w:hAnsi="宋体"/>
          <w:color w:val="auto"/>
        </w:rPr>
        <w:t>（2）未按照</w:t>
      </w:r>
      <w:r>
        <w:rPr>
          <w:rFonts w:hint="eastAsia" w:ascii="宋体" w:hAnsi="宋体"/>
          <w:bCs/>
          <w:color w:val="auto"/>
        </w:rPr>
        <w:t>竞争性磋商文件</w:t>
      </w:r>
      <w:r>
        <w:rPr>
          <w:rFonts w:hint="eastAsia" w:ascii="宋体" w:hAnsi="宋体"/>
          <w:color w:val="auto"/>
        </w:rPr>
        <w:t>规定要求签署、盖章的；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（3）不满足</w:t>
      </w:r>
      <w:r>
        <w:rPr>
          <w:rFonts w:hint="eastAsia" w:ascii="宋体" w:hAnsi="宋体"/>
          <w:bCs/>
          <w:color w:val="auto"/>
        </w:rPr>
        <w:t>磋商</w:t>
      </w:r>
      <w:r>
        <w:rPr>
          <w:rFonts w:hint="eastAsia" w:ascii="宋体" w:hAnsi="宋体"/>
          <w:color w:val="auto"/>
        </w:rPr>
        <w:t>须知</w:t>
      </w:r>
      <w:r>
        <w:rPr>
          <w:rFonts w:hint="eastAsia" w:ascii="宋体" w:hAnsi="宋体"/>
          <w:bCs/>
          <w:color w:val="auto"/>
        </w:rPr>
        <w:t>规定的</w:t>
      </w:r>
      <w:r>
        <w:rPr>
          <w:rFonts w:hint="eastAsia" w:ascii="宋体" w:hAnsi="宋体"/>
          <w:color w:val="auto"/>
        </w:rPr>
        <w:t>实质性要求的；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（4）报价超过采购项目预算的；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（5）同一</w:t>
      </w:r>
      <w:r>
        <w:rPr>
          <w:rFonts w:hint="eastAsia" w:ascii="宋体" w:hAnsi="宋体" w:cs="宋体"/>
          <w:color w:val="auto"/>
          <w:kern w:val="0"/>
          <w:lang w:val="zh-CN"/>
        </w:rPr>
        <w:t>供应商</w:t>
      </w:r>
      <w:r>
        <w:rPr>
          <w:rFonts w:hint="eastAsia" w:ascii="宋体" w:hAnsi="宋体"/>
          <w:color w:val="auto"/>
        </w:rPr>
        <w:t>提交两个以上不同的竞争性磋商响应文件或者报价的，但</w:t>
      </w:r>
      <w:r>
        <w:rPr>
          <w:rFonts w:hint="eastAsia" w:ascii="宋体" w:hAnsi="宋体"/>
          <w:bCs/>
          <w:color w:val="auto"/>
        </w:rPr>
        <w:t>竞争性磋商</w:t>
      </w:r>
      <w:r>
        <w:rPr>
          <w:rFonts w:hint="eastAsia" w:ascii="宋体" w:hAnsi="宋体"/>
          <w:color w:val="auto"/>
        </w:rPr>
        <w:t>须知允许提交备选方案的除外；</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（6）竞争性磋商响应文件有效期不足的；</w:t>
      </w:r>
      <w:r>
        <w:rPr>
          <w:rFonts w:ascii="宋体" w:hAnsi="宋体"/>
          <w:color w:val="auto"/>
        </w:rPr>
        <w:tab/>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（7）不符合法律、法规和</w:t>
      </w:r>
      <w:r>
        <w:rPr>
          <w:rFonts w:hint="eastAsia" w:ascii="宋体" w:hAnsi="宋体"/>
          <w:bCs/>
          <w:color w:val="auto"/>
        </w:rPr>
        <w:t>竞争性磋商文件</w:t>
      </w:r>
      <w:r>
        <w:rPr>
          <w:rFonts w:hint="eastAsia" w:ascii="宋体" w:hAnsi="宋体"/>
          <w:color w:val="auto"/>
        </w:rPr>
        <w:t>规定的。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（8）</w:t>
      </w:r>
      <w:r>
        <w:rPr>
          <w:rFonts w:hint="eastAsia" w:ascii="宋体" w:hAnsi="宋体"/>
          <w:bCs/>
          <w:color w:val="auto"/>
        </w:rPr>
        <w:t>未按竞争性磋商文件要求提交资格证明文件；</w:t>
      </w:r>
    </w:p>
    <w:p>
      <w:pPr>
        <w:adjustRightInd w:val="0"/>
        <w:snapToGrid w:val="0"/>
        <w:spacing w:beforeLines="50" w:line="360" w:lineRule="auto"/>
        <w:ind w:firstLine="516" w:firstLineChars="246"/>
        <w:rPr>
          <w:rFonts w:ascii="宋体" w:hAnsi="宋体"/>
          <w:bCs/>
          <w:color w:val="auto"/>
        </w:rPr>
      </w:pPr>
      <w:r>
        <w:rPr>
          <w:rFonts w:hint="eastAsia" w:ascii="宋体" w:hAnsi="宋体"/>
          <w:color w:val="auto"/>
        </w:rPr>
        <w:t>(9)</w:t>
      </w:r>
      <w:r>
        <w:rPr>
          <w:rFonts w:hint="eastAsia" w:ascii="宋体" w:hAnsi="宋体"/>
          <w:bCs/>
          <w:color w:val="auto"/>
        </w:rPr>
        <w:t>提供的资格证明文件不符合竞争性磋商文件要求或提供虚假资格证明文件的；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(10)</w:t>
      </w:r>
      <w:r>
        <w:rPr>
          <w:rFonts w:hint="eastAsia" w:ascii="宋体" w:hAnsi="宋体"/>
          <w:bCs/>
          <w:color w:val="auto"/>
        </w:rPr>
        <w:t>资格证明文件未按竞争性磋商文件要求加盖供应商单位章、</w:t>
      </w:r>
      <w:r>
        <w:rPr>
          <w:rFonts w:hint="eastAsia" w:ascii="宋体" w:hAnsi="宋体"/>
          <w:color w:val="auto"/>
        </w:rPr>
        <w:t>签字</w:t>
      </w:r>
      <w:r>
        <w:rPr>
          <w:rFonts w:hint="eastAsia" w:ascii="宋体" w:hAnsi="宋体"/>
          <w:bCs/>
          <w:color w:val="auto"/>
        </w:rPr>
        <w:t>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(11)</w:t>
      </w:r>
      <w:r>
        <w:rPr>
          <w:rFonts w:hint="eastAsia" w:ascii="宋体" w:hAnsi="宋体"/>
          <w:bCs/>
          <w:color w:val="auto"/>
        </w:rPr>
        <w:t>资格证明文件过了有效期的或未按有关规定年审合格的。</w:t>
      </w:r>
    </w:p>
    <w:p>
      <w:pPr>
        <w:adjustRightInd w:val="0"/>
        <w:snapToGrid w:val="0"/>
        <w:spacing w:beforeLines="50" w:line="360" w:lineRule="auto"/>
        <w:rPr>
          <w:rFonts w:ascii="宋体" w:hAnsi="宋体"/>
          <w:b/>
          <w:bCs/>
          <w:color w:val="auto"/>
        </w:rPr>
      </w:pPr>
      <w:r>
        <w:rPr>
          <w:rFonts w:hint="eastAsia" w:ascii="宋体" w:hAnsi="宋体"/>
          <w:b/>
          <w:bCs/>
          <w:color w:val="auto"/>
        </w:rPr>
        <w:t>20.</w:t>
      </w:r>
      <w:r>
        <w:rPr>
          <w:rFonts w:hint="eastAsia" w:ascii="宋体" w:hAnsi="宋体"/>
          <w:b/>
          <w:color w:val="auto"/>
        </w:rPr>
        <w:t>竞争性磋商响应文件</w:t>
      </w:r>
      <w:r>
        <w:rPr>
          <w:rFonts w:hint="eastAsia" w:ascii="宋体" w:hAnsi="宋体"/>
          <w:b/>
          <w:bCs/>
          <w:color w:val="auto"/>
        </w:rPr>
        <w:t>的澄清</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20.1</w:t>
      </w:r>
      <w:r>
        <w:rPr>
          <w:rFonts w:hint="eastAsia" w:ascii="宋体" w:hAnsi="宋体"/>
          <w:b/>
          <w:color w:val="auto"/>
        </w:rPr>
        <w:t>评标委员会</w:t>
      </w:r>
      <w:r>
        <w:rPr>
          <w:rFonts w:hint="eastAsia" w:ascii="宋体" w:hAnsi="宋体" w:cs="宋体"/>
          <w:color w:val="auto"/>
          <w:kern w:val="0"/>
          <w:lang w:val="zh-CN"/>
        </w:rPr>
        <w:t>在对竞争性磋商响应文件的有效性、完整性和对</w:t>
      </w:r>
      <w:r>
        <w:rPr>
          <w:rFonts w:hint="eastAsia" w:ascii="宋体" w:hAnsi="宋体"/>
          <w:bCs/>
          <w:color w:val="auto"/>
        </w:rPr>
        <w:t>竞争性磋商文件</w:t>
      </w:r>
      <w:r>
        <w:rPr>
          <w:rFonts w:hint="eastAsia" w:ascii="宋体" w:hAnsi="宋体" w:cs="宋体"/>
          <w:color w:val="auto"/>
          <w:kern w:val="0"/>
          <w:lang w:val="zh-CN"/>
        </w:rPr>
        <w:t>的响应程度进行审查时，可以要求供应商对竞争性磋商响应文件中含义不明</w:t>
      </w:r>
      <w:r>
        <w:rPr>
          <w:rFonts w:hint="eastAsia" w:ascii="宋体" w:hAnsi="宋体"/>
          <w:bCs/>
          <w:color w:val="auto"/>
        </w:rPr>
        <w:t>确</w:t>
      </w:r>
      <w:r>
        <w:rPr>
          <w:rFonts w:hint="eastAsia" w:ascii="宋体" w:hAnsi="宋体" w:cs="宋体"/>
          <w:color w:val="auto"/>
          <w:kern w:val="0"/>
          <w:lang w:val="zh-CN"/>
        </w:rPr>
        <w:t>、同类问题表述不一致或者有明显文字和计算错误的内容等作出必要的澄清、说明或者纠正。该要求</w:t>
      </w:r>
      <w:r>
        <w:rPr>
          <w:rFonts w:hint="eastAsia" w:ascii="宋体" w:hAnsi="宋体" w:cs="Arial"/>
          <w:color w:val="auto"/>
        </w:rPr>
        <w:t>应当以</w:t>
      </w:r>
      <w:r>
        <w:rPr>
          <w:rFonts w:hint="eastAsia" w:ascii="宋体" w:hAnsi="宋体" w:cs="宋体"/>
          <w:color w:val="auto"/>
          <w:kern w:val="0"/>
          <w:lang w:val="zh-CN"/>
        </w:rPr>
        <w:t>书面形式作出。供应商的澄清、说明或者补正应当采用书面形式，由其</w:t>
      </w:r>
      <w:r>
        <w:rPr>
          <w:rFonts w:hint="eastAsia" w:ascii="宋体" w:hAnsi="宋体"/>
          <w:color w:val="auto"/>
        </w:rPr>
        <w:t>法定代表人或其委托代理人</w:t>
      </w:r>
      <w:r>
        <w:rPr>
          <w:rFonts w:hint="eastAsia" w:ascii="宋体" w:hAnsi="宋体"/>
          <w:bCs/>
          <w:color w:val="auto"/>
        </w:rPr>
        <w:t>签字</w:t>
      </w:r>
      <w:r>
        <w:rPr>
          <w:rFonts w:hint="eastAsia" w:ascii="宋体" w:hAnsi="宋体" w:cs="宋体"/>
          <w:color w:val="auto"/>
          <w:kern w:val="0"/>
          <w:lang w:val="zh-CN"/>
        </w:rPr>
        <w:t>。供应商的澄清、说明或者更正不得超出</w:t>
      </w:r>
      <w:r>
        <w:rPr>
          <w:rFonts w:hint="eastAsia" w:ascii="宋体" w:hAnsi="宋体"/>
          <w:bCs/>
          <w:color w:val="auto"/>
        </w:rPr>
        <w:t>竞争性磋商文件</w:t>
      </w:r>
      <w:r>
        <w:rPr>
          <w:rFonts w:hint="eastAsia" w:ascii="宋体" w:hAnsi="宋体" w:cs="宋体"/>
          <w:color w:val="auto"/>
          <w:kern w:val="0"/>
          <w:lang w:val="zh-CN"/>
        </w:rPr>
        <w:t>的范围或者改变竞争性磋商响应文件的实质性内容。</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20.2</w:t>
      </w:r>
      <w:r>
        <w:rPr>
          <w:rFonts w:hint="eastAsia" w:ascii="宋体" w:hAnsi="宋体" w:cs="宋体"/>
          <w:color w:val="auto"/>
          <w:kern w:val="0"/>
          <w:lang w:val="zh-CN"/>
        </w:rPr>
        <w:t>计算</w:t>
      </w:r>
      <w:r>
        <w:rPr>
          <w:rFonts w:hint="eastAsia" w:ascii="宋体" w:hAnsi="宋体"/>
          <w:color w:val="auto"/>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olor w:val="auto"/>
        </w:rPr>
        <w:t>20.3供应商应按</w:t>
      </w:r>
      <w:r>
        <w:rPr>
          <w:rFonts w:hint="eastAsia" w:ascii="宋体" w:hAnsi="宋体"/>
          <w:bCs/>
          <w:color w:val="auto"/>
        </w:rPr>
        <w:t>评标委员会</w:t>
      </w:r>
      <w:r>
        <w:rPr>
          <w:rFonts w:hint="eastAsia" w:ascii="宋体" w:hAnsi="宋体"/>
          <w:color w:val="auto"/>
        </w:rPr>
        <w:t>通知的时间、地点，指派专人进行</w:t>
      </w:r>
      <w:r>
        <w:rPr>
          <w:rFonts w:hint="eastAsia" w:ascii="宋体" w:hAnsi="宋体" w:cs="宋体"/>
          <w:color w:val="auto"/>
          <w:kern w:val="0"/>
          <w:lang w:val="zh-CN"/>
        </w:rPr>
        <w:t>澄清、说明或者补正</w:t>
      </w:r>
      <w:r>
        <w:rPr>
          <w:rFonts w:hint="eastAsia" w:ascii="宋体" w:hAnsi="宋体"/>
          <w:color w:val="auto"/>
        </w:rPr>
        <w:t>。</w:t>
      </w:r>
    </w:p>
    <w:p>
      <w:pPr>
        <w:tabs>
          <w:tab w:val="left" w:pos="0"/>
        </w:tabs>
        <w:adjustRightInd w:val="0"/>
        <w:snapToGrid w:val="0"/>
        <w:spacing w:beforeLines="50" w:line="360" w:lineRule="auto"/>
        <w:rPr>
          <w:rFonts w:ascii="宋体" w:hAnsi="宋体" w:cs="宋体"/>
          <w:b/>
          <w:bCs/>
          <w:color w:val="auto"/>
          <w:kern w:val="0"/>
        </w:rPr>
      </w:pPr>
      <w:r>
        <w:rPr>
          <w:rFonts w:hint="eastAsia" w:ascii="宋体" w:hAnsi="宋体"/>
          <w:b/>
          <w:bCs/>
          <w:color w:val="auto"/>
        </w:rPr>
        <w:t>21、</w:t>
      </w:r>
      <w:r>
        <w:rPr>
          <w:rFonts w:hint="eastAsia" w:ascii="宋体" w:hAnsi="宋体" w:cs="宋体"/>
          <w:b/>
          <w:bCs/>
          <w:color w:val="auto"/>
          <w:kern w:val="0"/>
        </w:rPr>
        <w:t>供应商有下列情形之一的,不得成为成交供应商:</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（1）竞争性磋商响应文件中提供虚假材料或虚假承诺的；</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（2）法律法规和竞争性磋商文件规定的其他情形的。</w:t>
      </w:r>
    </w:p>
    <w:p>
      <w:pPr>
        <w:adjustRightInd w:val="0"/>
        <w:snapToGrid w:val="0"/>
        <w:spacing w:beforeLines="50" w:line="360" w:lineRule="auto"/>
        <w:ind w:left="632" w:hanging="632" w:hangingChars="300"/>
        <w:rPr>
          <w:rFonts w:ascii="宋体" w:hAnsi="宋体"/>
          <w:b/>
          <w:color w:val="auto"/>
        </w:rPr>
      </w:pPr>
      <w:r>
        <w:rPr>
          <w:rFonts w:hint="eastAsia" w:ascii="宋体" w:hAnsi="宋体"/>
          <w:b/>
          <w:color w:val="auto"/>
        </w:rPr>
        <w:t>22.竞争性磋商终止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22.1 竞争性磋商</w:t>
      </w:r>
      <w:r>
        <w:rPr>
          <w:rFonts w:hint="eastAsia" w:ascii="宋体" w:hAnsi="宋体"/>
          <w:bCs/>
          <w:color w:val="auto"/>
          <w:lang w:eastAsia="zh-CN"/>
        </w:rPr>
        <w:t>磋商</w:t>
      </w:r>
      <w:r>
        <w:rPr>
          <w:rFonts w:hint="eastAsia" w:ascii="宋体" w:hAnsi="宋体"/>
          <w:bCs/>
          <w:color w:val="auto"/>
        </w:rPr>
        <w:t>时，出现下列情况之一，本次竞争性磋商终止：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（1）出现影响采购公正的违法、违规行为的；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s="宋体"/>
          <w:color w:val="auto"/>
          <w:kern w:val="0"/>
          <w:lang w:val="zh-CN"/>
        </w:rPr>
        <w:t>（2）投标供应商的报价均超过了招标控制价，招标人不能支付的；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（3）因重大变故，采购任务取消的。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22.2 </w:t>
      </w:r>
      <w:r>
        <w:rPr>
          <w:rFonts w:hint="eastAsia" w:ascii="宋体" w:hAnsi="宋体"/>
          <w:b/>
          <w:color w:val="auto"/>
        </w:rPr>
        <w:t>评标委员会</w:t>
      </w:r>
      <w:r>
        <w:rPr>
          <w:rFonts w:hint="eastAsia" w:ascii="宋体" w:hAnsi="宋体"/>
          <w:bCs/>
          <w:color w:val="auto"/>
        </w:rPr>
        <w:t>应将竞争性磋商终止理由通知所有参与竞争性磋商的供应商。</w:t>
      </w:r>
    </w:p>
    <w:p>
      <w:pPr>
        <w:spacing w:line="400" w:lineRule="exact"/>
        <w:rPr>
          <w:rFonts w:ascii="宋体" w:hAnsi="宋体" w:cs="宋体"/>
          <w:color w:val="auto"/>
          <w:kern w:val="0"/>
          <w:lang w:val="zh-CN"/>
        </w:rPr>
      </w:pPr>
      <w:r>
        <w:rPr>
          <w:rFonts w:hint="eastAsia" w:ascii="宋体" w:hAnsi="宋体"/>
          <w:b/>
          <w:bCs/>
          <w:color w:val="auto"/>
        </w:rPr>
        <w:t>23. 保密要求</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23.1评标委员会以及与评审工作有关的人员对评审情况以及评审过程中获悉的国家秘密、商业秘密应当保密。</w:t>
      </w:r>
    </w:p>
    <w:p>
      <w:pPr>
        <w:adjustRightInd w:val="0"/>
        <w:snapToGrid w:val="0"/>
        <w:spacing w:beforeLines="50" w:line="360" w:lineRule="auto"/>
        <w:rPr>
          <w:rFonts w:ascii="宋体" w:hAnsi="宋体"/>
          <w:b/>
          <w:color w:val="auto"/>
        </w:rPr>
      </w:pPr>
      <w:r>
        <w:rPr>
          <w:rFonts w:hint="eastAsia" w:ascii="宋体" w:hAnsi="宋体"/>
          <w:b/>
          <w:color w:val="auto"/>
        </w:rPr>
        <w:t>六、成交结果信息公布与供应商质疑</w:t>
      </w:r>
    </w:p>
    <w:p>
      <w:pPr>
        <w:adjustRightInd w:val="0"/>
        <w:snapToGrid w:val="0"/>
        <w:spacing w:beforeLines="50" w:line="360" w:lineRule="auto"/>
        <w:rPr>
          <w:rFonts w:ascii="宋体" w:hAnsi="宋体"/>
          <w:b/>
          <w:bCs/>
          <w:color w:val="auto"/>
        </w:rPr>
      </w:pPr>
      <w:r>
        <w:rPr>
          <w:rFonts w:hint="eastAsia" w:ascii="宋体" w:hAnsi="宋体"/>
          <w:b/>
          <w:bCs/>
          <w:color w:val="auto"/>
        </w:rPr>
        <w:t>24.成交信息的公布</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24.1 竞争性磋商结束后，成交结果信息将在</w:t>
      </w:r>
      <w:r>
        <w:rPr>
          <w:rFonts w:hint="eastAsia" w:ascii="宋体" w:hAnsi="宋体"/>
          <w:b/>
          <w:bCs/>
          <w:color w:val="auto"/>
          <w:lang w:eastAsia="zh-CN"/>
        </w:rPr>
        <w:t>新疆政府采购网</w:t>
      </w:r>
      <w:r>
        <w:rPr>
          <w:rFonts w:hint="eastAsia" w:ascii="宋体" w:hAnsi="宋体"/>
          <w:color w:val="auto"/>
        </w:rPr>
        <w:t>上公布。</w:t>
      </w:r>
    </w:p>
    <w:p>
      <w:pPr>
        <w:adjustRightInd w:val="0"/>
        <w:snapToGrid w:val="0"/>
        <w:spacing w:beforeLines="50" w:line="360" w:lineRule="auto"/>
        <w:rPr>
          <w:rFonts w:ascii="宋体" w:hAnsi="宋体"/>
          <w:b/>
          <w:bCs/>
          <w:color w:val="auto"/>
        </w:rPr>
      </w:pPr>
      <w:r>
        <w:rPr>
          <w:rFonts w:hint="eastAsia" w:ascii="宋体" w:hAnsi="宋体"/>
          <w:b/>
          <w:bCs/>
          <w:color w:val="auto"/>
        </w:rPr>
        <w:t>25.询问及质疑</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25.1供应商对政府采购活动事项有疑问的，可以向招标人或采购代理机构提出询问。招标人或采购代理机构将在三个工作日内作出答复。</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25.2供应商若认为竞争性磋商文件、采购过程和成交结果使自己的权益受到损害，应当在下列时间内以书面形式向招标人或采购代理机构提出：</w:t>
      </w:r>
    </w:p>
    <w:p>
      <w:pPr>
        <w:adjustRightInd w:val="0"/>
        <w:snapToGrid w:val="0"/>
        <w:spacing w:beforeLines="50" w:line="360" w:lineRule="auto"/>
        <w:ind w:firstLine="420" w:firstLineChars="200"/>
        <w:jc w:val="left"/>
        <w:rPr>
          <w:rFonts w:ascii="宋体" w:hAnsi="宋体" w:cs="宋体"/>
          <w:color w:val="auto"/>
          <w:kern w:val="0"/>
          <w:lang w:val="zh-CN"/>
        </w:rPr>
      </w:pPr>
      <w:r>
        <w:rPr>
          <w:rFonts w:hint="eastAsia" w:ascii="宋体" w:hAnsi="宋体"/>
          <w:color w:val="auto"/>
        </w:rPr>
        <w:t>（1）关于竞争性磋商文件的质疑，应在</w:t>
      </w:r>
      <w:r>
        <w:rPr>
          <w:rFonts w:hint="eastAsia" w:ascii="宋体" w:hAnsi="宋体" w:cs="宋体"/>
          <w:color w:val="auto"/>
          <w:kern w:val="0"/>
          <w:lang w:val="zh-CN"/>
        </w:rPr>
        <w:t>递交竞争性磋商响应文件截止时间前</w:t>
      </w:r>
      <w:r>
        <w:rPr>
          <w:rFonts w:hint="eastAsia" w:ascii="宋体" w:hAnsi="宋体"/>
          <w:color w:val="auto"/>
        </w:rPr>
        <w:t>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（2）关于采购过程的质疑，应在采购程序环节结束之日起七个工作日内提出。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（3）关于成交结果的质疑，应在成交结果信息发布后七个工作日内提出。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25.3 供应商提出质疑的，应当提供质疑书原件。招标人向质疑供应商签收回执。</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25.4 质疑书应当包括下列内容：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（1）质疑供应商的名称、地址及有效联系方式；</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（2）质疑事项；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（3）事实依据及相关证明材料；</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（4）相关请求及主张。</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25.5 质疑书应当由质疑供应商法定代表人或授权代表人签字并加盖公章，质疑书由授权代表人签字的应附法定代表人授权书。</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25.6 招标人或采购代理机构将在签收回执之日起七个工作日内作出书面答复，并以书面形式通知与质疑处理结果有关的供应商。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25.7供应商对招标人或采购代理机构无正当理由拒绝受理质疑的，可书面向政府采购监管部门反映情况；供应商对招标人或采购代理机构的答复不满意，或招标人或采购代理机构未在规定的期限作出答复的，可在答复期满后十五个工作日内，按政府采购相关法律法规规章的规定及程序提出投诉。</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26.成交通知</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26.1 成交供应商确定后，采购代理机构将以书面形式向成交供应商发出成交通知书。成交通知书对招标人和成交供应商具有同等法律效力。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26.2 成交通知书是合同文件的组成部分。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s="宋体"/>
          <w:color w:val="auto"/>
          <w:kern w:val="0"/>
        </w:rPr>
        <w:t>26.3</w:t>
      </w:r>
      <w:r>
        <w:rPr>
          <w:rFonts w:hint="eastAsia" w:ascii="宋体" w:hAnsi="宋体"/>
          <w:color w:val="auto"/>
        </w:rPr>
        <w:t>成交供应商在收到采购代理机构的成交通知书后十日内，应按照</w:t>
      </w:r>
      <w:r>
        <w:rPr>
          <w:rFonts w:hint="eastAsia" w:ascii="宋体" w:hAnsi="宋体"/>
          <w:b/>
          <w:color w:val="auto"/>
        </w:rPr>
        <w:t>供应商须知前附表</w:t>
      </w:r>
      <w:r>
        <w:rPr>
          <w:rFonts w:hint="eastAsia" w:ascii="宋体" w:hAnsi="宋体"/>
          <w:color w:val="auto"/>
        </w:rPr>
        <w:t>的规定，向招标人提交履约保证金，没有提交履约保证金的，</w:t>
      </w:r>
      <w:r>
        <w:rPr>
          <w:rFonts w:hint="eastAsia" w:ascii="宋体" w:hAnsi="宋体"/>
          <w:color w:val="auto"/>
          <w:spacing w:val="4"/>
        </w:rPr>
        <w:t>视为放弃</w:t>
      </w:r>
      <w:r>
        <w:rPr>
          <w:rFonts w:hint="eastAsia" w:ascii="宋体" w:hAnsi="宋体"/>
          <w:color w:val="auto"/>
        </w:rPr>
        <w:t>成交</w:t>
      </w:r>
      <w:r>
        <w:rPr>
          <w:rFonts w:hint="eastAsia" w:ascii="宋体" w:hAnsi="宋体"/>
          <w:color w:val="auto"/>
          <w:spacing w:val="4"/>
        </w:rPr>
        <w:t>，</w:t>
      </w:r>
      <w:r>
        <w:rPr>
          <w:rFonts w:hint="eastAsia" w:ascii="宋体" w:hAnsi="宋体"/>
          <w:color w:val="auto"/>
          <w:spacing w:val="2"/>
        </w:rPr>
        <w:t>其保证金不予退还。</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27.签订</w:t>
      </w:r>
      <w:r>
        <w:rPr>
          <w:rFonts w:hint="eastAsia" w:ascii="宋体" w:hAnsi="宋体"/>
          <w:b/>
          <w:color w:val="auto"/>
        </w:rPr>
        <w:t>政府采购</w:t>
      </w:r>
      <w:r>
        <w:rPr>
          <w:rFonts w:hint="eastAsia" w:ascii="宋体" w:hAnsi="宋体"/>
          <w:b/>
          <w:bCs/>
          <w:color w:val="auto"/>
        </w:rPr>
        <w:t>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27.1 竞争性磋商文件、成交供应商的竞争性磋商响应文件等均为签订政府采购合同的依据。</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s="宋体"/>
          <w:b/>
          <w:color w:val="auto"/>
          <w:kern w:val="0"/>
        </w:rPr>
      </w:pPr>
      <w:r>
        <w:rPr>
          <w:rFonts w:hint="eastAsia" w:ascii="宋体" w:hAnsi="宋体"/>
          <w:color w:val="auto"/>
        </w:rPr>
        <w:t>27.2 成交供应商应当在成交通知书发出之日起三十日内与招标人签定政府采购合同。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27.3 成交供应商应当按照政府采购合同约定履行义务。成交供应商不得向他人转让成交项目，也不得将成交项目分包后分别向他人转让。</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27.4政府采购合同履行中，招标人需追加与合同标的相同的货物服务的，在不改变合同其他条款的前提下，可以与成交供应商协商签订补充合同，但所有补充合同的采购金额不得超过原合同采购金额的百分之十。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color w:val="auto"/>
        </w:rPr>
      </w:pPr>
      <w:r>
        <w:rPr>
          <w:rFonts w:hint="eastAsia" w:ascii="宋体" w:hAnsi="宋体"/>
          <w:b/>
          <w:color w:val="auto"/>
        </w:rPr>
        <w:t>七、责任承担</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11" w:firstLineChars="196"/>
        <w:textAlignment w:val="auto"/>
        <w:rPr>
          <w:rFonts w:ascii="宋体" w:hAnsi="宋体"/>
          <w:color w:val="auto"/>
        </w:rPr>
      </w:pPr>
      <w:r>
        <w:rPr>
          <w:rFonts w:hint="eastAsia" w:ascii="宋体" w:hAnsi="宋体"/>
          <w:color w:val="auto"/>
        </w:rPr>
        <w:t>28.1在政府采购活动中，供应商需承担的相应责任及违规处理，按照《政府采购法》、《采购法实施条例》、《政府采购非招标采购方式管理办法》（财政部第74号令）的规定执行。</w:t>
      </w:r>
    </w:p>
    <w:p>
      <w:pPr>
        <w:keepNext w:val="0"/>
        <w:keepLines w:val="0"/>
        <w:pageBreakBefore w:val="0"/>
        <w:widowControl w:val="0"/>
        <w:kinsoku/>
        <w:wordWrap/>
        <w:overflowPunct/>
        <w:topLinePunct w:val="0"/>
        <w:autoSpaceDE/>
        <w:autoSpaceDN/>
        <w:bidi w:val="0"/>
        <w:adjustRightInd w:val="0"/>
        <w:snapToGrid w:val="0"/>
        <w:spacing w:beforeLines="50" w:line="400" w:lineRule="exact"/>
        <w:jc w:val="left"/>
        <w:textAlignment w:val="auto"/>
        <w:rPr>
          <w:rFonts w:ascii="宋体" w:hAnsi="宋体"/>
          <w:b/>
          <w:color w:val="auto"/>
        </w:rPr>
      </w:pPr>
      <w:r>
        <w:rPr>
          <w:rFonts w:hint="eastAsia" w:ascii="宋体" w:hAnsi="宋体"/>
          <w:b/>
          <w:color w:val="auto"/>
        </w:rPr>
        <w:t>八、其他规定</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29.1竞争性磋商文件的其他规定见</w:t>
      </w:r>
      <w:r>
        <w:rPr>
          <w:rFonts w:hint="eastAsia" w:ascii="宋体" w:hAnsi="宋体"/>
          <w:b/>
          <w:color w:val="auto"/>
        </w:rPr>
        <w:t>投标供应商须知前附表</w:t>
      </w:r>
      <w:r>
        <w:rPr>
          <w:rFonts w:hint="eastAsia" w:ascii="宋体" w:hAnsi="宋体"/>
          <w:color w:val="auto"/>
        </w:rPr>
        <w:t>。</w:t>
      </w:r>
      <w:bookmarkEnd w:id="36"/>
    </w:p>
    <w:bookmarkEnd w:id="34"/>
    <w:p>
      <w:pPr>
        <w:spacing w:line="276" w:lineRule="auto"/>
        <w:jc w:val="center"/>
        <w:rPr>
          <w:rFonts w:hint="eastAsia" w:ascii="宋体" w:hAnsi="宋体"/>
          <w:b/>
          <w:color w:val="auto"/>
          <w:sz w:val="30"/>
          <w:szCs w:val="30"/>
        </w:rPr>
      </w:pPr>
    </w:p>
    <w:p>
      <w:pPr>
        <w:spacing w:line="276" w:lineRule="auto"/>
        <w:jc w:val="center"/>
        <w:outlineLvl w:val="0"/>
        <w:rPr>
          <w:rFonts w:hint="eastAsia" w:ascii="宋体" w:hAnsi="宋体"/>
          <w:b/>
          <w:color w:val="auto"/>
          <w:sz w:val="48"/>
          <w:szCs w:val="48"/>
        </w:rPr>
      </w:pPr>
      <w:bookmarkStart w:id="37" w:name="_Toc27588"/>
    </w:p>
    <w:p>
      <w:pPr>
        <w:spacing w:line="276" w:lineRule="auto"/>
        <w:jc w:val="center"/>
        <w:outlineLvl w:val="0"/>
        <w:rPr>
          <w:rFonts w:hint="eastAsia" w:ascii="宋体" w:hAnsi="宋体"/>
          <w:b/>
          <w:color w:val="auto"/>
          <w:sz w:val="48"/>
          <w:szCs w:val="48"/>
        </w:rPr>
        <w:sectPr>
          <w:footerReference r:id="rId6" w:type="default"/>
          <w:pgSz w:w="11906" w:h="16838"/>
          <w:pgMar w:top="1440" w:right="1800" w:bottom="1440" w:left="1800" w:header="851" w:footer="992" w:gutter="0"/>
          <w:pgNumType w:fmt="decimal"/>
          <w:cols w:space="720" w:num="1"/>
          <w:docGrid w:type="lines" w:linePitch="312" w:charSpace="0"/>
        </w:sectPr>
      </w:pPr>
    </w:p>
    <w:p>
      <w:pPr>
        <w:spacing w:line="276" w:lineRule="auto"/>
        <w:jc w:val="center"/>
        <w:outlineLvl w:val="0"/>
        <w:rPr>
          <w:rFonts w:ascii="宋体" w:hAnsi="宋体"/>
          <w:b/>
          <w:color w:val="auto"/>
          <w:sz w:val="48"/>
          <w:szCs w:val="48"/>
        </w:rPr>
      </w:pPr>
      <w:r>
        <w:rPr>
          <w:rFonts w:hint="eastAsia" w:ascii="宋体" w:hAnsi="宋体"/>
          <w:b/>
          <w:color w:val="auto"/>
          <w:sz w:val="48"/>
          <w:szCs w:val="48"/>
        </w:rPr>
        <w:t>第七章  响应文件格式</w:t>
      </w:r>
      <w:bookmarkEnd w:id="37"/>
    </w:p>
    <w:p>
      <w:pPr>
        <w:jc w:val="left"/>
        <w:outlineLvl w:val="0"/>
        <w:rPr>
          <w:rFonts w:hint="eastAsia" w:ascii="仿宋_GB2312" w:hAnsi="宋体" w:eastAsia="仿宋_GB2312"/>
          <w:b/>
          <w:bCs/>
          <w:color w:val="auto"/>
          <w:sz w:val="28"/>
          <w:szCs w:val="28"/>
          <w:lang w:val="en-US" w:eastAsia="zh-CN"/>
        </w:rPr>
      </w:pPr>
      <w:bookmarkStart w:id="38" w:name="_Toc11240"/>
      <w:bookmarkStart w:id="39" w:name="_Toc3598"/>
      <w:r>
        <w:rPr>
          <w:rFonts w:hint="eastAsia" w:ascii="仿宋_GB2312" w:hAnsi="宋体" w:eastAsia="仿宋_GB2312"/>
          <w:b/>
          <w:bCs/>
          <w:color w:val="auto"/>
          <w:sz w:val="28"/>
          <w:szCs w:val="28"/>
          <w:lang w:val="en-US" w:eastAsia="zh-CN"/>
        </w:rPr>
        <w:t>正本/副本</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val="0"/>
          <w:bCs w:val="0"/>
          <w:color w:val="auto"/>
          <w:spacing w:val="0"/>
          <w:sz w:val="28"/>
          <w:szCs w:val="28"/>
          <w:u w:val="none"/>
          <w:lang w:val="en-US" w:eastAsia="zh-CN"/>
        </w:rPr>
      </w:pPr>
      <w:r>
        <w:rPr>
          <w:rFonts w:hint="eastAsia" w:ascii="宋体" w:hAnsi="宋体" w:cs="宋体"/>
          <w:b w:val="0"/>
          <w:bCs w:val="0"/>
          <w:color w:val="auto"/>
          <w:spacing w:val="0"/>
          <w:sz w:val="28"/>
          <w:szCs w:val="28"/>
          <w:u w:val="single"/>
          <w:lang w:val="en-US" w:eastAsia="zh-CN"/>
        </w:rPr>
        <w:t xml:space="preserve">           </w:t>
      </w:r>
      <w:bookmarkStart w:id="40" w:name="_Toc3932"/>
      <w:bookmarkStart w:id="41" w:name="_Toc14044"/>
      <w:r>
        <w:rPr>
          <w:rFonts w:hint="eastAsia" w:ascii="宋体" w:hAnsi="宋体" w:cs="宋体"/>
          <w:b w:val="0"/>
          <w:bCs w:val="0"/>
          <w:color w:val="auto"/>
          <w:spacing w:val="0"/>
          <w:sz w:val="28"/>
          <w:szCs w:val="28"/>
          <w:u w:val="single"/>
          <w:lang w:val="en-US" w:eastAsia="zh-CN"/>
        </w:rPr>
        <w:t>（</w:t>
      </w:r>
      <w:r>
        <w:rPr>
          <w:rFonts w:hint="eastAsia" w:ascii="宋体" w:hAnsi="宋体" w:cs="宋体"/>
          <w:b w:val="0"/>
          <w:bCs w:val="0"/>
          <w:color w:val="auto"/>
          <w:spacing w:val="0"/>
          <w:sz w:val="28"/>
          <w:szCs w:val="28"/>
          <w:u w:val="none"/>
          <w:lang w:val="en-US" w:eastAsia="zh-CN"/>
        </w:rPr>
        <w:t>项目名称）</w:t>
      </w:r>
      <w:bookmarkEnd w:id="40"/>
      <w:bookmarkEnd w:id="41"/>
    </w:p>
    <w:p>
      <w:pPr>
        <w:jc w:val="center"/>
        <w:outlineLvl w:val="0"/>
        <w:rPr>
          <w:rFonts w:hint="eastAsia" w:ascii="宋体" w:hAnsi="宋体" w:cs="宋体"/>
          <w:b w:val="0"/>
          <w:bCs w:val="0"/>
          <w:color w:val="auto"/>
          <w:spacing w:val="0"/>
          <w:sz w:val="21"/>
          <w:szCs w:val="21"/>
          <w:u w:val="none"/>
          <w:lang w:val="en-US" w:eastAsia="zh-CN"/>
        </w:rPr>
      </w:pPr>
      <w:bookmarkStart w:id="42" w:name="_Toc17914"/>
      <w:bookmarkStart w:id="43" w:name="_Toc24416"/>
      <w:r>
        <w:rPr>
          <w:rFonts w:ascii="仿宋_GB2312" w:hAnsi="宋体" w:eastAsia="仿宋_GB2312"/>
          <w:b/>
          <w:bCs/>
          <w:color w:val="auto"/>
          <w:sz w:val="32"/>
          <w:szCs w:val="32"/>
        </w:rPr>
        <w:t>封面格式</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bCs/>
          <w:color w:val="auto"/>
          <w:spacing w:val="0"/>
          <w:sz w:val="32"/>
          <w:szCs w:val="32"/>
          <w:lang w:val="en-US" w:eastAsia="zh-CN"/>
        </w:rPr>
      </w:pPr>
      <w:bookmarkStart w:id="44" w:name="_Toc18236"/>
      <w:bookmarkStart w:id="45" w:name="_Toc12383"/>
      <w:r>
        <w:rPr>
          <w:rFonts w:hint="eastAsia" w:ascii="宋体" w:hAnsi="宋体" w:cs="宋体"/>
          <w:b/>
          <w:bCs/>
          <w:color w:val="auto"/>
          <w:spacing w:val="0"/>
          <w:sz w:val="32"/>
          <w:szCs w:val="32"/>
          <w:lang w:val="en-US" w:eastAsia="zh-CN"/>
        </w:rPr>
        <w:t>竞争性磋商响应文件</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投标人：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法定代表人（单位负责人）或其委托代理人：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年</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月</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日</w:t>
      </w:r>
    </w:p>
    <w:p>
      <w:pPr>
        <w:ind w:left="0" w:leftChars="0" w:firstLine="0" w:firstLineChars="0"/>
        <w:jc w:val="center"/>
        <w:outlineLvl w:val="9"/>
        <w:rPr>
          <w:rFonts w:hint="eastAsia"/>
          <w:b/>
          <w:bCs/>
          <w:color w:val="auto"/>
          <w:sz w:val="36"/>
          <w:szCs w:val="44"/>
          <w:lang w:val="en-US" w:eastAsia="zh-CN"/>
        </w:rPr>
      </w:pPr>
    </w:p>
    <w:p>
      <w:pPr>
        <w:ind w:left="0" w:leftChars="0" w:firstLine="0" w:firstLineChars="0"/>
        <w:jc w:val="both"/>
        <w:outlineLvl w:val="9"/>
        <w:rPr>
          <w:rFonts w:hint="eastAsia"/>
          <w:b/>
          <w:bCs/>
          <w:color w:val="auto"/>
          <w:sz w:val="36"/>
          <w:szCs w:val="44"/>
          <w:lang w:val="en-US" w:eastAsia="zh-CN"/>
        </w:rPr>
      </w:pPr>
    </w:p>
    <w:p>
      <w:pPr>
        <w:pStyle w:val="50"/>
        <w:rPr>
          <w:rFonts w:hint="eastAsia"/>
          <w:color w:val="auto"/>
          <w:lang w:val="en-US" w:eastAsia="zh-CN"/>
        </w:rPr>
      </w:pPr>
    </w:p>
    <w:p>
      <w:pPr>
        <w:ind w:left="0" w:leftChars="0" w:firstLine="0" w:firstLineChars="0"/>
        <w:jc w:val="center"/>
        <w:outlineLvl w:val="0"/>
        <w:rPr>
          <w:rFonts w:hint="eastAsia"/>
          <w:b/>
          <w:bCs/>
          <w:color w:val="auto"/>
          <w:sz w:val="48"/>
          <w:szCs w:val="48"/>
          <w:lang w:val="en-US" w:eastAsia="zh-CN"/>
        </w:rPr>
      </w:pPr>
      <w:bookmarkStart w:id="46" w:name="_Toc19677"/>
      <w:r>
        <w:rPr>
          <w:rFonts w:hint="eastAsia"/>
          <w:b/>
          <w:bCs/>
          <w:color w:val="auto"/>
          <w:sz w:val="48"/>
          <w:szCs w:val="48"/>
          <w:lang w:val="en-US" w:eastAsia="zh-CN"/>
        </w:rPr>
        <w:t>目  录</w:t>
      </w:r>
      <w:bookmarkEnd w:id="46"/>
    </w:p>
    <w:p>
      <w:pPr>
        <w:pStyle w:val="23"/>
        <w:bidi w:val="0"/>
        <w:rPr>
          <w:rFonts w:hint="eastAsia"/>
          <w:color w:val="auto"/>
          <w:lang w:val="en-US" w:eastAsia="zh-CN"/>
        </w:rPr>
      </w:pP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（1）竞争性磋商</w:t>
      </w:r>
      <w:r>
        <w:rPr>
          <w:rFonts w:hint="eastAsia" w:ascii="宋体" w:hAnsi="宋体"/>
          <w:b/>
          <w:bCs/>
          <w:color w:val="auto"/>
          <w:sz w:val="28"/>
          <w:szCs w:val="28"/>
        </w:rPr>
        <w:t>响应函</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）磋商报价表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3</w:t>
      </w:r>
      <w:r>
        <w:rPr>
          <w:rFonts w:hint="eastAsia" w:ascii="宋体" w:hAnsi="宋体"/>
          <w:b/>
          <w:bCs/>
          <w:color w:val="auto"/>
          <w:sz w:val="28"/>
          <w:szCs w:val="28"/>
          <w:lang w:eastAsia="zh-CN"/>
        </w:rPr>
        <w:t>）法定代表人身份证明书、法定代表人授权书</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4</w:t>
      </w:r>
      <w:r>
        <w:rPr>
          <w:rFonts w:hint="eastAsia" w:ascii="宋体" w:hAnsi="宋体"/>
          <w:b/>
          <w:bCs/>
          <w:color w:val="auto"/>
          <w:sz w:val="28"/>
          <w:szCs w:val="28"/>
          <w:lang w:eastAsia="zh-CN"/>
        </w:rPr>
        <w:t>）磋商保证金交纳凭证</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5</w:t>
      </w:r>
      <w:r>
        <w:rPr>
          <w:rFonts w:hint="eastAsia" w:ascii="宋体" w:hAnsi="宋体"/>
          <w:b/>
          <w:bCs/>
          <w:color w:val="auto"/>
          <w:sz w:val="28"/>
          <w:szCs w:val="28"/>
          <w:lang w:eastAsia="zh-CN"/>
        </w:rPr>
        <w:t>）反商业贿赂承诺书</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（6）商务和技术偏差表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（7）响应供应商</w:t>
      </w:r>
      <w:r>
        <w:rPr>
          <w:rFonts w:hint="eastAsia" w:ascii="宋体" w:hAnsi="宋体"/>
          <w:b/>
          <w:bCs/>
          <w:color w:val="auto"/>
          <w:sz w:val="28"/>
          <w:szCs w:val="28"/>
          <w:lang w:eastAsia="zh-CN"/>
        </w:rPr>
        <w:t>概况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8</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企业信誉情况</w:t>
      </w:r>
    </w:p>
    <w:p>
      <w:pPr>
        <w:adjustRightInd w:val="0"/>
        <w:snapToGrid w:val="0"/>
        <w:spacing w:beforeLines="50" w:line="360" w:lineRule="auto"/>
        <w:ind w:firstLine="562" w:firstLineChars="200"/>
        <w:jc w:val="left"/>
        <w:rPr>
          <w:rFonts w:hint="eastAsia" w:ascii="宋体" w:hAnsi="宋体"/>
          <w:b/>
          <w:bCs/>
          <w:color w:val="0000FF"/>
          <w:sz w:val="28"/>
          <w:szCs w:val="28"/>
          <w:lang w:val="en-US" w:eastAsia="zh-CN"/>
        </w:rPr>
      </w:pPr>
      <w:r>
        <w:rPr>
          <w:rFonts w:hint="eastAsia" w:ascii="宋体" w:hAnsi="宋体"/>
          <w:b/>
          <w:bCs/>
          <w:color w:val="auto"/>
          <w:sz w:val="28"/>
          <w:szCs w:val="28"/>
          <w:lang w:val="en-US" w:eastAsia="zh-CN"/>
        </w:rPr>
        <w:t>（9）技术文件</w:t>
      </w:r>
    </w:p>
    <w:p>
      <w:pPr>
        <w:pStyle w:val="50"/>
        <w:rPr>
          <w:rFonts w:hint="eastAsia" w:ascii="宋体" w:hAnsi="宋体"/>
          <w:color w:val="auto"/>
          <w:sz w:val="28"/>
          <w:szCs w:val="28"/>
          <w:lang w:eastAsia="zh-CN"/>
        </w:rPr>
      </w:pPr>
      <w:r>
        <w:rPr>
          <w:rFonts w:hint="eastAsia" w:ascii="宋体" w:hAnsi="宋体"/>
          <w:b/>
          <w:bCs/>
          <w:color w:val="auto"/>
          <w:sz w:val="28"/>
          <w:szCs w:val="28"/>
          <w:lang w:val="en-US" w:eastAsia="zh-CN"/>
        </w:rPr>
        <w:t xml:space="preserve">    （10）其他资料</w:t>
      </w:r>
    </w:p>
    <w:p>
      <w:pPr>
        <w:pStyle w:val="24"/>
        <w:bidi w:val="0"/>
        <w:rPr>
          <w:rFonts w:hint="eastAsia"/>
          <w:color w:val="auto"/>
          <w:lang w:eastAsia="zh-CN"/>
        </w:rPr>
      </w:pPr>
    </w:p>
    <w:p>
      <w:pPr>
        <w:pStyle w:val="24"/>
        <w:bidi w:val="0"/>
        <w:rPr>
          <w:rFonts w:hint="eastAsia"/>
          <w:color w:val="auto"/>
          <w:lang w:eastAsia="zh-CN"/>
        </w:rPr>
      </w:pPr>
    </w:p>
    <w:p>
      <w:pPr>
        <w:ind w:left="0" w:leftChars="0" w:firstLine="0" w:firstLineChars="0"/>
        <w:jc w:val="center"/>
        <w:outlineLvl w:val="9"/>
        <w:rPr>
          <w:rFonts w:hint="eastAsia" w:ascii="宋体" w:hAnsi="宋体" w:eastAsia="宋体" w:cs="宋体"/>
          <w:b/>
          <w:color w:val="auto"/>
          <w:sz w:val="36"/>
          <w:szCs w:val="36"/>
        </w:rPr>
      </w:pPr>
      <w:r>
        <w:rPr>
          <w:rFonts w:hint="eastAsia"/>
          <w:b w:val="0"/>
          <w:bCs/>
          <w:color w:val="auto"/>
          <w:sz w:val="20"/>
          <w:szCs w:val="22"/>
          <w:lang w:eastAsia="zh-CN"/>
        </w:rPr>
        <w:t>（</w:t>
      </w:r>
      <w:r>
        <w:rPr>
          <w:rFonts w:hint="eastAsia"/>
          <w:b w:val="0"/>
          <w:bCs/>
          <w:color w:val="auto"/>
          <w:sz w:val="20"/>
          <w:szCs w:val="22"/>
          <w:lang w:val="en-US" w:eastAsia="zh-CN"/>
        </w:rPr>
        <w:t>注：响应供应商编制响应文件目录时应编制页码，可做详细目录；但目录顺序应与本表一致。</w:t>
      </w:r>
      <w:r>
        <w:rPr>
          <w:rFonts w:hint="eastAsia"/>
          <w:b w:val="0"/>
          <w:bCs/>
          <w:color w:val="auto"/>
          <w:sz w:val="20"/>
          <w:szCs w:val="22"/>
          <w:lang w:eastAsia="zh-CN"/>
        </w:rPr>
        <w:t>）</w:t>
      </w:r>
      <w:r>
        <w:rPr>
          <w:b w:val="0"/>
          <w:bCs/>
          <w:color w:val="auto"/>
          <w:sz w:val="20"/>
          <w:szCs w:val="22"/>
        </w:rPr>
        <w:br w:type="page"/>
      </w:r>
      <w:r>
        <w:rPr>
          <w:rFonts w:hint="eastAsia" w:asciiTheme="minorEastAsia" w:hAnsiTheme="minorEastAsia" w:cstheme="minorEastAsia"/>
          <w:b/>
          <w:bCs/>
          <w:color w:val="auto"/>
          <w:spacing w:val="0"/>
          <w:sz w:val="28"/>
          <w:szCs w:val="28"/>
          <w:lang w:val="en-US" w:eastAsia="zh-CN"/>
        </w:rPr>
        <w:t>一、竞争性磋商响应函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库车市林业和草原局</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根据贵单位对</w:t>
      </w:r>
      <w:r>
        <w:rPr>
          <w:rFonts w:hint="eastAsia" w:ascii="宋体" w:hAnsi="宋体" w:eastAsia="宋体" w:cs="宋体"/>
          <w:color w:val="auto"/>
          <w:sz w:val="24"/>
          <w:szCs w:val="24"/>
          <w:u w:val="single"/>
          <w:lang w:val="en-US" w:eastAsia="zh-CN"/>
        </w:rPr>
        <w:t xml:space="preserve"> 库车市大峡谷地质公园总体规划修编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邀请，我公司经研究，决定参与本次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，并提交本项目响应文件正本壹份和副本贰份。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据此函，我公司承诺如下：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我公司将按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文件的规定履行合同责任和义务。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我公司已详细审查全部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 xml:space="preserve">文件，包括修改文件（如有的话）以及全部参考资料和有关附件。我公司完全理解并同意放弃对这方面有不明及误解的权利。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 我公司同意提供按照贵单位可能 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4. 我公司愿意遵守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文件中对供应商的所有规定。</w:t>
      </w:r>
      <w:r>
        <w:rPr>
          <w:rFonts w:hint="eastAsia" w:ascii="宋体" w:hAnsi="宋体" w:eastAsia="宋体" w:cs="宋体"/>
          <w:color w:val="auto"/>
          <w:sz w:val="24"/>
          <w:szCs w:val="24"/>
          <w:lang w:val="en-US" w:eastAsia="zh-CN"/>
        </w:rPr>
        <w:t>投标有效</w:t>
      </w:r>
      <w:r>
        <w:rPr>
          <w:rFonts w:hint="eastAsia" w:ascii="宋体" w:hAnsi="宋体" w:eastAsia="宋体" w:cs="宋体"/>
          <w:color w:val="auto"/>
          <w:sz w:val="24"/>
          <w:szCs w:val="24"/>
          <w:u w:val="none"/>
          <w:lang w:val="en-US" w:eastAsia="zh-CN"/>
        </w:rPr>
        <w:t>期为</w:t>
      </w:r>
      <w:r>
        <w:rPr>
          <w:rFonts w:hint="eastAsia" w:ascii="宋体" w:hAnsi="宋体" w:eastAsia="宋体" w:cs="宋体"/>
          <w:b/>
          <w:bCs/>
          <w:color w:val="auto"/>
          <w:sz w:val="24"/>
          <w:szCs w:val="24"/>
          <w:u w:val="single"/>
          <w:lang w:val="en-US" w:eastAsia="zh-CN"/>
        </w:rPr>
        <w:t>60</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天</w:t>
      </w:r>
      <w:r>
        <w:rPr>
          <w:rFonts w:hint="eastAsia" w:ascii="宋体" w:hAnsi="宋体" w:eastAsia="宋体" w:cs="宋体"/>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 一旦我公司成交，我公司愿意履行自己在响应文件中的全部承诺和责任。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 我公司知道如用虚假材料或恶意方式向贵单位提出质疑，将承担相应的法律责任。同时承诺：我公司如果有上述行为，将无条件承担贵单位相关的调查论证费用。我公司同意提供按贵单位可能要求的与其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 不一定要接受最低报价的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或收到的任何</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 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有关的一切正式往来通讯请寄：</w:t>
      </w:r>
    </w:p>
    <w:p>
      <w:pPr>
        <w:outlineLvl w:val="9"/>
        <w:rPr>
          <w:rFonts w:hint="eastAsia" w:ascii="宋体" w:hAnsi="宋体" w:eastAsia="宋体" w:cs="宋体"/>
          <w:color w:val="auto"/>
          <w:sz w:val="24"/>
          <w:szCs w:val="24"/>
        </w:rPr>
      </w:pPr>
    </w:p>
    <w:p>
      <w:pPr>
        <w:ind w:firstLine="480" w:firstLineChars="200"/>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                           邮编：</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供应商名称（加盖公章）：</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outlineLvl w:val="9"/>
        <w:rPr>
          <w:rFonts w:hint="eastAsia" w:ascii="宋体" w:hAnsi="宋体" w:eastAsia="宋体" w:cs="宋体"/>
          <w:color w:val="auto"/>
          <w:sz w:val="24"/>
          <w:szCs w:val="24"/>
        </w:rPr>
      </w:pPr>
    </w:p>
    <w:p>
      <w:pPr>
        <w:outlineLvl w:val="9"/>
        <w:rPr>
          <w:rFonts w:hint="eastAsia" w:ascii="宋体" w:hAnsi="宋体" w:eastAsia="宋体" w:cs="宋体"/>
          <w:b/>
          <w:color w:val="auto"/>
          <w:spacing w:val="20"/>
          <w:sz w:val="28"/>
          <w:szCs w:val="28"/>
        </w:rPr>
      </w:pPr>
      <w:r>
        <w:rPr>
          <w:rFonts w:hint="eastAsia" w:ascii="宋体" w:hAnsi="宋体" w:eastAsia="宋体" w:cs="宋体"/>
          <w:color w:val="auto"/>
          <w:sz w:val="24"/>
          <w:szCs w:val="24"/>
        </w:rPr>
        <w:t>日    期：   年  月  日</w:t>
      </w:r>
      <w:bookmarkStart w:id="47" w:name="_Toc460703986"/>
      <w:bookmarkStart w:id="48" w:name="_Toc424212008"/>
    </w:p>
    <w:p>
      <w:pPr>
        <w:jc w:val="center"/>
        <w:outlineLvl w:val="0"/>
        <w:rPr>
          <w:rFonts w:hint="eastAsia" w:asciiTheme="minorEastAsia" w:hAnsiTheme="minorEastAsia" w:cstheme="minorEastAsia"/>
          <w:b/>
          <w:bCs/>
          <w:color w:val="auto"/>
          <w:spacing w:val="0"/>
          <w:sz w:val="28"/>
          <w:szCs w:val="28"/>
          <w:lang w:val="en-US" w:eastAsia="zh-CN"/>
        </w:rPr>
      </w:pPr>
      <w:bookmarkStart w:id="49" w:name="_Toc4006_WPSOffice_Level1"/>
      <w:bookmarkStart w:id="50" w:name="_Toc6834_WPSOffice_Level1"/>
      <w:bookmarkStart w:id="51" w:name="_Toc8623"/>
      <w:bookmarkStart w:id="52" w:name="_Toc2545_WPSOffice_Level1"/>
      <w:bookmarkStart w:id="53" w:name="_Toc7382_WPSOffice_Level1"/>
      <w:bookmarkStart w:id="54" w:name="_Toc18009_WPSOffice_Level1"/>
      <w:bookmarkStart w:id="55" w:name="_Toc13204_WPSOffice_Level1"/>
      <w:bookmarkStart w:id="56" w:name="_Toc20503_WPSOffice_Level1"/>
      <w:bookmarkStart w:id="57" w:name="_Toc24737_WPSOffice_Level1"/>
    </w:p>
    <w:p>
      <w:pPr>
        <w:pStyle w:val="27"/>
        <w:bidi w:val="0"/>
        <w:rPr>
          <w:rFonts w:hint="eastAsia"/>
          <w:lang w:val="en-US" w:eastAsia="zh-CN"/>
        </w:rPr>
      </w:pPr>
    </w:p>
    <w:p>
      <w:pPr>
        <w:jc w:val="center"/>
        <w:outlineLvl w:val="0"/>
        <w:rPr>
          <w:rFonts w:hint="eastAsia" w:ascii="宋体" w:hAnsi="宋体" w:eastAsia="宋体" w:cs="宋体"/>
          <w:b/>
          <w:color w:val="auto"/>
          <w:spacing w:val="20"/>
          <w:sz w:val="48"/>
          <w:szCs w:val="48"/>
        </w:rPr>
      </w:pPr>
      <w:r>
        <w:rPr>
          <w:rFonts w:hint="eastAsia" w:asciiTheme="minorEastAsia" w:hAnsiTheme="minorEastAsia" w:cstheme="minorEastAsia"/>
          <w:b/>
          <w:bCs/>
          <w:color w:val="auto"/>
          <w:spacing w:val="0"/>
          <w:sz w:val="28"/>
          <w:szCs w:val="28"/>
          <w:lang w:val="en-US" w:eastAsia="zh-CN"/>
        </w:rPr>
        <w:t>二、磋商报价表</w:t>
      </w:r>
      <w:bookmarkEnd w:id="49"/>
      <w:bookmarkEnd w:id="50"/>
      <w:bookmarkEnd w:id="51"/>
      <w:bookmarkEnd w:id="52"/>
      <w:bookmarkEnd w:id="53"/>
      <w:bookmarkEnd w:id="54"/>
      <w:bookmarkEnd w:id="55"/>
      <w:bookmarkEnd w:id="56"/>
      <w:bookmarkEnd w:id="57"/>
      <w:r>
        <w:rPr>
          <w:rFonts w:hint="eastAsia" w:asciiTheme="minorEastAsia" w:hAnsiTheme="minorEastAsia" w:cstheme="minorEastAsia"/>
          <w:b/>
          <w:bCs/>
          <w:color w:val="auto"/>
          <w:spacing w:val="0"/>
          <w:sz w:val="28"/>
          <w:szCs w:val="28"/>
          <w:lang w:val="en-US" w:eastAsia="zh-CN"/>
        </w:rPr>
        <w:t>（首轮）</w:t>
      </w:r>
    </w:p>
    <w:p>
      <w:pPr>
        <w:spacing w:line="450" w:lineRule="atLeast"/>
        <w:outlineLvl w:val="9"/>
        <w:rPr>
          <w:rFonts w:hint="eastAsia" w:ascii="宋体" w:hAnsi="宋体" w:eastAsia="宋体" w:cs="宋体"/>
          <w:color w:val="auto"/>
          <w:sz w:val="28"/>
          <w:szCs w:val="28"/>
        </w:rPr>
      </w:pP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项目名称</w:t>
            </w:r>
          </w:p>
        </w:tc>
        <w:tc>
          <w:tcPr>
            <w:tcW w:w="1704" w:type="dxa"/>
            <w:noWrap w:val="0"/>
            <w:vAlign w:val="center"/>
          </w:tcPr>
          <w:p>
            <w:pPr>
              <w:spacing w:line="440" w:lineRule="exact"/>
              <w:jc w:val="center"/>
              <w:rPr>
                <w:rFonts w:hint="eastAsia" w:ascii="仿宋_GB2312" w:eastAsia="仿宋_GB2312"/>
                <w:szCs w:val="21"/>
              </w:rPr>
            </w:pPr>
          </w:p>
        </w:tc>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招标编号</w:t>
            </w:r>
          </w:p>
        </w:tc>
        <w:tc>
          <w:tcPr>
            <w:tcW w:w="3410" w:type="dxa"/>
            <w:noWrap w:val="0"/>
            <w:vAlign w:val="top"/>
          </w:tcPr>
          <w:p>
            <w:pPr>
              <w:spacing w:line="44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投标人名称</w:t>
            </w:r>
          </w:p>
        </w:tc>
        <w:tc>
          <w:tcPr>
            <w:tcW w:w="6818" w:type="dxa"/>
            <w:gridSpan w:val="3"/>
            <w:noWrap w:val="0"/>
            <w:vAlign w:val="top"/>
          </w:tcPr>
          <w:p>
            <w:pPr>
              <w:spacing w:line="44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报价</w:t>
            </w:r>
          </w:p>
        </w:tc>
        <w:tc>
          <w:tcPr>
            <w:tcW w:w="6818" w:type="dxa"/>
            <w:gridSpan w:val="3"/>
            <w:noWrap w:val="0"/>
            <w:vAlign w:val="center"/>
          </w:tcPr>
          <w:p>
            <w:pPr>
              <w:spacing w:line="440" w:lineRule="exact"/>
              <w:rPr>
                <w:rFonts w:hint="eastAsia" w:ascii="仿宋_GB2312" w:eastAsia="仿宋_GB2312"/>
                <w:szCs w:val="21"/>
              </w:rPr>
            </w:pPr>
            <w:r>
              <w:rPr>
                <w:rFonts w:hint="eastAsia" w:ascii="仿宋_GB2312" w:eastAsia="仿宋_GB2312"/>
                <w:szCs w:val="21"/>
              </w:rPr>
              <w:t>小写：_________元；大写：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计划周期</w:t>
            </w:r>
          </w:p>
        </w:tc>
        <w:tc>
          <w:tcPr>
            <w:tcW w:w="6818" w:type="dxa"/>
            <w:gridSpan w:val="3"/>
            <w:noWrap w:val="0"/>
            <w:vAlign w:val="center"/>
          </w:tcPr>
          <w:p>
            <w:pPr>
              <w:spacing w:line="440" w:lineRule="exact"/>
              <w:rPr>
                <w:rFonts w:hint="eastAsia" w:ascii="仿宋_GB2312" w:eastAsia="仿宋_GB2312"/>
                <w:szCs w:val="21"/>
                <w:u w:val="single"/>
                <w:lang w:eastAsia="zh-CN"/>
              </w:rPr>
            </w:pP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704" w:type="dxa"/>
            <w:noWrap w:val="0"/>
            <w:vAlign w:val="center"/>
          </w:tcPr>
          <w:p>
            <w:pPr>
              <w:spacing w:line="440" w:lineRule="exact"/>
              <w:jc w:val="center"/>
              <w:rPr>
                <w:rFonts w:hint="eastAsia" w:ascii="仿宋_GB2312" w:eastAsia="仿宋_GB2312"/>
                <w:szCs w:val="21"/>
                <w:lang w:eastAsia="zh-CN"/>
              </w:rPr>
            </w:pPr>
            <w:r>
              <w:rPr>
                <w:rFonts w:hint="eastAsia" w:ascii="仿宋_GB2312" w:eastAsia="仿宋_GB2312"/>
                <w:szCs w:val="21"/>
                <w:lang w:eastAsia="zh-CN"/>
              </w:rPr>
              <w:t>质量标准</w:t>
            </w:r>
          </w:p>
        </w:tc>
        <w:tc>
          <w:tcPr>
            <w:tcW w:w="6818" w:type="dxa"/>
            <w:gridSpan w:val="3"/>
            <w:noWrap w:val="0"/>
            <w:vAlign w:val="center"/>
          </w:tcPr>
          <w:p>
            <w:pPr>
              <w:spacing w:line="440" w:lineRule="exact"/>
              <w:rPr>
                <w:rFonts w:hint="eastAsia" w:ascii="仿宋_GB2312" w:eastAsia="仿宋_GB2312"/>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备注</w:t>
            </w:r>
          </w:p>
        </w:tc>
        <w:tc>
          <w:tcPr>
            <w:tcW w:w="6818" w:type="dxa"/>
            <w:gridSpan w:val="3"/>
            <w:noWrap w:val="0"/>
            <w:vAlign w:val="top"/>
          </w:tcPr>
          <w:p>
            <w:pPr>
              <w:spacing w:line="440" w:lineRule="exact"/>
              <w:jc w:val="center"/>
              <w:rPr>
                <w:rFonts w:hint="eastAsia" w:ascii="仿宋_GB2312" w:eastAsia="仿宋_GB2312"/>
                <w:szCs w:val="21"/>
              </w:rPr>
            </w:pPr>
          </w:p>
        </w:tc>
      </w:tr>
    </w:tbl>
    <w:p>
      <w:pPr>
        <w:spacing w:line="450" w:lineRule="atLeast"/>
        <w:outlineLvl w:val="9"/>
        <w:rPr>
          <w:rFonts w:hint="eastAsia" w:ascii="宋体" w:hAnsi="宋体" w:eastAsia="宋体" w:cs="宋体"/>
          <w:color w:val="auto"/>
          <w:sz w:val="28"/>
          <w:szCs w:val="28"/>
        </w:rPr>
      </w:pPr>
    </w:p>
    <w:p>
      <w:pPr>
        <w:adjustRightInd w:val="0"/>
        <w:snapToGrid w:val="0"/>
        <w:spacing w:line="372"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响应方授权代表签字：</w:t>
      </w:r>
      <w:r>
        <w:rPr>
          <w:rFonts w:hint="eastAsia" w:ascii="宋体" w:hAnsi="宋体" w:eastAsia="宋体" w:cs="宋体"/>
          <w:color w:val="auto"/>
          <w:sz w:val="28"/>
          <w:szCs w:val="28"/>
          <w:u w:val="single"/>
        </w:rPr>
        <w:t xml:space="preserve">                   </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（加盖企业公章）</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50" w:lineRule="atLeast"/>
        <w:outlineLvl w:val="9"/>
        <w:rPr>
          <w:rFonts w:hint="eastAsia" w:ascii="宋体" w:hAnsi="宋体" w:eastAsia="宋体" w:cs="宋体"/>
          <w:color w:val="auto"/>
          <w:sz w:val="28"/>
          <w:szCs w:val="28"/>
        </w:rPr>
      </w:pPr>
    </w:p>
    <w:p>
      <w:pPr>
        <w:spacing w:line="450" w:lineRule="atLeast"/>
        <w:outlineLvl w:val="9"/>
        <w:rPr>
          <w:rFonts w:hint="eastAsia"/>
          <w:color w:val="auto"/>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bookmarkStart w:id="58" w:name="_Toc16787"/>
    </w:p>
    <w:bookmarkEnd w:id="58"/>
    <w:p>
      <w:pPr>
        <w:jc w:val="center"/>
        <w:outlineLvl w:val="0"/>
        <w:rPr>
          <w:rFonts w:hint="eastAsia" w:asciiTheme="minorEastAsia" w:hAnsiTheme="minorEastAsia" w:cstheme="minorEastAsia"/>
          <w:b/>
          <w:bCs/>
          <w:color w:val="auto"/>
          <w:spacing w:val="0"/>
          <w:sz w:val="28"/>
          <w:szCs w:val="28"/>
          <w:lang w:val="en-US" w:eastAsia="zh-CN"/>
        </w:rPr>
      </w:pPr>
    </w:p>
    <w:p>
      <w:pPr>
        <w:jc w:val="center"/>
        <w:outlineLvl w:val="0"/>
        <w:rPr>
          <w:rFonts w:hint="eastAsia" w:asciiTheme="minorEastAsia" w:hAnsiTheme="minorEastAsia" w:cstheme="minorEastAsia"/>
          <w:b/>
          <w:bCs/>
          <w:color w:val="auto"/>
          <w:spacing w:val="0"/>
          <w:sz w:val="28"/>
          <w:szCs w:val="28"/>
          <w:lang w:val="en-US" w:eastAsia="zh-CN"/>
        </w:rPr>
      </w:pPr>
    </w:p>
    <w:p>
      <w:pPr>
        <w:jc w:val="center"/>
        <w:outlineLvl w:val="0"/>
        <w:rPr>
          <w:rFonts w:hint="eastAsia" w:asciiTheme="minorEastAsia" w:hAnsiTheme="minorEastAsia" w:cstheme="minorEastAsia"/>
          <w:b/>
          <w:bCs/>
          <w:color w:val="auto"/>
          <w:spacing w:val="0"/>
          <w:sz w:val="28"/>
          <w:szCs w:val="28"/>
          <w:lang w:val="en-US" w:eastAsia="zh-CN"/>
        </w:rPr>
      </w:pPr>
    </w:p>
    <w:p>
      <w:pPr>
        <w:jc w:val="center"/>
        <w:outlineLvl w:val="0"/>
        <w:rPr>
          <w:rFonts w:hint="eastAsia" w:ascii="宋体" w:hAnsi="宋体" w:eastAsia="宋体" w:cs="宋体"/>
          <w:b/>
          <w:color w:val="auto"/>
          <w:spacing w:val="20"/>
          <w:sz w:val="48"/>
          <w:szCs w:val="48"/>
        </w:rPr>
      </w:pPr>
      <w:r>
        <w:rPr>
          <w:rFonts w:hint="eastAsia" w:asciiTheme="minorEastAsia" w:hAnsiTheme="minorEastAsia" w:cstheme="minorEastAsia"/>
          <w:b/>
          <w:bCs/>
          <w:color w:val="auto"/>
          <w:spacing w:val="0"/>
          <w:sz w:val="28"/>
          <w:szCs w:val="28"/>
          <w:lang w:val="en-US" w:eastAsia="zh-CN"/>
        </w:rPr>
        <w:t>磋商报价表（最终）</w:t>
      </w:r>
    </w:p>
    <w:p>
      <w:pPr>
        <w:spacing w:line="450" w:lineRule="atLeast"/>
        <w:outlineLvl w:val="9"/>
        <w:rPr>
          <w:rFonts w:hint="eastAsia" w:ascii="宋体" w:hAnsi="宋体" w:eastAsia="宋体" w:cs="宋体"/>
          <w:color w:val="auto"/>
          <w:sz w:val="28"/>
          <w:szCs w:val="28"/>
        </w:rPr>
      </w:pP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项目名称</w:t>
            </w:r>
          </w:p>
        </w:tc>
        <w:tc>
          <w:tcPr>
            <w:tcW w:w="1704" w:type="dxa"/>
            <w:noWrap w:val="0"/>
            <w:vAlign w:val="center"/>
          </w:tcPr>
          <w:p>
            <w:pPr>
              <w:spacing w:line="440" w:lineRule="exact"/>
              <w:jc w:val="center"/>
              <w:rPr>
                <w:rFonts w:hint="eastAsia" w:ascii="仿宋_GB2312" w:eastAsia="仿宋_GB2312"/>
                <w:szCs w:val="21"/>
              </w:rPr>
            </w:pPr>
          </w:p>
        </w:tc>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招标编号</w:t>
            </w:r>
          </w:p>
        </w:tc>
        <w:tc>
          <w:tcPr>
            <w:tcW w:w="3410" w:type="dxa"/>
            <w:noWrap w:val="0"/>
            <w:vAlign w:val="top"/>
          </w:tcPr>
          <w:p>
            <w:pPr>
              <w:spacing w:line="44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投标人名称</w:t>
            </w:r>
          </w:p>
        </w:tc>
        <w:tc>
          <w:tcPr>
            <w:tcW w:w="6818" w:type="dxa"/>
            <w:gridSpan w:val="3"/>
            <w:noWrap w:val="0"/>
            <w:vAlign w:val="top"/>
          </w:tcPr>
          <w:p>
            <w:pPr>
              <w:spacing w:line="44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报价</w:t>
            </w:r>
          </w:p>
        </w:tc>
        <w:tc>
          <w:tcPr>
            <w:tcW w:w="6818" w:type="dxa"/>
            <w:gridSpan w:val="3"/>
            <w:noWrap w:val="0"/>
            <w:vAlign w:val="center"/>
          </w:tcPr>
          <w:p>
            <w:pPr>
              <w:spacing w:line="440" w:lineRule="exact"/>
              <w:rPr>
                <w:rFonts w:hint="eastAsia" w:ascii="仿宋_GB2312" w:eastAsia="仿宋_GB2312"/>
                <w:szCs w:val="21"/>
              </w:rPr>
            </w:pPr>
            <w:r>
              <w:rPr>
                <w:rFonts w:hint="eastAsia" w:ascii="仿宋_GB2312" w:eastAsia="仿宋_GB2312"/>
                <w:szCs w:val="21"/>
              </w:rPr>
              <w:t>小写：_________元；大写：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计划周期</w:t>
            </w:r>
          </w:p>
        </w:tc>
        <w:tc>
          <w:tcPr>
            <w:tcW w:w="6818" w:type="dxa"/>
            <w:gridSpan w:val="3"/>
            <w:noWrap w:val="0"/>
            <w:vAlign w:val="center"/>
          </w:tcPr>
          <w:p>
            <w:pPr>
              <w:spacing w:line="440" w:lineRule="exact"/>
              <w:rPr>
                <w:rFonts w:hint="eastAsia" w:ascii="仿宋_GB2312" w:eastAsia="仿宋_GB2312"/>
                <w:szCs w:val="21"/>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704" w:type="dxa"/>
            <w:noWrap w:val="0"/>
            <w:vAlign w:val="center"/>
          </w:tcPr>
          <w:p>
            <w:pPr>
              <w:spacing w:line="440" w:lineRule="exact"/>
              <w:jc w:val="center"/>
              <w:rPr>
                <w:rFonts w:hint="eastAsia" w:ascii="仿宋_GB2312" w:eastAsia="仿宋_GB2312"/>
                <w:szCs w:val="21"/>
                <w:lang w:eastAsia="zh-CN"/>
              </w:rPr>
            </w:pPr>
            <w:r>
              <w:rPr>
                <w:rFonts w:hint="eastAsia" w:ascii="仿宋_GB2312" w:eastAsia="仿宋_GB2312"/>
                <w:szCs w:val="21"/>
                <w:lang w:eastAsia="zh-CN"/>
              </w:rPr>
              <w:t>质量标准</w:t>
            </w:r>
          </w:p>
        </w:tc>
        <w:tc>
          <w:tcPr>
            <w:tcW w:w="6818" w:type="dxa"/>
            <w:gridSpan w:val="3"/>
            <w:noWrap w:val="0"/>
            <w:vAlign w:val="center"/>
          </w:tcPr>
          <w:p>
            <w:pPr>
              <w:spacing w:line="440" w:lineRule="exact"/>
              <w:rPr>
                <w:rFonts w:hint="eastAsia" w:ascii="仿宋_GB2312" w:eastAsia="仿宋_GB2312"/>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522" w:type="dxa"/>
            <w:gridSpan w:val="4"/>
            <w:noWrap w:val="0"/>
            <w:vAlign w:val="center"/>
          </w:tcPr>
          <w:p>
            <w:pPr>
              <w:spacing w:line="440" w:lineRule="exact"/>
              <w:rPr>
                <w:rFonts w:hint="eastAsia" w:ascii="仿宋_GB2312" w:eastAsia="仿宋_GB2312"/>
                <w:szCs w:val="21"/>
                <w:u w:val="single"/>
                <w:lang w:eastAsia="zh-CN"/>
              </w:rPr>
            </w:pPr>
            <w:r>
              <w:rPr>
                <w:rFonts w:hint="eastAsia" w:ascii="仿宋_GB2312" w:eastAsia="仿宋_GB2312"/>
                <w:szCs w:val="21"/>
              </w:rPr>
              <w:t>响应方授权代表签字</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704" w:type="dxa"/>
            <w:noWrap w:val="0"/>
            <w:vAlign w:val="center"/>
          </w:tcPr>
          <w:p>
            <w:pPr>
              <w:spacing w:line="440" w:lineRule="exact"/>
              <w:jc w:val="center"/>
              <w:rPr>
                <w:rFonts w:hint="eastAsia" w:ascii="仿宋_GB2312" w:eastAsia="仿宋_GB2312"/>
                <w:szCs w:val="21"/>
              </w:rPr>
            </w:pPr>
            <w:r>
              <w:rPr>
                <w:rFonts w:hint="eastAsia" w:ascii="仿宋_GB2312" w:eastAsia="仿宋_GB2312"/>
                <w:szCs w:val="21"/>
              </w:rPr>
              <w:t>备注</w:t>
            </w:r>
          </w:p>
        </w:tc>
        <w:tc>
          <w:tcPr>
            <w:tcW w:w="6818" w:type="dxa"/>
            <w:gridSpan w:val="3"/>
            <w:noWrap w:val="0"/>
            <w:vAlign w:val="top"/>
          </w:tcPr>
          <w:p>
            <w:pPr>
              <w:spacing w:line="440" w:lineRule="exact"/>
              <w:jc w:val="center"/>
              <w:rPr>
                <w:rFonts w:hint="eastAsia" w:ascii="仿宋_GB2312" w:eastAsia="仿宋_GB2312"/>
                <w:szCs w:val="21"/>
              </w:rPr>
            </w:pPr>
          </w:p>
        </w:tc>
      </w:tr>
    </w:tbl>
    <w:p>
      <w:pPr>
        <w:spacing w:line="440" w:lineRule="exact"/>
        <w:jc w:val="left"/>
        <w:rPr>
          <w:rFonts w:hint="eastAsia" w:ascii="仿宋_GB2312" w:eastAsia="仿宋_GB2312"/>
          <w:sz w:val="24"/>
          <w:szCs w:val="24"/>
          <w:lang w:eastAsia="zh-CN"/>
        </w:rPr>
      </w:pPr>
      <w:r>
        <w:rPr>
          <w:rFonts w:hint="eastAsia" w:ascii="仿宋_GB2312" w:eastAsia="仿宋_GB2312"/>
          <w:sz w:val="24"/>
          <w:szCs w:val="24"/>
          <w:lang w:eastAsia="zh-CN"/>
        </w:rPr>
        <w:t>竞争性磋商小组成员签字：</w:t>
      </w:r>
    </w:p>
    <w:p>
      <w:pPr>
        <w:pStyle w:val="31"/>
        <w:bidi w:val="0"/>
        <w:rPr>
          <w:rFonts w:hint="eastAsia"/>
          <w:lang w:eastAsia="zh-CN"/>
        </w:rPr>
      </w:pPr>
    </w:p>
    <w:p>
      <w:pPr>
        <w:rPr>
          <w:rFonts w:hint="eastAsia"/>
          <w:lang w:eastAsia="zh-CN"/>
        </w:rPr>
      </w:pPr>
    </w:p>
    <w:p>
      <w:pPr>
        <w:rPr>
          <w:rFonts w:hint="eastAsia"/>
        </w:rPr>
      </w:pPr>
      <w:r>
        <w:rPr>
          <w:rFonts w:hint="eastAsia"/>
        </w:rPr>
        <w:t>注： 1、响应方必须据实填写此表，应与响应文件的有关内容一致；</w:t>
      </w:r>
      <w:r>
        <w:rPr>
          <w:rFonts w:hint="eastAsia"/>
        </w:rPr>
        <w:br w:type="textWrapping"/>
      </w:r>
      <w:r>
        <w:rPr>
          <w:rFonts w:hint="eastAsia"/>
        </w:rPr>
        <w:t>2、拟做最终报价，要随身携带此报价表一式两份并加盖公章以备磋商时填写，作为最终报价；</w:t>
      </w:r>
      <w:r>
        <w:rPr>
          <w:rFonts w:hint="eastAsia"/>
        </w:rPr>
        <w:br w:type="textWrapping"/>
      </w:r>
      <w:r>
        <w:rPr>
          <w:rFonts w:hint="eastAsia"/>
        </w:rPr>
        <w:t>3、该表无需放入响应文件内，只需在最终报价时提交。</w:t>
      </w:r>
    </w:p>
    <w:p>
      <w:pPr>
        <w:spacing w:line="450" w:lineRule="atLeast"/>
        <w:outlineLvl w:val="9"/>
        <w:rPr>
          <w:rFonts w:hint="eastAsia" w:eastAsia="宋体"/>
          <w:color w:val="auto"/>
          <w:lang w:val="en-US" w:eastAsia="zh-CN"/>
        </w:rPr>
        <w:sectPr>
          <w:pgSz w:w="11906" w:h="16838"/>
          <w:pgMar w:top="1440" w:right="1800" w:bottom="1440" w:left="1800" w:header="851" w:footer="992" w:gutter="0"/>
          <w:pgNumType w:fmt="decimal"/>
          <w:cols w:space="720" w:num="1"/>
          <w:docGrid w:type="lines" w:linePitch="312" w:charSpace="0"/>
        </w:sectPr>
      </w:pPr>
    </w:p>
    <w:p>
      <w:pPr>
        <w:pStyle w:val="136"/>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spacing w:line="360" w:lineRule="auto"/>
        <w:jc w:val="center"/>
        <w:outlineLvl w:val="0"/>
        <w:rPr>
          <w:rFonts w:hint="eastAsia" w:ascii="宋体" w:hAnsi="宋体" w:eastAsia="宋体" w:cs="宋体"/>
          <w:b/>
          <w:bCs/>
          <w:color w:val="auto"/>
          <w:sz w:val="28"/>
          <w:szCs w:val="28"/>
        </w:rPr>
      </w:pPr>
      <w:bookmarkStart w:id="59" w:name="_Toc9631_WPSOffice_Level2"/>
      <w:bookmarkStart w:id="60" w:name="_Toc2668_WPSOffice_Level2"/>
      <w:bookmarkStart w:id="61" w:name="_Toc24080_WPSOffice_Level2"/>
      <w:bookmarkStart w:id="62" w:name="_Toc25232_WPSOffice_Level2"/>
      <w:bookmarkStart w:id="63" w:name="_Toc24535"/>
      <w:r>
        <w:rPr>
          <w:rFonts w:hint="eastAsia" w:asciiTheme="minorEastAsia" w:hAnsiTheme="minorEastAsia" w:cstheme="minorEastAsia"/>
          <w:b/>
          <w:bCs/>
          <w:color w:val="auto"/>
          <w:spacing w:val="0"/>
          <w:sz w:val="28"/>
          <w:szCs w:val="28"/>
          <w:lang w:val="en-US" w:eastAsia="zh-CN"/>
        </w:rPr>
        <w:t>三、法定代表人身份证明书</w:t>
      </w:r>
      <w:bookmarkEnd w:id="59"/>
      <w:bookmarkEnd w:id="60"/>
      <w:bookmarkEnd w:id="61"/>
      <w:bookmarkEnd w:id="62"/>
      <w:bookmarkEnd w:id="63"/>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Cs/>
          <w:color w:val="auto"/>
          <w:sz w:val="28"/>
          <w:szCs w:val="28"/>
        </w:rPr>
      </w:pPr>
    </w:p>
    <w:p>
      <w:pPr>
        <w:spacing w:line="360" w:lineRule="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是</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（投标单位名称）的法定代表人。</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其身份证号码为：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特此证明。</w:t>
      </w: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供 应 商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（公章）</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法定代表人：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（盖章）</w:t>
      </w:r>
    </w:p>
    <w:p>
      <w:pPr>
        <w:spacing w:line="360" w:lineRule="auto"/>
        <w:jc w:val="center"/>
        <w:outlineLvl w:val="9"/>
        <w:rPr>
          <w:rFonts w:hint="eastAsia" w:ascii="宋体" w:hAnsi="宋体" w:eastAsia="宋体" w:cs="宋体"/>
          <w:b/>
          <w:bCs/>
          <w:color w:val="auto"/>
          <w:sz w:val="28"/>
          <w:szCs w:val="28"/>
        </w:rPr>
      </w:pP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年    月    日</w:t>
      </w:r>
    </w:p>
    <w:p>
      <w:pPr>
        <w:spacing w:line="360" w:lineRule="auto"/>
        <w:jc w:val="center"/>
        <w:outlineLvl w:val="9"/>
        <w:rPr>
          <w:rFonts w:hint="eastAsia" w:ascii="宋体" w:hAnsi="宋体" w:eastAsia="宋体" w:cs="宋体"/>
          <w:b/>
          <w:bCs/>
          <w:color w:val="auto"/>
          <w:sz w:val="28"/>
          <w:szCs w:val="28"/>
        </w:rPr>
      </w:pPr>
    </w:p>
    <w:p>
      <w:pPr>
        <w:spacing w:line="360" w:lineRule="auto"/>
        <w:outlineLvl w:val="9"/>
        <w:rPr>
          <w:rFonts w:hint="eastAsia" w:ascii="宋体" w:hAnsi="宋体" w:eastAsia="宋体" w:cs="宋体"/>
          <w:b/>
          <w:bCs/>
          <w:color w:val="auto"/>
          <w:sz w:val="28"/>
          <w:szCs w:val="28"/>
        </w:rPr>
      </w:pPr>
    </w:p>
    <w:p>
      <w:pPr>
        <w:spacing w:line="360" w:lineRule="auto"/>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（附法人身份证正反面加盖公章）</w:t>
      </w: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center"/>
        <w:outlineLvl w:val="9"/>
        <w:rPr>
          <w:rFonts w:hint="eastAsia" w:ascii="宋体" w:hAnsi="宋体" w:eastAsia="宋体" w:cs="宋体"/>
          <w:b/>
          <w:color w:val="auto"/>
          <w:spacing w:val="20"/>
          <w:sz w:val="28"/>
          <w:szCs w:val="28"/>
        </w:rPr>
      </w:pPr>
      <w:bookmarkStart w:id="64" w:name="_Toc18903_WPSOffice_Level1"/>
      <w:bookmarkStart w:id="65" w:name="_Toc30163_WPSOffice_Level1"/>
      <w:bookmarkStart w:id="66" w:name="_Toc22428_WPSOffice_Level1"/>
      <w:bookmarkStart w:id="67" w:name="_Toc10350_WPSOffice_Level1"/>
      <w:bookmarkStart w:id="68" w:name="_Toc2827_WPSOffice_Level1"/>
      <w:bookmarkStart w:id="69" w:name="_Toc19487_WPSOffice_Level1"/>
      <w:bookmarkStart w:id="70" w:name="_Toc3476_WPSOffice_Level1"/>
      <w:bookmarkStart w:id="71" w:name="_Toc20394_WPSOffice_Level1"/>
      <w:r>
        <w:rPr>
          <w:rFonts w:hint="eastAsia" w:ascii="宋体" w:hAnsi="宋体" w:eastAsia="宋体" w:cs="宋体"/>
          <w:b/>
          <w:color w:val="auto"/>
          <w:spacing w:val="20"/>
          <w:sz w:val="28"/>
          <w:szCs w:val="28"/>
        </w:rPr>
        <w:t>法定代表人授权书</w:t>
      </w:r>
      <w:bookmarkEnd w:id="64"/>
      <w:bookmarkEnd w:id="65"/>
      <w:bookmarkEnd w:id="66"/>
      <w:bookmarkEnd w:id="67"/>
      <w:bookmarkEnd w:id="68"/>
      <w:bookmarkEnd w:id="69"/>
      <w:bookmarkEnd w:id="70"/>
      <w:bookmarkEnd w:id="71"/>
    </w:p>
    <w:p>
      <w:pPr>
        <w:pStyle w:val="16"/>
        <w:spacing w:line="450" w:lineRule="atLeast"/>
        <w:jc w:val="left"/>
        <w:outlineLvl w:val="9"/>
        <w:rPr>
          <w:rFonts w:hint="eastAsia" w:ascii="宋体" w:hAnsi="宋体" w:eastAsia="宋体" w:cs="宋体"/>
          <w:color w:val="auto"/>
          <w:sz w:val="28"/>
          <w:szCs w:val="28"/>
        </w:rPr>
      </w:pPr>
    </w:p>
    <w:p>
      <w:pPr>
        <w:spacing w:line="360" w:lineRule="auto"/>
        <w:ind w:firstLine="630"/>
        <w:jc w:val="left"/>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本授权委托书声明：我  </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sz w:val="28"/>
          <w:szCs w:val="28"/>
          <w:u w:val="single"/>
          <w:lang w:val="zh-CN"/>
        </w:rPr>
        <w:t xml:space="preserve">      </w:t>
      </w:r>
      <w:r>
        <w:rPr>
          <w:rFonts w:hint="eastAsia" w:ascii="宋体" w:hAnsi="宋体" w:eastAsia="宋体" w:cs="宋体"/>
          <w:bCs/>
          <w:color w:val="auto"/>
          <w:kern w:val="0"/>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bCs/>
          <w:color w:val="auto"/>
          <w:sz w:val="28"/>
          <w:szCs w:val="28"/>
          <w:u w:val="single"/>
        </w:rPr>
        <w:t xml:space="preserve">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为我单位的代理人，以本单位的名义参加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kern w:val="0"/>
          <w:sz w:val="28"/>
          <w:szCs w:val="28"/>
        </w:rPr>
        <w:t>招投标工</w:t>
      </w:r>
      <w:r>
        <w:rPr>
          <w:rFonts w:hint="eastAsia" w:ascii="宋体" w:hAnsi="宋体" w:eastAsia="宋体" w:cs="宋体"/>
          <w:color w:val="auto"/>
          <w:sz w:val="28"/>
          <w:szCs w:val="28"/>
        </w:rPr>
        <w:t>作。代理人签署的文件和参加整个招标中所签署的一切文件和处理与之有关的一切事务，我均予以承认。</w:t>
      </w: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u w:val="single"/>
        </w:rPr>
      </w:pPr>
      <w:r>
        <w:rPr>
          <w:rFonts w:hint="eastAsia" w:ascii="宋体" w:hAnsi="宋体" w:eastAsia="宋体" w:cs="宋体"/>
          <w:color w:val="auto"/>
          <w:spacing w:val="20"/>
          <w:sz w:val="28"/>
          <w:szCs w:val="28"/>
          <w:lang w:eastAsia="zh-CN"/>
        </w:rPr>
        <w:t>供应商（公章）</w:t>
      </w:r>
      <w:r>
        <w:rPr>
          <w:rFonts w:hint="eastAsia" w:ascii="宋体" w:hAnsi="宋体" w:eastAsia="宋体" w:cs="宋体"/>
          <w:color w:val="auto"/>
          <w:spacing w:val="20"/>
          <w:sz w:val="28"/>
          <w:szCs w:val="28"/>
        </w:rPr>
        <w:t>：</w:t>
      </w:r>
      <w:r>
        <w:rPr>
          <w:rFonts w:hint="eastAsia" w:ascii="宋体" w:hAnsi="宋体" w:eastAsia="宋体" w:cs="宋体"/>
          <w:color w:val="auto"/>
          <w:spacing w:val="20"/>
          <w:sz w:val="28"/>
          <w:szCs w:val="28"/>
          <w:u w:val="single"/>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lang w:eastAsia="zh-CN"/>
        </w:rPr>
        <w:t>法</w:t>
      </w:r>
      <w:r>
        <w:rPr>
          <w:rFonts w:hint="eastAsia" w:ascii="宋体" w:hAnsi="宋体" w:eastAsia="宋体" w:cs="宋体"/>
          <w:color w:val="auto"/>
          <w:spacing w:val="20"/>
          <w:sz w:val="28"/>
          <w:szCs w:val="28"/>
        </w:rPr>
        <w:t>定代表人（公章</w:t>
      </w:r>
      <w:r>
        <w:rPr>
          <w:rFonts w:hint="eastAsia" w:ascii="宋体" w:hAnsi="宋体" w:eastAsia="宋体" w:cs="宋体"/>
          <w:color w:val="auto"/>
          <w:spacing w:val="20"/>
          <w:sz w:val="28"/>
          <w:szCs w:val="28"/>
          <w:lang w:eastAsia="zh-CN"/>
        </w:rPr>
        <w:t>）</w:t>
      </w:r>
      <w:r>
        <w:rPr>
          <w:rFonts w:hint="eastAsia" w:ascii="宋体" w:hAnsi="宋体" w:eastAsia="宋体" w:cs="宋体"/>
          <w:color w:val="auto"/>
          <w:spacing w:val="20"/>
          <w:sz w:val="28"/>
          <w:szCs w:val="28"/>
        </w:rPr>
        <w:t>：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地     点：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时     间：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p>
    <w:p>
      <w:pPr>
        <w:tabs>
          <w:tab w:val="left" w:pos="5805"/>
        </w:tabs>
        <w:spacing w:line="450" w:lineRule="atLeast"/>
        <w:ind w:left="640" w:hanging="640" w:hangingChars="200"/>
        <w:outlineLvl w:val="9"/>
        <w:rPr>
          <w:rFonts w:hint="eastAsia" w:ascii="宋体" w:hAnsi="宋体" w:eastAsia="宋体" w:cs="宋体"/>
          <w:color w:val="auto"/>
          <w:sz w:val="28"/>
          <w:szCs w:val="28"/>
        </w:rPr>
      </w:pPr>
      <w:r>
        <w:rPr>
          <w:rFonts w:hint="eastAsia" w:ascii="宋体" w:hAnsi="宋体" w:eastAsia="宋体" w:cs="宋体"/>
          <w:color w:val="auto"/>
          <w:spacing w:val="20"/>
          <w:sz w:val="28"/>
          <w:szCs w:val="28"/>
        </w:rPr>
        <w:t>注：</w:t>
      </w:r>
      <w:r>
        <w:rPr>
          <w:rFonts w:hint="eastAsia" w:ascii="宋体" w:hAnsi="宋体" w:eastAsia="宋体" w:cs="宋体"/>
          <w:color w:val="auto"/>
          <w:spacing w:val="20"/>
          <w:sz w:val="28"/>
          <w:szCs w:val="28"/>
          <w:u w:val="single"/>
        </w:rPr>
        <w:t>请在投标文件中附上法人以及委托人身份证复印件正反两面（加盖公章和法人印章），除标书里放法人授权书外开标现场需单独提供，并带好有效身份证件</w:t>
      </w:r>
      <w:r>
        <w:rPr>
          <w:rFonts w:hint="eastAsia" w:ascii="宋体" w:hAnsi="宋体" w:eastAsia="宋体" w:cs="宋体"/>
          <w:color w:val="auto"/>
          <w:spacing w:val="20"/>
          <w:sz w:val="28"/>
          <w:szCs w:val="28"/>
        </w:rPr>
        <w:t>。</w:t>
      </w:r>
    </w:p>
    <w:p>
      <w:pPr>
        <w:pStyle w:val="16"/>
        <w:adjustRightInd w:val="0"/>
        <w:snapToGrid w:val="0"/>
        <w:outlineLvl w:val="9"/>
        <w:rPr>
          <w:rFonts w:hint="eastAsia" w:ascii="宋体" w:hAnsi="宋体" w:eastAsia="宋体" w:cs="宋体"/>
          <w:color w:val="auto"/>
          <w:sz w:val="28"/>
          <w:szCs w:val="28"/>
          <w:lang w:val="en-US"/>
        </w:rPr>
      </w:pPr>
    </w:p>
    <w:p>
      <w:pPr>
        <w:pStyle w:val="16"/>
        <w:adjustRightInd w:val="0"/>
        <w:snapToGrid w:val="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numPr>
          <w:ilvl w:val="0"/>
          <w:numId w:val="0"/>
        </w:numPr>
        <w:tabs>
          <w:tab w:val="left" w:pos="576"/>
        </w:tabs>
        <w:outlineLvl w:val="9"/>
        <w:rPr>
          <w:rFonts w:hint="eastAsia" w:ascii="宋体" w:hAnsi="宋体" w:eastAsia="宋体" w:cs="宋体"/>
          <w:color w:val="auto"/>
          <w:sz w:val="28"/>
          <w:szCs w:val="28"/>
        </w:rPr>
      </w:pPr>
      <w:bookmarkStart w:id="72" w:name="_Toc424212009"/>
      <w:bookmarkStart w:id="73" w:name="_Toc460703987"/>
    </w:p>
    <w:p>
      <w:pPr>
        <w:spacing w:line="450" w:lineRule="atLeast"/>
        <w:jc w:val="center"/>
        <w:outlineLvl w:val="0"/>
        <w:rPr>
          <w:rFonts w:hint="eastAsia" w:ascii="宋体" w:hAnsi="宋体" w:eastAsia="宋体" w:cs="宋体"/>
          <w:b/>
          <w:color w:val="auto"/>
          <w:spacing w:val="20"/>
          <w:sz w:val="48"/>
          <w:szCs w:val="48"/>
        </w:rPr>
      </w:pPr>
      <w:bookmarkStart w:id="74" w:name="_Toc467"/>
      <w:r>
        <w:rPr>
          <w:rFonts w:hint="eastAsia" w:asciiTheme="minorEastAsia" w:hAnsiTheme="minorEastAsia" w:cstheme="minorEastAsia"/>
          <w:b/>
          <w:bCs/>
          <w:color w:val="auto"/>
          <w:spacing w:val="0"/>
          <w:sz w:val="28"/>
          <w:szCs w:val="28"/>
          <w:lang w:val="en-US" w:eastAsia="zh-CN"/>
        </w:rPr>
        <w:t>四、磋商保证金交纳凭证</w:t>
      </w:r>
      <w:bookmarkEnd w:id="72"/>
      <w:bookmarkEnd w:id="73"/>
      <w:bookmarkEnd w:id="74"/>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noWrap w:val="0"/>
            <w:vAlign w:val="center"/>
          </w:tcPr>
          <w:p>
            <w:pPr>
              <w:spacing w:after="124" w:afterLines="40"/>
              <w:jc w:val="center"/>
              <w:outlineLvl w:val="9"/>
              <w:rPr>
                <w:rFonts w:ascii="宋体" w:hAnsi="宋体" w:cs="宋体"/>
                <w:color w:val="auto"/>
                <w:szCs w:val="21"/>
              </w:rPr>
            </w:pPr>
            <w:r>
              <w:rPr>
                <w:rFonts w:hint="eastAsia" w:ascii="宋体" w:hAnsi="宋体" w:cs="宋体"/>
                <w:b/>
                <w:bCs/>
                <w:color w:val="auto"/>
                <w:sz w:val="28"/>
                <w:szCs w:val="28"/>
              </w:rPr>
              <w:t>投标保证金复印件</w:t>
            </w:r>
          </w:p>
        </w:tc>
      </w:tr>
    </w:tbl>
    <w:p>
      <w:pPr>
        <w:numPr>
          <w:ilvl w:val="0"/>
          <w:numId w:val="0"/>
        </w:numPr>
        <w:tabs>
          <w:tab w:val="left" w:pos="576"/>
        </w:tabs>
        <w:outlineLvl w:val="9"/>
        <w:rPr>
          <w:rFonts w:hint="eastAsia" w:ascii="宋体" w:hAnsi="宋体" w:eastAsia="宋体" w:cs="宋体"/>
          <w:i w:val="0"/>
          <w:iCs/>
          <w:color w:val="auto"/>
          <w:sz w:val="28"/>
          <w:szCs w:val="28"/>
        </w:rPr>
      </w:pPr>
      <w:r>
        <w:rPr>
          <w:rFonts w:hint="eastAsia" w:ascii="宋体" w:hAnsi="宋体" w:eastAsia="宋体" w:cs="宋体"/>
          <w:color w:val="auto"/>
          <w:sz w:val="28"/>
          <w:szCs w:val="28"/>
        </w:rPr>
        <w:br w:type="page"/>
      </w:r>
    </w:p>
    <w:p>
      <w:pPr>
        <w:spacing w:line="450" w:lineRule="atLeast"/>
        <w:jc w:val="center"/>
        <w:outlineLvl w:val="0"/>
        <w:rPr>
          <w:rFonts w:hint="eastAsia" w:ascii="宋体" w:hAnsi="宋体" w:eastAsia="宋体" w:cs="宋体"/>
          <w:b/>
          <w:color w:val="auto"/>
          <w:spacing w:val="20"/>
          <w:sz w:val="48"/>
          <w:szCs w:val="48"/>
        </w:rPr>
      </w:pPr>
      <w:bookmarkStart w:id="75" w:name="_Toc11445"/>
      <w:r>
        <w:rPr>
          <w:rFonts w:hint="eastAsia" w:asciiTheme="minorEastAsia" w:hAnsiTheme="minorEastAsia" w:cstheme="minorEastAsia"/>
          <w:b/>
          <w:bCs/>
          <w:color w:val="auto"/>
          <w:spacing w:val="0"/>
          <w:sz w:val="28"/>
          <w:szCs w:val="28"/>
          <w:lang w:val="en-US" w:eastAsia="zh-CN"/>
        </w:rPr>
        <w:t>五、反商业贿赂承诺书</w:t>
      </w:r>
      <w:bookmarkEnd w:id="75"/>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我公司承诺：</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在本次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活动中，我公司保证做到：</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一、公平竞争参加本次采购活动。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三、若出现上述行为，我公司及参与</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的工作人员愿意接受按照国家法律法规等有关规定给予的处罚。</w:t>
      </w: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供应商名称（加盖公章）：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outlineLvl w:val="9"/>
        <w:rPr>
          <w:rFonts w:hint="eastAsia" w:ascii="宋体" w:hAnsi="宋体" w:eastAsia="宋体" w:cs="宋体"/>
          <w:color w:val="auto"/>
          <w:sz w:val="28"/>
          <w:szCs w:val="28"/>
        </w:rPr>
        <w:sectPr>
          <w:pgSz w:w="11907" w:h="16840"/>
          <w:pgMar w:top="1440" w:right="1474" w:bottom="1440" w:left="1474" w:header="851" w:footer="992" w:gutter="0"/>
          <w:pgNumType w:fmt="decimal"/>
          <w:cols w:space="720" w:num="1"/>
          <w:docGrid w:linePitch="312" w:charSpace="0"/>
        </w:sectPr>
      </w:pPr>
    </w:p>
    <w:bookmarkEnd w:id="47"/>
    <w:bookmarkEnd w:id="48"/>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48"/>
          <w:szCs w:val="48"/>
          <w:lang w:val="en-US" w:eastAsia="zh-CN"/>
        </w:rPr>
      </w:pPr>
      <w:bookmarkStart w:id="76" w:name="_Toc157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77" w:name="_Toc18177"/>
      <w:r>
        <w:rPr>
          <w:rFonts w:hint="eastAsia" w:asciiTheme="minorEastAsia" w:hAnsiTheme="minorEastAsia" w:cstheme="minorEastAsia"/>
          <w:b/>
          <w:bCs/>
          <w:color w:val="auto"/>
          <w:spacing w:val="0"/>
          <w:sz w:val="28"/>
          <w:szCs w:val="28"/>
          <w:lang w:val="en-US" w:eastAsia="zh-CN"/>
        </w:rPr>
        <w:t>六、商务和技术偏差表</w:t>
      </w:r>
      <w:bookmarkEnd w:id="76"/>
      <w:bookmarkEnd w:id="77"/>
    </w:p>
    <w:tbl>
      <w:tblPr>
        <w:tblStyle w:val="3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序号</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磋商文件章节及条款号</w:t>
            </w: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响应文件章节及条款号</w:t>
            </w: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1</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2</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3</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4</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5</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default" w:ascii="Arial" w:hAnsi="Arial" w:cs="Arial"/>
                <w:b/>
                <w:bCs/>
                <w:color w:val="auto"/>
                <w:spacing w:val="0"/>
                <w:sz w:val="21"/>
                <w:szCs w:val="21"/>
                <w:vertAlign w:val="baseline"/>
                <w:lang w:val="en-US" w:eastAsia="zh-CN"/>
              </w:rPr>
              <w:t>……</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投标人保证：除商务和技术偏差表列出的偏差外，投标人响应磋商文件的全部要求。</w:t>
      </w:r>
    </w:p>
    <w:p>
      <w:pPr>
        <w:pStyle w:val="24"/>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rPr>
        <w:sectPr>
          <w:headerReference r:id="rId7" w:type="default"/>
          <w:footerReference r:id="rId8" w:type="default"/>
          <w:type w:val="continuous"/>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78" w:name="_Toc32531_WPSOffice_Level1"/>
      <w:bookmarkStart w:id="79" w:name="_Toc10416_WPSOffice_Level1"/>
      <w:bookmarkStart w:id="80" w:name="_Toc32501"/>
      <w:bookmarkStart w:id="81" w:name="_Toc13993_WPSOffice_Level1"/>
      <w:bookmarkStart w:id="82" w:name="_Toc5095_WPSOffice_Level1"/>
      <w:bookmarkStart w:id="83" w:name="_Toc763_WPSOffice_Level1"/>
      <w:bookmarkStart w:id="84" w:name="_Toc3812_WPSOffice_Level1"/>
      <w:bookmarkStart w:id="85" w:name="_Toc21836_WPSOffice_Level1"/>
      <w:bookmarkStart w:id="86" w:name="_Toc7948_WPSOffice_Level1"/>
      <w:r>
        <w:rPr>
          <w:rFonts w:hint="eastAsia" w:asciiTheme="minorEastAsia" w:hAnsiTheme="minorEastAsia" w:cstheme="minorEastAsia"/>
          <w:b/>
          <w:bCs/>
          <w:color w:val="auto"/>
          <w:spacing w:val="0"/>
          <w:sz w:val="28"/>
          <w:szCs w:val="28"/>
          <w:lang w:val="en-US" w:eastAsia="zh-CN"/>
        </w:rPr>
        <w:t>七、响应供应商概况</w:t>
      </w:r>
      <w:bookmarkEnd w:id="78"/>
      <w:bookmarkEnd w:id="79"/>
      <w:bookmarkEnd w:id="80"/>
      <w:bookmarkEnd w:id="81"/>
      <w:bookmarkEnd w:id="82"/>
      <w:bookmarkEnd w:id="83"/>
      <w:bookmarkEnd w:id="84"/>
      <w:bookmarkEnd w:id="85"/>
      <w:bookmarkEnd w:id="86"/>
    </w:p>
    <w:p>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color w:val="auto"/>
          <w:spacing w:val="20"/>
          <w:sz w:val="28"/>
          <w:szCs w:val="28"/>
          <w:lang w:eastAsia="zh-CN"/>
        </w:rPr>
      </w:pPr>
      <w:bookmarkStart w:id="87" w:name="_Toc11095"/>
      <w:r>
        <w:rPr>
          <w:rFonts w:hint="eastAsia" w:asciiTheme="minorEastAsia" w:hAnsiTheme="minorEastAsia" w:cstheme="minorEastAsia"/>
          <w:b/>
          <w:bCs/>
          <w:color w:val="auto"/>
          <w:spacing w:val="0"/>
          <w:sz w:val="24"/>
          <w:szCs w:val="24"/>
          <w:lang w:val="en-US" w:eastAsia="zh-CN"/>
        </w:rPr>
        <w:t>基本情况表</w:t>
      </w:r>
      <w:bookmarkEnd w:id="87"/>
    </w:p>
    <w:tbl>
      <w:tblPr>
        <w:tblStyle w:val="3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供应商名称</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注册资金</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成立时间</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注册地址</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邮政编码</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员工总数</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联系方式</w:t>
            </w:r>
          </w:p>
        </w:tc>
        <w:tc>
          <w:tcPr>
            <w:tcW w:w="8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w:t>
            </w:r>
          </w:p>
        </w:tc>
        <w:tc>
          <w:tcPr>
            <w:tcW w:w="21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8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1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传真</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（单位负责人）</w:t>
            </w:r>
          </w:p>
        </w:tc>
        <w:tc>
          <w:tcPr>
            <w:tcW w:w="8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姓名</w:t>
            </w:r>
          </w:p>
        </w:tc>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基本账户开户银行</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基本账户银行帐号</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近三年营业额</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投标人关联企业情况（包括但不限于与投标人法定代表人（单位负责人）为同一人或者存在控股、管理关系的不同单位）</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备注</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bl>
    <w:p>
      <w:pPr>
        <w:spacing w:line="450" w:lineRule="atLeast"/>
        <w:jc w:val="left"/>
        <w:outlineLvl w:val="9"/>
        <w:rPr>
          <w:rFonts w:hint="default" w:ascii="宋体" w:hAnsi="宋体" w:eastAsia="宋体" w:cs="宋体"/>
          <w:b w:val="0"/>
          <w:bCs/>
          <w:color w:val="auto"/>
          <w:spacing w:val="20"/>
          <w:sz w:val="20"/>
          <w:szCs w:val="20"/>
          <w:lang w:val="en-US" w:eastAsia="zh-CN"/>
        </w:rPr>
      </w:pPr>
      <w:r>
        <w:rPr>
          <w:rFonts w:hint="eastAsia" w:ascii="宋体" w:hAnsi="宋体" w:eastAsia="宋体" w:cs="宋体"/>
          <w:b w:val="0"/>
          <w:bCs/>
          <w:color w:val="auto"/>
          <w:spacing w:val="20"/>
          <w:sz w:val="20"/>
          <w:szCs w:val="20"/>
          <w:lang w:val="en-US" w:eastAsia="zh-CN"/>
        </w:rPr>
        <w:t>注：1、响应供应商应根据第二章供应商须知11项要求在本表后附相关证明材料。2、后附财务审计报告（财务报表）、完税证明等资格材料。</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投标单位（公章）： </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投标人代表(盖章)：</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填写日期：     年   月   日</w:t>
      </w:r>
    </w:p>
    <w:p>
      <w:pPr>
        <w:spacing w:line="450" w:lineRule="atLeast"/>
        <w:jc w:val="center"/>
        <w:outlineLvl w:val="9"/>
        <w:rPr>
          <w:rFonts w:hint="eastAsia" w:ascii="宋体" w:hAnsi="宋体" w:eastAsia="宋体" w:cs="宋体"/>
          <w:b/>
          <w:color w:val="auto"/>
          <w:spacing w:val="20"/>
          <w:sz w:val="28"/>
          <w:szCs w:val="28"/>
        </w:rPr>
      </w:pPr>
    </w:p>
    <w:p>
      <w:pPr>
        <w:spacing w:line="450" w:lineRule="atLeast"/>
        <w:outlineLvl w:val="9"/>
        <w:rPr>
          <w:rFonts w:hint="eastAsia" w:ascii="宋体" w:hAnsi="宋体" w:eastAsia="宋体" w:cs="宋体"/>
          <w:b/>
          <w:color w:val="auto"/>
          <w:sz w:val="28"/>
          <w:szCs w:val="28"/>
          <w:lang w:val="en-US" w:eastAsia="zh-CN"/>
        </w:rPr>
      </w:pPr>
    </w:p>
    <w:p>
      <w:pPr>
        <w:pStyle w:val="25"/>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lang w:val="en-US" w:eastAsia="zh-CN"/>
        </w:rPr>
      </w:pPr>
    </w:p>
    <w:p>
      <w:pPr>
        <w:spacing w:line="450" w:lineRule="atLeast"/>
        <w:outlineLvl w:val="9"/>
        <w:rPr>
          <w:rFonts w:hint="eastAsia" w:ascii="宋体" w:hAnsi="宋体" w:eastAsia="宋体" w:cs="宋体"/>
          <w:b/>
          <w:color w:val="auto"/>
          <w:sz w:val="28"/>
          <w:szCs w:val="28"/>
          <w:lang w:val="en-US" w:eastAsia="zh-CN"/>
        </w:rPr>
      </w:pPr>
    </w:p>
    <w:p>
      <w:pPr>
        <w:numPr>
          <w:ilvl w:val="0"/>
          <w:numId w:val="0"/>
        </w:numPr>
        <w:jc w:val="center"/>
        <w:outlineLvl w:val="9"/>
        <w:rPr>
          <w:rFonts w:hint="eastAsia" w:ascii="宋体" w:hAnsi="宋体" w:eastAsia="宋体" w:cs="宋体"/>
          <w:b/>
          <w:color w:val="auto"/>
          <w:spacing w:val="20"/>
          <w:sz w:val="28"/>
          <w:szCs w:val="28"/>
          <w:lang w:val="en-US" w:eastAsia="zh-CN"/>
        </w:rPr>
      </w:pPr>
      <w:bookmarkStart w:id="88" w:name="_Toc17147_WPSOffice_Level1"/>
      <w:bookmarkStart w:id="89" w:name="_Toc20159_WPSOffice_Level1"/>
      <w:bookmarkStart w:id="90" w:name="_Toc17925_WPSOffice_Level1"/>
      <w:bookmarkStart w:id="91" w:name="_Toc22272_WPSOffice_Level1"/>
      <w:bookmarkStart w:id="92" w:name="_Toc324_WPSOffice_Level1"/>
      <w:bookmarkStart w:id="93" w:name="_Toc16014_WPSOffice_Level1"/>
      <w:bookmarkStart w:id="94" w:name="_Toc15909_WPSOffice_Level1"/>
      <w:bookmarkStart w:id="95" w:name="_Toc26386_WPSOffice_Level1"/>
    </w:p>
    <w:p>
      <w:pPr>
        <w:pStyle w:val="25"/>
        <w:bidi w:val="0"/>
        <w:outlineLvl w:val="9"/>
        <w:rPr>
          <w:rFonts w:hint="eastAsia"/>
          <w:color w:val="auto"/>
          <w:lang w:val="en-US" w:eastAsia="zh-CN"/>
        </w:rPr>
      </w:pPr>
    </w:p>
    <w:p>
      <w:pPr>
        <w:spacing w:before="156" w:beforeLines="50" w:after="312" w:afterLines="100" w:line="440" w:lineRule="exact"/>
        <w:jc w:val="center"/>
        <w:outlineLvl w:val="0"/>
        <w:rPr>
          <w:rFonts w:hint="eastAsia" w:ascii="宋体" w:hAnsi="宋体"/>
          <w:b/>
          <w:color w:val="auto"/>
          <w:sz w:val="48"/>
          <w:szCs w:val="48"/>
          <w:lang w:val="en-US" w:eastAsia="zh-CN"/>
        </w:rPr>
      </w:pPr>
      <w:bookmarkStart w:id="96" w:name="_Toc8502"/>
      <w:bookmarkStart w:id="97" w:name="_Toc3161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八、</w:t>
      </w:r>
      <w:bookmarkEnd w:id="96"/>
      <w:bookmarkEnd w:id="97"/>
      <w:r>
        <w:rPr>
          <w:rFonts w:hint="eastAsia" w:asciiTheme="minorEastAsia" w:hAnsiTheme="minorEastAsia" w:cstheme="minorEastAsia"/>
          <w:b/>
          <w:bCs/>
          <w:color w:val="auto"/>
          <w:spacing w:val="0"/>
          <w:sz w:val="28"/>
          <w:szCs w:val="28"/>
          <w:lang w:val="en-US" w:eastAsia="zh-CN"/>
        </w:rPr>
        <w:t>企业信誉情况</w:t>
      </w:r>
    </w:p>
    <w:p>
      <w:pPr>
        <w:pStyle w:val="25"/>
        <w:bidi w:val="0"/>
        <w:jc w:val="left"/>
        <w:outlineLvl w:val="9"/>
        <w:rPr>
          <w:rFonts w:hint="eastAsia"/>
          <w:b w:val="0"/>
          <w:bCs/>
          <w:color w:val="auto"/>
          <w:sz w:val="21"/>
          <w:szCs w:val="21"/>
          <w:lang w:val="en-US" w:eastAsia="zh-CN"/>
        </w:rPr>
      </w:pPr>
      <w:r>
        <w:rPr>
          <w:rFonts w:hint="eastAsia" w:ascii="宋体" w:hAnsi="宋体"/>
          <w:b w:val="0"/>
          <w:bCs/>
          <w:color w:val="auto"/>
          <w:sz w:val="21"/>
          <w:szCs w:val="21"/>
          <w:lang w:val="en-US" w:eastAsia="zh-CN"/>
        </w:rPr>
        <w:t>注：投标人应根据供应商须知要求</w:t>
      </w:r>
      <w:r>
        <w:rPr>
          <w:rFonts w:hint="eastAsia"/>
          <w:b w:val="0"/>
          <w:bCs/>
          <w:color w:val="auto"/>
          <w:sz w:val="21"/>
          <w:szCs w:val="21"/>
          <w:lang w:val="en-US" w:eastAsia="zh-CN"/>
        </w:rPr>
        <w:t>提供</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（1）失信被执行人：信用中国官（www.creditchina.gov.cn）</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（2）企业经营异常名录：国家企业信用信息公示系（</w:t>
      </w:r>
      <w:r>
        <w:rPr>
          <w:rFonts w:hint="eastAsia" w:ascii="宋体" w:hAnsi="宋体"/>
          <w:b w:val="0"/>
          <w:bCs/>
          <w:color w:val="auto"/>
          <w:sz w:val="21"/>
          <w:szCs w:val="21"/>
          <w:lang w:val="en-US" w:eastAsia="zh-CN"/>
        </w:rPr>
        <w:fldChar w:fldCharType="begin"/>
      </w:r>
      <w:r>
        <w:rPr>
          <w:rFonts w:hint="eastAsia" w:ascii="宋体" w:hAnsi="宋体"/>
          <w:b w:val="0"/>
          <w:bCs/>
          <w:color w:val="auto"/>
          <w:sz w:val="21"/>
          <w:szCs w:val="21"/>
          <w:lang w:val="en-US" w:eastAsia="zh-CN"/>
        </w:rPr>
        <w:instrText xml:space="preserve"> HYPERLINK "http://www.gsxt.gov.cn/index.html" </w:instrText>
      </w:r>
      <w:r>
        <w:rPr>
          <w:rFonts w:hint="eastAsia" w:ascii="宋体" w:hAnsi="宋体"/>
          <w:b w:val="0"/>
          <w:bCs/>
          <w:color w:val="auto"/>
          <w:sz w:val="21"/>
          <w:szCs w:val="21"/>
          <w:lang w:val="en-US" w:eastAsia="zh-CN"/>
        </w:rPr>
        <w:fldChar w:fldCharType="separate"/>
      </w:r>
      <w:r>
        <w:rPr>
          <w:rFonts w:hint="eastAsia" w:ascii="宋体" w:hAnsi="宋体"/>
          <w:b w:val="0"/>
          <w:bCs/>
          <w:color w:val="auto"/>
          <w:sz w:val="21"/>
          <w:szCs w:val="21"/>
          <w:lang w:val="en-US" w:eastAsia="zh-CN"/>
        </w:rPr>
        <w:t>http://www.gsxt.gov.cn/index.html</w:t>
      </w:r>
      <w:r>
        <w:rPr>
          <w:rFonts w:hint="eastAsia" w:ascii="宋体" w:hAnsi="宋体"/>
          <w:b w:val="0"/>
          <w:bCs/>
          <w:color w:val="auto"/>
          <w:sz w:val="21"/>
          <w:szCs w:val="21"/>
          <w:lang w:val="en-US" w:eastAsia="zh-CN"/>
        </w:rPr>
        <w:fldChar w:fldCharType="end"/>
      </w:r>
      <w:r>
        <w:rPr>
          <w:rFonts w:hint="eastAsia" w:ascii="宋体" w:hAnsi="宋体"/>
          <w:b w:val="0"/>
          <w:bCs/>
          <w:color w:val="auto"/>
          <w:sz w:val="21"/>
          <w:szCs w:val="21"/>
          <w:lang w:val="en-US" w:eastAsia="zh-CN"/>
        </w:rPr>
        <w:t>）</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（3）重大税收违法案件当事人名单：信用中国官网（www.creditchina.gov.cn）</w:t>
      </w:r>
    </w:p>
    <w:p>
      <w:pPr>
        <w:pStyle w:val="25"/>
        <w:bidi w:val="0"/>
        <w:jc w:val="left"/>
        <w:outlineLvl w:val="9"/>
        <w:rPr>
          <w:rFonts w:hint="eastAsia"/>
          <w:color w:val="auto"/>
          <w:lang w:val="en-US" w:eastAsia="zh-CN"/>
        </w:rPr>
      </w:pPr>
      <w:r>
        <w:rPr>
          <w:rFonts w:hint="eastAsia" w:ascii="宋体" w:hAnsi="宋体"/>
          <w:b w:val="0"/>
          <w:bCs/>
          <w:color w:val="auto"/>
          <w:sz w:val="21"/>
          <w:szCs w:val="21"/>
          <w:lang w:val="en-US" w:eastAsia="zh-CN"/>
        </w:rPr>
        <w:t>（4）政府采购严重违法失信行为记录名单：中国政府采购官网（www.ccgp.gov.cn）查询记录</w:t>
      </w: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default"/>
          <w:color w:val="auto"/>
          <w:lang w:val="en-US" w:eastAsia="zh-CN"/>
        </w:rPr>
      </w:pPr>
    </w:p>
    <w:p>
      <w:pPr>
        <w:pStyle w:val="137"/>
        <w:jc w:val="center"/>
        <w:outlineLvl w:val="9"/>
        <w:rPr>
          <w:rFonts w:hint="eastAsia"/>
          <w:color w:val="auto"/>
          <w:sz w:val="30"/>
          <w:szCs w:val="30"/>
        </w:rPr>
      </w:pPr>
      <w:bookmarkStart w:id="98" w:name="_Toc12876"/>
    </w:p>
    <w:bookmarkEnd w:id="98"/>
    <w:p>
      <w:pPr>
        <w:spacing w:line="460" w:lineRule="exact"/>
        <w:ind w:right="-153" w:rightChars="-73"/>
        <w:jc w:val="center"/>
        <w:outlineLvl w:val="9"/>
        <w:rPr>
          <w:rFonts w:hint="eastAsia" w:ascii="宋体" w:hAnsi="宋体" w:eastAsia="宋体" w:cs="宋体"/>
          <w:b/>
          <w:bCs w:val="0"/>
          <w:color w:val="auto"/>
          <w:sz w:val="48"/>
          <w:szCs w:val="48"/>
          <w:lang w:eastAsia="zh-CN"/>
        </w:rPr>
      </w:pPr>
      <w:r>
        <w:rPr>
          <w:rFonts w:hint="eastAsia" w:ascii="宋体" w:hAnsi="宋体" w:eastAsia="宋体" w:cs="宋体"/>
          <w:b/>
          <w:bCs w:val="0"/>
          <w:color w:val="auto"/>
          <w:sz w:val="28"/>
          <w:szCs w:val="28"/>
          <w:lang w:eastAsia="zh-CN"/>
        </w:rPr>
        <w:t>无重大违法记录说明书</w:t>
      </w:r>
    </w:p>
    <w:p>
      <w:pPr>
        <w:spacing w:line="360" w:lineRule="auto"/>
        <w:ind w:right="-153" w:rightChars="-73"/>
        <w:outlineLvl w:val="9"/>
        <w:rPr>
          <w:rFonts w:hint="eastAsia" w:ascii="楷体_GB2312" w:hAnsi="宋体" w:eastAsia="楷体_GB2312"/>
          <w:bCs/>
          <w:color w:val="auto"/>
          <w:sz w:val="28"/>
          <w:szCs w:val="28"/>
          <w:lang w:eastAsia="zh-CN"/>
        </w:rPr>
      </w:pPr>
    </w:p>
    <w:p>
      <w:pPr>
        <w:spacing w:line="360" w:lineRule="auto"/>
        <w:ind w:right="-153" w:rightChars="-73"/>
        <w:outlineLvl w:val="9"/>
        <w:rPr>
          <w:rFonts w:ascii="楷体_GB2312" w:hAnsi="宋体" w:eastAsia="楷体_GB2312"/>
          <w:bCs/>
          <w:color w:val="auto"/>
          <w:sz w:val="28"/>
          <w:szCs w:val="28"/>
        </w:rPr>
      </w:pPr>
      <w:r>
        <w:rPr>
          <w:rFonts w:hint="eastAsia" w:ascii="楷体_GB2312" w:hAnsi="宋体" w:eastAsia="楷体_GB2312"/>
          <w:bCs/>
          <w:color w:val="auto"/>
          <w:sz w:val="28"/>
          <w:szCs w:val="28"/>
          <w:lang w:eastAsia="zh-CN"/>
        </w:rPr>
        <w:t>库车市林业和草原局</w:t>
      </w:r>
      <w:r>
        <w:rPr>
          <w:rFonts w:hint="eastAsia" w:ascii="楷体_GB2312" w:hAnsi="宋体" w:eastAsia="楷体_GB2312"/>
          <w:bCs/>
          <w:color w:val="auto"/>
          <w:sz w:val="28"/>
          <w:szCs w:val="28"/>
        </w:rPr>
        <w:t>：</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我公司参与</w:t>
      </w:r>
      <w:r>
        <w:rPr>
          <w:rFonts w:ascii="楷体_GB2312" w:hAnsi="宋体" w:eastAsia="楷体_GB2312"/>
          <w:bCs/>
          <w:color w:val="auto"/>
          <w:sz w:val="28"/>
          <w:szCs w:val="28"/>
          <w:u w:val="single"/>
        </w:rPr>
        <w:t xml:space="preserve">                          </w:t>
      </w:r>
      <w:r>
        <w:rPr>
          <w:rFonts w:hint="eastAsia" w:ascii="楷体_GB2312" w:hAnsi="宋体" w:eastAsia="楷体_GB2312"/>
          <w:bCs/>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特此声明</w:t>
      </w:r>
      <w:r>
        <w:rPr>
          <w:rFonts w:ascii="楷体_GB2312" w:hAnsi="宋体" w:eastAsia="楷体_GB2312"/>
          <w:bCs/>
          <w:color w:val="auto"/>
          <w:sz w:val="28"/>
          <w:szCs w:val="28"/>
        </w:rPr>
        <w:t xml:space="preserve">  </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声明</w:t>
      </w:r>
      <w:r>
        <w:rPr>
          <w:rFonts w:hint="eastAsia" w:ascii="楷体_GB2312" w:hAnsi="宋体" w:eastAsia="楷体_GB2312"/>
          <w:bCs/>
          <w:color w:val="auto"/>
          <w:sz w:val="28"/>
          <w:szCs w:val="28"/>
          <w:lang w:val="en-US" w:eastAsia="zh-CN"/>
        </w:rPr>
        <w:t>投标人</w:t>
      </w:r>
      <w:r>
        <w:rPr>
          <w:rFonts w:hint="eastAsia" w:ascii="楷体_GB2312" w:hAnsi="宋体" w:eastAsia="楷体_GB2312"/>
          <w:bCs/>
          <w:color w:val="auto"/>
          <w:sz w:val="28"/>
          <w:szCs w:val="28"/>
        </w:rPr>
        <w:t>全称（公章）：</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法定代表人或授权代表（签字）：</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日期：</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年</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月</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日</w:t>
      </w:r>
      <w:r>
        <w:rPr>
          <w:rFonts w:ascii="楷体_GB2312" w:hAnsi="宋体" w:eastAsia="楷体_GB2312"/>
          <w:bCs/>
          <w:color w:val="auto"/>
          <w:sz w:val="28"/>
          <w:szCs w:val="28"/>
        </w:rPr>
        <w:t xml:space="preserve">  </w:t>
      </w:r>
    </w:p>
    <w:p>
      <w:pPr>
        <w:spacing w:line="460" w:lineRule="exact"/>
        <w:outlineLvl w:val="9"/>
        <w:rPr>
          <w:rFonts w:ascii="楷体_GB2312" w:hAnsi="宋体" w:eastAsia="楷体_GB2312"/>
          <w:bCs/>
          <w:color w:val="auto"/>
          <w:szCs w:val="21"/>
        </w:rPr>
      </w:pPr>
    </w:p>
    <w:p>
      <w:pPr>
        <w:spacing w:line="460" w:lineRule="exact"/>
        <w:outlineLvl w:val="9"/>
        <w:rPr>
          <w:rFonts w:hint="eastAsia" w:ascii="宋体" w:hAnsi="宋体" w:cs="宋体"/>
          <w:b w:val="0"/>
          <w:bCs w:val="0"/>
          <w:color w:val="auto"/>
          <w:spacing w:val="0"/>
          <w:sz w:val="21"/>
          <w:szCs w:val="21"/>
          <w:vertAlign w:val="baseline"/>
          <w:lang w:val="en-US" w:eastAsia="zh-CN"/>
        </w:rPr>
        <w:sectPr>
          <w:pgSz w:w="11906" w:h="16838"/>
          <w:pgMar w:top="1440" w:right="1800" w:bottom="1440" w:left="1800" w:header="851" w:footer="992" w:gutter="0"/>
          <w:pgNumType w:fmt="decimal"/>
          <w:cols w:space="720" w:num="1"/>
          <w:docGrid w:linePitch="315" w:charSpace="0"/>
        </w:sectPr>
      </w:pPr>
      <w:r>
        <w:rPr>
          <w:rFonts w:hint="eastAsia" w:ascii="楷体_GB2312" w:hAnsi="宋体" w:eastAsia="楷体_GB2312"/>
          <w:bCs/>
          <w:color w:val="auto"/>
          <w:sz w:val="24"/>
        </w:rPr>
        <w:t>附注</w:t>
      </w:r>
      <w:r>
        <w:rPr>
          <w:rFonts w:hint="eastAsia" w:ascii="楷体_GB2312" w:hAnsi="宋体" w:eastAsia="楷体_GB2312"/>
          <w:color w:val="auto"/>
          <w:sz w:val="24"/>
        </w:rPr>
        <w:t>：</w:t>
      </w:r>
      <w:r>
        <w:rPr>
          <w:rFonts w:hint="eastAsia" w:ascii="楷体_GB2312" w:hAnsi="宋体" w:eastAsia="楷体_GB2312"/>
          <w:color w:val="auto"/>
          <w:sz w:val="24"/>
          <w:u w:val="single"/>
        </w:rPr>
        <w:t>▲本声明书格式不得修改</w:t>
      </w:r>
    </w:p>
    <w:p>
      <w:pPr>
        <w:pStyle w:val="137"/>
        <w:jc w:val="center"/>
        <w:outlineLvl w:val="9"/>
        <w:rPr>
          <w:color w:val="auto"/>
          <w:sz w:val="48"/>
          <w:szCs w:val="48"/>
        </w:rPr>
      </w:pPr>
      <w:bookmarkStart w:id="99" w:name="_Toc17841"/>
      <w:r>
        <w:rPr>
          <w:rFonts w:hint="eastAsia" w:asciiTheme="minorEastAsia" w:hAnsiTheme="minorEastAsia" w:eastAsiaTheme="minorEastAsia" w:cstheme="minorEastAsia"/>
          <w:b/>
          <w:bCs/>
          <w:color w:val="auto"/>
          <w:spacing w:val="0"/>
          <w:kern w:val="2"/>
          <w:sz w:val="28"/>
          <w:szCs w:val="28"/>
          <w:lang w:val="en-US" w:eastAsia="zh-CN" w:bidi="ar-SA"/>
        </w:rPr>
        <w:t>诚信投标承诺书</w:t>
      </w:r>
      <w:bookmarkEnd w:id="99"/>
    </w:p>
    <w:p>
      <w:pPr>
        <w:spacing w:line="360" w:lineRule="auto"/>
        <w:ind w:right="-153" w:rightChars="-73"/>
        <w:outlineLvl w:val="9"/>
        <w:rPr>
          <w:rFonts w:ascii="宋体"/>
          <w:color w:val="auto"/>
          <w:sz w:val="28"/>
          <w:szCs w:val="28"/>
        </w:rPr>
      </w:pPr>
    </w:p>
    <w:p>
      <w:pPr>
        <w:spacing w:line="360" w:lineRule="auto"/>
        <w:ind w:right="-153" w:rightChars="-73"/>
        <w:outlineLvl w:val="9"/>
        <w:rPr>
          <w:rFonts w:ascii="宋体"/>
          <w:color w:val="auto"/>
          <w:sz w:val="28"/>
          <w:szCs w:val="28"/>
        </w:rPr>
      </w:pPr>
      <w:r>
        <w:rPr>
          <w:rFonts w:hint="eastAsia" w:ascii="宋体" w:hAnsi="宋体"/>
          <w:color w:val="auto"/>
          <w:sz w:val="28"/>
          <w:szCs w:val="28"/>
          <w:lang w:eastAsia="zh-CN"/>
        </w:rPr>
        <w:t>库车市林业和草原局</w:t>
      </w:r>
      <w:r>
        <w:rPr>
          <w:rFonts w:hint="eastAsia" w:ascii="宋体" w:hAnsi="宋体"/>
          <w:color w:val="auto"/>
          <w:sz w:val="28"/>
          <w:szCs w:val="28"/>
        </w:rPr>
        <w:t>：</w:t>
      </w:r>
    </w:p>
    <w:p>
      <w:pPr>
        <w:spacing w:line="360" w:lineRule="auto"/>
        <w:ind w:right="-153" w:rightChars="-73" w:firstLine="560" w:firstLineChars="200"/>
        <w:outlineLvl w:val="9"/>
        <w:rPr>
          <w:rFonts w:ascii="宋体"/>
          <w:color w:val="auto"/>
          <w:sz w:val="28"/>
          <w:szCs w:val="28"/>
        </w:rPr>
      </w:pPr>
      <w:r>
        <w:rPr>
          <w:rFonts w:hint="eastAsia" w:ascii="宋体" w:hAnsi="宋体"/>
          <w:color w:val="auto"/>
          <w:sz w:val="28"/>
          <w:szCs w:val="28"/>
        </w:rPr>
        <w:t>我公司参与</w:t>
      </w:r>
      <w:r>
        <w:rPr>
          <w:rFonts w:ascii="宋体" w:hAnsi="宋体"/>
          <w:color w:val="auto"/>
          <w:sz w:val="28"/>
          <w:szCs w:val="28"/>
          <w:u w:val="single"/>
        </w:rPr>
        <w:t xml:space="preserve">                          </w:t>
      </w:r>
      <w:r>
        <w:rPr>
          <w:rFonts w:hint="eastAsia" w:ascii="宋体" w:hAnsi="宋体"/>
          <w:color w:val="auto"/>
          <w:sz w:val="28"/>
          <w:szCs w:val="28"/>
        </w:rPr>
        <w:t>（项目名称、编号）投标，本公司郑重承诺：</w:t>
      </w:r>
    </w:p>
    <w:p>
      <w:pPr>
        <w:spacing w:line="360" w:lineRule="auto"/>
        <w:ind w:firstLine="560" w:firstLineChars="200"/>
        <w:outlineLvl w:val="9"/>
        <w:rPr>
          <w:rFonts w:ascii="宋体"/>
          <w:color w:val="auto"/>
          <w:sz w:val="28"/>
          <w:szCs w:val="28"/>
        </w:rPr>
      </w:pPr>
      <w:bookmarkStart w:id="100" w:name="_Toc3487"/>
      <w:r>
        <w:rPr>
          <w:rFonts w:ascii="宋体" w:hAnsi="宋体"/>
          <w:color w:val="auto"/>
          <w:sz w:val="28"/>
          <w:szCs w:val="28"/>
        </w:rPr>
        <w:t>1</w:t>
      </w:r>
      <w:r>
        <w:rPr>
          <w:rFonts w:hint="eastAsia" w:ascii="宋体" w:hAnsi="宋体"/>
          <w:color w:val="auto"/>
          <w:sz w:val="28"/>
          <w:szCs w:val="28"/>
        </w:rPr>
        <w:t>、自觉遵守</w:t>
      </w:r>
      <w:r>
        <w:rPr>
          <w:rFonts w:hint="eastAsia" w:ascii="宋体" w:hAnsi="宋体" w:cs="Univers LT Std 47 Cn Lt"/>
          <w:color w:val="auto"/>
          <w:sz w:val="28"/>
          <w:szCs w:val="28"/>
        </w:rPr>
        <w:t>《中华人民共和国政府采购法》等法律法规</w:t>
      </w:r>
      <w:r>
        <w:rPr>
          <w:rFonts w:hint="eastAsia" w:ascii="宋体" w:hAnsi="宋体"/>
          <w:color w:val="auto"/>
          <w:sz w:val="28"/>
          <w:szCs w:val="28"/>
        </w:rPr>
        <w:t>的规定；</w:t>
      </w:r>
      <w:bookmarkEnd w:id="100"/>
    </w:p>
    <w:p>
      <w:pPr>
        <w:snapToGrid w:val="0"/>
        <w:spacing w:line="360" w:lineRule="auto"/>
        <w:ind w:firstLine="560" w:firstLineChars="200"/>
        <w:outlineLvl w:val="9"/>
        <w:rPr>
          <w:rFonts w:ascii="宋体"/>
          <w:color w:val="auto"/>
          <w:sz w:val="28"/>
          <w:szCs w:val="28"/>
        </w:rPr>
      </w:pPr>
      <w:bookmarkStart w:id="101" w:name="_Toc5410"/>
      <w:r>
        <w:rPr>
          <w:rFonts w:ascii="宋体" w:hAnsi="宋体"/>
          <w:color w:val="auto"/>
          <w:sz w:val="28"/>
          <w:szCs w:val="28"/>
        </w:rPr>
        <w:t>2</w:t>
      </w:r>
      <w:r>
        <w:rPr>
          <w:rFonts w:hint="eastAsia" w:ascii="宋体" w:hAnsi="宋体"/>
          <w:color w:val="auto"/>
          <w:sz w:val="28"/>
          <w:szCs w:val="28"/>
        </w:rPr>
        <w:t>、报价文件中所提供的材料及技术参数真实有效，不存在虚假应标；</w:t>
      </w:r>
      <w:bookmarkEnd w:id="101"/>
    </w:p>
    <w:p>
      <w:pPr>
        <w:snapToGrid w:val="0"/>
        <w:spacing w:line="360" w:lineRule="auto"/>
        <w:ind w:firstLine="560" w:firstLineChars="200"/>
        <w:outlineLvl w:val="9"/>
        <w:rPr>
          <w:rFonts w:ascii="宋体"/>
          <w:color w:val="auto"/>
          <w:sz w:val="28"/>
          <w:szCs w:val="28"/>
        </w:rPr>
      </w:pPr>
      <w:bookmarkStart w:id="102" w:name="_Toc14224"/>
      <w:r>
        <w:rPr>
          <w:rFonts w:ascii="宋体" w:hAnsi="宋体"/>
          <w:color w:val="auto"/>
          <w:sz w:val="28"/>
          <w:szCs w:val="28"/>
        </w:rPr>
        <w:t>3</w:t>
      </w:r>
      <w:r>
        <w:rPr>
          <w:rFonts w:hint="eastAsia" w:ascii="宋体" w:hAnsi="宋体"/>
          <w:color w:val="auto"/>
          <w:sz w:val="28"/>
          <w:szCs w:val="28"/>
        </w:rPr>
        <w:t>、我司提供的所有产品均为原厂生产的正规渠道产品。</w:t>
      </w:r>
      <w:bookmarkEnd w:id="102"/>
    </w:p>
    <w:p>
      <w:pPr>
        <w:snapToGrid w:val="0"/>
        <w:spacing w:line="360" w:lineRule="auto"/>
        <w:ind w:firstLine="560" w:firstLineChars="200"/>
        <w:outlineLvl w:val="9"/>
        <w:rPr>
          <w:rFonts w:ascii="宋体"/>
          <w:color w:val="auto"/>
          <w:sz w:val="28"/>
          <w:szCs w:val="28"/>
        </w:rPr>
      </w:pPr>
      <w:r>
        <w:rPr>
          <w:rFonts w:hint="eastAsia" w:ascii="宋体" w:hAnsi="宋体"/>
          <w:color w:val="auto"/>
          <w:sz w:val="28"/>
          <w:szCs w:val="28"/>
        </w:rPr>
        <w:t>我公司若违反上述承诺，愿接受取消报价（成交）资格及其他任何形式的处理。</w:t>
      </w:r>
    </w:p>
    <w:p>
      <w:pPr>
        <w:snapToGrid w:val="0"/>
        <w:spacing w:line="360" w:lineRule="auto"/>
        <w:ind w:firstLine="490" w:firstLineChars="175"/>
        <w:outlineLvl w:val="9"/>
        <w:rPr>
          <w:rFonts w:ascii="宋体"/>
          <w:color w:val="auto"/>
          <w:sz w:val="28"/>
          <w:szCs w:val="28"/>
        </w:rPr>
      </w:pPr>
    </w:p>
    <w:p>
      <w:pPr>
        <w:spacing w:line="360" w:lineRule="auto"/>
        <w:jc w:val="left"/>
        <w:outlineLvl w:val="9"/>
        <w:rPr>
          <w:rFonts w:ascii="宋体"/>
          <w:color w:val="auto"/>
          <w:sz w:val="28"/>
          <w:szCs w:val="28"/>
        </w:rPr>
      </w:pPr>
      <w:r>
        <w:rPr>
          <w:rFonts w:hint="eastAsia" w:ascii="宋体" w:hAnsi="宋体"/>
          <w:color w:val="auto"/>
          <w:sz w:val="28"/>
          <w:szCs w:val="28"/>
          <w:lang w:val="en-US" w:eastAsia="zh-CN"/>
        </w:rPr>
        <w:t>投标人</w:t>
      </w:r>
      <w:r>
        <w:rPr>
          <w:rFonts w:hint="eastAsia" w:ascii="宋体" w:hAnsi="宋体"/>
          <w:color w:val="auto"/>
          <w:sz w:val="28"/>
          <w:szCs w:val="28"/>
        </w:rPr>
        <w:t>全称（公章）：</w:t>
      </w:r>
    </w:p>
    <w:p>
      <w:pPr>
        <w:spacing w:line="360" w:lineRule="auto"/>
        <w:jc w:val="left"/>
        <w:outlineLvl w:val="9"/>
        <w:rPr>
          <w:rFonts w:ascii="宋体"/>
          <w:color w:val="auto"/>
          <w:sz w:val="28"/>
          <w:szCs w:val="28"/>
        </w:rPr>
      </w:pPr>
      <w:r>
        <w:rPr>
          <w:rFonts w:hint="eastAsia" w:ascii="宋体" w:hAnsi="宋体"/>
          <w:color w:val="auto"/>
          <w:sz w:val="28"/>
          <w:szCs w:val="28"/>
        </w:rPr>
        <w:t>法定代表人或授权代表（签名）：</w:t>
      </w:r>
    </w:p>
    <w:p>
      <w:pPr>
        <w:spacing w:line="360" w:lineRule="auto"/>
        <w:jc w:val="left"/>
        <w:outlineLvl w:val="9"/>
        <w:rPr>
          <w:rFonts w:ascii="宋体"/>
          <w:color w:val="auto"/>
          <w:sz w:val="28"/>
          <w:szCs w:val="28"/>
        </w:rPr>
      </w:pPr>
      <w:r>
        <w:rPr>
          <w:rFonts w:hint="eastAsia" w:ascii="宋体" w:hAnsi="宋体"/>
          <w:color w:val="auto"/>
          <w:sz w:val="28"/>
          <w:szCs w:val="28"/>
        </w:rPr>
        <w:t>日</w:t>
      </w:r>
      <w:r>
        <w:rPr>
          <w:rFonts w:ascii="宋体" w:hAnsi="宋体"/>
          <w:color w:val="auto"/>
          <w:sz w:val="28"/>
          <w:szCs w:val="28"/>
        </w:rPr>
        <w:t xml:space="preserve"> </w:t>
      </w:r>
      <w:r>
        <w:rPr>
          <w:rFonts w:hint="eastAsia" w:ascii="宋体" w:hAnsi="宋体"/>
          <w:color w:val="auto"/>
          <w:sz w:val="28"/>
          <w:szCs w:val="28"/>
        </w:rPr>
        <w:t>期：</w:t>
      </w:r>
      <w:r>
        <w:rPr>
          <w:rFonts w:ascii="宋体" w:hAnsi="宋体"/>
          <w:color w:val="auto"/>
          <w:sz w:val="28"/>
          <w:szCs w:val="28"/>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pPr>
        <w:spacing w:line="360" w:lineRule="auto"/>
        <w:outlineLvl w:val="9"/>
        <w:rPr>
          <w:rFonts w:ascii="楷体_GB2312" w:hAnsi="宋体" w:eastAsia="楷体_GB2312"/>
          <w:b/>
          <w:bCs/>
          <w:color w:val="auto"/>
          <w:sz w:val="28"/>
          <w:szCs w:val="28"/>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color w:val="auto"/>
          <w:szCs w:val="21"/>
          <w:u w:val="single"/>
        </w:rPr>
      </w:pPr>
      <w:r>
        <w:rPr>
          <w:rFonts w:hint="eastAsia" w:ascii="楷体_GB2312" w:hAnsi="宋体" w:eastAsia="楷体_GB2312"/>
          <w:bCs/>
          <w:color w:val="auto"/>
          <w:szCs w:val="21"/>
        </w:rPr>
        <w:t>附注</w:t>
      </w:r>
      <w:r>
        <w:rPr>
          <w:rFonts w:hint="eastAsia" w:ascii="楷体_GB2312" w:hAnsi="宋体" w:eastAsia="楷体_GB2312"/>
          <w:color w:val="auto"/>
          <w:szCs w:val="21"/>
        </w:rPr>
        <w:t>：</w:t>
      </w:r>
      <w:r>
        <w:rPr>
          <w:rFonts w:hint="eastAsia" w:ascii="楷体_GB2312" w:hAnsi="宋体" w:eastAsia="楷体_GB2312"/>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pStyle w:val="24"/>
        <w:bidi w:val="0"/>
        <w:outlineLvl w:val="9"/>
        <w:rPr>
          <w:rFonts w:hint="eastAsia"/>
          <w:color w:val="auto"/>
          <w:lang w:val="en-US" w:eastAsia="zh-CN"/>
        </w:rPr>
      </w:pPr>
    </w:p>
    <w:p>
      <w:pPr>
        <w:pStyle w:val="50"/>
        <w:widowControl w:val="0"/>
        <w:numPr>
          <w:ilvl w:val="0"/>
          <w:numId w:val="0"/>
        </w:numPr>
        <w:jc w:val="both"/>
        <w:rPr>
          <w:rStyle w:val="134"/>
          <w:rFonts w:hint="eastAsia"/>
          <w:color w:val="auto"/>
          <w:sz w:val="40"/>
          <w:szCs w:val="40"/>
          <w:lang w:val="en-US" w:eastAsia="zh-CN"/>
        </w:rPr>
        <w:sectPr>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3" w:name="_Toc20246"/>
      <w:bookmarkStart w:id="104" w:name="_Toc29000"/>
      <w:r>
        <w:rPr>
          <w:rFonts w:hint="eastAsia" w:asciiTheme="minorEastAsia" w:hAnsiTheme="minorEastAsia" w:cstheme="minorEastAsia"/>
          <w:b/>
          <w:bCs/>
          <w:color w:val="auto"/>
          <w:spacing w:val="0"/>
          <w:sz w:val="28"/>
          <w:szCs w:val="28"/>
          <w:lang w:val="en-US" w:eastAsia="zh-CN"/>
        </w:rPr>
        <w:t>九、技术文件</w:t>
      </w:r>
    </w:p>
    <w:p>
      <w:pPr>
        <w:spacing w:line="440" w:lineRule="exact"/>
        <w:ind w:firstLine="315" w:firstLineChars="150"/>
        <w:jc w:val="center"/>
        <w:rPr>
          <w:rFonts w:hint="eastAsia" w:ascii="仿宋_GB2312" w:hAnsi="宋体" w:eastAsia="仿宋_GB2312"/>
          <w:szCs w:val="21"/>
        </w:rPr>
      </w:pPr>
      <w:r>
        <w:rPr>
          <w:rFonts w:hint="eastAsia" w:ascii="仿宋_GB2312" w:hAnsi="宋体" w:eastAsia="仿宋_GB2312"/>
          <w:szCs w:val="21"/>
        </w:rPr>
        <w:t>（投标文件包含且不限于以下内容）</w:t>
      </w:r>
    </w:p>
    <w:p>
      <w:pPr>
        <w:pStyle w:val="25"/>
        <w:bidi w:val="0"/>
        <w:jc w:val="both"/>
        <w:outlineLvl w:val="9"/>
        <w:rPr>
          <w:rFonts w:hint="default"/>
          <w:color w:val="auto"/>
          <w:lang w:val="en-US" w:eastAsia="zh-CN"/>
        </w:rPr>
      </w:pPr>
    </w:p>
    <w:p>
      <w:pPr>
        <w:spacing w:line="360" w:lineRule="auto"/>
        <w:ind w:firstLine="478" w:firstLineChars="171"/>
        <w:rPr>
          <w:rFonts w:hint="eastAsia" w:ascii="仿宋_GB2312" w:hAnsi="宋体" w:eastAsia="仿宋_GB2312"/>
          <w:sz w:val="28"/>
          <w:szCs w:val="28"/>
        </w:rPr>
      </w:pPr>
      <w:r>
        <w:rPr>
          <w:rFonts w:hint="eastAsia" w:ascii="仿宋_GB2312" w:hAnsi="宋体" w:eastAsia="仿宋_GB2312"/>
          <w:sz w:val="28"/>
          <w:szCs w:val="28"/>
        </w:rPr>
        <w:t>一、技术方案</w:t>
      </w:r>
    </w:p>
    <w:p>
      <w:pPr>
        <w:spacing w:line="360" w:lineRule="auto"/>
        <w:ind w:firstLine="478" w:firstLineChars="171"/>
        <w:rPr>
          <w:rFonts w:hint="eastAsia" w:ascii="仿宋_GB2312" w:hAnsi="宋体" w:eastAsia="仿宋_GB2312"/>
          <w:sz w:val="28"/>
          <w:szCs w:val="28"/>
        </w:rPr>
      </w:pPr>
      <w:r>
        <w:rPr>
          <w:rFonts w:hint="eastAsia" w:ascii="仿宋_GB2312" w:hAnsi="宋体" w:eastAsia="仿宋_GB2312"/>
          <w:sz w:val="28"/>
          <w:szCs w:val="28"/>
        </w:rPr>
        <w:t>二、质量控制措施</w:t>
      </w:r>
    </w:p>
    <w:p>
      <w:pPr>
        <w:spacing w:line="360" w:lineRule="auto"/>
        <w:ind w:firstLine="478" w:firstLineChars="171"/>
        <w:rPr>
          <w:rFonts w:hint="eastAsia" w:ascii="仿宋_GB2312" w:hAnsi="宋体" w:eastAsia="仿宋_GB2312"/>
          <w:sz w:val="28"/>
          <w:szCs w:val="28"/>
        </w:rPr>
      </w:pPr>
      <w:r>
        <w:rPr>
          <w:rFonts w:hint="eastAsia" w:ascii="仿宋_GB2312" w:hAnsi="宋体" w:eastAsia="仿宋_GB2312"/>
          <w:sz w:val="28"/>
          <w:szCs w:val="28"/>
        </w:rPr>
        <w:t>三、进度计划</w:t>
      </w:r>
    </w:p>
    <w:p>
      <w:pPr>
        <w:spacing w:line="360" w:lineRule="auto"/>
        <w:ind w:firstLine="478" w:firstLineChars="171"/>
        <w:rPr>
          <w:rFonts w:hint="eastAsia" w:ascii="仿宋_GB2312" w:hAnsi="宋体" w:eastAsia="仿宋_GB2312"/>
          <w:sz w:val="28"/>
          <w:szCs w:val="28"/>
        </w:rPr>
      </w:pPr>
      <w:r>
        <w:rPr>
          <w:rFonts w:hint="eastAsia" w:ascii="仿宋_GB2312" w:hAnsi="宋体" w:eastAsia="仿宋_GB2312"/>
          <w:sz w:val="28"/>
          <w:szCs w:val="28"/>
        </w:rPr>
        <w:t>四、服务</w:t>
      </w:r>
    </w:p>
    <w:p>
      <w:pPr>
        <w:spacing w:line="360" w:lineRule="auto"/>
        <w:ind w:firstLine="478" w:firstLineChars="171"/>
        <w:rPr>
          <w:rFonts w:hint="eastAsia" w:ascii="仿宋_GB2312" w:hAnsi="宋体" w:eastAsia="仿宋_GB2312"/>
          <w:sz w:val="28"/>
          <w:szCs w:val="28"/>
        </w:rPr>
      </w:pPr>
      <w:r>
        <w:rPr>
          <w:rFonts w:hint="eastAsia" w:ascii="仿宋_GB2312" w:hAnsi="宋体" w:eastAsia="仿宋_GB2312"/>
          <w:sz w:val="28"/>
          <w:szCs w:val="28"/>
        </w:rPr>
        <w:t xml:space="preserve">    服务保证措施</w:t>
      </w:r>
    </w:p>
    <w:p>
      <w:pPr>
        <w:numPr>
          <w:ilvl w:val="0"/>
          <w:numId w:val="4"/>
        </w:numPr>
        <w:spacing w:line="360" w:lineRule="auto"/>
        <w:rPr>
          <w:rFonts w:hint="eastAsia" w:ascii="仿宋_GB2312" w:hAnsi="宋体" w:eastAsia="仿宋_GB2312"/>
          <w:sz w:val="28"/>
          <w:szCs w:val="28"/>
        </w:rPr>
      </w:pPr>
      <w:r>
        <w:rPr>
          <w:rFonts w:hint="eastAsia" w:ascii="仿宋_GB2312" w:hAnsi="宋体" w:eastAsia="仿宋_GB2312"/>
          <w:sz w:val="28"/>
          <w:szCs w:val="28"/>
        </w:rPr>
        <w:t>服务计划</w:t>
      </w:r>
    </w:p>
    <w:p>
      <w:pPr>
        <w:numPr>
          <w:ilvl w:val="0"/>
          <w:numId w:val="4"/>
        </w:numPr>
        <w:spacing w:line="360" w:lineRule="auto"/>
        <w:rPr>
          <w:rFonts w:hint="eastAsia" w:ascii="仿宋_GB2312" w:hAnsi="宋体" w:eastAsia="仿宋_GB2312"/>
          <w:sz w:val="28"/>
          <w:szCs w:val="28"/>
        </w:rPr>
      </w:pPr>
      <w:r>
        <w:rPr>
          <w:rFonts w:hint="eastAsia" w:ascii="仿宋_GB2312" w:hAnsi="宋体" w:eastAsia="仿宋_GB2312"/>
          <w:sz w:val="28"/>
          <w:szCs w:val="28"/>
        </w:rPr>
        <w:t>实施细则</w:t>
      </w:r>
    </w:p>
    <w:p>
      <w:pPr>
        <w:numPr>
          <w:ilvl w:val="0"/>
          <w:numId w:val="4"/>
        </w:numPr>
        <w:spacing w:line="360" w:lineRule="auto"/>
        <w:rPr>
          <w:rFonts w:hint="eastAsia" w:ascii="仿宋_GB2312" w:hAnsi="宋体" w:eastAsia="仿宋_GB2312"/>
          <w:sz w:val="28"/>
          <w:szCs w:val="28"/>
        </w:rPr>
      </w:pPr>
      <w:r>
        <w:rPr>
          <w:rFonts w:hint="eastAsia" w:ascii="仿宋_GB2312" w:hAnsi="宋体" w:eastAsia="仿宋_GB2312"/>
          <w:sz w:val="28"/>
          <w:szCs w:val="28"/>
        </w:rPr>
        <w:t>人员配备方案</w:t>
      </w:r>
    </w:p>
    <w:p>
      <w:pPr>
        <w:pStyle w:val="25"/>
        <w:bidi w:val="0"/>
        <w:jc w:val="both"/>
        <w:outlineLvl w:val="9"/>
        <w:rPr>
          <w:rFonts w:hint="default"/>
          <w:color w:val="auto"/>
          <w:lang w:val="en-US" w:eastAsia="zh-CN"/>
        </w:rPr>
        <w:sectPr>
          <w:pgSz w:w="11906" w:h="16838"/>
          <w:pgMar w:top="1440" w:right="1800" w:bottom="1440" w:left="1800" w:header="851" w:footer="992" w:gutter="0"/>
          <w:pgNumType w:fmt="decimal"/>
          <w:cols w:space="720" w:num="1"/>
          <w:docGrid w:linePitch="315" w:charSpace="0"/>
        </w:sectPr>
      </w:pPr>
    </w:p>
    <w:p>
      <w:pPr>
        <w:pStyle w:val="137"/>
        <w:jc w:val="center"/>
        <w:outlineLvl w:val="0"/>
        <w:rPr>
          <w:rFonts w:hint="eastAsia"/>
          <w:color w:val="auto"/>
          <w:sz w:val="48"/>
          <w:szCs w:val="48"/>
          <w:lang w:val="en-US" w:eastAsia="zh-CN"/>
        </w:rPr>
      </w:pPr>
      <w:r>
        <w:rPr>
          <w:rFonts w:hint="eastAsia" w:asciiTheme="minorEastAsia" w:hAnsiTheme="minorEastAsia" w:eastAsiaTheme="minorEastAsia" w:cstheme="minorEastAsia"/>
          <w:b/>
          <w:bCs/>
          <w:color w:val="auto"/>
          <w:spacing w:val="0"/>
          <w:kern w:val="2"/>
          <w:sz w:val="28"/>
          <w:szCs w:val="28"/>
          <w:lang w:val="en-US" w:eastAsia="zh-CN" w:bidi="ar-SA"/>
        </w:rPr>
        <w:t>十、其他资料</w:t>
      </w:r>
      <w:bookmarkEnd w:id="103"/>
      <w:bookmarkEnd w:id="104"/>
    </w:p>
    <w:p>
      <w:pPr>
        <w:pStyle w:val="25"/>
        <w:bidi w:val="0"/>
        <w:jc w:val="left"/>
        <w:outlineLvl w:val="9"/>
        <w:rPr>
          <w:rFonts w:hint="eastAsia"/>
          <w:color w:val="auto"/>
          <w:lang w:val="en-US" w:eastAsia="zh-CN"/>
        </w:rPr>
        <w:sectPr>
          <w:headerReference r:id="rId9" w:type="default"/>
          <w:footerReference r:id="rId10" w:type="default"/>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注：供应商认为需要提供的其他证明资料</w:t>
      </w:r>
      <w:bookmarkEnd w:id="88"/>
      <w:bookmarkEnd w:id="89"/>
      <w:bookmarkEnd w:id="90"/>
      <w:bookmarkEnd w:id="91"/>
      <w:bookmarkEnd w:id="92"/>
      <w:bookmarkEnd w:id="93"/>
      <w:bookmarkEnd w:id="94"/>
      <w:bookmarkEnd w:id="95"/>
    </w:p>
    <w:p>
      <w:pPr>
        <w:pStyle w:val="8"/>
        <w:rPr>
          <w:rFonts w:ascii="宋体" w:hAnsi="宋体" w:cs="宋体"/>
          <w:bCs w:val="0"/>
          <w:i w:val="0"/>
          <w:iCs w:val="0"/>
          <w:color w:val="auto"/>
          <w:highlight w:val="white"/>
        </w:rPr>
      </w:pPr>
      <w:r>
        <w:rPr>
          <w:rFonts w:hint="eastAsia" w:ascii="宋体" w:hAnsi="宋体" w:cs="宋体"/>
          <w:color w:val="auto"/>
          <w:sz w:val="24"/>
          <w:highlight w:val="none"/>
          <w:lang w:eastAsia="zh-CN"/>
        </w:rPr>
        <w:t>附件：</w:t>
      </w:r>
    </w:p>
    <w:p>
      <w:pPr>
        <w:pStyle w:val="4"/>
        <w:bidi w:val="0"/>
        <w:jc w:val="center"/>
        <w:rPr>
          <w:rFonts w:hint="eastAsia"/>
          <w:i w:val="0"/>
          <w:iCs w:val="0"/>
          <w:color w:val="auto"/>
          <w:lang w:eastAsia="zh-CN"/>
        </w:rPr>
      </w:pPr>
      <w:r>
        <w:rPr>
          <w:rFonts w:hint="eastAsia"/>
          <w:i w:val="0"/>
          <w:iCs w:val="0"/>
          <w:color w:val="auto"/>
          <w:lang w:eastAsia="zh-CN"/>
        </w:rPr>
        <w:t>中小企业声明函（</w:t>
      </w:r>
      <w:r>
        <w:rPr>
          <w:rFonts w:hint="eastAsia"/>
          <w:i w:val="0"/>
          <w:iCs w:val="0"/>
          <w:color w:val="auto"/>
          <w:lang w:val="en-US" w:eastAsia="zh-CN"/>
        </w:rPr>
        <w:t>服务</w:t>
      </w:r>
      <w:r>
        <w:rPr>
          <w:rFonts w:hint="eastAsia"/>
          <w:i w:val="0"/>
          <w:iCs w:val="0"/>
          <w:color w:val="auto"/>
          <w:lang w:eastAsia="zh-CN"/>
        </w:rPr>
        <w:t>）</w:t>
      </w:r>
    </w:p>
    <w:p>
      <w:pPr>
        <w:spacing w:line="360" w:lineRule="auto"/>
        <w:ind w:firstLine="480" w:firstLineChars="200"/>
        <w:rPr>
          <w:rFonts w:hint="eastAsia"/>
          <w:i w:val="0"/>
          <w:iCs w:val="0"/>
          <w:color w:val="auto"/>
          <w:sz w:val="24"/>
          <w:szCs w:val="24"/>
          <w:u w:val="none"/>
          <w:lang w:val="en-US" w:eastAsia="zh-CN"/>
        </w:rPr>
      </w:pPr>
      <w:r>
        <w:rPr>
          <w:rFonts w:hint="eastAsia"/>
          <w:i w:val="0"/>
          <w:iCs w:val="0"/>
          <w:color w:val="auto"/>
          <w:sz w:val="24"/>
          <w:szCs w:val="24"/>
          <w:lang w:val="en-US" w:eastAsia="zh-CN"/>
        </w:rPr>
        <w:t>本公司（联合体）郑重声明，根据《政府采购促进中小企业发展管理办法》（财库（2020）46号）的规定，本公司（联合体）参加</w:t>
      </w:r>
      <w:r>
        <w:rPr>
          <w:rFonts w:hint="eastAsia"/>
          <w:i w:val="0"/>
          <w:iCs w:val="0"/>
          <w:color w:val="auto"/>
          <w:sz w:val="24"/>
          <w:szCs w:val="24"/>
          <w:u w:val="single"/>
          <w:lang w:val="en-US" w:eastAsia="zh-CN"/>
        </w:rPr>
        <w:t xml:space="preserve">                    （单位名称）</w:t>
      </w:r>
      <w:r>
        <w:rPr>
          <w:rFonts w:hint="eastAsia"/>
          <w:i w:val="0"/>
          <w:iCs w:val="0"/>
          <w:color w:val="auto"/>
          <w:sz w:val="24"/>
          <w:szCs w:val="24"/>
          <w:u w:val="none"/>
          <w:lang w:val="en-US" w:eastAsia="zh-CN"/>
        </w:rPr>
        <w:t>的</w:t>
      </w:r>
      <w:r>
        <w:rPr>
          <w:rFonts w:hint="eastAsia"/>
          <w:i w:val="0"/>
          <w:iCs w:val="0"/>
          <w:color w:val="auto"/>
          <w:sz w:val="24"/>
          <w:szCs w:val="24"/>
          <w:u w:val="single"/>
          <w:lang w:val="en-US" w:eastAsia="zh-CN"/>
        </w:rPr>
        <w:t xml:space="preserve">                  （项目名称）</w:t>
      </w:r>
      <w:r>
        <w:rPr>
          <w:rFonts w:hint="eastAsia"/>
          <w:i w:val="0"/>
          <w:iCs w:val="0"/>
          <w:color w:val="auto"/>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5"/>
        </w:numPr>
        <w:spacing w:line="360" w:lineRule="auto"/>
        <w:ind w:firstLine="480" w:firstLineChars="200"/>
        <w:rPr>
          <w:rFonts w:hint="default"/>
          <w:i w:val="0"/>
          <w:iCs w:val="0"/>
          <w:sz w:val="24"/>
          <w:szCs w:val="24"/>
          <w:u w:val="none"/>
          <w:lang w:val="en-US" w:eastAsia="zh-CN"/>
        </w:rPr>
      </w:pPr>
      <w:r>
        <w:rPr>
          <w:rFonts w:hint="eastAsia"/>
          <w:i w:val="0"/>
          <w:iCs w:val="0"/>
          <w:sz w:val="24"/>
          <w:szCs w:val="24"/>
          <w:u w:val="single"/>
          <w:lang w:val="en-US" w:eastAsia="zh-CN"/>
        </w:rPr>
        <w:t xml:space="preserve">                 （标的名称）</w:t>
      </w:r>
      <w:r>
        <w:rPr>
          <w:rFonts w:hint="eastAsia"/>
          <w:i w:val="0"/>
          <w:iCs w:val="0"/>
          <w:sz w:val="24"/>
          <w:szCs w:val="24"/>
          <w:u w:val="none"/>
          <w:lang w:val="en-US" w:eastAsia="zh-CN"/>
        </w:rPr>
        <w:t>，属于</w:t>
      </w:r>
      <w:r>
        <w:rPr>
          <w:rFonts w:hint="eastAsia"/>
          <w:i w:val="0"/>
          <w:iCs w:val="0"/>
          <w:sz w:val="24"/>
          <w:szCs w:val="24"/>
          <w:u w:val="single"/>
          <w:lang w:val="en-US" w:eastAsia="zh-CN"/>
        </w:rPr>
        <w:t xml:space="preserve">                 （采购文件中明确的所属行业）行业；</w:t>
      </w:r>
      <w:r>
        <w:rPr>
          <w:rFonts w:hint="eastAsia"/>
          <w:i w:val="0"/>
          <w:iCs w:val="0"/>
          <w:sz w:val="24"/>
          <w:szCs w:val="24"/>
          <w:u w:val="none"/>
          <w:lang w:val="en-US" w:eastAsia="zh-CN"/>
        </w:rPr>
        <w:t>制造商为</w:t>
      </w:r>
      <w:r>
        <w:rPr>
          <w:rFonts w:hint="eastAsia"/>
          <w:i w:val="0"/>
          <w:iCs w:val="0"/>
          <w:sz w:val="24"/>
          <w:szCs w:val="24"/>
          <w:u w:val="single"/>
          <w:lang w:val="en-US" w:eastAsia="zh-CN"/>
        </w:rPr>
        <w:t xml:space="preserve">                    （企业名称）</w:t>
      </w:r>
      <w:r>
        <w:rPr>
          <w:rFonts w:hint="eastAsia"/>
          <w:i w:val="0"/>
          <w:iCs w:val="0"/>
          <w:sz w:val="24"/>
          <w:szCs w:val="24"/>
          <w:u w:val="none"/>
          <w:lang w:val="en-US" w:eastAsia="zh-CN"/>
        </w:rPr>
        <w:t>，从业人员</w:t>
      </w:r>
      <w:r>
        <w:rPr>
          <w:rFonts w:hint="eastAsia"/>
          <w:i w:val="0"/>
          <w:iCs w:val="0"/>
          <w:sz w:val="24"/>
          <w:szCs w:val="24"/>
          <w:u w:val="single"/>
          <w:lang w:val="en-US" w:eastAsia="zh-CN"/>
        </w:rPr>
        <w:t xml:space="preserve">       </w:t>
      </w:r>
      <w:r>
        <w:rPr>
          <w:rFonts w:hint="eastAsia"/>
          <w:i w:val="0"/>
          <w:iCs w:val="0"/>
          <w:sz w:val="24"/>
          <w:szCs w:val="24"/>
          <w:u w:val="none"/>
          <w:lang w:val="en-US" w:eastAsia="zh-CN"/>
        </w:rPr>
        <w:t>人，营业收入为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万元，资产总额为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万元，属于</w:t>
      </w:r>
      <w:r>
        <w:rPr>
          <w:rFonts w:hint="eastAsia"/>
          <w:i w:val="0"/>
          <w:iCs w:val="0"/>
          <w:sz w:val="24"/>
          <w:szCs w:val="24"/>
          <w:u w:val="single"/>
          <w:lang w:val="en-US" w:eastAsia="zh-CN"/>
        </w:rPr>
        <w:t>（中型企业、小型企业、微型企业）</w:t>
      </w:r>
      <w:r>
        <w:rPr>
          <w:rFonts w:hint="eastAsia"/>
          <w:i w:val="0"/>
          <w:iCs w:val="0"/>
          <w:sz w:val="24"/>
          <w:szCs w:val="24"/>
          <w:u w:val="none"/>
          <w:lang w:val="en-US" w:eastAsia="zh-CN"/>
        </w:rPr>
        <w:t>；</w:t>
      </w:r>
    </w:p>
    <w:p>
      <w:pPr>
        <w:numPr>
          <w:ilvl w:val="0"/>
          <w:numId w:val="5"/>
        </w:numPr>
        <w:spacing w:line="360" w:lineRule="auto"/>
        <w:ind w:firstLine="480" w:firstLineChars="200"/>
        <w:rPr>
          <w:rFonts w:hint="default"/>
          <w:i w:val="0"/>
          <w:iCs w:val="0"/>
          <w:sz w:val="24"/>
          <w:szCs w:val="24"/>
          <w:u w:val="none"/>
          <w:lang w:val="en-US" w:eastAsia="zh-CN"/>
        </w:rPr>
      </w:pPr>
      <w:r>
        <w:rPr>
          <w:rFonts w:hint="eastAsia"/>
          <w:i w:val="0"/>
          <w:iCs w:val="0"/>
          <w:sz w:val="24"/>
          <w:szCs w:val="24"/>
          <w:u w:val="single"/>
          <w:lang w:val="en-US" w:eastAsia="zh-CN"/>
        </w:rPr>
        <w:t xml:space="preserve">                 （标的名称）</w:t>
      </w:r>
      <w:r>
        <w:rPr>
          <w:rFonts w:hint="eastAsia"/>
          <w:i w:val="0"/>
          <w:iCs w:val="0"/>
          <w:sz w:val="24"/>
          <w:szCs w:val="24"/>
          <w:u w:val="none"/>
          <w:lang w:val="en-US" w:eastAsia="zh-CN"/>
        </w:rPr>
        <w:t>，属于</w:t>
      </w:r>
      <w:r>
        <w:rPr>
          <w:rFonts w:hint="eastAsia"/>
          <w:i w:val="0"/>
          <w:iCs w:val="0"/>
          <w:sz w:val="24"/>
          <w:szCs w:val="24"/>
          <w:u w:val="single"/>
          <w:lang w:val="en-US" w:eastAsia="zh-CN"/>
        </w:rPr>
        <w:t xml:space="preserve">                 （采购文件中明确的所属行业）行业；</w:t>
      </w:r>
      <w:r>
        <w:rPr>
          <w:rFonts w:hint="eastAsia"/>
          <w:i w:val="0"/>
          <w:iCs w:val="0"/>
          <w:sz w:val="24"/>
          <w:szCs w:val="24"/>
          <w:u w:val="none"/>
          <w:lang w:val="en-US" w:eastAsia="zh-CN"/>
        </w:rPr>
        <w:t>制造商为</w:t>
      </w:r>
      <w:r>
        <w:rPr>
          <w:rFonts w:hint="eastAsia"/>
          <w:i w:val="0"/>
          <w:iCs w:val="0"/>
          <w:sz w:val="24"/>
          <w:szCs w:val="24"/>
          <w:u w:val="single"/>
          <w:lang w:val="en-US" w:eastAsia="zh-CN"/>
        </w:rPr>
        <w:t xml:space="preserve">                    （企业名称）</w:t>
      </w:r>
      <w:r>
        <w:rPr>
          <w:rFonts w:hint="eastAsia"/>
          <w:i w:val="0"/>
          <w:iCs w:val="0"/>
          <w:sz w:val="24"/>
          <w:szCs w:val="24"/>
          <w:u w:val="none"/>
          <w:lang w:val="en-US" w:eastAsia="zh-CN"/>
        </w:rPr>
        <w:t>，从业人员</w:t>
      </w:r>
      <w:r>
        <w:rPr>
          <w:rFonts w:hint="eastAsia"/>
          <w:i w:val="0"/>
          <w:iCs w:val="0"/>
          <w:sz w:val="24"/>
          <w:szCs w:val="24"/>
          <w:u w:val="single"/>
          <w:lang w:val="en-US" w:eastAsia="zh-CN"/>
        </w:rPr>
        <w:t xml:space="preserve">       </w:t>
      </w:r>
      <w:r>
        <w:rPr>
          <w:rFonts w:hint="eastAsia"/>
          <w:i w:val="0"/>
          <w:iCs w:val="0"/>
          <w:sz w:val="24"/>
          <w:szCs w:val="24"/>
          <w:u w:val="none"/>
          <w:lang w:val="en-US" w:eastAsia="zh-CN"/>
        </w:rPr>
        <w:t>人，营业收入为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万元，资产总额为</w:t>
      </w:r>
      <w:r>
        <w:rPr>
          <w:rFonts w:hint="eastAsia"/>
          <w:i w:val="0"/>
          <w:iCs w:val="0"/>
          <w:sz w:val="24"/>
          <w:szCs w:val="24"/>
          <w:u w:val="single"/>
          <w:lang w:val="en-US" w:eastAsia="zh-CN"/>
        </w:rPr>
        <w:t xml:space="preserve">             </w:t>
      </w:r>
      <w:r>
        <w:rPr>
          <w:rFonts w:hint="eastAsia"/>
          <w:i w:val="0"/>
          <w:iCs w:val="0"/>
          <w:sz w:val="24"/>
          <w:szCs w:val="24"/>
          <w:u w:val="none"/>
          <w:lang w:val="en-US" w:eastAsia="zh-CN"/>
        </w:rPr>
        <w:t>万元，属于</w:t>
      </w:r>
      <w:r>
        <w:rPr>
          <w:rFonts w:hint="eastAsia"/>
          <w:i w:val="0"/>
          <w:iCs w:val="0"/>
          <w:sz w:val="24"/>
          <w:szCs w:val="24"/>
          <w:u w:val="single"/>
          <w:lang w:val="en-US" w:eastAsia="zh-CN"/>
        </w:rPr>
        <w:t>（中型企业、小型企业、微型企业）</w:t>
      </w:r>
      <w:r>
        <w:rPr>
          <w:rFonts w:hint="eastAsia"/>
          <w:i w:val="0"/>
          <w:iCs w:val="0"/>
          <w:sz w:val="24"/>
          <w:szCs w:val="24"/>
          <w:u w:val="none"/>
          <w:lang w:val="en-US" w:eastAsia="zh-CN"/>
        </w:rPr>
        <w:t>；</w:t>
      </w:r>
    </w:p>
    <w:p>
      <w:pPr>
        <w:numPr>
          <w:ilvl w:val="0"/>
          <w:numId w:val="0"/>
        </w:numPr>
        <w:spacing w:line="360" w:lineRule="auto"/>
        <w:ind w:firstLine="480" w:firstLineChars="200"/>
        <w:rPr>
          <w:rFonts w:hint="eastAsia"/>
          <w:i w:val="0"/>
          <w:iCs w:val="0"/>
          <w:sz w:val="24"/>
          <w:szCs w:val="24"/>
          <w:u w:val="none"/>
          <w:lang w:val="en-US" w:eastAsia="zh-CN"/>
        </w:rPr>
      </w:pPr>
      <w:r>
        <w:rPr>
          <w:rFonts w:hint="eastAsia"/>
          <w:i w:val="0"/>
          <w:iCs w:val="0"/>
          <w:sz w:val="24"/>
          <w:szCs w:val="24"/>
          <w:u w:val="none"/>
          <w:lang w:val="en-US" w:eastAsia="zh-CN"/>
        </w:rPr>
        <w:t>........</w:t>
      </w:r>
    </w:p>
    <w:p>
      <w:pPr>
        <w:numPr>
          <w:ilvl w:val="0"/>
          <w:numId w:val="0"/>
        </w:numPr>
        <w:spacing w:line="360" w:lineRule="auto"/>
        <w:ind w:firstLine="480" w:firstLineChars="200"/>
        <w:rPr>
          <w:rFonts w:hint="eastAsia"/>
          <w:i w:val="0"/>
          <w:iCs w:val="0"/>
          <w:sz w:val="24"/>
          <w:szCs w:val="24"/>
          <w:u w:val="none"/>
          <w:lang w:val="en-US" w:eastAsia="zh-CN"/>
        </w:rPr>
      </w:pPr>
      <w:r>
        <w:rPr>
          <w:rFonts w:hint="eastAsia"/>
          <w:i w:val="0"/>
          <w:iCs w:val="0"/>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480" w:firstLineChars="200"/>
        <w:rPr>
          <w:rFonts w:hint="eastAsia"/>
          <w:i w:val="0"/>
          <w:iCs w:val="0"/>
          <w:sz w:val="24"/>
          <w:szCs w:val="24"/>
          <w:u w:val="none"/>
          <w:lang w:val="en-US" w:eastAsia="zh-CN"/>
        </w:rPr>
      </w:pPr>
      <w:r>
        <w:rPr>
          <w:rFonts w:hint="eastAsia"/>
          <w:i w:val="0"/>
          <w:iCs w:val="0"/>
          <w:sz w:val="24"/>
          <w:szCs w:val="24"/>
          <w:u w:val="none"/>
          <w:lang w:val="en-US" w:eastAsia="zh-CN"/>
        </w:rPr>
        <w:t>本企业对上述声明内容的真实性负责。如有虚假，将依法承担相应责任。</w:t>
      </w:r>
    </w:p>
    <w:p>
      <w:pPr>
        <w:numPr>
          <w:ilvl w:val="0"/>
          <w:numId w:val="0"/>
        </w:numPr>
        <w:spacing w:line="360" w:lineRule="auto"/>
        <w:ind w:firstLine="480" w:firstLineChars="200"/>
        <w:rPr>
          <w:rFonts w:hint="eastAsia"/>
          <w:i w:val="0"/>
          <w:iCs w:val="0"/>
          <w:sz w:val="24"/>
          <w:szCs w:val="24"/>
          <w:u w:val="none"/>
          <w:lang w:val="en-US" w:eastAsia="zh-CN"/>
        </w:rPr>
      </w:pPr>
    </w:p>
    <w:p>
      <w:pPr>
        <w:numPr>
          <w:ilvl w:val="0"/>
          <w:numId w:val="0"/>
        </w:numPr>
        <w:spacing w:line="360" w:lineRule="auto"/>
        <w:ind w:firstLine="3780" w:firstLineChars="1800"/>
        <w:jc w:val="both"/>
        <w:rPr>
          <w:rFonts w:hint="default"/>
          <w:i w:val="0"/>
          <w:iCs w:val="0"/>
          <w:color w:val="0000FF"/>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jc w:val="center"/>
        <w:rPr>
          <w:rFonts w:hint="eastAsia"/>
          <w:sz w:val="24"/>
          <w:szCs w:val="24"/>
          <w:u w:val="none"/>
          <w:lang w:val="en-US" w:eastAsia="zh-CN"/>
        </w:rPr>
      </w:pPr>
      <w:r>
        <w:rPr>
          <w:rFonts w:hint="eastAsia"/>
          <w:sz w:val="24"/>
          <w:szCs w:val="24"/>
          <w:u w:val="none"/>
          <w:lang w:val="en-US" w:eastAsia="zh-CN"/>
        </w:rPr>
        <w:t xml:space="preserve">                企业名称（盖章）：</w:t>
      </w:r>
    </w:p>
    <w:p>
      <w:pPr>
        <w:numPr>
          <w:ilvl w:val="0"/>
          <w:numId w:val="0"/>
        </w:numPr>
        <w:spacing w:line="360" w:lineRule="auto"/>
        <w:ind w:firstLine="4320" w:firstLineChars="1800"/>
        <w:jc w:val="both"/>
        <w:rPr>
          <w:rFonts w:hint="default" w:asciiTheme="minorEastAsia" w:hAnsiTheme="minorEastAsia" w:cstheme="minorEastAsia"/>
          <w:b/>
          <w:bCs/>
          <w:color w:val="auto"/>
          <w:spacing w:val="0"/>
          <w:sz w:val="28"/>
          <w:szCs w:val="28"/>
          <w:lang w:val="en-US" w:eastAsia="zh-CN"/>
        </w:rPr>
      </w:pPr>
      <w:r>
        <w:rPr>
          <w:rFonts w:hint="eastAsia"/>
          <w:sz w:val="24"/>
          <w:szCs w:val="24"/>
          <w:u w:val="none"/>
          <w:lang w:val="en-US" w:eastAsia="zh-CN"/>
        </w:rPr>
        <w:t>日期：</w:t>
      </w:r>
    </w:p>
    <w:p>
      <w:pPr>
        <w:jc w:val="center"/>
        <w:rPr>
          <w:rFonts w:hint="eastAsia" w:ascii="宋体" w:hAnsi="宋体"/>
          <w:b/>
          <w:color w:val="auto"/>
          <w:sz w:val="24"/>
          <w:szCs w:val="24"/>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9225" cy="15748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49225" cy="157480"/>
                      </a:xfrm>
                      <a:prstGeom prst="rect">
                        <a:avLst/>
                      </a:prstGeom>
                      <a:noFill/>
                      <a:ln>
                        <a:noFill/>
                      </a:ln>
                    </wps:spPr>
                    <wps:txbx>
                      <w:txbxContent>
                        <w:p>
                          <w:pPr>
                            <w:pStyle w:val="20"/>
                            <w:rPr>
                              <w:rFonts w:hint="eastAsia" w:eastAsiaTheme="minorEastAsia"/>
                              <w:lang w:eastAsia="zh-CN"/>
                            </w:rPr>
                          </w:pPr>
                        </w:p>
                      </w:txbxContent>
                    </wps:txbx>
                    <wps:bodyPr lIns="0" tIns="0" rIns="0" bIns="0" upright="0"/>
                  </wps:wsp>
                </a:graphicData>
              </a:graphic>
            </wp:anchor>
          </w:drawing>
        </mc:Choice>
        <mc:Fallback>
          <w:pict>
            <v:shape id="文本框 1041" o:spid="_x0000_s1026" o:spt="202" type="#_x0000_t202" style="position:absolute;left:0pt;margin-top:0pt;height:12.4pt;width:11.75pt;mso-position-horizontal:center;mso-position-horizontal-relative:margin;z-index:251662336;mso-width-relative:page;mso-height-relative:page;" filled="f" stroked="f" coordsize="21600,21600" o:gfxdata="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B2GXtQAAAADAQAADwAAAAAAAAABACAAAAAiAAAAZHJzL2Rvd25yZXYueG1sUEsBAhQA&#10;FAAAAAgAh07iQIDpLZm9AQAAdAMAAA4AAAAAAAAAAQAgAAAAIwEAAGRycy9lMm9Eb2MueG1sUEsF&#10;BgAAAAAGAAYAWQEAAFIFAAAAAA==&#10;">
              <v:fill on="f" focussize="0,0"/>
              <v:stroke on="f"/>
              <v:imagedata o:title=""/>
              <o:lock v:ext="edit" aspectratio="f"/>
              <v:textbox inset="0mm,0mm,0mm,0mm">
                <w:txbxContent>
                  <w:p>
                    <w:pPr>
                      <w:pStyle w:val="20"/>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pPr>
                            <w:pStyle w:val="20"/>
                          </w:pPr>
                        </w:p>
                      </w:txbxContent>
                    </wps:txbx>
                    <wps:bodyPr lIns="0" tIns="0" rIns="0" bIns="0" upright="0"/>
                  </wps:wsp>
                </a:graphicData>
              </a:graphic>
            </wp:anchor>
          </w:drawing>
        </mc:Choice>
        <mc:Fallback>
          <w:pict>
            <v:shape id="文本框 1034" o:spid="_x0000_s1026" o:spt="202" type="#_x0000_t202" style="position:absolute;left:0pt;margin-left:201pt;margin-top:-2.15pt;height:11.65pt;width:13.15pt;mso-position-horizontal-relative:margin;z-index:251661312;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N6NoLYAAAACQEAAA8AAAAAAAAAAQAgAAAAIgAAAGRycy9kb3ducmV2LnhtbFBL&#10;AQIUABQAAAAIAIdO4kAWmAjSvQEAAHQDAAAOAAAAAAAAAAEAIAAAACcBAABkcnMvZTJvRG9jLnht&#10;bFBLBQYAAAAABgAGAFkBAABWBQAAAAA=&#10;">
              <v:fill on="f" focussize="0,0"/>
              <v:stroke on="f"/>
              <v:imagedata o:title=""/>
              <o:lock v:ext="edit" aspectratio="f"/>
              <v:textbox inset="0mm,0mm,0mm,0mm">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IaW8sBAACcAwAADgAAAGRycy9lMm9Eb2MueG1srVPNjtMwEL4j8Q6W&#10;79RptY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iGlv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30" o:spid="_x0000_s1026" o:spt="202" type="#_x0000_t202" style="position:absolute;left:0pt;margin-top:-781.3pt;height:144pt;width:144pt;mso-position-horizontal:center;mso-position-horizontal-relative:margin;mso-wrap-style:none;z-index:251660288;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DMGdcAAAAMAQAADwAAAAAAAAABACAAAAAiAAAAZHJzL2Rv&#10;d25yZXYueG1sUEsBAhQAFAAAAAgAh07iQIB6Cd/JAQAAnAMAAA4AAAAAAAAAAQAgAAAAJgEAAGRy&#10;cy9lMm9Eb2MueG1sUEsFBgAAAAAGAAYAWQEAAGEFA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TH2c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cTH2coBAACc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3360;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AUsWq2ywEAAJw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YMwZ1wAAAAwBAAAPAAAAAAAAAAEAIAAAACIAAABkcnMv&#10;ZG93bnJldi54bWxQSwECFAAUAAAACACHTuJAFLFqtssBAACcAwAADgAAAAAAAAABACAAAAAmAQAA&#10;ZHJzL2Uyb0RvYy54bWxQSwUGAAAAAAYABgBZAQAAYwU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Style w:val="37"/>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P6WcsBAACcAwAADgAAAGRycy9lMm9Eb2MueG1srVPNjtMwEL4j8Q6W&#10;79Rph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D+ln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ke38o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L19n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rke38oBAACd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A637"/>
    <w:multiLevelType w:val="singleLevel"/>
    <w:tmpl w:val="B037A637"/>
    <w:lvl w:ilvl="0" w:tentative="0">
      <w:start w:val="1"/>
      <w:numFmt w:val="decimal"/>
      <w:suff w:val="nothing"/>
      <w:lvlText w:val="（%1）"/>
      <w:lvlJc w:val="left"/>
    </w:lvl>
  </w:abstractNum>
  <w:abstractNum w:abstractNumId="1">
    <w:nsid w:val="4FC458A1"/>
    <w:multiLevelType w:val="multilevel"/>
    <w:tmpl w:val="4FC458A1"/>
    <w:lvl w:ilvl="0" w:tentative="0">
      <w:start w:val="1"/>
      <w:numFmt w:val="decimal"/>
      <w:lvlText w:val="%1、"/>
      <w:lvlJc w:val="left"/>
      <w:pPr>
        <w:tabs>
          <w:tab w:val="left" w:pos="1771"/>
        </w:tabs>
        <w:ind w:left="1771" w:hanging="720"/>
      </w:pPr>
      <w:rPr>
        <w:rFonts w:hint="default"/>
      </w:rPr>
    </w:lvl>
    <w:lvl w:ilvl="1" w:tentative="0">
      <w:start w:val="1"/>
      <w:numFmt w:val="lowerLetter"/>
      <w:lvlText w:val="%2)"/>
      <w:lvlJc w:val="left"/>
      <w:pPr>
        <w:tabs>
          <w:tab w:val="left" w:pos="1891"/>
        </w:tabs>
        <w:ind w:left="1891" w:hanging="420"/>
      </w:pPr>
    </w:lvl>
    <w:lvl w:ilvl="2" w:tentative="0">
      <w:start w:val="1"/>
      <w:numFmt w:val="lowerRoman"/>
      <w:lvlText w:val="%3."/>
      <w:lvlJc w:val="right"/>
      <w:pPr>
        <w:tabs>
          <w:tab w:val="left" w:pos="2311"/>
        </w:tabs>
        <w:ind w:left="2311" w:hanging="420"/>
      </w:pPr>
    </w:lvl>
    <w:lvl w:ilvl="3" w:tentative="0">
      <w:start w:val="1"/>
      <w:numFmt w:val="decimal"/>
      <w:lvlText w:val="%4."/>
      <w:lvlJc w:val="left"/>
      <w:pPr>
        <w:tabs>
          <w:tab w:val="left" w:pos="2731"/>
        </w:tabs>
        <w:ind w:left="2731" w:hanging="420"/>
      </w:pPr>
    </w:lvl>
    <w:lvl w:ilvl="4" w:tentative="0">
      <w:start w:val="1"/>
      <w:numFmt w:val="lowerLetter"/>
      <w:lvlText w:val="%5)"/>
      <w:lvlJc w:val="left"/>
      <w:pPr>
        <w:tabs>
          <w:tab w:val="left" w:pos="3151"/>
        </w:tabs>
        <w:ind w:left="3151" w:hanging="420"/>
      </w:pPr>
    </w:lvl>
    <w:lvl w:ilvl="5" w:tentative="0">
      <w:start w:val="1"/>
      <w:numFmt w:val="lowerRoman"/>
      <w:lvlText w:val="%6."/>
      <w:lvlJc w:val="right"/>
      <w:pPr>
        <w:tabs>
          <w:tab w:val="left" w:pos="3571"/>
        </w:tabs>
        <w:ind w:left="3571" w:hanging="420"/>
      </w:pPr>
    </w:lvl>
    <w:lvl w:ilvl="6" w:tentative="0">
      <w:start w:val="1"/>
      <w:numFmt w:val="decimal"/>
      <w:lvlText w:val="%7."/>
      <w:lvlJc w:val="left"/>
      <w:pPr>
        <w:tabs>
          <w:tab w:val="left" w:pos="3991"/>
        </w:tabs>
        <w:ind w:left="3991" w:hanging="420"/>
      </w:pPr>
    </w:lvl>
    <w:lvl w:ilvl="7" w:tentative="0">
      <w:start w:val="1"/>
      <w:numFmt w:val="lowerLetter"/>
      <w:lvlText w:val="%8)"/>
      <w:lvlJc w:val="left"/>
      <w:pPr>
        <w:tabs>
          <w:tab w:val="left" w:pos="4411"/>
        </w:tabs>
        <w:ind w:left="4411" w:hanging="420"/>
      </w:pPr>
    </w:lvl>
    <w:lvl w:ilvl="8" w:tentative="0">
      <w:start w:val="1"/>
      <w:numFmt w:val="lowerRoman"/>
      <w:lvlText w:val="%9."/>
      <w:lvlJc w:val="right"/>
      <w:pPr>
        <w:tabs>
          <w:tab w:val="left" w:pos="4831"/>
        </w:tabs>
        <w:ind w:left="4831" w:hanging="420"/>
      </w:pPr>
    </w:lvl>
  </w:abstractNum>
  <w:abstractNum w:abstractNumId="2">
    <w:nsid w:val="55CFFBAC"/>
    <w:multiLevelType w:val="singleLevel"/>
    <w:tmpl w:val="55CFFBAC"/>
    <w:lvl w:ilvl="0" w:tentative="0">
      <w:start w:val="1"/>
      <w:numFmt w:val="chineseCounting"/>
      <w:pStyle w:val="91"/>
      <w:suff w:val="nothing"/>
      <w:lvlText w:val="%1、"/>
      <w:lvlJc w:val="left"/>
    </w:lvl>
  </w:abstractNum>
  <w:abstractNum w:abstractNumId="3">
    <w:nsid w:val="59E9724D"/>
    <w:multiLevelType w:val="singleLevel"/>
    <w:tmpl w:val="59E9724D"/>
    <w:lvl w:ilvl="0" w:tentative="0">
      <w:start w:val="1"/>
      <w:numFmt w:val="chineseCounting"/>
      <w:suff w:val="nothing"/>
      <w:lvlText w:val="（%1）"/>
      <w:lvlJc w:val="left"/>
    </w:lvl>
  </w:abstractNum>
  <w:abstractNum w:abstractNumId="4">
    <w:nsid w:val="5AA41CC7"/>
    <w:multiLevelType w:val="singleLevel"/>
    <w:tmpl w:val="5AA41CC7"/>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zE0ZjFiZjYxMzNlNmEzOTYwYTUyNWU0ODhlOTgifQ=="/>
    <w:docVar w:name="KSO_WPS_MARK_KEY" w:val="8c2bc2c6-d0cc-462b-bba0-8f090476c535"/>
  </w:docVars>
  <w:rsids>
    <w:rsidRoot w:val="00921CD7"/>
    <w:rsid w:val="000945C3"/>
    <w:rsid w:val="001206FA"/>
    <w:rsid w:val="00192225"/>
    <w:rsid w:val="001D078A"/>
    <w:rsid w:val="00216E9C"/>
    <w:rsid w:val="0036614A"/>
    <w:rsid w:val="0039459E"/>
    <w:rsid w:val="004C41AF"/>
    <w:rsid w:val="004E3E45"/>
    <w:rsid w:val="00610950"/>
    <w:rsid w:val="006338BE"/>
    <w:rsid w:val="00673A5F"/>
    <w:rsid w:val="00747555"/>
    <w:rsid w:val="008751AB"/>
    <w:rsid w:val="00921CD7"/>
    <w:rsid w:val="00A122CC"/>
    <w:rsid w:val="00B06113"/>
    <w:rsid w:val="00B97423"/>
    <w:rsid w:val="00CC7A28"/>
    <w:rsid w:val="00CD3A88"/>
    <w:rsid w:val="00D85EE2"/>
    <w:rsid w:val="00DA7FF2"/>
    <w:rsid w:val="00DF7B52"/>
    <w:rsid w:val="01AF161E"/>
    <w:rsid w:val="020E3E20"/>
    <w:rsid w:val="02153159"/>
    <w:rsid w:val="02306473"/>
    <w:rsid w:val="0252249D"/>
    <w:rsid w:val="02A209F3"/>
    <w:rsid w:val="02D760FC"/>
    <w:rsid w:val="02DE436B"/>
    <w:rsid w:val="02DF7EE5"/>
    <w:rsid w:val="0329013B"/>
    <w:rsid w:val="034D31EF"/>
    <w:rsid w:val="03505A0D"/>
    <w:rsid w:val="03745576"/>
    <w:rsid w:val="039E69C8"/>
    <w:rsid w:val="03BD0069"/>
    <w:rsid w:val="048E0971"/>
    <w:rsid w:val="04AF49D6"/>
    <w:rsid w:val="05B178CA"/>
    <w:rsid w:val="05FD1180"/>
    <w:rsid w:val="06031774"/>
    <w:rsid w:val="064353BC"/>
    <w:rsid w:val="066B7D8E"/>
    <w:rsid w:val="068E0F81"/>
    <w:rsid w:val="07253423"/>
    <w:rsid w:val="073541E7"/>
    <w:rsid w:val="075C114A"/>
    <w:rsid w:val="079052BE"/>
    <w:rsid w:val="07AB1C0E"/>
    <w:rsid w:val="07E37D9A"/>
    <w:rsid w:val="07ED2710"/>
    <w:rsid w:val="081C404E"/>
    <w:rsid w:val="08395A9D"/>
    <w:rsid w:val="088B388B"/>
    <w:rsid w:val="08E3082D"/>
    <w:rsid w:val="097768EA"/>
    <w:rsid w:val="09E70F6F"/>
    <w:rsid w:val="0A11035C"/>
    <w:rsid w:val="0A4340C7"/>
    <w:rsid w:val="0A4C0379"/>
    <w:rsid w:val="0A5F04D2"/>
    <w:rsid w:val="0A736B1F"/>
    <w:rsid w:val="0AC51722"/>
    <w:rsid w:val="0B4C0A68"/>
    <w:rsid w:val="0B6E6E17"/>
    <w:rsid w:val="0CF60887"/>
    <w:rsid w:val="0D093F6D"/>
    <w:rsid w:val="0D3C46EF"/>
    <w:rsid w:val="0D95026F"/>
    <w:rsid w:val="0DCF1999"/>
    <w:rsid w:val="0E391CB9"/>
    <w:rsid w:val="0FF71CD5"/>
    <w:rsid w:val="10632C1E"/>
    <w:rsid w:val="107322DE"/>
    <w:rsid w:val="11480820"/>
    <w:rsid w:val="118E0AC0"/>
    <w:rsid w:val="11BC6736"/>
    <w:rsid w:val="1230106A"/>
    <w:rsid w:val="12B169D2"/>
    <w:rsid w:val="12BD2313"/>
    <w:rsid w:val="134F3061"/>
    <w:rsid w:val="136A10B9"/>
    <w:rsid w:val="14001CB6"/>
    <w:rsid w:val="14861F22"/>
    <w:rsid w:val="14905650"/>
    <w:rsid w:val="149F305C"/>
    <w:rsid w:val="14C32F3D"/>
    <w:rsid w:val="14C8078D"/>
    <w:rsid w:val="1501595F"/>
    <w:rsid w:val="15164395"/>
    <w:rsid w:val="15562BB2"/>
    <w:rsid w:val="15785DD1"/>
    <w:rsid w:val="158B39FF"/>
    <w:rsid w:val="160144DE"/>
    <w:rsid w:val="16231C6D"/>
    <w:rsid w:val="16674D4D"/>
    <w:rsid w:val="16877E1D"/>
    <w:rsid w:val="1689096D"/>
    <w:rsid w:val="16CE7486"/>
    <w:rsid w:val="170548AF"/>
    <w:rsid w:val="171952CF"/>
    <w:rsid w:val="17373345"/>
    <w:rsid w:val="17F2759D"/>
    <w:rsid w:val="185575B7"/>
    <w:rsid w:val="19262C77"/>
    <w:rsid w:val="19301650"/>
    <w:rsid w:val="19673136"/>
    <w:rsid w:val="19721122"/>
    <w:rsid w:val="1A5D6FC6"/>
    <w:rsid w:val="1A826FA3"/>
    <w:rsid w:val="1AA41559"/>
    <w:rsid w:val="1AB377E9"/>
    <w:rsid w:val="1B2D759B"/>
    <w:rsid w:val="1B6F54BE"/>
    <w:rsid w:val="1BD42832"/>
    <w:rsid w:val="1CD56CF1"/>
    <w:rsid w:val="1CE07154"/>
    <w:rsid w:val="1DAC109D"/>
    <w:rsid w:val="1EA971C9"/>
    <w:rsid w:val="1EBA1E7C"/>
    <w:rsid w:val="1EDB662C"/>
    <w:rsid w:val="1EDC3A10"/>
    <w:rsid w:val="1EFE3BDC"/>
    <w:rsid w:val="1FBF5B37"/>
    <w:rsid w:val="1FC85AE5"/>
    <w:rsid w:val="1FF269E9"/>
    <w:rsid w:val="20154307"/>
    <w:rsid w:val="204F1D62"/>
    <w:rsid w:val="2071344C"/>
    <w:rsid w:val="20747B4D"/>
    <w:rsid w:val="20B608E8"/>
    <w:rsid w:val="21194E10"/>
    <w:rsid w:val="22634F54"/>
    <w:rsid w:val="23273EDB"/>
    <w:rsid w:val="237372D3"/>
    <w:rsid w:val="23F97DC5"/>
    <w:rsid w:val="24784188"/>
    <w:rsid w:val="250E38DE"/>
    <w:rsid w:val="253F604F"/>
    <w:rsid w:val="255B711D"/>
    <w:rsid w:val="25B568B7"/>
    <w:rsid w:val="26084E8D"/>
    <w:rsid w:val="269E6B35"/>
    <w:rsid w:val="270F1F26"/>
    <w:rsid w:val="271708CB"/>
    <w:rsid w:val="27CC6DA0"/>
    <w:rsid w:val="288D00A8"/>
    <w:rsid w:val="28A736DD"/>
    <w:rsid w:val="28E258CA"/>
    <w:rsid w:val="2A473D75"/>
    <w:rsid w:val="2A68553E"/>
    <w:rsid w:val="2AAF268D"/>
    <w:rsid w:val="2B6F355D"/>
    <w:rsid w:val="2C433803"/>
    <w:rsid w:val="2D4D13D7"/>
    <w:rsid w:val="2DD815E9"/>
    <w:rsid w:val="2E6B37C5"/>
    <w:rsid w:val="2ECA0341"/>
    <w:rsid w:val="2ED73B31"/>
    <w:rsid w:val="2EDE37C1"/>
    <w:rsid w:val="2EF27E36"/>
    <w:rsid w:val="2EF50845"/>
    <w:rsid w:val="2F942728"/>
    <w:rsid w:val="2FE32757"/>
    <w:rsid w:val="30146FE3"/>
    <w:rsid w:val="308A2D54"/>
    <w:rsid w:val="313308E4"/>
    <w:rsid w:val="31873192"/>
    <w:rsid w:val="31901955"/>
    <w:rsid w:val="319D0BD2"/>
    <w:rsid w:val="327A1FB1"/>
    <w:rsid w:val="32DB3E3E"/>
    <w:rsid w:val="331C3EA0"/>
    <w:rsid w:val="33766B6D"/>
    <w:rsid w:val="33F23A3C"/>
    <w:rsid w:val="347656B7"/>
    <w:rsid w:val="347E582B"/>
    <w:rsid w:val="35121A53"/>
    <w:rsid w:val="35537B13"/>
    <w:rsid w:val="359F00D9"/>
    <w:rsid w:val="35AF7BFD"/>
    <w:rsid w:val="35B51BB9"/>
    <w:rsid w:val="36C25076"/>
    <w:rsid w:val="36D34C93"/>
    <w:rsid w:val="36EF0C24"/>
    <w:rsid w:val="37D8447F"/>
    <w:rsid w:val="380F20AB"/>
    <w:rsid w:val="38160F77"/>
    <w:rsid w:val="382B7AA1"/>
    <w:rsid w:val="38465505"/>
    <w:rsid w:val="38D637AC"/>
    <w:rsid w:val="394C2E8B"/>
    <w:rsid w:val="394D1BF9"/>
    <w:rsid w:val="39641F82"/>
    <w:rsid w:val="39C62B5F"/>
    <w:rsid w:val="3A0472C2"/>
    <w:rsid w:val="3A570123"/>
    <w:rsid w:val="3B3137EE"/>
    <w:rsid w:val="3B4A4D6D"/>
    <w:rsid w:val="3B630ADC"/>
    <w:rsid w:val="3BDD35C8"/>
    <w:rsid w:val="3C133BE8"/>
    <w:rsid w:val="3C2C658B"/>
    <w:rsid w:val="3CBA2358"/>
    <w:rsid w:val="3D874491"/>
    <w:rsid w:val="3DA1059A"/>
    <w:rsid w:val="3E6966F9"/>
    <w:rsid w:val="3E9A0D9A"/>
    <w:rsid w:val="3EEA4C89"/>
    <w:rsid w:val="3F0006E1"/>
    <w:rsid w:val="3F010A95"/>
    <w:rsid w:val="3F3217C5"/>
    <w:rsid w:val="3F343F8B"/>
    <w:rsid w:val="3F6C40C7"/>
    <w:rsid w:val="3FEB76E8"/>
    <w:rsid w:val="402B1CBF"/>
    <w:rsid w:val="402C2DD4"/>
    <w:rsid w:val="413C1FD5"/>
    <w:rsid w:val="41DD0B24"/>
    <w:rsid w:val="42203414"/>
    <w:rsid w:val="42332E3A"/>
    <w:rsid w:val="42553F22"/>
    <w:rsid w:val="42A43A7E"/>
    <w:rsid w:val="42BC78A3"/>
    <w:rsid w:val="42E5412D"/>
    <w:rsid w:val="441D4560"/>
    <w:rsid w:val="44F46F2A"/>
    <w:rsid w:val="44F85C75"/>
    <w:rsid w:val="450F2E81"/>
    <w:rsid w:val="45582B8D"/>
    <w:rsid w:val="45813803"/>
    <w:rsid w:val="45A31698"/>
    <w:rsid w:val="45F65779"/>
    <w:rsid w:val="45F81B71"/>
    <w:rsid w:val="463751C3"/>
    <w:rsid w:val="46511AD3"/>
    <w:rsid w:val="46A2058E"/>
    <w:rsid w:val="47097FE1"/>
    <w:rsid w:val="47225584"/>
    <w:rsid w:val="47533C08"/>
    <w:rsid w:val="47C06F1E"/>
    <w:rsid w:val="484B78FD"/>
    <w:rsid w:val="489B1E77"/>
    <w:rsid w:val="48AB4F19"/>
    <w:rsid w:val="49612CAC"/>
    <w:rsid w:val="49A5315F"/>
    <w:rsid w:val="49B56A23"/>
    <w:rsid w:val="49B91E77"/>
    <w:rsid w:val="4AC43EE5"/>
    <w:rsid w:val="4ADF495F"/>
    <w:rsid w:val="4B266C8B"/>
    <w:rsid w:val="4B2F2F7F"/>
    <w:rsid w:val="4B8135A2"/>
    <w:rsid w:val="4BF90C50"/>
    <w:rsid w:val="4C050DBC"/>
    <w:rsid w:val="4C092578"/>
    <w:rsid w:val="4C4C4513"/>
    <w:rsid w:val="4C5B5523"/>
    <w:rsid w:val="4CC85D4A"/>
    <w:rsid w:val="4DDB460E"/>
    <w:rsid w:val="4E08517B"/>
    <w:rsid w:val="4E1F797E"/>
    <w:rsid w:val="4E9B1D9D"/>
    <w:rsid w:val="4F8B0424"/>
    <w:rsid w:val="4FC92043"/>
    <w:rsid w:val="502560C3"/>
    <w:rsid w:val="507A4C0D"/>
    <w:rsid w:val="50F40046"/>
    <w:rsid w:val="51142EED"/>
    <w:rsid w:val="518E3324"/>
    <w:rsid w:val="520B4247"/>
    <w:rsid w:val="52382054"/>
    <w:rsid w:val="530D4421"/>
    <w:rsid w:val="53856280"/>
    <w:rsid w:val="53863B29"/>
    <w:rsid w:val="53C6386B"/>
    <w:rsid w:val="540F340F"/>
    <w:rsid w:val="54395898"/>
    <w:rsid w:val="54D64395"/>
    <w:rsid w:val="54E3543B"/>
    <w:rsid w:val="55472291"/>
    <w:rsid w:val="555D5F21"/>
    <w:rsid w:val="556E40A6"/>
    <w:rsid w:val="55BB0D24"/>
    <w:rsid w:val="5690511C"/>
    <w:rsid w:val="56F3629C"/>
    <w:rsid w:val="573D040A"/>
    <w:rsid w:val="578B64E0"/>
    <w:rsid w:val="57BA3BCC"/>
    <w:rsid w:val="589E6E07"/>
    <w:rsid w:val="58A01167"/>
    <w:rsid w:val="58E66ADA"/>
    <w:rsid w:val="59273319"/>
    <w:rsid w:val="592D4348"/>
    <w:rsid w:val="59345076"/>
    <w:rsid w:val="59484FC5"/>
    <w:rsid w:val="59806AB9"/>
    <w:rsid w:val="59A04287"/>
    <w:rsid w:val="5AA01D3B"/>
    <w:rsid w:val="5AAA3B6F"/>
    <w:rsid w:val="5B734128"/>
    <w:rsid w:val="5C4606EF"/>
    <w:rsid w:val="5C9C18B0"/>
    <w:rsid w:val="5CA47CF7"/>
    <w:rsid w:val="5D0B6EE2"/>
    <w:rsid w:val="5DE76824"/>
    <w:rsid w:val="5E27164D"/>
    <w:rsid w:val="5E613174"/>
    <w:rsid w:val="5E914D18"/>
    <w:rsid w:val="5EFB232F"/>
    <w:rsid w:val="5F157DA4"/>
    <w:rsid w:val="5F313E05"/>
    <w:rsid w:val="5F4D37A8"/>
    <w:rsid w:val="5F621A53"/>
    <w:rsid w:val="603A6BA7"/>
    <w:rsid w:val="605D6791"/>
    <w:rsid w:val="609F16B0"/>
    <w:rsid w:val="60CE5DB0"/>
    <w:rsid w:val="60D37F9B"/>
    <w:rsid w:val="60DB3D08"/>
    <w:rsid w:val="612D6F23"/>
    <w:rsid w:val="61327E5D"/>
    <w:rsid w:val="61333D55"/>
    <w:rsid w:val="61B2015A"/>
    <w:rsid w:val="61D05B58"/>
    <w:rsid w:val="61E70949"/>
    <w:rsid w:val="62127632"/>
    <w:rsid w:val="625E09B8"/>
    <w:rsid w:val="628E28A0"/>
    <w:rsid w:val="62A81E64"/>
    <w:rsid w:val="62C236F2"/>
    <w:rsid w:val="63654A1A"/>
    <w:rsid w:val="63822A47"/>
    <w:rsid w:val="63C74770"/>
    <w:rsid w:val="649E1E6F"/>
    <w:rsid w:val="65A15BD1"/>
    <w:rsid w:val="65D83AC0"/>
    <w:rsid w:val="65E82CA3"/>
    <w:rsid w:val="66094C27"/>
    <w:rsid w:val="66D72233"/>
    <w:rsid w:val="67075B84"/>
    <w:rsid w:val="674961B1"/>
    <w:rsid w:val="677F5301"/>
    <w:rsid w:val="67E521C5"/>
    <w:rsid w:val="680967DB"/>
    <w:rsid w:val="682C06EF"/>
    <w:rsid w:val="68762B34"/>
    <w:rsid w:val="68F955F3"/>
    <w:rsid w:val="69671717"/>
    <w:rsid w:val="69C21DDB"/>
    <w:rsid w:val="6A460C6D"/>
    <w:rsid w:val="6ABB262D"/>
    <w:rsid w:val="6AE76753"/>
    <w:rsid w:val="6AFD40FF"/>
    <w:rsid w:val="6B046710"/>
    <w:rsid w:val="6C3B7F92"/>
    <w:rsid w:val="6C646318"/>
    <w:rsid w:val="6C9D2C7D"/>
    <w:rsid w:val="6CA1499B"/>
    <w:rsid w:val="6CE30EF7"/>
    <w:rsid w:val="6D106AE8"/>
    <w:rsid w:val="6DDB5FB0"/>
    <w:rsid w:val="6DDD27A1"/>
    <w:rsid w:val="6E166CBA"/>
    <w:rsid w:val="6E7855AD"/>
    <w:rsid w:val="6E931859"/>
    <w:rsid w:val="6FC2141D"/>
    <w:rsid w:val="701E7B76"/>
    <w:rsid w:val="704F058F"/>
    <w:rsid w:val="7081336C"/>
    <w:rsid w:val="70835B61"/>
    <w:rsid w:val="70BE5602"/>
    <w:rsid w:val="710934E0"/>
    <w:rsid w:val="716B64C8"/>
    <w:rsid w:val="71951830"/>
    <w:rsid w:val="71E34826"/>
    <w:rsid w:val="72766203"/>
    <w:rsid w:val="730F7EA5"/>
    <w:rsid w:val="73215E95"/>
    <w:rsid w:val="73633E0E"/>
    <w:rsid w:val="739C759D"/>
    <w:rsid w:val="73CB7173"/>
    <w:rsid w:val="73CF22B2"/>
    <w:rsid w:val="74350B1C"/>
    <w:rsid w:val="7499726D"/>
    <w:rsid w:val="75270788"/>
    <w:rsid w:val="756E42C9"/>
    <w:rsid w:val="759929D8"/>
    <w:rsid w:val="75BB7964"/>
    <w:rsid w:val="75C277EA"/>
    <w:rsid w:val="76646CC1"/>
    <w:rsid w:val="766B55C0"/>
    <w:rsid w:val="76741665"/>
    <w:rsid w:val="768335C6"/>
    <w:rsid w:val="769116F6"/>
    <w:rsid w:val="76A00A57"/>
    <w:rsid w:val="774E4E5E"/>
    <w:rsid w:val="775B283E"/>
    <w:rsid w:val="777041AD"/>
    <w:rsid w:val="77C27BE8"/>
    <w:rsid w:val="78244466"/>
    <w:rsid w:val="785E564D"/>
    <w:rsid w:val="78767001"/>
    <w:rsid w:val="78895C1C"/>
    <w:rsid w:val="78A66B61"/>
    <w:rsid w:val="79E4293F"/>
    <w:rsid w:val="79EF4F3C"/>
    <w:rsid w:val="7A0F78DD"/>
    <w:rsid w:val="7A731C3B"/>
    <w:rsid w:val="7B466425"/>
    <w:rsid w:val="7B885580"/>
    <w:rsid w:val="7BFE70BB"/>
    <w:rsid w:val="7C3D0E5E"/>
    <w:rsid w:val="7C7B197C"/>
    <w:rsid w:val="7C7E46D6"/>
    <w:rsid w:val="7CF55F23"/>
    <w:rsid w:val="7D0B58BB"/>
    <w:rsid w:val="7DD7650B"/>
    <w:rsid w:val="7E4F6BCE"/>
    <w:rsid w:val="7E775881"/>
    <w:rsid w:val="7EA20784"/>
    <w:rsid w:val="7EE53256"/>
    <w:rsid w:val="7F6059C2"/>
    <w:rsid w:val="7FB41530"/>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3"/>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5">
    <w:name w:val="heading 2"/>
    <w:basedOn w:val="1"/>
    <w:next w:val="1"/>
    <w:link w:val="54"/>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6">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5"/>
    <w:unhideWhenUsed/>
    <w:qFormat/>
    <w:uiPriority w:val="0"/>
    <w:pPr>
      <w:spacing w:after="120"/>
    </w:pPr>
    <w:rPr>
      <w:rFonts w:ascii="等线" w:hAnsi="等线" w:eastAsia="等线" w:cs="Times New Roman"/>
      <w:szCs w:val="24"/>
    </w:rPr>
  </w:style>
  <w:style w:type="paragraph" w:customStyle="1" w:styleId="3">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8">
    <w:name w:val="Normal Indent"/>
    <w:basedOn w:val="1"/>
    <w:qFormat/>
    <w:uiPriority w:val="99"/>
    <w:pPr>
      <w:ind w:firstLine="420"/>
    </w:pPr>
    <w:rPr>
      <w:rFonts w:ascii="Times New Roman" w:hAnsi="Times New Roman" w:eastAsia="宋体" w:cs="Times New Roman"/>
      <w:szCs w:val="21"/>
    </w:rPr>
  </w:style>
  <w:style w:type="paragraph" w:styleId="9">
    <w:name w:val="Document Map"/>
    <w:basedOn w:val="1"/>
    <w:link w:val="56"/>
    <w:semiHidden/>
    <w:qFormat/>
    <w:uiPriority w:val="0"/>
    <w:rPr>
      <w:rFonts w:ascii="宋体" w:hAnsi="Times New Roman" w:eastAsia="宋体" w:cs="Times New Roman"/>
      <w:kern w:val="0"/>
      <w:sz w:val="18"/>
      <w:szCs w:val="18"/>
    </w:rPr>
  </w:style>
  <w:style w:type="paragraph" w:styleId="10">
    <w:name w:val="annotation text"/>
    <w:basedOn w:val="1"/>
    <w:link w:val="64"/>
    <w:qFormat/>
    <w:uiPriority w:val="0"/>
    <w:pPr>
      <w:jc w:val="left"/>
    </w:pPr>
    <w:rPr>
      <w:rFonts w:ascii="Times New Roman" w:hAnsi="Times New Roman" w:eastAsia="宋体" w:cs="Times New Roman"/>
      <w:kern w:val="0"/>
      <w:szCs w:val="21"/>
    </w:rPr>
  </w:style>
  <w:style w:type="paragraph" w:styleId="11">
    <w:name w:val="Body Text 3"/>
    <w:basedOn w:val="1"/>
    <w:link w:val="58"/>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2">
    <w:name w:val="Closing"/>
    <w:basedOn w:val="1"/>
    <w:next w:val="1"/>
    <w:link w:val="83"/>
    <w:qFormat/>
    <w:uiPriority w:val="0"/>
    <w:pPr>
      <w:widowControl/>
      <w:ind w:left="4320"/>
      <w:jc w:val="left"/>
    </w:pPr>
    <w:rPr>
      <w:rFonts w:ascii="Calibri" w:hAnsi="Calibri" w:eastAsia="等线" w:cs="Times New Roman"/>
    </w:rPr>
  </w:style>
  <w:style w:type="paragraph" w:styleId="13">
    <w:name w:val="Body Text Indent"/>
    <w:basedOn w:val="1"/>
    <w:link w:val="59"/>
    <w:qFormat/>
    <w:uiPriority w:val="0"/>
    <w:pPr>
      <w:ind w:firstLine="660"/>
    </w:pPr>
    <w:rPr>
      <w:rFonts w:ascii="宋体" w:hAnsi="宋体" w:eastAsia="宋体" w:cs="Times New Roman"/>
      <w:color w:val="000000"/>
      <w:kern w:val="0"/>
      <w:sz w:val="24"/>
      <w:szCs w:val="24"/>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rPr>
      <w:rFonts w:ascii="Times New Roman" w:hAnsi="Times New Roman" w:eastAsia="宋体" w:cs="Times New Roman"/>
      <w:szCs w:val="24"/>
    </w:rPr>
  </w:style>
  <w:style w:type="paragraph" w:styleId="16">
    <w:name w:val="Plain Text"/>
    <w:basedOn w:val="1"/>
    <w:link w:val="60"/>
    <w:qFormat/>
    <w:uiPriority w:val="0"/>
    <w:rPr>
      <w:rFonts w:ascii="宋体" w:hAnsi="Courier New" w:eastAsia="宋体" w:cs="Times New Roman"/>
      <w:kern w:val="0"/>
      <w:szCs w:val="20"/>
    </w:rPr>
  </w:style>
  <w:style w:type="paragraph" w:styleId="17">
    <w:name w:val="Date"/>
    <w:basedOn w:val="1"/>
    <w:next w:val="1"/>
    <w:link w:val="61"/>
    <w:qFormat/>
    <w:uiPriority w:val="0"/>
    <w:rPr>
      <w:rFonts w:ascii="Times New Roman" w:hAnsi="Times New Roman" w:eastAsia="宋体" w:cs="Times New Roman"/>
      <w:b/>
      <w:bCs/>
      <w:kern w:val="0"/>
      <w:sz w:val="28"/>
      <w:szCs w:val="28"/>
    </w:rPr>
  </w:style>
  <w:style w:type="paragraph" w:styleId="18">
    <w:name w:val="Body Text Indent 2"/>
    <w:basedOn w:val="1"/>
    <w:link w:val="87"/>
    <w:qFormat/>
    <w:uiPriority w:val="0"/>
    <w:pPr>
      <w:spacing w:after="120" w:line="480" w:lineRule="auto"/>
      <w:ind w:left="420" w:leftChars="200"/>
    </w:pPr>
    <w:rPr>
      <w:rFonts w:ascii="等线" w:hAnsi="等线" w:eastAsia="等线" w:cs="Times New Roman"/>
      <w:szCs w:val="24"/>
    </w:rPr>
  </w:style>
  <w:style w:type="paragraph" w:styleId="19">
    <w:name w:val="Balloon Text"/>
    <w:basedOn w:val="1"/>
    <w:link w:val="62"/>
    <w:semiHidden/>
    <w:qFormat/>
    <w:uiPriority w:val="0"/>
    <w:rPr>
      <w:rFonts w:ascii="Times New Roman" w:hAnsi="Times New Roman" w:eastAsia="宋体" w:cs="Times New Roman"/>
      <w:kern w:val="0"/>
      <w:sz w:val="18"/>
      <w:szCs w:val="18"/>
    </w:rPr>
  </w:style>
  <w:style w:type="paragraph" w:styleId="20">
    <w:name w:val="footer"/>
    <w:basedOn w:val="1"/>
    <w:link w:val="52"/>
    <w:unhideWhenUsed/>
    <w:qFormat/>
    <w:uiPriority w:val="0"/>
    <w:pPr>
      <w:tabs>
        <w:tab w:val="center" w:pos="4153"/>
        <w:tab w:val="right" w:pos="8306"/>
      </w:tabs>
      <w:snapToGrid w:val="0"/>
      <w:jc w:val="left"/>
    </w:pPr>
    <w:rPr>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rPr>
      <w:rFonts w:ascii="Times New Roman" w:hAnsi="Times New Roman" w:eastAsia="宋体" w:cs="Times New Roman"/>
      <w:sz w:val="24"/>
      <w:szCs w:val="24"/>
    </w:rPr>
  </w:style>
  <w:style w:type="paragraph" w:styleId="23">
    <w:name w:val="Body Text Indent 3"/>
    <w:basedOn w:val="1"/>
    <w:link w:val="89"/>
    <w:qFormat/>
    <w:uiPriority w:val="0"/>
    <w:pPr>
      <w:spacing w:after="120"/>
      <w:ind w:left="420" w:leftChars="200"/>
    </w:pPr>
    <w:rPr>
      <w:rFonts w:ascii="Calibri" w:hAnsi="Calibri" w:eastAsia="宋体" w:cs="Times New Roman"/>
      <w:sz w:val="16"/>
      <w:szCs w:val="24"/>
    </w:rPr>
  </w:style>
  <w:style w:type="paragraph" w:styleId="24">
    <w:name w:val="toc 2"/>
    <w:basedOn w:val="1"/>
    <w:next w:val="1"/>
    <w:semiHidden/>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5">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8">
    <w:name w:val="Normal (Web)"/>
    <w:basedOn w:val="1"/>
    <w:qFormat/>
    <w:uiPriority w:val="0"/>
    <w:pPr>
      <w:widowControl/>
      <w:jc w:val="left"/>
    </w:pPr>
    <w:rPr>
      <w:rFonts w:ascii="宋体" w:hAnsi="宋体" w:eastAsia="宋体" w:cs="宋体"/>
      <w:kern w:val="0"/>
      <w:sz w:val="24"/>
      <w:szCs w:val="24"/>
    </w:rPr>
  </w:style>
  <w:style w:type="paragraph" w:styleId="29">
    <w:name w:val="Title"/>
    <w:basedOn w:val="14"/>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30">
    <w:name w:val="annotation subject"/>
    <w:basedOn w:val="10"/>
    <w:next w:val="10"/>
    <w:link w:val="63"/>
    <w:semiHidden/>
    <w:qFormat/>
    <w:uiPriority w:val="0"/>
    <w:rPr>
      <w:b/>
      <w:bCs/>
    </w:rPr>
  </w:style>
  <w:style w:type="paragraph" w:styleId="31">
    <w:name w:val="Body Text First Indent"/>
    <w:basedOn w:val="2"/>
    <w:next w:val="1"/>
    <w:link w:val="90"/>
    <w:qFormat/>
    <w:uiPriority w:val="0"/>
    <w:pPr>
      <w:ind w:firstLine="420" w:firstLineChars="100"/>
    </w:pPr>
    <w:rPr>
      <w:szCs w:val="22"/>
    </w:rPr>
  </w:style>
  <w:style w:type="paragraph" w:styleId="32">
    <w:name w:val="Body Text First Indent 2"/>
    <w:basedOn w:val="13"/>
    <w:qFormat/>
    <w:uiPriority w:val="0"/>
    <w:pPr>
      <w:ind w:left="0" w:leftChars="0" w:firstLine="210"/>
    </w:pPr>
    <w:rPr>
      <w:szCs w:val="20"/>
    </w:rPr>
  </w:style>
  <w:style w:type="table" w:styleId="34">
    <w:name w:val="Table Grid"/>
    <w:basedOn w:val="33"/>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rFonts w:cs="Times New Roman"/>
    </w:rPr>
  </w:style>
  <w:style w:type="character" w:styleId="37">
    <w:name w:val="page number"/>
    <w:basedOn w:val="35"/>
    <w:unhideWhenUsed/>
    <w:qFormat/>
    <w:uiPriority w:val="0"/>
  </w:style>
  <w:style w:type="character" w:styleId="38">
    <w:name w:val="FollowedHyperlink"/>
    <w:qFormat/>
    <w:uiPriority w:val="99"/>
    <w:rPr>
      <w:rFonts w:cs="Times New Roman"/>
      <w:color w:val="800080"/>
      <w:u w:val="none"/>
    </w:rPr>
  </w:style>
  <w:style w:type="character" w:styleId="39">
    <w:name w:val="Emphasis"/>
    <w:qFormat/>
    <w:uiPriority w:val="20"/>
    <w:rPr>
      <w:rFonts w:cs="Times New Roman"/>
    </w:rPr>
  </w:style>
  <w:style w:type="character" w:styleId="40">
    <w:name w:val="HTML Definition"/>
    <w:qFormat/>
    <w:uiPriority w:val="99"/>
    <w:rPr>
      <w:rFonts w:cs="Times New Roman"/>
    </w:rPr>
  </w:style>
  <w:style w:type="character" w:styleId="41">
    <w:name w:val="HTML Typewriter"/>
    <w:qFormat/>
    <w:uiPriority w:val="99"/>
    <w:rPr>
      <w:rFonts w:ascii="monospace" w:hAnsi="monospace" w:cs="Times New Roman"/>
      <w:sz w:val="20"/>
    </w:rPr>
  </w:style>
  <w:style w:type="character" w:styleId="42">
    <w:name w:val="HTML Acronym"/>
    <w:qFormat/>
    <w:uiPriority w:val="99"/>
    <w:rPr>
      <w:rFonts w:cs="Times New Roman"/>
    </w:rPr>
  </w:style>
  <w:style w:type="character" w:styleId="43">
    <w:name w:val="HTML Variable"/>
    <w:qFormat/>
    <w:uiPriority w:val="99"/>
    <w:rPr>
      <w:rFonts w:cs="Times New Roman"/>
    </w:rPr>
  </w:style>
  <w:style w:type="character" w:styleId="44">
    <w:name w:val="Hyperlink"/>
    <w:qFormat/>
    <w:uiPriority w:val="0"/>
    <w:rPr>
      <w:rFonts w:cs="Times New Roman"/>
      <w:color w:val="0000FF"/>
      <w:u w:val="none"/>
    </w:rPr>
  </w:style>
  <w:style w:type="character" w:styleId="45">
    <w:name w:val="HTML Code"/>
    <w:qFormat/>
    <w:uiPriority w:val="99"/>
    <w:rPr>
      <w:rFonts w:ascii="monospace" w:hAnsi="monospace" w:cs="Times New Roman"/>
      <w:sz w:val="20"/>
    </w:rPr>
  </w:style>
  <w:style w:type="character" w:styleId="46">
    <w:name w:val="annotation reference"/>
    <w:semiHidden/>
    <w:qFormat/>
    <w:uiPriority w:val="0"/>
    <w:rPr>
      <w:rFonts w:cs="Times New Roman"/>
      <w:sz w:val="21"/>
    </w:rPr>
  </w:style>
  <w:style w:type="character" w:styleId="47">
    <w:name w:val="HTML Cite"/>
    <w:qFormat/>
    <w:uiPriority w:val="99"/>
    <w:rPr>
      <w:rFonts w:cs="Times New Roman"/>
    </w:rPr>
  </w:style>
  <w:style w:type="character" w:styleId="48">
    <w:name w:val="HTML Keyboard"/>
    <w:qFormat/>
    <w:uiPriority w:val="99"/>
    <w:rPr>
      <w:rFonts w:ascii="monospace" w:hAnsi="monospace" w:cs="Times New Roman"/>
      <w:sz w:val="20"/>
    </w:rPr>
  </w:style>
  <w:style w:type="character" w:styleId="49">
    <w:name w:val="HTML Sample"/>
    <w:qFormat/>
    <w:uiPriority w:val="99"/>
    <w:rPr>
      <w:rFonts w:ascii="monospace" w:hAnsi="monospace" w:cs="Times New Roman"/>
    </w:rPr>
  </w:style>
  <w:style w:type="paragraph" w:styleId="50">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1">
    <w:name w:val="页眉 Char"/>
    <w:basedOn w:val="35"/>
    <w:link w:val="21"/>
    <w:semiHidden/>
    <w:qFormat/>
    <w:uiPriority w:val="99"/>
    <w:rPr>
      <w:sz w:val="18"/>
      <w:szCs w:val="18"/>
    </w:rPr>
  </w:style>
  <w:style w:type="character" w:customStyle="1" w:styleId="52">
    <w:name w:val="页脚 Char"/>
    <w:basedOn w:val="35"/>
    <w:link w:val="20"/>
    <w:qFormat/>
    <w:uiPriority w:val="99"/>
    <w:rPr>
      <w:sz w:val="18"/>
      <w:szCs w:val="18"/>
    </w:rPr>
  </w:style>
  <w:style w:type="character" w:customStyle="1" w:styleId="53">
    <w:name w:val="标题 1 Char"/>
    <w:basedOn w:val="35"/>
    <w:link w:val="4"/>
    <w:qFormat/>
    <w:uiPriority w:val="0"/>
    <w:rPr>
      <w:rFonts w:ascii="Times New Roman" w:hAnsi="Times New Roman" w:eastAsia="宋体" w:cs="Times New Roman"/>
      <w:b/>
      <w:bCs/>
      <w:kern w:val="44"/>
      <w:sz w:val="44"/>
      <w:szCs w:val="44"/>
    </w:rPr>
  </w:style>
  <w:style w:type="character" w:customStyle="1" w:styleId="54">
    <w:name w:val="标题 2 Char"/>
    <w:basedOn w:val="35"/>
    <w:link w:val="5"/>
    <w:qFormat/>
    <w:uiPriority w:val="0"/>
    <w:rPr>
      <w:rFonts w:ascii="Arial" w:hAnsi="Arial" w:eastAsia="黑体" w:cs="Times New Roman"/>
      <w:b/>
      <w:bCs/>
      <w:kern w:val="0"/>
      <w:sz w:val="32"/>
      <w:szCs w:val="32"/>
    </w:rPr>
  </w:style>
  <w:style w:type="character" w:customStyle="1" w:styleId="55">
    <w:name w:val="标题 3 Char"/>
    <w:basedOn w:val="35"/>
    <w:link w:val="6"/>
    <w:qFormat/>
    <w:uiPriority w:val="0"/>
    <w:rPr>
      <w:rFonts w:ascii="Times New Roman" w:hAnsi="Times New Roman" w:eastAsia="宋体" w:cs="Times New Roman"/>
      <w:b/>
      <w:bCs/>
      <w:kern w:val="0"/>
      <w:sz w:val="32"/>
      <w:szCs w:val="32"/>
    </w:rPr>
  </w:style>
  <w:style w:type="character" w:customStyle="1" w:styleId="56">
    <w:name w:val="文档结构图 Char"/>
    <w:basedOn w:val="35"/>
    <w:link w:val="9"/>
    <w:semiHidden/>
    <w:qFormat/>
    <w:uiPriority w:val="0"/>
    <w:rPr>
      <w:rFonts w:ascii="宋体" w:hAnsi="Times New Roman" w:eastAsia="宋体" w:cs="Times New Roman"/>
      <w:kern w:val="0"/>
      <w:sz w:val="18"/>
      <w:szCs w:val="18"/>
    </w:rPr>
  </w:style>
  <w:style w:type="character" w:customStyle="1" w:styleId="57">
    <w:name w:val="批注文字 Char"/>
    <w:basedOn w:val="35"/>
    <w:link w:val="10"/>
    <w:qFormat/>
    <w:uiPriority w:val="0"/>
  </w:style>
  <w:style w:type="character" w:customStyle="1" w:styleId="58">
    <w:name w:val="正文文本 3 Char"/>
    <w:basedOn w:val="35"/>
    <w:link w:val="11"/>
    <w:qFormat/>
    <w:uiPriority w:val="99"/>
    <w:rPr>
      <w:rFonts w:ascii="仿宋_GB2312" w:hAnsi="Arial" w:eastAsia="仿宋_GB2312" w:cs="Times New Roman"/>
      <w:kern w:val="0"/>
      <w:sz w:val="28"/>
      <w:szCs w:val="28"/>
    </w:rPr>
  </w:style>
  <w:style w:type="character" w:customStyle="1" w:styleId="59">
    <w:name w:val="正文文本缩进 Char"/>
    <w:basedOn w:val="35"/>
    <w:link w:val="13"/>
    <w:qFormat/>
    <w:uiPriority w:val="0"/>
    <w:rPr>
      <w:rFonts w:ascii="宋体" w:hAnsi="宋体" w:eastAsia="宋体" w:cs="Times New Roman"/>
      <w:color w:val="000000"/>
      <w:kern w:val="0"/>
      <w:sz w:val="24"/>
      <w:szCs w:val="24"/>
    </w:rPr>
  </w:style>
  <w:style w:type="character" w:customStyle="1" w:styleId="60">
    <w:name w:val="纯文本 Char"/>
    <w:basedOn w:val="35"/>
    <w:link w:val="16"/>
    <w:qFormat/>
    <w:uiPriority w:val="0"/>
    <w:rPr>
      <w:rFonts w:ascii="宋体" w:hAnsi="Courier New" w:eastAsia="宋体" w:cs="Times New Roman"/>
      <w:kern w:val="0"/>
      <w:szCs w:val="20"/>
    </w:rPr>
  </w:style>
  <w:style w:type="character" w:customStyle="1" w:styleId="61">
    <w:name w:val="日期 Char"/>
    <w:basedOn w:val="35"/>
    <w:link w:val="17"/>
    <w:qFormat/>
    <w:uiPriority w:val="0"/>
    <w:rPr>
      <w:rFonts w:ascii="Times New Roman" w:hAnsi="Times New Roman" w:eastAsia="宋体" w:cs="Times New Roman"/>
      <w:b/>
      <w:bCs/>
      <w:kern w:val="0"/>
      <w:sz w:val="28"/>
      <w:szCs w:val="28"/>
    </w:rPr>
  </w:style>
  <w:style w:type="character" w:customStyle="1" w:styleId="62">
    <w:name w:val="批注框文本 Char"/>
    <w:basedOn w:val="35"/>
    <w:link w:val="19"/>
    <w:semiHidden/>
    <w:qFormat/>
    <w:uiPriority w:val="0"/>
    <w:rPr>
      <w:rFonts w:ascii="Times New Roman" w:hAnsi="Times New Roman" w:eastAsia="宋体" w:cs="Times New Roman"/>
      <w:kern w:val="0"/>
      <w:sz w:val="18"/>
      <w:szCs w:val="18"/>
    </w:rPr>
  </w:style>
  <w:style w:type="character" w:customStyle="1" w:styleId="63">
    <w:name w:val="批注主题 Char"/>
    <w:basedOn w:val="57"/>
    <w:link w:val="30"/>
    <w:semiHidden/>
    <w:qFormat/>
    <w:uiPriority w:val="0"/>
    <w:rPr>
      <w:rFonts w:ascii="Times New Roman" w:hAnsi="Times New Roman" w:eastAsia="宋体" w:cs="Times New Roman"/>
      <w:b/>
      <w:bCs/>
      <w:kern w:val="0"/>
      <w:szCs w:val="21"/>
    </w:rPr>
  </w:style>
  <w:style w:type="character" w:customStyle="1" w:styleId="64">
    <w:name w:val="批注文字 Char1"/>
    <w:link w:val="10"/>
    <w:qFormat/>
    <w:locked/>
    <w:uiPriority w:val="0"/>
    <w:rPr>
      <w:rFonts w:ascii="Times New Roman" w:hAnsi="Times New Roman" w:eastAsia="宋体" w:cs="Times New Roman"/>
      <w:kern w:val="0"/>
      <w:szCs w:val="21"/>
    </w:rPr>
  </w:style>
  <w:style w:type="character" w:customStyle="1" w:styleId="65">
    <w:name w:val="Plain Text Char"/>
    <w:qFormat/>
    <w:locked/>
    <w:uiPriority w:val="99"/>
    <w:rPr>
      <w:rFonts w:ascii="宋体" w:hAnsi="Courier New" w:eastAsia="宋体" w:cs="Times New Roman"/>
      <w:kern w:val="2"/>
      <w:sz w:val="21"/>
    </w:rPr>
  </w:style>
  <w:style w:type="character" w:customStyle="1" w:styleId="66">
    <w:name w:val="Footer Char"/>
    <w:qFormat/>
    <w:locked/>
    <w:uiPriority w:val="99"/>
    <w:rPr>
      <w:rFonts w:eastAsia="宋体" w:cs="Times New Roman"/>
      <w:sz w:val="18"/>
    </w:rPr>
  </w:style>
  <w:style w:type="character" w:customStyle="1" w:styleId="67">
    <w:name w:val="Header Char"/>
    <w:qFormat/>
    <w:locked/>
    <w:uiPriority w:val="99"/>
    <w:rPr>
      <w:rFonts w:eastAsia="宋体" w:cs="Times New Roman"/>
      <w:sz w:val="18"/>
    </w:rPr>
  </w:style>
  <w:style w:type="paragraph" w:customStyle="1" w:styleId="68">
    <w:name w:val="样式1"/>
    <w:basedOn w:val="1"/>
    <w:qFormat/>
    <w:uiPriority w:val="99"/>
    <w:pPr>
      <w:adjustRightInd w:val="0"/>
      <w:textAlignment w:val="baseline"/>
    </w:pPr>
    <w:rPr>
      <w:rFonts w:ascii="宋体" w:hAnsi="宋体" w:eastAsia="宋体" w:cs="宋体"/>
      <w:kern w:val="0"/>
      <w:szCs w:val="21"/>
    </w:rPr>
  </w:style>
  <w:style w:type="character" w:customStyle="1" w:styleId="69">
    <w:name w:val="apple-converted-space"/>
    <w:qFormat/>
    <w:uiPriority w:val="99"/>
    <w:rPr>
      <w:rFonts w:cs="Times New Roman"/>
    </w:rPr>
  </w:style>
  <w:style w:type="paragraph" w:customStyle="1" w:styleId="70">
    <w:name w:val="Char1 Char Char Char Char Char Char"/>
    <w:basedOn w:val="1"/>
    <w:qFormat/>
    <w:uiPriority w:val="99"/>
    <w:rPr>
      <w:rFonts w:ascii="Tahoma" w:hAnsi="Tahoma" w:eastAsia="宋体" w:cs="Tahoma"/>
      <w:sz w:val="24"/>
      <w:szCs w:val="24"/>
    </w:rPr>
  </w:style>
  <w:style w:type="paragraph" w:customStyle="1" w:styleId="71">
    <w:name w:val="默认段落字体 Para Char Char Char1 Char Char Char Char Char Char Char"/>
    <w:basedOn w:val="1"/>
    <w:qFormat/>
    <w:uiPriority w:val="99"/>
    <w:pPr>
      <w:adjustRightInd w:val="0"/>
      <w:spacing w:line="360" w:lineRule="auto"/>
    </w:pPr>
    <w:rPr>
      <w:rFonts w:ascii="Times New Roman" w:hAnsi="Times New Roman" w:eastAsia="宋体" w:cs="Times New Roman"/>
      <w:szCs w:val="21"/>
    </w:rPr>
  </w:style>
  <w:style w:type="character" w:customStyle="1" w:styleId="72">
    <w:name w:val="15"/>
    <w:qFormat/>
    <w:uiPriority w:val="99"/>
    <w:rPr>
      <w:rFonts w:ascii="Times New Roman" w:hAnsi="Times New Roman"/>
      <w:color w:val="0000FF"/>
      <w:u w:val="single"/>
    </w:rPr>
  </w:style>
  <w:style w:type="paragraph" w:customStyle="1" w:styleId="73">
    <w:name w:val="Char"/>
    <w:basedOn w:val="1"/>
    <w:qFormat/>
    <w:uiPriority w:val="0"/>
    <w:rPr>
      <w:rFonts w:ascii="Tahoma" w:hAnsi="Tahoma" w:eastAsia="宋体" w:cs="Tahoma"/>
      <w:sz w:val="24"/>
      <w:szCs w:val="24"/>
    </w:rPr>
  </w:style>
  <w:style w:type="paragraph" w:customStyle="1" w:styleId="74">
    <w:name w:val="D&amp;L"/>
    <w:basedOn w:val="21"/>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5">
    <w:name w:val="Char Char Char Char Char Char Char1 Char"/>
    <w:basedOn w:val="1"/>
    <w:qFormat/>
    <w:uiPriority w:val="99"/>
    <w:rPr>
      <w:rFonts w:ascii="Tahoma" w:hAnsi="Tahoma" w:eastAsia="宋体" w:cs="Tahoma"/>
      <w:sz w:val="24"/>
      <w:szCs w:val="24"/>
    </w:rPr>
  </w:style>
  <w:style w:type="paragraph" w:customStyle="1" w:styleId="76">
    <w:name w:val="xl31"/>
    <w:basedOn w:val="1"/>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77">
    <w:name w:val="10"/>
    <w:qFormat/>
    <w:uiPriority w:val="99"/>
    <w:rPr>
      <w:rFonts w:ascii="Times New Roman" w:hAnsi="Times New Roman"/>
    </w:rPr>
  </w:style>
  <w:style w:type="character" w:customStyle="1" w:styleId="78">
    <w:name w:val="16"/>
    <w:qFormat/>
    <w:uiPriority w:val="99"/>
    <w:rPr>
      <w:rFonts w:ascii="Times New Roman" w:hAnsi="Times New Roman"/>
    </w:rPr>
  </w:style>
  <w:style w:type="paragraph" w:customStyle="1" w:styleId="79">
    <w:name w:val="列出段落1"/>
    <w:basedOn w:val="1"/>
    <w:qFormat/>
    <w:uiPriority w:val="99"/>
    <w:pPr>
      <w:ind w:firstLine="420" w:firstLineChars="200"/>
    </w:pPr>
    <w:rPr>
      <w:rFonts w:ascii="Times New Roman" w:hAnsi="Times New Roman" w:eastAsia="宋体" w:cs="Times New Roman"/>
      <w:szCs w:val="21"/>
    </w:rPr>
  </w:style>
  <w:style w:type="character" w:customStyle="1" w:styleId="80">
    <w:name w:val="tpc_content1"/>
    <w:qFormat/>
    <w:uiPriority w:val="99"/>
    <w:rPr>
      <w:sz w:val="13"/>
    </w:rPr>
  </w:style>
  <w:style w:type="paragraph" w:styleId="81">
    <w:name w:val="List Paragraph"/>
    <w:basedOn w:val="1"/>
    <w:qFormat/>
    <w:uiPriority w:val="99"/>
    <w:pPr>
      <w:ind w:firstLine="420" w:firstLineChars="200"/>
    </w:pPr>
    <w:rPr>
      <w:rFonts w:ascii="Times New Roman" w:hAnsi="Times New Roman" w:eastAsia="宋体" w:cs="Times New Roman"/>
      <w:szCs w:val="21"/>
    </w:rPr>
  </w:style>
  <w:style w:type="paragraph" w:customStyle="1" w:styleId="82">
    <w:name w:val="Table Paragraph"/>
    <w:basedOn w:val="1"/>
    <w:qFormat/>
    <w:uiPriority w:val="0"/>
    <w:pPr>
      <w:jc w:val="left"/>
    </w:pPr>
    <w:rPr>
      <w:rFonts w:ascii="Calibri" w:hAnsi="Calibri" w:eastAsia="宋体" w:cs="Times New Roman"/>
      <w:kern w:val="0"/>
      <w:sz w:val="22"/>
    </w:rPr>
  </w:style>
  <w:style w:type="character" w:customStyle="1" w:styleId="83">
    <w:name w:val="结束语 Char"/>
    <w:basedOn w:val="35"/>
    <w:link w:val="12"/>
    <w:qFormat/>
    <w:uiPriority w:val="0"/>
    <w:rPr>
      <w:rFonts w:ascii="Calibri" w:hAnsi="Calibri" w:eastAsia="等线" w:cs="Times New Roman"/>
    </w:rPr>
  </w:style>
  <w:style w:type="character" w:customStyle="1" w:styleId="84">
    <w:name w:val="结束语 字符"/>
    <w:semiHidden/>
    <w:qFormat/>
    <w:uiPriority w:val="99"/>
    <w:rPr>
      <w:kern w:val="2"/>
      <w:sz w:val="21"/>
      <w:szCs w:val="21"/>
    </w:rPr>
  </w:style>
  <w:style w:type="character" w:customStyle="1" w:styleId="85">
    <w:name w:val="正文文本 Char"/>
    <w:basedOn w:val="35"/>
    <w:link w:val="2"/>
    <w:qFormat/>
    <w:uiPriority w:val="0"/>
    <w:rPr>
      <w:rFonts w:ascii="等线" w:hAnsi="等线" w:eastAsia="等线" w:cs="Times New Roman"/>
      <w:szCs w:val="24"/>
    </w:rPr>
  </w:style>
  <w:style w:type="character" w:customStyle="1" w:styleId="86">
    <w:name w:val="正文文本 字符"/>
    <w:semiHidden/>
    <w:qFormat/>
    <w:uiPriority w:val="99"/>
    <w:rPr>
      <w:kern w:val="2"/>
      <w:sz w:val="21"/>
      <w:szCs w:val="21"/>
    </w:rPr>
  </w:style>
  <w:style w:type="character" w:customStyle="1" w:styleId="87">
    <w:name w:val="正文文本缩进 2 Char"/>
    <w:basedOn w:val="35"/>
    <w:link w:val="18"/>
    <w:qFormat/>
    <w:uiPriority w:val="0"/>
    <w:rPr>
      <w:rFonts w:ascii="等线" w:hAnsi="等线" w:eastAsia="等线" w:cs="Times New Roman"/>
      <w:szCs w:val="24"/>
    </w:rPr>
  </w:style>
  <w:style w:type="character" w:customStyle="1" w:styleId="88">
    <w:name w:val="正文文本缩进 2 字符"/>
    <w:semiHidden/>
    <w:qFormat/>
    <w:uiPriority w:val="99"/>
    <w:rPr>
      <w:kern w:val="2"/>
      <w:sz w:val="21"/>
      <w:szCs w:val="21"/>
    </w:rPr>
  </w:style>
  <w:style w:type="character" w:customStyle="1" w:styleId="89">
    <w:name w:val="正文文本缩进 3 Char"/>
    <w:basedOn w:val="35"/>
    <w:link w:val="23"/>
    <w:qFormat/>
    <w:uiPriority w:val="0"/>
    <w:rPr>
      <w:rFonts w:ascii="Calibri" w:hAnsi="Calibri" w:eastAsia="宋体" w:cs="Times New Roman"/>
      <w:sz w:val="16"/>
      <w:szCs w:val="24"/>
    </w:rPr>
  </w:style>
  <w:style w:type="character" w:customStyle="1" w:styleId="90">
    <w:name w:val="正文首行缩进 Char"/>
    <w:basedOn w:val="85"/>
    <w:link w:val="31"/>
    <w:qFormat/>
    <w:uiPriority w:val="0"/>
  </w:style>
  <w:style w:type="paragraph" w:customStyle="1" w:styleId="91">
    <w:name w:val="正文 1.1.1"/>
    <w:basedOn w:val="1"/>
    <w:next w:val="1"/>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2">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3">
    <w:name w:val="Char Char Char Char"/>
    <w:basedOn w:val="1"/>
    <w:qFormat/>
    <w:uiPriority w:val="0"/>
    <w:pPr>
      <w:tabs>
        <w:tab w:val="left" w:pos="360"/>
      </w:tabs>
      <w:ind w:firstLine="420" w:firstLineChars="150"/>
    </w:pPr>
    <w:rPr>
      <w:rFonts w:ascii="Arial" w:hAnsi="Arial" w:eastAsia="宋体" w:cs="Arial"/>
      <w:sz w:val="20"/>
      <w:szCs w:val="20"/>
    </w:rPr>
  </w:style>
  <w:style w:type="paragraph" w:customStyle="1" w:styleId="94">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1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96">
    <w:name w:val="正文1"/>
    <w:qFormat/>
    <w:uiPriority w:val="0"/>
    <w:rPr>
      <w:rFonts w:ascii="Times New Roman" w:hAnsi="Times New Roman" w:eastAsia="Times New Roman" w:cs="Times New Roman"/>
      <w:kern w:val="0"/>
      <w:sz w:val="24"/>
      <w:szCs w:val="24"/>
      <w:lang w:val="en-US" w:eastAsia="zh-CN" w:bidi="ar-SA"/>
    </w:rPr>
  </w:style>
  <w:style w:type="paragraph" w:customStyle="1" w:styleId="97">
    <w:name w:val="默认段落字体 Para Char Char Char Char Char Char Char Char Char1 Char Char Char Char Char Char Char Char"/>
    <w:basedOn w:val="9"/>
    <w:qFormat/>
    <w:uiPriority w:val="0"/>
    <w:pPr>
      <w:shd w:val="clear" w:color="auto" w:fill="000080"/>
    </w:pPr>
    <w:rPr>
      <w:rFonts w:ascii="等线" w:hAnsi="等线" w:eastAsia="等线"/>
      <w:kern w:val="2"/>
      <w:sz w:val="21"/>
      <w:szCs w:val="24"/>
    </w:rPr>
  </w:style>
  <w:style w:type="paragraph" w:customStyle="1" w:styleId="98">
    <w:name w:val="Normal_0"/>
    <w:qFormat/>
    <w:uiPriority w:val="0"/>
    <w:rPr>
      <w:rFonts w:ascii="Times New Roman" w:hAnsi="Times New Roman" w:eastAsia="Times New Roman" w:cs="Times New Roman"/>
      <w:kern w:val="0"/>
      <w:sz w:val="24"/>
      <w:szCs w:val="24"/>
      <w:lang w:val="en-US" w:eastAsia="zh-CN" w:bidi="ar-SA"/>
    </w:rPr>
  </w:style>
  <w:style w:type="paragraph" w:customStyle="1" w:styleId="99">
    <w:name w:val="Char Char Char Char Char Char Char1 Char Char Char Char Char Char Char"/>
    <w:basedOn w:val="1"/>
    <w:qFormat/>
    <w:uiPriority w:val="0"/>
    <w:rPr>
      <w:rFonts w:ascii="Tahoma" w:hAnsi="Tahoma" w:eastAsia="宋体" w:cs="Times New Roman"/>
      <w:sz w:val="24"/>
      <w:szCs w:val="20"/>
    </w:rPr>
  </w:style>
  <w:style w:type="paragraph" w:customStyle="1" w:styleId="100">
    <w:name w:val="Char Char Char"/>
    <w:basedOn w:val="1"/>
    <w:qFormat/>
    <w:uiPriority w:val="0"/>
    <w:rPr>
      <w:rFonts w:ascii="Tahoma" w:hAnsi="Tahoma" w:eastAsia="宋体" w:cs="Times New Roman"/>
      <w:sz w:val="24"/>
      <w:szCs w:val="20"/>
    </w:rPr>
  </w:style>
  <w:style w:type="paragraph" w:customStyle="1" w:styleId="101">
    <w:name w:val="目录"/>
    <w:basedOn w:val="1"/>
    <w:qFormat/>
    <w:uiPriority w:val="0"/>
    <w:pPr>
      <w:widowControl/>
      <w:jc w:val="center"/>
    </w:pPr>
    <w:rPr>
      <w:rFonts w:ascii="宋体" w:hAnsi="Times New Roman" w:eastAsia="宋体" w:cs="Times New Roman"/>
      <w:b/>
      <w:kern w:val="0"/>
      <w:sz w:val="36"/>
      <w:szCs w:val="24"/>
    </w:rPr>
  </w:style>
  <w:style w:type="paragraph" w:customStyle="1" w:styleId="102">
    <w:name w:val="正文_3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3">
    <w:name w:val="正文空2格  1."/>
    <w:basedOn w:val="1"/>
    <w:qFormat/>
    <w:uiPriority w:val="0"/>
    <w:pPr>
      <w:ind w:firstLine="480" w:firstLineChars="200"/>
    </w:pPr>
    <w:rPr>
      <w:rFonts w:ascii="Times New Roman" w:hAnsi="Times New Roman" w:eastAsia="宋体" w:cs="宋体"/>
      <w:sz w:val="28"/>
      <w:szCs w:val="20"/>
    </w:rPr>
  </w:style>
  <w:style w:type="paragraph" w:customStyle="1" w:styleId="10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5">
    <w:name w:val="样式2"/>
    <w:basedOn w:val="1"/>
    <w:link w:val="111"/>
    <w:qFormat/>
    <w:uiPriority w:val="0"/>
    <w:pPr>
      <w:spacing w:line="600" w:lineRule="exact"/>
    </w:pPr>
    <w:rPr>
      <w:rFonts w:ascii="仿宋_GB2312" w:hAnsi="宋体" w:eastAsia="仿宋_GB2312" w:cs="Times New Roman"/>
      <w:b/>
      <w:sz w:val="32"/>
      <w:szCs w:val="32"/>
    </w:rPr>
  </w:style>
  <w:style w:type="paragraph" w:customStyle="1" w:styleId="106">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7">
    <w:name w:val="日期 字符1"/>
    <w:qFormat/>
    <w:uiPriority w:val="0"/>
    <w:rPr>
      <w:rFonts w:ascii="黑体" w:hAnsi="宋体" w:eastAsia="黑体"/>
      <w:b/>
      <w:bCs/>
      <w:color w:val="000000"/>
      <w:sz w:val="44"/>
      <w:szCs w:val="36"/>
    </w:rPr>
  </w:style>
  <w:style w:type="character" w:customStyle="1" w:styleId="108">
    <w:name w:val="正文文本缩进 字符1"/>
    <w:qFormat/>
    <w:uiPriority w:val="0"/>
    <w:rPr>
      <w:rFonts w:ascii="仿宋_GB2312" w:eastAsia="仿宋_GB2312"/>
      <w:sz w:val="24"/>
      <w:szCs w:val="21"/>
    </w:rPr>
  </w:style>
  <w:style w:type="character" w:customStyle="1" w:styleId="109">
    <w:name w:val="纯文本字符"/>
    <w:qFormat/>
    <w:uiPriority w:val="0"/>
    <w:rPr>
      <w:rFonts w:ascii="宋体" w:hAnsi="Courier New" w:eastAsia="仿宋_GB2312" w:cs="Courier New"/>
      <w:kern w:val="2"/>
      <w:sz w:val="32"/>
      <w:szCs w:val="21"/>
    </w:rPr>
  </w:style>
  <w:style w:type="character" w:customStyle="1" w:styleId="110">
    <w:name w:val="页脚 字符1"/>
    <w:qFormat/>
    <w:uiPriority w:val="0"/>
    <w:rPr>
      <w:sz w:val="18"/>
      <w:szCs w:val="24"/>
    </w:rPr>
  </w:style>
  <w:style w:type="character" w:customStyle="1" w:styleId="111">
    <w:name w:val="样式2 Char Char"/>
    <w:link w:val="105"/>
    <w:qFormat/>
    <w:uiPriority w:val="0"/>
    <w:rPr>
      <w:rFonts w:ascii="仿宋_GB2312" w:hAnsi="宋体" w:eastAsia="仿宋_GB2312" w:cs="Times New Roman"/>
      <w:b/>
      <w:sz w:val="32"/>
      <w:szCs w:val="32"/>
    </w:rPr>
  </w:style>
  <w:style w:type="character" w:customStyle="1" w:styleId="112">
    <w:name w:val="标题 1 字符1"/>
    <w:qFormat/>
    <w:uiPriority w:val="0"/>
    <w:rPr>
      <w:rFonts w:ascii="Times New Roman" w:hAnsi="Times New Roman" w:eastAsia="宋体" w:cs="Times New Roman"/>
      <w:b/>
      <w:bCs/>
      <w:kern w:val="44"/>
      <w:sz w:val="44"/>
      <w:szCs w:val="44"/>
    </w:rPr>
  </w:style>
  <w:style w:type="character" w:customStyle="1" w:styleId="113">
    <w:name w:val="页眉 字符1"/>
    <w:qFormat/>
    <w:uiPriority w:val="99"/>
    <w:rPr>
      <w:sz w:val="18"/>
      <w:szCs w:val="24"/>
    </w:rPr>
  </w:style>
  <w:style w:type="character" w:customStyle="1" w:styleId="114">
    <w:name w:val="页眉 Char1"/>
    <w:semiHidden/>
    <w:qFormat/>
    <w:uiPriority w:val="99"/>
    <w:rPr>
      <w:kern w:val="2"/>
      <w:sz w:val="18"/>
      <w:szCs w:val="18"/>
    </w:rPr>
  </w:style>
  <w:style w:type="character" w:customStyle="1" w:styleId="115">
    <w:name w:val="标题 3 字符1"/>
    <w:qFormat/>
    <w:uiPriority w:val="0"/>
    <w:rPr>
      <w:rFonts w:ascii="Times New Roman" w:hAnsi="Times New Roman" w:eastAsia="宋体" w:cs="Times New Roman"/>
      <w:b/>
      <w:bCs/>
      <w:sz w:val="32"/>
      <w:szCs w:val="32"/>
    </w:rPr>
  </w:style>
  <w:style w:type="character" w:customStyle="1" w:styleId="116">
    <w:name w:val="文档结构图 字符1"/>
    <w:semiHidden/>
    <w:qFormat/>
    <w:uiPriority w:val="0"/>
    <w:rPr>
      <w:szCs w:val="24"/>
      <w:shd w:val="clear" w:color="auto" w:fill="000080"/>
    </w:rPr>
  </w:style>
  <w:style w:type="character" w:customStyle="1" w:styleId="117">
    <w:name w:val="标题 2 字符1"/>
    <w:qFormat/>
    <w:uiPriority w:val="0"/>
    <w:rPr>
      <w:rFonts w:ascii="Arial" w:hAnsi="Arial" w:eastAsia="黑体" w:cs="Times New Roman"/>
      <w:b/>
      <w:bCs/>
      <w:sz w:val="32"/>
      <w:szCs w:val="32"/>
    </w:rPr>
  </w:style>
  <w:style w:type="character" w:customStyle="1" w:styleId="118">
    <w:name w:val="批注框文本 字符1"/>
    <w:semiHidden/>
    <w:qFormat/>
    <w:uiPriority w:val="0"/>
    <w:rPr>
      <w:sz w:val="18"/>
      <w:szCs w:val="18"/>
    </w:rPr>
  </w:style>
  <w:style w:type="character" w:customStyle="1" w:styleId="119">
    <w:name w:val="纯文本 字符1"/>
    <w:qFormat/>
    <w:uiPriority w:val="0"/>
    <w:rPr>
      <w:rFonts w:ascii="宋体" w:hAnsi="Courier New"/>
    </w:rPr>
  </w:style>
  <w:style w:type="character" w:customStyle="1" w:styleId="120">
    <w:name w:val="正文首行缩进 字符"/>
    <w:semiHidden/>
    <w:qFormat/>
    <w:uiPriority w:val="99"/>
  </w:style>
  <w:style w:type="character" w:customStyle="1" w:styleId="121">
    <w:name w:val="正文文本缩进 字符2"/>
    <w:semiHidden/>
    <w:qFormat/>
    <w:uiPriority w:val="99"/>
    <w:rPr>
      <w:rFonts w:ascii="Times New Roman" w:hAnsi="Times New Roman" w:eastAsia="宋体" w:cs="Times New Roman"/>
      <w:szCs w:val="24"/>
    </w:rPr>
  </w:style>
  <w:style w:type="character" w:customStyle="1" w:styleId="122">
    <w:name w:val="批注文字 字符1"/>
    <w:semiHidden/>
    <w:qFormat/>
    <w:uiPriority w:val="99"/>
    <w:rPr>
      <w:rFonts w:ascii="Times New Roman" w:hAnsi="Times New Roman" w:eastAsia="宋体" w:cs="Times New Roman"/>
      <w:szCs w:val="24"/>
    </w:rPr>
  </w:style>
  <w:style w:type="character" w:customStyle="1" w:styleId="123">
    <w:name w:val="正文文本 字符2"/>
    <w:semiHidden/>
    <w:qFormat/>
    <w:uiPriority w:val="99"/>
    <w:rPr>
      <w:rFonts w:ascii="Times New Roman" w:hAnsi="Times New Roman" w:eastAsia="宋体" w:cs="Times New Roman"/>
      <w:szCs w:val="24"/>
    </w:rPr>
  </w:style>
  <w:style w:type="character" w:customStyle="1" w:styleId="124">
    <w:name w:val="批注主题 字符1"/>
    <w:semiHidden/>
    <w:qFormat/>
    <w:uiPriority w:val="99"/>
    <w:rPr>
      <w:rFonts w:ascii="Times New Roman" w:hAnsi="Times New Roman" w:eastAsia="宋体" w:cs="Times New Roman"/>
      <w:b/>
      <w:bCs/>
      <w:szCs w:val="24"/>
    </w:rPr>
  </w:style>
  <w:style w:type="character" w:customStyle="1" w:styleId="125">
    <w:name w:val="结束语 字符2"/>
    <w:semiHidden/>
    <w:qFormat/>
    <w:uiPriority w:val="99"/>
    <w:rPr>
      <w:rFonts w:ascii="Times New Roman" w:hAnsi="Times New Roman" w:eastAsia="宋体" w:cs="Times New Roman"/>
      <w:szCs w:val="24"/>
    </w:rPr>
  </w:style>
  <w:style w:type="character" w:customStyle="1" w:styleId="126">
    <w:name w:val="页眉 字符2"/>
    <w:semiHidden/>
    <w:qFormat/>
    <w:uiPriority w:val="99"/>
    <w:rPr>
      <w:rFonts w:ascii="Times New Roman" w:hAnsi="Times New Roman" w:eastAsia="宋体" w:cs="Times New Roman"/>
      <w:sz w:val="18"/>
      <w:szCs w:val="18"/>
    </w:rPr>
  </w:style>
  <w:style w:type="character" w:customStyle="1" w:styleId="127">
    <w:name w:val="批注框文本 字符2"/>
    <w:semiHidden/>
    <w:qFormat/>
    <w:uiPriority w:val="99"/>
    <w:rPr>
      <w:rFonts w:ascii="Times New Roman" w:hAnsi="Times New Roman" w:eastAsia="宋体" w:cs="Times New Roman"/>
      <w:sz w:val="18"/>
      <w:szCs w:val="18"/>
    </w:rPr>
  </w:style>
  <w:style w:type="character" w:customStyle="1" w:styleId="128">
    <w:name w:val="日期 字符2"/>
    <w:semiHidden/>
    <w:qFormat/>
    <w:uiPriority w:val="99"/>
    <w:rPr>
      <w:rFonts w:ascii="Times New Roman" w:hAnsi="Times New Roman" w:eastAsia="宋体" w:cs="Times New Roman"/>
      <w:szCs w:val="24"/>
    </w:rPr>
  </w:style>
  <w:style w:type="character" w:customStyle="1" w:styleId="129">
    <w:name w:val="纯文本 字符2"/>
    <w:semiHidden/>
    <w:qFormat/>
    <w:uiPriority w:val="99"/>
    <w:rPr>
      <w:rFonts w:ascii="等线" w:hAnsi="Courier New" w:cs="Courier New"/>
      <w:szCs w:val="24"/>
    </w:rPr>
  </w:style>
  <w:style w:type="character" w:customStyle="1" w:styleId="130">
    <w:name w:val="文档结构图 字符2"/>
    <w:semiHidden/>
    <w:qFormat/>
    <w:uiPriority w:val="99"/>
    <w:rPr>
      <w:rFonts w:ascii="Microsoft YaHei UI" w:hAnsi="Times New Roman" w:eastAsia="Microsoft YaHei UI" w:cs="Times New Roman"/>
      <w:sz w:val="18"/>
      <w:szCs w:val="18"/>
    </w:rPr>
  </w:style>
  <w:style w:type="character" w:customStyle="1" w:styleId="131">
    <w:name w:val="正文文本缩进 2 字符2"/>
    <w:semiHidden/>
    <w:qFormat/>
    <w:uiPriority w:val="99"/>
    <w:rPr>
      <w:rFonts w:ascii="Times New Roman" w:hAnsi="Times New Roman" w:eastAsia="宋体" w:cs="Times New Roman"/>
      <w:szCs w:val="24"/>
    </w:rPr>
  </w:style>
  <w:style w:type="character" w:customStyle="1" w:styleId="132">
    <w:name w:val="正文首行缩进 字符2"/>
    <w:semiHidden/>
    <w:qFormat/>
    <w:uiPriority w:val="99"/>
  </w:style>
  <w:style w:type="character" w:customStyle="1" w:styleId="133">
    <w:name w:val="页脚 字符2"/>
    <w:semiHidden/>
    <w:qFormat/>
    <w:uiPriority w:val="99"/>
    <w:rPr>
      <w:rFonts w:ascii="Times New Roman" w:hAnsi="Times New Roman" w:eastAsia="宋体" w:cs="Times New Roman"/>
      <w:sz w:val="18"/>
      <w:szCs w:val="18"/>
    </w:rPr>
  </w:style>
  <w:style w:type="character" w:customStyle="1" w:styleId="134">
    <w:name w:val="正文文本缩进 3 字符1"/>
    <w:semiHidden/>
    <w:qFormat/>
    <w:uiPriority w:val="99"/>
    <w:rPr>
      <w:rFonts w:ascii="Times New Roman" w:hAnsi="Times New Roman" w:eastAsia="宋体" w:cs="Times New Roman"/>
      <w:sz w:val="16"/>
      <w:szCs w:val="16"/>
    </w:rPr>
  </w:style>
  <w:style w:type="table" w:customStyle="1" w:styleId="135">
    <w:name w:val="网格型1"/>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6">
    <w:name w:val="List Paragraph1"/>
    <w:basedOn w:val="1"/>
    <w:qFormat/>
    <w:uiPriority w:val="34"/>
    <w:pPr>
      <w:ind w:firstLine="420" w:firstLineChars="200"/>
    </w:pPr>
    <w:rPr>
      <w:rFonts w:ascii="Calibri" w:hAnsi="Calibri"/>
      <w:szCs w:val="22"/>
    </w:rPr>
  </w:style>
  <w:style w:type="paragraph" w:customStyle="1" w:styleId="137">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138">
    <w:name w:val="样式 标题 3 + (中文) 黑体 小四 非加粗 段前: 7.8 磅 段后: 0 磅 行距: 固定值 20 磅"/>
    <w:basedOn w:val="6"/>
    <w:qFormat/>
    <w:uiPriority w:val="0"/>
    <w:pPr>
      <w:spacing w:before="0" w:beforeLines="0" w:after="0" w:afterLines="0" w:line="400" w:lineRule="exact"/>
    </w:pPr>
    <w:rPr>
      <w:rFonts w:eastAsia="黑体"/>
      <w:b w:val="0"/>
      <w:bCs w:val="0"/>
      <w:sz w:val="24"/>
      <w:szCs w:val="20"/>
    </w:rPr>
  </w:style>
  <w:style w:type="paragraph" w:customStyle="1" w:styleId="139">
    <w:name w:val="WPSOffice手动目录 1"/>
    <w:qFormat/>
    <w:uiPriority w:val="0"/>
    <w:pPr>
      <w:ind w:leftChars="0"/>
    </w:pPr>
    <w:rPr>
      <w:rFonts w:asciiTheme="minorHAnsi" w:hAnsiTheme="minorHAnsi" w:eastAsiaTheme="minorEastAsia" w:cstheme="minorBidi"/>
      <w:sz w:val="20"/>
      <w:szCs w:val="20"/>
    </w:rPr>
  </w:style>
  <w:style w:type="character" w:customStyle="1" w:styleId="140">
    <w:name w:val="unit"/>
    <w:qFormat/>
    <w:uiPriority w:val="0"/>
  </w:style>
  <w:style w:type="paragraph" w:customStyle="1" w:styleId="1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2">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14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44">
    <w:name w:val="标题1"/>
    <w:basedOn w:val="4"/>
    <w:qFormat/>
    <w:uiPriority w:val="99"/>
    <w:pPr>
      <w:spacing w:line="360" w:lineRule="exact"/>
    </w:pPr>
    <w:rPr>
      <w:spacing w:val="0"/>
      <w:szCs w:val="36"/>
    </w:rPr>
  </w:style>
  <w:style w:type="paragraph" w:customStyle="1" w:styleId="145">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19030</Words>
  <Characters>19917</Characters>
  <Lines>201</Lines>
  <Paragraphs>56</Paragraphs>
  <TotalTime>0</TotalTime>
  <ScaleCrop>false</ScaleCrop>
  <LinksUpToDate>false</LinksUpToDate>
  <CharactersWithSpaces>21674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2020-05-27T06:52:00Z</dcterms:created>
  <dc:creator>刘峰</dc:creator>
  <cp:lastModifiedBy>Administrator</cp:lastModifiedBy>
  <cp:lastPrinted>2021-09-13T02:39:00Z</cp:lastPrinted>
  <dcterms:modified xsi:type="dcterms:W3CDTF">2022-12-29T08:45:02Z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8A898278A30444E1AD44E79B35A8E02C</vt:lpwstr>
  </property>
</Properties>
</file>